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2C3448" w14:textId="49221A39" w:rsidR="00BD536F" w:rsidRPr="007C3EEB" w:rsidRDefault="00BD536F" w:rsidP="001B5C60">
      <w:pPr>
        <w:spacing w:line="360" w:lineRule="auto"/>
        <w:jc w:val="center"/>
        <w:rPr>
          <w:b/>
          <w:bCs/>
        </w:rPr>
      </w:pPr>
      <w:bookmarkStart w:id="0" w:name="OLE_LINK1"/>
      <w:r w:rsidRPr="007C3EEB">
        <w:rPr>
          <w:b/>
          <w:bCs/>
        </w:rPr>
        <w:t xml:space="preserve">Reinterpreting Scaling as Synchronising and Sequencing: A Case Study of </w:t>
      </w:r>
      <w:r w:rsidR="0097465A" w:rsidRPr="007C3EEB">
        <w:rPr>
          <w:b/>
          <w:bCs/>
        </w:rPr>
        <w:t>F</w:t>
      </w:r>
      <w:r w:rsidRPr="007C3EEB">
        <w:rPr>
          <w:b/>
          <w:bCs/>
        </w:rPr>
        <w:t xml:space="preserve">ood </w:t>
      </w:r>
      <w:r w:rsidR="0097465A" w:rsidRPr="007C3EEB">
        <w:rPr>
          <w:b/>
          <w:bCs/>
        </w:rPr>
        <w:t>S</w:t>
      </w:r>
      <w:r w:rsidRPr="007C3EEB">
        <w:rPr>
          <w:b/>
          <w:bCs/>
        </w:rPr>
        <w:t>ystem innovation in Eastern India</w:t>
      </w:r>
    </w:p>
    <w:p w14:paraId="28A7D45D" w14:textId="5B6727D1" w:rsidR="007673DC" w:rsidRPr="007C3EEB" w:rsidRDefault="007673DC" w:rsidP="00625B54">
      <w:pPr>
        <w:pStyle w:val="NormalWeb"/>
        <w:spacing w:line="360" w:lineRule="auto"/>
        <w:rPr>
          <w:rFonts w:ascii="Calibri" w:hAnsi="Calibri" w:cs="Calibri"/>
        </w:rPr>
      </w:pPr>
      <w:r w:rsidRPr="007C3EEB">
        <w:rPr>
          <w:rFonts w:ascii="Calibri" w:hAnsi="Calibri" w:cs="Calibri"/>
        </w:rPr>
        <w:t>Costanza Conti¹</w:t>
      </w:r>
      <w:r w:rsidR="00274B04" w:rsidRPr="007C3EEB">
        <w:rPr>
          <w:rFonts w:ascii="Calibri" w:hAnsi="Calibri" w:cs="Calibri"/>
          <w:vertAlign w:val="superscript"/>
        </w:rPr>
        <w:t>,2</w:t>
      </w:r>
      <w:r w:rsidRPr="007C3EEB">
        <w:rPr>
          <w:rFonts w:ascii="Calibri" w:hAnsi="Calibri" w:cs="Calibri"/>
        </w:rPr>
        <w:t>, Prashant Parida¹, Andy Hall</w:t>
      </w:r>
      <w:r w:rsidR="00274B04" w:rsidRPr="007C3EEB">
        <w:rPr>
          <w:rFonts w:ascii="Calibri" w:hAnsi="Calibri" w:cs="Calibri"/>
          <w:vertAlign w:val="superscript"/>
        </w:rPr>
        <w:t>3</w:t>
      </w:r>
      <w:r w:rsidRPr="007C3EEB">
        <w:rPr>
          <w:rFonts w:ascii="Calibri" w:hAnsi="Calibri" w:cs="Calibri"/>
        </w:rPr>
        <w:t>, Nitya Rao</w:t>
      </w:r>
      <w:r w:rsidR="00274B04" w:rsidRPr="007C3EEB">
        <w:rPr>
          <w:rFonts w:ascii="Calibri" w:hAnsi="Calibri" w:cs="Calibri"/>
          <w:vertAlign w:val="superscript"/>
        </w:rPr>
        <w:t>4</w:t>
      </w:r>
      <w:r w:rsidRPr="007C3EEB">
        <w:rPr>
          <w:rFonts w:ascii="Calibri" w:hAnsi="Calibri" w:cs="Calibri"/>
        </w:rPr>
        <w:t xml:space="preserve">, </w:t>
      </w:r>
      <w:proofErr w:type="spellStart"/>
      <w:r w:rsidRPr="007C3EEB">
        <w:rPr>
          <w:rFonts w:ascii="Calibri" w:hAnsi="Calibri" w:cs="Calibri"/>
        </w:rPr>
        <w:t>Girigan</w:t>
      </w:r>
      <w:proofErr w:type="spellEnd"/>
      <w:r w:rsidRPr="007C3EEB">
        <w:rPr>
          <w:rFonts w:ascii="Calibri" w:hAnsi="Calibri" w:cs="Calibri"/>
        </w:rPr>
        <w:t xml:space="preserve"> Gopi¹, Oliver King¹, Soumya Swaminathan¹</w:t>
      </w:r>
    </w:p>
    <w:p w14:paraId="76529CCF" w14:textId="77777777" w:rsidR="00460CAB" w:rsidRPr="007C3EEB" w:rsidRDefault="007673DC" w:rsidP="00625B54">
      <w:pPr>
        <w:spacing w:line="360" w:lineRule="auto"/>
      </w:pPr>
      <w:r w:rsidRPr="007C3EEB">
        <w:t>¹ M. S. Swaminathan Research Foundation, Chennai, India</w:t>
      </w:r>
    </w:p>
    <w:p w14:paraId="67BBD03D" w14:textId="650F9C8E" w:rsidR="00274B04" w:rsidRPr="007C3EEB" w:rsidRDefault="00274B04" w:rsidP="00625B54">
      <w:pPr>
        <w:spacing w:line="360" w:lineRule="auto"/>
      </w:pPr>
      <w:r w:rsidRPr="007C3EEB">
        <w:t>²</w:t>
      </w:r>
      <w:r w:rsidRPr="007C3EEB">
        <w:t>University of Reading, Reading, UK</w:t>
      </w:r>
    </w:p>
    <w:p w14:paraId="3C3F04FF" w14:textId="65D9FA39" w:rsidR="00D23523" w:rsidRPr="007C3EEB" w:rsidRDefault="00274B04" w:rsidP="00625B54">
      <w:pPr>
        <w:spacing w:line="360" w:lineRule="auto"/>
      </w:pPr>
      <w:r w:rsidRPr="007C3EEB">
        <w:rPr>
          <w:vertAlign w:val="superscript"/>
        </w:rPr>
        <w:t>3</w:t>
      </w:r>
      <w:r w:rsidR="007673DC" w:rsidRPr="007C3EEB">
        <w:t xml:space="preserve"> Commonwealth Scientific and Industrial Research Organisation (CSIRO), Canberra, Australia</w:t>
      </w:r>
      <w:r w:rsidR="007673DC" w:rsidRPr="007C3EEB">
        <w:br/>
      </w:r>
      <w:r w:rsidRPr="007C3EEB">
        <w:rPr>
          <w:vertAlign w:val="superscript"/>
        </w:rPr>
        <w:t xml:space="preserve">4 </w:t>
      </w:r>
      <w:r w:rsidR="007673DC" w:rsidRPr="007C3EEB">
        <w:t>University of East Anglia, Norwich, United Kingdom</w:t>
      </w:r>
      <w:r w:rsidR="00D23523" w:rsidRPr="007C3EEB">
        <w:t xml:space="preserve"> </w:t>
      </w:r>
    </w:p>
    <w:p w14:paraId="493ADF2E" w14:textId="041A609E" w:rsidR="00B15A5A" w:rsidRPr="00AB6BEF" w:rsidRDefault="00B15A5A" w:rsidP="00625B54">
      <w:pPr>
        <w:spacing w:line="360" w:lineRule="auto"/>
        <w:rPr>
          <w:b/>
          <w:bCs/>
        </w:rPr>
      </w:pPr>
    </w:p>
    <w:p w14:paraId="7FCBAAE0" w14:textId="56605350" w:rsidR="007673DC" w:rsidRPr="00C420BC" w:rsidRDefault="00E324D3" w:rsidP="00C420BC">
      <w:pPr>
        <w:spacing w:line="360" w:lineRule="auto"/>
      </w:pPr>
      <w:r w:rsidRPr="00E324D3">
        <w:t>Keywords:</w:t>
      </w:r>
      <w:r>
        <w:t xml:space="preserve"> </w:t>
      </w:r>
      <w:r w:rsidR="00C729DF">
        <w:t xml:space="preserve">Scaling; </w:t>
      </w:r>
      <w:r w:rsidR="00E95625">
        <w:t>System Innovation;</w:t>
      </w:r>
      <w:r w:rsidR="00814C70">
        <w:t xml:space="preserve"> </w:t>
      </w:r>
      <w:r w:rsidR="00C729DF">
        <w:t>Food Systems</w:t>
      </w:r>
      <w:r w:rsidR="00E95625">
        <w:t xml:space="preserve"> Transformation</w:t>
      </w:r>
      <w:r w:rsidR="00C729DF">
        <w:t xml:space="preserve">; </w:t>
      </w:r>
      <w:r w:rsidR="00814C70">
        <w:t xml:space="preserve">Sequencing; </w:t>
      </w:r>
      <w:r w:rsidR="00C729DF">
        <w:t>Synchronisation; Millets; India.</w:t>
      </w:r>
      <w:bookmarkEnd w:id="0"/>
      <w:r w:rsidR="00C420BC">
        <w:t xml:space="preserve"> </w:t>
      </w:r>
      <w:r w:rsidR="007673DC">
        <w:rPr>
          <w:b/>
          <w:bCs/>
        </w:rPr>
        <w:br w:type="page"/>
      </w:r>
    </w:p>
    <w:p w14:paraId="2577D7CC" w14:textId="1331FD36" w:rsidR="00025DB7" w:rsidRPr="00435A39" w:rsidRDefault="00025DB7" w:rsidP="00435A39">
      <w:pPr>
        <w:rPr>
          <w:b/>
          <w:bCs/>
        </w:rPr>
      </w:pPr>
      <w:r w:rsidRPr="00435A39">
        <w:rPr>
          <w:b/>
          <w:bCs/>
        </w:rPr>
        <w:lastRenderedPageBreak/>
        <w:t>Abstract</w:t>
      </w:r>
    </w:p>
    <w:p w14:paraId="5198CB24" w14:textId="621526BA" w:rsidR="00796CE9" w:rsidRDefault="00796CE9" w:rsidP="00435A39">
      <w:r w:rsidRPr="00435A39">
        <w:t xml:space="preserve">CONTEXT: How to scale impacts of food system interventions to ensure they deliver system change – or even, food system transformation, remains ambiguous. While early debates focused on scaling as a process of widespread technology adoption on farm, the food system transformation agenda has reframed scaling as a systemic process requiring interconnected changes across multiple system levels. Yet, </w:t>
      </w:r>
      <w:r w:rsidR="006F5F91" w:rsidRPr="00435A39">
        <w:t>what enables scaling processes to succeed, going beyond pilot projects, remains unclear.</w:t>
      </w:r>
    </w:p>
    <w:p w14:paraId="2DD63099" w14:textId="77777777" w:rsidR="003E4275" w:rsidRPr="00435A39" w:rsidRDefault="003E4275" w:rsidP="00435A39"/>
    <w:p w14:paraId="06FBB3B8" w14:textId="182C37DC" w:rsidR="000314BC" w:rsidRPr="00435A39" w:rsidRDefault="00796CE9" w:rsidP="00435A39">
      <w:r w:rsidRPr="00435A39">
        <w:t>OBJECTIVE:</w:t>
      </w:r>
      <w:r w:rsidR="000314BC" w:rsidRPr="00435A39">
        <w:t xml:space="preserve"> </w:t>
      </w:r>
      <w:r w:rsidR="00D715A1" w:rsidRPr="00435A39">
        <w:t xml:space="preserve">The case </w:t>
      </w:r>
      <w:r w:rsidR="006F5F91" w:rsidRPr="00435A39">
        <w:t>revisits</w:t>
      </w:r>
      <w:r w:rsidR="00D715A1" w:rsidRPr="00435A39">
        <w:t xml:space="preserve"> how scaling </w:t>
      </w:r>
      <w:r w:rsidR="006F5F91" w:rsidRPr="00435A39">
        <w:t xml:space="preserve">of sustainable innovation </w:t>
      </w:r>
      <w:r w:rsidR="00D715A1" w:rsidRPr="00435A39">
        <w:t>can occur</w:t>
      </w:r>
      <w:r w:rsidR="006F5F91" w:rsidRPr="00435A39">
        <w:t>, shedding light both on the</w:t>
      </w:r>
      <w:r w:rsidR="006F5F91" w:rsidRPr="00435A39">
        <w:rPr>
          <w14:ligatures w14:val="standardContextual"/>
        </w:rPr>
        <w:t xml:space="preserve"> features characterise a scaling process capable of addressing multiple dimensions of food system transformation, and the roles organisations can play in triggering and supporting such scaling. We explore these questions through a case study of the </w:t>
      </w:r>
      <w:r w:rsidR="00B3187B">
        <w:rPr>
          <w14:ligatures w14:val="standardContextual"/>
        </w:rPr>
        <w:t xml:space="preserve">efforts of the </w:t>
      </w:r>
      <w:r w:rsidR="006F5F91" w:rsidRPr="00435A39">
        <w:rPr>
          <w14:ligatures w14:val="standardContextual"/>
        </w:rPr>
        <w:t>M. S. Swaminathan Research Foundation (MSSRF)</w:t>
      </w:r>
      <w:r w:rsidR="00B3187B" w:rsidRPr="00B3187B">
        <w:rPr>
          <w14:ligatures w14:val="standardContextual"/>
        </w:rPr>
        <w:t xml:space="preserve"> </w:t>
      </w:r>
      <w:r w:rsidR="00B3187B">
        <w:rPr>
          <w14:ligatures w14:val="standardContextual"/>
        </w:rPr>
        <w:t xml:space="preserve">to </w:t>
      </w:r>
      <w:r w:rsidR="00B3187B" w:rsidRPr="00435A39">
        <w:rPr>
          <w14:ligatures w14:val="standardContextual"/>
        </w:rPr>
        <w:t>reintroduc</w:t>
      </w:r>
      <w:r w:rsidR="00B3187B">
        <w:rPr>
          <w14:ligatures w14:val="standardContextual"/>
        </w:rPr>
        <w:t>e</w:t>
      </w:r>
      <w:r w:rsidR="00B3187B" w:rsidRPr="00435A39">
        <w:rPr>
          <w14:ligatures w14:val="standardContextual"/>
        </w:rPr>
        <w:t xml:space="preserve"> and expan</w:t>
      </w:r>
      <w:r w:rsidR="002639F8">
        <w:rPr>
          <w14:ligatures w14:val="standardContextual"/>
        </w:rPr>
        <w:t>d</w:t>
      </w:r>
      <w:r w:rsidR="00B3187B" w:rsidRPr="00435A39">
        <w:rPr>
          <w14:ligatures w14:val="standardContextual"/>
        </w:rPr>
        <w:t xml:space="preserve"> </w:t>
      </w:r>
      <w:r w:rsidR="002639F8">
        <w:rPr>
          <w14:ligatures w14:val="standardContextual"/>
        </w:rPr>
        <w:t>production and consumption of</w:t>
      </w:r>
      <w:r w:rsidR="00B3187B" w:rsidRPr="00435A39">
        <w:rPr>
          <w14:ligatures w14:val="standardContextual"/>
        </w:rPr>
        <w:t xml:space="preserve"> millets in Odisha, India</w:t>
      </w:r>
      <w:r w:rsidR="002639F8">
        <w:rPr>
          <w14:ligatures w14:val="standardContextual"/>
        </w:rPr>
        <w:t>.</w:t>
      </w:r>
    </w:p>
    <w:p w14:paraId="7B9CF6C4" w14:textId="77777777" w:rsidR="000314BC" w:rsidRPr="00435A39" w:rsidRDefault="000314BC" w:rsidP="00435A39"/>
    <w:p w14:paraId="52E96F7D" w14:textId="4B2775AA" w:rsidR="000314BC" w:rsidRPr="00435A39" w:rsidRDefault="000314BC" w:rsidP="00435A39">
      <w:r w:rsidRPr="00435A39">
        <w:t xml:space="preserve">METHODS: The case study analysis is based on a purposive search for relevant information, including published and unpublished MSSRF documents, academic and technical literature, and key informant interviews. Interviews were conducted with custodian farmers, rural consumers, MSSRF staff with direct knowledge of historical interventions, government advisors, and policymakers. </w:t>
      </w:r>
      <w:r w:rsidR="006F5F91" w:rsidRPr="00435A39">
        <w:t>The data was organised historically to showcase the evolution of the scaling process.</w:t>
      </w:r>
    </w:p>
    <w:p w14:paraId="7988BAFD" w14:textId="3F98198E" w:rsidR="000314BC" w:rsidRPr="00435A39" w:rsidRDefault="000314BC" w:rsidP="00435A39"/>
    <w:p w14:paraId="301CF32D" w14:textId="55570920" w:rsidR="006F09CB" w:rsidRPr="00435A39" w:rsidRDefault="000314BC" w:rsidP="00435A39">
      <w:r w:rsidRPr="00435A39">
        <w:t xml:space="preserve">RESULTS AND CONCLUSIONS: </w:t>
      </w:r>
      <w:r w:rsidR="00DE5CA3">
        <w:t xml:space="preserve">The case study </w:t>
      </w:r>
      <w:r w:rsidRPr="00435A39">
        <w:t>reveal</w:t>
      </w:r>
      <w:r w:rsidR="00DE5CA3">
        <w:t>s</w:t>
      </w:r>
      <w:r w:rsidRPr="00435A39">
        <w:t xml:space="preserve"> </w:t>
      </w:r>
      <w:r w:rsidR="00DE5CA3">
        <w:t xml:space="preserve">how the scaling process </w:t>
      </w:r>
      <w:r w:rsidR="0019633C">
        <w:t xml:space="preserve">happened </w:t>
      </w:r>
      <w:r w:rsidR="0019633C" w:rsidRPr="00435A39">
        <w:t>across</w:t>
      </w:r>
      <w:r w:rsidR="00DE5CA3">
        <w:t xml:space="preserve"> different but interconnected</w:t>
      </w:r>
      <w:r w:rsidR="00395079" w:rsidRPr="006F09CB">
        <w:t xml:space="preserve"> </w:t>
      </w:r>
      <w:r w:rsidR="00DE5CA3">
        <w:t xml:space="preserve">spheres </w:t>
      </w:r>
      <w:r w:rsidR="00395079" w:rsidRPr="006F09CB">
        <w:t xml:space="preserve">—the </w:t>
      </w:r>
      <w:r w:rsidR="00395079" w:rsidRPr="00DE5CA3">
        <w:t>local sphere</w:t>
      </w:r>
      <w:r w:rsidR="00395079" w:rsidRPr="006F09CB">
        <w:t xml:space="preserve">, the </w:t>
      </w:r>
      <w:r w:rsidR="00395079" w:rsidRPr="00DE5CA3">
        <w:t>networks, relationships and intermediation sphere</w:t>
      </w:r>
      <w:r w:rsidR="00395079" w:rsidRPr="006F09CB">
        <w:t xml:space="preserve">, and the </w:t>
      </w:r>
      <w:r w:rsidR="00395079" w:rsidRPr="00DE5CA3">
        <w:t>system sphere</w:t>
      </w:r>
      <w:r w:rsidR="00395079" w:rsidRPr="006F09CB">
        <w:t>.</w:t>
      </w:r>
      <w:r w:rsidR="00395079" w:rsidRPr="00395079">
        <w:t xml:space="preserve"> </w:t>
      </w:r>
      <w:r w:rsidR="00DE5CA3">
        <w:t xml:space="preserve">Within each sphere, MSSRF tackled several </w:t>
      </w:r>
      <w:r w:rsidR="00395079" w:rsidRPr="00395079">
        <w:t>elements</w:t>
      </w:r>
      <w:r w:rsidR="00DE5CA3">
        <w:t xml:space="preserve">: </w:t>
      </w:r>
      <w:r w:rsidR="00395079" w:rsidRPr="00DE5CA3">
        <w:t>technologies, infrastructure, behaviours and values, R</w:t>
      </w:r>
      <w:r w:rsidR="00396EF4">
        <w:t xml:space="preserve">esearch </w:t>
      </w:r>
      <w:r w:rsidR="00395079" w:rsidRPr="00DE5CA3">
        <w:t>&amp;</w:t>
      </w:r>
      <w:r w:rsidR="00396EF4">
        <w:t xml:space="preserve"> </w:t>
      </w:r>
      <w:r w:rsidR="00395079" w:rsidRPr="00DE5CA3">
        <w:t>D</w:t>
      </w:r>
      <w:r w:rsidR="00396EF4">
        <w:t>evelopment (R&amp;D)</w:t>
      </w:r>
      <w:r w:rsidR="00395079" w:rsidRPr="00DE5CA3">
        <w:t xml:space="preserve"> trajectories, policies and institutions</w:t>
      </w:r>
      <w:r w:rsidR="00396EF4">
        <w:t>, and political economy</w:t>
      </w:r>
      <w:r w:rsidR="00DE5CA3">
        <w:t xml:space="preserve">. Once these elements had undergone change in one sphere, the organisation could move to operating in the next sphere. </w:t>
      </w:r>
      <w:r w:rsidR="00D66183">
        <w:t xml:space="preserve">In the case of MSSRF, at the local sphere, this meant building technologies and infrastructure through participatory R&amp;D </w:t>
      </w:r>
      <w:r w:rsidR="00971446">
        <w:t>while setting up community institutions to help behavioural shifts. The initial credibility built for the innovation at the local sphere allowed the organisation to move to the next – with much broader visibility and expansion of technology, infrastructure, R&amp;D, community institutions as well as policy interest. This interest and expansion once again led to changes in the system sphere, where the innovation was anchored at the state level through the set-up of an ad-hoc innovation-mission, further bolstering the changes in the multiple elements</w:t>
      </w:r>
      <w:r w:rsidR="00D66183">
        <w:t xml:space="preserve">. </w:t>
      </w:r>
      <w:r w:rsidR="00DE5CA3">
        <w:t xml:space="preserve">This finding highlights an important feature of scaling: both synchronised (i.e. happening at the same time) and sequenced (i.e. happening in a </w:t>
      </w:r>
      <w:r w:rsidR="00DF03B1">
        <w:t xml:space="preserve">temporally </w:t>
      </w:r>
      <w:r w:rsidR="00DE5CA3">
        <w:t>coordinated manner) changes are critical for interventions to move beyond the local sphere towards the system sphere.</w:t>
      </w:r>
    </w:p>
    <w:p w14:paraId="05E6A93E" w14:textId="127F4471" w:rsidR="00025DB7" w:rsidRPr="00435A39" w:rsidRDefault="000314BC" w:rsidP="00435A39">
      <w:r w:rsidRPr="00435A39">
        <w:br/>
        <w:t xml:space="preserve">SIGNIFICANCE: </w:t>
      </w:r>
      <w:r w:rsidR="00FB4A3A" w:rsidRPr="00435A39">
        <w:t xml:space="preserve">The paper offers a novel conceptual framework </w:t>
      </w:r>
      <w:r w:rsidR="00395079">
        <w:t xml:space="preserve">(the 3S framework) </w:t>
      </w:r>
      <w:r w:rsidR="00FB4A3A" w:rsidRPr="00435A39">
        <w:t xml:space="preserve">for </w:t>
      </w:r>
      <w:r w:rsidR="00FB4A3A" w:rsidRPr="00435A39">
        <w:lastRenderedPageBreak/>
        <w:t xml:space="preserve">understanding scaling as a process that requires both synchronisation across multiple system scales and strategic sequencing over time. </w:t>
      </w:r>
      <w:r w:rsidR="00971446">
        <w:t>Without synchronisation and sequencing, “pilot</w:t>
      </w:r>
      <w:r w:rsidR="00E51BC0">
        <w:t>s</w:t>
      </w:r>
      <w:r w:rsidR="00971446">
        <w:t xml:space="preserve"> never fail but never scale”,</w:t>
      </w:r>
      <w:r w:rsidR="00E51BC0">
        <w:t xml:space="preserve"> </w:t>
      </w:r>
      <w:r w:rsidR="007A7ED4">
        <w:t xml:space="preserve">as they find themselves unable to couple </w:t>
      </w:r>
      <w:r w:rsidR="00971446">
        <w:t xml:space="preserve">acceptability and change at the local level, </w:t>
      </w:r>
      <w:r w:rsidR="007A7ED4">
        <w:t>with</w:t>
      </w:r>
      <w:r w:rsidR="00971446">
        <w:t xml:space="preserve"> sustained engagement and efforts to “move up” to the next spheres, which would ultimately achieve scaling. The paper th</w:t>
      </w:r>
      <w:r w:rsidR="00E51BC0">
        <w:t>en</w:t>
      </w:r>
      <w:r w:rsidR="00971446">
        <w:t xml:space="preserve"> </w:t>
      </w:r>
      <w:r w:rsidR="00FB4A3A" w:rsidRPr="00435A39">
        <w:t>points t</w:t>
      </w:r>
      <w:r w:rsidR="00971446">
        <w:t>o</w:t>
      </w:r>
      <w:r w:rsidR="00FB4A3A" w:rsidRPr="00435A39">
        <w:t xml:space="preserve"> the </w:t>
      </w:r>
      <w:r w:rsidR="00971446">
        <w:t>importance of</w:t>
      </w:r>
      <w:r w:rsidR="00FB4A3A" w:rsidRPr="00435A39">
        <w:t xml:space="preserve"> multifunctional organisations capable of operating across different scales and successfully performing </w:t>
      </w:r>
      <w:r w:rsidR="00971446">
        <w:t xml:space="preserve">a </w:t>
      </w:r>
      <w:r w:rsidR="00FB4A3A" w:rsidRPr="00435A39">
        <w:t xml:space="preserve">synchronisation and sequencing function, </w:t>
      </w:r>
      <w:r w:rsidR="00971446">
        <w:t xml:space="preserve">enabling a </w:t>
      </w:r>
      <w:r w:rsidR="00FB4A3A" w:rsidRPr="00435A39">
        <w:t xml:space="preserve">system-level value shift </w:t>
      </w:r>
      <w:r w:rsidR="00971446">
        <w:t xml:space="preserve">for scaling the </w:t>
      </w:r>
      <w:r w:rsidR="00FB4A3A" w:rsidRPr="00435A39">
        <w:t xml:space="preserve">innovation </w:t>
      </w:r>
      <w:r w:rsidR="00971446">
        <w:t>and moving towards the broader</w:t>
      </w:r>
      <w:r w:rsidR="00DE5CA3">
        <w:t xml:space="preserve"> transformation</w:t>
      </w:r>
      <w:r w:rsidR="00971446">
        <w:t xml:space="preserve"> of the food system. </w:t>
      </w:r>
      <w:r w:rsidR="00025DB7" w:rsidRPr="00435A39">
        <w:br w:type="page"/>
      </w:r>
    </w:p>
    <w:p w14:paraId="6E4405CF" w14:textId="12818FE0" w:rsidR="00A97137" w:rsidRPr="00435A39" w:rsidRDefault="00242091" w:rsidP="00435A39">
      <w:pPr>
        <w:pStyle w:val="Heading1"/>
      </w:pPr>
      <w:r w:rsidRPr="00435A39">
        <w:lastRenderedPageBreak/>
        <w:t>Introduction</w:t>
      </w:r>
    </w:p>
    <w:p w14:paraId="3E847237" w14:textId="6AFC134B" w:rsidR="00AB0D54" w:rsidRDefault="009F38C1" w:rsidP="00435A39">
      <w:r w:rsidRPr="00435A39">
        <w:t>In agricultural research for development</w:t>
      </w:r>
      <w:r w:rsidR="00132FFE">
        <w:t xml:space="preserve">, </w:t>
      </w:r>
      <w:r w:rsidRPr="00435A39">
        <w:t>the question of h</w:t>
      </w:r>
      <w:r w:rsidR="00604393" w:rsidRPr="00435A39">
        <w:t xml:space="preserve">ow to scale </w:t>
      </w:r>
      <w:r w:rsidR="00692288" w:rsidRPr="00435A39">
        <w:t xml:space="preserve">the </w:t>
      </w:r>
      <w:r w:rsidR="00604393" w:rsidRPr="00435A39">
        <w:t>impacts of</w:t>
      </w:r>
      <w:r w:rsidR="00A5105C" w:rsidRPr="00435A39">
        <w:t xml:space="preserve"> interventions for </w:t>
      </w:r>
      <w:r w:rsidR="00604393" w:rsidRPr="00435A39">
        <w:t>poverty alleviation, improved</w:t>
      </w:r>
      <w:r w:rsidRPr="00435A39">
        <w:t xml:space="preserve"> </w:t>
      </w:r>
      <w:r w:rsidR="00604393" w:rsidRPr="00435A39">
        <w:t xml:space="preserve">food security and nutrition, decent livelihoods </w:t>
      </w:r>
      <w:r w:rsidR="001C444F" w:rsidRPr="00435A39">
        <w:t xml:space="preserve">and equitable growth </w:t>
      </w:r>
      <w:r w:rsidRPr="00435A39">
        <w:t xml:space="preserve">remains contested and unresolved </w:t>
      </w:r>
      <w:r w:rsidR="00273A99" w:rsidRPr="00435A39">
        <w:fldChar w:fldCharType="begin"/>
      </w:r>
      <w:r w:rsidR="00AD2E2F">
        <w:instrText xml:space="preserve"> ADDIN ZOTERO_ITEM CSL_CITATION {"citationID":"T2BvYXTo","properties":{"formattedCitation":"(CGIAR, 2020; FAO, 2022)","plainCitation":"(CGIAR, 2020; FAO, 2022)","noteIndex":0},"citationItems":[{"id":710,"uris":["http://zotero.org/users/12768557/items/IFVTPH2J"],"itemData":{"id":710,"type":"report","page":"36-36","publisher-place":"Montpellier","title":"CGIAR 2030: Research and Innovation Strategy - Transforming food, land, and water systems in a climate crisis","URL":"www.cgiar.org","author":[{"literal":"CGIAR"}],"issued":{"date-parts":[["2020"]]}}},{"id":18935,"uris":["http://zotero.org/users/12768557/items/IIX2QZE4"],"itemData":{"id":18935,"type":"report","language":"en","publisher":"FAO","publisher-place":"Rome","source":"Zotero","title":"FAO Strategy on Climate Change 2022–2031","author":[{"family":"FAO","given":""}],"issued":{"date-parts":[["2022"]]}}}],"schema":"https://github.com/citation-style-language/schema/raw/master/csl-citation.json"} </w:instrText>
      </w:r>
      <w:r w:rsidR="00273A99" w:rsidRPr="00435A39">
        <w:fldChar w:fldCharType="separate"/>
      </w:r>
      <w:r w:rsidR="00FA527E" w:rsidRPr="00435A39">
        <w:rPr>
          <w:noProof/>
        </w:rPr>
        <w:t>(CGIAR, 2020; FAO, 2022)</w:t>
      </w:r>
      <w:r w:rsidR="00273A99" w:rsidRPr="00435A39">
        <w:fldChar w:fldCharType="end"/>
      </w:r>
      <w:r w:rsidR="00273A99" w:rsidRPr="00435A39">
        <w:t xml:space="preserve">. </w:t>
      </w:r>
      <w:r w:rsidRPr="00435A39">
        <w:t>Interest in</w:t>
      </w:r>
      <w:r w:rsidR="00273A99" w:rsidRPr="00435A39">
        <w:t xml:space="preserve"> scaling</w:t>
      </w:r>
      <w:r w:rsidR="001C444F" w:rsidRPr="00435A39">
        <w:t xml:space="preserve">, </w:t>
      </w:r>
      <w:r w:rsidRPr="00435A39">
        <w:t xml:space="preserve">particularly in </w:t>
      </w:r>
      <w:r w:rsidR="001C444F" w:rsidRPr="00435A39">
        <w:t xml:space="preserve">in terms of </w:t>
      </w:r>
      <w:r w:rsidRPr="00435A39">
        <w:t xml:space="preserve">tracking the </w:t>
      </w:r>
      <w:r w:rsidR="001C444F" w:rsidRPr="00435A39">
        <w:t xml:space="preserve">uptake of </w:t>
      </w:r>
      <w:r w:rsidRPr="00435A39">
        <w:t>improved (</w:t>
      </w:r>
      <w:r w:rsidR="00136FCC" w:rsidRPr="00435A39">
        <w:t xml:space="preserve">Green </w:t>
      </w:r>
      <w:r w:rsidR="00117306" w:rsidRPr="00435A39">
        <w:t>Revolution</w:t>
      </w:r>
      <w:r w:rsidRPr="00435A39">
        <w:t>)</w:t>
      </w:r>
      <w:r w:rsidR="001C444F" w:rsidRPr="00435A39">
        <w:t xml:space="preserve"> </w:t>
      </w:r>
      <w:r w:rsidRPr="00435A39">
        <w:t xml:space="preserve">agricultural </w:t>
      </w:r>
      <w:r w:rsidR="001C444F" w:rsidRPr="00435A39">
        <w:t xml:space="preserve">technologies </w:t>
      </w:r>
      <w:r w:rsidRPr="00435A39">
        <w:t>has a long history reaching back to</w:t>
      </w:r>
      <w:r w:rsidR="001C444F" w:rsidRPr="00435A39">
        <w:t xml:space="preserve"> the 1960s </w:t>
      </w:r>
      <w:r w:rsidR="001C444F" w:rsidRPr="00435A39">
        <w:fldChar w:fldCharType="begin"/>
      </w:r>
      <w:r w:rsidR="00D66183">
        <w:instrText xml:space="preserve"> ADDIN ZOTERO_ITEM CSL_CITATION {"citationID":"M0a98DnL","properties":{"formattedCitation":"(Brown et al., 1979; Fliegel et al., 1968)","plainCitation":"(Brown et al., 1979; Fliegel et al., 1968)","noteIndex":0},"citationItems":[{"id":18938,"uris":["http://zotero.org/users/12768557/items/3RPS8C22"],"itemData":{"id":18938,"type":"article-journal","container-title":"Social Science Quarterly","ISSN":"0038-4941","issue":"2","page":"249-268","publisher":"[University of Texas Press, Wiley]","source":"JSTOR","title":"Innovation Diffusion and Development in a Third World Setting: The Cooperative Movement in Sierra Leone","title-short":"Innovation Diffusion and Development in a Third World Setting","volume":"60","author":[{"family":"Brown","given":"Lawrence A."},{"family":"Schneider","given":"Rita"},{"family":"Harvey","given":"Milton E."},{"family":"Riddell","given":"J. Barry"}],"issued":{"date-parts":[["1979"]]}}},{"id":18939,"uris":["http://zotero.org/users/12768557/items/MB9J9QTT"],"itemData":{"id":18939,"type":"webpage","abstract":"Discover this 1968 paper in Rural Sociology by Fliegel, Frederick C.; Livlin, Joseph E.; and, Sekhon, Gurmeet S. focusing on: PENNSYLVANIA; UNITED States; AGRICULTURAL innovations; INNOVATION adoption; ATTITUDES toward technology; AGROTECHNOLOGY transfer; TECHNOLOGICAL innovations; AGRICULTURE","language":"en","note":"ISSN: 0036-0112\nissue: 4\npage: 437\nvolume: 33","title":"A CROSS-NATIONAL COMPARISON OF FARMERS' PERCEPTIONS OF INNOVATIONS AS RELATED TO ADOPTION BEHAVIOR.","URL":"https://openurl.ebsco.com/contentitem/gcd:13189410?sid=ebsco:plink:crawler&amp;id=ebsco:gcd:13189410","author":[{"family":"Fliegel","given":"Frederick C."},{"family":"Livlin","given":"Joseph E."},{"family":"Sekhon","given":"Gurmeet S."}],"accessed":{"date-parts":[["2025",2,18]]},"issued":{"date-parts":[["1968",12,1]]}}}],"schema":"https://github.com/citation-style-language/schema/raw/master/csl-citation.json"} </w:instrText>
      </w:r>
      <w:r w:rsidR="001C444F" w:rsidRPr="00435A39">
        <w:fldChar w:fldCharType="separate"/>
      </w:r>
      <w:r w:rsidR="001C444F" w:rsidRPr="00435A39">
        <w:rPr>
          <w:noProof/>
        </w:rPr>
        <w:t>(Brown et al., 1979; Fliegel et al., 1968)</w:t>
      </w:r>
      <w:r w:rsidR="001C444F" w:rsidRPr="00435A39">
        <w:fldChar w:fldCharType="end"/>
      </w:r>
      <w:r w:rsidRPr="00435A39">
        <w:t>. Scaling has once again become an issue of prominence and debate in relation to how the</w:t>
      </w:r>
      <w:r w:rsidR="001C444F" w:rsidRPr="00435A39">
        <w:t xml:space="preserve"> food system transformation agenda</w:t>
      </w:r>
      <w:r w:rsidRPr="00435A39">
        <w:t xml:space="preserve"> can be advanced</w:t>
      </w:r>
      <w:r w:rsidR="00D66183">
        <w:t xml:space="preserve"> </w:t>
      </w:r>
      <w:r w:rsidR="00D66183">
        <w:fldChar w:fldCharType="begin"/>
      </w:r>
      <w:r w:rsidR="00880532">
        <w:instrText xml:space="preserve"> ADDIN ZOTERO_ITEM CSL_CITATION {"citationID":"LngKC6lc","properties":{"formattedCitation":"(Kihoro et al., 2025)","plainCitation":"(Kihoro et al., 2025)","noteIndex":0},"citationItems":[{"id":20367,"uris":["http://zotero.org/users/12768557/items/X2P7P3PR","http://zotero.org/users/12768557/items/JDVTKDUU"],"itemData":{"id":20367,"type":"article-journal","abstract":"Innovation is central to achieving global agri-food transformation agendas, including those related to the 2030 United Nations Sustainable Development Goals. The effective use of technologies, along with process and institutional innovations, at optimal scale by farmers and other diverse clients is essential to addressing interconnected challenges such as poverty, malnutrition, biodiversity loss, and climate change. Over the past decade, notions about the “scaling” of innovations have shifted from simplistic ‘copy-paste’ models to acknowledging the context-specificity, complexity, and unpredictability related to innovation use at progressively larger scales. Despite this shift, many scaling efforts remain relatively unsustainable or irresponsible. They often fail to catalyze systemic change, remain supply-driven, and lack focus beyond project lifespans. In worst case scenarios, they may also generate unintended and negative consequences rather than broad societal or environmental benefits. Approaches like mission-oriented innovation policy, transformative innovation policy, and co-production have emerged to address these persistent challenges. While they promote more inclusive and systemic innovation, their integration into scaling practice remains limited, highlighting the need for more deliberate and aligned efforts. This special issue seeks to deepen debates around responsible scaling for agri-food system transformation. It aims to address responsibility dimensions related to gender and social inclusion (e.g. sex, age, race, cultural diversity, class, wealth), anticipating and mitigating unintended consequences of innovation use at scale (e.g. heightened greenhouse gas emissions, social inequality, income gaps, etc.), demand-driven innovation and scaling (e.g. through user-centered design), responsible use of scarce resources (e.g. scaling prioritization tools and frameworks, innovation portfolio management), the (financial) sustainability of scaling investments (e.g. exit- and handover strategies, partnership and funding arrangements), as well as alternative scaling models (e.g. outcome-oriented scaling). We welcome theoretical, methodological, and empirical contributions, including case studies, that provide lessons on successes and failures of responsible scaling for transformative impact.","container-title":"Agricultural Systems","DOI":"10.1016/j.agsy.2025.104427","ISSN":"0308-521X","journalAbbreviation":"Agricultural Systems","page":"104427","source":"ScienceDirect","title":"Responsible scaling for transformative impact: Lessons from the science and practice of responsible scaling for agri-food system transformation","title-short":"Responsible scaling for transformative impact","volume":"229","author":[{"family":"Kihoro","given":"Esther"},{"family":"Schut","given":"Marc"},{"family":"McGuire","given":"Erin"},{"family":"Gebreyes","given":"Million"},{"family":"Leeuwis","given":"Cees"}],"issued":{"date-parts":[["2025",10,1]]}}}],"schema":"https://github.com/citation-style-language/schema/raw/master/csl-citation.json"} </w:instrText>
      </w:r>
      <w:r w:rsidR="00D66183">
        <w:fldChar w:fldCharType="separate"/>
      </w:r>
      <w:r w:rsidR="00880532">
        <w:rPr>
          <w:noProof/>
        </w:rPr>
        <w:t>(Kihoro et al., 2025)</w:t>
      </w:r>
      <w:r w:rsidR="00D66183">
        <w:fldChar w:fldCharType="end"/>
      </w:r>
      <w:r w:rsidRPr="00435A39">
        <w:t xml:space="preserve">. </w:t>
      </w:r>
      <w:r w:rsidR="00C420BC">
        <w:t>Particularly,</w:t>
      </w:r>
      <w:r w:rsidR="00C420BC" w:rsidRPr="00435A39">
        <w:t xml:space="preserve"> </w:t>
      </w:r>
      <w:r w:rsidRPr="00435A39">
        <w:t xml:space="preserve">the understanding of food system transformation as </w:t>
      </w:r>
      <w:r w:rsidR="00D62E1D" w:rsidRPr="00435A39">
        <w:t xml:space="preserve">system-level changes </w:t>
      </w:r>
      <w:r w:rsidR="001C444F" w:rsidRPr="00435A39">
        <w:t>tackl</w:t>
      </w:r>
      <w:r w:rsidRPr="00435A39">
        <w:t>ing</w:t>
      </w:r>
      <w:r w:rsidR="001C444F" w:rsidRPr="00435A39">
        <w:t xml:space="preserve"> incumbent challenges</w:t>
      </w:r>
      <w:r w:rsidRPr="00435A39">
        <w:t xml:space="preserve"> reframes the notion of scaling in multiple ways</w:t>
      </w:r>
      <w:r w:rsidR="00136FCC" w:rsidRPr="00435A39">
        <w:t xml:space="preserve"> </w:t>
      </w:r>
      <w:r w:rsidR="00136FCC" w:rsidRPr="00435A39">
        <w:fldChar w:fldCharType="begin"/>
      </w:r>
      <w:r w:rsidR="008B0A90">
        <w:instrText xml:space="preserve"> ADDIN ZOTERO_ITEM CSL_CITATION {"citationID":"pZNuWeU1","properties":{"unsorted":false,"formattedCitation":"(Moallemi et al., 2025b; Rockstr\\uc0\\u246{}m et al., 2025; Zanello et al., 2024)","plainCitation":"(Moallemi et al., 2025b; Rockström et al., 2025; Zanello et al., 2024)","noteIndex":0},"citationItems":[{"id":20988,"uris":["http://zotero.org/users/12768557/items/C54LQ8K6"],"itemData":{"id":20988,"type":"article-journal","container-title":"One Earth","DOI":"10.1016/j.oneear.2025.101287","ISSN":"2590-3330, 2590-3322","issue":"6","journalAbbreviation":"One Earth","language":"English","publisher":"Elsevier","source":"www.cell.com","title":"Entry points for driving systemic change toward a more sustainable future","URL":"https://www.cell.com/one-earth/abstract/S2590-3322(25)00113-7","volume":"8","author":[{"family":"Moallemi","given":"Enayat A."},{"family":"Miller","given":"Michelle"},{"family":"Szetey","given":"Katrina"},{"family":"Chakori","given":"Sabrina"},{"family":"Conti","given":"Costanza"},{"family":"Hammond","given":"Philippa"},{"family":"Palmer","given":"Jeda"},{"family":"Battaglia","given":"Michael"},{"family":"Bryan","given":"Brett A."},{"family":"Gao","given":"Lei"},{"family":"Hall","given":"Andy"},{"family":"Leith","given":"Peat"},{"family":"Raven","given":"Rob"},{"family":"Reed","given":"Patrick M."}],"accessed":{"date-parts":[["2026",1,20]]},"issued":{"date-parts":[["2025",6,20]]}}},{"id":21016,"uris":["http://zotero.org/users/12768557/items/2R8V2R2R"],"itemData":{"id":21016,"type":"article-journal","container-title":"The Lancet","DOI":"10.1016/S0140-6736(25)01201-2","ISSN":"0140-6736, 1474-547X","issue":"10512","journalAbbreviation":"The Lancet","language":"English","page":"1625-1700","PMID":"41046857","publisher":"Elsevier","source":"www.thelancet.com","title":"The EAT–Lancet Commission on healthy, sustainable, and just food systems","volume":"406","author":[{"family":"Rockström","given":"Johan"},{"family":"Thilsted","given":"Shakuntala Haraksingh"},{"family":"Willett","given":"Walter C."},{"family":"Gordon","given":"Line J."},{"family":"Herrero","given":"Mario"},{"family":"Hicks","given":"Christina C."},{"family":"Mason-D'Croz","given":"Daniel"},{"family":"Rao","given":"Nitya"},{"family":"Springmann","given":"Marco"},{"family":"Wright","given":"Ellen Cecilie"},{"family":"Agustina","given":"Rina"},{"family":"Bajaj","given":"Sumati"},{"family":"Bunge","given":"Anne Charlotte"},{"family":"Carducci","given":"Bianca"},{"family":"Conti","given":"Costanza"},{"family":"Covic","given":"Namukolo"},{"family":"Fanzo","given":"Jessica"},{"family":"Forouhi","given":"Nita G."},{"family":"Gibson","given":"Matthew F."},{"family":"Gu","given":"Xiao"},{"family":"Kebreab","given":"Ermias"},{"family":"Kremen","given":"Claire"},{"family":"Laila","given":"Amar"},{"family":"Laxminarayan","given":"Ramanan"},{"family":"Marteau","given":"Theresa M."},{"family":"Monteiro","given":"Carlos A."},{"family":"Norberg","given":"Anna"},{"family":"Njuki","given":"Jemimah"},{"family":"Oliveira","given":"Thais Diniz"},{"family":"Pan","given":"Wen-Harn"},{"family":"Rivera","given":"Juan A."},{"family":"Robinson","given":"James P. W."},{"family":"Sundiang","given":"Marina"},{"family":"Wierik","given":"Sofie","dropping-particle":"te"},{"family":"Vuuren","given":"Detlef P.","dropping-particle":"van"},{"family":"Vermeulen","given":"Sonja"},{"family":"Webb","given":"Patrick"},{"family":"Alqodmani","given":"Lujain"},{"family":"Ambikapathi","given":"Ramya"},{"family":"Barnhill","given":"Anne"},{"family":"Baudish","given":"Isabel"},{"family":"Beier","given":"Felicitas"},{"family":"Beillouin","given":"Damien"},{"family":"Beusen","given":"Arthur H. W."},{"family":"Breier","given":"Jannes"},{"family":"Chemarin","given":"Charlotte"},{"family":"Chepeliev","given":"Maksym"},{"family":"Clapp","given":"Jennifer"},{"family":"Vries","given":"Wim","dropping-particle":"de"},{"family":"Pérez-Domínguez","given":"Ignacio"},{"family":"Estrada-Carmona","given":"Natalia"},{"family":"Gerten","given":"Dieter"},{"family":"Golden","given":"Christopher D."},{"family":"Jones","given":"Sarah K."},{"family":"Jørgensen","given":"Peter Søgaard"},{"family":"Kozicka","given":"Marta"},{"family":"Lotze-Campen","given":"Hermann"},{"family":"Maggi","given":"Federico"},{"family":"Marzi","given":"Emma"},{"family":"Mishra","given":"Abhijeet"},{"family":"Orduna-Cabrera","given":"Fernando"},{"family":"Popp","given":"Alexander"},{"family":"Schulte-Uebbing","given":"Lena"},{"family":"Stehfest","given":"Elke"},{"family":"Tang","given":"Fiona H. M."},{"family":"Tsuchiya","given":"Kazuaki"},{"family":"Zanten","given":"Hannah H. E. Van"},{"family":"Zeist","given":"Willem-Jan","dropping-particle":"van"},{"family":"Zhao","given":"Xin"},{"family":"DeClerck","given":"Fabrice"}],"issued":{"date-parts":[["2025",10,11]]}}},{"id":22210,"uris":["http://zotero.org/users/12768557/items/FNH2XKQZ"],"itemData":{"id":22210,"type":"article-journal","container-title":"Current Developments in Nutrition","DOI":"10.1016/j.cdnut.2024.102268","ISSN":"2475-2991","journalAbbreviation":"Current Developments in Nutrition","language":"English","publisher":"Elsevier","source":"cdn.nutrition.org","title":"Mapping Innovations in Food Systems: Pathways to Sustainable, Safe, Healthy Diets","title-short":"Mapping Innovations in Food Systems","URL":"https://cdn.nutrition.org/article/S2475-2991(24)00202-6/fulltext","volume":"8","author":[{"family":"Zanello","given":"Giacomo"},{"family":"Shrestha","given":"Robin"},{"family":"Ghosh","given":"Shibani"},{"family":"Webb","given":"Patrick"}],"accessed":{"date-parts":[["2026",5,9]]},"issued":{"date-parts":[["2024",7,1]]}}}],"schema":"https://github.com/citation-style-language/schema/raw/master/csl-citation.json"} </w:instrText>
      </w:r>
      <w:r w:rsidR="00136FCC" w:rsidRPr="00435A39">
        <w:fldChar w:fldCharType="separate"/>
      </w:r>
      <w:r w:rsidR="008B0A90" w:rsidRPr="008B0A90">
        <w:rPr>
          <w14:ligatures w14:val="standardContextual"/>
        </w:rPr>
        <w:t>(Moallemi et al., 2025b; Rockström et al., 2025; Zanello et al., 2024)</w:t>
      </w:r>
      <w:r w:rsidR="00136FCC" w:rsidRPr="00435A39">
        <w:fldChar w:fldCharType="end"/>
      </w:r>
      <w:r w:rsidR="001C444F" w:rsidRPr="00435A39">
        <w:t>.</w:t>
      </w:r>
    </w:p>
    <w:p w14:paraId="57C6981A" w14:textId="77777777" w:rsidR="00AB0D54" w:rsidRDefault="00AB0D54" w:rsidP="00435A39"/>
    <w:p w14:paraId="726E498D" w14:textId="1CB5AF94" w:rsidR="000F08AF" w:rsidRPr="00435A39" w:rsidRDefault="00C420BC" w:rsidP="00435A39">
      <w:bookmarkStart w:id="1" w:name="_Hlk218847104"/>
      <w:r>
        <w:t xml:space="preserve">Not only </w:t>
      </w:r>
      <w:r w:rsidR="00D4707D">
        <w:t xml:space="preserve">does </w:t>
      </w:r>
      <w:r w:rsidR="00C71F97">
        <w:t xml:space="preserve">the food system transformation  agenda poses critical questions around responsible scaling – </w:t>
      </w:r>
      <w:r w:rsidR="00AB0D54">
        <w:rPr>
          <w:rStyle w:val="font-semibold"/>
        </w:rPr>
        <w:t>that is, scaling processes attentive to inclusion, diversity and cultural values, legitimacy and transparency of decision</w:t>
      </w:r>
      <w:r w:rsidR="00AB0D54">
        <w:rPr>
          <w:rStyle w:val="font-semibold"/>
        </w:rPr>
        <w:noBreakHyphen/>
        <w:t>making as well as anticipation, prevention and mitigation of potential negative social, environmental, or distributional side</w:t>
      </w:r>
      <w:r w:rsidR="00AB0D54">
        <w:rPr>
          <w:rStyle w:val="font-semibold"/>
        </w:rPr>
        <w:noBreakHyphen/>
        <w:t>effects</w:t>
      </w:r>
      <w:r w:rsidR="00962718">
        <w:t xml:space="preserve"> </w:t>
      </w:r>
      <w:r w:rsidR="00962718">
        <w:fldChar w:fldCharType="begin"/>
      </w:r>
      <w:r w:rsidR="00880532">
        <w:instrText xml:space="preserve"> ADDIN ZOTERO_ITEM CSL_CITATION {"citationID":"0I6JunfP","properties":{"unsorted":false,"formattedCitation":"(Kihoro et al., 2025; Klerkx and Rose, 2020; Van Parys et al., 2025)","plainCitation":"(Kihoro et al., 2025; Klerkx and Rose, 2020; Van Parys et al., 2025)","noteIndex":0},"citationItems":[{"id":20367,"uris":["http://zotero.org/users/12768557/items/X2P7P3PR","http://zotero.org/users/12768557/items/JDVTKDUU"],"itemData":{"id":20367,"type":"article-journal","abstract":"Innovation is central to achieving global agri-food transformation agendas, including those related to the 2030 United Nations Sustainable Development Goals. The effective use of technologies, along with process and institutional innovations, at optimal scale by farmers and other diverse clients is essential to addressing interconnected challenges such as poverty, malnutrition, biodiversity loss, and climate change. Over the past decade, notions about the “scaling” of innovations have shifted from simplistic ‘copy-paste’ models to acknowledging the context-specificity, complexity, and unpredictability related to innovation use at progressively larger scales. Despite this shift, many scaling efforts remain relatively unsustainable or irresponsible. They often fail to catalyze systemic change, remain supply-driven, and lack focus beyond project lifespans. In worst case scenarios, they may also generate unintended and negative consequences rather than broad societal or environmental benefits. Approaches like mission-oriented innovation policy, transformative innovation policy, and co-production have emerged to address these persistent challenges. While they promote more inclusive and systemic innovation, their integration into scaling practice remains limited, highlighting the need for more deliberate and aligned efforts. This special issue seeks to deepen debates around responsible scaling for agri-food system transformation. It aims to address responsibility dimensions related to gender and social inclusion (e.g. sex, age, race, cultural diversity, class, wealth), anticipating and mitigating unintended consequences of innovation use at scale (e.g. heightened greenhouse gas emissions, social inequality, income gaps, etc.), demand-driven innovation and scaling (e.g. through user-centered design), responsible use of scarce resources (e.g. scaling prioritization tools and frameworks, innovation portfolio management), the (financial) sustainability of scaling investments (e.g. exit- and handover strategies, partnership and funding arrangements), as well as alternative scaling models (e.g. outcome-oriented scaling). We welcome theoretical, methodological, and empirical contributions, including case studies, that provide lessons on successes and failures of responsible scaling for transformative impact.","container-title":"Agricultural Systems","DOI":"10.1016/j.agsy.2025.104427","ISSN":"0308-521X","journalAbbreviation":"Agricultural Systems","page":"104427","source":"ScienceDirect","title":"Responsible scaling for transformative impact: Lessons from the science and practice of responsible scaling for agri-food system transformation","title-short":"Responsible scaling for transformative impact","volume":"229","author":[{"family":"Kihoro","given":"Esther"},{"family":"Schut","given":"Marc"},{"family":"McGuire","given":"Erin"},{"family":"Gebreyes","given":"Million"},{"family":"Leeuwis","given":"Cees"}],"issued":{"date-parts":[["2025",10,1]]}}},{"id":1311,"uris":["http://zotero.org/users/12768557/items/37V2J6NR"],"itemData":{"id":1311,"type":"article-journal","abstract":"Agriculture 4.0 is comprised of different already operational or developing technologies such as robotics, nanotechnology, synthetic protein, cellular agriculture, gene editing technology, artificial intelligence, blockchain, and machine learning, which may have pervasive effects on future agriculture and food systems and major transformative potential. These technologies underpin con­cepts such as ver­ti­cal farm­ing and food systems, dig­i­tal agri­cul­ture, bioe­con­omy, cir­cu­lar agri­cul­ture, and aquapon­ics. In this perspective paper, we argue that more attention is needed for the inclusion and exclusion effects of Agriculture 4.0 technologies, and for reflection on how they relate to diverse transition pathways towards sustainable agricultural and food systems driven by mission-oriented innovation systems. This would require processes of responsible innovation, anticipating the potential impacts of Agriculture 4.0 through inclusive processes, and reflecting on and being responsive to emerging effects and where needed adjusting the direction and course of transition pathways.","container-title":"Global Food Security","DOI":"10.1016/J.GFS.2019.100347","page":"100347-100347","publisher":"Elsevier","title":"Dealing with the game-changing technologies of Agriculture 4.0: How do we manage diversity and responsibility in food system transition pathways?","volume":"24","author":[{"family":"Klerkx","given":"Laurens"},{"family":"Rose","given":"David"}],"issued":{"date-parts":[["2020",3]]}}},{"id":20824,"uris":["http://zotero.org/users/12768557/items/2JLIFAKX"],"itemData":{"id":20824,"type":"article-journal","abstract":"This study aims to develop and apply the Rapid Scaling Tool (RST), a novel instrument designed to facilitate the responsible scaling of agricultural innovations. The RST integrates the Sustainable Development Goals (SDGs) and targeted agri-food sustainability indicators into one comprehensive evaluation framework. Developed iteratively through literature reviews, expert consultations, and case studies, the RST relies on stakeholder collaboration from the early stages of innovation development. It provides a three-step process to ensure that scaling efforts align with environmental, economic, and social sustainability targets. This framework guides practitioners through the complexities of scaling agricultural innovations, and uses Intermediate Value Chains (IVCs)as a case study to identify indicators for responsible scaling. The concept of IVCs represents a novel organizational structure within agri-food chains, offering a middle ground between short and long chain structures. This paper details the methodology behind the RST and discusses its implications for transforming agri-food systems, by applying it to a case study involving a Swedish IVC for wild berry picking. The IVC case study illustrates how the RST can aid in preemptively identifying potential negative impacts and developing mitigation strategies, while offering a practical solution for addressing the design paradox in early-stage innovation assessments. Building on its flexible, user-friendly design, this makes the RST an essential tool for researchers, policymakers, and practitioners aiming to achieve impactful and sustainable outcomes for scaling innovations in the agri-food sector.","container-title":"Journal of Rural Studies","DOI":"10.1016/j.jrurstud.2025.103689","ISSN":"0743-0167","journalAbbreviation":"Journal of Rural Studies","page":"103689","source":"ScienceDirect","title":"Recognizing complexity in agricultural innovation: Advancing responsible scaling using the Rapid Scaling Tool in Intermediate Value Chains","title-short":"Recognizing complexity in agricultural innovation","volume":"117","author":[{"family":"Van Parys","given":"E."},{"family":"Molina-Maturano","given":"J."},{"family":"Rad","given":"M."},{"family":"Wahlberg","given":"A."},{"family":"Östergren","given":"K."},{"family":"Laso Bayas","given":"J. C."},{"family":"Gellynck","given":"X."},{"family":"Schouteten","given":"J. J."},{"family":"De Steur","given":"H."}],"issued":{"date-parts":[["2025",7,1]]}}}],"schema":"https://github.com/citation-style-language/schema/raw/master/csl-citation.json"} </w:instrText>
      </w:r>
      <w:r w:rsidR="00962718">
        <w:fldChar w:fldCharType="separate"/>
      </w:r>
      <w:r w:rsidR="00880532">
        <w:rPr>
          <w:noProof/>
        </w:rPr>
        <w:t>(Kihoro et al., 2025; Klerkx and Rose, 2020; Van Parys et al., 2025)</w:t>
      </w:r>
      <w:r w:rsidR="00962718">
        <w:fldChar w:fldCharType="end"/>
      </w:r>
      <w:bookmarkEnd w:id="1"/>
      <w:r w:rsidR="00962718">
        <w:t xml:space="preserve">. It also </w:t>
      </w:r>
      <w:r w:rsidR="000F08AF" w:rsidRPr="00435A39">
        <w:t>shifts attention away from scaling solutions such as technical innovation to scaling process</w:t>
      </w:r>
      <w:r>
        <w:t>es</w:t>
      </w:r>
      <w:r w:rsidR="00132FFE">
        <w:t>,</w:t>
      </w:r>
      <w:r w:rsidR="000F08AF" w:rsidRPr="00435A39">
        <w:t xml:space="preserve"> capabilities </w:t>
      </w:r>
      <w:r w:rsidR="00132FFE">
        <w:t xml:space="preserve">and values </w:t>
      </w:r>
      <w:r w:rsidR="000F08AF" w:rsidRPr="00435A39">
        <w:t>that deliver</w:t>
      </w:r>
      <w:r w:rsidR="00962718">
        <w:t xml:space="preserve"> long-lasting and structural</w:t>
      </w:r>
      <w:r w:rsidR="000F08AF" w:rsidRPr="00435A39">
        <w:t xml:space="preserve"> impact</w:t>
      </w:r>
      <w:r w:rsidR="00962718">
        <w:t xml:space="preserve"> </w:t>
      </w:r>
      <w:r w:rsidR="00962718">
        <w:fldChar w:fldCharType="begin"/>
      </w:r>
      <w:r w:rsidR="00880532">
        <w:instrText xml:space="preserve"> ADDIN ZOTERO_ITEM CSL_CITATION {"citationID":"RbCXx8Bq","properties":{"formattedCitation":"(Gibson et al., 2025; Kihoro et al., 2025; Van Den Bosch and Rotmans, 2008)","plainCitation":"(Gibson et al., 2025; Kihoro et al., 2025; Van Den Bosch and Rotmans, 2008)","noteIndex":0},"citationItems":[{"id":20367,"uris":["http://zotero.org/users/12768557/items/X2P7P3PR","http://zotero.org/users/12768557/items/JDVTKDUU"],"itemData":{"id":20367,"type":"article-journal","abstract":"Innovation is central to achieving global agri-food transformation agendas, including those related to the 2030 United Nations Sustainable Development Goals. The effective use of technologies, along with process and institutional innovations, at optimal scale by farmers and other diverse clients is essential to addressing interconnected challenges such as poverty, malnutrition, biodiversity loss, and climate change. Over the past decade, notions about the “scaling” of innovations have shifted from simplistic ‘copy-paste’ models to acknowledging the context-specificity, complexity, and unpredictability related to innovation use at progressively larger scales. Despite this shift, many scaling efforts remain relatively unsustainable or irresponsible. They often fail to catalyze systemic change, remain supply-driven, and lack focus beyond project lifespans. In worst case scenarios, they may also generate unintended and negative consequences rather than broad societal or environmental benefits. Approaches like mission-oriented innovation policy, transformative innovation policy, and co-production have emerged to address these persistent challenges. While they promote more inclusive and systemic innovation, their integration into scaling practice remains limited, highlighting the need for more deliberate and aligned efforts. This special issue seeks to deepen debates around responsible scaling for agri-food system transformation. It aims to address responsibility dimensions related to gender and social inclusion (e.g. sex, age, race, cultural diversity, class, wealth), anticipating and mitigating unintended consequences of innovation use at scale (e.g. heightened greenhouse gas emissions, social inequality, income gaps, etc.), demand-driven innovation and scaling (e.g. through user-centered design), responsible use of scarce resources (e.g. scaling prioritization tools and frameworks, innovation portfolio management), the (financial) sustainability of scaling investments (e.g. exit- and handover strategies, partnership and funding arrangements), as well as alternative scaling models (e.g. outcome-oriented scaling). We welcome theoretical, methodological, and empirical contributions, including case studies, that provide lessons on successes and failures of responsible scaling for transformative impact.","container-title":"Agricultural Systems","DOI":"10.1016/j.agsy.2025.104427","ISSN":"0308-521X","journalAbbreviation":"Agricultural Systems","page":"104427","source":"ScienceDirect","title":"Responsible scaling for transformative impact: Lessons from the science and practice of responsible scaling for agri-food system transformation","title-short":"Responsible scaling for transformative impact","volume":"229","author":[{"family":"Kihoro","given":"Esther"},{"family":"Schut","given":"Marc"},{"family":"McGuire","given":"Erin"},{"family":"Gebreyes","given":"Million"},{"family":"Leeuwis","given":"Cees"}],"issued":{"date-parts":[["2025",10,1]]}}},{"id":20921,"uris":["http://zotero.org/users/12768557/items/9FGVZBY4"],"itemData":{"id":20921,"type":"report","publisher":"Knowledge Centre for Sustainable System Innovations and Transitions (KCT)","publisher-place":"Delft","title":"Deepening, broadening and scaling up: A framework for steering transition experiments.","URL":"https://repub.eur.nl/pub/15812/KCT_transitieboekje_02.pdf","author":[{"family":"Van Den Bosch","given":"S"},{"family":"Rotmans","given":"J"}],"issued":{"date-parts":[["2008"]]}}},{"id":18723,"uris":["http://zotero.org/users/12768557/items/KYT6YVR9"],"itemData":{"id":18723,"type":"article-journal","abstract":"Food systems require urgent transformation towards social and ecological sustainability. Degrowth posits a radical pathway of transformation to reduce ecological impacts while increasing well-being and reducing inequality. Here we highlight that degrowth and food systems—albeit both linked to transformation—are not well integrated. We conduct a conceptual exploration of the potential alignment between key food systems and degrowth transformation measures, arguing for complementary and reciprocal perspectives to theorize and enact transformation. Finally, we offer concrete practical actions to integrate degrowth and food systems, thereby widening the narrative and analytical lens of social–ecological transformation.","container-title":"Nature Food","DOI":"10.1038/s43016-024-01108-5","ISSN":"2662-1355","journalAbbreviation":"Nat Food","language":"en","license":"2025 Springer Nature Limited","page":"1-6","publisher":"Nature Publishing Group","source":"www.nature.com","title":"Degrowth as a plausible pathway for food systems transformation","author":[{"family":"Gibson","given":"Matthew"},{"family":"Mason-D’Croz","given":"Daniel"},{"family":"Norberg","given":"Anna"},{"family":"Conti","given":"Costanza"},{"family":"Boa Alvarado","given":"Maria"},{"family":"Herrero","given":"Mario"}],"issued":{"date-parts":[["2025",1,3]]}}}],"schema":"https://github.com/citation-style-language/schema/raw/master/csl-citation.json"} </w:instrText>
      </w:r>
      <w:r w:rsidR="00962718">
        <w:fldChar w:fldCharType="separate"/>
      </w:r>
      <w:r w:rsidR="00880532">
        <w:rPr>
          <w:noProof/>
        </w:rPr>
        <w:t>(Gibson et al., 2025; Kihoro et al., 2025; Van Den Bosch and Rotmans, 2008)</w:t>
      </w:r>
      <w:r w:rsidR="00962718">
        <w:fldChar w:fldCharType="end"/>
      </w:r>
      <w:r w:rsidR="000F08AF" w:rsidRPr="00435A39">
        <w:t>. This reframing broadens the impact narrative from local achievements and processes to the adaptation</w:t>
      </w:r>
      <w:r w:rsidR="00962718">
        <w:t xml:space="preserve"> of</w:t>
      </w:r>
      <w:r w:rsidR="000F08AF" w:rsidRPr="00435A39">
        <w:t xml:space="preserve"> food system capabilities and values</w:t>
      </w:r>
      <w:r w:rsidR="00936C96">
        <w:t xml:space="preserve"> </w:t>
      </w:r>
      <w:r w:rsidR="00936C96">
        <w:fldChar w:fldCharType="begin"/>
      </w:r>
      <w:r w:rsidR="00D66183">
        <w:instrText xml:space="preserve"> ADDIN ZOTERO_ITEM CSL_CITATION {"citationID":"cnYbRcGL","properties":{"formattedCitation":"(Wigboldus and Brouwers, 2016)","plainCitation":"(Wigboldus and Brouwers, 2016)","noteIndex":0},"citationItems":[{"id":20829,"uris":["http://zotero.org/users/12768557/items/Y3XXM7W9"],"itemData":{"id":20829,"type":"article-journal","language":"English","publisher":"Wageningen University &amp; Research","source":"research.wur.nl","title":"Using a Theory of Scaling to guide decision making : towards a structured approach to support responsible scaling of innovations in the context of agrifood systems","title-short":"Using a Theory of Scaling to guide decision making","URL":"https://research.wur.nl/en/publications/using-a-theory-of-scaling-to-guide-decision-making-towards-a-stru/","author":[{"family":"Wigboldus","given":"Seerp"},{"family":"Brouwers","given":"Jan"}],"accessed":{"date-parts":[["2026",1,9]]},"issued":{"date-parts":[["2016"]]}}}],"schema":"https://github.com/citation-style-language/schema/raw/master/csl-citation.json"} </w:instrText>
      </w:r>
      <w:r w:rsidR="00936C96">
        <w:fldChar w:fldCharType="separate"/>
      </w:r>
      <w:r w:rsidR="00936C96">
        <w:rPr>
          <w:noProof/>
        </w:rPr>
        <w:t>(Wigboldus and Brouwers, 2016)</w:t>
      </w:r>
      <w:r w:rsidR="00936C96">
        <w:fldChar w:fldCharType="end"/>
      </w:r>
      <w:r w:rsidR="000F08AF" w:rsidRPr="00435A39">
        <w:t>. In other words</w:t>
      </w:r>
      <w:r w:rsidR="00136FCC" w:rsidRPr="00435A39">
        <w:t>,</w:t>
      </w:r>
      <w:r w:rsidR="000F08AF" w:rsidRPr="00435A39">
        <w:t xml:space="preserve"> scaling is framed as a systemic, dynamic process involving </w:t>
      </w:r>
      <w:r w:rsidR="001C444F" w:rsidRPr="00435A39">
        <w:t xml:space="preserve">the reformatting of multiple and interconnected elements of the food system across multiple and equally interconnected </w:t>
      </w:r>
      <w:r w:rsidR="000F08AF" w:rsidRPr="00435A39">
        <w:t xml:space="preserve">physical and temporal </w:t>
      </w:r>
      <w:r w:rsidR="001C444F" w:rsidRPr="00435A39">
        <w:t xml:space="preserve">scales </w:t>
      </w:r>
      <w:r w:rsidR="001C444F" w:rsidRPr="00435A39">
        <w:fldChar w:fldCharType="begin"/>
      </w:r>
      <w:r w:rsidR="00AB0D54">
        <w:instrText xml:space="preserve"> ADDIN ZOTERO_ITEM CSL_CITATION {"citationID":"F1ldMwkZ","properties":{"formattedCitation":"(Conti et al., 2021; Hall and Dijkman, 2019)","plainCitation":"(Conti et al., 2021; Hall and Dijkman, 2019)","noteIndex":0},"citationItems":[{"id":1890,"uris":["http://zotero.org/users/12768557/items/UFNXSZRE"],"itemData":{"id":1890,"type":"article-journal","container-title":"Global Food Security","DOI":"10.1016/j.gfs.2021.100576","issue":"June","page":"100576-100576","publisher":"Elsevier B.V.","title":"Why are agri-food systems resistant to new directions of change ? A systematic review","volume":"31","author":[{"family":"Conti","given":"Costanza"},{"family":"Zanello","given":"Giacomo"},{"family":"Hall","given":"Andy"}],"issued":{"date-parts":[["2021",12]]}}},{"id":1875,"uris":["http://zotero.org/users/12768557/items/QQ5QRI76"],"itemData":{"id":1875,"type":"report","number":"IX + 67 pp","page":"67-67","publisher":"CGIAR Independent Science and Partnership Council (ISPC) Secretariat and Commonwealth Scientific and Industrial Research Organisation (CSIRO)","publisher-place":"Rome and Canberra","title":"Public Agricultural Research in an Era of Transformation : The Challenge of Agri-Food System Innovation","URL":"https://iaes.cgiar.org//sites/default/files/pdf/syntetic-study-web-def.pdf","author":[{"family":"Hall","given":"A."},{"family":"Dijkman","given":"J."}],"issued":{"date-parts":[["2019"]]}}}],"schema":"https://github.com/citation-style-language/schema/raw/master/csl-citation.json"} </w:instrText>
      </w:r>
      <w:r w:rsidR="001C444F" w:rsidRPr="00435A39">
        <w:fldChar w:fldCharType="separate"/>
      </w:r>
      <w:r w:rsidR="00254C95">
        <w:rPr>
          <w:noProof/>
        </w:rPr>
        <w:t>(Conti et al., 2021; Hall and Dijkman, 2019)</w:t>
      </w:r>
      <w:r w:rsidR="001C444F" w:rsidRPr="00435A39">
        <w:fldChar w:fldCharType="end"/>
      </w:r>
      <w:r w:rsidR="000F08AF" w:rsidRPr="00435A39">
        <w:t>.</w:t>
      </w:r>
    </w:p>
    <w:p w14:paraId="5489C56A" w14:textId="77777777" w:rsidR="000F08AF" w:rsidRPr="00435A39" w:rsidRDefault="000F08AF" w:rsidP="00435A39"/>
    <w:p w14:paraId="46E6AD5F" w14:textId="15E139E3" w:rsidR="000F08AF" w:rsidRPr="00435A39" w:rsidRDefault="000F08AF" w:rsidP="00435A39">
      <w:r w:rsidRPr="00435A39">
        <w:t xml:space="preserve">This recognition of the systemic nature of scaling is apparent in both the diagnosis of the slow scaling of </w:t>
      </w:r>
      <w:r w:rsidR="00136FCC" w:rsidRPr="00435A39">
        <w:t>many</w:t>
      </w:r>
      <w:r w:rsidRPr="00435A39">
        <w:t xml:space="preserve"> current </w:t>
      </w:r>
      <w:r w:rsidR="00136FCC" w:rsidRPr="00435A39">
        <w:t>initiatives</w:t>
      </w:r>
      <w:r w:rsidRPr="00435A39">
        <w:t xml:space="preserve"> and the scaling concepts that have emerged to address </w:t>
      </w:r>
      <w:r w:rsidR="00C06067">
        <w:t xml:space="preserve">the </w:t>
      </w:r>
      <w:r w:rsidRPr="00435A39">
        <w:t>identified shortcoming</w:t>
      </w:r>
      <w:r w:rsidR="00C06067">
        <w:t>s</w:t>
      </w:r>
      <w:r w:rsidRPr="00435A39">
        <w:t xml:space="preserve">. </w:t>
      </w:r>
      <w:r w:rsidR="00E9568B" w:rsidRPr="00435A39">
        <w:t xml:space="preserve">Slow </w:t>
      </w:r>
      <w:r w:rsidR="00395C37" w:rsidRPr="00435A39">
        <w:t xml:space="preserve">scaling has been attributed to several </w:t>
      </w:r>
      <w:r w:rsidR="00E9568B" w:rsidRPr="00435A39">
        <w:t>factors</w:t>
      </w:r>
      <w:r w:rsidR="00395C37" w:rsidRPr="00435A39">
        <w:t>:</w:t>
      </w:r>
      <w:r w:rsidR="008450F7" w:rsidRPr="00435A39">
        <w:t xml:space="preserve"> a tendency to set up pilot projects in very controlled environments that make it difficult for them to transition to real-world scale </w:t>
      </w:r>
      <w:r w:rsidR="008450F7" w:rsidRPr="00435A39">
        <w:fldChar w:fldCharType="begin"/>
      </w:r>
      <w:r w:rsidR="004F300A">
        <w:instrText xml:space="preserve"> ADDIN ZOTERO_ITEM CSL_CITATION {"citationID":"uywMHK4Z","properties":{"formattedCitation":"(Woltering et al., 2019a, 2024)","plainCitation":"(Woltering et al., 2019a, 2024)","noteIndex":0},"citationItems":[{"id":18955,"uris":["http://zotero.org/users/12768557/items/3APUT5VQ"],"itemData":{"id":18955,"type":"article-journal","abstract":"CONTEXT\nApproaches to scaling are persistently linear and focus on a single innovation, an innovator to control the scaling process, and a purpose driven by donor accountability. Alternative approaches that better reflect the complexity involved in sustainable development draw on systems thinking theory, but are hardly used. The Scaling Scan tool facilitates the integration of a systems approach to scaling to a broad public.\nOBJECTIVE\nThis study draws from almost six years of experience using and adapting the Scaling Scan tool to deepen the theoretical and empirical understanding of what a systems approach to scaling is and what challenges project teams and organizations face to embrace this.\nMETHODS\nThis study uses data retrieved between 2017 and 2023 from 54 workshops where the Scaling Scan was used to scale innovations for sustainable development. Data were complemented with a literature study and SWOT analysis to understand the use, users, and user adaptations of the Scaling Scan tool.\nRESULTS AND DISCUSSION\nThe Scaling Scans' focus on context, unintended consequences and the facilitation of collective understanding and collective action are important components of a systems approach to scaling. Multiple adaptations to the tools have been made by users to facilitate even more collective understanding. However, the early focus on “the” innovation to scale and the intrinsic assumption that this innovation addresses a key root cause or leverage point in the system risks to perpetuate a linear approach to scaling. The scoring of the scaling ingredients show a tendency to focus on familiar disciplines (mostly technical), limiting progression beyond a “bigger pilot” and engage with what or who is required for innovations to contribute to large scale change, such as market and public support. Transitioning from a linear to a systems approach to scaling is challenging because business models of research organizations depend on high adoption of “their” innovations. We find that, there are far-reaching implications of embracing a systems approach to scaling which not everyone may want or can accept.\nSIGNIFICANCE\nWe can no longer assume that complex systemic problems such as hunger and poverty will be solved by having more of an innovation. Yet this is still the dominant approach for research for development organizations to contribute to the Sustainable Development Goals. The experience with the Scaling Scan contributes to a deeper understanding of the role of tools to facilitate the integration of systems thinking in innovation and scaling initiatives aimed at sustainable development.","container-title":"Agricultural Systems","DOI":"10.1016/j.agsy.2024.103927","ISSN":"0308-521X","journalAbbreviation":"Agricultural Systems","page":"103927","source":"ScienceDirect","title":"Supporting a systems approach to scaling for all; insights from using the Scaling Scan tool","volume":"217","author":[{"family":"Woltering","given":"Lennart"},{"family":"Valencia Leñero","given":"Eva M."},{"family":"Boa-Alvarado","given":"Maria"},{"family":"Van Loon","given":"Jelle"},{"family":"Ubels","given":"Jan"},{"family":"Leeuwis","given":"Cees"}],"issued":{"date-parts":[["2024",5,1]]}}},{"id":1985,"uris":["http://zotero.org/users/12768557/items/WQM474AB"],"itemData":{"id":1985,"type":"article-journal","abstract":"Countless development projects have piloted solutions that could make a difference if only applied at scale. The reality is that these pilot projects hardly ever reach the intended scale to contribute significantly to achieving the UN Sustainable Development Goals (SDGs). In this paper, we argue that two major problems undermine efforts to achieve scale in development projects. First, pilot projects are usually set up and managed in very controlled environments that make it very difficult to transition to the real world at scale. Second, poor conceptual and methodological clarity on what scaling is and how it can be pursued often results in a narrow focus on reaching numbers. Counting household adoption at the end of a grant project is a poor metric of whether these people can and will sustain adoption after the project closes, let alone if adoption will reach others and actually contributes to improved livelihoods. We advocate for a broader view on scaling that more accurately reflects the transformational change agenda of the SDGs: from reaching many to a process aiming to achieve sustainable systems change at scale. Sustainable systems change alters a sufficient number of key drivers (incentives, rules, etc.) such that the system that once perpetuated a “problem” now instead perpetuates a “solution.” This has implications on the way projects are designed and implemented. Rather than focusing on changing conditions within the project context, projects should serve as vehicles for societal change. This means that projects make most sense if designed as part of a multisector, long-term programmatic approach. Treating scaling as a transformation process helps deal with the necessary coevolution of organizational and institutional arrangements, along with the innovations in a technology or practice. To help address scaling, we present a number of frameworks that guide users to assess the scalability of innovations, design for scale from the onset of projects, and systematically think through key elements, ingredients, or success factors. We conclude that scaling requires different skills, approaches, and ways of collaborating than those required for successful implementation of pilot projects. It calls for development actors to have a mindset that allows them to creatively navigate multiple overlapping systems; likewise, they must develop a clear vision about which elements in the system the actors can and cannot address, and about where they need to collaborate strategically to exert influence. Although it is tempting to hope for the silver bullet solution that changes the world, we argue for an approach that takes scaling serious in its own right and recognizes the complexities involved in facilitating a transition to a new “normal.”","container-title":"Agricultural Systems","DOI":"10.1016/j.agsy.2019.102652","issue":"August","title":"Scaling – from “reaching many” to sustainable systems change at scale: A critical shift in mindset","volume":"176","author":[{"family":"Woltering","given":"L."},{"family":"Fehlenberg","given":"K."},{"family":"Gerard","given":"B."},{"family":"Ubels","given":"J."},{"family":"Cooley","given":"L."}],"issued":{"date-parts":[["2019"]]}}}],"schema":"https://github.com/citation-style-language/schema/raw/master/csl-citation.json"} </w:instrText>
      </w:r>
      <w:r w:rsidR="008450F7" w:rsidRPr="00435A39">
        <w:fldChar w:fldCharType="separate"/>
      </w:r>
      <w:r w:rsidR="004F300A">
        <w:rPr>
          <w:noProof/>
        </w:rPr>
        <w:t>(Woltering et al., 2019a, 2024)</w:t>
      </w:r>
      <w:r w:rsidR="008450F7" w:rsidRPr="00435A39">
        <w:fldChar w:fldCharType="end"/>
      </w:r>
      <w:r w:rsidR="008450F7" w:rsidRPr="00435A39">
        <w:t>, a focus on short-</w:t>
      </w:r>
      <w:r w:rsidR="0020049B" w:rsidRPr="00435A39">
        <w:t>termism</w:t>
      </w:r>
      <w:r w:rsidR="008450F7" w:rsidRPr="00435A39">
        <w:t xml:space="preserve"> and “quick wins” that overshadows the need to invest in the development of more structural capacity for innovation and scaling </w:t>
      </w:r>
      <w:r w:rsidR="008450F7" w:rsidRPr="00435A39">
        <w:fldChar w:fldCharType="begin"/>
      </w:r>
      <w:r w:rsidR="008450F7" w:rsidRPr="00435A39">
        <w:instrText xml:space="preserve"> ADDIN ZOTERO_ITEM CSL_CITATION {"citationID":"oNTa2FNl","properties":{"formattedCitation":"(Govaerts et al., 2021; Schut et al., 2020)","plainCitation":"(Govaerts et al., 2021; Schut et al., 2020)","noteIndex":0},"citationItems":[{"id":1690,"uris":["http://zotero.org/users/12768557/items/9GU7YCD9"],"itemData":{"id":1690,"type":"article-journal","abstract":"Agri-food systems are besieged by malnutrition, yield gaps, and climate vulnerability, but integrated, research-based responses in public policy, agricultural, value chains, and finance are constrained by short-termism and zero sum thinking. As they respond to current and emerging agri-food system challenges, decision makers need new tools that steer toward multi-sector, evidence-based collaboration. To support national agri-food system policy processes, the Integrated Agri-food System Initiative (IASI) methodology was developed and validated through case studies in Mexico and Colombia. This holistic, multi-sector methodology builds on diverse existing data resources and leverages situation analysis, modeled predictions, and scenarios to synchronize public and private action at the national level toward sustainable, equitable, and inclusive agri-food systems. Culminating in collectively agreed strategies and multi-partner tactical plans, the IASI methodology enabled a multi-level systems approach by mobilizing design thinking to foster mindset shifts and stakeholder consensus on sustainable and scalable innovations that respond to real-time dynamics in complex agri-food systems. To build capacity for these types of integrated, context- specific approaches, greater investment is needed in supportive international institutions that function as trusted in-region 'innovation brokers.' This paper calls for a structured global network to advance adaptation and evolution of essential tools like the IASI methodology in support of the One CGIAR mandate and in service of positive agri-food systems transformation.","container-title":"PLoS ONE","DOI":"10.1371/journal.pone.0252832","ISSN":"1111111111","issue":"6 June","title":"One CGIAR and the Integrated Agri-food Systems Initiative: From short-termism to transformation of the world's food systems","URL":"http://dx.doi.org/10.1371/journal.pone.0252832","volume":"16","author":[{"family":"Govaerts","given":"Bram ID"},{"family":"Negra","given":"Christine ID"},{"family":"Villa","given":"Tania Carolina Camacho"},{"family":"Suarez","given":"Xiomara Chavez"},{"family":"Espinosa","given":"Anabell Diaz"},{"family":"Fonteyne","given":"Simon"},{"family":"Gardeazabal","given":"Andrea"},{"family":"Gonzalez","given":"Gabriela"},{"family":"Singh","given":"Ravi Gopal"},{"family":"Kommerell","given":"Victor"},{"family":"Kropff","given":"Wietske"},{"family":"Saavedra Lopez","given":"Victor"},{"family":"Lopez","given":"Georgina Mena"},{"family":"Odjo","given":"Sylvanus"},{"family":"Rojas","given":"Natalia Palacios"},{"family":"Ramirez-Villegas","given":"Julian"},{"family":"Van Loon","given":"Jelle"},{"family":"Vega","given":"Daniela"},{"family":"Verhulst","given":"Nele"},{"family":"Woltering","given":"Lennart"},{"family":"Jahn","given":"Molly"},{"family":"Kropff","given":"Martin"},{"family":"Carolina Camacho Villa","given":"Tania"},{"family":"Chavez Suarez","given":"Xiomara"},{"family":"Diaz Espinosa","given":"Anabell"},{"family":"FonteyneID","given":"Simon"},{"family":"Gardeazabal","given":"Andrea"},{"family":"Gonzalez","given":"Gabriela"},{"family":"Gopal Singh","given":"Ravi"},{"family":"Kommerell","given":"Victor"},{"family":"Kropff","given":"Wietske"},{"family":"Lopez Saavedra","given":"Victor"},{"family":"Mena Lopez","given":"Georgina"},{"family":"Odjo","given":"Sylvanus"},{"family":"Palacios Rojas","given":"Natalia"},{"family":"Ramirez-Villegas","given":"Julian"},{"family":"Van LoonID","given":"Jelle"},{"family":"Vega","given":"Daniela"},{"family":"Verhulst","given":"Nele"},{"family":"Woltering","given":"Lennart"},{"family":"Jahn","given":"Molly"},{"family":"Kropff","given":"Martin"},{"family":"Villa","given":"Tania Carolina Camacho"},{"family":"Suarez","given":"Xiomara Chavez"},{"family":"Espinosa","given":"Anabell Diaz"},{"family":"Fonteyne","given":"Simon"},{"family":"Gardeazabal","given":"Andrea"},{"family":"Gonzalez","given":"Gabriela"},{"family":"Singh","given":"Ravi Gopal"},{"family":"Kommerell","given":"Victor"},{"family":"Kropff","given":"Wietske"},{"family":"Saavedra Lopez","given":"Victor"},{"family":"Lopez","given":"Georgina Mena"},{"family":"Odjo","given":"Sylvanus"},{"family":"Rojas","given":"Natalia Palacios"},{"family":"Ramirez-Villegas","given":"Julian"},{"family":"Van Loon","given":"Jelle"},{"family":"Vega","given":"Daniela"},{"family":"Verhulst","given":"Nele"},{"family":"Woltering","given":"Lennart"},{"family":"Jahn","given":"Molly"},{"family":"Kropff","given":"Martin"}],"issued":{"date-parts":[["2021"]]}}},{"id":18930,"uris":["http://zotero.org/users/12768557/items/MIWNU7C8"],"itemData":{"id":18930,"type":"article-journal","abstract":"This Editorial to the Special Issue “Science of Scaling: connecting the pathways of agricultural research and development for improved food, income and nutrition security” presents the framing, overview and analysis of 10 articles focussed on scaling innovation in the agricultural research for development sector. The publications cut across three categories that focus on: (i) Understanding the scaling trajectory retrospectively from a longer term, systems perspective, (ii) Understanding scaling of innovation retrospectively as part of shorter term agricultural research for development interventions, and (iii) Conceptual or methodological approaches aimed at guiding scaling prospectively. Cross-cutting review of the publications leads to several insights and critically questions dominant ways of understanding and guiding scaling of innovation in the agricultural research for development sector. This provides a starting point for proposing more outcome-oriented scaling as a third wave of understanding and guiding scaling, beyond technology adoption (first wave) and the scaling of innovation (second wave). The Editorial proposes three Research Domains for the Science of Scaling: (1) ‘Understand the big picture of scaling innovation’ that can inform more realistic ideas about the factors, conditions and dynamics that affect innovation and scaling processes; (2) ‘Develop instruments that nurture efficient and responsible scaling’ that comprises new approaches, concepts and tools that can facilitate the development of evidence-based scaling strategies; and (3) ‘Create a conducive environment for scaling innovation’ that focusses on the institutional arrangements, partnership models, and monitoring and learning for scaling of innovation.","container-title":"Agricultural Systems","DOI":"10.1016/j.agsy.2020.102908","ISSN":"0308-521X","journalAbbreviation":"Agricultural Systems","page":"102908","source":"ScienceDirect","title":"Science of Scaling: Understanding and guiding the scaling of innovation for societal outcomes","title-short":"Science of Scaling","volume":"184","author":[{"family":"Schut","given":"Marc"},{"family":"Leeuwis","given":"Cees"},{"family":"Thiele","given":"Graham"}],"issued":{"date-parts":[["2020",9,1]]}}}],"schema":"https://github.com/citation-style-language/schema/raw/master/csl-citation.json"} </w:instrText>
      </w:r>
      <w:r w:rsidR="008450F7" w:rsidRPr="00435A39">
        <w:fldChar w:fldCharType="separate"/>
      </w:r>
      <w:r w:rsidR="008450F7" w:rsidRPr="00435A39">
        <w:rPr>
          <w:noProof/>
        </w:rPr>
        <w:t>(Govaerts et al., 2021; Schut et al., 2020)</w:t>
      </w:r>
      <w:r w:rsidR="008450F7" w:rsidRPr="00435A39">
        <w:fldChar w:fldCharType="end"/>
      </w:r>
      <w:r w:rsidR="008450F7" w:rsidRPr="00435A39">
        <w:t>, and a limited engagement and understanding of the complexity</w:t>
      </w:r>
      <w:r w:rsidR="0025065D" w:rsidRPr="00435A39">
        <w:t xml:space="preserve"> of food systems, with their</w:t>
      </w:r>
      <w:r w:rsidR="008450F7" w:rsidRPr="00435A39">
        <w:t xml:space="preserve"> context</w:t>
      </w:r>
      <w:r w:rsidR="0025065D" w:rsidRPr="00435A39">
        <w:t>-</w:t>
      </w:r>
      <w:r w:rsidR="008450F7" w:rsidRPr="00435A39">
        <w:t xml:space="preserve">specificity and </w:t>
      </w:r>
      <w:r w:rsidR="0025065D" w:rsidRPr="00435A39">
        <w:t xml:space="preserve">multi-scale nature, both in terms of </w:t>
      </w:r>
      <w:r w:rsidR="006770E4" w:rsidRPr="00435A39">
        <w:t xml:space="preserve">geography </w:t>
      </w:r>
      <w:r w:rsidR="0025065D" w:rsidRPr="00435A39">
        <w:t>and temporal</w:t>
      </w:r>
      <w:r w:rsidR="006770E4" w:rsidRPr="00435A39">
        <w:t>ity</w:t>
      </w:r>
      <w:r w:rsidR="0025065D" w:rsidRPr="00435A39">
        <w:t xml:space="preserve"> </w:t>
      </w:r>
      <w:r w:rsidR="00974432" w:rsidRPr="00435A39">
        <w:fldChar w:fldCharType="begin"/>
      </w:r>
      <w:r w:rsidR="00AB0D54">
        <w:instrText xml:space="preserve"> ADDIN ZOTERO_ITEM CSL_CITATION {"citationID":"QLoZ6LNh","properties":{"formattedCitation":"(Conti et al., 2024a; Hambloch et al., 2022; Mausch et al., 2025; Moallemi et al., 2025a)","plainCitation":"(Conti et al., 2024a; Hambloch et al., 2022; Mausch et al., 2025; Moallemi et al., 2025a)","noteIndex":0},"citationItems":[{"id":17170,"uris":["http://zotero.org/users/12768557/items/HRJVKJK3"],"itemData":{"id":17170,"type":"article-journal","abstract":"CONTEXT\nComplexity has long been recognised as a key feature of agri-food systems. Yet, it remains largely theoretical or poorly addressed in practice, hampering the potential of international development projects to address agriculture and food-related challenges in the Global South.\nOBJECTIVE\nThe paper identifies and examines six sources of complexity that can manifest in projects, namely: unpredictability; path dependencies; context-specific dynamics; power relations; multiple temporal and spatial scales. It then proposes and tests six agri-food system principles that could be drawn upon to more successfully navigate this complexity. The aim of the paper is to illustrate how these principles could help projects respond to the changing circumstances and unpredictable turns of agri-food systems contexts in a different way, which flexibly embraces complexity. This flexibility is essential in an age of uncertainty and transformation.\nMETHODS\nComparative case study analysis of six projects implemented by the CGIAR: aflatoxin control in groundnuts in Malawi (1), pigeonpea in Eastern and Southern Africa (2), sorghum beer in Kenya (3), sweet sorghum for biofuel in India (4), precooked beans in Uganda and Kenya (5), Smart Foods in India and Eastern Africa (6). The projects aimed to either increasing smallholder farmers' incomes or addressing food and nutrition security, or both. They were specifically selected as all they were affected by some of the sources of complexity, which hampered the projects to different extents. This makes the cases relevant for not only illustrating manifestations of complexity, but also help reflect on alternative strategies to tackle it.\nRESULTS AND CONCLUSION\nThe analysis of the case studies reveals how complexity can frustrate objectives of development interventions under several aspects. It also serves to discuss how complexity can be more successfully navigated (within but also beyond the selected cases) by applying the set of proposed agri-food system principles. The principles are also presented as ways future interventions could avoid clinging to what is “known to work” and instead venture into more powerful pathways of change.\nSIGNIFICANCE\nThe following complexity-aware principle are proposed: Welcome surprises and openly discuss trade-offs; Shun orthodoxies; Engage with context-specificity; Expose patterns of power; Embrace the lengthy nature of change; Understand the multi-scale (in terms of space and time) nature of agri-food systems contexts. These principles could be used by project designers and implementors to cope with the complexity and uncertainty that will inevitably be encountered in agri-food system interventions, and can no longer be ignored.","container-title":"Agricultural Systems","DOI":"10.1016/j.agsy.2024.104080","ISSN":"0308-521X","journalAbbreviation":"Agricultural Systems","page":"104080","source":"ScienceDirect","title":"Complexity-aware principles for agri-food system interventions: Lessons from project encounters with complexity","title-short":"Complexity-aware principles for agri-food system interventions","volume":"220","author":[{"family":"Conti","given":"Costanza"},{"family":"Hall","given":"Andrew"},{"family":"Orr","given":"Alastair"},{"family":"Hambloch","given":"Caroline"},{"family":"Mausch","given":"Kai"}],"issued":{"date-parts":[["2024",10,1]]}}},{"id":17194,"uris":["http://zotero.org/groups/5265210/items/SMRC7YQ3"],"itemData":{"id":17194,"type":"article-journal","abstract":"Within the nutritionism paradigm, in this article we critically review the marketization and medicalization logics which aim to address the pressing issue of malnutrition in low- and middle-income countries. Drawing from political economy and food system transformation discourses, we are using the popular intervention types of nutrition-sensitive value chains (marketization logic) and biofortification exemplified through orange-fleshed sweet potato (medicalization logic) to assess their outcomes and underlying logics. We demonstrate that there is insufficient evidence of the positive impact of these interventions on nutritional outcomes, and that their underlying theories of change and impact logics do not deal with the inherent complexity of nutritional challenges. We show that nutrition-sensitive value chain approaches are unable to leverage or enhance the functioning of value chains to improve nutritional outcomes, especially in light of the disproportionate power of some food companies. We further demonstrate that orange-fleshed sweet potato interventions and biofortification more broadly adopt a narrow approach to malnutrition, disregarding the interactions between food components and broader value chain and food system dynamics. We argue that both intervention types focus solely on increasing the intake of specific nutrients without incorporating their embeddedness in the wider food systems and the relevant political-economic and social relations that influence the production and consumption of food. We conclude that the systemic nature of malnutrition requires to be understood and addressed as part of the food system transformation challenge in order to move towards solving it. To do so, new evaluation frameworks along with new approaches to solutions are necessary that support multiple and diverse development pathways, which are able to acknowledge the social, political-economic, and environmental factors and drivers of malnutrition and poverty.","citation-key":"hamblochSimpleSolutionsComplex2022","container-title":"Food Security","DOI":"10.1007/s12571-022-01324-6","ISSN":"0123456789","issue":"0123456789","publisher":"Springer Netherlands","title":"Simple solutions for complex problems? What is missing in agriculture for nutrition interventions","URL":"https://doi.org/10.1007/s12571-022-01324-6","author":[{"family":"Hambloch","given":"Caroline"},{"family":"Mausch","given":"Kai"},{"family":"Conti","given":"Costanza"},{"family":"Hall","given":"Andy"}],"issued":{"date-parts":[["2022"]]}}},{"id":20414,"uris":["http://zotero.org/users/12768557/items/YZPNTAQY"],"itemData":{"id":20414,"type":"article-journal","abstract":"Despite a broad consensus on the necessity of fundamental change, endeavors to transform food systems appear to have reached an impasse. Greater engagement with the uncertainty of food systems could open up new ways of triggering transformation directed towards achieving more sustainable and inclusive outcomes. As a way of reorienting current food system change efforts to better embrace uncertainty, we propose a framework for a transformative learning system that serves two aims. First, the framework highlights the importance of locally led action, experimentation, and learning, providing a way of focusing on the core capacities and skills needed to act in the face of uncertainty. Second, it outlines the different types of learning functions that need to operate at different scales of food systems to trigger disruptive, coordinated, and more democratic change processes. The operationalization of this framework necessitates shifts in roles and ways of working across the landscape of food system interventions. The discussion will address the who and how of this potential change, as well as its subsequent impact on the operational modalities of individuals, the process of change itself, and the structures and institutions involved in the process. We argue that embracing uncertainty and the focus on learning has the potential to facilitate a more agile and locally relevant change process. This would allow actors to learn from decentrally pursued food systems reforms, leading to the emergence of diverse pathways that complement on-going efforts and potentially accelerate transformation efforts.","container-title":"Food Security","DOI":"10.1007/s12571-025-01565-1","ISSN":"1876-4525","journalAbbreviation":"Food Sec.","language":"en","source":"Springer Link","title":"Foundations of a learning system for food system transformation under uncertainty","URL":"https://doi.org/10.1007/s12571-025-01565-1","author":[{"family":"Mausch","given":"Kai"},{"family":"Hall","given":"Andy"},{"family":"Hambloch","given":"Caroline"},{"family":"Conti","given":"Costanza"},{"family":"Hauser","given":"Michael"},{"family":"Abraham","given":"Salina"},{"family":"Hammond","given":"Philippa"},{"family":"Moallemi","given":"Enayat A."}],"accessed":{"date-parts":[["2025",9,30]]},"issued":{"date-parts":[["2025",9,19]]}}},{"id":21023,"uris":["http://zotero.org/users/12768557/items/IL6FAVGL"],"itemData":{"id":21023,"type":"article-journal","abstract":"Food systems face multi-dimensional pressures and require integrated assessments of environmental, social, health and economic dimensions to inform their transformation. Although economic equilibrium models and integrated assessment models have been instrumental in this context, future decision-making requires more diverse and inclusive participatory processes. Here we evaluate the ability of current models to represent food systems and identify challenges and opportunities regarding key aspects of their transformative change, including socio-political dynamics and human–nature feedbacks, links between global and local scales, robustness under uncertainty, as well as evolving stakeholder demands. Our analysis underscores the need to rethink how models are designed and used for a more effective integration into decision-making processes.","container-title":"Nature Food","DOI":"10.1038/s43016-025-01257-1","ISSN":"2662-1355","issue":"11","journalAbbreviation":"Nat Food","language":"en","license":"2025 Crown","page":"1008-1019","publisher":"Nature Publishing Group","source":"www.nature.com","title":"Complexity and uncertainty in future food system transformation modelling","volume":"6","author":[{"family":"Moallemi","given":"Enayat A."},{"family":"Castonguay","given":"Adam C."},{"family":"Mason-D’Croz","given":"Daniel"},{"family":"Nelson","given":"Rohan"},{"family":"Britz","given":"Wolfgang"},{"family":"Allen","given":"Cameron"},{"family":"Hadjikakou","given":"Michalis"},{"family":"Battaglia","given":"Michael"},{"family":"Bryan","given":"Brett A."},{"family":"Conti","given":"Costanza"},{"family":"Marcos-Martinez","given":"Raymundo"},{"family":"Frank","given":"Stefan"},{"family":"Nong","given":"Duy"},{"family":"Eker","given":"Sibel"},{"family":"Razavi","given":"Saman"},{"family":"Navarro-Garcia","given":"Javier"},{"family":"Gao","given":"Lei"}],"issued":{"date-parts":[["2025",11]]}}}],"schema":"https://github.com/citation-style-language/schema/raw/master/csl-citation.json"} </w:instrText>
      </w:r>
      <w:r w:rsidR="00974432" w:rsidRPr="00435A39">
        <w:fldChar w:fldCharType="separate"/>
      </w:r>
      <w:r w:rsidR="00063549">
        <w:rPr>
          <w:noProof/>
        </w:rPr>
        <w:t>(Conti et al., 2024a; Hambloch et al., 2022; Mausch et al., 2025; Moallemi et al., 2025a)</w:t>
      </w:r>
      <w:r w:rsidR="00974432" w:rsidRPr="00435A39">
        <w:fldChar w:fldCharType="end"/>
      </w:r>
      <w:r w:rsidR="00395C37" w:rsidRPr="00435A39">
        <w:t xml:space="preserve">. </w:t>
      </w:r>
    </w:p>
    <w:p w14:paraId="6D479B99" w14:textId="77777777" w:rsidR="000F08AF" w:rsidRPr="00435A39" w:rsidRDefault="000F08AF" w:rsidP="00435A39"/>
    <w:p w14:paraId="2655E126" w14:textId="20898A29" w:rsidR="00136FCC" w:rsidRPr="00435A39" w:rsidRDefault="008F4983" w:rsidP="00435A39">
      <w:r w:rsidRPr="00435A39">
        <w:t>These shortcomings have</w:t>
      </w:r>
      <w:r w:rsidR="008450F7" w:rsidRPr="00435A39">
        <w:t>, in more recent year</w:t>
      </w:r>
      <w:r w:rsidRPr="00435A39">
        <w:t xml:space="preserve">s, led </w:t>
      </w:r>
      <w:r w:rsidR="00974432" w:rsidRPr="00435A39">
        <w:t xml:space="preserve">to increasing efforts </w:t>
      </w:r>
      <w:r w:rsidR="006770E4" w:rsidRPr="00435A39">
        <w:t xml:space="preserve">to </w:t>
      </w:r>
      <w:r w:rsidR="00974432" w:rsidRPr="00435A39">
        <w:t xml:space="preserve">better understand the mechanisms </w:t>
      </w:r>
      <w:r w:rsidR="001A6B61" w:rsidRPr="00435A39">
        <w:t>through which</w:t>
      </w:r>
      <w:r w:rsidRPr="00435A39">
        <w:t xml:space="preserve"> interventions, and</w:t>
      </w:r>
      <w:r w:rsidR="001A6B61" w:rsidRPr="00435A39">
        <w:t xml:space="preserve"> organisations</w:t>
      </w:r>
      <w:r w:rsidRPr="00435A39">
        <w:t xml:space="preserve"> enacting them, </w:t>
      </w:r>
      <w:r w:rsidR="001A6B61" w:rsidRPr="00435A39">
        <w:t xml:space="preserve">can </w:t>
      </w:r>
      <w:r w:rsidR="00974432" w:rsidRPr="00435A39">
        <w:t>achiev</w:t>
      </w:r>
      <w:r w:rsidR="001A6B61" w:rsidRPr="00435A39">
        <w:t>e</w:t>
      </w:r>
      <w:r w:rsidR="00974432" w:rsidRPr="00435A39">
        <w:t xml:space="preserve"> </w:t>
      </w:r>
      <w:r w:rsidRPr="00435A39">
        <w:t xml:space="preserve">the much desired “impact </w:t>
      </w:r>
      <w:r w:rsidR="00974432" w:rsidRPr="00435A39">
        <w:t>at scale</w:t>
      </w:r>
      <w:r w:rsidRPr="00435A39">
        <w:t xml:space="preserve">”. </w:t>
      </w:r>
      <w:r w:rsidR="00974432" w:rsidRPr="00435A39">
        <w:t xml:space="preserve">For instance, seminal work by </w:t>
      </w:r>
      <w:r w:rsidR="00974432" w:rsidRPr="00435A39">
        <w:fldChar w:fldCharType="begin"/>
      </w:r>
      <w:r w:rsidR="00AD2E2F">
        <w:instrText xml:space="preserve"> ADDIN ZOTERO_ITEM CSL_CITATION {"citationID":"5Cdj3JQb","properties":{"formattedCitation":"(Moore et al., 2015)","plainCitation":"(Moore et al., 2015)","dontUpdate":true,"noteIndex":0},"citationItems":[{"id":18925,"uris":["http://zotero.org/users/12768557/items/6VZJXZZ7"],"itemData":{"id":18925,"type":"article-journal","abstract":"To effect large system change, “niche” or local-level innovations must span spatial and institutional scales to achieve broader systemic impact. Leaders of social innovation, in particular those who work in non-profit organizations and funders of nonprofit and civil society organizations, are increasingly concerned with scaling the positive impact of their investments. This study examines the case of the J.W. McConnell Family Foundation and the implementation of a deliberate strategy, named the Applied Dissemination initiative, to build grantee capacity and to accelerate their initiatives to achieve systemic change. One part of the strategy involved an “educational intervention”, where leaders of more than a dozen national-level initiatives in Canada convened regularly over a period of several years to learn from each other's efforts to achieve scale. The group was successful not only in their efforts to scale for positive impact on their respective issue areas, but also in catalyzing a field of practice in Canada with a growing expertise in scaling innovation for systemic change. The findings show the success of six different strategies that may be adopted to scale innovation on the pathway to largescale or systemic impact, which cut across three different types of “scaling”: scaling out, scaling up, and scaling deep.","container-title":"The Journal of Corporate Citizenship","ISSN":"1470-5001","issue":"58","page":"67-84","publisher":"Greenleaf Publishing","source":"JSTOR","title":"Scaling Out, Scaling Up, Scaling Deep: Strategies of Non-profits in Advancing Systemic Social Innovation","title-short":"Scaling Out, Scaling Up, Scaling Deep","author":[{"family":"Moore","given":"Michele-Lee"},{"family":"Riddell","given":"Darcy"},{"family":"Vocisano","given":"Dana"}],"issued":{"date-parts":[["2015"]]}}}],"schema":"https://github.com/citation-style-language/schema/raw/master/csl-citation.json"} </w:instrText>
      </w:r>
      <w:r w:rsidR="00974432" w:rsidRPr="00435A39">
        <w:fldChar w:fldCharType="separate"/>
      </w:r>
      <w:r w:rsidR="003C2BC4">
        <w:rPr>
          <w:noProof/>
        </w:rPr>
        <w:t xml:space="preserve">Moore et al. </w:t>
      </w:r>
      <w:r w:rsidR="00D66183">
        <w:rPr>
          <w:noProof/>
        </w:rPr>
        <w:t>(</w:t>
      </w:r>
      <w:r w:rsidR="003C2BC4">
        <w:rPr>
          <w:noProof/>
        </w:rPr>
        <w:t>2015)</w:t>
      </w:r>
      <w:r w:rsidR="00974432" w:rsidRPr="00435A39">
        <w:fldChar w:fldCharType="end"/>
      </w:r>
      <w:r w:rsidR="00974432" w:rsidRPr="00435A39">
        <w:t xml:space="preserve"> on s</w:t>
      </w:r>
      <w:r w:rsidR="00CC1103" w:rsidRPr="00435A39">
        <w:t>ociety-wide</w:t>
      </w:r>
      <w:r w:rsidR="00974432" w:rsidRPr="00435A39">
        <w:t xml:space="preserve"> innovation rethinks scaling as having three dimensions: scaling out, or the </w:t>
      </w:r>
      <w:r w:rsidR="00974432" w:rsidRPr="00435A39">
        <w:lastRenderedPageBreak/>
        <w:t xml:space="preserve">horizontal dimension of change </w:t>
      </w:r>
      <w:r w:rsidR="00D4707D">
        <w:t>where</w:t>
      </w:r>
      <w:r w:rsidR="00974432" w:rsidRPr="00435A39">
        <w:t xml:space="preserve"> greater numbers of people</w:t>
      </w:r>
      <w:r w:rsidR="00D4707D">
        <w:t xml:space="preserve"> are reached by replication the interventions</w:t>
      </w:r>
      <w:r w:rsidR="00974432" w:rsidRPr="00435A39">
        <w:t xml:space="preserve"> scaling up, or the vertical dimension of change that involves building institutional capacities</w:t>
      </w:r>
      <w:r w:rsidR="00D4707D">
        <w:t xml:space="preserve"> and policies that allow the intervention to success in wider </w:t>
      </w:r>
      <w:r w:rsidR="0019633C">
        <w:t>geographies</w:t>
      </w:r>
      <w:r w:rsidR="00974432" w:rsidRPr="00435A39">
        <w:t xml:space="preserve">, and scaling deep, </w:t>
      </w:r>
      <w:r w:rsidR="00D4707D">
        <w:t xml:space="preserve">where scaling is seen as a </w:t>
      </w:r>
      <w:r w:rsidR="00974432" w:rsidRPr="00435A39">
        <w:t xml:space="preserve"> social change process that has to be embedded in people, relationships</w:t>
      </w:r>
      <w:r w:rsidR="00087A8A" w:rsidRPr="00435A39">
        <w:t>, values</w:t>
      </w:r>
      <w:r w:rsidR="00974432" w:rsidRPr="00435A39">
        <w:t xml:space="preserve"> and cultures. </w:t>
      </w:r>
      <w:r w:rsidR="00D4707D">
        <w:t>A s</w:t>
      </w:r>
      <w:r w:rsidR="00974432" w:rsidRPr="00435A39">
        <w:t>ignificant contribution to understanding scaling has also come from the socio-technical system literature</w:t>
      </w:r>
      <w:r w:rsidR="00D4707D">
        <w:t xml:space="preserve"> where scaling is </w:t>
      </w:r>
      <w:r w:rsidR="00136FCC" w:rsidRPr="00435A39">
        <w:t>conceived</w:t>
      </w:r>
      <w:r w:rsidR="00974432" w:rsidRPr="00435A39">
        <w:t xml:space="preserve"> “scaling” as a societal reconfiguration process </w:t>
      </w:r>
      <w:r w:rsidR="00D4707D">
        <w:t>in which</w:t>
      </w:r>
      <w:r w:rsidR="00974432" w:rsidRPr="00435A39">
        <w:t xml:space="preserve"> niches</w:t>
      </w:r>
      <w:r w:rsidR="00D4707D">
        <w:t xml:space="preserve"> or </w:t>
      </w:r>
      <w:r w:rsidR="00237788" w:rsidRPr="00435A39">
        <w:t>protected spaces created through specific interventions or emerg</w:t>
      </w:r>
      <w:r w:rsidR="00D4707D">
        <w:t>ing</w:t>
      </w:r>
      <w:r w:rsidR="00237788" w:rsidRPr="00435A39">
        <w:t xml:space="preserve"> spontaneously</w:t>
      </w:r>
      <w:r w:rsidR="00822070" w:rsidRPr="00435A39">
        <w:t>,</w:t>
      </w:r>
      <w:r w:rsidR="00237788" w:rsidRPr="00435A39">
        <w:t xml:space="preserve"> start influencing the broader regime </w:t>
      </w:r>
      <w:r w:rsidR="00237788" w:rsidRPr="00435A39">
        <w:fldChar w:fldCharType="begin"/>
      </w:r>
      <w:r w:rsidR="00D66183">
        <w:instrText xml:space="preserve"> ADDIN ZOTERO_ITEM CSL_CITATION {"citationID":"0PqHQtsK","properties":{"formattedCitation":"(Geels, 2006)","plainCitation":"(Geels, 2006)","noteIndex":0},"citationItems":[{"id":814,"uris":["http://zotero.org/users/12768557/items/ZGJWNIXD"],"itemData":{"id":814,"type":"article-journal","abstract":"This article deals with system innovation in Freeman and Perez's innovation typology (incremental, radical, system, techno-economic paradigm). This article conceptualises these changes as transitions from one socio-technical system to another. These transitions are co-evolution processes that are not only about technological discontinuities, but also about markets, user practices, regulation, culture, infrastructure and science. In a critical discussion of co-evolution literatures, the article distinguishes three levels of co-evolutionary processes. To understand transitions, these insights are combined in a multi-level perspective, consisting of niche, regime and landscape levels. Transitions come about when co-evolutionary dynamics at these three levels link up and reinforce each other. The perspective is illustrated with a historical case study: the transition from aviation systems based on propeller-aircraft to aviation systems based on turbojet aircraft (1930-1970). The case study provides not just an evolutionary economic analysis of technological change, but also deals with the long-run evolution of technology and the socio-economic system. © 2005 Elsevier Ltd. All rights reserved.","container-title":"Technovation","DOI":"10.1016/J.TECHNOVATION.2005.08.010","issue":"9","page":"999-1016","publisher":"Elsevier","title":"Co-evolutionary and multi-level dynamics in transitions: The transformation of aviation systems and the shift from propeller to turbojet (1930–1970)","volume":"26","author":[{"family":"Geels","given":"F. W."}],"issued":{"date-parts":[["2006",9]]}}}],"schema":"https://github.com/citation-style-language/schema/raw/master/csl-citation.json"} </w:instrText>
      </w:r>
      <w:r w:rsidR="00237788" w:rsidRPr="00435A39">
        <w:fldChar w:fldCharType="separate"/>
      </w:r>
      <w:r w:rsidR="00237788" w:rsidRPr="00435A39">
        <w:rPr>
          <w:noProof/>
        </w:rPr>
        <w:t>(Geels, 2006)</w:t>
      </w:r>
      <w:r w:rsidR="00237788" w:rsidRPr="00435A39">
        <w:fldChar w:fldCharType="end"/>
      </w:r>
      <w:r w:rsidRPr="00435A39">
        <w:t xml:space="preserve">. This literature </w:t>
      </w:r>
      <w:r w:rsidR="001A09CE">
        <w:t xml:space="preserve">considers </w:t>
      </w:r>
      <w:r w:rsidR="00237788" w:rsidRPr="00435A39">
        <w:t xml:space="preserve">scaling as a multi-phase, multi-dimensional and deeply evolutionary process in which norms and values evolve to produce societal systems oriented towards altogether different outcomes (e.g. sustainability, equity and resilience) </w:t>
      </w:r>
      <w:r w:rsidR="00237788" w:rsidRPr="00435A39">
        <w:fldChar w:fldCharType="begin"/>
      </w:r>
      <w:r w:rsidR="00AB0D54">
        <w:instrText xml:space="preserve"> ADDIN ZOTERO_ITEM CSL_CITATION {"citationID":"8GbYBlqO","properties":{"formattedCitation":"(Hall and Dijkman, 2019; Moore et al., 2014; Westley et al., 2011)","plainCitation":"(Hall and Dijkman, 2019; Moore et al., 2014; Westley et al., 2011)","noteIndex":0},"citationItems":[{"id":1875,"uris":["http://zotero.org/users/12768557/items/QQ5QRI76"],"itemData":{"id":1875,"type":"report","number":"IX + 67 pp","page":"67-67","publisher":"CGIAR Independent Science and Partnership Council (ISPC) Secretariat and Commonwealth Scientific and Industrial Research Organisation (CSIRO)","publisher-place":"Rome and Canberra","title":"Public Agricultural Research in an Era of Transformation : The Challenge of Agri-Food System Innovation","URL":"https://iaes.cgiar.org//sites/default/files/pdf/syntetic-study-web-def.pdf","author":[{"family":"Hall","given":"A."},{"family":"Dijkman","given":"J."}],"issued":{"date-parts":[["2019"]]}}},{"id":696,"uris":["http://zotero.org/users/12768557/items/TD4C69YL"],"itemData":{"id":696,"type":"article-journal","abstract":"Faced with numerous seemingly intractable social and environmental challenges, many scholars and practitioners are increasingly interested in understanding how to actively engage and transform the existing systems holding such problems in place. Although a variety of analytical models have emerged in recent years, most emphasize either the social or ecological elements of such transformations rather than their coupled nature. To address this, first we have presented a definition of the core elements of a socialecological system (SES) that could potentially be altered in a transformation. Second, we drew on insights about transformation from three branches of literature focused on radical change, i.e., social movements, socio-technical transitions, and social innovation, and gave consideration to the similarities and differences with the current studies by resilience scholars. Drawing on these findings, we have proposed a framework that outlines the process and phases of transformative change in an SES. Future research will be able to utilize the framework as a tool for analyzing the alteration of social-ecological feedbacks, identifying critical barriers and leverage points and assessing the outcome of social-ecological transformations.","container-title":"Ecology and Society","DOI":"10.5751/ES-06966-190454","issue":"4","title":"Studying the complexity of change: Toward an analytical framework for understanding deliberate social-ecological transformations","volume":"19","author":[{"family":"Moore","given":"Michele Lee"},{"family":"Tjornbo","given":"Ola"},{"family":"Enfors","given":"Elin"},{"family":"Knapp","given":"Corrie"},{"family":"Hodbod","given":"Jennifer"},{"family":"Baggio","given":"Jacopo A."},{"family":"Norström","given":"Albert"},{"family":"Olsson","given":"Per"},{"family":"Biggs","given":"Duan"}],"issued":{"date-parts":[["2014"]]}}},{"id":1607,"uris":["http://zotero.org/users/12768557/items/A4IZVRXQ"],"itemData":{"id":1607,"type":"article-journal","abstract":"This article explores the links between agency, institutions, and innovation in navigating shifts and large-scale transformations toward global sustainability. Our central question is whether social and technical innovations can reverse the trends that are challenging critical thresholds and creating tipping points in the earth system, and if not, what conditions are necessary to escape the current lock-in. Large-scale transformations in information technology, nano- and biotechnology, and new energy systems have the potential to significantly improve our lives; but if, in framing them, our globalized society fails to consider the capacity of the biosphere, there is a risk that unsustainable development pathways may be reinforced. Current institutional arrangements, including the lack of incentives for the private sector to innovate for sustainability, and the lags inherent in the path dependent nature of innovation, contribute to lock-in, as does our incapacity to easily grasp the interactions implicit in complex problems, referred to here as the ingenuity gap. Nonetheless, promising social and technical innovations with potential to change unsustainable trajectories need to be nurtured and connected to broad institutional resources and responses. In parallel, institutional entrepreneurs can work to reduce the resilience of dominant institutional systems and position viable shadow alternatives and niche regimes. © Royal Swedish Academy of Sciences 2011.","container-title":"Ambio","DOI":"10.1007/S13280-011-0186-9/FIGURES/6","issue":"7","page":"762-780","publisher":"Springer","title":"Tipping toward sustainability: Emerging pathways of transformation","volume":"40","author":[{"family":"Westley","given":"Frances"},{"family":"Olsson","given":"Per"},{"family":"Folke","given":"Carl"},{"family":"Homer-Dixon","given":"Thomas"},{"family":"Vredenburg","given":"Harrie"},{"family":"Loorbach","given":"Derk"},{"family":"Thompson","given":"John"},{"family":"Nilsson","given":"Mns"},{"family":"Lambin","given":"Eric"},{"family":"Sendzimir","given":"Jan"},{"family":"Banerjee","given":"Banny"},{"family":"Galaz","given":"Victor"},{"family":"Van Der Leeuw","given":"Sander"}],"issued":{"date-parts":[["2011",11]]}}}],"schema":"https://github.com/citation-style-language/schema/raw/master/csl-citation.json"} </w:instrText>
      </w:r>
      <w:r w:rsidR="00237788" w:rsidRPr="00435A39">
        <w:fldChar w:fldCharType="separate"/>
      </w:r>
      <w:r w:rsidR="00237788" w:rsidRPr="00435A39">
        <w:rPr>
          <w:noProof/>
        </w:rPr>
        <w:t>(Hall and Dijkman, 2019; Moore et al., 2014; Westley et al., 2011)</w:t>
      </w:r>
      <w:r w:rsidR="00237788" w:rsidRPr="00435A39">
        <w:fldChar w:fldCharType="end"/>
      </w:r>
      <w:r w:rsidR="00237788" w:rsidRPr="00435A39">
        <w:t>.</w:t>
      </w:r>
      <w:r w:rsidR="001D2A8C" w:rsidRPr="00435A39">
        <w:t xml:space="preserve"> </w:t>
      </w:r>
    </w:p>
    <w:p w14:paraId="6B94621C" w14:textId="77777777" w:rsidR="000F08AF" w:rsidRPr="00435A39" w:rsidRDefault="000F08AF" w:rsidP="00435A39"/>
    <w:p w14:paraId="269DEF52" w14:textId="6A39148B" w:rsidR="000F08AF" w:rsidRPr="00435A39" w:rsidRDefault="000F08AF" w:rsidP="00435A39">
      <w:r w:rsidRPr="00435A39">
        <w:t>These system perspectives on scaling</w:t>
      </w:r>
      <w:r w:rsidR="00CC1103" w:rsidRPr="00435A39">
        <w:t xml:space="preserve">, </w:t>
      </w:r>
      <w:r w:rsidR="00087A8A" w:rsidRPr="00435A39">
        <w:t>while</w:t>
      </w:r>
      <w:r w:rsidR="00136FCC" w:rsidRPr="00435A39">
        <w:t xml:space="preserve"> helpful for understanding scaling as a more complex societal process, still </w:t>
      </w:r>
      <w:r w:rsidRPr="00435A39">
        <w:t>leave many unanswered questions.</w:t>
      </w:r>
      <w:r w:rsidR="00136FCC" w:rsidRPr="00435A39">
        <w:t xml:space="preserve"> </w:t>
      </w:r>
      <w:r w:rsidR="00F549B2" w:rsidRPr="00435A39">
        <w:t>H</w:t>
      </w:r>
      <w:r w:rsidR="00136FCC" w:rsidRPr="00435A39">
        <w:t>ow does this</w:t>
      </w:r>
      <w:r w:rsidR="00F549B2" w:rsidRPr="00435A39">
        <w:t xml:space="preserve"> new understanding</w:t>
      </w:r>
      <w:r w:rsidR="00136FCC" w:rsidRPr="00435A39">
        <w:t xml:space="preserve"> reframe the idea of an intervention or project that has scaling ambitions? </w:t>
      </w:r>
      <w:r w:rsidRPr="00435A39">
        <w:t xml:space="preserve">In the same vein, </w:t>
      </w:r>
      <w:r w:rsidR="00F549B2" w:rsidRPr="00435A39">
        <w:t>h</w:t>
      </w:r>
      <w:r w:rsidR="00136FCC" w:rsidRPr="00435A39">
        <w:t xml:space="preserve">ow does scaling reframe the role of agencies who have traditionally been on the front line of scaling food and agriculture innovation with farmers? </w:t>
      </w:r>
      <w:r w:rsidR="00F549B2" w:rsidRPr="00435A39">
        <w:t xml:space="preserve">Ultimately, </w:t>
      </w:r>
      <w:r w:rsidRPr="00435A39">
        <w:t xml:space="preserve">what does this proposed new practice of </w:t>
      </w:r>
      <w:r w:rsidR="00087A8A" w:rsidRPr="00435A39">
        <w:t>system-oriented</w:t>
      </w:r>
      <w:r w:rsidRPr="00435A39">
        <w:t xml:space="preserve"> scaling </w:t>
      </w:r>
      <w:r w:rsidR="00B53347" w:rsidRPr="00435A39">
        <w:t>look</w:t>
      </w:r>
      <w:r w:rsidRPr="00435A39">
        <w:t xml:space="preserve"> like in practice</w:t>
      </w:r>
      <w:r w:rsidR="00F549B2" w:rsidRPr="00435A39">
        <w:t>?</w:t>
      </w:r>
    </w:p>
    <w:p w14:paraId="18CC5CE4" w14:textId="459A33D1" w:rsidR="005867FC" w:rsidRPr="00435A39" w:rsidRDefault="00244DE8" w:rsidP="00435A39">
      <w:r w:rsidRPr="00435A39">
        <w:t>Here, we attempt to better understand the process of scaling</w:t>
      </w:r>
      <w:r w:rsidR="00117306">
        <w:t xml:space="preserve"> when it is conceived</w:t>
      </w:r>
      <w:r w:rsidR="00BB5DC1" w:rsidRPr="00435A39">
        <w:t xml:space="preserve"> as</w:t>
      </w:r>
      <w:r w:rsidR="004F55F0" w:rsidRPr="00435A39">
        <w:t xml:space="preserve"> a</w:t>
      </w:r>
      <w:r w:rsidR="00BB5DC1" w:rsidRPr="00435A39">
        <w:t xml:space="preserve"> process of moving towards sustainable system change across multiple dimensions </w:t>
      </w:r>
      <w:r w:rsidR="004F55F0" w:rsidRPr="00435A39">
        <w:t xml:space="preserve">and multiple sub-systems </w:t>
      </w:r>
      <w:r w:rsidR="00BB5DC1" w:rsidRPr="00435A39">
        <w:fldChar w:fldCharType="begin"/>
      </w:r>
      <w:r w:rsidR="00D66183">
        <w:instrText xml:space="preserve"> ADDIN ZOTERO_ITEM CSL_CITATION {"citationID":"9RYlVucm","properties":{"formattedCitation":"(Hermans et al., 2016; Moore et al., 2015; Woltering et al., 2019a)","plainCitation":"(Hermans et al., 2016; Moore et al., 2015; Woltering et al., 2019a)","noteIndex":0},"citationItems":[{"id":3230,"uris":["http://zotero.org/users/12768557/items/4I5Y5TNJ"],"itemData":{"id":3230,"type":"article-journal","abstract":"An important issue for the study of grassroots innovations and the geography of sustainability transitions is how scales affect transformative change. In this paper we will address the questions of 1) how grassroots innovations for sustainable agriculture are scaled and 2) the consequences of crossing different scales and levels on the characteristics of the grassroots innovation. We propose a framework of five different scales to analyze the development of grassroots innovations and we apply this framework on the long-term development of an agricultural grassroots innovation movement that pioneered innovative dairy farming practices combined with landscape management. The results show how the initial innovation coalition built around low external input farming became fragmented. Each of the resulting new grassroots innovation coalitions used different strategies for upscaling and outscaling that depended on differences in their (regional) contexts and institutional support. The grassroots innovation thus developed along three parallel, at times intersecting, innovation pathways. The distributed agency of multiple actor groups working in parallel leads to a continuous renegotiating of meaning that poses a challenge to the idea of planned processes of outscaling and upscaling of grassroots innovations.","container-title":"Ecological Economics","DOI":"10.1016/j.ecolecon.2016.07.011","page":"285-295","publisher":"Elsevier B.V.","title":"Scale dynamics of grassroots innovations through parallel pathways of transformative change","volume":"130","author":[{"family":"Hermans","given":"Frans"},{"family":"Roep","given":"Dirk"},{"family":"Klerkx","given":"Laurens"}],"issued":{"date-parts":[["2016",10]]}}},{"id":18925,"uris":["http://zotero.org/users/12768557/items/6VZJXZZ7"],"itemData":{"id":18925,"type":"article-journal","abstract":"To effect large system change, “niche” or local-level innovations must span spatial and institutional scales to achieve broader systemic impact. Leaders of social innovation, in particular those who work in non-profit organizations and funders of nonprofit and civil society organizations, are increasingly concerned with scaling the positive impact of their investments. This study examines the case of the J.W. McConnell Family Foundation and the implementation of a deliberate strategy, named the Applied Dissemination initiative, to build grantee capacity and to accelerate their initiatives to achieve systemic change. One part of the strategy involved an “educational intervention”, where leaders of more than a dozen national-level initiatives in Canada convened regularly over a period of several years to learn from each other's efforts to achieve scale. The group was successful not only in their efforts to scale for positive impact on their respective issue areas, but also in catalyzing a field of practice in Canada with a growing expertise in scaling innovation for systemic change. The findings show the success of six different strategies that may be adopted to scale innovation on the pathway to largescale or systemic impact, which cut across three different types of “scaling”: scaling out, scaling up, and scaling deep.","container-title":"The Journal of Corporate Citizenship","ISSN":"1470-5001","issue":"58","page":"67-84","publisher":"Greenleaf Publishing","source":"JSTOR","title":"Scaling Out, Scaling Up, Scaling Deep: Strategies of Non-profits in Advancing Systemic Social Innovation","title-short":"Scaling Out, Scaling Up, Scaling Deep","author":[{"family":"Moore","given":"Michele-Lee"},{"family":"Riddell","given":"Darcy"},{"family":"Vocisano","given":"Dana"}],"issued":{"date-parts":[["2015"]]}}},{"id":1985,"uris":["http://zotero.org/users/12768557/items/WQM474AB"],"itemData":{"id":1985,"type":"article-journal","abstract":"Countless development projects have piloted solutions that could make a difference if only applied at scale. The reality is that these pilot projects hardly ever reach the intended scale to contribute significantly to achieving the UN Sustainable Development Goals (SDGs). In this paper, we argue that two major problems undermine efforts to achieve scale in development projects. First, pilot projects are usually set up and managed in very controlled environments that make it very difficult to transition to the real world at scale. Second, poor conceptual and methodological clarity on what scaling is and how it can be pursued often results in a narrow focus on reaching numbers. Counting household adoption at the end of a grant project is a poor metric of whether these people can and will sustain adoption after the project closes, let alone if adoption will reach others and actually contributes to improved livelihoods. We advocate for a broader view on scaling that more accurately reflects the transformational change agenda of the SDGs: from reaching many to a process aiming to achieve sustainable systems change at scale. Sustainable systems change alters a sufficient number of key drivers (incentives, rules, etc.) such that the system that once perpetuated a “problem” now instead perpetuates a “solution.” This has implications on the way projects are designed and implemented. Rather than focusing on changing conditions within the project context, projects should serve as vehicles for societal change. This means that projects make most sense if designed as part of a multisector, long-term programmatic approach. Treating scaling as a transformation process helps deal with the necessary coevolution of organizational and institutional arrangements, along with the innovations in a technology or practice. To help address scaling, we present a number of frameworks that guide users to assess the scalability of innovations, design for scale from the onset of projects, and systematically think through key elements, ingredients, or success factors. We conclude that scaling requires different skills, approaches, and ways of collaborating than those required for successful implementation of pilot projects. It calls for development actors to have a mindset that allows them to creatively navigate multiple overlapping systems; likewise, they must develop a clear vision about which elements in the system the actors can and cannot address, and about where they need to collaborate strategically to exert influence. Although it is tempting to hope for the silver bullet solution that changes the world, we argue for an approach that takes scaling serious in its own right and recognizes the complexities involved in facilitating a transition to a new “normal.”","container-title":"Agricultural Systems","DOI":"10.1016/j.agsy.2019.102652","issue":"August","title":"Scaling – from “reaching many” to sustainable systems change at scale: A critical shift in mindset","volume":"176","author":[{"family":"Woltering","given":"L."},{"family":"Fehlenberg","given":"K."},{"family":"Gerard","given":"B."},{"family":"Ubels","given":"J."},{"family":"Cooley","given":"L."}],"issued":{"date-parts":[["2019"]]}}}],"schema":"https://github.com/citation-style-language/schema/raw/master/csl-citation.json"} </w:instrText>
      </w:r>
      <w:r w:rsidR="00BB5DC1" w:rsidRPr="00435A39">
        <w:fldChar w:fldCharType="separate"/>
      </w:r>
      <w:r w:rsidR="004F300A">
        <w:rPr>
          <w:noProof/>
        </w:rPr>
        <w:t>(Hermans et al., 2016; Moore et al., 2015; Woltering et al., 2019a)</w:t>
      </w:r>
      <w:r w:rsidR="00BB5DC1" w:rsidRPr="00435A39">
        <w:fldChar w:fldCharType="end"/>
      </w:r>
      <w:r w:rsidRPr="00435A39">
        <w:t xml:space="preserve">. </w:t>
      </w:r>
      <w:proofErr w:type="gramStart"/>
      <w:r w:rsidR="008F4983" w:rsidRPr="00435A39">
        <w:t>In particular, we</w:t>
      </w:r>
      <w:proofErr w:type="gramEnd"/>
      <w:r w:rsidR="008F4983" w:rsidRPr="00435A39">
        <w:t xml:space="preserve"> focus on two interconnected questions:</w:t>
      </w:r>
    </w:p>
    <w:p w14:paraId="0E7C95AC" w14:textId="0BAB870F" w:rsidR="008F4983" w:rsidRPr="00435A39" w:rsidRDefault="000F08AF" w:rsidP="00435A39">
      <w:pPr>
        <w:pStyle w:val="ListParagraph"/>
        <w:numPr>
          <w:ilvl w:val="0"/>
          <w:numId w:val="6"/>
        </w:numPr>
      </w:pPr>
      <w:r w:rsidRPr="00435A39">
        <w:t>What are the features of a scaling process that addresses multiple dimensions of the food system transformation challenge</w:t>
      </w:r>
      <w:r w:rsidR="008F4983" w:rsidRPr="00435A39">
        <w:t>? And</w:t>
      </w:r>
    </w:p>
    <w:p w14:paraId="44C461B5" w14:textId="6DB33770" w:rsidR="003C1504" w:rsidRDefault="008F4983" w:rsidP="00625B54">
      <w:pPr>
        <w:pStyle w:val="ListParagraph"/>
        <w:numPr>
          <w:ilvl w:val="0"/>
          <w:numId w:val="6"/>
        </w:numPr>
      </w:pPr>
      <w:r w:rsidRPr="00435A39">
        <w:t xml:space="preserve">What is the role of the organisation(s) in triggering and supporting the scaling process? </w:t>
      </w:r>
    </w:p>
    <w:p w14:paraId="48A0DE80" w14:textId="77777777" w:rsidR="00792DC2" w:rsidRPr="00435A39" w:rsidRDefault="00792DC2" w:rsidP="00BD5984">
      <w:pPr>
        <w:pStyle w:val="ListParagraph"/>
        <w:ind w:left="1080"/>
      </w:pPr>
    </w:p>
    <w:p w14:paraId="38BCCAB3" w14:textId="446618DE" w:rsidR="006B4572" w:rsidRPr="00435A39" w:rsidRDefault="004F55F0" w:rsidP="00435A39">
      <w:r w:rsidRPr="00435A39">
        <w:t xml:space="preserve">To </w:t>
      </w:r>
      <w:r w:rsidR="008F4983" w:rsidRPr="00435A39">
        <w:t>answer these questions</w:t>
      </w:r>
      <w:r w:rsidRPr="00435A39">
        <w:t>, we</w:t>
      </w:r>
      <w:r w:rsidR="00ED5CD6" w:rsidRPr="00435A39">
        <w:t xml:space="preserve"> examine</w:t>
      </w:r>
      <w:r w:rsidR="00244DE8" w:rsidRPr="00435A39">
        <w:t xml:space="preserve"> </w:t>
      </w:r>
      <w:r w:rsidR="009C480A" w:rsidRPr="00435A39">
        <w:t xml:space="preserve">a case study of </w:t>
      </w:r>
      <w:r w:rsidR="003625BC" w:rsidRPr="00435A39">
        <w:t>a</w:t>
      </w:r>
      <w:r w:rsidR="006B4572" w:rsidRPr="00435A39">
        <w:t xml:space="preserve"> multidecade process of millet reintroduction</w:t>
      </w:r>
      <w:r w:rsidR="00C85B2C" w:rsidRPr="00435A39">
        <w:t xml:space="preserve">, </w:t>
      </w:r>
      <w:r w:rsidR="006B4572" w:rsidRPr="00435A39">
        <w:t xml:space="preserve">improvement </w:t>
      </w:r>
      <w:r w:rsidR="00C85B2C" w:rsidRPr="00435A39">
        <w:t xml:space="preserve">and scaling enacted </w:t>
      </w:r>
      <w:r w:rsidR="006B4572" w:rsidRPr="00435A39">
        <w:t>by an</w:t>
      </w:r>
      <w:r w:rsidR="006B4572" w:rsidRPr="00435A39">
        <w:rPr>
          <w:color w:val="1F1F1F"/>
        </w:rPr>
        <w:t xml:space="preserve"> Indian Non-Governmental Organisation, the M. S. Swaminathan Research Foundation (MSSRF)</w:t>
      </w:r>
      <w:r w:rsidR="006B4572" w:rsidRPr="00435A39">
        <w:t xml:space="preserve"> in the Eastern Indian state of Odisha. The motivation for </w:t>
      </w:r>
      <w:r w:rsidR="00117306">
        <w:t>MSSRF</w:t>
      </w:r>
      <w:r w:rsidR="006B4572" w:rsidRPr="00435A39">
        <w:t xml:space="preserve"> was</w:t>
      </w:r>
      <w:r w:rsidR="00C85B2C" w:rsidRPr="00435A39">
        <w:t xml:space="preserve"> the recognition</w:t>
      </w:r>
      <w:r w:rsidR="006B4572" w:rsidRPr="00435A39">
        <w:t xml:space="preserve"> that millets offer </w:t>
      </w:r>
      <w:r w:rsidR="00C85B2C" w:rsidRPr="00435A39">
        <w:t xml:space="preserve">significant </w:t>
      </w:r>
      <w:r w:rsidR="006B4572" w:rsidRPr="00435A39">
        <w:t xml:space="preserve">nutritional benefits and </w:t>
      </w:r>
      <w:r w:rsidR="00715166" w:rsidRPr="00435A39">
        <w:t xml:space="preserve">resilience to </w:t>
      </w:r>
      <w:r w:rsidR="006B4572" w:rsidRPr="00435A39">
        <w:t xml:space="preserve">climate variability </w:t>
      </w:r>
      <w:r w:rsidR="00715166" w:rsidRPr="00435A39">
        <w:t xml:space="preserve">experienced in parts of </w:t>
      </w:r>
      <w:r w:rsidR="00F52E08">
        <w:t xml:space="preserve">the Indian state of </w:t>
      </w:r>
      <w:r w:rsidR="00715166" w:rsidRPr="00435A39">
        <w:t>Odisha</w:t>
      </w:r>
      <w:r w:rsidR="00C85B2C" w:rsidRPr="00435A39">
        <w:t>, largely</w:t>
      </w:r>
      <w:r w:rsidR="00715166" w:rsidRPr="00435A39">
        <w:t xml:space="preserve"> inhabited by resource</w:t>
      </w:r>
      <w:r w:rsidR="00C85B2C" w:rsidRPr="00435A39">
        <w:t>-</w:t>
      </w:r>
      <w:r w:rsidR="00715166" w:rsidRPr="00435A39">
        <w:t>poor tribal communities</w:t>
      </w:r>
      <w:r w:rsidR="003625BC" w:rsidRPr="00435A39">
        <w:t xml:space="preserve"> </w:t>
      </w:r>
      <w:r w:rsidR="003625BC" w:rsidRPr="00435A39">
        <w:fldChar w:fldCharType="begin"/>
      </w:r>
      <w:r w:rsidR="00AD2E2F">
        <w:instrText xml:space="preserve"> ADDIN ZOTERO_ITEM CSL_CITATION {"citationID":"aDq45kiD","properties":{"formattedCitation":"(Bala Ravi et al., 2010)","plainCitation":"(Bala Ravi et al., 2010)","noteIndex":0},"citationItems":[{"id":19327,"uris":["http://zotero.org/users/12768557/items/T9X9FXBA"],"itemData":{"id":19327,"type":"chapter","container-title":"Minor Millets in South Asia Learnings from IFAD-NUS Project in India and Nepal","publisher":"Bioversity International, Maccarese, Rome, Italy and the M.S. Swaminathan Research Foundation, Chennai, India.","publisher-place":"Chennai","title":"Promoting Nutritious Millets for Enhancing Income and Improved Nutrition: A Case Study from Tamil Nadu and Orissa","author":[{"family":"Bala Ravi","given":"S"},{"family":"Swain","given":"S"},{"family":"Sengotuvel","given":"D"},{"family":"Parida","given":"N. R."}],"issued":{"date-parts":[["2010"]]}}}],"schema":"https://github.com/citation-style-language/schema/raw/master/csl-citation.json"} </w:instrText>
      </w:r>
      <w:r w:rsidR="003625BC" w:rsidRPr="00435A39">
        <w:fldChar w:fldCharType="separate"/>
      </w:r>
      <w:r w:rsidR="003625BC" w:rsidRPr="00435A39">
        <w:rPr>
          <w:noProof/>
        </w:rPr>
        <w:t>(Bala Ravi et al., 2010)</w:t>
      </w:r>
      <w:r w:rsidR="003625BC" w:rsidRPr="00435A39">
        <w:fldChar w:fldCharType="end"/>
      </w:r>
      <w:r w:rsidR="00715166" w:rsidRPr="00435A39">
        <w:t xml:space="preserve">. The case study </w:t>
      </w:r>
      <w:r w:rsidR="00FB1C75">
        <w:t>shows</w:t>
      </w:r>
      <w:r w:rsidR="00FB1C75" w:rsidRPr="00435A39">
        <w:t xml:space="preserve"> </w:t>
      </w:r>
      <w:r w:rsidR="00C85B2C" w:rsidRPr="00435A39">
        <w:t xml:space="preserve">how the logic underpinning </w:t>
      </w:r>
      <w:r w:rsidR="00715166" w:rsidRPr="00435A39">
        <w:t>MSSRF</w:t>
      </w:r>
      <w:r w:rsidR="00C85B2C" w:rsidRPr="00435A39">
        <w:t xml:space="preserve">’s action evolved over time. From </w:t>
      </w:r>
      <w:r w:rsidR="00715166" w:rsidRPr="00435A39">
        <w:t xml:space="preserve">initial engagement with </w:t>
      </w:r>
      <w:r w:rsidR="00C85B2C" w:rsidRPr="00435A39">
        <w:t xml:space="preserve">millet reintroduction mainly as </w:t>
      </w:r>
      <w:r w:rsidR="00715166" w:rsidRPr="00435A39">
        <w:t>a farmer crop adoption task,</w:t>
      </w:r>
      <w:r w:rsidR="00C85B2C" w:rsidRPr="00435A39">
        <w:t xml:space="preserve"> MSSRF</w:t>
      </w:r>
      <w:r w:rsidR="00715166" w:rsidRPr="00435A39">
        <w:t xml:space="preserve"> progressively </w:t>
      </w:r>
      <w:r w:rsidR="00C85B2C" w:rsidRPr="00435A39">
        <w:t xml:space="preserve">understood </w:t>
      </w:r>
      <w:r w:rsidR="00117306">
        <w:t xml:space="preserve">and engaged with </w:t>
      </w:r>
      <w:r w:rsidR="00C85B2C" w:rsidRPr="00435A39">
        <w:t xml:space="preserve">the </w:t>
      </w:r>
      <w:r w:rsidR="00715166" w:rsidRPr="00435A39">
        <w:t xml:space="preserve">systemic </w:t>
      </w:r>
      <w:r w:rsidR="00C85B2C" w:rsidRPr="00435A39">
        <w:t xml:space="preserve">nature of the </w:t>
      </w:r>
      <w:r w:rsidR="00715166" w:rsidRPr="00435A39">
        <w:t>challenge</w:t>
      </w:r>
      <w:r w:rsidR="00117306">
        <w:t xml:space="preserve"> and the need to act and coordinate action </w:t>
      </w:r>
      <w:r w:rsidR="005321D9" w:rsidRPr="00435A39">
        <w:t>across</w:t>
      </w:r>
      <w:r w:rsidR="00715166" w:rsidRPr="00435A39">
        <w:t xml:space="preserve"> three scales: </w:t>
      </w:r>
      <w:r w:rsidR="00395079">
        <w:t xml:space="preserve">the </w:t>
      </w:r>
      <w:r w:rsidR="00715166" w:rsidRPr="00435A39">
        <w:t xml:space="preserve">local </w:t>
      </w:r>
      <w:r w:rsidR="00395079">
        <w:t>sphere</w:t>
      </w:r>
      <w:r w:rsidR="00715166" w:rsidRPr="00435A39">
        <w:t xml:space="preserve">, </w:t>
      </w:r>
      <w:r w:rsidR="00395079">
        <w:t xml:space="preserve">the networks, relationships and intermediation sphere, and the system sphere. </w:t>
      </w:r>
      <w:r w:rsidR="00715166" w:rsidRPr="00435A39">
        <w:t>MSSRF</w:t>
      </w:r>
      <w:r w:rsidR="00574F36" w:rsidRPr="00435A39">
        <w:t xml:space="preserve"> was able</w:t>
      </w:r>
      <w:r w:rsidR="00715166" w:rsidRPr="00435A39">
        <w:t xml:space="preserve"> </w:t>
      </w:r>
      <w:r w:rsidR="00F52E08">
        <w:t xml:space="preserve">to </w:t>
      </w:r>
      <w:r w:rsidR="00715166" w:rsidRPr="00435A39">
        <w:t xml:space="preserve">synchronise action across </w:t>
      </w:r>
      <w:r w:rsidR="000401C2" w:rsidRPr="00435A39">
        <w:t xml:space="preserve">these three different </w:t>
      </w:r>
      <w:r w:rsidR="00395079">
        <w:t xml:space="preserve">spheres </w:t>
      </w:r>
      <w:r w:rsidR="00715166" w:rsidRPr="00435A39">
        <w:t xml:space="preserve">and by doing so scale the nutritional and environmental benefits of millets across large parts of </w:t>
      </w:r>
      <w:r w:rsidR="000401C2" w:rsidRPr="00435A39">
        <w:t>Odisha</w:t>
      </w:r>
      <w:r w:rsidR="003D38DD">
        <w:t>. Th</w:t>
      </w:r>
      <w:r w:rsidR="00E85868">
        <w:t>e</w:t>
      </w:r>
      <w:r w:rsidR="003D38DD">
        <w:t xml:space="preserve"> scaling process </w:t>
      </w:r>
      <w:r w:rsidR="00E85868">
        <w:t>was</w:t>
      </w:r>
      <w:r w:rsidR="003D38DD">
        <w:t xml:space="preserve"> </w:t>
      </w:r>
      <w:r w:rsidR="003D38DD">
        <w:lastRenderedPageBreak/>
        <w:t xml:space="preserve">“responsible” both in how it respected and strengthened local and often overlooked preferences, and in how it engaged a diverse set of stakeholders to establish governance arrangements capable of supporting these preferences and their associated benefits within broader policy arenas </w:t>
      </w:r>
      <w:r w:rsidR="00BB0F7B">
        <w:fldChar w:fldCharType="begin"/>
      </w:r>
      <w:r w:rsidR="00880532">
        <w:instrText xml:space="preserve"> ADDIN ZOTERO_ITEM CSL_CITATION {"citationID":"e32k5lML","properties":{"unsorted":false,"formattedCitation":"(Kihoro et al., 2025)","plainCitation":"(Kihoro et al., 2025)","noteIndex":0},"citationItems":[{"id":20367,"uris":["http://zotero.org/users/12768557/items/X2P7P3PR","http://zotero.org/users/12768557/items/JDVTKDUU"],"itemData":{"id":20367,"type":"article-journal","abstract":"Innovation is central to achieving global agri-food transformation agendas, including those related to the 2030 United Nations Sustainable Development Goals. The effective use of technologies, along with process and institutional innovations, at optimal scale by farmers and other diverse clients is essential to addressing interconnected challenges such as poverty, malnutrition, biodiversity loss, and climate change. Over the past decade, notions about the “scaling” of innovations have shifted from simplistic ‘copy-paste’ models to acknowledging the context-specificity, complexity, and unpredictability related to innovation use at progressively larger scales. Despite this shift, many scaling efforts remain relatively unsustainable or irresponsible. They often fail to catalyze systemic change, remain supply-driven, and lack focus beyond project lifespans. In worst case scenarios, they may also generate unintended and negative consequences rather than broad societal or environmental benefits. Approaches like mission-oriented innovation policy, transformative innovation policy, and co-production have emerged to address these persistent challenges. While they promote more inclusive and systemic innovation, their integration into scaling practice remains limited, highlighting the need for more deliberate and aligned efforts. This special issue seeks to deepen debates around responsible scaling for agri-food system transformation. It aims to address responsibility dimensions related to gender and social inclusion (e.g. sex, age, race, cultural diversity, class, wealth), anticipating and mitigating unintended consequences of innovation use at scale (e.g. heightened greenhouse gas emissions, social inequality, income gaps, etc.), demand-driven innovation and scaling (e.g. through user-centered design), responsible use of scarce resources (e.g. scaling prioritization tools and frameworks, innovation portfolio management), the (financial) sustainability of scaling investments (e.g. exit- and handover strategies, partnership and funding arrangements), as well as alternative scaling models (e.g. outcome-oriented scaling). We welcome theoretical, methodological, and empirical contributions, including case studies, that provide lessons on successes and failures of responsible scaling for transformative impact.","container-title":"Agricultural Systems","DOI":"10.1016/j.agsy.2025.104427","ISSN":"0308-521X","journalAbbreviation":"Agricultural Systems","page":"104427","source":"ScienceDirect","title":"Responsible scaling for transformative impact: Lessons from the science and practice of responsible scaling for agri-food system transformation","title-short":"Responsible scaling for transformative impact","volume":"229","author":[{"family":"Kihoro","given":"Esther"},{"family":"Schut","given":"Marc"},{"family":"McGuire","given":"Erin"},{"family":"Gebreyes","given":"Million"},{"family":"Leeuwis","given":"Cees"}],"issued":{"date-parts":[["2025",10,1]]}}}],"schema":"https://github.com/citation-style-language/schema/raw/master/csl-citation.json"} </w:instrText>
      </w:r>
      <w:r w:rsidR="00BB0F7B">
        <w:fldChar w:fldCharType="separate"/>
      </w:r>
      <w:r w:rsidR="00880532">
        <w:rPr>
          <w:noProof/>
        </w:rPr>
        <w:t>(Kihoro et al., 2025)</w:t>
      </w:r>
      <w:r w:rsidR="00BB0F7B">
        <w:fldChar w:fldCharType="end"/>
      </w:r>
      <w:r w:rsidR="003D38DD">
        <w:t xml:space="preserve">. </w:t>
      </w:r>
      <w:r w:rsidR="00BB0F7B">
        <w:t xml:space="preserve">While these represent only some of the dimensions that characterise responsible scaling, which would be difficult to capture in their entirety within a single case study, </w:t>
      </w:r>
      <w:r w:rsidR="00E85868">
        <w:t>w</w:t>
      </w:r>
      <w:r w:rsidR="00BB0F7B">
        <w:t xml:space="preserve">e </w:t>
      </w:r>
      <w:r w:rsidR="00E85868">
        <w:t>use</w:t>
      </w:r>
      <w:r w:rsidR="00BB0F7B">
        <w:t xml:space="preserve"> </w:t>
      </w:r>
      <w:r w:rsidR="00F52E08">
        <w:t xml:space="preserve">the </w:t>
      </w:r>
      <w:r w:rsidR="00574F36" w:rsidRPr="00435A39">
        <w:t>experience</w:t>
      </w:r>
      <w:r w:rsidR="00F52E08">
        <w:t xml:space="preserve"> of MSSRF </w:t>
      </w:r>
      <w:r w:rsidR="00C47901">
        <w:t xml:space="preserve">with </w:t>
      </w:r>
      <w:r w:rsidR="00F52E08">
        <w:t>mil</w:t>
      </w:r>
      <w:r w:rsidR="00C47901">
        <w:t>lets</w:t>
      </w:r>
      <w:r w:rsidR="00574F36" w:rsidRPr="00435A39">
        <w:t xml:space="preserve"> to propose a conceptualisation of scaling as a process of synchronisation </w:t>
      </w:r>
      <w:r w:rsidR="00395079">
        <w:t>and sequencing across different spheres</w:t>
      </w:r>
      <w:r w:rsidR="00574F36" w:rsidRPr="00435A39">
        <w:t>.</w:t>
      </w:r>
      <w:r w:rsidR="000401C2" w:rsidRPr="00435A39">
        <w:t xml:space="preserve"> </w:t>
      </w:r>
      <w:r w:rsidR="00574F36" w:rsidRPr="00435A39">
        <w:t xml:space="preserve">The paper also discusses how this conceptualisation and the experience of MSSRF reframes and expands the </w:t>
      </w:r>
      <w:r w:rsidR="00395079">
        <w:t xml:space="preserve">roles and capabilities of organisations </w:t>
      </w:r>
      <w:r w:rsidR="00574F36" w:rsidRPr="00435A39">
        <w:t xml:space="preserve">to drive </w:t>
      </w:r>
      <w:r w:rsidR="00395079">
        <w:t xml:space="preserve">system change. </w:t>
      </w:r>
    </w:p>
    <w:p w14:paraId="56C27DC4" w14:textId="77777777" w:rsidR="006B4572" w:rsidRPr="00435A39" w:rsidRDefault="006B4572" w:rsidP="00435A39"/>
    <w:p w14:paraId="79A1340D" w14:textId="22760793" w:rsidR="00237788" w:rsidRPr="00435A39" w:rsidRDefault="00460BAD" w:rsidP="00435A39">
      <w:r w:rsidRPr="00435A39">
        <w:t>The paper proceeds as follows</w:t>
      </w:r>
      <w:r w:rsidR="00CC1103" w:rsidRPr="00435A39">
        <w:t xml:space="preserve">: the next section highlights the salient points of the scaling debates over the last few decades, to then present the methods and the case study. In the </w:t>
      </w:r>
      <w:r w:rsidR="00B43631">
        <w:t>analysis of r</w:t>
      </w:r>
      <w:r w:rsidR="00CC1103" w:rsidRPr="00435A39">
        <w:t>esults</w:t>
      </w:r>
      <w:r w:rsidR="00B43631">
        <w:t xml:space="preserve"> and discussion</w:t>
      </w:r>
      <w:r w:rsidR="00CC1103" w:rsidRPr="00435A39">
        <w:t>, we answer the two proposed research questions</w:t>
      </w:r>
      <w:r w:rsidR="00B43631">
        <w:t xml:space="preserve"> and </w:t>
      </w:r>
      <w:r w:rsidR="00CC1103" w:rsidRPr="00435A39">
        <w:t>their implications for scaling</w:t>
      </w:r>
      <w:r w:rsidR="00B43631">
        <w:t xml:space="preserve"> </w:t>
      </w:r>
      <w:r w:rsidR="005457EB">
        <w:t>debates</w:t>
      </w:r>
      <w:r w:rsidR="00E33B56">
        <w:t xml:space="preserve">. </w:t>
      </w:r>
      <w:r w:rsidR="0006382C" w:rsidRPr="00435A39">
        <w:t>The conclusion</w:t>
      </w:r>
      <w:r w:rsidR="00C974C2" w:rsidRPr="00435A39">
        <w:t xml:space="preserve"> </w:t>
      </w:r>
      <w:r w:rsidR="00592ECF">
        <w:t>reconceptualises</w:t>
      </w:r>
      <w:r w:rsidR="00D745A8">
        <w:t xml:space="preserve"> scaling as a process involving synchronised and sequenced changes across </w:t>
      </w:r>
      <w:r w:rsidR="00C84E2D">
        <w:t xml:space="preserve">three </w:t>
      </w:r>
      <w:r w:rsidR="005457EB">
        <w:t>spheres</w:t>
      </w:r>
      <w:r w:rsidR="00592ECF">
        <w:t xml:space="preserve"> and</w:t>
      </w:r>
      <w:r w:rsidR="00D745A8">
        <w:t xml:space="preserve"> highlights the critical role of multi-functional organisations in enabling this process.</w:t>
      </w:r>
    </w:p>
    <w:p w14:paraId="7E444347" w14:textId="4D60AE24" w:rsidR="00EA1185" w:rsidRPr="00435A39" w:rsidRDefault="00EA1185" w:rsidP="00435A39">
      <w:pPr>
        <w:rPr>
          <w:color w:val="1F1F1F"/>
        </w:rPr>
      </w:pPr>
    </w:p>
    <w:p w14:paraId="1ECC4700" w14:textId="3C2C2E0B" w:rsidR="006565DC" w:rsidRPr="00435A39" w:rsidRDefault="00E33B56" w:rsidP="00435A39">
      <w:pPr>
        <w:pStyle w:val="Heading1"/>
      </w:pPr>
      <w:r>
        <w:t>Towards a system framing of scaling</w:t>
      </w:r>
    </w:p>
    <w:p w14:paraId="4D738CE3" w14:textId="254BF84A" w:rsidR="00FB1BE9" w:rsidRPr="00E95625" w:rsidRDefault="00FB1BE9" w:rsidP="00435A39">
      <w:pPr>
        <w:rPr>
          <w:i/>
          <w:iCs/>
        </w:rPr>
      </w:pPr>
      <w:r w:rsidRPr="00E95625">
        <w:rPr>
          <w:i/>
          <w:iCs/>
        </w:rPr>
        <w:t>2.1 A brief history of scaling</w:t>
      </w:r>
    </w:p>
    <w:p w14:paraId="62C281BB" w14:textId="6618C7F2" w:rsidR="0083195D" w:rsidRPr="00435A39" w:rsidRDefault="0083195D" w:rsidP="00435A39">
      <w:r w:rsidRPr="00435A39">
        <w:t>Debates</w:t>
      </w:r>
      <w:r w:rsidR="00CE3604" w:rsidRPr="00435A39">
        <w:t xml:space="preserve"> on scaling have</w:t>
      </w:r>
      <w:r w:rsidRPr="00435A39">
        <w:t xml:space="preserve"> </w:t>
      </w:r>
      <w:r w:rsidR="00CE3604" w:rsidRPr="00435A39">
        <w:t>evolved and expanded over tim</w:t>
      </w:r>
      <w:r w:rsidRPr="00435A39">
        <w:t>e</w:t>
      </w:r>
      <w:r w:rsidR="00C47901">
        <w:t xml:space="preserve"> with </w:t>
      </w:r>
      <w:r w:rsidR="00D67D96" w:rsidRPr="00435A39">
        <w:t xml:space="preserve">three </w:t>
      </w:r>
      <w:r w:rsidR="00C47901">
        <w:t>distinct conceptualisations emerging over time.</w:t>
      </w:r>
    </w:p>
    <w:p w14:paraId="64A34657" w14:textId="65E31464" w:rsidR="0083195D" w:rsidRPr="00435A39" w:rsidRDefault="00144F72" w:rsidP="00435A39">
      <w:pPr>
        <w:ind w:firstLine="720"/>
      </w:pPr>
      <w:r w:rsidRPr="00435A39">
        <w:t xml:space="preserve">Prior to the </w:t>
      </w:r>
      <w:r w:rsidR="00CE3604" w:rsidRPr="00435A39">
        <w:t xml:space="preserve">2000s, </w:t>
      </w:r>
      <w:r w:rsidRPr="00435A39">
        <w:t xml:space="preserve">attention was focused on how development interventions could increase livelihood incomes and food security, mainly through technology adoption </w:t>
      </w:r>
      <w:r w:rsidR="008D26C6" w:rsidRPr="00435A39">
        <w:fldChar w:fldCharType="begin"/>
      </w:r>
      <w:r w:rsidR="008D26C6" w:rsidRPr="00435A39">
        <w:instrText xml:space="preserve"> ADDIN ZOTERO_ITEM CSL_CITATION {"citationID":"dOYq6KMa","properties":{"formattedCitation":"(Sumberg and Okali, 1988)","plainCitation":"(Sumberg and Okali, 1988)","noteIndex":0},"citationItems":[{"id":19107,"uris":["http://zotero.org/users/12768557/items/LGB9RC53"],"itemData":{"id":19107,"type":"article-journal","abstract":"Most commonly, on-farm research has sought to validate and demonstrate technologies developed under controlled experimental conditions. It is argued here that on-farm research has a role in all stages of technology development, and that methodologies and objectives transplanted from the research station are inappropriate, particularly given the restrictions they impose on farmers' capacity to experiment with new technology. Drawing on experience with alley farming in W. Africa, it is shown how the farm and farm family can be incorporated fully throughout the process of technology development. The example is used to clarify the role of researchers in participatory technology development.","container-title":"Experimental Agriculture","DOI":"10.1017/S0014479700016185","ISSN":"1469-4441, 0014-4797","issue":"3","language":"en","page":"333-342","source":"Cambridge University Press","title":"Farmers, On-farm Research and the Development of New Technology","volume":"24","author":[{"family":"Sumberg","given":"J."},{"family":"Okali","given":"C."}],"issued":{"date-parts":[["1988",7]]}}}],"schema":"https://github.com/citation-style-language/schema/raw/master/csl-citation.json"} </w:instrText>
      </w:r>
      <w:r w:rsidR="008D26C6" w:rsidRPr="00435A39">
        <w:fldChar w:fldCharType="separate"/>
      </w:r>
      <w:r w:rsidR="008D26C6" w:rsidRPr="00435A39">
        <w:rPr>
          <w:noProof/>
        </w:rPr>
        <w:t>(Sumberg and Okali, 1988)</w:t>
      </w:r>
      <w:r w:rsidR="008D26C6" w:rsidRPr="00435A39">
        <w:fldChar w:fldCharType="end"/>
      </w:r>
      <w:r w:rsidR="008D26C6" w:rsidRPr="00435A39">
        <w:t xml:space="preserve">. Technological change was conceived </w:t>
      </w:r>
      <w:r w:rsidR="00451516" w:rsidRPr="00435A39">
        <w:t xml:space="preserve">mainly </w:t>
      </w:r>
      <w:r w:rsidR="008D26C6" w:rsidRPr="00435A39">
        <w:t xml:space="preserve">as an on-farm phenomenon, dependent on individual level factors such as farm size, gender, age and education </w:t>
      </w:r>
      <w:r w:rsidR="008D26C6" w:rsidRPr="00435A39">
        <w:fldChar w:fldCharType="begin"/>
      </w:r>
      <w:r w:rsidR="00EC1EAD" w:rsidRPr="00435A39">
        <w:instrText xml:space="preserve"> ADDIN ZOTERO_ITEM CSL_CITATION {"citationID":"yILrhr4e","properties":{"formattedCitation":"(Bonny, 1992; Rauniyar and Goode, 1992; Sahal, 1981)","plainCitation":"(Bonny, 1992; Rauniyar and Goode, 1992; Sahal, 1981)","noteIndex":0},"citationItems":[{"id":19108,"uris":["http://zotero.org/users/12768557/items/G68QU88P"],"itemData":{"id":19108,"type":"article-journal","abstract":"The aim of the study was to identify the channels by which technical change reaches the farm today, which farmers are concerned, and the degree of penetration of one major form of technical change today: the new information technologies (data processing, data communications, electronics, etc.). The means was a survey carried out in 1987, 1988 and 1989, involving 2000 French farmers, with a panel follow-up for some of them. Three main vectors of technical change on farm holdings are considered: use of new inputs, non-physical investments and physical investments. The penetration of the new information technologies is already noticeable.","container-title":"Agricultural Systems","DOI":"10.1016/0308-521X(92)90088-6","ISSN":"0308-521X","issue":"1","journalAbbreviation":"Agricultural Systems","page":"75-103","source":"ScienceDirect","title":"Ongoing technical change on farm holdings in a developed country, France. A survey on its vectors, its nature and the farmers concerned","volume":"38","author":[{"family":"Bonny","given":"Sylvie"}],"issued":{"date-parts":[["1992",1,1]]}}},{"id":19118,"uris":["http://zotero.org/users/12768557/items/LFFT5N3Y"],"itemData":{"id":19118,"type":"article-journal","abstract":"The study investigates the interrelationships among technological practices adopted by maize-growing farmers in Swaziland. Seven practices considered in the study were per hectare application of high-yielding variety seed, basal and topdress fertilizer, insecticides, tractor plowing, plant populations, and average planting date. Factor analysis was used to examine the interrelationships among these practices. The results show that three distinct technological packages summarize the above practices. Technology adoption requires simultaneous decisions by farmers regarding the use of practices within a package. The three packages are, however, independent of one another. The study implies that understanding interrelationships among practices is important for successful technology planning in developing countries.","container-title":"World Development","DOI":"10.1016/0305-750X(92)90105-5","ISSN":"0305-750X","issue":"2","journalAbbreviation":"World Development","page":"275-282","source":"ScienceDirect","title":"Technology adoption on small farms","volume":"20","author":[{"family":"Rauniyar","given":"Ganesh P."},{"family":"Goode","given":"Frank M."}],"issued":{"date-parts":[["1992",2,1]]}},"label":"page"},{"id":19110,"uris":["http://zotero.org/users/12768557/items/5Q4HISG3"],"itemData":{"id":19110,"type":"article-journal","abstract":"While the of diffusion of technology has been extensively studied, a sysetematic treatment of origin of innovations is generally lacking. This has important implications for studies not only of the phenomenon of diffusion itself, but also for studies of long-term growth of productivity. This paper presents an investigation of technological; innovations in the farm tractor during a time period of nearly five decades from its genesis. It is concluded that the observed advances in technology are attributable to variations in farm size and experience acquired in the production and utilization of the tractor over the course of time. More generally, two main hypotheses of technological change emerge from the results of thus study. One is the hypothesis of learning i.e. that technological innovation originates in the accumulated experience of a practical nature. The other is the hypothesis of scaling, i.e. that the process of innovation is further governed by changes in the size of the larger system, within which the technology is embedded. However, certain widely believed alternative hypotheses of technological change do not seem to generally hold. It is concluded that technological development is an evolutionary process which is best understood in terms of an internal logic of its own.","container-title":"Research Policy","DOI":"10.1016/0048-7333(81)90020-2","ISSN":"0048-7333","issue":"4","journalAbbreviation":"Research Policy","page":"368-402","source":"ScienceDirect","title":"The farm tractor and the nature of technological innovation","volume":"10","author":[{"family":"Sahal","given":"Devendra"}],"issued":{"date-parts":[["1981",10,1]]}},"label":"page"}],"schema":"https://github.com/citation-style-language/schema/raw/master/csl-citation.json"} </w:instrText>
      </w:r>
      <w:r w:rsidR="008D26C6" w:rsidRPr="00435A39">
        <w:fldChar w:fldCharType="separate"/>
      </w:r>
      <w:r w:rsidR="00EC1EAD" w:rsidRPr="00435A39">
        <w:rPr>
          <w:noProof/>
        </w:rPr>
        <w:t>(Bonny, 1992; Rauniyar and Goode, 1992; Sahal, 1981)</w:t>
      </w:r>
      <w:r w:rsidR="008D26C6" w:rsidRPr="00435A39">
        <w:fldChar w:fldCharType="end"/>
      </w:r>
      <w:r w:rsidR="008D26C6" w:rsidRPr="00435A39">
        <w:t xml:space="preserve">. </w:t>
      </w:r>
      <w:r w:rsidR="00451516" w:rsidRPr="00435A39">
        <w:t>O</w:t>
      </w:r>
      <w:r w:rsidR="00EC1EAD" w:rsidRPr="00435A39">
        <w:t>ver the years, additional factors influencing technological change started being remarked</w:t>
      </w:r>
      <w:r w:rsidR="00B97259" w:rsidRPr="00435A39">
        <w:t xml:space="preserve"> upon</w:t>
      </w:r>
      <w:r w:rsidR="00EC1EAD" w:rsidRPr="00435A39">
        <w:t xml:space="preserve"> – in particular, </w:t>
      </w:r>
      <w:r w:rsidR="008D26C6" w:rsidRPr="00435A39">
        <w:t>the</w:t>
      </w:r>
      <w:r w:rsidR="00EC1EAD" w:rsidRPr="00435A39">
        <w:t xml:space="preserve"> challenges and opportunities experienced by farming communities in their</w:t>
      </w:r>
      <w:r w:rsidR="008D26C6" w:rsidRPr="00435A39">
        <w:t xml:space="preserve"> broader local context</w:t>
      </w:r>
      <w:r w:rsidR="00EC1EAD" w:rsidRPr="00435A39">
        <w:t xml:space="preserve">, and the </w:t>
      </w:r>
      <w:r w:rsidR="008D26C6" w:rsidRPr="00435A39">
        <w:t xml:space="preserve">cultural norms, historical patterns and </w:t>
      </w:r>
      <w:r w:rsidR="00EC1EAD" w:rsidRPr="00435A39">
        <w:t>broader economic and political incentives</w:t>
      </w:r>
      <w:r w:rsidR="008D26C6" w:rsidRPr="00435A39">
        <w:t xml:space="preserve"> </w:t>
      </w:r>
      <w:r w:rsidR="00EC1EAD" w:rsidRPr="00435A39">
        <w:t>playing out in these communities</w:t>
      </w:r>
      <w:r w:rsidR="008D26C6" w:rsidRPr="00435A39">
        <w:t xml:space="preserve"> </w:t>
      </w:r>
      <w:r w:rsidR="008D26C6" w:rsidRPr="00435A39">
        <w:fldChar w:fldCharType="begin"/>
      </w:r>
      <w:r w:rsidR="00AD2E2F">
        <w:instrText xml:space="preserve"> ADDIN ZOTERO_ITEM CSL_CITATION {"citationID":"Gh8jbrEq","properties":{"formattedCitation":"(Pimbert et al., 2003; Robson, 1974)","plainCitation":"(Pimbert et al., 2003; Robson, 1974)","noteIndex":0},"citationItems":[{"id":1503,"uris":["http://zotero.org/users/12768557/items/KW3W4F9Q"],"itemData":{"id":1503,"type":"report","publisher-place":"London","title":"Global Restructuring, Agri-Food Systems and Livelihoods - Gatekeeper Series 100","URL":"https://www.iied.org/sites/default/files/pdfs/migrate/9166IIED.pdf","author":[{"family":"Pimbert","given":"M."},{"family":"Thompson","given":"J."},{"family":"Vorley","given":"B"},{"family":"Fox","given":"T."},{"family":"Kanji","given":"N"},{"family":"Tacoli","given":"C."}],"issued":{"date-parts":[["2003"]]}}},{"id":1580,"uris":["http://zotero.org/users/12768557/items/YNC2LGQL"],"itemData":{"id":1580,"type":"article-journal","abstract":"The remote and immediate causes of protein deficiency in a Southwest Tanzanian community were examined. The inadequate nutrition of infants and children was attributable to a variety of factors whi...","container-title":"http://dx.doi.org/10.1080/03670244.1974.9990361","DOI":"10.1080/03670244.1974.9990361","issue":"1","page":"61-72","publisher":"Taylor &amp; Francis Group","title":"The ecology of malnutrition in a rural community in Tanzania","volume":"3","author":[{"family":"Robson","given":"John R.K."}],"issued":{"date-parts":[["1974",1]]}}}],"schema":"https://github.com/citation-style-language/schema/raw/master/csl-citation.json"} </w:instrText>
      </w:r>
      <w:r w:rsidR="008D26C6" w:rsidRPr="00435A39">
        <w:fldChar w:fldCharType="separate"/>
      </w:r>
      <w:r w:rsidR="008D26C6" w:rsidRPr="00435A39">
        <w:rPr>
          <w:noProof/>
        </w:rPr>
        <w:t>(Pimbert et al., 2003; Robson, 1974)</w:t>
      </w:r>
      <w:r w:rsidR="008D26C6" w:rsidRPr="00435A39">
        <w:fldChar w:fldCharType="end"/>
      </w:r>
      <w:r w:rsidRPr="00435A39">
        <w:t>.</w:t>
      </w:r>
      <w:r w:rsidR="000739A7" w:rsidRPr="00435A39">
        <w:t xml:space="preserve"> </w:t>
      </w:r>
    </w:p>
    <w:p w14:paraId="6DD865F0" w14:textId="23C9FC10" w:rsidR="00CB625A" w:rsidRPr="00435A39" w:rsidRDefault="00DD2696" w:rsidP="00F16847">
      <w:pPr>
        <w:ind w:firstLine="720"/>
      </w:pPr>
      <w:r w:rsidRPr="00435A39">
        <w:t>I</w:t>
      </w:r>
      <w:r w:rsidR="00EC1EAD" w:rsidRPr="00435A39">
        <w:t xml:space="preserve">n the early 2000s, the </w:t>
      </w:r>
      <w:r w:rsidR="00CE3604" w:rsidRPr="00435A39">
        <w:t xml:space="preserve">concept of </w:t>
      </w:r>
      <w:r w:rsidRPr="00435A39">
        <w:t xml:space="preserve">an agriculture </w:t>
      </w:r>
      <w:r w:rsidR="00CE3604" w:rsidRPr="00435A39">
        <w:t>innovation system</w:t>
      </w:r>
      <w:r w:rsidRPr="00435A39">
        <w:t>, while not explicitly addressing scaling debates, presented a different way of thinking about of technical change. In particular, rather than looking at the binary adoption or non-adoption of technology by far</w:t>
      </w:r>
      <w:r w:rsidR="00E33B56">
        <w:t>mer</w:t>
      </w:r>
      <w:r w:rsidRPr="00435A39">
        <w:t xml:space="preserve">s and the effectiveness of </w:t>
      </w:r>
      <w:r w:rsidR="00E33B56">
        <w:t>agricultural extension and advisory services</w:t>
      </w:r>
      <w:r w:rsidRPr="00E005DE">
        <w:t xml:space="preserve">, </w:t>
      </w:r>
      <w:r w:rsidR="00E005DE" w:rsidRPr="00E95625">
        <w:t xml:space="preserve">it pointed to the networks of actors—researchers, farmers, input suppliers, extension agents, policy makers—and the institutional arrangements that shape how knowledge is generated, shared, adapted, and used </w:t>
      </w:r>
      <w:r w:rsidR="00C060CA" w:rsidRPr="00435A39">
        <w:fldChar w:fldCharType="begin"/>
      </w:r>
      <w:r w:rsidR="00D66183">
        <w:instrText xml:space="preserve"> ADDIN ZOTERO_ITEM CSL_CITATION {"citationID":"lzrQbUh5","properties":{"formattedCitation":"(Hall et al., 2001; Klerkx et al., 2010; Klerkx and Leeuwis, 2008)","plainCitation":"(Hall et al., 2001; Klerkx et al., 2010; Klerkx and Leeuwis, 2008)","noteIndex":0},"citationItems":[{"id":384,"uris":["http://zotero.org/users/12768557/items/GNJK3LWD"],"itemData":{"id":384,"type":"article-journal","abstract":"This paper explores the conceptual basis for existing and emergent institutional patterns in the context of partnership approaches to technology development. Drawing examples from recent studies of private enterprise activity in India smallholder horticulture, it suggests that agricultural innovation as a process involves a wider range of organizational types than the conventional policy focus on public sector research organizations would tend to suggest. It uses the concept of a “national innovation system” to argue that a partnership approach is adopted as a core methodology for engaging science and technology development with the livelihood demands of the poor.","container-title":"World Development","DOI":"10.1016/S0305-750X(01)00004-3","issue":"5","page":"783-797","title":"Why Research Partnerships Really Matter: Innovation Theory, Institutional Arrangements and Implications for Developing New Technology for the Poor","volume":"29","author":[{"family":"Hall","given":"Andrew"},{"family":"Bockett","given":"Geoffrey"},{"family":"Taylor","given":"Sarah"},{"family":"Sivamohan","given":"M V K"},{"family":"Clark","given":"Norman"}],"issued":{"date-parts":[["2001"]]}}},{"id":1605,"uris":["http://zotero.org/users/12768557/items/ZILL7BKC"],"itemData":{"id":1605,"type":"article-journal","abstract":"The purpose of this article is to investigate effective reformism: strategies that innovation networks deploy to create changes in their environment in order to establish a more conducive context for the realization and durable embedding of their innovation projects. Using a case study approach, effective reformism efforts are analyzed in a technological innovation trajectory related to the implementation of a new poultry husbandry system and an organizational innovation trajectory concerning new ways of co-operation among individual farms to establish economies of scale. The findings reinforce the idea, emerging from a complexity perspective on agricultural innovation systems, that interaction between innovation networks and their environment is only steerable to a limited extent. Nonetheless, innovation networks can enhance effective reformism by creating tangible visions that serve as vehicles to create understanding about the innovation and mobilize support for it, and by employing several kinds of boundary spanning individuals that are able to forge effective connections between innovation networks and their environment. Because innovation networks can only partially influence their institutional environment, and because unintended consequences of actions and random events influence the course of the innovation process, innovation network actors need to continuously re-interpret the contexts in which they move. This constant reflection by the innovating actors on their position vis-à-vis their environment needs to be supported by dedicated facilitators and monitoring and evaluation methods aimed at system learning. This implies that agricultural innovation policies should, instead of aiming to fully plan and control innovation, foster the emergence of such flexible support instruments that enable adaptive innovation management. © 2010 Elsevier Ltd.","container-title":"Agricultural Systems","DOI":"10.1016/J.AGSY.2010.03.012","issue":"6","page":"390-400","publisher":"Elsevier","title":"Adaptive management in agricultural innovation systems: The interactions between innovation networks and their environment","volume":"103","author":[{"family":"Klerkx","given":"Laurens"},{"family":"Aarts","given":"Noelle"},{"family":"Leeuwis","given":"Cees"}],"issued":{"date-parts":[["2010",7]]}}},{"id":474,"uris":["http://zotero.org/users/12768557/items/RDUIPZ5T"],"itemData":{"id":474,"type":"article-journal","abstract":"The purpose of this paper is to provide insights into the emergence, embedding and optimal design of intermediaries who act as a bridge between demand and supply in the agricultural knowledge infrastructure. Using a case-study approach, the paper focuses on the relationships between a for-profit intermediary organisation in The Netherlands and several parties for which it performs various bridging functions, i.e., coupling these parties in particular innovation processes and channelling their subsequent interactions. The findings suggest that although innovation intermediation is seen as beneficial, tensions emerge regarding the innovation intermediary's governance structure, the way it generates its revenues and the different activities it performs. A clearer delineation between its different activities has to be made in order to minimise competition with other providers of R&amp;D and knowledge intensive business services, and to protect its credibility and impartiality. Furthermore, some tasks of innovation intermediaries are best funded publicly, whereas others should be funded privately. The originality of the paper lies in the fact that it focuses on relationships between an innovation intermediary and the supply side of the knowledge infrastructure, whereas typically the focus is on interactions with end-users of knowledge and information. © 2007 Elsevier Ltd. All rights reserved.","container-title":"Technovation","DOI":"10.1016/J.TECHNOVATION.2007.05.005","issue":"6","page":"364-378","publisher":"Elsevier","title":"Balancing multiple interests: Embedding innovation intermediation in the agricultural knowledge infrastructure","volume":"28","author":[{"family":"Klerkx","given":"Laurens"},{"family":"Leeuwis","given":"Cees"}],"issued":{"date-parts":[["2008",6]]}}}],"schema":"https://github.com/citation-style-language/schema/raw/master/csl-citation.json"} </w:instrText>
      </w:r>
      <w:r w:rsidR="00C060CA" w:rsidRPr="00435A39">
        <w:fldChar w:fldCharType="separate"/>
      </w:r>
      <w:r w:rsidR="00254C95">
        <w:rPr>
          <w:noProof/>
        </w:rPr>
        <w:t>(Hall et al., 2001; Klerkx et al., 2010; Klerkx and Leeuwis, 2008)</w:t>
      </w:r>
      <w:r w:rsidR="00C060CA" w:rsidRPr="00435A39">
        <w:fldChar w:fldCharType="end"/>
      </w:r>
      <w:r w:rsidR="00CE3604" w:rsidRPr="00435A39">
        <w:t>.</w:t>
      </w:r>
      <w:r w:rsidR="00CB625A" w:rsidRPr="00435A39">
        <w:t xml:space="preserve"> </w:t>
      </w:r>
      <w:r w:rsidR="00E005DE" w:rsidRPr="00E95625">
        <w:t>Most importantly, this framing focused holistically on the process of innovation rather than its component parts of technology creation and technology use</w:t>
      </w:r>
      <w:r w:rsidR="00AD2E2F">
        <w:t xml:space="preserve"> </w:t>
      </w:r>
      <w:r w:rsidR="00C84E2D">
        <w:fldChar w:fldCharType="begin"/>
      </w:r>
      <w:r w:rsidR="00C84E2D">
        <w:instrText xml:space="preserve"> ADDIN ZOTERO_ITEM CSL_CITATION {"citationID":"HUccfYjr","properties":{"formattedCitation":"(Hall, 2007)","plainCitation":"(Hall, 2007)","noteIndex":0},"citationItems":[{"id":2878,"uris":["http://zotero.org/users/12768557/items/QF7VFJ38"],"itemData":{"id":2878,"type":"report","abstract":"This paper was prepared to present at the Farmer First Revisited: 20 Years On conference at IDS, University of Sussex, UK, December 2007. Its focus is the challenge of strengthening agricultural innovation systems. The paper prefaces this discussion by reflecting on an apparent paradox. While agricultural innovation has never been better studied and understood, many of our ideas about innovation have failed to fundamentally change the institutional and policy setting of public and private investment intended to promote innovation for development. The paper asks \"students of innovation\" why a virtual spiral of innovation practice and policy learning hasn't emerged. The paper then locates the current interest in innovation systems in the evolving and contested approaches to agricultural development, noting that this is characterised by a long history of false dichotomies. The contingencies of the emerging agricultural scenario will demand the more networked modes of collective intelligence and innovation that are embodied in the innovation systems concept. The paper argues, however, that the innovation systems idea should be view as a metaphor for innovation diversity, rather than another competing innovation narrative. The way forward, it is suggested, is to create a united front of different collective intelligence-based innovation narratives to kick-start the virtuous spiral of innovation practice and policy learning. This is needed to strengthen agricultural innovation systems and so achieve developmental goals. The paper argues that it is the responsibly of all us \"students of innovation\" to argue for this space for diversity to flourish and to help consolidate and promote what is known about agricultural innovation. If we aren't more successful in stimulating institutional and policy change we will still be debating these issues 20 years hence.","ISSN":"1871-9872","number":"#2007-038","page":"1-12","publisher":"United Nations University – Maastricht Economic and social Research and training centre on Innovation and Technology","title":"Challenges to Strengthening Agricultural Innovation Systems: Where Do We Go From Here?","URL":"http://www.merit.unu.edu/publications/wppdf/2007/wp2007-038.pdf","author":[{"family":"Hall","given":"Andy"}],"issued":{"date-parts":[["2007"]]}}}],"schema":"https://github.com/citation-style-language/schema/raw/master/csl-citation.json"} </w:instrText>
      </w:r>
      <w:r w:rsidR="00C84E2D">
        <w:fldChar w:fldCharType="separate"/>
      </w:r>
      <w:r w:rsidR="00C84E2D">
        <w:rPr>
          <w:noProof/>
        </w:rPr>
        <w:t>(Hall, 2007)</w:t>
      </w:r>
      <w:r w:rsidR="00C84E2D">
        <w:fldChar w:fldCharType="end"/>
      </w:r>
      <w:r w:rsidR="00E005DE" w:rsidRPr="00E95625">
        <w:t>.</w:t>
      </w:r>
      <w:r w:rsidR="001B1613">
        <w:t xml:space="preserve"> I</w:t>
      </w:r>
      <w:r w:rsidR="00E005DE" w:rsidRPr="00E95625">
        <w:t xml:space="preserve">mplicit in this framing is the understanding that scaling is fundamentally a systems problem: </w:t>
      </w:r>
      <w:r w:rsidR="00C47901">
        <w:t>rather than simply being a</w:t>
      </w:r>
      <w:r w:rsidR="00C47901" w:rsidRPr="00E95625">
        <w:t xml:space="preserve"> </w:t>
      </w:r>
      <w:r w:rsidR="00C47901">
        <w:t xml:space="preserve">problem of the </w:t>
      </w:r>
      <w:r w:rsidR="00C47901" w:rsidRPr="00E95625">
        <w:t>characteristics of individual technologies or adopters</w:t>
      </w:r>
      <w:r w:rsidR="00C47901">
        <w:t xml:space="preserve">, it was recognised that </w:t>
      </w:r>
      <w:r w:rsidR="00E005DE" w:rsidRPr="00E95625">
        <w:lastRenderedPageBreak/>
        <w:t>the strength of innovation networks, the quality of knowledge flows, and the alignment of incentives across actors</w:t>
      </w:r>
      <w:r w:rsidR="00C47901">
        <w:t xml:space="preserve"> </w:t>
      </w:r>
      <w:r w:rsidR="00E005DE" w:rsidRPr="00E95625">
        <w:t>determine whether innovation can move beyond pilot projects to achieve broader impact</w:t>
      </w:r>
      <w:r w:rsidR="00A3647D">
        <w:t>.</w:t>
      </w:r>
      <w:r w:rsidR="00E005DE" w:rsidRPr="00E95625">
        <w:t> </w:t>
      </w:r>
      <w:r w:rsidR="00E005DE">
        <w:t>T</w:t>
      </w:r>
      <w:r w:rsidR="00E005DE" w:rsidRPr="00E95625">
        <w:t>his insight was crucial</w:t>
      </w:r>
      <w:r w:rsidR="00E005DE">
        <w:t xml:space="preserve"> to move scaling debates towards a recognition that </w:t>
      </w:r>
      <w:r w:rsidR="00E005DE" w:rsidRPr="00E95625">
        <w:t xml:space="preserve">interactions between people are </w:t>
      </w:r>
      <w:r w:rsidR="001051CE" w:rsidRPr="00E95625">
        <w:t>a key</w:t>
      </w:r>
      <w:r w:rsidR="00E005DE" w:rsidRPr="00E95625">
        <w:t xml:space="preserve"> component of scaling processes </w:t>
      </w:r>
      <w:r w:rsidR="00E005DE" w:rsidRPr="001051CE">
        <w:t xml:space="preserve"> </w:t>
      </w:r>
      <w:r w:rsidR="00E005DE">
        <w:fldChar w:fldCharType="begin"/>
      </w:r>
      <w:r w:rsidR="00AD2E2F">
        <w:instrText xml:space="preserve"> ADDIN ZOTERO_ITEM CSL_CITATION {"citationID":"D2ivJ3wt","properties":{"formattedCitation":"(Leeuwis et al., 2021; Meadows, 2009)","plainCitation":"(Leeuwis et al., 2021; Meadows, 2009)","noteIndex":0},"citationItems":[{"id":20863,"uris":["http://zotero.org/users/12768557/items/5U2QDR9V"],"itemData":{"id":20863,"type":"article-journal","abstract":"This paper argues that supporting food system transformation requires more than obtaining science-based understanding and analysis of how components in the system interact. We argue that changing the emergent properties of food systems (what we call food system synthesis) is a socio-political challenge that is affected by competing views regarding system boundaries and purposes, and limited possibilities for central steering and control. We point to different traditions of ‘systems thinking’ that each emphasize particular types of interventions for achieving system change, and argue that food systems are best looked at as complex multi-dimensional systems. This implies that we need to move beyond rational engineering approaches to system change, and look for approaches that anticipate and accommodate inherent social tensions and struggles in processes of changing food system dynamics and outcomes. Through a case study on the persistence of an undesired emergent property of food systems (i.e. poverty) we demonstrate that a multi-level perspective (MLP) on system transformation is useful in understanding both how food system transformation has happened in the past, and how desirable transformations is prevented from happening today. Based on such insights we point to key governance strategies and principles that may be used to influence food system transformation as a non-linear and long-term process of competition, negotiation and reconfiguration. Such strategies include the creation and nurturing of diversity in the system, as well as process interventions aimed at visioning, destabilization and formation of discourse coalitions. Such governance interventions imply a considerable re-orientation of investments in food system transformation as well as a rethinking of the role that policy-makers may play in either altering or reproducing undesirable system outcomes.","container-title":"Food Security","DOI":"10.1007/s12571-021-01178-4","ISSN":"1876-4525","issue":"4","journalAbbreviation":"Food Sec.","language":"en","page":"761-780","source":"Springer Link","title":"How food systems change (or not): governance implications for system transformation processes","title-short":"How food systems change (or not)","volume":"13","author":[{"family":"Leeuwis","given":"Cees"},{"family":"Boogaard","given":"Birgit K."},{"family":"Atta-Krah","given":"Kwesi"}],"issued":{"date-parts":[["2021",8,1]]}}},{"id":19960,"uris":["http://zotero.org/users/12768557/items/4PICPIJR"],"itemData":{"id":19960,"type":"book","abstract":"The classic book on systems thinking, with more than half a million copies sold worldwide! This is a fabulous book. This book opened my mind and reshaped the way I think about investing. Forbes Perfect for fans of Kate Raworth, Rutger Bregman and Daniel Kahneman! The co-author of the international best-selling book Limits to Growth, Donella Meadows is widely regarded as a pioneer in the environmental movement and one of the world's foremost systems analysts . Her posthumously published Thinking in Systems, is a concise and crucial book offering insight for problem solving on scales ranging from the personal to the global. This essential primer brings systems thinking out of the realm of computers and equations and into the tangible world, showing readers how to develop the systems-thinking skills critical for 21st-century life. Some of the biggest problems facing the world―war, hunger, poverty, and environmental degradation―are essentially system failures. They cannot be solved by fixing one piece in isolation from the others, because even seemingly minor details have enormous impact. While readers will learn the conceptual tools and methods of systems thinking, the heart of the book is grander than methodology. Donella Meadows reminds readers to pay attention to what is important, not just what is quantifiable, to stay humble, and to stay a learner. No matter what industry or career you’re in, Thinking In Systems will bring clarity to the complicated, crowded and interdependent networks that make up the world today. Thinking in Systems helps readers avoid confusion and helplessness, the first step toward finding proactive and effective solutions.","edition":"Illustrated edition","ISBN":"978-1-60358-055-7","language":"English","number-of-pages":"240","publisher":"Chelsea Green Publishing Co","publisher-place":"White River Junction, Vt","source":"Amazon","title":"Thinking in Systems: A Primer","title-short":"Thinking in Systems","author":[{"family":"Meadows","given":"Donella"}],"editor":[{"family":"Wright","given":"Diana"}],"issued":{"date-parts":[["2009"]]}}}],"schema":"https://github.com/citation-style-language/schema/raw/master/csl-citation.json"} </w:instrText>
      </w:r>
      <w:r w:rsidR="00E005DE">
        <w:fldChar w:fldCharType="separate"/>
      </w:r>
      <w:r w:rsidR="00947BCE">
        <w:rPr>
          <w:noProof/>
        </w:rPr>
        <w:t>(Leeuwis et al., 2021; Meadows, 2009)</w:t>
      </w:r>
      <w:r w:rsidR="00E005DE">
        <w:fldChar w:fldCharType="end"/>
      </w:r>
      <w:r w:rsidR="00A3647D">
        <w:t>.</w:t>
      </w:r>
      <w:r w:rsidR="00E005DE">
        <w:t xml:space="preserve"> </w:t>
      </w:r>
      <w:r w:rsidR="001051CE" w:rsidRPr="00E95625">
        <w:t>Intermediation – or, the work of actors who bridge between different types of actors and organizations started to emerge as a critical scaling function</w:t>
      </w:r>
      <w:r w:rsidR="00A3647D">
        <w:t xml:space="preserve"> </w:t>
      </w:r>
      <w:r w:rsidR="00F16847" w:rsidRPr="00E95625">
        <w:fldChar w:fldCharType="begin"/>
      </w:r>
      <w:r w:rsidR="00C84E2D">
        <w:instrText xml:space="preserve"> ADDIN ZOTERO_ITEM CSL_CITATION {"citationID":"IZUuaKKP","properties":{"formattedCitation":"(Kilelu et al., 2011; Klerkx et al., 2010; Klerkx and Leeuwis, 2009; Loeber and Kok, 2024)","plainCitation":"(Kilelu et al., 2011; Klerkx et al., 2010; Klerkx and Leeuwis, 2009; Loeber and Kok, 2024)","noteIndex":0},"citationItems":[{"id":9,"uris":["http://zotero.org/users/12768557/items/797U67IC"],"itemData":{"id":9,"type":"article-journal","abstract":"The recognition that innovation occurs in networks of heterogeneous actors and requires broad systemic support beyond knowledge brokering has resulted in a changing landscape in the intermediary do...","container-title":"https://doi.org/10.1080/19474199.2011.593859","DOI":"10.1080/19474199.2011.593859","ISSN":"1947-4199","issue":"1","page":"84-108","title":"Beyond knowledge brokering: an exploratory study on innovation intermediaries in an evolving smallholder agricultural system in Kenya","volume":"7","author":[{"family":"Kilelu","given":"Catherine W."},{"family":"Klerkx","given":"Laurens"},{"family":"Leeuwis","given":"Cees"},{"family":"Hall","given":"Andy"}],"issued":{"date-parts":[["2011"]]}}},{"id":1605,"uris":["http://zotero.org/users/12768557/items/ZILL7BKC"],"itemData":{"id":1605,"type":"article-journal","abstract":"The purpose of this article is to investigate effective reformism: strategies that innovation networks deploy to create changes in their environment in order to establish a more conducive context for the realization and durable embedding of their innovation projects. Using a case study approach, effective reformism efforts are analyzed in a technological innovation trajectory related to the implementation of a new poultry husbandry system and an organizational innovation trajectory concerning new ways of co-operation among individual farms to establish economies of scale. The findings reinforce the idea, emerging from a complexity perspective on agricultural innovation systems, that interaction between innovation networks and their environment is only steerable to a limited extent. Nonetheless, innovation networks can enhance effective reformism by creating tangible visions that serve as vehicles to create understanding about the innovation and mobilize support for it, and by employing several kinds of boundary spanning individuals that are able to forge effective connections between innovation networks and their environment. Because innovation networks can only partially influence their institutional environment, and because unintended consequences of actions and random events influence the course of the innovation process, innovation network actors need to continuously re-interpret the contexts in which they move. This constant reflection by the innovating actors on their position vis-à-vis their environment needs to be supported by dedicated facilitators and monitoring and evaluation methods aimed at system learning. This implies that agricultural innovation policies should, instead of aiming to fully plan and control innovation, foster the emergence of such flexible support instruments that enable adaptive innovation management. © 2010 Elsevier Ltd.","container-title":"Agricultural Systems","DOI":"10.1016/J.AGSY.2010.03.012","issue":"6","page":"390-400","publisher":"Elsevier","title":"Adaptive management in agricultural innovation systems: The interactions between innovation networks and their environment","volume":"103","author":[{"family":"Klerkx","given":"Laurens"},{"family":"Aarts","given":"Noelle"},{"family":"Leeuwis","given":"Cees"}],"issued":{"date-parts":[["2010",7]]}}},{"id":20872,"uris":["http://zotero.org/users/12768557/items/77RSM9PY"],"itemData":{"id":20872,"type":"article-journal","abstract":"In the systems perspective on innovation, co-operation between several different types of actors is seen as key to successful innovation. Due to the existence of several gaps that hinder such effective co-operation, the scientific and policy literature persistently points at the need for intermediary organizations to fulfill bridging and brokerage roles. This paper aims to provide an overview of the insights from the literature on such ‘innovation brokers’, and to contribute to the literature by distilling lines of enquiry and providing insights on one of the lines identified. Taking as an empirical basis experiences with different types of innovation brokers that have emerged in the Dutch agricultural sector, it identifies a number of tensions with regard to the establishment and embedding of such organizations. The paper indicates that, despite being perceived to have a catalyzing effect on innovation, innovation brokers have difficulty in becoming embedded as their clients and/or financiers find it difficult to grasp the nature and value of their activities.","container-title":"Technological Forecasting and Social Change","DOI":"10.1016/j.techfore.2008.10.001","ISSN":"0040-1625","issue":"6","journalAbbreviation":"Technological Forecasting and Social Change","page":"849-860","source":"ScienceDirect","title":"Establishment and embedding of innovation brokers at different innovation system levels: Insights from the Dutch agricultural sector","title-short":"Establishment and embedding of innovation brokers at different innovation system levels","volume":"76","author":[{"family":"Klerkx","given":"Laurens"},{"family":"Leeuwis","given":"Cees"}],"issued":{"date-parts":[["2009",7,1]]}}},{"id":21019,"uris":["http://zotero.org/users/12768557/items/G4FP3GUN"],"itemData":{"id":21019,"type":"article-journal","abstract":"While literature on transition intermediation is burgeoning, the implications of a sensitivity to “place” in transition intermediation remain ill understood. In this paper, we empirically explore the dynamics of “place-based transition intermediation”, through a case study of the ‘Dune farmers’ in the Netherlands. The farmers initiated a collaboration that serves as a bottom-up, non-state intermediary organization. The case shows the opportunities and intricacies of transition governance through place-based intermediation. We articulate six functions of intermediaries used in such place-sensitive transition governance: (1) Empowerment through cultivating local identity; (2) Constructing place-based relational capital; (3) Developing regional innovative capacity in a place-based innovation system; (4) Stimulating place-based learning; (5) Concretizing transition governance; and (6) Representing place-based networks. We conclude that place-based intermediation deserves attention, both in research and policy, to improve transition governance and help accelerate place-sensitive transition processes towards sustainable futures.","container-title":"Environmental Innovation and Societal Transitions","DOI":"10.1016/j.eist.2024.100869","ISSN":"2210-4224","journalAbbreviation":"Environmental Innovation and Societal Transitions","page":"100869","source":"ScienceDirect","title":"Exploring the functions of place-based intermediation in the governance of sustainability transitions","volume":"52","author":[{"family":"Loeber","given":"Anne M. C."},{"family":"Kok","given":"Kristiaan P. W."}],"issued":{"date-parts":[["2024",9,1]]}}}],"schema":"https://github.com/citation-style-language/schema/raw/master/csl-citation.json"} </w:instrText>
      </w:r>
      <w:r w:rsidR="00F16847" w:rsidRPr="00E95625">
        <w:fldChar w:fldCharType="separate"/>
      </w:r>
      <w:r w:rsidR="00C84E2D">
        <w:t>(Kilelu et al., 2011; Klerkx et al., 2010; Klerkx and Leeuwis, 2009; Loeber and Kok, 2024)</w:t>
      </w:r>
      <w:r w:rsidR="00F16847" w:rsidRPr="00E95625">
        <w:fldChar w:fldCharType="end"/>
      </w:r>
      <w:r w:rsidR="00A3647D">
        <w:t>,</w:t>
      </w:r>
      <w:r w:rsidR="00F16847">
        <w:t xml:space="preserve"> hinting at the importance of </w:t>
      </w:r>
      <w:r w:rsidR="00E005DE" w:rsidRPr="00E95625">
        <w:t xml:space="preserve">good institutional arrangements connecting the multiple actors </w:t>
      </w:r>
      <w:r w:rsidR="00CB625A" w:rsidRPr="00435A39">
        <w:fldChar w:fldCharType="begin"/>
      </w:r>
      <w:r w:rsidR="00D66183">
        <w:instrText xml:space="preserve"> ADDIN ZOTERO_ITEM CSL_CITATION {"citationID":"IXlTojn0","properties":{"formattedCitation":"(Hellin, 2012; Kilelu et al., 2011; Mattee and Kundi, 2015)","plainCitation":"(Hellin, 2012; Kilelu et al., 2011; Mattee and Kundi, 2015)","noteIndex":0},"citationItems":[{"id":9,"uris":["http://zotero.org/users/12768557/items/797U67IC"],"itemData":{"id":9,"type":"article-journal","abstract":"The recognition that innovation occurs in networks of heterogeneous actors and requires broad systemic support beyond knowledge brokering has resulted in a changing landscape in the intermediary do...","container-title":"https://doi.org/10.1080/19474199.2011.593859","DOI":"10.1080/19474199.2011.593859","ISSN":"1947-4199","issue":"1","page":"84-108","title":"Beyond knowledge brokering: an exploratory study on innovation intermediaries in an evolving smallholder agricultural system in Kenya","volume":"7","author":[{"family":"Kilelu","given":"Catherine W."},{"family":"Klerkx","given":"Laurens"},{"family":"Leeuwis","given":"Cees"},{"family":"Hall","given":"Andy"}],"issued":{"date-parts":[["2011"]]}}},{"id":20876,"uris":["http://zotero.org/users/12768557/items/EA72KSD3"],"itemData":{"id":20876,"type":"article-journal","abstract":"Purpose: New approaches to extension service delivery are needed that stimulate increased agricultural production, contribute to collective action and which also foster the emergence of agricultural innovation systems. Research in Peru and Mexico explores some of these new approaches. Design/methodology/approach: In both countries, a qualitative value chain mapping methodology was used to explore the challenges of providing extension provision to resource-poor farmers in ways that stimulate collective action and agricultural innovation systems. Findings: In Peru, collective action and the development of an agriculture innovation system required the network broker activities of initially a non-governmental organization (NGO) and then increasingly trusted local farmers known as Kamayoq. In Mexico, collective action took place in the context of a linear transfer-of-technology approach focused on access to improved maize seed and there was no evidence of the emergence of innovation networks. Practical implications: Different extension modalities can foster collective action but this in itself is not enough to encourage innovation. Extension needs to focus on combining collective action with networking amongst sets of heterogeneous value chain actors. Originality/value: The Peruvian and Mexican case studies demonstrate that the debate about the modalities of pluralistic and diversified extension systems has obscured the reality that the development community still has some way to go to achieve comprehensively the paradigm shift from a linear transfer-of-technology approach to one that supports the emergence of agricultural innovation systems.","container-title":"The Journal of Agricultural Education and Extension","DOI":"10.1080/1389224X.2012.655967","ISSN":"1389-224X","issue":"2","note":"_eprint: https://doi.org/10.1080/1389224X.2012.655967","page":"141-159","publisher":"Routledge","source":"Taylor and Francis+NEJM","title":"Agricultural Extension, Collective Action and Innovation Systems: Lessons on Network Brokering from Peru and Mexico","title-short":"Agricultural Extension, Collective Action and Innovation Systems","volume":"18","author":[{"family":"Hellin","given":"Jon"}],"issued":{"date-parts":[["2012",4,1]]}}},{"id":20875,"uris":["http://zotero.org/users/12768557/items/9VXZ4Z73"],"itemData":{"id":20875,"type":"article-journal","abstract":"With the current global economic reforms and advances in science, the move has been towards privatisation of the agricultural knowledge infrastructure. However, inadequate capacity of\n      agricultural entrepreneurs and the diversity in the characteristics of the agricultural technologies have created market and system failures, resulting in imbalances of the supply and demand of\n      technologies and hampering private agricultural business development. Experience from countries with mature innovation systems indicates the emergence of innovation intermediaries that\n      facilitate agricultural entrepreneurs to innovate. Using a case-study approach, the present study identified and mapped the recipients of technologies from agricultural research institutions in\n      Tanzania and analysed the extent to which 'innovation intermediation roles' have been applied by recipients in relation to demand articulation, network brokerage and innovation process\n      management. Through an in-depth analysis of twelve cases, the study revealed the role of innovation intermediation performed by NGOs and R&amp;D as project interventions not as their core\n      activities. The study demonstrates the potential contributions of innovation intermediaries in agricultural innovation processes and recommends official recognition and government support in\n      the establishment and implementation of innovation intermediation activities outside the project set-ups.","container-title":"African Journal of Science, Technology, Innovation and Development","DOI":"10.1080/20421338.2015.1023644","issue":"2","page":"151-160","publisher":"Taylor &amp; Francis","source":"journals.co.za (Atypon)","title":"Contribution of innovation intermediaries in agricultural innovation : the case of agricultural R&amp;D in Tanzania","title-short":"Contribution of innovation intermediaries in agricultural innovation","volume":"7","author":[{"family":"Mattee","given":"Amon Z."},{"family":"Kundi","given":"Beatus A. T."}],"issued":{"date-parts":[["2015",1]]}}}],"schema":"https://github.com/citation-style-language/schema/raw/master/csl-citation.json"} </w:instrText>
      </w:r>
      <w:r w:rsidR="00CB625A" w:rsidRPr="00435A39">
        <w:fldChar w:fldCharType="separate"/>
      </w:r>
      <w:r w:rsidR="00A3647D">
        <w:t>(Hellin, 2012; Kilelu et al., 2011; Mattee and Kundi, 2015)</w:t>
      </w:r>
      <w:r w:rsidR="00CB625A" w:rsidRPr="00435A39">
        <w:fldChar w:fldCharType="end"/>
      </w:r>
      <w:r w:rsidR="00CB625A" w:rsidRPr="00435A39">
        <w:t>.</w:t>
      </w:r>
      <w:r w:rsidR="00C060CA" w:rsidRPr="00435A39">
        <w:t xml:space="preserve"> </w:t>
      </w:r>
      <w:r w:rsidR="00A3647D" w:rsidRPr="00243F79">
        <w:t>Such arrangements seemed to be necessary for both scaling horizontally across communities (</w:t>
      </w:r>
      <w:proofErr w:type="spellStart"/>
      <w:r w:rsidR="00A3647D" w:rsidRPr="00243F79">
        <w:t>outscaling</w:t>
      </w:r>
      <w:proofErr w:type="spellEnd"/>
      <w:r w:rsidR="00A3647D" w:rsidRPr="00243F79">
        <w:t>) and vertically into policies and institutions (upscaling)</w:t>
      </w:r>
      <w:r w:rsidR="009D674F">
        <w:t xml:space="preserve"> </w:t>
      </w:r>
      <w:r w:rsidR="009D674F">
        <w:fldChar w:fldCharType="begin"/>
      </w:r>
      <w:r w:rsidR="00243F79">
        <w:instrText xml:space="preserve"> ADDIN ZOTERO_ITEM CSL_CITATION {"citationID":"EXZ83ThX","properties":{"formattedCitation":"(Hermans et al., 2013; Kalvelage et al., 2023; Moore et al., 2015)","plainCitation":"(Hermans et al., 2013; Kalvelage et al., 2023; Moore et al., 2015)","noteIndex":0},"citationItems":[{"id":18925,"uris":["http://zotero.org/users/12768557/items/6VZJXZZ7"],"itemData":{"id":18925,"type":"article-journal","abstract":"To effect large system change, “niche” or local-level innovations must span spatial and institutional scales to achieve broader systemic impact. Leaders of social innovation, in particular those who work in non-profit organizations and funders of nonprofit and civil society organizations, are increasingly concerned with scaling the positive impact of their investments. This study examines the case of the J.W. McConnell Family Foundation and the implementation of a deliberate strategy, named the Applied Dissemination initiative, to build grantee capacity and to accelerate their initiatives to achieve systemic change. One part of the strategy involved an “educational intervention”, where leaders of more than a dozen national-level initiatives in Canada convened regularly over a period of several years to learn from each other's efforts to achieve scale. The group was successful not only in their efforts to scale for positive impact on their respective issue areas, but also in catalyzing a field of practice in Canada with a growing expertise in scaling innovation for systemic change. The findings show the success of six different strategies that may be adopted to scale innovation on the pathway to largescale or systemic impact, which cut across three different types of “scaling”: scaling out, scaling up, and scaling deep.","container-title":"The Journal of Corporate Citizenship","ISSN":"1470-5001","issue":"58","page":"67-84","publisher":"Greenleaf Publishing","source":"JSTOR","title":"Scaling Out, Scaling Up, Scaling Deep: Strategies of Non-profits in Advancing Systemic Social Innovation","title-short":"Scaling Out, Scaling Up, Scaling Deep","author":[{"family":"Moore","given":"Michele-Lee"},{"family":"Riddell","given":"Darcy"},{"family":"Vocisano","given":"Dana"}],"issued":{"date-parts":[["2015"]]}}},{"id":20878,"uris":["http://zotero.org/users/12768557/items/V99NEWIN"],"itemData":{"id":20878,"type":"article-journal","abstract":"In this paper we use a network perspective to study the micro level of agricultural innovation systems and investigate the different roles and functions that collaborating actors have to perform to spread their innovation both horizontally and vertically. Based on a literature review, we distinguish between three separate network functions: (1) learning and knowledge co-creation, (2) upscaling and institutional entrepreneurship and (3) outscaling and innovation brokerage. We investigate how these different functions have been performed in the case of the Northern Frisian Woodlands (NFWs) in the Netherlands over a period of 17years. We have constructed the two-mode affiliation networks of the actors involved in various multidisciplinary research projects and lobbying events. We have analysed these networks using Social Network Analysis and measured the participation rates, relative degrees and the main paths through time with the Search Path Node Pairs algorithm. The results show that the three functions are not evenly distributed over all participants in an innovation network. For each of these three functions there is a small group of people that form a core group of knowledge creators, institutional entrepreneurs and innovation brokers. The analysis of the main paths through these projects and events shows the close interaction between the lobbying and knowledge co-creation functions. The ability to perform more than one innovation function over a longer period of time is extremely rare, but those people who can pull this off are very important for the success of an innovation network. This paper therefore concludes that the organisers of innovation networks should take try to organise their collaboration in such a way that it becomes easier for individuals to perform multiple roles within an innovation network.","container-title":"Agricultural Systems","DOI":"10.1016/j.agsy.2012.09.006","ISSN":"0308-521X","journalAbbreviation":"Agricultural Systems","page":"117-128","source":"ScienceDirect","title":"The distribution of roles and functions for upscaling and outscaling innovations in agricultural innovation systems","volume":"115","author":[{"family":"Hermans","given":"Frans"},{"family":"Stuiver","given":"Marian"},{"family":"Beers","given":"P. J."},{"family":"Kok","given":"Kasper"}],"issued":{"date-parts":[["2013",2,1]]}}},{"id":269,"uris":["http://zotero.org/users/12768557/items/ESS5UARX"],"itemData":{"id":269,"type":"article-journal","abstract":"Starting from the observation that value chain research has informed much of agricultural development interventions in recent decades, this paper identifies five key challenges to current agricultural development policies in low- and middle-income countries (LMICs): access to finance, infrastructure, land tenure, local linkages and knowledge transfer. Based on this review, it is argued that recent theoretical advances in the global production network (GPN) approach can help to achieve a more holistic view of agricultural development policies than the more linear value chain research. In particular, three key concepts from the GPN approach are highlighted: mobilisation of regional assets, strategic coupling and territorial embeddedness. These key concepts are used to propose a framework called ‘insight-out strategic coupling for smallholder integration’, which builds on the concept of strategic coupling in GPN research and applies it as a development tool to agricultural production. Using an in-depth case study approach, the usefulness of this framework is tested by examining the experience of Malawi Mangoes, a company established to promote smallholder exports. Malawi Mangoes was initially funded by private equity, but despite a number of challenges along the way, was soon able to attract development funding and integrate smallholders from surrounding villages throughout-grower schemes. Analysis of the case shows both the usefulness of the framework and the lost potential in implementing agricultural development policy. The authors conclude that the framework is useful for linking current debates on agricultural development interventions, but that the findings of critical GPN research need to be taken into account when developing agricultural development interventions in order to respect the ‘do no harm’ principle.","container-title":"Outlook on Agriculture","DOI":"10.1177/00307270231179240","issue":"2","page":"174-185","title":"Inside-out strategic coupling for smallholder market integration – Mango production in Malawi as a test case","volume":"52","author":[{"family":"Kalvelage","given":"Linus"},{"family":"Hardie","given":"Craig"},{"family":"Mausch","given":"Kai"},{"family":"Conti","given":"Costanza"},{"family":"Hall","given":"Andy"}],"issued":{"date-parts":[["2023"]]}}}],"schema":"https://github.com/citation-style-language/schema/raw/master/csl-citation.json"} </w:instrText>
      </w:r>
      <w:r w:rsidR="009D674F">
        <w:fldChar w:fldCharType="separate"/>
      </w:r>
      <w:r w:rsidR="00243F79">
        <w:rPr>
          <w:noProof/>
        </w:rPr>
        <w:t>(Hermans et al., 2013; Kalvelage et al., 2023; Moore et al., 2015)</w:t>
      </w:r>
      <w:r w:rsidR="009D674F">
        <w:fldChar w:fldCharType="end"/>
      </w:r>
      <w:r w:rsidR="009D674F">
        <w:t>.</w:t>
      </w:r>
    </w:p>
    <w:p w14:paraId="38ECE8FE" w14:textId="7E30C23F" w:rsidR="00D67D96" w:rsidRPr="006F18D3" w:rsidRDefault="009D674F" w:rsidP="006F18D3">
      <w:r w:rsidRPr="00E95625">
        <w:t xml:space="preserve">From the 2015s onwards, food system transformation literature has conceptualised scaling as systemic change </w:t>
      </w:r>
      <w:r w:rsidR="00C47901">
        <w:t xml:space="preserve">process </w:t>
      </w:r>
      <w:r w:rsidRPr="00E95625">
        <w:t>requiring the coordinated reformatting of the underlying structures and supporting mechanisms that make the system operate in a particular way</w:t>
      </w:r>
      <w:r w:rsidR="006A377E">
        <w:t xml:space="preserve"> </w:t>
      </w:r>
      <w:r w:rsidR="006A2B0B" w:rsidRPr="006A377E">
        <w:fldChar w:fldCharType="begin"/>
      </w:r>
      <w:r w:rsidR="00063549">
        <w:instrText xml:space="preserve"> ADDIN ZOTERO_ITEM CSL_CITATION {"citationID":"4kYzsLiC","properties":{"formattedCitation":"(Moallemi et al., 2025b; Woltering et al., 2019a)","plainCitation":"(Moallemi et al., 2025b; Woltering et al., 2019a)","noteIndex":0},"citationItems":[{"id":1985,"uris":["http://zotero.org/users/12768557/items/WQM474AB"],"itemData":{"id":1985,"type":"article-journal","abstract":"Countless development projects have piloted solutions that could make a difference if only applied at scale. The reality is that these pilot projects hardly ever reach the intended scale to contribute significantly to achieving the UN Sustainable Development Goals (SDGs). In this paper, we argue that two major problems undermine efforts to achieve scale in development projects. First, pilot projects are usually set up and managed in very controlled environments that make it very difficult to transition to the real world at scale. Second, poor conceptual and methodological clarity on what scaling is and how it can be pursued often results in a narrow focus on reaching numbers. Counting household adoption at the end of a grant project is a poor metric of whether these people can and will sustain adoption after the project closes, let alone if adoption will reach others and actually contributes to improved livelihoods. We advocate for a broader view on scaling that more accurately reflects the transformational change agenda of the SDGs: from reaching many to a process aiming to achieve sustainable systems change at scale. Sustainable systems change alters a sufficient number of key drivers (incentives, rules, etc.) such that the system that once perpetuated a “problem” now instead perpetuates a “solution.” This has implications on the way projects are designed and implemented. Rather than focusing on changing conditions within the project context, projects should serve as vehicles for societal change. This means that projects make most sense if designed as part of a multisector, long-term programmatic approach. Treating scaling as a transformation process helps deal with the necessary coevolution of organizational and institutional arrangements, along with the innovations in a technology or practice. To help address scaling, we present a number of frameworks that guide users to assess the scalability of innovations, design for scale from the onset of projects, and systematically think through key elements, ingredients, or success factors. We conclude that scaling requires different skills, approaches, and ways of collaborating than those required for successful implementation of pilot projects. It calls for development actors to have a mindset that allows them to creatively navigate multiple overlapping systems; likewise, they must develop a clear vision about which elements in the system the actors can and cannot address, and about where they need to collaborate strategically to exert influence. Although it is tempting to hope for the silver bullet solution that changes the world, we argue for an approach that takes scaling serious in its own right and recognizes the complexities involved in facilitating a transition to a new “normal.”","container-title":"Agricultural Systems","DOI":"10.1016/j.agsy.2019.102652","issue":"August","title":"Scaling – from “reaching many” to sustainable systems change at scale: A critical shift in mindset","volume":"176","author":[{"family":"Woltering","given":"L."},{"family":"Fehlenberg","given":"K."},{"family":"Gerard","given":"B."},{"family":"Ubels","given":"J."},{"family":"Cooley","given":"L."}],"issued":{"date-parts":[["2019"]]}}},{"id":20988,"uris":["http://zotero.org/users/12768557/items/C54LQ8K6"],"itemData":{"id":20988,"type":"article-journal","container-title":"One Earth","DOI":"10.1016/j.oneear.2025.101287","ISSN":"2590-3330, 2590-3322","issue":"6","journalAbbreviation":"One Earth","language":"English","publisher":"Elsevier","source":"www.cell.com","title":"Entry points for driving systemic change toward a more sustainable future","URL":"https://www.cell.com/one-earth/abstract/S2590-3322(25)00113-7","volume":"8","author":[{"family":"Moallemi","given":"Enayat A."},{"family":"Miller","given":"Michelle"},{"family":"Szetey","given":"Katrina"},{"family":"Chakori","given":"Sabrina"},{"family":"Conti","given":"Costanza"},{"family":"Hammond","given":"Philippa"},{"family":"Palmer","given":"Jeda"},{"family":"Battaglia","given":"Michael"},{"family":"Bryan","given":"Brett A."},{"family":"Gao","given":"Lei"},{"family":"Hall","given":"Andy"},{"family":"Leith","given":"Peat"},{"family":"Raven","given":"Rob"},{"family":"Reed","given":"Patrick M."}],"accessed":{"date-parts":[["2026",1,20]]},"issued":{"date-parts":[["2025",6,20]]}}}],"schema":"https://github.com/citation-style-language/schema/raw/master/csl-citation.json"} </w:instrText>
      </w:r>
      <w:r w:rsidR="006A2B0B" w:rsidRPr="006A377E">
        <w:fldChar w:fldCharType="separate"/>
      </w:r>
      <w:r w:rsidR="00063549">
        <w:t>(Moallemi et al., 2025b; Woltering et al., 2019a)</w:t>
      </w:r>
      <w:r w:rsidR="006A2B0B" w:rsidRPr="006A377E">
        <w:fldChar w:fldCharType="end"/>
      </w:r>
      <w:r w:rsidR="00D32986" w:rsidRPr="006A377E">
        <w:t>.</w:t>
      </w:r>
      <w:r w:rsidR="006A377E" w:rsidRPr="006A377E">
        <w:t xml:space="preserve"> </w:t>
      </w:r>
      <w:r w:rsidR="006A377E" w:rsidRPr="00E95625">
        <w:t> </w:t>
      </w:r>
      <w:r w:rsidR="006A377E">
        <w:t xml:space="preserve">For instance, </w:t>
      </w:r>
      <w:r w:rsidR="001B1613">
        <w:t xml:space="preserve">the Multi-Level Perspective (MLP) offers one way to analyse such change. In the MLP, niches are protected spaces where innovations can be developed, tested, and supported before they interact with wider system dynamics. Regimes refer to the relatively stable configurations of technologies, practices, supply chains, markets, policies, and institutions that reproduce dominant ways of producing, distributing, and consuming food. Landscapes refer to the broader societal, political, economic, and biophysical context, including pressures such as climate change, food insecurity, economic shocks, or shifting public expectations. Transitions occur when niche innovations gain momentum while landscape pressures destabilise existing regimes, creating openings to reconfigure the regime </w:t>
      </w:r>
      <w:r w:rsidR="00947BCE">
        <w:fldChar w:fldCharType="begin"/>
      </w:r>
      <w:r w:rsidR="00D66183">
        <w:instrText xml:space="preserve"> ADDIN ZOTERO_ITEM CSL_CITATION {"citationID":"AX0l8iAE","properties":{"formattedCitation":"(Geels, 2002; Wigboldus and Leeuwis, 2013)","plainCitation":"(Geels, 2002; Wigboldus and Leeuwis, 2013)","noteIndex":0},"citationItems":[{"id":2971,"uris":["http://zotero.org/users/12768557/items/VRTGWQ5Y"],"itemData":{"id":2971,"type":"article-journal","abstract":"This paper addresses the question of how technological transitions (TT) come about? Are there particular patterns and mechanisms in transition processes? TT are defined as major, long-term technological changes in the way societal functions are fulfilled. TT do not only involve changes in technology, but also changes in user practices, regulation, industrial networks, infrastructure, and symbolic meaning or culture. This paper practices 'appreciative theory' [R.R. Nelson, S.G. Winter, An Evolutionary Theory of Economic Change, Bellknap Press, Cambridge, MA, 1982] and brings together insights from evolutionary economics and technology studies. This results in a multi-level perspective on TT where two views of the evolution are combined: (i) evolution as a process of variation, selection and retention, (ii) evolution as a process of unfolding and reconfiguration. The perspective is empirically illustrated with a qualitative longitudinal case-study, the transition from sailing ships to steamships, 1780-1900. Three particular mechanisms in TT are described: niche-cumulation, technological add-on and hybridisation, riding along with market growth. © 2002 Elsevier Science B.V. All rights reserved.","container-title":"Research Policy","DOI":"10.1016/S0048-7333(02)00062-8","issue":"8-9","page":"1257-1274","publisher":"Elsevier","title":"Technological transitions as evolutionary reconfiguration processes: A multi-level perspective and a case-study","volume":"31","author":[{"family":"Geels","given":"Frank W."}],"issued":{"date-parts":[["2002",12]]}}},{"id":20881,"uris":["http://zotero.org/users/12768557/items/IGAQYT5F"],"itemData":{"id":20881,"type":"article-journal","language":"English","publisher":"Centre for Development Innovation","source":"research.wur.nl","title":"Towards responsible scaling up and out in agricultural development : An exploration of concepts and principles","title-short":"Towards responsible scaling up and out in agricultural development","URL":"https://research.wur.nl/en/publications/towards-responsible-scaling-up-and-out-in-agricultural-developmen/","author":[{"family":"Wigboldus","given":"S. A."},{"family":"Leeuwis","given":"C."}],"accessed":{"date-parts":[["2026",1,10]]},"issued":{"date-parts":[["2013"]]}}}],"schema":"https://github.com/citation-style-language/schema/raw/master/csl-citation.json"} </w:instrText>
      </w:r>
      <w:r w:rsidR="00947BCE">
        <w:fldChar w:fldCharType="separate"/>
      </w:r>
      <w:r w:rsidR="00947BCE">
        <w:rPr>
          <w:noProof/>
        </w:rPr>
        <w:t>(Geels, 2002; Wigboldus and Leeuwis, 2013)</w:t>
      </w:r>
      <w:r w:rsidR="00947BCE">
        <w:fldChar w:fldCharType="end"/>
      </w:r>
      <w:r w:rsidR="00947BCE">
        <w:t>.</w:t>
      </w:r>
      <w:r w:rsidR="006F18D3" w:rsidRPr="006F18D3">
        <w:t xml:space="preserve"> Food systems are often locked into unsustainable trajectories through mutually reinforcing elements—technologies, </w:t>
      </w:r>
      <w:r w:rsidR="001B1613">
        <w:t>behaviours,</w:t>
      </w:r>
      <w:r w:rsidR="006F18D3" w:rsidRPr="006F18D3">
        <w:t xml:space="preserve"> infrastructure, policies,</w:t>
      </w:r>
      <w:r w:rsidR="001B1613">
        <w:t xml:space="preserve"> R&amp;D arrangements, and </w:t>
      </w:r>
      <w:proofErr w:type="spellStart"/>
      <w:r w:rsidR="001B1613">
        <w:t>poitical</w:t>
      </w:r>
      <w:proofErr w:type="spellEnd"/>
      <w:r w:rsidR="001B1613">
        <w:t xml:space="preserve"> economy </w:t>
      </w:r>
      <w:r w:rsidR="006F18D3" w:rsidRPr="006F18D3">
        <w:t>—that resist change (Conti et al., 2021) (see Box 1). In this framing, scaling</w:t>
      </w:r>
      <w:r w:rsidR="00947BCE">
        <w:t xml:space="preserve"> </w:t>
      </w:r>
      <w:r w:rsidR="006F18D3" w:rsidRPr="006F18D3">
        <w:t>refers to redirecting whole-system performance (e.g. towards environmental sustainability or improved diets) by tackling these elements in a coordinated way</w:t>
      </w:r>
      <w:r w:rsidR="006F18D3">
        <w:t>.</w:t>
      </w:r>
      <w:r w:rsidR="00931F40">
        <w:t xml:space="preserve">  </w:t>
      </w:r>
      <w:r w:rsidR="006F18D3">
        <w:t>F</w:t>
      </w:r>
      <w:r w:rsidR="00F74107" w:rsidRPr="00435A39">
        <w:t xml:space="preserve">or example, the adoption of </w:t>
      </w:r>
      <w:r w:rsidR="00206EA9">
        <w:t>technologies or agribusiness practices aligned to values such as sustainability or ethical production and consumption require</w:t>
      </w:r>
      <w:r w:rsidR="00F74107" w:rsidRPr="00435A39">
        <w:t xml:space="preserve"> changes in behaviours that support adoption of these technologies</w:t>
      </w:r>
      <w:r w:rsidR="00206EA9">
        <w:t xml:space="preserve"> or practices</w:t>
      </w:r>
      <w:r w:rsidR="00F74107" w:rsidRPr="00435A39">
        <w:t>, and policies that facilitate the shifts</w:t>
      </w:r>
      <w:r w:rsidR="00206EA9">
        <w:t>. This usually</w:t>
      </w:r>
      <w:r w:rsidR="00F74107" w:rsidRPr="00435A39">
        <w:t xml:space="preserve"> </w:t>
      </w:r>
      <w:proofErr w:type="spellStart"/>
      <w:r w:rsidR="00F74107" w:rsidRPr="00435A39">
        <w:t>requiri</w:t>
      </w:r>
      <w:r w:rsidR="00206EA9">
        <w:t>es</w:t>
      </w:r>
      <w:proofErr w:type="spellEnd"/>
      <w:r w:rsidR="00F74107" w:rsidRPr="00435A39">
        <w:t xml:space="preserve"> multiple actions by multiple actors to be taken in</w:t>
      </w:r>
      <w:r w:rsidR="00206EA9">
        <w:t xml:space="preserve"> a coordinated, whole of system way</w:t>
      </w:r>
      <w:r w:rsidR="006F18D3">
        <w:t xml:space="preserve">. </w:t>
      </w:r>
      <w:r w:rsidR="006F18D3" w:rsidRPr="00E95625">
        <w:t xml:space="preserve">Scaling </w:t>
      </w:r>
      <w:r w:rsidR="00947BCE">
        <w:t>becomes</w:t>
      </w:r>
      <w:r w:rsidR="006F18D3" w:rsidRPr="00E95625">
        <w:t xml:space="preserve"> "deep" (Moore et al., 2015)</w:t>
      </w:r>
      <w:r w:rsidR="00947BCE">
        <w:t xml:space="preserve"> because it requires </w:t>
      </w:r>
      <w:r w:rsidR="006F18D3" w:rsidRPr="00E95625">
        <w:t>transforming underlying cultural values, beliefs, relationships, and norms that lock systems in place</w:t>
      </w:r>
      <w:r w:rsidR="00206EA9">
        <w:t>. As result this type of deep scaling</w:t>
      </w:r>
      <w:r w:rsidR="00642977">
        <w:t xml:space="preserve"> presents </w:t>
      </w:r>
      <w:r w:rsidR="006F18D3" w:rsidRPr="00E95625">
        <w:t xml:space="preserve"> a profound governance challenge demanding careful attention to actor inclusion, diversity, and preferences (i.e. responsible scaling</w:t>
      </w:r>
      <w:r w:rsidR="00947BCE">
        <w:t>)</w:t>
      </w:r>
      <w:r w:rsidR="006F18D3" w:rsidRPr="00E95625">
        <w:t xml:space="preserve">  to achieve lasting system change</w:t>
      </w:r>
      <w:r w:rsidR="00947BCE">
        <w:t xml:space="preserve"> </w:t>
      </w:r>
      <w:r w:rsidR="00947BCE">
        <w:fldChar w:fldCharType="begin"/>
      </w:r>
      <w:r w:rsidR="00880532">
        <w:instrText xml:space="preserve"> ADDIN ZOTERO_ITEM CSL_CITATION {"citationID":"TjfgXQk9","properties":{"formattedCitation":"(C. Conti et al., 2025; Kihoro et al., 2025; Wigboldus and Leeuwis, 2013)","plainCitation":"(C. Conti et al., 2025; Kihoro et al., 2025; Wigboldus and Leeuwis, 2013)","dontUpdate":true,"noteIndex":0},"citationItems":[{"id":20367,"uris":["http://zotero.org/users/12768557/items/X2P7P3PR","http://zotero.org/users/12768557/items/JDVTKDUU"],"itemData":{"id":20367,"type":"article-journal","abstract":"Innovation is central to achieving global agri-food transformation agendas, including those related to the 2030 United Nations Sustainable Development Goals. The effective use of technologies, along with process and institutional innovations, at optimal scale by farmers and other diverse clients is essential to addressing interconnected challenges such as poverty, malnutrition, biodiversity loss, and climate change. Over the past decade, notions about the “scaling” of innovations have shifted from simplistic ‘copy-paste’ models to acknowledging the context-specificity, complexity, and unpredictability related to innovation use at progressively larger scales. Despite this shift, many scaling efforts remain relatively unsustainable or irresponsible. They often fail to catalyze systemic change, remain supply-driven, and lack focus beyond project lifespans. In worst case scenarios, they may also generate unintended and negative consequences rather than broad societal or environmental benefits. Approaches like mission-oriented innovation policy, transformative innovation policy, and co-production have emerged to address these persistent challenges. While they promote more inclusive and systemic innovation, their integration into scaling practice remains limited, highlighting the need for more deliberate and aligned efforts. This special issue seeks to deepen debates around responsible scaling for agri-food system transformation. It aims to address responsibility dimensions related to gender and social inclusion (e.g. sex, age, race, cultural diversity, class, wealth), anticipating and mitigating unintended consequences of innovation use at scale (e.g. heightened greenhouse gas emissions, social inequality, income gaps, etc.), demand-driven innovation and scaling (e.g. through user-centered design), responsible use of scarce resources (e.g. scaling prioritization tools and frameworks, innovation portfolio management), the (financial) sustainability of scaling investments (e.g. exit- and handover strategies, partnership and funding arrangements), as well as alternative scaling models (e.g. outcome-oriented scaling). We welcome theoretical, methodological, and empirical contributions, including case studies, that provide lessons on successes and failures of responsible scaling for transformative impact.","container-title":"Agricultural Systems","DOI":"10.1016/j.agsy.2025.104427","ISSN":"0308-521X","journalAbbreviation":"Agricultural Systems","page":"104427","source":"ScienceDirect","title":"Responsible scaling for transformative impact: Lessons from the science and practice of responsible scaling for agri-food system transformation","title-short":"Responsible scaling for transformative impact","volume":"229","author":[{"family":"Kihoro","given":"Esther"},{"family":"Schut","given":"Marc"},{"family":"McGuire","given":"Erin"},{"family":"Gebreyes","given":"Million"},{"family":"Leeuwis","given":"Cees"}],"issued":{"date-parts":[["2025",10,1]]}}},{"id":20881,"uris":["http://zotero.org/users/12768557/items/IGAQYT5F"],"itemData":{"id":20881,"type":"article-journal","language":"English","publisher":"Centre for Development Innovation","source":"research.wur.nl","title":"Towards responsible scaling up and out in agricultural development : An exploration of concepts and principles","title-short":"Towards responsible scaling up and out in agricultural development","URL":"https://research.wur.nl/en/publications/towards-responsible-scaling-up-and-out-in-agricultural-developmen/","author":[{"family":"Wigboldus","given":"S. A."},{"family":"Leeuwis","given":"C."}],"accessed":{"date-parts":[["2026",1,10]]},"issued":{"date-parts":[["2013"]]}}},{"id":20985,"uris":["http://zotero.org/users/12768557/items/VB3WQVRK"],"itemData":{"id":20985,"type":"article-journal","abstract":"A just food system transformation is imperative to meet this century’s goals of environmental sustainability, economic fairness, and equitable social well-being. While considerations of justice are beginning to inform food system transformation debates, there remains a lack of conceptual and practical integration of these two historically separate disciplinary perspectives. This perspective therefore proposes the just transformation matrix (JUSTRA), which integrates justice and transformation concerns using an interrogative approach. Interrogatives probe the historical, present, and future intersections of justice with specific food system elements. If used conscientiously, the JUSTRA can assist a wide spectrum of food system actors in strategizing, implementing, and monitoring just food system transformations. It can also help stakeholders to more thoughtfully engage with power imbalances both among users and in the food system more broadly—if used “in bona fides.” Thus, while further testing is necessary to fully realize the potential of the JUSTRA, the matrix can become a powerful tool in multi-stakeholder dialogues to navigate unpredictable, diverse, and power-laden complexities of just food system transformations.","container-title":"One Earth","DOI":"10.1016/j.oneear.2025.101178","ISSN":"2590-3322","issue":"2","journalAbbreviation":"One Earth","page":"101178","source":"ScienceDirect","title":"A quest for questions: The JUSTRA as a matrix for navigating just food system transformations in an era of uncertainty","title-short":"A quest for questions","volume":"8","author":[{"family":"Conti","given":"C."},{"family":"Hall","given":"Andrew"},{"family":"Kok","given":"Kristiaan"},{"family":"Olsson","given":"Per"},{"family":"Moore","given":"Michele-Lee"},{"family":"Kremen","given":"Claire"},{"family":"Laila","given":"Amar"},{"family":"Gordon","given":"Line J."},{"family":"Barnhill","given":"Anne"},{"family":"Wierik","given":"Sofie","non-dropping-particle":"te"},{"family":"Norberg","given":"Anna"},{"family":"Carducci","given":"Bianca"},{"family":"Bajaj","given":"Sumati"},{"family":"Gibson","given":"Matthew"},{"family":"Diniz Oliveira","given":"Thais"},{"family":"Bunge","given":"A. Charlotte"},{"family":"Williams","given":"Tim G."},{"family":"Mazac","given":"Rachel"},{"family":"Scheuermann","given":"Mary"},{"family":"Fanzo","given":"Jessica"}],"issued":{"date-parts":[["2025",2,21]]}}}],"schema":"https://github.com/citation-style-language/schema/raw/master/csl-citation.json"} </w:instrText>
      </w:r>
      <w:r w:rsidR="00947BCE">
        <w:fldChar w:fldCharType="separate"/>
      </w:r>
      <w:r w:rsidR="00243F79">
        <w:rPr>
          <w:noProof/>
        </w:rPr>
        <w:t>(Conti et al., 2025; Kihoro et al., 2025; Wigboldus and Leeuwis, 2013)</w:t>
      </w:r>
      <w:r w:rsidR="00947BCE">
        <w:fldChar w:fldCharType="end"/>
      </w:r>
      <w:r w:rsidR="00947BCE">
        <w:t>.</w:t>
      </w:r>
    </w:p>
    <w:p w14:paraId="52BCB241" w14:textId="77777777" w:rsidR="008D26C6" w:rsidRPr="00435A39" w:rsidRDefault="008D26C6" w:rsidP="00435A39"/>
    <w:p w14:paraId="278B75C1" w14:textId="27A5AB24" w:rsidR="00947BCE" w:rsidRPr="00E95625" w:rsidRDefault="002B1CF0" w:rsidP="00947BCE">
      <w:pPr>
        <w:pStyle w:val="ListParagraph"/>
        <w:numPr>
          <w:ilvl w:val="1"/>
          <w:numId w:val="8"/>
        </w:numPr>
        <w:rPr>
          <w:i/>
          <w:iCs/>
        </w:rPr>
      </w:pPr>
      <w:r w:rsidRPr="00E95625">
        <w:rPr>
          <w:i/>
          <w:iCs/>
        </w:rPr>
        <w:t>T</w:t>
      </w:r>
      <w:r w:rsidR="00947BCE" w:rsidRPr="00E95625">
        <w:rPr>
          <w:i/>
          <w:iCs/>
        </w:rPr>
        <w:t>hree spheres of scaling</w:t>
      </w:r>
    </w:p>
    <w:p w14:paraId="0DB43FC7" w14:textId="522AD80B" w:rsidR="003C2BC4" w:rsidRPr="00435A39" w:rsidRDefault="002B1CF0" w:rsidP="00E95625">
      <w:pPr>
        <w:rPr>
          <w:color w:val="1F1F1F"/>
        </w:rPr>
      </w:pPr>
      <w:r>
        <w:lastRenderedPageBreak/>
        <w:t xml:space="preserve">Drawing from the insights emerging from the literature described above, we conceptualise scaling as a </w:t>
      </w:r>
      <w:r w:rsidR="003C2BC4" w:rsidRPr="00435A39">
        <w:t xml:space="preserve">process happening across three interconnected </w:t>
      </w:r>
      <w:r w:rsidR="003C2BC4">
        <w:t>spheres:</w:t>
      </w:r>
    </w:p>
    <w:p w14:paraId="6D5BE1D4" w14:textId="77777777" w:rsidR="003C2BC4" w:rsidRDefault="003C2BC4" w:rsidP="003C2BC4"/>
    <w:p w14:paraId="11B3CE1A" w14:textId="22FA74C5" w:rsidR="00947BCE" w:rsidRPr="00814C70" w:rsidRDefault="004816B0" w:rsidP="00CB1890">
      <w:pPr>
        <w:ind w:firstLine="360"/>
      </w:pPr>
      <w:r w:rsidRPr="00814C70">
        <w:t>The</w:t>
      </w:r>
      <w:r w:rsidR="00931F40">
        <w:t xml:space="preserve"> </w:t>
      </w:r>
      <w:r w:rsidRPr="00E95625">
        <w:t>local sphere</w:t>
      </w:r>
      <w:r w:rsidR="00931F40">
        <w:t xml:space="preserve"> </w:t>
      </w:r>
      <w:r w:rsidRPr="00814C70">
        <w:t>encompasses place-based relations among farmers, input suppliers, processors, consumers, and community organisations, including the technical, economic, and social viability of local production–consumption cycles</w:t>
      </w:r>
      <w:r w:rsidR="00CB1890" w:rsidRPr="00814C70">
        <w:t xml:space="preserve"> </w:t>
      </w:r>
      <w:r w:rsidR="00CB1890" w:rsidRPr="00814C70">
        <w:rPr>
          <w:color w:val="1F1F1F"/>
        </w:rPr>
        <w:fldChar w:fldCharType="begin"/>
      </w:r>
      <w:r w:rsidR="00CB1890" w:rsidRPr="00814C70">
        <w:rPr>
          <w:color w:val="1F1F1F"/>
        </w:rPr>
        <w:instrText xml:space="preserve"> ADDIN ZOTERO_ITEM CSL_CITATION {"citationID":"BxGzKJOn","properties":{"formattedCitation":"(Enthoven and Van den Broeck, 2021)","plainCitation":"(Enthoven and Van den Broeck, 2021)","noteIndex":0},"citationItems":[{"id":19143,"uris":["http://zotero.org/users/12768557/items/Q8NDRXGT"],"itemData":{"id":19143,"type":"article-journal","abstract":"CONTEXT\nFood systems worldwide are under enormous pressure. Over the past decades, local food systems have been promoted by governments and civil society organisations as a lever for change towards more inclusive, resilient and sustainable food systems based on the belief of their many purported benefits.\nOBJECTIVE\nThe goal of this article is to test eight common beliefs on local food systems – from a consumer, farmer, community and environmental perspective – against scientific evidence, with a focus on North America and Europe.\nMETHODS\nWe conduct a systematic multi-disciplinary literature review and identify 123 peer-reviewed studies on local food systems.\nRESULTS AND CONCLUSIONS\nWe find that the impact of local food systems on different social, economic and environmental factors highly depends on the type of supply chain under assessment, with important differences across product types and countries. Hence, our review refutes the idea that local food is inherently good. In addition, we highlight the confusion surrounding the definition of a local food scale and point out a critical lack of cross-country comparable data hindering the possibility of drawing generalisable conclusions on the benefits and drawbacks of local food systems.\nSIGNIFICANCE\nA comprehensive review of multi-disciplinary scientific evidence confirming (or refuting) claims on local food systems was missing, leading to possible counter-productive policies. Based on our findings, we suggest that policy-makers should invest in cross-country comparable data collection on local food systems (especially in Europe), which would allow the scientific community to perform robust causal analyses on their impacts on society.","container-title":"Agricultural Systems","DOI":"10.1016/j.agsy.2021.103226","ISSN":"0308-521X","journalAbbreviation":"Agricultural Systems","page":"103226","source":"ScienceDirect","title":"Local food systems: Reviewing two decades of research","title-short":"Local food systems","volume":"193","author":[{"family":"Enthoven","given":"Laura"},{"family":"Van den Broeck","given":"Goedele"}],"issued":{"date-parts":[["2021",10,1]]}}}],"schema":"https://github.com/citation-style-language/schema/raw/master/csl-citation.json"} </w:instrText>
      </w:r>
      <w:r w:rsidR="00CB1890" w:rsidRPr="00814C70">
        <w:rPr>
          <w:color w:val="1F1F1F"/>
        </w:rPr>
        <w:fldChar w:fldCharType="separate"/>
      </w:r>
      <w:r w:rsidR="00CB1890" w:rsidRPr="00814C70">
        <w:rPr>
          <w:noProof/>
          <w:color w:val="1F1F1F"/>
        </w:rPr>
        <w:t>(Enthoven and Van den Broeck, 2021)</w:t>
      </w:r>
      <w:r w:rsidR="00CB1890" w:rsidRPr="00814C70">
        <w:rPr>
          <w:color w:val="1F1F1F"/>
        </w:rPr>
        <w:fldChar w:fldCharType="end"/>
      </w:r>
      <w:r w:rsidRPr="00814C70">
        <w:t>. Scaling at this level—often termed</w:t>
      </w:r>
      <w:r w:rsidR="00931F40">
        <w:t xml:space="preserve"> </w:t>
      </w:r>
      <w:proofErr w:type="spellStart"/>
      <w:r w:rsidRPr="00E95625">
        <w:t>outscaling</w:t>
      </w:r>
      <w:proofErr w:type="spellEnd"/>
      <w:r w:rsidRPr="00814C70">
        <w:t>—involves reaching increasing numbers of farmers and communities with practices that are economically and socially viable</w:t>
      </w:r>
      <w:r w:rsidR="00626CC2" w:rsidRPr="00814C70">
        <w:t xml:space="preserve"> </w:t>
      </w:r>
      <w:r w:rsidR="00626CC2" w:rsidRPr="00814C70">
        <w:fldChar w:fldCharType="begin"/>
      </w:r>
      <w:r w:rsidR="00626CC2" w:rsidRPr="00814C70">
        <w:instrText xml:space="preserve"> ADDIN ZOTERO_ITEM CSL_CITATION {"citationID":"NrLcAZLL","properties":{"formattedCitation":"(Hermans et al., 2013; Schut et al., 2014)","plainCitation":"(Hermans et al., 2013; Schut et al., 2014)","noteIndex":0},"citationItems":[{"id":20878,"uris":["http://zotero.org/users/12768557/items/V99NEWIN"],"itemData":{"id":20878,"type":"article-journal","abstract":"In this paper we use a network perspective to study the micro level of agricultural innovation systems and investigate the different roles and functions that collaborating actors have to perform to spread their innovation both horizontally and vertically. Based on a literature review, we distinguish between three separate network functions: (1) learning and knowledge co-creation, (2) upscaling and institutional entrepreneurship and (3) outscaling and innovation brokerage. We investigate how these different functions have been performed in the case of the Northern Frisian Woodlands (NFWs) in the Netherlands over a period of 17years. We have constructed the two-mode affiliation networks of the actors involved in various multidisciplinary research projects and lobbying events. We have analysed these networks using Social Network Analysis and measured the participation rates, relative degrees and the main paths through time with the Search Path Node Pairs algorithm. The results show that the three functions are not evenly distributed over all participants in an innovation network. For each of these three functions there is a small group of people that form a core group of knowledge creators, institutional entrepreneurs and innovation brokers. The analysis of the main paths through these projects and events shows the close interaction between the lobbying and knowledge co-creation functions. The ability to perform more than one innovation function over a longer period of time is extremely rare, but those people who can pull this off are very important for the success of an innovation network. This paper therefore concludes that the organisers of innovation networks should take try to organise their collaboration in such a way that it becomes easier for individuals to perform multiple roles within an innovation network.","container-title":"Agricultural Systems","DOI":"10.1016/j.agsy.2012.09.006","ISSN":"0308-521X","journalAbbreviation":"Agricultural Systems","page":"117-128","source":"ScienceDirect","title":"The distribution of roles and functions for upscaling and outscaling innovations in agricultural innovation systems","volume":"115","author":[{"family":"Hermans","given":"Frans"},{"family":"Stuiver","given":"Marian"},{"family":"Beers","given":"P. J."},{"family":"Kok","given":"Kasper"}],"issued":{"date-parts":[["2013",2,1]]}}},{"id":20919,"uris":["http://zotero.org/users/12768557/items/QPRSZT88"],"itemData":{"id":20919,"type":"article-journal","abstract":"This paper seeks to contribute to a better understanding of the complex dynamics that shape the contribution of research to policy and innovation processes that address ‘competing claims’ on natural resources and their management. Research in the context of competing claims requires strategies that: (1) can cope with high uncertainty and unpredictability; (2) are concerned with understanding the multiple dimensions of the issue at stake; (3) can facilitate change across different scales and levels; (4) include collaboration with different actors and stakeholders; and (5) may imply new roles for research and researchers. This paper reviews and builds upon research approaches to address these challenges. These research approaches are combined in a framework for dynamic research configurations that aims to stimulate reflection among researchers and to promote more embedded, context-sensitive and flexible research strategies.","container-title":"Science and Public Policy","DOI":"10.1093/scipol/sct048","ISSN":"0302-3427","issue":"2","journalAbbreviation":"Sci Public Policy","page":"207-218","source":"Silverchair","title":"Towards dynamic research configurations: A framework for reflection on the contribution of research to policy and innovation processes","title-short":"Towards dynamic research configurations","volume":"41","author":[{"family":"Schut","given":"Marc"},{"family":"Paassen","given":"Annemarie","non-dropping-particle":"van"},{"family":"Leeuwis","given":"Cees"},{"family":"Klerkx","given":"Laurens"}],"issued":{"date-parts":[["2014",4,1]]}}}],"schema":"https://github.com/citation-style-language/schema/raw/master/csl-citation.json"} </w:instrText>
      </w:r>
      <w:r w:rsidR="00626CC2" w:rsidRPr="00814C70">
        <w:fldChar w:fldCharType="separate"/>
      </w:r>
      <w:r w:rsidR="00626CC2" w:rsidRPr="00814C70">
        <w:rPr>
          <w:noProof/>
        </w:rPr>
        <w:t>(Hermans et al., 2013; Schut et al., 2014)</w:t>
      </w:r>
      <w:r w:rsidR="00626CC2" w:rsidRPr="00814C70">
        <w:fldChar w:fldCharType="end"/>
      </w:r>
      <w:r w:rsidR="00626CC2" w:rsidRPr="00814C70">
        <w:t>.</w:t>
      </w:r>
      <w:r w:rsidRPr="00814C70">
        <w:t>This sphere is where farmers and communities experiment with and gradually adopt alternatives that respond to locally identified challenge</w:t>
      </w:r>
      <w:r w:rsidR="00CB1890" w:rsidRPr="00814C70">
        <w:t>s</w:t>
      </w:r>
      <w:r w:rsidRPr="00814C70">
        <w:t>. Viability in this sphere depends on farmers</w:t>
      </w:r>
      <w:r w:rsidR="00CB1890" w:rsidRPr="00814C70">
        <w:t xml:space="preserve"> and communities</w:t>
      </w:r>
      <w:r w:rsidRPr="00814C70">
        <w:t xml:space="preserve"> perceiving tangible benefits </w:t>
      </w:r>
      <w:r w:rsidR="00CB1890" w:rsidRPr="00814C70">
        <w:t xml:space="preserve">of interventions </w:t>
      </w:r>
      <w:r w:rsidRPr="00814C70">
        <w:t>(e.g. higher yields, reduced labour, better nutrition, climate resilience)</w:t>
      </w:r>
      <w:r w:rsidR="00CB1890" w:rsidRPr="00814C70">
        <w:t xml:space="preserve"> </w:t>
      </w:r>
      <w:r w:rsidR="00CB1890" w:rsidRPr="00814C70">
        <w:rPr>
          <w:noProof/>
          <w:color w:val="1F1F1F"/>
        </w:rPr>
        <w:t>Enthoven and Van den Broeck, 2021)</w:t>
      </w:r>
      <w:r w:rsidR="00CB1890" w:rsidRPr="00814C70">
        <w:t>. L</w:t>
      </w:r>
      <w:r w:rsidRPr="00814C70">
        <w:t xml:space="preserve">ocal institutions (self-help groups, farmer collectives) </w:t>
      </w:r>
      <w:r w:rsidR="00CB1890" w:rsidRPr="00814C70">
        <w:t xml:space="preserve">might be important to manage </w:t>
      </w:r>
      <w:r w:rsidRPr="00814C70">
        <w:t>shared resources fairly</w:t>
      </w:r>
      <w:r w:rsidR="00CB1890" w:rsidRPr="00814C70">
        <w:t xml:space="preserve"> and start involving neighbouring farmers to</w:t>
      </w:r>
      <w:r w:rsidRPr="00814C70">
        <w:t xml:space="preserve"> </w:t>
      </w:r>
      <w:r w:rsidR="00CB1890" w:rsidRPr="00814C70">
        <w:t>build local knowledge and behavioural changes that s</w:t>
      </w:r>
      <w:r w:rsidRPr="00814C70">
        <w:t xml:space="preserve">pread </w:t>
      </w:r>
      <w:r w:rsidR="00CB1890" w:rsidRPr="00814C70">
        <w:t>new</w:t>
      </w:r>
      <w:r w:rsidRPr="00814C70">
        <w:t xml:space="preserve"> practices across villages and </w:t>
      </w:r>
      <w:r w:rsidR="00CB1890" w:rsidRPr="00814C70">
        <w:t xml:space="preserve">communities </w:t>
      </w:r>
      <w:r w:rsidR="003C2BC4" w:rsidRPr="00814C70">
        <w:fldChar w:fldCharType="begin"/>
      </w:r>
      <w:r w:rsidR="00D66183" w:rsidRPr="00814C70">
        <w:instrText xml:space="preserve"> ADDIN ZOTERO_ITEM CSL_CITATION {"citationID":"VYOnuEPF","properties":{"formattedCitation":"(Conti et al., 2024b)","plainCitation":"(Conti et al., 2024b)","noteIndex":0},"citationItems":[{"id":18756,"uris":["http://zotero.org/users/12768557/items/E7EJ8D5P"],"itemData":{"id":18756,"type":"article-journal","abstract":"System innovation is a signature feature of agri-food system transformation. Such system innovation often occurs in niches. However, how the \"green shoots\" of transformation can be detected and appraised through time remains ambiguous. This paper proposes, applies and tests a framework that could be used as a ‘transformation assessment tool’ to evaluate the level of system innovation in a domain of change. The framework is tested against a case study of a Non-Pesticide Management initiative in South India. The framework helps to reveal how, over 20 years, the initiative triggered a number of system innovations that opened a new development pathway, more aligned to environmental sustainability, equity and social inclusion. A critical enabling factor identified for the expansionand \"blossoming\" of this green shoot was its capacity to flexibly respond and adapt to emergent and largely unknowable agri-food systems dynamics. In its conclusions, the paper sheds light on the ongoing tensions around the defining benchmarks or thresholds for assessing the ‘transformativeness’ of initiatives and change processes. Finding a way of combining qualitative assessments of system changes with quantitative measures of social, economic, and environmental impact could be a valuable vein of research to enhance our understanding of transformative processes and how to enable them.","container-title":"Innovation and Development","DOI":"10.1080/2157930X.2024.2347759","ISSN":"2157-930X","issue":"0","note":"_eprint: https://doi.org/10.1080/2157930X.2024.2347759","page":"1-19","publisher":"Routledge","source":"Taylor and Francis+NEJM","title":"Detecting ‘green shoots’ of agri-food systems transformation: a framework and insights from the spread of non-pesticide approaches in South India","title-short":"Detecting ‘green shoots’ of agri-food systems transformation","volume":"0","author":[{"family":"Conti","given":"Costanza"},{"family":"Hall","given":"Andy"},{"family":"Williams","given":"Tim G."},{"family":"Kumar","given":"Vishal"},{"family":"Zanello","given":"Giacomo"}],"issued":{"date-parts":[["2024"]]}}}],"schema":"https://github.com/citation-style-language/schema/raw/master/csl-citation.json"} </w:instrText>
      </w:r>
      <w:r w:rsidR="003C2BC4" w:rsidRPr="00814C70">
        <w:fldChar w:fldCharType="separate"/>
      </w:r>
      <w:r w:rsidR="003C2BC4" w:rsidRPr="00814C70">
        <w:rPr>
          <w:noProof/>
        </w:rPr>
        <w:t>(Conti et al., 2024b)</w:t>
      </w:r>
      <w:r w:rsidR="003C2BC4" w:rsidRPr="00814C70">
        <w:fldChar w:fldCharType="end"/>
      </w:r>
      <w:r w:rsidR="003C2BC4" w:rsidRPr="00814C70">
        <w:t>.</w:t>
      </w:r>
    </w:p>
    <w:p w14:paraId="09E8430B" w14:textId="165B2AE3" w:rsidR="003C2BC4" w:rsidRDefault="003C2BC4" w:rsidP="006135D7">
      <w:pPr>
        <w:ind w:firstLine="360"/>
      </w:pPr>
      <w:r w:rsidRPr="00814C70">
        <w:t>The networks</w:t>
      </w:r>
      <w:r w:rsidR="006135D7" w:rsidRPr="00E95625">
        <w:t xml:space="preserve">, relationships </w:t>
      </w:r>
      <w:r w:rsidRPr="00814C70">
        <w:t>and intermediations sphere acknowledges</w:t>
      </w:r>
      <w:r>
        <w:t xml:space="preserve"> the importance of </w:t>
      </w:r>
      <w:r w:rsidRPr="00E95625">
        <w:rPr>
          <w:i/>
          <w:iCs/>
        </w:rPr>
        <w:t>interactions between people</w:t>
      </w:r>
      <w:r>
        <w:t xml:space="preserve"> </w:t>
      </w:r>
      <w:r>
        <w:fldChar w:fldCharType="begin"/>
      </w:r>
      <w:r>
        <w:instrText xml:space="preserve"> ADDIN ZOTERO_ITEM CSL_CITATION {"citationID":"wAvVSc6V","properties":{"formattedCitation":"(Leeuwis et al., 2021)","plainCitation":"(Leeuwis et al., 2021)","noteIndex":0},"citationItems":[{"id":20863,"uris":["http://zotero.org/users/12768557/items/5U2QDR9V"],"itemData":{"id":20863,"type":"article-journal","abstract":"This paper argues that supporting food system transformation requires more than obtaining science-based understanding and analysis of how components in the system interact. We argue that changing the emergent properties of food systems (what we call food system synthesis) is a socio-political challenge that is affected by competing views regarding system boundaries and purposes, and limited possibilities for central steering and control. We point to different traditions of ‘systems thinking’ that each emphasize particular types of interventions for achieving system change, and argue that food systems are best looked at as complex multi-dimensional systems. This implies that we need to move beyond rational engineering approaches to system change, and look for approaches that anticipate and accommodate inherent social tensions and struggles in processes of changing food system dynamics and outcomes. Through a case study on the persistence of an undesired emergent property of food systems (i.e. poverty) we demonstrate that a multi-level perspective (MLP) on system transformation is useful in understanding both how food system transformation has happened in the past, and how desirable transformations is prevented from happening today. Based on such insights we point to key governance strategies and principles that may be used to influence food system transformation as a non-linear and long-term process of competition, negotiation and reconfiguration. Such strategies include the creation and nurturing of diversity in the system, as well as process interventions aimed at visioning, destabilization and formation of discourse coalitions. Such governance interventions imply a considerable re-orientation of investments in food system transformation as well as a rethinking of the role that policy-makers may play in either altering or reproducing undesirable system outcomes.","container-title":"Food Security","DOI":"10.1007/s12571-021-01178-4","ISSN":"1876-4525","issue":"4","journalAbbreviation":"Food Sec.","language":"en","page":"761-780","source":"Springer Link","title":"How food systems change (or not): governance implications for system transformation processes","title-short":"How food systems change (or not)","volume":"13","author":[{"family":"Leeuwis","given":"Cees"},{"family":"Boogaard","given":"Birgit K."},{"family":"Atta-Krah","given":"Kwesi"}],"issued":{"date-parts":[["2021",8,1]]}}}],"schema":"https://github.com/citation-style-language/schema/raw/master/csl-citation.json"} </w:instrText>
      </w:r>
      <w:r>
        <w:fldChar w:fldCharType="separate"/>
      </w:r>
      <w:r>
        <w:rPr>
          <w:noProof/>
        </w:rPr>
        <w:t>(Leeuwis et al., 2021)</w:t>
      </w:r>
      <w:r>
        <w:fldChar w:fldCharType="end"/>
      </w:r>
      <w:r>
        <w:t xml:space="preserve">, and refers to </w:t>
      </w:r>
      <w:r w:rsidRPr="003C2BC4">
        <w:t>the formal and informal networks, partnerships, and intermediary organisations that facilitate learning, resource flows, and credibility-building between local actors and broader</w:t>
      </w:r>
      <w:r w:rsidR="00642977">
        <w:t xml:space="preserve"> organisational and</w:t>
      </w:r>
      <w:r w:rsidRPr="003C2BC4">
        <w:t xml:space="preserve"> institutional levels</w:t>
      </w:r>
      <w:r>
        <w:t xml:space="preserve"> </w:t>
      </w:r>
      <w:r w:rsidRPr="00435A39">
        <w:rPr>
          <w:color w:val="1F1F1F"/>
        </w:rPr>
        <w:fldChar w:fldCharType="begin"/>
      </w:r>
      <w:r w:rsidR="00D66183">
        <w:rPr>
          <w:color w:val="1F1F1F"/>
        </w:rPr>
        <w:instrText xml:space="preserve"> ADDIN ZOTERO_ITEM CSL_CITATION {"citationID":"rbaviH2P","properties":{"formattedCitation":"(World Bank, 2006)","plainCitation":"(World Bank, 2006)","noteIndex":0},"citationItems":[{"id":1948,"uris":["http://zotero.org/users/12768557/items/PGZ3FVDX"],"itemData":{"id":1948,"type":"article-journal","abstract":"Managing the ability of agriculture to meet rising global demand and to respond to the changes and opportunities will require good policy, sustained investments, and innovation - not business as usual. Investments in public Research and Development, extension, education, and their links with one another have elicited high returns and pro-poor growth, but these investments alone will not elicit innovation at the pace or on the scale required by the intensifying and proliferating challenges confronting agriculture. Experience indicates that aside from a strong capacity in Research and Development, the ability to innovate is often related to collective action, coordination, the exchange of knowledge among diverse actors, the incentives and resources available to form partnerships and develop businesses, and conditions that make it possible for farmers or entrepreneurs to use the innovations. While consensus is developing about what is meant by 'innovation' and 'innovation system', no detailed blueprint exists for making agricultural innovation happen at a given time, in a given place, for a given result. The AIS approach that looks at these multiple conditions and relationships that promote innovation in agriculture, has however moved from a concept to a sub-discipline with principles of analysis and action. AIS investments must be specific to the context, responding to the stage of development in a particular country and agricultural sector, especially the AIS. This sourcebook contributes to identifying, designing, and implementing the investments, approaches, and complementary interventions that appear most likely to strengthen AIS and to promote agricultural innovation and equitable growth. It emphasizes the lessons learned, benefits and impacts, implementation issues, and prospects for replicating or expanding successful practices. The information in this sourcebook derives from approaches that have been tested at different scales in different contexts. It reflects the experiences and evolving understanding of numerous individuals and organizations concerned with agricultural innovation, including the World Bank. This information is targeted to the key operational staff in international and regional development agencies and national governments who design and implement lending projects and to the practitioners who design thematic programs and technical assistance packages. The sourcebook can also be an important resource for the research community and nongovernmental organizations (NGOs).","container-title":"Enhancing Agricultural Innovation","DOI":"10.1596/978-0-8213-6741-4","publisher":"The World Bank","title":"Enhancing Agricultural Innovation","author":[{"literal":"World Bank"}],"issued":{"date-parts":[["2006",11]]}}}],"schema":"https://github.com/citation-style-language/schema/raw/master/csl-citation.json"} </w:instrText>
      </w:r>
      <w:r w:rsidRPr="00435A39">
        <w:rPr>
          <w:color w:val="1F1F1F"/>
        </w:rPr>
        <w:fldChar w:fldCharType="separate"/>
      </w:r>
      <w:r w:rsidRPr="00435A39">
        <w:rPr>
          <w:noProof/>
          <w:color w:val="1F1F1F"/>
        </w:rPr>
        <w:t>(World Bank, 2006)</w:t>
      </w:r>
      <w:r w:rsidRPr="00435A39">
        <w:rPr>
          <w:color w:val="1F1F1F"/>
        </w:rPr>
        <w:fldChar w:fldCharType="end"/>
      </w:r>
      <w:r w:rsidRPr="003C2BC4">
        <w:t>. This sphere includes research-practice partnerships, farmer organisations, policy forums, advocacy platforms, and individual champions</w:t>
      </w:r>
      <w:r>
        <w:t xml:space="preserve"> working across levels </w:t>
      </w:r>
      <w:r>
        <w:fldChar w:fldCharType="begin"/>
      </w:r>
      <w:r w:rsidR="00AD2E2F">
        <w:instrText xml:space="preserve"> ADDIN ZOTERO_ITEM CSL_CITATION {"citationID":"3f0qo219","properties":{"formattedCitation":"(Ernstsen et al., 2021; Klerkx and Aarts, 2013a; Orr et al., 2022)","plainCitation":"(Ernstsen et al., 2021; Klerkx and Aarts, 2013a; Orr et al., 2022)","noteIndex":0},"citationItems":[{"id":20884,"uris":["http://zotero.org/users/12768557/items/W7J2RMBG"],"itemData":{"id":20884,"type":"article-journal","abstract":"AbstractDigital technologies are expected to create transformational change in the construction\nsector. Previous studies have either anticipated the impact of individual technologies\nor outlined a number of nontechnology-focused future scenarios. There is ...","container-title":"Journal of Construction Engineering and Management","DOI":"10.1061/(ASCE)CO.1943-7862.0001928","ISSN":"1943-7862","issue":"1","language":"EN","license":"This work is made available under the terms of the Creative Commons Attribution 4.0 International license, https://creativecommons.org/licenses/by/4.0/.","page":"05020022","publisher":"American Society of Civil Engineers","source":"ASCE","title":"How Innovation Champions Frame the Future: Three Visions for Digital Transformation of Construction","title-short":"How Innovation Champions Frame the Future","volume":"147","author":[{"family":"Ernstsen","given":"Sidsel Nymark"},{"family":"Whyte","given":"Jennifer"},{"family":"Thuesen","given":"Christian"},{"family":"Maier","given":"Anja"}],"issued":{"date-parts":[["2021",1,1]]}}},{"id":20373,"uris":["http://zotero.org/users/12768557/items/FJJNRRJY"],"itemData":{"id":20373,"type":"article-journal","abstract":"In networked or open innovation processes, so-called innovation communities have been identified in the innovation champion literature, in which innovation champions from different levels in the innovation system supposedly act as a team. It has however not been studied in detail to what extent and how different champions in innovation communities complement each other and act as a team. Applying the concept of innovation network orchestration to analyze the role and position of different kinds of champions as brokers in innovation networks, the purpose of this paper is to unravel the interaction between champions and what this entails in terms of role complementarities and conflicts as regards innovation network orchestration. This is done by using an explorative multiple case study approach in which three innovation journeys are analyzed. The results indicate that a distinction can be made between primary innovation communities, who act as aggregated orchestrators of the overall innovation network, and who in turn orchestrate secondary innovation communities in certain sub-networks. Here different kinds of champions complement each other and act as a team, but these complementarities are not a given: they are negotiated over time in interaction, and lack of reflection on each other’s roles may result in role conflicts. The main conclusion is that an oversimplified notion of innovation communities as a unified team of champions should be avoided: innovation communities themselves need a form of orchestration.","container-title":"Technovation","DOI":"10.1016/j.technovation.2013.03.002","ISSN":"0166-4972","issue":"6","journalAbbreviation":"Technovation","page":"193-210","source":"ScienceDirect","title":"The interaction of multiple champions in orchestrating innovation networks: Conflicts and complementarities","title-short":"The interaction of multiple champions in orchestrating innovation networks","volume":"33","author":[{"family":"Klerkx","given":"Laurens"},{"family":"Aarts","given":"Noelle"}],"issued":{"date-parts":[["2013",6,1]]}}},{"id":1924,"uris":["http://zotero.org/users/12768557/items/4V9F5NDM"],"itemData":{"id":1924,"type":"report","page":"57-57","publisher-place":"Patancheru","title":"Evidencing what works in developing new market opportunities for GLDC crops","URL":"http://oar.icrisat.org/11963/","author":[{"family":"Orr","given":"A"},{"family":"Conti","given":"C"},{"family":"Mausch","given":"K"},{"family":"Hall","given":"A"}],"issued":{"date-parts":[["2022"]]}}}],"schema":"https://github.com/citation-style-language/schema/raw/master/csl-citation.json"} </w:instrText>
      </w:r>
      <w:r>
        <w:fldChar w:fldCharType="separate"/>
      </w:r>
      <w:r w:rsidR="000A57CB">
        <w:rPr>
          <w:noProof/>
        </w:rPr>
        <w:t>(Ernstsen et al., 2021; Klerkx and Aarts, 2013a; Orr et al., 2022)</w:t>
      </w:r>
      <w:r>
        <w:fldChar w:fldCharType="end"/>
      </w:r>
      <w:r w:rsidRPr="003C2BC4">
        <w:t xml:space="preserve">. </w:t>
      </w:r>
      <w:r>
        <w:t xml:space="preserve">Intermediaries </w:t>
      </w:r>
      <w:r w:rsidRPr="003C2BC4">
        <w:t xml:space="preserve">—whether researchers, development organisations, farmer leaders, or government advisors—operate at this level, translating learning from local experimentation into </w:t>
      </w:r>
      <w:r w:rsidR="00642977">
        <w:t>information</w:t>
      </w:r>
      <w:r w:rsidRPr="003C2BC4">
        <w:t xml:space="preserve"> that can inform policy and </w:t>
      </w:r>
      <w:r w:rsidR="001B1613">
        <w:t>foster institutional change</w:t>
      </w:r>
      <w:r>
        <w:t xml:space="preserve"> </w:t>
      </w:r>
      <w:r>
        <w:fldChar w:fldCharType="begin"/>
      </w:r>
      <w:r>
        <w:instrText xml:space="preserve"> ADDIN ZOTERO_ITEM CSL_CITATION {"citationID":"szpu3R3C","properties":{"formattedCitation":"(Kilelu et al., 2011; Klerkx and Leeuwis, 2009)","plainCitation":"(Kilelu et al., 2011; Klerkx and Leeuwis, 2009)","noteIndex":0},"citationItems":[{"id":9,"uris":["http://zotero.org/users/12768557/items/797U67IC"],"itemData":{"id":9,"type":"article-journal","abstract":"The recognition that innovation occurs in networks of heterogeneous actors and requires broad systemic support beyond knowledge brokering has resulted in a changing landscape in the intermediary do...","container-title":"https://doi.org/10.1080/19474199.2011.593859","DOI":"10.1080/19474199.2011.593859","ISSN":"1947-4199","issue":"1","page":"84-108","title":"Beyond knowledge brokering: an exploratory study on innovation intermediaries in an evolving smallholder agricultural system in Kenya","volume":"7","author":[{"family":"Kilelu","given":"Catherine W."},{"family":"Klerkx","given":"Laurens"},{"family":"Leeuwis","given":"Cees"},{"family":"Hall","given":"Andy"}],"issued":{"date-parts":[["2011"]]}}},{"id":20872,"uris":["http://zotero.org/users/12768557/items/77RSM9PY"],"itemData":{"id":20872,"type":"article-journal","abstract":"In the systems perspective on innovation, co-operation between several different types of actors is seen as key to successful innovation. Due to the existence of several gaps that hinder such effective co-operation, the scientific and policy literature persistently points at the need for intermediary organizations to fulfill bridging and brokerage roles. This paper aims to provide an overview of the insights from the literature on such ‘innovation brokers’, and to contribute to the literature by distilling lines of enquiry and providing insights on one of the lines identified. Taking as an empirical basis experiences with different types of innovation brokers that have emerged in the Dutch agricultural sector, it identifies a number of tensions with regard to the establishment and embedding of such organizations. The paper indicates that, despite being perceived to have a catalyzing effect on innovation, innovation brokers have difficulty in becoming embedded as their clients and/or financiers find it difficult to grasp the nature and value of their activities.","container-title":"Technological Forecasting and Social Change","DOI":"10.1016/j.techfore.2008.10.001","ISSN":"0040-1625","issue":"6","journalAbbreviation":"Technological Forecasting and Social Change","page":"849-860","source":"ScienceDirect","title":"Establishment and embedding of innovation brokers at different innovation system levels: Insights from the Dutch agricultural sector","title-short":"Establishment and embedding of innovation brokers at different innovation system levels","volume":"76","author":[{"family":"Klerkx","given":"Laurens"},{"family":"Leeuwis","given":"Cees"}],"issued":{"date-parts":[["2009",7,1]]}}}],"schema":"https://github.com/citation-style-language/schema/raw/master/csl-citation.json"} </w:instrText>
      </w:r>
      <w:r>
        <w:fldChar w:fldCharType="separate"/>
      </w:r>
      <w:r>
        <w:rPr>
          <w:noProof/>
        </w:rPr>
        <w:t>(Kilelu et al., 2011; Klerkx and Leeuwis, 2009)</w:t>
      </w:r>
      <w:r>
        <w:fldChar w:fldCharType="end"/>
      </w:r>
      <w:r w:rsidRPr="003C2BC4">
        <w:t xml:space="preserve">. </w:t>
      </w:r>
      <w:r w:rsidR="006135D7">
        <w:t xml:space="preserve">The presence of these networks is essential to maintain information and knowledge flows, enrol multiple actors in </w:t>
      </w:r>
      <w:r w:rsidR="00642977">
        <w:t>the innovation process aligned to new values</w:t>
      </w:r>
      <w:r w:rsidR="006135D7">
        <w:t xml:space="preserve">, and support advocacy for broader institutional and policy change that can enable further scaling </w:t>
      </w:r>
      <w:r w:rsidR="00642977">
        <w:t>and system change</w:t>
      </w:r>
      <w:r w:rsidR="001B1613">
        <w:t xml:space="preserve"> </w:t>
      </w:r>
      <w:r w:rsidR="006135D7">
        <w:t>(i.e. upscaling).</w:t>
      </w:r>
    </w:p>
    <w:p w14:paraId="4BA7F30D" w14:textId="79D71555" w:rsidR="001E34CE" w:rsidRPr="00E95625" w:rsidRDefault="00E7510E" w:rsidP="00E95625">
      <w:pPr>
        <w:ind w:firstLine="360"/>
      </w:pPr>
      <w:r w:rsidRPr="002B1CF0">
        <w:t xml:space="preserve">The </w:t>
      </w:r>
      <w:r w:rsidRPr="00814C70">
        <w:t>system sphere</w:t>
      </w:r>
      <w:r w:rsidRPr="002B1CF0">
        <w:t xml:space="preserve"> covers the formal arrangements that structure food systems at scale: state and market institutions, procurement and contracting rules, value-chain infrastructure, public investment priorities, regulatory standards, and the administrative routines through which these are implemented</w:t>
      </w:r>
      <w:r w:rsidR="002B1CF0">
        <w:t xml:space="preserve"> </w:t>
      </w:r>
      <w:r w:rsidR="002B1CF0" w:rsidRPr="00435A39">
        <w:rPr>
          <w:color w:val="001D35"/>
          <w:shd w:val="clear" w:color="auto" w:fill="FFFFFF"/>
        </w:rPr>
        <w:fldChar w:fldCharType="begin"/>
      </w:r>
      <w:r w:rsidR="00AD2E2F">
        <w:rPr>
          <w:color w:val="001D35"/>
          <w:shd w:val="clear" w:color="auto" w:fill="FFFFFF"/>
        </w:rPr>
        <w:instrText xml:space="preserve"> ADDIN ZOTERO_ITEM CSL_CITATION {"citationID":"xC0iE7kY","properties":{"formattedCitation":"(HLPE, 2014)","plainCitation":"(HLPE, 2014)","noteIndex":0},"citationItems":[{"id":19900,"uris":["http://zotero.org/users/12768557/items/V9PSQ9BT"],"itemData":{"id":19900,"type":"report","publisher":"High Level Panel of Experts on Food Security and Nutrition (HLPE) “","publisher-place":"Rome","title":"Food losses and waste in the context of sustainable food systems","author":[{"family":"HLPE","given":""}],"issued":{"date-parts":[["2014"]]}}}],"schema":"https://github.com/citation-style-language/schema/raw/master/csl-citation.json"} </w:instrText>
      </w:r>
      <w:r w:rsidR="002B1CF0" w:rsidRPr="00435A39">
        <w:rPr>
          <w:color w:val="001D35"/>
          <w:shd w:val="clear" w:color="auto" w:fill="FFFFFF"/>
        </w:rPr>
        <w:fldChar w:fldCharType="separate"/>
      </w:r>
      <w:r w:rsidR="002B1CF0" w:rsidRPr="00435A39">
        <w:rPr>
          <w:noProof/>
          <w:color w:val="001D35"/>
          <w:shd w:val="clear" w:color="auto" w:fill="FFFFFF"/>
        </w:rPr>
        <w:t>(HLPE, 2014)</w:t>
      </w:r>
      <w:r w:rsidR="002B1CF0" w:rsidRPr="00435A39">
        <w:rPr>
          <w:color w:val="001D35"/>
          <w:shd w:val="clear" w:color="auto" w:fill="FFFFFF"/>
        </w:rPr>
        <w:fldChar w:fldCharType="end"/>
      </w:r>
      <w:r w:rsidRPr="002B1CF0">
        <w:t>.</w:t>
      </w:r>
      <w:r w:rsidR="001E34CE" w:rsidRPr="002B1CF0">
        <w:t xml:space="preserve"> </w:t>
      </w:r>
      <w:r w:rsidR="001E34CE" w:rsidRPr="00E95625">
        <w:t xml:space="preserve">Scaling here is deep scaling (Moore et al., 2015)— or scaling that embeds new goals, practices, and values to fundamentally alter system performance and enable system transformation </w:t>
      </w:r>
      <w:r w:rsidR="002B1CF0" w:rsidRPr="00E95625">
        <w:t xml:space="preserve"> </w:t>
      </w:r>
      <w:r w:rsidR="002B1CF0" w:rsidRPr="00E95625">
        <w:fldChar w:fldCharType="begin"/>
      </w:r>
      <w:r w:rsidR="00AB0D54">
        <w:instrText xml:space="preserve"> ADDIN ZOTERO_ITEM CSL_CITATION {"citationID":"V4urSJkU","properties":{"formattedCitation":"(Hall and Dijkman, 2019)","plainCitation":"(Hall and Dijkman, 2019)","noteIndex":0},"citationItems":[{"id":1875,"uris":["http://zotero.org/users/12768557/items/QQ5QRI76"],"itemData":{"id":1875,"type":"report","number":"IX + 67 pp","page":"67-67","publisher":"CGIAR Independent Science and Partnership Council (ISPC) Secretariat and Commonwealth Scientific and Industrial Research Organisation (CSIRO)","publisher-place":"Rome and Canberra","title":"Public Agricultural Research in an Era of Transformation : The Challenge of Agri-Food System Innovation","URL":"https://iaes.cgiar.org//sites/default/files/pdf/syntetic-study-web-def.pdf","author":[{"family":"Hall","given":"A."},{"family":"Dijkman","given":"J."}],"issued":{"date-parts":[["2019"]]}}}],"schema":"https://github.com/citation-style-language/schema/raw/master/csl-citation.json"} </w:instrText>
      </w:r>
      <w:r w:rsidR="002B1CF0" w:rsidRPr="00E95625">
        <w:fldChar w:fldCharType="separate"/>
      </w:r>
      <w:r w:rsidR="002B1CF0" w:rsidRPr="00E95625">
        <w:t>(Hall and Dijkman, 2019)</w:t>
      </w:r>
      <w:r w:rsidR="002B1CF0" w:rsidRPr="00E95625">
        <w:fldChar w:fldCharType="end"/>
      </w:r>
      <w:r w:rsidR="001E34CE" w:rsidRPr="00E95625">
        <w:t xml:space="preserve">. This sphere sees emerging  and novel institutional </w:t>
      </w:r>
      <w:r w:rsidR="002B1CF0">
        <w:t>configurations</w:t>
      </w:r>
      <w:r w:rsidR="001E34CE" w:rsidRPr="00E95625">
        <w:t xml:space="preserve"> directing food systems toward </w:t>
      </w:r>
      <w:r w:rsidR="002B1CF0" w:rsidRPr="002B1CF0">
        <w:t>altogether</w:t>
      </w:r>
      <w:r w:rsidR="001E34CE" w:rsidRPr="00E95625">
        <w:t xml:space="preserve"> different objectives like environmental sustainability, social inclusion, and equity</w:t>
      </w:r>
      <w:r w:rsidR="002B1CF0">
        <w:t xml:space="preserve"> </w:t>
      </w:r>
      <w:r w:rsidR="00176647">
        <w:fldChar w:fldCharType="begin"/>
      </w:r>
      <w:r w:rsidR="00D66183">
        <w:instrText xml:space="preserve"> ADDIN ZOTERO_ITEM CSL_CITATION {"citationID":"qgufHWgb","properties":{"formattedCitation":"(Caron et al., 2018)","plainCitation":"(Caron et al., 2018)","noteIndex":0},"citationItems":[{"id":1106,"uris":["http://zotero.org/users/12768557/items/MB7X9US7"],"itemData":{"id":1106,"type":"article-journal","abstract":"Evidence shows the importance of food systems for sustainable development: they are at the nexus that links food security, nutrition, and human health, the viability of ecosystems, climate change, and social justice. However, agricultural policies tend to focus on food supply, and sometimes, on mechanisms to address negative externalities. We propose an alternative. Our starting point is that agriculture and food systems’ policies should be aligned to the 2030 Agenda for Sustainable Development. This calls for deep changes in comparison with the paradigms that prevailed when steering the agricultural change in the XXth century. We identify the comprehensive food systems transformation that is needed. It has four parts: first, food systems should enable all people to benefit from nutritious and healthy food. Second, they should reflect sustainable agricultural production and food value chains. Third, they should mitigate climate change and build resilience. Fourth, they should encourage a renaissance of rural territories. The implementation of the transformation relies on (i) suitable metrics to aid decision-making, (ii) synergy of policies through convergence of local and global priorities, and (iii) enhancement of development approaches that focus on territories. We build on the work of the “Milano Group,” an informal group of experts convened by the UN Secretary General in Milan in 2015. Backed by a literature review, what emerges is a strategic narrative linking climate, agriculture and food, and calling for a deep transformation of food systems at scale. This is critical for achieving the Sustainable Development Goals and the Paris Agreement. The narrative highlights the needed consistency between global actions for sustainable development and numerous local-level innovations. It emphasizes the challenge of designing differentiated paths for food systems transformation responding to local and national expectations. Scientific and operational challenges are associated with the alignment and arbitration of local action within the context of global priorities.","container-title":"Agronomy for Sustainable Development","DOI":"10.1007/s13593-018-0519-1","issue":"4","page":"1-12","publisher":"Agronomy for Sustainable Development","title":"Food systems for sustainable development: proposals for a profound four-part transformation","volume":"38","author":[{"family":"Caron","given":"Patrick"},{"family":"Ferrero y de Loma-Osorio","given":"Gabriel"},{"family":"Nabarro","given":"David"},{"family":"Hainzelin","given":"Etienne"},{"family":"Guillou","given":"Marion"},{"family":"Andersen","given":"Inger"},{"family":"Arnold","given":"Tom"},{"family":"Astralaga","given":"Margarita"},{"family":"Beukeboom","given":"Marcel"},{"family":"Bickersteth","given":"Sam"},{"family":"Bwalya","given":"Martin"},{"family":"Caballero","given":"Paula"},{"family":"Campbell","given":"Bruce M."},{"family":"Divine","given":"Ntiokam"},{"family":"Fan","given":"Shenggen"},{"family":"Frick","given":"Martin"},{"family":"Friis","given":"Anette"},{"family":"Gallagher","given":"Martin"},{"family":"Halkin","given":"Jean-Pierre Pierre"},{"family":"Hanson","given":"Craig"},{"family":"Lasbennes","given":"Florence"},{"family":"Ribera","given":"Teresa"},{"family":"Rockstrom","given":"Johan"},{"family":"Schuepbach","given":"Marlen"},{"family":"Steer","given":"Andrew"},{"family":"Tutwiler","given":"Ann"},{"family":"Verburg","given":"Gerda"}],"issued":{"date-parts":[["2018",8]]}}}],"schema":"https://github.com/citation-style-language/schema/raw/master/csl-citation.json"} </w:instrText>
      </w:r>
      <w:r w:rsidR="00176647">
        <w:fldChar w:fldCharType="separate"/>
      </w:r>
      <w:r w:rsidR="00176647">
        <w:rPr>
          <w:noProof/>
        </w:rPr>
        <w:t>(Caron et al., 2018)</w:t>
      </w:r>
      <w:r w:rsidR="00176647">
        <w:fldChar w:fldCharType="end"/>
      </w:r>
      <w:r w:rsidR="00176647">
        <w:t>.</w:t>
      </w:r>
    </w:p>
    <w:p w14:paraId="6F5C8805" w14:textId="77777777" w:rsidR="001E34CE" w:rsidRDefault="001E34CE" w:rsidP="001E34CE"/>
    <w:p w14:paraId="6BEAD6AE" w14:textId="1AE5A4D2" w:rsidR="00EE03CC" w:rsidRDefault="00A546E4" w:rsidP="00435A39">
      <w:pPr>
        <w:rPr>
          <w:color w:val="1F1F1F"/>
        </w:rPr>
      </w:pPr>
      <w:r w:rsidRPr="00435A39">
        <w:rPr>
          <w:color w:val="1F1F1F"/>
        </w:rPr>
        <w:lastRenderedPageBreak/>
        <w:t>T</w:t>
      </w:r>
      <w:r w:rsidR="00330D0D" w:rsidRPr="00435A39">
        <w:rPr>
          <w:color w:val="1F1F1F"/>
        </w:rPr>
        <w:t xml:space="preserve">he different system elements mentioned </w:t>
      </w:r>
      <w:r w:rsidRPr="00435A39">
        <w:rPr>
          <w:color w:val="1F1F1F"/>
        </w:rPr>
        <w:t>in Box 1 operate w</w:t>
      </w:r>
      <w:r w:rsidR="00144F72" w:rsidRPr="00435A39">
        <w:rPr>
          <w:color w:val="1F1F1F"/>
        </w:rPr>
        <w:t xml:space="preserve">ithin </w:t>
      </w:r>
      <w:r w:rsidR="00ED5CD6" w:rsidRPr="00435A39">
        <w:rPr>
          <w:color w:val="1F1F1F"/>
        </w:rPr>
        <w:t xml:space="preserve">each of these </w:t>
      </w:r>
      <w:r w:rsidR="00144F72" w:rsidRPr="00435A39">
        <w:rPr>
          <w:color w:val="1F1F1F"/>
        </w:rPr>
        <w:t xml:space="preserve">three different </w:t>
      </w:r>
      <w:r w:rsidR="00ED5CD6" w:rsidRPr="00435A39">
        <w:rPr>
          <w:color w:val="1F1F1F"/>
        </w:rPr>
        <w:t>system</w:t>
      </w:r>
      <w:r w:rsidR="00176647">
        <w:rPr>
          <w:color w:val="1F1F1F"/>
        </w:rPr>
        <w:t xml:space="preserve"> spheres</w:t>
      </w:r>
      <w:r w:rsidR="00ED5CD6" w:rsidRPr="00435A39">
        <w:rPr>
          <w:color w:val="1F1F1F"/>
        </w:rPr>
        <w:t xml:space="preserve">, </w:t>
      </w:r>
      <w:r w:rsidR="00AC229E" w:rsidRPr="00435A39">
        <w:rPr>
          <w:color w:val="1F1F1F"/>
        </w:rPr>
        <w:t xml:space="preserve">both interacting within their own </w:t>
      </w:r>
      <w:r w:rsidR="00176647">
        <w:rPr>
          <w:color w:val="1F1F1F"/>
        </w:rPr>
        <w:t xml:space="preserve">sphere </w:t>
      </w:r>
      <w:r w:rsidR="00AC229E" w:rsidRPr="00435A39">
        <w:rPr>
          <w:color w:val="1F1F1F"/>
        </w:rPr>
        <w:t>-</w:t>
      </w:r>
      <w:r w:rsidR="005233CF" w:rsidRPr="00435A39">
        <w:rPr>
          <w:color w:val="1F1F1F"/>
        </w:rPr>
        <w:t xml:space="preserve"> </w:t>
      </w:r>
      <w:r w:rsidR="00AC229E" w:rsidRPr="00435A39">
        <w:rPr>
          <w:color w:val="1F1F1F"/>
        </w:rPr>
        <w:t>f</w:t>
      </w:r>
      <w:r w:rsidR="008D26C6" w:rsidRPr="00435A39">
        <w:rPr>
          <w:color w:val="1F1F1F"/>
        </w:rPr>
        <w:t xml:space="preserve">or instance, local technology adoption is underpinned by local changes in behaviour, local </w:t>
      </w:r>
      <w:r w:rsidR="00CC2027" w:rsidRPr="00435A39">
        <w:rPr>
          <w:color w:val="1F1F1F"/>
        </w:rPr>
        <w:t>infrastructure</w:t>
      </w:r>
      <w:r w:rsidR="008D26C6" w:rsidRPr="00435A39">
        <w:rPr>
          <w:color w:val="1F1F1F"/>
        </w:rPr>
        <w:t>, and so on</w:t>
      </w:r>
      <w:r w:rsidR="00C07976" w:rsidRPr="00435A39">
        <w:rPr>
          <w:color w:val="1F1F1F"/>
        </w:rPr>
        <w:t xml:space="preserve"> – and a</w:t>
      </w:r>
      <w:r w:rsidR="00814A3B" w:rsidRPr="00435A39">
        <w:rPr>
          <w:color w:val="1F1F1F"/>
        </w:rPr>
        <w:t>cross system</w:t>
      </w:r>
      <w:r w:rsidR="00CC2027" w:rsidRPr="00435A39">
        <w:rPr>
          <w:color w:val="1F1F1F"/>
        </w:rPr>
        <w:t xml:space="preserve"> s</w:t>
      </w:r>
      <w:r w:rsidR="00176647">
        <w:rPr>
          <w:color w:val="1F1F1F"/>
        </w:rPr>
        <w:t>pheres</w:t>
      </w:r>
      <w:r w:rsidR="00C07976" w:rsidRPr="00435A39">
        <w:rPr>
          <w:color w:val="1F1F1F"/>
        </w:rPr>
        <w:t>. For example,</w:t>
      </w:r>
      <w:r w:rsidR="00374202" w:rsidRPr="00435A39">
        <w:rPr>
          <w:color w:val="1F1F1F"/>
        </w:rPr>
        <w:t xml:space="preserve"> more farmers acknowledging the benefits of the technology and shifting their production patterns</w:t>
      </w:r>
      <w:r w:rsidR="00206E8D" w:rsidRPr="00435A39">
        <w:rPr>
          <w:color w:val="1F1F1F"/>
        </w:rPr>
        <w:t xml:space="preserve"> can</w:t>
      </w:r>
      <w:r w:rsidR="00374202" w:rsidRPr="00435A39">
        <w:rPr>
          <w:color w:val="1F1F1F"/>
        </w:rPr>
        <w:t xml:space="preserve"> build credibility for policy changes that would reinforce this adoption. Similarly, new infrastructure emerging locally can help disrupt the political economy of the food systems that privileges certain markets</w:t>
      </w:r>
      <w:r w:rsidR="00176647">
        <w:rPr>
          <w:color w:val="1F1F1F"/>
        </w:rPr>
        <w:t xml:space="preserve"> or certain development narratives</w:t>
      </w:r>
      <w:r w:rsidR="00374202" w:rsidRPr="00435A39">
        <w:rPr>
          <w:color w:val="1F1F1F"/>
        </w:rPr>
        <w:t xml:space="preserve"> </w:t>
      </w:r>
      <w:r w:rsidR="00374202" w:rsidRPr="00435A39">
        <w:rPr>
          <w:color w:val="1F1F1F"/>
        </w:rPr>
        <w:fldChar w:fldCharType="begin"/>
      </w:r>
      <w:r w:rsidR="00D66183">
        <w:rPr>
          <w:color w:val="1F1F1F"/>
        </w:rPr>
        <w:instrText xml:space="preserve"> ADDIN ZOTERO_ITEM CSL_CITATION {"citationID":"lq6EZgUw","properties":{"formattedCitation":"(Magrini et al., 2016)","plainCitation":"(Magrini et al., 2016)","noteIndex":0},"citationItems":[{"id":1297,"uris":["http://zotero.org/users/12768557/items/HGBVEWNX"],"itemData":{"id":1297,"type":"article-journal","abstract":"Grain-legume plants fix atmospheric nitrogen in the soil and thus do not need nitrogen fertilizers. Therefore, grain-legumes can potentially decrease global warming, as nitrogen fertilization is responsible for half of all agricultural greenhouse gas emissions. Moreover, grain-legumes have many functional and nutritional properties both as feed and food. Despite the fact that the European Union has granted considerable subsidies to promote grain-legume cultivation, their production continues to fall and there has been no satisfactory explanation as to why. This study provides an answer by showing that a situation of technological lock-in has resulted from the co-evolution of crop systems, based on an agrochemical paradigm, public policies, and market dynamics that promote cereals. This process began with the historical choice by European and French public institutions to relegate grain-legumes to feed in direct competition with imported soybeans. Moreover, interrelated factors, such as breeding selection, public subsidies, and food systems, have favored increasing returns to adoption for cereals to the detriment of grain-legumes. Finally, the evolutionary economics approach used here identified several actions that must be implemented together, such as agricultural cost-accounting methods, nitrogen management, institutional innovations, and market outlets to promote grain-legumes and move towards more sustainable agriculture.","container-title":"Ecological Economics","DOI":"10.1016/j.ecolecon.2016.03.024","page":"152-162","publisher":"Elsevier B.V.","title":"Why are grain-legumes rarely present in cropping systems despite their environmental and nutritional benefits? Analyzing lock-in in the French agrifood system","volume":"126","author":[{"family":"Magrini","given":"MB"},{"family":"Anton","given":"Marc"},{"family":"Cholez","given":"Célia"},{"family":"Corre-Hellou","given":"Guenaelle"},{"family":"Duc","given":"Gérard"},{"family":"Jeuffroy","given":"M.-H. Marie Hélène"},{"family":"Meynard","given":"J.-M. Jean Marc"},{"family":"Pelzer","given":"Elise"},{"family":"Voisin","given":"A.-S. Anne Sophie"},{"family":"Walrand","given":"Stéphane"}],"issued":{"date-parts":[["2016",6]]}}}],"schema":"https://github.com/citation-style-language/schema/raw/master/csl-citation.json"} </w:instrText>
      </w:r>
      <w:r w:rsidR="00374202" w:rsidRPr="00435A39">
        <w:rPr>
          <w:color w:val="1F1F1F"/>
        </w:rPr>
        <w:fldChar w:fldCharType="separate"/>
      </w:r>
      <w:r w:rsidR="00374202" w:rsidRPr="00435A39">
        <w:rPr>
          <w:noProof/>
          <w:color w:val="1F1F1F"/>
        </w:rPr>
        <w:t>(Magrini et al., 2016)</w:t>
      </w:r>
      <w:r w:rsidR="00374202" w:rsidRPr="00435A39">
        <w:rPr>
          <w:color w:val="1F1F1F"/>
        </w:rPr>
        <w:fldChar w:fldCharType="end"/>
      </w:r>
      <w:r w:rsidR="00374202" w:rsidRPr="00435A39">
        <w:rPr>
          <w:color w:val="1F1F1F"/>
        </w:rPr>
        <w:t>.</w:t>
      </w:r>
      <w:r w:rsidR="00C07976" w:rsidRPr="00435A39">
        <w:rPr>
          <w:color w:val="1F1F1F"/>
        </w:rPr>
        <w:t xml:space="preserve"> </w:t>
      </w:r>
      <w:r w:rsidR="007D1928" w:rsidRPr="00435A39">
        <w:rPr>
          <w:color w:val="1F1F1F"/>
        </w:rPr>
        <w:t xml:space="preserve">The case study that we present </w:t>
      </w:r>
      <w:r w:rsidR="007D1928">
        <w:rPr>
          <w:color w:val="1F1F1F"/>
        </w:rPr>
        <w:t>in section 4</w:t>
      </w:r>
      <w:r w:rsidR="007D1928" w:rsidRPr="00435A39">
        <w:rPr>
          <w:color w:val="1F1F1F"/>
        </w:rPr>
        <w:t xml:space="preserve"> </w:t>
      </w:r>
      <w:r w:rsidR="007D1928">
        <w:rPr>
          <w:color w:val="1F1F1F"/>
        </w:rPr>
        <w:t xml:space="preserve">shows how these spheres play out in practice. </w:t>
      </w:r>
    </w:p>
    <w:p w14:paraId="5C0D4771" w14:textId="77777777" w:rsidR="001A7E37" w:rsidRDefault="001A7E37" w:rsidP="00435A39">
      <w:pPr>
        <w:rPr>
          <w:color w:val="1F1F1F"/>
        </w:rPr>
      </w:pPr>
    </w:p>
    <w:tbl>
      <w:tblPr>
        <w:tblStyle w:val="TableGrid"/>
        <w:tblW w:w="0" w:type="auto"/>
        <w:tblLook w:val="04A0" w:firstRow="1" w:lastRow="0" w:firstColumn="1" w:lastColumn="0" w:noHBand="0" w:noVBand="1"/>
      </w:tblPr>
      <w:tblGrid>
        <w:gridCol w:w="9016"/>
      </w:tblGrid>
      <w:tr w:rsidR="001A7E37" w14:paraId="3F780E0F" w14:textId="77777777" w:rsidTr="001A7E37">
        <w:tc>
          <w:tcPr>
            <w:tcW w:w="9016" w:type="dxa"/>
          </w:tcPr>
          <w:p w14:paraId="17DA1E9B" w14:textId="77777777" w:rsidR="001A7E37" w:rsidRPr="00435A39" w:rsidRDefault="001A7E37" w:rsidP="001A7E37">
            <w:pPr>
              <w:rPr>
                <w:b/>
                <w:bCs/>
              </w:rPr>
            </w:pPr>
            <w:r w:rsidRPr="00435A39">
              <w:rPr>
                <w:b/>
                <w:bCs/>
              </w:rPr>
              <w:t xml:space="preserve">Box 1. System elements to be addressed for system change </w:t>
            </w:r>
          </w:p>
          <w:p w14:paraId="25D4E745" w14:textId="0AF932DF" w:rsidR="001A7E37" w:rsidRPr="00435A39" w:rsidRDefault="001A7E37" w:rsidP="001A7E37">
            <w:r w:rsidRPr="00435A39">
              <w:t>Built upon a systematic review of over 120 publications, the</w:t>
            </w:r>
            <w:r>
              <w:t xml:space="preserve"> </w:t>
            </w:r>
            <w:r>
              <w:fldChar w:fldCharType="begin"/>
            </w:r>
            <w:r w:rsidR="008B565A">
              <w:instrText xml:space="preserve"> ADDIN ZOTERO_ITEM CSL_CITATION {"citationID":"GE1207Fh","properties":{"formattedCitation":"(Conti et al., 2021)","plainCitation":"(Conti et al., 2021)","dontUpdate":true,"noteIndex":0},"citationItems":[{"id":1890,"uris":["http://zotero.org/users/12768557/items/UFNXSZRE"],"itemData":{"id":1890,"type":"article-journal","container-title":"Global Food Security","DOI":"10.1016/j.gfs.2021.100576","issue":"June","page":"100576-100576","publisher":"Elsevier B.V.","title":"Why are agri-food systems resistant to new directions of change ? A systematic review","volume":"31","author":[{"family":"Conti","given":"Costanza"},{"family":"Zanello","given":"Giacomo"},{"family":"Hall","given":"Andy"}],"issued":{"date-parts":[["2021",12]]}}}],"schema":"https://github.com/citation-style-language/schema/raw/master/csl-citation.json"} </w:instrText>
            </w:r>
            <w:r>
              <w:fldChar w:fldCharType="separate"/>
            </w:r>
            <w:r>
              <w:rPr>
                <w:noProof/>
              </w:rPr>
              <w:t>Conti et al.</w:t>
            </w:r>
            <w:r w:rsidR="00813BB1">
              <w:rPr>
                <w:noProof/>
              </w:rPr>
              <w:t xml:space="preserve"> (</w:t>
            </w:r>
            <w:r>
              <w:rPr>
                <w:noProof/>
              </w:rPr>
              <w:t>2021)</w:t>
            </w:r>
            <w:r>
              <w:fldChar w:fldCharType="end"/>
            </w:r>
            <w:r w:rsidRPr="00435A39">
              <w:t xml:space="preserve"> framework identified six interconnected food systems elements that keep the food system operating in a certain way: </w:t>
            </w:r>
          </w:p>
          <w:p w14:paraId="73B8F610" w14:textId="77777777" w:rsidR="001A7E37" w:rsidRPr="00435A39" w:rsidRDefault="001A7E37" w:rsidP="00931F40">
            <w:pPr>
              <w:numPr>
                <w:ilvl w:val="0"/>
                <w:numId w:val="10"/>
              </w:numPr>
            </w:pPr>
            <w:r w:rsidRPr="00435A39">
              <w:rPr>
                <w:b/>
                <w:bCs/>
              </w:rPr>
              <w:t>Technology options</w:t>
            </w:r>
            <w:r w:rsidRPr="00435A39">
              <w:t>: actors develop skills and knowledge around certain technologies, creating a routines and practices that socially embed these. Established technologies often lock-out better, or more sustainable, options.</w:t>
            </w:r>
          </w:p>
          <w:p w14:paraId="19C4C644" w14:textId="309EB85E" w:rsidR="001A7E37" w:rsidRPr="00435A39" w:rsidRDefault="001A7E37" w:rsidP="00931F40">
            <w:pPr>
              <w:numPr>
                <w:ilvl w:val="0"/>
                <w:numId w:val="10"/>
              </w:numPr>
            </w:pPr>
            <w:r>
              <w:rPr>
                <w:b/>
                <w:bCs/>
              </w:rPr>
              <w:t>Behaviours and Values</w:t>
            </w:r>
            <w:r w:rsidRPr="00435A39">
              <w:t xml:space="preserve">: determine what food is produced and consumed, and how. </w:t>
            </w:r>
            <w:r w:rsidR="00E5184C">
              <w:t>Once these patterns become familiar, they can slow the uptake of alternatives. For example, farmers may continue cropping practices linked to family history or past investments, while consumers may remain attached to cheap, convenient, or highly processed foods.</w:t>
            </w:r>
          </w:p>
          <w:p w14:paraId="2CF6DB52" w14:textId="5413A957" w:rsidR="001A7E37" w:rsidRPr="00435A39" w:rsidRDefault="001A7E37" w:rsidP="00931F40">
            <w:pPr>
              <w:numPr>
                <w:ilvl w:val="0"/>
                <w:numId w:val="10"/>
              </w:numPr>
            </w:pPr>
            <w:r w:rsidRPr="00435A39">
              <w:rPr>
                <w:b/>
                <w:bCs/>
              </w:rPr>
              <w:t>Infrastructure:</w:t>
            </w:r>
            <w:r w:rsidRPr="00435A39">
              <w:t xml:space="preserve"> </w:t>
            </w:r>
            <w:r w:rsidR="00E5184C">
              <w:t>Storage, processing, transport, logistics and marketing systems are often built around dominant crops, products and supply chains. This gives established foods and production systems an advantage, while making it harder for less dominant crops, products or practices to enter markets.</w:t>
            </w:r>
          </w:p>
          <w:p w14:paraId="1B01F3D8" w14:textId="5B68A89C" w:rsidR="00E5184C" w:rsidRPr="00C36C70" w:rsidRDefault="001A7E37" w:rsidP="00931F40">
            <w:pPr>
              <w:numPr>
                <w:ilvl w:val="0"/>
                <w:numId w:val="10"/>
              </w:numPr>
            </w:pPr>
            <w:r w:rsidRPr="00435A39">
              <w:rPr>
                <w:b/>
                <w:bCs/>
              </w:rPr>
              <w:t>R</w:t>
            </w:r>
            <w:r>
              <w:rPr>
                <w:b/>
                <w:bCs/>
              </w:rPr>
              <w:t xml:space="preserve">esearch </w:t>
            </w:r>
            <w:r w:rsidRPr="00435A39">
              <w:rPr>
                <w:b/>
                <w:bCs/>
              </w:rPr>
              <w:t>&amp;</w:t>
            </w:r>
            <w:r>
              <w:rPr>
                <w:b/>
                <w:bCs/>
              </w:rPr>
              <w:t xml:space="preserve"> </w:t>
            </w:r>
            <w:r w:rsidRPr="00435A39">
              <w:rPr>
                <w:b/>
                <w:bCs/>
              </w:rPr>
              <w:t>D</w:t>
            </w:r>
            <w:r>
              <w:rPr>
                <w:b/>
                <w:bCs/>
              </w:rPr>
              <w:t>evelopment (R&amp;D)</w:t>
            </w:r>
            <w:r w:rsidRPr="00435A39">
              <w:rPr>
                <w:b/>
                <w:bCs/>
              </w:rPr>
              <w:t xml:space="preserve">: </w:t>
            </w:r>
            <w:r w:rsidR="00E5184C">
              <w:t xml:space="preserve">once certain research priorities and innovation trajectories are set, a system develops around them, including professional reward systems for scientists, patterns of partnership, funding modes, </w:t>
            </w:r>
            <w:r w:rsidR="00E5184C" w:rsidRPr="003847A6">
              <w:t>evaluation criteria, and technical capabilities</w:t>
            </w:r>
            <w:r w:rsidR="00E5184C">
              <w:t>. These keep shaping research agendas towards the delivery of certain outcomes.</w:t>
            </w:r>
          </w:p>
          <w:p w14:paraId="789A1E0A" w14:textId="12DBE51F" w:rsidR="00813BB1" w:rsidRDefault="001A7E37" w:rsidP="001B1613">
            <w:pPr>
              <w:numPr>
                <w:ilvl w:val="0"/>
                <w:numId w:val="10"/>
              </w:numPr>
            </w:pPr>
            <w:r w:rsidRPr="00435A39">
              <w:rPr>
                <w:b/>
                <w:bCs/>
              </w:rPr>
              <w:t>Policies</w:t>
            </w:r>
            <w:r>
              <w:rPr>
                <w:b/>
                <w:bCs/>
              </w:rPr>
              <w:t xml:space="preserve"> and Institutions</w:t>
            </w:r>
            <w:r w:rsidRPr="00435A39">
              <w:rPr>
                <w:b/>
                <w:bCs/>
              </w:rPr>
              <w:t>:</w:t>
            </w:r>
            <w:r w:rsidRPr="00435A39">
              <w:t xml:space="preserve"> </w:t>
            </w:r>
            <w:r w:rsidR="00813BB1">
              <w:t>policies and institutions structure the incentives and constraints through which food system actors make decisions. Policies include public programmes, subsidies, procurement rules, regulations, and standards. Institutions include formal rules and informal norms that organise behaviour across markets, public agencies, research systems, and communities. Once these arrangements are established, later decisions often build on them, reinforcing established production and consumption pathways.</w:t>
            </w:r>
          </w:p>
          <w:p w14:paraId="40029E19" w14:textId="581E81B1" w:rsidR="00C36C70" w:rsidRPr="00C36C70" w:rsidRDefault="00813BB1" w:rsidP="00C36C70">
            <w:pPr>
              <w:ind w:left="720"/>
            </w:pPr>
            <w:r w:rsidRPr="00C36C70">
              <w:rPr>
                <w:b/>
                <w:bCs/>
              </w:rPr>
              <w:t>Political economy:</w:t>
            </w:r>
            <w:r>
              <w:t xml:space="preserve"> </w:t>
            </w:r>
            <w:r w:rsidR="006B50C2">
              <w:t xml:space="preserve">political economy refers to how power and interests shape the distribution of value, risk, advantage, and recognition across the food system. </w:t>
            </w:r>
            <w:r w:rsidR="00C36C70">
              <w:t xml:space="preserve">They influence which crops, practices, actors, and markets receive support and </w:t>
            </w:r>
            <w:r w:rsidR="00C36C70">
              <w:lastRenderedPageBreak/>
              <w:t>recognition, and which remain marginal. These patterns shape the direction in which the food system develops.</w:t>
            </w:r>
          </w:p>
        </w:tc>
      </w:tr>
    </w:tbl>
    <w:p w14:paraId="2F484D8B" w14:textId="77777777" w:rsidR="00870F79" w:rsidRPr="00435A39" w:rsidRDefault="00870F79" w:rsidP="00435A39">
      <w:pPr>
        <w:rPr>
          <w:color w:val="1F1F1F"/>
        </w:rPr>
      </w:pPr>
    </w:p>
    <w:p w14:paraId="6C71C77C" w14:textId="5D68EF3E" w:rsidR="003B7204" w:rsidRDefault="00890409" w:rsidP="00435A39">
      <w:pPr>
        <w:pStyle w:val="Heading1"/>
      </w:pPr>
      <w:r w:rsidRPr="00435A39">
        <w:t xml:space="preserve">Methods </w:t>
      </w:r>
    </w:p>
    <w:p w14:paraId="5D00A108" w14:textId="368EF29B" w:rsidR="008B565A" w:rsidRPr="003847A6" w:rsidRDefault="00FD7A6B" w:rsidP="008B565A">
      <w:pPr>
        <w:rPr>
          <w:bCs/>
          <w:lang w:val="en-IT"/>
        </w:rPr>
      </w:pPr>
      <w:r w:rsidRPr="00034AF9">
        <w:t xml:space="preserve">This paper employs a qualitative historical case-study design </w:t>
      </w:r>
      <w:r w:rsidR="00034AF9" w:rsidRPr="00034AF9">
        <w:fldChar w:fldCharType="begin"/>
      </w:r>
      <w:r w:rsidR="008B565A">
        <w:instrText xml:space="preserve"> ADDIN ZOTERO_ITEM CSL_CITATION {"citationID":"iTlghoZy","properties":{"formattedCitation":"(Petrina, 2020)","plainCitation":"(Petrina, 2020)","noteIndex":0},"citationItems":[{"id":"Uc49WSev/rWgI0C53","uris":["http://zotero.org/users/12768557/items/GWMCD4KY"],"itemData":{"id":20835,"type":"report","publisher":"The University of British Columbia","title":"Methods of Analysis Historical Case Study","URL":"https://www.academia.edu/download/64954819/Historical_Case.pdf","author":[{"family":"Petrina","given":"S"}],"issued":{"date-parts":[["2020"]]}}}],"schema":"https://github.com/citation-style-language/schema/raw/master/csl-citation.json"} </w:instrText>
      </w:r>
      <w:r w:rsidR="00034AF9" w:rsidRPr="00034AF9">
        <w:fldChar w:fldCharType="separate"/>
      </w:r>
      <w:r w:rsidR="00034AF9" w:rsidRPr="00034AF9">
        <w:rPr>
          <w:noProof/>
        </w:rPr>
        <w:t>(Petrina, 2020)</w:t>
      </w:r>
      <w:r w:rsidR="00034AF9" w:rsidRPr="00034AF9">
        <w:fldChar w:fldCharType="end"/>
      </w:r>
      <w:r w:rsidR="00413E24">
        <w:t xml:space="preserve"> </w:t>
      </w:r>
      <w:r w:rsidRPr="00034AF9">
        <w:t xml:space="preserve">to reconstruct how millet scaling unfolded in Odisha over two decades, tracing MSSRF's engagement with evolving community practices, markets, infrastructure, and policies. </w:t>
      </w:r>
      <w:r w:rsidR="008B565A" w:rsidRPr="008B565A">
        <w:rPr>
          <w:bCs/>
          <w:lang w:val="en-IT"/>
        </w:rPr>
        <w:t>Odisha was selected because it provides a long-running and well-documented case, with changes over time in cultivation area, yields, households reached, and policy integration (Table 1).</w:t>
      </w:r>
      <w:r w:rsidR="008B565A" w:rsidRPr="008B565A">
        <w:rPr>
          <w:lang w:val="en-IT"/>
        </w:rPr>
        <w:t xml:space="preserve"> Multiple data sources were used </w:t>
      </w:r>
      <w:r w:rsidR="008B565A" w:rsidRPr="008B565A">
        <w:rPr>
          <w:bCs/>
          <w:lang w:val="en-IT"/>
        </w:rPr>
        <w:t>to strengthen triangulation and reduce reliance on any single account</w:t>
      </w:r>
      <w:r w:rsidR="008B565A" w:rsidRPr="008B565A">
        <w:rPr>
          <w:lang w:val="en-IT"/>
        </w:rPr>
        <w:t>.</w:t>
      </w:r>
    </w:p>
    <w:p w14:paraId="1F040925" w14:textId="77777777" w:rsidR="007D1928" w:rsidRDefault="007D1928" w:rsidP="00034AF9"/>
    <w:p w14:paraId="2087E94F" w14:textId="39A0F224" w:rsidR="00FD7A6B" w:rsidRDefault="007D1928" w:rsidP="007D1928">
      <w:pPr>
        <w:rPr>
          <w:spacing w:val="1"/>
        </w:rPr>
      </w:pPr>
      <w:r w:rsidRPr="007D1928">
        <w:t xml:space="preserve">Twenty-one semi-structured interviews were conducted with key informants between February and March 2025. Interviewees were purposively selected based on </w:t>
      </w:r>
      <w:r w:rsidRPr="0039267C">
        <w:t>their role and duration of involvement</w:t>
      </w:r>
      <w:r w:rsidRPr="007D1928">
        <w:t xml:space="preserve"> in MSSRF millet interventions and included five MSSRF staff</w:t>
      </w:r>
      <w:r w:rsidRPr="008B565A">
        <w:t xml:space="preserve">, </w:t>
      </w:r>
      <w:r w:rsidR="008B565A" w:rsidRPr="003847A6">
        <w:t>two of whom were senior researchers involved since the early 2000s</w:t>
      </w:r>
      <w:r w:rsidR="008B565A" w:rsidRPr="008B565A">
        <w:t>,</w:t>
      </w:r>
      <w:r w:rsidRPr="007D1928">
        <w:t xml:space="preserve"> two government officials, and fourteen farmers. Interviews focused on historical events, turning points, and scaling enablers and challenges. </w:t>
      </w:r>
      <w:r w:rsidR="008B565A" w:rsidRPr="008B565A">
        <w:t xml:space="preserve">The interview data were triangulated with more than twenty MSSRF annual reports and other publications </w:t>
      </w:r>
      <w:r w:rsidR="008B565A" w:rsidRPr="003847A6">
        <w:t>covering the period from 2001 to 2025</w:t>
      </w:r>
      <w:r w:rsidR="008B565A" w:rsidRPr="008B565A">
        <w:t xml:space="preserve">. Additional sources included government portals, Odisha Millet Mission reports (Department of Agriculture and Farmer’s Empowerment, 2024), and external academic and technical literature </w:t>
      </w:r>
      <w:r w:rsidR="00152141" w:rsidRPr="00034AF9">
        <w:rPr>
          <w:spacing w:val="1"/>
        </w:rPr>
        <w:fldChar w:fldCharType="begin"/>
      </w:r>
      <w:r w:rsidR="00AD2E2F">
        <w:rPr>
          <w:spacing w:val="1"/>
        </w:rPr>
        <w:instrText xml:space="preserve"> ADDIN ZOTERO_ITEM CSL_CITATION {"citationID":"yWhLuAEZ","properties":{"formattedCitation":"(Mal et al., 2010; Rao, 2015; Times of India, 2011)","plainCitation":"(Mal et al., 2010; Rao, 2015; Times of India, 2011)","noteIndex":0},"citationItems":[{"id":18857,"uris":["http://zotero.org/users/12768557/items/DR57X7CW"],"itemData":{"id":18857,"type":"report","publisher":"IFAD","title":"Minor Millets in South Asia Learnings from IFAD-NUS Project in India and Nepal","author":[{"family":"Mal","given":"B"},{"family":"Padulosi","given":"S"},{"family":"Ravi","given":"B. S."}],"issued":{"date-parts":[["2010"]]}}},{"id":19917,"uris":["http://zotero.org/users/12768557/items/IFJ4LYWV"],"itemData":{"id":19917,"type":"book","abstract":"The book is a conversation based biographical account of one of the most respected agricultural scientists the world has seen---MS Swaminathan, a living legend, responsible for India's green revolution. He is recipient of numerous awards, including the first World Food Prize, and was named one of the 20 most influential Asians of the 20th century by Time magazine. This book consists of two parts, written at different times and with different purposes. They are not sequential, yet belong together. The first tells the story of the life of M.S. Swaminathan, and his dream of securing human dignity through food sovereignty in India, and the second reflects on the implications and nuances of the story. Part two, however, is more reflective in nature, and concerned with issues which had to be confronted in the course of his career. In this part, he reflects on how politics has influenced and shaped the course of agricultural development; and how different ethical stances, often in conflict, have come into play. This is not just a historical account, but equally valid in present times.","ISBN":"978-93-327-0186-1","language":"English","number-of-pages":"228","publisher":"Academic Foundation","publisher-place":"New Delhi","source":"Amazon","title":"Swaminathan in Conversation with Nitya Rao: From Reflections on My Life to the Ethics and Politics of Science","title-short":"Swaminathan in Conversation with Nitya Rao","editor":[{"family":"Rao","given":"Nitya"}],"issued":{"date-parts":[["2015",1,1]]}}},{"id":19040,"uris":["http://zotero.org/users/12768557/items/BAL7C9C6"],"itemData":{"id":19040,"type":"article-newspaper","abstract":"Eminent scientist M S Swaminathan has said the new National Food Security Act should include a provision for distribution of millets through the publi","container-title":"The Times of India","ISSN":"0971-8257","source":"The Economic Times - The Times of India","title":"Food security act should have provision for distribution of millets: MS Swaminathan","title-short":"Food security act should have provision for distribution of millets","URL":"https://timesofindia.indiatimes.com/city/chennai/food-security-act-should-have-provision-for-distribution-of-millets-ms-swaminathan/articleshow/7225604.cms","author":[{"family":"Times of India","given":""}],"accessed":{"date-parts":[["2025",3,5]]},"issued":{"date-parts":[["2011",1,6]]}}}],"schema":"https://github.com/citation-style-language/schema/raw/master/csl-citation.json"} </w:instrText>
      </w:r>
      <w:r w:rsidR="00152141" w:rsidRPr="00034AF9">
        <w:rPr>
          <w:spacing w:val="1"/>
        </w:rPr>
        <w:fldChar w:fldCharType="separate"/>
      </w:r>
      <w:r w:rsidR="00152141" w:rsidRPr="00034AF9">
        <w:rPr>
          <w:noProof/>
          <w:spacing w:val="1"/>
        </w:rPr>
        <w:t>(Mal et al., 2010; Rao, 2015; Times of India, 2011)</w:t>
      </w:r>
      <w:r w:rsidR="00152141" w:rsidRPr="00034AF9">
        <w:rPr>
          <w:spacing w:val="1"/>
        </w:rPr>
        <w:fldChar w:fldCharType="end"/>
      </w:r>
      <w:r w:rsidR="00152141" w:rsidRPr="00034AF9">
        <w:rPr>
          <w:spacing w:val="1"/>
        </w:rPr>
        <w:t xml:space="preserve"> were also searched</w:t>
      </w:r>
      <w:r w:rsidR="007D50B8">
        <w:rPr>
          <w:spacing w:val="1"/>
        </w:rPr>
        <w:t>.</w:t>
      </w:r>
    </w:p>
    <w:p w14:paraId="3B3BEF05" w14:textId="77777777" w:rsidR="007D1928" w:rsidRPr="00034AF9" w:rsidRDefault="007D1928" w:rsidP="007D1928"/>
    <w:p w14:paraId="7E476037" w14:textId="4A613C2C" w:rsidR="008B565A" w:rsidRPr="008B565A" w:rsidRDefault="007D1928" w:rsidP="00034AF9">
      <w:pPr>
        <w:rPr>
          <w:lang w:val="en-US"/>
        </w:rPr>
      </w:pPr>
      <w:r>
        <w:rPr>
          <w:spacing w:val="1"/>
        </w:rPr>
        <w:t>D</w:t>
      </w:r>
      <w:r w:rsidR="00FD7A6B" w:rsidRPr="00034AF9">
        <w:rPr>
          <w:spacing w:val="1"/>
        </w:rPr>
        <w:t>ata w</w:t>
      </w:r>
      <w:r w:rsidR="008B565A">
        <w:rPr>
          <w:spacing w:val="1"/>
        </w:rPr>
        <w:t>ere</w:t>
      </w:r>
      <w:r w:rsidR="00FD7A6B" w:rsidRPr="00034AF9">
        <w:rPr>
          <w:spacing w:val="1"/>
        </w:rPr>
        <w:t xml:space="preserve"> organised chronologically through </w:t>
      </w:r>
      <w:r w:rsidR="00FD7A6B" w:rsidRPr="008B565A">
        <w:rPr>
          <w:spacing w:val="1"/>
        </w:rPr>
        <w:t>manual historical process-tracing of key events and turning points</w:t>
      </w:r>
      <w:r w:rsidR="00152141" w:rsidRPr="008B565A">
        <w:rPr>
          <w:spacing w:val="1"/>
        </w:rPr>
        <w:t xml:space="preserve"> </w:t>
      </w:r>
      <w:r w:rsidR="00152141" w:rsidRPr="008B565A">
        <w:rPr>
          <w:spacing w:val="1"/>
        </w:rPr>
        <w:fldChar w:fldCharType="begin"/>
      </w:r>
      <w:r w:rsidR="00D66183" w:rsidRPr="008B565A">
        <w:rPr>
          <w:spacing w:val="1"/>
        </w:rPr>
        <w:instrText xml:space="preserve"> ADDIN ZOTERO_ITEM CSL_CITATION {"citationID":"RHOHa6VF","properties":{"formattedCitation":"(Ojha and Hall, 2021)","plainCitation":"(Ojha and Hall, 2021)","noteIndex":0},"citationItems":[{"id":1882,"uris":["http://zotero.org/users/12768557/items/PUHBNFEM"],"itemData":{"id":1882,"type":"article-journal","abstract":"Studies of sustainability transitions and transformational change are common in energy and transport sectors. However, there is limited research on how these transformational change processes play out in the natural resources sector, particularly in developing economies. This paper seeks to address this gap, with a case study of the community forestry system in Nepal that has, over the last four decades, reversed Himalayan land degradation and contributed to community livelihoods. The case illustrates comprehensive changes in forest management practices and governance over four decades. Central to this was a ‘thinking movement’ of development agencies, activists and researchers that opened up learning spaces and engage conflicting stakeholders in action-oriented dialogues. While transformation can never be pre-engineered, this study suggests that investment in strengthening locally engaged research capability could be a key way of catalyzing sustainability transitions, both as a continuous process of evolution and transformative shifts during the crisis and political opportunity.","container-title":"Innovation and Development","DOI":"10.1080/2157930X.2021.1917112","issue":"0","page":"1-23","publisher":"Taylor &amp; Francis","title":"Transformation as system innovation: insights from Nepal’s five decades of community forestry development","volume":"0","author":[{"family":"Ojha","given":"Hemant"},{"family":"Hall","given":"Andy"}],"issued":{"date-parts":[["2021"]]}}}],"schema":"https://github.com/citation-style-language/schema/raw/master/csl-citation.json"} </w:instrText>
      </w:r>
      <w:r w:rsidR="00152141" w:rsidRPr="008B565A">
        <w:rPr>
          <w:spacing w:val="1"/>
        </w:rPr>
        <w:fldChar w:fldCharType="separate"/>
      </w:r>
      <w:r w:rsidR="00152141" w:rsidRPr="008B565A">
        <w:rPr>
          <w:noProof/>
          <w:spacing w:val="1"/>
        </w:rPr>
        <w:t>(Ojha and Hall, 2021)</w:t>
      </w:r>
      <w:r w:rsidR="00152141" w:rsidRPr="008B565A">
        <w:rPr>
          <w:spacing w:val="1"/>
        </w:rPr>
        <w:fldChar w:fldCharType="end"/>
      </w:r>
      <w:r w:rsidR="008B565A" w:rsidRPr="008B565A">
        <w:rPr>
          <w:spacing w:val="1"/>
        </w:rPr>
        <w:t>.</w:t>
      </w:r>
      <w:r w:rsidR="00FD7A6B" w:rsidRPr="008B565A">
        <w:rPr>
          <w:spacing w:val="1"/>
        </w:rPr>
        <w:t xml:space="preserve"> </w:t>
      </w:r>
      <w:r w:rsidR="008B565A" w:rsidRPr="008B565A">
        <w:rPr>
          <w:spacing w:val="1"/>
        </w:rPr>
        <w:t xml:space="preserve">Data </w:t>
      </w:r>
      <w:r w:rsidR="008B565A" w:rsidRPr="003847A6">
        <w:rPr>
          <w:spacing w:val="1"/>
        </w:rPr>
        <w:t>were</w:t>
      </w:r>
      <w:r w:rsidR="008B565A" w:rsidRPr="008B565A">
        <w:rPr>
          <w:spacing w:val="1"/>
        </w:rPr>
        <w:t xml:space="preserve"> organised chronologically through manual historical process-tracing of key events and turning points (Ojha and Hall, 2021), using the analytical lenses presented in section 2.2. For ease of analysis, the data </w:t>
      </w:r>
      <w:r w:rsidR="008B565A" w:rsidRPr="003847A6">
        <w:rPr>
          <w:spacing w:val="1"/>
        </w:rPr>
        <w:t>were grouped into three phases</w:t>
      </w:r>
      <w:r w:rsidR="008B565A" w:rsidRPr="008B565A">
        <w:rPr>
          <w:spacing w:val="1"/>
        </w:rPr>
        <w:t xml:space="preserve">: Phase I </w:t>
      </w:r>
      <w:r w:rsidR="008B565A" w:rsidRPr="003847A6">
        <w:rPr>
          <w:spacing w:val="1"/>
        </w:rPr>
        <w:t>(2002–2009)</w:t>
      </w:r>
      <w:r w:rsidR="008B565A" w:rsidRPr="008B565A">
        <w:rPr>
          <w:spacing w:val="1"/>
        </w:rPr>
        <w:t xml:space="preserve"> focused on community-level action; Phase II </w:t>
      </w:r>
      <w:r w:rsidR="008B565A" w:rsidRPr="003847A6">
        <w:rPr>
          <w:spacing w:val="1"/>
        </w:rPr>
        <w:t>(2010–2016)</w:t>
      </w:r>
      <w:r w:rsidR="008B565A" w:rsidRPr="008B565A">
        <w:rPr>
          <w:spacing w:val="1"/>
        </w:rPr>
        <w:t xml:space="preserve"> addressed value-chain and innovation-network challenges; and Phase III </w:t>
      </w:r>
      <w:r w:rsidR="008B565A" w:rsidRPr="003847A6">
        <w:rPr>
          <w:spacing w:val="1"/>
        </w:rPr>
        <w:t>(2017–2025)</w:t>
      </w:r>
      <w:r w:rsidR="008B565A" w:rsidRPr="008B565A">
        <w:rPr>
          <w:spacing w:val="1"/>
        </w:rPr>
        <w:t xml:space="preserve"> emphasised policy advocacy, state-level institutionalisation, and wider recognition of millets.</w:t>
      </w:r>
      <w:bookmarkStart w:id="2" w:name="_Hlk218852079"/>
    </w:p>
    <w:bookmarkEnd w:id="2"/>
    <w:p w14:paraId="6D49F809" w14:textId="5B59B739" w:rsidR="0014234D" w:rsidRPr="008B565A" w:rsidRDefault="00FD7A6B" w:rsidP="00034AF9">
      <w:pPr>
        <w:rPr>
          <w:color w:val="000000" w:themeColor="text1"/>
          <w:shd w:val="clear" w:color="auto" w:fill="FFFFFF"/>
        </w:rPr>
      </w:pPr>
      <w:r w:rsidRPr="008B565A">
        <w:t>We acknowledge that the study has certain limitation</w:t>
      </w:r>
      <w:r w:rsidR="008B565A" w:rsidRPr="008B565A">
        <w:t>s</w:t>
      </w:r>
      <w:r w:rsidRPr="008B565A">
        <w:t>, including</w:t>
      </w:r>
      <w:r w:rsidR="008B565A" w:rsidRPr="008B565A">
        <w:t xml:space="preserve"> its single-region focus, which may not capture top-down scaling processes observed elsewhere</w:t>
      </w:r>
      <w:r w:rsidR="0019633C">
        <w:t xml:space="preserve"> </w:t>
      </w:r>
      <w:r w:rsidR="00034AF9" w:rsidRPr="008B565A">
        <w:fldChar w:fldCharType="begin"/>
      </w:r>
      <w:r w:rsidR="00132FFE" w:rsidRPr="008B565A">
        <w:instrText xml:space="preserve"> ADDIN ZOTERO_ITEM CSL_CITATION {"citationID":"bcM5POKh","properties":{"formattedCitation":"(Goulet, 2021; Kok et al., 2025; Moran et al., 2021)","plainCitation":"(Goulet, 2021; Kok et al., 2025; Moran et al., 2021)","noteIndex":0},"citationItems":[{"id":10613,"uris":["http://zotero.org/users/12768557/items/D685TCPW"],"itemData":{"id":10613,"type":"article-journal","abstract":"We analyze the alignment mechanisms involved in socio-technical transitions. The multi-level perspective has made the notion of alignment one of the pillars of its analytical framework, but its definition remains rather vague. Using a case study of the development of biological alternatives to agricultural pesticides in Brazil, we show that alignments are based on pairings between entities of the same nature, positioned in the niche and in the regime. The strength of these pairings relies on the coherence of the new sets formed. Several types of entities need to be matched to enable alignments. In this case study, we identify three types of paired entities: tech­ nologies, users and their interests, public and private organizations. Understanding these alignment mechanisms is an invitation to deepen the analysis of the relationships between incumbent and alternative technologies in sociotechnical transitions.","container-title":"Technology in Society","DOI":"10.1016/j.techsoc.2021.101580","ISSN":"0160791X","journalAbbreviation":"Technology in Society","language":"en","page":"101580","source":"DOI.org (Crossref)","title":"Characterizing alignments in socio-technical transitions. Lessons from agricultural bio-inputs in Brazil","volume":"65","author":[{"family":"Goulet","given":"Frédéric"}],"issued":{"date-parts":[["2021",5]]}}},{"id":10621,"uris":["http://zotero.org/users/12768557/items/7YKGL3KH"],"itemData":{"id":10621,"type":"article-journal","abstract":"The effective conservation of high nature value farmland (HNV) will be crucial for the conservation of European and Irish biodiversity, and to meet the growing demand for a wide range of private and public goods and services from farmland. Here, we describe the evolution of policy and management of HNV farmland in the Republic of Ireland over the last 25 years and describe the emerging locally adapted, results-based payment approach that is valorizing a broad range of ecosystem services from these areas, which helps to underpin the future social, ecological, and financial viability of HNV farmland.","container-title":"Ecology and Society","DOI":"10.5751/ES-12180-260120","ISSN":"1708-3087","issue":"1","journalAbbreviation":"E&amp;S","language":"en","page":"art20","source":"DOI.org (Crossref)","title":"Management of high nature value farmland in the Republic of Ireland: 25 years evolving toward locally adapted results-orientated solutions and payments","title-short":"Management of high nature value farmland in the Republic of Ireland","volume":"26","author":[{"family":"Moran","given":"James"},{"family":"Byrne","given":"Dolores"},{"family":"Carlier","given":"Julien"},{"family":"Dunford","given":"Brendan"},{"family":"Finn","given":"John A."},{"family":"Ó hUallacháin","given":"Daire"},{"family":"Sullivan","given":"Caroline A."}],"issued":{"date-parts":[["2021"]]}}},{"id":20963,"uris":["http://zotero.org/users/12768557/items/I4MM9YMU"],"itemData":{"id":20963,"type":"article-journal","abstract":"Doing transition policy is challenging in practice, because incumbent institutional logics of government often hinder collaborative and experimental governance approaches. We ask: how do national policy practitioners ‘do’ transition policy from within incumbent policy regimes? We present a qualitative case study on Dutch national transition policymaking. We observed that policy practitioners faced five paradoxes: they navigated between (1) gaining legitimacy through accountability or experimentation; (2) gaining authority through politics or society; (3) framing identity as uniform or pluriform government; (4) directing attention to generic or place-based solutions; and (5) deploying sectoral or systemic policy strategies. These paradoxes emerge in a clash of incumbent logics underpinning the dominant policy regime, and minority logics that support experimental and collaborative modes of governance. Policy practitioners deploy various strategies to deal with these paradoxes, including niche empowerment strategies. Our contribution articulates the ambiguities in policy practice, where policy practitioners need to align multiple logics.","container-title":"Science and Public Policy","DOI":"10.1093/scipol/scaf055","ISSN":"0302-3427","journalAbbreviation":"Sci Public Policy","page":"scaf055","source":"Silverchair","title":"Navigating paradoxes in ‘doing’ transition policy: aligning institutional logics","title-short":"Navigating paradoxes in ‘doing’ transition policy","author":[{"family":"Kok","given":"Kristiaan P W"},{"family":"Kunseler","given":"Eva"},{"family":"Verwoerd","given":"Lisa"}],"issued":{"date-parts":[["2025",10,6]]}}}],"schema":"https://github.com/citation-style-language/schema/raw/master/csl-citation.json"} </w:instrText>
      </w:r>
      <w:r w:rsidR="00034AF9" w:rsidRPr="008B565A">
        <w:fldChar w:fldCharType="separate"/>
      </w:r>
      <w:r w:rsidR="00132FFE" w:rsidRPr="008B565A">
        <w:rPr>
          <w:noProof/>
        </w:rPr>
        <w:t>(Goulet, 2021; Kok et al., 2025; Moran et al., 2021)</w:t>
      </w:r>
      <w:r w:rsidR="00034AF9" w:rsidRPr="008B565A">
        <w:fldChar w:fldCharType="end"/>
      </w:r>
      <w:r w:rsidR="00152141" w:rsidRPr="008B565A">
        <w:t xml:space="preserve">, and which future comparative analyses could address, and potential biases such as </w:t>
      </w:r>
      <w:r w:rsidRPr="008B565A">
        <w:t>stakeholder recall and organisational affiliation</w:t>
      </w:r>
      <w:r w:rsidR="00152141" w:rsidRPr="008B565A">
        <w:t xml:space="preserve">. These were </w:t>
      </w:r>
      <w:r w:rsidR="008B565A" w:rsidRPr="008B565A">
        <w:t xml:space="preserve">partly </w:t>
      </w:r>
      <w:r w:rsidRPr="008B565A">
        <w:t xml:space="preserve">mitigated </w:t>
      </w:r>
      <w:r w:rsidR="007D1928" w:rsidRPr="008B565A">
        <w:t>using</w:t>
      </w:r>
      <w:r w:rsidR="00152141" w:rsidRPr="008B565A">
        <w:t xml:space="preserve"> multiple data sources. </w:t>
      </w:r>
    </w:p>
    <w:p w14:paraId="363A2C2B" w14:textId="17733FA1" w:rsidR="003111C0" w:rsidRPr="006B50C2" w:rsidRDefault="003111C0" w:rsidP="00435A39">
      <w:pPr>
        <w:rPr>
          <w:color w:val="000000" w:themeColor="text1"/>
          <w:shd w:val="clear" w:color="auto" w:fill="FFFFFF"/>
        </w:rPr>
      </w:pPr>
    </w:p>
    <w:p w14:paraId="02A6AA5D" w14:textId="515936B3" w:rsidR="004403CF" w:rsidRPr="006B50C2" w:rsidRDefault="004403CF" w:rsidP="00E95625">
      <w:pPr>
        <w:pStyle w:val="Heading1"/>
      </w:pPr>
      <w:r w:rsidRPr="006B50C2">
        <w:rPr>
          <w:rFonts w:eastAsia="Times New Roman"/>
          <w:lang w:eastAsia="en-GB"/>
        </w:rPr>
        <w:t xml:space="preserve">Results </w:t>
      </w:r>
    </w:p>
    <w:p w14:paraId="652DF217" w14:textId="0381BA60" w:rsidR="007E7CA0" w:rsidRPr="006B50C2" w:rsidRDefault="009757E3" w:rsidP="006B50C2">
      <w:pPr>
        <w:pStyle w:val="NormalWeb"/>
        <w:spacing w:line="276" w:lineRule="auto"/>
        <w:jc w:val="both"/>
        <w:rPr>
          <w:rFonts w:ascii="Calibri" w:hAnsi="Calibri" w:cs="Calibri"/>
        </w:rPr>
      </w:pPr>
      <w:r w:rsidRPr="006B50C2">
        <w:rPr>
          <w:rFonts w:ascii="Calibri" w:hAnsi="Calibri" w:cs="Calibri"/>
        </w:rPr>
        <w:t xml:space="preserve">The case study narrates </w:t>
      </w:r>
      <w:r w:rsidR="008913AC" w:rsidRPr="006B50C2">
        <w:rPr>
          <w:rFonts w:ascii="Calibri" w:hAnsi="Calibri" w:cs="Calibri"/>
        </w:rPr>
        <w:t xml:space="preserve">a process of scaling enacted by </w:t>
      </w:r>
      <w:r w:rsidR="00AD1728" w:rsidRPr="006B50C2">
        <w:rPr>
          <w:rFonts w:ascii="Calibri" w:hAnsi="Calibri" w:cs="Calibri"/>
        </w:rPr>
        <w:t xml:space="preserve">MSSRF. </w:t>
      </w:r>
      <w:r w:rsidR="008913AC" w:rsidRPr="006B50C2">
        <w:rPr>
          <w:rFonts w:ascii="Calibri" w:hAnsi="Calibri" w:cs="Calibri"/>
        </w:rPr>
        <w:t xml:space="preserve">MSSRF was founded in 1988 under the leadership of Prof. M. S. Swaminathan, who—well before discourses on sustainable development gained attention in either the global or the domestic </w:t>
      </w:r>
      <w:r w:rsidR="00DD4FCB" w:rsidRPr="006B50C2">
        <w:rPr>
          <w:rFonts w:ascii="Calibri" w:hAnsi="Calibri" w:cs="Calibri"/>
        </w:rPr>
        <w:t xml:space="preserve">Indian </w:t>
      </w:r>
      <w:r w:rsidR="008913AC" w:rsidRPr="006B50C2">
        <w:rPr>
          <w:rFonts w:ascii="Calibri" w:hAnsi="Calibri" w:cs="Calibri"/>
        </w:rPr>
        <w:t xml:space="preserve">agenda —had begun </w:t>
      </w:r>
      <w:r w:rsidR="008913AC" w:rsidRPr="006B50C2">
        <w:rPr>
          <w:rFonts w:ascii="Calibri" w:hAnsi="Calibri" w:cs="Calibri"/>
        </w:rPr>
        <w:lastRenderedPageBreak/>
        <w:t xml:space="preserve">articulating the need to complement India’s productivity gains with attention to ecological, nutritional, and social security and well-being. MSSRF’s agenda reflected this early recognition, focusing on biodiversity conservation, low-input farming, and more democratic institutional models that could strengthen resilience among small and marginal farmers. In doing so, the organisation anticipated many of the concerns that have since become central to food system transformation agenda </w:t>
      </w:r>
      <w:r w:rsidR="00AD1728" w:rsidRPr="006B50C2">
        <w:rPr>
          <w:rFonts w:ascii="Calibri" w:hAnsi="Calibri" w:cs="Calibri"/>
        </w:rPr>
        <w:fldChar w:fldCharType="begin"/>
      </w:r>
      <w:r w:rsidR="00AD2E2F" w:rsidRPr="006B50C2">
        <w:rPr>
          <w:rFonts w:ascii="Calibri" w:hAnsi="Calibri" w:cs="Calibri"/>
        </w:rPr>
        <w:instrText xml:space="preserve"> ADDIN ZOTERO_ITEM CSL_CITATION {"citationID":"J6d2MeFK","properties":{"formattedCitation":"(MSSRF, 1995, 2012a)","plainCitation":"(MSSRF, 1995, 2012a)","noteIndex":0},"citationItems":[{"id":20831,"uris":["http://zotero.org/users/12768557/items/3SBFMYZ9"],"itemData":{"id":20831,"type":"report","publisher":"MSSRF","publisher-place":"Chennai","title":"The Future We Want - Journey of MSSRF","URL":"http://59.160.153.188/library/sites/default/files/The%20Future%20We%20Want_Journey%20of%20MSSRF%20%2825%20Years%29.pdf","author":[{"family":"MSSRF","given":""}],"issued":{"date-parts":[["2012"]]}}},{"id":19129,"uris":["http://zotero.org/users/12768557/items/GMUXE59H"],"itemData":{"id":19129,"type":"report","publisher":"MSSRF","publisher-place":"Chennai","title":"Fifth Annual Report 1994-95","URL":"http://59.160.153.188/library/sites/default/files/AR1994-1995.pdf","author":[{"family":"MSSRF","given":""}],"issued":{"date-parts":[["1995"]]}}}],"schema":"https://github.com/citation-style-language/schema/raw/master/csl-citation.json"} </w:instrText>
      </w:r>
      <w:r w:rsidR="00AD1728" w:rsidRPr="006B50C2">
        <w:rPr>
          <w:rFonts w:ascii="Calibri" w:hAnsi="Calibri" w:cs="Calibri"/>
        </w:rPr>
        <w:fldChar w:fldCharType="separate"/>
      </w:r>
      <w:r w:rsidR="00411842" w:rsidRPr="006B50C2">
        <w:rPr>
          <w:rFonts w:ascii="Calibri" w:hAnsi="Calibri" w:cs="Calibri"/>
          <w:noProof/>
        </w:rPr>
        <w:t>(MSSRF, 1995, 2012a)</w:t>
      </w:r>
      <w:r w:rsidR="00AD1728" w:rsidRPr="006B50C2">
        <w:rPr>
          <w:rFonts w:ascii="Calibri" w:hAnsi="Calibri" w:cs="Calibri"/>
        </w:rPr>
        <w:fldChar w:fldCharType="end"/>
      </w:r>
      <w:r w:rsidR="008913AC" w:rsidRPr="006B50C2">
        <w:rPr>
          <w:rFonts w:ascii="Calibri" w:hAnsi="Calibri" w:cs="Calibri"/>
        </w:rPr>
        <w:t xml:space="preserve">. </w:t>
      </w:r>
      <w:r w:rsidR="007E7CA0" w:rsidRPr="006B50C2">
        <w:rPr>
          <w:rFonts w:ascii="Calibri" w:hAnsi="Calibri" w:cs="Calibri"/>
        </w:rPr>
        <w:t>In Odisha, these concerns were addressed through the reintroduction of millet, a</w:t>
      </w:r>
      <w:r w:rsidR="00F905EE" w:rsidRPr="006B50C2">
        <w:rPr>
          <w:rFonts w:ascii="Calibri" w:hAnsi="Calibri" w:cs="Calibri"/>
        </w:rPr>
        <w:t>s a</w:t>
      </w:r>
      <w:r w:rsidR="007E7CA0" w:rsidRPr="006B50C2">
        <w:rPr>
          <w:rFonts w:ascii="Calibri" w:hAnsi="Calibri" w:cs="Calibri"/>
        </w:rPr>
        <w:t xml:space="preserve"> crop </w:t>
      </w:r>
      <w:r w:rsidR="00F905EE" w:rsidRPr="006B50C2">
        <w:rPr>
          <w:rFonts w:ascii="Calibri" w:hAnsi="Calibri" w:cs="Calibri"/>
        </w:rPr>
        <w:t xml:space="preserve">that had </w:t>
      </w:r>
      <w:r w:rsidR="007E7CA0" w:rsidRPr="006B50C2">
        <w:rPr>
          <w:rFonts w:ascii="Calibri" w:hAnsi="Calibri" w:cs="Calibri"/>
        </w:rPr>
        <w:t>useful nutritional and agronomic properties (Gupta et al., 2017)</w:t>
      </w:r>
      <w:r w:rsidR="00F905EE" w:rsidRPr="006B50C2">
        <w:rPr>
          <w:rFonts w:ascii="Calibri" w:hAnsi="Calibri" w:cs="Calibri"/>
        </w:rPr>
        <w:t xml:space="preserve">, was </w:t>
      </w:r>
      <w:r w:rsidR="007E7CA0" w:rsidRPr="006B50C2">
        <w:rPr>
          <w:rFonts w:ascii="Calibri" w:hAnsi="Calibri" w:cs="Calibri"/>
        </w:rPr>
        <w:t xml:space="preserve">well adapted to the region’s </w:t>
      </w:r>
      <w:proofErr w:type="spellStart"/>
      <w:r w:rsidR="00CE4805" w:rsidRPr="006B50C2">
        <w:rPr>
          <w:rFonts w:ascii="Calibri" w:hAnsi="Calibri" w:cs="Calibri"/>
        </w:rPr>
        <w:t>agro</w:t>
      </w:r>
      <w:proofErr w:type="spellEnd"/>
      <w:r w:rsidR="00CE4805" w:rsidRPr="006B50C2">
        <w:rPr>
          <w:rFonts w:ascii="Calibri" w:hAnsi="Calibri" w:cs="Calibri"/>
        </w:rPr>
        <w:t>-climatic conditions</w:t>
      </w:r>
      <w:r w:rsidR="007E7CA0" w:rsidRPr="006B50C2">
        <w:rPr>
          <w:rFonts w:ascii="Calibri" w:hAnsi="Calibri" w:cs="Calibri"/>
        </w:rPr>
        <w:t xml:space="preserve"> and aligned with the preferences of tribal communities. In other parts of India, MSSRF pursued similar goals through different interventions: for example, efforts for mangrove restoration in </w:t>
      </w:r>
      <w:r w:rsidR="00D440AE" w:rsidRPr="006B50C2">
        <w:rPr>
          <w:rFonts w:ascii="Calibri" w:hAnsi="Calibri" w:cs="Calibri"/>
        </w:rPr>
        <w:t>coastal</w:t>
      </w:r>
      <w:r w:rsidR="007E7CA0" w:rsidRPr="006B50C2">
        <w:rPr>
          <w:rFonts w:ascii="Calibri" w:hAnsi="Calibri" w:cs="Calibri"/>
        </w:rPr>
        <w:t xml:space="preserve"> areas since the early 90s </w:t>
      </w:r>
      <w:r w:rsidR="007E7CA0" w:rsidRPr="006B50C2">
        <w:rPr>
          <w:rFonts w:ascii="Calibri" w:hAnsi="Calibri" w:cs="Calibri"/>
        </w:rPr>
        <w:fldChar w:fldCharType="begin"/>
      </w:r>
      <w:r w:rsidR="00AD2E2F" w:rsidRPr="006B50C2">
        <w:rPr>
          <w:rFonts w:ascii="Calibri" w:hAnsi="Calibri" w:cs="Calibri"/>
        </w:rPr>
        <w:instrText xml:space="preserve"> ADDIN ZOTERO_ITEM CSL_CITATION {"citationID":"tKNHpGeH","properties":{"formattedCitation":"(MSSRF, 2025a)","plainCitation":"(MSSRF, 2025a)","noteIndex":0},"citationItems":[{"id":20344,"uris":["http://zotero.org/users/12768557/items/AWNISP29"],"itemData":{"id":20344,"type":"report","publisher":"MSSRF","publisher-place":"Chennai","title":"Restoring mangroves ecosystems saves the coastline and community","URL":"https://www.mssrf.org/sites/default/files/2025-04/mangroves.pdf","author":[{"family":"MSSRF","given":""}],"issued":{"date-parts":[["2025"]]}}}],"schema":"https://github.com/citation-style-language/schema/raw/master/csl-citation.json"} </w:instrText>
      </w:r>
      <w:r w:rsidR="007E7CA0" w:rsidRPr="006B50C2">
        <w:rPr>
          <w:rFonts w:ascii="Calibri" w:hAnsi="Calibri" w:cs="Calibri"/>
        </w:rPr>
        <w:fldChar w:fldCharType="separate"/>
      </w:r>
      <w:r w:rsidR="00947BCE" w:rsidRPr="006B50C2">
        <w:rPr>
          <w:rFonts w:ascii="Calibri" w:hAnsi="Calibri" w:cs="Calibri"/>
          <w:noProof/>
        </w:rPr>
        <w:t>(MSSRF, 2025a)</w:t>
      </w:r>
      <w:r w:rsidR="007E7CA0" w:rsidRPr="006B50C2">
        <w:rPr>
          <w:rFonts w:ascii="Calibri" w:hAnsi="Calibri" w:cs="Calibri"/>
        </w:rPr>
        <w:fldChar w:fldCharType="end"/>
      </w:r>
      <w:r w:rsidR="007E7CA0" w:rsidRPr="006B50C2">
        <w:rPr>
          <w:rFonts w:ascii="Calibri" w:hAnsi="Calibri" w:cs="Calibri"/>
        </w:rPr>
        <w:t xml:space="preserve">, or </w:t>
      </w:r>
      <w:r w:rsidR="00D440AE" w:rsidRPr="006B50C2">
        <w:rPr>
          <w:rFonts w:ascii="Calibri" w:hAnsi="Calibri" w:cs="Calibri"/>
        </w:rPr>
        <w:t xml:space="preserve">increasing pulses production and consumption in Tamil Nadu </w:t>
      </w:r>
      <w:r w:rsidR="00D440AE" w:rsidRPr="006B50C2">
        <w:rPr>
          <w:rFonts w:ascii="Calibri" w:hAnsi="Calibri" w:cs="Calibri"/>
        </w:rPr>
        <w:fldChar w:fldCharType="begin"/>
      </w:r>
      <w:r w:rsidR="00AD2E2F" w:rsidRPr="006B50C2">
        <w:rPr>
          <w:rFonts w:ascii="Calibri" w:hAnsi="Calibri" w:cs="Calibri"/>
        </w:rPr>
        <w:instrText xml:space="preserve"> ADDIN ZOTERO_ITEM CSL_CITATION {"citationID":"xrF0ywFl","properties":{"formattedCitation":"(MSSRF, 2015)","plainCitation":"(MSSRF, 2015)","noteIndex":0},"citationItems":[{"id":20345,"uris":["http://zotero.org/users/12768557/items/88QTJ5DI"],"itemData":{"id":20345,"type":"report","publisher":"MSSRF","publisher-place":"Chennai","title":"Harnessing Science for Sustainable Development","URL":"http://59.160.153.188/library/sites/default/files/MSSRF%2025%20Years%20Case%20Study.compressed%20%281%29_1.pdf","author":[{"family":"MSSRF","given":""}],"issued":{"date-parts":[["2015"]]}}}],"schema":"https://github.com/citation-style-language/schema/raw/master/csl-citation.json"} </w:instrText>
      </w:r>
      <w:r w:rsidR="00D440AE" w:rsidRPr="006B50C2">
        <w:rPr>
          <w:rFonts w:ascii="Calibri" w:hAnsi="Calibri" w:cs="Calibri"/>
        </w:rPr>
        <w:fldChar w:fldCharType="separate"/>
      </w:r>
      <w:r w:rsidR="00D440AE" w:rsidRPr="006B50C2">
        <w:rPr>
          <w:rFonts w:ascii="Calibri" w:hAnsi="Calibri" w:cs="Calibri"/>
          <w:noProof/>
        </w:rPr>
        <w:t>(MSSRF, 2015)</w:t>
      </w:r>
      <w:r w:rsidR="00D440AE" w:rsidRPr="006B50C2">
        <w:rPr>
          <w:rFonts w:ascii="Calibri" w:hAnsi="Calibri" w:cs="Calibri"/>
        </w:rPr>
        <w:fldChar w:fldCharType="end"/>
      </w:r>
      <w:r w:rsidR="00D440AE" w:rsidRPr="006B50C2">
        <w:rPr>
          <w:rFonts w:ascii="Calibri" w:hAnsi="Calibri" w:cs="Calibri"/>
        </w:rPr>
        <w:t xml:space="preserve">, amongst others. </w:t>
      </w:r>
    </w:p>
    <w:p w14:paraId="02D22002" w14:textId="77777777" w:rsidR="00A20356" w:rsidRPr="006B50C2" w:rsidRDefault="00A20356" w:rsidP="00435A39">
      <w:pPr>
        <w:pStyle w:val="NormalWeb"/>
        <w:shd w:val="clear" w:color="auto" w:fill="FFFFFF"/>
        <w:spacing w:before="0" w:beforeAutospacing="0" w:after="0" w:afterAutospacing="0" w:line="276" w:lineRule="auto"/>
        <w:jc w:val="both"/>
        <w:rPr>
          <w:rFonts w:ascii="Calibri" w:hAnsi="Calibri" w:cs="Calibri"/>
        </w:rPr>
      </w:pPr>
    </w:p>
    <w:p w14:paraId="52229902" w14:textId="30E17C1E" w:rsidR="00A20356" w:rsidRPr="006B50C2" w:rsidRDefault="00A20356" w:rsidP="00625B54">
      <w:pPr>
        <w:pStyle w:val="NormalWeb"/>
        <w:numPr>
          <w:ilvl w:val="0"/>
          <w:numId w:val="15"/>
        </w:numPr>
        <w:spacing w:before="0" w:beforeAutospacing="0" w:after="0" w:afterAutospacing="0" w:line="276" w:lineRule="auto"/>
        <w:jc w:val="both"/>
        <w:rPr>
          <w:rFonts w:ascii="Calibri" w:hAnsi="Calibri" w:cs="Calibri"/>
          <w:i/>
          <w:iCs/>
        </w:rPr>
      </w:pPr>
      <w:r w:rsidRPr="006B50C2">
        <w:rPr>
          <w:rFonts w:ascii="Calibri" w:hAnsi="Calibri" w:cs="Calibri"/>
          <w:i/>
          <w:iCs/>
          <w:color w:val="000000"/>
          <w:shd w:val="clear" w:color="auto" w:fill="FFFFFF"/>
        </w:rPr>
        <w:t xml:space="preserve">Phase I: 2002-2009: </w:t>
      </w:r>
      <w:r w:rsidR="00C62F3A" w:rsidRPr="006B50C2">
        <w:rPr>
          <w:rFonts w:ascii="Calibri" w:hAnsi="Calibri" w:cs="Calibri"/>
          <w:i/>
          <w:iCs/>
          <w:color w:val="000000"/>
          <w:shd w:val="clear" w:color="auto" w:fill="FFFFFF"/>
        </w:rPr>
        <w:t>(Re)making millets part of the local sphere</w:t>
      </w:r>
      <w:r w:rsidRPr="006B50C2">
        <w:rPr>
          <w:rFonts w:ascii="Calibri" w:hAnsi="Calibri" w:cs="Calibri"/>
          <w:i/>
          <w:iCs/>
          <w:color w:val="000000"/>
          <w:shd w:val="clear" w:color="auto" w:fill="FFFFFF"/>
        </w:rPr>
        <w:t xml:space="preserve"> </w:t>
      </w:r>
    </w:p>
    <w:p w14:paraId="75531FD3" w14:textId="040513F5" w:rsidR="00E634A4" w:rsidRPr="003847A6" w:rsidRDefault="00E634A4" w:rsidP="003847A6">
      <w:pPr>
        <w:pStyle w:val="NormalWeb"/>
        <w:spacing w:line="276" w:lineRule="auto"/>
        <w:jc w:val="both"/>
        <w:rPr>
          <w:rFonts w:ascii="Calibri" w:hAnsi="Calibri" w:cs="Calibri"/>
          <w:lang w:val="en-IT"/>
        </w:rPr>
      </w:pPr>
      <w:r w:rsidRPr="003847A6">
        <w:rPr>
          <w:rFonts w:ascii="Calibri" w:hAnsi="Calibri" w:cs="Calibri"/>
        </w:rPr>
        <w:t xml:space="preserve">While tribal populations had historically consumed and preferred millets over other crops, productivity at the beginning of the 2000s was low. The expansion of High Yielding Varieties of rice following the Green Revolution had sidelined millets within a food system increasingly organised around rice and wheat </w:t>
      </w:r>
      <w:r w:rsidR="0027603E" w:rsidRPr="00E634A4">
        <w:rPr>
          <w:rFonts w:ascii="Calibri" w:hAnsi="Calibri" w:cs="Calibri"/>
        </w:rPr>
        <w:fldChar w:fldCharType="begin"/>
      </w:r>
      <w:r w:rsidR="007D1928" w:rsidRPr="00E634A4">
        <w:rPr>
          <w:rFonts w:ascii="Calibri" w:hAnsi="Calibri" w:cs="Calibri"/>
        </w:rPr>
        <w:instrText xml:space="preserve"> ADDIN ZOTERO_ITEM CSL_CITATION {"citationID":"tYdqyNiM","properties":{"unsorted":false,"formattedCitation":"(Conti et al., 2024b; Gollin et al., 2021)","plainCitation":"(Conti et al., 2024b; Gollin et al., 2021)","noteIndex":0},"citationItems":[{"id":18756,"uris":["http://zotero.org/users/12768557/items/E7EJ8D5P"],"itemData":{"id":18756,"type":"article-journal","abstract":"System innovation is a signature feature of agri-food system transformation. Such system innovation often occurs in niches. However, how the \"green shoots\" of transformation can be detected and appraised through time remains ambiguous. This paper proposes, applies and tests a framework that could be used as a ‘transformation assessment tool’ to evaluate the level of system innovation in a domain of change. The framework is tested against a case study of a Non-Pesticide Management initiative in South India. The framework helps to reveal how, over 20 years, the initiative triggered a number of system innovations that opened a new development pathway, more aligned to environmental sustainability, equity and social inclusion. A critical enabling factor identified for the expansionand \"blossoming\" of this green shoot was its capacity to flexibly respond and adapt to emergent and largely unknowable agri-food systems dynamics. In its conclusions, the paper sheds light on the ongoing tensions around the defining benchmarks or thresholds for assessing the ‘transformativeness’ of initiatives and change processes. Finding a way of combining qualitative assessments of system changes with quantitative measures of social, economic, and environmental impact could be a valuable vein of research to enhance our understanding of transformative processes and how to enable them.","container-title":"Innovation and Development","DOI":"10.1080/2157930X.2024.2347759","ISSN":"2157-930X","issue":"0","note":"_eprint: https://doi.org/10.1080/2157930X.2024.2347759","page":"1-19","publisher":"Routledge","source":"Taylor and Francis+NEJM","title":"Detecting ‘green shoots’ of agri-food systems transformation: a framework and insights from the spread of non-pesticide approaches in South India","title-short":"Detecting ‘green shoots’ of agri-food systems transformation","volume":"0","author":[{"family":"Conti","given":"Costanza"},{"family":"Hall","given":"Andy"},{"family":"Williams","given":"Tim G."},{"family":"Kumar","given":"Vishal"},{"family":"Zanello","given":"Giacomo"}],"issued":{"date-parts":[["2024"]]}}},{"id":3562,"uris":["http://zotero.org/users/12768557/items/9SY2RNXW"],"itemData":{"id":3562,"type":"article-journal","abstract":"We estimate the impact of the Green Revolution in the developing world by exploiting exogenous heterogeneity in the timing and extent of the benefits derived from high-yielding crop varieties (HYVs). We find that HYVs increased yields by 44% between 1965 and 2010, with further gains coming through reallocation of inputs. Higher yields increased income and reduced population growth. A 10-year delay of the Green Revolution would in 2010 have cost 17% of GDP (gross domestic product) per capita and added 223 million people to the developing-world population. The cumulative GDP loss over 45 years would have been US$83 trillion, corresponding to approximately one year of current global GDP.","container-title":"Journal of Political Economy","DOI":"10.1086/714444","ISSN":"0022-3808","issue":"8","page":"2344-2384","publisher":"The University of Chicago Press","source":"journals.uchicago.edu (Atypon)","title":"Two Blades of Grass: The Impact of the Green Revolution","title-short":"Two Blades of Grass","volume":"129","author":[{"family":"Gollin","given":"Douglas"},{"family":"Hansen","given":"Casper Worm"},{"family":"Wingender","given":"Asger Mose"}],"issued":{"date-parts":[["2021",8]]}}}],"schema":"https://github.com/citation-style-language/schema/raw/master/csl-citation.json"} </w:instrText>
      </w:r>
      <w:r w:rsidR="0027603E" w:rsidRPr="00E634A4">
        <w:rPr>
          <w:rFonts w:ascii="Calibri" w:hAnsi="Calibri" w:cs="Calibri"/>
        </w:rPr>
        <w:fldChar w:fldCharType="separate"/>
      </w:r>
      <w:r w:rsidR="007D1928" w:rsidRPr="00E634A4">
        <w:rPr>
          <w:rFonts w:ascii="Calibri" w:hAnsi="Calibri" w:cs="Calibri"/>
          <w:noProof/>
        </w:rPr>
        <w:t>(Conti et al., 2024b; Gollin et al., 2021)</w:t>
      </w:r>
      <w:r w:rsidR="0027603E" w:rsidRPr="00E634A4">
        <w:rPr>
          <w:rFonts w:ascii="Calibri" w:hAnsi="Calibri" w:cs="Calibri"/>
        </w:rPr>
        <w:fldChar w:fldCharType="end"/>
      </w:r>
      <w:r w:rsidR="0027603E" w:rsidRPr="00E634A4">
        <w:rPr>
          <w:rFonts w:ascii="Calibri" w:hAnsi="Calibri" w:cs="Calibri"/>
        </w:rPr>
        <w:t xml:space="preserve">. This shift improved </w:t>
      </w:r>
      <w:r w:rsidR="001A7E37" w:rsidRPr="00E634A4">
        <w:rPr>
          <w:rFonts w:ascii="Calibri" w:hAnsi="Calibri" w:cs="Calibri"/>
        </w:rPr>
        <w:t>calorie availability</w:t>
      </w:r>
      <w:r w:rsidR="0027603E" w:rsidRPr="00E634A4">
        <w:rPr>
          <w:rFonts w:ascii="Calibri" w:hAnsi="Calibri" w:cs="Calibri"/>
        </w:rPr>
        <w:t>, but also created several unintended consequences, such as</w:t>
      </w:r>
      <w:r w:rsidR="001A7E37" w:rsidRPr="00E634A4">
        <w:rPr>
          <w:rFonts w:ascii="Calibri" w:hAnsi="Calibri" w:cs="Calibri"/>
        </w:rPr>
        <w:t xml:space="preserve"> increased vulnerability to erratic rainfall and growing micronutrient deficiencies </w:t>
      </w:r>
      <w:r w:rsidR="001A7E37" w:rsidRPr="00E634A4">
        <w:rPr>
          <w:rFonts w:ascii="Calibri" w:hAnsi="Calibri" w:cs="Calibri"/>
        </w:rPr>
        <w:fldChar w:fldCharType="begin"/>
      </w:r>
      <w:r w:rsidR="001A7E37" w:rsidRPr="00E634A4">
        <w:rPr>
          <w:rFonts w:ascii="Calibri" w:hAnsi="Calibri" w:cs="Calibri"/>
        </w:rPr>
        <w:instrText xml:space="preserve"> ADDIN ZOTERO_ITEM CSL_CITATION {"citationID":"jL35LCwP","properties":{"formattedCitation":"(Jain et al., 2024)","plainCitation":"(Jain et al., 2024)","noteIndex":0},"citationItems":[{"id":19046,"uris":["http://zotero.org/users/12768557/items/TH4TRHQD"],"itemData":{"id":19046,"type":"article-journal","abstract":"Millets have been the staple food in many parts of the world, but in recent times they have been losing ground because of the increased use of processed foods and grains, such as wheat and rice. India has been the granary of millets due to the largest production and export of Indian millets globally. The very nature of millets being drought-resistant, small seeded grass, which can be grown in arid conditions, with less water and less farming intensive, makes it a great choice for ecological agriculture and sustainable source of food for combating hunger in the rapidly changing global climate and constructing climate-resistant agri-food systems. The various health benefits of millets make them an excellent choice for patients with celiac disease, type 2 diabetes mellitus, ischemic heart disease, dyslipidemia, obesity, etc.","container-title":"Indian Journal of Community Medicine","DOI":"10.4103/ijcm.ijcm_107_23","ISSN":"0970-0218","issue":"1","language":"en-US","page":"5","source":"journals.lww.com","title":"Promoting Millets: Charting a Journey from Food Security to Health","title-short":"Promoting Millets","volume":"49","author":[{"family":"Jain","given":"Vishakha"},{"family":"Agarwal","given":"Neeraj"},{"family":"Bhatia","given":"Vikas"}],"issued":{"date-parts":[["2024",2]]}}}],"schema":"https://github.com/citation-style-language/schema/raw/master/csl-citation.json"} </w:instrText>
      </w:r>
      <w:r w:rsidR="001A7E37" w:rsidRPr="00E634A4">
        <w:rPr>
          <w:rFonts w:ascii="Calibri" w:hAnsi="Calibri" w:cs="Calibri"/>
        </w:rPr>
        <w:fldChar w:fldCharType="separate"/>
      </w:r>
      <w:r w:rsidR="001A7E37" w:rsidRPr="00E634A4">
        <w:rPr>
          <w:rFonts w:ascii="Calibri" w:hAnsi="Calibri" w:cs="Calibri"/>
          <w:noProof/>
        </w:rPr>
        <w:t>(Jain et al., 2024)</w:t>
      </w:r>
      <w:r w:rsidR="001A7E37" w:rsidRPr="00E634A4">
        <w:rPr>
          <w:rFonts w:ascii="Calibri" w:hAnsi="Calibri" w:cs="Calibri"/>
        </w:rPr>
        <w:fldChar w:fldCharType="end"/>
      </w:r>
      <w:r w:rsidR="001A7E37" w:rsidRPr="00E634A4">
        <w:rPr>
          <w:rFonts w:ascii="Calibri" w:hAnsi="Calibri" w:cs="Calibri"/>
        </w:rPr>
        <w:t>. Agricultural incomes remained unstable, with many households relying on off-farm or migrant work to cope with economic insecurity.</w:t>
      </w:r>
      <w:r w:rsidR="00474734" w:rsidRPr="00E634A4">
        <w:rPr>
          <w:rFonts w:ascii="Calibri" w:hAnsi="Calibri" w:cs="Calibri"/>
        </w:rPr>
        <w:t xml:space="preserve"> </w:t>
      </w:r>
      <w:r w:rsidR="0027603E" w:rsidRPr="00E634A4">
        <w:rPr>
          <w:rFonts w:ascii="Calibri" w:hAnsi="Calibri" w:cs="Calibri"/>
        </w:rPr>
        <w:t xml:space="preserve">Odisha </w:t>
      </w:r>
      <w:r w:rsidR="001A7E37" w:rsidRPr="00E634A4">
        <w:rPr>
          <w:rFonts w:ascii="Calibri" w:hAnsi="Calibri" w:cs="Calibri"/>
        </w:rPr>
        <w:t xml:space="preserve">faced a complex set of development challenges: hilly and ecologically fragile terrain, poor infrastructure, limited market access, and limited reach of public support and </w:t>
      </w:r>
      <w:r w:rsidR="00DD4FCB" w:rsidRPr="00E634A4">
        <w:rPr>
          <w:rFonts w:ascii="Calibri" w:hAnsi="Calibri" w:cs="Calibri"/>
        </w:rPr>
        <w:t xml:space="preserve">agricultural </w:t>
      </w:r>
      <w:r w:rsidR="001A7E37" w:rsidRPr="00E634A4">
        <w:rPr>
          <w:rFonts w:ascii="Calibri" w:hAnsi="Calibri" w:cs="Calibri"/>
        </w:rPr>
        <w:t xml:space="preserve">extension systems </w:t>
      </w:r>
      <w:r w:rsidR="001A7E37" w:rsidRPr="00E634A4">
        <w:rPr>
          <w:rFonts w:ascii="Calibri" w:hAnsi="Calibri" w:cs="Calibri"/>
        </w:rPr>
        <w:fldChar w:fldCharType="begin"/>
      </w:r>
      <w:r w:rsidR="001A7E37" w:rsidRPr="00E634A4">
        <w:rPr>
          <w:rFonts w:ascii="Calibri" w:hAnsi="Calibri" w:cs="Calibri"/>
        </w:rPr>
        <w:instrText xml:space="preserve"> ADDIN ZOTERO_ITEM CSL_CITATION {"citationID":"mWrXX8xv","properties":{"formattedCitation":"(Das and Das, 2007)","plainCitation":"(Das and Das, 2007)","noteIndex":0},"citationItems":[{"id":19131,"uris":["http://zotero.org/users/12768557/items/NLNBQFAK"],"itemData":{"id":19131,"type":"chapter","abstract":"Vidya Das and Binod Das","container-title":"Participatory Plant Breeding and Knowledge Management for Strengthening Rural Livelihoods","page":"149-154","publisher":"MSSRF and Swiss Agency for Development and Cooperation","publisher-place":"Chennai","title":"Benefits of Tribal Women’s Activities in Watershed Areas: Agragamee’s Experience in Orissa","author":[{"family":"Das","given":"V"},{"family":"Das","given":"B"}],"issued":{"date-parts":[["2007"]]}}}],"schema":"https://github.com/citation-style-language/schema/raw/master/csl-citation.json"} </w:instrText>
      </w:r>
      <w:r w:rsidR="001A7E37" w:rsidRPr="00E634A4">
        <w:rPr>
          <w:rFonts w:ascii="Calibri" w:hAnsi="Calibri" w:cs="Calibri"/>
        </w:rPr>
        <w:fldChar w:fldCharType="separate"/>
      </w:r>
      <w:r w:rsidR="001A7E37" w:rsidRPr="00E634A4">
        <w:rPr>
          <w:rFonts w:ascii="Calibri" w:hAnsi="Calibri" w:cs="Calibri"/>
          <w:noProof/>
        </w:rPr>
        <w:t>(Das and Das, 2007)</w:t>
      </w:r>
      <w:r w:rsidR="001A7E37" w:rsidRPr="00E634A4">
        <w:rPr>
          <w:rFonts w:ascii="Calibri" w:hAnsi="Calibri" w:cs="Calibri"/>
        </w:rPr>
        <w:fldChar w:fldCharType="end"/>
      </w:r>
      <w:r w:rsidR="001A7E37" w:rsidRPr="00E634A4">
        <w:rPr>
          <w:rFonts w:ascii="Calibri" w:hAnsi="Calibri" w:cs="Calibri"/>
        </w:rPr>
        <w:t>. The absence of state procurement and price support for millets</w:t>
      </w:r>
      <w:r w:rsidR="001472C8" w:rsidRPr="00E634A4">
        <w:rPr>
          <w:rStyle w:val="FootnoteReference"/>
          <w:rFonts w:ascii="Calibri" w:hAnsi="Calibri" w:cs="Calibri"/>
        </w:rPr>
        <w:footnoteReference w:id="1"/>
      </w:r>
      <w:r w:rsidR="001A7E37" w:rsidRPr="00E634A4">
        <w:rPr>
          <w:rFonts w:ascii="Calibri" w:hAnsi="Calibri" w:cs="Calibri"/>
        </w:rPr>
        <w:t xml:space="preserve">, </w:t>
      </w:r>
      <w:r w:rsidRPr="003847A6">
        <w:rPr>
          <w:rFonts w:ascii="Calibri" w:hAnsi="Calibri" w:cs="Calibri"/>
          <w:lang w:val="en-IT"/>
        </w:rPr>
        <w:t>coupled with their lower market visibility, discouraged investment and reinforced local dependency on subsidised rice through the public distribution system.</w:t>
      </w:r>
    </w:p>
    <w:p w14:paraId="10F8E082" w14:textId="0C14C8F5" w:rsidR="00E634A4" w:rsidRPr="003847A6" w:rsidRDefault="00E634A4" w:rsidP="003847A6">
      <w:pPr>
        <w:spacing w:before="100" w:beforeAutospacing="1" w:after="100" w:afterAutospacing="1"/>
        <w:rPr>
          <w:rFonts w:eastAsia="Times New Roman"/>
          <w:color w:val="000000" w:themeColor="text1"/>
          <w:lang w:val="en-IT" w:eastAsia="en-GB"/>
        </w:rPr>
      </w:pPr>
      <w:r w:rsidRPr="003847A6">
        <w:rPr>
          <w:rFonts w:eastAsia="Times New Roman"/>
          <w:lang w:val="en-IT" w:eastAsia="en-GB"/>
        </w:rPr>
        <w:t xml:space="preserve">Millet revival therefore required action on both production and consumption constraints. Manual processing remained laborious and was usually performed by women; seed access was weak; productivity was low; and market visibility was limited. In this early phase, MSSRF focused on testing whether the basic conditions for a local millet economy could be restored. </w:t>
      </w:r>
      <w:r w:rsidRPr="003847A6">
        <w:rPr>
          <w:rFonts w:eastAsia="Times New Roman"/>
          <w:color w:val="000000" w:themeColor="text1"/>
          <w:lang w:val="en-IT" w:eastAsia="en-GB"/>
        </w:rPr>
        <w:lastRenderedPageBreak/>
        <w:t>With support from the International Fund for Agricultural Development (IFAD), it piloted interventions across four areas critical to foster millet uptake:</w:t>
      </w:r>
    </w:p>
    <w:p w14:paraId="25DCAB1A" w14:textId="7647B90B" w:rsidR="0038524C" w:rsidRPr="003847A6" w:rsidRDefault="0038524C" w:rsidP="003847A6">
      <w:pPr>
        <w:pStyle w:val="NormalWeb"/>
        <w:spacing w:line="276" w:lineRule="auto"/>
        <w:ind w:firstLine="720"/>
        <w:jc w:val="both"/>
        <w:rPr>
          <w:rFonts w:ascii="Calibri" w:hAnsi="Calibri" w:cs="Calibri"/>
          <w:color w:val="000000" w:themeColor="text1"/>
          <w:shd w:val="clear" w:color="auto" w:fill="FFFFFF"/>
        </w:rPr>
      </w:pPr>
      <w:r w:rsidRPr="003847A6">
        <w:rPr>
          <w:rFonts w:ascii="Calibri" w:hAnsi="Calibri" w:cs="Calibri"/>
          <w:color w:val="000000" w:themeColor="text1"/>
        </w:rPr>
        <w:t>First, it set up</w:t>
      </w:r>
      <w:r w:rsidR="00474734" w:rsidRPr="003847A6">
        <w:rPr>
          <w:rFonts w:ascii="Calibri" w:hAnsi="Calibri" w:cs="Calibri"/>
          <w:color w:val="000000" w:themeColor="text1"/>
        </w:rPr>
        <w:t xml:space="preserve"> </w:t>
      </w:r>
      <w:r w:rsidR="00474734" w:rsidRPr="003847A6">
        <w:rPr>
          <w:rStyle w:val="font-semibold"/>
          <w:rFonts w:ascii="Calibri" w:hAnsi="Calibri" w:cs="Calibri"/>
          <w:color w:val="000000" w:themeColor="text1"/>
        </w:rPr>
        <w:t>technologies</w:t>
      </w:r>
      <w:r w:rsidR="00474734" w:rsidRPr="003847A6">
        <w:rPr>
          <w:rFonts w:ascii="Calibri" w:hAnsi="Calibri" w:cs="Calibri"/>
          <w:color w:val="000000" w:themeColor="text1"/>
        </w:rPr>
        <w:t xml:space="preserve"> that could reduce processing drudgery—adapting coffee grinders, introducing new threshers and pulverisers </w:t>
      </w:r>
      <w:r w:rsidR="00474734" w:rsidRPr="003847A6">
        <w:rPr>
          <w:rFonts w:ascii="Calibri" w:hAnsi="Calibri" w:cs="Calibri"/>
          <w:color w:val="000000" w:themeColor="text1"/>
          <w:shd w:val="clear" w:color="auto" w:fill="FFFFFF"/>
        </w:rPr>
        <w:fldChar w:fldCharType="begin"/>
      </w:r>
      <w:r w:rsidR="00474734" w:rsidRPr="003847A6">
        <w:rPr>
          <w:rFonts w:ascii="Calibri" w:hAnsi="Calibri" w:cs="Calibri"/>
          <w:color w:val="000000" w:themeColor="text1"/>
          <w:shd w:val="clear" w:color="auto" w:fill="FFFFFF"/>
        </w:rPr>
        <w:instrText xml:space="preserve"> ADDIN ZOTERO_ITEM CSL_CITATION {"citationID":"LEoxWMf1","properties":{"unsorted":false,"formattedCitation":"(Bala Ravi et al., 2010; King, 2016)","plainCitation":"(Bala Ravi et al., 2010; King, 2016)","noteIndex":0},"citationItems":[{"id":19327,"uris":["http://zotero.org/users/12768557/items/T9X9FXBA"],"itemData":{"id":19327,"type":"chapter","container-title":"Minor Millets in South Asia Learnings from IFAD-NUS Project in India and Nepal","publisher":"Bioversity International, Maccarese, Rome, Italy and the M.S. Swaminathan Research Foundation, Chennai, India.","publisher-place":"Chennai","title":"Promoting Nutritious Millets for Enhancing Income and Improved Nutrition: A Case Study from Tamil Nadu and Orissa","author":[{"family":"Bala Ravi","given":"S"},{"family":"Swain","given":"S"},{"family":"Sengotuvel","given":"D"},{"family":"Parida","given":"N. R."}],"issued":{"date-parts":[["2010"]]}}},{"id":20838,"uris":["http://zotero.org/users/12768557/items/TELT2ACZ"],"itemData":{"id":20838,"type":"report","collection-title":"Working\tPaper No 9","publisher":"MSSRF","publisher-place":"Chennai","title":"Impact of\t  Reduced\t  drudger of women in\t  production and\t  \t  post-­harvest processing of small millets","author":[{"family":"King,","given":"I. E. D."}],"issued":{"date-parts":[["2016"]]}}}],"schema":"https://github.com/citation-style-language/schema/raw/master/csl-citation.json"} </w:instrText>
      </w:r>
      <w:r w:rsidR="00474734" w:rsidRPr="003847A6">
        <w:rPr>
          <w:rFonts w:ascii="Calibri" w:hAnsi="Calibri" w:cs="Calibri"/>
          <w:color w:val="000000" w:themeColor="text1"/>
          <w:shd w:val="clear" w:color="auto" w:fill="FFFFFF"/>
        </w:rPr>
        <w:fldChar w:fldCharType="separate"/>
      </w:r>
      <w:r w:rsidR="00474734" w:rsidRPr="003847A6">
        <w:rPr>
          <w:rFonts w:ascii="Calibri" w:hAnsi="Calibri" w:cs="Calibri"/>
          <w:noProof/>
          <w:color w:val="000000" w:themeColor="text1"/>
          <w:shd w:val="clear" w:color="auto" w:fill="FFFFFF"/>
        </w:rPr>
        <w:t>(Bala Ravi et al., 2010; King, 2016)</w:t>
      </w:r>
      <w:r w:rsidR="00474734" w:rsidRPr="003847A6">
        <w:rPr>
          <w:rFonts w:ascii="Calibri" w:hAnsi="Calibri" w:cs="Calibri"/>
          <w:color w:val="000000" w:themeColor="text1"/>
          <w:shd w:val="clear" w:color="auto" w:fill="FFFFFF"/>
        </w:rPr>
        <w:fldChar w:fldCharType="end"/>
      </w:r>
      <w:r w:rsidR="00474734" w:rsidRPr="003847A6">
        <w:rPr>
          <w:rFonts w:ascii="Calibri" w:hAnsi="Calibri" w:cs="Calibri"/>
          <w:color w:val="000000" w:themeColor="text1"/>
          <w:shd w:val="clear" w:color="auto" w:fill="FFFFFF"/>
        </w:rPr>
        <w:t xml:space="preserve">. </w:t>
      </w:r>
    </w:p>
    <w:p w14:paraId="76A79A64" w14:textId="3892DF3F" w:rsidR="0038524C" w:rsidRPr="003847A6" w:rsidRDefault="00474734" w:rsidP="003847A6">
      <w:pPr>
        <w:pStyle w:val="NormalWeb"/>
        <w:spacing w:line="276" w:lineRule="auto"/>
        <w:ind w:firstLine="720"/>
        <w:jc w:val="both"/>
        <w:rPr>
          <w:rFonts w:ascii="Calibri" w:hAnsi="Calibri" w:cs="Calibri"/>
          <w:color w:val="000000" w:themeColor="text1"/>
        </w:rPr>
      </w:pPr>
      <w:r w:rsidRPr="003847A6">
        <w:rPr>
          <w:rFonts w:ascii="Calibri" w:hAnsi="Calibri" w:cs="Calibri"/>
          <w:color w:val="000000" w:themeColor="text1"/>
        </w:rPr>
        <w:t xml:space="preserve">Second, staff worked on improving </w:t>
      </w:r>
      <w:r w:rsidRPr="003847A6">
        <w:rPr>
          <w:rStyle w:val="font-semibold"/>
          <w:rFonts w:ascii="Calibri" w:hAnsi="Calibri" w:cs="Calibri"/>
          <w:color w:val="000000" w:themeColor="text1"/>
        </w:rPr>
        <w:t>infrastructure</w:t>
      </w:r>
      <w:r w:rsidRPr="003847A6">
        <w:rPr>
          <w:rFonts w:ascii="Calibri" w:hAnsi="Calibri" w:cs="Calibri"/>
          <w:color w:val="000000" w:themeColor="text1"/>
        </w:rPr>
        <w:t xml:space="preserve"> and seed availability through village</w:t>
      </w:r>
      <w:r w:rsidRPr="003847A6">
        <w:rPr>
          <w:rFonts w:ascii="Calibri" w:hAnsi="Calibri" w:cs="Calibri"/>
          <w:color w:val="000000" w:themeColor="text1"/>
        </w:rPr>
        <w:noBreakHyphen/>
        <w:t>level seed and grain banks operated by women, which eventually enabled the formation of Self</w:t>
      </w:r>
      <w:r w:rsidRPr="003847A6">
        <w:rPr>
          <w:rFonts w:ascii="Calibri" w:hAnsi="Calibri" w:cs="Calibri"/>
          <w:color w:val="000000" w:themeColor="text1"/>
        </w:rPr>
        <w:noBreakHyphen/>
        <w:t xml:space="preserve">Help Groups (MSSRF, 2005). </w:t>
      </w:r>
    </w:p>
    <w:p w14:paraId="5CDECF94" w14:textId="758B3E4A" w:rsidR="0038524C" w:rsidRPr="003847A6" w:rsidRDefault="00474734" w:rsidP="003847A6">
      <w:pPr>
        <w:pStyle w:val="NormalWeb"/>
        <w:spacing w:line="276" w:lineRule="auto"/>
        <w:ind w:firstLine="720"/>
        <w:jc w:val="both"/>
        <w:rPr>
          <w:rFonts w:ascii="Calibri" w:hAnsi="Calibri" w:cs="Calibri"/>
          <w:color w:val="000000" w:themeColor="text1"/>
        </w:rPr>
      </w:pPr>
      <w:r w:rsidRPr="003847A6">
        <w:rPr>
          <w:rFonts w:ascii="Calibri" w:hAnsi="Calibri" w:cs="Calibri"/>
          <w:color w:val="000000" w:themeColor="text1"/>
          <w:shd w:val="clear" w:color="auto" w:fill="FFFFFF"/>
        </w:rPr>
        <w:t xml:space="preserve">Third, to improve yields, </w:t>
      </w:r>
      <w:r w:rsidRPr="003847A6">
        <w:rPr>
          <w:rStyle w:val="font-semibold"/>
          <w:rFonts w:ascii="Calibri" w:hAnsi="Calibri" w:cs="Calibri"/>
          <w:color w:val="000000" w:themeColor="text1"/>
        </w:rPr>
        <w:t>research</w:t>
      </w:r>
      <w:r w:rsidRPr="003847A6">
        <w:rPr>
          <w:rFonts w:ascii="Calibri" w:hAnsi="Calibri" w:cs="Calibri"/>
          <w:color w:val="000000" w:themeColor="text1"/>
        </w:rPr>
        <w:t xml:space="preserve"> efforts focused on participatory varietal trials that combined scientific breeding with on</w:t>
      </w:r>
      <w:r w:rsidRPr="003847A6">
        <w:rPr>
          <w:rFonts w:ascii="Calibri" w:hAnsi="Calibri" w:cs="Calibri"/>
          <w:color w:val="000000" w:themeColor="text1"/>
        </w:rPr>
        <w:noBreakHyphen/>
        <w:t>farm selection using farmer</w:t>
      </w:r>
      <w:r w:rsidRPr="003847A6">
        <w:rPr>
          <w:rFonts w:ascii="Calibri" w:hAnsi="Calibri" w:cs="Calibri"/>
          <w:color w:val="000000" w:themeColor="text1"/>
        </w:rPr>
        <w:noBreakHyphen/>
        <w:t xml:space="preserve">preferred landraces </w:t>
      </w:r>
      <w:r w:rsidRPr="003847A6">
        <w:rPr>
          <w:rFonts w:ascii="Calibri" w:eastAsiaTheme="minorHAnsi" w:hAnsi="Calibri" w:cs="Calibri"/>
          <w:color w:val="000000" w:themeColor="text1"/>
          <w:lang w:eastAsia="en-US"/>
        </w:rPr>
        <w:fldChar w:fldCharType="begin"/>
      </w:r>
      <w:r w:rsidRPr="003847A6">
        <w:rPr>
          <w:rFonts w:ascii="Calibri" w:eastAsiaTheme="minorHAnsi" w:hAnsi="Calibri" w:cs="Calibri"/>
          <w:color w:val="000000" w:themeColor="text1"/>
          <w:lang w:eastAsia="en-US"/>
        </w:rPr>
        <w:instrText xml:space="preserve"> ADDIN ZOTERO_ITEM CSL_CITATION {"citationID":"SG72FFeo","properties":{"formattedCitation":"(MSSRF, 2012a)","plainCitation":"(MSSRF, 2012a)","noteIndex":0},"citationItems":[{"id":20831,"uris":["http://zotero.org/users/12768557/items/3SBFMYZ9"],"itemData":{"id":20831,"type":"report","publisher":"MSSRF","publisher-place":"Chennai","title":"The Future We Want - Journey of MSSRF","URL":"http://59.160.153.188/library/sites/default/files/The%20Future%20We%20Want_Journey%20of%20MSSRF%20%2825%20Years%29.pdf","author":[{"family":"MSSRF","given":""}],"issued":{"date-parts":[["2012"]]}}}],"schema":"https://github.com/citation-style-language/schema/raw/master/csl-citation.json"} </w:instrText>
      </w:r>
      <w:r w:rsidRPr="003847A6">
        <w:rPr>
          <w:rFonts w:ascii="Calibri" w:eastAsiaTheme="minorHAnsi" w:hAnsi="Calibri" w:cs="Calibri"/>
          <w:color w:val="000000" w:themeColor="text1"/>
          <w:lang w:eastAsia="en-US"/>
        </w:rPr>
        <w:fldChar w:fldCharType="separate"/>
      </w:r>
      <w:r w:rsidRPr="003847A6">
        <w:rPr>
          <w:rFonts w:ascii="Calibri" w:eastAsiaTheme="minorHAnsi" w:hAnsi="Calibri" w:cs="Calibri"/>
          <w:noProof/>
          <w:color w:val="000000" w:themeColor="text1"/>
          <w:lang w:eastAsia="en-US"/>
        </w:rPr>
        <w:t>(MSSRF, 2012a)</w:t>
      </w:r>
      <w:r w:rsidRPr="003847A6">
        <w:rPr>
          <w:rFonts w:ascii="Calibri" w:eastAsiaTheme="minorHAnsi" w:hAnsi="Calibri" w:cs="Calibri"/>
          <w:color w:val="000000" w:themeColor="text1"/>
          <w:lang w:eastAsia="en-US"/>
        </w:rPr>
        <w:fldChar w:fldCharType="end"/>
      </w:r>
      <w:r w:rsidR="00466C26" w:rsidRPr="003847A6">
        <w:rPr>
          <w:rStyle w:val="FootnoteReference"/>
          <w:rFonts w:ascii="Calibri" w:eastAsiaTheme="minorHAnsi" w:hAnsi="Calibri" w:cs="Calibri"/>
          <w:color w:val="000000" w:themeColor="text1"/>
          <w:lang w:eastAsia="en-US"/>
        </w:rPr>
        <w:footnoteReference w:id="2"/>
      </w:r>
      <w:r w:rsidRPr="003847A6">
        <w:rPr>
          <w:rFonts w:ascii="Calibri" w:eastAsiaTheme="minorHAnsi" w:hAnsi="Calibri" w:cs="Calibri"/>
          <w:color w:val="000000" w:themeColor="text1"/>
          <w:lang w:eastAsia="en-US"/>
        </w:rPr>
        <w:t xml:space="preserve">. Women’s knowledge was central </w:t>
      </w:r>
      <w:r w:rsidRPr="003847A6">
        <w:rPr>
          <w:rFonts w:ascii="Calibri" w:hAnsi="Calibri" w:cs="Calibri"/>
          <w:color w:val="000000" w:themeColor="text1"/>
          <w:shd w:val="clear" w:color="auto" w:fill="FFFFFF"/>
        </w:rPr>
        <w:t xml:space="preserve">to varietal testing and selection processes </w:t>
      </w:r>
      <w:r w:rsidRPr="003847A6">
        <w:rPr>
          <w:rFonts w:ascii="Calibri" w:hAnsi="Calibri" w:cs="Calibri"/>
          <w:color w:val="000000" w:themeColor="text1"/>
          <w:shd w:val="clear" w:color="auto" w:fill="FFFFFF"/>
        </w:rPr>
        <w:fldChar w:fldCharType="begin"/>
      </w:r>
      <w:r w:rsidRPr="003847A6">
        <w:rPr>
          <w:rFonts w:ascii="Calibri" w:hAnsi="Calibri" w:cs="Calibri"/>
          <w:color w:val="000000" w:themeColor="text1"/>
          <w:shd w:val="clear" w:color="auto" w:fill="FFFFFF"/>
        </w:rPr>
        <w:instrText xml:space="preserve"> ADDIN ZOTERO_ITEM CSL_CITATION {"citationID":"32zme3Az","properties":{"formattedCitation":"(Arunachalam, 2007; FAO and MSSRF, 2008)","plainCitation":"(Arunachalam, 2007; FAO and MSSRF, 2008)","noteIndex":0},"citationItems":[{"id":19130,"uris":["http://zotero.org/users/12768557/items/Z2FRGCXW"],"itemData":{"id":19130,"type":"book","publisher":"MSSRF and Swiss Agency for Development and Cooperation","publisher-place":"Chennai","title":"Participatory Plant Breeding and Knowledge Management for Strengthening Rural Livelihoods","author":[{"family":"Arunachalam","given":"V"}],"issued":{"date-parts":[["2007"]]}}},{"id":19034,"uris":["http://zotero.org/users/12768557/items/X9RS3BUK"],"itemData":{"id":19034,"type":"report","publisher":"FAO and MSSRF","publisher-place":"FAO Regional Office for Asia and the Pacific Bangkok","title":"RURAL AND TRIBAL WOMEN IN AGROBIODIVERSITY CONSERVATION  An Indian case study","author":[{"family":"FAO","given":""},{"family":"MSSRF","given":""}],"issued":{"date-parts":[["2008"]]}}}],"schema":"https://github.com/citation-style-language/schema/raw/master/csl-citation.json"} </w:instrText>
      </w:r>
      <w:r w:rsidRPr="003847A6">
        <w:rPr>
          <w:rFonts w:ascii="Calibri" w:hAnsi="Calibri" w:cs="Calibri"/>
          <w:color w:val="000000" w:themeColor="text1"/>
          <w:shd w:val="clear" w:color="auto" w:fill="FFFFFF"/>
        </w:rPr>
        <w:fldChar w:fldCharType="separate"/>
      </w:r>
      <w:r w:rsidRPr="003847A6">
        <w:rPr>
          <w:rFonts w:ascii="Calibri" w:hAnsi="Calibri" w:cs="Calibri"/>
          <w:noProof/>
          <w:color w:val="000000" w:themeColor="text1"/>
          <w:shd w:val="clear" w:color="auto" w:fill="FFFFFF"/>
        </w:rPr>
        <w:t>(Arunachalam, 2007; FAO and MSSRF, 2008)</w:t>
      </w:r>
      <w:r w:rsidRPr="003847A6">
        <w:rPr>
          <w:rFonts w:ascii="Calibri" w:hAnsi="Calibri" w:cs="Calibri"/>
          <w:color w:val="000000" w:themeColor="text1"/>
          <w:shd w:val="clear" w:color="auto" w:fill="FFFFFF"/>
        </w:rPr>
        <w:fldChar w:fldCharType="end"/>
      </w:r>
      <w:r w:rsidRPr="003847A6">
        <w:rPr>
          <w:rFonts w:ascii="Calibri" w:hAnsi="Calibri" w:cs="Calibri"/>
          <w:color w:val="000000" w:themeColor="text1"/>
          <w:shd w:val="clear" w:color="auto" w:fill="FFFFFF"/>
        </w:rPr>
        <w:t xml:space="preserve">. </w:t>
      </w:r>
    </w:p>
    <w:p w14:paraId="32548C0B" w14:textId="79E184E1" w:rsidR="00474734" w:rsidRPr="003847A6" w:rsidRDefault="0038524C" w:rsidP="003847A6">
      <w:pPr>
        <w:pStyle w:val="NormalWeb"/>
        <w:spacing w:line="276" w:lineRule="auto"/>
        <w:ind w:firstLine="720"/>
        <w:jc w:val="both"/>
        <w:rPr>
          <w:rFonts w:ascii="Calibri" w:hAnsi="Calibri" w:cs="Calibri"/>
          <w:color w:val="000000" w:themeColor="text1"/>
          <w:shd w:val="clear" w:color="auto" w:fill="FFFFFF"/>
        </w:rPr>
      </w:pPr>
      <w:r w:rsidRPr="003847A6">
        <w:rPr>
          <w:rFonts w:ascii="Calibri" w:hAnsi="Calibri" w:cs="Calibri"/>
          <w:color w:val="000000" w:themeColor="text1"/>
          <w:shd w:val="clear" w:color="auto" w:fill="FFFFFF"/>
        </w:rPr>
        <w:t>Fourth</w:t>
      </w:r>
      <w:r w:rsidR="00A20356" w:rsidRPr="003847A6">
        <w:rPr>
          <w:rFonts w:ascii="Calibri" w:hAnsi="Calibri" w:cs="Calibri"/>
          <w:color w:val="000000" w:themeColor="text1"/>
          <w:shd w:val="clear" w:color="auto" w:fill="FFFFFF"/>
        </w:rPr>
        <w:t>, to support the revival of millet production and consumption, MSSRF implemented a series of targeted trainings</w:t>
      </w:r>
      <w:r w:rsidR="00466C26" w:rsidRPr="003847A6">
        <w:rPr>
          <w:rFonts w:ascii="Calibri" w:hAnsi="Calibri" w:cs="Calibri"/>
          <w:color w:val="000000" w:themeColor="text1"/>
          <w:shd w:val="clear" w:color="auto" w:fill="FFFFFF"/>
        </w:rPr>
        <w:t xml:space="preserve"> to change values and perceptions around millets</w:t>
      </w:r>
      <w:r w:rsidR="00A20356" w:rsidRPr="003847A6">
        <w:rPr>
          <w:rFonts w:ascii="Calibri" w:hAnsi="Calibri" w:cs="Calibri"/>
          <w:color w:val="000000" w:themeColor="text1"/>
          <w:shd w:val="clear" w:color="auto" w:fill="FFFFFF"/>
        </w:rPr>
        <w:t>. These focused on improving soil health (e.g. vermicompost production and soil management), strengthening seed systems (e.g. quality seed production, row planting, participatory selection), raising awareness on the nutritional benefits of millets, and building skills for value addition—including packaging, labelling, and marketing—to increase returns from millet-based products</w:t>
      </w:r>
      <w:r w:rsidR="00D86EB4" w:rsidRPr="003847A6">
        <w:rPr>
          <w:rFonts w:ascii="Calibri" w:hAnsi="Calibri" w:cs="Calibri"/>
          <w:color w:val="000000" w:themeColor="text1"/>
          <w:shd w:val="clear" w:color="auto" w:fill="FFFFFF"/>
        </w:rPr>
        <w:t xml:space="preserve"> </w:t>
      </w:r>
      <w:r w:rsidR="008038C7" w:rsidRPr="003847A6">
        <w:rPr>
          <w:rFonts w:ascii="Calibri" w:hAnsi="Calibri" w:cs="Calibri"/>
          <w:color w:val="000000" w:themeColor="text1"/>
          <w:shd w:val="clear" w:color="auto" w:fill="FFFFFF"/>
        </w:rPr>
        <w:fldChar w:fldCharType="begin"/>
      </w:r>
      <w:r w:rsidR="00AD2E2F" w:rsidRPr="003847A6">
        <w:rPr>
          <w:rFonts w:ascii="Calibri" w:hAnsi="Calibri" w:cs="Calibri"/>
          <w:color w:val="000000" w:themeColor="text1"/>
          <w:shd w:val="clear" w:color="auto" w:fill="FFFFFF"/>
        </w:rPr>
        <w:instrText xml:space="preserve"> ADDIN ZOTERO_ITEM CSL_CITATION {"citationID":"J0eNeIS3","properties":{"formattedCitation":"(MSSRF, 2012a)","plainCitation":"(MSSRF, 2012a)","noteIndex":0},"citationItems":[{"id":20831,"uris":["http://zotero.org/users/12768557/items/3SBFMYZ9"],"itemData":{"id":20831,"type":"report","publisher":"MSSRF","publisher-place":"Chennai","title":"The Future We Want - Journey of MSSRF","URL":"http://59.160.153.188/library/sites/default/files/The%20Future%20We%20Want_Journey%20of%20MSSRF%20%2825%20Years%29.pdf","author":[{"family":"MSSRF","given":""}],"issued":{"date-parts":[["2012"]]}}}],"schema":"https://github.com/citation-style-language/schema/raw/master/csl-citation.json"} </w:instrText>
      </w:r>
      <w:r w:rsidR="008038C7" w:rsidRPr="003847A6">
        <w:rPr>
          <w:rFonts w:ascii="Calibri" w:hAnsi="Calibri" w:cs="Calibri"/>
          <w:color w:val="000000" w:themeColor="text1"/>
          <w:shd w:val="clear" w:color="auto" w:fill="FFFFFF"/>
        </w:rPr>
        <w:fldChar w:fldCharType="separate"/>
      </w:r>
      <w:r w:rsidR="00ED0E6A" w:rsidRPr="003847A6">
        <w:rPr>
          <w:rFonts w:ascii="Calibri" w:hAnsi="Calibri" w:cs="Calibri"/>
          <w:noProof/>
          <w:color w:val="000000" w:themeColor="text1"/>
          <w:shd w:val="clear" w:color="auto" w:fill="FFFFFF"/>
        </w:rPr>
        <w:t>(MSSRF, 2012a)</w:t>
      </w:r>
      <w:r w:rsidR="008038C7" w:rsidRPr="003847A6">
        <w:rPr>
          <w:rFonts w:ascii="Calibri" w:hAnsi="Calibri" w:cs="Calibri"/>
          <w:color w:val="000000" w:themeColor="text1"/>
          <w:shd w:val="clear" w:color="auto" w:fill="FFFFFF"/>
        </w:rPr>
        <w:fldChar w:fldCharType="end"/>
      </w:r>
      <w:r w:rsidR="008038C7" w:rsidRPr="003847A6">
        <w:rPr>
          <w:rFonts w:ascii="Calibri" w:hAnsi="Calibri" w:cs="Calibri"/>
          <w:color w:val="000000" w:themeColor="text1"/>
          <w:shd w:val="clear" w:color="auto" w:fill="FFFFFF"/>
        </w:rPr>
        <w:t>.</w:t>
      </w:r>
    </w:p>
    <w:p w14:paraId="4B628C77" w14:textId="77777777" w:rsidR="0038524C" w:rsidRPr="003847A6" w:rsidRDefault="0038524C" w:rsidP="003847A6">
      <w:pPr>
        <w:rPr>
          <w:color w:val="000000" w:themeColor="text1"/>
        </w:rPr>
      </w:pPr>
      <w:r w:rsidRPr="003847A6">
        <w:rPr>
          <w:color w:val="000000" w:themeColor="text1"/>
        </w:rPr>
        <w:t>Together, these interventions linked technology, infrastructure, R&amp;D, local institutions and behaviour change within a small number of communities. This early phase remained geographically limited, testing whether challenges in processing, varietal access and participation could be addressed through community-level action. Technology, behavioural, infrastructure and research shifts were evident within communities, but remained localised. Thus, while encouraging results emerged, the scope of change was limited, prompting MSSRF to explore additional strategies for broader uptake.</w:t>
      </w:r>
    </w:p>
    <w:p w14:paraId="046BE20E" w14:textId="77777777" w:rsidR="0038524C" w:rsidRPr="003847A6" w:rsidRDefault="0038524C" w:rsidP="003847A6">
      <w:pPr>
        <w:rPr>
          <w:color w:val="000000" w:themeColor="text1"/>
        </w:rPr>
      </w:pPr>
    </w:p>
    <w:p w14:paraId="497D24C7" w14:textId="0B492FF2" w:rsidR="00A20356" w:rsidRPr="003847A6" w:rsidRDefault="00A20356" w:rsidP="003847A6">
      <w:pPr>
        <w:pStyle w:val="NormalWeb"/>
        <w:numPr>
          <w:ilvl w:val="0"/>
          <w:numId w:val="15"/>
        </w:numPr>
        <w:spacing w:before="0" w:beforeAutospacing="0" w:after="0" w:afterAutospacing="0" w:line="276" w:lineRule="auto"/>
        <w:jc w:val="both"/>
        <w:rPr>
          <w:rFonts w:ascii="Calibri" w:hAnsi="Calibri" w:cs="Calibri"/>
          <w:i/>
          <w:iCs/>
          <w:color w:val="000000" w:themeColor="text1"/>
        </w:rPr>
      </w:pPr>
      <w:r w:rsidRPr="003847A6">
        <w:rPr>
          <w:rFonts w:ascii="Calibri" w:hAnsi="Calibri" w:cs="Calibri"/>
          <w:i/>
          <w:iCs/>
          <w:color w:val="000000" w:themeColor="text1"/>
          <w:shd w:val="clear" w:color="auto" w:fill="FFFFFF"/>
        </w:rPr>
        <w:t xml:space="preserve">Phase II: 2010-2017: </w:t>
      </w:r>
      <w:r w:rsidR="00504535" w:rsidRPr="003847A6">
        <w:rPr>
          <w:rFonts w:ascii="Calibri" w:hAnsi="Calibri" w:cs="Calibri"/>
          <w:i/>
          <w:iCs/>
          <w:color w:val="000000" w:themeColor="text1"/>
          <w:shd w:val="clear" w:color="auto" w:fill="FFFFFF"/>
        </w:rPr>
        <w:t>Strengthening networks</w:t>
      </w:r>
      <w:r w:rsidR="00C62F3A" w:rsidRPr="003847A6">
        <w:rPr>
          <w:rFonts w:ascii="Calibri" w:hAnsi="Calibri" w:cs="Calibri"/>
          <w:i/>
          <w:iCs/>
          <w:color w:val="000000" w:themeColor="text1"/>
          <w:shd w:val="clear" w:color="auto" w:fill="FFFFFF"/>
        </w:rPr>
        <w:t>, relations and intermediation to build broader credibility for millets</w:t>
      </w:r>
      <w:r w:rsidRPr="003847A6">
        <w:rPr>
          <w:rFonts w:ascii="Calibri" w:hAnsi="Calibri" w:cs="Calibri"/>
          <w:i/>
          <w:iCs/>
          <w:color w:val="000000" w:themeColor="text1"/>
          <w:shd w:val="clear" w:color="auto" w:fill="FFFFFF"/>
        </w:rPr>
        <w:t> </w:t>
      </w:r>
    </w:p>
    <w:p w14:paraId="3F889C40" w14:textId="5841DABE" w:rsidR="00E634A4" w:rsidRPr="003847A6" w:rsidRDefault="00870F79" w:rsidP="003847A6">
      <w:pPr>
        <w:pStyle w:val="NormalWeb"/>
        <w:spacing w:before="240" w:beforeAutospacing="0" w:after="240" w:afterAutospacing="0" w:line="276" w:lineRule="auto"/>
        <w:jc w:val="both"/>
        <w:rPr>
          <w:rFonts w:ascii="Calibri" w:hAnsi="Calibri" w:cs="Calibri"/>
          <w:color w:val="000000" w:themeColor="text1"/>
        </w:rPr>
      </w:pPr>
      <w:r w:rsidRPr="003847A6">
        <w:rPr>
          <w:rFonts w:ascii="Calibri" w:hAnsi="Calibri" w:cs="Calibri"/>
          <w:color w:val="000000" w:themeColor="text1"/>
          <w:shd w:val="clear" w:color="auto" w:fill="FFFFFF"/>
        </w:rPr>
        <w:t>Building on what had been learnt</w:t>
      </w:r>
      <w:r w:rsidR="004C2ADB" w:rsidRPr="003847A6">
        <w:rPr>
          <w:rFonts w:ascii="Calibri" w:hAnsi="Calibri" w:cs="Calibri"/>
          <w:color w:val="000000" w:themeColor="text1"/>
          <w:shd w:val="clear" w:color="auto" w:fill="FFFFFF"/>
        </w:rPr>
        <w:t>,</w:t>
      </w:r>
      <w:r w:rsidRPr="003847A6">
        <w:rPr>
          <w:rFonts w:ascii="Calibri" w:hAnsi="Calibri" w:cs="Calibri"/>
          <w:color w:val="000000" w:themeColor="text1"/>
          <w:shd w:val="clear" w:color="auto" w:fill="FFFFFF"/>
        </w:rPr>
        <w:t xml:space="preserve"> </w:t>
      </w:r>
      <w:r w:rsidR="00A20356" w:rsidRPr="003847A6">
        <w:rPr>
          <w:rFonts w:ascii="Calibri" w:hAnsi="Calibri" w:cs="Calibri"/>
          <w:color w:val="000000" w:themeColor="text1"/>
          <w:shd w:val="clear" w:color="auto" w:fill="FFFFFF"/>
        </w:rPr>
        <w:t>MSSRF expanded its activities to a wider set of villages</w:t>
      </w:r>
      <w:r w:rsidR="00CF4968" w:rsidRPr="003847A6">
        <w:rPr>
          <w:rFonts w:ascii="Calibri" w:hAnsi="Calibri" w:cs="Calibri"/>
          <w:color w:val="000000" w:themeColor="text1"/>
          <w:shd w:val="clear" w:color="auto" w:fill="FFFFFF"/>
        </w:rPr>
        <w:t xml:space="preserve">, while collaborating with other R&amp;D </w:t>
      </w:r>
      <w:r w:rsidR="006434E8" w:rsidRPr="003847A6">
        <w:rPr>
          <w:rFonts w:ascii="Calibri" w:hAnsi="Calibri" w:cs="Calibri"/>
          <w:color w:val="000000" w:themeColor="text1"/>
          <w:shd w:val="clear" w:color="auto" w:fill="FFFFFF"/>
        </w:rPr>
        <w:t xml:space="preserve">and advisory organisations </w:t>
      </w:r>
      <w:r w:rsidR="00CF4968" w:rsidRPr="003847A6">
        <w:rPr>
          <w:rFonts w:ascii="Calibri" w:hAnsi="Calibri" w:cs="Calibri"/>
          <w:color w:val="000000" w:themeColor="text1"/>
          <w:shd w:val="clear" w:color="auto" w:fill="FFFFFF"/>
        </w:rPr>
        <w:t xml:space="preserve">such as </w:t>
      </w:r>
      <w:r w:rsidR="00F937D7" w:rsidRPr="003847A6">
        <w:rPr>
          <w:rFonts w:ascii="Calibri" w:hAnsi="Calibri" w:cs="Calibri"/>
          <w:color w:val="000000" w:themeColor="text1"/>
          <w:shd w:val="clear" w:color="auto" w:fill="FFFFFF"/>
        </w:rPr>
        <w:t>the International Crops Research Institute for the Semi-Arid Tropics (</w:t>
      </w:r>
      <w:r w:rsidR="00A20356" w:rsidRPr="003847A6">
        <w:rPr>
          <w:rFonts w:ascii="Calibri" w:hAnsi="Calibri" w:cs="Calibri"/>
          <w:color w:val="000000" w:themeColor="text1"/>
          <w:shd w:val="clear" w:color="auto" w:fill="FFFFFF"/>
        </w:rPr>
        <w:t>ICRISAT</w:t>
      </w:r>
      <w:r w:rsidR="00F937D7" w:rsidRPr="003847A6">
        <w:rPr>
          <w:rFonts w:ascii="Calibri" w:hAnsi="Calibri" w:cs="Calibri"/>
          <w:color w:val="000000" w:themeColor="text1"/>
          <w:shd w:val="clear" w:color="auto" w:fill="FFFFFF"/>
        </w:rPr>
        <w:t xml:space="preserve">) </w:t>
      </w:r>
      <w:r w:rsidR="00A20356" w:rsidRPr="003847A6">
        <w:rPr>
          <w:rFonts w:ascii="Calibri" w:hAnsi="Calibri" w:cs="Calibri"/>
          <w:color w:val="000000" w:themeColor="text1"/>
          <w:shd w:val="clear" w:color="auto" w:fill="FFFFFF"/>
        </w:rPr>
        <w:t>and FAO</w:t>
      </w:r>
      <w:r w:rsidR="004C2ADB" w:rsidRPr="003847A6">
        <w:rPr>
          <w:rFonts w:ascii="Calibri" w:hAnsi="Calibri" w:cs="Calibri"/>
          <w:color w:val="000000" w:themeColor="text1"/>
          <w:shd w:val="clear" w:color="auto" w:fill="FFFFFF"/>
        </w:rPr>
        <w:t xml:space="preserve"> </w:t>
      </w:r>
      <w:r w:rsidR="004C2ADB" w:rsidRPr="003847A6">
        <w:rPr>
          <w:rFonts w:ascii="Calibri" w:hAnsi="Calibri" w:cs="Calibri"/>
          <w:color w:val="000000" w:themeColor="text1"/>
          <w:shd w:val="clear" w:color="auto" w:fill="FFFFFF"/>
        </w:rPr>
        <w:fldChar w:fldCharType="begin"/>
      </w:r>
      <w:r w:rsidR="00AD2E2F" w:rsidRPr="003847A6">
        <w:rPr>
          <w:rFonts w:ascii="Calibri" w:hAnsi="Calibri" w:cs="Calibri"/>
          <w:color w:val="000000" w:themeColor="text1"/>
          <w:shd w:val="clear" w:color="auto" w:fill="FFFFFF"/>
        </w:rPr>
        <w:instrText xml:space="preserve"> ADDIN ZOTERO_ITEM CSL_CITATION {"citationID":"brrAIo7Q","properties":{"formattedCitation":"(FAO and MSSRF, 2008)","plainCitation":"(FAO and MSSRF, 2008)","noteIndex":0},"citationItems":[{"id":19034,"uris":["http://zotero.org/users/12768557/items/X9RS3BUK"],"itemData":{"id":19034,"type":"report","publisher":"FAO and MSSRF","publisher-place":"FAO Regional Office for Asia and the Pacific Bangkok","title":"RURAL AND TRIBAL WOMEN IN AGROBIODIVERSITY CONSERVATION  An Indian case study","author":[{"family":"FAO","given":""},{"family":"MSSRF","given":""}],"issued":{"date-parts":[["2008"]]}}}],"schema":"https://github.com/citation-style-language/schema/raw/master/csl-citation.json"} </w:instrText>
      </w:r>
      <w:r w:rsidR="004C2ADB" w:rsidRPr="003847A6">
        <w:rPr>
          <w:rFonts w:ascii="Calibri" w:hAnsi="Calibri" w:cs="Calibri"/>
          <w:color w:val="000000" w:themeColor="text1"/>
          <w:shd w:val="clear" w:color="auto" w:fill="FFFFFF"/>
        </w:rPr>
        <w:fldChar w:fldCharType="separate"/>
      </w:r>
      <w:r w:rsidR="004C2ADB" w:rsidRPr="003847A6">
        <w:rPr>
          <w:rFonts w:ascii="Calibri" w:hAnsi="Calibri" w:cs="Calibri"/>
          <w:noProof/>
          <w:color w:val="000000" w:themeColor="text1"/>
          <w:shd w:val="clear" w:color="auto" w:fill="FFFFFF"/>
        </w:rPr>
        <w:t>(FAO and MSSRF, 2008)</w:t>
      </w:r>
      <w:r w:rsidR="004C2ADB" w:rsidRPr="003847A6">
        <w:rPr>
          <w:rFonts w:ascii="Calibri" w:hAnsi="Calibri" w:cs="Calibri"/>
          <w:color w:val="000000" w:themeColor="text1"/>
          <w:shd w:val="clear" w:color="auto" w:fill="FFFFFF"/>
        </w:rPr>
        <w:fldChar w:fldCharType="end"/>
      </w:r>
      <w:r w:rsidR="00CF4968" w:rsidRPr="003847A6">
        <w:rPr>
          <w:rFonts w:ascii="Calibri" w:hAnsi="Calibri" w:cs="Calibri"/>
          <w:color w:val="000000" w:themeColor="text1"/>
          <w:shd w:val="clear" w:color="auto" w:fill="FFFFFF"/>
        </w:rPr>
        <w:t>.</w:t>
      </w:r>
      <w:r w:rsidR="004C2ADB" w:rsidRPr="003847A6">
        <w:rPr>
          <w:rFonts w:ascii="Calibri" w:hAnsi="Calibri" w:cs="Calibri"/>
          <w:color w:val="000000" w:themeColor="text1"/>
          <w:shd w:val="clear" w:color="auto" w:fill="FFFFFF"/>
        </w:rPr>
        <w:t xml:space="preserve"> </w:t>
      </w:r>
      <w:r w:rsidR="00E634A4" w:rsidRPr="003847A6">
        <w:rPr>
          <w:rFonts w:ascii="Calibri" w:hAnsi="Calibri" w:cs="Calibri"/>
          <w:color w:val="000000" w:themeColor="text1"/>
          <w:shd w:val="clear" w:color="auto" w:fill="FFFFFF"/>
        </w:rPr>
        <w:t xml:space="preserve">As MSSRF staff remarked, there was a gradual shift from community-level intervention to building the networks, partnerships, infrastructure and community institutions needed to </w:t>
      </w:r>
      <w:r w:rsidR="00E634A4" w:rsidRPr="003847A6">
        <w:rPr>
          <w:rFonts w:ascii="Calibri" w:hAnsi="Calibri" w:cs="Calibri"/>
          <w:color w:val="000000" w:themeColor="text1"/>
          <w:shd w:val="clear" w:color="auto" w:fill="FFFFFF"/>
        </w:rPr>
        <w:lastRenderedPageBreak/>
        <w:t>extend the work beyond the initial sites. This was considered by the leadership at the time as a key step to expand the reach and scope of interventions.</w:t>
      </w:r>
    </w:p>
    <w:p w14:paraId="6F430E52" w14:textId="2A347DA4" w:rsidR="00503EC5" w:rsidRPr="003847A6" w:rsidRDefault="00CF4968" w:rsidP="003847A6">
      <w:pPr>
        <w:pStyle w:val="NormalWeb"/>
        <w:spacing w:before="240" w:beforeAutospacing="0" w:after="240" w:afterAutospacing="0" w:line="276" w:lineRule="auto"/>
        <w:jc w:val="both"/>
        <w:rPr>
          <w:rFonts w:ascii="Calibri" w:hAnsi="Calibri" w:cs="Calibri"/>
          <w:color w:val="000000" w:themeColor="text1"/>
          <w:shd w:val="clear" w:color="auto" w:fill="FFFFFF"/>
        </w:rPr>
      </w:pPr>
      <w:r w:rsidRPr="003847A6">
        <w:rPr>
          <w:rFonts w:ascii="Calibri" w:hAnsi="Calibri" w:cs="Calibri"/>
          <w:color w:val="000000" w:themeColor="text1"/>
          <w:shd w:val="clear" w:color="auto" w:fill="FFFFFF"/>
        </w:rPr>
        <w:t>Through participatory trials and research collaborations with ICRISAT and FAO, MSSRF</w:t>
      </w:r>
      <w:r w:rsidR="00487C52" w:rsidRPr="003847A6">
        <w:rPr>
          <w:rFonts w:ascii="Calibri" w:hAnsi="Calibri" w:cs="Calibri"/>
          <w:color w:val="000000" w:themeColor="text1"/>
          <w:shd w:val="clear" w:color="auto" w:fill="FFFFFF"/>
        </w:rPr>
        <w:t xml:space="preserve"> further refined </w:t>
      </w:r>
      <w:r w:rsidRPr="003847A6">
        <w:rPr>
          <w:rFonts w:ascii="Calibri" w:hAnsi="Calibri" w:cs="Calibri"/>
          <w:color w:val="000000" w:themeColor="text1"/>
          <w:shd w:val="clear" w:color="auto" w:fill="FFFFFF"/>
        </w:rPr>
        <w:t>cultivation practices to increase yields —on average by 28%</w:t>
      </w:r>
      <w:r w:rsidR="00592ECF" w:rsidRPr="003847A6">
        <w:rPr>
          <w:rFonts w:ascii="Calibri" w:hAnsi="Calibri" w:cs="Calibri"/>
          <w:color w:val="000000" w:themeColor="text1"/>
          <w:shd w:val="clear" w:color="auto" w:fill="FFFFFF"/>
        </w:rPr>
        <w:t xml:space="preserve"> </w:t>
      </w:r>
      <w:r w:rsidR="00592ECF" w:rsidRPr="003847A6">
        <w:rPr>
          <w:rFonts w:ascii="Calibri" w:hAnsi="Calibri" w:cs="Calibri"/>
          <w:color w:val="000000" w:themeColor="text1"/>
          <w:shd w:val="clear" w:color="auto" w:fill="FFFFFF"/>
        </w:rPr>
        <w:fldChar w:fldCharType="begin"/>
      </w:r>
      <w:r w:rsidR="00592ECF" w:rsidRPr="003847A6">
        <w:rPr>
          <w:rFonts w:ascii="Calibri" w:hAnsi="Calibri" w:cs="Calibri"/>
          <w:color w:val="000000" w:themeColor="text1"/>
          <w:shd w:val="clear" w:color="auto" w:fill="FFFFFF"/>
        </w:rPr>
        <w:instrText xml:space="preserve"> ADDIN ZOTERO_ITEM CSL_CITATION {"citationID":"d51TbUfk","properties":{"formattedCitation":"(MSSRF, 2021)","plainCitation":"(MSSRF, 2021)","noteIndex":0},"citationItems":[{"id":19037,"uris":["http://zotero.org/users/12768557/items/NQDSIYZS"],"itemData":{"id":19037,"type":"report","publisher":"MSSRF","title":"MSSRF Thirty-First Annual Report 2020 – 2021","author":[{"family":"MSSRF","given":""}],"issued":{"date-parts":[["2021"]]}}}],"schema":"https://github.com/citation-style-language/schema/raw/master/csl-citation.json"} </w:instrText>
      </w:r>
      <w:r w:rsidR="00592ECF" w:rsidRPr="003847A6">
        <w:rPr>
          <w:rFonts w:ascii="Calibri" w:hAnsi="Calibri" w:cs="Calibri"/>
          <w:color w:val="000000" w:themeColor="text1"/>
          <w:shd w:val="clear" w:color="auto" w:fill="FFFFFF"/>
        </w:rPr>
        <w:fldChar w:fldCharType="separate"/>
      </w:r>
      <w:r w:rsidR="00592ECF" w:rsidRPr="003847A6">
        <w:rPr>
          <w:rFonts w:ascii="Calibri" w:hAnsi="Calibri" w:cs="Calibri"/>
          <w:noProof/>
          <w:color w:val="000000" w:themeColor="text1"/>
          <w:shd w:val="clear" w:color="auto" w:fill="FFFFFF"/>
        </w:rPr>
        <w:t>(MSSRF, 2021)</w:t>
      </w:r>
      <w:r w:rsidR="00592ECF" w:rsidRPr="003847A6">
        <w:rPr>
          <w:rFonts w:ascii="Calibri" w:hAnsi="Calibri" w:cs="Calibri"/>
          <w:color w:val="000000" w:themeColor="text1"/>
          <w:shd w:val="clear" w:color="auto" w:fill="FFFFFF"/>
        </w:rPr>
        <w:fldChar w:fldCharType="end"/>
      </w:r>
      <w:r w:rsidR="00592ECF" w:rsidRPr="003847A6">
        <w:rPr>
          <w:rFonts w:ascii="Calibri" w:hAnsi="Calibri" w:cs="Calibri"/>
          <w:color w:val="000000" w:themeColor="text1"/>
          <w:shd w:val="clear" w:color="auto" w:fill="FFFFFF"/>
        </w:rPr>
        <w:t xml:space="preserve">. </w:t>
      </w:r>
      <w:r w:rsidRPr="003847A6">
        <w:rPr>
          <w:rFonts w:ascii="Calibri" w:hAnsi="Calibri" w:cs="Calibri"/>
          <w:color w:val="000000" w:themeColor="text1"/>
          <w:shd w:val="clear" w:color="auto" w:fill="FFFFFF"/>
        </w:rPr>
        <w:t>Additional agricultural equipment, including seeders and weeders, was introduced to reduce manual labour and improve productivity. Processing infrastructure also expanded, enabling more villages to shift from home-based to shared milling and storage facilities.</w:t>
      </w:r>
      <w:r w:rsidR="00E634A4" w:rsidRPr="003847A6">
        <w:rPr>
          <w:rFonts w:ascii="Calibri" w:hAnsi="Calibri" w:cs="Calibri"/>
          <w:color w:val="000000" w:themeColor="text1"/>
          <w:shd w:val="clear" w:color="auto" w:fill="FFFFFF"/>
        </w:rPr>
        <w:t xml:space="preserve"> </w:t>
      </w:r>
      <w:r w:rsidR="00E634A4" w:rsidRPr="003847A6">
        <w:rPr>
          <w:rFonts w:ascii="Calibri" w:hAnsi="Calibri" w:cs="Calibri"/>
          <w:color w:val="000000" w:themeColor="text1"/>
        </w:rPr>
        <w:t>Compared with Phase I, the emphasis was no longer only on testing technical feasibility in a few villages, but on extending and standardising practices through wider collaboration.</w:t>
      </w:r>
    </w:p>
    <w:p w14:paraId="70915B03" w14:textId="3073BE33" w:rsidR="00503EC5" w:rsidRPr="003847A6" w:rsidRDefault="00E634A4" w:rsidP="003847A6">
      <w:pPr>
        <w:pStyle w:val="NormalWeb"/>
        <w:spacing w:line="276" w:lineRule="auto"/>
        <w:jc w:val="both"/>
        <w:rPr>
          <w:rFonts w:ascii="Calibri" w:hAnsi="Calibri" w:cs="Calibri"/>
          <w:color w:val="000000" w:themeColor="text1"/>
        </w:rPr>
      </w:pPr>
      <w:r w:rsidRPr="003847A6">
        <w:rPr>
          <w:rFonts w:ascii="Calibri" w:hAnsi="Calibri" w:cs="Calibri"/>
          <w:color w:val="000000" w:themeColor="text1"/>
        </w:rPr>
        <w:t xml:space="preserve">MSSRF paid equal attention to institutional development to sustain adoption. It partnered with the Swiss Agency for Development and Cooperation to establish gene-seed grain banks across villages enabling poorer households—especially those who had previously consumed all their seed during lean periods—to conserve and access diverse millet varieties </w:t>
      </w:r>
      <w:r w:rsidRPr="003847A6">
        <w:rPr>
          <w:rFonts w:ascii="Calibri" w:hAnsi="Calibri" w:cs="Calibri"/>
          <w:color w:val="000000" w:themeColor="text1"/>
        </w:rPr>
        <w:fldChar w:fldCharType="begin"/>
      </w:r>
      <w:r w:rsidRPr="003847A6">
        <w:rPr>
          <w:rFonts w:ascii="Calibri" w:hAnsi="Calibri" w:cs="Calibri"/>
          <w:color w:val="000000" w:themeColor="text1"/>
        </w:rPr>
        <w:instrText xml:space="preserve"> ADDIN ZOTERO_ITEM CSL_CITATION {"citationID":"DnnIGfSb","properties":{"unsorted":false,"formattedCitation":"(Arunachalam, 2007; FAO and MSSRF, 2008)","plainCitation":"(Arunachalam, 2007; FAO and MSSRF, 2008)","noteIndex":0},"citationItems":[{"id":19130,"uris":["http://zotero.org/users/12768557/items/Z2FRGCXW"],"itemData":{"id":19130,"type":"book","publisher":"MSSRF and Swiss Agency for Development and Cooperation","publisher-place":"Chennai","title":"Participatory Plant Breeding and Knowledge Management for Strengthening Rural Livelihoods","author":[{"family":"Arunachalam","given":"V"}],"issued":{"date-parts":[["2007"]]}}},{"id":19034,"uris":["http://zotero.org/users/12768557/items/X9RS3BUK"],"itemData":{"id":19034,"type":"report","publisher":"FAO and MSSRF","publisher-place":"FAO Regional Office for Asia and the Pacific Bangkok","title":"RURAL AND TRIBAL WOMEN IN AGROBIODIVERSITY CONSERVATION  An Indian case study","author":[{"family":"FAO","given":""},{"family":"MSSRF","given":""}],"issued":{"date-parts":[["2008"]]}}}],"schema":"https://github.com/citation-style-language/schema/raw/master/csl-citation.json"} </w:instrText>
      </w:r>
      <w:r w:rsidRPr="003847A6">
        <w:rPr>
          <w:rFonts w:ascii="Calibri" w:hAnsi="Calibri" w:cs="Calibri"/>
          <w:color w:val="000000" w:themeColor="text1"/>
        </w:rPr>
        <w:fldChar w:fldCharType="separate"/>
      </w:r>
      <w:r w:rsidRPr="003847A6">
        <w:rPr>
          <w:rFonts w:ascii="Calibri" w:hAnsi="Calibri" w:cs="Calibri"/>
          <w:noProof/>
          <w:color w:val="000000" w:themeColor="text1"/>
        </w:rPr>
        <w:t>(Arunachalam, 2007; FAO and MSSRF, 2008)</w:t>
      </w:r>
      <w:r w:rsidRPr="003847A6">
        <w:rPr>
          <w:rFonts w:ascii="Calibri" w:hAnsi="Calibri" w:cs="Calibri"/>
          <w:color w:val="000000" w:themeColor="text1"/>
        </w:rPr>
        <w:fldChar w:fldCharType="end"/>
      </w:r>
      <w:r w:rsidRPr="003847A6">
        <w:rPr>
          <w:rFonts w:ascii="Calibri" w:hAnsi="Calibri" w:cs="Calibri"/>
          <w:color w:val="000000" w:themeColor="text1"/>
        </w:rPr>
        <w:t>.</w:t>
      </w:r>
      <w:r w:rsidR="00503EC5" w:rsidRPr="003847A6">
        <w:rPr>
          <w:rFonts w:ascii="Calibri" w:hAnsi="Calibri" w:cs="Calibri"/>
          <w:color w:val="000000" w:themeColor="text1"/>
        </w:rPr>
        <w:t xml:space="preserve"> Women managed these assets and expanded or created new </w:t>
      </w:r>
      <w:r w:rsidR="0019633C" w:rsidRPr="003847A6">
        <w:rPr>
          <w:rStyle w:val="font-semibold"/>
          <w:rFonts w:ascii="Calibri" w:hAnsi="Calibri" w:cs="Calibri"/>
          <w:color w:val="000000" w:themeColor="text1"/>
        </w:rPr>
        <w:t>Self-Help</w:t>
      </w:r>
      <w:r w:rsidRPr="003847A6">
        <w:rPr>
          <w:rStyle w:val="font-semibold"/>
          <w:rFonts w:ascii="Calibri" w:hAnsi="Calibri" w:cs="Calibri"/>
          <w:color w:val="000000" w:themeColor="text1"/>
        </w:rPr>
        <w:t xml:space="preserve"> </w:t>
      </w:r>
      <w:r w:rsidR="00503EC5" w:rsidRPr="003847A6">
        <w:rPr>
          <w:rStyle w:val="font-semibold"/>
          <w:rFonts w:ascii="Calibri" w:hAnsi="Calibri" w:cs="Calibri"/>
          <w:color w:val="000000" w:themeColor="text1"/>
        </w:rPr>
        <w:t>G</w:t>
      </w:r>
      <w:r w:rsidRPr="003847A6">
        <w:rPr>
          <w:rStyle w:val="font-semibold"/>
          <w:rFonts w:ascii="Calibri" w:hAnsi="Calibri" w:cs="Calibri"/>
          <w:color w:val="000000" w:themeColor="text1"/>
        </w:rPr>
        <w:t>roup</w:t>
      </w:r>
      <w:r w:rsidR="00503EC5" w:rsidRPr="003847A6">
        <w:rPr>
          <w:rStyle w:val="font-semibold"/>
          <w:rFonts w:ascii="Calibri" w:hAnsi="Calibri" w:cs="Calibri"/>
          <w:color w:val="000000" w:themeColor="text1"/>
        </w:rPr>
        <w:t>s</w:t>
      </w:r>
      <w:r w:rsidR="00503EC5" w:rsidRPr="003847A6">
        <w:rPr>
          <w:rFonts w:ascii="Calibri" w:hAnsi="Calibri" w:cs="Calibri"/>
          <w:color w:val="000000" w:themeColor="text1"/>
        </w:rPr>
        <w:t xml:space="preserve"> </w:t>
      </w:r>
      <w:r w:rsidRPr="003847A6">
        <w:rPr>
          <w:rFonts w:ascii="Calibri" w:hAnsi="Calibri" w:cs="Calibri"/>
          <w:color w:val="000000" w:themeColor="text1"/>
        </w:rPr>
        <w:t xml:space="preserve">(SHGs) </w:t>
      </w:r>
      <w:r w:rsidR="00503EC5" w:rsidRPr="003847A6">
        <w:rPr>
          <w:rFonts w:ascii="Calibri" w:hAnsi="Calibri" w:cs="Calibri"/>
          <w:color w:val="000000" w:themeColor="text1"/>
        </w:rPr>
        <w:t>to coordinate infrastructure and training on millet adoption. They also began experimenting with millet</w:t>
      </w:r>
      <w:r w:rsidR="00503EC5" w:rsidRPr="003847A6">
        <w:rPr>
          <w:rFonts w:ascii="Calibri" w:hAnsi="Calibri" w:cs="Calibri"/>
          <w:color w:val="000000" w:themeColor="text1"/>
        </w:rPr>
        <w:noBreakHyphen/>
        <w:t xml:space="preserve">based products, such as snacks and sweets sold in local markets, indicating early </w:t>
      </w:r>
      <w:r w:rsidR="00503EC5" w:rsidRPr="003847A6">
        <w:rPr>
          <w:rStyle w:val="font-semibold"/>
          <w:rFonts w:ascii="Calibri" w:hAnsi="Calibri" w:cs="Calibri"/>
          <w:color w:val="000000" w:themeColor="text1"/>
        </w:rPr>
        <w:t>commercialisation</w:t>
      </w:r>
      <w:r w:rsidR="00503EC5" w:rsidRPr="003847A6">
        <w:rPr>
          <w:rFonts w:ascii="Calibri" w:hAnsi="Calibri" w:cs="Calibri"/>
          <w:color w:val="000000" w:themeColor="text1"/>
        </w:rPr>
        <w:t xml:space="preserve">. These SHGs evolved into focal points for </w:t>
      </w:r>
      <w:r w:rsidR="00503EC5" w:rsidRPr="003847A6">
        <w:rPr>
          <w:rStyle w:val="font-semibold"/>
          <w:rFonts w:ascii="Calibri" w:hAnsi="Calibri" w:cs="Calibri"/>
          <w:color w:val="000000" w:themeColor="text1"/>
        </w:rPr>
        <w:t>peer learning and community planning</w:t>
      </w:r>
      <w:r w:rsidR="00503EC5" w:rsidRPr="003847A6">
        <w:rPr>
          <w:rFonts w:ascii="Calibri" w:hAnsi="Calibri" w:cs="Calibri"/>
          <w:color w:val="000000" w:themeColor="text1"/>
        </w:rPr>
        <w:t xml:space="preserve">, helping neighbouring farmers replicate successful practices (MSSRF, 2019b). </w:t>
      </w:r>
      <w:r w:rsidR="008D3B92" w:rsidRPr="003847A6">
        <w:rPr>
          <w:rFonts w:ascii="Calibri" w:hAnsi="Calibri" w:cs="Calibri"/>
          <w:color w:val="000000" w:themeColor="text1"/>
          <w:shd w:val="clear" w:color="auto" w:fill="FFFFFF"/>
        </w:rPr>
        <w:t>E</w:t>
      </w:r>
      <w:r w:rsidR="00A20356" w:rsidRPr="003847A6">
        <w:rPr>
          <w:rFonts w:ascii="Calibri" w:hAnsi="Calibri" w:cs="Calibri"/>
          <w:color w:val="000000" w:themeColor="text1"/>
          <w:shd w:val="clear" w:color="auto" w:fill="FFFFFF"/>
        </w:rPr>
        <w:t>fforts to preserve genetic diversity</w:t>
      </w:r>
      <w:r w:rsidR="00ED0E6A" w:rsidRPr="003847A6">
        <w:rPr>
          <w:rFonts w:ascii="Calibri" w:hAnsi="Calibri" w:cs="Calibri"/>
          <w:color w:val="000000" w:themeColor="text1"/>
          <w:shd w:val="clear" w:color="auto" w:fill="FFFFFF"/>
        </w:rPr>
        <w:t xml:space="preserve"> and empower local communities</w:t>
      </w:r>
      <w:r w:rsidR="00A20356" w:rsidRPr="003847A6">
        <w:rPr>
          <w:rFonts w:ascii="Calibri" w:hAnsi="Calibri" w:cs="Calibri"/>
          <w:color w:val="000000" w:themeColor="text1"/>
          <w:shd w:val="clear" w:color="auto" w:fill="FFFFFF"/>
        </w:rPr>
        <w:t xml:space="preserve"> </w:t>
      </w:r>
      <w:r w:rsidR="008D3B92" w:rsidRPr="003847A6">
        <w:rPr>
          <w:rFonts w:ascii="Calibri" w:hAnsi="Calibri" w:cs="Calibri"/>
          <w:color w:val="000000" w:themeColor="text1"/>
          <w:shd w:val="clear" w:color="auto" w:fill="FFFFFF"/>
        </w:rPr>
        <w:t xml:space="preserve">also </w:t>
      </w:r>
      <w:r w:rsidR="00A20356" w:rsidRPr="003847A6">
        <w:rPr>
          <w:rFonts w:ascii="Calibri" w:hAnsi="Calibri" w:cs="Calibri"/>
          <w:color w:val="000000" w:themeColor="text1"/>
          <w:shd w:val="clear" w:color="auto" w:fill="FFFFFF"/>
        </w:rPr>
        <w:t xml:space="preserve">gained praise from FAO, which granted </w:t>
      </w:r>
      <w:r w:rsidR="00111AF7" w:rsidRPr="003847A6">
        <w:rPr>
          <w:rFonts w:ascii="Calibri" w:hAnsi="Calibri" w:cs="Calibri"/>
          <w:color w:val="000000" w:themeColor="text1"/>
          <w:shd w:val="clear" w:color="auto" w:fill="FFFFFF"/>
        </w:rPr>
        <w:t xml:space="preserve">the region a </w:t>
      </w:r>
      <w:r w:rsidR="00A20356" w:rsidRPr="003847A6">
        <w:rPr>
          <w:rFonts w:ascii="Calibri" w:hAnsi="Calibri" w:cs="Calibri"/>
          <w:color w:val="000000" w:themeColor="text1"/>
          <w:shd w:val="clear" w:color="auto" w:fill="FFFFFF"/>
        </w:rPr>
        <w:t>formal status as “</w:t>
      </w:r>
      <w:r w:rsidR="00A20356" w:rsidRPr="003847A6">
        <w:rPr>
          <w:rFonts w:ascii="Calibri" w:hAnsi="Calibri" w:cs="Calibri"/>
          <w:color w:val="000000" w:themeColor="text1"/>
        </w:rPr>
        <w:t xml:space="preserve">Globally-important Agricultural Heritage Systems” </w:t>
      </w:r>
      <w:bookmarkStart w:id="3" w:name="_Hlk218851969"/>
      <w:r w:rsidR="00EE71DE" w:rsidRPr="003847A6">
        <w:rPr>
          <w:rFonts w:ascii="Calibri" w:hAnsi="Calibri" w:cs="Calibri"/>
          <w:color w:val="000000" w:themeColor="text1"/>
        </w:rPr>
        <w:fldChar w:fldCharType="begin"/>
      </w:r>
      <w:r w:rsidR="00EE71DE" w:rsidRPr="003847A6">
        <w:rPr>
          <w:rFonts w:ascii="Calibri" w:hAnsi="Calibri" w:cs="Calibri"/>
          <w:color w:val="000000" w:themeColor="text1"/>
        </w:rPr>
        <w:instrText xml:space="preserve"> ADDIN ZOTERO_ITEM CSL_CITATION {"citationID":"NqdZZUqV","properties":{"formattedCitation":"(FAO, 2012)","plainCitation":"(FAO, 2012)","noteIndex":0},"citationItems":[{"id":19044,"uris":["http://zotero.org/users/12768557/items/PLP3NS9T"],"itemData":{"id":19044,"type":"webpage","abstract":"Traditional systems in the Koraput Region are strongly linked to the local traditional communities. From their knowledge and practices, a high biodiversity has been conserved through an in-situ conservation preserving endemic species. In spite of their invaluable ecological services, the local communities are part of the poorest of the country and the world. The food production is not always enough to satisfy all of their needs during the whole year.","container-title":"GIAHS","language":"en","title":"Koraput Agriculture| Globally Important Agricultural Heritage Systems | Food and Agriculture Organization of the United Nations","URL":"https://www.fao.org/giahs/giahsaroundtheworld/india-koraput/en","author":[{"family":"FAO","given":""}],"accessed":{"date-parts":[["2025",3,5]]},"issued":{"date-parts":[["2012"]]}}}],"schema":"https://github.com/citation-style-language/schema/raw/master/csl-citation.json"} </w:instrText>
      </w:r>
      <w:r w:rsidR="00EE71DE" w:rsidRPr="003847A6">
        <w:rPr>
          <w:rFonts w:ascii="Calibri" w:hAnsi="Calibri" w:cs="Calibri"/>
          <w:color w:val="000000" w:themeColor="text1"/>
        </w:rPr>
        <w:fldChar w:fldCharType="separate"/>
      </w:r>
      <w:r w:rsidR="00EE71DE" w:rsidRPr="003847A6">
        <w:rPr>
          <w:rFonts w:ascii="Calibri" w:hAnsi="Calibri" w:cs="Calibri"/>
          <w:noProof/>
          <w:color w:val="000000" w:themeColor="text1"/>
        </w:rPr>
        <w:t>(FAO, 2012)</w:t>
      </w:r>
      <w:r w:rsidR="00EE71DE" w:rsidRPr="003847A6">
        <w:rPr>
          <w:rFonts w:ascii="Calibri" w:hAnsi="Calibri" w:cs="Calibri"/>
          <w:color w:val="000000" w:themeColor="text1"/>
        </w:rPr>
        <w:fldChar w:fldCharType="end"/>
      </w:r>
      <w:r w:rsidR="0088002F" w:rsidRPr="003847A6">
        <w:rPr>
          <w:rFonts w:ascii="Calibri" w:hAnsi="Calibri" w:cs="Calibri"/>
          <w:color w:val="000000" w:themeColor="text1"/>
        </w:rPr>
        <w:t xml:space="preserve">, </w:t>
      </w:r>
      <w:r w:rsidR="00ED0E6A" w:rsidRPr="003847A6">
        <w:rPr>
          <w:rFonts w:ascii="Calibri" w:hAnsi="Calibri" w:cs="Calibri"/>
          <w:color w:val="000000" w:themeColor="text1"/>
        </w:rPr>
        <w:t xml:space="preserve">a prize given “in recognition of the conservation of both </w:t>
      </w:r>
      <w:proofErr w:type="spellStart"/>
      <w:r w:rsidR="00ED0E6A" w:rsidRPr="003847A6">
        <w:rPr>
          <w:rFonts w:ascii="Calibri" w:hAnsi="Calibri" w:cs="Calibri"/>
          <w:color w:val="000000" w:themeColor="text1"/>
        </w:rPr>
        <w:t>agro</w:t>
      </w:r>
      <w:proofErr w:type="spellEnd"/>
      <w:r w:rsidR="00ED0E6A" w:rsidRPr="003847A6">
        <w:rPr>
          <w:rFonts w:ascii="Calibri" w:hAnsi="Calibri" w:cs="Calibri"/>
          <w:color w:val="000000" w:themeColor="text1"/>
        </w:rPr>
        <w:t xml:space="preserve">-biodiversity and local knowledge systems </w:t>
      </w:r>
      <w:r w:rsidR="00ED0E6A" w:rsidRPr="003847A6">
        <w:rPr>
          <w:rFonts w:ascii="Calibri" w:hAnsi="Calibri" w:cs="Calibri"/>
          <w:color w:val="000000" w:themeColor="text1"/>
        </w:rPr>
        <w:fldChar w:fldCharType="begin"/>
      </w:r>
      <w:r w:rsidR="00AD2E2F" w:rsidRPr="003847A6">
        <w:rPr>
          <w:rFonts w:ascii="Calibri" w:hAnsi="Calibri" w:cs="Calibri"/>
          <w:color w:val="000000" w:themeColor="text1"/>
        </w:rPr>
        <w:instrText xml:space="preserve"> ADDIN ZOTERO_ITEM CSL_CITATION {"citationID":"manm2nhi","properties":{"formattedCitation":"(MSSRF, 2012b)","plainCitation":"(MSSRF, 2012b)","noteIndex":0},"citationItems":[{"id":20843,"uris":["http://zotero.org/users/12768557/items/E8ZT96QI"],"itemData":{"id":20843,"type":"report","publisher":"MSSRF","publisher-place":"Chennai","title":"Twenty-Second Annual Report","author":[{"family":"MSSRF","given":""}],"issued":{"date-parts":[["2012"]]}}}],"schema":"https://github.com/citation-style-language/schema/raw/master/csl-citation.json"} </w:instrText>
      </w:r>
      <w:r w:rsidR="00ED0E6A" w:rsidRPr="003847A6">
        <w:rPr>
          <w:rFonts w:ascii="Calibri" w:hAnsi="Calibri" w:cs="Calibri"/>
          <w:color w:val="000000" w:themeColor="text1"/>
        </w:rPr>
        <w:fldChar w:fldCharType="separate"/>
      </w:r>
      <w:r w:rsidR="00ED0E6A" w:rsidRPr="003847A6">
        <w:rPr>
          <w:rFonts w:ascii="Calibri" w:hAnsi="Calibri" w:cs="Calibri"/>
          <w:noProof/>
          <w:color w:val="000000" w:themeColor="text1"/>
        </w:rPr>
        <w:t>(MSSRF, 2012b)</w:t>
      </w:r>
      <w:r w:rsidR="00ED0E6A" w:rsidRPr="003847A6">
        <w:rPr>
          <w:rFonts w:ascii="Calibri" w:hAnsi="Calibri" w:cs="Calibri"/>
          <w:color w:val="000000" w:themeColor="text1"/>
        </w:rPr>
        <w:fldChar w:fldCharType="end"/>
      </w:r>
      <w:r w:rsidR="00ED0E6A" w:rsidRPr="003847A6">
        <w:rPr>
          <w:rFonts w:ascii="Calibri" w:hAnsi="Calibri" w:cs="Calibri"/>
          <w:color w:val="000000" w:themeColor="text1"/>
        </w:rPr>
        <w:t>.</w:t>
      </w:r>
      <w:r w:rsidR="00503EC5" w:rsidRPr="003847A6">
        <w:rPr>
          <w:rFonts w:ascii="Calibri" w:hAnsi="Calibri" w:cs="Calibri"/>
          <w:color w:val="000000" w:themeColor="text1"/>
        </w:rPr>
        <w:t xml:space="preserve"> </w:t>
      </w:r>
    </w:p>
    <w:p w14:paraId="726AE3C7" w14:textId="48B5A7A7" w:rsidR="00503EC5" w:rsidRPr="003847A6" w:rsidRDefault="00503EC5" w:rsidP="003847A6">
      <w:pPr>
        <w:pStyle w:val="NormalWeb"/>
        <w:spacing w:line="276" w:lineRule="auto"/>
        <w:jc w:val="both"/>
        <w:rPr>
          <w:rFonts w:ascii="Calibri" w:hAnsi="Calibri" w:cs="Calibri"/>
          <w:color w:val="000000" w:themeColor="text1"/>
          <w:shd w:val="clear" w:color="auto" w:fill="FFFFFF"/>
        </w:rPr>
      </w:pPr>
      <w:r w:rsidRPr="003847A6">
        <w:rPr>
          <w:rFonts w:ascii="Calibri" w:hAnsi="Calibri" w:cs="Calibri"/>
          <w:color w:val="000000" w:themeColor="text1"/>
        </w:rPr>
        <w:t xml:space="preserve">At the same time, Professor M.S. Swaminathan recognised that further progress required policy and institutional change to expand nutritional and environmental impacts. </w:t>
      </w:r>
      <w:r w:rsidRPr="003847A6">
        <w:rPr>
          <w:rStyle w:val="font-semibold"/>
          <w:rFonts w:ascii="Calibri" w:hAnsi="Calibri" w:cs="Calibri"/>
          <w:color w:val="000000" w:themeColor="text1"/>
        </w:rPr>
        <w:t>His advocacy started countering long</w:t>
      </w:r>
      <w:r w:rsidRPr="003847A6">
        <w:rPr>
          <w:rStyle w:val="font-semibold"/>
          <w:rFonts w:ascii="Calibri" w:hAnsi="Calibri" w:cs="Calibri"/>
          <w:color w:val="000000" w:themeColor="text1"/>
        </w:rPr>
        <w:noBreakHyphen/>
        <w:t>standing incentive patterns that favoured a narrow staple regime</w:t>
      </w:r>
      <w:r w:rsidR="00722F99" w:rsidRPr="003847A6">
        <w:rPr>
          <w:rStyle w:val="font-semibold"/>
          <w:rFonts w:ascii="Calibri" w:hAnsi="Calibri" w:cs="Calibri"/>
          <w:color w:val="000000" w:themeColor="text1"/>
        </w:rPr>
        <w:t xml:space="preserve"> of rice and wheat</w:t>
      </w:r>
      <w:r w:rsidR="00BD5401" w:rsidRPr="003847A6">
        <w:rPr>
          <w:rStyle w:val="font-semibold"/>
          <w:rFonts w:ascii="Calibri" w:hAnsi="Calibri" w:cs="Calibri"/>
          <w:color w:val="000000" w:themeColor="text1"/>
        </w:rPr>
        <w:t xml:space="preserve">, </w:t>
      </w:r>
      <w:r w:rsidRPr="003847A6">
        <w:rPr>
          <w:rStyle w:val="font-semibold"/>
          <w:rFonts w:ascii="Calibri" w:hAnsi="Calibri" w:cs="Calibri"/>
          <w:color w:val="000000" w:themeColor="text1"/>
        </w:rPr>
        <w:t xml:space="preserve">while new partnerships and forums built momentum for diversification </w:t>
      </w:r>
      <w:r w:rsidRPr="003847A6">
        <w:rPr>
          <w:rFonts w:ascii="Calibri" w:hAnsi="Calibri" w:cs="Calibri"/>
          <w:color w:val="000000" w:themeColor="text1"/>
          <w:shd w:val="clear" w:color="auto" w:fill="FFFFFF"/>
        </w:rPr>
        <w:fldChar w:fldCharType="begin"/>
      </w:r>
      <w:r w:rsidRPr="003847A6">
        <w:rPr>
          <w:rFonts w:ascii="Calibri" w:hAnsi="Calibri" w:cs="Calibri"/>
          <w:color w:val="000000" w:themeColor="text1"/>
          <w:shd w:val="clear" w:color="auto" w:fill="FFFFFF"/>
        </w:rPr>
        <w:instrText xml:space="preserve"> ADDIN ZOTERO_ITEM CSL_CITATION {"citationID":"KlmxrOa5","properties":{"formattedCitation":"(MSSRF, 2013; Rao, 2015)","plainCitation":"(MSSRF, 2013; Rao, 2015)","noteIndex":0},"citationItems":[{"id":19917,"uris":["http://zotero.org/users/12768557/items/IFJ4LYWV"],"itemData":{"id":19917,"type":"book","abstract":"The book is a conversation based biographical account of one of the most respected agricultural scientists the world has seen---MS Swaminathan, a living legend, responsible for India's green revolution. He is recipient of numerous awards, including the first World Food Prize, and was named one of the 20 most influential Asians of the 20th century by Time magazine. This book consists of two parts, written at different times and with different purposes. They are not sequential, yet belong together. The first tells the story of the life of M.S. Swaminathan, and his dream of securing human dignity through food sovereignty in India, and the second reflects on the implications and nuances of the story. Part two, however, is more reflective in nature, and concerned with issues which had to be confronted in the course of his career. In this part, he reflects on how politics has influenced and shaped the course of agricultural development; and how different ethical stances, often in conflict, have come into play. This is not just a historical account, but equally valid in present times.","ISBN":"978-93-327-0186-1","language":"English","number-of-pages":"228","publisher":"Academic Foundation","publisher-place":"New Delhi","source":"Amazon","title":"Swaminathan in Conversation with Nitya Rao: From Reflections on My Life to the Ethics and Politics of Science","title-short":"Swaminathan in Conversation with Nitya Rao","editor":[{"family":"Rao","given":"Nitya"}],"issued":{"date-parts":[["2015",1,1]]}}},{"id":20844,"uris":["http://zotero.org/users/12768557/items/7UFSMTJL"],"itemData":{"id":20844,"type":"report","publisher":"MSSRF","publisher-place":"Chennai","title":"Twenty-third Annual Report","author":[{"family":"MSSRF","given":""}],"issued":{"date-parts":[["2013"]]}}}],"schema":"https://github.com/citation-style-language/schema/raw/master/csl-citation.json"} </w:instrText>
      </w:r>
      <w:r w:rsidRPr="003847A6">
        <w:rPr>
          <w:rFonts w:ascii="Calibri" w:hAnsi="Calibri" w:cs="Calibri"/>
          <w:color w:val="000000" w:themeColor="text1"/>
          <w:shd w:val="clear" w:color="auto" w:fill="FFFFFF"/>
        </w:rPr>
        <w:fldChar w:fldCharType="separate"/>
      </w:r>
      <w:r w:rsidRPr="003847A6">
        <w:rPr>
          <w:rFonts w:ascii="Calibri" w:hAnsi="Calibri" w:cs="Calibri"/>
          <w:noProof/>
          <w:color w:val="000000" w:themeColor="text1"/>
          <w:shd w:val="clear" w:color="auto" w:fill="FFFFFF"/>
        </w:rPr>
        <w:t>(MSSRF, 2013; Rao, 2015)</w:t>
      </w:r>
      <w:r w:rsidRPr="003847A6">
        <w:rPr>
          <w:rFonts w:ascii="Calibri" w:hAnsi="Calibri" w:cs="Calibri"/>
          <w:color w:val="000000" w:themeColor="text1"/>
          <w:shd w:val="clear" w:color="auto" w:fill="FFFFFF"/>
        </w:rPr>
        <w:fldChar w:fldCharType="end"/>
      </w:r>
      <w:r w:rsidRPr="003847A6">
        <w:rPr>
          <w:rStyle w:val="font-semibold"/>
          <w:rFonts w:ascii="Calibri" w:hAnsi="Calibri" w:cs="Calibri"/>
          <w:color w:val="000000" w:themeColor="text1"/>
        </w:rPr>
        <w:t>.</w:t>
      </w:r>
      <w:r w:rsidRPr="003847A6">
        <w:rPr>
          <w:rFonts w:ascii="Calibri" w:hAnsi="Calibri" w:cs="Calibri"/>
          <w:color w:val="000000" w:themeColor="text1"/>
        </w:rPr>
        <w:t xml:space="preserve"> As a parliamentarian</w:t>
      </w:r>
      <w:r w:rsidR="00ED0E6A" w:rsidRPr="003847A6">
        <w:rPr>
          <w:rFonts w:ascii="Calibri" w:hAnsi="Calibri" w:cs="Calibri"/>
          <w:color w:val="000000" w:themeColor="text1"/>
        </w:rPr>
        <w:t xml:space="preserve"> </w:t>
      </w:r>
      <w:r w:rsidRPr="003847A6">
        <w:rPr>
          <w:rFonts w:ascii="Calibri" w:hAnsi="Calibri" w:cs="Calibri"/>
          <w:color w:val="000000" w:themeColor="text1"/>
        </w:rPr>
        <w:t xml:space="preserve">(2007-2013) </w:t>
      </w:r>
      <w:bookmarkEnd w:id="3"/>
      <w:r w:rsidRPr="003847A6">
        <w:rPr>
          <w:rFonts w:ascii="Calibri" w:hAnsi="Calibri" w:cs="Calibri"/>
          <w:color w:val="000000" w:themeColor="text1"/>
        </w:rPr>
        <w:t>he</w:t>
      </w:r>
      <w:r w:rsidR="00A20356" w:rsidRPr="003847A6">
        <w:rPr>
          <w:rFonts w:ascii="Calibri" w:hAnsi="Calibri" w:cs="Calibri"/>
          <w:color w:val="000000" w:themeColor="text1"/>
          <w:shd w:val="clear" w:color="auto" w:fill="FFFFFF"/>
        </w:rPr>
        <w:t xml:space="preserve"> champion</w:t>
      </w:r>
      <w:r w:rsidRPr="003847A6">
        <w:rPr>
          <w:rFonts w:ascii="Calibri" w:hAnsi="Calibri" w:cs="Calibri"/>
          <w:color w:val="000000" w:themeColor="text1"/>
          <w:shd w:val="clear" w:color="auto" w:fill="FFFFFF"/>
        </w:rPr>
        <w:t xml:space="preserve">ed </w:t>
      </w:r>
      <w:r w:rsidR="00A20356" w:rsidRPr="003847A6">
        <w:rPr>
          <w:rFonts w:ascii="Calibri" w:hAnsi="Calibri" w:cs="Calibri"/>
          <w:color w:val="000000" w:themeColor="text1"/>
          <w:shd w:val="clear" w:color="auto" w:fill="FFFFFF"/>
        </w:rPr>
        <w:t xml:space="preserve">millets, that he labelled “climate smart nutri-cereals” as early as 2011 </w:t>
      </w:r>
      <w:r w:rsidR="00592ECF" w:rsidRPr="003847A6">
        <w:rPr>
          <w:rFonts w:ascii="Calibri" w:hAnsi="Calibri" w:cs="Calibri"/>
          <w:color w:val="000000" w:themeColor="text1"/>
          <w:shd w:val="clear" w:color="auto" w:fill="FFFFFF"/>
        </w:rPr>
        <w:fldChar w:fldCharType="begin"/>
      </w:r>
      <w:r w:rsidR="00592ECF" w:rsidRPr="003847A6">
        <w:rPr>
          <w:rFonts w:ascii="Calibri" w:hAnsi="Calibri" w:cs="Calibri"/>
          <w:color w:val="000000" w:themeColor="text1"/>
          <w:shd w:val="clear" w:color="auto" w:fill="FFFFFF"/>
        </w:rPr>
        <w:instrText xml:space="preserve"> ADDIN ZOTERO_ITEM CSL_CITATION {"citationID":"6u8tg7dT","properties":{"formattedCitation":"(Times of India, 2011)","plainCitation":"(Times of India, 2011)","noteIndex":0},"citationItems":[{"id":19040,"uris":["http://zotero.org/users/12768557/items/BAL7C9C6"],"itemData":{"id":19040,"type":"article-newspaper","abstract":"Eminent scientist M S Swaminathan has said the new National Food Security Act should include a provision for distribution of millets through the publi","container-title":"The Times of India","ISSN":"0971-8257","source":"The Economic Times - The Times of India","title":"Food security act should have provision for distribution of millets: MS Swaminathan","title-short":"Food security act should have provision for distribution of millets","URL":"https://timesofindia.indiatimes.com/city/chennai/food-security-act-should-have-provision-for-distribution-of-millets-ms-swaminathan/articleshow/7225604.cms","author":[{"family":"Times of India","given":""}],"accessed":{"date-parts":[["2025",3,5]]},"issued":{"date-parts":[["2011",1,6]]}}}],"schema":"https://github.com/citation-style-language/schema/raw/master/csl-citation.json"} </w:instrText>
      </w:r>
      <w:r w:rsidR="00592ECF" w:rsidRPr="003847A6">
        <w:rPr>
          <w:rFonts w:ascii="Calibri" w:hAnsi="Calibri" w:cs="Calibri"/>
          <w:color w:val="000000" w:themeColor="text1"/>
          <w:shd w:val="clear" w:color="auto" w:fill="FFFFFF"/>
        </w:rPr>
        <w:fldChar w:fldCharType="separate"/>
      </w:r>
      <w:r w:rsidR="00592ECF" w:rsidRPr="003847A6">
        <w:rPr>
          <w:rFonts w:ascii="Calibri" w:hAnsi="Calibri" w:cs="Calibri"/>
          <w:noProof/>
          <w:color w:val="000000" w:themeColor="text1"/>
          <w:shd w:val="clear" w:color="auto" w:fill="FFFFFF"/>
        </w:rPr>
        <w:t>(Times of India, 2011)</w:t>
      </w:r>
      <w:r w:rsidR="00592ECF" w:rsidRPr="003847A6">
        <w:rPr>
          <w:rFonts w:ascii="Calibri" w:hAnsi="Calibri" w:cs="Calibri"/>
          <w:color w:val="000000" w:themeColor="text1"/>
          <w:shd w:val="clear" w:color="auto" w:fill="FFFFFF"/>
        </w:rPr>
        <w:fldChar w:fldCharType="end"/>
      </w:r>
      <w:r w:rsidR="00592ECF" w:rsidRPr="003847A6">
        <w:rPr>
          <w:rFonts w:ascii="Calibri" w:hAnsi="Calibri" w:cs="Calibri"/>
          <w:color w:val="000000" w:themeColor="text1"/>
          <w:shd w:val="clear" w:color="auto" w:fill="FFFFFF"/>
        </w:rPr>
        <w:t>.</w:t>
      </w:r>
      <w:r w:rsidR="00A20356" w:rsidRPr="003847A6">
        <w:rPr>
          <w:rFonts w:ascii="Calibri" w:hAnsi="Calibri" w:cs="Calibri"/>
          <w:color w:val="000000" w:themeColor="text1"/>
          <w:shd w:val="clear" w:color="auto" w:fill="FFFFFF"/>
        </w:rPr>
        <w:t xml:space="preserve"> He </w:t>
      </w:r>
      <w:r w:rsidRPr="003847A6">
        <w:rPr>
          <w:rFonts w:ascii="Calibri" w:hAnsi="Calibri" w:cs="Calibri"/>
          <w:color w:val="000000" w:themeColor="text1"/>
          <w:shd w:val="clear" w:color="auto" w:fill="FFFFFF"/>
        </w:rPr>
        <w:t>promoted</w:t>
      </w:r>
      <w:r w:rsidR="00A20356" w:rsidRPr="003847A6">
        <w:rPr>
          <w:rFonts w:ascii="Calibri" w:hAnsi="Calibri" w:cs="Calibri"/>
          <w:color w:val="000000" w:themeColor="text1"/>
          <w:shd w:val="clear" w:color="auto" w:fill="FFFFFF"/>
        </w:rPr>
        <w:t xml:space="preserve"> their inclusion in the National Food Security Act</w:t>
      </w:r>
      <w:r w:rsidR="00C36C70" w:rsidRPr="003847A6">
        <w:rPr>
          <w:rFonts w:ascii="Calibri" w:hAnsi="Calibri" w:cs="Calibri"/>
          <w:color w:val="000000" w:themeColor="text1"/>
          <w:shd w:val="clear" w:color="auto" w:fill="FFFFFF"/>
        </w:rPr>
        <w:t xml:space="preserve"> (2013)</w:t>
      </w:r>
      <w:r w:rsidR="00A20356" w:rsidRPr="003847A6">
        <w:rPr>
          <w:rFonts w:ascii="Calibri" w:hAnsi="Calibri" w:cs="Calibri"/>
          <w:color w:val="000000" w:themeColor="text1"/>
          <w:shd w:val="clear" w:color="auto" w:fill="FFFFFF"/>
        </w:rPr>
        <w:t xml:space="preserve">, which later resulted in a </w:t>
      </w:r>
      <w:r w:rsidR="007054EC" w:rsidRPr="003847A6">
        <w:rPr>
          <w:rFonts w:ascii="Calibri" w:hAnsi="Calibri" w:cs="Calibri"/>
          <w:color w:val="000000" w:themeColor="text1"/>
          <w:shd w:val="clear" w:color="auto" w:fill="FFFFFF"/>
        </w:rPr>
        <w:t>specific recommendation</w:t>
      </w:r>
      <w:r w:rsidR="00A20356" w:rsidRPr="003847A6">
        <w:rPr>
          <w:rFonts w:ascii="Calibri" w:hAnsi="Calibri" w:cs="Calibri"/>
          <w:color w:val="000000" w:themeColor="text1"/>
          <w:shd w:val="clear" w:color="auto" w:fill="FFFFFF"/>
        </w:rPr>
        <w:t xml:space="preserve"> for the inclusion of millets</w:t>
      </w:r>
      <w:r w:rsidR="00DA60A0" w:rsidRPr="003847A6">
        <w:rPr>
          <w:rFonts w:ascii="Calibri" w:hAnsi="Calibri" w:cs="Calibri"/>
          <w:color w:val="000000" w:themeColor="text1"/>
          <w:shd w:val="clear" w:color="auto" w:fill="FFFFFF"/>
        </w:rPr>
        <w:t xml:space="preserve"> in</w:t>
      </w:r>
      <w:r w:rsidR="00A20356" w:rsidRPr="003847A6">
        <w:rPr>
          <w:rFonts w:ascii="Calibri" w:hAnsi="Calibri" w:cs="Calibri"/>
          <w:color w:val="000000" w:themeColor="text1"/>
          <w:shd w:val="clear" w:color="auto" w:fill="FFFFFF"/>
        </w:rPr>
        <w:t xml:space="preserve"> the Public Distribution System</w:t>
      </w:r>
      <w:r w:rsidR="006F1099" w:rsidRPr="003847A6">
        <w:rPr>
          <w:rFonts w:ascii="Calibri" w:hAnsi="Calibri" w:cs="Calibri"/>
          <w:color w:val="000000" w:themeColor="text1"/>
          <w:shd w:val="clear" w:color="auto" w:fill="FFFFFF"/>
        </w:rPr>
        <w:t xml:space="preserve">, the </w:t>
      </w:r>
      <w:r w:rsidR="006F1099" w:rsidRPr="003847A6">
        <w:rPr>
          <w:rFonts w:ascii="Calibri" w:hAnsi="Calibri" w:cs="Calibri"/>
          <w:color w:val="000000" w:themeColor="text1"/>
        </w:rPr>
        <w:t>Indian government-run food subsidy programme that provides essential grains to low-income households at subsidised prices</w:t>
      </w:r>
      <w:r w:rsidR="00ED0E6A" w:rsidRPr="003847A6">
        <w:rPr>
          <w:rFonts w:ascii="Calibri" w:hAnsi="Calibri" w:cs="Calibri"/>
          <w:color w:val="000000" w:themeColor="text1"/>
        </w:rPr>
        <w:t xml:space="preserve"> </w:t>
      </w:r>
      <w:r w:rsidR="00ED0E6A" w:rsidRPr="003847A6">
        <w:rPr>
          <w:rFonts w:ascii="Calibri" w:hAnsi="Calibri" w:cs="Calibri"/>
          <w:color w:val="000000" w:themeColor="text1"/>
        </w:rPr>
        <w:fldChar w:fldCharType="begin"/>
      </w:r>
      <w:r w:rsidR="00AD2E2F" w:rsidRPr="003847A6">
        <w:rPr>
          <w:rFonts w:ascii="Calibri" w:hAnsi="Calibri" w:cs="Calibri"/>
          <w:color w:val="000000" w:themeColor="text1"/>
        </w:rPr>
        <w:instrText xml:space="preserve"> ADDIN ZOTERO_ITEM CSL_CITATION {"citationID":"THc4Rg3M","properties":{"formattedCitation":"(MSSRF, 2017)","plainCitation":"(MSSRF, 2017)","noteIndex":0},"citationItems":[{"id":20842,"uris":["http://zotero.org/users/12768557/items/UKCHGSZB"],"itemData":{"id":20842,"type":"report","publisher":"MSSRF","publisher-place":"Chennai","title":"Farming System for Nutrition","author":[{"family":"MSSRF","given":""}],"issued":{"date-parts":[["2017"]]}}}],"schema":"https://github.com/citation-style-language/schema/raw/master/csl-citation.json"} </w:instrText>
      </w:r>
      <w:r w:rsidR="00ED0E6A" w:rsidRPr="003847A6">
        <w:rPr>
          <w:rFonts w:ascii="Calibri" w:hAnsi="Calibri" w:cs="Calibri"/>
          <w:color w:val="000000" w:themeColor="text1"/>
        </w:rPr>
        <w:fldChar w:fldCharType="separate"/>
      </w:r>
      <w:r w:rsidR="00ED0E6A" w:rsidRPr="003847A6">
        <w:rPr>
          <w:rFonts w:ascii="Calibri" w:hAnsi="Calibri" w:cs="Calibri"/>
          <w:noProof/>
          <w:color w:val="000000" w:themeColor="text1"/>
        </w:rPr>
        <w:t>(MSSRF, 2017)</w:t>
      </w:r>
      <w:r w:rsidR="00ED0E6A" w:rsidRPr="003847A6">
        <w:rPr>
          <w:rFonts w:ascii="Calibri" w:hAnsi="Calibri" w:cs="Calibri"/>
          <w:color w:val="000000" w:themeColor="text1"/>
        </w:rPr>
        <w:fldChar w:fldCharType="end"/>
      </w:r>
      <w:r w:rsidR="006F1099" w:rsidRPr="003847A6">
        <w:rPr>
          <w:rFonts w:ascii="Calibri" w:hAnsi="Calibri" w:cs="Calibri"/>
          <w:color w:val="000000" w:themeColor="text1"/>
        </w:rPr>
        <w:t>.</w:t>
      </w:r>
      <w:r w:rsidR="006F1099" w:rsidRPr="003847A6">
        <w:rPr>
          <w:rFonts w:ascii="Calibri" w:hAnsi="Calibri" w:cs="Calibri"/>
          <w:color w:val="000000" w:themeColor="text1"/>
          <w:shd w:val="clear" w:color="auto" w:fill="FFFFFF"/>
        </w:rPr>
        <w:t xml:space="preserve"> </w:t>
      </w:r>
      <w:r w:rsidR="003F15AD" w:rsidRPr="003847A6">
        <w:rPr>
          <w:rFonts w:ascii="Calibri" w:hAnsi="Calibri" w:cs="Calibri"/>
          <w:color w:val="000000" w:themeColor="text1"/>
        </w:rPr>
        <w:t xml:space="preserve">This advocacy </w:t>
      </w:r>
      <w:r w:rsidRPr="003847A6">
        <w:rPr>
          <w:rFonts w:ascii="Calibri" w:hAnsi="Calibri" w:cs="Calibri"/>
          <w:color w:val="000000" w:themeColor="text1"/>
        </w:rPr>
        <w:t>opened an</w:t>
      </w:r>
      <w:r w:rsidR="003F15AD" w:rsidRPr="003847A6">
        <w:rPr>
          <w:rFonts w:ascii="Calibri" w:hAnsi="Calibri" w:cs="Calibri"/>
          <w:color w:val="000000" w:themeColor="text1"/>
        </w:rPr>
        <w:t xml:space="preserve"> institutional space within national food policy that had historically been dominated by a narrow focus on rice and wheat</w:t>
      </w:r>
      <w:r w:rsidR="00912B85" w:rsidRPr="003847A6">
        <w:rPr>
          <w:rFonts w:ascii="Calibri" w:hAnsi="Calibri" w:cs="Calibri"/>
          <w:color w:val="000000" w:themeColor="text1"/>
        </w:rPr>
        <w:t xml:space="preserve"> </w:t>
      </w:r>
      <w:r w:rsidR="00912B85" w:rsidRPr="003847A6">
        <w:rPr>
          <w:rFonts w:ascii="Calibri" w:hAnsi="Calibri" w:cs="Calibri"/>
          <w:color w:val="000000" w:themeColor="text1"/>
        </w:rPr>
        <w:fldChar w:fldCharType="begin"/>
      </w:r>
      <w:r w:rsidR="00912B85" w:rsidRPr="003847A6">
        <w:rPr>
          <w:rFonts w:ascii="Calibri" w:hAnsi="Calibri" w:cs="Calibri"/>
          <w:color w:val="000000" w:themeColor="text1"/>
        </w:rPr>
        <w:instrText xml:space="preserve"> ADDIN ZOTERO_ITEM CSL_CITATION {"citationID":"kk4zmjXR","properties":{"unsorted":false,"formattedCitation":"(Mooij, 1998)","plainCitation":"(Mooij, 1998)","noteIndex":0},"citationItems":[{"id":22205,"uris":["http://zotero.org/users/12768557/items/CLSSIDL7"],"itemData":{"id":22205,"type":"article-journal","abstract":"This article discusses the history and political economy of the Public Distribution System (PDS) in India. This food distribution programme, which dates from 1939, is meant to increase food security both at the national and the household level. Since its emergence, it has passed through several phases, the latest one starting in 1991 when India introduced a Structural Adjustment Programme. From a social constructivist perspective, this article aims at understanding (a) the most important features of this system in the various phases of its history, (b) the social processes that led to the emergence and subsequent development of distribution policy and (c) the various functions PDS has served in the course of its history. It concludes that in the most recent era, there are two contradictory tendencies (one coming from economic rationalisation, the other from populist politics) which push and pull the PDS in different directions. The latter tendency is so strong that a drastic curtailment of the food distribution programme is unlikely, despite the pleas made by those favouring cutting down subsidies and reducing the responsibility of the state.","container-title":"The Journal of Peasant Studies","DOI":"10.1080/03066159808438667","ISSN":"0306-6150","issue":"2","note":"_eprint: https://doi.org/10.1080/03066159808438667","page":"77-101","publisher":"Routledge","source":"Taylor and Francis+NEJM","title":"Food policy and politics: The political economy of the public distribution system in India","title-short":"Food policy and politics","volume":"25","author":[{"family":"Mooij","given":"Jos"}],"issued":{"date-parts":[["1998",1,1]]}}}],"schema":"https://github.com/citation-style-language/schema/raw/master/csl-citation.json"} </w:instrText>
      </w:r>
      <w:r w:rsidR="00912B85" w:rsidRPr="003847A6">
        <w:rPr>
          <w:rFonts w:ascii="Calibri" w:hAnsi="Calibri" w:cs="Calibri"/>
          <w:color w:val="000000" w:themeColor="text1"/>
        </w:rPr>
        <w:fldChar w:fldCharType="separate"/>
      </w:r>
      <w:r w:rsidR="00912B85" w:rsidRPr="003847A6">
        <w:rPr>
          <w:rFonts w:ascii="Calibri" w:hAnsi="Calibri" w:cs="Calibri"/>
          <w:noProof/>
          <w:color w:val="000000" w:themeColor="text1"/>
        </w:rPr>
        <w:t>(Mooij, 1998)</w:t>
      </w:r>
      <w:r w:rsidR="00912B85" w:rsidRPr="003847A6">
        <w:rPr>
          <w:rFonts w:ascii="Calibri" w:hAnsi="Calibri" w:cs="Calibri"/>
          <w:color w:val="000000" w:themeColor="text1"/>
        </w:rPr>
        <w:fldChar w:fldCharType="end"/>
      </w:r>
      <w:r w:rsidRPr="003847A6">
        <w:rPr>
          <w:rFonts w:ascii="Calibri" w:hAnsi="Calibri" w:cs="Calibri"/>
          <w:color w:val="000000" w:themeColor="text1"/>
        </w:rPr>
        <w:t xml:space="preserve">, and </w:t>
      </w:r>
      <w:r w:rsidR="00A20356" w:rsidRPr="003847A6">
        <w:rPr>
          <w:rFonts w:ascii="Calibri" w:hAnsi="Calibri" w:cs="Calibri"/>
          <w:color w:val="000000" w:themeColor="text1"/>
          <w:shd w:val="clear" w:color="auto" w:fill="FFFFFF"/>
        </w:rPr>
        <w:t>came into fruition a few years later</w:t>
      </w:r>
      <w:r w:rsidR="006F1099" w:rsidRPr="003847A6">
        <w:rPr>
          <w:rFonts w:ascii="Calibri" w:hAnsi="Calibri" w:cs="Calibri"/>
          <w:color w:val="000000" w:themeColor="text1"/>
          <w:shd w:val="clear" w:color="auto" w:fill="FFFFFF"/>
        </w:rPr>
        <w:t xml:space="preserve"> (</w:t>
      </w:r>
      <w:r w:rsidR="00A20356" w:rsidRPr="003847A6">
        <w:rPr>
          <w:rFonts w:ascii="Calibri" w:hAnsi="Calibri" w:cs="Calibri"/>
          <w:color w:val="000000" w:themeColor="text1"/>
          <w:shd w:val="clear" w:color="auto" w:fill="FFFFFF"/>
        </w:rPr>
        <w:t xml:space="preserve">see next </w:t>
      </w:r>
      <w:r w:rsidR="00B15A5A" w:rsidRPr="003847A6">
        <w:rPr>
          <w:rFonts w:ascii="Calibri" w:hAnsi="Calibri" w:cs="Calibri"/>
          <w:color w:val="000000" w:themeColor="text1"/>
          <w:shd w:val="clear" w:color="auto" w:fill="FFFFFF"/>
        </w:rPr>
        <w:t>phase</w:t>
      </w:r>
      <w:r w:rsidR="00A20356" w:rsidRPr="003847A6">
        <w:rPr>
          <w:rFonts w:ascii="Calibri" w:hAnsi="Calibri" w:cs="Calibri"/>
          <w:color w:val="000000" w:themeColor="text1"/>
          <w:shd w:val="clear" w:color="auto" w:fill="FFFFFF"/>
        </w:rPr>
        <w:t xml:space="preserve">) </w:t>
      </w:r>
      <w:r w:rsidR="00592ECF" w:rsidRPr="003847A6">
        <w:rPr>
          <w:rFonts w:ascii="Calibri" w:hAnsi="Calibri" w:cs="Calibri"/>
          <w:color w:val="000000" w:themeColor="text1"/>
          <w:shd w:val="clear" w:color="auto" w:fill="FFFFFF"/>
        </w:rPr>
        <w:fldChar w:fldCharType="begin"/>
      </w:r>
      <w:r w:rsidR="00AD2E2F" w:rsidRPr="003847A6">
        <w:rPr>
          <w:rFonts w:ascii="Calibri" w:hAnsi="Calibri" w:cs="Calibri"/>
          <w:color w:val="000000" w:themeColor="text1"/>
          <w:shd w:val="clear" w:color="auto" w:fill="FFFFFF"/>
        </w:rPr>
        <w:instrText xml:space="preserve"> ADDIN ZOTERO_ITEM CSL_CITATION {"citationID":"yLaLYZ3I","properties":{"formattedCitation":"(MSSRF, 2016, 2015)","plainCitation":"(MSSRF, 2016, 2015)","noteIndex":0},"citationItems":[{"id":19042,"uris":["http://zotero.org/users/12768557/items/9CEUUPJ6"],"itemData":{"id":19042,"type":"article-magazine","title":"Implementing the Food Security Act: Prof M S Swaminathan |","URL":"https://www.mssrf.org/small-news/implementing-the-food-security-act-prof-m-s-swaminathan/","author":[{"family":"MSSRF","given":""}],"accessed":{"date-parts":[["2025",3,5]]},"issued":{"date-parts":[["2016"]]}}},{"id":20345,"uris":["http://zotero.org/users/12768557/items/88QTJ5DI"],"itemData":{"id":20345,"type":"report","publisher":"MSSRF","publisher-place":"Chennai","title":"Harnessing Science for Sustainable Development","URL":"http://59.160.153.188/library/sites/default/files/MSSRF%2025%20Years%20Case%20Study.compressed%20%281%29_1.pdf","author":[{"family":"MSSRF","given":""}],"issued":{"date-parts":[["2015"]]}}}],"schema":"https://github.com/citation-style-language/schema/raw/master/csl-citation.json"} </w:instrText>
      </w:r>
      <w:r w:rsidR="00592ECF" w:rsidRPr="003847A6">
        <w:rPr>
          <w:rFonts w:ascii="Calibri" w:hAnsi="Calibri" w:cs="Calibri"/>
          <w:color w:val="000000" w:themeColor="text1"/>
          <w:shd w:val="clear" w:color="auto" w:fill="FFFFFF"/>
        </w:rPr>
        <w:fldChar w:fldCharType="separate"/>
      </w:r>
      <w:r w:rsidR="00592ECF" w:rsidRPr="003847A6">
        <w:rPr>
          <w:rFonts w:ascii="Calibri" w:hAnsi="Calibri" w:cs="Calibri"/>
          <w:noProof/>
          <w:color w:val="000000" w:themeColor="text1"/>
          <w:shd w:val="clear" w:color="auto" w:fill="FFFFFF"/>
        </w:rPr>
        <w:t>(MSSRF, 2016, 2015)</w:t>
      </w:r>
      <w:r w:rsidR="00592ECF" w:rsidRPr="003847A6">
        <w:rPr>
          <w:rFonts w:ascii="Calibri" w:hAnsi="Calibri" w:cs="Calibri"/>
          <w:color w:val="000000" w:themeColor="text1"/>
          <w:shd w:val="clear" w:color="auto" w:fill="FFFFFF"/>
        </w:rPr>
        <w:fldChar w:fldCharType="end"/>
      </w:r>
      <w:r w:rsidR="00A20356" w:rsidRPr="003847A6">
        <w:rPr>
          <w:rFonts w:ascii="Calibri" w:hAnsi="Calibri" w:cs="Calibri"/>
          <w:color w:val="000000" w:themeColor="text1"/>
          <w:shd w:val="clear" w:color="auto" w:fill="FFFFFF"/>
        </w:rPr>
        <w:t>.</w:t>
      </w:r>
      <w:r w:rsidR="00487C52" w:rsidRPr="003847A6">
        <w:rPr>
          <w:rFonts w:ascii="Calibri" w:hAnsi="Calibri" w:cs="Calibri"/>
          <w:color w:val="000000" w:themeColor="text1"/>
          <w:shd w:val="clear" w:color="auto" w:fill="FFFFFF"/>
        </w:rPr>
        <w:t xml:space="preserve"> </w:t>
      </w:r>
      <w:bookmarkStart w:id="4" w:name="_Hlk218928511"/>
    </w:p>
    <w:p w14:paraId="06C11FD3" w14:textId="51553416" w:rsidR="00A20356" w:rsidRPr="003847A6" w:rsidRDefault="00487C52" w:rsidP="003847A6">
      <w:pPr>
        <w:pStyle w:val="NormalWeb"/>
        <w:spacing w:line="276" w:lineRule="auto"/>
        <w:jc w:val="both"/>
        <w:rPr>
          <w:rFonts w:ascii="Calibri" w:hAnsi="Calibri" w:cs="Calibri"/>
          <w:color w:val="000000" w:themeColor="text1"/>
        </w:rPr>
      </w:pPr>
      <w:r w:rsidRPr="003847A6">
        <w:rPr>
          <w:rFonts w:ascii="Calibri" w:hAnsi="Calibri" w:cs="Calibri"/>
          <w:color w:val="000000" w:themeColor="text1"/>
          <w:shd w:val="clear" w:color="auto" w:fill="FFFFFF"/>
        </w:rPr>
        <w:t xml:space="preserve">These efforts </w:t>
      </w:r>
      <w:r w:rsidR="00C62F3A" w:rsidRPr="003847A6">
        <w:rPr>
          <w:rFonts w:ascii="Calibri" w:hAnsi="Calibri" w:cs="Calibri"/>
          <w:color w:val="000000" w:themeColor="text1"/>
          <w:shd w:val="clear" w:color="auto" w:fill="FFFFFF"/>
        </w:rPr>
        <w:t xml:space="preserve">positioned MSSRF as an intermediary organisation, linking community interests and preferences </w:t>
      </w:r>
      <w:r w:rsidRPr="003847A6">
        <w:rPr>
          <w:rFonts w:ascii="Calibri" w:hAnsi="Calibri" w:cs="Calibri"/>
          <w:color w:val="000000" w:themeColor="text1"/>
          <w:shd w:val="clear" w:color="auto" w:fill="FFFFFF"/>
        </w:rPr>
        <w:t>to</w:t>
      </w:r>
      <w:r w:rsidR="00C62F3A" w:rsidRPr="003847A6">
        <w:rPr>
          <w:rFonts w:ascii="Calibri" w:hAnsi="Calibri" w:cs="Calibri"/>
          <w:color w:val="000000" w:themeColor="text1"/>
          <w:shd w:val="clear" w:color="auto" w:fill="FFFFFF"/>
        </w:rPr>
        <w:t xml:space="preserve"> broader political debates and priorities</w:t>
      </w:r>
      <w:r w:rsidR="003F15AD" w:rsidRPr="003847A6">
        <w:rPr>
          <w:rFonts w:ascii="Calibri" w:hAnsi="Calibri" w:cs="Calibri"/>
          <w:color w:val="000000" w:themeColor="text1"/>
          <w:shd w:val="clear" w:color="auto" w:fill="FFFFFF"/>
        </w:rPr>
        <w:t xml:space="preserve">, and </w:t>
      </w:r>
      <w:r w:rsidR="00880532" w:rsidRPr="003847A6">
        <w:rPr>
          <w:rFonts w:ascii="Calibri" w:hAnsi="Calibri" w:cs="Calibri"/>
          <w:color w:val="000000" w:themeColor="text1"/>
          <w:shd w:val="clear" w:color="auto" w:fill="FFFFFF"/>
        </w:rPr>
        <w:t>was fundamental</w:t>
      </w:r>
      <w:r w:rsidR="00ED0E6A" w:rsidRPr="003847A6">
        <w:rPr>
          <w:rFonts w:ascii="Calibri" w:hAnsi="Calibri" w:cs="Calibri"/>
          <w:color w:val="000000" w:themeColor="text1"/>
          <w:shd w:val="clear" w:color="auto" w:fill="FFFFFF"/>
        </w:rPr>
        <w:t xml:space="preserve"> </w:t>
      </w:r>
      <w:r w:rsidR="00722F99" w:rsidRPr="003847A6">
        <w:rPr>
          <w:rFonts w:ascii="Calibri" w:hAnsi="Calibri" w:cs="Calibri"/>
          <w:color w:val="000000" w:themeColor="text1"/>
          <w:shd w:val="clear" w:color="auto" w:fill="FFFFFF"/>
        </w:rPr>
        <w:t xml:space="preserve">in </w:t>
      </w:r>
      <w:r w:rsidR="00ED0E6A" w:rsidRPr="003847A6">
        <w:rPr>
          <w:rFonts w:ascii="Calibri" w:hAnsi="Calibri" w:cs="Calibri"/>
          <w:color w:val="000000" w:themeColor="text1"/>
          <w:shd w:val="clear" w:color="auto" w:fill="FFFFFF"/>
        </w:rPr>
        <w:t>start</w:t>
      </w:r>
      <w:r w:rsidR="00722F99" w:rsidRPr="003847A6">
        <w:rPr>
          <w:rFonts w:ascii="Calibri" w:hAnsi="Calibri" w:cs="Calibri"/>
          <w:color w:val="000000" w:themeColor="text1"/>
          <w:shd w:val="clear" w:color="auto" w:fill="FFFFFF"/>
        </w:rPr>
        <w:t xml:space="preserve">ing </w:t>
      </w:r>
      <w:r w:rsidR="00722F99" w:rsidRPr="003847A6">
        <w:rPr>
          <w:rFonts w:ascii="Calibri" w:hAnsi="Calibri" w:cs="Calibri"/>
          <w:color w:val="000000" w:themeColor="text1"/>
          <w:shd w:val="clear" w:color="auto" w:fill="FFFFFF"/>
        </w:rPr>
        <w:lastRenderedPageBreak/>
        <w:t>to</w:t>
      </w:r>
      <w:r w:rsidR="00ED0E6A" w:rsidRPr="003847A6">
        <w:rPr>
          <w:rFonts w:ascii="Calibri" w:hAnsi="Calibri" w:cs="Calibri"/>
          <w:color w:val="000000" w:themeColor="text1"/>
          <w:shd w:val="clear" w:color="auto" w:fill="FFFFFF"/>
        </w:rPr>
        <w:t xml:space="preserve"> shift both international and national perceptions around millets, signalling their nutritional, environmental and cultural value.  </w:t>
      </w:r>
      <w:bookmarkEnd w:id="4"/>
    </w:p>
    <w:p w14:paraId="0B11DA72" w14:textId="0F07CF90" w:rsidR="002969ED" w:rsidRPr="003847A6" w:rsidRDefault="00A20356" w:rsidP="003847A6">
      <w:pPr>
        <w:pStyle w:val="NormalWeb"/>
        <w:numPr>
          <w:ilvl w:val="0"/>
          <w:numId w:val="15"/>
        </w:numPr>
        <w:spacing w:before="240" w:beforeAutospacing="0" w:after="240" w:afterAutospacing="0" w:line="276" w:lineRule="auto"/>
        <w:jc w:val="both"/>
        <w:rPr>
          <w:rStyle w:val="Emphasis"/>
          <w:rFonts w:ascii="Calibri" w:eastAsiaTheme="minorHAnsi" w:hAnsi="Calibri" w:cs="Calibri"/>
          <w:i w:val="0"/>
          <w:iCs w:val="0"/>
          <w:color w:val="000000" w:themeColor="text1"/>
          <w:lang w:eastAsia="en-US"/>
        </w:rPr>
      </w:pPr>
      <w:r w:rsidRPr="003847A6">
        <w:rPr>
          <w:rFonts w:ascii="Calibri" w:hAnsi="Calibri" w:cs="Calibri"/>
          <w:i/>
          <w:iCs/>
          <w:color w:val="000000" w:themeColor="text1"/>
          <w:shd w:val="clear" w:color="auto" w:fill="FFFFFF"/>
        </w:rPr>
        <w:t>Phase III: 201</w:t>
      </w:r>
      <w:r w:rsidR="00875A65" w:rsidRPr="003847A6">
        <w:rPr>
          <w:rFonts w:ascii="Calibri" w:hAnsi="Calibri" w:cs="Calibri"/>
          <w:i/>
          <w:iCs/>
          <w:color w:val="000000" w:themeColor="text1"/>
          <w:shd w:val="clear" w:color="auto" w:fill="FFFFFF"/>
        </w:rPr>
        <w:t>7</w:t>
      </w:r>
      <w:r w:rsidRPr="003847A6">
        <w:rPr>
          <w:rFonts w:ascii="Calibri" w:hAnsi="Calibri" w:cs="Calibri"/>
          <w:i/>
          <w:iCs/>
          <w:color w:val="000000" w:themeColor="text1"/>
          <w:shd w:val="clear" w:color="auto" w:fill="FFFFFF"/>
        </w:rPr>
        <w:t xml:space="preserve">–2025 </w:t>
      </w:r>
      <w:r w:rsidR="00172F4A" w:rsidRPr="003847A6">
        <w:rPr>
          <w:rFonts w:ascii="Calibri" w:hAnsi="Calibri" w:cs="Calibri"/>
          <w:i/>
          <w:iCs/>
          <w:color w:val="000000" w:themeColor="text1"/>
          <w:shd w:val="clear" w:color="auto" w:fill="FFFFFF"/>
        </w:rPr>
        <w:t xml:space="preserve">– Value shift towards </w:t>
      </w:r>
      <w:r w:rsidR="00F50D88" w:rsidRPr="003847A6">
        <w:rPr>
          <w:rFonts w:ascii="Calibri" w:hAnsi="Calibri" w:cs="Calibri"/>
          <w:i/>
          <w:iCs/>
          <w:color w:val="000000" w:themeColor="text1"/>
          <w:shd w:val="clear" w:color="auto" w:fill="FFFFFF"/>
        </w:rPr>
        <w:t>Millet</w:t>
      </w:r>
      <w:r w:rsidR="00172F4A" w:rsidRPr="003847A6">
        <w:rPr>
          <w:rFonts w:ascii="Calibri" w:hAnsi="Calibri" w:cs="Calibri"/>
          <w:i/>
          <w:iCs/>
          <w:color w:val="000000" w:themeColor="text1"/>
          <w:shd w:val="clear" w:color="auto" w:fill="FFFFFF"/>
        </w:rPr>
        <w:t xml:space="preserve"> through i</w:t>
      </w:r>
      <w:r w:rsidRPr="003847A6">
        <w:rPr>
          <w:rFonts w:ascii="Calibri" w:hAnsi="Calibri" w:cs="Calibri"/>
          <w:i/>
          <w:iCs/>
          <w:color w:val="000000" w:themeColor="text1"/>
          <w:shd w:val="clear" w:color="auto" w:fill="FFFFFF"/>
        </w:rPr>
        <w:t>nstitutional anchoring</w:t>
      </w:r>
      <w:r w:rsidR="00172F4A" w:rsidRPr="003847A6">
        <w:rPr>
          <w:rFonts w:ascii="Calibri" w:hAnsi="Calibri" w:cs="Calibri"/>
          <w:i/>
          <w:iCs/>
          <w:color w:val="000000" w:themeColor="text1"/>
          <w:shd w:val="clear" w:color="auto" w:fill="FFFFFF"/>
        </w:rPr>
        <w:t xml:space="preserve"> and </w:t>
      </w:r>
      <w:r w:rsidRPr="003847A6">
        <w:rPr>
          <w:rFonts w:ascii="Calibri" w:hAnsi="Calibri" w:cs="Calibri"/>
          <w:i/>
          <w:iCs/>
          <w:color w:val="000000" w:themeColor="text1"/>
          <w:shd w:val="clear" w:color="auto" w:fill="FFFFFF"/>
        </w:rPr>
        <w:t>state-wide</w:t>
      </w:r>
      <w:r w:rsidR="00172F4A" w:rsidRPr="003847A6">
        <w:rPr>
          <w:rFonts w:ascii="Calibri" w:hAnsi="Calibri" w:cs="Calibri"/>
          <w:i/>
          <w:iCs/>
          <w:color w:val="000000" w:themeColor="text1"/>
          <w:shd w:val="clear" w:color="auto" w:fill="FFFFFF"/>
        </w:rPr>
        <w:t xml:space="preserve"> promotion</w:t>
      </w:r>
    </w:p>
    <w:p w14:paraId="009EE0BE" w14:textId="40F105D2" w:rsidR="002969ED" w:rsidRPr="003847A6" w:rsidRDefault="002969ED" w:rsidP="003847A6">
      <w:pPr>
        <w:rPr>
          <w:color w:val="000000" w:themeColor="text1"/>
        </w:rPr>
      </w:pPr>
      <w:r w:rsidRPr="003847A6">
        <w:rPr>
          <w:color w:val="000000" w:themeColor="text1"/>
        </w:rPr>
        <w:t>By the mid</w:t>
      </w:r>
      <w:r w:rsidRPr="003847A6">
        <w:rPr>
          <w:color w:val="000000" w:themeColor="text1"/>
        </w:rPr>
        <w:noBreakHyphen/>
        <w:t>2010s, millets had gained policy visibility as a viable option for improving nutrition and income in tribal areas. Sustained dialogue between MSSRF and the Department of Agriculture and Farmers’ Empowerment led to the Odisha Millet Mission in 2017 </w:t>
      </w:r>
      <w:r w:rsidRPr="003847A6">
        <w:rPr>
          <w:color w:val="000000" w:themeColor="text1"/>
        </w:rPr>
        <w:fldChar w:fldCharType="begin"/>
      </w:r>
      <w:r w:rsidRPr="003847A6">
        <w:rPr>
          <w:color w:val="000000" w:themeColor="text1"/>
        </w:rPr>
        <w:instrText xml:space="preserve"> ADDIN ZOTERO_ITEM CSL_CITATION {"citationID":"UDx7mzSo","properties":{"formattedCitation":"(MSSRF, 2018)","plainCitation":"(MSSRF, 2018)","noteIndex":0},"citationItems":[{"id":20845,"uris":["http://zotero.org/users/12768557/items/FUHK5UP4"],"itemData":{"id":20845,"type":"report","publisher":"MSSRF","publisher-place":"Chennai","title":"Twenty-Eight Annual Report","author":[{"family":"MSSRF","given":""}],"issued":{"date-parts":[["2018"]]}}}],"schema":"https://github.com/citation-style-language/schema/raw/master/csl-citation.json"} </w:instrText>
      </w:r>
      <w:r w:rsidRPr="003847A6">
        <w:rPr>
          <w:color w:val="000000" w:themeColor="text1"/>
        </w:rPr>
        <w:fldChar w:fldCharType="separate"/>
      </w:r>
      <w:r w:rsidRPr="003847A6">
        <w:rPr>
          <w:color w:val="000000" w:themeColor="text1"/>
        </w:rPr>
        <w:t>(MSSRF, 2018)</w:t>
      </w:r>
      <w:r w:rsidRPr="003847A6">
        <w:rPr>
          <w:color w:val="000000" w:themeColor="text1"/>
        </w:rPr>
        <w:fldChar w:fldCharType="end"/>
      </w:r>
      <w:r w:rsidRPr="003847A6">
        <w:rPr>
          <w:color w:val="000000" w:themeColor="text1"/>
        </w:rPr>
        <w:t>, marking a shift from project</w:t>
      </w:r>
      <w:r w:rsidRPr="003847A6">
        <w:rPr>
          <w:color w:val="000000" w:themeColor="text1"/>
        </w:rPr>
        <w:noBreakHyphen/>
        <w:t>based interventions to a state</w:t>
      </w:r>
      <w:r w:rsidRPr="003847A6">
        <w:rPr>
          <w:color w:val="000000" w:themeColor="text1"/>
        </w:rPr>
        <w:noBreakHyphen/>
        <w:t>backed institutional framework that integrated millets into production, procurement, and nutrition schemes </w:t>
      </w:r>
      <w:r w:rsidRPr="003847A6">
        <w:rPr>
          <w:color w:val="000000" w:themeColor="text1"/>
        </w:rPr>
        <w:fldChar w:fldCharType="begin"/>
      </w:r>
      <w:r w:rsidRPr="003847A6">
        <w:rPr>
          <w:color w:val="000000" w:themeColor="text1"/>
        </w:rPr>
        <w:instrText xml:space="preserve"> ADDIN ZOTERO_ITEM CSL_CITATION {"citationID":"QJeL45qZ","properties":{"formattedCitation":"(Garg et al., 2022)","plainCitation":"(Garg et al., 2022)","noteIndex":0},"citationItems":[{"id":19135,"uris":["http://zotero.org/users/12768557/items/KETVDYSR"],"itemData":{"id":19135,"type":"chapter","abstract":"Millets largely are adapted to dry and hot climates, they have been readily grown in many dryland areas and provide nutritional benefits, and as such, are an example of a key staple that could be valuable in sustainable diets. This chapter builds the case that millets could again be central to socio-cultural food systems among the indigenous communities of Odisha. Since the 1960s they have been largely replaced by rice and wheat, which has adversely impacted their nutritional security and the resilience of the agriculture systems. The Odisha Millets Mission (OMM) was launched to improve nutritional security. OMM has a multi-stakeholder framework with an end-to-end design that focuses on farmer-preferred cultivars, addressing millet-value chain constraints, promotion of culturally appropriate recipes, enhancing consumer awareness, building entrepreneurial capacity of women collectives in the millet value chain, and inclusion in government food welfare schemes. This case study documents the transformative food system of OMM, which allows healthy diets to be affordable and accessible through decentralised community engagement, resulting in external gains such as increases in rural incomes, women’s economic empowerment, and conservation of agricultural biodiversity.","container-title":"Routledge Handbook of Sustainable Diets","ISBN":"978-1-003-17441-7","note":"number-of-pages: 13","publisher":"Routledge","title":"Odisha Millet Mission: A transformative food system for mainstreaming sustainable diets","title-short":"Odisha Millet Mission","author":[{"family":"Garg","given":"Saurabh"},{"family":"Muthukumar","given":"M."},{"family":"Balam","given":"Dinesh"},{"family":"Mohanty","given":"Bindu"}],"issued":{"date-parts":[["2022"]]}}}],"schema":"https://github.com/citation-style-language/schema/raw/master/csl-citation.json"} </w:instrText>
      </w:r>
      <w:r w:rsidRPr="003847A6">
        <w:rPr>
          <w:color w:val="000000" w:themeColor="text1"/>
        </w:rPr>
        <w:fldChar w:fldCharType="separate"/>
      </w:r>
      <w:r w:rsidRPr="003847A6">
        <w:rPr>
          <w:color w:val="000000" w:themeColor="text1"/>
        </w:rPr>
        <w:t>(Garg et al., 2022)</w:t>
      </w:r>
      <w:r w:rsidRPr="003847A6">
        <w:rPr>
          <w:color w:val="000000" w:themeColor="text1"/>
        </w:rPr>
        <w:fldChar w:fldCharType="end"/>
      </w:r>
      <w:r w:rsidRPr="003847A6">
        <w:rPr>
          <w:color w:val="000000" w:themeColor="text1"/>
        </w:rPr>
        <w:t>. The Mission also reflected a wider adjustment in policy priorities, as state actors began supporting more diverse and climate</w:t>
      </w:r>
      <w:r w:rsidRPr="003847A6">
        <w:rPr>
          <w:color w:val="000000" w:themeColor="text1"/>
        </w:rPr>
        <w:noBreakHyphen/>
        <w:t>resilient crop portfolios within their procurement systems. The Mission formalised earlier decentralised efforts through block</w:t>
      </w:r>
      <w:r w:rsidRPr="003847A6">
        <w:rPr>
          <w:color w:val="000000" w:themeColor="text1"/>
        </w:rPr>
        <w:noBreakHyphen/>
        <w:t>level procurement centres, enabling farmers in remote areas to sell locally and expanding Minimum Support Price</w:t>
      </w:r>
      <w:r w:rsidR="00722F99" w:rsidRPr="003847A6">
        <w:rPr>
          <w:color w:val="000000" w:themeColor="text1"/>
        </w:rPr>
        <w:t xml:space="preserve"> (MSP)</w:t>
      </w:r>
      <w:r w:rsidRPr="003847A6">
        <w:rPr>
          <w:color w:val="000000" w:themeColor="text1"/>
        </w:rPr>
        <w:t> coverage </w:t>
      </w:r>
      <w:r w:rsidRPr="003847A6">
        <w:rPr>
          <w:color w:val="000000" w:themeColor="text1"/>
        </w:rPr>
        <w:fldChar w:fldCharType="begin"/>
      </w:r>
      <w:r w:rsidRPr="003847A6">
        <w:rPr>
          <w:color w:val="000000" w:themeColor="text1"/>
        </w:rPr>
        <w:instrText xml:space="preserve"> ADDIN ZOTERO_ITEM CSL_CITATION {"citationID":"pnu9h7AQ","properties":{"formattedCitation":"(CEEW, 2021)","plainCitation":"(CEEW, 2021)","noteIndex":0},"citationItems":[{"id":20846,"uris":["http://zotero.org/users/12768557/items/HL7R8UVL"],"itemData":{"id":20846,"type":"webpage","title":"How Odisha Millet Mission Revived Millets Production | Case Study","URL":"https://www.ceew.in/sustainable-agriculture-initiatives/odisha-millets-mission-government-scheme-for-promoting-millets-in-india","author":[{"family":"CEEW","given":""}],"accessed":{"date-parts":[["2026",1,10]]},"issued":{"date-parts":[["2021"]]}}}],"schema":"https://github.com/citation-style-language/schema/raw/master/csl-citation.json"} </w:instrText>
      </w:r>
      <w:r w:rsidRPr="003847A6">
        <w:rPr>
          <w:color w:val="000000" w:themeColor="text1"/>
        </w:rPr>
        <w:fldChar w:fldCharType="separate"/>
      </w:r>
      <w:r w:rsidRPr="003847A6">
        <w:rPr>
          <w:color w:val="000000" w:themeColor="text1"/>
        </w:rPr>
        <w:t>(CEEW, 2021)</w:t>
      </w:r>
      <w:r w:rsidRPr="003847A6">
        <w:rPr>
          <w:color w:val="000000" w:themeColor="text1"/>
        </w:rPr>
        <w:fldChar w:fldCharType="end"/>
      </w:r>
      <w:r w:rsidRPr="003847A6">
        <w:rPr>
          <w:color w:val="000000" w:themeColor="text1"/>
        </w:rPr>
        <w:t xml:space="preserve">. By 2025, </w:t>
      </w:r>
      <w:r w:rsidR="00722F99" w:rsidRPr="003847A6">
        <w:rPr>
          <w:color w:val="000000" w:themeColor="text1"/>
        </w:rPr>
        <w:t xml:space="preserve">MSP </w:t>
      </w:r>
      <w:r w:rsidRPr="003847A6">
        <w:rPr>
          <w:color w:val="000000" w:themeColor="text1"/>
        </w:rPr>
        <w:t xml:space="preserve">rates for millet rose by approximately 50%, contributing to greater income stability for smallholder producers </w:t>
      </w:r>
      <w:r w:rsidRPr="003847A6">
        <w:rPr>
          <w:color w:val="000000" w:themeColor="text1"/>
        </w:rPr>
        <w:fldChar w:fldCharType="begin"/>
      </w:r>
      <w:r w:rsidRPr="003847A6">
        <w:rPr>
          <w:color w:val="000000" w:themeColor="text1"/>
        </w:rPr>
        <w:instrText xml:space="preserve"> ADDIN ZOTERO_ITEM CSL_CITATION {"citationID":"6vBmpE2V","properties":{"formattedCitation":"(Department of Agriculture and Farmer\\uc0\\u8217{}s Empowerment, 2024)","plainCitation":"(Department of Agriculture and Farmer’s Empowerment, 2024)","noteIndex":0},"citationItems":[{"id":19923,"uris":["http://zotero.org/users/12768557/items/TQPYTAUT"],"itemData":{"id":19923,"type":"report","publisher":"Government of Odisha","publisher-place":"Bhubaneswar","title":"Odisha Millet Mission Annual Report","URL":"https://milletsodisha.com/resources/publications","author":[{"family":"Department of Agriculture and Farmer's Empowerment","given":""}],"issued":{"date-parts":[["2024"]]}}}],"schema":"https://github.com/citation-style-language/schema/raw/master/csl-citation.json"} </w:instrText>
      </w:r>
      <w:r w:rsidRPr="003847A6">
        <w:rPr>
          <w:color w:val="000000" w:themeColor="text1"/>
        </w:rPr>
        <w:fldChar w:fldCharType="separate"/>
      </w:r>
      <w:r w:rsidRPr="003847A6">
        <w:rPr>
          <w:color w:val="000000" w:themeColor="text1"/>
        </w:rPr>
        <w:t>(Department of Agriculture and Farmer’s Empowerment, 2024)</w:t>
      </w:r>
      <w:r w:rsidRPr="003847A6">
        <w:rPr>
          <w:color w:val="000000" w:themeColor="text1"/>
        </w:rPr>
        <w:fldChar w:fldCharType="end"/>
      </w:r>
      <w:r w:rsidRPr="003847A6">
        <w:rPr>
          <w:color w:val="000000" w:themeColor="text1"/>
        </w:rPr>
        <w:t xml:space="preserve">. </w:t>
      </w:r>
    </w:p>
    <w:p w14:paraId="78AC6A4F" w14:textId="77777777" w:rsidR="002969ED" w:rsidRPr="003847A6" w:rsidRDefault="002969ED" w:rsidP="003847A6">
      <w:pPr>
        <w:rPr>
          <w:color w:val="000000" w:themeColor="text1"/>
        </w:rPr>
      </w:pPr>
    </w:p>
    <w:p w14:paraId="020EDC96" w14:textId="77777777" w:rsidR="002969ED" w:rsidRPr="003847A6" w:rsidRDefault="002969ED" w:rsidP="003847A6">
      <w:pPr>
        <w:rPr>
          <w:color w:val="000000" w:themeColor="text1"/>
        </w:rPr>
      </w:pPr>
      <w:r w:rsidRPr="003847A6">
        <w:rPr>
          <w:color w:val="000000" w:themeColor="text1"/>
        </w:rPr>
        <w:t>Local procurement centres reduced farmers’ transport costs and drew more tribal producers into formal value chains. Millets were gradually integrated into the Public Distribution System and school</w:t>
      </w:r>
      <w:r w:rsidRPr="003847A6">
        <w:rPr>
          <w:rFonts w:ascii="Cambria Math" w:hAnsi="Cambria Math" w:cs="Cambria Math"/>
          <w:color w:val="000000" w:themeColor="text1"/>
        </w:rPr>
        <w:t>‑</w:t>
      </w:r>
      <w:r w:rsidRPr="003847A6">
        <w:rPr>
          <w:color w:val="000000" w:themeColor="text1"/>
        </w:rPr>
        <w:t>feeding schemes, reaching over 150,000 children</w:t>
      </w:r>
    </w:p>
    <w:p w14:paraId="10B476E6" w14:textId="7BED7CAB" w:rsidR="002969ED" w:rsidRPr="003847A6" w:rsidRDefault="002969ED" w:rsidP="003847A6">
      <w:pPr>
        <w:rPr>
          <w:color w:val="000000" w:themeColor="text1"/>
        </w:rPr>
      </w:pPr>
      <w:r w:rsidRPr="003847A6">
        <w:rPr>
          <w:color w:val="000000" w:themeColor="text1"/>
        </w:rPr>
        <w:fldChar w:fldCharType="begin"/>
      </w:r>
      <w:r w:rsidRPr="003847A6">
        <w:rPr>
          <w:color w:val="000000" w:themeColor="text1"/>
        </w:rPr>
        <w:instrText xml:space="preserve"> ADDIN ZOTERO_ITEM CSL_CITATION {"citationID":"iQG11nIO","properties":{"formattedCitation":"(Mohanty and Mohanty, 2023)","plainCitation":"(Mohanty and Mohanty, 2023)","noteIndex":0},"citationItems":[{"id":19910,"uris":["http://zotero.org/users/12768557/items/YHA7B3PF"],"itemData":{"id":19910,"type":"article-magazine","abstract":"Over 3.3 million children in India are malnourished and 1.7 million of them have severe acute malnutrition. Some states, in collaboration with the civil societi","container-title":"Down To Earth","language":"en","title":"Millets should be mainstreamed for better nutritional outcomes in children","URL":"https://www.downtoearth.org.in/food/millets-should-be-mainstreamed-for-better-nutritional-outcomes-in-children-87780","author":[{"family":"Mohanty","given":"Bindu"},{"family":"Mohanty","given":"A"}],"accessed":{"date-parts":[["2025",6,24]]},"issued":{"date-parts":[["2023",2,17]]}}}],"schema":"https://github.com/citation-style-language/schema/raw/master/csl-citation.json"} </w:instrText>
      </w:r>
      <w:r w:rsidRPr="003847A6">
        <w:rPr>
          <w:color w:val="000000" w:themeColor="text1"/>
        </w:rPr>
        <w:fldChar w:fldCharType="separate"/>
      </w:r>
      <w:r w:rsidRPr="003847A6">
        <w:rPr>
          <w:color w:val="000000" w:themeColor="text1"/>
        </w:rPr>
        <w:t>(Mohanty and Mohanty, 2023)</w:t>
      </w:r>
      <w:r w:rsidRPr="003847A6">
        <w:rPr>
          <w:color w:val="000000" w:themeColor="text1"/>
        </w:rPr>
        <w:fldChar w:fldCharType="end"/>
      </w:r>
      <w:r w:rsidRPr="003847A6">
        <w:rPr>
          <w:color w:val="000000" w:themeColor="text1"/>
        </w:rPr>
        <w:t>. The Mission also advanced on several fronts—encouraging household consumption, conserving landraces, building decentralised processing units, and promoting value</w:t>
      </w:r>
      <w:r w:rsidRPr="003847A6">
        <w:rPr>
          <w:rFonts w:ascii="Cambria Math" w:hAnsi="Cambria Math" w:cs="Cambria Math"/>
          <w:color w:val="000000" w:themeColor="text1"/>
        </w:rPr>
        <w:t>‑</w:t>
      </w:r>
      <w:r w:rsidRPr="003847A6">
        <w:rPr>
          <w:color w:val="000000" w:themeColor="text1"/>
        </w:rPr>
        <w:t>addition enterprises. Together, these actions consolidated a new equilibrium between social inclusion, market incentives, and state support, revealing a </w:t>
      </w:r>
      <w:r w:rsidR="00722F99" w:rsidRPr="003847A6">
        <w:rPr>
          <w:color w:val="000000" w:themeColor="text1"/>
        </w:rPr>
        <w:t>fund</w:t>
      </w:r>
      <w:r w:rsidR="00E634A4" w:rsidRPr="003847A6">
        <w:rPr>
          <w:color w:val="000000" w:themeColor="text1"/>
        </w:rPr>
        <w:t>a</w:t>
      </w:r>
      <w:r w:rsidR="00722F99" w:rsidRPr="003847A6">
        <w:rPr>
          <w:color w:val="000000" w:themeColor="text1"/>
        </w:rPr>
        <w:t>mental</w:t>
      </w:r>
      <w:r w:rsidRPr="003847A6">
        <w:rPr>
          <w:color w:val="000000" w:themeColor="text1"/>
        </w:rPr>
        <w:t xml:space="preserve"> shift in the political</w:t>
      </w:r>
      <w:r w:rsidRPr="003847A6">
        <w:rPr>
          <w:rFonts w:ascii="Cambria Math" w:hAnsi="Cambria Math" w:cs="Cambria Math"/>
          <w:color w:val="000000" w:themeColor="text1"/>
        </w:rPr>
        <w:t>‑</w:t>
      </w:r>
      <w:r w:rsidRPr="003847A6">
        <w:rPr>
          <w:color w:val="000000" w:themeColor="text1"/>
        </w:rPr>
        <w:t>economic foundations of Odisha’s food system.</w:t>
      </w:r>
    </w:p>
    <w:p w14:paraId="4D92D37F" w14:textId="27C22CA9" w:rsidR="005F63F9" w:rsidRPr="003847A6" w:rsidRDefault="00AF7254" w:rsidP="003847A6">
      <w:pPr>
        <w:pStyle w:val="NormalWeb"/>
        <w:spacing w:line="276" w:lineRule="auto"/>
        <w:jc w:val="both"/>
        <w:rPr>
          <w:rFonts w:ascii="Calibri" w:hAnsi="Calibri" w:cs="Calibri"/>
          <w:color w:val="000000" w:themeColor="text1"/>
        </w:rPr>
      </w:pPr>
      <w:r w:rsidRPr="003847A6">
        <w:rPr>
          <w:rFonts w:ascii="Calibri" w:hAnsi="Calibri" w:cs="Calibri"/>
          <w:color w:val="000000" w:themeColor="text1"/>
        </w:rPr>
        <w:t xml:space="preserve">Implementation </w:t>
      </w:r>
      <w:r w:rsidR="0073342F" w:rsidRPr="003847A6">
        <w:rPr>
          <w:rFonts w:ascii="Calibri" w:hAnsi="Calibri" w:cs="Calibri"/>
          <w:color w:val="000000" w:themeColor="text1"/>
        </w:rPr>
        <w:t xml:space="preserve">of the </w:t>
      </w:r>
      <w:r w:rsidR="00EE1876" w:rsidRPr="003847A6">
        <w:rPr>
          <w:rFonts w:ascii="Calibri" w:hAnsi="Calibri" w:cs="Calibri"/>
          <w:color w:val="000000" w:themeColor="text1"/>
        </w:rPr>
        <w:t>M</w:t>
      </w:r>
      <w:r w:rsidR="0073342F" w:rsidRPr="003847A6">
        <w:rPr>
          <w:rFonts w:ascii="Calibri" w:hAnsi="Calibri" w:cs="Calibri"/>
          <w:color w:val="000000" w:themeColor="text1"/>
        </w:rPr>
        <w:t xml:space="preserve">illet </w:t>
      </w:r>
      <w:r w:rsidR="00EE1876" w:rsidRPr="003847A6">
        <w:rPr>
          <w:rFonts w:ascii="Calibri" w:hAnsi="Calibri" w:cs="Calibri"/>
          <w:color w:val="000000" w:themeColor="text1"/>
        </w:rPr>
        <w:t>M</w:t>
      </w:r>
      <w:r w:rsidR="0073342F" w:rsidRPr="003847A6">
        <w:rPr>
          <w:rFonts w:ascii="Calibri" w:hAnsi="Calibri" w:cs="Calibri"/>
          <w:color w:val="000000" w:themeColor="text1"/>
        </w:rPr>
        <w:t xml:space="preserve">ission </w:t>
      </w:r>
      <w:r w:rsidRPr="003847A6">
        <w:rPr>
          <w:rFonts w:ascii="Calibri" w:hAnsi="Calibri" w:cs="Calibri"/>
          <w:color w:val="000000" w:themeColor="text1"/>
        </w:rPr>
        <w:t>is</w:t>
      </w:r>
      <w:r w:rsidR="00EE1876" w:rsidRPr="003847A6">
        <w:rPr>
          <w:rFonts w:ascii="Calibri" w:hAnsi="Calibri" w:cs="Calibri"/>
          <w:color w:val="000000" w:themeColor="text1"/>
        </w:rPr>
        <w:t xml:space="preserve"> now</w:t>
      </w:r>
      <w:r w:rsidRPr="003847A6">
        <w:rPr>
          <w:rFonts w:ascii="Calibri" w:hAnsi="Calibri" w:cs="Calibri"/>
          <w:color w:val="000000" w:themeColor="text1"/>
        </w:rPr>
        <w:t xml:space="preserve"> led by MSSRF</w:t>
      </w:r>
      <w:r w:rsidR="00A8437D" w:rsidRPr="003847A6">
        <w:rPr>
          <w:rFonts w:ascii="Calibri" w:hAnsi="Calibri" w:cs="Calibri"/>
          <w:color w:val="000000" w:themeColor="text1"/>
        </w:rPr>
        <w:t xml:space="preserve">, which acts as a “facilitating agent” </w:t>
      </w:r>
      <w:bookmarkStart w:id="5" w:name="_Hlk218929622"/>
      <w:r w:rsidR="005F63F9" w:rsidRPr="003847A6">
        <w:rPr>
          <w:rFonts w:ascii="Calibri" w:hAnsi="Calibri" w:cs="Calibri"/>
          <w:color w:val="000000" w:themeColor="text1"/>
        </w:rPr>
        <w:fldChar w:fldCharType="begin"/>
      </w:r>
      <w:r w:rsidR="007D1928" w:rsidRPr="003847A6">
        <w:rPr>
          <w:rFonts w:ascii="Calibri" w:hAnsi="Calibri" w:cs="Calibri"/>
          <w:color w:val="000000" w:themeColor="text1"/>
        </w:rPr>
        <w:instrText xml:space="preserve"> ADDIN ZOTERO_ITEM CSL_CITATION {"citationID":"wACnhPs8","properties":{"formattedCitation":"(MSSRF, 2019a)","plainCitation":"(MSSRF, 2019a)","noteIndex":0},"citationItems":[{"id":20848,"uris":["http://zotero.org/users/12768557/items/R5CYP93A"],"itemData":{"id":20848,"type":"report","publisher":"MSSRF","publisher-place":"Chennai","title":"Twenty-Ninth Annual Report","author":[{"family":"MSSRF","given":""}],"issued":{"date-parts":[["2019"]]}}}],"schema":"https://github.com/citation-style-language/schema/raw/master/csl-citation.json"} </w:instrText>
      </w:r>
      <w:r w:rsidR="005F63F9" w:rsidRPr="003847A6">
        <w:rPr>
          <w:rFonts w:ascii="Calibri" w:hAnsi="Calibri" w:cs="Calibri"/>
          <w:color w:val="000000" w:themeColor="text1"/>
        </w:rPr>
        <w:fldChar w:fldCharType="separate"/>
      </w:r>
      <w:r w:rsidR="007D1928" w:rsidRPr="003847A6">
        <w:rPr>
          <w:rFonts w:ascii="Calibri" w:hAnsi="Calibri" w:cs="Calibri"/>
          <w:noProof/>
          <w:color w:val="000000" w:themeColor="text1"/>
        </w:rPr>
        <w:t>(MSSRF, 2019a)</w:t>
      </w:r>
      <w:r w:rsidR="005F63F9" w:rsidRPr="003847A6">
        <w:rPr>
          <w:rFonts w:ascii="Calibri" w:hAnsi="Calibri" w:cs="Calibri"/>
          <w:color w:val="000000" w:themeColor="text1"/>
        </w:rPr>
        <w:fldChar w:fldCharType="end"/>
      </w:r>
      <w:bookmarkEnd w:id="5"/>
      <w:r w:rsidR="005F63F9" w:rsidRPr="003847A6">
        <w:rPr>
          <w:rFonts w:ascii="Calibri" w:hAnsi="Calibri" w:cs="Calibri"/>
          <w:color w:val="000000" w:themeColor="text1"/>
        </w:rPr>
        <w:t xml:space="preserve"> </w:t>
      </w:r>
      <w:r w:rsidR="00A8437D" w:rsidRPr="003847A6">
        <w:rPr>
          <w:rFonts w:ascii="Calibri" w:hAnsi="Calibri" w:cs="Calibri"/>
          <w:color w:val="000000" w:themeColor="text1"/>
        </w:rPr>
        <w:t>thanks to its w</w:t>
      </w:r>
      <w:r w:rsidRPr="003847A6">
        <w:rPr>
          <w:rFonts w:ascii="Calibri" w:hAnsi="Calibri" w:cs="Calibri"/>
          <w:color w:val="000000" w:themeColor="text1"/>
        </w:rPr>
        <w:t xml:space="preserve">idely recognised </w:t>
      </w:r>
      <w:r w:rsidR="00A8437D" w:rsidRPr="003847A6">
        <w:rPr>
          <w:rFonts w:ascii="Calibri" w:hAnsi="Calibri" w:cs="Calibri"/>
          <w:color w:val="000000" w:themeColor="text1"/>
        </w:rPr>
        <w:t>and</w:t>
      </w:r>
      <w:r w:rsidRPr="003847A6">
        <w:rPr>
          <w:rFonts w:ascii="Calibri" w:hAnsi="Calibri" w:cs="Calibri"/>
          <w:color w:val="000000" w:themeColor="text1"/>
        </w:rPr>
        <w:t xml:space="preserve"> long-standing</w:t>
      </w:r>
      <w:r w:rsidR="005F63F9" w:rsidRPr="003847A6">
        <w:rPr>
          <w:rFonts w:ascii="Calibri" w:hAnsi="Calibri" w:cs="Calibri"/>
          <w:color w:val="000000" w:themeColor="text1"/>
        </w:rPr>
        <w:t xml:space="preserve"> </w:t>
      </w:r>
      <w:r w:rsidRPr="003847A6">
        <w:rPr>
          <w:rFonts w:ascii="Calibri" w:hAnsi="Calibri" w:cs="Calibri"/>
          <w:color w:val="000000" w:themeColor="text1"/>
        </w:rPr>
        <w:t>presence in the state</w:t>
      </w:r>
      <w:r w:rsidR="005F63F9" w:rsidRPr="003847A6">
        <w:rPr>
          <w:rFonts w:ascii="Calibri" w:hAnsi="Calibri" w:cs="Calibri"/>
          <w:color w:val="000000" w:themeColor="text1"/>
        </w:rPr>
        <w:t xml:space="preserve">. Often, MSSRF partners with local NGOs to expand outreach.  Overall, increased interest and awareness, raised in policy and agricultural circles in the previous phase, led to </w:t>
      </w:r>
      <w:r w:rsidRPr="003847A6">
        <w:rPr>
          <w:rFonts w:ascii="Calibri" w:hAnsi="Calibri" w:cs="Calibri"/>
          <w:color w:val="000000" w:themeColor="text1"/>
        </w:rPr>
        <w:t>sustained public investment, capacity-building programmes, continuous public procurement, and ongoing work on seed conservation and participatory varietal trials</w:t>
      </w:r>
      <w:r w:rsidR="00C62F3A" w:rsidRPr="003847A6">
        <w:rPr>
          <w:rFonts w:ascii="Calibri" w:hAnsi="Calibri" w:cs="Calibri"/>
          <w:color w:val="000000" w:themeColor="text1"/>
        </w:rPr>
        <w:t xml:space="preserve">. </w:t>
      </w:r>
      <w:r w:rsidR="00C62F3A" w:rsidRPr="003847A6">
        <w:rPr>
          <w:rFonts w:ascii="Calibri" w:eastAsiaTheme="minorHAnsi" w:hAnsi="Calibri" w:cs="Calibri"/>
          <w:color w:val="000000" w:themeColor="text1"/>
          <w:lang w:eastAsia="en-US"/>
        </w:rPr>
        <w:t xml:space="preserve"> Millets became increasingly embedded within routine food-system planning and delivery at the state level</w:t>
      </w:r>
      <w:r w:rsidR="005F63F9" w:rsidRPr="003847A6">
        <w:rPr>
          <w:rFonts w:ascii="Calibri" w:hAnsi="Calibri" w:cs="Calibri"/>
          <w:color w:val="000000" w:themeColor="text1"/>
        </w:rPr>
        <w:t xml:space="preserve"> </w:t>
      </w:r>
      <w:r w:rsidR="005F63F9" w:rsidRPr="003847A6">
        <w:rPr>
          <w:rFonts w:ascii="Calibri" w:hAnsi="Calibri" w:cs="Calibri"/>
          <w:color w:val="000000" w:themeColor="text1"/>
        </w:rPr>
        <w:fldChar w:fldCharType="begin"/>
      </w:r>
      <w:r w:rsidR="008B565A" w:rsidRPr="003847A6">
        <w:rPr>
          <w:rFonts w:ascii="Calibri" w:hAnsi="Calibri" w:cs="Calibri"/>
          <w:color w:val="000000" w:themeColor="text1"/>
        </w:rPr>
        <w:instrText xml:space="preserve"> ADDIN ZOTERO_ITEM CSL_CITATION {"citationID":"RtaDGR3L","properties":{"formattedCitation":"(MSSRF, 2020, 2019b, 2017)","plainCitation":"(MSSRF, 2020, 2019b, 2017)","noteIndex":0},"citationItems":[{"id":20849,"uris":["http://zotero.org/users/12768557/items/HQPLXQWN"],"itemData":{"id":20849,"type":"report","publisher":"MSSRF","publisher-place":"Chennai","title":"Thirtieth Annual Report","author":[{"family":"MSSRF","given":""}],"issued":{"date-parts":[["2020"]]}}},{"id":20380,"uris":["http://zotero.org/users/12768557/items/9NTF5N7N"],"itemData":{"id":20380,"type":"report","publisher":"MSSRF","publisher-place":"Chennai","title":"Thirty Years of MSSRF: Influencing Policy Change","URL":"http://59.160.153.188/library/sites/default/files/30%20Years%20of%20MSSRF%20Policy%20Change.pdf","author":[{"family":"MSSRF","given":""}],"issued":{"date-parts":[["2019"]]}}},{"id":20842,"uris":["http://zotero.org/users/12768557/items/UKCHGSZB"],"itemData":{"id":20842,"type":"report","publisher":"MSSRF","publisher-place":"Chennai","title":"Farming System for Nutrition","author":[{"family":"MSSRF","given":""}],"issued":{"date-parts":[["2017"]]}}}],"schema":"https://github.com/citation-style-language/schema/raw/master/csl-citation.json"} </w:instrText>
      </w:r>
      <w:r w:rsidR="005F63F9" w:rsidRPr="003847A6">
        <w:rPr>
          <w:rFonts w:ascii="Calibri" w:hAnsi="Calibri" w:cs="Calibri"/>
          <w:color w:val="000000" w:themeColor="text1"/>
        </w:rPr>
        <w:fldChar w:fldCharType="separate"/>
      </w:r>
      <w:r w:rsidR="008B565A" w:rsidRPr="003847A6">
        <w:rPr>
          <w:rFonts w:ascii="Calibri" w:hAnsi="Calibri" w:cs="Calibri"/>
          <w:noProof/>
          <w:color w:val="000000" w:themeColor="text1"/>
        </w:rPr>
        <w:t>(MSSRF, 2020, 2019b, 2017)</w:t>
      </w:r>
      <w:r w:rsidR="005F63F9" w:rsidRPr="003847A6">
        <w:rPr>
          <w:rFonts w:ascii="Calibri" w:hAnsi="Calibri" w:cs="Calibri"/>
          <w:color w:val="000000" w:themeColor="text1"/>
        </w:rPr>
        <w:fldChar w:fldCharType="end"/>
      </w:r>
      <w:r w:rsidRPr="003847A6">
        <w:rPr>
          <w:rFonts w:ascii="Calibri" w:hAnsi="Calibri" w:cs="Calibri"/>
          <w:color w:val="000000" w:themeColor="text1"/>
        </w:rPr>
        <w:t>.</w:t>
      </w:r>
      <w:r w:rsidR="004A544C" w:rsidRPr="003847A6">
        <w:rPr>
          <w:rFonts w:ascii="Calibri" w:hAnsi="Calibri" w:cs="Calibri"/>
          <w:color w:val="000000" w:themeColor="text1"/>
        </w:rPr>
        <w:t xml:space="preserve"> </w:t>
      </w:r>
    </w:p>
    <w:p w14:paraId="43C95783" w14:textId="699BF82A" w:rsidR="00AF7254" w:rsidRPr="003847A6" w:rsidRDefault="005F63F9" w:rsidP="003847A6">
      <w:pPr>
        <w:pStyle w:val="NormalWeb"/>
        <w:spacing w:line="276" w:lineRule="auto"/>
        <w:jc w:val="both"/>
        <w:rPr>
          <w:rFonts w:ascii="Calibri" w:eastAsiaTheme="minorHAnsi" w:hAnsi="Calibri" w:cs="Calibri"/>
          <w:color w:val="000000" w:themeColor="text1"/>
          <w:lang w:eastAsia="en-US"/>
        </w:rPr>
      </w:pPr>
      <w:r w:rsidRPr="003847A6">
        <w:rPr>
          <w:rFonts w:ascii="Calibri" w:hAnsi="Calibri" w:cs="Calibri"/>
          <w:color w:val="000000" w:themeColor="text1"/>
        </w:rPr>
        <w:t>MSSRF interventions and advocacy work</w:t>
      </w:r>
      <w:r w:rsidR="00AF7254" w:rsidRPr="003847A6">
        <w:rPr>
          <w:rFonts w:ascii="Calibri" w:hAnsi="Calibri" w:cs="Calibri"/>
          <w:color w:val="000000" w:themeColor="text1"/>
        </w:rPr>
        <w:t xml:space="preserve"> also led to the development of decentralised infrastructure such as community-based processing units.</w:t>
      </w:r>
      <w:r w:rsidR="0072519A" w:rsidRPr="003847A6">
        <w:rPr>
          <w:rFonts w:ascii="Calibri" w:hAnsi="Calibri" w:cs="Calibri"/>
          <w:color w:val="000000" w:themeColor="text1"/>
        </w:rPr>
        <w:t xml:space="preserve"> </w:t>
      </w:r>
      <w:r w:rsidR="0072519A" w:rsidRPr="003847A6">
        <w:rPr>
          <w:rFonts w:ascii="Calibri" w:eastAsiaTheme="minorHAnsi" w:hAnsi="Calibri" w:cs="Calibri"/>
          <w:color w:val="000000" w:themeColor="text1"/>
          <w:lang w:eastAsia="en-US"/>
        </w:rPr>
        <w:t>In particular, a key institutional development has been the strengthening of Farmers’ Producer Organisations,</w:t>
      </w:r>
      <w:r w:rsidR="0072519A" w:rsidRPr="003847A6">
        <w:rPr>
          <w:rFonts w:ascii="Calibri" w:eastAsiaTheme="minorHAnsi" w:hAnsi="Calibri" w:cs="Calibri"/>
          <w:b/>
          <w:bCs/>
          <w:color w:val="000000" w:themeColor="text1"/>
          <w:lang w:eastAsia="en-US"/>
        </w:rPr>
        <w:t xml:space="preserve"> </w:t>
      </w:r>
      <w:r w:rsidR="0072519A" w:rsidRPr="003847A6">
        <w:rPr>
          <w:rFonts w:ascii="Calibri" w:eastAsiaTheme="minorHAnsi" w:hAnsi="Calibri" w:cs="Calibri"/>
          <w:color w:val="000000" w:themeColor="text1"/>
          <w:lang w:eastAsia="en-US"/>
        </w:rPr>
        <w:t>which built on earlier Self-Help Groups, but are formally structured and publicly registered entities</w:t>
      </w:r>
      <w:r w:rsidR="00974D99" w:rsidRPr="003847A6">
        <w:rPr>
          <w:rFonts w:ascii="Calibri" w:eastAsiaTheme="minorHAnsi" w:hAnsi="Calibri" w:cs="Calibri"/>
          <w:color w:val="000000" w:themeColor="text1"/>
          <w:lang w:eastAsia="en-US"/>
        </w:rPr>
        <w:t xml:space="preserve"> </w:t>
      </w:r>
      <w:bookmarkStart w:id="6" w:name="_Hlk218929906"/>
      <w:r w:rsidR="00974D99" w:rsidRPr="003847A6">
        <w:rPr>
          <w:rFonts w:ascii="Calibri" w:eastAsiaTheme="minorHAnsi" w:hAnsi="Calibri" w:cs="Calibri"/>
          <w:color w:val="000000" w:themeColor="text1"/>
          <w:lang w:eastAsia="en-US"/>
        </w:rPr>
        <w:fldChar w:fldCharType="begin"/>
      </w:r>
      <w:r w:rsidR="00AD2E2F" w:rsidRPr="003847A6">
        <w:rPr>
          <w:rFonts w:ascii="Calibri" w:eastAsiaTheme="minorHAnsi" w:hAnsi="Calibri" w:cs="Calibri"/>
          <w:color w:val="000000" w:themeColor="text1"/>
          <w:lang w:eastAsia="en-US"/>
        </w:rPr>
        <w:instrText xml:space="preserve"> ADDIN ZOTERO_ITEM CSL_CITATION {"citationID":"cel34SVc","properties":{"formattedCitation":"(Rukmani et al., 2018)","plainCitation":"(Rukmani et al., 2018)","noteIndex":0},"citationItems":[{"id":20850,"uris":["http://zotero.org/users/12768557/items/JQTNJXA5"],"itemData":{"id":20850,"type":"report","ISSN":"MSSRF/RR/18/44","note":"publisher-place: Chennai","page":"90","publisher":"M. S. Swaminathan Research Foundaation","publisher-place":"Chennai","title":"Farming System For Nutrition: Need And Scope In Odisha","title-short":"FARMING SYSTEM FOR NUTRITION","author":[{"family":"Rukmani","given":"R."},{"family":"Anuradha","given":"G."},{"family":"Gopinath","given":"R."},{"family":"Samyuktha","given":"Kannan"}],"issued":{"date-parts":[["2018"]]}}}],"schema":"https://github.com/citation-style-language/schema/raw/master/csl-citation.json"} </w:instrText>
      </w:r>
      <w:r w:rsidR="00974D99" w:rsidRPr="003847A6">
        <w:rPr>
          <w:rFonts w:ascii="Calibri" w:eastAsiaTheme="minorHAnsi" w:hAnsi="Calibri" w:cs="Calibri"/>
          <w:color w:val="000000" w:themeColor="text1"/>
          <w:lang w:eastAsia="en-US"/>
        </w:rPr>
        <w:fldChar w:fldCharType="separate"/>
      </w:r>
      <w:r w:rsidR="00974D99" w:rsidRPr="003847A6">
        <w:rPr>
          <w:rFonts w:ascii="Calibri" w:eastAsiaTheme="minorHAnsi" w:hAnsi="Calibri" w:cs="Calibri"/>
          <w:noProof/>
          <w:color w:val="000000" w:themeColor="text1"/>
          <w:lang w:eastAsia="en-US"/>
        </w:rPr>
        <w:t>(Rukmani et al., 2018)</w:t>
      </w:r>
      <w:r w:rsidR="00974D99" w:rsidRPr="003847A6">
        <w:rPr>
          <w:rFonts w:ascii="Calibri" w:eastAsiaTheme="minorHAnsi" w:hAnsi="Calibri" w:cs="Calibri"/>
          <w:color w:val="000000" w:themeColor="text1"/>
          <w:lang w:eastAsia="en-US"/>
        </w:rPr>
        <w:fldChar w:fldCharType="end"/>
      </w:r>
      <w:bookmarkEnd w:id="6"/>
      <w:r w:rsidR="0072519A" w:rsidRPr="003847A6">
        <w:rPr>
          <w:rFonts w:ascii="Calibri" w:eastAsiaTheme="minorHAnsi" w:hAnsi="Calibri" w:cs="Calibri"/>
          <w:color w:val="000000" w:themeColor="text1"/>
          <w:lang w:eastAsia="en-US"/>
        </w:rPr>
        <w:t xml:space="preserve">. Unlike SHGs, which primarily focus on mutual support and savings, FPOs can </w:t>
      </w:r>
      <w:r w:rsidR="0072519A" w:rsidRPr="003847A6">
        <w:rPr>
          <w:rFonts w:ascii="Calibri" w:eastAsiaTheme="minorHAnsi" w:hAnsi="Calibri" w:cs="Calibri"/>
          <w:color w:val="000000" w:themeColor="text1"/>
          <w:lang w:eastAsia="en-US"/>
        </w:rPr>
        <w:lastRenderedPageBreak/>
        <w:t xml:space="preserve">receive grants, manage assets, operate local processing units, and link directly to markets. This attention and support given to Farmers’ Producers Organisations has enabled an expansion of many of their operations, such </w:t>
      </w:r>
      <w:r w:rsidR="00EE1876" w:rsidRPr="003847A6">
        <w:rPr>
          <w:rFonts w:ascii="Calibri" w:eastAsiaTheme="minorHAnsi" w:hAnsi="Calibri" w:cs="Calibri"/>
          <w:color w:val="000000" w:themeColor="text1"/>
          <w:lang w:eastAsia="en-US"/>
        </w:rPr>
        <w:t>as seed</w:t>
      </w:r>
      <w:r w:rsidR="0072519A" w:rsidRPr="003847A6">
        <w:rPr>
          <w:rFonts w:ascii="Calibri" w:eastAsiaTheme="minorHAnsi" w:hAnsi="Calibri" w:cs="Calibri"/>
          <w:color w:val="000000" w:themeColor="text1"/>
          <w:lang w:eastAsia="en-US"/>
        </w:rPr>
        <w:t xml:space="preserve"> conservation, post-harvest operations, and aggregation, while also improving prices through reduced dependence on intermediaries</w:t>
      </w:r>
      <w:r w:rsidR="00974D99" w:rsidRPr="003847A6">
        <w:rPr>
          <w:rFonts w:ascii="Calibri" w:eastAsiaTheme="minorHAnsi" w:hAnsi="Calibri" w:cs="Calibri"/>
          <w:color w:val="000000" w:themeColor="text1"/>
          <w:lang w:eastAsia="en-US"/>
        </w:rPr>
        <w:t xml:space="preserve"> </w:t>
      </w:r>
      <w:r w:rsidR="00974D99" w:rsidRPr="003847A6">
        <w:rPr>
          <w:rFonts w:ascii="Calibri" w:eastAsiaTheme="minorHAnsi" w:hAnsi="Calibri" w:cs="Calibri"/>
          <w:color w:val="000000" w:themeColor="text1"/>
          <w:lang w:eastAsia="en-US"/>
        </w:rPr>
        <w:fldChar w:fldCharType="begin"/>
      </w:r>
      <w:r w:rsidR="00974D99" w:rsidRPr="003847A6">
        <w:rPr>
          <w:rFonts w:ascii="Calibri" w:eastAsiaTheme="minorHAnsi" w:hAnsi="Calibri" w:cs="Calibri"/>
          <w:color w:val="000000" w:themeColor="text1"/>
          <w:lang w:eastAsia="en-US"/>
        </w:rPr>
        <w:instrText xml:space="preserve"> ADDIN ZOTERO_ITEM CSL_CITATION {"citationID":"7UIbXo2u","properties":{"formattedCitation":"(CEEW, 2024)","plainCitation":"(CEEW, 2024)","noteIndex":0},"citationItems":[{"id":20606,"uris":["http://zotero.org/users/12768557/items/WM4KX6RD"],"itemData":{"id":20606,"type":"webpage","abstract":"*/","container-title":"CEEW","language":"en","title":"Odisha Millet Mission","URL":"https://www.ceew.in/sustainable-agriculture-initiatives/odisha-millets-mission-government-scheme-for-promoting-millets-in-india","author":[{"family":"CEEW","given":""}],"accessed":{"date-parts":[["2025",11,28]]},"issued":{"date-parts":[["2024",3,15]]}}}],"schema":"https://github.com/citation-style-language/schema/raw/master/csl-citation.json"} </w:instrText>
      </w:r>
      <w:r w:rsidR="00974D99" w:rsidRPr="003847A6">
        <w:rPr>
          <w:rFonts w:ascii="Calibri" w:eastAsiaTheme="minorHAnsi" w:hAnsi="Calibri" w:cs="Calibri"/>
          <w:color w:val="000000" w:themeColor="text1"/>
          <w:lang w:eastAsia="en-US"/>
        </w:rPr>
        <w:fldChar w:fldCharType="separate"/>
      </w:r>
      <w:r w:rsidR="00974D99" w:rsidRPr="003847A6">
        <w:rPr>
          <w:rFonts w:ascii="Calibri" w:eastAsiaTheme="minorHAnsi" w:hAnsi="Calibri" w:cs="Calibri"/>
          <w:noProof/>
          <w:color w:val="000000" w:themeColor="text1"/>
          <w:lang w:eastAsia="en-US"/>
        </w:rPr>
        <w:t>(CEEW, 2024)</w:t>
      </w:r>
      <w:r w:rsidR="00974D99" w:rsidRPr="003847A6">
        <w:rPr>
          <w:rFonts w:ascii="Calibri" w:eastAsiaTheme="minorHAnsi" w:hAnsi="Calibri" w:cs="Calibri"/>
          <w:color w:val="000000" w:themeColor="text1"/>
          <w:lang w:eastAsia="en-US"/>
        </w:rPr>
        <w:fldChar w:fldCharType="end"/>
      </w:r>
      <w:r w:rsidR="00974D99" w:rsidRPr="003847A6">
        <w:rPr>
          <w:rFonts w:ascii="Calibri" w:hAnsi="Calibri" w:cs="Calibri"/>
          <w:color w:val="000000" w:themeColor="text1"/>
        </w:rPr>
        <w:t>.</w:t>
      </w:r>
    </w:p>
    <w:p w14:paraId="2385F72C" w14:textId="4D872899" w:rsidR="009F29F4" w:rsidRPr="003847A6" w:rsidRDefault="00F553AB" w:rsidP="003847A6">
      <w:pPr>
        <w:pStyle w:val="NormalWeb"/>
        <w:spacing w:before="240" w:beforeAutospacing="0" w:after="240" w:afterAutospacing="0" w:line="276" w:lineRule="auto"/>
        <w:jc w:val="both"/>
        <w:rPr>
          <w:rFonts w:ascii="Calibri" w:hAnsi="Calibri" w:cs="Calibri"/>
          <w:color w:val="000000" w:themeColor="text1"/>
          <w:shd w:val="clear" w:color="auto" w:fill="FFFFFF"/>
        </w:rPr>
      </w:pPr>
      <w:r w:rsidRPr="003847A6">
        <w:rPr>
          <w:rFonts w:ascii="Calibri" w:hAnsi="Calibri" w:cs="Calibri"/>
          <w:color w:val="000000" w:themeColor="text1"/>
          <w:shd w:val="clear" w:color="auto" w:fill="FFFFFF"/>
        </w:rPr>
        <w:t>Following success</w:t>
      </w:r>
      <w:r w:rsidR="000B1688" w:rsidRPr="003847A6">
        <w:rPr>
          <w:rFonts w:ascii="Calibri" w:hAnsi="Calibri" w:cs="Calibri"/>
          <w:color w:val="000000" w:themeColor="text1"/>
          <w:shd w:val="clear" w:color="auto" w:fill="FFFFFF"/>
        </w:rPr>
        <w:t xml:space="preserve"> </w:t>
      </w:r>
      <w:r w:rsidRPr="003847A6">
        <w:rPr>
          <w:rFonts w:ascii="Calibri" w:hAnsi="Calibri" w:cs="Calibri"/>
          <w:color w:val="000000" w:themeColor="text1"/>
          <w:shd w:val="clear" w:color="auto" w:fill="FFFFFF"/>
        </w:rPr>
        <w:t xml:space="preserve">in Odisha, </w:t>
      </w:r>
      <w:bookmarkStart w:id="7" w:name="_Hlk218930986"/>
      <w:r w:rsidRPr="003847A6">
        <w:rPr>
          <w:rFonts w:ascii="Calibri" w:hAnsi="Calibri" w:cs="Calibri"/>
          <w:color w:val="000000" w:themeColor="text1"/>
          <w:shd w:val="clear" w:color="auto" w:fill="FFFFFF"/>
        </w:rPr>
        <w:t xml:space="preserve">awareness and </w:t>
      </w:r>
      <w:r w:rsidR="00880532" w:rsidRPr="003847A6">
        <w:rPr>
          <w:rFonts w:ascii="Calibri" w:hAnsi="Calibri" w:cs="Calibri"/>
          <w:color w:val="000000" w:themeColor="text1"/>
          <w:shd w:val="clear" w:color="auto" w:fill="FFFFFF"/>
        </w:rPr>
        <w:t>interest</w:t>
      </w:r>
      <w:r w:rsidRPr="003847A6">
        <w:rPr>
          <w:rFonts w:ascii="Calibri" w:hAnsi="Calibri" w:cs="Calibri"/>
          <w:color w:val="000000" w:themeColor="text1"/>
          <w:shd w:val="clear" w:color="auto" w:fill="FFFFFF"/>
        </w:rPr>
        <w:t xml:space="preserve"> towards millets grew</w:t>
      </w:r>
      <w:r w:rsidR="002969ED" w:rsidRPr="003847A6">
        <w:rPr>
          <w:rFonts w:ascii="Calibri" w:hAnsi="Calibri" w:cs="Calibri"/>
          <w:color w:val="000000" w:themeColor="text1"/>
          <w:shd w:val="clear" w:color="auto" w:fill="FFFFFF"/>
        </w:rPr>
        <w:t xml:space="preserve">: </w:t>
      </w:r>
      <w:r w:rsidRPr="003847A6">
        <w:rPr>
          <w:rFonts w:ascii="Calibri" w:hAnsi="Calibri" w:cs="Calibri"/>
          <w:color w:val="000000" w:themeColor="text1"/>
          <w:shd w:val="clear" w:color="auto" w:fill="FFFFFF"/>
        </w:rPr>
        <w:t xml:space="preserve"> India declar</w:t>
      </w:r>
      <w:r w:rsidR="002969ED" w:rsidRPr="003847A6">
        <w:rPr>
          <w:rFonts w:ascii="Calibri" w:hAnsi="Calibri" w:cs="Calibri"/>
          <w:color w:val="000000" w:themeColor="text1"/>
          <w:shd w:val="clear" w:color="auto" w:fill="FFFFFF"/>
        </w:rPr>
        <w:t xml:space="preserve">ed </w:t>
      </w:r>
      <w:r w:rsidRPr="003847A6">
        <w:rPr>
          <w:rFonts w:ascii="Calibri" w:hAnsi="Calibri" w:cs="Calibri"/>
          <w:color w:val="000000" w:themeColor="text1"/>
          <w:shd w:val="clear" w:color="auto" w:fill="FFFFFF"/>
        </w:rPr>
        <w:t>2018 as the “year of millets”</w:t>
      </w:r>
      <w:r w:rsidR="00AA6ABE" w:rsidRPr="003847A6">
        <w:rPr>
          <w:rFonts w:ascii="Calibri" w:hAnsi="Calibri" w:cs="Calibri"/>
          <w:color w:val="000000" w:themeColor="text1"/>
          <w:shd w:val="clear" w:color="auto" w:fill="FFFFFF"/>
        </w:rPr>
        <w:fldChar w:fldCharType="begin"/>
      </w:r>
      <w:r w:rsidR="00AD2E2F" w:rsidRPr="003847A6">
        <w:rPr>
          <w:rFonts w:ascii="Calibri" w:hAnsi="Calibri" w:cs="Calibri"/>
          <w:color w:val="000000" w:themeColor="text1"/>
          <w:shd w:val="clear" w:color="auto" w:fill="FFFFFF"/>
        </w:rPr>
        <w:instrText xml:space="preserve"> ADDIN ZOTERO_ITEM CSL_CITATION {"citationID":"V77u7is4","properties":{"formattedCitation":"(ICAR and Indian Institute of Millets Research, 2018)","plainCitation":"(ICAR and Indian Institute of Millets Research, 2018)","noteIndex":0},"citationItems":[{"id":20888,"uris":["http://zotero.org/users/12768557/items/547MNX64"],"itemData":{"id":20888,"type":"report","publisher":"ICAR-Indian Institute of Millets Research 2018","publisher-place":"Hyderabad","title":"Annual Report","URL":"https://www.millets.res.in/annual_report/ar17-18.pdf","author":[{"family":"ICAR","given":""},{"family":"Indian Institute of Millets Research","given":""}],"issued":{"date-parts":[["2018"]]}}}],"schema":"https://github.com/citation-style-language/schema/raw/master/csl-citation.json"} </w:instrText>
      </w:r>
      <w:r w:rsidR="00AA6ABE" w:rsidRPr="003847A6">
        <w:rPr>
          <w:rFonts w:ascii="Calibri" w:hAnsi="Calibri" w:cs="Calibri"/>
          <w:color w:val="000000" w:themeColor="text1"/>
          <w:shd w:val="clear" w:color="auto" w:fill="FFFFFF"/>
        </w:rPr>
        <w:fldChar w:fldCharType="separate"/>
      </w:r>
      <w:r w:rsidR="00AA6ABE" w:rsidRPr="003847A6">
        <w:rPr>
          <w:rFonts w:ascii="Calibri" w:hAnsi="Calibri" w:cs="Calibri"/>
          <w:noProof/>
          <w:color w:val="000000" w:themeColor="text1"/>
          <w:shd w:val="clear" w:color="auto" w:fill="FFFFFF"/>
        </w:rPr>
        <w:t>(ICAR and Indian Institute of Millets Research, 2018)</w:t>
      </w:r>
      <w:r w:rsidR="00AA6ABE" w:rsidRPr="003847A6">
        <w:rPr>
          <w:rFonts w:ascii="Calibri" w:hAnsi="Calibri" w:cs="Calibri"/>
          <w:color w:val="000000" w:themeColor="text1"/>
          <w:shd w:val="clear" w:color="auto" w:fill="FFFFFF"/>
        </w:rPr>
        <w:fldChar w:fldCharType="end"/>
      </w:r>
      <w:r w:rsidR="002969ED" w:rsidRPr="003847A6">
        <w:rPr>
          <w:rFonts w:ascii="Calibri" w:hAnsi="Calibri" w:cs="Calibri"/>
          <w:color w:val="000000" w:themeColor="text1"/>
          <w:shd w:val="clear" w:color="auto" w:fill="FFFFFF"/>
        </w:rPr>
        <w:t xml:space="preserve">, followed by FAO’s </w:t>
      </w:r>
      <w:r w:rsidRPr="003847A6">
        <w:rPr>
          <w:rFonts w:ascii="Calibri" w:hAnsi="Calibri" w:cs="Calibri"/>
          <w:color w:val="000000" w:themeColor="text1"/>
          <w:shd w:val="clear" w:color="auto" w:fill="FFFFFF"/>
        </w:rPr>
        <w:t>International Year of Millets</w:t>
      </w:r>
      <w:r w:rsidR="002969ED" w:rsidRPr="003847A6">
        <w:rPr>
          <w:rFonts w:ascii="Calibri" w:hAnsi="Calibri" w:cs="Calibri"/>
          <w:color w:val="000000" w:themeColor="text1"/>
          <w:shd w:val="clear" w:color="auto" w:fill="FFFFFF"/>
        </w:rPr>
        <w:t xml:space="preserve"> in 2023</w:t>
      </w:r>
      <w:r w:rsidRPr="003847A6">
        <w:rPr>
          <w:rFonts w:ascii="Calibri" w:hAnsi="Calibri" w:cs="Calibri"/>
          <w:color w:val="000000" w:themeColor="text1"/>
          <w:shd w:val="clear" w:color="auto" w:fill="FFFFFF"/>
        </w:rPr>
        <w:t>. M</w:t>
      </w:r>
      <w:r w:rsidR="00974D99" w:rsidRPr="003847A6">
        <w:rPr>
          <w:rFonts w:ascii="Calibri" w:hAnsi="Calibri" w:cs="Calibri"/>
          <w:color w:val="000000" w:themeColor="text1"/>
          <w:shd w:val="clear" w:color="auto" w:fill="FFFFFF"/>
        </w:rPr>
        <w:t>ulti-stakeholder consultations</w:t>
      </w:r>
      <w:r w:rsidR="00814C70" w:rsidRPr="003847A6">
        <w:rPr>
          <w:rFonts w:ascii="Calibri" w:hAnsi="Calibri" w:cs="Calibri"/>
          <w:color w:val="000000" w:themeColor="text1"/>
          <w:shd w:val="clear" w:color="auto" w:fill="FFFFFF"/>
        </w:rPr>
        <w:t xml:space="preserve"> </w:t>
      </w:r>
      <w:r w:rsidRPr="003847A6">
        <w:rPr>
          <w:rFonts w:ascii="Calibri" w:hAnsi="Calibri" w:cs="Calibri"/>
          <w:color w:val="000000" w:themeColor="text1"/>
          <w:shd w:val="clear" w:color="auto" w:fill="FFFFFF"/>
        </w:rPr>
        <w:t xml:space="preserve">(involving both national and international stakeholders) continued </w:t>
      </w:r>
      <w:r w:rsidR="00974D99" w:rsidRPr="003847A6">
        <w:rPr>
          <w:rFonts w:ascii="Calibri" w:hAnsi="Calibri" w:cs="Calibri"/>
          <w:color w:val="000000" w:themeColor="text1"/>
          <w:shd w:val="clear" w:color="auto" w:fill="FFFFFF"/>
        </w:rPr>
        <w:t xml:space="preserve"> </w:t>
      </w:r>
      <w:r w:rsidR="00974D99" w:rsidRPr="003847A6">
        <w:rPr>
          <w:rFonts w:ascii="Calibri" w:hAnsi="Calibri" w:cs="Calibri"/>
          <w:color w:val="000000" w:themeColor="text1"/>
          <w:shd w:val="clear" w:color="auto" w:fill="FFFFFF"/>
        </w:rPr>
        <w:fldChar w:fldCharType="begin"/>
      </w:r>
      <w:r w:rsidR="00AD2E2F" w:rsidRPr="003847A6">
        <w:rPr>
          <w:rFonts w:ascii="Calibri" w:hAnsi="Calibri" w:cs="Calibri"/>
          <w:color w:val="000000" w:themeColor="text1"/>
          <w:shd w:val="clear" w:color="auto" w:fill="FFFFFF"/>
        </w:rPr>
        <w:instrText xml:space="preserve"> ADDIN ZOTERO_ITEM CSL_CITATION {"citationID":"zMvwwEE1","properties":{"formattedCitation":"(Government of India, 2023; Jain, 2023; MSSRF, 2025b)","plainCitation":"(Government of India, 2023; Jain, 2023; MSSRF, 2025b)","noteIndex":0},"citationItems":[{"id":20852,"uris":["http://zotero.org/users/12768557/items/HJXPQDD4"],"itemData":{"id":20852,"type":"report","publisher":"Governement of India","publisher-place":"New Delhi","title":"SECOND NATIONAL CONFERENCE OF CHIEF SECRETARIES - International Year of Millets 2023","author":[{"family":"Government of India","given":""}],"issued":{"date-parts":[["2023"]]}}},{"id":20853,"uris":["http://zotero.org/users/12768557/items/IXUL8A54"],"itemData":{"id":20853,"type":"post-weblog","abstract":"Millets, hardy dryland crops, are gaining popularity for their nutritional qualities. 2023 is the International Year of Millets.","container-title":"Mongabay-India","language":"en-US","note":"section: Environmental news","title":"Why is 2023 the International Year of Millets? What do we achieve by celebrating such years?","title-short":"[Explainer] Why is 2023 the International Year of Millets?","URL":"https://india.mongabay.com/2023/03/explainer-why-is-2023-the-international-year-of-millets-what-do-we-achieve-by-celebrating-such-years/","author":[{"family":"Jain","given":"M"}],"accessed":{"date-parts":[["2026",1,10]]},"issued":{"date-parts":[["2023",3,10]]}}},{"id":20889,"uris":["http://zotero.org/users/12768557/items/XR8HQ8SC"],"itemData":{"id":20889,"type":"paper-conference","event-title":"M.S. Swaminathan Centenary International Conference 2025","publisher-place":"New Delhi","title":"Evergreen Revolution - The Pathway to Biohappiness","author":[{"family":"MSSRF","given":""}],"issued":{"date-parts":[["2025"]]}}}],"schema":"https://github.com/citation-style-language/schema/raw/master/csl-citation.json"} </w:instrText>
      </w:r>
      <w:r w:rsidR="00974D99" w:rsidRPr="003847A6">
        <w:rPr>
          <w:rFonts w:ascii="Calibri" w:hAnsi="Calibri" w:cs="Calibri"/>
          <w:color w:val="000000" w:themeColor="text1"/>
          <w:shd w:val="clear" w:color="auto" w:fill="FFFFFF"/>
        </w:rPr>
        <w:fldChar w:fldCharType="separate"/>
      </w:r>
      <w:r w:rsidR="00AA6ABE" w:rsidRPr="003847A6">
        <w:rPr>
          <w:rFonts w:ascii="Calibri" w:hAnsi="Calibri" w:cs="Calibri"/>
          <w:noProof/>
          <w:color w:val="000000" w:themeColor="text1"/>
          <w:shd w:val="clear" w:color="auto" w:fill="FFFFFF"/>
        </w:rPr>
        <w:t>(Government of India, 2023; Jain, 2023; MSSRF, 2025b)</w:t>
      </w:r>
      <w:r w:rsidR="00974D99" w:rsidRPr="003847A6">
        <w:rPr>
          <w:rFonts w:ascii="Calibri" w:hAnsi="Calibri" w:cs="Calibri"/>
          <w:color w:val="000000" w:themeColor="text1"/>
          <w:shd w:val="clear" w:color="auto" w:fill="FFFFFF"/>
        </w:rPr>
        <w:fldChar w:fldCharType="end"/>
      </w:r>
      <w:r w:rsidR="00A20356" w:rsidRPr="003847A6">
        <w:rPr>
          <w:rFonts w:ascii="Calibri" w:hAnsi="Calibri" w:cs="Calibri"/>
          <w:color w:val="000000" w:themeColor="text1"/>
          <w:shd w:val="clear" w:color="auto" w:fill="FFFFFF"/>
        </w:rPr>
        <w:t xml:space="preserve">. </w:t>
      </w:r>
      <w:bookmarkEnd w:id="7"/>
      <w:r w:rsidR="00A20356" w:rsidRPr="003847A6">
        <w:rPr>
          <w:rFonts w:ascii="Calibri" w:hAnsi="Calibri" w:cs="Calibri"/>
          <w:color w:val="000000" w:themeColor="text1"/>
          <w:shd w:val="clear" w:color="auto" w:fill="FFFFFF"/>
        </w:rPr>
        <w:t>In 2025, MSSRF hosted a national consultation that brought together farmers, government, researchers, and development partners to reflect on the millet experience and explore its relevance beyond Odisha</w:t>
      </w:r>
      <w:r w:rsidR="00CE79FB" w:rsidRPr="003847A6">
        <w:rPr>
          <w:rFonts w:ascii="Calibri" w:hAnsi="Calibri" w:cs="Calibri"/>
          <w:color w:val="000000" w:themeColor="text1"/>
          <w:shd w:val="clear" w:color="auto" w:fill="FFFFFF"/>
        </w:rPr>
        <w:t xml:space="preserve"> </w:t>
      </w:r>
      <w:r w:rsidR="00CE79FB" w:rsidRPr="003847A6">
        <w:rPr>
          <w:rFonts w:ascii="Calibri" w:hAnsi="Calibri" w:cs="Calibri"/>
          <w:color w:val="000000" w:themeColor="text1"/>
          <w:shd w:val="clear" w:color="auto" w:fill="FFFFFF"/>
        </w:rPr>
        <w:fldChar w:fldCharType="begin"/>
      </w:r>
      <w:r w:rsidR="00AD2E2F" w:rsidRPr="003847A6">
        <w:rPr>
          <w:rFonts w:ascii="Calibri" w:hAnsi="Calibri" w:cs="Calibri"/>
          <w:color w:val="000000" w:themeColor="text1"/>
          <w:shd w:val="clear" w:color="auto" w:fill="FFFFFF"/>
        </w:rPr>
        <w:instrText xml:space="preserve"> ADDIN ZOTERO_ITEM CSL_CITATION {"citationID":"o9gulaYG","properties":{"formattedCitation":"(MSSRF, 2025c)","plainCitation":"(MSSRF, 2025c)","noteIndex":0},"citationItems":[{"id":20855,"uris":["http://zotero.org/users/12768557/items/4I24QWPG"],"itemData":{"id":20855,"type":"paper-conference","publisher":"Tribal Agrobiodiversity Centre","publisher-place":"Koraput, Odisha","title":"Building Climate Resilient, Sustainable And Inclusive Seed Systems For Food And Nutrition Security","URL":"http://59.160.153.188/library/sites/default/files/Consolidated%20Report-NATIONAL%20CONSULTATION_27_03_2025%20%283%29.pdf","author":[{"family":"MSSRF","given":""}],"issued":{"date-parts":[["2025"]]}}}],"schema":"https://github.com/citation-style-language/schema/raw/master/csl-citation.json"} </w:instrText>
      </w:r>
      <w:r w:rsidR="00CE79FB" w:rsidRPr="003847A6">
        <w:rPr>
          <w:rFonts w:ascii="Calibri" w:hAnsi="Calibri" w:cs="Calibri"/>
          <w:color w:val="000000" w:themeColor="text1"/>
          <w:shd w:val="clear" w:color="auto" w:fill="FFFFFF"/>
        </w:rPr>
        <w:fldChar w:fldCharType="separate"/>
      </w:r>
      <w:r w:rsidR="00AA6ABE" w:rsidRPr="003847A6">
        <w:rPr>
          <w:rFonts w:ascii="Calibri" w:hAnsi="Calibri" w:cs="Calibri"/>
          <w:noProof/>
          <w:color w:val="000000" w:themeColor="text1"/>
          <w:shd w:val="clear" w:color="auto" w:fill="FFFFFF"/>
        </w:rPr>
        <w:t>(MSSRF, 2025c)</w:t>
      </w:r>
      <w:r w:rsidR="00CE79FB" w:rsidRPr="003847A6">
        <w:rPr>
          <w:rFonts w:ascii="Calibri" w:hAnsi="Calibri" w:cs="Calibri"/>
          <w:color w:val="000000" w:themeColor="text1"/>
          <w:shd w:val="clear" w:color="auto" w:fill="FFFFFF"/>
        </w:rPr>
        <w:fldChar w:fldCharType="end"/>
      </w:r>
      <w:r w:rsidR="00A20356" w:rsidRPr="003847A6">
        <w:rPr>
          <w:rFonts w:ascii="Calibri" w:hAnsi="Calibri" w:cs="Calibri"/>
          <w:color w:val="000000" w:themeColor="text1"/>
          <w:shd w:val="clear" w:color="auto" w:fill="FFFFFF"/>
        </w:rPr>
        <w:t xml:space="preserve">. The event signalled growing consensus around the value of integrating millets into broader food and nutrition </w:t>
      </w:r>
      <w:r w:rsidR="0072519A" w:rsidRPr="003847A6">
        <w:rPr>
          <w:rFonts w:ascii="Calibri" w:hAnsi="Calibri" w:cs="Calibri"/>
          <w:color w:val="000000" w:themeColor="text1"/>
          <w:shd w:val="clear" w:color="auto" w:fill="FFFFFF"/>
        </w:rPr>
        <w:t>strategies and</w:t>
      </w:r>
      <w:r w:rsidR="00A20356" w:rsidRPr="003847A6">
        <w:rPr>
          <w:rFonts w:ascii="Calibri" w:hAnsi="Calibri" w:cs="Calibri"/>
          <w:color w:val="000000" w:themeColor="text1"/>
          <w:shd w:val="clear" w:color="auto" w:fill="FFFFFF"/>
        </w:rPr>
        <w:t xml:space="preserve"> helped position Odisha as a reference point for similar efforts</w:t>
      </w:r>
      <w:r w:rsidR="0072519A" w:rsidRPr="003847A6">
        <w:rPr>
          <w:rFonts w:ascii="Calibri" w:hAnsi="Calibri" w:cs="Calibri"/>
          <w:color w:val="000000" w:themeColor="text1"/>
          <w:shd w:val="clear" w:color="auto" w:fill="FFFFFF"/>
        </w:rPr>
        <w:t xml:space="preserve"> for other crops</w:t>
      </w:r>
      <w:r w:rsidR="00A20356" w:rsidRPr="003847A6">
        <w:rPr>
          <w:rFonts w:ascii="Calibri" w:hAnsi="Calibri" w:cs="Calibri"/>
          <w:color w:val="000000" w:themeColor="text1"/>
          <w:shd w:val="clear" w:color="auto" w:fill="FFFFFF"/>
        </w:rPr>
        <w:t xml:space="preserve"> elsewhere</w:t>
      </w:r>
      <w:r w:rsidR="00CE79FB" w:rsidRPr="003847A6">
        <w:rPr>
          <w:rFonts w:ascii="Calibri" w:hAnsi="Calibri" w:cs="Calibri"/>
          <w:color w:val="000000" w:themeColor="text1"/>
          <w:shd w:val="clear" w:color="auto" w:fill="FFFFFF"/>
        </w:rPr>
        <w:t xml:space="preserve">  </w:t>
      </w:r>
      <w:r w:rsidR="00CE79FB" w:rsidRPr="003847A6">
        <w:rPr>
          <w:rFonts w:ascii="Calibri" w:hAnsi="Calibri" w:cs="Calibri"/>
          <w:color w:val="000000" w:themeColor="text1"/>
          <w:shd w:val="clear" w:color="auto" w:fill="FFFFFF"/>
        </w:rPr>
        <w:fldChar w:fldCharType="begin"/>
      </w:r>
      <w:r w:rsidR="00243F79" w:rsidRPr="003847A6">
        <w:rPr>
          <w:rFonts w:ascii="Calibri" w:hAnsi="Calibri" w:cs="Calibri"/>
          <w:color w:val="000000" w:themeColor="text1"/>
          <w:shd w:val="clear" w:color="auto" w:fill="FFFFFF"/>
        </w:rPr>
        <w:instrText xml:space="preserve"> ADDIN ZOTERO_ITEM CSL_CITATION {"citationID":"UmsJmZSE","properties":{"formattedCitation":"(APAARI, 2025; C Conti et al., 2025a)","plainCitation":"(APAARI, 2025; C Conti et al., 2025a)","noteIndex":0},"citationItems":[{"id":20861,"uris":["http://zotero.org/users/12768557/items/EEPCM7CK"],"itemData":{"id":20861,"type":"article-magazine","container-title":"Asia-Pacific Association of Agricultural Research Institutions","language":"en-US","title":"NATIONAL CONSULTATION: Transforming Seed Systems for Resilient, Sustainable, and Inclusive Agricultural Development in Asia","title-short":"NATIONAL CONSULTATION","URL":"https://www.apaari.org/national-consultation-transforming-seed-systems-for-resilient-sustainable-and-inclusive-agricultural-development-in-asia/","author":[{"family":"APAARI","given":""}],"accessed":{"date-parts":[["2026",1,10]]},"issued":{"date-parts":[["2025",9,3]]}}},{"id":20859,"uris":["http://zotero.org/users/12768557/items/85PAHI6T"],"itemData":{"id":20859,"type":"article-newspaper","abstract":"At a time when extreme weather events are threatening food production, we are sidelining the very varieties that can withstand droughts, floods, and replenish depleted soils","container-title":"The Hindu","ISSN":"0971-751X","language":"en-IN","section":"Comment","source":"www.thehindu.com","title":"Saving traditional varieties of seeds","URL":"https://www.thehindu.com/opinion/op-ed/saving-traditional-varieties-of-seeds/article69446064.ece","author":[{"family":"Conti","given":"C"},{"family":"King","given":"I. E. D."},{"family":"Rengalakshmi","given":"R"}],"accessed":{"date-parts":[["2026",1,10]]},"issued":{"date-parts":[["2025",4,13]]}}}],"schema":"https://github.com/citation-style-language/schema/raw/master/csl-citation.json"} </w:instrText>
      </w:r>
      <w:r w:rsidR="00CE79FB" w:rsidRPr="003847A6">
        <w:rPr>
          <w:rFonts w:ascii="Calibri" w:hAnsi="Calibri" w:cs="Calibri"/>
          <w:color w:val="000000" w:themeColor="text1"/>
          <w:shd w:val="clear" w:color="auto" w:fill="FFFFFF"/>
        </w:rPr>
        <w:fldChar w:fldCharType="separate"/>
      </w:r>
      <w:r w:rsidR="008B565A" w:rsidRPr="003847A6">
        <w:rPr>
          <w:rFonts w:ascii="Calibri" w:hAnsi="Calibri" w:cs="Calibri"/>
          <w:noProof/>
          <w:color w:val="000000" w:themeColor="text1"/>
          <w:shd w:val="clear" w:color="auto" w:fill="FFFFFF"/>
        </w:rPr>
        <w:t>(APAARI, 2025; C Conti et al., 2025a)</w:t>
      </w:r>
      <w:r w:rsidR="00CE79FB" w:rsidRPr="003847A6">
        <w:rPr>
          <w:rFonts w:ascii="Calibri" w:hAnsi="Calibri" w:cs="Calibri"/>
          <w:color w:val="000000" w:themeColor="text1"/>
          <w:shd w:val="clear" w:color="auto" w:fill="FFFFFF"/>
        </w:rPr>
        <w:fldChar w:fldCharType="end"/>
      </w:r>
      <w:r w:rsidR="009F29F4" w:rsidRPr="003847A6">
        <w:rPr>
          <w:rFonts w:ascii="Calibri" w:hAnsi="Calibri" w:cs="Calibri"/>
          <w:color w:val="000000" w:themeColor="text1"/>
          <w:shd w:val="clear" w:color="auto" w:fill="FFFFFF"/>
        </w:rPr>
        <w:t xml:space="preserve">. </w:t>
      </w:r>
    </w:p>
    <w:p w14:paraId="6CEEE46A" w14:textId="31066961" w:rsidR="009F29F4" w:rsidRPr="003847A6" w:rsidRDefault="009F29F4" w:rsidP="003847A6">
      <w:pPr>
        <w:rPr>
          <w:color w:val="000000" w:themeColor="text1"/>
          <w:shd w:val="clear" w:color="auto" w:fill="FFFFFF"/>
        </w:rPr>
      </w:pPr>
      <w:r w:rsidRPr="003847A6">
        <w:rPr>
          <w:color w:val="000000" w:themeColor="text1"/>
          <w:shd w:val="clear" w:color="auto" w:fill="FFFFFF"/>
        </w:rPr>
        <w:t xml:space="preserve">The more quantitative achievements of MSSRF Millet scaling process are presented below in Table 1. </w:t>
      </w:r>
    </w:p>
    <w:p w14:paraId="04C221BF" w14:textId="77777777" w:rsidR="009F29F4" w:rsidRPr="003847A6" w:rsidRDefault="009F29F4" w:rsidP="003847A6">
      <w:pPr>
        <w:rPr>
          <w:color w:val="000000" w:themeColor="text1"/>
          <w:shd w:val="clear" w:color="auto" w:fill="FFFFFF"/>
        </w:rPr>
      </w:pPr>
    </w:p>
    <w:p w14:paraId="4DE8C2B3" w14:textId="5C66067A" w:rsidR="009F29F4" w:rsidRPr="003847A6" w:rsidRDefault="009F29F4" w:rsidP="003847A6">
      <w:pPr>
        <w:rPr>
          <w:b/>
          <w:bCs/>
          <w:color w:val="000000" w:themeColor="text1"/>
          <w:shd w:val="clear" w:color="auto" w:fill="FFFFFF"/>
        </w:rPr>
      </w:pPr>
      <w:r w:rsidRPr="003847A6">
        <w:rPr>
          <w:b/>
          <w:bCs/>
          <w:color w:val="000000" w:themeColor="text1"/>
          <w:shd w:val="clear" w:color="auto" w:fill="FFFFFF"/>
        </w:rPr>
        <w:t xml:space="preserve">Table 1. MSSRF millet achievements, from 2000s to 2025s. Source </w:t>
      </w:r>
      <w:r w:rsidRPr="003847A6">
        <w:rPr>
          <w:b/>
          <w:bCs/>
          <w:color w:val="000000" w:themeColor="text1"/>
          <w:shd w:val="clear" w:color="auto" w:fill="FFFFFF"/>
        </w:rPr>
        <w:fldChar w:fldCharType="begin"/>
      </w:r>
      <w:r w:rsidR="00AD2E2F" w:rsidRPr="003847A6">
        <w:rPr>
          <w:b/>
          <w:bCs/>
          <w:color w:val="000000" w:themeColor="text1"/>
          <w:shd w:val="clear" w:color="auto" w:fill="FFFFFF"/>
        </w:rPr>
        <w:instrText xml:space="preserve"> ADDIN ZOTERO_ITEM CSL_CITATION {"citationID":"P1DpCDFK","properties":{"formattedCitation":"(C Conti et al., 2025)","plainCitation":"(C Conti et al., 2025)","dontUpdate":true,"noteIndex":0},"citationItems":[{"id":20375,"uris":["http://zotero.org/users/12768557/items/8WJEZ9DI"],"itemData":{"id":20375,"type":"report","publisher":"MSSRF","publisher-place":"Chennai","title":"Forgotten foods for India’s Food Systems: Lessons from MSSRF millet scaling in Odisha","URL":"http://59.160.153.188/library/sites/default/files/mill%20lele%20program%20review.pdf","author":[{"family":"Conti","given":"C"},{"family":"Parida","given":"P"},{"family":"King","given":"I. E.D"},{"family":"Rao","given":"Nitya"},{"family":"Rengalakshmi","given":"R"},{"family":"Gopi","given":"G"},{"family":"Lenka","given":"K. C."},{"family":"Gauda","given":"N"},{"family":"Jena","given":"P. C."},{"family":"Swaminathan","given":"S"}],"issued":{"date-parts":[["2025"]]}}}],"schema":"https://github.com/citation-style-language/schema/raw/master/csl-citation.json"} </w:instrText>
      </w:r>
      <w:r w:rsidRPr="003847A6">
        <w:rPr>
          <w:b/>
          <w:bCs/>
          <w:color w:val="000000" w:themeColor="text1"/>
          <w:shd w:val="clear" w:color="auto" w:fill="FFFFFF"/>
        </w:rPr>
        <w:fldChar w:fldCharType="separate"/>
      </w:r>
      <w:r w:rsidRPr="003847A6">
        <w:rPr>
          <w:b/>
          <w:bCs/>
          <w:noProof/>
          <w:color w:val="000000" w:themeColor="text1"/>
          <w:shd w:val="clear" w:color="auto" w:fill="FFFFFF"/>
        </w:rPr>
        <w:t>(Conti et al., 2025)</w:t>
      </w:r>
      <w:r w:rsidRPr="003847A6">
        <w:rPr>
          <w:b/>
          <w:bCs/>
          <w:color w:val="000000" w:themeColor="text1"/>
          <w:shd w:val="clear" w:color="auto" w:fill="FFFFFF"/>
        </w:rPr>
        <w:fldChar w:fldCharType="end"/>
      </w:r>
    </w:p>
    <w:tbl>
      <w:tblPr>
        <w:tblStyle w:val="TableGrid"/>
        <w:tblW w:w="9563" w:type="dxa"/>
        <w:tblLook w:val="04A0" w:firstRow="1" w:lastRow="0" w:firstColumn="1" w:lastColumn="0" w:noHBand="0" w:noVBand="1"/>
      </w:tblPr>
      <w:tblGrid>
        <w:gridCol w:w="4888"/>
        <w:gridCol w:w="2398"/>
        <w:gridCol w:w="2277"/>
      </w:tblGrid>
      <w:tr w:rsidR="009F29F4" w:rsidRPr="003847A6" w14:paraId="2724CB6E" w14:textId="77777777" w:rsidTr="00A1753D">
        <w:trPr>
          <w:trHeight w:val="446"/>
        </w:trPr>
        <w:tc>
          <w:tcPr>
            <w:tcW w:w="0" w:type="auto"/>
            <w:hideMark/>
          </w:tcPr>
          <w:p w14:paraId="758237B9" w14:textId="77777777" w:rsidR="009F29F4" w:rsidRPr="003847A6" w:rsidRDefault="009F29F4" w:rsidP="003847A6">
            <w:pPr>
              <w:rPr>
                <w:color w:val="000000" w:themeColor="text1"/>
              </w:rPr>
            </w:pPr>
            <w:r w:rsidRPr="003847A6">
              <w:rPr>
                <w:color w:val="000000" w:themeColor="text1"/>
              </w:rPr>
              <w:t>Indicator</w:t>
            </w:r>
          </w:p>
        </w:tc>
        <w:tc>
          <w:tcPr>
            <w:tcW w:w="0" w:type="auto"/>
            <w:hideMark/>
          </w:tcPr>
          <w:p w14:paraId="1FA0A739" w14:textId="77777777" w:rsidR="009F29F4" w:rsidRPr="003847A6" w:rsidRDefault="009F29F4" w:rsidP="003847A6">
            <w:pPr>
              <w:rPr>
                <w:color w:val="000000" w:themeColor="text1"/>
              </w:rPr>
            </w:pPr>
            <w:r w:rsidRPr="003847A6">
              <w:rPr>
                <w:color w:val="000000" w:themeColor="text1"/>
              </w:rPr>
              <w:t>Early 2000s</w:t>
            </w:r>
          </w:p>
        </w:tc>
        <w:tc>
          <w:tcPr>
            <w:tcW w:w="0" w:type="auto"/>
            <w:hideMark/>
          </w:tcPr>
          <w:p w14:paraId="713C08A6" w14:textId="77777777" w:rsidR="009F29F4" w:rsidRPr="003847A6" w:rsidRDefault="009F29F4" w:rsidP="003847A6">
            <w:pPr>
              <w:rPr>
                <w:color w:val="000000" w:themeColor="text1"/>
              </w:rPr>
            </w:pPr>
            <w:r w:rsidRPr="003847A6">
              <w:rPr>
                <w:color w:val="000000" w:themeColor="text1"/>
              </w:rPr>
              <w:t>2020s (up to 2025)</w:t>
            </w:r>
          </w:p>
        </w:tc>
      </w:tr>
      <w:tr w:rsidR="009F29F4" w:rsidRPr="003847A6" w14:paraId="65C91E38" w14:textId="77777777" w:rsidTr="00A1753D">
        <w:trPr>
          <w:trHeight w:val="446"/>
        </w:trPr>
        <w:tc>
          <w:tcPr>
            <w:tcW w:w="0" w:type="auto"/>
            <w:hideMark/>
          </w:tcPr>
          <w:p w14:paraId="499D0FDB" w14:textId="77777777" w:rsidR="009F29F4" w:rsidRPr="003847A6" w:rsidRDefault="009F29F4" w:rsidP="003847A6">
            <w:pPr>
              <w:rPr>
                <w:color w:val="000000" w:themeColor="text1"/>
              </w:rPr>
            </w:pPr>
            <w:r w:rsidRPr="003847A6">
              <w:rPr>
                <w:color w:val="000000" w:themeColor="text1"/>
              </w:rPr>
              <w:t>Area under cultivation</w:t>
            </w:r>
          </w:p>
        </w:tc>
        <w:tc>
          <w:tcPr>
            <w:tcW w:w="0" w:type="auto"/>
            <w:hideMark/>
          </w:tcPr>
          <w:p w14:paraId="297616AF" w14:textId="77777777" w:rsidR="009F29F4" w:rsidRPr="003847A6" w:rsidRDefault="009F29F4" w:rsidP="003847A6">
            <w:pPr>
              <w:rPr>
                <w:color w:val="000000" w:themeColor="text1"/>
              </w:rPr>
            </w:pPr>
            <w:r w:rsidRPr="003847A6">
              <w:rPr>
                <w:color w:val="000000" w:themeColor="text1"/>
              </w:rPr>
              <w:t>118.4 acres</w:t>
            </w:r>
          </w:p>
        </w:tc>
        <w:tc>
          <w:tcPr>
            <w:tcW w:w="0" w:type="auto"/>
            <w:hideMark/>
          </w:tcPr>
          <w:p w14:paraId="3250EE0C" w14:textId="77777777" w:rsidR="009F29F4" w:rsidRPr="003847A6" w:rsidRDefault="009F29F4" w:rsidP="003847A6">
            <w:pPr>
              <w:rPr>
                <w:color w:val="000000" w:themeColor="text1"/>
              </w:rPr>
            </w:pPr>
            <w:r w:rsidRPr="003847A6">
              <w:rPr>
                <w:color w:val="000000" w:themeColor="text1"/>
              </w:rPr>
              <w:t>5072 acres</w:t>
            </w:r>
          </w:p>
        </w:tc>
      </w:tr>
      <w:tr w:rsidR="009F29F4" w:rsidRPr="003847A6" w14:paraId="3EB3904C" w14:textId="77777777" w:rsidTr="00A1753D">
        <w:trPr>
          <w:trHeight w:val="446"/>
        </w:trPr>
        <w:tc>
          <w:tcPr>
            <w:tcW w:w="0" w:type="auto"/>
            <w:hideMark/>
          </w:tcPr>
          <w:p w14:paraId="6F993EB4" w14:textId="77777777" w:rsidR="009F29F4" w:rsidRPr="003847A6" w:rsidRDefault="009F29F4" w:rsidP="003847A6">
            <w:pPr>
              <w:rPr>
                <w:color w:val="000000" w:themeColor="text1"/>
              </w:rPr>
            </w:pPr>
            <w:r w:rsidRPr="003847A6">
              <w:rPr>
                <w:color w:val="000000" w:themeColor="text1"/>
              </w:rPr>
              <w:t>Average yield</w:t>
            </w:r>
          </w:p>
        </w:tc>
        <w:tc>
          <w:tcPr>
            <w:tcW w:w="0" w:type="auto"/>
            <w:hideMark/>
          </w:tcPr>
          <w:p w14:paraId="650782F6" w14:textId="77777777" w:rsidR="009F29F4" w:rsidRPr="003847A6" w:rsidRDefault="009F29F4" w:rsidP="003847A6">
            <w:pPr>
              <w:rPr>
                <w:color w:val="000000" w:themeColor="text1"/>
              </w:rPr>
            </w:pPr>
            <w:r w:rsidRPr="003847A6">
              <w:rPr>
                <w:color w:val="000000" w:themeColor="text1"/>
              </w:rPr>
              <w:t>185–587.5 kg/ha</w:t>
            </w:r>
          </w:p>
        </w:tc>
        <w:tc>
          <w:tcPr>
            <w:tcW w:w="0" w:type="auto"/>
            <w:hideMark/>
          </w:tcPr>
          <w:p w14:paraId="6C381612" w14:textId="77777777" w:rsidR="009F29F4" w:rsidRPr="003847A6" w:rsidRDefault="009F29F4" w:rsidP="003847A6">
            <w:pPr>
              <w:rPr>
                <w:color w:val="000000" w:themeColor="text1"/>
              </w:rPr>
            </w:pPr>
            <w:r w:rsidRPr="003847A6">
              <w:rPr>
                <w:color w:val="000000" w:themeColor="text1"/>
              </w:rPr>
              <w:t>1804 kg/ha (average)</w:t>
            </w:r>
          </w:p>
        </w:tc>
      </w:tr>
      <w:tr w:rsidR="009F29F4" w:rsidRPr="003847A6" w14:paraId="2DD7C50B" w14:textId="77777777" w:rsidTr="00A1753D">
        <w:trPr>
          <w:trHeight w:val="446"/>
        </w:trPr>
        <w:tc>
          <w:tcPr>
            <w:tcW w:w="0" w:type="auto"/>
            <w:hideMark/>
          </w:tcPr>
          <w:p w14:paraId="09B392B2" w14:textId="60D4A581" w:rsidR="009F29F4" w:rsidRPr="003847A6" w:rsidRDefault="009F29F4" w:rsidP="003847A6">
            <w:pPr>
              <w:rPr>
                <w:color w:val="000000" w:themeColor="text1"/>
              </w:rPr>
            </w:pPr>
            <w:r w:rsidRPr="003847A6">
              <w:rPr>
                <w:color w:val="000000" w:themeColor="text1"/>
              </w:rPr>
              <w:t xml:space="preserve">Price </w:t>
            </w:r>
          </w:p>
        </w:tc>
        <w:tc>
          <w:tcPr>
            <w:tcW w:w="0" w:type="auto"/>
            <w:hideMark/>
          </w:tcPr>
          <w:p w14:paraId="490F7D65" w14:textId="77777777" w:rsidR="009F29F4" w:rsidRPr="003847A6" w:rsidRDefault="009F29F4" w:rsidP="003847A6">
            <w:pPr>
              <w:rPr>
                <w:color w:val="000000" w:themeColor="text1"/>
              </w:rPr>
            </w:pPr>
            <w:r w:rsidRPr="003847A6">
              <w:rPr>
                <w:color w:val="000000" w:themeColor="text1"/>
              </w:rPr>
              <w:t xml:space="preserve">USD 0.04 (Rs. 4)/kg </w:t>
            </w:r>
          </w:p>
        </w:tc>
        <w:tc>
          <w:tcPr>
            <w:tcW w:w="0" w:type="auto"/>
            <w:hideMark/>
          </w:tcPr>
          <w:p w14:paraId="724A7783" w14:textId="77777777" w:rsidR="009F29F4" w:rsidRPr="003847A6" w:rsidRDefault="009F29F4" w:rsidP="003847A6">
            <w:pPr>
              <w:rPr>
                <w:color w:val="000000" w:themeColor="text1"/>
              </w:rPr>
            </w:pPr>
            <w:r w:rsidRPr="003847A6">
              <w:rPr>
                <w:color w:val="000000" w:themeColor="text1"/>
              </w:rPr>
              <w:t>USD 0.5 (Rs. 45)/kg</w:t>
            </w:r>
          </w:p>
        </w:tc>
      </w:tr>
      <w:tr w:rsidR="009F29F4" w:rsidRPr="003847A6" w14:paraId="391A8D75" w14:textId="77777777" w:rsidTr="00A1753D">
        <w:trPr>
          <w:trHeight w:val="446"/>
        </w:trPr>
        <w:tc>
          <w:tcPr>
            <w:tcW w:w="0" w:type="auto"/>
            <w:hideMark/>
          </w:tcPr>
          <w:p w14:paraId="49AEF26A" w14:textId="77777777" w:rsidR="009F29F4" w:rsidRPr="003847A6" w:rsidRDefault="009F29F4" w:rsidP="003847A6">
            <w:pPr>
              <w:rPr>
                <w:color w:val="000000" w:themeColor="text1"/>
              </w:rPr>
            </w:pPr>
            <w:r w:rsidRPr="003847A6">
              <w:rPr>
                <w:color w:val="000000" w:themeColor="text1"/>
              </w:rPr>
              <w:t>No. of villages reached</w:t>
            </w:r>
          </w:p>
        </w:tc>
        <w:tc>
          <w:tcPr>
            <w:tcW w:w="0" w:type="auto"/>
            <w:hideMark/>
          </w:tcPr>
          <w:p w14:paraId="5796A7EB" w14:textId="77777777" w:rsidR="009F29F4" w:rsidRPr="003847A6" w:rsidRDefault="009F29F4" w:rsidP="003847A6">
            <w:pPr>
              <w:rPr>
                <w:color w:val="000000" w:themeColor="text1"/>
              </w:rPr>
            </w:pPr>
            <w:r w:rsidRPr="003847A6">
              <w:rPr>
                <w:color w:val="000000" w:themeColor="text1"/>
              </w:rPr>
              <w:t>~5 villages (pilot scale)</w:t>
            </w:r>
          </w:p>
        </w:tc>
        <w:tc>
          <w:tcPr>
            <w:tcW w:w="0" w:type="auto"/>
            <w:hideMark/>
          </w:tcPr>
          <w:p w14:paraId="49B4D34A" w14:textId="77777777" w:rsidR="009F29F4" w:rsidRPr="003847A6" w:rsidRDefault="009F29F4" w:rsidP="003847A6">
            <w:pPr>
              <w:rPr>
                <w:color w:val="000000" w:themeColor="text1"/>
              </w:rPr>
            </w:pPr>
            <w:r w:rsidRPr="003847A6">
              <w:rPr>
                <w:color w:val="000000" w:themeColor="text1"/>
              </w:rPr>
              <w:t>196 villages</w:t>
            </w:r>
          </w:p>
        </w:tc>
      </w:tr>
      <w:tr w:rsidR="009F29F4" w:rsidRPr="003847A6" w14:paraId="11A25A2F" w14:textId="77777777" w:rsidTr="00A1753D">
        <w:trPr>
          <w:trHeight w:val="446"/>
        </w:trPr>
        <w:tc>
          <w:tcPr>
            <w:tcW w:w="0" w:type="auto"/>
            <w:hideMark/>
          </w:tcPr>
          <w:p w14:paraId="4AB19799" w14:textId="77777777" w:rsidR="009F29F4" w:rsidRPr="003847A6" w:rsidRDefault="009F29F4" w:rsidP="003847A6">
            <w:pPr>
              <w:rPr>
                <w:color w:val="000000" w:themeColor="text1"/>
              </w:rPr>
            </w:pPr>
            <w:r w:rsidRPr="003847A6">
              <w:rPr>
                <w:color w:val="000000" w:themeColor="text1"/>
              </w:rPr>
              <w:t>No. of farmers reached</w:t>
            </w:r>
          </w:p>
        </w:tc>
        <w:tc>
          <w:tcPr>
            <w:tcW w:w="0" w:type="auto"/>
            <w:hideMark/>
          </w:tcPr>
          <w:p w14:paraId="1A11971C" w14:textId="77777777" w:rsidR="009F29F4" w:rsidRPr="003847A6" w:rsidRDefault="009F29F4" w:rsidP="003847A6">
            <w:pPr>
              <w:rPr>
                <w:color w:val="000000" w:themeColor="text1"/>
              </w:rPr>
            </w:pPr>
            <w:r w:rsidRPr="003847A6">
              <w:rPr>
                <w:color w:val="000000" w:themeColor="text1"/>
              </w:rPr>
              <w:t>~195 households</w:t>
            </w:r>
          </w:p>
        </w:tc>
        <w:tc>
          <w:tcPr>
            <w:tcW w:w="0" w:type="auto"/>
            <w:hideMark/>
          </w:tcPr>
          <w:p w14:paraId="2FDECE70" w14:textId="77777777" w:rsidR="009F29F4" w:rsidRPr="003847A6" w:rsidRDefault="009F29F4" w:rsidP="003847A6">
            <w:pPr>
              <w:rPr>
                <w:color w:val="000000" w:themeColor="text1"/>
              </w:rPr>
            </w:pPr>
            <w:r w:rsidRPr="003847A6">
              <w:rPr>
                <w:color w:val="000000" w:themeColor="text1"/>
              </w:rPr>
              <w:t>7500 households</w:t>
            </w:r>
          </w:p>
        </w:tc>
      </w:tr>
      <w:tr w:rsidR="009F29F4" w:rsidRPr="003847A6" w14:paraId="64624D78" w14:textId="77777777" w:rsidTr="00A1753D">
        <w:trPr>
          <w:trHeight w:val="446"/>
        </w:trPr>
        <w:tc>
          <w:tcPr>
            <w:tcW w:w="0" w:type="auto"/>
            <w:hideMark/>
          </w:tcPr>
          <w:p w14:paraId="1C6A7918" w14:textId="77777777" w:rsidR="009F29F4" w:rsidRPr="003847A6" w:rsidRDefault="009F29F4" w:rsidP="003847A6">
            <w:pPr>
              <w:rPr>
                <w:color w:val="000000" w:themeColor="text1"/>
              </w:rPr>
            </w:pPr>
            <w:r w:rsidRPr="003847A6">
              <w:rPr>
                <w:color w:val="000000" w:themeColor="text1"/>
              </w:rPr>
              <w:t>Processing labour (weeding)</w:t>
            </w:r>
          </w:p>
        </w:tc>
        <w:tc>
          <w:tcPr>
            <w:tcW w:w="0" w:type="auto"/>
            <w:hideMark/>
          </w:tcPr>
          <w:p w14:paraId="3BB45427" w14:textId="77777777" w:rsidR="009F29F4" w:rsidRPr="003847A6" w:rsidRDefault="009F29F4" w:rsidP="003847A6">
            <w:pPr>
              <w:rPr>
                <w:color w:val="000000" w:themeColor="text1"/>
              </w:rPr>
            </w:pPr>
            <w:r w:rsidRPr="003847A6">
              <w:rPr>
                <w:color w:val="000000" w:themeColor="text1"/>
              </w:rPr>
              <w:t>30 days/acre</w:t>
            </w:r>
          </w:p>
        </w:tc>
        <w:tc>
          <w:tcPr>
            <w:tcW w:w="0" w:type="auto"/>
            <w:hideMark/>
          </w:tcPr>
          <w:p w14:paraId="100D2C1F" w14:textId="77777777" w:rsidR="009F29F4" w:rsidRPr="003847A6" w:rsidRDefault="009F29F4" w:rsidP="003847A6">
            <w:pPr>
              <w:rPr>
                <w:color w:val="000000" w:themeColor="text1"/>
              </w:rPr>
            </w:pPr>
            <w:r w:rsidRPr="003847A6">
              <w:rPr>
                <w:color w:val="000000" w:themeColor="text1"/>
              </w:rPr>
              <w:t>5 days/acre</w:t>
            </w:r>
          </w:p>
        </w:tc>
      </w:tr>
      <w:tr w:rsidR="009F29F4" w:rsidRPr="003847A6" w14:paraId="4FE1ED35" w14:textId="77777777" w:rsidTr="00A1753D">
        <w:trPr>
          <w:trHeight w:val="446"/>
        </w:trPr>
        <w:tc>
          <w:tcPr>
            <w:tcW w:w="0" w:type="auto"/>
            <w:hideMark/>
          </w:tcPr>
          <w:p w14:paraId="2A42D4E1" w14:textId="77777777" w:rsidR="009F29F4" w:rsidRPr="003847A6" w:rsidRDefault="009F29F4" w:rsidP="003847A6">
            <w:pPr>
              <w:rPr>
                <w:color w:val="000000" w:themeColor="text1"/>
              </w:rPr>
            </w:pPr>
            <w:r w:rsidRPr="003847A6">
              <w:rPr>
                <w:color w:val="000000" w:themeColor="text1"/>
              </w:rPr>
              <w:t>Community seed banks</w:t>
            </w:r>
          </w:p>
        </w:tc>
        <w:tc>
          <w:tcPr>
            <w:tcW w:w="0" w:type="auto"/>
            <w:hideMark/>
          </w:tcPr>
          <w:p w14:paraId="60ED7EDF" w14:textId="77777777" w:rsidR="009F29F4" w:rsidRPr="003847A6" w:rsidRDefault="009F29F4" w:rsidP="003847A6">
            <w:pPr>
              <w:rPr>
                <w:color w:val="000000" w:themeColor="text1"/>
              </w:rPr>
            </w:pPr>
            <w:r w:rsidRPr="003847A6">
              <w:rPr>
                <w:color w:val="000000" w:themeColor="text1"/>
              </w:rPr>
              <w:t>0</w:t>
            </w:r>
          </w:p>
        </w:tc>
        <w:tc>
          <w:tcPr>
            <w:tcW w:w="0" w:type="auto"/>
            <w:hideMark/>
          </w:tcPr>
          <w:p w14:paraId="122927A0" w14:textId="77777777" w:rsidR="009F29F4" w:rsidRPr="003847A6" w:rsidRDefault="009F29F4" w:rsidP="003847A6">
            <w:pPr>
              <w:rPr>
                <w:color w:val="000000" w:themeColor="text1"/>
              </w:rPr>
            </w:pPr>
            <w:r w:rsidRPr="003847A6">
              <w:rPr>
                <w:color w:val="000000" w:themeColor="text1"/>
              </w:rPr>
              <w:t>17</w:t>
            </w:r>
          </w:p>
        </w:tc>
      </w:tr>
      <w:tr w:rsidR="009F29F4" w:rsidRPr="003847A6" w14:paraId="24E374E6" w14:textId="77777777" w:rsidTr="00A1753D">
        <w:trPr>
          <w:trHeight w:val="446"/>
        </w:trPr>
        <w:tc>
          <w:tcPr>
            <w:tcW w:w="0" w:type="auto"/>
            <w:hideMark/>
          </w:tcPr>
          <w:p w14:paraId="2955DA0E" w14:textId="77777777" w:rsidR="009F29F4" w:rsidRPr="003847A6" w:rsidRDefault="009F29F4" w:rsidP="003847A6">
            <w:pPr>
              <w:rPr>
                <w:color w:val="000000" w:themeColor="text1"/>
              </w:rPr>
            </w:pPr>
            <w:r w:rsidRPr="003847A6">
              <w:rPr>
                <w:color w:val="000000" w:themeColor="text1"/>
              </w:rPr>
              <w:t>Villages with Decentralised procurement system</w:t>
            </w:r>
          </w:p>
        </w:tc>
        <w:tc>
          <w:tcPr>
            <w:tcW w:w="0" w:type="auto"/>
            <w:hideMark/>
          </w:tcPr>
          <w:p w14:paraId="5D9B0FB8" w14:textId="77777777" w:rsidR="009F29F4" w:rsidRPr="003847A6" w:rsidRDefault="009F29F4" w:rsidP="003847A6">
            <w:pPr>
              <w:rPr>
                <w:color w:val="000000" w:themeColor="text1"/>
              </w:rPr>
            </w:pPr>
            <w:r w:rsidRPr="003847A6">
              <w:rPr>
                <w:color w:val="000000" w:themeColor="text1"/>
              </w:rPr>
              <w:t>0</w:t>
            </w:r>
          </w:p>
        </w:tc>
        <w:tc>
          <w:tcPr>
            <w:tcW w:w="0" w:type="auto"/>
            <w:hideMark/>
          </w:tcPr>
          <w:p w14:paraId="20B6EE5F" w14:textId="77777777" w:rsidR="009F29F4" w:rsidRPr="003847A6" w:rsidRDefault="009F29F4" w:rsidP="003847A6">
            <w:pPr>
              <w:rPr>
                <w:color w:val="000000" w:themeColor="text1"/>
              </w:rPr>
            </w:pPr>
            <w:r w:rsidRPr="003847A6">
              <w:rPr>
                <w:color w:val="000000" w:themeColor="text1"/>
              </w:rPr>
              <w:t>216 villages</w:t>
            </w:r>
          </w:p>
        </w:tc>
      </w:tr>
    </w:tbl>
    <w:p w14:paraId="388FE8FD" w14:textId="58DE2997" w:rsidR="009F29F4" w:rsidRPr="003847A6" w:rsidRDefault="009F29F4" w:rsidP="003847A6">
      <w:pPr>
        <w:rPr>
          <w:color w:val="000000" w:themeColor="text1"/>
          <w:shd w:val="clear" w:color="auto" w:fill="FFFFFF"/>
        </w:rPr>
      </w:pPr>
    </w:p>
    <w:p w14:paraId="645B1CE2" w14:textId="213DEEC6" w:rsidR="00A20356" w:rsidRPr="003847A6" w:rsidRDefault="007D50B8" w:rsidP="003847A6">
      <w:pPr>
        <w:pStyle w:val="Heading1"/>
      </w:pPr>
      <w:bookmarkStart w:id="8" w:name="_Hlk229233816"/>
      <w:r w:rsidRPr="003847A6">
        <w:t xml:space="preserve">Analysis </w:t>
      </w:r>
    </w:p>
    <w:p w14:paraId="2D9B615C" w14:textId="1504EFF1" w:rsidR="00717243" w:rsidRPr="003847A6" w:rsidRDefault="00717243" w:rsidP="003847A6">
      <w:pPr>
        <w:rPr>
          <w:color w:val="000000" w:themeColor="text1"/>
        </w:rPr>
      </w:pPr>
      <w:r w:rsidRPr="003847A6">
        <w:rPr>
          <w:color w:val="000000" w:themeColor="text1"/>
        </w:rPr>
        <w:t xml:space="preserve">This section </w:t>
      </w:r>
      <w:r w:rsidR="004B01BA" w:rsidRPr="003847A6">
        <w:rPr>
          <w:color w:val="000000" w:themeColor="text1"/>
        </w:rPr>
        <w:t>revisits the</w:t>
      </w:r>
      <w:r w:rsidRPr="003847A6">
        <w:rPr>
          <w:color w:val="000000" w:themeColor="text1"/>
        </w:rPr>
        <w:t xml:space="preserve"> case study to show how scaling occurred through interconnected changes across multiple elements (Box 1) </w:t>
      </w:r>
      <w:r w:rsidR="004B01BA" w:rsidRPr="003847A6">
        <w:rPr>
          <w:color w:val="000000" w:themeColor="text1"/>
        </w:rPr>
        <w:t xml:space="preserve">across the </w:t>
      </w:r>
      <w:r w:rsidRPr="003847A6">
        <w:rPr>
          <w:color w:val="000000" w:themeColor="text1"/>
        </w:rPr>
        <w:t>three spheres of scaling</w:t>
      </w:r>
      <w:r w:rsidR="004B01BA" w:rsidRPr="003847A6">
        <w:rPr>
          <w:color w:val="000000" w:themeColor="text1"/>
        </w:rPr>
        <w:t xml:space="preserve"> </w:t>
      </w:r>
      <w:r w:rsidR="006F6A85" w:rsidRPr="003847A6">
        <w:rPr>
          <w:color w:val="000000" w:themeColor="text1"/>
        </w:rPr>
        <w:t>presented</w:t>
      </w:r>
      <w:r w:rsidR="00FB1C75" w:rsidRPr="003847A6">
        <w:rPr>
          <w:color w:val="000000" w:themeColor="text1"/>
        </w:rPr>
        <w:t xml:space="preserve"> </w:t>
      </w:r>
      <w:r w:rsidR="004B01BA" w:rsidRPr="003847A6">
        <w:rPr>
          <w:color w:val="000000" w:themeColor="text1"/>
        </w:rPr>
        <w:t xml:space="preserve">in section 2.2 </w:t>
      </w:r>
      <w:r w:rsidRPr="003847A6">
        <w:rPr>
          <w:color w:val="000000" w:themeColor="text1"/>
        </w:rPr>
        <w:t>—</w:t>
      </w:r>
      <w:r w:rsidR="00CD16F4" w:rsidRPr="003847A6">
        <w:rPr>
          <w:color w:val="000000" w:themeColor="text1"/>
        </w:rPr>
        <w:t xml:space="preserve"> (</w:t>
      </w:r>
      <w:proofErr w:type="spellStart"/>
      <w:r w:rsidR="00CD16F4" w:rsidRPr="003847A6">
        <w:rPr>
          <w:color w:val="000000" w:themeColor="text1"/>
        </w:rPr>
        <w:t>i</w:t>
      </w:r>
      <w:proofErr w:type="spellEnd"/>
      <w:r w:rsidR="00CD16F4" w:rsidRPr="003847A6">
        <w:rPr>
          <w:color w:val="000000" w:themeColor="text1"/>
        </w:rPr>
        <w:t xml:space="preserve">) </w:t>
      </w:r>
      <w:r w:rsidRPr="003847A6">
        <w:rPr>
          <w:color w:val="000000" w:themeColor="text1"/>
        </w:rPr>
        <w:t xml:space="preserve">the local sphere, </w:t>
      </w:r>
      <w:r w:rsidR="00CD16F4" w:rsidRPr="003847A6">
        <w:rPr>
          <w:color w:val="000000" w:themeColor="text1"/>
        </w:rPr>
        <w:t xml:space="preserve">(ii) </w:t>
      </w:r>
      <w:r w:rsidRPr="003847A6">
        <w:rPr>
          <w:color w:val="000000" w:themeColor="text1"/>
        </w:rPr>
        <w:t xml:space="preserve">the networks, relationships and intermediation sphere, and </w:t>
      </w:r>
      <w:r w:rsidR="00CD16F4" w:rsidRPr="003847A6">
        <w:rPr>
          <w:color w:val="000000" w:themeColor="text1"/>
        </w:rPr>
        <w:t xml:space="preserve">(iii) </w:t>
      </w:r>
      <w:r w:rsidRPr="003847A6">
        <w:rPr>
          <w:color w:val="000000" w:themeColor="text1"/>
        </w:rPr>
        <w:t>the system sphere</w:t>
      </w:r>
      <w:r w:rsidR="004B01BA" w:rsidRPr="003847A6">
        <w:rPr>
          <w:color w:val="000000" w:themeColor="text1"/>
        </w:rPr>
        <w:t xml:space="preserve">. The scaling process took more than 20 years of engagement </w:t>
      </w:r>
      <w:r w:rsidR="00C25963" w:rsidRPr="003847A6">
        <w:rPr>
          <w:color w:val="000000" w:themeColor="text1"/>
        </w:rPr>
        <w:t xml:space="preserve">by </w:t>
      </w:r>
      <w:r w:rsidR="004B01BA" w:rsidRPr="003847A6">
        <w:rPr>
          <w:color w:val="000000" w:themeColor="text1"/>
        </w:rPr>
        <w:t xml:space="preserve">MSSRF. This analysis is then used </w:t>
      </w:r>
      <w:r w:rsidRPr="003847A6">
        <w:rPr>
          <w:color w:val="000000" w:themeColor="text1"/>
        </w:rPr>
        <w:t>to propose a novel scaling framework</w:t>
      </w:r>
      <w:r w:rsidR="00B63D5F" w:rsidRPr="003847A6">
        <w:rPr>
          <w:color w:val="000000" w:themeColor="text1"/>
        </w:rPr>
        <w:t xml:space="preserve"> (Figure 1)</w:t>
      </w:r>
      <w:r w:rsidRPr="003847A6">
        <w:rPr>
          <w:color w:val="000000" w:themeColor="text1"/>
        </w:rPr>
        <w:t>.</w:t>
      </w:r>
    </w:p>
    <w:p w14:paraId="2506C95D" w14:textId="77777777" w:rsidR="00717243" w:rsidRPr="003847A6" w:rsidRDefault="00717243" w:rsidP="003847A6">
      <w:pPr>
        <w:rPr>
          <w:color w:val="000000" w:themeColor="text1"/>
        </w:rPr>
      </w:pPr>
    </w:p>
    <w:p w14:paraId="3CF2C2DA" w14:textId="3E0FD742" w:rsidR="00717243" w:rsidRPr="003847A6" w:rsidRDefault="00717243" w:rsidP="003847A6">
      <w:pPr>
        <w:rPr>
          <w:color w:val="000000" w:themeColor="text1"/>
        </w:rPr>
      </w:pPr>
      <w:r w:rsidRPr="003847A6">
        <w:rPr>
          <w:color w:val="000000" w:themeColor="text1"/>
        </w:rPr>
        <w:lastRenderedPageBreak/>
        <w:t>Initially, MSSRF was focused on the local sphere. The organisation tackled local barriers to adoption by expanding technology options for farmers, including processing infrastructure (to reduce drudgery) and varietal improvement achieved through participatory R&amp;D. It also created local institutions, such as SHGs and women-managed seed and grain banks. Combined with training and nutrition messaging, these changes started altering practices, behaviours and values</w:t>
      </w:r>
      <w:r w:rsidR="007F3926" w:rsidRPr="003847A6">
        <w:rPr>
          <w:color w:val="000000" w:themeColor="text1"/>
        </w:rPr>
        <w:t>, creating an opening for different production and consumption patterns</w:t>
      </w:r>
      <w:r w:rsidRPr="003847A6">
        <w:rPr>
          <w:color w:val="000000" w:themeColor="text1"/>
        </w:rPr>
        <w:t xml:space="preserve"> at the local level</w:t>
      </w:r>
      <w:r w:rsidR="007F3926" w:rsidRPr="003847A6">
        <w:rPr>
          <w:color w:val="000000" w:themeColor="text1"/>
        </w:rPr>
        <w:t xml:space="preserve">. </w:t>
      </w:r>
    </w:p>
    <w:p w14:paraId="0EE9D4AE" w14:textId="77777777" w:rsidR="00717243" w:rsidRPr="003847A6" w:rsidRDefault="00717243" w:rsidP="003847A6">
      <w:pPr>
        <w:rPr>
          <w:color w:val="000000" w:themeColor="text1"/>
        </w:rPr>
      </w:pPr>
    </w:p>
    <w:p w14:paraId="4829E7C5" w14:textId="2588540B" w:rsidR="00717243" w:rsidRPr="003847A6" w:rsidRDefault="00717243" w:rsidP="003847A6">
      <w:pPr>
        <w:rPr>
          <w:color w:val="000000" w:themeColor="text1"/>
        </w:rPr>
      </w:pPr>
      <w:r w:rsidRPr="003847A6">
        <w:rPr>
          <w:color w:val="000000" w:themeColor="text1"/>
        </w:rPr>
        <w:t>Work then concentrated in the networks, relationships and intermediation sphere, where local viability was translated into wider collaboration and interest. R&amp;D and technology were taken forward and refined through collaborations with partners such as ICRISAT, FAO and the Swiss Agency for Development and Cooperation, supporting further productivity gains and additional infrastructure, including shared milling and storage facilities that enabled wider use and early commercial activity. Institutions matured as SHGs coordinated training, seed conservation, and product experimentation and became platforms for</w:t>
      </w:r>
      <w:r w:rsidR="00C25963" w:rsidRPr="003847A6">
        <w:rPr>
          <w:color w:val="000000" w:themeColor="text1"/>
        </w:rPr>
        <w:t xml:space="preserve"> </w:t>
      </w:r>
      <w:r w:rsidR="00880532" w:rsidRPr="003847A6">
        <w:rPr>
          <w:color w:val="000000" w:themeColor="text1"/>
        </w:rPr>
        <w:t>peer-to-peer</w:t>
      </w:r>
      <w:r w:rsidRPr="003847A6">
        <w:rPr>
          <w:color w:val="000000" w:themeColor="text1"/>
        </w:rPr>
        <w:t xml:space="preserve"> learning. Policy and institutional change </w:t>
      </w:r>
      <w:r w:rsidR="00814C70" w:rsidRPr="003847A6">
        <w:rPr>
          <w:color w:val="000000" w:themeColor="text1"/>
        </w:rPr>
        <w:t>were</w:t>
      </w:r>
      <w:r w:rsidRPr="003847A6">
        <w:rPr>
          <w:color w:val="000000" w:themeColor="text1"/>
        </w:rPr>
        <w:t xml:space="preserve"> pursued through advocacy and agenda-setting, with community knowledge, preferences and challenges being increasingly recognised in policy discussions (e.g. around the National Food Security Act) and in global fora (e.g. FAO </w:t>
      </w:r>
      <w:r w:rsidR="000867D5" w:rsidRPr="003847A6">
        <w:rPr>
          <w:color w:val="000000" w:themeColor="text1"/>
        </w:rPr>
        <w:t>Globally important</w:t>
      </w:r>
      <w:r w:rsidRPr="003847A6">
        <w:rPr>
          <w:color w:val="000000" w:themeColor="text1"/>
        </w:rPr>
        <w:t xml:space="preserve"> Agricultural Heritage Systems recognition). Actions in this sphere contributed to the credibility and legitimacy needed for subsequent </w:t>
      </w:r>
      <w:r w:rsidR="00C25963" w:rsidRPr="003847A6">
        <w:rPr>
          <w:color w:val="000000" w:themeColor="text1"/>
        </w:rPr>
        <w:t>action in the system sphere</w:t>
      </w:r>
      <w:r w:rsidRPr="003847A6">
        <w:rPr>
          <w:color w:val="000000" w:themeColor="text1"/>
        </w:rPr>
        <w:t>.</w:t>
      </w:r>
      <w:r w:rsidR="007F3926" w:rsidRPr="003847A6">
        <w:rPr>
          <w:color w:val="000000" w:themeColor="text1"/>
        </w:rPr>
        <w:t xml:space="preserve"> Together, these changes gave millets greater visibility and created the conditions for later shifts in public policy, investment, procurement, and institutional support.</w:t>
      </w:r>
    </w:p>
    <w:p w14:paraId="218EFC49" w14:textId="77777777" w:rsidR="00717243" w:rsidRPr="003847A6" w:rsidRDefault="00717243" w:rsidP="003847A6">
      <w:pPr>
        <w:rPr>
          <w:color w:val="000000" w:themeColor="text1"/>
        </w:rPr>
      </w:pPr>
    </w:p>
    <w:p w14:paraId="20535759" w14:textId="27DCA95C" w:rsidR="00E51BC0" w:rsidRPr="003847A6" w:rsidRDefault="00717243" w:rsidP="003847A6">
      <w:pPr>
        <w:rPr>
          <w:color w:val="000000" w:themeColor="text1"/>
        </w:rPr>
      </w:pPr>
      <w:r w:rsidRPr="003847A6">
        <w:rPr>
          <w:color w:val="000000" w:themeColor="text1"/>
        </w:rPr>
        <w:t>In the system sphere, scaling was carried through formal instruments and state mechanisms. Policies and institutions became the main lever of change through the Odisha Millet Mission, shifting scaling from implementation/project arrangements to formal state mechanisms. Infrastructure and delivery arrangements became institutionalised through procurement centres and decentralised processing units. Millet inclusion in public procurement (block-level and state-level) and nutrition schemes (Public Distribution System, school feeding via Integrated Child Development Services) anchored demand through formal programmes. Political support encouraged the set-up of Farmer Producer Organisations, which could receive grants, manage assets, operate processing units, and aggregate directly to markets, becoming recognised institutions in the food system. R&amp;D and technology continued through seed conservation, participatory varietal work, and agronomic support, aligned with and supported by state policies. Initiatives such as the National Year of Millet and the International Year of Millet reinforced wider visibility</w:t>
      </w:r>
      <w:r w:rsidR="007F3926" w:rsidRPr="003847A6">
        <w:rPr>
          <w:color w:val="000000" w:themeColor="text1"/>
        </w:rPr>
        <w:t xml:space="preserve">, shifting a vision of the food system centred on major crops like wheat and rice towards a new direction, where millets were framed as one of the possible and desirable solutions to shift food systems towards environmental sustainability, economic well-being, social inclusion and cultural diversity agendas </w:t>
      </w:r>
      <w:r w:rsidR="00B63D5F" w:rsidRPr="003847A6">
        <w:rPr>
          <w:color w:val="000000" w:themeColor="text1"/>
        </w:rPr>
        <w:fldChar w:fldCharType="begin"/>
      </w:r>
      <w:r w:rsidR="00F21C07" w:rsidRPr="003847A6">
        <w:rPr>
          <w:color w:val="000000" w:themeColor="text1"/>
        </w:rPr>
        <w:instrText xml:space="preserve"> ADDIN ZOTERO_ITEM CSL_CITATION {"citationID":"zhDTxX9s","properties":{"unsorted":false,"formattedCitation":"(Government of India, 2025b)","plainCitation":"(Government of India, 2025b)","noteIndex":0},"citationItems":[{"id":20890,"uris":["http://zotero.org/users/12768557/items/P3JRYM5B"],"itemData":{"id":20890,"type":"document","publisher":"Government of India","title":"Shree Anna for Shreshta Bharat Empowering India through Millets","URL":"https://www.pib.gov.in/PressNoteDetails.aspx?ModuleId=3&amp;NoteId=154991&amp;utm&amp;reg=3&amp;lang=2","author":[{"family":"Government of India","given":""}],"accessed":{"date-parts":[["2026",1,10]]},"issued":{"date-parts":[["2025"]]}}}],"schema":"https://github.com/citation-style-language/schema/raw/master/csl-citation.json"} </w:instrText>
      </w:r>
      <w:r w:rsidR="00B63D5F" w:rsidRPr="003847A6">
        <w:rPr>
          <w:color w:val="000000" w:themeColor="text1"/>
        </w:rPr>
        <w:fldChar w:fldCharType="separate"/>
      </w:r>
      <w:r w:rsidR="00F21C07" w:rsidRPr="003847A6">
        <w:rPr>
          <w:noProof/>
          <w:color w:val="000000" w:themeColor="text1"/>
        </w:rPr>
        <w:t>(Government of India, 2025b)</w:t>
      </w:r>
      <w:r w:rsidR="00B63D5F" w:rsidRPr="003847A6">
        <w:rPr>
          <w:color w:val="000000" w:themeColor="text1"/>
        </w:rPr>
        <w:fldChar w:fldCharType="end"/>
      </w:r>
      <w:r w:rsidR="00B63D5F" w:rsidRPr="003847A6">
        <w:rPr>
          <w:color w:val="000000" w:themeColor="text1"/>
        </w:rPr>
        <w:t>.</w:t>
      </w:r>
      <w:r w:rsidRPr="003847A6">
        <w:rPr>
          <w:color w:val="000000" w:themeColor="text1"/>
        </w:rPr>
        <w:t xml:space="preserve"> </w:t>
      </w:r>
      <w:bookmarkEnd w:id="8"/>
    </w:p>
    <w:p w14:paraId="7903FDBF" w14:textId="77777777" w:rsidR="004B01BA" w:rsidRPr="003847A6" w:rsidRDefault="004B01BA" w:rsidP="003847A6">
      <w:pPr>
        <w:rPr>
          <w:color w:val="000000" w:themeColor="text1"/>
        </w:rPr>
      </w:pPr>
    </w:p>
    <w:p w14:paraId="7C53326F" w14:textId="632C50D5" w:rsidR="00E51BC0" w:rsidRPr="003847A6" w:rsidRDefault="00E51BC0" w:rsidP="003847A6">
      <w:pPr>
        <w:pStyle w:val="Heading1"/>
      </w:pPr>
      <w:r w:rsidRPr="003847A6">
        <w:lastRenderedPageBreak/>
        <w:t>Discussion</w:t>
      </w:r>
    </w:p>
    <w:p w14:paraId="1EC2BC32" w14:textId="77777777" w:rsidR="00E51BC0" w:rsidRPr="003847A6" w:rsidRDefault="00E51BC0" w:rsidP="003847A6">
      <w:pPr>
        <w:autoSpaceDE w:val="0"/>
        <w:autoSpaceDN w:val="0"/>
        <w:adjustRightInd w:val="0"/>
        <w:rPr>
          <w:color w:val="000000" w:themeColor="text1"/>
          <w14:ligatures w14:val="standardContextual"/>
        </w:rPr>
      </w:pPr>
      <w:r w:rsidRPr="003847A6">
        <w:rPr>
          <w:color w:val="000000" w:themeColor="text1"/>
          <w14:ligatures w14:val="standardContextual"/>
        </w:rPr>
        <w:t xml:space="preserve">This section aims to answer the two research questions around </w:t>
      </w:r>
      <w:proofErr w:type="spellStart"/>
      <w:r w:rsidRPr="003847A6">
        <w:rPr>
          <w:color w:val="000000" w:themeColor="text1"/>
          <w14:ligatures w14:val="standardContextual"/>
        </w:rPr>
        <w:t>i</w:t>
      </w:r>
      <w:proofErr w:type="spellEnd"/>
      <w:r w:rsidRPr="003847A6">
        <w:rPr>
          <w:color w:val="000000" w:themeColor="text1"/>
          <w14:ligatures w14:val="standardContextual"/>
        </w:rPr>
        <w:t>) the features of the scaling process and ii) the roles of the organisations triggering this process, to then relate them to the broader debates in the literature around scaling.</w:t>
      </w:r>
    </w:p>
    <w:p w14:paraId="12470139" w14:textId="0F68BE14" w:rsidR="00E51BC0" w:rsidRPr="003847A6" w:rsidRDefault="00E51BC0" w:rsidP="003847A6">
      <w:pPr>
        <w:rPr>
          <w:color w:val="000000" w:themeColor="text1"/>
          <w14:ligatures w14:val="standardContextual"/>
        </w:rPr>
      </w:pPr>
    </w:p>
    <w:p w14:paraId="026AEA9A" w14:textId="7E7291F0" w:rsidR="00E51BC0" w:rsidRPr="003847A6" w:rsidRDefault="00E51BC0" w:rsidP="003847A6">
      <w:pPr>
        <w:rPr>
          <w:i/>
          <w:iCs/>
          <w:color w:val="000000" w:themeColor="text1"/>
          <w14:ligatures w14:val="standardContextual"/>
        </w:rPr>
      </w:pPr>
      <w:r w:rsidRPr="003847A6">
        <w:rPr>
          <w:i/>
          <w:iCs/>
          <w:color w:val="000000" w:themeColor="text1"/>
          <w14:ligatures w14:val="standardContextual"/>
        </w:rPr>
        <w:t xml:space="preserve">6.1 A novel framework highlighting the importance of synchronisation and sequencing in scaling processes </w:t>
      </w:r>
    </w:p>
    <w:p w14:paraId="4D79E4FB" w14:textId="469B93E9" w:rsidR="00BA289A" w:rsidRPr="003847A6" w:rsidRDefault="002F1B3F" w:rsidP="003847A6">
      <w:pPr>
        <w:rPr>
          <w:color w:val="000000" w:themeColor="text1"/>
        </w:rPr>
      </w:pPr>
      <w:bookmarkStart w:id="9" w:name="_Hlk219112693"/>
      <w:r w:rsidRPr="003847A6">
        <w:rPr>
          <w:color w:val="000000" w:themeColor="text1"/>
        </w:rPr>
        <w:t>Based on the analysis conducted in Section 5, we present the 3-Spheres (3S) gearing framework (Figure 1). The framework suggests that scaling requires two linked processes: synchronising changes across system elements within each sphere, and sequencing action across spheres over time</w:t>
      </w:r>
      <w:r w:rsidR="00BA289A" w:rsidRPr="003847A6">
        <w:rPr>
          <w:color w:val="000000" w:themeColor="text1"/>
        </w:rPr>
        <w:t>. The system elements are those identified in Box 1: technology options, infrastructure, behaviours and values, R&amp;D, policies and institutions, and political economy. The three spheres are the local sphere, the networks, relationships and intermediation sphere, and the system sphere.</w:t>
      </w:r>
    </w:p>
    <w:p w14:paraId="2F30AC2A" w14:textId="395867FF" w:rsidR="00BA289A" w:rsidRPr="003847A6" w:rsidRDefault="002F1B3F" w:rsidP="003847A6">
      <w:pPr>
        <w:pStyle w:val="NormalWeb"/>
        <w:spacing w:line="276" w:lineRule="auto"/>
        <w:jc w:val="both"/>
        <w:rPr>
          <w:rFonts w:ascii="Calibri" w:eastAsiaTheme="minorHAnsi" w:hAnsi="Calibri" w:cs="Calibri"/>
          <w:color w:val="000000" w:themeColor="text1"/>
          <w:lang w:eastAsia="en-US"/>
        </w:rPr>
      </w:pPr>
      <w:r w:rsidRPr="003847A6">
        <w:rPr>
          <w:rFonts w:ascii="Calibri" w:hAnsi="Calibri" w:cs="Calibri"/>
          <w:color w:val="000000" w:themeColor="text1"/>
        </w:rPr>
        <w:tab/>
      </w:r>
      <w:r w:rsidR="00BA289A" w:rsidRPr="003847A6">
        <w:rPr>
          <w:rFonts w:ascii="Calibri" w:eastAsiaTheme="minorHAnsi" w:hAnsi="Calibri" w:cs="Calibri"/>
          <w:color w:val="000000" w:themeColor="text1"/>
          <w:lang w:eastAsia="en-US"/>
        </w:rPr>
        <w:t xml:space="preserve">Synchronisation refers to </w:t>
      </w:r>
      <w:r w:rsidR="00BA289A" w:rsidRPr="003847A6">
        <w:rPr>
          <w:rFonts w:ascii="Calibri" w:eastAsiaTheme="minorHAnsi" w:hAnsi="Calibri" w:cs="Calibri"/>
          <w:i/>
          <w:iCs/>
          <w:color w:val="000000" w:themeColor="text1"/>
          <w:lang w:eastAsia="en-US"/>
        </w:rPr>
        <w:t>what needs to align at the same time</w:t>
      </w:r>
      <w:r w:rsidR="00BA289A" w:rsidRPr="003847A6">
        <w:rPr>
          <w:rFonts w:ascii="Calibri" w:eastAsiaTheme="minorHAnsi" w:hAnsi="Calibri" w:cs="Calibri"/>
          <w:color w:val="000000" w:themeColor="text1"/>
          <w:lang w:eastAsia="en-US"/>
        </w:rPr>
        <w:t xml:space="preserve"> – and at a compatible pace</w:t>
      </w:r>
      <w:r w:rsidR="005E34CD" w:rsidRPr="003847A6">
        <w:rPr>
          <w:rFonts w:ascii="Calibri" w:eastAsiaTheme="minorHAnsi" w:hAnsi="Calibri" w:cs="Calibri"/>
          <w:color w:val="000000" w:themeColor="text1"/>
          <w:lang w:eastAsia="en-US"/>
        </w:rPr>
        <w:t xml:space="preserve"> </w:t>
      </w:r>
      <w:r w:rsidR="005E34CD" w:rsidRPr="003847A6">
        <w:rPr>
          <w:rFonts w:ascii="Calibri" w:hAnsi="Calibri" w:cs="Calibri"/>
          <w:color w:val="000000" w:themeColor="text1"/>
        </w:rPr>
        <w:fldChar w:fldCharType="begin"/>
      </w:r>
      <w:r w:rsidR="005E34CD" w:rsidRPr="003847A6">
        <w:rPr>
          <w:rFonts w:ascii="Calibri" w:hAnsi="Calibri" w:cs="Calibri"/>
          <w:color w:val="000000" w:themeColor="text1"/>
        </w:rPr>
        <w:instrText xml:space="preserve"> ADDIN ZOTERO_ITEM CSL_CITATION {"citationID":"rmTbPo4W","properties":{"formattedCitation":"(Conti et al., 2021; Pel, 2012)","plainCitation":"(Conti et al., 2021; Pel, 2012)","noteIndex":0},"citationItems":[{"id":1890,"uris":["http://zotero.org/users/12768557/items/UFNXSZRE"],"itemData":{"id":1890,"type":"article-journal","container-title":"Global Food Security","DOI":"10.1016/j.gfs.2021.100576","issue":"June","page":"100576-100576","publisher":"Elsevier B.V.","title":"Why are agri-food systems resistant to new directions of change ? A systematic review","volume":"31","author":[{"family":"Conti","given":"Costanza"},{"family":"Zanello","given":"Giacomo"},{"family":"Hall","given":"Andy"}],"issued":{"date-parts":[["2021",12]]}}},{"id":20892,"uris":["http://zotero.org/users/12768557/items/AS6MS4Q3"],"itemData":{"id":20892,"type":"thesis","publisher":"Erasmus University Rotterdam","publisher-place":"Rotterdam","title":"System innovation as Synchronization; innovation attempts in the Dutch traffic management field","author":[{"family":"Pel","given":"B"}],"issued":{"date-parts":[["2012"]]}}}],"schema":"https://github.com/citation-style-language/schema/raw/master/csl-citation.json"} </w:instrText>
      </w:r>
      <w:r w:rsidR="005E34CD" w:rsidRPr="003847A6">
        <w:rPr>
          <w:rFonts w:ascii="Calibri" w:hAnsi="Calibri" w:cs="Calibri"/>
          <w:color w:val="000000" w:themeColor="text1"/>
        </w:rPr>
        <w:fldChar w:fldCharType="separate"/>
      </w:r>
      <w:r w:rsidR="005E34CD" w:rsidRPr="003847A6">
        <w:rPr>
          <w:rFonts w:ascii="Calibri" w:hAnsi="Calibri" w:cs="Calibri"/>
          <w:noProof/>
          <w:color w:val="000000" w:themeColor="text1"/>
        </w:rPr>
        <w:t>(Conti et al., 2021; Pel, 2012)</w:t>
      </w:r>
      <w:r w:rsidR="005E34CD" w:rsidRPr="003847A6">
        <w:rPr>
          <w:rFonts w:ascii="Calibri" w:hAnsi="Calibri" w:cs="Calibri"/>
          <w:color w:val="000000" w:themeColor="text1"/>
        </w:rPr>
        <w:fldChar w:fldCharType="end"/>
      </w:r>
      <w:r w:rsidR="00BA289A" w:rsidRPr="003847A6">
        <w:rPr>
          <w:rFonts w:ascii="Calibri" w:eastAsiaTheme="minorHAnsi" w:hAnsi="Calibri" w:cs="Calibri"/>
          <w:color w:val="000000" w:themeColor="text1"/>
          <w:lang w:eastAsia="en-US"/>
        </w:rPr>
        <w:t>. In the case study,</w:t>
      </w:r>
      <w:r w:rsidRPr="003847A6">
        <w:rPr>
          <w:rFonts w:ascii="Calibri" w:eastAsiaTheme="minorHAnsi" w:hAnsi="Calibri" w:cs="Calibri"/>
          <w:color w:val="000000" w:themeColor="text1"/>
          <w:lang w:eastAsia="en-US"/>
        </w:rPr>
        <w:t xml:space="preserve"> </w:t>
      </w:r>
      <w:r w:rsidR="00BA289A" w:rsidRPr="003847A6">
        <w:rPr>
          <w:rFonts w:ascii="Calibri" w:eastAsiaTheme="minorHAnsi" w:hAnsi="Calibri" w:cs="Calibri"/>
          <w:color w:val="000000" w:themeColor="text1"/>
          <w:lang w:eastAsia="en-US"/>
        </w:rPr>
        <w:t xml:space="preserve">synchronisation in the local sphere meant that </w:t>
      </w:r>
      <w:r w:rsidR="00BA289A" w:rsidRPr="003847A6">
        <w:rPr>
          <w:rFonts w:ascii="Calibri" w:hAnsi="Calibri" w:cs="Calibri"/>
          <w:color w:val="000000" w:themeColor="text1"/>
        </w:rPr>
        <w:t>technologies, infrastructure, local institutions, training, and shifts in behaviour had to happen together to create local viability</w:t>
      </w:r>
      <w:r w:rsidR="00912C24" w:rsidRPr="003847A6">
        <w:rPr>
          <w:rFonts w:ascii="Calibri" w:hAnsi="Calibri" w:cs="Calibri"/>
          <w:color w:val="000000" w:themeColor="text1"/>
        </w:rPr>
        <w:t xml:space="preserve">. This same logic applies to </w:t>
      </w:r>
      <w:r w:rsidRPr="003847A6">
        <w:rPr>
          <w:rFonts w:ascii="Calibri" w:hAnsi="Calibri" w:cs="Calibri"/>
          <w:color w:val="000000" w:themeColor="text1"/>
        </w:rPr>
        <w:t>other spheres.</w:t>
      </w:r>
      <w:r w:rsidR="00BA289A" w:rsidRPr="003847A6">
        <w:rPr>
          <w:rFonts w:ascii="Calibri" w:eastAsiaTheme="minorHAnsi" w:hAnsi="Calibri" w:cs="Calibri"/>
          <w:color w:val="000000" w:themeColor="text1"/>
          <w:lang w:eastAsia="en-US"/>
        </w:rPr>
        <w:t xml:space="preserve"> </w:t>
      </w:r>
      <w:r w:rsidR="00912C24" w:rsidRPr="003847A6">
        <w:rPr>
          <w:rFonts w:ascii="Calibri" w:eastAsiaTheme="minorHAnsi" w:hAnsi="Calibri" w:cs="Calibri"/>
          <w:color w:val="000000" w:themeColor="text1"/>
          <w:lang w:eastAsia="en-US"/>
        </w:rPr>
        <w:t>This aligns to similar findings in the literature, which have shown that if</w:t>
      </w:r>
      <w:r w:rsidRPr="003847A6">
        <w:rPr>
          <w:rFonts w:ascii="Calibri" w:eastAsiaTheme="minorHAnsi" w:hAnsi="Calibri" w:cs="Calibri"/>
          <w:color w:val="000000" w:themeColor="text1"/>
          <w:lang w:eastAsia="en-US"/>
        </w:rPr>
        <w:t xml:space="preserve"> one element </w:t>
      </w:r>
      <w:r w:rsidR="00912C24" w:rsidRPr="003847A6">
        <w:rPr>
          <w:rFonts w:ascii="Calibri" w:eastAsiaTheme="minorHAnsi" w:hAnsi="Calibri" w:cs="Calibri"/>
          <w:color w:val="000000" w:themeColor="text1"/>
          <w:lang w:eastAsia="en-US"/>
        </w:rPr>
        <w:t xml:space="preserve">changes </w:t>
      </w:r>
      <w:r w:rsidRPr="003847A6">
        <w:rPr>
          <w:rFonts w:ascii="Calibri" w:eastAsiaTheme="minorHAnsi" w:hAnsi="Calibri" w:cs="Calibri"/>
          <w:color w:val="000000" w:themeColor="text1"/>
          <w:lang w:eastAsia="en-US"/>
        </w:rPr>
        <w:t xml:space="preserve">without </w:t>
      </w:r>
      <w:r w:rsidR="00912C24" w:rsidRPr="003847A6">
        <w:rPr>
          <w:rFonts w:ascii="Calibri" w:eastAsiaTheme="minorHAnsi" w:hAnsi="Calibri" w:cs="Calibri"/>
          <w:color w:val="000000" w:themeColor="text1"/>
          <w:lang w:eastAsia="en-US"/>
        </w:rPr>
        <w:t xml:space="preserve">interconnected changes in the </w:t>
      </w:r>
      <w:r w:rsidRPr="003847A6">
        <w:rPr>
          <w:rFonts w:ascii="Calibri" w:eastAsiaTheme="minorHAnsi" w:hAnsi="Calibri" w:cs="Calibri"/>
          <w:color w:val="000000" w:themeColor="text1"/>
          <w:lang w:eastAsia="en-US"/>
        </w:rPr>
        <w:t xml:space="preserve">others, </w:t>
      </w:r>
      <w:r w:rsidR="00912C24" w:rsidRPr="003847A6">
        <w:rPr>
          <w:rFonts w:ascii="Calibri" w:eastAsiaTheme="minorHAnsi" w:hAnsi="Calibri" w:cs="Calibri"/>
          <w:color w:val="000000" w:themeColor="text1"/>
          <w:lang w:eastAsia="en-US"/>
        </w:rPr>
        <w:t xml:space="preserve">the unchanged elements might </w:t>
      </w:r>
      <w:r w:rsidRPr="003847A6">
        <w:rPr>
          <w:rFonts w:ascii="Calibri" w:eastAsiaTheme="minorHAnsi" w:hAnsi="Calibri" w:cs="Calibri"/>
          <w:color w:val="000000" w:themeColor="text1"/>
          <w:lang w:eastAsia="en-US"/>
        </w:rPr>
        <w:t>block uptake</w:t>
      </w:r>
      <w:r w:rsidR="00912C24" w:rsidRPr="003847A6">
        <w:rPr>
          <w:rFonts w:ascii="Calibri" w:eastAsiaTheme="minorHAnsi" w:hAnsi="Calibri" w:cs="Calibri"/>
          <w:color w:val="000000" w:themeColor="text1"/>
          <w:lang w:eastAsia="en-US"/>
        </w:rPr>
        <w:t xml:space="preserve"> </w:t>
      </w:r>
      <w:r w:rsidR="00912C24" w:rsidRPr="003847A6">
        <w:rPr>
          <w:rFonts w:ascii="Calibri" w:eastAsiaTheme="minorHAnsi" w:hAnsi="Calibri" w:cs="Calibri"/>
          <w:color w:val="000000" w:themeColor="text1"/>
          <w:lang w:eastAsia="en-US"/>
        </w:rPr>
        <w:fldChar w:fldCharType="begin"/>
      </w:r>
      <w:r w:rsidR="00BE6976" w:rsidRPr="003847A6">
        <w:rPr>
          <w:rFonts w:ascii="Calibri" w:eastAsiaTheme="minorHAnsi" w:hAnsi="Calibri" w:cs="Calibri"/>
          <w:color w:val="000000" w:themeColor="text1"/>
          <w:lang w:eastAsia="en-US"/>
        </w:rPr>
        <w:instrText xml:space="preserve"> ADDIN ZOTERO_ITEM CSL_CITATION {"citationID":"eMYNVYBa","properties":{"unsorted":false,"formattedCitation":"(Conti et al., 2024b, 2021)","plainCitation":"(Conti et al., 2024b, 2021)","noteIndex":0},"citationItems":[{"id":18756,"uris":["http://zotero.org/users/12768557/items/E7EJ8D5P"],"itemData":{"id":18756,"type":"article-journal","abstract":"System innovation is a signature feature of agri-food system transformation. Such system innovation often occurs in niches. However, how the \"green shoots\" of transformation can be detected and appraised through time remains ambiguous. This paper proposes, applies and tests a framework that could be used as a ‘transformation assessment tool’ to evaluate the level of system innovation in a domain of change. The framework is tested against a case study of a Non-Pesticide Management initiative in South India. The framework helps to reveal how, over 20 years, the initiative triggered a number of system innovations that opened a new development pathway, more aligned to environmental sustainability, equity and social inclusion. A critical enabling factor identified for the expansionand \"blossoming\" of this green shoot was its capacity to flexibly respond and adapt to emergent and largely unknowable agri-food systems dynamics. In its conclusions, the paper sheds light on the ongoing tensions around the defining benchmarks or thresholds for assessing the ‘transformativeness’ of initiatives and change processes. Finding a way of combining qualitative assessments of system changes with quantitative measures of social, economic, and environmental impact could be a valuable vein of research to enhance our understanding of transformative processes and how to enable them.","container-title":"Innovation and Development","DOI":"10.1080/2157930X.2024.2347759","ISSN":"2157-930X","issue":"0","note":"_eprint: https://doi.org/10.1080/2157930X.2024.2347759","page":"1-19","publisher":"Routledge","source":"Taylor and Francis+NEJM","title":"Detecting ‘green shoots’ of agri-food systems transformation: a framework and insights from the spread of non-pesticide approaches in South India","title-short":"Detecting ‘green shoots’ of agri-food systems transformation","volume":"0","author":[{"family":"Conti","given":"Costanza"},{"family":"Hall","given":"Andy"},{"family":"Williams","given":"Tim G."},{"family":"Kumar","given":"Vishal"},{"family":"Zanello","given":"Giacomo"}],"issued":{"date-parts":[["2024"]]}}},{"id":1890,"uris":["http://zotero.org/users/12768557/items/UFNXSZRE"],"itemData":{"id":1890,"type":"article-journal","container-title":"Global Food Security","DOI":"10.1016/j.gfs.2021.100576","issue":"June","page":"100576-100576","publisher":"Elsevier B.V.","title":"Why are agri-food systems resistant to new directions of change ? A systematic review","volume":"31","author":[{"family":"Conti","given":"Costanza"},{"family":"Zanello","given":"Giacomo"},{"family":"Hall","given":"Andy"}],"issued":{"date-parts":[["2021",12]]}}}],"schema":"https://github.com/citation-style-language/schema/raw/master/csl-citation.json"} </w:instrText>
      </w:r>
      <w:r w:rsidR="00912C24" w:rsidRPr="003847A6">
        <w:rPr>
          <w:rFonts w:ascii="Calibri" w:eastAsiaTheme="minorHAnsi" w:hAnsi="Calibri" w:cs="Calibri"/>
          <w:color w:val="000000" w:themeColor="text1"/>
          <w:lang w:eastAsia="en-US"/>
        </w:rPr>
        <w:fldChar w:fldCharType="separate"/>
      </w:r>
      <w:r w:rsidR="00BE6976" w:rsidRPr="003847A6">
        <w:rPr>
          <w:rFonts w:ascii="Calibri" w:eastAsiaTheme="minorHAnsi" w:hAnsi="Calibri" w:cs="Calibri"/>
          <w:noProof/>
          <w:color w:val="000000" w:themeColor="text1"/>
          <w:lang w:eastAsia="en-US"/>
        </w:rPr>
        <w:t>(Conti et al., 2024b, 2021)</w:t>
      </w:r>
      <w:r w:rsidR="00912C24" w:rsidRPr="003847A6">
        <w:rPr>
          <w:rFonts w:ascii="Calibri" w:eastAsiaTheme="minorHAnsi" w:hAnsi="Calibri" w:cs="Calibri"/>
          <w:color w:val="000000" w:themeColor="text1"/>
          <w:lang w:eastAsia="en-US"/>
        </w:rPr>
        <w:fldChar w:fldCharType="end"/>
      </w:r>
      <w:r w:rsidRPr="003847A6">
        <w:rPr>
          <w:rFonts w:ascii="Calibri" w:eastAsiaTheme="minorHAnsi" w:hAnsi="Calibri" w:cs="Calibri"/>
          <w:color w:val="000000" w:themeColor="text1"/>
          <w:lang w:eastAsia="en-US"/>
        </w:rPr>
        <w:t xml:space="preserve">. For example, </w:t>
      </w:r>
      <w:r w:rsidR="00912C24" w:rsidRPr="003847A6">
        <w:rPr>
          <w:rFonts w:ascii="Calibri" w:eastAsiaTheme="minorHAnsi" w:hAnsi="Calibri" w:cs="Calibri"/>
          <w:color w:val="000000" w:themeColor="text1"/>
          <w:lang w:eastAsia="en-US"/>
        </w:rPr>
        <w:t xml:space="preserve">interventions which had a </w:t>
      </w:r>
      <w:r w:rsidRPr="003847A6">
        <w:rPr>
          <w:rFonts w:ascii="Calibri" w:eastAsiaTheme="minorHAnsi" w:hAnsi="Calibri" w:cs="Calibri"/>
          <w:color w:val="000000" w:themeColor="text1"/>
          <w:lang w:eastAsia="en-US"/>
        </w:rPr>
        <w:t>primary focus on technology adoption,</w:t>
      </w:r>
      <w:r w:rsidR="00912C24" w:rsidRPr="003847A6">
        <w:rPr>
          <w:rFonts w:ascii="Calibri" w:eastAsiaTheme="minorHAnsi" w:hAnsi="Calibri" w:cs="Calibri"/>
          <w:color w:val="000000" w:themeColor="text1"/>
          <w:lang w:eastAsia="en-US"/>
        </w:rPr>
        <w:t xml:space="preserve"> and overlooked </w:t>
      </w:r>
      <w:r w:rsidRPr="003847A6">
        <w:rPr>
          <w:rFonts w:ascii="Calibri" w:eastAsiaTheme="minorHAnsi" w:hAnsi="Calibri" w:cs="Calibri"/>
          <w:color w:val="000000" w:themeColor="text1"/>
          <w:lang w:eastAsia="en-US"/>
        </w:rPr>
        <w:t xml:space="preserve"> changes in infrastructure</w:t>
      </w:r>
      <w:r w:rsidR="00912C24" w:rsidRPr="003847A6">
        <w:rPr>
          <w:rFonts w:ascii="Calibri" w:eastAsiaTheme="minorHAnsi" w:hAnsi="Calibri" w:cs="Calibri"/>
          <w:color w:val="000000" w:themeColor="text1"/>
          <w:lang w:eastAsia="en-US"/>
        </w:rPr>
        <w:t xml:space="preserve">, lacked community institutions, or did not engage with changes in consumer behaviours, either failed or only </w:t>
      </w:r>
      <w:r w:rsidR="00CA1AF2" w:rsidRPr="003847A6">
        <w:rPr>
          <w:rFonts w:ascii="Calibri" w:eastAsiaTheme="minorHAnsi" w:hAnsi="Calibri" w:cs="Calibri"/>
          <w:color w:val="000000" w:themeColor="text1"/>
          <w:lang w:eastAsia="en-US"/>
        </w:rPr>
        <w:t xml:space="preserve">succeeded at the pilot stage </w:t>
      </w:r>
      <w:r w:rsidR="00BE6976" w:rsidRPr="003847A6">
        <w:rPr>
          <w:rFonts w:ascii="Calibri" w:eastAsiaTheme="minorHAnsi" w:hAnsi="Calibri" w:cs="Calibri"/>
          <w:color w:val="000000" w:themeColor="text1"/>
          <w:lang w:eastAsia="en-US"/>
        </w:rPr>
        <w:fldChar w:fldCharType="begin"/>
      </w:r>
      <w:r w:rsidR="00BE6976" w:rsidRPr="003847A6">
        <w:rPr>
          <w:rFonts w:ascii="Calibri" w:eastAsiaTheme="minorHAnsi" w:hAnsi="Calibri" w:cs="Calibri"/>
          <w:color w:val="000000" w:themeColor="text1"/>
          <w:lang w:eastAsia="en-US"/>
        </w:rPr>
        <w:instrText xml:space="preserve"> ADDIN ZOTERO_ITEM CSL_CITATION {"citationID":"xQ3f4Hmx","properties":{"unsorted":false,"formattedCitation":"(Magrini et al., 2022; Meynard et al., 2016; Orr et al., 2022)","plainCitation":"(Magrini et al., 2022; Meynard et al., 2016; Orr et al., 2022)","noteIndex":0},"citationItems":[{"id":1510,"uris":["http://zotero.org/users/12768557/items/DBNRYNUT"],"itemData":{"id":1510,"type":"article-journal","abstract":"Increasing legume diversity in food will significantly contribute to sustainable and healthy agrifood systems. But this seems difficult to achieve due to strong path-dependency in the agrifood sector and needs to be better assessed to define sound sustainability transition policies. We analysed 100,000 food product innovations with legume ingredients (soya and fourteen different pulses) over 2010–2019 in North America and Europe to get an overall view of how legumes are developing. Using the Mintel Global-New-Product-Database, we observed that food product innovations containing soya represent six times more than those containing pulses. Therefore, while soya is a major crop for feed, it is also becoming so for food, when compared with the low development of pulses. This confirms that encouraging markets to increase crop diversity and overcome lock-in is still a challenge. Beyond the case of legumes, those methods can be extended to measure biodiversity regarding any other species in food products.","container-title":"Food Security","DOI":"10.1007/S12571-022-01294-9/FIGURES/6","page":"1-14","publisher":"Springer Science and Business Media B.V.","title":"The unbalanced development among legume species regarding sustainable and healthy agrifood systems in North-America and Europe: focus on food product innovations","author":[{"family":"Magrini","given":"Marie Benoît"},{"family":"Salord","given":"Tristan"},{"family":"Cabanac","given":"Guillaume"}],"issued":{"date-parts":[["2022",8]]}}},{"id":1298,"uris":["http://zotero.org/users/12768557/items/RYN6KU6P"],"itemData":{"id":1298,"type":"article-journal","abstract":"Numerous signs underline an urgent need for innovation in the current agriculture and food industries. However, even though the components of the agrifood systems are all strongly interconnected, the design processes to improve their sustainabilities are still mostly managed separately. This frequently leads to innovating in one domain in order to adapt to the constraints or specifications of the other, such as tweaking the farming systems to address processing issues, or the other way round. The objectives of this paper are first to show the limits of such an organization, and second to provide a heuristic framework to organize the design of coupled innovations, by reconnecting the dynamics of innovation in agriculture and food, with a view to improving the whole agrifood system. Our framework highlights that working at this level requires designing in raw production, exchange, processing, and consumption, while taking into account synergies or antagonisms between upstream and downstream. Thus, the innovations are not only technological – e.g. concerning cropping systems or processing – but also organizational and institutional. Based on several examples, in the cereal, linseed, legume, and market-gardening productions, at the junction of agriculture and food sciences, we also show that this perspective of designing coupled innovations calls for a renewed research agenda. Three main domains are thus questioned. First, coupling requires an innovative design process for radical innovations, challenging the coordination of exploration in both domains. Second, the development of “innovation niches” outside the dominant sociotechnical regime, in order to bypass the lock-in from the dominant system, faces the difficulty of favoring the building of renewed networks of actors, which were used to working separately so far. Third, the necessity to share expectations and knowledge, and to design together innovations that suit all sides, leads to making several recommendations for the governance of the design process. Finally, we conclude that the need for innovation in the agrifood systems requires going beyond the historical specialization of skills, and the usual forms of coordination between designers.","container-title":"Agricultural Systems","DOI":"10.1016/j.agsy.2016.08.002","page":"330-339","publisher":"Elsevier Ltd","title":"Designing coupled innovations for the sustainability transition of agrifood systems","volume":"157","author":[{"family":"Meynard","given":"Jean Marc"},{"family":"Jeuffroy","given":"Marie Hélène"},{"family":"Le Bail","given":"Marianne"},{"family":"Lefèvre","given":"Amélie"},{"family":"Magrini","given":"Marie Benoit"},{"family":"Michon","given":"Camille"}],"issued":{"date-parts":[["2016",10]]}}},{"id":1924,"uris":["http://zotero.org/users/12768557/items/4V9F5NDM"],"itemData":{"id":1924,"type":"report","page":"57-57","publisher-place":"Patancheru","title":"Evidencing what works in developing new market opportunities for GLDC crops","URL":"http://oar.icrisat.org/11963/","author":[{"family":"Orr","given":"A"},{"family":"Conti","given":"C"},{"family":"Mausch","given":"K"},{"family":"Hall","given":"A"}],"issued":{"date-parts":[["2022"]]}}}],"schema":"https://github.com/citation-style-language/schema/raw/master/csl-citation.json"} </w:instrText>
      </w:r>
      <w:r w:rsidR="00BE6976" w:rsidRPr="003847A6">
        <w:rPr>
          <w:rFonts w:ascii="Calibri" w:eastAsiaTheme="minorHAnsi" w:hAnsi="Calibri" w:cs="Calibri"/>
          <w:color w:val="000000" w:themeColor="text1"/>
          <w:lang w:eastAsia="en-US"/>
        </w:rPr>
        <w:fldChar w:fldCharType="separate"/>
      </w:r>
      <w:r w:rsidR="00BE6976" w:rsidRPr="003847A6">
        <w:rPr>
          <w:rFonts w:ascii="Calibri" w:eastAsiaTheme="minorHAnsi" w:hAnsi="Calibri" w:cs="Calibri"/>
          <w:noProof/>
          <w:color w:val="000000" w:themeColor="text1"/>
          <w:lang w:eastAsia="en-US"/>
        </w:rPr>
        <w:t>(Magrini et al., 2022; Meynard et al., 2016; Orr et al., 2022)</w:t>
      </w:r>
      <w:r w:rsidR="00BE6976" w:rsidRPr="003847A6">
        <w:rPr>
          <w:rFonts w:ascii="Calibri" w:eastAsiaTheme="minorHAnsi" w:hAnsi="Calibri" w:cs="Calibri"/>
          <w:color w:val="000000" w:themeColor="text1"/>
          <w:lang w:eastAsia="en-US"/>
        </w:rPr>
        <w:fldChar w:fldCharType="end"/>
      </w:r>
      <w:r w:rsidR="00BE6976" w:rsidRPr="003847A6">
        <w:rPr>
          <w:rFonts w:ascii="Calibri" w:eastAsiaTheme="minorHAnsi" w:hAnsi="Calibri" w:cs="Calibri"/>
          <w:color w:val="000000" w:themeColor="text1"/>
          <w:lang w:eastAsia="en-US"/>
        </w:rPr>
        <w:t xml:space="preserve">. </w:t>
      </w:r>
    </w:p>
    <w:p w14:paraId="58284D71" w14:textId="72459652" w:rsidR="00BA289A" w:rsidRPr="003847A6" w:rsidRDefault="00BA289A" w:rsidP="003847A6">
      <w:pPr>
        <w:pStyle w:val="NormalWeb"/>
        <w:spacing w:line="276" w:lineRule="auto"/>
        <w:ind w:firstLine="720"/>
        <w:jc w:val="both"/>
        <w:rPr>
          <w:rFonts w:ascii="Calibri" w:hAnsi="Calibri" w:cs="Calibri"/>
          <w:color w:val="000000" w:themeColor="text1"/>
        </w:rPr>
      </w:pPr>
      <w:r w:rsidRPr="003847A6">
        <w:rPr>
          <w:rFonts w:ascii="Calibri" w:eastAsiaTheme="minorHAnsi" w:hAnsi="Calibri" w:cs="Calibri"/>
          <w:color w:val="000000" w:themeColor="text1"/>
          <w:lang w:eastAsia="en-US"/>
        </w:rPr>
        <w:t xml:space="preserve">Sequencing refers to </w:t>
      </w:r>
      <w:r w:rsidR="00BA652C" w:rsidRPr="003847A6">
        <w:rPr>
          <w:rFonts w:ascii="Calibri" w:eastAsiaTheme="minorHAnsi" w:hAnsi="Calibri" w:cs="Calibri"/>
          <w:i/>
          <w:iCs/>
          <w:color w:val="000000" w:themeColor="text1"/>
          <w:lang w:eastAsia="en-US"/>
        </w:rPr>
        <w:t>what needs to happen first, next, and later</w:t>
      </w:r>
      <w:r w:rsidR="005E34CD" w:rsidRPr="003847A6">
        <w:rPr>
          <w:rFonts w:ascii="Calibri" w:eastAsiaTheme="minorHAnsi" w:hAnsi="Calibri" w:cs="Calibri"/>
          <w:color w:val="000000" w:themeColor="text1"/>
          <w:lang w:eastAsia="en-US"/>
        </w:rPr>
        <w:t xml:space="preserve"> </w:t>
      </w:r>
      <w:r w:rsidR="005E34CD" w:rsidRPr="003847A6">
        <w:rPr>
          <w:rFonts w:ascii="Calibri" w:hAnsi="Calibri" w:cs="Calibri"/>
          <w:color w:val="000000" w:themeColor="text1"/>
        </w:rPr>
        <w:fldChar w:fldCharType="begin"/>
      </w:r>
      <w:r w:rsidR="005E34CD" w:rsidRPr="003847A6">
        <w:rPr>
          <w:rFonts w:ascii="Calibri" w:hAnsi="Calibri" w:cs="Calibri"/>
          <w:color w:val="000000" w:themeColor="text1"/>
        </w:rPr>
        <w:instrText xml:space="preserve"> ADDIN ZOTERO_ITEM CSL_CITATION {"citationID":"uDNiNVvl","properties":{"formattedCitation":"(Foster et al., 2012; Lombardi et al., 2011)","plainCitation":"(Foster et al., 2012; Lombardi et al., 2011)","noteIndex":0},"citationItems":[{"id":20903,"uris":["http://zotero.org/users/12768557/items/CQY7EVGC"],"itemData":{"id":20903,"type":"article-journal","abstract":"The development process at the site or building scale is a multiobjective process requiring the cooperation of many professions and other stakeholders. The addition of multiple sustainability objectives, often seemingly unrelated (economic versus environmental versus social) in a rapidly changing global urban context, further constrains and complicates the process. The MODESTT mapping approach was developed to elucidate the interdependencies, tensions, and trade-offs between different sustainability objectives for a given development, and to make explicit the points at which a single design decision may ‘lock-in’ or ‘lock-out’ various possible outcomes. In this article, we review and analyse existing models of the development process, illustrate the decisions and activities inherent in delivering a single element of a development (illustrated in this paper with the example of a roof); then apply the MODESTT analysis to three sustainability objectives. The analysis makes explicit the critical importance of sequencing of actions and decisions, and interdependencies between specific objectives that lead to tensions and trade-offs between the multiple sustainability objectives. We conclude by making recommendations for the generic application of the MODESTT approach to improve sustainability throughout the site development process. Regardless of the tools that are available in the UK or elsewhere for the development process and for sustainability proxies, it is the timing and sequencing of decisions (when data are collected or the tools are applied) that are important in delivering effective solutions.","container-title":"Environment and Planning B: Planning and Design","DOI":"10.1068/b36161","ISSN":"0265-8135","issue":"6","journalAbbreviation":"Environ Plann B Plann Des","language":"EN","page":"1105-1121","publisher":"SAGE Publications Ltd STM","source":"SAGE Journals","title":"Elucidating Sustainability Sequencing, Tensions, and Trade-Offs in Development Decision Making","volume":"38","author":[{"family":"Lombardi","given":"D Rachel"},{"family":"Caserio","given":"Maria"},{"family":"Donovan","given":"Rossa"},{"family":"Hale","given":"James"},{"family":"Hunt","given":"Dexter V L"},{"family":"Weingaertner","given":"Carina"},{"family":"Barber","given":"Austin"},{"family":"Bryson","given":"John R"},{"family":"Coles","given":"Richard"},{"family":"Gaterell","given":"Mark"},{"family":"Jankovic","given":"Lubo"},{"family":"Jefferson","given":"Ian"},{"family":"Sadler","given":"Jon"},{"family":"Rogers","given":"Chris D F"}],"issued":{"date-parts":[["2011",12,1]]}}},{"id":20992,"uris":["http://zotero.org/users/12768557/items/F7J9GFM7"],"itemData":{"id":20992,"type":"article-journal","abstract":"Prospects for future innovation to reduce the carbon intensity of everyday consumer products rest significantly on the path dependent processes that have caused current products with their associated modes of provision and practices of consumption to be as they are. We use the history of orange juice to examine the dynamics of innovation sequences that have emerged to solve a series of ‘problems’ associated with the production and consumption of orange juice, the latest being the carbon problem. In particular, we focus on the interdependencies between consumer expectations of what constitutes ‘good orange juice’, changes in the product itself and in the system through which it is provisioned. We conclude with a discussion of how historical, path dependent processes lead to alternative framings of the new problem to be solved and different strategies for pursuing innovative solutions.","container-title":"Technology Analysis &amp; Strategic Management","DOI":"10.1080/09537325.2012.663963","ISSN":"0953-7325","issue":"4","note":"_eprint: https://doi.org/10.1080/09537325.2012.663963","page":"391-405","publisher":"Routledge","source":"Taylor and Francis+NEJM","title":"The entanglement of consumer expectations and (eco) innovation sequences: the case of orange juice","title-short":"The entanglement of consumer expectations and (eco) innovation sequences","volume":"24","author":[{"family":"Foster","given":"Chris"},{"family":"McMeekin","given":"Andrew"},{"family":"Mylan","given":"Jospehine"}],"issued":{"date-parts":[["2012",4,1]]}}}],"schema":"https://github.com/citation-style-language/schema/raw/master/csl-citation.json"} </w:instrText>
      </w:r>
      <w:r w:rsidR="005E34CD" w:rsidRPr="003847A6">
        <w:rPr>
          <w:rFonts w:ascii="Calibri" w:hAnsi="Calibri" w:cs="Calibri"/>
          <w:color w:val="000000" w:themeColor="text1"/>
        </w:rPr>
        <w:fldChar w:fldCharType="separate"/>
      </w:r>
      <w:r w:rsidR="005E34CD" w:rsidRPr="003847A6">
        <w:rPr>
          <w:rFonts w:ascii="Calibri" w:hAnsi="Calibri" w:cs="Calibri"/>
          <w:noProof/>
          <w:color w:val="000000" w:themeColor="text1"/>
        </w:rPr>
        <w:t>(Foster et al., 2012; Lombardi et al., 2011)</w:t>
      </w:r>
      <w:r w:rsidR="005E34CD" w:rsidRPr="003847A6">
        <w:rPr>
          <w:rFonts w:ascii="Calibri" w:hAnsi="Calibri" w:cs="Calibri"/>
          <w:color w:val="000000" w:themeColor="text1"/>
        </w:rPr>
        <w:fldChar w:fldCharType="end"/>
      </w:r>
      <w:r w:rsidR="00BA652C" w:rsidRPr="003847A6">
        <w:rPr>
          <w:rFonts w:ascii="Calibri" w:eastAsiaTheme="minorHAnsi" w:hAnsi="Calibri" w:cs="Calibri"/>
          <w:color w:val="000000" w:themeColor="text1"/>
          <w:lang w:eastAsia="en-US"/>
        </w:rPr>
        <w:t xml:space="preserve">. </w:t>
      </w:r>
      <w:r w:rsidR="00BE6976" w:rsidRPr="003847A6">
        <w:rPr>
          <w:rFonts w:ascii="Calibri" w:eastAsiaTheme="minorHAnsi" w:hAnsi="Calibri" w:cs="Calibri"/>
          <w:color w:val="000000" w:themeColor="text1"/>
          <w:lang w:eastAsia="en-US"/>
        </w:rPr>
        <w:t>In the case study, local synchronisation created</w:t>
      </w:r>
      <w:r w:rsidR="00303587" w:rsidRPr="003847A6">
        <w:rPr>
          <w:rFonts w:ascii="Calibri" w:eastAsiaTheme="minorHAnsi" w:hAnsi="Calibri" w:cs="Calibri"/>
          <w:color w:val="000000" w:themeColor="text1"/>
          <w:lang w:eastAsia="en-US"/>
        </w:rPr>
        <w:t xml:space="preserve"> changes in production practices and local consumption, gaining community legitimacy and acceptability while creating broader </w:t>
      </w:r>
      <w:r w:rsidR="00BE6976" w:rsidRPr="003847A6">
        <w:rPr>
          <w:rFonts w:ascii="Calibri" w:eastAsiaTheme="minorHAnsi" w:hAnsi="Calibri" w:cs="Calibri"/>
          <w:color w:val="000000" w:themeColor="text1"/>
          <w:lang w:eastAsia="en-US"/>
        </w:rPr>
        <w:t>evidence</w:t>
      </w:r>
      <w:r w:rsidR="00303587" w:rsidRPr="003847A6">
        <w:rPr>
          <w:rFonts w:ascii="Calibri" w:eastAsiaTheme="minorHAnsi" w:hAnsi="Calibri" w:cs="Calibri"/>
          <w:color w:val="000000" w:themeColor="text1"/>
          <w:lang w:eastAsia="en-US"/>
        </w:rPr>
        <w:t xml:space="preserve"> of viability</w:t>
      </w:r>
      <w:r w:rsidR="00BE6976" w:rsidRPr="003847A6">
        <w:rPr>
          <w:rFonts w:ascii="Calibri" w:eastAsiaTheme="minorHAnsi" w:hAnsi="Calibri" w:cs="Calibri"/>
          <w:color w:val="000000" w:themeColor="text1"/>
          <w:lang w:eastAsia="en-US"/>
        </w:rPr>
        <w:t>. MSSRF could use this basis to engage the network and intermediation sphere through partnerships, R&amp;D collaborations, public recognition, and policy dialogue. These efforts built the credibility needed for later engagement with the system sphere, where public programmes, procurement arrangements, nutrition schemes, and formal institutions started embedding the innovation in the wider food system.</w:t>
      </w:r>
      <w:r w:rsidR="00BA652C" w:rsidRPr="003847A6">
        <w:rPr>
          <w:rFonts w:ascii="Calibri" w:hAnsi="Calibri" w:cs="Calibri"/>
          <w:color w:val="000000" w:themeColor="text1"/>
        </w:rPr>
        <w:t xml:space="preserve"> </w:t>
      </w:r>
      <w:r w:rsidR="00303587" w:rsidRPr="003847A6">
        <w:rPr>
          <w:rFonts w:ascii="Calibri" w:hAnsi="Calibri" w:cs="Calibri"/>
          <w:color w:val="000000" w:themeColor="text1"/>
        </w:rPr>
        <w:t xml:space="preserve">Sequencing </w:t>
      </w:r>
      <w:r w:rsidR="00BE6976" w:rsidRPr="003847A6">
        <w:rPr>
          <w:rFonts w:ascii="Calibri" w:hAnsi="Calibri" w:cs="Calibri"/>
          <w:color w:val="000000" w:themeColor="text1"/>
        </w:rPr>
        <w:t xml:space="preserve">illustrates both that niches can be important </w:t>
      </w:r>
      <w:r w:rsidR="00303587" w:rsidRPr="003847A6">
        <w:rPr>
          <w:rFonts w:ascii="Calibri" w:hAnsi="Calibri" w:cs="Calibri"/>
          <w:color w:val="000000" w:themeColor="text1"/>
        </w:rPr>
        <w:t xml:space="preserve">starting point </w:t>
      </w:r>
      <w:r w:rsidR="00BE6976" w:rsidRPr="003847A6">
        <w:rPr>
          <w:rFonts w:ascii="Calibri" w:hAnsi="Calibri" w:cs="Calibri"/>
          <w:color w:val="000000" w:themeColor="text1"/>
        </w:rPr>
        <w:t>to trigger change (testing local viability and desirability),</w:t>
      </w:r>
      <w:r w:rsidR="00303587" w:rsidRPr="003847A6">
        <w:rPr>
          <w:rFonts w:ascii="Calibri" w:hAnsi="Calibri" w:cs="Calibri"/>
          <w:color w:val="000000" w:themeColor="text1"/>
        </w:rPr>
        <w:t xml:space="preserve"> as already widely remarked by the literature </w:t>
      </w:r>
      <w:r w:rsidR="00303587" w:rsidRPr="003847A6">
        <w:rPr>
          <w:rFonts w:ascii="Calibri" w:hAnsi="Calibri" w:cs="Calibri"/>
          <w:color w:val="000000" w:themeColor="text1"/>
        </w:rPr>
        <w:fldChar w:fldCharType="begin"/>
      </w:r>
      <w:r w:rsidR="00303587" w:rsidRPr="003847A6">
        <w:rPr>
          <w:rFonts w:ascii="Calibri" w:hAnsi="Calibri" w:cs="Calibri"/>
          <w:color w:val="000000" w:themeColor="text1"/>
        </w:rPr>
        <w:instrText xml:space="preserve"> ADDIN ZOTERO_ITEM CSL_CITATION {"citationID":"cPXQxp2w","properties":{"formattedCitation":"(Bui, 2021; Moallemi et al., 2020; Ningrum et al., 2024)","plainCitation":"(Bui, 2021; Moallemi et al., 2020; Ningrum et al., 2024)","noteIndex":0},"citationItems":[{"id":1494,"uris":["http://zotero.org/users/12768557/items/BBM4DKFE"],"itemData":{"id":1494,"type":"article-journal","container-title":"Sustainability","issue":"6135","page":"1-21","title":"Enacting Transitions — The Combined Effect of Multiple Niches in Whole System Reconfiguration","volume":"13","author":[{"family":"Bui","given":"Sibylle"}],"issued":{"date-parts":[["2021"]]}}},{"id":20990,"uris":["http://zotero.org/users/12768557/items/VIXZXI7D"],"itemData":{"id":20990,"type":"article-journal","container-title":"One Earth","DOI":"10.1016/j.oneear.2020.08.006","ISSN":"2590-3330, 2590-3322","issue":"3","journalAbbreviation":"One Earth","language":"English","page":"300-313","publisher":"Elsevier","source":"www.cell.com","title":"Achieving the Sustainable Development Goals Requires Transdisciplinary Innovation at the Local Scale","volume":"3","author":[{"family":"Moallemi","given":"Enayat A."},{"family":"Malekpour","given":"Shirin"},{"family":"Hadjikakou","given":"Michalis"},{"family":"Raven","given":"Rob"},{"family":"Szetey","given":"Katrina"},{"family":"Ningrum","given":"Dianty"},{"family":"Dhiaulhaq","given":"Ahmad"},{"family":"Bryan","given":"Brett A."}],"issued":{"date-parts":[["2020",9,18]]}}},{"id":20997,"uris":["http://zotero.org/users/12768557/items/NBUZS5XF"],"itemData":{"id":20997,"type":"article-journal","abstract":"Non-Technical SummaryEnabling local adoption of the sustainable development goals (SDGs) is important to accelerate global efforts to achieve sustainable development. However, local governments have plural perspectives on how to engage with the SDGs. In this paper, we identify three perspectives on how to enable local SDGs based on cases of nine local governments in Australia. We emphasize the need for seeing local SDG adoption as contextualized and actor-driven processes.Technical SummaryLocal governments worldwide are taking the initiative to engage with sustainable development goals (SDGs) despite the absence of a globally coordinated guideline on local SDGs actions. With less than a decade until its 2030 deadline, a more targeted and nuanced approach to enabling local SDG actions is needed. In this paper, we argue that there is a need to look at local SDG actions as an actor-driven process where agency, contexts, purpose, and dynamics co-evolve and shape the outcome of the process. Using Q-methodology, we explore different perspectives on what enables local SDGs actions in nine local governments in Australia. Three perspectives in enabling local SDG actions emerged from the study: (1) ‘Enablers should support institutional embeddedness of the SDGs’, (2) ‘Enablers should support stakeholder coordination for the SDGs’, and (3) ‘Enablers should support community engagement for the SDGs’. Each perspective has preferred enablers, contextualized within certain ways of engaging with the SDGs, certain views of the SDGs, and specific local contexts and capacities. This study provides insights to contextualize knowledge in current literature to enable local SDG actions.Social media summaryMany understand that the local adoption of the sustainable development goals (SDGs) is not a one-shoe-fits-all process, but what are some of the plurality in local SDG adoptions? In this paper, we identify three perspectives on enabling the SDGs based on nine local governments in Australia.","container-title":"Global Sustainability","DOI":"10.1017/sus.2024.20","ISSN":"2059-4798","language":"en","page":"e22","source":"Cambridge University Press","title":"Three perspectives on enabling local actions for the sustainable development goals (SDGs)","volume":"7","author":[{"family":"Ningrum","given":"Dianty"},{"family":"Malekpour","given":"Shirin"},{"family":"Raven","given":"Rob"},{"family":"Moallemi","given":"Enayat A."},{"family":"Bonar","given":"Gary"}],"issued":{"date-parts":[["2024",1]]}}}],"schema":"https://github.com/citation-style-language/schema/raw/master/csl-citation.json"} </w:instrText>
      </w:r>
      <w:r w:rsidR="00303587" w:rsidRPr="003847A6">
        <w:rPr>
          <w:rFonts w:ascii="Calibri" w:hAnsi="Calibri" w:cs="Calibri"/>
          <w:color w:val="000000" w:themeColor="text1"/>
        </w:rPr>
        <w:fldChar w:fldCharType="separate"/>
      </w:r>
      <w:r w:rsidR="00303587" w:rsidRPr="003847A6">
        <w:rPr>
          <w:rFonts w:ascii="Calibri" w:hAnsi="Calibri" w:cs="Calibri"/>
          <w:noProof/>
          <w:color w:val="000000" w:themeColor="text1"/>
        </w:rPr>
        <w:t>(Bui, 2021; Moallemi et al., 2020; Ningrum et al., 2024)</w:t>
      </w:r>
      <w:r w:rsidR="00303587" w:rsidRPr="003847A6">
        <w:rPr>
          <w:rFonts w:ascii="Calibri" w:hAnsi="Calibri" w:cs="Calibri"/>
          <w:color w:val="000000" w:themeColor="text1"/>
        </w:rPr>
        <w:fldChar w:fldCharType="end"/>
      </w:r>
      <w:r w:rsidR="00BE6976" w:rsidRPr="003847A6">
        <w:rPr>
          <w:rFonts w:ascii="Calibri" w:hAnsi="Calibri" w:cs="Calibri"/>
          <w:color w:val="000000" w:themeColor="text1"/>
        </w:rPr>
        <w:t xml:space="preserve"> but that without efforts to then “move up” to other spheres – for instance, by building networks and then engaging with formal institutions – their potential to </w:t>
      </w:r>
      <w:r w:rsidR="00303587" w:rsidRPr="003847A6">
        <w:rPr>
          <w:rFonts w:ascii="Calibri" w:hAnsi="Calibri" w:cs="Calibri"/>
          <w:color w:val="000000" w:themeColor="text1"/>
        </w:rPr>
        <w:t>foster (food) system</w:t>
      </w:r>
      <w:r w:rsidR="00675498" w:rsidRPr="003847A6">
        <w:rPr>
          <w:rFonts w:ascii="Calibri" w:hAnsi="Calibri" w:cs="Calibri"/>
          <w:color w:val="000000" w:themeColor="text1"/>
        </w:rPr>
        <w:t xml:space="preserve"> transformation</w:t>
      </w:r>
      <w:r w:rsidR="00303587" w:rsidRPr="003847A6">
        <w:rPr>
          <w:rFonts w:ascii="Calibri" w:hAnsi="Calibri" w:cs="Calibri"/>
          <w:color w:val="000000" w:themeColor="text1"/>
        </w:rPr>
        <w:t xml:space="preserve"> </w:t>
      </w:r>
      <w:r w:rsidR="00BE6976" w:rsidRPr="003847A6">
        <w:rPr>
          <w:rFonts w:ascii="Calibri" w:hAnsi="Calibri" w:cs="Calibri"/>
          <w:color w:val="000000" w:themeColor="text1"/>
        </w:rPr>
        <w:t xml:space="preserve">remains extremely limited. </w:t>
      </w:r>
      <w:r w:rsidR="00303587" w:rsidRPr="003847A6">
        <w:rPr>
          <w:rFonts w:ascii="Calibri" w:hAnsi="Calibri" w:cs="Calibri"/>
          <w:color w:val="000000" w:themeColor="text1"/>
        </w:rPr>
        <w:t xml:space="preserve">This </w:t>
      </w:r>
      <w:r w:rsidR="00BE6976" w:rsidRPr="003847A6">
        <w:rPr>
          <w:rFonts w:ascii="Calibri" w:hAnsi="Calibri" w:cs="Calibri"/>
          <w:color w:val="000000" w:themeColor="text1"/>
        </w:rPr>
        <w:t xml:space="preserve">is not “bad” </w:t>
      </w:r>
      <w:r w:rsidR="00BE6976" w:rsidRPr="003847A6">
        <w:rPr>
          <w:rFonts w:ascii="Calibri" w:hAnsi="Calibri" w:cs="Calibri"/>
          <w:i/>
          <w:iCs/>
          <w:color w:val="000000" w:themeColor="text1"/>
        </w:rPr>
        <w:t>per se</w:t>
      </w:r>
      <w:r w:rsidR="00303587" w:rsidRPr="003847A6">
        <w:rPr>
          <w:rFonts w:ascii="Calibri" w:hAnsi="Calibri" w:cs="Calibri"/>
          <w:color w:val="000000" w:themeColor="text1"/>
        </w:rPr>
        <w:t xml:space="preserve">, </w:t>
      </w:r>
      <w:r w:rsidR="00BE6976" w:rsidRPr="003847A6">
        <w:rPr>
          <w:rFonts w:ascii="Calibri" w:hAnsi="Calibri" w:cs="Calibri"/>
          <w:color w:val="000000" w:themeColor="text1"/>
        </w:rPr>
        <w:t xml:space="preserve">and some </w:t>
      </w:r>
      <w:r w:rsidR="00303587" w:rsidRPr="003847A6">
        <w:rPr>
          <w:rFonts w:ascii="Calibri" w:hAnsi="Calibri" w:cs="Calibri"/>
          <w:color w:val="000000" w:themeColor="text1"/>
        </w:rPr>
        <w:t>initiatives</w:t>
      </w:r>
      <w:r w:rsidR="00BE6976" w:rsidRPr="003847A6">
        <w:rPr>
          <w:rFonts w:ascii="Calibri" w:hAnsi="Calibri" w:cs="Calibri"/>
          <w:color w:val="000000" w:themeColor="text1"/>
        </w:rPr>
        <w:t xml:space="preserve"> might </w:t>
      </w:r>
      <w:r w:rsidR="00303587" w:rsidRPr="003847A6">
        <w:rPr>
          <w:rFonts w:ascii="Calibri" w:hAnsi="Calibri" w:cs="Calibri"/>
          <w:color w:val="000000" w:themeColor="text1"/>
        </w:rPr>
        <w:t xml:space="preserve">in fact </w:t>
      </w:r>
      <w:r w:rsidR="00BE6976" w:rsidRPr="003847A6">
        <w:rPr>
          <w:rFonts w:ascii="Calibri" w:hAnsi="Calibri" w:cs="Calibri"/>
          <w:color w:val="000000" w:themeColor="text1"/>
        </w:rPr>
        <w:t>desire to remain local</w:t>
      </w:r>
      <w:r w:rsidR="00303587" w:rsidRPr="003847A6">
        <w:rPr>
          <w:rFonts w:ascii="Calibri" w:hAnsi="Calibri" w:cs="Calibri"/>
          <w:color w:val="000000" w:themeColor="text1"/>
        </w:rPr>
        <w:t xml:space="preserve"> </w:t>
      </w:r>
      <w:r w:rsidR="00303587" w:rsidRPr="003847A6">
        <w:rPr>
          <w:rFonts w:ascii="Calibri" w:hAnsi="Calibri" w:cs="Calibri"/>
          <w:color w:val="000000" w:themeColor="text1"/>
        </w:rPr>
        <w:fldChar w:fldCharType="begin"/>
      </w:r>
      <w:r w:rsidR="00303587" w:rsidRPr="003847A6">
        <w:rPr>
          <w:rFonts w:ascii="Calibri" w:hAnsi="Calibri" w:cs="Calibri"/>
          <w:color w:val="000000" w:themeColor="text1"/>
        </w:rPr>
        <w:instrText xml:space="preserve"> ADDIN ZOTERO_ITEM CSL_CITATION {"citationID":"7G34sK98","properties":{"unsorted":false,"formattedCitation":"(Alberio and Moralli, 2021; Salavisa et al., 2021)","plainCitation":"(Alberio and Moralli, 2021; Salavisa et al., 2021)","noteIndex":0},"citationItems":[{"id":1501,"uris":["http://zotero.org/users/12768557/items/W2PPUYT9"],"itemData":{"id":1501,"type":"article-journal","abstract":"In recent years, alternative food networks are emerging as alternative solutions to the mainstream food industry. These innovative ways of producing, delivering and consuming food can lead to new opportunities but also challenges for social analysis. On the one hand, they reveal new reflexive and resilience capacities that show social actors’ creativity in re-organising their activities as a response to the recent socioeconomic transformations. On the other hand, the relations between producers and consumers are being reshaped through practices, narratives and actions from both the field of production and of consumption. Considering the prosumer as an emblematic figure of the current social economic configuration, which is strongly characterised by hybridisation, our paper explores the relation between contemporary social movements, social innovation and alternative food networks. Drawing upon the concept of social innovation conceived through a territorial approach, we will examine the locally embedded creative capacity of social groups in the field of organic food production, distribution and consumption. Empirical data from an Italian case study, Campi Aperti, will allow us to show how the issue of food sovereignty is addressed by small-scale local actors. In this paper, we use the case study to critically reflect on the rearrangement and networking of the producer-consumer relation and inter-action, as well as the constraints these actors experience. We conclude by illustrating how such local initiatives may contribute to the promotion of political activism able to transform collective voice into alternative social practices, hence creating new meanings and narratives.","container-title":"Journal of Rural Studies","DOI":"10.1016/J.JRURSTUD.2020.10.007","page":"447-457","publisher":"Pergamon","title":"Social innovation in alternative food networks. The role of co-producers in Campi Aperti","volume":"82","author":[{"family":"Alberio","given":"Marco"},{"family":"Moralli","given":"Melissa"}],"issued":{"date-parts":[["2021",2]]}}},{"id":10638,"uris":["http://zotero.org/users/12768557/items/ZTPWIEWA"],"itemData":{"id":10638,"type":"article-journal","abstract":"The paper presents a study on the transition of the agro-food system in Portugal through the analysis of case studies in the Lisbon Metropolitan Area. The theoretical framework draws on the literature on the transition of sociotechnical systems, taking into account the multidimensional nature of the food system (ecological, environmental, socioeconomic, and cultural). Social and institutional innovation, technological innovation, public policy impact, and the interactions with the dominant regime are the main dimensions guiding the study of the organic farming initiatives. We identiﬁed the supportive policy measures, the role of producers’ networks, the relevance of values, and the obstacles and challenges these initiatives face in their growth process. While the results are in line with the theoretical debate, they also provide new insights on the selection environment, the networks’ dual nature and the existence of different development paths within the organic food niche. One of the main conclusions is that organic farmers perceive the regulatory framework as unfair relative to that of conventional agriculture. Therefore, it is crucial to change this framework to speed up the transition of the agro-food system in Portugal and at the European level.","container-title":"Sustainability","DOI":"10.3390/su13179495","ISSN":"2071-1050","issue":"17","journalAbbreviation":"Sustainability","language":"en","license":"https://creativecommons.org/licenses/by/4.0/","page":"9495","source":"DOI.org (Crossref)","title":"The Transition of the Agro-Food System: Lessons from Organic Farming in the Lisbon Metropolitan Area","title-short":"The Transition of the Agro-Food System","volume":"13","author":[{"family":"Salavisa","given":"Isabel"},{"family":"Ferreiro","given":"Maria Fátima"},{"family":"Bizarro","given":"Sofia"}],"issued":{"date-parts":[["2021",8,24]]}}}],"schema":"https://github.com/citation-style-language/schema/raw/master/csl-citation.json"} </w:instrText>
      </w:r>
      <w:r w:rsidR="00303587" w:rsidRPr="003847A6">
        <w:rPr>
          <w:rFonts w:ascii="Calibri" w:hAnsi="Calibri" w:cs="Calibri"/>
          <w:color w:val="000000" w:themeColor="text1"/>
        </w:rPr>
        <w:fldChar w:fldCharType="separate"/>
      </w:r>
      <w:r w:rsidR="00303587" w:rsidRPr="003847A6">
        <w:rPr>
          <w:rFonts w:ascii="Calibri" w:hAnsi="Calibri" w:cs="Calibri"/>
          <w:noProof/>
          <w:color w:val="000000" w:themeColor="text1"/>
        </w:rPr>
        <w:t>(Alberio and Moralli, 2021; Salavisa et al., 2021)</w:t>
      </w:r>
      <w:r w:rsidR="00303587" w:rsidRPr="003847A6">
        <w:rPr>
          <w:rFonts w:ascii="Calibri" w:hAnsi="Calibri" w:cs="Calibri"/>
          <w:color w:val="000000" w:themeColor="text1"/>
        </w:rPr>
        <w:fldChar w:fldCharType="end"/>
      </w:r>
      <w:r w:rsidR="00BE6976" w:rsidRPr="003847A6">
        <w:rPr>
          <w:rFonts w:ascii="Calibri" w:hAnsi="Calibri" w:cs="Calibri"/>
          <w:color w:val="000000" w:themeColor="text1"/>
        </w:rPr>
        <w:t xml:space="preserve">. However, it is important in the context of </w:t>
      </w:r>
      <w:r w:rsidR="00BE6976" w:rsidRPr="003847A6">
        <w:rPr>
          <w:rFonts w:ascii="Calibri" w:hAnsi="Calibri" w:cs="Calibri"/>
          <w:color w:val="000000" w:themeColor="text1"/>
        </w:rPr>
        <w:lastRenderedPageBreak/>
        <w:t>scaling, telling us why “some pilots never fail but never scale”</w:t>
      </w:r>
      <w:r w:rsidR="005E34CD" w:rsidRPr="003847A6">
        <w:rPr>
          <w:rFonts w:ascii="Calibri" w:hAnsi="Calibri" w:cs="Calibri"/>
          <w:color w:val="000000" w:themeColor="text1"/>
        </w:rPr>
        <w:t xml:space="preserve"> </w:t>
      </w:r>
      <w:r w:rsidR="005E34CD" w:rsidRPr="003847A6">
        <w:rPr>
          <w:rFonts w:ascii="Calibri" w:hAnsi="Calibri" w:cs="Calibri"/>
          <w:color w:val="000000" w:themeColor="text1"/>
        </w:rPr>
        <w:fldChar w:fldCharType="begin"/>
      </w:r>
      <w:r w:rsidR="005E34CD" w:rsidRPr="003847A6">
        <w:rPr>
          <w:rFonts w:ascii="Calibri" w:hAnsi="Calibri" w:cs="Calibri"/>
          <w:color w:val="000000" w:themeColor="text1"/>
        </w:rPr>
        <w:instrText xml:space="preserve"> ADDIN ZOTERO_ITEM CSL_CITATION {"citationID":"DlcN3LCv","properties":{"unsorted":false,"formattedCitation":"(Leeuwis, 2024)","plainCitation":"(Leeuwis, 2024)","noteIndex":0},"citationItems":[{"id":22267,"uris":["http://zotero.org/users/12768557/items/B54HK6XN"],"itemData":{"id":22267,"type":"webpage","publisher":"Wageningen University &amp; Research (WUR)","title":"\"Ready to scale?\" From innovations to system change","URL":"https://www.wur.nl/en/longread/ready-scale-innovations-system-change","author":[{"family":"Leeuwis","given":"C"}],"accessed":{"date-parts":[["2026",5,19]]},"issued":{"date-parts":[["2024"]]}}}],"schema":"https://github.com/citation-style-language/schema/raw/master/csl-citation.json"} </w:instrText>
      </w:r>
      <w:r w:rsidR="005E34CD" w:rsidRPr="003847A6">
        <w:rPr>
          <w:rFonts w:ascii="Calibri" w:hAnsi="Calibri" w:cs="Calibri"/>
          <w:color w:val="000000" w:themeColor="text1"/>
        </w:rPr>
        <w:fldChar w:fldCharType="separate"/>
      </w:r>
      <w:r w:rsidR="005E34CD" w:rsidRPr="003847A6">
        <w:rPr>
          <w:rFonts w:ascii="Calibri" w:hAnsi="Calibri" w:cs="Calibri"/>
          <w:noProof/>
          <w:color w:val="000000" w:themeColor="text1"/>
        </w:rPr>
        <w:t>(Leeuwis, 2024)</w:t>
      </w:r>
      <w:r w:rsidR="005E34CD" w:rsidRPr="003847A6">
        <w:rPr>
          <w:rFonts w:ascii="Calibri" w:hAnsi="Calibri" w:cs="Calibri"/>
          <w:color w:val="000000" w:themeColor="text1"/>
        </w:rPr>
        <w:fldChar w:fldCharType="end"/>
      </w:r>
      <w:r w:rsidR="00675498" w:rsidRPr="003847A6">
        <w:rPr>
          <w:rFonts w:ascii="Calibri" w:hAnsi="Calibri" w:cs="Calibri"/>
          <w:color w:val="000000" w:themeColor="text1"/>
        </w:rPr>
        <w:t>. Innovation might</w:t>
      </w:r>
      <w:r w:rsidR="00303587" w:rsidRPr="003847A6">
        <w:rPr>
          <w:rFonts w:ascii="Calibri" w:hAnsi="Calibri" w:cs="Calibri"/>
          <w:color w:val="000000" w:themeColor="text1"/>
        </w:rPr>
        <w:t xml:space="preserve"> remain</w:t>
      </w:r>
      <w:r w:rsidR="003847A6">
        <w:rPr>
          <w:rFonts w:ascii="Calibri" w:hAnsi="Calibri" w:cs="Calibri"/>
          <w:color w:val="000000" w:themeColor="text1"/>
        </w:rPr>
        <w:t xml:space="preserve"> </w:t>
      </w:r>
      <w:r w:rsidR="00303587" w:rsidRPr="003847A6">
        <w:rPr>
          <w:rFonts w:ascii="Calibri" w:hAnsi="Calibri" w:cs="Calibri"/>
          <w:color w:val="000000" w:themeColor="text1"/>
        </w:rPr>
        <w:t xml:space="preserve">“stuck” at the local sphere </w:t>
      </w:r>
      <w:r w:rsidR="00303587" w:rsidRPr="003847A6">
        <w:rPr>
          <w:rFonts w:ascii="Calibri" w:hAnsi="Calibri" w:cs="Calibri"/>
          <w:color w:val="000000" w:themeColor="text1"/>
        </w:rPr>
        <w:fldChar w:fldCharType="begin"/>
      </w:r>
      <w:r w:rsidR="00303587" w:rsidRPr="003847A6">
        <w:rPr>
          <w:rFonts w:ascii="Calibri" w:hAnsi="Calibri" w:cs="Calibri"/>
          <w:color w:val="000000" w:themeColor="text1"/>
        </w:rPr>
        <w:instrText xml:space="preserve"> ADDIN ZOTERO_ITEM CSL_CITATION {"citationID":"FGrNBX6x","properties":{"formattedCitation":"(Hatanaka, 2020; Holtkamp, 2023)","plainCitation":"(Hatanaka, 2020; Holtkamp, 2023)","noteIndex":0},"citationItems":[{"id":10609,"uris":["http://zotero.org/users/12768557/items/A8IV64EX"],"itemData":{"id":10609,"type":"article-journal","abstract":"To improve the sustainability of food and agriculture, analyses are increasingly calling for forms of engagement by consumers that go beyond \"voting with their dollars,” and for people to be food citizens. While the notion of food citizenship suggests innovative ways that consumers can contribute to sustainable transitions, there is a dearth of research on what it means for a person to act as a food citizen and the kinds of governance processes that enable food citizenship. Using a case study of a consumer cooperative, Seikatsu Club Consumer Cooperative, in Japan, this paper examines how consumers and producers act as food citizens, and the ways that governance processes affect food citizenship. Three sets of analyses are presented. First, the aspects of Seikatsu Club’s governance system that promote and facilitate food citizenship are analyzed. Second, what it means to be food citizens and the kinds of activities consumers and producers partake in as food citizens are examined. Third, the ways that food citizenship impacts consumer-producer relations and sustainability are discussed. Specifically, the analysis of Seikatsu Club Consumer Cooperative indicates that food citizenship can facilitate mutual understanding and partnership between consumers and producers, and a sense of ownership by them over the food system and sustainability. In concluding, the implications of the findings on Seikatsu Club Consumer Cooperative for governance, food citizenship, and sustainability more generally are discussed.","container-title":"Journal of Rural Studies","DOI":"10.1016/j.jrurstud.2020.04.006","ISSN":"07430167","journalAbbreviation":"Journal of Rural Studies","language":"en","page":"55-62","source":"DOI.org (Crossref)","title":"Beyond consuming ethically? Food citizens, governance, and sustainability","title-short":"Beyond consuming ethically?","volume":"77","author":[{"family":"Hatanaka","given":"Maki"}],"issued":{"date-parts":[["2020",7]]}}},{"id":10663,"uris":["http://zotero.org/users/12768557/items/IMBRJLJW"],"itemData":{"id":10663,"type":"article-journal","abstract":"The diffusion of radical transformative innovations is essential for a transition towards more sustainable food systems. However, scholars have paid little attention to the power struggles shaping this process. This article applies the concept of social capital to the multilevel perspective and uses qualitative data from field research and media analysis to investigate the case of a local food movement in South Tyrol, Italy. It poses the following question: How did the conventional regime in South Tyrol discourage transformative innovations to further their interests against the efforts of the movement? The results show that the movement built up microlevel social capital to diffuse transformative innovations. Conventional regime actors used existing macrolevel social capital to inhibit transformative innovations and promote gradual innovations instead. The article argues that radical transformative and gradual innovations were mutually exclusive in the case under study and therefore caused intense power conflicts. It concludes with recommendations for future research.","container-title":"Sociologia Ruralis","DOI":"10.1111/soru.12389","ISSN":"1467-9523","issue":"1","language":"en","license":"© 2022 The Authors. Sociologia Ruralis published by John Wiley &amp; Sons Ltd on behalf of European Society for Rural Sociology.","note":"_eprint: https://onlinelibrary.wiley.com/doi/pdf/10.1111/soru.12389","page":"20-44","source":"Wiley Online Library","title":"Contested diffusion of transformative innovations. Micro- and macrolevel social capital in South Tyrol","volume":"63","author":[{"family":"Holtkamp","given":"Carolin"}],"issued":{"date-parts":[["2023"]]}}}],"schema":"https://github.com/citation-style-language/schema/raw/master/csl-citation.json"} </w:instrText>
      </w:r>
      <w:r w:rsidR="00303587" w:rsidRPr="003847A6">
        <w:rPr>
          <w:rFonts w:ascii="Calibri" w:hAnsi="Calibri" w:cs="Calibri"/>
          <w:color w:val="000000" w:themeColor="text1"/>
        </w:rPr>
        <w:fldChar w:fldCharType="separate"/>
      </w:r>
      <w:r w:rsidR="00303587" w:rsidRPr="003847A6">
        <w:rPr>
          <w:rFonts w:ascii="Calibri" w:hAnsi="Calibri" w:cs="Calibri"/>
          <w:noProof/>
          <w:color w:val="000000" w:themeColor="text1"/>
        </w:rPr>
        <w:t>(Hatanaka, 2020; Holtkamp, 2023)</w:t>
      </w:r>
      <w:r w:rsidR="00303587" w:rsidRPr="003847A6">
        <w:rPr>
          <w:rFonts w:ascii="Calibri" w:hAnsi="Calibri" w:cs="Calibri"/>
          <w:color w:val="000000" w:themeColor="text1"/>
        </w:rPr>
        <w:fldChar w:fldCharType="end"/>
      </w:r>
      <w:r w:rsidR="00303587" w:rsidRPr="003847A6">
        <w:rPr>
          <w:rFonts w:ascii="Calibri" w:hAnsi="Calibri" w:cs="Calibri"/>
          <w:color w:val="000000" w:themeColor="text1"/>
        </w:rPr>
        <w:t xml:space="preserve">, or end up being altogether “abandoned” because of its inability to build dedicated networks and garner the necessary institutional support </w:t>
      </w:r>
      <w:r w:rsidR="00303587" w:rsidRPr="003847A6">
        <w:rPr>
          <w:rFonts w:ascii="Calibri" w:hAnsi="Calibri" w:cs="Calibri"/>
          <w:color w:val="000000" w:themeColor="text1"/>
        </w:rPr>
        <w:fldChar w:fldCharType="begin"/>
      </w:r>
      <w:r w:rsidR="00303587" w:rsidRPr="003847A6">
        <w:rPr>
          <w:rFonts w:ascii="Calibri" w:hAnsi="Calibri" w:cs="Calibri"/>
          <w:color w:val="000000" w:themeColor="text1"/>
        </w:rPr>
        <w:instrText xml:space="preserve"> ADDIN ZOTERO_ITEM CSL_CITATION {"citationID":"XhJGtli0","properties":{"formattedCitation":"(Hall et al., 2003; Orr et al., 2022)","plainCitation":"(Hall et al., 2003; Orr et al., 2022)","noteIndex":0},"citationItems":[{"id":18916,"uris":["http://zotero.org/users/12768557/items/23QDEXDP"],"itemData":{"id":18916,"type":"report","publisher":"Crop Post-Harvest Programme (CPHP), South Asia, c/o International Crops Research Institute for the Semi-Arid Tropics (ICRISAT),","publisher-place":"Patancheru","title":"Post-harvest innovations in innovation: reflections on partnership and learning.","author":[{"family":"Hall","given":"A"},{"family":"Yoganand","given":"B"},{"family":"Sulaiman","given":"R"},{"family":"Clark","given":"N. G"}],"issued":{"date-parts":[["2003"]]}}},{"id":1924,"uris":["http://zotero.org/users/12768557/items/4V9F5NDM"],"itemData":{"id":1924,"type":"report","page":"57-57","publisher-place":"Patancheru","title":"Evidencing what works in developing new market opportunities for GLDC crops","URL":"http://oar.icrisat.org/11963/","author":[{"family":"Orr","given":"A"},{"family":"Conti","given":"C"},{"family":"Mausch","given":"K"},{"family":"Hall","given":"A"}],"issued":{"date-parts":[["2022"]]}}}],"schema":"https://github.com/citation-style-language/schema/raw/master/csl-citation.json"} </w:instrText>
      </w:r>
      <w:r w:rsidR="00303587" w:rsidRPr="003847A6">
        <w:rPr>
          <w:rFonts w:ascii="Calibri" w:hAnsi="Calibri" w:cs="Calibri"/>
          <w:color w:val="000000" w:themeColor="text1"/>
        </w:rPr>
        <w:fldChar w:fldCharType="separate"/>
      </w:r>
      <w:r w:rsidR="00303587" w:rsidRPr="003847A6">
        <w:rPr>
          <w:rFonts w:ascii="Calibri" w:hAnsi="Calibri" w:cs="Calibri"/>
          <w:noProof/>
          <w:color w:val="000000" w:themeColor="text1"/>
        </w:rPr>
        <w:t>(Hall et al., 2003; Orr et al., 2022)</w:t>
      </w:r>
      <w:r w:rsidR="00303587" w:rsidRPr="003847A6">
        <w:rPr>
          <w:rFonts w:ascii="Calibri" w:hAnsi="Calibri" w:cs="Calibri"/>
          <w:color w:val="000000" w:themeColor="text1"/>
        </w:rPr>
        <w:fldChar w:fldCharType="end"/>
      </w:r>
      <w:r w:rsidR="00303587" w:rsidRPr="003847A6">
        <w:rPr>
          <w:rFonts w:ascii="Calibri" w:hAnsi="Calibri" w:cs="Calibri"/>
          <w:color w:val="000000" w:themeColor="text1"/>
        </w:rPr>
        <w:t>.</w:t>
      </w:r>
    </w:p>
    <w:p w14:paraId="5542EBB2" w14:textId="20EBEA2A" w:rsidR="00BA652C" w:rsidRPr="003847A6" w:rsidRDefault="00BA652C" w:rsidP="003847A6">
      <w:pPr>
        <w:pStyle w:val="NormalWeb"/>
        <w:spacing w:line="276" w:lineRule="auto"/>
        <w:jc w:val="both"/>
        <w:rPr>
          <w:rFonts w:ascii="Calibri" w:hAnsi="Calibri" w:cs="Calibri"/>
          <w:color w:val="000000" w:themeColor="text1"/>
        </w:rPr>
      </w:pPr>
      <w:r w:rsidRPr="003847A6">
        <w:rPr>
          <w:rFonts w:ascii="Calibri" w:hAnsi="Calibri" w:cs="Calibri"/>
          <w:color w:val="000000" w:themeColor="text1"/>
        </w:rPr>
        <w:t xml:space="preserve">A gear metaphor is used to illustrate this logic. Each sphere represents a gear. The “teeth” of each gear are the recurring system elements that need to connect for the gear to move (i.e. synchronisation), while the three gears triggering movement one after the other (i.e. sequencing) signal how from the local sphere the initiative can “scale up” by triggering change in the next sphere. This is, in </w:t>
      </w:r>
      <w:r w:rsidR="002F1B3F" w:rsidRPr="003847A6">
        <w:rPr>
          <w:rFonts w:ascii="Calibri" w:hAnsi="Calibri" w:cs="Calibri"/>
          <w:color w:val="000000" w:themeColor="text1"/>
        </w:rPr>
        <w:t xml:space="preserve">part, </w:t>
      </w:r>
      <w:r w:rsidR="005E34CD" w:rsidRPr="003847A6">
        <w:rPr>
          <w:rFonts w:ascii="Calibri" w:hAnsi="Calibri" w:cs="Calibri"/>
          <w:color w:val="000000" w:themeColor="text1"/>
        </w:rPr>
        <w:t>resonating</w:t>
      </w:r>
      <w:r w:rsidRPr="003847A6">
        <w:rPr>
          <w:rFonts w:ascii="Calibri" w:hAnsi="Calibri" w:cs="Calibri"/>
          <w:color w:val="000000" w:themeColor="text1"/>
        </w:rPr>
        <w:t xml:space="preserve"> with the Multi-Level Perspective</w:t>
      </w:r>
      <w:r w:rsidR="0048727B" w:rsidRPr="003847A6">
        <w:rPr>
          <w:rFonts w:ascii="Calibri" w:hAnsi="Calibri" w:cs="Calibri"/>
          <w:color w:val="000000" w:themeColor="text1"/>
        </w:rPr>
        <w:t xml:space="preserve"> </w:t>
      </w:r>
      <w:r w:rsidR="0048727B" w:rsidRPr="003847A6">
        <w:rPr>
          <w:rFonts w:ascii="Calibri" w:hAnsi="Calibri" w:cs="Calibri"/>
          <w:color w:val="000000" w:themeColor="text1"/>
        </w:rPr>
        <w:fldChar w:fldCharType="begin"/>
      </w:r>
      <w:r w:rsidR="0048727B" w:rsidRPr="003847A6">
        <w:rPr>
          <w:rFonts w:ascii="Calibri" w:hAnsi="Calibri" w:cs="Calibri"/>
          <w:color w:val="000000" w:themeColor="text1"/>
        </w:rPr>
        <w:instrText xml:space="preserve"> ADDIN ZOTERO_ITEM CSL_CITATION {"citationID":"GPpNU6We","properties":{"unsorted":false,"formattedCitation":"(Geels, 2019)","plainCitation":"(Geels, 2019)","noteIndex":0},"citationItems":[{"id":58,"uris":["http://zotero.org/users/12768557/items/QXCZNV3A"],"itemData":{"id":58,"type":"article-journal","abstract":"This article discusses the socio-technical transition literature, particularly the Multi-Level Perspective, which investigates the fundamental changes in (energy, transport, housing, agro-food) systems that are needed to address persistent sustainability problems. The article positions the MLP within the wider academic debate on sustainability transformations, and reviews criticisms and seven recent elaborations of the MLP with regard to: (1) politics and power, (2) cultural discourse and framing struggles, (3) grassroots innovation, (4) multiple transition pathways, (5) incumbent firm resistance and reorientation, (6) destabilization and decline, (7) policy analysis. Mobilizing insights from the wider social sciences, these elaborations have nuanced and differentiated the understanding of socio-technical transitions to sustainability and made the MLP the central pillar of a multi-facetted, cumulative research programme with a broad empirical evidence base.","container-title":"Current Opinion in Environmental Sustainability","DOI":"https://doi.org/10.1016/j.cosust.2019.06.009","ISSN":"1877-3435","page":"187-201","title":"Socio-technical transitions to sustainability: a review of criticisms and elaborations of the Multi-Level Perspective","volume":"39","author":[{"family":"Geels","given":"Frank W"}],"issued":{"date-parts":[["2019"]]}}}],"schema":"https://github.com/citation-style-language/schema/raw/master/csl-citation.json"} </w:instrText>
      </w:r>
      <w:r w:rsidR="0048727B" w:rsidRPr="003847A6">
        <w:rPr>
          <w:rFonts w:ascii="Calibri" w:hAnsi="Calibri" w:cs="Calibri"/>
          <w:color w:val="000000" w:themeColor="text1"/>
        </w:rPr>
        <w:fldChar w:fldCharType="separate"/>
      </w:r>
      <w:r w:rsidR="0048727B" w:rsidRPr="003847A6">
        <w:rPr>
          <w:rFonts w:ascii="Calibri" w:hAnsi="Calibri" w:cs="Calibri"/>
          <w:noProof/>
          <w:color w:val="000000" w:themeColor="text1"/>
        </w:rPr>
        <w:t>(Geels, 2019)</w:t>
      </w:r>
      <w:r w:rsidR="0048727B" w:rsidRPr="003847A6">
        <w:rPr>
          <w:rFonts w:ascii="Calibri" w:hAnsi="Calibri" w:cs="Calibri"/>
          <w:color w:val="000000" w:themeColor="text1"/>
        </w:rPr>
        <w:fldChar w:fldCharType="end"/>
      </w:r>
      <w:r w:rsidRPr="003847A6">
        <w:rPr>
          <w:rFonts w:ascii="Calibri" w:hAnsi="Calibri" w:cs="Calibri"/>
          <w:color w:val="000000" w:themeColor="text1"/>
        </w:rPr>
        <w:t xml:space="preserve"> - in the sense that </w:t>
      </w:r>
      <w:r w:rsidR="005E34CD" w:rsidRPr="003847A6">
        <w:rPr>
          <w:rFonts w:ascii="Calibri" w:hAnsi="Calibri" w:cs="Calibri"/>
          <w:color w:val="000000" w:themeColor="text1"/>
        </w:rPr>
        <w:t xml:space="preserve">it suggests that </w:t>
      </w:r>
      <w:r w:rsidRPr="003847A6">
        <w:rPr>
          <w:rFonts w:ascii="Calibri" w:hAnsi="Calibri" w:cs="Calibri"/>
          <w:color w:val="000000" w:themeColor="text1"/>
        </w:rPr>
        <w:t>niches</w:t>
      </w:r>
      <w:r w:rsidR="005E34CD" w:rsidRPr="003847A6">
        <w:rPr>
          <w:rFonts w:ascii="Calibri" w:hAnsi="Calibri" w:cs="Calibri"/>
          <w:color w:val="000000" w:themeColor="text1"/>
        </w:rPr>
        <w:t xml:space="preserve"> (i.e. local sphere)</w:t>
      </w:r>
      <w:r w:rsidRPr="003847A6">
        <w:rPr>
          <w:rFonts w:ascii="Calibri" w:hAnsi="Calibri" w:cs="Calibri"/>
          <w:color w:val="000000" w:themeColor="text1"/>
        </w:rPr>
        <w:t xml:space="preserve"> can trigger broader system change. However, </w:t>
      </w:r>
      <w:r w:rsidR="00675498" w:rsidRPr="003847A6">
        <w:rPr>
          <w:rFonts w:ascii="Calibri" w:hAnsi="Calibri" w:cs="Calibri"/>
          <w:color w:val="000000" w:themeColor="text1"/>
        </w:rPr>
        <w:t>the 3S framework</w:t>
      </w:r>
      <w:r w:rsidRPr="003847A6">
        <w:rPr>
          <w:rFonts w:ascii="Calibri" w:hAnsi="Calibri" w:cs="Calibri"/>
          <w:color w:val="000000" w:themeColor="text1"/>
        </w:rPr>
        <w:t xml:space="preserve"> </w:t>
      </w:r>
      <w:r w:rsidR="00675498" w:rsidRPr="003847A6">
        <w:rPr>
          <w:rFonts w:ascii="Calibri" w:hAnsi="Calibri" w:cs="Calibri"/>
          <w:color w:val="000000" w:themeColor="text1"/>
        </w:rPr>
        <w:t>emphasises</w:t>
      </w:r>
      <w:r w:rsidR="005E34CD" w:rsidRPr="003847A6">
        <w:rPr>
          <w:rFonts w:ascii="Calibri" w:hAnsi="Calibri" w:cs="Calibri"/>
          <w:color w:val="000000" w:themeColor="text1"/>
        </w:rPr>
        <w:t xml:space="preserve"> the importance of</w:t>
      </w:r>
      <w:r w:rsidR="00675498" w:rsidRPr="003847A6">
        <w:rPr>
          <w:rFonts w:ascii="Calibri" w:hAnsi="Calibri" w:cs="Calibri"/>
          <w:color w:val="000000" w:themeColor="text1"/>
        </w:rPr>
        <w:t xml:space="preserve"> much more</w:t>
      </w:r>
      <w:r w:rsidR="005E34CD" w:rsidRPr="003847A6">
        <w:rPr>
          <w:rFonts w:ascii="Calibri" w:hAnsi="Calibri" w:cs="Calibri"/>
          <w:color w:val="000000" w:themeColor="text1"/>
        </w:rPr>
        <w:t xml:space="preserve"> deliberately </w:t>
      </w:r>
      <w:r w:rsidR="00675498" w:rsidRPr="003847A6">
        <w:rPr>
          <w:rFonts w:ascii="Calibri" w:hAnsi="Calibri" w:cs="Calibri"/>
          <w:color w:val="000000" w:themeColor="text1"/>
        </w:rPr>
        <w:t xml:space="preserve">and proactively </w:t>
      </w:r>
      <w:r w:rsidR="005E34CD" w:rsidRPr="003847A6">
        <w:rPr>
          <w:rFonts w:ascii="Calibri" w:hAnsi="Calibri" w:cs="Calibri"/>
          <w:color w:val="000000" w:themeColor="text1"/>
        </w:rPr>
        <w:t>engaging with multiple system elements at the same time, while very carefully considering the temporal dimension of the scaling process, with a clear understanding of what needs to happen first (i.e. demonstration of local viability) and what needs to happen later (i.e. broader partnerships, institutional engagement) to scale intervention</w:t>
      </w:r>
      <w:r w:rsidR="00675498" w:rsidRPr="003847A6">
        <w:rPr>
          <w:rFonts w:ascii="Calibri" w:hAnsi="Calibri" w:cs="Calibri"/>
          <w:color w:val="000000" w:themeColor="text1"/>
        </w:rPr>
        <w:t>s</w:t>
      </w:r>
      <w:r w:rsidR="005E34CD" w:rsidRPr="003847A6">
        <w:rPr>
          <w:rFonts w:ascii="Calibri" w:hAnsi="Calibri" w:cs="Calibri"/>
          <w:color w:val="000000" w:themeColor="text1"/>
        </w:rPr>
        <w:t xml:space="preserve"> and trigger system change. </w:t>
      </w:r>
    </w:p>
    <w:p w14:paraId="010CA1B2" w14:textId="30074F61" w:rsidR="00F21C07" w:rsidRPr="003847A6" w:rsidRDefault="00675498" w:rsidP="003847A6">
      <w:pPr>
        <w:pStyle w:val="NormalWeb"/>
        <w:spacing w:line="276" w:lineRule="auto"/>
        <w:jc w:val="both"/>
        <w:rPr>
          <w:rFonts w:ascii="Calibri" w:hAnsi="Calibri" w:cs="Calibri"/>
          <w:color w:val="000000" w:themeColor="text1"/>
        </w:rPr>
      </w:pPr>
      <w:r w:rsidRPr="003847A6">
        <w:rPr>
          <w:rFonts w:ascii="Calibri" w:eastAsiaTheme="minorHAnsi" w:hAnsi="Calibri" w:cs="Calibri"/>
          <w:color w:val="000000" w:themeColor="text1"/>
          <w:lang w:eastAsia="en-US"/>
        </w:rPr>
        <w:t xml:space="preserve">Finally, </w:t>
      </w:r>
      <w:r w:rsidRPr="003847A6">
        <w:rPr>
          <w:rFonts w:ascii="Calibri" w:hAnsi="Calibri" w:cs="Calibri"/>
          <w:color w:val="000000" w:themeColor="text1"/>
        </w:rPr>
        <w:t>in the case study</w:t>
      </w:r>
      <w:r w:rsidR="005E34CD" w:rsidRPr="003847A6">
        <w:rPr>
          <w:rFonts w:ascii="Calibri" w:hAnsi="Calibri" w:cs="Calibri"/>
          <w:color w:val="000000" w:themeColor="text1"/>
        </w:rPr>
        <w:t xml:space="preserve">, we </w:t>
      </w:r>
      <w:r w:rsidRPr="003847A6">
        <w:rPr>
          <w:rFonts w:ascii="Calibri" w:hAnsi="Calibri" w:cs="Calibri"/>
          <w:color w:val="000000" w:themeColor="text1"/>
        </w:rPr>
        <w:t xml:space="preserve">examine a </w:t>
      </w:r>
      <w:r w:rsidR="002F1B3F" w:rsidRPr="003847A6">
        <w:rPr>
          <w:rFonts w:ascii="Calibri" w:hAnsi="Calibri" w:cs="Calibri"/>
          <w:color w:val="000000" w:themeColor="text1"/>
        </w:rPr>
        <w:t>more bottom-up movement (from</w:t>
      </w:r>
      <w:r w:rsidRPr="003847A6">
        <w:rPr>
          <w:rFonts w:ascii="Calibri" w:hAnsi="Calibri" w:cs="Calibri"/>
          <w:color w:val="000000" w:themeColor="text1"/>
        </w:rPr>
        <w:t xml:space="preserve"> the</w:t>
      </w:r>
      <w:r w:rsidR="002F1B3F" w:rsidRPr="003847A6">
        <w:rPr>
          <w:rFonts w:ascii="Calibri" w:hAnsi="Calibri" w:cs="Calibri"/>
          <w:color w:val="000000" w:themeColor="text1"/>
        </w:rPr>
        <w:t xml:space="preserve"> local to </w:t>
      </w:r>
      <w:r w:rsidRPr="003847A6">
        <w:rPr>
          <w:rFonts w:ascii="Calibri" w:hAnsi="Calibri" w:cs="Calibri"/>
          <w:color w:val="000000" w:themeColor="text1"/>
        </w:rPr>
        <w:t xml:space="preserve">the </w:t>
      </w:r>
      <w:r w:rsidR="002F1B3F" w:rsidRPr="003847A6">
        <w:rPr>
          <w:rFonts w:ascii="Calibri" w:hAnsi="Calibri" w:cs="Calibri"/>
          <w:color w:val="000000" w:themeColor="text1"/>
        </w:rPr>
        <w:t>system</w:t>
      </w:r>
      <w:r w:rsidRPr="003847A6">
        <w:rPr>
          <w:rFonts w:ascii="Calibri" w:hAnsi="Calibri" w:cs="Calibri"/>
          <w:color w:val="000000" w:themeColor="text1"/>
        </w:rPr>
        <w:t xml:space="preserve"> sphere</w:t>
      </w:r>
      <w:r w:rsidR="002F1B3F" w:rsidRPr="003847A6">
        <w:rPr>
          <w:rFonts w:ascii="Calibri" w:hAnsi="Calibri" w:cs="Calibri"/>
          <w:color w:val="000000" w:themeColor="text1"/>
        </w:rPr>
        <w:t>)</w:t>
      </w:r>
      <w:r w:rsidR="005E34CD" w:rsidRPr="003847A6">
        <w:rPr>
          <w:rFonts w:ascii="Calibri" w:hAnsi="Calibri" w:cs="Calibri"/>
          <w:color w:val="000000" w:themeColor="text1"/>
        </w:rPr>
        <w:t xml:space="preserve">. </w:t>
      </w:r>
      <w:r w:rsidR="00F21C07" w:rsidRPr="003847A6">
        <w:rPr>
          <w:rFonts w:ascii="Calibri" w:hAnsi="Calibri" w:cs="Calibri"/>
          <w:color w:val="000000" w:themeColor="text1"/>
        </w:rPr>
        <w:t>T</w:t>
      </w:r>
      <w:r w:rsidR="002F1B3F" w:rsidRPr="003847A6">
        <w:rPr>
          <w:rFonts w:ascii="Calibri" w:hAnsi="Calibri" w:cs="Calibri"/>
          <w:color w:val="000000" w:themeColor="text1"/>
        </w:rPr>
        <w:t>here could be other cases in which the movement is more top-down</w:t>
      </w:r>
      <w:r w:rsidRPr="003847A6">
        <w:rPr>
          <w:rFonts w:ascii="Calibri" w:hAnsi="Calibri" w:cs="Calibri"/>
          <w:color w:val="000000" w:themeColor="text1"/>
        </w:rPr>
        <w:t xml:space="preserve"> (from the system to the local sphere). F</w:t>
      </w:r>
      <w:r w:rsidR="002F1B3F" w:rsidRPr="003847A6">
        <w:rPr>
          <w:rFonts w:ascii="Calibri" w:hAnsi="Calibri" w:cs="Calibri"/>
          <w:color w:val="000000" w:themeColor="text1"/>
        </w:rPr>
        <w:t>or instance</w:t>
      </w:r>
      <w:r w:rsidRPr="003847A6">
        <w:rPr>
          <w:rFonts w:ascii="Calibri" w:hAnsi="Calibri" w:cs="Calibri"/>
          <w:color w:val="000000" w:themeColor="text1"/>
        </w:rPr>
        <w:t xml:space="preserve">, changes could be initiated by </w:t>
      </w:r>
      <w:r w:rsidR="0019633C" w:rsidRPr="003847A6">
        <w:rPr>
          <w:rFonts w:ascii="Calibri" w:hAnsi="Calibri" w:cs="Calibri"/>
          <w:color w:val="000000" w:themeColor="text1"/>
        </w:rPr>
        <w:t>carefully synchronised</w:t>
      </w:r>
      <w:r w:rsidRPr="003847A6">
        <w:rPr>
          <w:rFonts w:ascii="Calibri" w:hAnsi="Calibri" w:cs="Calibri"/>
          <w:color w:val="000000" w:themeColor="text1"/>
        </w:rPr>
        <w:t xml:space="preserve"> </w:t>
      </w:r>
      <w:r w:rsidR="002F1B3F" w:rsidRPr="003847A6">
        <w:rPr>
          <w:rFonts w:ascii="Calibri" w:hAnsi="Calibri" w:cs="Calibri"/>
          <w:color w:val="000000" w:themeColor="text1"/>
        </w:rPr>
        <w:t xml:space="preserve">policies, research, and </w:t>
      </w:r>
      <w:r w:rsidRPr="003847A6">
        <w:rPr>
          <w:rFonts w:ascii="Calibri" w:hAnsi="Calibri" w:cs="Calibri"/>
          <w:color w:val="000000" w:themeColor="text1"/>
        </w:rPr>
        <w:t>institutional</w:t>
      </w:r>
      <w:r w:rsidR="002F1B3F" w:rsidRPr="003847A6">
        <w:rPr>
          <w:rFonts w:ascii="Calibri" w:hAnsi="Calibri" w:cs="Calibri"/>
          <w:color w:val="000000" w:themeColor="text1"/>
        </w:rPr>
        <w:t xml:space="preserve"> changes</w:t>
      </w:r>
      <w:r w:rsidR="00F21C07" w:rsidRPr="003847A6">
        <w:rPr>
          <w:rFonts w:ascii="Calibri" w:hAnsi="Calibri" w:cs="Calibri"/>
          <w:color w:val="000000" w:themeColor="text1"/>
        </w:rPr>
        <w:t xml:space="preserve"> a</w:t>
      </w:r>
      <w:r w:rsidR="0019633C">
        <w:rPr>
          <w:rFonts w:ascii="Calibri" w:hAnsi="Calibri" w:cs="Calibri"/>
          <w:color w:val="000000" w:themeColor="text1"/>
        </w:rPr>
        <w:t>t</w:t>
      </w:r>
      <w:r w:rsidR="00F21C07" w:rsidRPr="003847A6">
        <w:rPr>
          <w:rFonts w:ascii="Calibri" w:hAnsi="Calibri" w:cs="Calibri"/>
          <w:color w:val="000000" w:themeColor="text1"/>
        </w:rPr>
        <w:t xml:space="preserve"> the system level, </w:t>
      </w:r>
      <w:r w:rsidR="002F1B3F" w:rsidRPr="003847A6">
        <w:rPr>
          <w:rFonts w:ascii="Calibri" w:hAnsi="Calibri" w:cs="Calibri"/>
          <w:color w:val="000000" w:themeColor="text1"/>
        </w:rPr>
        <w:t>and then trick</w:t>
      </w:r>
      <w:r w:rsidRPr="003847A6">
        <w:rPr>
          <w:rFonts w:ascii="Calibri" w:hAnsi="Calibri" w:cs="Calibri"/>
          <w:color w:val="000000" w:themeColor="text1"/>
        </w:rPr>
        <w:t>le</w:t>
      </w:r>
      <w:r w:rsidR="002F1B3F" w:rsidRPr="003847A6">
        <w:rPr>
          <w:rFonts w:ascii="Calibri" w:hAnsi="Calibri" w:cs="Calibri"/>
          <w:color w:val="000000" w:themeColor="text1"/>
        </w:rPr>
        <w:t xml:space="preserve"> down to local spheres</w:t>
      </w:r>
      <w:r w:rsidR="0019633C">
        <w:rPr>
          <w:rFonts w:ascii="Calibri" w:hAnsi="Calibri" w:cs="Calibri"/>
          <w:color w:val="000000" w:themeColor="text1"/>
        </w:rPr>
        <w:t xml:space="preserve"> </w:t>
      </w:r>
      <w:r w:rsidR="0019633C">
        <w:rPr>
          <w:rFonts w:ascii="Calibri" w:hAnsi="Calibri" w:cs="Calibri"/>
          <w:color w:val="000000" w:themeColor="text1"/>
        </w:rPr>
        <w:fldChar w:fldCharType="begin"/>
      </w:r>
      <w:r w:rsidR="001008B9">
        <w:rPr>
          <w:rFonts w:ascii="Calibri" w:hAnsi="Calibri" w:cs="Calibri"/>
          <w:color w:val="000000" w:themeColor="text1"/>
        </w:rPr>
        <w:instrText xml:space="preserve"> ADDIN ZOTERO_ITEM CSL_CITATION {"citationID":"Y6ikhTP2","properties":{"unsorted":false,"formattedCitation":"(Conti et al., 2025; Rao et al., 2025)","plainCitation":"(Conti et al., 2025; Rao et al., 2025)","noteIndex":0},"citationItems":[{"id":18963,"uris":["http://zotero.org/users/12768557/items/DNJN5ND6"],"itemData":{"id":18963,"type":"article-journal","abstract":"Urgent calls for food system transformation have spurred a variety of responses globally. In some cases, these calls have been answered through top-down led processes, driven by public agencies to design and implement measures that can drive societies towards more viable patterns of development. In other cases, transformation processes have been ignited by community level actors who addressed sustainability issues with context-specific solutions. The broad range of actors raises the question of whether it is top-down or bottom-up processes and actors that are better placed to deliver the fundamental and system level changes that characterise transformation. Through a systematic review, we identified 40 case studies across 24 countries to investigate the role of top-down or bottom-up processes in transformation, whether the two might intertwine, and with what results. We propose five different types of interactions: Autonomous Bottom-Up, Collaborative Bottom-Up, Top-Down Struggles and Resourceful Bottom-Up, Collaborative Top-Down and Transformation Alliances. Based on our analysis, we propose a new heuristic of roles and interactions between different actors. We suggest a shift from dichotomic views on top-down and bottom-up actor roles towards the concept of “transformation functions,” which would re-centre the discussion around the existing or needed capabilities for transformation in different contexts. Finally, we call for further research to determine how different transformation functions need to become more synchronised -or coordinated-to accelerate transformation.","container-title":"Global Food Security","DOI":"10.1016/j.gfs.2025.100833","ISSN":"2211-9124","journalAbbreviation":"Global Food Security","page":"100833","source":"ScienceDirect","title":"Top-down vs bottom-up processes: A systematic review clarifying roles and patterns of interactions in food system transformation","title-short":"Top-down vs bottom-up processes","volume":"44","author":[{"family":"Conti","given":""},{"family":"Hall","given":"Andy"},{"family":"Moallemi","given":"Enayat A."},{"family":"Laila","given":"Amar"},{"family":"Bene","given":"Christophe"},{"family":"Fanzo","given":"Jessica"},{"family":"Gibson","given":"Matthew Ford"},{"family":"Gordon","given":"Line"},{"family":"Hicks","given":"Christina"},{"family":"Kok","given":"Kristiaan"},{"family":"Rao","given":"Nitya"},{"family":"Laxminarayan","given":"Ramanan"},{"family":"Mason-D'Croz","given":"Daniel"}],"issued":{"date-parts":[["2025",3,1]]}}},{"id":19516,"uris":["http://zotero.org/users/12768557/items/WF84R8WU"],"itemData":{"id":19516,"type":"article-journal","abstract":"This paper reviews the dynamic interplay between food activism and state responses, focusing on the diverse ways and strategies used by food movements to advocate for food systems transformation. More so, in a context of growing corporate control in food systems, food activism has been promoting just and sustainable alternatives. State reactions have been evolving, ranging from repression to policy change, to, in some cases, collaboration. Through a combination of summative content analysis of key themes across the literature and a thematic exploration of case studies, the paper highlights key trends in food activism and examines how governments have responded to them. By analysing the interactions between citizens and governments, this paper offers insights for both activists and policymakers seeking to build more inclusive and participatory food governance structures, in their efforts to transform food systems.","container-title":"Food Policy","DOI":"10.1016/j.foodpol.2025.102879","ISSN":"0306-9192","journalAbbreviation":"Food Policy","page":"102879","source":"ScienceDirect","title":"Citizen voice and state response in the context of food system transformations","volume":"134","author":[{"family":"Rao","given":"Nitya"},{"family":"Marzi","given":"Emma"},{"family":"Baudish","given":"Isabel"},{"family":"Laila","given":"Amar"},{"family":"Conti","given":"Costanza"},{"family":"Hicks","given":"Christina C."}],"issued":{"date-parts":[["2025",7,1]]}}}],"schema":"https://github.com/citation-style-language/schema/raw/master/csl-citation.json"} </w:instrText>
      </w:r>
      <w:r w:rsidR="0019633C">
        <w:rPr>
          <w:rFonts w:ascii="Calibri" w:hAnsi="Calibri" w:cs="Calibri"/>
          <w:color w:val="000000" w:themeColor="text1"/>
        </w:rPr>
        <w:fldChar w:fldCharType="separate"/>
      </w:r>
      <w:r w:rsidR="001008B9">
        <w:rPr>
          <w:rFonts w:ascii="Calibri" w:hAnsi="Calibri" w:cs="Calibri"/>
          <w:noProof/>
          <w:color w:val="000000" w:themeColor="text1"/>
        </w:rPr>
        <w:t>(Conti et al., 2025; Rao et al., 2025)</w:t>
      </w:r>
      <w:r w:rsidR="0019633C">
        <w:rPr>
          <w:rFonts w:ascii="Calibri" w:hAnsi="Calibri" w:cs="Calibri"/>
          <w:color w:val="000000" w:themeColor="text1"/>
        </w:rPr>
        <w:fldChar w:fldCharType="end"/>
      </w:r>
      <w:r w:rsidR="002F1B3F" w:rsidRPr="003847A6">
        <w:rPr>
          <w:rFonts w:ascii="Calibri" w:hAnsi="Calibri" w:cs="Calibri"/>
          <w:color w:val="000000" w:themeColor="text1"/>
        </w:rPr>
        <w:t xml:space="preserve">. Examples of such processes can be found in the </w:t>
      </w:r>
      <w:r w:rsidR="00F21C07" w:rsidRPr="003847A6">
        <w:rPr>
          <w:rFonts w:ascii="Calibri" w:hAnsi="Calibri" w:cs="Calibri"/>
          <w:color w:val="000000" w:themeColor="text1"/>
        </w:rPr>
        <w:t>literature and</w:t>
      </w:r>
      <w:r w:rsidR="002F1B3F" w:rsidRPr="003847A6">
        <w:rPr>
          <w:rFonts w:ascii="Calibri" w:hAnsi="Calibri" w:cs="Calibri"/>
          <w:color w:val="000000" w:themeColor="text1"/>
        </w:rPr>
        <w:t xml:space="preserve"> have an important potential to trigger transformation</w:t>
      </w:r>
      <w:r w:rsidR="00F21C07" w:rsidRPr="003847A6">
        <w:rPr>
          <w:rFonts w:ascii="Calibri" w:hAnsi="Calibri" w:cs="Calibri"/>
          <w:color w:val="000000" w:themeColor="text1"/>
        </w:rPr>
        <w:t xml:space="preserve"> </w:t>
      </w:r>
      <w:r w:rsidR="00F21C07" w:rsidRPr="003847A6">
        <w:rPr>
          <w:rFonts w:ascii="Calibri" w:hAnsi="Calibri" w:cs="Calibri"/>
          <w:color w:val="000000" w:themeColor="text1"/>
        </w:rPr>
        <w:fldChar w:fldCharType="begin"/>
      </w:r>
      <w:r w:rsidR="00F21C07" w:rsidRPr="003847A6">
        <w:rPr>
          <w:rFonts w:ascii="Calibri" w:hAnsi="Calibri" w:cs="Calibri"/>
          <w:color w:val="000000" w:themeColor="text1"/>
        </w:rPr>
        <w:instrText xml:space="preserve"> ADDIN ZOTERO_ITEM CSL_CITATION {"citationID":"LGjTPPbH","properties":{"unsorted":false,"formattedCitation":"(Goulet, 2021; Moran et al., 2021)","plainCitation":"(Goulet, 2021; Moran et al., 2021)","noteIndex":0},"citationItems":[{"id":10613,"uris":["http://zotero.org/users/12768557/items/D685TCPW"],"itemData":{"id":10613,"type":"article-journal","abstract":"We analyze the alignment mechanisms involved in socio-technical transitions. The multi-level perspective has made the notion of alignment one of the pillars of its analytical framework, but its definition remains rather vague. Using a case study of the development of biological alternatives to agricultural pesticides in Brazil, we show that alignments are based on pairings between entities of the same nature, positioned in the niche and in the regime. The strength of these pairings relies on the coherence of the new sets formed. Several types of entities need to be matched to enable alignments. In this case study, we identify three types of paired entities: tech­ nologies, users and their interests, public and private organizations. Understanding these alignment mechanisms is an invitation to deepen the analysis of the relationships between incumbent and alternative technologies in sociotechnical transitions.","container-title":"Technology in Society","DOI":"10.1016/j.techsoc.2021.101580","ISSN":"0160791X","journalAbbreviation":"Technology in Society","language":"en","page":"101580","source":"DOI.org (Crossref)","title":"Characterizing alignments in socio-technical transitions. Lessons from agricultural bio-inputs in Brazil","volume":"65","author":[{"family":"Goulet","given":"Frédéric"}],"issued":{"date-parts":[["2021",5]]}}},{"id":10621,"uris":["http://zotero.org/users/12768557/items/7YKGL3KH"],"itemData":{"id":10621,"type":"article-journal","abstract":"The effective conservation of high nature value farmland (HNV) will be crucial for the conservation of European and Irish biodiversity, and to meet the growing demand for a wide range of private and public goods and services from farmland. Here, we describe the evolution of policy and management of HNV farmland in the Republic of Ireland over the last 25 years and describe the emerging locally adapted, results-based payment approach that is valorizing a broad range of ecosystem services from these areas, which helps to underpin the future social, ecological, and financial viability of HNV farmland.","container-title":"Ecology and Society","DOI":"10.5751/ES-12180-260120","ISSN":"1708-3087","issue":"1","journalAbbreviation":"E&amp;S","language":"en","page":"art20","source":"DOI.org (Crossref)","title":"Management of high nature value farmland in the Republic of Ireland: 25 years evolving toward locally adapted results-orientated solutions and payments","title-short":"Management of high nature value farmland in the Republic of Ireland","volume":"26","author":[{"family":"Moran","given":"James"},{"family":"Byrne","given":"Dolores"},{"family":"Carlier","given":"Julien"},{"family":"Dunford","given":"Brendan"},{"family":"Finn","given":"John A."},{"family":"Ó hUallacháin","given":"Daire"},{"family":"Sullivan","given":"Caroline A."}],"issued":{"date-parts":[["2021"]]}}}],"schema":"https://github.com/citation-style-language/schema/raw/master/csl-citation.json"} </w:instrText>
      </w:r>
      <w:r w:rsidR="00F21C07" w:rsidRPr="003847A6">
        <w:rPr>
          <w:rFonts w:ascii="Calibri" w:hAnsi="Calibri" w:cs="Calibri"/>
          <w:color w:val="000000" w:themeColor="text1"/>
        </w:rPr>
        <w:fldChar w:fldCharType="separate"/>
      </w:r>
      <w:r w:rsidR="00F21C07" w:rsidRPr="003847A6">
        <w:rPr>
          <w:rFonts w:ascii="Calibri" w:hAnsi="Calibri" w:cs="Calibri"/>
          <w:noProof/>
          <w:color w:val="000000" w:themeColor="text1"/>
        </w:rPr>
        <w:t>(Goulet, 2021; Moran et al., 2021)</w:t>
      </w:r>
      <w:r w:rsidR="00F21C07" w:rsidRPr="003847A6">
        <w:rPr>
          <w:rFonts w:ascii="Calibri" w:hAnsi="Calibri" w:cs="Calibri"/>
          <w:color w:val="000000" w:themeColor="text1"/>
        </w:rPr>
        <w:fldChar w:fldCharType="end"/>
      </w:r>
      <w:r w:rsidR="002F1B3F" w:rsidRPr="003847A6">
        <w:rPr>
          <w:rFonts w:ascii="Calibri" w:hAnsi="Calibri" w:cs="Calibri"/>
          <w:color w:val="000000" w:themeColor="text1"/>
        </w:rPr>
        <w:t>.</w:t>
      </w:r>
      <w:r w:rsidR="005E34CD" w:rsidRPr="003847A6">
        <w:rPr>
          <w:rFonts w:ascii="Calibri" w:hAnsi="Calibri" w:cs="Calibri"/>
          <w:color w:val="000000" w:themeColor="text1"/>
        </w:rPr>
        <w:t xml:space="preserve"> </w:t>
      </w:r>
      <w:r w:rsidR="00F21C07" w:rsidRPr="003847A6">
        <w:rPr>
          <w:rFonts w:ascii="Calibri" w:hAnsi="Calibri" w:cs="Calibri"/>
          <w:color w:val="000000" w:themeColor="text1"/>
        </w:rPr>
        <w:t>Regardless</w:t>
      </w:r>
      <w:r w:rsidR="005E34CD" w:rsidRPr="003847A6">
        <w:rPr>
          <w:rFonts w:ascii="Calibri" w:hAnsi="Calibri" w:cs="Calibri"/>
          <w:color w:val="000000" w:themeColor="text1"/>
        </w:rPr>
        <w:t xml:space="preserve"> of</w:t>
      </w:r>
      <w:r w:rsidR="00F21C07" w:rsidRPr="003847A6">
        <w:rPr>
          <w:rFonts w:ascii="Calibri" w:hAnsi="Calibri" w:cs="Calibri"/>
          <w:color w:val="000000" w:themeColor="text1"/>
        </w:rPr>
        <w:t xml:space="preserve"> whether the dynamic is more</w:t>
      </w:r>
      <w:r w:rsidR="005E34CD" w:rsidRPr="003847A6">
        <w:rPr>
          <w:rFonts w:ascii="Calibri" w:hAnsi="Calibri" w:cs="Calibri"/>
          <w:color w:val="000000" w:themeColor="text1"/>
        </w:rPr>
        <w:t xml:space="preserve"> top-down or bottom -up, the </w:t>
      </w:r>
      <w:r w:rsidR="00F21C07" w:rsidRPr="003847A6">
        <w:rPr>
          <w:rFonts w:ascii="Calibri" w:hAnsi="Calibri" w:cs="Calibri"/>
          <w:color w:val="000000" w:themeColor="text1"/>
        </w:rPr>
        <w:t>main point here</w:t>
      </w:r>
      <w:r w:rsidR="005E34CD" w:rsidRPr="003847A6">
        <w:rPr>
          <w:rFonts w:ascii="Calibri" w:hAnsi="Calibri" w:cs="Calibri"/>
          <w:color w:val="000000" w:themeColor="text1"/>
        </w:rPr>
        <w:t xml:space="preserve"> is that</w:t>
      </w:r>
      <w:r w:rsidR="00F21C07" w:rsidRPr="003847A6">
        <w:rPr>
          <w:rFonts w:ascii="Calibri" w:hAnsi="Calibri" w:cs="Calibri"/>
          <w:color w:val="000000" w:themeColor="text1"/>
        </w:rPr>
        <w:t xml:space="preserve"> both coordination across elements and a thoughtful progression across sphere is necessary for scaling. Acting on one element, or within one sphere alone, is unlikely to shift the entail wider changes in the system. </w:t>
      </w:r>
    </w:p>
    <w:bookmarkEnd w:id="9"/>
    <w:p w14:paraId="659993AB" w14:textId="7E6A092F" w:rsidR="00D23523" w:rsidRPr="003847A6" w:rsidRDefault="00D23523" w:rsidP="003847A6">
      <w:pPr>
        <w:rPr>
          <w:color w:val="000000" w:themeColor="text1"/>
          <w:lang w:val="en-IE" w:eastAsia="en-GB"/>
        </w:rPr>
      </w:pPr>
      <w:r w:rsidRPr="003847A6">
        <w:rPr>
          <w:color w:val="000000" w:themeColor="text1"/>
          <w:lang w:val="en-IE" w:eastAsia="en-GB"/>
        </w:rPr>
        <w:t xml:space="preserve">Figure 1. The 3S gearing framework. The </w:t>
      </w:r>
      <w:r w:rsidR="00695661" w:rsidRPr="003847A6">
        <w:rPr>
          <w:color w:val="000000" w:themeColor="text1"/>
          <w:lang w:val="en-IE" w:eastAsia="en-GB"/>
        </w:rPr>
        <w:t xml:space="preserve">double-headed </w:t>
      </w:r>
      <w:r w:rsidR="0019633C">
        <w:rPr>
          <w:color w:val="000000" w:themeColor="text1"/>
          <w:lang w:val="en-IE" w:eastAsia="en-GB"/>
        </w:rPr>
        <w:t>white</w:t>
      </w:r>
      <w:r w:rsidR="00695661" w:rsidRPr="003847A6">
        <w:rPr>
          <w:color w:val="000000" w:themeColor="text1"/>
          <w:lang w:val="en-IE" w:eastAsia="en-GB"/>
        </w:rPr>
        <w:t xml:space="preserve"> arrows </w:t>
      </w:r>
      <w:r w:rsidRPr="003847A6">
        <w:rPr>
          <w:color w:val="000000" w:themeColor="text1"/>
          <w:lang w:val="en-IE" w:eastAsia="en-GB"/>
        </w:rPr>
        <w:t xml:space="preserve">represent synchronisation, while the </w:t>
      </w:r>
      <w:r w:rsidR="00695661" w:rsidRPr="003847A6">
        <w:rPr>
          <w:color w:val="000000" w:themeColor="text1"/>
          <w:lang w:val="en-IE" w:eastAsia="en-GB"/>
        </w:rPr>
        <w:t xml:space="preserve">light blue </w:t>
      </w:r>
      <w:r w:rsidRPr="003847A6">
        <w:rPr>
          <w:color w:val="000000" w:themeColor="text1"/>
          <w:lang w:val="en-IE" w:eastAsia="en-GB"/>
        </w:rPr>
        <w:t>pathway represents sequencing.</w:t>
      </w:r>
      <w:r w:rsidR="00593471" w:rsidRPr="003847A6">
        <w:rPr>
          <w:color w:val="000000" w:themeColor="text1"/>
          <w:lang w:val="en-IE" w:eastAsia="en-GB"/>
        </w:rPr>
        <w:t xml:space="preserve"> Image generated using ChatGPT</w:t>
      </w:r>
      <w:r w:rsidR="0019633C">
        <w:rPr>
          <w:color w:val="000000" w:themeColor="text1"/>
          <w:lang w:val="en-IE" w:eastAsia="en-GB"/>
        </w:rPr>
        <w:t xml:space="preserve"> </w:t>
      </w:r>
      <w:r w:rsidR="0019633C">
        <w:t xml:space="preserve">image-generation tools by OpenAI, based on author-provided instructions. </w:t>
      </w:r>
    </w:p>
    <w:p w14:paraId="1B896A1B" w14:textId="1FE5DA47" w:rsidR="00D23523" w:rsidRPr="003847A6" w:rsidRDefault="00912B85" w:rsidP="003847A6">
      <w:pPr>
        <w:rPr>
          <w:color w:val="000000" w:themeColor="text1"/>
          <w:lang w:val="en-IE" w:eastAsia="en-GB"/>
        </w:rPr>
      </w:pPr>
      <w:r w:rsidRPr="003847A6">
        <w:rPr>
          <w:noProof/>
          <w:color w:val="000000" w:themeColor="text1"/>
          <w14:ligatures w14:val="standardContextual"/>
        </w:rPr>
        <w:lastRenderedPageBreak/>
        <w:t xml:space="preserve"> </w:t>
      </w:r>
      <w:r w:rsidR="000C113C" w:rsidRPr="000C113C">
        <w:rPr>
          <w:noProof/>
          <w:color w:val="000000" w:themeColor="text1"/>
          <w14:ligatures w14:val="standardContextual"/>
        </w:rPr>
        <w:drawing>
          <wp:inline distT="0" distB="0" distL="0" distR="0" wp14:anchorId="4FF38A3E" wp14:editId="39B81BAB">
            <wp:extent cx="5731510" cy="8034020"/>
            <wp:effectExtent l="0" t="0" r="0" b="5080"/>
            <wp:docPr id="1502779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779243" name=""/>
                    <pic:cNvPicPr/>
                  </pic:nvPicPr>
                  <pic:blipFill>
                    <a:blip r:embed="rId8"/>
                    <a:stretch>
                      <a:fillRect/>
                    </a:stretch>
                  </pic:blipFill>
                  <pic:spPr>
                    <a:xfrm>
                      <a:off x="0" y="0"/>
                      <a:ext cx="5731510" cy="8034020"/>
                    </a:xfrm>
                    <a:prstGeom prst="rect">
                      <a:avLst/>
                    </a:prstGeom>
                  </pic:spPr>
                </pic:pic>
              </a:graphicData>
            </a:graphic>
          </wp:inline>
        </w:drawing>
      </w:r>
    </w:p>
    <w:p w14:paraId="08DFCFAF" w14:textId="77777777" w:rsidR="007A7ED4" w:rsidRPr="003847A6" w:rsidRDefault="007A7ED4" w:rsidP="003847A6">
      <w:pPr>
        <w:rPr>
          <w:color w:val="000000" w:themeColor="text1"/>
          <w:lang w:eastAsia="en-GB"/>
        </w:rPr>
      </w:pPr>
    </w:p>
    <w:p w14:paraId="67EF1F6F" w14:textId="2CC4A5F1" w:rsidR="00E4578C" w:rsidRPr="003847A6" w:rsidRDefault="007A7ED4" w:rsidP="003847A6">
      <w:pPr>
        <w:rPr>
          <w:i/>
          <w:color w:val="000000" w:themeColor="text1"/>
        </w:rPr>
      </w:pPr>
      <w:r w:rsidRPr="003847A6">
        <w:rPr>
          <w:i/>
          <w:iCs/>
          <w:color w:val="000000" w:themeColor="text1"/>
          <w:lang w:eastAsia="en-GB"/>
        </w:rPr>
        <w:t xml:space="preserve">6.2 </w:t>
      </w:r>
      <w:r w:rsidR="00BE0184" w:rsidRPr="003847A6">
        <w:rPr>
          <w:i/>
          <w:iCs/>
          <w:color w:val="000000" w:themeColor="text1"/>
        </w:rPr>
        <w:t>H</w:t>
      </w:r>
      <w:r w:rsidR="006C4811" w:rsidRPr="003847A6">
        <w:rPr>
          <w:i/>
          <w:iCs/>
          <w:color w:val="000000" w:themeColor="text1"/>
        </w:rPr>
        <w:t>ow can organizations support scaling</w:t>
      </w:r>
      <w:r w:rsidR="00241D1C" w:rsidRPr="003847A6">
        <w:rPr>
          <w:i/>
          <w:iCs/>
          <w:color w:val="000000" w:themeColor="text1"/>
        </w:rPr>
        <w:t xml:space="preserve"> as a </w:t>
      </w:r>
      <w:r w:rsidR="00AD2E2F" w:rsidRPr="003847A6">
        <w:rPr>
          <w:i/>
          <w:iCs/>
          <w:color w:val="000000" w:themeColor="text1"/>
        </w:rPr>
        <w:t>synchronised</w:t>
      </w:r>
      <w:r w:rsidR="00241D1C" w:rsidRPr="003847A6">
        <w:rPr>
          <w:i/>
          <w:iCs/>
          <w:color w:val="000000" w:themeColor="text1"/>
        </w:rPr>
        <w:t xml:space="preserve"> and sequenced process</w:t>
      </w:r>
      <w:r w:rsidR="006C4811" w:rsidRPr="003847A6">
        <w:rPr>
          <w:i/>
          <w:iCs/>
          <w:color w:val="000000" w:themeColor="text1"/>
        </w:rPr>
        <w:t>?</w:t>
      </w:r>
    </w:p>
    <w:p w14:paraId="07DC9FBE" w14:textId="6F2411D6" w:rsidR="009F5FDC" w:rsidRPr="003847A6" w:rsidRDefault="003D52CC" w:rsidP="003847A6">
      <w:pPr>
        <w:rPr>
          <w:color w:val="000000" w:themeColor="text1"/>
        </w:rPr>
      </w:pPr>
      <w:r w:rsidRPr="003847A6">
        <w:rPr>
          <w:color w:val="000000" w:themeColor="text1"/>
        </w:rPr>
        <w:lastRenderedPageBreak/>
        <w:t>While recognising the importance of synchronising and sequencing for the scaling process, it is also important to</w:t>
      </w:r>
      <w:r w:rsidR="006C4811" w:rsidRPr="003847A6">
        <w:rPr>
          <w:color w:val="000000" w:themeColor="text1"/>
        </w:rPr>
        <w:t xml:space="preserve"> recognise the role of organisations in triggering and supporting the scaling process. </w:t>
      </w:r>
      <w:r w:rsidR="00645D94" w:rsidRPr="003847A6">
        <w:rPr>
          <w:color w:val="000000" w:themeColor="text1"/>
        </w:rPr>
        <w:t>In the MSSRF case study, three aspects deserve recognition.</w:t>
      </w:r>
    </w:p>
    <w:p w14:paraId="0CBEF037" w14:textId="77777777" w:rsidR="00645D94" w:rsidRPr="003847A6" w:rsidRDefault="00645D94" w:rsidP="003847A6">
      <w:pPr>
        <w:rPr>
          <w:color w:val="000000" w:themeColor="text1"/>
        </w:rPr>
      </w:pPr>
    </w:p>
    <w:p w14:paraId="1B8E0A9C" w14:textId="74CCD17A" w:rsidR="009143C1" w:rsidRPr="003847A6" w:rsidRDefault="00645D94" w:rsidP="003847A6">
      <w:pPr>
        <w:rPr>
          <w:color w:val="000000" w:themeColor="text1"/>
        </w:rPr>
      </w:pPr>
      <w:r w:rsidRPr="003847A6">
        <w:rPr>
          <w:color w:val="000000" w:themeColor="text1"/>
        </w:rPr>
        <w:t>First,</w:t>
      </w:r>
      <w:r w:rsidR="009F5FDC" w:rsidRPr="003847A6">
        <w:rPr>
          <w:color w:val="000000" w:themeColor="text1"/>
        </w:rPr>
        <w:t xml:space="preserve"> the gradual shift in problem framing</w:t>
      </w:r>
      <w:r w:rsidR="000659BC" w:rsidRPr="003847A6">
        <w:rPr>
          <w:color w:val="000000" w:themeColor="text1"/>
        </w:rPr>
        <w:t xml:space="preserve"> that </w:t>
      </w:r>
      <w:r w:rsidR="00623E20" w:rsidRPr="003847A6">
        <w:rPr>
          <w:color w:val="000000" w:themeColor="text1"/>
        </w:rPr>
        <w:t xml:space="preserve">eventually </w:t>
      </w:r>
      <w:r w:rsidR="000659BC" w:rsidRPr="003847A6">
        <w:rPr>
          <w:color w:val="000000" w:themeColor="text1"/>
        </w:rPr>
        <w:t>garnered broader support</w:t>
      </w:r>
      <w:r w:rsidR="009F5FDC" w:rsidRPr="003847A6">
        <w:rPr>
          <w:color w:val="000000" w:themeColor="text1"/>
        </w:rPr>
        <w:t xml:space="preserve">. </w:t>
      </w:r>
      <w:r w:rsidR="006C4811" w:rsidRPr="003847A6">
        <w:rPr>
          <w:color w:val="000000" w:themeColor="text1"/>
        </w:rPr>
        <w:t>W</w:t>
      </w:r>
      <w:r w:rsidR="00202856" w:rsidRPr="003847A6">
        <w:rPr>
          <w:color w:val="000000" w:themeColor="text1"/>
        </w:rPr>
        <w:t xml:space="preserve">hat enabled MSSRF to be successful in </w:t>
      </w:r>
      <w:r w:rsidR="006C4811" w:rsidRPr="003847A6">
        <w:rPr>
          <w:color w:val="000000" w:themeColor="text1"/>
        </w:rPr>
        <w:t>s</w:t>
      </w:r>
      <w:r w:rsidR="00202856" w:rsidRPr="003847A6">
        <w:rPr>
          <w:color w:val="000000" w:themeColor="text1"/>
        </w:rPr>
        <w:t xml:space="preserve">caling </w:t>
      </w:r>
      <w:r w:rsidR="009F5FDC" w:rsidRPr="003847A6">
        <w:rPr>
          <w:color w:val="000000" w:themeColor="text1"/>
        </w:rPr>
        <w:t xml:space="preserve">an initially small intervention was its progressive reframing of the problem from a local </w:t>
      </w:r>
      <w:r w:rsidR="00A83DB4" w:rsidRPr="003847A6">
        <w:rPr>
          <w:color w:val="000000" w:themeColor="text1"/>
        </w:rPr>
        <w:t xml:space="preserve">sphere issue to a system sphere issue. </w:t>
      </w:r>
      <w:r w:rsidR="009F5FDC" w:rsidRPr="003847A6">
        <w:rPr>
          <w:color w:val="000000" w:themeColor="text1"/>
        </w:rPr>
        <w:t xml:space="preserve">The work on millets started with the somewhat romantic aspiration to bring back a neglected crop that was culturally preferred and agronomically suitable for a region highly affected by poverty and malnutrition. The problem at this stage was mostly framed as a technology adoption problem (i.e. improvement of millet productivity and processing). This </w:t>
      </w:r>
      <w:r w:rsidRPr="003847A6">
        <w:rPr>
          <w:color w:val="000000" w:themeColor="text1"/>
        </w:rPr>
        <w:t xml:space="preserve">reflects contemporary debates </w:t>
      </w:r>
      <w:r w:rsidR="003E1A85" w:rsidRPr="003847A6">
        <w:rPr>
          <w:color w:val="000000" w:themeColor="text1"/>
        </w:rPr>
        <w:t>i</w:t>
      </w:r>
      <w:r w:rsidRPr="003847A6">
        <w:rPr>
          <w:color w:val="000000" w:themeColor="text1"/>
        </w:rPr>
        <w:t xml:space="preserve">n the literature, which were mostly </w:t>
      </w:r>
      <w:r w:rsidR="009143C1" w:rsidRPr="003847A6">
        <w:rPr>
          <w:color w:val="000000" w:themeColor="text1"/>
        </w:rPr>
        <w:t>focused</w:t>
      </w:r>
      <w:r w:rsidRPr="003847A6">
        <w:rPr>
          <w:color w:val="000000" w:themeColor="text1"/>
        </w:rPr>
        <w:t xml:space="preserve">,  as seen in section 2.1, </w:t>
      </w:r>
      <w:r w:rsidR="00912B85" w:rsidRPr="003847A6">
        <w:rPr>
          <w:color w:val="000000" w:themeColor="text1"/>
        </w:rPr>
        <w:t>o</w:t>
      </w:r>
      <w:r w:rsidRPr="003847A6">
        <w:rPr>
          <w:color w:val="000000" w:themeColor="text1"/>
        </w:rPr>
        <w:t xml:space="preserve">n technology adoption at the farm-level as a way to enhance agricultural productivity and incomes </w:t>
      </w:r>
      <w:r w:rsidRPr="003847A6">
        <w:rPr>
          <w:color w:val="000000" w:themeColor="text1"/>
        </w:rPr>
        <w:fldChar w:fldCharType="begin"/>
      </w:r>
      <w:r w:rsidR="00D66183" w:rsidRPr="003847A6">
        <w:rPr>
          <w:color w:val="000000" w:themeColor="text1"/>
        </w:rPr>
        <w:instrText xml:space="preserve"> ADDIN ZOTERO_ITEM CSL_CITATION {"citationID":"Q8NjtTAo","properties":{"formattedCitation":"(Feder and Umali, 1993; Zeller et al., 1998)","plainCitation":"(Feder and Umali, 1993; Zeller et al., 1998)","noteIndex":0},"citationItems":[{"id":20910,"uris":["http://zotero.org/users/12768557/items/I2ZI7QQQ"],"itemData":{"id":20910,"type":"article-journal","abstract":"This paper reviews the theoretical and empirical literature on the adoption of agricultural innovations during the last decade and the impact of policy interventions promoting technology adoption. The analysis of the final stage of the Green Revolution technology diffusion cycle reveals that the agroclimatic environment is the most significant determinant of locational differences in adoption rates. The linkage between micro-adoption and the aggregate diffusion process needs to be more firmly established to achieve a clearer understanding of diffusion patterns. Several studies showed that the impact of policy interventions to promote technology adoption depends on the type of technology, market structure, and the nature and duration of the policy intervention.","collection-title":"Special Issue Technology and Innovation In Agriculture and Natural Resources","container-title":"Technological Forecasting and Social Change","DOI":"10.1016/0040-1625(93)90053-A","ISSN":"0040-1625","issue":"3","journalAbbreviation":"Technological Forecasting and Social Change","page":"215-239","source":"ScienceDirect","title":"The adoption of agricultural innovations: A review","title-short":"The adoption of agricultural innovations","volume":"43","author":[{"family":"Feder","given":"Gershon"},{"family":"Umali","given":"Dina L."}],"issued":{"date-parts":[["1993",5,1]]}}},{"id":1529,"uris":["http://zotero.org/users/12768557/items/B4TNGQZE"],"itemData":{"id":1529,"type":"article-journal","container-title":"Agricultural Economics","DOI":"10.1111/J.1574-0862.1998.TB00528.X","issue":"1-2","page":"219-229","publisher":"John Wiley &amp; Sons, Ltd","title":"Market access by smallholder farmers in Malawi: implications for technology adoption, agricultural productivity and crop income","volume":"19","author":[{"family":"Zeller","given":"Manfred"},{"family":"Diagne","given":"Aliou"},{"family":"Mataya","given":"Charles"}],"issued":{"date-parts":[["1998",9]]}}}],"schema":"https://github.com/citation-style-language/schema/raw/master/csl-citation.json"} </w:instrText>
      </w:r>
      <w:r w:rsidRPr="003847A6">
        <w:rPr>
          <w:color w:val="000000" w:themeColor="text1"/>
        </w:rPr>
        <w:fldChar w:fldCharType="separate"/>
      </w:r>
      <w:r w:rsidRPr="003847A6">
        <w:rPr>
          <w:noProof/>
          <w:color w:val="000000" w:themeColor="text1"/>
        </w:rPr>
        <w:t>(Feder and Umali, 1993; Zeller et al., 1998)</w:t>
      </w:r>
      <w:r w:rsidRPr="003847A6">
        <w:rPr>
          <w:color w:val="000000" w:themeColor="text1"/>
        </w:rPr>
        <w:fldChar w:fldCharType="end"/>
      </w:r>
      <w:r w:rsidR="009F5FDC" w:rsidRPr="003847A6">
        <w:rPr>
          <w:color w:val="000000" w:themeColor="text1"/>
        </w:rPr>
        <w:t xml:space="preserve">. </w:t>
      </w:r>
      <w:r w:rsidR="009143C1" w:rsidRPr="003847A6">
        <w:rPr>
          <w:color w:val="000000" w:themeColor="text1"/>
        </w:rPr>
        <w:t>However, as work in the local sphere took place,  the growing interest in millets (from both farmers and development practitioners and researchers), started to reveal how their expansion depended on the build-up of much broader partnerships to “scale out” the innovation, gaining funding and bolstering R&amp;D efforts to further develop technologies and infrastructure, set-up local institutions, and convene dialogues.</w:t>
      </w:r>
      <w:r w:rsidR="00A83DB4" w:rsidRPr="003847A6">
        <w:rPr>
          <w:color w:val="000000" w:themeColor="text1"/>
        </w:rPr>
        <w:t xml:space="preserve"> </w:t>
      </w:r>
      <w:r w:rsidR="003910EC" w:rsidRPr="003847A6">
        <w:rPr>
          <w:color w:val="000000" w:themeColor="text1"/>
        </w:rPr>
        <w:t>Evidence from other scaling cases similarly shows the set-up of the right partnership</w:t>
      </w:r>
      <w:r w:rsidR="00A83DB4" w:rsidRPr="003847A6">
        <w:rPr>
          <w:color w:val="000000" w:themeColor="text1"/>
        </w:rPr>
        <w:t xml:space="preserve"> can “make or break” a research project </w:t>
      </w:r>
      <w:r w:rsidR="00A83DB4" w:rsidRPr="003847A6">
        <w:rPr>
          <w:color w:val="000000" w:themeColor="text1"/>
        </w:rPr>
        <w:fldChar w:fldCharType="begin"/>
      </w:r>
      <w:r w:rsidR="00AD2E2F" w:rsidRPr="003847A6">
        <w:rPr>
          <w:color w:val="000000" w:themeColor="text1"/>
        </w:rPr>
        <w:instrText xml:space="preserve"> ADDIN ZOTERO_ITEM CSL_CITATION {"citationID":"FDMb71ma","properties":{"formattedCitation":"(Adekunle and Fatunbi, 2012; Hall et al., 2003; Kilelu et al., 2013)","plainCitation":"(Adekunle and Fatunbi, 2012; Hall et al., 2003; Kilelu et al., 2013)","noteIndex":0},"citationItems":[{"id":18916,"uris":["http://zotero.org/users/12768557/items/23QDEXDP"],"itemData":{"id":18916,"type":"report","publisher":"Crop Post-Harvest Programme (CPHP), South Asia, c/o International Crops Research Institute for the Semi-Arid Tropics (ICRISAT),","publisher-place":"Patancheru","title":"Post-harvest innovations in innovation: reflections on partnership and learning.","author":[{"family":"Hall","given":"A"},{"family":"Yoganand","given":"B"},{"family":"Sulaiman","given":"R"},{"family":"Clark","given":"N. G"}],"issued":{"date-parts":[["2003"]]}}},{"id":1490,"uris":["http://zotero.org/users/12768557/items/TDWKDC4F"],"itemData":{"id":1490,"type":"article-journal","abstract":"The agricultural innovation systems approach emphasizes the collective nature of innovation and stresses that innovation is a co-evolutionary process, resulting from alignment of technical, social, institutional and organizational dimensions. These insights are increasingly informing interventions that focus on setting up multi-stakeholder initiatives, such as innovation platforms and networks, as mechanisms for enhancing agricultural innovation, particularly in sub-Saharan Africa. There has been much emphasis on how such platforms are organized, but only limited analysis unravelling how they shape co-evolution of innovation processes. This paper addresses this gap and conceptualizes platforms as intermediaries that connect the different actors in innovation systems in order to foster effective co-evolution. We present a case study of a smallholder dairy development programme in Kenya, led by a consortium of five organizations that provide a platform for building multi-actor partnerships to enhance smallholder dairy productivity and improve livelihoods. The findings indicate that co-evolution of innovation is a highly dynamic process with various interactional tensions and unexpected effects, and that the distributed nature of intermediation is important in resolving some of these tensions emerging at different actor interfaces. However, platforms are not always able to adapt adequately to emerging issues. This points to the need to look at platforms dynamically and pay more attention to mechanisms that strengthen feedback, learning and adaptive management in innovation processes. © 2013 Elsevier Ltd.","container-title":"Agricultural Systems","DOI":"10.1016/j.agsy.2013.03.003","page":"65-77","publisher":"Elsevier Ltd","title":"Unravelling the role of innovation platforms in supporting co-evolution of innovation: Contributions and tensions in a smallholder dairy development programme","volume":"118","author":[{"family":"Kilelu","given":"Catherine W."},{"family":"Klerkx","given":"Laurens"},{"family":"Leeuwis","given":"Cees"}],"issued":{"date-parts":[["2013"]]}}},{"id":20912,"uris":["http://zotero.org/users/12768557/items/47BHALKA"],"itemData":{"id":20912,"type":"article-journal","abstract":"In order to facilitate improved returns to research and development in African agriculture, the innovation systems approach which engenders the involvement of multiple stakeholders in its innovation pathway, has been proposed. Despite the potential of this approach, the understanding of its implementation and particularly of the process of setting up its multi-stakeholder platform is still largely lacking. Yet, this platform is critical to the success and sustainability of the operations of the platform. This article introduces the concept of Integrated Agricultural Research for Development (IAR4D) and the constituent Innovation Platform (IP) as a workable multistakeholders approach for sustainable agricultural research and development. The IAR4D approach entails a multi-sectoral orientation to agricultural problem diagnosis and draws on integrated approaches using 'hard' and 'soft' sciences to provide solutions, while maximizing available resources. IAR4D is premised on the innovation systems approach and requires systemic interaction among all stakeholders around specific commodities or production systems. The procedure for the establishment of an IP requires a value chain analysis of the commodity of interest, followed by a systematic engagement of the identified stakeholders to the platform. The stakeholders in a balanced IP will cut across the private and the public sectors with distinct engagement of the non-traditional stakeholders as input dealers, financial institutions, policy makers, etc. The activity of a typical IP could be kick-started by joint development of a business plan and its proactive implementation in a partnership mood. A functional IP will normally experience series of iterative learning at the interphase of which innovation is generated. The set-up of multistakeholders platform in IAR4D mode has potentials to function effectively as a model for regional and national ARD planning.","container-title":"World Applied Sciences Journal","journalAbbreviation":"World Applied Sciences Journal","source":"ResearchGate","title":"Approaches for Setting-up Multi-Stakeholder Platforms for Agricultural Research and Development","volume":"16","author":[{"family":"Adekunle","given":"A"},{"family":"Fatunbi","given":"Oluwole"}],"issued":{"date-parts":[["2012",1,1]]}}}],"schema":"https://github.com/citation-style-language/schema/raw/master/csl-citation.json"} </w:instrText>
      </w:r>
      <w:r w:rsidR="00A83DB4" w:rsidRPr="003847A6">
        <w:rPr>
          <w:color w:val="000000" w:themeColor="text1"/>
        </w:rPr>
        <w:fldChar w:fldCharType="separate"/>
      </w:r>
      <w:r w:rsidR="0059788C" w:rsidRPr="003847A6">
        <w:rPr>
          <w:noProof/>
          <w:color w:val="000000" w:themeColor="text1"/>
        </w:rPr>
        <w:t>(Adekunle and Fatunbi, 2012; Hall et al., 2003; Kilelu et al., 2013)</w:t>
      </w:r>
      <w:r w:rsidR="00A83DB4" w:rsidRPr="003847A6">
        <w:rPr>
          <w:color w:val="000000" w:themeColor="text1"/>
        </w:rPr>
        <w:fldChar w:fldCharType="end"/>
      </w:r>
      <w:r w:rsidR="00A83DB4" w:rsidRPr="003847A6">
        <w:rPr>
          <w:color w:val="000000" w:themeColor="text1"/>
        </w:rPr>
        <w:t xml:space="preserve">. </w:t>
      </w:r>
      <w:r w:rsidR="009143C1" w:rsidRPr="003847A6">
        <w:rPr>
          <w:color w:val="000000" w:themeColor="text1"/>
        </w:rPr>
        <w:t xml:space="preserve">While partnerships developed, institutional and policy </w:t>
      </w:r>
      <w:r w:rsidR="00AB5A59" w:rsidRPr="003847A6">
        <w:rPr>
          <w:color w:val="000000" w:themeColor="text1"/>
        </w:rPr>
        <w:t>bottlenecks</w:t>
      </w:r>
      <w:r w:rsidR="009143C1" w:rsidRPr="003847A6">
        <w:rPr>
          <w:color w:val="000000" w:themeColor="text1"/>
        </w:rPr>
        <w:t xml:space="preserve"> became apparent</w:t>
      </w:r>
      <w:r w:rsidR="00912B85" w:rsidRPr="003847A6">
        <w:rPr>
          <w:color w:val="000000" w:themeColor="text1"/>
        </w:rPr>
        <w:t xml:space="preserve">, also linked to the broader political economy of the Indian food system, visible for instance in the </w:t>
      </w:r>
      <w:r w:rsidR="009143C1" w:rsidRPr="003847A6">
        <w:rPr>
          <w:color w:val="000000" w:themeColor="text1"/>
        </w:rPr>
        <w:t>lack of inclusion of millets in the Public Distribution Systems or in public procurement programs</w:t>
      </w:r>
      <w:r w:rsidR="00912B85" w:rsidRPr="003847A6">
        <w:rPr>
          <w:color w:val="000000" w:themeColor="text1"/>
        </w:rPr>
        <w:t xml:space="preserve"> </w:t>
      </w:r>
      <w:r w:rsidR="00912B85" w:rsidRPr="003847A6">
        <w:rPr>
          <w:color w:val="000000" w:themeColor="text1"/>
        </w:rPr>
        <w:fldChar w:fldCharType="begin"/>
      </w:r>
      <w:r w:rsidR="00912B85" w:rsidRPr="003847A6">
        <w:rPr>
          <w:color w:val="000000" w:themeColor="text1"/>
        </w:rPr>
        <w:instrText xml:space="preserve"> ADDIN ZOTERO_ITEM CSL_CITATION {"citationID":"l88U4Lkx","properties":{"unsorted":false,"formattedCitation":"(Ghosh, 2023)","plainCitation":"(Ghosh, 2023)","noteIndex":0},"citationItems":[{"id":22206,"uris":["http://zotero.org/users/12768557/items/NM22W8N9"],"itemData":{"id":22206,"type":"article-journal","abstract":"This paper reviews the economic policies adopted by the Indian government under different policy regimes, provides a political economy perspective of economic growth in the country during 1950–2020 and examines the inclusiveness of the rapid economic growth in recent decades. The growth performance of the economy improved as the economy moved from inward-looking policy regime to the regimes of pro-business and pro-market policies. India’s political economy was supportive of the changes in policy regime. After growing at a sluggish rate during the first three decades after 1950–1951, the gross domestic product (GDP) growth accelerated significantly after the pro-business reforms in the 1980s, and there was further acceleration after the pro-market reforms since 1991–1992. It has, however, slowed down in recent years. Nevertheless, it has not been inclusive, as the benefits of growth have not reached all sections of the population and all regions of the country equally. On the contrary, disparities in income across regions and inequalities in income, wealth and consumption among individuals have exacerbated, and the problems of unemployment and poverty have been persisting in the economy.","container-title":"Journal of Asian and African Studies","DOI":"10.1177/00219096221079324","ISSN":"0021-9096","issue":"7","language":"EN","page":"1134-1155","publisher":"SAGE Publications Ltd","source":"SAGE Journals","title":"Growth and Development under Alternative Policy Regimes in India: A Political Economy Perspective","title-short":"Growth and Development under Alternative Policy Regimes in India","volume":"58","author":[{"family":"Ghosh","given":"Madhusudan"}],"issued":{"date-parts":[["2023",11,1]]}}}],"schema":"https://github.com/citation-style-language/schema/raw/master/csl-citation.json"} </w:instrText>
      </w:r>
      <w:r w:rsidR="00912B85" w:rsidRPr="003847A6">
        <w:rPr>
          <w:color w:val="000000" w:themeColor="text1"/>
        </w:rPr>
        <w:fldChar w:fldCharType="separate"/>
      </w:r>
      <w:r w:rsidR="00912B85" w:rsidRPr="003847A6">
        <w:rPr>
          <w:noProof/>
          <w:color w:val="000000" w:themeColor="text1"/>
        </w:rPr>
        <w:t>(Ghosh, 2023)</w:t>
      </w:r>
      <w:r w:rsidR="00912B85" w:rsidRPr="003847A6">
        <w:rPr>
          <w:color w:val="000000" w:themeColor="text1"/>
        </w:rPr>
        <w:fldChar w:fldCharType="end"/>
      </w:r>
      <w:r w:rsidR="00AB5A59" w:rsidRPr="003847A6">
        <w:rPr>
          <w:color w:val="000000" w:themeColor="text1"/>
        </w:rPr>
        <w:t xml:space="preserve">. </w:t>
      </w:r>
      <w:r w:rsidR="003910EC" w:rsidRPr="003847A6">
        <w:rPr>
          <w:color w:val="000000" w:themeColor="text1"/>
        </w:rPr>
        <w:t xml:space="preserve">These constraints directed part of </w:t>
      </w:r>
      <w:r w:rsidR="009143C1" w:rsidRPr="003847A6">
        <w:rPr>
          <w:color w:val="000000" w:themeColor="text1"/>
        </w:rPr>
        <w:t>MSSRF</w:t>
      </w:r>
      <w:r w:rsidR="00AB5A59" w:rsidRPr="003847A6">
        <w:rPr>
          <w:color w:val="000000" w:themeColor="text1"/>
        </w:rPr>
        <w:t xml:space="preserve">’s work towards </w:t>
      </w:r>
      <w:r w:rsidR="009143C1" w:rsidRPr="003847A6">
        <w:rPr>
          <w:color w:val="000000" w:themeColor="text1"/>
        </w:rPr>
        <w:t>scal</w:t>
      </w:r>
      <w:r w:rsidR="00AB5A59" w:rsidRPr="003847A6">
        <w:rPr>
          <w:color w:val="000000" w:themeColor="text1"/>
        </w:rPr>
        <w:t>ing</w:t>
      </w:r>
      <w:r w:rsidR="009143C1" w:rsidRPr="003847A6">
        <w:rPr>
          <w:color w:val="000000" w:themeColor="text1"/>
        </w:rPr>
        <w:t xml:space="preserve"> up</w:t>
      </w:r>
      <w:r w:rsidR="00AB5A59" w:rsidRPr="003847A6">
        <w:rPr>
          <w:color w:val="000000" w:themeColor="text1"/>
        </w:rPr>
        <w:t xml:space="preserve"> the intervention politically and institutionally </w:t>
      </w:r>
      <w:r w:rsidR="00AB5A59" w:rsidRPr="003847A6">
        <w:rPr>
          <w:color w:val="000000" w:themeColor="text1"/>
        </w:rPr>
        <w:fldChar w:fldCharType="begin"/>
      </w:r>
      <w:r w:rsidR="00AD2E2F" w:rsidRPr="003847A6">
        <w:rPr>
          <w:color w:val="000000" w:themeColor="text1"/>
        </w:rPr>
        <w:instrText xml:space="preserve"> ADDIN ZOTERO_ITEM CSL_CITATION {"citationID":"OQOQpAnH","properties":{"formattedCitation":"(Hartmann and Linn, 2008; Schut et al., 2014)","plainCitation":"(Hartmann and Linn, 2008; Schut et al., 2014)","noteIndex":0},"citationItems":[{"id":20919,"uris":["http://zotero.org/users/12768557/items/QPRSZT88"],"itemData":{"id":20919,"type":"article-journal","abstract":"This paper seeks to contribute to a better understanding of the complex dynamics that shape the contribution of research to policy and innovation processes that address ‘competing claims’ on natural resources and their management. Research in the context of competing claims requires strategies that: (1) can cope with high uncertainty and unpredictability; (2) are concerned with understanding the multiple dimensions of the issue at stake; (3) can facilitate change across different scales and levels; (4) include collaboration with different actors and stakeholders; and (5) may imply new roles for research and researchers. This paper reviews and builds upon research approaches to address these challenges. These research approaches are combined in a framework for dynamic research configurations that aims to stimulate reflection among researchers and to promote more embedded, context-sensitive and flexible research strategies.","container-title":"Science and Public Policy","DOI":"10.1093/scipol/sct048","ISSN":"0302-3427","issue":"2","journalAbbreviation":"Sci Public Policy","page":"207-218","source":"Silverchair","title":"Towards dynamic research configurations: A framework for reflection on the contribution of research to policy and innovation processes","title-short":"Towards dynamic research configurations","volume":"41","author":[{"family":"Schut","given":"Marc"},{"family":"Paassen","given":"Annemarie","non-dropping-particle":"van"},{"family":"Leeuwis","given":"Cees"},{"family":"Klerkx","given":"Laurens"}],"issued":{"date-parts":[["2014",4,1]]}}},{"id":20917,"uris":["http://zotero.org/users/12768557/items/2KZFLYJW"],"itemData":{"id":20917,"type":"article","abstract":"Scaling up of development interventions is much debated today as a way to improve their impact and effectiveness. Based on a review of scaling up literature and practice, this paper develops a framework for the key dynamics that allow the scaling up process to happen. The authors explore the possible approaches and paths to scaling up, the drivers of expansion and of replication, the space that has to be created for interventions to grow, and the role of evaluation and of careful planning and implementation. They draw a number of lessons for the development analyst and practitioner. More than anything else, scaling up is about political and organizational leadership, about vision, values and mindset, and about incentives and accountability - all oriented to make scaling up a central element of individual, institutional, national and international development efforts. The paper concludes by highlighting some implications for aid and aid donors.","DOI":"10.2139/ssrn.1301625","genre":"SSRN Scholarly Paper","language":"en","number":"1301625","publisher":"Social Science Research Network","publisher-place":"Rochester, NY","source":"papers.ssrn.com","title":"Scaling Up: A Framework and Lessons for Development Effectiveness from Literature and Practice","title-short":"Scaling Up","URL":"https://papers.ssrn.com/abstract=1301625","author":[{"family":"Hartmann","given":"Arntraud"},{"family":"Linn","given":"Johannes F."}],"accessed":{"date-parts":[["2026",1,13]]},"issued":{"date-parts":[["2008",10,31]]}}}],"schema":"https://github.com/citation-style-language/schema/raw/master/csl-citation.json"} </w:instrText>
      </w:r>
      <w:r w:rsidR="00AB5A59" w:rsidRPr="003847A6">
        <w:rPr>
          <w:color w:val="000000" w:themeColor="text1"/>
        </w:rPr>
        <w:fldChar w:fldCharType="separate"/>
      </w:r>
      <w:r w:rsidR="00AB5A59" w:rsidRPr="003847A6">
        <w:rPr>
          <w:noProof/>
          <w:color w:val="000000" w:themeColor="text1"/>
        </w:rPr>
        <w:t>(Hartmann and Linn, 2008; Schut et al., 2014)</w:t>
      </w:r>
      <w:r w:rsidR="00AB5A59" w:rsidRPr="003847A6">
        <w:rPr>
          <w:color w:val="000000" w:themeColor="text1"/>
        </w:rPr>
        <w:fldChar w:fldCharType="end"/>
      </w:r>
      <w:r w:rsidR="00AB5A59" w:rsidRPr="003847A6">
        <w:rPr>
          <w:color w:val="000000" w:themeColor="text1"/>
        </w:rPr>
        <w:t xml:space="preserve">. This is </w:t>
      </w:r>
      <w:r w:rsidR="003910EC" w:rsidRPr="003847A6">
        <w:rPr>
          <w:color w:val="000000" w:themeColor="text1"/>
        </w:rPr>
        <w:t>consistent with arguments on the need for “</w:t>
      </w:r>
      <w:r w:rsidR="00AB5A59" w:rsidRPr="003847A6">
        <w:rPr>
          <w:color w:val="000000" w:themeColor="text1"/>
        </w:rPr>
        <w:t xml:space="preserve">effective development and deployment of institutions and mechanisms that can carry forward the scaling up process “ </w:t>
      </w:r>
      <w:r w:rsidR="00AB5A59" w:rsidRPr="003847A6">
        <w:rPr>
          <w:color w:val="000000" w:themeColor="text1"/>
        </w:rPr>
        <w:fldChar w:fldCharType="begin"/>
      </w:r>
      <w:r w:rsidR="00AB5A59" w:rsidRPr="003847A6">
        <w:rPr>
          <w:color w:val="000000" w:themeColor="text1"/>
        </w:rPr>
        <w:instrText xml:space="preserve"> ADDIN ZOTERO_ITEM CSL_CITATION {"citationID":"sTKG0BqC","properties":{"formattedCitation":"(Westermann et al., 2018)","plainCitation":"(Westermann et al., 2018)","noteIndex":0},"citationItems":[{"id":17253,"uris":["http://zotero.org/users/12768557/items/RVWYXDXH"],"itemData":{"id":17253,"type":"article-journal","abstract":"If climate-smart agriculture (CSA) is meaningfully to address the development challenges posed by climate change, effective approaches will be needed to scale up research findings. Here, eleven case studies are used to exemplify scaling-up strategies based on (1) value chains and private sector involvement, (2) information and communication technologies and agro-advisory services, and (3) policy engagement. We evaluated these case studies and the scaling strategies they exemplify, using a simple conceptual framework from the field of scaling up nutrition interventions. Results showed that these different strategies exhibit different characteristics; all offer considerable potential for taking CSA interventions to scale, but there still may be unavoidable trade-offs to consider when choosing one strategy over another, particularly between reaching large numbers of farmers and addressing farmers' specific contexts. The case studies highlighted several challenges: estimating the costs and benefits of different scaling activities, integrating knowledge across multiple levels, and addressing equity issues in scaling up. The case studies outlined here will continue to be monitored and evaluated, thus strengthening the evidence base around effective scaling-up strategies that can contribute to achieving food and nutrition security under climate change in the coming decades.","container-title":"Agricultural Systems","DOI":"10.1016/j.agsy.2018.07.007","ISSN":"0308-521X","journalAbbreviation":"Agricultural Systems","page":"283-293","source":"ScienceDirect","title":"Scaling up agricultural interventions: Case studies of climate-smart agriculture","title-short":"Scaling up agricultural interventions","volume":"165","author":[{"family":"Westermann","given":"Olaf"},{"family":"Förch","given":"Wiebke"},{"family":"Thornton","given":"Philip"},{"family":"Körner","given":"Jana"},{"family":"Cramer","given":"Laura"},{"family":"Campbell","given":"Bruce"}],"issued":{"date-parts":[["2018",9,1]]}}}],"schema":"https://github.com/citation-style-language/schema/raw/master/csl-citation.json"} </w:instrText>
      </w:r>
      <w:r w:rsidR="00AB5A59" w:rsidRPr="003847A6">
        <w:rPr>
          <w:color w:val="000000" w:themeColor="text1"/>
        </w:rPr>
        <w:fldChar w:fldCharType="separate"/>
      </w:r>
      <w:r w:rsidR="00AB5A59" w:rsidRPr="003847A6">
        <w:rPr>
          <w:noProof/>
          <w:color w:val="000000" w:themeColor="text1"/>
        </w:rPr>
        <w:t>(Westermann et al., 2018)</w:t>
      </w:r>
      <w:r w:rsidR="00AB5A59" w:rsidRPr="003847A6">
        <w:rPr>
          <w:color w:val="000000" w:themeColor="text1"/>
        </w:rPr>
        <w:fldChar w:fldCharType="end"/>
      </w:r>
      <w:r w:rsidR="00AB5A59" w:rsidRPr="003847A6">
        <w:rPr>
          <w:color w:val="000000" w:themeColor="text1"/>
        </w:rPr>
        <w:t xml:space="preserve">. </w:t>
      </w:r>
      <w:r w:rsidR="00051F0A" w:rsidRPr="003847A6">
        <w:rPr>
          <w:color w:val="000000" w:themeColor="text1"/>
        </w:rPr>
        <w:t xml:space="preserve">The combination of local feasibility and correct identification of institutional constraints (which are often overlooked in projects </w:t>
      </w:r>
      <w:r w:rsidR="00051F0A" w:rsidRPr="003847A6">
        <w:rPr>
          <w:color w:val="000000" w:themeColor="text1"/>
        </w:rPr>
        <w:fldChar w:fldCharType="begin"/>
      </w:r>
      <w:r w:rsidR="00AD2E2F" w:rsidRPr="003847A6">
        <w:rPr>
          <w:color w:val="000000" w:themeColor="text1"/>
        </w:rPr>
        <w:instrText xml:space="preserve"> ADDIN ZOTERO_ITEM CSL_CITATION {"citationID":"g5IzlLNC","properties":{"formattedCitation":"(Conti et al., 2024a; Orr et al., 2022)","plainCitation":"(Conti et al., 2024a; Orr et al., 2022)","noteIndex":0},"citationItems":[{"id":17170,"uris":["http://zotero.org/users/12768557/items/HRJVKJK3"],"itemData":{"id":17170,"type":"article-journal","abstract":"CONTEXT\nComplexity has long been recognised as a key feature of agri-food systems. Yet, it remains largely theoretical or poorly addressed in practice, hampering the potential of international development projects to address agriculture and food-related challenges in the Global South.\nOBJECTIVE\nThe paper identifies and examines six sources of complexity that can manifest in projects, namely: unpredictability; path dependencies; context-specific dynamics; power relations; multiple temporal and spatial scales. It then proposes and tests six agri-food system principles that could be drawn upon to more successfully navigate this complexity. The aim of the paper is to illustrate how these principles could help projects respond to the changing circumstances and unpredictable turns of agri-food systems contexts in a different way, which flexibly embraces complexity. This flexibility is essential in an age of uncertainty and transformation.\nMETHODS\nComparative case study analysis of six projects implemented by the CGIAR: aflatoxin control in groundnuts in Malawi (1), pigeonpea in Eastern and Southern Africa (2), sorghum beer in Kenya (3), sweet sorghum for biofuel in India (4), precooked beans in Uganda and Kenya (5), Smart Foods in India and Eastern Africa (6). The projects aimed to either increasing smallholder farmers' incomes or addressing food and nutrition security, or both. They were specifically selected as all they were affected by some of the sources of complexity, which hampered the projects to different extents. This makes the cases relevant for not only illustrating manifestations of complexity, but also help reflect on alternative strategies to tackle it.\nRESULTS AND CONCLUSION\nThe analysis of the case studies reveals how complexity can frustrate objectives of development interventions under several aspects. It also serves to discuss how complexity can be more successfully navigated (within but also beyond the selected cases) by applying the set of proposed agri-food system principles. The principles are also presented as ways future interventions could avoid clinging to what is “known to work” and instead venture into more powerful pathways of change.\nSIGNIFICANCE\nThe following complexity-aware principle are proposed: Welcome surprises and openly discuss trade-offs; Shun orthodoxies; Engage with context-specificity; Expose patterns of power; Embrace the lengthy nature of change; Understand the multi-scale (in terms of space and time) nature of agri-food systems contexts. These principles could be used by project designers and implementors to cope with the complexity and uncertainty that will inevitably be encountered in agri-food system interventions, and can no longer be ignored.","container-title":"Agricultural Systems","DOI":"10.1016/j.agsy.2024.104080","ISSN":"0308-521X","journalAbbreviation":"Agricultural Systems","page":"104080","source":"ScienceDirect","title":"Complexity-aware principles for agri-food system interventions: Lessons from project encounters with complexity","title-short":"Complexity-aware principles for agri-food system interventions","volume":"220","author":[{"family":"Conti","given":"Costanza"},{"family":"Hall","given":"Andrew"},{"family":"Orr","given":"Alastair"},{"family":"Hambloch","given":"Caroline"},{"family":"Mausch","given":"Kai"}],"issued":{"date-parts":[["2024",10,1]]}}},{"id":1924,"uris":["http://zotero.org/users/12768557/items/4V9F5NDM"],"itemData":{"id":1924,"type":"report","page":"57-57","publisher-place":"Patancheru","title":"Evidencing what works in developing new market opportunities for GLDC crops","URL":"http://oar.icrisat.org/11963/","author":[{"family":"Orr","given":"A"},{"family":"Conti","given":"C"},{"family":"Mausch","given":"K"},{"family":"Hall","given":"A"}],"issued":{"date-parts":[["2022"]]}}}],"schema":"https://github.com/citation-style-language/schema/raw/master/csl-citation.json"} </w:instrText>
      </w:r>
      <w:r w:rsidR="00051F0A" w:rsidRPr="003847A6">
        <w:rPr>
          <w:color w:val="000000" w:themeColor="text1"/>
        </w:rPr>
        <w:fldChar w:fldCharType="separate"/>
      </w:r>
      <w:r w:rsidR="00051F0A" w:rsidRPr="003847A6">
        <w:rPr>
          <w:noProof/>
          <w:color w:val="000000" w:themeColor="text1"/>
        </w:rPr>
        <w:t>(Conti et al., 2024a; Orr et al., 2022)</w:t>
      </w:r>
      <w:r w:rsidR="00051F0A" w:rsidRPr="003847A6">
        <w:rPr>
          <w:color w:val="000000" w:themeColor="text1"/>
        </w:rPr>
        <w:fldChar w:fldCharType="end"/>
      </w:r>
      <w:r w:rsidR="00051F0A" w:rsidRPr="003847A6">
        <w:rPr>
          <w:color w:val="000000" w:themeColor="text1"/>
        </w:rPr>
        <w:t xml:space="preserve"> led MSSRF to successfully</w:t>
      </w:r>
      <w:r w:rsidR="009143C1" w:rsidRPr="003847A6">
        <w:rPr>
          <w:color w:val="000000" w:themeColor="text1"/>
        </w:rPr>
        <w:t xml:space="preserve"> re-</w:t>
      </w:r>
      <w:r w:rsidR="00AB5A59" w:rsidRPr="003847A6">
        <w:rPr>
          <w:color w:val="000000" w:themeColor="text1"/>
        </w:rPr>
        <w:t xml:space="preserve">frame </w:t>
      </w:r>
      <w:r w:rsidR="009143C1" w:rsidRPr="003847A6">
        <w:rPr>
          <w:color w:val="000000" w:themeColor="text1"/>
        </w:rPr>
        <w:t>millets no</w:t>
      </w:r>
      <w:r w:rsidR="00051F0A" w:rsidRPr="003847A6">
        <w:rPr>
          <w:color w:val="000000" w:themeColor="text1"/>
        </w:rPr>
        <w:t>t only as a desirable and valuable solution for local communities</w:t>
      </w:r>
      <w:r w:rsidR="009143C1" w:rsidRPr="003847A6">
        <w:rPr>
          <w:color w:val="000000" w:themeColor="text1"/>
        </w:rPr>
        <w:t xml:space="preserve">, but </w:t>
      </w:r>
      <w:r w:rsidR="00051F0A" w:rsidRPr="003847A6">
        <w:rPr>
          <w:color w:val="000000" w:themeColor="text1"/>
        </w:rPr>
        <w:t>also</w:t>
      </w:r>
      <w:r w:rsidR="00AB5A59" w:rsidRPr="003847A6">
        <w:rPr>
          <w:color w:val="000000" w:themeColor="text1"/>
        </w:rPr>
        <w:t xml:space="preserve"> as a </w:t>
      </w:r>
      <w:r w:rsidR="003E1A85" w:rsidRPr="003847A6">
        <w:rPr>
          <w:color w:val="000000" w:themeColor="text1"/>
        </w:rPr>
        <w:t xml:space="preserve">policy-relevant food systems </w:t>
      </w:r>
      <w:r w:rsidR="009143C1" w:rsidRPr="003847A6">
        <w:rPr>
          <w:color w:val="000000" w:themeColor="text1"/>
        </w:rPr>
        <w:t>solution</w:t>
      </w:r>
      <w:r w:rsidR="00AB5A59" w:rsidRPr="003847A6">
        <w:rPr>
          <w:color w:val="000000" w:themeColor="text1"/>
        </w:rPr>
        <w:t xml:space="preserve"> that, if accompanied by the right </w:t>
      </w:r>
      <w:r w:rsidR="003910EC" w:rsidRPr="003847A6">
        <w:rPr>
          <w:color w:val="000000" w:themeColor="text1"/>
        </w:rPr>
        <w:t>institutional and policy changes, could help India</w:t>
      </w:r>
      <w:r w:rsidR="009143C1" w:rsidRPr="003847A6">
        <w:rPr>
          <w:color w:val="000000" w:themeColor="text1"/>
        </w:rPr>
        <w:t xml:space="preserve"> tackle existing and emerging food security, </w:t>
      </w:r>
      <w:r w:rsidR="00A83DB4" w:rsidRPr="003847A6">
        <w:rPr>
          <w:color w:val="000000" w:themeColor="text1"/>
        </w:rPr>
        <w:t xml:space="preserve">healthy nutrition, environmental viability, and decent livelihoods. </w:t>
      </w:r>
      <w:r w:rsidR="00AB5A59" w:rsidRPr="003847A6">
        <w:rPr>
          <w:color w:val="000000" w:themeColor="text1"/>
        </w:rPr>
        <w:t xml:space="preserve"> </w:t>
      </w:r>
    </w:p>
    <w:p w14:paraId="73FC0B96" w14:textId="77777777" w:rsidR="000659BC" w:rsidRPr="003847A6" w:rsidRDefault="000659BC" w:rsidP="003847A6">
      <w:pPr>
        <w:rPr>
          <w:color w:val="000000" w:themeColor="text1"/>
        </w:rPr>
      </w:pPr>
    </w:p>
    <w:p w14:paraId="35BC20B1" w14:textId="400D0F63" w:rsidR="00496EDE" w:rsidRPr="003847A6" w:rsidRDefault="000659BC" w:rsidP="003847A6">
      <w:pPr>
        <w:rPr>
          <w:color w:val="000000" w:themeColor="text1"/>
        </w:rPr>
      </w:pPr>
      <w:r w:rsidRPr="003847A6">
        <w:rPr>
          <w:color w:val="000000" w:themeColor="text1"/>
        </w:rPr>
        <w:t xml:space="preserve">Second, the championing and intermediation role MSSRF was able to play. </w:t>
      </w:r>
      <w:r w:rsidR="008F541C" w:rsidRPr="003847A6">
        <w:rPr>
          <w:color w:val="000000" w:themeColor="text1"/>
        </w:rPr>
        <w:t xml:space="preserve">At the beginning of the 2000s, debates on sustainability were arguably only at the margins of political and research debates in India, which was still largely focused on enhancing agricultural productivity </w:t>
      </w:r>
      <w:r w:rsidR="008F541C" w:rsidRPr="003847A6">
        <w:rPr>
          <w:color w:val="000000" w:themeColor="text1"/>
        </w:rPr>
        <w:fldChar w:fldCharType="begin"/>
      </w:r>
      <w:r w:rsidR="00D66183" w:rsidRPr="003847A6">
        <w:rPr>
          <w:color w:val="000000" w:themeColor="text1"/>
        </w:rPr>
        <w:instrText xml:space="preserve"> ADDIN ZOTERO_ITEM CSL_CITATION {"citationID":"M2pcWBss","properties":{"formattedCitation":"(Foster and Rosenzweig, 2004)","plainCitation":"(Foster and Rosenzweig, 2004)","noteIndex":0},"citationItems":[{"id":20348,"uris":["http://zotero.org/users/12768557/items/RMA2X2L7"],"itemData":{"id":20348,"type":"article-journal","container-title":"Economic Development and Cultural Change","DOI":"10.1086/420968","ISSN":"0013-0079","issue":"3","page":"509-542","publisher":"The University of Chicago Press","source":"journals.uchicago.edu (Atypon)","title":"Agricultural Productivity Growth, Rural Economic Diversity, and Economic Reforms: India 1970–2000","title-short":"Agricultural Productivity Growth, Rural Economic Diversity, and Economic Reforms","volume":"52","author":[{"family":"Foster","given":"Andrew D."},{"family":"Rosenzweig","given":"Mark R."}],"issued":{"date-parts":[["2004",4]]}}}],"schema":"https://github.com/citation-style-language/schema/raw/master/csl-citation.json"} </w:instrText>
      </w:r>
      <w:r w:rsidR="008F541C" w:rsidRPr="003847A6">
        <w:rPr>
          <w:color w:val="000000" w:themeColor="text1"/>
        </w:rPr>
        <w:fldChar w:fldCharType="separate"/>
      </w:r>
      <w:r w:rsidR="008F541C" w:rsidRPr="003847A6">
        <w:rPr>
          <w:noProof/>
          <w:color w:val="000000" w:themeColor="text1"/>
        </w:rPr>
        <w:t>(Foster and Rosenzweig, 2004)</w:t>
      </w:r>
      <w:r w:rsidR="008F541C" w:rsidRPr="003847A6">
        <w:rPr>
          <w:color w:val="000000" w:themeColor="text1"/>
        </w:rPr>
        <w:fldChar w:fldCharType="end"/>
      </w:r>
      <w:r w:rsidR="008F541C" w:rsidRPr="003847A6">
        <w:rPr>
          <w:color w:val="000000" w:themeColor="text1"/>
        </w:rPr>
        <w:t xml:space="preserve">. Millets </w:t>
      </w:r>
      <w:r w:rsidR="003C4888" w:rsidRPr="003847A6">
        <w:rPr>
          <w:color w:val="000000" w:themeColor="text1"/>
        </w:rPr>
        <w:t xml:space="preserve">would not have </w:t>
      </w:r>
      <w:r w:rsidR="00F831BC" w:rsidRPr="003847A6">
        <w:rPr>
          <w:color w:val="000000" w:themeColor="text1"/>
        </w:rPr>
        <w:t>resonated with</w:t>
      </w:r>
      <w:r w:rsidR="003C4888" w:rsidRPr="003847A6">
        <w:rPr>
          <w:color w:val="000000" w:themeColor="text1"/>
        </w:rPr>
        <w:t xml:space="preserve"> government</w:t>
      </w:r>
      <w:r w:rsidR="00F831BC" w:rsidRPr="003847A6">
        <w:rPr>
          <w:color w:val="000000" w:themeColor="text1"/>
        </w:rPr>
        <w:t xml:space="preserve"> priorities</w:t>
      </w:r>
      <w:r w:rsidR="003C4888" w:rsidRPr="003847A6">
        <w:rPr>
          <w:color w:val="000000" w:themeColor="text1"/>
        </w:rPr>
        <w:t xml:space="preserve"> or even consumers </w:t>
      </w:r>
      <w:r w:rsidR="00F831BC" w:rsidRPr="003847A6">
        <w:rPr>
          <w:color w:val="000000" w:themeColor="text1"/>
        </w:rPr>
        <w:t xml:space="preserve">preferences </w:t>
      </w:r>
      <w:r w:rsidR="003C4888" w:rsidRPr="003847A6">
        <w:rPr>
          <w:color w:val="000000" w:themeColor="text1"/>
        </w:rPr>
        <w:t xml:space="preserve">without efforts to build up new values around the importance of environmental sustainability, climate resilience, healthy nutrition </w:t>
      </w:r>
      <w:r w:rsidR="003C4888" w:rsidRPr="003847A6">
        <w:rPr>
          <w:color w:val="000000" w:themeColor="text1"/>
        </w:rPr>
        <w:lastRenderedPageBreak/>
        <w:t>or even cultural heritage and diversity. This is why “scaling deep” has been deemed</w:t>
      </w:r>
      <w:r w:rsidR="00F831BC" w:rsidRPr="003847A6">
        <w:rPr>
          <w:color w:val="000000" w:themeColor="text1"/>
        </w:rPr>
        <w:t xml:space="preserve"> in the literature</w:t>
      </w:r>
      <w:r w:rsidR="003C4888" w:rsidRPr="003847A6">
        <w:rPr>
          <w:color w:val="000000" w:themeColor="text1"/>
        </w:rPr>
        <w:t xml:space="preserve"> as a critical component of scaling</w:t>
      </w:r>
      <w:r w:rsidR="00F831BC" w:rsidRPr="003847A6">
        <w:rPr>
          <w:color w:val="000000" w:themeColor="text1"/>
        </w:rPr>
        <w:t>, as well as, more broadly</w:t>
      </w:r>
      <w:r w:rsidR="00496EDE" w:rsidRPr="003847A6">
        <w:rPr>
          <w:color w:val="000000" w:themeColor="text1"/>
        </w:rPr>
        <w:t xml:space="preserve"> in the</w:t>
      </w:r>
      <w:r w:rsidR="00474838" w:rsidRPr="003847A6">
        <w:rPr>
          <w:color w:val="000000" w:themeColor="text1"/>
        </w:rPr>
        <w:t xml:space="preserve"> </w:t>
      </w:r>
      <w:r w:rsidR="003C4888" w:rsidRPr="003847A6">
        <w:rPr>
          <w:color w:val="000000" w:themeColor="text1"/>
        </w:rPr>
        <w:t>food system transformation processes</w:t>
      </w:r>
      <w:r w:rsidR="00474838" w:rsidRPr="003847A6">
        <w:rPr>
          <w:color w:val="000000" w:themeColor="text1"/>
        </w:rPr>
        <w:t xml:space="preserve"> </w:t>
      </w:r>
      <w:r w:rsidR="00474838" w:rsidRPr="003847A6">
        <w:rPr>
          <w:color w:val="000000" w:themeColor="text1"/>
        </w:rPr>
        <w:fldChar w:fldCharType="begin"/>
      </w:r>
      <w:r w:rsidR="00132FFE" w:rsidRPr="003847A6">
        <w:rPr>
          <w:color w:val="000000" w:themeColor="text1"/>
        </w:rPr>
        <w:instrText xml:space="preserve"> ADDIN ZOTERO_ITEM CSL_CITATION {"citationID":"hfNZbyxP","properties":{"formattedCitation":"(Lam et al., 2020)","plainCitation":"(Lam et al., 2020)","noteIndex":0},"citationItems":[{"id":20946,"uris":["http://zotero.org/users/12768557/items/YPMEL4KZ"],"itemData":{"id":20946,"type":"article-journal","abstract":"Amplifying the impact of sustainability initiatives to foster transformations in urban and rural contexts, has received increasing attention in resilience, social innovation, and sustainability transitions research. We review the literature on amplification frameworks and propose an integrative typology of eight processes, which aim to increase the impact of such initiatives. The eight amplification processes are: stabilizing, speeding up, growing, replicating, transferring, spreading, scaling up, and scaling deep. We aggregated these processes into three categories: amplifying within, amplifying out, and amplifying beyond. This integrative typology aims to stimulate the debate on impact amplification from urban and rural sustainability initiatives across research areas to support sustainability transformations. We propose going beyond an understanding of amplification, which focuses only on the increase of numbers of sustainability initiatives, by considering how these initiatives create transformative change.","container-title":"Urban Transformations","DOI":"10.1186/s42854-020-00007-9","ISSN":"2524-8162","issue":"1","journalAbbreviation":"Urban Transform","language":"en","page":"3","source":"Springer Link","title":"Scaling the impact of sustainability initiatives: a typology of amplification processes","title-short":"Scaling the impact of sustainability initiatives","volume":"2","author":[{"family":"Lam","given":"David P. M."},{"family":"Martín-López","given":"Berta"},{"family":"Wiek","given":"Arnim"},{"family":"Bennett","given":"Elena M."},{"family":"Frantzeskaki","given":"Niki"},{"family":"Horcea-Milcu","given":"Andra I."},{"family":"Lang","given":"Daniel J."}],"issued":{"date-parts":[["2020",5,14]]}}}],"schema":"https://github.com/citation-style-language/schema/raw/master/csl-citation.json"} </w:instrText>
      </w:r>
      <w:r w:rsidR="00474838" w:rsidRPr="003847A6">
        <w:rPr>
          <w:color w:val="000000" w:themeColor="text1"/>
        </w:rPr>
        <w:fldChar w:fldCharType="separate"/>
      </w:r>
      <w:r w:rsidR="00132FFE" w:rsidRPr="003847A6">
        <w:rPr>
          <w:noProof/>
          <w:color w:val="000000" w:themeColor="text1"/>
        </w:rPr>
        <w:t>(Lam et al., 2020)</w:t>
      </w:r>
      <w:r w:rsidR="00474838" w:rsidRPr="003847A6">
        <w:rPr>
          <w:color w:val="000000" w:themeColor="text1"/>
        </w:rPr>
        <w:fldChar w:fldCharType="end"/>
      </w:r>
      <w:r w:rsidR="003C4888" w:rsidRPr="003847A6">
        <w:rPr>
          <w:color w:val="000000" w:themeColor="text1"/>
        </w:rPr>
        <w:t xml:space="preserve">. </w:t>
      </w:r>
      <w:r w:rsidR="00F831BC" w:rsidRPr="003847A6">
        <w:rPr>
          <w:color w:val="000000" w:themeColor="text1"/>
        </w:rPr>
        <w:t xml:space="preserve">Evidence points at how </w:t>
      </w:r>
      <w:r w:rsidR="00474838" w:rsidRPr="003847A6">
        <w:rPr>
          <w:color w:val="000000" w:themeColor="text1"/>
        </w:rPr>
        <w:t xml:space="preserve">many </w:t>
      </w:r>
      <w:r w:rsidR="00F831BC" w:rsidRPr="003847A6">
        <w:rPr>
          <w:color w:val="000000" w:themeColor="text1"/>
        </w:rPr>
        <w:t>interventions remain confined as the “pilot”</w:t>
      </w:r>
      <w:r w:rsidR="00474838" w:rsidRPr="003847A6">
        <w:rPr>
          <w:color w:val="000000" w:themeColor="text1"/>
        </w:rPr>
        <w:t xml:space="preserve"> or “niche”</w:t>
      </w:r>
      <w:r w:rsidR="00F831BC" w:rsidRPr="003847A6">
        <w:rPr>
          <w:color w:val="000000" w:themeColor="text1"/>
        </w:rPr>
        <w:t xml:space="preserve"> level unless the changes, values and ideas they promote are accompanied by changes in established ways of thinking (culture), doing (practices) and organizing (</w:t>
      </w:r>
      <w:r w:rsidR="00474838" w:rsidRPr="003847A6">
        <w:rPr>
          <w:color w:val="000000" w:themeColor="text1"/>
        </w:rPr>
        <w:t>institutions</w:t>
      </w:r>
      <w:r w:rsidR="00F831BC" w:rsidRPr="003847A6">
        <w:rPr>
          <w:color w:val="000000" w:themeColor="text1"/>
        </w:rPr>
        <w:t>)</w:t>
      </w:r>
      <w:r w:rsidR="00474838" w:rsidRPr="003847A6">
        <w:rPr>
          <w:color w:val="000000" w:themeColor="text1"/>
        </w:rPr>
        <w:t xml:space="preserve"> </w:t>
      </w:r>
      <w:r w:rsidR="00474838" w:rsidRPr="003847A6">
        <w:rPr>
          <w:color w:val="000000" w:themeColor="text1"/>
        </w:rPr>
        <w:fldChar w:fldCharType="begin"/>
      </w:r>
      <w:r w:rsidR="00AD2E2F" w:rsidRPr="003847A6">
        <w:rPr>
          <w:color w:val="000000" w:themeColor="text1"/>
        </w:rPr>
        <w:instrText xml:space="preserve"> ADDIN ZOTERO_ITEM CSL_CITATION {"citationID":"O5eYj3iL","properties":{"formattedCitation":"(Moore et al., 2015; Van Den Bosch and Rotmans, 2008)","plainCitation":"(Moore et al., 2015; Van Den Bosch and Rotmans, 2008)","noteIndex":0},"citationItems":[{"id":18925,"uris":["http://zotero.org/users/12768557/items/6VZJXZZ7"],"itemData":{"id":18925,"type":"article-journal","abstract":"To effect large system change, “niche” or local-level innovations must span spatial and institutional scales to achieve broader systemic impact. Leaders of social innovation, in particular those who work in non-profit organizations and funders of nonprofit and civil society organizations, are increasingly concerned with scaling the positive impact of their investments. This study examines the case of the J.W. McConnell Family Foundation and the implementation of a deliberate strategy, named the Applied Dissemination initiative, to build grantee capacity and to accelerate their initiatives to achieve systemic change. One part of the strategy involved an “educational intervention”, where leaders of more than a dozen national-level initiatives in Canada convened regularly over a period of several years to learn from each other's efforts to achieve scale. The group was successful not only in their efforts to scale for positive impact on their respective issue areas, but also in catalyzing a field of practice in Canada with a growing expertise in scaling innovation for systemic change. The findings show the success of six different strategies that may be adopted to scale innovation on the pathway to largescale or systemic impact, which cut across three different types of “scaling”: scaling out, scaling up, and scaling deep.","container-title":"The Journal of Corporate Citizenship","ISSN":"1470-5001","issue":"58","page":"67-84","publisher":"Greenleaf Publishing","source":"JSTOR","title":"Scaling Out, Scaling Up, Scaling Deep: Strategies of Non-profits in Advancing Systemic Social Innovation","title-short":"Scaling Out, Scaling Up, Scaling Deep","author":[{"family":"Moore","given":"Michele-Lee"},{"family":"Riddell","given":"Darcy"},{"family":"Vocisano","given":"Dana"}],"issued":{"date-parts":[["2015"]]}}},{"id":20921,"uris":["http://zotero.org/users/12768557/items/9FGVZBY4"],"itemData":{"id":20921,"type":"report","publisher":"Knowledge Centre for Sustainable System Innovations and Transitions (KCT)","publisher-place":"Delft","title":"Deepening, broadening and scaling up: A framework for steering transition experiments.","URL":"https://repub.eur.nl/pub/15812/KCT_transitieboekje_02.pdf","author":[{"family":"Van Den Bosch","given":"S"},{"family":"Rotmans","given":"J"}],"issued":{"date-parts":[["2008"]]}}}],"schema":"https://github.com/citation-style-language/schema/raw/master/csl-citation.json"} </w:instrText>
      </w:r>
      <w:r w:rsidR="00474838" w:rsidRPr="003847A6">
        <w:rPr>
          <w:color w:val="000000" w:themeColor="text1"/>
        </w:rPr>
        <w:fldChar w:fldCharType="separate"/>
      </w:r>
      <w:r w:rsidR="00474838" w:rsidRPr="003847A6">
        <w:rPr>
          <w:noProof/>
          <w:color w:val="000000" w:themeColor="text1"/>
        </w:rPr>
        <w:t>(Moore et al., 2015; Van Den Bosch and Rotmans, 2008)</w:t>
      </w:r>
      <w:r w:rsidR="00474838" w:rsidRPr="003847A6">
        <w:rPr>
          <w:color w:val="000000" w:themeColor="text1"/>
        </w:rPr>
        <w:fldChar w:fldCharType="end"/>
      </w:r>
      <w:r w:rsidR="00F831BC" w:rsidRPr="003847A6">
        <w:rPr>
          <w:color w:val="000000" w:themeColor="text1"/>
        </w:rPr>
        <w:t xml:space="preserve">. </w:t>
      </w:r>
    </w:p>
    <w:p w14:paraId="147A3F27" w14:textId="77777777" w:rsidR="00496EDE" w:rsidRPr="003847A6" w:rsidRDefault="00496EDE" w:rsidP="003847A6">
      <w:pPr>
        <w:rPr>
          <w:color w:val="000000" w:themeColor="text1"/>
        </w:rPr>
      </w:pPr>
    </w:p>
    <w:p w14:paraId="679FB38B" w14:textId="71FB0211" w:rsidR="00496EDE" w:rsidRPr="003847A6" w:rsidRDefault="00F831BC" w:rsidP="003847A6">
      <w:pPr>
        <w:rPr>
          <w:color w:val="000000" w:themeColor="text1"/>
        </w:rPr>
      </w:pPr>
      <w:r w:rsidRPr="003847A6">
        <w:rPr>
          <w:color w:val="000000" w:themeColor="text1"/>
        </w:rPr>
        <w:t xml:space="preserve">But how to achieve deep scaling? For MSSRF, it was achieved through two components. The first was the leadership of M.S. Swaminathan himself </w:t>
      </w:r>
      <w:r w:rsidRPr="003847A6">
        <w:rPr>
          <w:color w:val="000000" w:themeColor="text1"/>
        </w:rPr>
        <w:fldChar w:fldCharType="begin"/>
      </w:r>
      <w:r w:rsidRPr="003847A6">
        <w:rPr>
          <w:color w:val="000000" w:themeColor="text1"/>
        </w:rPr>
        <w:instrText xml:space="preserve"> ADDIN ZOTERO_ITEM CSL_CITATION {"citationID":"NcjoX0ja","properties":{"formattedCitation":"(Chand, 2025)","plainCitation":"(Chand, 2025)","noteIndex":0},"citationItems":[{"id":20346,"uris":["http://zotero.org/users/12768557/items/A2LDZTY2"],"itemData":{"id":20346,"type":"article-newspaper","abstract":"MS Swaminathan's contributions extend far beyond the Green Revolution","container-title":"Business Standard","language":"en-US","title":"Centenary of 'Father of Green Revolution' who worried about its future","URL":"https://www.business-standard.com/economy/analysis/centenary-of-father-of-green-revolution-who-worried-about-its-future-125082201221_1.html","author":[{"family":"Chand","given":"R"}],"accessed":{"date-parts":[["2025",9,2]]},"issued":{"date-parts":[["2025",8,22]]}}}],"schema":"https://github.com/citation-style-language/schema/raw/master/csl-citation.json"} </w:instrText>
      </w:r>
      <w:r w:rsidRPr="003847A6">
        <w:rPr>
          <w:color w:val="000000" w:themeColor="text1"/>
        </w:rPr>
        <w:fldChar w:fldCharType="separate"/>
      </w:r>
      <w:r w:rsidRPr="003847A6">
        <w:rPr>
          <w:noProof/>
          <w:color w:val="000000" w:themeColor="text1"/>
        </w:rPr>
        <w:t>(Chand, 2025)</w:t>
      </w:r>
      <w:r w:rsidRPr="003847A6">
        <w:rPr>
          <w:color w:val="000000" w:themeColor="text1"/>
        </w:rPr>
        <w:fldChar w:fldCharType="end"/>
      </w:r>
      <w:r w:rsidRPr="003847A6">
        <w:rPr>
          <w:color w:val="000000" w:themeColor="text1"/>
        </w:rPr>
        <w:t xml:space="preserve">. </w:t>
      </w:r>
      <w:r w:rsidR="005D754B" w:rsidRPr="003847A6">
        <w:rPr>
          <w:color w:val="000000" w:themeColor="text1"/>
        </w:rPr>
        <w:t xml:space="preserve">Often called a “pioneer” or a “visionary” in his field </w:t>
      </w:r>
      <w:r w:rsidR="005D754B" w:rsidRPr="003847A6">
        <w:rPr>
          <w:color w:val="000000" w:themeColor="text1"/>
        </w:rPr>
        <w:fldChar w:fldCharType="begin"/>
      </w:r>
      <w:r w:rsidR="00AD2E2F" w:rsidRPr="003847A6">
        <w:rPr>
          <w:color w:val="000000" w:themeColor="text1"/>
        </w:rPr>
        <w:instrText xml:space="preserve"> ADDIN ZOTERO_ITEM CSL_CITATION {"citationID":"fBtTfzro","properties":{"formattedCitation":"(Abraham, 2023; ICRISAT, 2023)","plainCitation":"(Abraham, 2023; ICRISAT, 2023)","noteIndex":0},"citationItems":[{"id":20922,"uris":["http://zotero.org/users/12768557/items/GFIQG2G8"],"itemData":{"id":20922,"type":"article-newspaper","abstract":"Pioneering plant geneticist and agronomist whose work revolutionised farming and brought self-sufficiency in food production to India","container-title":"The Guardian","ISSN":"0261-3077","language":"en-GB","section":"Global development","source":"The Guardian","title":"MS Swaminathan, ‘visionary’ father of India’s green revolution, dies at 98","URL":"https://www.theguardian.com/global-development/2023/oct/05/ms-swaminathan-obituary","author":[{"family":"Abraham","given":"Hannah Rachel"}],"accessed":{"date-parts":[["2026",1,13]]},"issued":{"date-parts":[["2023",10,5]]}}},{"id":20924,"uris":["http://zotero.org/users/12768557/items/9PN5EBTV"],"itemData":{"id":20924,"type":"article-newspaper","abstract":"As we come to terms with the profound loss of Professor MS Swaminathan, we find solace in celebrating the life of a true luminary in the field of...","container-title":"The International Crops Research Institute for the Semi-Arid Tropics","language":"en","publisher-place":"Hyderabad","title":"In Memoriam: Celebrating the Life and Legacy of Visionary Agriculture Scientist and ICRISAT Co-Founder, Professor MS Swaminathan","title-short":"In Memoriam","URL":"https://pressroom.icrisat.org/in-memoriam-celebrating-the-life-and-legacy-of-visionary-agriculture-scientist-and-icrisat-co-founder-professor-ms-swaminathan","author":[{"family":"ICRISAT","given":""}],"accessed":{"date-parts":[["2026",1,13]]},"issued":{"date-parts":[["2023",9,29]]}}}],"schema":"https://github.com/citation-style-language/schema/raw/master/csl-citation.json"} </w:instrText>
      </w:r>
      <w:r w:rsidR="005D754B" w:rsidRPr="003847A6">
        <w:rPr>
          <w:color w:val="000000" w:themeColor="text1"/>
        </w:rPr>
        <w:fldChar w:fldCharType="separate"/>
      </w:r>
      <w:r w:rsidR="005D754B" w:rsidRPr="003847A6">
        <w:rPr>
          <w:noProof/>
          <w:color w:val="000000" w:themeColor="text1"/>
        </w:rPr>
        <w:t>(Abraham, 2023; ICRISAT, 2023)</w:t>
      </w:r>
      <w:r w:rsidR="005D754B" w:rsidRPr="003847A6">
        <w:rPr>
          <w:color w:val="000000" w:themeColor="text1"/>
        </w:rPr>
        <w:fldChar w:fldCharType="end"/>
      </w:r>
      <w:r w:rsidR="005D754B" w:rsidRPr="003847A6">
        <w:rPr>
          <w:color w:val="000000" w:themeColor="text1"/>
        </w:rPr>
        <w:t xml:space="preserve">, the scientist identified and advocated for sustainability, climate and equity challenges well before they made their appearance in international and national policy and research arenas </w:t>
      </w:r>
      <w:r w:rsidR="005D754B" w:rsidRPr="003847A6">
        <w:rPr>
          <w:color w:val="000000" w:themeColor="text1"/>
        </w:rPr>
        <w:fldChar w:fldCharType="begin"/>
      </w:r>
      <w:r w:rsidR="00D66183" w:rsidRPr="003847A6">
        <w:rPr>
          <w:color w:val="000000" w:themeColor="text1"/>
        </w:rPr>
        <w:instrText xml:space="preserve"> ADDIN ZOTERO_ITEM CSL_CITATION {"citationID":"5KNsROZN","properties":{"formattedCitation":"(Chand, 2025; Khush et al., 2024)","plainCitation":"(Chand, 2025; Khush et al., 2024)","noteIndex":0},"citationItems":[{"id":20926,"uris":["http://zotero.org/users/12768557/items/EEMWTMER"],"itemData":{"id":20926,"type":"article-journal","container-title":"Proceedings of the National Academy of Sciences","DOI":"10.1073/pnas.2320944121","issue":"4","page":"e2320944121","publisher":"Proceedings of the National Academy of Sciences","source":"pnas.org (Atypon)","title":"Remembering M.S. Swaminathan: An outstanding scientist and visionary leader","title-short":"Remembering M.S. Swaminathan","volume":"121","author":[{"family":"Khush","given":"Gurdev S."},{"family":"McCouch","given":"Susan R."},{"family":"Ronald","given":"Pamela C."}],"issued":{"date-parts":[["2024",1,23]]}}},{"id":20346,"uris":["http://zotero.org/users/12768557/items/A2LDZTY2"],"itemData":{"id":20346,"type":"article-newspaper","abstract":"MS Swaminathan's contributions extend far beyond the Green Revolution","container-title":"Business Standard","language":"en-US","title":"Centenary of 'Father of Green Revolution' who worried about its future","URL":"https://www.business-standard.com/economy/analysis/centenary-of-father-of-green-revolution-who-worried-about-its-future-125082201221_1.html","author":[{"family":"Chand","given":"R"}],"accessed":{"date-parts":[["2025",9,2]]},"issued":{"date-parts":[["2025",8,22]]}}}],"schema":"https://github.com/citation-style-language/schema/raw/master/csl-citation.json"} </w:instrText>
      </w:r>
      <w:r w:rsidR="005D754B" w:rsidRPr="003847A6">
        <w:rPr>
          <w:color w:val="000000" w:themeColor="text1"/>
        </w:rPr>
        <w:fldChar w:fldCharType="separate"/>
      </w:r>
      <w:r w:rsidR="005D754B" w:rsidRPr="003847A6">
        <w:rPr>
          <w:noProof/>
          <w:color w:val="000000" w:themeColor="text1"/>
        </w:rPr>
        <w:t>(Chand, 2025; Khush et al., 2024)</w:t>
      </w:r>
      <w:r w:rsidR="005D754B" w:rsidRPr="003847A6">
        <w:rPr>
          <w:color w:val="000000" w:themeColor="text1"/>
        </w:rPr>
        <w:fldChar w:fldCharType="end"/>
      </w:r>
      <w:r w:rsidR="005D754B" w:rsidRPr="003847A6">
        <w:rPr>
          <w:color w:val="000000" w:themeColor="text1"/>
        </w:rPr>
        <w:t xml:space="preserve">. </w:t>
      </w:r>
      <w:r w:rsidR="000A57CB" w:rsidRPr="003847A6">
        <w:rPr>
          <w:color w:val="000000" w:themeColor="text1"/>
        </w:rPr>
        <w:t xml:space="preserve">His efforts to build networks and lobby for support of sustainable, equitable and </w:t>
      </w:r>
      <w:r w:rsidR="00A6482A" w:rsidRPr="003847A6">
        <w:rPr>
          <w:color w:val="000000" w:themeColor="text1"/>
        </w:rPr>
        <w:t>culturally appropriate</w:t>
      </w:r>
      <w:r w:rsidR="000A57CB" w:rsidRPr="003847A6">
        <w:rPr>
          <w:color w:val="000000" w:themeColor="text1"/>
        </w:rPr>
        <w:t xml:space="preserve"> innovation (including, but beyond millets) saw him emerge as an “innovation champion”</w:t>
      </w:r>
      <w:r w:rsidR="00396EF4" w:rsidRPr="003847A6">
        <w:rPr>
          <w:color w:val="000000" w:themeColor="text1"/>
        </w:rPr>
        <w:t xml:space="preserve"> </w:t>
      </w:r>
      <w:r w:rsidR="00396EF4" w:rsidRPr="003847A6">
        <w:rPr>
          <w:color w:val="000000" w:themeColor="text1"/>
        </w:rPr>
        <w:fldChar w:fldCharType="begin"/>
      </w:r>
      <w:r w:rsidR="00396EF4" w:rsidRPr="003847A6">
        <w:rPr>
          <w:color w:val="000000" w:themeColor="text1"/>
        </w:rPr>
        <w:instrText xml:space="preserve"> ADDIN ZOTERO_ITEM CSL_CITATION {"citationID":"6PeH3v6G","properties":{"unsorted":false,"formattedCitation":"(Klerkx et al., 2013)","plainCitation":"(Klerkx et al., 2013)","noteIndex":0},"citationItems":[{"id":22207,"uris":["http://zotero.org/users/12768557/items/SSSGJNHT"],"itemData":{"id":22207,"type":"article-journal","abstract":"The concept of an innovation platform is increasingly used in interventions inspired by agricultural innovation systems thinking, as a way of bringing stakeholders from a sector together to enable transformative change. An essential role on such innovation platforms is thought to be that of the ‘innovation champion’, but this role has so far not been unravelled. In this paper, by applying insights from management science to analyse three innovation platforms in West Africa from the Convergence of Sciences – Strengthening Innovation Systems programme (CoS–SIS), different types of innovation champions are mapped. The authors conclude that making a distinction among different types of innovation champions can be useful in identifying members for innovation platforms, but that the specifics of agricultural innovation appear not to be adequately captured by roles attributed to existing categories of innovation champions. Further research is needed to ascertain whether other categories exist, and how different innovation champions interact over time on agricultural innovation platforms.","container-title":"Outlook on Agriculture","DOI":"10.5367/oa.2013.0137","ISSN":"0030-7270","issue":"3","journalAbbreviation":"Outlook Agric","language":"EN","page":"185-192","publisher":"SAGE Publications Ltd","source":"SAGE Journals","title":"Looking at Agricultural Innovation Platforms through an Innovation Champion Lens: An Analysis of Three Cases in West Africa","title-short":"Looking at Agricultural Innovation Platforms through an Innovation Champion Lens","volume":"42","author":[{"family":"Klerkx","given":"Laurens"},{"family":"Adjei-Nsiah","given":"Samuel"},{"family":"Adu-Acheampong","given":"Richard"},{"family":"Saïdou","given":"Aliou"},{"family":"Zannou","given":"Elizabeth"},{"family":"Soumano","given":"Lassine"},{"family":"Sakyi-Dawson","given":"Owuraku"},{"family":"Paassen","given":"Annemarie","non-dropping-particle":"van"},{"family":"Nederlof","given":"Suzanne"}],"issued":{"date-parts":[["2013",9,1]]}}}],"schema":"https://github.com/citation-style-language/schema/raw/master/csl-citation.json"} </w:instrText>
      </w:r>
      <w:r w:rsidR="00396EF4" w:rsidRPr="003847A6">
        <w:rPr>
          <w:color w:val="000000" w:themeColor="text1"/>
        </w:rPr>
        <w:fldChar w:fldCharType="separate"/>
      </w:r>
      <w:r w:rsidR="00396EF4" w:rsidRPr="003847A6">
        <w:rPr>
          <w:noProof/>
          <w:color w:val="000000" w:themeColor="text1"/>
        </w:rPr>
        <w:t>(Klerkx et al., 2013)</w:t>
      </w:r>
      <w:r w:rsidR="00396EF4" w:rsidRPr="003847A6">
        <w:rPr>
          <w:color w:val="000000" w:themeColor="text1"/>
        </w:rPr>
        <w:fldChar w:fldCharType="end"/>
      </w:r>
      <w:r w:rsidR="000A57CB" w:rsidRPr="003847A6">
        <w:rPr>
          <w:color w:val="000000" w:themeColor="text1"/>
        </w:rPr>
        <w:t xml:space="preserve">. These </w:t>
      </w:r>
      <w:r w:rsidR="00496EDE" w:rsidRPr="003847A6">
        <w:rPr>
          <w:color w:val="000000" w:themeColor="text1"/>
        </w:rPr>
        <w:t>personalities</w:t>
      </w:r>
      <w:r w:rsidR="000A57CB" w:rsidRPr="003847A6">
        <w:rPr>
          <w:color w:val="000000" w:themeColor="text1"/>
        </w:rPr>
        <w:t xml:space="preserve"> have been described in the literature as individuals capable of promoting innovation despite disinterest, lack of knowledge or even opposition </w:t>
      </w:r>
      <w:r w:rsidR="000A57CB" w:rsidRPr="003847A6">
        <w:rPr>
          <w:color w:val="000000" w:themeColor="text1"/>
        </w:rPr>
        <w:fldChar w:fldCharType="begin"/>
      </w:r>
      <w:r w:rsidR="00D66183" w:rsidRPr="003847A6">
        <w:rPr>
          <w:color w:val="000000" w:themeColor="text1"/>
        </w:rPr>
        <w:instrText xml:space="preserve"> ADDIN ZOTERO_ITEM CSL_CITATION {"citationID":"sFqnpYgL","properties":{"formattedCitation":"(Klerkx and Aarts, 2013a; Marckstadt et al., 2020)","plainCitation":"(Klerkx and Aarts, 2013a; Marckstadt et al., 2020)","noteIndex":0},"citationItems":[{"id":20373,"uris":["http://zotero.org/users/12768557/items/FJJNRRJY"],"itemData":{"id":20373,"type":"article-journal","abstract":"In networked or open innovation processes, so-called innovation communities have been identified in the innovation champion literature, in which innovation champions from different levels in the innovation system supposedly act as a team. It has however not been studied in detail to what extent and how different champions in innovation communities complement each other and act as a team. Applying the concept of innovation network orchestration to analyze the role and position of different kinds of champions as brokers in innovation networks, the purpose of this paper is to unravel the interaction between champions and what this entails in terms of role complementarities and conflicts as regards innovation network orchestration. This is done by using an explorative multiple case study approach in which three innovation journeys are analyzed. The results indicate that a distinction can be made between primary innovation communities, who act as aggregated orchestrators of the overall innovation network, and who in turn orchestrate secondary innovation communities in certain sub-networks. Here different kinds of champions complement each other and act as a team, but these complementarities are not a given: they are negotiated over time in interaction, and lack of reflection on each other’s roles may result in role conflicts. The main conclusion is that an oversimplified notion of innovation communities as a unified team of champions should be avoided: innovation communities themselves need a form of orchestration.","container-title":"Technovation","DOI":"10.1016/j.technovation.2013.03.002","ISSN":"0166-4972","issue":"6","journalAbbreviation":"Technovation","page":"193-210","source":"ScienceDirect","title":"The interaction of multiple champions in orchestrating innovation networks: Conflicts and complementarities","title-short":"The interaction of multiple champions in orchestrating innovation networks","volume":"33","author":[{"family":"Klerkx","given":"Laurens"},{"family":"Aarts","given":"Noelle"}],"issued":{"date-parts":[["2013",6,1]]}}},{"id":20932,"uris":["http://zotero.org/users/12768557/items/6692TZ9X"],"itemData":{"id":20932,"type":"article-journal","abstract":"This report on business transformation is intended for organizations looking to reinvent themselves – not just once in response to the crisis, but constantly, to stay alert, resilient and competitive. In a joint study with Deloitte Germany, we have engaged with over 150 companies and senior executives in the DACH region to identify those management practices that differentiate organizations with breakthrough transformation performance, and refer to these as “transformation champions”. By turning opposites into complements, we have identified seven management practices that can increase your chances of success.","container-title":"Transformation Champions - Turning Opposites into Complements","language":"en","publisher":"Deloitte AG Germany","source":"www.alexandria.unisg.ch","title":"Transformation Champions - Turning Opposites into Complements","URL":"https://www.alexandria.unisg.ch/handle/20.500.14171/111825","author":[{"family":"Marckstadt","given":"Fabian"},{"family":"Dimke","given":"Marc"},{"family":"Laamanen","given":"Tomi"},{"family":"Bian","given":"Di"},{"family":"Isenring-Szabó","given":"Kata"},{"family":"Ates","given":"Yasemin"},{"family":"Heil","given":"Sebastian"},{"family":"Schwucht","given":"Clara"},{"family":"Gnan","given":"Nicholas"},{"family":"Neubauer","given":"Philipp"},{"family":"Barras","given":"Noémie"},{"family":"Eidenmueller","given":"Nicolas"}],"accessed":{"date-parts":[["2026",1,13]]},"issued":{"date-parts":[["2020",9]]}}}],"schema":"https://github.com/citation-style-language/schema/raw/master/csl-citation.json"} </w:instrText>
      </w:r>
      <w:r w:rsidR="000A57CB" w:rsidRPr="003847A6">
        <w:rPr>
          <w:color w:val="000000" w:themeColor="text1"/>
        </w:rPr>
        <w:fldChar w:fldCharType="separate"/>
      </w:r>
      <w:r w:rsidR="00474838" w:rsidRPr="003847A6">
        <w:rPr>
          <w:noProof/>
          <w:color w:val="000000" w:themeColor="text1"/>
        </w:rPr>
        <w:t>(Klerkx and Aarts, 2013a; Marckstadt et al., 2020)</w:t>
      </w:r>
      <w:r w:rsidR="000A57CB" w:rsidRPr="003847A6">
        <w:rPr>
          <w:color w:val="000000" w:themeColor="text1"/>
        </w:rPr>
        <w:fldChar w:fldCharType="end"/>
      </w:r>
      <w:r w:rsidR="000A57CB" w:rsidRPr="003847A6">
        <w:rPr>
          <w:color w:val="000000" w:themeColor="text1"/>
        </w:rPr>
        <w:t xml:space="preserve">, and inspire new visions of the future </w:t>
      </w:r>
      <w:bookmarkStart w:id="10" w:name="_Hlk219193794"/>
      <w:r w:rsidR="000A57CB" w:rsidRPr="003847A6">
        <w:rPr>
          <w:color w:val="000000" w:themeColor="text1"/>
        </w:rPr>
        <w:fldChar w:fldCharType="begin"/>
      </w:r>
      <w:r w:rsidR="000A57CB" w:rsidRPr="003847A6">
        <w:rPr>
          <w:color w:val="000000" w:themeColor="text1"/>
        </w:rPr>
        <w:instrText xml:space="preserve"> ADDIN ZOTERO_ITEM CSL_CITATION {"citationID":"B7poadNC","properties":{"formattedCitation":"(Sergeeva, 2016)","plainCitation":"(Sergeeva, 2016)","noteIndex":0},"citationItems":[{"id":20933,"uris":["http://zotero.org/users/12768557/items/BQZMCQK9"],"itemData":{"id":20933,"type":"article-journal","abstract":"– The purpose of this paper is to explore how an “innovation champion” identity is formulated in the context of UK construction sector. A conceptual model of “innovation champion” themes is derived from the literature on social identity and then validated through empirical research.  – In total, 30 semi-structured interviews have been conducted with UK construction sector practitioners. The sample was composed active participants within the Constructing Excellence – the UK construction sector’s network-type organisation for driving innovation.  – Practitioners socially constructed “innovation champion” identities through narratives about “self” or others. While some practitioners saw themselves as “innovation champions”, many others recognised CEOs as such. “Innovation champions” are commonly recognised as key individuals who promote innovations across businesses.  – Socially constructed identities are seen important to strategic decisions and future actions. The potential contribution to practice is to help current and new generations of practitioners to learn about how to be or become “innovation champions”.  – The concept of social identity presents opportunities to enrich our understanding of the “innovation champion” label can stimulate people’s reflections on who they are and what they do.  – The present paper has extended upon prior research and theory by exploring the ways practitioners perceive themselves or others as “innovation champions”. While this research has focused on the UK construction sector, the findings are potentially useful for other sectors where “innovation champion” labels are commonly used.","container-title":"European Journal of Innovation Management","DOI":"10.1108/EJIM-06-2014-0065","ISSN":"1460-1060","issue":"1","journalAbbreviation":"European Journal of Innovation Management","page":"72-89","source":"Silverchair","title":"What makes an “innovation champion”?","volume":"19","author":[{"family":"Sergeeva","given":"Natalya"}],"issued":{"date-parts":[["2016",1,11]]}}}],"schema":"https://github.com/citation-style-language/schema/raw/master/csl-citation.json"} </w:instrText>
      </w:r>
      <w:r w:rsidR="000A57CB" w:rsidRPr="003847A6">
        <w:rPr>
          <w:color w:val="000000" w:themeColor="text1"/>
        </w:rPr>
        <w:fldChar w:fldCharType="separate"/>
      </w:r>
      <w:r w:rsidR="000A57CB" w:rsidRPr="003847A6">
        <w:rPr>
          <w:noProof/>
          <w:color w:val="000000" w:themeColor="text1"/>
        </w:rPr>
        <w:t>(Sergeeva, 2016)</w:t>
      </w:r>
      <w:r w:rsidR="000A57CB" w:rsidRPr="003847A6">
        <w:rPr>
          <w:color w:val="000000" w:themeColor="text1"/>
        </w:rPr>
        <w:fldChar w:fldCharType="end"/>
      </w:r>
      <w:bookmarkStart w:id="11" w:name="_Hlk219193638"/>
      <w:r w:rsidR="000A57CB" w:rsidRPr="003847A6">
        <w:rPr>
          <w:color w:val="000000" w:themeColor="text1"/>
        </w:rPr>
        <w:t xml:space="preserve">. </w:t>
      </w:r>
      <w:bookmarkEnd w:id="10"/>
      <w:r w:rsidR="000A57CB" w:rsidRPr="003847A6">
        <w:rPr>
          <w:color w:val="000000" w:themeColor="text1"/>
        </w:rPr>
        <w:t>Because of their ability to convey convincing narratives of change</w:t>
      </w:r>
      <w:r w:rsidR="000A57CB" w:rsidRPr="003847A6">
        <w:rPr>
          <w:color w:val="000000" w:themeColor="text1"/>
        </w:rPr>
        <w:fldChar w:fldCharType="begin"/>
      </w:r>
      <w:r w:rsidR="000A57CB" w:rsidRPr="003847A6">
        <w:rPr>
          <w:color w:val="000000" w:themeColor="text1"/>
        </w:rPr>
        <w:instrText xml:space="preserve"> ADDIN ZOTERO_ITEM CSL_CITATION {"citationID":"kI88wdt3","properties":{"formattedCitation":"(Sergeeva, 2016)","plainCitation":"(Sergeeva, 2016)","noteIndex":0},"citationItems":[{"id":20933,"uris":["http://zotero.org/users/12768557/items/BQZMCQK9"],"itemData":{"id":20933,"type":"article-journal","abstract":"– The purpose of this paper is to explore how an “innovation champion” identity is formulated in the context of UK construction sector. A conceptual model of “innovation champion” themes is derived from the literature on social identity and then validated through empirical research.  – In total, 30 semi-structured interviews have been conducted with UK construction sector practitioners. The sample was composed active participants within the Constructing Excellence – the UK construction sector’s network-type organisation for driving innovation.  – Practitioners socially constructed “innovation champion” identities through narratives about “self” or others. While some practitioners saw themselves as “innovation champions”, many others recognised CEOs as such. “Innovation champions” are commonly recognised as key individuals who promote innovations across businesses.  – Socially constructed identities are seen important to strategic decisions and future actions. The potential contribution to practice is to help current and new generations of practitioners to learn about how to be or become “innovation champions”.  – The concept of social identity presents opportunities to enrich our understanding of the “innovation champion” label can stimulate people’s reflections on who they are and what they do.  – The present paper has extended upon prior research and theory by exploring the ways practitioners perceive themselves or others as “innovation champions”. While this research has focused on the UK construction sector, the findings are potentially useful for other sectors where “innovation champion” labels are commonly used.","container-title":"European Journal of Innovation Management","DOI":"10.1108/EJIM-06-2014-0065","ISSN":"1460-1060","issue":"1","journalAbbreviation":"European Journal of Innovation Management","page":"72-89","source":"Silverchair","title":"What makes an “innovation champion”?","volume":"19","author":[{"family":"Sergeeva","given":"Natalya"}],"issued":{"date-parts":[["2016",1,11]]}}}],"schema":"https://github.com/citation-style-language/schema/raw/master/csl-citation.json"} </w:instrText>
      </w:r>
      <w:r w:rsidR="000A57CB" w:rsidRPr="003847A6">
        <w:rPr>
          <w:color w:val="000000" w:themeColor="text1"/>
        </w:rPr>
        <w:fldChar w:fldCharType="separate"/>
      </w:r>
      <w:r w:rsidR="000A57CB" w:rsidRPr="003847A6">
        <w:rPr>
          <w:noProof/>
          <w:color w:val="000000" w:themeColor="text1"/>
        </w:rPr>
        <w:t>(Sergeeva, 2016)</w:t>
      </w:r>
      <w:r w:rsidR="000A57CB" w:rsidRPr="003847A6">
        <w:rPr>
          <w:color w:val="000000" w:themeColor="text1"/>
        </w:rPr>
        <w:fldChar w:fldCharType="end"/>
      </w:r>
      <w:r w:rsidR="000A57CB" w:rsidRPr="003847A6">
        <w:rPr>
          <w:color w:val="000000" w:themeColor="text1"/>
        </w:rPr>
        <w:t xml:space="preserve">, and build partnership and alliances between stakeholders with different interests </w:t>
      </w:r>
      <w:r w:rsidR="000A57CB" w:rsidRPr="003847A6">
        <w:rPr>
          <w:color w:val="000000" w:themeColor="text1"/>
        </w:rPr>
        <w:fldChar w:fldCharType="begin"/>
      </w:r>
      <w:r w:rsidR="00D66183" w:rsidRPr="003847A6">
        <w:rPr>
          <w:color w:val="000000" w:themeColor="text1"/>
        </w:rPr>
        <w:instrText xml:space="preserve"> ADDIN ZOTERO_ITEM CSL_CITATION {"citationID":"iyuDrIvR","properties":{"formattedCitation":"(Klerkx and Aarts, 2013b; Leiringer and Cardellino, 2008)","plainCitation":"(Klerkx and Aarts, 2013b; Leiringer and Cardellino, 2008)","noteIndex":0},"citationItems":[{"id":20938,"uris":["http://zotero.org/users/12768557/items/LXV6N2ZS"],"itemData":{"id":20938,"type":"article-journal","abstract":"In networked or open innovation processes, so-called innovation communities have been identified in the innovation champion literature, in which innovation champions from different levels in the innovation system supposedly act as a team. It has however not been studied in detail to what extent and how different champions in innovation communities complement each other and act as a team. Applying the concept of innovation network orchestration to analyze the role and position of different kinds of champions as brokers in innovation networks, the purpose of this paper is to unravel the interaction between champions and what this entails in terms of role complementarities and conflicts as regards innovation network orchestration. This is done by using an explorative multiple case study approach in which three innovation journeys are analyzed. The results indicate that a distinction can be made between primary innovation communities, who act as aggregated orchestrators of the overall innovation network, and who in turn orchestrate secondary innovation communities in certain sub-networks. Here different kinds of champions complement each other and act as a team, but these complementarities are not a given: they are negotiated over time in interaction, and lack of reflection on each other’s roles may result in role conflicts. The main conclusion is that an oversimplified notion of innovation communities as a unified team of champions should be avoided: innovation communities themselves need a form of orchestration.","container-title":"Technovation","DOI":"10.1016/j.technovation.2013.03.002","ISSN":"0166-4972","issue":"6","journalAbbreviation":"Technovation","page":"193-210","source":"ScienceDirect","title":"The interaction of multiple champions in orchestrating innovation networks: Conflicts and complementarities","title-short":"The interaction of multiple champions in orchestrating innovation networks","volume":"33","author":[{"family":"Klerkx","given":"Laurens"},{"family":"Aarts","given":"Noelle"}],"issued":{"date-parts":[["2013",6,1]]}}},{"id":20936,"uris":["http://zotero.org/users/12768557/items/L39V8URS"],"itemData":{"id":20936,"type":"article-journal","abstract":"Innovation continues to be high on the agenda in construction. It is widely considered to be an essential prerequisite of improved performance both for the sector at large and for individual firms. Success stories dominate the parts of the academic literature that rely heavily on the recollections of key individuals. A complementary interpretation focuses on the way innovation champions in hindsight interpret, justify and legitimize the diffusion of innovations. Emphasis is put on the temporal dimension of interpretation and how this links to rhetorical strategies and impression management tactics. Rhetorical theories are drawn upon to analyse the accounts given by innovation champions in seven facilities management organizations. In particular, the three persuasive appeals in classic rhetoric are used to highlight the rhetorical justifications mobilized in the descriptions of what took place. The findings demonstrate the usefulness of rhetorical theories in complementing studies of innovation.","container-title":"Construction Management and Economics","DOI":"10.1080/01446190802389394","ISSN":"0144-6193","issue":"10","note":"_eprint: https://doi.org/10.1080/01446190802389394","page":"1043-1054","publisher":"Routledge","source":"Taylor and Francis+NEJM","title":"Tales of the expected: investigating the rhetorical strategies of innovation champions","title-short":"Tales of the expected","volume":"26","author":[{"family":"Leiringer","given":"Roine"},{"family":"Cardellino","given":"Paula"}],"issued":{"date-parts":[["2008",10,1]]}}}],"schema":"https://github.com/citation-style-language/schema/raw/master/csl-citation.json"} </w:instrText>
      </w:r>
      <w:r w:rsidR="000A57CB" w:rsidRPr="003847A6">
        <w:rPr>
          <w:color w:val="000000" w:themeColor="text1"/>
        </w:rPr>
        <w:fldChar w:fldCharType="separate"/>
      </w:r>
      <w:r w:rsidR="000A57CB" w:rsidRPr="003847A6">
        <w:rPr>
          <w:noProof/>
          <w:color w:val="000000" w:themeColor="text1"/>
        </w:rPr>
        <w:t>(Klerkx and Aarts, 2013b; Leiringer and Cardellino, 2008)</w:t>
      </w:r>
      <w:r w:rsidR="000A57CB" w:rsidRPr="003847A6">
        <w:rPr>
          <w:color w:val="000000" w:themeColor="text1"/>
        </w:rPr>
        <w:fldChar w:fldCharType="end"/>
      </w:r>
      <w:r w:rsidR="000A57CB" w:rsidRPr="003847A6">
        <w:rPr>
          <w:color w:val="000000" w:themeColor="text1"/>
        </w:rPr>
        <w:t xml:space="preserve">, they have been considered as extremely important actors in facilitating and fostering not only innovation, but transformation processes more broadly </w:t>
      </w:r>
      <w:r w:rsidR="000A57CB" w:rsidRPr="003847A6">
        <w:rPr>
          <w:color w:val="000000" w:themeColor="text1"/>
        </w:rPr>
        <w:fldChar w:fldCharType="begin"/>
      </w:r>
      <w:r w:rsidR="00474838" w:rsidRPr="003847A6">
        <w:rPr>
          <w:color w:val="000000" w:themeColor="text1"/>
        </w:rPr>
        <w:instrText xml:space="preserve"> ADDIN ZOTERO_ITEM CSL_CITATION {"citationID":"lUzrQEdL","properties":{"formattedCitation":"(Schneider and Rossi, 2025; Steyaert et al., 2016)","plainCitation":"(Schneider and Rossi, 2025; Steyaert et al., 2016)","noteIndex":0},"citationItems":[{"id":20940,"uris":["http://zotero.org/users/12768557/items/JD6248BB"],"itemData":{"id":20940,"type":"chapter","abstract":"In  this  paper,  we  analyze  intermediary  work in the context  of  sustainability  transitions  in  relation  to  what  we  call  the  “environmental  paradox”.  While  sustainability  transitions  are  strongly  related  to  political or  social expectations  in  terms  of  management  performance  and  measurable  results  and  effects,  environmental  problems  have  some  generic  characteristics  which  make  these  expectations  partly  unachievable.  Those  recover the notions of interdependency, complexity, uncertainty  and  controversy.  We  argue  those  key  features  condition understanding and concrete  achievement  of intermediary work. Drawing  upon  biographic  narratives  of  intermediary  actors (extension  worker,  mandated  intermediary  workers,  group  of experts  and  researcher,  NGO  member),  we  use  contrasting \nexamples  to  propose  a  comprehensive  reading  of  what  makes their  strategies  effective  regarding  the  development  of  political narratives  and  of  learning  processes  in  the  context  of  the management  of  ‘wicked  problems’.  Our  crosscutting  approach allows us  to  advocate  that such  an  intermediary  work  cover a set  of  roles  or  functions  which  involve  strong  articulation  of objectification  processes  with  inter-subjectivation.  Then,  the properties  of  intermediary  work  may  be  regarded  as  the capacity  intermediary  workers  develop  to  contextualize  their own  activity,  to  create  the  conditions  of  their  own performativity, both  being  strongly  related  to  intermediary workers reflexive consciousness.","container-title":"AgroEcological Transitions","page":"39 p.","publisher":"Wageningen University Research","source":"HAL","title":"Role of intermediation in the management of complex sociotechnical transitions","URL":"https://hal.science/hal-01470892","author":[{"family":"Steyaert","given":"Patrick"},{"family":"Barbier","given":"Marc"},{"family":"Cerf","given":"Marianne"},{"family":"Levain","given":"Alix"},{"family":"Loconto","given":"Allison Marie"}],"accessed":{"date-parts":[["2026",1,13]]},"issued":{"date-parts":[["2016"]]}}},{"id":20944,"uris":["http://zotero.org/users/12768557/items/9JUZEBAN"],"itemData":{"id":20944,"type":"article-journal","abstract":"As global urbanization accelerates, cities face unprecedented environmental challenges, necessitating a fundamental shift towards sustainable development and circular economic models. While policy frameworks and technological advancements are crucial, the successful implementation of these transformative agendas often hinges on the proactive efforts of individuals within city organizations. This article explores the pivotal role of \"sustainability project champions\" as environmental leaders in driving urban circular economy (CE) initiatives. Drawing upon a systematic review of existing literature, we synthesize insights into the characteristics, behaviors, and challenges faced by these champions, examining how they leverage individual agency to overcome organizational inertia, foster collaboration, and mobilize resources for CE projects. We discuss the mechanisms through which champions exert environmental leadership, from influencing top management to facilitating cross-departmental integration and promoting a green organizational identity. By highlighting the critical human element, this article offers practical implications for city organizations and policymakers seeking to cultivate an environment conducive to pioneering green transitions and accelerating the adoption of urban circular economy principles.","container-title":"Frontiers in Strategic Management","DOI":"10.64917/fsm-009","ISSN":"2978-3682","issue":"06","language":"en","license":"Copyright (c) 2025 Dr. Tobias Schneider, Dr. Laura G. Rossi","page":"18-30","source":"irjernet.com","title":"Pioneering Green Transitions: The Influence of Sustainability Champions on Urban Circular Economy Initiatives","title-short":"Pioneering Green Transitions","volume":"2","author":[{"family":"Schneider","given":"Dr Tobias"},{"family":"Rossi","given":"Dr Laura G."}],"issued":{"date-parts":[["2025",6,26]]}}}],"schema":"https://github.com/citation-style-language/schema/raw/master/csl-citation.json"} </w:instrText>
      </w:r>
      <w:r w:rsidR="000A57CB" w:rsidRPr="003847A6">
        <w:rPr>
          <w:color w:val="000000" w:themeColor="text1"/>
        </w:rPr>
        <w:fldChar w:fldCharType="separate"/>
      </w:r>
      <w:r w:rsidR="00474838" w:rsidRPr="003847A6">
        <w:rPr>
          <w:noProof/>
          <w:color w:val="000000" w:themeColor="text1"/>
        </w:rPr>
        <w:t>(Schneider and Rossi, 2025; Steyaert et al., 2016)</w:t>
      </w:r>
      <w:r w:rsidR="000A57CB" w:rsidRPr="003847A6">
        <w:rPr>
          <w:color w:val="000000" w:themeColor="text1"/>
        </w:rPr>
        <w:fldChar w:fldCharType="end"/>
      </w:r>
      <w:r w:rsidR="00474838" w:rsidRPr="003847A6">
        <w:rPr>
          <w:color w:val="000000" w:themeColor="text1"/>
        </w:rPr>
        <w:t>. In our case, M.S. Swaminathan was able to spearhead a value change within policy circles</w:t>
      </w:r>
      <w:r w:rsidR="006F6A85" w:rsidRPr="003847A6">
        <w:rPr>
          <w:color w:val="000000" w:themeColor="text1"/>
        </w:rPr>
        <w:t xml:space="preserve">, helping </w:t>
      </w:r>
      <w:r w:rsidR="009B2B47" w:rsidRPr="003847A6">
        <w:rPr>
          <w:color w:val="000000" w:themeColor="text1"/>
        </w:rPr>
        <w:t xml:space="preserve"> re-shape formal institutions</w:t>
      </w:r>
      <w:r w:rsidR="00474838" w:rsidRPr="003847A6">
        <w:rPr>
          <w:color w:val="000000" w:themeColor="text1"/>
        </w:rPr>
        <w:t xml:space="preserve"> </w:t>
      </w:r>
      <w:r w:rsidR="00474838" w:rsidRPr="003847A6">
        <w:rPr>
          <w:color w:val="000000" w:themeColor="text1"/>
        </w:rPr>
        <w:fldChar w:fldCharType="begin"/>
      </w:r>
      <w:r w:rsidR="00D66183" w:rsidRPr="003847A6">
        <w:rPr>
          <w:color w:val="000000" w:themeColor="text1"/>
        </w:rPr>
        <w:instrText xml:space="preserve"> ADDIN ZOTERO_ITEM CSL_CITATION {"citationID":"lpRuqWmR","properties":{"formattedCitation":"(Khush et al., 2024)","plainCitation":"(Khush et al., 2024)","noteIndex":0},"citationItems":[{"id":20926,"uris":["http://zotero.org/users/12768557/items/EEMWTMER"],"itemData":{"id":20926,"type":"article-journal","container-title":"Proceedings of the National Academy of Sciences","DOI":"10.1073/pnas.2320944121","issue":"4","page":"e2320944121","publisher":"Proceedings of the National Academy of Sciences","source":"pnas.org (Atypon)","title":"Remembering M.S. Swaminathan: An outstanding scientist and visionary leader","title-short":"Remembering M.S. Swaminathan","volume":"121","author":[{"family":"Khush","given":"Gurdev S."},{"family":"McCouch","given":"Susan R."},{"family":"Ronald","given":"Pamela C."}],"issued":{"date-parts":[["2024",1,23]]}}}],"schema":"https://github.com/citation-style-language/schema/raw/master/csl-citation.json"} </w:instrText>
      </w:r>
      <w:r w:rsidR="00474838" w:rsidRPr="003847A6">
        <w:rPr>
          <w:color w:val="000000" w:themeColor="text1"/>
        </w:rPr>
        <w:fldChar w:fldCharType="separate"/>
      </w:r>
      <w:r w:rsidR="00474838" w:rsidRPr="003847A6">
        <w:rPr>
          <w:noProof/>
          <w:color w:val="000000" w:themeColor="text1"/>
        </w:rPr>
        <w:t>(Khush et al., 2024)</w:t>
      </w:r>
      <w:r w:rsidR="00474838" w:rsidRPr="003847A6">
        <w:rPr>
          <w:color w:val="000000" w:themeColor="text1"/>
        </w:rPr>
        <w:fldChar w:fldCharType="end"/>
      </w:r>
      <w:r w:rsidR="009B2B47" w:rsidRPr="003847A6">
        <w:rPr>
          <w:color w:val="000000" w:themeColor="text1"/>
        </w:rPr>
        <w:t xml:space="preserve"> </w:t>
      </w:r>
      <w:r w:rsidR="00474838" w:rsidRPr="003847A6">
        <w:rPr>
          <w:color w:val="000000" w:themeColor="text1"/>
        </w:rPr>
        <w:t xml:space="preserve">and </w:t>
      </w:r>
      <w:r w:rsidR="009B2B47" w:rsidRPr="003847A6">
        <w:rPr>
          <w:color w:val="000000" w:themeColor="text1"/>
        </w:rPr>
        <w:t>convey</w:t>
      </w:r>
      <w:r w:rsidR="006F6A85" w:rsidRPr="003847A6">
        <w:rPr>
          <w:color w:val="000000" w:themeColor="text1"/>
        </w:rPr>
        <w:t>ing</w:t>
      </w:r>
      <w:r w:rsidR="009B2B47" w:rsidRPr="003847A6">
        <w:rPr>
          <w:color w:val="000000" w:themeColor="text1"/>
        </w:rPr>
        <w:t xml:space="preserve"> an</w:t>
      </w:r>
      <w:r w:rsidR="00474838" w:rsidRPr="003847A6">
        <w:rPr>
          <w:color w:val="000000" w:themeColor="text1"/>
        </w:rPr>
        <w:t xml:space="preserve"> appealing narrative for the general public</w:t>
      </w:r>
      <w:r w:rsidR="009B2B47" w:rsidRPr="003847A6">
        <w:rPr>
          <w:color w:val="000000" w:themeColor="text1"/>
        </w:rPr>
        <w:t xml:space="preserve"> (i.e. millets as healthy nutri-cereal). </w:t>
      </w:r>
      <w:bookmarkEnd w:id="11"/>
    </w:p>
    <w:p w14:paraId="7A31C66F" w14:textId="77777777" w:rsidR="00496EDE" w:rsidRPr="003847A6" w:rsidRDefault="00496EDE" w:rsidP="003847A6">
      <w:pPr>
        <w:rPr>
          <w:color w:val="000000" w:themeColor="text1"/>
        </w:rPr>
      </w:pPr>
    </w:p>
    <w:p w14:paraId="6DCDE8BF" w14:textId="427005B1" w:rsidR="00AA7E24" w:rsidRPr="003847A6" w:rsidRDefault="00496EDE" w:rsidP="003847A6">
      <w:pPr>
        <w:rPr>
          <w:color w:val="000000" w:themeColor="text1"/>
        </w:rPr>
      </w:pPr>
      <w:r w:rsidRPr="003847A6">
        <w:rPr>
          <w:color w:val="000000" w:themeColor="text1"/>
        </w:rPr>
        <w:t>Of equal importance</w:t>
      </w:r>
      <w:r w:rsidR="009B2B47" w:rsidRPr="003847A6">
        <w:rPr>
          <w:color w:val="000000" w:themeColor="text1"/>
        </w:rPr>
        <w:t xml:space="preserve">, MSSRF as an </w:t>
      </w:r>
      <w:r w:rsidR="00AD2E2F" w:rsidRPr="003847A6">
        <w:rPr>
          <w:color w:val="000000" w:themeColor="text1"/>
        </w:rPr>
        <w:t>organisation</w:t>
      </w:r>
      <w:r w:rsidR="009B2B47" w:rsidRPr="003847A6">
        <w:rPr>
          <w:color w:val="000000" w:themeColor="text1"/>
        </w:rPr>
        <w:t xml:space="preserve"> was able to perform an intermediary function. Intermediaries, </w:t>
      </w:r>
      <w:r w:rsidR="00674FE3" w:rsidRPr="003847A6">
        <w:rPr>
          <w:color w:val="000000" w:themeColor="text1"/>
        </w:rPr>
        <w:t xml:space="preserve">are </w:t>
      </w:r>
      <w:r w:rsidR="009B2B47" w:rsidRPr="003847A6">
        <w:rPr>
          <w:color w:val="000000" w:themeColor="text1"/>
        </w:rPr>
        <w:t>also</w:t>
      </w:r>
      <w:r w:rsidR="00674FE3" w:rsidRPr="003847A6">
        <w:rPr>
          <w:color w:val="000000" w:themeColor="text1"/>
        </w:rPr>
        <w:t xml:space="preserve"> deemed as</w:t>
      </w:r>
      <w:r w:rsidR="009B2B47" w:rsidRPr="003847A6">
        <w:rPr>
          <w:color w:val="000000" w:themeColor="text1"/>
        </w:rPr>
        <w:t xml:space="preserve"> key actors in brokering scaling of innovation as well as societal transformation</w:t>
      </w:r>
      <w:r w:rsidR="00674FE3" w:rsidRPr="003847A6">
        <w:rPr>
          <w:color w:val="000000" w:themeColor="text1"/>
        </w:rPr>
        <w:t xml:space="preserve"> </w:t>
      </w:r>
      <w:r w:rsidR="00674FE3" w:rsidRPr="003847A6">
        <w:rPr>
          <w:color w:val="000000" w:themeColor="text1"/>
        </w:rPr>
        <w:fldChar w:fldCharType="begin"/>
      </w:r>
      <w:r w:rsidR="00674FE3" w:rsidRPr="003847A6">
        <w:rPr>
          <w:color w:val="000000" w:themeColor="text1"/>
        </w:rPr>
        <w:instrText xml:space="preserve"> ADDIN ZOTERO_ITEM CSL_CITATION {"citationID":"btBqdHTo","properties":{"formattedCitation":"(Mignon and Kanda, 2018)","plainCitation":"(Mignon and Kanda, 2018)","noteIndex":0},"citationItems":[{"id":20954,"uris":["http://zotero.org/users/12768557/items/Y7EQME44"],"itemData":{"id":20954,"type":"article-journal","abstract":"Sustainability transitions encompass changes in existing socio-technological systems. In this context, scholars have emphasized the roles that intermediaries can play for sustainability transition. However, in the literature, the organizations or actors considered to act as intermediaries are very diverse and the concept of intermediary is used interchangeably between contexts. There is a risk that policy makers face difficulties understanding differences among intermediaries and consequently use some intermediaries for unfitting purposes. In this article, we propose to identify the similarities and differences among intermediaries, which are relevant for policy design for sustainability transitions. We base our comparison on three main characteristics: intermediaries’ source of funding, their scope of action and the target recipients of their services. Our analysis indicates that these differences have an impact on intermediaries’ short-term or long-term orientation, actor-level or system-level focus, and demand-side or supply-side target. We end the article by discussing the implications for policy design.","container-title":"Environmental Innovation and Societal Transitions","DOI":"10.1016/j.eist.2018.07.001","ISSN":"2210-4224","journalAbbreviation":"Environmental Innovation and Societal Transitions","page":"100-113","source":"ScienceDirect","title":"A typology of intermediary organizations and their impact on sustainability transition policies","volume":"29","author":[{"family":"Mignon","given":"Ingrid"},{"family":"Kanda","given":"Wisdom"}],"issued":{"date-parts":[["2018",12,1]]}}}],"schema":"https://github.com/citation-style-language/schema/raw/master/csl-citation.json"} </w:instrText>
      </w:r>
      <w:r w:rsidR="00674FE3" w:rsidRPr="003847A6">
        <w:rPr>
          <w:color w:val="000000" w:themeColor="text1"/>
        </w:rPr>
        <w:fldChar w:fldCharType="separate"/>
      </w:r>
      <w:r w:rsidR="00674FE3" w:rsidRPr="003847A6">
        <w:rPr>
          <w:noProof/>
          <w:color w:val="000000" w:themeColor="text1"/>
        </w:rPr>
        <w:t>(Mignon and Kanda, 2018)</w:t>
      </w:r>
      <w:r w:rsidR="00674FE3" w:rsidRPr="003847A6">
        <w:rPr>
          <w:color w:val="000000" w:themeColor="text1"/>
        </w:rPr>
        <w:fldChar w:fldCharType="end"/>
      </w:r>
      <w:r w:rsidR="00674FE3" w:rsidRPr="003847A6">
        <w:rPr>
          <w:color w:val="000000" w:themeColor="text1"/>
        </w:rPr>
        <w:t xml:space="preserve">. </w:t>
      </w:r>
      <w:r w:rsidR="000C6FB0" w:rsidRPr="003847A6">
        <w:rPr>
          <w:color w:val="000000" w:themeColor="text1"/>
        </w:rPr>
        <w:t>As in the case of MSSRF, intermediaries</w:t>
      </w:r>
      <w:r w:rsidR="00674FE3" w:rsidRPr="003847A6">
        <w:rPr>
          <w:color w:val="000000" w:themeColor="text1"/>
        </w:rPr>
        <w:t xml:space="preserve"> provide, translate and communicate key knowledge to different stakeholders, thus supporting  learning processes</w:t>
      </w:r>
      <w:r w:rsidR="009B2B47" w:rsidRPr="003847A6">
        <w:rPr>
          <w:color w:val="000000" w:themeColor="text1"/>
        </w:rPr>
        <w:t xml:space="preserve"> </w:t>
      </w:r>
      <w:r w:rsidR="00674FE3" w:rsidRPr="003847A6">
        <w:rPr>
          <w:color w:val="000000" w:themeColor="text1"/>
        </w:rPr>
        <w:fldChar w:fldCharType="begin"/>
      </w:r>
      <w:r w:rsidR="00D66183" w:rsidRPr="003847A6">
        <w:rPr>
          <w:color w:val="000000" w:themeColor="text1"/>
        </w:rPr>
        <w:instrText xml:space="preserve"> ADDIN ZOTERO_ITEM CSL_CITATION {"citationID":"XxzMd85Z","properties":{"formattedCitation":"(Kivimaa et al., 2019; Klerkx and Leeuwis, 2008)","plainCitation":"(Kivimaa et al., 2019; Klerkx and Leeuwis, 2008)","noteIndex":0},"citationItems":[{"id":1760,"uris":["http://zotero.org/users/12768557/items/VV5AB5GX","http://zotero.org/users/12768557/items/SMXPZLC6"],"itemData":{"id":1760,"type":"article-journal","abstract":"Recently, increasing attention has been paid to intermediaries, actors connecting multiple other actors, in transition processes. Research has highlighted that intermediary actors (e.g. innovation funders, energy agencies, NGOs, membership organisations, or internet discussion forums) operate in many levels to advance transitions. We argue that intermediation, and the need for it, varies during the course of transition. Yet, little explicit insight exists on intermediation in different transition phases. We integrate existing conceptual models on transition dynamics and phases and a typology of transition intermediaries to examine how intermediaries advance transitions in different phases. We illustrate our conceptual insights through examples from car clubs, heat pumps and low-energy housing. We conclude that intermediation is paramount from predevelopment to stabilisation of a transition. Intermediary functions change from supporting experimentation and articulation of needs in predevelopment, to the aggregation of knowledge, pooling resources, network building and stronger institutional support and capacity building in acceleration.","container-title":"Environmental Innovation and Societal Transitions","DOI":"10.1016/J.EIST.2019.01.001","page":"110-125","publisher":"Elsevier","title":"Passing the baton: How intermediaries advance sustainability transitions in different phases","volume":"31","author":[{"family":"Kivimaa","given":"Paula"},{"family":"Hyysalo","given":"Sampsa"},{"family":"Boon","given":"Wouter"},{"family":"Klerkx","given":"Laurens"},{"family":"Martiskainen","given":"Mari"},{"family":"Schot","given":"Johan"}],"issued":{"date-parts":[["2019",6]]}}},{"id":474,"uris":["http://zotero.org/users/12768557/items/RDUIPZ5T"],"itemData":{"id":474,"type":"article-journal","abstract":"The purpose of this paper is to provide insights into the emergence, embedding and optimal design of intermediaries who act as a bridge between demand and supply in the agricultural knowledge infrastructure. Using a case-study approach, the paper focuses on the relationships between a for-profit intermediary organisation in The Netherlands and several parties for which it performs various bridging functions, i.e., coupling these parties in particular innovation processes and channelling their subsequent interactions. The findings suggest that although innovation intermediation is seen as beneficial, tensions emerge regarding the innovation intermediary's governance structure, the way it generates its revenues and the different activities it performs. A clearer delineation between its different activities has to be made in order to minimise competition with other providers of R&amp;D and knowledge intensive business services, and to protect its credibility and impartiality. Furthermore, some tasks of innovation intermediaries are best funded publicly, whereas others should be funded privately. The originality of the paper lies in the fact that it focuses on relationships between an innovation intermediary and the supply side of the knowledge infrastructure, whereas typically the focus is on interactions with end-users of knowledge and information. © 2007 Elsevier Ltd. All rights reserved.","container-title":"Technovation","DOI":"10.1016/J.TECHNOVATION.2007.05.005","issue":"6","page":"364-378","publisher":"Elsevier","title":"Balancing multiple interests: Embedding innovation intermediation in the agricultural knowledge infrastructure","volume":"28","author":[{"family":"Klerkx","given":"Laurens"},{"family":"Leeuwis","given":"Cees"}],"issued":{"date-parts":[["2008",6]]}}}],"schema":"https://github.com/citation-style-language/schema/raw/master/csl-citation.json"} </w:instrText>
      </w:r>
      <w:r w:rsidR="00674FE3" w:rsidRPr="003847A6">
        <w:rPr>
          <w:color w:val="000000" w:themeColor="text1"/>
        </w:rPr>
        <w:fldChar w:fldCharType="separate"/>
      </w:r>
      <w:r w:rsidR="000C6FB0" w:rsidRPr="003847A6">
        <w:rPr>
          <w:color w:val="000000" w:themeColor="text1"/>
        </w:rPr>
        <w:t>(Kivimaa et al., 2019; Klerkx and Leeuwis, 2008)</w:t>
      </w:r>
      <w:r w:rsidR="00674FE3" w:rsidRPr="003847A6">
        <w:rPr>
          <w:color w:val="000000" w:themeColor="text1"/>
        </w:rPr>
        <w:fldChar w:fldCharType="end"/>
      </w:r>
      <w:r w:rsidR="009B2B47" w:rsidRPr="003847A6">
        <w:rPr>
          <w:color w:val="000000" w:themeColor="text1"/>
        </w:rPr>
        <w:t xml:space="preserve">, </w:t>
      </w:r>
      <w:r w:rsidR="00674FE3" w:rsidRPr="003847A6">
        <w:rPr>
          <w:color w:val="000000" w:themeColor="text1"/>
        </w:rPr>
        <w:t>create e</w:t>
      </w:r>
      <w:r w:rsidR="009B2B47" w:rsidRPr="003847A6">
        <w:rPr>
          <w:color w:val="000000" w:themeColor="text1"/>
        </w:rPr>
        <w:t xml:space="preserve">xplicit platforms for deliberation and collaboration between </w:t>
      </w:r>
      <w:r w:rsidR="00674FE3" w:rsidRPr="003847A6">
        <w:rPr>
          <w:color w:val="000000" w:themeColor="text1"/>
        </w:rPr>
        <w:t>multiple actors</w:t>
      </w:r>
      <w:r w:rsidR="000C6FB0" w:rsidRPr="003847A6">
        <w:rPr>
          <w:color w:val="000000" w:themeColor="text1"/>
        </w:rPr>
        <w:t xml:space="preserve"> </w:t>
      </w:r>
      <w:r w:rsidR="000C6FB0" w:rsidRPr="003847A6">
        <w:rPr>
          <w:color w:val="000000" w:themeColor="text1"/>
        </w:rPr>
        <w:fldChar w:fldCharType="begin"/>
      </w:r>
      <w:r w:rsidR="000C6FB0" w:rsidRPr="003847A6">
        <w:rPr>
          <w:color w:val="000000" w:themeColor="text1"/>
        </w:rPr>
        <w:instrText xml:space="preserve"> ADDIN ZOTERO_ITEM CSL_CITATION {"citationID":"iInyvicG","properties":{"formattedCitation":"(Hamann and April, 2013)","plainCitation":"(Hamann and April, 2013)","noteIndex":0},"citationItems":[{"id":20960,"uris":["http://zotero.org/users/12768557/items/5LWUZWE8"],"itemData":{"id":20960,"type":"article-journal","abstract":"This article discusses opportunities and challenges in the governance of urban sustainability transitions, with an emphasis on the role and necessary capabilities of collaborative intermediary organisations (CIOs). CIOs are defined as a particular type of intermediary organisations that create platforms for deliberation and collaboration between diverse stakeholders. Following a review of the literature on (urban) sustainability transition and cross-sector collaboration, the article discusses two case studies of CIOs in the Cape Town city region, bringing to bear disparate socio-economic and institutional conditions in an emerging economy city characterised by high degrees of inequality. The case studies illustrate the important potential role played by CIOs in urban transitions, particularly at the sub-city scale. They also suggest a number of points that expand upon or create new insights for our understanding of urban sustainability transitions: The important role of authentic deliberation between disparate stakeholders and interests, and the difficulties in achieving this especially in a highly unequal society; the need for an explicit distinction and institutionalised link between deliberation and implementation; the related challenge of embedded autonomy; and the requirement of particular capabilities among CIOs' leadership, with a focus on creative approaches to ambiguity and conflict.","collection-title":"Special Issue: Advancing sustainable urban transformation","container-title":"Journal of Cleaner Production","DOI":"10.1016/j.jclepro.2012.11.017","ISSN":"0959-6526","journalAbbreviation":"Journal of Cleaner Production","page":"12-21","source":"ScienceDirect","title":"On the role and capabilities of collaborative intermediary organisations in urban sustainability transitions","volume":"50","author":[{"family":"Hamann","given":"Ralph"},{"family":"April","given":"Kurt"}],"issued":{"date-parts":[["2013",7,1]]}}}],"schema":"https://github.com/citation-style-language/schema/raw/master/csl-citation.json"} </w:instrText>
      </w:r>
      <w:r w:rsidR="000C6FB0" w:rsidRPr="003847A6">
        <w:rPr>
          <w:color w:val="000000" w:themeColor="text1"/>
        </w:rPr>
        <w:fldChar w:fldCharType="separate"/>
      </w:r>
      <w:r w:rsidR="000C6FB0" w:rsidRPr="003847A6">
        <w:rPr>
          <w:color w:val="000000" w:themeColor="text1"/>
        </w:rPr>
        <w:t>(Hamann and April, 2013)</w:t>
      </w:r>
      <w:r w:rsidR="000C6FB0" w:rsidRPr="003847A6">
        <w:rPr>
          <w:color w:val="000000" w:themeColor="text1"/>
        </w:rPr>
        <w:fldChar w:fldCharType="end"/>
      </w:r>
      <w:r w:rsidR="00674FE3" w:rsidRPr="003847A6">
        <w:rPr>
          <w:color w:val="000000" w:themeColor="text1"/>
        </w:rPr>
        <w:t xml:space="preserve">, and lobbying for visibility and resources in policymaking </w:t>
      </w:r>
      <w:r w:rsidR="000C6FB0" w:rsidRPr="003847A6">
        <w:rPr>
          <w:color w:val="000000" w:themeColor="text1"/>
        </w:rPr>
        <w:fldChar w:fldCharType="begin"/>
      </w:r>
      <w:r w:rsidR="00D66183" w:rsidRPr="003847A6">
        <w:rPr>
          <w:color w:val="000000" w:themeColor="text1"/>
        </w:rPr>
        <w:instrText xml:space="preserve"> ADDIN ZOTERO_ITEM CSL_CITATION {"citationID":"qCfFhuBh","properties":{"formattedCitation":"(Kivimaa et al., 2019)","plainCitation":"(Kivimaa et al., 2019)","noteIndex":0},"citationItems":[{"id":1760,"uris":["http://zotero.org/users/12768557/items/VV5AB5GX","http://zotero.org/users/12768557/items/SMXPZLC6"],"itemData":{"id":1760,"type":"article-journal","abstract":"Recently, increasing attention has been paid to intermediaries, actors connecting multiple other actors, in transition processes. Research has highlighted that intermediary actors (e.g. innovation funders, energy agencies, NGOs, membership organisations, or internet discussion forums) operate in many levels to advance transitions. We argue that intermediation, and the need for it, varies during the course of transition. Yet, little explicit insight exists on intermediation in different transition phases. We integrate existing conceptual models on transition dynamics and phases and a typology of transition intermediaries to examine how intermediaries advance transitions in different phases. We illustrate our conceptual insights through examples from car clubs, heat pumps and low-energy housing. We conclude that intermediation is paramount from predevelopment to stabilisation of a transition. Intermediary functions change from supporting experimentation and articulation of needs in predevelopment, to the aggregation of knowledge, pooling resources, network building and stronger institutional support and capacity building in acceleration.","container-title":"Environmental Innovation and Societal Transitions","DOI":"10.1016/J.EIST.2019.01.001","page":"110-125","publisher":"Elsevier","title":"Passing the baton: How intermediaries advance sustainability transitions in different phases","volume":"31","author":[{"family":"Kivimaa","given":"Paula"},{"family":"Hyysalo","given":"Sampsa"},{"family":"Boon","given":"Wouter"},{"family":"Klerkx","given":"Laurens"},{"family":"Martiskainen","given":"Mari"},{"family":"Schot","given":"Johan"}],"issued":{"date-parts":[["2019",6]]}}}],"schema":"https://github.com/citation-style-language/schema/raw/master/csl-citation.json"} </w:instrText>
      </w:r>
      <w:r w:rsidR="000C6FB0" w:rsidRPr="003847A6">
        <w:rPr>
          <w:color w:val="000000" w:themeColor="text1"/>
        </w:rPr>
        <w:fldChar w:fldCharType="separate"/>
      </w:r>
      <w:r w:rsidR="000C6FB0" w:rsidRPr="003847A6">
        <w:rPr>
          <w:color w:val="000000" w:themeColor="text1"/>
        </w:rPr>
        <w:t>(Kivimaa et al., 2019)</w:t>
      </w:r>
      <w:r w:rsidR="000C6FB0" w:rsidRPr="003847A6">
        <w:rPr>
          <w:color w:val="000000" w:themeColor="text1"/>
        </w:rPr>
        <w:fldChar w:fldCharType="end"/>
      </w:r>
      <w:r w:rsidR="000C6FB0" w:rsidRPr="003847A6">
        <w:rPr>
          <w:color w:val="000000" w:themeColor="text1"/>
        </w:rPr>
        <w:t xml:space="preserve">. </w:t>
      </w:r>
      <w:r w:rsidR="003A34CA" w:rsidRPr="003847A6">
        <w:rPr>
          <w:color w:val="000000" w:themeColor="text1"/>
        </w:rPr>
        <w:t>Ultimately,</w:t>
      </w:r>
      <w:r w:rsidR="00AA7E24" w:rsidRPr="003847A6">
        <w:rPr>
          <w:color w:val="000000" w:themeColor="text1"/>
        </w:rPr>
        <w:t xml:space="preserve"> MSSRF could be considered as a multi-functional organisation, or an organisation capable of operating and performing different functions across different spheres (local, network and intermediation, system sphere): conducting R&amp;D and technology development, building credibility for new practices and generating knowledge, building networks and trust, setting joint priorities and championing policy and institutional change </w:t>
      </w:r>
      <w:r w:rsidR="00AA7E24" w:rsidRPr="003847A6">
        <w:rPr>
          <w:color w:val="000000" w:themeColor="text1"/>
        </w:rPr>
        <w:fldChar w:fldCharType="begin"/>
      </w:r>
      <w:r w:rsidR="003A34CA" w:rsidRPr="003847A6">
        <w:rPr>
          <w:color w:val="000000" w:themeColor="text1"/>
        </w:rPr>
        <w:instrText xml:space="preserve"> ADDIN ZOTERO_ITEM CSL_CITATION {"citationID":"cqfzfYNx","properties":{"formattedCitation":"(Conti et al., 2025)","plainCitation":"(Conti et al., 2025)","noteIndex":0},"citationItems":[{"id":18963,"uris":["http://zotero.org/users/12768557/items/DNJN5ND6"],"itemData":{"id":18963,"type":"article-journal","abstract":"Urgent calls for food system transformation have spurred a variety of responses globally. In some cases, these calls have been answered through top-down led processes, driven by public agencies to design and implement measures that can drive societies towards more viable patterns of development. In other cases, transformation processes have been ignited by community level actors who addressed sustainability issues with context-specific solutions. The broad range of actors raises the question of whether it is top-down or bottom-up processes and actors that are better placed to deliver the fundamental and system level changes that characterise transformation. Through a systematic review, we identified 40 case studies across 24 countries to investigate the role of top-down or bottom-up processes in transformation, whether the two might intertwine, and with what results. We propose five different types of interactions: Autonomous Bottom-Up, Collaborative Bottom-Up, Top-Down Struggles and Resourceful Bottom-Up, Collaborative Top-Down and Transformation Alliances. Based on our analysis, we propose a new heuristic of roles and interactions between different actors. We suggest a shift from dichotomic views on top-down and bottom-up actor roles towards the concept of “transformation functions,” which would re-centre the discussion around the existing or needed capabilities for transformation in different contexts. Finally, we call for further research to determine how different transformation functions need to become more synchronised -or coordinated-to accelerate transformation.","container-title":"Global Food Security","DOI":"10.1016/j.gfs.2025.100833","ISSN":"2211-9124","journalAbbreviation":"Global Food Security","page":"100833","source":"ScienceDirect","title":"Top-down vs bottom-up processes: A systematic review clarifying roles and patterns of interactions in food system transformation","title-short":"Top-down vs bottom-up processes","volume":"44","author":[{"family":"Conti","given":""},{"family":"Hall","given":"Andy"},{"family":"Moallemi","given":"Enayat A."},{"family":"Laila","given":"Amar"},{"family":"Bene","given":"Christophe"},{"family":"Fanzo","given":"Jessica"},{"family":"Gibson","given":"Matthew Ford"},{"family":"Gordon","given":"Line"},{"family":"Hicks","given":"Christina"},{"family":"Kok","given":"Kristiaan"},{"family":"Rao","given":"Nitya"},{"family":"Laxminarayan","given":"Ramanan"},{"family":"Mason-D'Croz","given":"Daniel"}],"issued":{"date-parts":[["2025",3,1]]}}}],"schema":"https://github.com/citation-style-language/schema/raw/master/csl-citation.json"} </w:instrText>
      </w:r>
      <w:r w:rsidR="00AA7E24" w:rsidRPr="003847A6">
        <w:rPr>
          <w:color w:val="000000" w:themeColor="text1"/>
        </w:rPr>
        <w:fldChar w:fldCharType="separate"/>
      </w:r>
      <w:r w:rsidR="003A34CA" w:rsidRPr="003847A6">
        <w:rPr>
          <w:noProof/>
          <w:color w:val="000000" w:themeColor="text1"/>
        </w:rPr>
        <w:t>(Conti et al., 2025)</w:t>
      </w:r>
      <w:r w:rsidR="00AA7E24" w:rsidRPr="003847A6">
        <w:rPr>
          <w:color w:val="000000" w:themeColor="text1"/>
        </w:rPr>
        <w:fldChar w:fldCharType="end"/>
      </w:r>
      <w:r w:rsidR="003A34CA" w:rsidRPr="003847A6">
        <w:rPr>
          <w:color w:val="000000" w:themeColor="text1"/>
        </w:rPr>
        <w:t xml:space="preserve">. </w:t>
      </w:r>
      <w:r w:rsidR="003A34CA" w:rsidRPr="003847A6">
        <w:rPr>
          <w:color w:val="000000" w:themeColor="text1"/>
          <w:lang w:eastAsia="en-GB"/>
        </w:rPr>
        <w:t xml:space="preserve">This multi-functionality </w:t>
      </w:r>
      <w:r w:rsidRPr="003847A6">
        <w:rPr>
          <w:color w:val="000000" w:themeColor="text1"/>
          <w:lang w:val="en-IE" w:eastAsia="en-GB"/>
        </w:rPr>
        <w:t>is not an inherent capability found in all organisation working on food security issues.</w:t>
      </w:r>
      <w:r w:rsidR="003A34CA" w:rsidRPr="003847A6">
        <w:rPr>
          <w:color w:val="000000" w:themeColor="text1"/>
          <w:lang w:eastAsia="en-GB"/>
        </w:rPr>
        <w:t xml:space="preserve">, </w:t>
      </w:r>
      <w:r w:rsidRPr="003847A6">
        <w:rPr>
          <w:color w:val="000000" w:themeColor="text1"/>
          <w:lang w:val="en-IE" w:eastAsia="en-GB"/>
        </w:rPr>
        <w:t>Rather</w:t>
      </w:r>
      <w:r w:rsidR="00AD2E2F" w:rsidRPr="003847A6">
        <w:rPr>
          <w:color w:val="000000" w:themeColor="text1"/>
          <w:lang w:val="en-IE" w:eastAsia="en-GB"/>
        </w:rPr>
        <w:t>,</w:t>
      </w:r>
      <w:r w:rsidR="003A34CA" w:rsidRPr="003847A6">
        <w:rPr>
          <w:color w:val="000000" w:themeColor="text1"/>
          <w:lang w:eastAsia="en-GB"/>
        </w:rPr>
        <w:t xml:space="preserve"> it depends on both an organisational recognition of the systemic </w:t>
      </w:r>
      <w:r w:rsidR="003A34CA" w:rsidRPr="003847A6">
        <w:rPr>
          <w:color w:val="000000" w:themeColor="text1"/>
          <w:lang w:eastAsia="en-GB"/>
        </w:rPr>
        <w:lastRenderedPageBreak/>
        <w:t>nature of the challenges and opportunities</w:t>
      </w:r>
      <w:r w:rsidRPr="003847A6">
        <w:rPr>
          <w:color w:val="000000" w:themeColor="text1"/>
          <w:lang w:val="en-IE" w:eastAsia="en-GB"/>
        </w:rPr>
        <w:t xml:space="preserve"> that </w:t>
      </w:r>
      <w:r w:rsidR="00063549" w:rsidRPr="003847A6">
        <w:rPr>
          <w:color w:val="000000" w:themeColor="text1"/>
          <w:lang w:val="en-IE" w:eastAsia="en-GB"/>
        </w:rPr>
        <w:t>serendipity</w:t>
      </w:r>
      <w:r w:rsidRPr="003847A6">
        <w:rPr>
          <w:color w:val="000000" w:themeColor="text1"/>
          <w:lang w:val="en-IE" w:eastAsia="en-GB"/>
        </w:rPr>
        <w:t xml:space="preserve"> emerge </w:t>
      </w:r>
      <w:r w:rsidR="006D2BA5" w:rsidRPr="003847A6">
        <w:rPr>
          <w:color w:val="000000" w:themeColor="text1"/>
          <w:lang w:val="en-IE" w:eastAsia="en-GB"/>
        </w:rPr>
        <w:t>around specific</w:t>
      </w:r>
      <w:r w:rsidR="003A34CA" w:rsidRPr="003847A6">
        <w:rPr>
          <w:color w:val="000000" w:themeColor="text1"/>
          <w:lang w:eastAsia="en-GB"/>
        </w:rPr>
        <w:t xml:space="preserve"> intervention</w:t>
      </w:r>
      <w:r w:rsidR="006D2BA5" w:rsidRPr="003847A6">
        <w:rPr>
          <w:color w:val="000000" w:themeColor="text1"/>
          <w:lang w:val="en-IE" w:eastAsia="en-GB"/>
        </w:rPr>
        <w:t>s</w:t>
      </w:r>
      <w:r w:rsidR="003A34CA" w:rsidRPr="003847A6">
        <w:rPr>
          <w:color w:val="000000" w:themeColor="text1"/>
          <w:lang w:eastAsia="en-GB"/>
        </w:rPr>
        <w:t xml:space="preserve">, </w:t>
      </w:r>
      <w:r w:rsidR="006D2BA5" w:rsidRPr="003847A6">
        <w:rPr>
          <w:color w:val="000000" w:themeColor="text1"/>
          <w:lang w:val="en-IE" w:eastAsia="en-GB"/>
        </w:rPr>
        <w:t>and</w:t>
      </w:r>
      <w:r w:rsidR="003A34CA" w:rsidRPr="003847A6">
        <w:rPr>
          <w:color w:val="000000" w:themeColor="text1"/>
          <w:lang w:eastAsia="en-GB"/>
        </w:rPr>
        <w:t xml:space="preserve"> is not always present in bottom-up sustainability efforts </w:t>
      </w:r>
      <w:r w:rsidR="00212059" w:rsidRPr="003847A6">
        <w:rPr>
          <w:color w:val="000000" w:themeColor="text1"/>
        </w:rPr>
        <w:fldChar w:fldCharType="begin"/>
      </w:r>
      <w:r w:rsidR="00E06C87" w:rsidRPr="003847A6">
        <w:rPr>
          <w:color w:val="000000" w:themeColor="text1"/>
        </w:rPr>
        <w:instrText xml:space="preserve"> ADDIN ZOTERO_ITEM CSL_CITATION {"citationID":"247WQqA6","properties":{"formattedCitation":"(Conti et al., 2025)","plainCitation":"(Conti et al., 2025)","noteIndex":0},"citationItems":[{"id":18963,"uris":["http://zotero.org/users/12768557/items/DNJN5ND6"],"itemData":{"id":18963,"type":"article-journal","abstract":"Urgent calls for food system transformation have spurred a variety of responses globally. In some cases, these calls have been answered through top-down led processes, driven by public agencies to design and implement measures that can drive societies towards more viable patterns of development. In other cases, transformation processes have been ignited by community level actors who addressed sustainability issues with context-specific solutions. The broad range of actors raises the question of whether it is top-down or bottom-up processes and actors that are better placed to deliver the fundamental and system level changes that characterise transformation. Through a systematic review, we identified 40 case studies across 24 countries to investigate the role of top-down or bottom-up processes in transformation, whether the two might intertwine, and with what results. We propose five different types of interactions: Autonomous Bottom-Up, Collaborative Bottom-Up, Top-Down Struggles and Resourceful Bottom-Up, Collaborative Top-Down and Transformation Alliances. Based on our analysis, we propose a new heuristic of roles and interactions between different actors. We suggest a shift from dichotomic views on top-down and bottom-up actor roles towards the concept of “transformation functions,” which would re-centre the discussion around the existing or needed capabilities for transformation in different contexts. Finally, we call for further research to determine how different transformation functions need to become more synchronised -or coordinated-to accelerate transformation.","container-title":"Global Food Security","DOI":"10.1016/j.gfs.2025.100833","ISSN":"2211-9124","journalAbbreviation":"Global Food Security","page":"100833","source":"ScienceDirect","title":"Top-down vs bottom-up processes: A systematic review clarifying roles and patterns of interactions in food system transformation","title-short":"Top-down vs bottom-up processes","volume":"44","author":[{"family":"Conti","given":""},{"family":"Hall","given":"Andy"},{"family":"Moallemi","given":"Enayat A."},{"family":"Laila","given":"Amar"},{"family":"Bene","given":"Christophe"},{"family":"Fanzo","given":"Jessica"},{"family":"Gibson","given":"Matthew Ford"},{"family":"Gordon","given":"Line"},{"family":"Hicks","given":"Christina"},{"family":"Kok","given":"Kristiaan"},{"family":"Rao","given":"Nitya"},{"family":"Laxminarayan","given":"Ramanan"},{"family":"Mason-D'Croz","given":"Daniel"}],"issued":{"date-parts":[["2025",3,1]]}}}],"schema":"https://github.com/citation-style-language/schema/raw/master/csl-citation.json"} </w:instrText>
      </w:r>
      <w:r w:rsidR="00212059" w:rsidRPr="003847A6">
        <w:rPr>
          <w:color w:val="000000" w:themeColor="text1"/>
        </w:rPr>
        <w:fldChar w:fldCharType="separate"/>
      </w:r>
      <w:r w:rsidR="00212059" w:rsidRPr="003847A6">
        <w:rPr>
          <w:noProof/>
          <w:color w:val="000000" w:themeColor="text1"/>
        </w:rPr>
        <w:t>(Conti et al., 2025)</w:t>
      </w:r>
      <w:r w:rsidR="00212059" w:rsidRPr="003847A6">
        <w:rPr>
          <w:color w:val="000000" w:themeColor="text1"/>
        </w:rPr>
        <w:fldChar w:fldCharType="end"/>
      </w:r>
      <w:r w:rsidR="006D2BA5" w:rsidRPr="003847A6">
        <w:rPr>
          <w:color w:val="000000" w:themeColor="text1"/>
        </w:rPr>
        <w:t>. Our case study suggest that this multi-functionality depends on the ability  of an</w:t>
      </w:r>
      <w:r w:rsidR="00AD2E2F" w:rsidRPr="003847A6">
        <w:rPr>
          <w:color w:val="000000" w:themeColor="text1"/>
        </w:rPr>
        <w:t xml:space="preserve"> </w:t>
      </w:r>
      <w:r w:rsidR="003A34CA" w:rsidRPr="003847A6">
        <w:rPr>
          <w:color w:val="000000" w:themeColor="text1"/>
          <w:lang w:eastAsia="en-GB"/>
        </w:rPr>
        <w:t>organisation to attract and assemble a wider portfolio of capabilities that spans community mobilisation, high-quality R&amp;D, partnership-building, and sustained policy engagement</w:t>
      </w:r>
      <w:r w:rsidR="00063549" w:rsidRPr="003847A6">
        <w:rPr>
          <w:color w:val="000000" w:themeColor="text1"/>
          <w:lang w:eastAsia="en-GB"/>
        </w:rPr>
        <w:t xml:space="preserve"> </w:t>
      </w:r>
      <w:r w:rsidR="00063549" w:rsidRPr="003847A6">
        <w:rPr>
          <w:color w:val="000000" w:themeColor="text1"/>
          <w:lang w:eastAsia="en-GB"/>
        </w:rPr>
        <w:fldChar w:fldCharType="begin"/>
      </w:r>
      <w:r w:rsidR="00063549" w:rsidRPr="003847A6">
        <w:rPr>
          <w:color w:val="000000" w:themeColor="text1"/>
          <w:lang w:eastAsia="en-GB"/>
        </w:rPr>
        <w:instrText xml:space="preserve"> ADDIN ZOTERO_ITEM CSL_CITATION {"citationID":"IPWN260T","properties":{"formattedCitation":"(Conti et al., 2024b)","plainCitation":"(Conti et al., 2024b)","noteIndex":0},"citationItems":[{"id":3433,"uris":["http://zotero.org/users/12768557/items/QM2X6VNU"],"itemData":{"id":3433,"type":"article-journal","abstract":"Agricultural Research Organisations (AROs) are being urgently called to provide solutions for agri-food system transformation. However, contrasting visions of how transformation should be achieved create difficult choices for AROs. This paper reviews existing transformation narratives to build four scenarios of future AROs: 1. Industry transition-oriented; 2. Technology mission-oriented; 3. The Community innovation-oriented; and 4. Facilitating transformative innovation-oriented. Their analysis uncovers possible risks and trade-offs, and suggests the need for new hybrid organisational forms that incorporate elements from across the scenarios. Besides, the paper highlights that given the broad industry, policy, and societal interests of AROs, decisions about transformation pathways cannot be made unilaterally and without broader discussion around the future shape and aims of innovation systems in which these organisations are embedded.","container-title":"Global Food Security","DOI":"10.1016/j.gfs.2023.100733","ISSN":"2211-9124","journalAbbreviation":"Global Food Security","page":"100733","source":"ScienceDirect","title":"What does the agri-food systems transformation agenda mean for agricultural research organisations? Exploring organisational prototypes for uncertain futures","title-short":"What does the agri-food systems transformation agenda mean for agricultural research organisations?","volume":"40","author":[{"family":"Conti","given":"Costanza"},{"family":"Hall","given":"Andrew"},{"family":"Percy","given":"Helen"},{"family":"Stone-Jovicich","given":"Samantha"},{"family":"Turner","given":"James"},{"family":"McMillan","given":"Larelle"}],"issued":{"literal":"2024b"}}}],"schema":"https://github.com/citation-style-language/schema/raw/master/csl-citation.json"} </w:instrText>
      </w:r>
      <w:r w:rsidR="00063549" w:rsidRPr="003847A6">
        <w:rPr>
          <w:color w:val="000000" w:themeColor="text1"/>
          <w:lang w:eastAsia="en-GB"/>
        </w:rPr>
        <w:fldChar w:fldCharType="separate"/>
      </w:r>
      <w:r w:rsidR="00063549" w:rsidRPr="003847A6">
        <w:rPr>
          <w:noProof/>
          <w:color w:val="000000" w:themeColor="text1"/>
          <w:lang w:eastAsia="en-GB"/>
        </w:rPr>
        <w:t>(Conti et al., 2024b)</w:t>
      </w:r>
      <w:r w:rsidR="00063549" w:rsidRPr="003847A6">
        <w:rPr>
          <w:color w:val="000000" w:themeColor="text1"/>
          <w:lang w:eastAsia="en-GB"/>
        </w:rPr>
        <w:fldChar w:fldCharType="end"/>
      </w:r>
      <w:r w:rsidR="003A34CA" w:rsidRPr="003847A6">
        <w:rPr>
          <w:color w:val="000000" w:themeColor="text1"/>
          <w:lang w:eastAsia="en-GB"/>
        </w:rPr>
        <w:t>.</w:t>
      </w:r>
    </w:p>
    <w:p w14:paraId="463B7BC1" w14:textId="77777777" w:rsidR="003A34CA" w:rsidRPr="003847A6" w:rsidRDefault="003A34CA" w:rsidP="003847A6">
      <w:pPr>
        <w:rPr>
          <w:color w:val="000000" w:themeColor="text1"/>
          <w:lang w:eastAsia="en-GB"/>
        </w:rPr>
      </w:pPr>
    </w:p>
    <w:p w14:paraId="44867FE7" w14:textId="458B2B8E" w:rsidR="00DE5387" w:rsidRPr="003847A6" w:rsidRDefault="006D2BA5" w:rsidP="003847A6">
      <w:pPr>
        <w:rPr>
          <w:color w:val="000000" w:themeColor="text1"/>
        </w:rPr>
      </w:pPr>
      <w:r w:rsidRPr="003847A6">
        <w:rPr>
          <w:color w:val="000000" w:themeColor="text1"/>
          <w:lang w:val="en-IE"/>
        </w:rPr>
        <w:t xml:space="preserve">Finally, our synchronising and sequencing conceptualisation reimagines </w:t>
      </w:r>
      <w:r w:rsidR="00212059" w:rsidRPr="003847A6">
        <w:rPr>
          <w:color w:val="000000" w:themeColor="text1"/>
        </w:rPr>
        <w:t>scaling as a</w:t>
      </w:r>
      <w:r w:rsidR="00FC5169" w:rsidRPr="003847A6">
        <w:rPr>
          <w:color w:val="000000" w:themeColor="text1"/>
        </w:rPr>
        <w:t xml:space="preserve">n </w:t>
      </w:r>
      <w:r w:rsidR="00212059" w:rsidRPr="003847A6">
        <w:rPr>
          <w:color w:val="000000" w:themeColor="text1"/>
        </w:rPr>
        <w:t xml:space="preserve">emergent </w:t>
      </w:r>
      <w:r w:rsidRPr="003847A6">
        <w:rPr>
          <w:color w:val="000000" w:themeColor="text1"/>
          <w:lang w:val="en-IE"/>
        </w:rPr>
        <w:t xml:space="preserve">complex systems </w:t>
      </w:r>
      <w:r w:rsidR="00212059" w:rsidRPr="003847A6">
        <w:rPr>
          <w:color w:val="000000" w:themeColor="text1"/>
        </w:rPr>
        <w:t>phenomenon</w:t>
      </w:r>
      <w:r w:rsidR="00A6482A" w:rsidRPr="003847A6">
        <w:rPr>
          <w:color w:val="000000" w:themeColor="text1"/>
        </w:rPr>
        <w:t xml:space="preserve"> </w:t>
      </w:r>
      <w:r w:rsidR="00A6482A" w:rsidRPr="003847A6">
        <w:rPr>
          <w:color w:val="000000" w:themeColor="text1"/>
        </w:rPr>
        <w:fldChar w:fldCharType="begin"/>
      </w:r>
      <w:r w:rsidR="00A6482A" w:rsidRPr="003847A6">
        <w:rPr>
          <w:color w:val="000000" w:themeColor="text1"/>
        </w:rPr>
        <w:instrText xml:space="preserve"> ADDIN ZOTERO_ITEM CSL_CITATION {"citationID":"tIIPHa1J","properties":{"formattedCitation":"(Hall and Clark, 2010)","plainCitation":"(Hall and Clark, 2010)","noteIndex":0},"citationItems":[{"id":1144,"uris":["http://zotero.org/users/12768557/items/IXRKC7X3"],"itemData":{"id":1144,"type":"article-journal","abstract":"This paper explores the use of complex adaptive systems theory in development policy analysis using a case study drawn from recent events in Uganda. It documents the changes that took place in the farming system in Soroti district during an outbreak of African cassava mosaic virus disease (ACMVD) and the subsequent decline in cassava production-the main staple food in the area. Resultant adaptation impacts are analysed across cropping, biological, economic and social systems each of which operate as an interlinked sub-systems. The policy implications of this story suggest a policy agenda that recognises adaptation capacity as the life blood of complex adaptive systems. Since these types of system are found in all realms of human activity, it follows that strengthening this capacity is a key developmental priority that requires linking together new configurations of actors and resources to tackle an ever changing set of contexts. © 2010 John Wiley &amp; Sons, Ltd.","container-title":"Journal of International Development","DOI":"10.1002/jid.1690","issue":"3","page":"308-324","title":"What do complex adaptive systems look like and what are the implications for innovation policy?","volume":"22","author":[{"family":"Hall","given":"Andy"},{"family":"Clark","given":"Norman"}],"issued":{"date-parts":[["2010",4]]}}}],"schema":"https://github.com/citation-style-language/schema/raw/master/csl-citation.json"} </w:instrText>
      </w:r>
      <w:r w:rsidR="00A6482A" w:rsidRPr="003847A6">
        <w:rPr>
          <w:color w:val="000000" w:themeColor="text1"/>
        </w:rPr>
        <w:fldChar w:fldCharType="separate"/>
      </w:r>
      <w:r w:rsidR="00A6482A" w:rsidRPr="003847A6">
        <w:rPr>
          <w:noProof/>
          <w:color w:val="000000" w:themeColor="text1"/>
        </w:rPr>
        <w:t>(Hall and Clark, 2010)</w:t>
      </w:r>
      <w:r w:rsidR="00A6482A" w:rsidRPr="003847A6">
        <w:rPr>
          <w:color w:val="000000" w:themeColor="text1"/>
        </w:rPr>
        <w:fldChar w:fldCharType="end"/>
      </w:r>
      <w:r w:rsidR="00212059" w:rsidRPr="003847A6">
        <w:rPr>
          <w:color w:val="000000" w:themeColor="text1"/>
        </w:rPr>
        <w:t xml:space="preserve">. </w:t>
      </w:r>
      <w:r w:rsidR="003A34CA" w:rsidRPr="003847A6">
        <w:rPr>
          <w:color w:val="000000" w:themeColor="text1"/>
        </w:rPr>
        <w:t>While recognising the role of MSSRF is scaling millets is important</w:t>
      </w:r>
      <w:r w:rsidR="00212059" w:rsidRPr="003847A6">
        <w:rPr>
          <w:color w:val="000000" w:themeColor="text1"/>
        </w:rPr>
        <w:t xml:space="preserve">, what can be </w:t>
      </w:r>
      <w:r w:rsidRPr="003847A6">
        <w:rPr>
          <w:color w:val="000000" w:themeColor="text1"/>
          <w:lang w:val="en-IE"/>
        </w:rPr>
        <w:t>observed</w:t>
      </w:r>
      <w:r w:rsidR="00212059" w:rsidRPr="003847A6">
        <w:rPr>
          <w:color w:val="000000" w:themeColor="text1"/>
        </w:rPr>
        <w:t xml:space="preserve"> “outside” the case study is th</w:t>
      </w:r>
      <w:r w:rsidR="00CA4498" w:rsidRPr="003847A6">
        <w:rPr>
          <w:color w:val="000000" w:themeColor="text1"/>
        </w:rPr>
        <w:t>at, as millets gained institutional legitimacy</w:t>
      </w:r>
      <w:r w:rsidR="00FE110A" w:rsidRPr="003847A6">
        <w:rPr>
          <w:color w:val="000000" w:themeColor="text1"/>
        </w:rPr>
        <w:t>, policy arenas (at the state and national level)</w:t>
      </w:r>
      <w:r w:rsidR="00CA4498" w:rsidRPr="003847A6">
        <w:rPr>
          <w:color w:val="000000" w:themeColor="text1"/>
        </w:rPr>
        <w:t xml:space="preserve"> also became more receptive to sustainability-oriented experimentation more broadly. The deeper shift in value that saw rising interest</w:t>
      </w:r>
      <w:r w:rsidR="00E06C87" w:rsidRPr="003847A6">
        <w:rPr>
          <w:color w:val="000000" w:themeColor="text1"/>
        </w:rPr>
        <w:t xml:space="preserve"> (and sometimes,</w:t>
      </w:r>
      <w:r w:rsidR="00FE110A" w:rsidRPr="003847A6">
        <w:rPr>
          <w:color w:val="000000" w:themeColor="text1"/>
        </w:rPr>
        <w:t xml:space="preserve"> </w:t>
      </w:r>
      <w:r w:rsidR="00E06C87" w:rsidRPr="003847A6">
        <w:rPr>
          <w:color w:val="000000" w:themeColor="text1"/>
        </w:rPr>
        <w:t>concern) around</w:t>
      </w:r>
      <w:r w:rsidR="00CA4498" w:rsidRPr="003847A6">
        <w:rPr>
          <w:color w:val="000000" w:themeColor="text1"/>
        </w:rPr>
        <w:t xml:space="preserve"> environmental, climate, nutrition and equity</w:t>
      </w:r>
      <w:r w:rsidR="00E06C87" w:rsidRPr="003847A6">
        <w:rPr>
          <w:color w:val="000000" w:themeColor="text1"/>
        </w:rPr>
        <w:t xml:space="preserve"> challenges</w:t>
      </w:r>
      <w:r w:rsidR="00CA4498" w:rsidRPr="003847A6">
        <w:rPr>
          <w:color w:val="000000" w:themeColor="text1"/>
        </w:rPr>
        <w:t xml:space="preserve">, </w:t>
      </w:r>
      <w:r w:rsidR="00E06C87" w:rsidRPr="003847A6">
        <w:rPr>
          <w:color w:val="000000" w:themeColor="text1"/>
        </w:rPr>
        <w:t xml:space="preserve">led to the opening of a new </w:t>
      </w:r>
      <w:r w:rsidR="00CA4498" w:rsidRPr="003847A6">
        <w:rPr>
          <w:color w:val="000000" w:themeColor="text1"/>
        </w:rPr>
        <w:t xml:space="preserve">policy </w:t>
      </w:r>
      <w:r w:rsidR="00E06C87" w:rsidRPr="003847A6">
        <w:rPr>
          <w:color w:val="000000" w:themeColor="text1"/>
        </w:rPr>
        <w:t xml:space="preserve">arena that aimed at tackling these new aspects (e.g. moving away from agricultural productivity </w:t>
      </w:r>
      <w:r w:rsidR="00C14281" w:rsidRPr="003847A6">
        <w:rPr>
          <w:color w:val="000000" w:themeColor="text1"/>
        </w:rPr>
        <w:t xml:space="preserve">or food security </w:t>
      </w:r>
      <w:r w:rsidR="00E06C87" w:rsidRPr="003847A6">
        <w:rPr>
          <w:color w:val="000000" w:themeColor="text1"/>
        </w:rPr>
        <w:t>only</w:t>
      </w:r>
      <w:r w:rsidR="00C14281" w:rsidRPr="003847A6">
        <w:rPr>
          <w:color w:val="000000" w:themeColor="text1"/>
        </w:rPr>
        <w:t>)</w:t>
      </w:r>
      <w:r w:rsidR="003509EF" w:rsidRPr="003847A6">
        <w:rPr>
          <w:color w:val="000000" w:themeColor="text1"/>
        </w:rPr>
        <w:t>.</w:t>
      </w:r>
      <w:r w:rsidR="00E06C87" w:rsidRPr="003847A6">
        <w:rPr>
          <w:color w:val="000000" w:themeColor="text1"/>
        </w:rPr>
        <w:t xml:space="preserve"> N</w:t>
      </w:r>
      <w:r w:rsidR="00CA4498" w:rsidRPr="003847A6">
        <w:rPr>
          <w:color w:val="000000" w:themeColor="text1"/>
        </w:rPr>
        <w:t xml:space="preserve">ew priorities, funding streams, and programmes </w:t>
      </w:r>
      <w:r w:rsidR="00E06C87" w:rsidRPr="003847A6">
        <w:rPr>
          <w:color w:val="000000" w:themeColor="text1"/>
        </w:rPr>
        <w:t>were set-up in other states and agroecological zones in</w:t>
      </w:r>
      <w:r w:rsidR="00CA4498" w:rsidRPr="003847A6">
        <w:rPr>
          <w:color w:val="000000" w:themeColor="text1"/>
        </w:rPr>
        <w:t xml:space="preserve"> support o</w:t>
      </w:r>
      <w:r w:rsidR="00E06C87" w:rsidRPr="003847A6">
        <w:rPr>
          <w:color w:val="000000" w:themeColor="text1"/>
        </w:rPr>
        <w:t xml:space="preserve">f other </w:t>
      </w:r>
      <w:r w:rsidR="00CA4498" w:rsidRPr="003847A6">
        <w:rPr>
          <w:color w:val="000000" w:themeColor="text1"/>
        </w:rPr>
        <w:t>place-specific</w:t>
      </w:r>
      <w:r w:rsidR="00E06C87" w:rsidRPr="003847A6">
        <w:rPr>
          <w:color w:val="000000" w:themeColor="text1"/>
        </w:rPr>
        <w:t xml:space="preserve"> innovation</w:t>
      </w:r>
      <w:r w:rsidR="00CA4498" w:rsidRPr="003847A6">
        <w:rPr>
          <w:color w:val="000000" w:themeColor="text1"/>
        </w:rPr>
        <w:t>,</w:t>
      </w:r>
      <w:r w:rsidR="00E06C87" w:rsidRPr="003847A6">
        <w:rPr>
          <w:color w:val="000000" w:themeColor="text1"/>
        </w:rPr>
        <w:t xml:space="preserve"> such as </w:t>
      </w:r>
      <w:r w:rsidR="00CA4498" w:rsidRPr="003847A6">
        <w:rPr>
          <w:color w:val="000000" w:themeColor="text1"/>
        </w:rPr>
        <w:t xml:space="preserve"> Non-Pesticide Management, organic agriculture, and Zero Budget farming</w:t>
      </w:r>
      <w:r w:rsidR="00E06C87" w:rsidRPr="003847A6">
        <w:rPr>
          <w:color w:val="000000" w:themeColor="text1"/>
        </w:rPr>
        <w:t xml:space="preserve"> </w:t>
      </w:r>
      <w:r w:rsidR="00E06C87" w:rsidRPr="003847A6">
        <w:rPr>
          <w:color w:val="000000" w:themeColor="text1"/>
        </w:rPr>
        <w:fldChar w:fldCharType="begin"/>
      </w:r>
      <w:r w:rsidR="00D66183" w:rsidRPr="003847A6">
        <w:rPr>
          <w:color w:val="000000" w:themeColor="text1"/>
        </w:rPr>
        <w:instrText xml:space="preserve"> ADDIN ZOTERO_ITEM CSL_CITATION {"citationID":"9Xv9Woin","properties":{"formattedCitation":"(Conti et al., 2024b; Manoharmayum et al., 2025)","plainCitation":"(Conti et al., 2024b; Manoharmayum et al., 2025)","noteIndex":0},"citationItems":[{"id":18756,"uris":["http://zotero.org/users/12768557/items/E7EJ8D5P"],"itemData":{"id":18756,"type":"article-journal","abstract":"System innovation is a signature feature of agri-food system transformation. Such system innovation often occurs in niches. However, how the \"green shoots\" of transformation can be detected and appraised through time remains ambiguous. This paper proposes, applies and tests a framework that could be used as a ‘transformation assessment tool’ to evaluate the level of system innovation in a domain of change. The framework is tested against a case study of a Non-Pesticide Management initiative in South India. The framework helps to reveal how, over 20 years, the initiative triggered a number of system innovations that opened a new development pathway, more aligned to environmental sustainability, equity and social inclusion. A critical enabling factor identified for the expansionand \"blossoming\" of this green shoot was its capacity to flexibly respond and adapt to emergent and largely unknowable agri-food systems dynamics. In its conclusions, the paper sheds light on the ongoing tensions around the defining benchmarks or thresholds for assessing the ‘transformativeness’ of initiatives and change processes. Finding a way of combining qualitative assessments of system changes with quantitative measures of social, economic, and environmental impact could be a valuable vein of research to enhance our understanding of transformative processes and how to enable them.","container-title":"Innovation and Development","DOI":"10.1080/2157930X.2024.2347759","ISSN":"2157-930X","issue":"0","note":"_eprint: https://doi.org/10.1080/2157930X.2024.2347759","page":"1-19","publisher":"Routledge","source":"Taylor and Francis+NEJM","title":"Detecting ‘green shoots’ of agri-food systems transformation: a framework and insights from the spread of non-pesticide approaches in South India","title-short":"Detecting ‘green shoots’ of agri-food systems transformation","volume":"0","author":[{"family":"Conti","given":"Costanza"},{"family":"Hall","given":"Andy"},{"family":"Williams","given":"Tim G."},{"family":"Kumar","given":"Vishal"},{"family":"Zanello","given":"Giacomo"}],"issued":{"date-parts":[["2024"]]}}},{"id":20351,"uris":["http://zotero.org/users/12768557/items/YI5GYBSK"],"itemData":{"id":20351,"type":"article-journal","abstract":"This paper presents a comprehensive analysis of Zero Budget Natural Farming (ZBNF) as a transformative paradigm in sustainable agriculture, integrating ecological, economic, and social dimensions to address the shortcomings of conventional chemical-intensive farming. Through a synthesis of advanced theoretical frameworks, empirical evidence, and policy analysis, this research demonstrates how ZBNF aligns with agroecological principles, responds to systemic challenges in conventional agriculture, and offers scalable solutions for climate resilience, food security, and rural livelihoods. The study incorporates multidimensional sustainability assessment methodologies, ecosystem services valuation, agroecological transition models, and novel integrative frameworks to provide a nuanced, evidence-based evaluation of ZBNF's prospects and challenges. Our theoretical innovation includes the development of the ZBNF Adaptive Transformation Model (ZATM), which integrates sustainability transitions theory, complex adaptive systems thinking, and political ecology perspectives to analyze ZBNF's multidimensional impacts across scales. Findings from our mixed-methods research suggest that while ZBNF shows significant potential for enhancing farmer autonomy, environmental regeneration, and climate resilience, challenges remain in yield optimization, scientific validation, and scalability across diverse agroecological contexts. The paper contributes to the scholarly discourse by developing an innovative theoretical synthesis positioning ZBNF within contemporary sustainability science, providing methodological advances for assessing agroecological transitions, and offering practical recommendations for researchers, practitioners, and policymakers engaging with ZBNF and similar approaches globally.","container-title":"Metallurgical and Materials Engineering","DOI":"10.63278/1544","ISSN":"2812-9105","issue":"4","language":"en","license":"Copyright (c) 2025 Dolpriya Devi Manoharmayum, V. Jhansi Hima Varsha, M. Gayathri, B. Rama Devi, Gali Suresh","page":"1002-1025","source":"metall-mater-eng.com","title":"Zero Budget Natural Farming in the Era of Climate Crisis: A Multidimensional Framework for Sustainable Agricultural Transformation in India","title-short":"Zero Budget Natural Farming in the Era of Climate Crisis","volume":"31","author":[{"family":"Manoharmayum","given":"Dolpriya Devi"},{"family":"Varsha","given":"V. Jhansi Hima"},{"family":"Gayathri","given":"M."},{"family":"Devi","given":"B. Rama"},{"family":"Suresh","given":"Gali"}],"issued":{"date-parts":[["2025",4,16]]}}}],"schema":"https://github.com/citation-style-language/schema/raw/master/csl-citation.json"} </w:instrText>
      </w:r>
      <w:r w:rsidR="00E06C87" w:rsidRPr="003847A6">
        <w:rPr>
          <w:color w:val="000000" w:themeColor="text1"/>
        </w:rPr>
        <w:fldChar w:fldCharType="separate"/>
      </w:r>
      <w:r w:rsidR="00E06C87" w:rsidRPr="003847A6">
        <w:rPr>
          <w:noProof/>
          <w:color w:val="000000" w:themeColor="text1"/>
        </w:rPr>
        <w:t>(Conti et al., 2024b; Manoharmayum et al., 2025)</w:t>
      </w:r>
      <w:r w:rsidR="00E06C87" w:rsidRPr="003847A6">
        <w:rPr>
          <w:color w:val="000000" w:themeColor="text1"/>
        </w:rPr>
        <w:fldChar w:fldCharType="end"/>
      </w:r>
      <w:r w:rsidR="00FC5169" w:rsidRPr="003847A6">
        <w:rPr>
          <w:color w:val="000000" w:themeColor="text1"/>
        </w:rPr>
        <w:t xml:space="preserve">. This development could </w:t>
      </w:r>
      <w:r w:rsidR="00B634D8" w:rsidRPr="003847A6">
        <w:rPr>
          <w:color w:val="000000" w:themeColor="text1"/>
        </w:rPr>
        <w:t>be defined as “emergent”</w:t>
      </w:r>
      <w:r w:rsidR="00396EF4" w:rsidRPr="003847A6">
        <w:rPr>
          <w:color w:val="000000" w:themeColor="text1"/>
        </w:rPr>
        <w:t>:</w:t>
      </w:r>
      <w:r w:rsidR="00B634D8" w:rsidRPr="003847A6">
        <w:rPr>
          <w:color w:val="000000" w:themeColor="text1"/>
        </w:rPr>
        <w:t xml:space="preserve"> it could not be</w:t>
      </w:r>
      <w:r w:rsidR="00FC5169" w:rsidRPr="003847A6">
        <w:rPr>
          <w:color w:val="000000" w:themeColor="text1"/>
        </w:rPr>
        <w:t xml:space="preserve"> foreseen or planned</w:t>
      </w:r>
      <w:r w:rsidR="00B634D8" w:rsidRPr="003847A6">
        <w:rPr>
          <w:color w:val="000000" w:themeColor="text1"/>
        </w:rPr>
        <w:t>, arising from the interactions, relationships, and networks</w:t>
      </w:r>
      <w:r w:rsidR="00FC5169" w:rsidRPr="003847A6">
        <w:rPr>
          <w:color w:val="000000" w:themeColor="text1"/>
        </w:rPr>
        <w:t xml:space="preserve"> </w:t>
      </w:r>
      <w:r w:rsidR="00B634D8" w:rsidRPr="003847A6">
        <w:rPr>
          <w:color w:val="000000" w:themeColor="text1"/>
        </w:rPr>
        <w:t xml:space="preserve">in a (social, political, economic) context that that built and evolved over time </w:t>
      </w:r>
      <w:r w:rsidR="00FC5169" w:rsidRPr="003847A6">
        <w:rPr>
          <w:color w:val="000000" w:themeColor="text1"/>
        </w:rPr>
        <w:fldChar w:fldCharType="begin"/>
      </w:r>
      <w:r w:rsidR="00B634D8" w:rsidRPr="003847A6">
        <w:rPr>
          <w:color w:val="000000" w:themeColor="text1"/>
        </w:rPr>
        <w:instrText xml:space="preserve"> ADDIN ZOTERO_ITEM CSL_CITATION {"citationID":"OEIQ6L4A","properties":{"formattedCitation":"(Kok, 2023; Lanhoso and Coelho, 2021)","plainCitation":"(Kok, 2023; Lanhoso and Coelho, 2021)","noteIndex":0},"citationItems":[{"id":20970,"uris":["http://zotero.org/users/12768557/items/M7QM8L8V"],"itemData":{"id":20970,"type":"article-journal","abstract":"The sustainability crisis entails high levels of complexity, not approachable from linear or reductionist stances. Unveiled from a holistic stance as a multilevel phenomenon characterized by qualitative novelty, emergence pertains to complex self-organizing systems. Emergent properties and behaviors arise only when system parts interact in a wider whole. This article positions emergence for enhancing solution processes to meet sustainability challenges. It proposes the systemic approach as a catalyst for the emergence of wise creative solutions tackling wicked unsustainability problems. This requires observation and entails analyzing open systems altogether and recognizing the impact of navigating across macro- and micro-scales on causal and creative emergence. Sustainable development requires circumventing past conventional practices, in an accelerated way. The emergence phenomenon at work between systems levels, coupled with purposefully structured creative processes, holds the potential for catalyzing sustainable development efforts. Systemic analysis at varying scales is to foster creative emergence aligned with sustainability-oriented innovation.","container-title":"Sustainable Development","DOI":"10.1002/sd.2173","ISSN":"1099-1719","issue":"4","language":"en","license":"© 2021 The Authors. Sustainable Development published by ERP Environment and John Wiley &amp; Sons Ltd.","note":"_eprint: https://onlinelibrary.wiley.com/doi/pdf/10.1002/sd.2173","page":"768-779","source":"Wiley Online Library","title":"Emergence fostered by systemic analysis—Seeding innovation for sustainable development","volume":"29","author":[{"family":"Lanhoso","given":"Fátima"},{"family":"Coelho","given":"Denis Alves"}],"issued":{"date-parts":[["2021"]]}}},{"id":20973,"uris":["http://zotero.org/users/12768557/items/XUS6Z2F9"],"itemData":{"id":20973,"type":"article-journal","abstract":"What exactly do transition scholars mean by structure? In efforts to articulate the politics of sustainability transitions, scholarship has en masse turned to unraveling and pluralizing the many different manifestations of agency and power in processes of transformative change. While this is valuable, such an agency-centered focus risks de-politicizing the role of structure in studies on the politics of transitions. This perspective explores the plurality of interpretations of structure presented in transitions research. Transitions research, perhaps paradoxically, considers structure to be (1) concrete or elusive; (2) a verb or a noun; (3) the medium or conditions for action; (4) internal or external to agents; (5) influenceable or contextual; (6) hierarchical or relational; and (7) stabilizing or transformative. Such a non-exhaustive overview of different interpretations of structure portrays the richness of the field, and could help scholars to reflect upon their assumptions when engaging with the concept of ‘structure’. Finally, it provides pathways for re-politicizing structure, by articulating the different ways in which structure can be considered (a)political. Re-politicization requires governance efforts to more explicitly engage with the politics of structures. This entails de-constructing existing and oppressive structures that reinforce incumbencies and unjust dynamics, while embracing the transformative power of democratically designed structures that might help us to accelerate transformative change.","container-title":"Energy Research &amp; Social Science","DOI":"10.1016/j.erss.2023.103120","ISSN":"2214-6296","journalAbbreviation":"Energy Research &amp; Social Science","page":"103120","source":"ScienceDirect","title":"Politics beyond agency? Pluralizing structure(s) in sustainability transitions","title-short":"Politics beyond agency?","volume":"100","author":[{"family":"Kok","given":"Kristiaan P. W."}],"issued":{"date-parts":[["2023",6,1]]}}}],"schema":"https://github.com/citation-style-language/schema/raw/master/csl-citation.json"} </w:instrText>
      </w:r>
      <w:r w:rsidR="00FC5169" w:rsidRPr="003847A6">
        <w:rPr>
          <w:color w:val="000000" w:themeColor="text1"/>
        </w:rPr>
        <w:fldChar w:fldCharType="separate"/>
      </w:r>
      <w:r w:rsidR="00B634D8" w:rsidRPr="003847A6">
        <w:rPr>
          <w:noProof/>
          <w:color w:val="000000" w:themeColor="text1"/>
        </w:rPr>
        <w:t>(Kok, 2023; Lanhoso and Coelho, 2021)</w:t>
      </w:r>
      <w:r w:rsidR="00FC5169" w:rsidRPr="003847A6">
        <w:rPr>
          <w:color w:val="000000" w:themeColor="text1"/>
        </w:rPr>
        <w:fldChar w:fldCharType="end"/>
      </w:r>
      <w:r w:rsidR="00B634D8" w:rsidRPr="003847A6">
        <w:rPr>
          <w:color w:val="000000" w:themeColor="text1"/>
        </w:rPr>
        <w:t xml:space="preserve">, </w:t>
      </w:r>
      <w:r w:rsidR="003E1A85" w:rsidRPr="003847A6">
        <w:rPr>
          <w:color w:val="000000" w:themeColor="text1"/>
        </w:rPr>
        <w:t>and producing enabling conditions that went beyond a single intervention to widen the “menu” of credible options available to policymakers and practitioners</w:t>
      </w:r>
      <w:r w:rsidR="00B634D8" w:rsidRPr="003847A6">
        <w:rPr>
          <w:color w:val="000000" w:themeColor="text1"/>
        </w:rPr>
        <w:t>.</w:t>
      </w:r>
      <w:r w:rsidR="005B1DB2" w:rsidRPr="003847A6">
        <w:rPr>
          <w:color w:val="000000" w:themeColor="text1"/>
        </w:rPr>
        <w:t xml:space="preserve"> </w:t>
      </w:r>
      <w:r w:rsidRPr="003847A6">
        <w:rPr>
          <w:color w:val="000000" w:themeColor="text1"/>
        </w:rPr>
        <w:t xml:space="preserve">These conditions couldn’t be </w:t>
      </w:r>
      <w:r w:rsidR="00AD2E2F" w:rsidRPr="003847A6">
        <w:rPr>
          <w:color w:val="000000" w:themeColor="text1"/>
        </w:rPr>
        <w:t xml:space="preserve">pre-engineered, </w:t>
      </w:r>
      <w:r w:rsidRPr="003847A6">
        <w:rPr>
          <w:color w:val="000000" w:themeColor="text1"/>
        </w:rPr>
        <w:t>although MSSRF engagement across three spheres</w:t>
      </w:r>
      <w:r w:rsidR="00DE5387" w:rsidRPr="003847A6">
        <w:rPr>
          <w:color w:val="000000" w:themeColor="text1"/>
        </w:rPr>
        <w:t xml:space="preserve"> helped made a significant contribution to nudging the system in this direction. </w:t>
      </w:r>
    </w:p>
    <w:p w14:paraId="0EA22151" w14:textId="77777777" w:rsidR="00DE5387" w:rsidRPr="003847A6" w:rsidRDefault="00DE5387" w:rsidP="003847A6">
      <w:pPr>
        <w:rPr>
          <w:color w:val="000000" w:themeColor="text1"/>
        </w:rPr>
      </w:pPr>
    </w:p>
    <w:p w14:paraId="2FC447E8" w14:textId="740E370B" w:rsidR="003A34CA" w:rsidRPr="003847A6" w:rsidRDefault="00DE5387" w:rsidP="003847A6">
      <w:pPr>
        <w:rPr>
          <w:color w:val="000000" w:themeColor="text1"/>
        </w:rPr>
      </w:pPr>
      <w:r w:rsidRPr="003847A6">
        <w:rPr>
          <w:color w:val="000000" w:themeColor="text1"/>
        </w:rPr>
        <w:t>Understanding t</w:t>
      </w:r>
      <w:r w:rsidR="005B1DB2" w:rsidRPr="003847A6">
        <w:rPr>
          <w:color w:val="000000" w:themeColor="text1"/>
        </w:rPr>
        <w:t xml:space="preserve">he emergent property of scaling </w:t>
      </w:r>
      <w:r w:rsidRPr="003847A6">
        <w:rPr>
          <w:color w:val="000000" w:themeColor="text1"/>
        </w:rPr>
        <w:t xml:space="preserve">helps </w:t>
      </w:r>
      <w:r w:rsidR="005B1DB2" w:rsidRPr="003847A6">
        <w:rPr>
          <w:color w:val="000000" w:themeColor="text1"/>
        </w:rPr>
        <w:t xml:space="preserve">shifting debates </w:t>
      </w:r>
      <w:r w:rsidRPr="003847A6">
        <w:rPr>
          <w:color w:val="000000" w:themeColor="text1"/>
        </w:rPr>
        <w:t>on</w:t>
      </w:r>
      <w:r w:rsidR="005B1DB2" w:rsidRPr="003847A6">
        <w:rPr>
          <w:color w:val="000000" w:themeColor="text1"/>
        </w:rPr>
        <w:t xml:space="preserve"> scaling and innovation away from logics around “replicating an intervention” </w:t>
      </w:r>
      <w:r w:rsidR="006F6A85" w:rsidRPr="003847A6">
        <w:rPr>
          <w:color w:val="000000" w:themeColor="text1"/>
        </w:rPr>
        <w:t xml:space="preserve">- </w:t>
      </w:r>
      <w:r w:rsidR="005B1DB2" w:rsidRPr="003847A6">
        <w:rPr>
          <w:color w:val="000000" w:themeColor="text1"/>
        </w:rPr>
        <w:t>i.e. “find</w:t>
      </w:r>
      <w:r w:rsidR="006F6A85" w:rsidRPr="003847A6">
        <w:rPr>
          <w:color w:val="000000" w:themeColor="text1"/>
        </w:rPr>
        <w:t>[</w:t>
      </w:r>
      <w:proofErr w:type="spellStart"/>
      <w:r w:rsidR="006F6A85" w:rsidRPr="003847A6">
        <w:rPr>
          <w:color w:val="000000" w:themeColor="text1"/>
        </w:rPr>
        <w:t>ing</w:t>
      </w:r>
      <w:proofErr w:type="spellEnd"/>
      <w:r w:rsidR="006F6A85" w:rsidRPr="003847A6">
        <w:rPr>
          <w:color w:val="000000" w:themeColor="text1"/>
        </w:rPr>
        <w:t>]</w:t>
      </w:r>
      <w:r w:rsidR="005B1DB2" w:rsidRPr="003847A6">
        <w:rPr>
          <w:color w:val="000000" w:themeColor="text1"/>
        </w:rPr>
        <w:t xml:space="preserve"> out what works in one place and do more of the same elsewhere” </w:t>
      </w:r>
      <w:r w:rsidR="005B1DB2" w:rsidRPr="003847A6">
        <w:rPr>
          <w:color w:val="000000" w:themeColor="text1"/>
        </w:rPr>
        <w:fldChar w:fldCharType="begin"/>
      </w:r>
      <w:r w:rsidR="005B1DB2" w:rsidRPr="003847A6">
        <w:rPr>
          <w:color w:val="000000" w:themeColor="text1"/>
        </w:rPr>
        <w:instrText xml:space="preserve"> ADDIN ZOTERO_ITEM CSL_CITATION {"citationID":"BIvTstLu","properties":{"formattedCitation":"(Wigboldus et al., 2016)","plainCitation":"(Wigboldus et al., 2016)","noteIndex":0},"citationItems":[{"id":20976,"uris":["http://zotero.org/users/12768557/items/DJGZYWWM"],"itemData":{"id":20976,"type":"article-journal","abstract":"Agricultural production involves the scaling of agricultural innovations such as disease-resistant and drought-tolerant maize varieties, zero-tillage techniques, permaculture cultivation practices based on perennial crops and automated milking systems. Scaling agricultural innovations should take into account complex interactions between biophysical, social, economic and institutional factors. Actual methods of scaling are rather empirical and based on the premise of ‘find out what works in one place and do more of the same, in another place’. These methods thus do not sufficiently take into account complex realities beyond the concepts of innovation transfer, dissemination, diffusion and adoption. As a consequence, scaling initiatives often do not produce the desired effect. They may produce undesirable effects in the form of negative spill-overs or unanticipated side effects such as environmental degradation, bad labour conditions of farm workers and loss of control of farming communities over access to genetic resources. Therefore, here, we conceptualise scaling processes as an integral part of a systemic approach to innovation, to anticipate on the possible consequences of scaling efforts. We propose a method that connects the heuristic framework of the multi-level perspective on socio-technical transitions (MLP) to a philosophical ‘modal aspects’ framework, with the objective of elucidating the connectedness between technologies, processes and practices. The resultant framework, the PRactice-Oriented Multi-level perspective on Innovation and Scaling (PROMIS), can inform research and policymakers on the complex dynamics involved in scaling. This is illustrated in relation to three cases in which the framework was applied: scaling agro-ecological practices in Nicaragua, farmer field schools on cocoa cultivation in Cameroon and ‘green rubber’ cultivation in Southwest China.","container-title":"Agronomy for Sustainable Development","DOI":"10.1007/s13593-016-0380-z","ISSN":"1773-0155","issue":"3","journalAbbreviation":"Agron. Sustain. Dev.","language":"en","page":"46","source":"Springer Link","title":"Systemic perspectives on scaling agricultural innovations. A review","volume":"36","author":[{"family":"Wigboldus","given":"Seerp"},{"family":"Klerkx","given":"Laurens"},{"family":"Leeuwis","given":"Cees"},{"family":"Schut","given":"Marc"},{"family":"Muilerman","given":"Sander"},{"family":"Jochemsen","given":"Henk"}],"issued":{"date-parts":[["2016",8,9]]}}}],"schema":"https://github.com/citation-style-language/schema/raw/master/csl-citation.json"} </w:instrText>
      </w:r>
      <w:r w:rsidR="005B1DB2" w:rsidRPr="003847A6">
        <w:rPr>
          <w:color w:val="000000" w:themeColor="text1"/>
        </w:rPr>
        <w:fldChar w:fldCharType="separate"/>
      </w:r>
      <w:r w:rsidR="005B1DB2" w:rsidRPr="003847A6">
        <w:rPr>
          <w:noProof/>
          <w:color w:val="000000" w:themeColor="text1"/>
        </w:rPr>
        <w:t>(Wigboldus et al., 2016)</w:t>
      </w:r>
      <w:r w:rsidR="005B1DB2" w:rsidRPr="003847A6">
        <w:rPr>
          <w:color w:val="000000" w:themeColor="text1"/>
        </w:rPr>
        <w:fldChar w:fldCharType="end"/>
      </w:r>
      <w:r w:rsidR="006F6A85" w:rsidRPr="003847A6">
        <w:rPr>
          <w:color w:val="000000" w:themeColor="text1"/>
        </w:rPr>
        <w:t xml:space="preserve"> - </w:t>
      </w:r>
      <w:r w:rsidR="004F300A" w:rsidRPr="003847A6">
        <w:rPr>
          <w:color w:val="000000" w:themeColor="text1"/>
        </w:rPr>
        <w:t xml:space="preserve">or scaling a single intervention (whether on millets or on organic agriculture or others) </w:t>
      </w:r>
      <w:r w:rsidR="005B1DB2" w:rsidRPr="003847A6">
        <w:rPr>
          <w:color w:val="000000" w:themeColor="text1"/>
        </w:rPr>
        <w:t>to build</w:t>
      </w:r>
      <w:r w:rsidR="00396EF4" w:rsidRPr="003847A6">
        <w:rPr>
          <w:color w:val="000000" w:themeColor="text1"/>
        </w:rPr>
        <w:t>ing</w:t>
      </w:r>
      <w:r w:rsidR="005B1DB2" w:rsidRPr="003847A6">
        <w:rPr>
          <w:color w:val="000000" w:themeColor="text1"/>
        </w:rPr>
        <w:t xml:space="preserve"> the enabling policy and institutional conditions and value shifts to draw from a much broader portfolio of innovation </w:t>
      </w:r>
      <w:r w:rsidR="004F300A" w:rsidRPr="003847A6">
        <w:rPr>
          <w:color w:val="000000" w:themeColor="text1"/>
        </w:rPr>
        <w:t xml:space="preserve">to foster sustainability and transformation objectives </w:t>
      </w:r>
      <w:r w:rsidR="004F300A" w:rsidRPr="003847A6">
        <w:rPr>
          <w:color w:val="000000" w:themeColor="text1"/>
        </w:rPr>
        <w:fldChar w:fldCharType="begin"/>
      </w:r>
      <w:r w:rsidR="004F300A" w:rsidRPr="003847A6">
        <w:rPr>
          <w:color w:val="000000" w:themeColor="text1"/>
        </w:rPr>
        <w:instrText xml:space="preserve"> ADDIN ZOTERO_ITEM CSL_CITATION {"citationID":"kDX9VkOF","properties":{"formattedCitation":"(Glover et al., 2021; Woltering et al., 2019b)","plainCitation":"(Glover et al., 2021; Woltering et al., 2019b)","noteIndex":0},"citationItems":[{"id":57,"uris":["http://zotero.org/users/12768557/items/VBP65DU5"],"itemData":{"id":57,"type":"article-journal","container-title":"Outlook on Agriculture","DOI":"https://doi.org/10.1177/00307270211043542","issue":"(X)","page":"1-12","title":"Unplanned but well prepared: A reinterpreted success story of international agricultural research, and its implications","volume":"XX","author":[{"family":"Glover","given":"Dominic"},{"family":"Mausch","given":"Kai"},{"family":"Conti","given":"Costanza"},{"family":"Hall","given":"Andrew John"}],"issued":{"date-parts":[["2021"]]}}},{"id":20978,"uris":["http://zotero.org/users/12768557/items/V82AI5DH"],"itemData":{"id":20978,"type":"article-journal","abstract":"Countless development projects have piloted solutions that could make a difference if only applied at scale. The reality is that these pilot projects hardly ever reach the intended scale to contribute significantly to achieving the UN Sustainable Development Goals (SDGs). In this paper, we argue that two major problems undermine efforts to achieve scale in development projects. First, pilot projects are usually set up and managed in very controlled environments that make it very difficult to transition to the real world at scale. Second, poor conceptual and methodological clarity on what scaling is and how it can be pursued often results in a narrow focus on reaching numbers. Counting household adoption at the end of a grant project is a poor metric of whether these people can and will sustain adoption after the project closes, let alone if adoption will reach others and actually contributes to improved livelihoods. We advocate for a broader view on scaling that more accurately reflects the transformational change agenda of the SDGs: from reaching many to a process aiming to achieve sustainable systems change at scale. Sustainable systems change alters a sufficient number of key drivers (incentives, rules, etc.) such that the system that once perpetuated a “problem” now instead perpetuates a “solution.” This has implications on the way projects are designed and implemented. Rather than focusing on changing conditions within the project context, projects should serve as vehicles for societal change. This means that projects make most sense if designed as part of a multisector, long-term programmatic approach. Treating scaling as a transformation process helps deal with the necessary coevolution of organizational and institutional arrangements, along with the innovations in a technology or practice. To help address scaling, we present a number of frameworks that guide users to assess the scalability of innovations, design for scale from the onset of projects, and systematically think through key elements, ingredients, or success factors. We conclude that scaling requires different skills, approaches, and ways of collaborating than those required for successful implementation of pilot projects. It calls for development actors to have a mindset that allows them to creatively navigate multiple overlapping systems; likewise, they must develop a clear vision about which elements in the system the actors can and cannot address, and about where they need to collaborate strategically to exert influence. Although it is tempting to hope for the silver bullet solution that changes the world, we argue for an approach that takes scaling serious in its own right and recognizes the complexities involved in facilitating a transition to a new “normal.”","container-title":"Agricultural Systems","DOI":"10.1016/j.agsy.2019.102652","ISSN":"0308-521X","journalAbbreviation":"Agricultural Systems","page":"102652","source":"ScienceDirect","title":"Scaling – from “reaching many” to sustainable systems change at scale: A critical shift in mindset","title-short":"Scaling – from “reaching many” to sustainable systems change at scale","volume":"176","author":[{"family":"Woltering","given":"L."},{"family":"Fehlenberg","given":"K."},{"family":"Gerard","given":"B."},{"family":"Ubels","given":"J."},{"family":"Cooley","given":"L."}],"issued":{"date-parts":[["2019",11,1]]}}}],"schema":"https://github.com/citation-style-language/schema/raw/master/csl-citation.json"} </w:instrText>
      </w:r>
      <w:r w:rsidR="004F300A" w:rsidRPr="003847A6">
        <w:rPr>
          <w:color w:val="000000" w:themeColor="text1"/>
        </w:rPr>
        <w:fldChar w:fldCharType="separate"/>
      </w:r>
      <w:r w:rsidR="004F300A" w:rsidRPr="003847A6">
        <w:rPr>
          <w:noProof/>
          <w:color w:val="000000" w:themeColor="text1"/>
        </w:rPr>
        <w:t>(Glover et al., 2021; Woltering et al., 2019b)</w:t>
      </w:r>
      <w:r w:rsidR="004F300A" w:rsidRPr="003847A6">
        <w:rPr>
          <w:color w:val="000000" w:themeColor="text1"/>
        </w:rPr>
        <w:fldChar w:fldCharType="end"/>
      </w:r>
      <w:r w:rsidR="004F300A" w:rsidRPr="003847A6">
        <w:rPr>
          <w:color w:val="000000" w:themeColor="text1"/>
        </w:rPr>
        <w:t xml:space="preserve">. </w:t>
      </w:r>
      <w:r w:rsidRPr="003847A6">
        <w:rPr>
          <w:color w:val="000000" w:themeColor="text1"/>
        </w:rPr>
        <w:t>Such an approach requires a nimble approach that can make the most of unpredictable windows opportunity</w:t>
      </w:r>
      <w:r w:rsidR="00AD2E2F" w:rsidRPr="003847A6">
        <w:rPr>
          <w:color w:val="000000" w:themeColor="text1"/>
        </w:rPr>
        <w:t xml:space="preserve"> </w:t>
      </w:r>
      <w:r w:rsidR="00AD2E2F" w:rsidRPr="003847A6">
        <w:rPr>
          <w:color w:val="000000" w:themeColor="text1"/>
        </w:rPr>
        <w:fldChar w:fldCharType="begin"/>
      </w:r>
      <w:r w:rsidR="00063549" w:rsidRPr="003847A6">
        <w:rPr>
          <w:color w:val="000000" w:themeColor="text1"/>
        </w:rPr>
        <w:instrText xml:space="preserve"> ADDIN ZOTERO_ITEM CSL_CITATION {"citationID":"YvAWzrGN","properties":{"formattedCitation":"(Mason-D\\uc0\\u8217{}Croz et al., 2025; Thompson and Scoones, 2009)","plainCitation":"(Mason-D’Croz et al., 2025; Thompson and Scoones, 2009)","noteIndex":0},"citationItems":[{"id":2891,"uris":["http://zotero.org/users/12768557/items/X7SFALQ5"],"itemData":{"id":2891,"type":"article-journal","abstract":"The 'modernist' project that has come to dominate food and agricultural policy has failed to provide sustainable outcomes for many poor people in developing countries. Conventional agricultural science is not able to explain let alone address these concerns because it is based on a static equilibrium-centred view that provides little insight into the dynamic character of agri-food systems. This paper analyses how prevailing narratives of technological change and economic growth have come to dominate key food and agriculture policy debates. It seeks to counter these orthodox notions by emphasising that agri-food systems are embedded in complex ecological, economic and social processes, and showing how their interactions are dynamic and vulnerable to short-term shocks and long-term stresses like climate change. The paper makes the case for a deeper understanding of diverse 'rural worlds' and their potential pathways to sustainability through agriculture. Moreover, it argues for a normative focus on poverty reduction and concern for the distributional consequences of dynamic changes in agri-food systems, rather than aggregates and averages. Finally, it sets out an interdisciplinary research agenda on agri-food systems that focuses on dynamic system interactions in complex, risk-prone environments and explores how pathways can become more resilient and robust in an era of growing risk and uncertainty. © 2009 Elsevier Ltd. All rights reserved.","container-title":"Environmental Science and Policy","DOI":"10.1016/j.envsci.2009.03.001","title":"Addressing the dynamics of agri-food systems: an emerging agenda for social science research","author":[{"family":"Thompson","given":"John"},{"family":"Scoones","given":"Ian"}],"issued":{"date-parts":[["2009"]]}}},{"id":21024,"uris":["http://zotero.org/users/12768557/items/DKG3IYHB"],"itemData":{"id":21024,"type":"article-journal","abstract":"Food system transformation will require the expansion of new ideas and solutions while phasing out old and obsolete ones, potentially leading to unintended and undesirable consequences. This Perspective argues that anticipatory governance approaches can shape technological visions while informing and prioritizing actions to support sustainable transformation. We present a framework to engage systematically with uncertainty and complexity, and to identify potential positive and negative outcomes. We argue for the adoption of mission-oriented innovation systems to better align innovation efforts with environmental, social and health objectives while mitigating negative consequences—and create a culture of more inclusive and responsible innovation.","container-title":"Nature Food","DOI":"10.1038/s43016-025-01241-9","ISSN":"2662-1355","issue":"10","journalAbbreviation":"Nat Food","language":"en","license":"2025 Springer Nature Limited","page":"920-926","publisher":"Nature Publishing Group","source":"www.nature.com","title":"Rigorous anticipatory governance is needed for responsible food system transformation","volume":"6","author":[{"family":"Mason-D’Croz","given":"Daniel"},{"family":"Kugler","given":"Cody"},{"family":"Remans","given":"Roseline"},{"family":"Thornton","given":"Philip"},{"family":"Vervoort","given":"Joost M."},{"family":"Zornetzer","given":"Heather"},{"family":"Meijl","given":"Hans","non-dropping-particle":"van"},{"family":"Herrero","given":"Mario"}],"issued":{"date-parts":[["2025",10]]}}}],"schema":"https://github.com/citation-style-language/schema/raw/master/csl-citation.json"} </w:instrText>
      </w:r>
      <w:r w:rsidR="00AD2E2F" w:rsidRPr="003847A6">
        <w:rPr>
          <w:color w:val="000000" w:themeColor="text1"/>
        </w:rPr>
        <w:fldChar w:fldCharType="separate"/>
      </w:r>
      <w:r w:rsidR="00063549" w:rsidRPr="003847A6">
        <w:rPr>
          <w:color w:val="000000" w:themeColor="text1"/>
          <w14:ligatures w14:val="standardContextual"/>
        </w:rPr>
        <w:t>(Mason-D’Croz et al., 2025; Thompson and Scoones, 2009)</w:t>
      </w:r>
      <w:r w:rsidR="00AD2E2F" w:rsidRPr="003847A6">
        <w:rPr>
          <w:color w:val="000000" w:themeColor="text1"/>
        </w:rPr>
        <w:fldChar w:fldCharType="end"/>
      </w:r>
      <w:r w:rsidRPr="003847A6">
        <w:rPr>
          <w:color w:val="000000" w:themeColor="text1"/>
        </w:rPr>
        <w:t>: succe</w:t>
      </w:r>
      <w:r w:rsidR="00AD2E2F" w:rsidRPr="003847A6">
        <w:rPr>
          <w:color w:val="000000" w:themeColor="text1"/>
        </w:rPr>
        <w:t>ss</w:t>
      </w:r>
      <w:r w:rsidRPr="003847A6">
        <w:rPr>
          <w:color w:val="000000" w:themeColor="text1"/>
        </w:rPr>
        <w:t xml:space="preserve">ful organisation need to be </w:t>
      </w:r>
      <w:r w:rsidR="00AD2E2F" w:rsidRPr="003847A6">
        <w:rPr>
          <w:color w:val="000000" w:themeColor="text1"/>
        </w:rPr>
        <w:t>entrepreneurial</w:t>
      </w:r>
      <w:r w:rsidRPr="003847A6">
        <w:rPr>
          <w:color w:val="000000" w:themeColor="text1"/>
        </w:rPr>
        <w:t xml:space="preserve"> in the sense of both making their own luck, but also being able to make the most of the luck that is given to them</w:t>
      </w:r>
      <w:r w:rsidR="00AD2E2F" w:rsidRPr="003847A6">
        <w:rPr>
          <w:color w:val="000000" w:themeColor="text1"/>
        </w:rPr>
        <w:t xml:space="preserve"> (or, as Greek philosopher Seneca argued “Luck is when preparation meets opportunity”)</w:t>
      </w:r>
      <w:r w:rsidRPr="003847A6">
        <w:rPr>
          <w:color w:val="000000" w:themeColor="text1"/>
        </w:rPr>
        <w:t xml:space="preserve">. </w:t>
      </w:r>
      <w:r w:rsidR="004F300A" w:rsidRPr="003847A6">
        <w:rPr>
          <w:color w:val="000000" w:themeColor="text1"/>
        </w:rPr>
        <w:t xml:space="preserve">This type of scaling could be fostered by single </w:t>
      </w:r>
      <w:r w:rsidR="00C14281" w:rsidRPr="003847A6">
        <w:rPr>
          <w:color w:val="000000" w:themeColor="text1"/>
        </w:rPr>
        <w:t>organisations but</w:t>
      </w:r>
      <w:r w:rsidR="004F300A" w:rsidRPr="003847A6">
        <w:rPr>
          <w:color w:val="000000" w:themeColor="text1"/>
        </w:rPr>
        <w:t xml:space="preserve"> will likely require much more proactive and inclusive partnerships involving top-down and bottom-up actors alike</w:t>
      </w:r>
      <w:r w:rsidR="00C14281" w:rsidRPr="003847A6">
        <w:rPr>
          <w:color w:val="000000" w:themeColor="text1"/>
        </w:rPr>
        <w:t xml:space="preserve"> to champion system change</w:t>
      </w:r>
      <w:r w:rsidR="00CB5CE4" w:rsidRPr="003847A6">
        <w:rPr>
          <w:color w:val="000000" w:themeColor="text1"/>
        </w:rPr>
        <w:t xml:space="preserve"> </w:t>
      </w:r>
      <w:r w:rsidR="00CB5CE4" w:rsidRPr="003847A6">
        <w:rPr>
          <w:color w:val="000000" w:themeColor="text1"/>
        </w:rPr>
        <w:fldChar w:fldCharType="begin"/>
      </w:r>
      <w:r w:rsidR="00063549" w:rsidRPr="003847A6">
        <w:rPr>
          <w:color w:val="000000" w:themeColor="text1"/>
        </w:rPr>
        <w:instrText xml:space="preserve"> ADDIN ZOTERO_ITEM CSL_CITATION {"citationID":"Ocut8WBk","properties":{"formattedCitation":"(Conti et al., 2025, 2024b)","plainCitation":"(Conti et al., 2025, 2024b)","noteIndex":0},"citationItems":[{"id":18963,"uris":["http://zotero.org/users/12768557/items/DNJN5ND6"],"itemData":{"id":18963,"type":"article-journal","abstract":"Urgent calls for food system transformation have spurred a variety of responses globally. In some cases, these calls have been answered through top-down led processes, driven by public agencies to design and implement measures that can drive societies towards more viable patterns of development. In other cases, transformation processes have been ignited by community level actors who addressed sustainability issues with context-specific solutions. The broad range of actors raises the question of whether it is top-down or bottom-up processes and actors that are better placed to deliver the fundamental and system level changes that characterise transformation. Through a systematic review, we identified 40 case studies across 24 countries to investigate the role of top-down or bottom-up processes in transformation, whether the two might intertwine, and with what results. We propose five different types of interactions: Autonomous Bottom-Up, Collaborative Bottom-Up, Top-Down Struggles and Resourceful Bottom-Up, Collaborative Top-Down and Transformation Alliances. Based on our analysis, we propose a new heuristic of roles and interactions between different actors. We suggest a shift from dichotomic views on top-down and bottom-up actor roles towards the concept of “transformation functions,” which would re-centre the discussion around the existing or needed capabilities for transformation in different contexts. Finally, we call for further research to determine how different transformation functions need to become more synchronised -or coordinated-to accelerate transformation.","container-title":"Global Food Security","DOI":"10.1016/j.gfs.2025.100833","ISSN":"2211-9124","journalAbbreviation":"Global Food Security","page":"100833","source":"ScienceDirect","title":"Top-down vs bottom-up processes: A systematic review clarifying roles and patterns of interactions in food system transformation","title-short":"Top-down vs bottom-up processes","volume":"44","author":[{"family":"Conti","given":""},{"family":"Hall","given":"Andy"},{"family":"Moallemi","given":"Enayat A."},{"family":"Laila","given":"Amar"},{"family":"Bene","given":"Christophe"},{"family":"Fanzo","given":"Jessica"},{"family":"Gibson","given":"Matthew Ford"},{"family":"Gordon","given":"Line"},{"family":"Hicks","given":"Christina"},{"family":"Kok","given":"Kristiaan"},{"family":"Rao","given":"Nitya"},{"family":"Laxminarayan","given":"Ramanan"},{"family":"Mason-D'Croz","given":"Daniel"}],"issued":{"date-parts":[["2025",3,1]]}}},{"id":3433,"uris":["http://zotero.org/users/12768557/items/QM2X6VNU"],"itemData":{"id":3433,"type":"article-journal","abstract":"Agricultural Research Organisations (AROs) are being urgently called to provide solutions for agri-food system transformation. However, contrasting visions of how transformation should be achieved create difficult choices for AROs. This paper reviews existing transformation narratives to build four scenarios of future AROs: 1. Industry transition-oriented; 2. Technology mission-oriented; 3. The Community innovation-oriented; and 4. Facilitating transformative innovation-oriented. Their analysis uncovers possible risks and trade-offs, and suggests the need for new hybrid organisational forms that incorporate elements from across the scenarios. Besides, the paper highlights that given the broad industry, policy, and societal interests of AROs, decisions about transformation pathways cannot be made unilaterally and without broader discussion around the future shape and aims of innovation systems in which these organisations are embedded.","container-title":"Global Food Security","DOI":"10.1016/j.gfs.2023.100733","ISSN":"2211-9124","journalAbbreviation":"Global Food Security","page":"100733","source":"ScienceDirect","title":"What does the agri-food systems transformation agenda mean for agricultural research organisations? Exploring organisational prototypes for uncertain futures","title-short":"What does the agri-food systems transformation agenda mean for agricultural research organisations?","volume":"40","author":[{"family":"Conti","given":"Costanza"},{"family":"Hall","given":"Andrew"},{"family":"Percy","given":"Helen"},{"family":"Stone-Jovicich","given":"Samantha"},{"family":"Turner","given":"James"},{"family":"McMillan","given":"Larelle"}],"issued":{"literal":"2024b"}}}],"schema":"https://github.com/citation-style-language/schema/raw/master/csl-citation.json"} </w:instrText>
      </w:r>
      <w:r w:rsidR="00CB5CE4" w:rsidRPr="003847A6">
        <w:rPr>
          <w:color w:val="000000" w:themeColor="text1"/>
        </w:rPr>
        <w:fldChar w:fldCharType="separate"/>
      </w:r>
      <w:r w:rsidR="00063549" w:rsidRPr="003847A6">
        <w:rPr>
          <w:noProof/>
          <w:color w:val="000000" w:themeColor="text1"/>
        </w:rPr>
        <w:t>(Conti et al., 2025, 2024b)</w:t>
      </w:r>
      <w:r w:rsidR="00CB5CE4" w:rsidRPr="003847A6">
        <w:rPr>
          <w:color w:val="000000" w:themeColor="text1"/>
        </w:rPr>
        <w:fldChar w:fldCharType="end"/>
      </w:r>
      <w:r w:rsidR="00C14281" w:rsidRPr="003847A6">
        <w:rPr>
          <w:color w:val="000000" w:themeColor="text1"/>
        </w:rPr>
        <w:t xml:space="preserve">. </w:t>
      </w:r>
    </w:p>
    <w:p w14:paraId="0B94A028" w14:textId="77777777" w:rsidR="005E65D0" w:rsidRPr="003847A6" w:rsidRDefault="005E65D0" w:rsidP="003847A6">
      <w:pPr>
        <w:rPr>
          <w:color w:val="000000" w:themeColor="text1"/>
          <w:lang w:eastAsia="en-GB"/>
        </w:rPr>
      </w:pPr>
    </w:p>
    <w:p w14:paraId="58A79C42" w14:textId="330EFCD7" w:rsidR="00DE1689" w:rsidRPr="003847A6" w:rsidRDefault="007F6CCB" w:rsidP="003847A6">
      <w:pPr>
        <w:pStyle w:val="Heading1"/>
      </w:pPr>
      <w:r w:rsidRPr="003847A6">
        <w:rPr>
          <w:lang w:eastAsia="en-GB"/>
        </w:rPr>
        <w:lastRenderedPageBreak/>
        <w:t>Conclusion</w:t>
      </w:r>
    </w:p>
    <w:p w14:paraId="4A61198A" w14:textId="4358ED11" w:rsidR="00D411E4" w:rsidRPr="003847A6" w:rsidRDefault="007C0C57" w:rsidP="003847A6">
      <w:pPr>
        <w:rPr>
          <w:color w:val="000000" w:themeColor="text1"/>
        </w:rPr>
      </w:pPr>
      <w:r w:rsidRPr="003847A6">
        <w:rPr>
          <w:color w:val="000000" w:themeColor="text1"/>
        </w:rPr>
        <w:t>This paper re-conceptualises scaling as a process of interconnected change across three spheres—the local sphere, the networks, relationships and intermediation sphere, and the system sphere—and across recurring system elements (technologies, infrastructure, behaviours and values, R&amp;D, policies and institutions</w:t>
      </w:r>
      <w:r w:rsidR="00396EF4" w:rsidRPr="003847A6">
        <w:rPr>
          <w:color w:val="000000" w:themeColor="text1"/>
        </w:rPr>
        <w:t>, political economy</w:t>
      </w:r>
      <w:r w:rsidRPr="003847A6">
        <w:rPr>
          <w:color w:val="000000" w:themeColor="text1"/>
        </w:rPr>
        <w:t>)</w:t>
      </w:r>
      <w:r w:rsidR="00D411E4" w:rsidRPr="003847A6">
        <w:rPr>
          <w:color w:val="000000" w:themeColor="text1"/>
        </w:rPr>
        <w:t>, providing a novel framework</w:t>
      </w:r>
      <w:r w:rsidR="004B01BA" w:rsidRPr="003847A6">
        <w:rPr>
          <w:color w:val="000000" w:themeColor="text1"/>
        </w:rPr>
        <w:t xml:space="preserve"> (the 3S framework)</w:t>
      </w:r>
      <w:r w:rsidR="00D411E4" w:rsidRPr="003847A6">
        <w:rPr>
          <w:color w:val="000000" w:themeColor="text1"/>
        </w:rPr>
        <w:t xml:space="preserve">. </w:t>
      </w:r>
      <w:r w:rsidRPr="003847A6">
        <w:rPr>
          <w:color w:val="000000" w:themeColor="text1"/>
        </w:rPr>
        <w:t xml:space="preserve">The case shows </w:t>
      </w:r>
      <w:r w:rsidR="00D411E4" w:rsidRPr="003847A6">
        <w:rPr>
          <w:color w:val="000000" w:themeColor="text1"/>
        </w:rPr>
        <w:t xml:space="preserve">study shows </w:t>
      </w:r>
      <w:r w:rsidRPr="003847A6">
        <w:rPr>
          <w:color w:val="000000" w:themeColor="text1"/>
        </w:rPr>
        <w:t xml:space="preserve">how </w:t>
      </w:r>
      <w:r w:rsidR="00D411E4" w:rsidRPr="003847A6">
        <w:rPr>
          <w:color w:val="000000" w:themeColor="text1"/>
        </w:rPr>
        <w:t>synchronisation and sequencing function had to be carefully carried out by MSSRF through the deployment of different capabilities and the coordination of different actions</w:t>
      </w:r>
      <w:r w:rsidR="004B01BA" w:rsidRPr="003847A6">
        <w:rPr>
          <w:color w:val="000000" w:themeColor="text1"/>
        </w:rPr>
        <w:t xml:space="preserve"> over two decades</w:t>
      </w:r>
      <w:r w:rsidR="00D411E4" w:rsidRPr="003847A6">
        <w:rPr>
          <w:color w:val="000000" w:themeColor="text1"/>
        </w:rPr>
        <w:t xml:space="preserve">. Ultimately, this translated in the “deep scaling” –with the shift of both societal and political interest </w:t>
      </w:r>
      <w:r w:rsidR="00D411E4" w:rsidRPr="003847A6">
        <w:rPr>
          <w:color w:val="000000" w:themeColor="text1"/>
        </w:rPr>
        <w:fldChar w:fldCharType="begin"/>
      </w:r>
      <w:r w:rsidR="00D411E4" w:rsidRPr="003847A6">
        <w:rPr>
          <w:color w:val="000000" w:themeColor="text1"/>
        </w:rPr>
        <w:instrText xml:space="preserve"> ADDIN ZOTERO_ITEM CSL_CITATION {"citationID":"3Jl18ppT","properties":{"formattedCitation":"(Moore et al., 2014; Schut et al., 2020)","plainCitation":"(Moore et al., 2014; Schut et al., 2020)","noteIndex":0},"citationItems":[{"id":696,"uris":["http://zotero.org/users/12768557/items/TD4C69YL"],"itemData":{"id":696,"type":"article-journal","abstract":"Faced with numerous seemingly intractable social and environmental challenges, many scholars and practitioners are increasingly interested in understanding how to actively engage and transform the existing systems holding such problems in place. Although a variety of analytical models have emerged in recent years, most emphasize either the social or ecological elements of such transformations rather than their coupled nature. To address this, first we have presented a definition of the core elements of a socialecological system (SES) that could potentially be altered in a transformation. Second, we drew on insights about transformation from three branches of literature focused on radical change, i.e., social movements, socio-technical transitions, and social innovation, and gave consideration to the similarities and differences with the current studies by resilience scholars. Drawing on these findings, we have proposed a framework that outlines the process and phases of transformative change in an SES. Future research will be able to utilize the framework as a tool for analyzing the alteration of social-ecological feedbacks, identifying critical barriers and leverage points and assessing the outcome of social-ecological transformations.","container-title":"Ecology and Society","DOI":"10.5751/ES-06966-190454","issue":"4","title":"Studying the complexity of change: Toward an analytical framework for understanding deliberate social-ecological transformations","volume":"19","author":[{"family":"Moore","given":"Michele Lee"},{"family":"Tjornbo","given":"Ola"},{"family":"Enfors","given":"Elin"},{"family":"Knapp","given":"Corrie"},{"family":"Hodbod","given":"Jennifer"},{"family":"Baggio","given":"Jacopo A."},{"family":"Norström","given":"Albert"},{"family":"Olsson","given":"Per"},{"family":"Biggs","given":"Duan"}],"issued":{"date-parts":[["2014"]]}}},{"id":18930,"uris":["http://zotero.org/users/12768557/items/MIWNU7C8"],"itemData":{"id":18930,"type":"article-journal","abstract":"This Editorial to the Special Issue “Science of Scaling: connecting the pathways of agricultural research and development for improved food, income and nutrition security” presents the framing, overview and analysis of 10 articles focussed on scaling innovation in the agricultural research for development sector. The publications cut across three categories that focus on: (i) Understanding the scaling trajectory retrospectively from a longer term, systems perspective, (ii) Understanding scaling of innovation retrospectively as part of shorter term agricultural research for development interventions, and (iii) Conceptual or methodological approaches aimed at guiding scaling prospectively. Cross-cutting review of the publications leads to several insights and critically questions dominant ways of understanding and guiding scaling of innovation in the agricultural research for development sector. This provides a starting point for proposing more outcome-oriented scaling as a third wave of understanding and guiding scaling, beyond technology adoption (first wave) and the scaling of innovation (second wave). The Editorial proposes three Research Domains for the Science of Scaling: (1) ‘Understand the big picture of scaling innovation’ that can inform more realistic ideas about the factors, conditions and dynamics that affect innovation and scaling processes; (2) ‘Develop instruments that nurture efficient and responsible scaling’ that comprises new approaches, concepts and tools that can facilitate the development of evidence-based scaling strategies; and (3) ‘Create a conducive environment for scaling innovation’ that focusses on the institutional arrangements, partnership models, and monitoring and learning for scaling of innovation.","container-title":"Agricultural Systems","DOI":"10.1016/j.agsy.2020.102908","ISSN":"0308-521X","journalAbbreviation":"Agricultural Systems","page":"102908","source":"ScienceDirect","title":"Science of Scaling: Understanding and guiding the scaling of innovation for societal outcomes","title-short":"Science of Scaling","volume":"184","author":[{"family":"Schut","given":"Marc"},{"family":"Leeuwis","given":"Cees"},{"family":"Thiele","given":"Graham"}],"issued":{"date-parts":[["2020",9,1]]}}}],"schema":"https://github.com/citation-style-language/schema/raw/master/csl-citation.json"} </w:instrText>
      </w:r>
      <w:r w:rsidR="00D411E4" w:rsidRPr="003847A6">
        <w:rPr>
          <w:color w:val="000000" w:themeColor="text1"/>
        </w:rPr>
        <w:fldChar w:fldCharType="separate"/>
      </w:r>
      <w:r w:rsidR="00D411E4" w:rsidRPr="003847A6">
        <w:rPr>
          <w:noProof/>
          <w:color w:val="000000" w:themeColor="text1"/>
        </w:rPr>
        <w:t>(Moore et al., 2014; Schut et al., 2020)</w:t>
      </w:r>
      <w:r w:rsidR="00D411E4" w:rsidRPr="003847A6">
        <w:rPr>
          <w:color w:val="000000" w:themeColor="text1"/>
        </w:rPr>
        <w:fldChar w:fldCharType="end"/>
      </w:r>
      <w:r w:rsidR="00D411E4" w:rsidRPr="003847A6">
        <w:rPr>
          <w:color w:val="000000" w:themeColor="text1"/>
        </w:rPr>
        <w:t xml:space="preserve"> towards an innovation that, from being “forgotten”, started representing an important solution for nutritional, environmental and economic well-being at the country level </w:t>
      </w:r>
      <w:r w:rsidR="00D411E4" w:rsidRPr="003847A6">
        <w:rPr>
          <w:color w:val="000000" w:themeColor="text1"/>
        </w:rPr>
        <w:fldChar w:fldCharType="begin"/>
      </w:r>
      <w:r w:rsidR="00AD2E2F" w:rsidRPr="003847A6">
        <w:rPr>
          <w:color w:val="000000" w:themeColor="text1"/>
        </w:rPr>
        <w:instrText xml:space="preserve"> ADDIN ZOTERO_ITEM CSL_CITATION {"citationID":"9RlSJsz5","properties":{"formattedCitation":"(Government of India, 2023)","plainCitation":"(Government of India, 2023)","noteIndex":0},"citationItems":[{"id":20852,"uris":["http://zotero.org/users/12768557/items/HJXPQDD4"],"itemData":{"id":20852,"type":"report","publisher":"Governement of India","publisher-place":"New Delhi","title":"SECOND NATIONAL CONFERENCE OF CHIEF SECRETARIES - International Year of Millets 2023","author":[{"family":"Government of India","given":""}],"issued":{"date-parts":[["2023"]]}}}],"schema":"https://github.com/citation-style-language/schema/raw/master/csl-citation.json"} </w:instrText>
      </w:r>
      <w:r w:rsidR="00D411E4" w:rsidRPr="003847A6">
        <w:rPr>
          <w:color w:val="000000" w:themeColor="text1"/>
        </w:rPr>
        <w:fldChar w:fldCharType="separate"/>
      </w:r>
      <w:r w:rsidR="00D411E4" w:rsidRPr="003847A6">
        <w:rPr>
          <w:noProof/>
          <w:color w:val="000000" w:themeColor="text1"/>
        </w:rPr>
        <w:t>(Government of India, 2023)</w:t>
      </w:r>
      <w:r w:rsidR="00D411E4" w:rsidRPr="003847A6">
        <w:rPr>
          <w:color w:val="000000" w:themeColor="text1"/>
        </w:rPr>
        <w:fldChar w:fldCharType="end"/>
      </w:r>
      <w:r w:rsidR="00D411E4" w:rsidRPr="003847A6">
        <w:rPr>
          <w:color w:val="000000" w:themeColor="text1"/>
        </w:rPr>
        <w:t xml:space="preserve">. While the framework presented here might need further testing, this new conceptualisation of scaling across spheres raises many questions for intervention aimed at achieving system change: what actions and actors in different contexts need to be in place to drive interventions </w:t>
      </w:r>
      <w:r w:rsidR="00E16199" w:rsidRPr="003847A6">
        <w:rPr>
          <w:color w:val="000000" w:themeColor="text1"/>
        </w:rPr>
        <w:t xml:space="preserve">from the local </w:t>
      </w:r>
      <w:r w:rsidR="00D411E4" w:rsidRPr="003847A6">
        <w:rPr>
          <w:color w:val="000000" w:themeColor="text1"/>
        </w:rPr>
        <w:t>towards the system sphere</w:t>
      </w:r>
      <w:r w:rsidR="00BD536F" w:rsidRPr="003847A6">
        <w:rPr>
          <w:color w:val="000000" w:themeColor="text1"/>
        </w:rPr>
        <w:t xml:space="preserve"> </w:t>
      </w:r>
      <w:r w:rsidR="00BD536F" w:rsidRPr="003847A6">
        <w:rPr>
          <w:color w:val="000000" w:themeColor="text1"/>
        </w:rPr>
        <w:fldChar w:fldCharType="begin"/>
      </w:r>
      <w:r w:rsidR="00BD536F" w:rsidRPr="003847A6">
        <w:rPr>
          <w:color w:val="000000" w:themeColor="text1"/>
        </w:rPr>
        <w:instrText xml:space="preserve"> ADDIN ZOTERO_ITEM CSL_CITATION {"citationID":"IYVJGPzw","properties":{"formattedCitation":"(Bui, 2021; Kok et al., 2023)","plainCitation":"(Bui, 2021; Kok et al., 2023)","noteIndex":0},"citationItems":[{"id":1494,"uris":["http://zotero.org/users/12768557/items/BBM4DKFE"],"itemData":{"id":1494,"type":"article-journal","container-title":"Sustainability","issue":"6135","page":"1-21","title":"Enacting Transitions — The Combined Effect of Multiple Niches in Whole System Reconfiguration","volume":"13","author":[{"family":"Bui","given":"Sibylle"}],"issued":{"date-parts":[["2021"]]}}},{"id":920,"uris":["http://zotero.org/users/12768557/items/KB4YZA2B"],"itemData":{"id":920,"type":"article-journal","abstract":"Scholars have argued that transdisciplinary experimentation processes in Labs which include societal stakeholders in research and innovation might help to create meaningful societal impact. At the same time, there is ample room to explore the practice of ‘doing’ Labs in relation to the transformative impacts that Labs aim to create. We present a case study of the FIT4FOOD2030 project (2017–2020) aimed at contributing to food system transformation in the EU through setting up 25 multi-stakeholder Labs. We aimed to gain insight into how transdisciplinary Labs with transformative ambitions try to create impact, and which challenges that brings along. For “capacitating change”, Labs built agency by focusing on creating (1) new relations through network mobilization, network consolidation and network coordination; (2) new knowledge through knowledge sharing and social learning; and (3) new competences for Lab coordinators and engaged stakeholders. For “creating change” Labs focused on (1) transforming networks – the Lab as catalyst; (2) transforming practices – the Lab as concretizer; (3) transforming structures – the Lab as construction site; (4) transforming cultures - the Lab as critical mass. We observed complex (reciprocal) relations between processes of capacitating and creating change. Finally, we present intrinsic challenges in the practice of ‘doing’ Labs regarding the evaluation of single-Lab impacts, and the political dynamics of transformative Labs.","container-title":"Journal of Cleaner Production","DOI":"10.1016/J.JCLEPRO.2023.135994","page":"135994-135994","publisher":"Elsevier","title":"Exploring the practice of Labs for sustainable transformation: The challenge of ‘creating impact’","volume":"388","author":[{"family":"Kok","given":"Kristiaan P.W."},{"family":"Meij","given":"Marjoleine G.","non-dropping-particle":"van der"},{"family":"Wagner","given":"Petra"},{"family":"Cesuroglu","given":"Tomris"},{"family":"Broerse","given":"Jacqueline E.W."},{"family":"Regeer","given":"Barbara J."}],"issued":{"date-parts":[["2023",2]]}}}],"schema":"https://github.com/citation-style-language/schema/raw/master/csl-citation.json"} </w:instrText>
      </w:r>
      <w:r w:rsidR="00BD536F" w:rsidRPr="003847A6">
        <w:rPr>
          <w:color w:val="000000" w:themeColor="text1"/>
        </w:rPr>
        <w:fldChar w:fldCharType="separate"/>
      </w:r>
      <w:r w:rsidR="00BD536F" w:rsidRPr="003847A6">
        <w:rPr>
          <w:noProof/>
          <w:color w:val="000000" w:themeColor="text1"/>
        </w:rPr>
        <w:t>(Bui, 2021; Kok et al., 2023)</w:t>
      </w:r>
      <w:r w:rsidR="00BD536F" w:rsidRPr="003847A6">
        <w:rPr>
          <w:color w:val="000000" w:themeColor="text1"/>
        </w:rPr>
        <w:fldChar w:fldCharType="end"/>
      </w:r>
      <w:r w:rsidR="00D411E4" w:rsidRPr="003847A6">
        <w:rPr>
          <w:color w:val="000000" w:themeColor="text1"/>
        </w:rPr>
        <w:t xml:space="preserve">? </w:t>
      </w:r>
      <w:r w:rsidR="00322520" w:rsidRPr="003847A6">
        <w:rPr>
          <w:color w:val="000000" w:themeColor="text1"/>
        </w:rPr>
        <w:t xml:space="preserve">What are the “right” timespans that should be allocated to do so, considering the long-term nature of transformative processes </w:t>
      </w:r>
      <w:r w:rsidR="00322520" w:rsidRPr="003847A6">
        <w:rPr>
          <w:color w:val="000000" w:themeColor="text1"/>
        </w:rPr>
        <w:fldChar w:fldCharType="begin"/>
      </w:r>
      <w:r w:rsidR="00063549" w:rsidRPr="003847A6">
        <w:rPr>
          <w:color w:val="000000" w:themeColor="text1"/>
        </w:rPr>
        <w:instrText xml:space="preserve"> ADDIN ZOTERO_ITEM CSL_CITATION {"citationID":"NvyH8jMP","properties":{"formattedCitation":"(Geels, 2006; Govaerts et al., 2021)","plainCitation":"(Geels, 2006; Govaerts et al., 2021)","noteIndex":0},"citationItems":[{"id":814,"uris":["http://zotero.org/users/12768557/items/ZGJWNIXD"],"itemData":{"id":814,"type":"article-journal","abstract":"This article deals with system innovation in Freeman and Perez's innovation typology (incremental, radical, system, techno-economic paradigm). This article conceptualises these changes as transitions from one socio-technical system to another. These transitions are co-evolution processes that are not only about technological discontinuities, but also about markets, user practices, regulation, culture, infrastructure and science. In a critical discussion of co-evolution literatures, the article distinguishes three levels of co-evolutionary processes. To understand transitions, these insights are combined in a multi-level perspective, consisting of niche, regime and landscape levels. Transitions come about when co-evolutionary dynamics at these three levels link up and reinforce each other. The perspective is illustrated with a historical case study: the transition from aviation systems based on propeller-aircraft to aviation systems based on turbojet aircraft (1930-1970). The case study provides not just an evolutionary economic analysis of technological change, but also deals with the long-run evolution of technology and the socio-economic system. © 2005 Elsevier Ltd. All rights reserved.","container-title":"Technovation","DOI":"10.1016/J.TECHNOVATION.2005.08.010","issue":"9","page":"999-1016","publisher":"Elsevier","title":"Co-evolutionary and multi-level dynamics in transitions: The transformation of aviation systems and the shift from propeller to turbojet (1930–1970)","volume":"26","author":[{"family":"Geels","given":"F. W."}],"issued":{"date-parts":[["2006",9]]}}},{"id":1690,"uris":["http://zotero.org/users/12768557/items/9GU7YCD9"],"itemData":{"id":1690,"type":"article-journal","abstract":"Agri-food systems are besieged by malnutrition, yield gaps, and climate vulnerability, but integrated, research-based responses in public policy, agricultural, value chains, and finance are constrained by short-termism and zero sum thinking. As they respond to current and emerging agri-food system challenges, decision makers need new tools that steer toward multi-sector, evidence-based collaboration. To support national agri-food system policy processes, the Integrated Agri-food System Initiative (IASI) methodology was developed and validated through case studies in Mexico and Colombia. This holistic, multi-sector methodology builds on diverse existing data resources and leverages situation analysis, modeled predictions, and scenarios to synchronize public and private action at the national level toward sustainable, equitable, and inclusive agri-food systems. Culminating in collectively agreed strategies and multi-partner tactical plans, the IASI methodology enabled a multi-level systems approach by mobilizing design thinking to foster mindset shifts and stakeholder consensus on sustainable and scalable innovations that respond to real-time dynamics in complex agri-food systems. To build capacity for these types of integrated, context- specific approaches, greater investment is needed in supportive international institutions that function as trusted in-region 'innovation brokers.' This paper calls for a structured global network to advance adaptation and evolution of essential tools like the IASI methodology in support of the One CGIAR mandate and in service of positive agri-food systems transformation.","container-title":"PLoS ONE","DOI":"10.1371/journal.pone.0252832","ISSN":"1111111111","issue":"6 June","title":"One CGIAR and the Integrated Agri-food Systems Initiative: From short-termism to transformation of the world's food systems","URL":"http://dx.doi.org/10.1371/journal.pone.0252832","volume":"16","author":[{"family":"Govaerts","given":"Bram ID"},{"family":"Negra","given":"Christine ID"},{"family":"Villa","given":"Tania Carolina Camacho"},{"family":"Suarez","given":"Xiomara Chavez"},{"family":"Espinosa","given":"Anabell Diaz"},{"family":"Fonteyne","given":"Simon"},{"family":"Gardeazabal","given":"Andrea"},{"family":"Gonzalez","given":"Gabriela"},{"family":"Singh","given":"Ravi Gopal"},{"family":"Kommerell","given":"Victor"},{"family":"Kropff","given":"Wietske"},{"family":"Saavedra Lopez","given":"Victor"},{"family":"Lopez","given":"Georgina Mena"},{"family":"Odjo","given":"Sylvanus"},{"family":"Rojas","given":"Natalia Palacios"},{"family":"Ramirez-Villegas","given":"Julian"},{"family":"Van Loon","given":"Jelle"},{"family":"Vega","given":"Daniela"},{"family":"Verhulst","given":"Nele"},{"family":"Woltering","given":"Lennart"},{"family":"Jahn","given":"Molly"},{"family":"Kropff","given":"Martin"},{"family":"Carolina Camacho Villa","given":"Tania"},{"family":"Chavez Suarez","given":"Xiomara"},{"family":"Diaz Espinosa","given":"Anabell"},{"family":"FonteyneID","given":"Simon"},{"family":"Gardeazabal","given":"Andrea"},{"family":"Gonzalez","given":"Gabriela"},{"family":"Gopal Singh","given":"Ravi"},{"family":"Kommerell","given":"Victor"},{"family":"Kropff","given":"Wietske"},{"family":"Lopez Saavedra","given":"Victor"},{"family":"Mena Lopez","given":"Georgina"},{"family":"Odjo","given":"Sylvanus"},{"family":"Palacios Rojas","given":"Natalia"},{"family":"Ramirez-Villegas","given":"Julian"},{"family":"Van LoonID","given":"Jelle"},{"family":"Vega","given":"Daniela"},{"family":"Verhulst","given":"Nele"},{"family":"Woltering","given":"Lennart"},{"family":"Jahn","given":"Molly"},{"family":"Kropff","given":"Martin"},{"family":"Villa","given":"Tania Carolina Camacho"},{"family":"Suarez","given":"Xiomara Chavez"},{"family":"Espinosa","given":"Anabell Diaz"},{"family":"Fonteyne","given":"Simon"},{"family":"Gardeazabal","given":"Andrea"},{"family":"Gonzalez","given":"Gabriela"},{"family":"Singh","given":"Ravi Gopal"},{"family":"Kommerell","given":"Victor"},{"family":"Kropff","given":"Wietske"},{"family":"Saavedra Lopez","given":"Victor"},{"family":"Lopez","given":"Georgina Mena"},{"family":"Odjo","given":"Sylvanus"},{"family":"Rojas","given":"Natalia Palacios"},{"family":"Ramirez-Villegas","given":"Julian"},{"family":"Van Loon","given":"Jelle"},{"family":"Vega","given":"Daniela"},{"family":"Verhulst","given":"Nele"},{"family":"Woltering","given":"Lennart"},{"family":"Jahn","given":"Molly"},{"family":"Kropff","given":"Martin"}],"issued":{"date-parts":[["2021"]]}}}],"schema":"https://github.com/citation-style-language/schema/raw/master/csl-citation.json"} </w:instrText>
      </w:r>
      <w:r w:rsidR="00322520" w:rsidRPr="003847A6">
        <w:rPr>
          <w:color w:val="000000" w:themeColor="text1"/>
        </w:rPr>
        <w:fldChar w:fldCharType="separate"/>
      </w:r>
      <w:r w:rsidR="00063549" w:rsidRPr="003847A6">
        <w:rPr>
          <w:noProof/>
          <w:color w:val="000000" w:themeColor="text1"/>
        </w:rPr>
        <w:t>(Geels, 2006; Govaerts et al., 2021)</w:t>
      </w:r>
      <w:r w:rsidR="00322520" w:rsidRPr="003847A6">
        <w:rPr>
          <w:color w:val="000000" w:themeColor="text1"/>
        </w:rPr>
        <w:fldChar w:fldCharType="end"/>
      </w:r>
      <w:r w:rsidR="00322520" w:rsidRPr="003847A6">
        <w:rPr>
          <w:color w:val="000000" w:themeColor="text1"/>
        </w:rPr>
        <w:t xml:space="preserve">? And more importantly, now that many political agendas are shifting back to economic-growth and technology driven agenda </w:t>
      </w:r>
      <w:r w:rsidR="00322520" w:rsidRPr="003847A6">
        <w:rPr>
          <w:color w:val="000000" w:themeColor="text1"/>
        </w:rPr>
        <w:fldChar w:fldCharType="begin"/>
      </w:r>
      <w:r w:rsidR="00322520" w:rsidRPr="003847A6">
        <w:rPr>
          <w:color w:val="000000" w:themeColor="text1"/>
        </w:rPr>
        <w:instrText xml:space="preserve"> ADDIN ZOTERO_ITEM CSL_CITATION {"citationID":"qaGqPmjw","properties":{"formattedCitation":"(Kalvelage et al., 2023; Lacey-Barnacle et al., 2026)","plainCitation":"(Kalvelage et al., 2023; Lacey-Barnacle et al., 2026)","noteIndex":0},"citationItems":[{"id":20994,"uris":["http://zotero.org/users/12768557/items/2IQEQ8XA"],"itemData":{"id":20994,"type":"article-journal","abstract":"Community Wealth Building (CWB) has begun to ascend globally as an international policy movement promoting local economic development that advances economic democracy. However, despite the global embrace of CWB in various locations such as the USA, Canada, Australia, the Netherlands and the UK, it rarely explicitly connects to the notion of ‘Green Prosperity’ brought about by decarbonisation. As a result, CWB efforts lack explicit strategic, financial, policy and institutional engagements with core net zero legislation, approaches and actors, alongside the growing diversity of local, community and civil society organisations active in bottom-up sustainability transitions. We therefore see huge potential for more constructive and collaborative dialogue between burgeoning net zero and CWB communities, leading to more integrated research, policy and practice that supports the democratisation of just transitions. Drawing on insights from leading academic and policy research, our Perspective piece calls for four ways forward for CWB policy actors and advocates to integrate just transitions into CWB agendas; (1) Prioritise procedural justice through community &amp; worker engagement in CWB &amp; Net Zero strategies (2) Retrospectively integrate just transitions approaches into existing CWB programmes (3) Strategy alignment &amp; working across policy silos for a just transition and (4) Involve anchor institutions and their growing networks in just transitions. Taken together, these four routes forward expand the sustainability and just transition dimensions of existing CWB principles at various scales of governance, whilst advancing CWB research and thinking into novel directions.","container-title":"Environmental Innovation and Societal Transitions","DOI":"10.1016/j.eist.2025.101077","ISSN":"2210-4224","journalAbbreviation":"Environmental Innovation and Societal Transitions","page":"101077","source":"ScienceDirect","title":"Reframing Green Prosperity: integrating sustainability and just transitions into Community Wealth Building","title-short":"Reframing Green Prosperity","volume":"59","author":[{"family":"Lacey-Barnacle","given":"Max"},{"family":"Atkins","given":"Ed"},{"family":"Radcliffe","given":"Eleanor"},{"family":"Boucher","given":"Martin"}],"issued":{"date-parts":[["2026",3,1]]}}},{"id":269,"uris":["http://zotero.org/users/12768557/items/ESS5UARX"],"itemData":{"id":269,"type":"article-journal","abstract":"Starting from the observation that value chain research has informed much of agricultural development interventions in recent decades, this paper identifies five key challenges to current agricultural development policies in low- and middle-income countries (LMICs): access to finance, infrastructure, land tenure, local linkages and knowledge transfer. Based on this review, it is argued that recent theoretical advances in the global production network (GPN) approach can help to achieve a more holistic view of agricultural development policies than the more linear value chain research. In particular, three key concepts from the GPN approach are highlighted: mobilisation of regional assets, strategic coupling and territorial embeddedness. These key concepts are used to propose a framework called ‘insight-out strategic coupling for smallholder integration’, which builds on the concept of strategic coupling in GPN research and applies it as a development tool to agricultural production. Using an in-depth case study approach, the usefulness of this framework is tested by examining the experience of Malawi Mangoes, a company established to promote smallholder exports. Malawi Mangoes was initially funded by private equity, but despite a number of challenges along the way, was soon able to attract development funding and integrate smallholders from surrounding villages throughout-grower schemes. Analysis of the case shows both the usefulness of the framework and the lost potential in implementing agricultural development policy. The authors conclude that the framework is useful for linking current debates on agricultural development interventions, but that the findings of critical GPN research need to be taken into account when developing agricultural development interventions in order to respect the ‘do no harm’ principle.","container-title":"Outlook on Agriculture","DOI":"10.1177/00307270231179240","issue":"2","page":"174-185","title":"Inside-out strategic coupling for smallholder market integration – Mango production in Malawi as a test case","volume":"52","author":[{"family":"Kalvelage","given":"Linus"},{"family":"Hardie","given":"Craig"},{"family":"Mausch","given":"Kai"},{"family":"Conti","given":"Costanza"},{"family":"Hall","given":"Andy"}],"issued":{"date-parts":[["2023"]]}}}],"schema":"https://github.com/citation-style-language/schema/raw/master/csl-citation.json"} </w:instrText>
      </w:r>
      <w:r w:rsidR="00322520" w:rsidRPr="003847A6">
        <w:rPr>
          <w:color w:val="000000" w:themeColor="text1"/>
        </w:rPr>
        <w:fldChar w:fldCharType="separate"/>
      </w:r>
      <w:r w:rsidR="00322520" w:rsidRPr="003847A6">
        <w:rPr>
          <w:noProof/>
          <w:color w:val="000000" w:themeColor="text1"/>
        </w:rPr>
        <w:t>(Kalvelage et al., 2023; Lacey-Barnacle et al., 2026)</w:t>
      </w:r>
      <w:r w:rsidR="00322520" w:rsidRPr="003847A6">
        <w:rPr>
          <w:color w:val="000000" w:themeColor="text1"/>
        </w:rPr>
        <w:fldChar w:fldCharType="end"/>
      </w:r>
      <w:r w:rsidR="00322520" w:rsidRPr="003847A6">
        <w:rPr>
          <w:color w:val="000000" w:themeColor="text1"/>
        </w:rPr>
        <w:t xml:space="preserve">, how can the narrative and impact </w:t>
      </w:r>
      <w:r w:rsidR="004B01BA" w:rsidRPr="003847A6">
        <w:rPr>
          <w:color w:val="000000" w:themeColor="text1"/>
        </w:rPr>
        <w:t>of</w:t>
      </w:r>
      <w:r w:rsidR="00322520" w:rsidRPr="003847A6">
        <w:rPr>
          <w:color w:val="000000" w:themeColor="text1"/>
        </w:rPr>
        <w:t xml:space="preserve"> interventions </w:t>
      </w:r>
      <w:r w:rsidR="004B01BA" w:rsidRPr="003847A6">
        <w:rPr>
          <w:color w:val="000000" w:themeColor="text1"/>
        </w:rPr>
        <w:t xml:space="preserve">for food system transformation  </w:t>
      </w:r>
      <w:r w:rsidR="00322520" w:rsidRPr="003847A6">
        <w:rPr>
          <w:color w:val="000000" w:themeColor="text1"/>
        </w:rPr>
        <w:t xml:space="preserve">be </w:t>
      </w:r>
      <w:r w:rsidR="004B01BA" w:rsidRPr="003847A6">
        <w:rPr>
          <w:color w:val="000000" w:themeColor="text1"/>
        </w:rPr>
        <w:t>more convincingly</w:t>
      </w:r>
      <w:r w:rsidR="00322520" w:rsidRPr="003847A6">
        <w:rPr>
          <w:color w:val="000000" w:themeColor="text1"/>
        </w:rPr>
        <w:t xml:space="preserve"> articulated?  </w:t>
      </w:r>
    </w:p>
    <w:p w14:paraId="2CD9700A" w14:textId="3164CE30" w:rsidR="00751B13" w:rsidRPr="003847A6" w:rsidRDefault="00751B13" w:rsidP="003847A6">
      <w:pPr>
        <w:rPr>
          <w:color w:val="000000" w:themeColor="text1"/>
        </w:rPr>
      </w:pPr>
    </w:p>
    <w:p w14:paraId="30E689C8" w14:textId="4DA597B1" w:rsidR="003E1A85" w:rsidRPr="003847A6" w:rsidRDefault="003E1A85" w:rsidP="003847A6">
      <w:pPr>
        <w:rPr>
          <w:color w:val="000000" w:themeColor="text1"/>
        </w:rPr>
      </w:pPr>
    </w:p>
    <w:p w14:paraId="4885807E" w14:textId="0320E191" w:rsidR="00E04C5C" w:rsidRPr="003847A6" w:rsidRDefault="00856327" w:rsidP="003847A6">
      <w:pPr>
        <w:rPr>
          <w:b/>
          <w:bCs/>
          <w:color w:val="000000" w:themeColor="text1"/>
          <w:shd w:val="clear" w:color="auto" w:fill="FFFFFF"/>
        </w:rPr>
      </w:pPr>
      <w:r w:rsidRPr="003847A6">
        <w:rPr>
          <w:b/>
          <w:bCs/>
          <w:color w:val="000000" w:themeColor="text1"/>
          <w:shd w:val="clear" w:color="auto" w:fill="FFFFFF"/>
        </w:rPr>
        <w:t>Acknowledgements</w:t>
      </w:r>
    </w:p>
    <w:p w14:paraId="7102D666" w14:textId="6956E70B" w:rsidR="00856327" w:rsidRPr="003847A6" w:rsidRDefault="00856327" w:rsidP="003847A6">
      <w:pPr>
        <w:rPr>
          <w:color w:val="000000" w:themeColor="text1"/>
          <w:shd w:val="clear" w:color="auto" w:fill="FFFFFF"/>
        </w:rPr>
      </w:pPr>
      <w:r w:rsidRPr="003847A6">
        <w:rPr>
          <w:color w:val="000000" w:themeColor="text1"/>
          <w:shd w:val="clear" w:color="auto" w:fill="FFFFFF"/>
        </w:rPr>
        <w:t>We sincerely thank the tribal communities of Odisha who generously shared their insights and lived experiences, which form the foundation of this case study. We also extend our gratitude to the field staff of MSSRF whose long-standing engagement and contributions were instrumental in documenting the processes described here.</w:t>
      </w:r>
      <w:r w:rsidR="0019633C">
        <w:rPr>
          <w:color w:val="000000" w:themeColor="text1"/>
          <w:shd w:val="clear" w:color="auto" w:fill="FFFFFF"/>
        </w:rPr>
        <w:t xml:space="preserve"> </w:t>
      </w:r>
    </w:p>
    <w:p w14:paraId="59BDFA33" w14:textId="77777777" w:rsidR="00856327" w:rsidRPr="003847A6" w:rsidRDefault="00856327" w:rsidP="003847A6">
      <w:pPr>
        <w:rPr>
          <w:color w:val="000000" w:themeColor="text1"/>
          <w:shd w:val="clear" w:color="auto" w:fill="FFFFFF"/>
        </w:rPr>
      </w:pPr>
    </w:p>
    <w:p w14:paraId="3A7A7221" w14:textId="3F946984" w:rsidR="00856327" w:rsidRPr="003847A6" w:rsidRDefault="00856327" w:rsidP="003847A6">
      <w:pPr>
        <w:rPr>
          <w:b/>
          <w:bCs/>
          <w:color w:val="000000" w:themeColor="text1"/>
          <w:shd w:val="clear" w:color="auto" w:fill="FFFFFF"/>
        </w:rPr>
      </w:pPr>
      <w:r w:rsidRPr="003847A6">
        <w:rPr>
          <w:b/>
          <w:bCs/>
          <w:color w:val="000000" w:themeColor="text1"/>
          <w:shd w:val="clear" w:color="auto" w:fill="FFFFFF"/>
        </w:rPr>
        <w:t>Funding</w:t>
      </w:r>
    </w:p>
    <w:p w14:paraId="21D4ACF9" w14:textId="5B82CA56" w:rsidR="00856327" w:rsidRPr="003847A6" w:rsidRDefault="00856327" w:rsidP="003847A6">
      <w:pPr>
        <w:rPr>
          <w:color w:val="000000" w:themeColor="text1"/>
          <w:shd w:val="clear" w:color="auto" w:fill="FFFFFF"/>
        </w:rPr>
      </w:pPr>
      <w:r w:rsidRPr="003847A6">
        <w:rPr>
          <w:color w:val="000000" w:themeColor="text1"/>
          <w:shd w:val="clear" w:color="auto" w:fill="FFFFFF"/>
        </w:rPr>
        <w:t xml:space="preserve">The work of the MSSRF-affiliated authors was funded by the same institutions. The work of the CSIRO-affiliated author was funded by </w:t>
      </w:r>
      <w:r w:rsidR="005907FC" w:rsidRPr="003847A6">
        <w:rPr>
          <w:color w:val="000000" w:themeColor="text1"/>
          <w:shd w:val="clear" w:color="auto" w:fill="FFFFFF"/>
        </w:rPr>
        <w:t xml:space="preserve">the Sustainability program in the </w:t>
      </w:r>
      <w:r w:rsidR="008C1A83" w:rsidRPr="003847A6">
        <w:rPr>
          <w:color w:val="000000" w:themeColor="text1"/>
          <w:shd w:val="clear" w:color="auto" w:fill="FFFFFF"/>
        </w:rPr>
        <w:t xml:space="preserve">Agriculture </w:t>
      </w:r>
      <w:proofErr w:type="gramStart"/>
      <w:r w:rsidR="008C1A83" w:rsidRPr="003847A6">
        <w:rPr>
          <w:color w:val="000000" w:themeColor="text1"/>
          <w:shd w:val="clear" w:color="auto" w:fill="FFFFFF"/>
        </w:rPr>
        <w:t>And</w:t>
      </w:r>
      <w:proofErr w:type="gramEnd"/>
      <w:r w:rsidR="008C1A83" w:rsidRPr="003847A6">
        <w:rPr>
          <w:color w:val="000000" w:themeColor="text1"/>
          <w:shd w:val="clear" w:color="auto" w:fill="FFFFFF"/>
        </w:rPr>
        <w:t xml:space="preserve"> Food Research Unit</w:t>
      </w:r>
      <w:r w:rsidR="005907FC" w:rsidRPr="003847A6">
        <w:rPr>
          <w:color w:val="000000" w:themeColor="text1"/>
          <w:shd w:val="clear" w:color="auto" w:fill="FFFFFF"/>
        </w:rPr>
        <w:t xml:space="preserve"> of </w:t>
      </w:r>
      <w:r w:rsidRPr="003847A6">
        <w:rPr>
          <w:color w:val="000000" w:themeColor="text1"/>
          <w:shd w:val="clear" w:color="auto" w:fill="FFFFFF"/>
        </w:rPr>
        <w:t>CSIRO.</w:t>
      </w:r>
    </w:p>
    <w:p w14:paraId="0C1A5249" w14:textId="68D373C3" w:rsidR="00592ECF" w:rsidRDefault="00592ECF">
      <w:pPr>
        <w:spacing w:line="240" w:lineRule="auto"/>
        <w:jc w:val="left"/>
        <w:rPr>
          <w:shd w:val="clear" w:color="auto" w:fill="FFFFFF"/>
        </w:rPr>
      </w:pPr>
      <w:r>
        <w:rPr>
          <w:shd w:val="clear" w:color="auto" w:fill="FFFFFF"/>
        </w:rPr>
        <w:br w:type="page"/>
      </w:r>
    </w:p>
    <w:p w14:paraId="3EA43B09" w14:textId="77777777" w:rsidR="00F937D7" w:rsidRDefault="00EC5B60" w:rsidP="008B0A90">
      <w:pPr>
        <w:pStyle w:val="Bibliography"/>
        <w:rPr>
          <w:b/>
          <w:bCs/>
          <w:shd w:val="clear" w:color="auto" w:fill="FFFFFF"/>
        </w:rPr>
      </w:pPr>
      <w:r w:rsidRPr="00EC5B60">
        <w:rPr>
          <w:b/>
          <w:bCs/>
          <w:shd w:val="clear" w:color="auto" w:fill="FFFFFF"/>
        </w:rPr>
        <w:lastRenderedPageBreak/>
        <w:t>References:</w:t>
      </w:r>
    </w:p>
    <w:p w14:paraId="1D957CAA" w14:textId="77777777" w:rsidR="001008B9" w:rsidRPr="001008B9" w:rsidRDefault="00C84E2D" w:rsidP="001008B9">
      <w:pPr>
        <w:pStyle w:val="Bibliography"/>
      </w:pPr>
      <w:r>
        <w:rPr>
          <w:b/>
          <w:bCs/>
          <w:shd w:val="clear" w:color="auto" w:fill="FFFFFF"/>
        </w:rPr>
        <w:fldChar w:fldCharType="begin"/>
      </w:r>
      <w:r w:rsidRPr="00EC5B60">
        <w:rPr>
          <w:b/>
          <w:bCs/>
          <w:shd w:val="clear" w:color="auto" w:fill="FFFFFF"/>
        </w:rPr>
        <w:instrText xml:space="preserve"> ADDIN ZOTERO_BIBL {"uncited":[],"omitted":[],"custom":[]} CSL_BIBLIOGRAPHY </w:instrText>
      </w:r>
      <w:r>
        <w:rPr>
          <w:b/>
          <w:bCs/>
          <w:shd w:val="clear" w:color="auto" w:fill="FFFFFF"/>
        </w:rPr>
        <w:fldChar w:fldCharType="separate"/>
      </w:r>
      <w:r w:rsidR="001008B9" w:rsidRPr="001008B9">
        <w:t>Abraham, H.R., 2023. MS Swaminathan, ‘visionary’ father of India’s green revolution, dies at 98. The Guardian.</w:t>
      </w:r>
    </w:p>
    <w:p w14:paraId="0ADC374A" w14:textId="77777777" w:rsidR="001008B9" w:rsidRPr="001008B9" w:rsidRDefault="001008B9" w:rsidP="001008B9">
      <w:pPr>
        <w:pStyle w:val="Bibliography"/>
      </w:pPr>
      <w:r w:rsidRPr="001008B9">
        <w:t>Adekunle, A., Fatunbi, O., 2012. Approaches for Setting-up Multi-Stakeholder Platforms for Agricultural Research and Development. World Appl. Sci. J. 16.</w:t>
      </w:r>
    </w:p>
    <w:p w14:paraId="3D41C7D5" w14:textId="77777777" w:rsidR="001008B9" w:rsidRPr="001008B9" w:rsidRDefault="001008B9" w:rsidP="001008B9">
      <w:pPr>
        <w:pStyle w:val="Bibliography"/>
      </w:pPr>
      <w:r w:rsidRPr="001008B9">
        <w:t>Alberio, M., Moralli, M., 2021. Social innovation in alternative food networks. The role of co-producers in Campi Aperti. J. Rural Stud. 82, 447–457. https://doi.org/10.1016/J.JRURSTUD.2020.10.007</w:t>
      </w:r>
    </w:p>
    <w:p w14:paraId="1F9C07D4" w14:textId="77777777" w:rsidR="001008B9" w:rsidRPr="001008B9" w:rsidRDefault="001008B9" w:rsidP="001008B9">
      <w:pPr>
        <w:pStyle w:val="Bibliography"/>
      </w:pPr>
      <w:r w:rsidRPr="001008B9">
        <w:t>APAARI, 2025. NATIONAL CONSULTATION: Transforming Seed Systems for Resilient, Sustainable, and Inclusive Agricultural Development in Asia. Asia-Pac. Assoc. Agric. Res. Inst.</w:t>
      </w:r>
    </w:p>
    <w:p w14:paraId="3FE51480" w14:textId="77777777" w:rsidR="001008B9" w:rsidRPr="001008B9" w:rsidRDefault="001008B9" w:rsidP="001008B9">
      <w:pPr>
        <w:pStyle w:val="Bibliography"/>
      </w:pPr>
      <w:r w:rsidRPr="001008B9">
        <w:t>Arunachalam, V., 2007. Participatory Plant Breeding and Knowledge Management for Strengthening Rural Livelihoods. MSSRF and Swiss Agency for Development and Cooperation, Chennai.</w:t>
      </w:r>
    </w:p>
    <w:p w14:paraId="52504D16" w14:textId="77777777" w:rsidR="001008B9" w:rsidRPr="001008B9" w:rsidRDefault="001008B9" w:rsidP="001008B9">
      <w:pPr>
        <w:pStyle w:val="Bibliography"/>
      </w:pPr>
      <w:r w:rsidRPr="001008B9">
        <w:t>Bala Ravi, S., Swain, S., Sengotuvel, D., Parida, N.R., 2010. Promoting Nutritious Millets for Enhancing Income and Improved Nutrition: A Case Study from Tamil Nadu and Orissa, in: Minor Millets in South Asia Learnings from IFAD-NUS Project in India and Nepal. Bioversity International, Maccarese, Rome, Italy and the M.S. Swaminathan Research Foundation, Chennai, India., Chennai.</w:t>
      </w:r>
    </w:p>
    <w:p w14:paraId="6DAA35FB" w14:textId="77777777" w:rsidR="001008B9" w:rsidRPr="001008B9" w:rsidRDefault="001008B9" w:rsidP="001008B9">
      <w:pPr>
        <w:pStyle w:val="Bibliography"/>
      </w:pPr>
      <w:r w:rsidRPr="001008B9">
        <w:t>Bonny, S., 1992. Ongoing technical change on farm holdings in a developed country, France. A survey on its vectors, its nature and the farmers concerned. Agric. Syst. 38, 75–103. https://doi.org/10.1016/0308-521X(92)90088-6</w:t>
      </w:r>
    </w:p>
    <w:p w14:paraId="35E5DB17" w14:textId="77777777" w:rsidR="001008B9" w:rsidRPr="001008B9" w:rsidRDefault="001008B9" w:rsidP="001008B9">
      <w:pPr>
        <w:pStyle w:val="Bibliography"/>
      </w:pPr>
      <w:r w:rsidRPr="001008B9">
        <w:t>Brown, L.A., Schneider, R., Harvey, M.E., Riddell, J.B., 1979. Innovation Diffusion and Development in a Third World Setting: The Cooperative Movement in Sierra Leone. Soc. Sci. Q. 60, 249–268.</w:t>
      </w:r>
    </w:p>
    <w:p w14:paraId="4E12D367" w14:textId="77777777" w:rsidR="001008B9" w:rsidRPr="001008B9" w:rsidRDefault="001008B9" w:rsidP="001008B9">
      <w:pPr>
        <w:pStyle w:val="Bibliography"/>
      </w:pPr>
      <w:r w:rsidRPr="001008B9">
        <w:t>Bui, S., 2021. Enacting Transitions — The Combined Effect of Multiple Niches in Whole System Reconfiguration. Sustainability 13, 1–21.</w:t>
      </w:r>
    </w:p>
    <w:p w14:paraId="4344EC49" w14:textId="77777777" w:rsidR="001008B9" w:rsidRPr="001008B9" w:rsidRDefault="001008B9" w:rsidP="001008B9">
      <w:pPr>
        <w:pStyle w:val="Bibliography"/>
      </w:pPr>
      <w:r w:rsidRPr="001008B9">
        <w:t>Caron, P., Ferrero y de Loma-Osorio, G., Nabarro, D., Hainzelin, E., Guillou, M., Andersen, I., Arnold, T., Astralaga, M., Beukeboom, M., Bickersteth, S., Bwalya, M., Caballero, P., Campbell, B.M., Divine, N., Fan, S., Frick, M., Friis, A., Gallagher, M., Halkin, J.-P.P., Hanson, C., Lasbennes, F., Ribera, T., Rockstrom, J., Schuepbach, M., Steer, A., Tutwiler, A., Verburg, G., 2018. Food systems for sustainable development: proposals for a profound four-part transformation. Agron. Sustain. Dev. 38, 1–12. https://doi.org/10.1007/s13593-018-0519-1</w:t>
      </w:r>
    </w:p>
    <w:p w14:paraId="46298C81" w14:textId="77777777" w:rsidR="001008B9" w:rsidRPr="001008B9" w:rsidRDefault="001008B9" w:rsidP="001008B9">
      <w:pPr>
        <w:pStyle w:val="Bibliography"/>
      </w:pPr>
      <w:r w:rsidRPr="001008B9">
        <w:t>CEEW, 2024. Odisha Millet Mission [WWW Document]. CEEW. URL https://www.ceew.in/sustainable-agriculture-initiatives/odisha-millets-mission-government-scheme-for-promoting-millets-in-india (accessed 11.28.25).</w:t>
      </w:r>
    </w:p>
    <w:p w14:paraId="42FFFE7D" w14:textId="77777777" w:rsidR="001008B9" w:rsidRPr="001008B9" w:rsidRDefault="001008B9" w:rsidP="001008B9">
      <w:pPr>
        <w:pStyle w:val="Bibliography"/>
      </w:pPr>
      <w:r w:rsidRPr="001008B9">
        <w:t>CEEW, 2021. How Odisha Millet Mission Revived Millets Production | Case Study [WWW Document]. URL https://www.ceew.in/sustainable-agriculture-initiatives/odisha-millets-mission-government-scheme-for-promoting-millets-in-india (accessed 1.10.26).</w:t>
      </w:r>
    </w:p>
    <w:p w14:paraId="71D2E224" w14:textId="77777777" w:rsidR="001008B9" w:rsidRPr="001008B9" w:rsidRDefault="001008B9" w:rsidP="001008B9">
      <w:pPr>
        <w:pStyle w:val="Bibliography"/>
      </w:pPr>
      <w:r w:rsidRPr="001008B9">
        <w:t>CGIAR, 2020. CGIAR 2030: Research and Innovation Strategy - Transforming food, land, and water systems in a climate crisis. Montpellier.</w:t>
      </w:r>
    </w:p>
    <w:p w14:paraId="423A6C06" w14:textId="77777777" w:rsidR="001008B9" w:rsidRPr="001008B9" w:rsidRDefault="001008B9" w:rsidP="001008B9">
      <w:pPr>
        <w:pStyle w:val="Bibliography"/>
      </w:pPr>
      <w:r w:rsidRPr="001008B9">
        <w:t>Chand, R., 2025. Centenary of “Father of Green Revolution” who worried about its future. Bus. Stand.</w:t>
      </w:r>
    </w:p>
    <w:p w14:paraId="564F0010" w14:textId="77777777" w:rsidR="001008B9" w:rsidRPr="001008B9" w:rsidRDefault="001008B9" w:rsidP="001008B9">
      <w:pPr>
        <w:pStyle w:val="Bibliography"/>
      </w:pPr>
      <w:r w:rsidRPr="001008B9">
        <w:t xml:space="preserve">Conti, C., Hall, A., Kok, K., Olsson, P., Moore, M.-L., Kremen, C., Laila, A., Gordon, L.J., Barnhill, A., te Wierik, S., Norberg, A., Carducci, B., Bajaj, S., Gibson, M., Diniz Oliveira, T., Bunge, </w:t>
      </w:r>
      <w:r w:rsidRPr="001008B9">
        <w:lastRenderedPageBreak/>
        <w:t>A.C., Williams, T.G., Mazac, R., Scheuermann, M., Fanzo, J., 2025. A quest for questions: The JUSTRA as a matrix for navigating just food system transformations in an era of uncertainty. One Earth 8, 101178. https://doi.org/10.1016/j.oneear.2025.101178</w:t>
      </w:r>
    </w:p>
    <w:p w14:paraId="2FC25682" w14:textId="77777777" w:rsidR="001008B9" w:rsidRPr="001008B9" w:rsidRDefault="001008B9" w:rsidP="001008B9">
      <w:pPr>
        <w:pStyle w:val="Bibliography"/>
      </w:pPr>
      <w:r w:rsidRPr="001008B9">
        <w:t>Conti, C., Hall, A., Orr, A., Hambloch, C., Mausch, K., 2024a. Complexity-aware principles for agri-food system interventions: Lessons from project encounters with complexity. Agric. Syst. 220, 104080. https://doi.org/10.1016/j.agsy.2024.104080</w:t>
      </w:r>
    </w:p>
    <w:p w14:paraId="4D7D73E5" w14:textId="77777777" w:rsidR="001008B9" w:rsidRPr="001008B9" w:rsidRDefault="001008B9" w:rsidP="001008B9">
      <w:pPr>
        <w:pStyle w:val="Bibliography"/>
      </w:pPr>
      <w:r w:rsidRPr="001008B9">
        <w:t>Conti, C., Hall, A., Percy, H., Stone-Jovicich, S., Turner, J., McMillan, L., 2024b. What does the agri-food systems transformation agenda mean for agricultural research organisations? Exploring organisational prototypes for uncertain futures. Glob. Food Secur. 40, 100733. https://doi.org/10.1016/j.gfs.2023.100733</w:t>
      </w:r>
    </w:p>
    <w:p w14:paraId="60D3FAA5" w14:textId="77777777" w:rsidR="001008B9" w:rsidRPr="001008B9" w:rsidRDefault="001008B9" w:rsidP="001008B9">
      <w:pPr>
        <w:pStyle w:val="Bibliography"/>
      </w:pPr>
      <w:r w:rsidRPr="001008B9">
        <w:t>Conti, C., Hall, A., Williams, T.G., Kumar, V., Zanello, G., 2024b. Detecting ‘green shoots’ of agri-food systems transformation: a framework and insights from the spread of non-pesticide approaches in South India. Innov. Dev. 0, 1–19. https://doi.org/10.1080/2157930X.2024.2347759</w:t>
      </w:r>
    </w:p>
    <w:p w14:paraId="3F437FB5" w14:textId="77777777" w:rsidR="001008B9" w:rsidRPr="001008B9" w:rsidRDefault="001008B9" w:rsidP="001008B9">
      <w:pPr>
        <w:pStyle w:val="Bibliography"/>
      </w:pPr>
      <w:r w:rsidRPr="001008B9">
        <w:t>Conti, C, King, I.E.D., Rengalakshmi, R., 2025a. Saving traditional varieties of seeds. The Hindu.</w:t>
      </w:r>
    </w:p>
    <w:p w14:paraId="1B870E95" w14:textId="77777777" w:rsidR="001008B9" w:rsidRPr="001008B9" w:rsidRDefault="001008B9" w:rsidP="001008B9">
      <w:pPr>
        <w:pStyle w:val="Bibliography"/>
      </w:pPr>
      <w:r w:rsidRPr="001008B9">
        <w:t>Conti, C, Parida, P., King, I.E.D., Rao, N., Rengalakshmi, R., Gopi, G., Lenka, K.C., Gauda, N., Jena, P.C., Swaminathan, S., 2025b. Forgotten foods for India’s Food Systems: Lessons from MSSRF millet scaling in Odisha. MSSRF, Chennai.</w:t>
      </w:r>
    </w:p>
    <w:p w14:paraId="27473D14" w14:textId="77777777" w:rsidR="001008B9" w:rsidRPr="001008B9" w:rsidRDefault="001008B9" w:rsidP="001008B9">
      <w:pPr>
        <w:pStyle w:val="Bibliography"/>
      </w:pPr>
      <w:r w:rsidRPr="001008B9">
        <w:t>Conti, C., Zanello, G., Hall, A., 2021. Why are agri-food systems resistant to new directions of change ? A systematic review. Glob. Food Secur. 31, 100576–100576. https://doi.org/10.1016/j.gfs.2021.100576</w:t>
      </w:r>
    </w:p>
    <w:p w14:paraId="72FEDEA9" w14:textId="77777777" w:rsidR="001008B9" w:rsidRPr="001008B9" w:rsidRDefault="001008B9" w:rsidP="001008B9">
      <w:pPr>
        <w:pStyle w:val="Bibliography"/>
      </w:pPr>
      <w:r w:rsidRPr="001008B9">
        <w:t>Conti, Hall, A., Moallemi, E.A., Laila, A., Bene, C., Fanzo, J., Gibson, M.F., Gordon, L., Hicks, C., Kok, K., Rao, N., Laxminarayan, R., Mason-D’Croz, D., 2025. Top-down vs bottom-up processes: A systematic review clarifying roles and patterns of interactions in food system transformation. Glob. Food Secur. 44, 100833. https://doi.org/10.1016/j.gfs.2025.100833</w:t>
      </w:r>
    </w:p>
    <w:p w14:paraId="36B0F4A7" w14:textId="77777777" w:rsidR="001008B9" w:rsidRPr="001008B9" w:rsidRDefault="001008B9" w:rsidP="001008B9">
      <w:pPr>
        <w:pStyle w:val="Bibliography"/>
      </w:pPr>
      <w:r w:rsidRPr="001008B9">
        <w:t>Das, V., Das, B., 2007. Benefits of Tribal Women’s Activities in Watershed Areas: Agragamee’s Experience in Orissa, in: Participatory Plant Breeding and Knowledge Management for Strengthening Rural Livelihoods. MSSRF and Swiss Agency for Development and Cooperation, Chennai, pp. 149–154.</w:t>
      </w:r>
    </w:p>
    <w:p w14:paraId="3DA67CDD" w14:textId="77777777" w:rsidR="001008B9" w:rsidRPr="001008B9" w:rsidRDefault="001008B9" w:rsidP="001008B9">
      <w:pPr>
        <w:pStyle w:val="Bibliography"/>
      </w:pPr>
      <w:r w:rsidRPr="001008B9">
        <w:t>Department of Agriculture and Farmer’s Empowerment, 2024. Odisha Millet Mission Annual Report. Government of Odisha, Bhubaneswar.</w:t>
      </w:r>
    </w:p>
    <w:p w14:paraId="37110E17" w14:textId="77777777" w:rsidR="001008B9" w:rsidRPr="001008B9" w:rsidRDefault="001008B9" w:rsidP="001008B9">
      <w:pPr>
        <w:pStyle w:val="Bibliography"/>
      </w:pPr>
      <w:r w:rsidRPr="001008B9">
        <w:t>Enthoven, L., Van den Broeck, G., 2021. Local food systems: Reviewing two decades of research. Agric. Syst. 193, 103226. https://doi.org/10.1016/j.agsy.2021.103226</w:t>
      </w:r>
    </w:p>
    <w:p w14:paraId="24566019" w14:textId="77777777" w:rsidR="001008B9" w:rsidRPr="001008B9" w:rsidRDefault="001008B9" w:rsidP="001008B9">
      <w:pPr>
        <w:pStyle w:val="Bibliography"/>
      </w:pPr>
      <w:r w:rsidRPr="001008B9">
        <w:t>Ernstsen, S.N., Whyte, J., Thuesen, C., Maier, A., 2021. How Innovation Champions Frame the Future: Three Visions for Digital Transformation of Construction. J. Constr. Eng. Manag. 147, 05020022. https://doi.org/10.1061/(ASCE)CO.1943-7862.0001928</w:t>
      </w:r>
    </w:p>
    <w:p w14:paraId="20B16D76" w14:textId="77777777" w:rsidR="001008B9" w:rsidRPr="001008B9" w:rsidRDefault="001008B9" w:rsidP="001008B9">
      <w:pPr>
        <w:pStyle w:val="Bibliography"/>
      </w:pPr>
      <w:r w:rsidRPr="001008B9">
        <w:t>FAO, 2022. FAO Strategy on Climate Change 2022–2031. FAO, Rome.</w:t>
      </w:r>
    </w:p>
    <w:p w14:paraId="51C0FB31" w14:textId="77777777" w:rsidR="001008B9" w:rsidRPr="001008B9" w:rsidRDefault="001008B9" w:rsidP="001008B9">
      <w:pPr>
        <w:pStyle w:val="Bibliography"/>
      </w:pPr>
      <w:r w:rsidRPr="001008B9">
        <w:t>FAO, 2012. Koraput Agriculture| Globally Important Agricultural Heritage Systems | Food and Agriculture Organization of the United Nations [WWW Document]. GIAHS. URL https://www.fao.org/giahs/giahsaroundtheworld/india-koraput/en (accessed 3.5.25).</w:t>
      </w:r>
    </w:p>
    <w:p w14:paraId="737170E5" w14:textId="77777777" w:rsidR="001008B9" w:rsidRPr="001008B9" w:rsidRDefault="001008B9" w:rsidP="001008B9">
      <w:pPr>
        <w:pStyle w:val="Bibliography"/>
      </w:pPr>
      <w:r w:rsidRPr="001008B9">
        <w:t>FAO, MSSRF, 2008. RURAL AND TRIBAL WOMEN IN AGROBIODIVERSITY CONSERVATION  An Indian case study. FAO and MSSRF, FAO Regional Office for Asia and the Pacific Bangkok.</w:t>
      </w:r>
    </w:p>
    <w:p w14:paraId="6205092F" w14:textId="77777777" w:rsidR="001008B9" w:rsidRPr="001008B9" w:rsidRDefault="001008B9" w:rsidP="001008B9">
      <w:pPr>
        <w:pStyle w:val="Bibliography"/>
      </w:pPr>
      <w:r w:rsidRPr="001008B9">
        <w:lastRenderedPageBreak/>
        <w:t>Feder, G., Umali, D.L., 1993. The adoption of agricultural innovations: A review. Technol. Forecast. Soc. Change, Special Issue Technology and Innovation In Agriculture and Natural Resources 43, 215–239. https://doi.org/10.1016/0040-1625(93)90053-A</w:t>
      </w:r>
    </w:p>
    <w:p w14:paraId="763E43FC" w14:textId="77777777" w:rsidR="001008B9" w:rsidRPr="001008B9" w:rsidRDefault="001008B9" w:rsidP="001008B9">
      <w:pPr>
        <w:pStyle w:val="Bibliography"/>
      </w:pPr>
      <w:r w:rsidRPr="001008B9">
        <w:t>Fliegel, F.C., Livlin, J.E., Sekhon, G.S., 1968. A CROSS-NATIONAL COMPARISON OF FARMERS’ PERCEPTIONS OF INNOVATIONS AS RELATED TO ADOPTION BEHAVIOR. [WWW Document]. URL https://openurl.ebsco.com/contentitem/gcd:13189410?sid=ebsco:plink:crawler&amp;id=ebsco:gcd:13189410 (accessed 2.18.25).</w:t>
      </w:r>
    </w:p>
    <w:p w14:paraId="4DC31AAC" w14:textId="77777777" w:rsidR="001008B9" w:rsidRPr="001008B9" w:rsidRDefault="001008B9" w:rsidP="001008B9">
      <w:pPr>
        <w:pStyle w:val="Bibliography"/>
      </w:pPr>
      <w:r w:rsidRPr="001008B9">
        <w:t>Foster, A.D., Rosenzweig, M.R., 2004. Agricultural Productivity Growth, Rural Economic Diversity, and Economic Reforms: India 1970–2000. Econ. Dev. Cult. Change 52, 509–542. https://doi.org/10.1086/420968</w:t>
      </w:r>
    </w:p>
    <w:p w14:paraId="50E3298D" w14:textId="77777777" w:rsidR="001008B9" w:rsidRPr="001008B9" w:rsidRDefault="001008B9" w:rsidP="001008B9">
      <w:pPr>
        <w:pStyle w:val="Bibliography"/>
      </w:pPr>
      <w:r w:rsidRPr="001008B9">
        <w:t>Foster, C., McMeekin, A., Mylan, J., 2012. The entanglement of consumer expectations and (eco) innovation sequences: the case of orange juice. Technol. Anal. Strateg. Manag. 24, 391–405. https://doi.org/10.1080/09537325.2012.663963</w:t>
      </w:r>
    </w:p>
    <w:p w14:paraId="35BDE3BC" w14:textId="77777777" w:rsidR="001008B9" w:rsidRPr="001008B9" w:rsidRDefault="001008B9" w:rsidP="001008B9">
      <w:pPr>
        <w:pStyle w:val="Bibliography"/>
      </w:pPr>
      <w:r w:rsidRPr="001008B9">
        <w:t>Garg, S., Muthukumar, M., Balam, D., Mohanty, B., 2022. Odisha Millet Mission: A transformative food system for mainstreaming sustainable diets, in: Routledge Handbook of Sustainable Diets. Routledge.</w:t>
      </w:r>
    </w:p>
    <w:p w14:paraId="50D67126" w14:textId="77777777" w:rsidR="001008B9" w:rsidRPr="001008B9" w:rsidRDefault="001008B9" w:rsidP="001008B9">
      <w:pPr>
        <w:pStyle w:val="Bibliography"/>
      </w:pPr>
      <w:r w:rsidRPr="001008B9">
        <w:t>Geels, F.W., 2019. Socio-technical transitions to sustainability: a review of criticisms and elaborations of the Multi-Level Perspective. Curr. Opin. Environ. Sustain. 39, 187–201. https://doi.org/https://doi.org/10.1016/j.cosust.2019.06.009</w:t>
      </w:r>
    </w:p>
    <w:p w14:paraId="4DBF8E14" w14:textId="77777777" w:rsidR="001008B9" w:rsidRPr="001008B9" w:rsidRDefault="001008B9" w:rsidP="001008B9">
      <w:pPr>
        <w:pStyle w:val="Bibliography"/>
      </w:pPr>
      <w:r w:rsidRPr="001008B9">
        <w:t>Geels, F.W., 2006. Co-evolutionary and multi-level dynamics in transitions: The transformation of aviation systems and the shift from propeller to turbojet (1930–1970). Technovation 26, 999–1016. https://doi.org/10.1016/J.TECHNOVATION.2005.08.010</w:t>
      </w:r>
    </w:p>
    <w:p w14:paraId="48BA75D9" w14:textId="77777777" w:rsidR="001008B9" w:rsidRPr="001008B9" w:rsidRDefault="001008B9" w:rsidP="001008B9">
      <w:pPr>
        <w:pStyle w:val="Bibliography"/>
      </w:pPr>
      <w:r w:rsidRPr="001008B9">
        <w:t>Geels, F.W., 2002. Technological transitions as evolutionary reconfiguration processes: A multi-level perspective and a case-study. Res. Policy 31, 1257–1274. https://doi.org/10.1016/S0048-7333(02)00062-8</w:t>
      </w:r>
    </w:p>
    <w:p w14:paraId="3447E4D8" w14:textId="77777777" w:rsidR="001008B9" w:rsidRPr="001008B9" w:rsidRDefault="001008B9" w:rsidP="001008B9">
      <w:pPr>
        <w:pStyle w:val="Bibliography"/>
      </w:pPr>
      <w:r w:rsidRPr="001008B9">
        <w:t>Ghosh, M., 2023. Growth and Development under Alternative Policy Regimes in India: A Political Economy Perspective. J. Asian Afr. Stud. 58, 1134–1155. https://doi.org/10.1177/00219096221079324</w:t>
      </w:r>
    </w:p>
    <w:p w14:paraId="4522F23C" w14:textId="77777777" w:rsidR="001008B9" w:rsidRPr="001008B9" w:rsidRDefault="001008B9" w:rsidP="001008B9">
      <w:pPr>
        <w:pStyle w:val="Bibliography"/>
      </w:pPr>
      <w:r w:rsidRPr="001008B9">
        <w:t>Gibson, M., Mason-D’Croz, D., Norberg, A., Conti, C., Boa Alvarado, M., Herrero, M., 2025. Degrowth as a plausible pathway for food systems transformation. Nat. Food 1–6. https://doi.org/10.1038/s43016-024-01108-5</w:t>
      </w:r>
    </w:p>
    <w:p w14:paraId="68B3B160" w14:textId="77777777" w:rsidR="001008B9" w:rsidRPr="001008B9" w:rsidRDefault="001008B9" w:rsidP="001008B9">
      <w:pPr>
        <w:pStyle w:val="Bibliography"/>
      </w:pPr>
      <w:r w:rsidRPr="001008B9">
        <w:t>Glover, D., Mausch, K., Conti, C., Hall, A.J., 2021. Unplanned but well prepared: A reinterpreted success story of international agricultural research, and its implications. Outlook Agric. XX, 1–12. https://doi.org/https://doi.org/10.1177/00307270211043542</w:t>
      </w:r>
    </w:p>
    <w:p w14:paraId="50A897F3" w14:textId="77777777" w:rsidR="001008B9" w:rsidRPr="001008B9" w:rsidRDefault="001008B9" w:rsidP="001008B9">
      <w:pPr>
        <w:pStyle w:val="Bibliography"/>
      </w:pPr>
      <w:r w:rsidRPr="001008B9">
        <w:t>Gollin, D., Hansen, C.W., Wingender, A.M., 2021. Two Blades of Grass: The Impact of the Green Revolution. J. Polit. Econ. 129, 2344–2384. https://doi.org/10.1086/714444</w:t>
      </w:r>
    </w:p>
    <w:p w14:paraId="6EDA2A94" w14:textId="77777777" w:rsidR="001008B9" w:rsidRPr="001008B9" w:rsidRDefault="001008B9" w:rsidP="001008B9">
      <w:pPr>
        <w:pStyle w:val="Bibliography"/>
      </w:pPr>
      <w:r w:rsidRPr="001008B9">
        <w:t>Goulet, F., 2021. Characterizing alignments in socio-technical transitions. Lessons from agricultural bio-inputs in Brazil. Technol. Soc. 65, 101580. https://doi.org/10.1016/j.techsoc.2021.101580</w:t>
      </w:r>
    </w:p>
    <w:p w14:paraId="42A05FC9" w14:textId="77777777" w:rsidR="001008B9" w:rsidRPr="001008B9" w:rsidRDefault="001008B9" w:rsidP="001008B9">
      <w:pPr>
        <w:pStyle w:val="Bibliography"/>
      </w:pPr>
      <w:r w:rsidRPr="001008B9">
        <w:t xml:space="preserve">Govaerts, B.I., Negra, C.I., Villa, T.C.C., Suarez, X.C., Espinosa, A.D., Fonteyne, S., Gardeazabal, A., Gonzalez, G., Singh, R.G., Kommerell, V., Kropff, W., Saavedra Lopez, V., Lopez, G.M., Odjo, S., Rojas, N.P., Ramirez-Villegas, J., Van Loon, J., Vega, D., Verhulst, N., Woltering, L., Jahn, M., Kropff, M., Carolina Camacho Villa, T., Chavez Suarez, X., Diaz Espinosa, A., FonteyneID, S., Gardeazabal, A., Gonzalez, G., Gopal Singh, R., </w:t>
      </w:r>
      <w:r w:rsidRPr="001008B9">
        <w:lastRenderedPageBreak/>
        <w:t>Kommerell, V., Kropff, W., Lopez Saavedra, V., Mena Lopez, G., Odjo, S., Palacios Rojas, N., Ramirez-Villegas, J., Van LoonID, J., Vega, D., Verhulst, N., Woltering, L., Jahn, M., Kropff, M., Villa, T.C.C., Suarez, X.C., Espinosa, A.D., Fonteyne, S., Gardeazabal, A., Gonzalez, G., Singh, R.G., Kommerell, V., Kropff, W., Saavedra Lopez, V., Lopez, G.M., Odjo, S., Rojas, N.P., Ramirez-Villegas, J., Van Loon, J., Vega, D., Verhulst, N., Woltering, L., Jahn, M., Kropff, M., 2021. One CGIAR and the Integrated Agri-food Systems Initiative: From short-termism to transformation of the world’s food systems. PLoS ONE 16. https://doi.org/10.1371/journal.pone.0252832</w:t>
      </w:r>
    </w:p>
    <w:p w14:paraId="1D876AC7" w14:textId="77777777" w:rsidR="001008B9" w:rsidRPr="001008B9" w:rsidRDefault="001008B9" w:rsidP="001008B9">
      <w:pPr>
        <w:pStyle w:val="Bibliography"/>
      </w:pPr>
      <w:r w:rsidRPr="001008B9">
        <w:t>Government of India, 2025a. NFSA [WWW Document]. Public Distrib. Syst. PDS. URL https://nfsa.gov.in/portal/PDS_page?utm (accessed 5.19.26).</w:t>
      </w:r>
    </w:p>
    <w:p w14:paraId="6F181614" w14:textId="77777777" w:rsidR="001008B9" w:rsidRPr="001008B9" w:rsidRDefault="001008B9" w:rsidP="001008B9">
      <w:pPr>
        <w:pStyle w:val="Bibliography"/>
      </w:pPr>
      <w:r w:rsidRPr="001008B9">
        <w:t>Government of India, 2025b. Shree Anna for Shreshta Bharat Empowering India through Millets.</w:t>
      </w:r>
    </w:p>
    <w:p w14:paraId="0A13E98A" w14:textId="77777777" w:rsidR="001008B9" w:rsidRPr="001008B9" w:rsidRDefault="001008B9" w:rsidP="001008B9">
      <w:pPr>
        <w:pStyle w:val="Bibliography"/>
      </w:pPr>
      <w:r w:rsidRPr="001008B9">
        <w:t>Government of India, 2023. SECOND NATIONAL CONFERENCE OF CHIEF SECRETARIES - International Year of Millets 2023. Governement of India, New Delhi.</w:t>
      </w:r>
    </w:p>
    <w:p w14:paraId="38F318BE" w14:textId="77777777" w:rsidR="001008B9" w:rsidRPr="001008B9" w:rsidRDefault="001008B9" w:rsidP="001008B9">
      <w:pPr>
        <w:pStyle w:val="Bibliography"/>
      </w:pPr>
      <w:r w:rsidRPr="001008B9">
        <w:t>Hall, A., 2007. Challenges to Strengthening Agricultural Innovation Systems: Where Do We Go From Here? (No. #2007-038). United Nations University – Maastricht Economic and social Research and training centre on Innovation and Technology.</w:t>
      </w:r>
    </w:p>
    <w:p w14:paraId="6109010C" w14:textId="77777777" w:rsidR="001008B9" w:rsidRPr="001008B9" w:rsidRDefault="001008B9" w:rsidP="001008B9">
      <w:pPr>
        <w:pStyle w:val="Bibliography"/>
      </w:pPr>
      <w:r w:rsidRPr="001008B9">
        <w:t>Hall, A., Bockett, G., Taylor, S., Sivamohan, M.V.K., Clark, N., 2001. Why Research Partnerships Really Matter: Innovation Theory, Institutional Arrangements and Implications for Developing New Technology for the Poor. World Dev. 29, 783–797. https://doi.org/10.1016/S0305-750X(01)00004-3</w:t>
      </w:r>
    </w:p>
    <w:p w14:paraId="317A02E6" w14:textId="77777777" w:rsidR="001008B9" w:rsidRPr="001008B9" w:rsidRDefault="001008B9" w:rsidP="001008B9">
      <w:pPr>
        <w:pStyle w:val="Bibliography"/>
      </w:pPr>
      <w:r w:rsidRPr="001008B9">
        <w:t>Hall, A., Clark, N., 2010. What do complex adaptive systems look like and what are the implications for innovation policy? J. Int. Dev. 22, 308–324. https://doi.org/10.1002/jid.1690</w:t>
      </w:r>
    </w:p>
    <w:p w14:paraId="30CE0DB8" w14:textId="77777777" w:rsidR="001008B9" w:rsidRPr="001008B9" w:rsidRDefault="001008B9" w:rsidP="001008B9">
      <w:pPr>
        <w:pStyle w:val="Bibliography"/>
      </w:pPr>
      <w:r w:rsidRPr="001008B9">
        <w:t>Hall, A., Dijkman, J., 2019. Public Agricultural Research in an Era of Transformation : The Challenge of Agri-Food System Innovation (No. IX + 67 pp). CGIAR Independent Science and Partnership Council (ISPC) Secretariat and Commonwealth Scientific and Industrial Research Organisation (CSIRO), Rome and Canberra.</w:t>
      </w:r>
    </w:p>
    <w:p w14:paraId="6BF10F5A" w14:textId="77777777" w:rsidR="001008B9" w:rsidRPr="001008B9" w:rsidRDefault="001008B9" w:rsidP="001008B9">
      <w:pPr>
        <w:pStyle w:val="Bibliography"/>
      </w:pPr>
      <w:r w:rsidRPr="001008B9">
        <w:t>Hall, A., Yoganand, B., Sulaiman, R., Clark, N.G., 2003. Post-harvest innovations in innovation: reflections on partnership and learning. Crop Post-Harvest Programme (CPHP), South Asia, c/o International Crops Research Institute for the Semi-Arid Tropics (ICRISAT), Patancheru.</w:t>
      </w:r>
    </w:p>
    <w:p w14:paraId="19E6E2CA" w14:textId="77777777" w:rsidR="001008B9" w:rsidRPr="001008B9" w:rsidRDefault="001008B9" w:rsidP="001008B9">
      <w:pPr>
        <w:pStyle w:val="Bibliography"/>
      </w:pPr>
      <w:r w:rsidRPr="001008B9">
        <w:t>Hamann, R., April, K., 2013. On the role and capabilities of collaborative intermediary organisations in urban sustainability transitions. J. Clean. Prod., Special Issue: Advancing sustainable urban transformation 50, 12–21. https://doi.org/10.1016/j.jclepro.2012.11.017</w:t>
      </w:r>
    </w:p>
    <w:p w14:paraId="499712DC" w14:textId="77777777" w:rsidR="001008B9" w:rsidRPr="001008B9" w:rsidRDefault="001008B9" w:rsidP="001008B9">
      <w:pPr>
        <w:pStyle w:val="Bibliography"/>
      </w:pPr>
      <w:r w:rsidRPr="001008B9">
        <w:t>Hambloch, C., Mausch, K., Conti, C., Hall, A., 2022. Simple solutions for complex problems? What is missing in agriculture for nutrition interventions. Food Secur. https://doi.org/10.1007/s12571-022-01324-6</w:t>
      </w:r>
    </w:p>
    <w:p w14:paraId="43BB5398" w14:textId="77777777" w:rsidR="001008B9" w:rsidRPr="001008B9" w:rsidRDefault="001008B9" w:rsidP="001008B9">
      <w:pPr>
        <w:pStyle w:val="Bibliography"/>
      </w:pPr>
      <w:r w:rsidRPr="001008B9">
        <w:t>Hartmann, A., Linn, J.F., 2008. Scaling Up: A Framework and Lessons for Development Effectiveness from Literature and Practice. https://doi.org/10.2139/ssrn.1301625</w:t>
      </w:r>
    </w:p>
    <w:p w14:paraId="0482C79D" w14:textId="77777777" w:rsidR="001008B9" w:rsidRPr="001008B9" w:rsidRDefault="001008B9" w:rsidP="001008B9">
      <w:pPr>
        <w:pStyle w:val="Bibliography"/>
      </w:pPr>
      <w:r w:rsidRPr="001008B9">
        <w:t>Hatanaka, M., 2020. Beyond consuming ethically? Food citizens, governance, and sustainability. J. Rural Stud. 77, 55–62. https://doi.org/10.1016/j.jrurstud.2020.04.006</w:t>
      </w:r>
    </w:p>
    <w:p w14:paraId="283079E6" w14:textId="77777777" w:rsidR="001008B9" w:rsidRPr="001008B9" w:rsidRDefault="001008B9" w:rsidP="001008B9">
      <w:pPr>
        <w:pStyle w:val="Bibliography"/>
      </w:pPr>
      <w:r w:rsidRPr="001008B9">
        <w:t>Hellin, J., 2012. Agricultural Extension, Collective Action and Innovation Systems: Lessons on Network Brokering from Peru and Mexico. J. Agric. Educ. Ext. 18, 141–159. https://doi.org/10.1080/1389224X.2012.655967</w:t>
      </w:r>
    </w:p>
    <w:p w14:paraId="66C1384E" w14:textId="77777777" w:rsidR="001008B9" w:rsidRPr="001008B9" w:rsidRDefault="001008B9" w:rsidP="001008B9">
      <w:pPr>
        <w:pStyle w:val="Bibliography"/>
      </w:pPr>
      <w:r w:rsidRPr="001008B9">
        <w:lastRenderedPageBreak/>
        <w:t>Hermans, F., Roep, D., Klerkx, L., 2016. Scale dynamics of grassroots innovations through parallel pathways of transformative change. Ecol. Econ. 130, 285–295. https://doi.org/10.1016/j.ecolecon.2016.07.011</w:t>
      </w:r>
    </w:p>
    <w:p w14:paraId="1D99FAAE" w14:textId="77777777" w:rsidR="001008B9" w:rsidRPr="001008B9" w:rsidRDefault="001008B9" w:rsidP="001008B9">
      <w:pPr>
        <w:pStyle w:val="Bibliography"/>
      </w:pPr>
      <w:r w:rsidRPr="001008B9">
        <w:t>Hermans, F., Stuiver, M., Beers, P.J., Kok, K., 2013. The distribution of roles and functions for upscaling and outscaling innovations in agricultural innovation systems. Agric. Syst. 115, 117–128. https://doi.org/10.1016/j.agsy.2012.09.006</w:t>
      </w:r>
    </w:p>
    <w:p w14:paraId="37329FBB" w14:textId="77777777" w:rsidR="001008B9" w:rsidRPr="001008B9" w:rsidRDefault="001008B9" w:rsidP="001008B9">
      <w:pPr>
        <w:pStyle w:val="Bibliography"/>
      </w:pPr>
      <w:r w:rsidRPr="001008B9">
        <w:t>HLPE, 2014. Food losses and waste in the context of sustainable food systems. High Level Panel of Experts on Food Security and Nutrition (HLPE) “, Rome.</w:t>
      </w:r>
    </w:p>
    <w:p w14:paraId="2C269D74" w14:textId="77777777" w:rsidR="001008B9" w:rsidRPr="001008B9" w:rsidRDefault="001008B9" w:rsidP="001008B9">
      <w:pPr>
        <w:pStyle w:val="Bibliography"/>
      </w:pPr>
      <w:r w:rsidRPr="001008B9">
        <w:t>Holtkamp, C., 2023. Contested diffusion of transformative innovations. Micro- and macrolevel social capital in South Tyrol. Sociol. Rural. 63, 20–44. https://doi.org/10.1111/soru.12389</w:t>
      </w:r>
    </w:p>
    <w:p w14:paraId="607340C8" w14:textId="77777777" w:rsidR="001008B9" w:rsidRPr="001008B9" w:rsidRDefault="001008B9" w:rsidP="001008B9">
      <w:pPr>
        <w:pStyle w:val="Bibliography"/>
      </w:pPr>
      <w:r w:rsidRPr="001008B9">
        <w:t>ICAR, Indian Institute of Millets Research, 2018. Annual Report. ICAR-Indian Institute of Millets Research 2018, Hyderabad.</w:t>
      </w:r>
    </w:p>
    <w:p w14:paraId="40892A19" w14:textId="77777777" w:rsidR="001008B9" w:rsidRPr="001008B9" w:rsidRDefault="001008B9" w:rsidP="001008B9">
      <w:pPr>
        <w:pStyle w:val="Bibliography"/>
      </w:pPr>
      <w:r w:rsidRPr="001008B9">
        <w:t>ICRISAT, 2023. In Memoriam: Celebrating the Life and Legacy of Visionary Agriculture Scientist and ICRISAT Co-Founder, Professor MS Swaminathan. Int. Crops Res. Inst. Semi-Arid Trop.</w:t>
      </w:r>
    </w:p>
    <w:p w14:paraId="6920DB12" w14:textId="77777777" w:rsidR="001008B9" w:rsidRPr="001008B9" w:rsidRDefault="001008B9" w:rsidP="001008B9">
      <w:pPr>
        <w:pStyle w:val="Bibliography"/>
      </w:pPr>
      <w:r w:rsidRPr="001008B9">
        <w:t>Jain, M., 2023. Why is 2023 the International Year of Millets? What do we achieve by celebrating such years? Mongabay-India. URL https://india.mongabay.com/2023/03/explainer-why-is-2023-the-international-year-of-millets-what-do-we-achieve-by-celebrating-such-years/ (accessed 1.10.26).</w:t>
      </w:r>
    </w:p>
    <w:p w14:paraId="2C812126" w14:textId="77777777" w:rsidR="001008B9" w:rsidRPr="001008B9" w:rsidRDefault="001008B9" w:rsidP="001008B9">
      <w:pPr>
        <w:pStyle w:val="Bibliography"/>
      </w:pPr>
      <w:r w:rsidRPr="001008B9">
        <w:t>Jain, V., Agarwal, N., Bhatia, V., 2024. Promoting Millets: Charting a Journey from Food Security to Health. Indian J. Community Med. 49, 5. https://doi.org/10.4103/ijcm.ijcm_107_23</w:t>
      </w:r>
    </w:p>
    <w:p w14:paraId="70E17FF3" w14:textId="77777777" w:rsidR="001008B9" w:rsidRPr="001008B9" w:rsidRDefault="001008B9" w:rsidP="001008B9">
      <w:pPr>
        <w:pStyle w:val="Bibliography"/>
      </w:pPr>
      <w:r w:rsidRPr="001008B9">
        <w:t>Kalvelage, L., Hardie, C., Mausch, K., Conti, C., Hall, A., 2023. Inside-out strategic coupling for smallholder market integration – Mango production in Malawi as a test case. Outlook Agric. 52, 174–185. https://doi.org/10.1177/00307270231179240</w:t>
      </w:r>
    </w:p>
    <w:p w14:paraId="15F6829E" w14:textId="77777777" w:rsidR="001008B9" w:rsidRPr="001008B9" w:rsidRDefault="001008B9" w:rsidP="001008B9">
      <w:pPr>
        <w:pStyle w:val="Bibliography"/>
      </w:pPr>
      <w:r w:rsidRPr="001008B9">
        <w:t>Khush, G.S., McCouch, S.R., Ronald, P.C., 2024. Remembering M.S. Swaminathan: An outstanding scientist and visionary leader. Proc. Natl. Acad. Sci. 121, e2320944121. https://doi.org/10.1073/pnas.2320944121</w:t>
      </w:r>
    </w:p>
    <w:p w14:paraId="2CFDAC1C" w14:textId="77777777" w:rsidR="001008B9" w:rsidRPr="001008B9" w:rsidRDefault="001008B9" w:rsidP="001008B9">
      <w:pPr>
        <w:pStyle w:val="Bibliography"/>
      </w:pPr>
      <w:r w:rsidRPr="001008B9">
        <w:t>Kihoro, E., Schut, M., McGuire, E., Gebreyes, M., Leeuwis, C., 2025. Responsible scaling for transformative impact: Lessons from the science and practice of responsible scaling for agri-food system transformation. Agric. Syst. 229, 104427. https://doi.org/10.1016/j.agsy.2025.104427</w:t>
      </w:r>
    </w:p>
    <w:p w14:paraId="1AC0774E" w14:textId="77777777" w:rsidR="001008B9" w:rsidRPr="001008B9" w:rsidRDefault="001008B9" w:rsidP="001008B9">
      <w:pPr>
        <w:pStyle w:val="Bibliography"/>
      </w:pPr>
      <w:r w:rsidRPr="001008B9">
        <w:t>Kilelu, C.W., Klerkx, L., Leeuwis, C., 2013. Unravelling the role of innovation platforms in supporting co-evolution of innovation: Contributions and tensions in a smallholder dairy development programme. Agric. Syst. 118, 65–77. https://doi.org/10.1016/j.agsy.2013.03.003</w:t>
      </w:r>
    </w:p>
    <w:p w14:paraId="64ADA999" w14:textId="77777777" w:rsidR="001008B9" w:rsidRPr="001008B9" w:rsidRDefault="001008B9" w:rsidP="001008B9">
      <w:pPr>
        <w:pStyle w:val="Bibliography"/>
      </w:pPr>
      <w:r w:rsidRPr="001008B9">
        <w:t>Kilelu, C.W., Klerkx, L., Leeuwis, C., Hall, A., 2011. Beyond knowledge brokering: an exploratory study on innovation intermediaries in an evolving smallholder agricultural system in Kenya. https://doi.org/10.1080/19474199.2011.593859 7, 84–108. https://doi.org/10.1080/19474199.2011.593859</w:t>
      </w:r>
    </w:p>
    <w:p w14:paraId="7550509C" w14:textId="77777777" w:rsidR="001008B9" w:rsidRPr="001008B9" w:rsidRDefault="001008B9" w:rsidP="001008B9">
      <w:pPr>
        <w:pStyle w:val="Bibliography"/>
      </w:pPr>
      <w:r w:rsidRPr="001008B9">
        <w:t>King, I.E.D., 2016. Impact of</w:t>
      </w:r>
      <w:r w:rsidRPr="001008B9">
        <w:tab/>
        <w:t xml:space="preserve">  Reduced</w:t>
      </w:r>
      <w:r w:rsidRPr="001008B9">
        <w:tab/>
        <w:t xml:space="preserve">  drudger of women in</w:t>
      </w:r>
      <w:r w:rsidRPr="001008B9">
        <w:tab/>
        <w:t xml:space="preserve">  production and</w:t>
      </w:r>
      <w:r w:rsidRPr="001008B9">
        <w:tab/>
        <w:t xml:space="preserve">  </w:t>
      </w:r>
      <w:r w:rsidRPr="001008B9">
        <w:tab/>
        <w:t xml:space="preserve">  post-­harvest processing of small millets, Working</w:t>
      </w:r>
      <w:r w:rsidRPr="001008B9">
        <w:tab/>
        <w:t>Paper No 9. MSSRF, Chennai.</w:t>
      </w:r>
    </w:p>
    <w:p w14:paraId="25315E72" w14:textId="77777777" w:rsidR="001008B9" w:rsidRPr="001008B9" w:rsidRDefault="001008B9" w:rsidP="001008B9">
      <w:pPr>
        <w:pStyle w:val="Bibliography"/>
      </w:pPr>
      <w:r w:rsidRPr="001008B9">
        <w:t>Kivimaa, P., Hyysalo, S., Boon, W., Klerkx, L., Martiskainen, M., Schot, J., 2019. Passing the baton: How intermediaries advance sustainability transitions in different phases. Environ. Innov. Soc. Transit. 31, 110–125. https://doi.org/10.1016/J.EIST.2019.01.001</w:t>
      </w:r>
    </w:p>
    <w:p w14:paraId="7200F2EF" w14:textId="77777777" w:rsidR="001008B9" w:rsidRPr="001008B9" w:rsidRDefault="001008B9" w:rsidP="001008B9">
      <w:pPr>
        <w:pStyle w:val="Bibliography"/>
      </w:pPr>
      <w:r w:rsidRPr="001008B9">
        <w:lastRenderedPageBreak/>
        <w:t>Klerkx, L., Aarts, N., 2013a. The interaction of multiple champions in orchestrating innovation networks: Conflicts and complementarities. Technovation 33, 193–210. https://doi.org/10.1016/j.technovation.2013.03.002</w:t>
      </w:r>
    </w:p>
    <w:p w14:paraId="2974AB85" w14:textId="77777777" w:rsidR="001008B9" w:rsidRPr="001008B9" w:rsidRDefault="001008B9" w:rsidP="001008B9">
      <w:pPr>
        <w:pStyle w:val="Bibliography"/>
      </w:pPr>
      <w:r w:rsidRPr="001008B9">
        <w:t>Klerkx, L., Aarts, N., 2013b. The interaction of multiple champions in orchestrating innovation networks: Conflicts and complementarities. Technovation 33, 193–210. https://doi.org/10.1016/j.technovation.2013.03.002</w:t>
      </w:r>
    </w:p>
    <w:p w14:paraId="7BE4C7FB" w14:textId="77777777" w:rsidR="001008B9" w:rsidRPr="001008B9" w:rsidRDefault="001008B9" w:rsidP="001008B9">
      <w:pPr>
        <w:pStyle w:val="Bibliography"/>
      </w:pPr>
      <w:r w:rsidRPr="001008B9">
        <w:t>Klerkx, L., Aarts, N., Leeuwis, C., 2010. Adaptive management in agricultural innovation systems: The interactions between innovation networks and their environment. Agric. Syst. 103, 390–400. https://doi.org/10.1016/J.AGSY.2010.03.012</w:t>
      </w:r>
    </w:p>
    <w:p w14:paraId="12D8F101" w14:textId="77777777" w:rsidR="001008B9" w:rsidRPr="001008B9" w:rsidRDefault="001008B9" w:rsidP="001008B9">
      <w:pPr>
        <w:pStyle w:val="Bibliography"/>
      </w:pPr>
      <w:r w:rsidRPr="001008B9">
        <w:t>Klerkx, L., Adjei-Nsiah, S., Adu-Acheampong, R., Saïdou, A., Zannou, E., Soumano, L., Sakyi-Dawson, O., van Paassen, A., Nederlof, S., 2013. Looking at Agricultural Innovation Platforms through an Innovation Champion Lens: An Analysis of Three Cases in West Africa. Outlook Agric. 42, 185–192. https://doi.org/10.5367/oa.2013.0137</w:t>
      </w:r>
    </w:p>
    <w:p w14:paraId="27A280C4" w14:textId="77777777" w:rsidR="001008B9" w:rsidRPr="001008B9" w:rsidRDefault="001008B9" w:rsidP="001008B9">
      <w:pPr>
        <w:pStyle w:val="Bibliography"/>
      </w:pPr>
      <w:r w:rsidRPr="001008B9">
        <w:t>Klerkx, L., Leeuwis, C., 2009. Establishment and embedding of innovation brokers at different innovation system levels: Insights from the Dutch agricultural sector. Technol. Forecast. Soc. Change 76, 849–860. https://doi.org/10.1016/j.techfore.2008.10.001</w:t>
      </w:r>
    </w:p>
    <w:p w14:paraId="2032AB08" w14:textId="77777777" w:rsidR="001008B9" w:rsidRPr="001008B9" w:rsidRDefault="001008B9" w:rsidP="001008B9">
      <w:pPr>
        <w:pStyle w:val="Bibliography"/>
      </w:pPr>
      <w:r w:rsidRPr="001008B9">
        <w:t>Klerkx, L., Leeuwis, C., 2008. Balancing multiple interests: Embedding innovation intermediation in the agricultural knowledge infrastructure. Technovation 28, 364–378. https://doi.org/10.1016/J.TECHNOVATION.2007.05.005</w:t>
      </w:r>
    </w:p>
    <w:p w14:paraId="52D824DA" w14:textId="77777777" w:rsidR="001008B9" w:rsidRPr="001008B9" w:rsidRDefault="001008B9" w:rsidP="001008B9">
      <w:pPr>
        <w:pStyle w:val="Bibliography"/>
      </w:pPr>
      <w:r w:rsidRPr="001008B9">
        <w:t>Klerkx, L., Rose, D., 2020. Dealing with the game-changing technologies of Agriculture 4.0: How do we manage diversity and responsibility in food system transition pathways? Glob. Food Secur. 24, 100347–100347. https://doi.org/10.1016/J.GFS.2019.100347</w:t>
      </w:r>
    </w:p>
    <w:p w14:paraId="490A9BF5" w14:textId="77777777" w:rsidR="001008B9" w:rsidRPr="001008B9" w:rsidRDefault="001008B9" w:rsidP="001008B9">
      <w:pPr>
        <w:pStyle w:val="Bibliography"/>
      </w:pPr>
      <w:r w:rsidRPr="001008B9">
        <w:t>Kok, K.P.W., 2023. Politics beyond agency? Pluralizing structure(s) in sustainability transitions. Energy Res. Soc. Sci. 100, 103120. https://doi.org/10.1016/j.erss.2023.103120</w:t>
      </w:r>
    </w:p>
    <w:p w14:paraId="370DDAE6" w14:textId="77777777" w:rsidR="001008B9" w:rsidRPr="001008B9" w:rsidRDefault="001008B9" w:rsidP="001008B9">
      <w:pPr>
        <w:pStyle w:val="Bibliography"/>
      </w:pPr>
      <w:r w:rsidRPr="001008B9">
        <w:t>Kok, K.P.W., Kunseler, E., Verwoerd, L., 2025. Navigating paradoxes in ‘doing’ transition policy: aligning institutional logics. Sci. Public Policy scaf055. https://doi.org/10.1093/scipol/scaf055</w:t>
      </w:r>
    </w:p>
    <w:p w14:paraId="29937BAE" w14:textId="77777777" w:rsidR="001008B9" w:rsidRPr="001008B9" w:rsidRDefault="001008B9" w:rsidP="001008B9">
      <w:pPr>
        <w:pStyle w:val="Bibliography"/>
      </w:pPr>
      <w:r w:rsidRPr="001008B9">
        <w:t>Kok, K.P.W., van der Meij, M.G., Wagner, P., Cesuroglu, T., Broerse, J.E.W., Regeer, B.J., 2023. Exploring the practice of Labs for sustainable transformation: The challenge of ‘creating impact.’ J. Clean. Prod. 388, 135994–135994. https://doi.org/10.1016/J.JCLEPRO.2023.135994</w:t>
      </w:r>
    </w:p>
    <w:p w14:paraId="19FC78B0" w14:textId="77777777" w:rsidR="001008B9" w:rsidRPr="001008B9" w:rsidRDefault="001008B9" w:rsidP="001008B9">
      <w:pPr>
        <w:pStyle w:val="Bibliography"/>
      </w:pPr>
      <w:r w:rsidRPr="001008B9">
        <w:t>Lacey-Barnacle, M., Atkins, E., Radcliffe, E., Boucher, M., 2026. Reframing Green Prosperity: integrating sustainability and just transitions into Community Wealth Building. Environ. Innov. Soc. Transit. 59, 101077. https://doi.org/10.1016/j.eist.2025.101077</w:t>
      </w:r>
    </w:p>
    <w:p w14:paraId="05AEAD71" w14:textId="77777777" w:rsidR="001008B9" w:rsidRPr="001008B9" w:rsidRDefault="001008B9" w:rsidP="001008B9">
      <w:pPr>
        <w:pStyle w:val="Bibliography"/>
      </w:pPr>
      <w:r w:rsidRPr="001008B9">
        <w:t>Lam, D.P.M., Martín-López, B., Wiek, A., Bennett, E.M., Frantzeskaki, N., Horcea-Milcu, A.I., Lang, D.J., 2020. Scaling the impact of sustainability initiatives: a typology of amplification processes. Urban Transform. 2, 3. https://doi.org/10.1186/s42854-020-00007-9</w:t>
      </w:r>
    </w:p>
    <w:p w14:paraId="19406FB1" w14:textId="77777777" w:rsidR="001008B9" w:rsidRPr="001008B9" w:rsidRDefault="001008B9" w:rsidP="001008B9">
      <w:pPr>
        <w:pStyle w:val="Bibliography"/>
      </w:pPr>
      <w:r w:rsidRPr="001008B9">
        <w:t>Lanhoso, F., Coelho, D.A., 2021. Emergence fostered by systemic analysis—Seeding innovation for sustainable development. Sustain. Dev. 29, 768–779. https://doi.org/10.1002/sd.2173</w:t>
      </w:r>
    </w:p>
    <w:p w14:paraId="58099026" w14:textId="77777777" w:rsidR="001008B9" w:rsidRPr="001008B9" w:rsidRDefault="001008B9" w:rsidP="001008B9">
      <w:pPr>
        <w:pStyle w:val="Bibliography"/>
      </w:pPr>
      <w:r w:rsidRPr="001008B9">
        <w:t>Leeuwis, C., 2024. “Ready to scale?” From innovations to system change [WWW Document]. URL https://www.wur.nl/en/longread/ready-scale-innovations-system-change (accessed 5.19.26).</w:t>
      </w:r>
    </w:p>
    <w:p w14:paraId="01EBDA26" w14:textId="77777777" w:rsidR="001008B9" w:rsidRPr="001008B9" w:rsidRDefault="001008B9" w:rsidP="001008B9">
      <w:pPr>
        <w:pStyle w:val="Bibliography"/>
      </w:pPr>
      <w:r w:rsidRPr="001008B9">
        <w:t>Leeuwis, C., Boogaard, B.K., Atta-Krah, K., 2021. How food systems change (or not): governance implications for system transformation processes. Food Secur. 13, 761–780. https://doi.org/10.1007/s12571-021-01178-4</w:t>
      </w:r>
    </w:p>
    <w:p w14:paraId="501C9D33" w14:textId="77777777" w:rsidR="001008B9" w:rsidRPr="001008B9" w:rsidRDefault="001008B9" w:rsidP="001008B9">
      <w:pPr>
        <w:pStyle w:val="Bibliography"/>
      </w:pPr>
      <w:r w:rsidRPr="001008B9">
        <w:lastRenderedPageBreak/>
        <w:t>Leiringer, R., Cardellino, P., 2008. Tales of the expected: investigating the rhetorical strategies of innovation champions. Constr. Manag. Econ. 26, 1043–1054. https://doi.org/10.1080/01446190802389394</w:t>
      </w:r>
    </w:p>
    <w:p w14:paraId="74C78C9C" w14:textId="77777777" w:rsidR="001008B9" w:rsidRPr="001008B9" w:rsidRDefault="001008B9" w:rsidP="001008B9">
      <w:pPr>
        <w:pStyle w:val="Bibliography"/>
      </w:pPr>
      <w:r w:rsidRPr="001008B9">
        <w:t>Loeber, A.M.C., Kok, K.P.W., 2024. Exploring the functions of place-based intermediation in the governance of sustainability transitions. Environ. Innov. Soc. Transit. 52, 100869. https://doi.org/10.1016/j.eist.2024.100869</w:t>
      </w:r>
    </w:p>
    <w:p w14:paraId="266A40C6" w14:textId="77777777" w:rsidR="001008B9" w:rsidRPr="001008B9" w:rsidRDefault="001008B9" w:rsidP="001008B9">
      <w:pPr>
        <w:pStyle w:val="Bibliography"/>
      </w:pPr>
      <w:r w:rsidRPr="001008B9">
        <w:t>Lombardi, D.R., Caserio, M., Donovan, R., Hale, J., Hunt, D.V.L., Weingaertner, C., Barber, A., Bryson, J.R., Coles, R., Gaterell, M., Jankovic, L., Jefferson, I., Sadler, J., Rogers, C.D.F., 2011. Elucidating Sustainability Sequencing, Tensions, and Trade-Offs in Development Decision Making. Environ. Plan. B Plan. Des. 38, 1105–1121. https://doi.org/10.1068/b36161</w:t>
      </w:r>
    </w:p>
    <w:p w14:paraId="5543A865" w14:textId="77777777" w:rsidR="001008B9" w:rsidRPr="001008B9" w:rsidRDefault="001008B9" w:rsidP="001008B9">
      <w:pPr>
        <w:pStyle w:val="Bibliography"/>
      </w:pPr>
      <w:r w:rsidRPr="001008B9">
        <w:t>Magrini, M., Anton, M., Cholez, C., Corre-Hellou, G., Duc, G., Jeuffroy, M.-H.M.H., Meynard, J.-M.J.M., Pelzer, E., Voisin, A.-S.A.S., Walrand, S., 2016. Why are grain-legumes rarely present in cropping systems despite their environmental and nutritional benefits? Analyzing lock-in in the French agrifood system. Ecol. Econ. 126, 152–162. https://doi.org/10.1016/j.ecolecon.2016.03.024</w:t>
      </w:r>
    </w:p>
    <w:p w14:paraId="1FA01AF0" w14:textId="77777777" w:rsidR="001008B9" w:rsidRPr="001008B9" w:rsidRDefault="001008B9" w:rsidP="001008B9">
      <w:pPr>
        <w:pStyle w:val="Bibliography"/>
      </w:pPr>
      <w:r w:rsidRPr="001008B9">
        <w:t>Magrini, M.B., Salord, T., Cabanac, G., 2022. The unbalanced development among legume species regarding sustainable and healthy agrifood systems in North-America and Europe: focus on food product innovations. Food Secur. 1–14. https://doi.org/10.1007/S12571-022-01294-9/FIGURES/6</w:t>
      </w:r>
    </w:p>
    <w:p w14:paraId="5C362069" w14:textId="77777777" w:rsidR="001008B9" w:rsidRPr="001008B9" w:rsidRDefault="001008B9" w:rsidP="001008B9">
      <w:pPr>
        <w:pStyle w:val="Bibliography"/>
      </w:pPr>
      <w:r w:rsidRPr="001008B9">
        <w:t>Mal, B., Padulosi, S., Ravi, B.S., 2010. Minor Millets in South Asia Learnings from IFAD-NUS Project in India and Nepal. IFAD.</w:t>
      </w:r>
    </w:p>
    <w:p w14:paraId="238630F7" w14:textId="77777777" w:rsidR="001008B9" w:rsidRPr="001008B9" w:rsidRDefault="001008B9" w:rsidP="001008B9">
      <w:pPr>
        <w:pStyle w:val="Bibliography"/>
      </w:pPr>
      <w:r w:rsidRPr="001008B9">
        <w:t>Manoharmayum, D.D., Varsha, V.J.H., Gayathri, M., Devi, B.R., Suresh, G., 2025. Zero Budget Natural Farming in the Era of Climate Crisis: A Multidimensional Framework for Sustainable Agricultural Transformation in India. Metall. Mater. Eng. 31, 1002–1025. https://doi.org/10.63278/1544</w:t>
      </w:r>
    </w:p>
    <w:p w14:paraId="6E113EE2" w14:textId="77777777" w:rsidR="001008B9" w:rsidRPr="001008B9" w:rsidRDefault="001008B9" w:rsidP="001008B9">
      <w:pPr>
        <w:pStyle w:val="Bibliography"/>
      </w:pPr>
      <w:r w:rsidRPr="001008B9">
        <w:t>Marckstadt, F., Dimke, M., Laamanen, T., Bian, D., Isenring-Szabó, K., Ates, Y., Heil, S., Schwucht, C., Gnan, N., Neubauer, P., Barras, N., Eidenmueller, N., 2020. Transformation Champions - Turning Opposites into Complements. Transform. Champions - Turn. Complements.</w:t>
      </w:r>
    </w:p>
    <w:p w14:paraId="26A64510" w14:textId="77777777" w:rsidR="001008B9" w:rsidRPr="001008B9" w:rsidRDefault="001008B9" w:rsidP="001008B9">
      <w:pPr>
        <w:pStyle w:val="Bibliography"/>
      </w:pPr>
      <w:r w:rsidRPr="001008B9">
        <w:t>Mason-D’Croz, D., Kugler, C., Remans, R., Thornton, P., Vervoort, J.M., Zornetzer, H., van Meijl, H., Herrero, M., 2025. Rigorous anticipatory governance is needed for responsible food system transformation. Nat. Food 6, 920–926. https://doi.org/10.1038/s43016-025-01241-9</w:t>
      </w:r>
    </w:p>
    <w:p w14:paraId="53B42BF0" w14:textId="77777777" w:rsidR="001008B9" w:rsidRPr="001008B9" w:rsidRDefault="001008B9" w:rsidP="001008B9">
      <w:pPr>
        <w:pStyle w:val="Bibliography"/>
      </w:pPr>
      <w:r w:rsidRPr="001008B9">
        <w:t>Mattee, A.Z., Kundi, B.A.T., 2015. Contribution of innovation intermediaries in agricultural innovation : the case of agricultural R&amp;D in Tanzania. Afr. J. Sci. Technol. Innov. Dev. 7, 151–160. https://doi.org/10.1080/20421338.2015.1023644</w:t>
      </w:r>
    </w:p>
    <w:p w14:paraId="420667B6" w14:textId="77777777" w:rsidR="001008B9" w:rsidRPr="001008B9" w:rsidRDefault="001008B9" w:rsidP="001008B9">
      <w:pPr>
        <w:pStyle w:val="Bibliography"/>
      </w:pPr>
      <w:r w:rsidRPr="001008B9">
        <w:t>Mausch, K., Hall, A., Hambloch, C., Conti, C., Hauser, M., Abraham, S., Hammond, P., Moallemi, E.A., 2025. Foundations of a learning system for food system transformation under uncertainty. Food Secur. https://doi.org/10.1007/s12571-025-01565-1</w:t>
      </w:r>
    </w:p>
    <w:p w14:paraId="0AC57C93" w14:textId="77777777" w:rsidR="001008B9" w:rsidRPr="001008B9" w:rsidRDefault="001008B9" w:rsidP="001008B9">
      <w:pPr>
        <w:pStyle w:val="Bibliography"/>
      </w:pPr>
      <w:r w:rsidRPr="001008B9">
        <w:t>Meadows, D., 2009. Thinking in Systems: A Primer, Illustrated edition. ed. Chelsea Green Publishing Co, White River Junction, Vt.</w:t>
      </w:r>
    </w:p>
    <w:p w14:paraId="5548C381" w14:textId="77777777" w:rsidR="001008B9" w:rsidRPr="001008B9" w:rsidRDefault="001008B9" w:rsidP="001008B9">
      <w:pPr>
        <w:pStyle w:val="Bibliography"/>
      </w:pPr>
      <w:r w:rsidRPr="001008B9">
        <w:t>Meynard, J.M., Jeuffroy, M.H., Le Bail, M., Lefèvre, A., Magrini, M.B., Michon, C., 2016. Designing coupled innovations for the sustainability transition of agrifood systems. Agric. Syst. 157, 330–339. https://doi.org/10.1016/j.agsy.2016.08.002</w:t>
      </w:r>
    </w:p>
    <w:p w14:paraId="63811D3A" w14:textId="77777777" w:rsidR="001008B9" w:rsidRPr="001008B9" w:rsidRDefault="001008B9" w:rsidP="001008B9">
      <w:pPr>
        <w:pStyle w:val="Bibliography"/>
      </w:pPr>
      <w:r w:rsidRPr="001008B9">
        <w:lastRenderedPageBreak/>
        <w:t>Mignon, I., Kanda, W., 2018. A typology of intermediary organizations and their impact on sustainability transition policies. Environ. Innov. Soc. Transit. 29, 100–113. https://doi.org/10.1016/j.eist.2018.07.001</w:t>
      </w:r>
    </w:p>
    <w:p w14:paraId="6B4B3374" w14:textId="77777777" w:rsidR="001008B9" w:rsidRPr="001008B9" w:rsidRDefault="001008B9" w:rsidP="001008B9">
      <w:pPr>
        <w:pStyle w:val="Bibliography"/>
      </w:pPr>
      <w:r w:rsidRPr="001008B9">
        <w:t>Moallemi, E.A., Castonguay, A.C., Mason-D’Croz, D., Nelson, R., Britz, W., Allen, C., Hadjikakou, M., Battaglia, M., Bryan, B.A., Conti, C., Marcos-Martinez, R., Frank, S., Nong, D., Eker, S., Razavi, S., Navarro-Garcia, J., Gao, L., 2025a. Complexity and uncertainty in future food system transformation modelling. Nat. Food 6, 1008–1019. https://doi.org/10.1038/s43016-025-01257-1</w:t>
      </w:r>
    </w:p>
    <w:p w14:paraId="3F01CCDF" w14:textId="77777777" w:rsidR="001008B9" w:rsidRPr="001008B9" w:rsidRDefault="001008B9" w:rsidP="001008B9">
      <w:pPr>
        <w:pStyle w:val="Bibliography"/>
      </w:pPr>
      <w:r w:rsidRPr="001008B9">
        <w:t>Moallemi, E.A., Malekpour, S., Hadjikakou, M., Raven, R., Szetey, K., Ningrum, D., Dhiaulhaq, A., Bryan, B.A., 2020. Achieving the Sustainable Development Goals Requires Transdisciplinary Innovation at the Local Scale. One Earth 3, 300–313. https://doi.org/10.1016/j.oneear.2020.08.006</w:t>
      </w:r>
    </w:p>
    <w:p w14:paraId="431D57DC" w14:textId="77777777" w:rsidR="001008B9" w:rsidRPr="001008B9" w:rsidRDefault="001008B9" w:rsidP="001008B9">
      <w:pPr>
        <w:pStyle w:val="Bibliography"/>
      </w:pPr>
      <w:r w:rsidRPr="001008B9">
        <w:t>Moallemi, E.A., Miller, M., Szetey, K., Chakori, S., Conti, C., Hammond, P., Palmer, J., Battaglia, M., Bryan, B.A., Gao, L., Hall, A., Leith, P., Raven, R., Reed, P.M., 2025b. Entry points for driving systemic change toward a more sustainable future. One Earth 8. https://doi.org/10.1016/j.oneear.2025.101287</w:t>
      </w:r>
    </w:p>
    <w:p w14:paraId="57C06C63" w14:textId="77777777" w:rsidR="001008B9" w:rsidRPr="001008B9" w:rsidRDefault="001008B9" w:rsidP="001008B9">
      <w:pPr>
        <w:pStyle w:val="Bibliography"/>
      </w:pPr>
      <w:r w:rsidRPr="001008B9">
        <w:t>Mohanty, B., Mohanty, A., 2023. Millets should be mainstreamed for better nutritional outcomes in children. Earth.</w:t>
      </w:r>
    </w:p>
    <w:p w14:paraId="0C0AE729" w14:textId="77777777" w:rsidR="001008B9" w:rsidRPr="001008B9" w:rsidRDefault="001008B9" w:rsidP="001008B9">
      <w:pPr>
        <w:pStyle w:val="Bibliography"/>
      </w:pPr>
      <w:r w:rsidRPr="001008B9">
        <w:t>Mooij, J., 1998. Food policy and politics: The political economy of the public distribution system in India. J. Peasant Stud. 25, 77–101. https://doi.org/10.1080/03066159808438667</w:t>
      </w:r>
    </w:p>
    <w:p w14:paraId="1952D787" w14:textId="77777777" w:rsidR="001008B9" w:rsidRPr="001008B9" w:rsidRDefault="001008B9" w:rsidP="001008B9">
      <w:pPr>
        <w:pStyle w:val="Bibliography"/>
      </w:pPr>
      <w:r w:rsidRPr="001008B9">
        <w:t>Moore, M.-L., Riddell, D., Vocisano, D., 2015. Scaling Out, Scaling Up, Scaling Deep: Strategies of Non-profits in Advancing Systemic Social Innovation. J. Corp. Citizsh. 67–84.</w:t>
      </w:r>
    </w:p>
    <w:p w14:paraId="1A232266" w14:textId="77777777" w:rsidR="001008B9" w:rsidRPr="001008B9" w:rsidRDefault="001008B9" w:rsidP="001008B9">
      <w:pPr>
        <w:pStyle w:val="Bibliography"/>
      </w:pPr>
      <w:r w:rsidRPr="001008B9">
        <w:t>Moore, M.L., Tjornbo, O., Enfors, E., Knapp, C., Hodbod, J., Baggio, J.A., Norström, A., Olsson, P., Biggs, D., 2014. Studying the complexity of change: Toward an analytical framework for understanding deliberate social-ecological transformations. Ecol. Soc. 19. https://doi.org/10.5751/ES-06966-190454</w:t>
      </w:r>
    </w:p>
    <w:p w14:paraId="50EB5A0D" w14:textId="77777777" w:rsidR="001008B9" w:rsidRPr="001008B9" w:rsidRDefault="001008B9" w:rsidP="001008B9">
      <w:pPr>
        <w:pStyle w:val="Bibliography"/>
      </w:pPr>
      <w:r w:rsidRPr="001008B9">
        <w:t>Moran, J., Byrne, D., Carlier, J., Dunford, B., Finn, J.A., Ó hUallacháin, D., Sullivan, C.A., 2021. Management of high nature value farmland in the Republic of Ireland: 25 years evolving toward locally adapted results-orientated solutions and payments. Ecol. Soc. 26, art20. https://doi.org/10.5751/ES-12180-260120</w:t>
      </w:r>
    </w:p>
    <w:p w14:paraId="6FEA8AFF" w14:textId="77777777" w:rsidR="001008B9" w:rsidRPr="001008B9" w:rsidRDefault="001008B9" w:rsidP="001008B9">
      <w:pPr>
        <w:pStyle w:val="Bibliography"/>
      </w:pPr>
      <w:r w:rsidRPr="001008B9">
        <w:t>MSSRF, 2025a. Restoring mangroves ecosystems saves the coastline and community. MSSRF, Chennai.</w:t>
      </w:r>
    </w:p>
    <w:p w14:paraId="13E35685" w14:textId="77777777" w:rsidR="001008B9" w:rsidRPr="001008B9" w:rsidRDefault="001008B9" w:rsidP="001008B9">
      <w:pPr>
        <w:pStyle w:val="Bibliography"/>
      </w:pPr>
      <w:r w:rsidRPr="001008B9">
        <w:t>MSSRF, 2025b. Evergreen Revolution - The Pathway to Biohappiness. Presented at the M.S. Swaminathan Centenary International Conference 2025, New Delhi.</w:t>
      </w:r>
    </w:p>
    <w:p w14:paraId="137AE5CA" w14:textId="77777777" w:rsidR="001008B9" w:rsidRPr="001008B9" w:rsidRDefault="001008B9" w:rsidP="001008B9">
      <w:pPr>
        <w:pStyle w:val="Bibliography"/>
      </w:pPr>
      <w:r w:rsidRPr="001008B9">
        <w:t>MSSRF, 2025c. Building Climate Resilient, Sustainable And Inclusive Seed Systems For Food And Nutrition Security. Tribal Agrobiodiversity Centre, Koraput, Odisha.</w:t>
      </w:r>
    </w:p>
    <w:p w14:paraId="6CCE3612" w14:textId="77777777" w:rsidR="001008B9" w:rsidRPr="001008B9" w:rsidRDefault="001008B9" w:rsidP="001008B9">
      <w:pPr>
        <w:pStyle w:val="Bibliography"/>
      </w:pPr>
      <w:r w:rsidRPr="001008B9">
        <w:t>MSSRF, 2021. MSSRF Thirty-First Annual Report 2020 – 2021. MSSRF.</w:t>
      </w:r>
    </w:p>
    <w:p w14:paraId="3DFD3984" w14:textId="77777777" w:rsidR="001008B9" w:rsidRPr="001008B9" w:rsidRDefault="001008B9" w:rsidP="001008B9">
      <w:pPr>
        <w:pStyle w:val="Bibliography"/>
      </w:pPr>
      <w:r w:rsidRPr="001008B9">
        <w:t>MSSRF, 2020. Thirtieth Annual Report. MSSRF, Chennai.</w:t>
      </w:r>
    </w:p>
    <w:p w14:paraId="369442DD" w14:textId="77777777" w:rsidR="001008B9" w:rsidRPr="001008B9" w:rsidRDefault="001008B9" w:rsidP="001008B9">
      <w:pPr>
        <w:pStyle w:val="Bibliography"/>
      </w:pPr>
      <w:r w:rsidRPr="001008B9">
        <w:t>MSSRF, 2019a. Twenty-Ninth Annual Report. MSSRF, Chennai.</w:t>
      </w:r>
    </w:p>
    <w:p w14:paraId="70D5DDD1" w14:textId="77777777" w:rsidR="001008B9" w:rsidRPr="001008B9" w:rsidRDefault="001008B9" w:rsidP="001008B9">
      <w:pPr>
        <w:pStyle w:val="Bibliography"/>
      </w:pPr>
      <w:r w:rsidRPr="001008B9">
        <w:t>MSSRF, 2019b. Thirty Years of MSSRF: Influencing Policy Change. MSSRF, Chennai.</w:t>
      </w:r>
    </w:p>
    <w:p w14:paraId="57AB8A58" w14:textId="77777777" w:rsidR="001008B9" w:rsidRPr="001008B9" w:rsidRDefault="001008B9" w:rsidP="001008B9">
      <w:pPr>
        <w:pStyle w:val="Bibliography"/>
      </w:pPr>
      <w:r w:rsidRPr="001008B9">
        <w:t>MSSRF, 2018. Twenty-Eight Annual Report. MSSRF, Chennai.</w:t>
      </w:r>
    </w:p>
    <w:p w14:paraId="6AE72FB4" w14:textId="77777777" w:rsidR="001008B9" w:rsidRPr="001008B9" w:rsidRDefault="001008B9" w:rsidP="001008B9">
      <w:pPr>
        <w:pStyle w:val="Bibliography"/>
      </w:pPr>
      <w:r w:rsidRPr="001008B9">
        <w:t>MSSRF, 2017. Farming System for Nutrition. MSSRF, Chennai.</w:t>
      </w:r>
    </w:p>
    <w:p w14:paraId="421DEF25" w14:textId="77777777" w:rsidR="001008B9" w:rsidRPr="001008B9" w:rsidRDefault="001008B9" w:rsidP="001008B9">
      <w:pPr>
        <w:pStyle w:val="Bibliography"/>
      </w:pPr>
      <w:r w:rsidRPr="001008B9">
        <w:t>MSSRF, 2016. Implementing the Food Security Act: Prof M S Swaminathan |.</w:t>
      </w:r>
    </w:p>
    <w:p w14:paraId="116C47B8" w14:textId="77777777" w:rsidR="001008B9" w:rsidRPr="001008B9" w:rsidRDefault="001008B9" w:rsidP="001008B9">
      <w:pPr>
        <w:pStyle w:val="Bibliography"/>
      </w:pPr>
      <w:r w:rsidRPr="001008B9">
        <w:t>MSSRF, 2015. Harnessing Science for Sustainable Development. MSSRF, Chennai.</w:t>
      </w:r>
    </w:p>
    <w:p w14:paraId="02081931" w14:textId="77777777" w:rsidR="001008B9" w:rsidRPr="001008B9" w:rsidRDefault="001008B9" w:rsidP="001008B9">
      <w:pPr>
        <w:pStyle w:val="Bibliography"/>
      </w:pPr>
      <w:r w:rsidRPr="001008B9">
        <w:t>MSSRF, 2013. Twenty-third Annual Report. MSSRF, Chennai.</w:t>
      </w:r>
    </w:p>
    <w:p w14:paraId="0BBB1AE3" w14:textId="77777777" w:rsidR="001008B9" w:rsidRPr="001008B9" w:rsidRDefault="001008B9" w:rsidP="001008B9">
      <w:pPr>
        <w:pStyle w:val="Bibliography"/>
      </w:pPr>
      <w:r w:rsidRPr="001008B9">
        <w:t>MSSRF, 2012a. The Future We Want - Journey of MSSRF. MSSRF, Chennai.</w:t>
      </w:r>
    </w:p>
    <w:p w14:paraId="24031EC8" w14:textId="77777777" w:rsidR="001008B9" w:rsidRPr="001008B9" w:rsidRDefault="001008B9" w:rsidP="001008B9">
      <w:pPr>
        <w:pStyle w:val="Bibliography"/>
      </w:pPr>
      <w:r w:rsidRPr="001008B9">
        <w:lastRenderedPageBreak/>
        <w:t>MSSRF, 2012b. Twenty-Second Annual Report. MSSRF, Chennai.</w:t>
      </w:r>
    </w:p>
    <w:p w14:paraId="26C09E7D" w14:textId="77777777" w:rsidR="001008B9" w:rsidRPr="001008B9" w:rsidRDefault="001008B9" w:rsidP="001008B9">
      <w:pPr>
        <w:pStyle w:val="Bibliography"/>
      </w:pPr>
      <w:r w:rsidRPr="001008B9">
        <w:t>MSSRF, 1995. Fifth Annual Report 1994-95. MSSRF, Chennai.</w:t>
      </w:r>
    </w:p>
    <w:p w14:paraId="468CE2B6" w14:textId="77777777" w:rsidR="001008B9" w:rsidRPr="001008B9" w:rsidRDefault="001008B9" w:rsidP="001008B9">
      <w:pPr>
        <w:pStyle w:val="Bibliography"/>
      </w:pPr>
      <w:r w:rsidRPr="001008B9">
        <w:t>National Informatics Centre, 2012. India Budget - Agriculture and Food. Government of India.</w:t>
      </w:r>
    </w:p>
    <w:p w14:paraId="25E23247" w14:textId="77777777" w:rsidR="001008B9" w:rsidRPr="001008B9" w:rsidRDefault="001008B9" w:rsidP="001008B9">
      <w:pPr>
        <w:pStyle w:val="Bibliography"/>
      </w:pPr>
      <w:r w:rsidRPr="001008B9">
        <w:t>Ningrum, D., Malekpour, S., Raven, R., Moallemi, E.A., Bonar, G., 2024. Three perspectives on enabling local actions for the sustainable development goals (SDGs). Glob. Sustain. 7, e22. https://doi.org/10.1017/sus.2024.20</w:t>
      </w:r>
    </w:p>
    <w:p w14:paraId="71AF9AF7" w14:textId="77777777" w:rsidR="001008B9" w:rsidRPr="001008B9" w:rsidRDefault="001008B9" w:rsidP="001008B9">
      <w:pPr>
        <w:pStyle w:val="Bibliography"/>
      </w:pPr>
      <w:r w:rsidRPr="001008B9">
        <w:t>Ojha, H., Hall, A., 2021. Transformation as system innovation: insights from Nepal’s five decades of community forestry development. Innov. Dev. 0, 1–23. https://doi.org/10.1080/2157930X.2021.1917112</w:t>
      </w:r>
    </w:p>
    <w:p w14:paraId="78D8F960" w14:textId="77777777" w:rsidR="001008B9" w:rsidRPr="001008B9" w:rsidRDefault="001008B9" w:rsidP="001008B9">
      <w:pPr>
        <w:pStyle w:val="Bibliography"/>
      </w:pPr>
      <w:r w:rsidRPr="001008B9">
        <w:t>Orr, A., Conti, C., Mausch, K., Hall, A., 2022. Evidencing what works in developing new market opportunities for GLDC crops. Patancheru.</w:t>
      </w:r>
    </w:p>
    <w:p w14:paraId="36E3DD9F" w14:textId="77777777" w:rsidR="001008B9" w:rsidRPr="001008B9" w:rsidRDefault="001008B9" w:rsidP="001008B9">
      <w:pPr>
        <w:pStyle w:val="Bibliography"/>
      </w:pPr>
      <w:r w:rsidRPr="001008B9">
        <w:t>Pel, B., 2012. System innovation as Synchronization; innovation attempts in the Dutch traffic management field. Erasmus University Rotterdam, Rotterdam.</w:t>
      </w:r>
    </w:p>
    <w:p w14:paraId="5EB9FF71" w14:textId="77777777" w:rsidR="001008B9" w:rsidRPr="001008B9" w:rsidRDefault="001008B9" w:rsidP="001008B9">
      <w:pPr>
        <w:pStyle w:val="Bibliography"/>
      </w:pPr>
      <w:r w:rsidRPr="001008B9">
        <w:t>Petrina, S., 2020. Methods of Analysis Historical Case Study. The University of British Columbia.</w:t>
      </w:r>
    </w:p>
    <w:p w14:paraId="2089745C" w14:textId="77777777" w:rsidR="001008B9" w:rsidRPr="001008B9" w:rsidRDefault="001008B9" w:rsidP="001008B9">
      <w:pPr>
        <w:pStyle w:val="Bibliography"/>
      </w:pPr>
      <w:r w:rsidRPr="001008B9">
        <w:t>Pimbert, M., Thompson, J., Vorley, B., Fox, T., Kanji, N., Tacoli, C., 2003. Global Restructuring, Agri-Food Systems and Livelihoods - Gatekeeper Series 100. London.</w:t>
      </w:r>
    </w:p>
    <w:p w14:paraId="5441ACE3" w14:textId="77777777" w:rsidR="001008B9" w:rsidRPr="001008B9" w:rsidRDefault="001008B9" w:rsidP="001008B9">
      <w:pPr>
        <w:pStyle w:val="Bibliography"/>
      </w:pPr>
      <w:r w:rsidRPr="001008B9">
        <w:t>Rao, N. (Ed.), 2015. Swaminathan in Conversation with Nitya Rao: From Reflections on My Life to the Ethics and Politics of Science. Academic Foundation, New Delhi.</w:t>
      </w:r>
    </w:p>
    <w:p w14:paraId="76925488" w14:textId="77777777" w:rsidR="001008B9" w:rsidRPr="001008B9" w:rsidRDefault="001008B9" w:rsidP="001008B9">
      <w:pPr>
        <w:pStyle w:val="Bibliography"/>
      </w:pPr>
      <w:r w:rsidRPr="001008B9">
        <w:t>Rao, N., Marzi, E., Baudish, I., Laila, A., Conti, C., Hicks, C.C., 2025. Citizen voice and state response in the context of food system transformations. Food Policy 134, 102879. https://doi.org/10.1016/j.foodpol.2025.102879</w:t>
      </w:r>
    </w:p>
    <w:p w14:paraId="66C1DDF7" w14:textId="77777777" w:rsidR="001008B9" w:rsidRPr="001008B9" w:rsidRDefault="001008B9" w:rsidP="001008B9">
      <w:pPr>
        <w:pStyle w:val="Bibliography"/>
      </w:pPr>
      <w:r w:rsidRPr="001008B9">
        <w:t>Rauniyar, G.P., Goode, F.M., 1992. Technology adoption on small farms. World Dev. 20, 275–282. https://doi.org/10.1016/0305-750X(92)90105-5</w:t>
      </w:r>
    </w:p>
    <w:p w14:paraId="366D309C" w14:textId="77777777" w:rsidR="001008B9" w:rsidRPr="001008B9" w:rsidRDefault="001008B9" w:rsidP="001008B9">
      <w:pPr>
        <w:pStyle w:val="Bibliography"/>
      </w:pPr>
      <w:r w:rsidRPr="001008B9">
        <w:t>Robson, J.R.K., 1974. The ecology of malnutrition in a rural community in Tanzania. http://dx.doi.org/10.1080/03670244.1974.9990361 3, 61–72. https://doi.org/10.1080/03670244.1974.9990361</w:t>
      </w:r>
    </w:p>
    <w:p w14:paraId="15EEAF62" w14:textId="77777777" w:rsidR="001008B9" w:rsidRPr="001008B9" w:rsidRDefault="001008B9" w:rsidP="001008B9">
      <w:pPr>
        <w:pStyle w:val="Bibliography"/>
      </w:pPr>
      <w:r w:rsidRPr="001008B9">
        <w:t>Rockström, J., Thilsted, S.H., Willett, W.C., Gordon, L.J., Herrero, M., Hicks, C.C., Mason-D’Croz, D., Rao, N., Springmann, M., Wright, E.C., Agustina, R., Bajaj, S., Bunge, A.C., Carducci, B., Conti, C., Covic, N., Fanzo, J., Forouhi, N.G., Gibson, M.F., Gu, X., Kebreab, E., Kremen, C., Laila, A., Laxminarayan, R., Marteau, T.M., Monteiro, C.A., Norberg, A., Njuki, J., Oliveira, T.D., Pan, W.-H., Rivera, J.A., Robinson, J.P.W., Sundiang, M., Wierik, S. te, Vuuren, D.P. van, Vermeulen, S., Webb, P., Alqodmani, L., Ambikapathi, R., Barnhill, A., Baudish, I., Beier, F., Beillouin, D., Beusen, A.H.W., Breier, J., Chemarin, C., Chepeliev, M., Clapp, J., Vries, W. de, Pérez-Domínguez, I., Estrada-Carmona, N., Gerten, D., Golden, C.D., Jones, S.K., Jørgensen, P.S., Kozicka, M., Lotze-Campen, H., Maggi, F., Marzi, E., Mishra, A., Orduna-Cabrera, F., Popp, A., Schulte-Uebbing, L., Stehfest, E., Tang, F.H.M., Tsuchiya, K., Zanten, H.H.E.V., Zeist, W.-J. van, Zhao, X., DeClerck, F., 2025. The EAT–Lancet Commission on healthy, sustainable, and just food systems. The Lancet 406, 1625–1700. https://doi.org/10.1016/S0140-6736(25)01201-2</w:t>
      </w:r>
    </w:p>
    <w:p w14:paraId="00CB0CDC" w14:textId="77777777" w:rsidR="001008B9" w:rsidRPr="001008B9" w:rsidRDefault="001008B9" w:rsidP="001008B9">
      <w:pPr>
        <w:pStyle w:val="Bibliography"/>
      </w:pPr>
      <w:r w:rsidRPr="001008B9">
        <w:t>Rukmani, R., Anuradha, G., Gopinath, R., Samyuktha, K., 2018. Farming System For Nutrition: Need And Scope In Odisha. M. S. Swaminathan Research Foundaation, Chennai.</w:t>
      </w:r>
    </w:p>
    <w:p w14:paraId="08B907A0" w14:textId="77777777" w:rsidR="001008B9" w:rsidRPr="001008B9" w:rsidRDefault="001008B9" w:rsidP="001008B9">
      <w:pPr>
        <w:pStyle w:val="Bibliography"/>
      </w:pPr>
      <w:r w:rsidRPr="001008B9">
        <w:t>Sahal, D., 1981. The farm tractor and the nature of technological innovation. Res. Policy 10, 368–402. https://doi.org/10.1016/0048-7333(81)90020-2</w:t>
      </w:r>
    </w:p>
    <w:p w14:paraId="3D664557" w14:textId="77777777" w:rsidR="001008B9" w:rsidRPr="001008B9" w:rsidRDefault="001008B9" w:rsidP="001008B9">
      <w:pPr>
        <w:pStyle w:val="Bibliography"/>
      </w:pPr>
      <w:r w:rsidRPr="001008B9">
        <w:lastRenderedPageBreak/>
        <w:t>Salavisa, I., Ferreiro, M.F., Bizarro, S., 2021. The Transition of the Agro-Food System: Lessons from Organic Farming in the Lisbon Metropolitan Area. Sustainability 13, 9495. https://doi.org/10.3390/su13179495</w:t>
      </w:r>
    </w:p>
    <w:p w14:paraId="177EF323" w14:textId="77777777" w:rsidR="001008B9" w:rsidRPr="001008B9" w:rsidRDefault="001008B9" w:rsidP="001008B9">
      <w:pPr>
        <w:pStyle w:val="Bibliography"/>
      </w:pPr>
      <w:r w:rsidRPr="001008B9">
        <w:t>Schneider, D.T., Rossi, D.L.G., 2025. Pioneering Green Transitions: The Influence of Sustainability Champions on Urban Circular Economy Initiatives. Front. Strateg. Manag. 2, 18–30. https://doi.org/10.64917/fsm-009</w:t>
      </w:r>
    </w:p>
    <w:p w14:paraId="7C423D62" w14:textId="77777777" w:rsidR="001008B9" w:rsidRPr="001008B9" w:rsidRDefault="001008B9" w:rsidP="001008B9">
      <w:pPr>
        <w:pStyle w:val="Bibliography"/>
      </w:pPr>
      <w:r w:rsidRPr="001008B9">
        <w:t>Schut, M., Leeuwis, C., Thiele, G., 2020. Science of Scaling: Understanding and guiding the scaling of innovation for societal outcomes. Agric. Syst. 184, 102908. https://doi.org/10.1016/j.agsy.2020.102908</w:t>
      </w:r>
    </w:p>
    <w:p w14:paraId="1439D73C" w14:textId="77777777" w:rsidR="001008B9" w:rsidRPr="001008B9" w:rsidRDefault="001008B9" w:rsidP="001008B9">
      <w:pPr>
        <w:pStyle w:val="Bibliography"/>
      </w:pPr>
      <w:r w:rsidRPr="001008B9">
        <w:t>Schut, M., van Paassen, A., Leeuwis, C., Klerkx, L., 2014. Towards dynamic research configurations: A framework for reflection on the contribution of research to policy and innovation processes. Sci. Public Policy 41, 207–218. https://doi.org/10.1093/scipol/sct048</w:t>
      </w:r>
    </w:p>
    <w:p w14:paraId="0A02CB3A" w14:textId="77777777" w:rsidR="001008B9" w:rsidRPr="001008B9" w:rsidRDefault="001008B9" w:rsidP="001008B9">
      <w:pPr>
        <w:pStyle w:val="Bibliography"/>
      </w:pPr>
      <w:r w:rsidRPr="001008B9">
        <w:t>Sergeeva, N., 2016. What makes an “innovation champion”? Eur. J. Innov. Manag. 19, 72–89. https://doi.org/10.1108/EJIM-06-2014-0065</w:t>
      </w:r>
    </w:p>
    <w:p w14:paraId="283B2CEA" w14:textId="77777777" w:rsidR="001008B9" w:rsidRPr="001008B9" w:rsidRDefault="001008B9" w:rsidP="001008B9">
      <w:pPr>
        <w:pStyle w:val="Bibliography"/>
      </w:pPr>
      <w:r w:rsidRPr="001008B9">
        <w:t>Steyaert, P., Barbier, M., Cerf, M., Levain, A., Loconto, A.M., 2016. Role of intermediation in the management of complex sociotechnical transitions, in: AgroEcological Transitions. Wageningen University Research, p. 39 p.</w:t>
      </w:r>
    </w:p>
    <w:p w14:paraId="0136D35F" w14:textId="77777777" w:rsidR="001008B9" w:rsidRPr="001008B9" w:rsidRDefault="001008B9" w:rsidP="001008B9">
      <w:pPr>
        <w:pStyle w:val="Bibliography"/>
      </w:pPr>
      <w:r w:rsidRPr="001008B9">
        <w:t>Sumberg, J., Okali, C., 1988. Farmers, On-farm Research and the Development of New Technology. Exp. Agric. 24, 333–342. https://doi.org/10.1017/S0014479700016185</w:t>
      </w:r>
    </w:p>
    <w:p w14:paraId="2F578621" w14:textId="77777777" w:rsidR="001008B9" w:rsidRPr="001008B9" w:rsidRDefault="001008B9" w:rsidP="001008B9">
      <w:pPr>
        <w:pStyle w:val="Bibliography"/>
      </w:pPr>
      <w:r w:rsidRPr="001008B9">
        <w:t>Thompson, J., Scoones, I., 2009. Addressing the dynamics of agri-food systems: an emerging agenda for social science research. Environ. Sci. Policy. https://doi.org/10.1016/j.envsci.2009.03.001</w:t>
      </w:r>
    </w:p>
    <w:p w14:paraId="4BC176AE" w14:textId="77777777" w:rsidR="001008B9" w:rsidRPr="001008B9" w:rsidRDefault="001008B9" w:rsidP="001008B9">
      <w:pPr>
        <w:pStyle w:val="Bibliography"/>
      </w:pPr>
      <w:r w:rsidRPr="001008B9">
        <w:t>Times of India, 2011. Food security act should have provision for distribution of millets: MS Swaminathan. Times India.</w:t>
      </w:r>
    </w:p>
    <w:p w14:paraId="57F2DC9F" w14:textId="77777777" w:rsidR="001008B9" w:rsidRPr="001008B9" w:rsidRDefault="001008B9" w:rsidP="001008B9">
      <w:pPr>
        <w:pStyle w:val="Bibliography"/>
      </w:pPr>
      <w:r w:rsidRPr="001008B9">
        <w:t>Van Den Bosch, S., Rotmans, J., 2008. Deepening, broadening and scaling up: A framework for steering transition experiments. Knowledge Centre for Sustainable System Innovations and Transitions (KCT), Delft.</w:t>
      </w:r>
    </w:p>
    <w:p w14:paraId="1B06951C" w14:textId="77777777" w:rsidR="001008B9" w:rsidRPr="001008B9" w:rsidRDefault="001008B9" w:rsidP="001008B9">
      <w:pPr>
        <w:pStyle w:val="Bibliography"/>
      </w:pPr>
      <w:r w:rsidRPr="001008B9">
        <w:t>Van Parys, E., Molina-Maturano, J., Rad, M., Wahlberg, A., Östergren, K., Laso Bayas, J.C., Gellynck, X., Schouteten, J.J., De Steur, H., 2025. Recognizing complexity in agricultural innovation: Advancing responsible scaling using the Rapid Scaling Tool in Intermediate Value Chains. J. Rural Stud. 117, 103689. https://doi.org/10.1016/j.jrurstud.2025.103689</w:t>
      </w:r>
    </w:p>
    <w:p w14:paraId="66930260" w14:textId="77777777" w:rsidR="001008B9" w:rsidRPr="001008B9" w:rsidRDefault="001008B9" w:rsidP="001008B9">
      <w:pPr>
        <w:pStyle w:val="Bibliography"/>
      </w:pPr>
      <w:r w:rsidRPr="001008B9">
        <w:t>Westermann, O., Förch, W., Thornton, P., Körner, J., Cramer, L., Campbell, B., 2018. Scaling up agricultural interventions: Case studies of climate-smart agriculture. Agric. Syst. 165, 283–293. https://doi.org/10.1016/j.agsy.2018.07.007</w:t>
      </w:r>
    </w:p>
    <w:p w14:paraId="30CF0759" w14:textId="77777777" w:rsidR="001008B9" w:rsidRPr="001008B9" w:rsidRDefault="001008B9" w:rsidP="001008B9">
      <w:pPr>
        <w:pStyle w:val="Bibliography"/>
      </w:pPr>
      <w:r w:rsidRPr="001008B9">
        <w:t>Westley, F., Olsson, P., Folke, C., Homer-Dixon, T., Vredenburg, H., Loorbach, D., Thompson, J., Nilsson, M., Lambin, E., Sendzimir, J., Banerjee, B., Galaz, V., Van Der Leeuw, S., 2011. Tipping toward sustainability: Emerging pathways of transformation. Ambio 40, 762–780. https://doi.org/10.1007/S13280-011-0186-9/FIGURES/6</w:t>
      </w:r>
    </w:p>
    <w:p w14:paraId="1159BF72" w14:textId="77777777" w:rsidR="001008B9" w:rsidRPr="001008B9" w:rsidRDefault="001008B9" w:rsidP="001008B9">
      <w:pPr>
        <w:pStyle w:val="Bibliography"/>
      </w:pPr>
      <w:r w:rsidRPr="001008B9">
        <w:t>Wigboldus, S., Brouwers, J., 2016. Using a Theory of Scaling to guide decision making : towards a structured approach to support responsible scaling of innovations in the context of agrifood systems.</w:t>
      </w:r>
    </w:p>
    <w:p w14:paraId="3B123149" w14:textId="77777777" w:rsidR="001008B9" w:rsidRPr="001008B9" w:rsidRDefault="001008B9" w:rsidP="001008B9">
      <w:pPr>
        <w:pStyle w:val="Bibliography"/>
      </w:pPr>
      <w:r w:rsidRPr="001008B9">
        <w:t>Wigboldus, S., Klerkx, L., Leeuwis, C., Schut, M., Muilerman, S., Jochemsen, H., 2016. Systemic perspectives on scaling agricultural innovations. A review. Agron. Sustain. Dev. 36, 46. https://doi.org/10.1007/s13593-016-0380-z</w:t>
      </w:r>
    </w:p>
    <w:p w14:paraId="43F99230" w14:textId="77777777" w:rsidR="001008B9" w:rsidRPr="001008B9" w:rsidRDefault="001008B9" w:rsidP="001008B9">
      <w:pPr>
        <w:pStyle w:val="Bibliography"/>
      </w:pPr>
      <w:r w:rsidRPr="001008B9">
        <w:lastRenderedPageBreak/>
        <w:t>Wigboldus, S.A., Leeuwis, C., 2013. Towards responsible scaling up and out in agricultural development : An exploration of concepts and principles.</w:t>
      </w:r>
    </w:p>
    <w:p w14:paraId="586A1F04" w14:textId="77777777" w:rsidR="001008B9" w:rsidRPr="001008B9" w:rsidRDefault="001008B9" w:rsidP="001008B9">
      <w:pPr>
        <w:pStyle w:val="Bibliography"/>
      </w:pPr>
      <w:r w:rsidRPr="001008B9">
        <w:t>Woltering, L., Fehlenberg, K., Gerard, B., Ubels, J., Cooley, L., 2019a. Scaling – from “reaching many” to sustainable systems change at scale: A critical shift in mindset. Agric. Syst. 176. https://doi.org/10.1016/j.agsy.2019.102652</w:t>
      </w:r>
    </w:p>
    <w:p w14:paraId="7A34C5A6" w14:textId="77777777" w:rsidR="001008B9" w:rsidRPr="001008B9" w:rsidRDefault="001008B9" w:rsidP="001008B9">
      <w:pPr>
        <w:pStyle w:val="Bibliography"/>
      </w:pPr>
      <w:r w:rsidRPr="001008B9">
        <w:t>Woltering, L., Fehlenberg, K., Gerard, B., Ubels, J., Cooley, L., 2019b. Scaling – from “reaching many” to sustainable systems change at scale: A critical shift in mindset. Agric. Syst. 176, 102652. https://doi.org/10.1016/j.agsy.2019.102652</w:t>
      </w:r>
    </w:p>
    <w:p w14:paraId="558F7268" w14:textId="77777777" w:rsidR="001008B9" w:rsidRPr="001008B9" w:rsidRDefault="001008B9" w:rsidP="001008B9">
      <w:pPr>
        <w:pStyle w:val="Bibliography"/>
      </w:pPr>
      <w:r w:rsidRPr="001008B9">
        <w:t>Woltering, L., Valencia Leñero, E.M., Boa-Alvarado, M., Van Loon, J., Ubels, J., Leeuwis, C., 2024. Supporting a systems approach to scaling for all; insights from using the Scaling Scan tool. Agric. Syst. 217, 103927. https://doi.org/10.1016/j.agsy.2024.103927</w:t>
      </w:r>
    </w:p>
    <w:p w14:paraId="7B24D86B" w14:textId="77777777" w:rsidR="001008B9" w:rsidRPr="001008B9" w:rsidRDefault="001008B9" w:rsidP="001008B9">
      <w:pPr>
        <w:pStyle w:val="Bibliography"/>
      </w:pPr>
      <w:r w:rsidRPr="001008B9">
        <w:t>World Bank, 2006. Enhancing Agricultural Innovation. Enhancing Agric. Innov. https://doi.org/10.1596/978-0-8213-6741-4</w:t>
      </w:r>
    </w:p>
    <w:p w14:paraId="4F8F7C81" w14:textId="77777777" w:rsidR="001008B9" w:rsidRPr="001008B9" w:rsidRDefault="001008B9" w:rsidP="001008B9">
      <w:pPr>
        <w:pStyle w:val="Bibliography"/>
      </w:pPr>
      <w:r w:rsidRPr="001008B9">
        <w:t>Zanello, G., Shrestha, R., Ghosh, S., Webb, P., 2024. Mapping Innovations in Food Systems: Pathways to Sustainable, Safe, Healthy Diets. Curr. Dev. Nutr. 8. https://doi.org/10.1016/j.cdnut.2024.102268</w:t>
      </w:r>
    </w:p>
    <w:p w14:paraId="4EA82F76" w14:textId="77777777" w:rsidR="001008B9" w:rsidRPr="001008B9" w:rsidRDefault="001008B9" w:rsidP="001008B9">
      <w:pPr>
        <w:pStyle w:val="Bibliography"/>
      </w:pPr>
      <w:r w:rsidRPr="001008B9">
        <w:t>Zeller, M., Diagne, A., Mataya, C., 1998. Market access by smallholder farmers in Malawi: implications for technology adoption, agricultural productivity and crop income. Agric. Econ. 19, 219–229. https://doi.org/10.1111/J.1574-0862.1998.TB00528.X</w:t>
      </w:r>
    </w:p>
    <w:p w14:paraId="130CF75B" w14:textId="2531B077" w:rsidR="00592ECF" w:rsidRPr="00435A39" w:rsidRDefault="00C84E2D" w:rsidP="001008B9">
      <w:pPr>
        <w:pStyle w:val="Bibliography"/>
        <w:rPr>
          <w:shd w:val="clear" w:color="auto" w:fill="FFFFFF"/>
        </w:rPr>
      </w:pPr>
      <w:r>
        <w:rPr>
          <w:shd w:val="clear" w:color="auto" w:fill="FFFFFF"/>
        </w:rPr>
        <w:fldChar w:fldCharType="end"/>
      </w:r>
    </w:p>
    <w:sectPr w:rsidR="00592ECF" w:rsidRPr="00435A39" w:rsidSect="00074242">
      <w:headerReference w:type="even"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C18369" w14:textId="77777777" w:rsidR="001F68E8" w:rsidRDefault="001F68E8" w:rsidP="004D112F">
      <w:pPr>
        <w:spacing w:line="240" w:lineRule="auto"/>
      </w:pPr>
      <w:r>
        <w:separator/>
      </w:r>
    </w:p>
  </w:endnote>
  <w:endnote w:type="continuationSeparator" w:id="0">
    <w:p w14:paraId="6E38ED94" w14:textId="77777777" w:rsidR="001F68E8" w:rsidRDefault="001F68E8" w:rsidP="004D11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UI">
    <w:panose1 w:val="020B0604020202020204"/>
    <w:charset w:val="00"/>
    <w:family w:val="swiss"/>
    <w:pitch w:val="variable"/>
    <w:sig w:usb0="E4002EFF" w:usb1="C000E47F" w:usb2="00000009" w:usb3="00000000" w:csb0="000001FF" w:csb1="00000000"/>
  </w:font>
  <w:font w:name="Aptos">
    <w:panose1 w:val="020B0004020202020204"/>
    <w:charset w:val="00"/>
    <w:family w:val="swiss"/>
    <w:pitch w:val="variable"/>
    <w:sig w:usb0="20000287" w:usb1="00000003" w:usb2="00000000" w:usb3="00000000" w:csb0="0000019F" w:csb1="00000000"/>
  </w:font>
  <w:font w:name="Mangal">
    <w:panose1 w:val="02040503050203030202"/>
    <w:charset w:val="01"/>
    <w:family w:val="roman"/>
    <w:pitch w:val="variable"/>
    <w:sig w:usb0="0000A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Aptos Display">
    <w:panose1 w:val="020B0004020202020204"/>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26941" w14:textId="77777777" w:rsidR="00B66BCC" w:rsidRDefault="00B66BCC">
    <w:pPr>
      <w:pStyle w:val="Footer"/>
    </w:pPr>
    <w:r>
      <w:rPr>
        <w:noProof/>
        <w14:ligatures w14:val="standardContextual"/>
      </w:rPr>
      <mc:AlternateContent>
        <mc:Choice Requires="wps">
          <w:drawing>
            <wp:anchor distT="0" distB="0" distL="0" distR="0" simplePos="0" relativeHeight="251669504" behindDoc="0" locked="0" layoutInCell="1" allowOverlap="1" wp14:anchorId="1125809C" wp14:editId="66C3921F">
              <wp:simplePos x="635" y="635"/>
              <wp:positionH relativeFrom="page">
                <wp:align>center</wp:align>
              </wp:positionH>
              <wp:positionV relativeFrom="page">
                <wp:align>bottom</wp:align>
              </wp:positionV>
              <wp:extent cx="1177925" cy="404495"/>
              <wp:effectExtent l="0" t="0" r="3175" b="0"/>
              <wp:wrapNone/>
              <wp:docPr id="623377978" name="Text Box 5"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7925" cy="404495"/>
                      </a:xfrm>
                      <a:prstGeom prst="rect">
                        <a:avLst/>
                      </a:prstGeom>
                      <a:noFill/>
                      <a:ln>
                        <a:noFill/>
                      </a:ln>
                    </wps:spPr>
                    <wps:txbx>
                      <w:txbxContent>
                        <w:p w14:paraId="72FCEC76" w14:textId="77777777" w:rsidR="00B66BCC" w:rsidRPr="007059A3" w:rsidRDefault="00B66BCC" w:rsidP="007059A3">
                          <w:pPr>
                            <w:rPr>
                              <w:rFonts w:eastAsia="Calibri"/>
                              <w:noProof/>
                              <w:color w:val="FF0000"/>
                            </w:rPr>
                          </w:pPr>
                          <w:r w:rsidRPr="007059A3">
                            <w:rPr>
                              <w:rFonts w:eastAsia="Calibri"/>
                              <w:noProof/>
                              <w:color w:val="FF0000"/>
                            </w:rPr>
                            <w:t>OFFICIAL: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25809C" id="_x0000_t202" coordsize="21600,21600" o:spt="202" path="m,l,21600r21600,l21600,xe">
              <v:stroke joinstyle="miter"/>
              <v:path gradientshapeok="t" o:connecttype="rect"/>
            </v:shapetype>
            <v:shape id="Text Box 5" o:spid="_x0000_s1027" type="#_x0000_t202" alt="OFFICIAL: Sensitive" style="position:absolute;left:0;text-align:left;margin-left:0;margin-top:0;width:92.75pt;height:31.85pt;z-index:2516695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" filled="f" stroked="f">
              <v:textbox style="mso-fit-shape-to-text:t" inset="0,0,0,15pt">
                <w:txbxContent>
                  <w:p w14:paraId="72FCEC76" w14:textId="77777777" w:rsidR="00B66BCC" w:rsidRPr="007059A3" w:rsidRDefault="00B66BCC" w:rsidP="007059A3">
                    <w:pPr>
                      <w:rPr>
                        <w:rFonts w:eastAsia="Calibri"/>
                        <w:noProof/>
                        <w:color w:val="FF0000"/>
                      </w:rPr>
                    </w:pPr>
                    <w:r w:rsidRPr="007059A3">
                      <w:rPr>
                        <w:rFonts w:eastAsia="Calibri"/>
                        <w:noProof/>
                        <w:color w:val="FF0000"/>
                      </w:rPr>
                      <w:t>OFFICIAL: Sensitive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4392D" w14:textId="58BDB2FF" w:rsidR="00B66BCC" w:rsidRDefault="00000000">
    <w:pPr>
      <w:pStyle w:val="Footer"/>
      <w:jc w:val="right"/>
    </w:pPr>
    <w:sdt>
      <w:sdtPr>
        <w:id w:val="-379315622"/>
        <w:docPartObj>
          <w:docPartGallery w:val="Page Numbers (Bottom of Page)"/>
          <w:docPartUnique/>
        </w:docPartObj>
      </w:sdtPr>
      <w:sdtEndPr>
        <w:rPr>
          <w:noProof/>
        </w:rPr>
      </w:sdtEndPr>
      <w:sdtContent>
        <w:r w:rsidR="00B66BCC">
          <w:fldChar w:fldCharType="begin"/>
        </w:r>
        <w:r w:rsidR="00B66BCC">
          <w:instrText xml:space="preserve"> PAGE   \* MERGEFORMAT </w:instrText>
        </w:r>
        <w:r w:rsidR="00B66BCC">
          <w:fldChar w:fldCharType="separate"/>
        </w:r>
        <w:r w:rsidR="00B66BCC">
          <w:rPr>
            <w:noProof/>
          </w:rPr>
          <w:t>2</w:t>
        </w:r>
        <w:r w:rsidR="00B66BCC">
          <w:rPr>
            <w:noProof/>
          </w:rPr>
          <w:fldChar w:fldCharType="end"/>
        </w:r>
      </w:sdtContent>
    </w:sdt>
  </w:p>
  <w:p w14:paraId="523263DF" w14:textId="77777777" w:rsidR="00B66BCC" w:rsidRDefault="00B66BC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049D8" w14:textId="77777777" w:rsidR="00B66BCC" w:rsidRDefault="00B66BCC">
    <w:pPr>
      <w:pStyle w:val="Footer"/>
    </w:pPr>
    <w:r>
      <w:rPr>
        <w:noProof/>
        <w14:ligatures w14:val="standardContextual"/>
      </w:rPr>
      <mc:AlternateContent>
        <mc:Choice Requires="wps">
          <w:drawing>
            <wp:anchor distT="0" distB="0" distL="0" distR="0" simplePos="0" relativeHeight="251668480" behindDoc="0" locked="0" layoutInCell="1" allowOverlap="1" wp14:anchorId="5642F5B6" wp14:editId="61D91BC9">
              <wp:simplePos x="635" y="635"/>
              <wp:positionH relativeFrom="page">
                <wp:align>center</wp:align>
              </wp:positionH>
              <wp:positionV relativeFrom="page">
                <wp:align>bottom</wp:align>
              </wp:positionV>
              <wp:extent cx="1177925" cy="404495"/>
              <wp:effectExtent l="0" t="0" r="3175" b="0"/>
              <wp:wrapNone/>
              <wp:docPr id="2015879401" name="Text Box 4"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7925" cy="404495"/>
                      </a:xfrm>
                      <a:prstGeom prst="rect">
                        <a:avLst/>
                      </a:prstGeom>
                      <a:noFill/>
                      <a:ln>
                        <a:noFill/>
                      </a:ln>
                    </wps:spPr>
                    <wps:txbx>
                      <w:txbxContent>
                        <w:p w14:paraId="7DFDEEA8" w14:textId="77777777" w:rsidR="00B66BCC" w:rsidRPr="007059A3" w:rsidRDefault="00B66BCC" w:rsidP="007059A3">
                          <w:pPr>
                            <w:rPr>
                              <w:rFonts w:eastAsia="Calibri"/>
                              <w:noProof/>
                              <w:color w:val="FF0000"/>
                            </w:rPr>
                          </w:pPr>
                          <w:r w:rsidRPr="007059A3">
                            <w:rPr>
                              <w:rFonts w:eastAsia="Calibri"/>
                              <w:noProof/>
                              <w:color w:val="FF0000"/>
                            </w:rPr>
                            <w:t>OFFICIAL: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642F5B6" id="_x0000_t202" coordsize="21600,21600" o:spt="202" path="m,l,21600r21600,l21600,xe">
              <v:stroke joinstyle="miter"/>
              <v:path gradientshapeok="t" o:connecttype="rect"/>
            </v:shapetype>
            <v:shape id="Text Box 4" o:spid="_x0000_s1029" type="#_x0000_t202" alt="OFFICIAL: Sensitive" style="position:absolute;left:0;text-align:left;margin-left:0;margin-top:0;width:92.75pt;height:31.85pt;z-index:251668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" filled="f" stroked="f">
              <v:textbox style="mso-fit-shape-to-text:t" inset="0,0,0,15pt">
                <w:txbxContent>
                  <w:p w14:paraId="7DFDEEA8" w14:textId="77777777" w:rsidR="00B66BCC" w:rsidRPr="007059A3" w:rsidRDefault="00B66BCC" w:rsidP="007059A3">
                    <w:pPr>
                      <w:rPr>
                        <w:rFonts w:eastAsia="Calibri"/>
                        <w:noProof/>
                        <w:color w:val="FF0000"/>
                      </w:rPr>
                    </w:pPr>
                    <w:r w:rsidRPr="007059A3">
                      <w:rPr>
                        <w:rFonts w:eastAsia="Calibri"/>
                        <w:noProof/>
                        <w:color w:val="FF0000"/>
                      </w:rPr>
                      <w:t>OFFICIAL: Sensitive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1D431B" w14:textId="77777777" w:rsidR="001F68E8" w:rsidRDefault="001F68E8" w:rsidP="004D112F">
      <w:pPr>
        <w:spacing w:line="240" w:lineRule="auto"/>
      </w:pPr>
      <w:r>
        <w:separator/>
      </w:r>
    </w:p>
  </w:footnote>
  <w:footnote w:type="continuationSeparator" w:id="0">
    <w:p w14:paraId="70D979E4" w14:textId="77777777" w:rsidR="001F68E8" w:rsidRDefault="001F68E8" w:rsidP="004D112F">
      <w:pPr>
        <w:spacing w:line="240" w:lineRule="auto"/>
      </w:pPr>
      <w:r>
        <w:continuationSeparator/>
      </w:r>
    </w:p>
  </w:footnote>
  <w:footnote w:id="1">
    <w:p w14:paraId="4C761C36" w14:textId="4FDE24E5" w:rsidR="001472C8" w:rsidRPr="00B0493A" w:rsidRDefault="001472C8" w:rsidP="001472C8">
      <w:pPr>
        <w:pStyle w:val="FootnoteText"/>
        <w:rPr>
          <w:lang w:val="en-US"/>
        </w:rPr>
      </w:pPr>
      <w:r>
        <w:rPr>
          <w:rStyle w:val="FootnoteReference"/>
        </w:rPr>
        <w:footnoteRef/>
      </w:r>
      <w:r>
        <w:t xml:space="preserve"> To address food security concerns from the 1960s onwards, </w:t>
      </w:r>
      <w:r w:rsidRPr="001C6117">
        <w:t xml:space="preserve">state procurement agencies </w:t>
      </w:r>
      <w:r>
        <w:t>started buying</w:t>
      </w:r>
      <w:r w:rsidRPr="001C6117">
        <w:t xml:space="preserve"> large quantities of </w:t>
      </w:r>
      <w:r>
        <w:t>rice</w:t>
      </w:r>
      <w:r w:rsidRPr="001C6117">
        <w:t xml:space="preserve"> and wheat from farmers at minimum support prices</w:t>
      </w:r>
      <w:r>
        <w:t xml:space="preserve"> </w:t>
      </w:r>
      <w:r>
        <w:fldChar w:fldCharType="begin"/>
      </w:r>
      <w:r w:rsidR="00F21C07">
        <w:instrText xml:space="preserve"> ADDIN ZOTERO_ITEM CSL_CITATION {"citationID":"nWg86bTM","properties":{"unsorted":false,"formattedCitation":"(Government of India, 2025a)","plainCitation":"(Government of India, 2025a)","noteIndex":1},"citationItems":[{"id":22263,"uris":["http://zotero.org/users/12768557/items/N4XCLSYU"],"itemData":{"id":22263,"type":"webpage","container-title":"Public Distribution System (PDS)","publisher":"National Food Security Portal","title":"NFSA","URL":"https://nfsa.gov.in/portal/PDS_page?utm","author":[{"family":"Government of India","given":""}],"accessed":{"date-parts":[["2026",5,19]]},"issued":{"date-parts":[["2025"]]}}}],"schema":"https://github.com/citation-style-language/schema/raw/master/csl-citation.json"} </w:instrText>
      </w:r>
      <w:r>
        <w:fldChar w:fldCharType="separate"/>
      </w:r>
      <w:r w:rsidR="00F21C07">
        <w:rPr>
          <w:noProof/>
        </w:rPr>
        <w:t>(Government of India, 2025a)</w:t>
      </w:r>
      <w:r>
        <w:fldChar w:fldCharType="end"/>
      </w:r>
      <w:r w:rsidRPr="001C6117">
        <w:t>. These grains were then supplied to low-income households through the Public Distribution System (PDS).</w:t>
      </w:r>
      <w:r>
        <w:t xml:space="preserve"> Even if the PDS underwent numerous reforms across the years, it consistently prioritised rice and wheat over other crops. For instance, i</w:t>
      </w:r>
      <w:r w:rsidRPr="001C6117">
        <w:t>n 2010–11, public procurement reached 34.2 million tonnes for rice and 22.5 million tonnes for wheat, compared with only 0.128 million tonnes for coarse grains</w:t>
      </w:r>
      <w:r>
        <w:t xml:space="preserve"> </w:t>
      </w:r>
      <w:r>
        <w:fldChar w:fldCharType="begin"/>
      </w:r>
      <w:r w:rsidR="00F21C07">
        <w:instrText xml:space="preserve"> ADDIN ZOTERO_ITEM CSL_CITATION {"citationID":"BHudseJJ","properties":{"unsorted":false,"formattedCitation":"(National Informatics Centre, 2012)","plainCitation":"(National Informatics Centre, 2012)","noteIndex":1},"citationItems":[{"id":22266,"uris":["http://zotero.org/users/12768557/items/IX4XJLGJ"],"itemData":{"id":22266,"type":"report","publisher":"Government of India","title":"India Budget - Agriculture and Food","URL":"https://www.indiabudget.gov.in/budget2012-2013/es2011-12/echap-08.pdf","author":[{"family":"National Informatics Centre","given":""}],"issued":{"date-parts":[["2012"]]}}}],"schema":"https://github.com/citation-style-language/schema/raw/master/csl-citation.json"} </w:instrText>
      </w:r>
      <w:r>
        <w:fldChar w:fldCharType="separate"/>
      </w:r>
      <w:r>
        <w:rPr>
          <w:noProof/>
        </w:rPr>
        <w:t>(National Informatics Centre, 2012)</w:t>
      </w:r>
      <w:r>
        <w:fldChar w:fldCharType="end"/>
      </w:r>
      <w:r w:rsidRPr="001C6117">
        <w:t xml:space="preserve">. This </w:t>
      </w:r>
      <w:r>
        <w:t xml:space="preserve">created a strong incentive for farmers to focus on </w:t>
      </w:r>
      <w:r w:rsidRPr="001C6117">
        <w:t xml:space="preserve">rice and wheat </w:t>
      </w:r>
      <w:r>
        <w:t xml:space="preserve">production, while also pushing consumption towards these cheaper and widely available crops. </w:t>
      </w:r>
    </w:p>
  </w:footnote>
  <w:footnote w:id="2">
    <w:p w14:paraId="58E862E0" w14:textId="3DAF06CE" w:rsidR="00466C26" w:rsidRPr="00C36C70" w:rsidRDefault="00466C26">
      <w:pPr>
        <w:pStyle w:val="FootnoteText"/>
        <w:rPr>
          <w:lang w:val="en-US"/>
        </w:rPr>
      </w:pPr>
      <w:r>
        <w:rPr>
          <w:rStyle w:val="FootnoteReference"/>
        </w:rPr>
        <w:footnoteRef/>
      </w:r>
      <w:r>
        <w:t xml:space="preserve"> </w:t>
      </w:r>
      <w:r w:rsidRPr="00C62F3A">
        <w:rPr>
          <w:rFonts w:cs="Calibri"/>
          <w:color w:val="000000"/>
          <w:shd w:val="clear" w:color="auto" w:fill="FFFFFF"/>
        </w:rPr>
        <w:t xml:space="preserve">Demonstration plots across 48 sites between 2007–2010 recorded average yields of 1504 kg/ha, up from baselines as low as 185–587 kg/ha </w:t>
      </w:r>
      <w:r w:rsidRPr="00C62F3A">
        <w:rPr>
          <w:rFonts w:cs="Calibri"/>
          <w:color w:val="000000"/>
          <w:shd w:val="clear" w:color="auto" w:fill="FFFFFF"/>
        </w:rPr>
        <w:fldChar w:fldCharType="begin"/>
      </w:r>
      <w:r w:rsidR="00F21C07">
        <w:rPr>
          <w:rFonts w:cs="Calibri"/>
          <w:color w:val="000000"/>
          <w:shd w:val="clear" w:color="auto" w:fill="FFFFFF"/>
        </w:rPr>
        <w:instrText xml:space="preserve"> ADDIN ZOTERO_ITEM CSL_CITATION {"citationID":"7Davwl2b","properties":{"formattedCitation":"(C Conti et al., 2025b)","plainCitation":"(C Conti et al., 2025b)","dontUpdate":true,"noteIndex":2},"citationItems":[{"id":20375,"uris":["http://zotero.org/users/12768557/items/8WJEZ9DI"],"itemData":{"id":20375,"type":"report","publisher":"MSSRF","publisher-place":"Chennai","title":"Forgotten foods for India’s Food Systems: Lessons from MSSRF millet scaling in Odisha","URL":"http://59.160.153.188/library/sites/default/files/mill%20lele%20program%20review.pdf","author":[{"family":"Conti","given":"C"},{"family":"Parida","given":"P"},{"family":"King","given":"I. E.D"},{"family":"Rao","given":"Nitya"},{"family":"Rengalakshmi","given":"R"},{"family":"Gopi","given":"G"},{"family":"Lenka","given":"K. C."},{"family":"Gauda","given":"N"},{"family":"Jena","given":"P. C."},{"family":"Swaminathan","given":"S"}],"issued":{"date-parts":[["2025"]]}}}],"schema":"https://github.com/citation-style-language/schema/raw/master/csl-citation.json"} </w:instrText>
      </w:r>
      <w:r w:rsidRPr="00C62F3A">
        <w:rPr>
          <w:rFonts w:cs="Calibri"/>
          <w:color w:val="000000"/>
          <w:shd w:val="clear" w:color="auto" w:fill="FFFFFF"/>
        </w:rPr>
        <w:fldChar w:fldCharType="separate"/>
      </w:r>
      <w:r>
        <w:rPr>
          <w:rFonts w:cs="Calibri"/>
          <w:noProof/>
          <w:color w:val="000000"/>
          <w:shd w:val="clear" w:color="auto" w:fill="FFFFFF"/>
        </w:rPr>
        <w:t>(Conti et al., 2025b)</w:t>
      </w:r>
      <w:r w:rsidRPr="00C62F3A">
        <w:rPr>
          <w:rFonts w:cs="Calibri"/>
          <w:color w:val="000000"/>
          <w:shd w:val="clear" w:color="auto" w:fill="FFFFFF"/>
        </w:rPr>
        <w:fldChar w:fldCharType="end"/>
      </w:r>
      <w:r w:rsidR="00C36C70">
        <w:rPr>
          <w:rFonts w:cs="Calibri"/>
          <w:color w:val="000000"/>
          <w:shd w:val="clear" w:color="auto" w:fill="FFFFFF"/>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3BBF1" w14:textId="77777777" w:rsidR="00B66BCC" w:rsidRDefault="00B66BCC">
    <w:pPr>
      <w:pStyle w:val="Header"/>
    </w:pPr>
    <w:r>
      <w:rPr>
        <w:noProof/>
        <w14:ligatures w14:val="standardContextual"/>
      </w:rPr>
      <mc:AlternateContent>
        <mc:Choice Requires="wps">
          <w:drawing>
            <wp:anchor distT="0" distB="0" distL="0" distR="0" simplePos="0" relativeHeight="251666432" behindDoc="0" locked="0" layoutInCell="1" allowOverlap="1" wp14:anchorId="3DDCFB76" wp14:editId="61A7B42F">
              <wp:simplePos x="635" y="635"/>
              <wp:positionH relativeFrom="page">
                <wp:align>center</wp:align>
              </wp:positionH>
              <wp:positionV relativeFrom="page">
                <wp:align>top</wp:align>
              </wp:positionV>
              <wp:extent cx="1177925" cy="404495"/>
              <wp:effectExtent l="0" t="0" r="3175" b="1905"/>
              <wp:wrapNone/>
              <wp:docPr id="2119258727" name="Text Box 2"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177925" cy="404495"/>
                      </a:xfrm>
                      <a:prstGeom prst="rect">
                        <a:avLst/>
                      </a:prstGeom>
                      <a:noFill/>
                      <a:ln>
                        <a:noFill/>
                      </a:ln>
                    </wps:spPr>
                    <wps:txbx>
                      <w:txbxContent>
                        <w:p w14:paraId="1EFF6BA5" w14:textId="77777777" w:rsidR="00B66BCC" w:rsidRPr="007059A3" w:rsidRDefault="00B66BCC" w:rsidP="007059A3">
                          <w:pPr>
                            <w:rPr>
                              <w:rFonts w:eastAsia="Calibri"/>
                              <w:noProof/>
                              <w:color w:val="FF0000"/>
                            </w:rPr>
                          </w:pPr>
                          <w:r w:rsidRPr="007059A3">
                            <w:rPr>
                              <w:rFonts w:eastAsia="Calibri"/>
                              <w:noProof/>
                              <w:color w:val="FF0000"/>
                            </w:rPr>
                            <w:t>OFFICIAL: 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DDCFB76" id="_x0000_t202" coordsize="21600,21600" o:spt="202" path="m,l,21600r21600,l21600,xe">
              <v:stroke joinstyle="miter"/>
              <v:path gradientshapeok="t" o:connecttype="rect"/>
            </v:shapetype>
            <v:shape id="Text Box 2" o:spid="_x0000_s1026" type="#_x0000_t202" alt="OFFICIAL: Sensitive" style="position:absolute;left:0;text-align:left;margin-left:0;margin-top:0;width:92.75pt;height:31.85pt;z-index:251666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" filled="f" stroked="f">
              <v:textbox style="mso-fit-shape-to-text:t" inset="0,15pt,0,0">
                <w:txbxContent>
                  <w:p w14:paraId="1EFF6BA5" w14:textId="77777777" w:rsidR="00B66BCC" w:rsidRPr="007059A3" w:rsidRDefault="00B66BCC" w:rsidP="007059A3">
                    <w:pPr>
                      <w:rPr>
                        <w:rFonts w:eastAsia="Calibri"/>
                        <w:noProof/>
                        <w:color w:val="FF0000"/>
                      </w:rPr>
                    </w:pPr>
                    <w:r w:rsidRPr="007059A3">
                      <w:rPr>
                        <w:rFonts w:eastAsia="Calibri"/>
                        <w:noProof/>
                        <w:color w:val="FF0000"/>
                      </w:rPr>
                      <w:t>OFFICIAL: Sensitive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609ED" w14:textId="77777777" w:rsidR="00B66BCC" w:rsidRDefault="00B66BCC">
    <w:pPr>
      <w:pStyle w:val="Header"/>
    </w:pPr>
    <w:r>
      <w:rPr>
        <w:noProof/>
        <w14:ligatures w14:val="standardContextual"/>
      </w:rPr>
      <mc:AlternateContent>
        <mc:Choice Requires="wps">
          <w:drawing>
            <wp:anchor distT="0" distB="0" distL="0" distR="0" simplePos="0" relativeHeight="251665408" behindDoc="0" locked="0" layoutInCell="1" allowOverlap="1" wp14:anchorId="2E025ADE" wp14:editId="2B64D4C3">
              <wp:simplePos x="635" y="635"/>
              <wp:positionH relativeFrom="page">
                <wp:align>center</wp:align>
              </wp:positionH>
              <wp:positionV relativeFrom="page">
                <wp:align>top</wp:align>
              </wp:positionV>
              <wp:extent cx="1177925" cy="404495"/>
              <wp:effectExtent l="0" t="0" r="3175" b="1905"/>
              <wp:wrapNone/>
              <wp:docPr id="1046313376" name="Text Box 1"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177925" cy="404495"/>
                      </a:xfrm>
                      <a:prstGeom prst="rect">
                        <a:avLst/>
                      </a:prstGeom>
                      <a:noFill/>
                      <a:ln>
                        <a:noFill/>
                      </a:ln>
                    </wps:spPr>
                    <wps:txbx>
                      <w:txbxContent>
                        <w:p w14:paraId="63487A76" w14:textId="77777777" w:rsidR="00B66BCC" w:rsidRPr="007059A3" w:rsidRDefault="00B66BCC" w:rsidP="007059A3">
                          <w:pPr>
                            <w:rPr>
                              <w:rFonts w:eastAsia="Calibri"/>
                              <w:noProof/>
                              <w:color w:val="FF0000"/>
                            </w:rPr>
                          </w:pPr>
                          <w:r w:rsidRPr="007059A3">
                            <w:rPr>
                              <w:rFonts w:eastAsia="Calibri"/>
                              <w:noProof/>
                              <w:color w:val="FF0000"/>
                            </w:rPr>
                            <w:t>OFFICIAL: 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025ADE" id="_x0000_t202" coordsize="21600,21600" o:spt="202" path="m,l,21600r21600,l21600,xe">
              <v:stroke joinstyle="miter"/>
              <v:path gradientshapeok="t" o:connecttype="rect"/>
            </v:shapetype>
            <v:shape id="Text Box 1" o:spid="_x0000_s1028" type="#_x0000_t202" alt="OFFICIAL: Sensitive" style="position:absolute;left:0;text-align:left;margin-left:0;margin-top:0;width:92.75pt;height:31.85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" filled="f" stroked="f">
              <v:textbox style="mso-fit-shape-to-text:t" inset="0,15pt,0,0">
                <w:txbxContent>
                  <w:p w14:paraId="63487A76" w14:textId="77777777" w:rsidR="00B66BCC" w:rsidRPr="007059A3" w:rsidRDefault="00B66BCC" w:rsidP="007059A3">
                    <w:pPr>
                      <w:rPr>
                        <w:rFonts w:eastAsia="Calibri"/>
                        <w:noProof/>
                        <w:color w:val="FF0000"/>
                      </w:rPr>
                    </w:pPr>
                    <w:r w:rsidRPr="007059A3">
                      <w:rPr>
                        <w:rFonts w:eastAsia="Calibri"/>
                        <w:noProof/>
                        <w:color w:val="FF0000"/>
                      </w:rPr>
                      <w:t>OFFICIAL: Sensitive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5D6F28"/>
    <w:multiLevelType w:val="hybridMultilevel"/>
    <w:tmpl w:val="B358CD8C"/>
    <w:lvl w:ilvl="0" w:tplc="9DDC95DC">
      <w:start w:val="1"/>
      <w:numFmt w:val="lowerRoman"/>
      <w:lvlText w:val="%1."/>
      <w:lvlJc w:val="left"/>
      <w:pPr>
        <w:ind w:left="1080" w:hanging="720"/>
      </w:pPr>
      <w:rPr>
        <w:rFonts w:hint="default"/>
      </w:rPr>
    </w:lvl>
    <w:lvl w:ilvl="1" w:tplc="EEAAB5C8"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3426D9B"/>
    <w:multiLevelType w:val="hybridMultilevel"/>
    <w:tmpl w:val="38B85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A9487F"/>
    <w:multiLevelType w:val="multilevel"/>
    <w:tmpl w:val="C3563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144F0A"/>
    <w:multiLevelType w:val="hybridMultilevel"/>
    <w:tmpl w:val="5156D06E"/>
    <w:lvl w:ilvl="0" w:tplc="BAC8443E">
      <w:start w:val="1"/>
      <w:numFmt w:val="decimal"/>
      <w:lvlText w:val="%1."/>
      <w:lvlJc w:val="left"/>
      <w:pPr>
        <w:ind w:left="720" w:hanging="360"/>
      </w:pPr>
      <w:rPr>
        <w:rFonts w:ascii="Segoe UI" w:hAnsi="Segoe UI" w:cs="Segoe U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EF5614"/>
    <w:multiLevelType w:val="multilevel"/>
    <w:tmpl w:val="0D42D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2B9593C"/>
    <w:multiLevelType w:val="hybridMultilevel"/>
    <w:tmpl w:val="944472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CD7D2E"/>
    <w:multiLevelType w:val="hybridMultilevel"/>
    <w:tmpl w:val="223CD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AE0994"/>
    <w:multiLevelType w:val="hybridMultilevel"/>
    <w:tmpl w:val="564E8910"/>
    <w:lvl w:ilvl="0" w:tplc="AC8CED88">
      <w:start w:val="1"/>
      <w:numFmt w:val="decimal"/>
      <w:pStyle w:val="Heading2"/>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22B5118"/>
    <w:multiLevelType w:val="multilevel"/>
    <w:tmpl w:val="842AD96C"/>
    <w:styleLink w:val="THESIS1"/>
    <w:lvl w:ilvl="0">
      <w:start w:val="1"/>
      <w:numFmt w:val="decimal"/>
      <w:lvlText w:val="%1"/>
      <w:lvlJc w:val="left"/>
      <w:pPr>
        <w:ind w:left="792" w:hanging="432"/>
      </w:pPr>
      <w:rPr>
        <w:rFonts w:asciiTheme="minorHAnsi" w:hAnsiTheme="minorHAnsi" w:hint="default"/>
        <w:b/>
        <w:i w:val="0"/>
        <w:color w:val="auto"/>
        <w:sz w:val="32"/>
        <w:u w:val="dashDotDotHeavy"/>
      </w:rPr>
    </w:lvl>
    <w:lvl w:ilvl="1">
      <w:start w:val="1"/>
      <w:numFmt w:val="decimal"/>
      <w:lvlText w:val="%1.%2"/>
      <w:lvlJc w:val="left"/>
      <w:pPr>
        <w:ind w:left="936" w:hanging="576"/>
      </w:pPr>
      <w:rPr>
        <w:rFonts w:asciiTheme="minorHAnsi" w:hAnsiTheme="minorHAnsi" w:hint="default"/>
        <w:b/>
        <w:i w:val="0"/>
        <w:color w:val="auto"/>
        <w:sz w:val="28"/>
        <w:u w:val="none"/>
      </w:rPr>
    </w:lvl>
    <w:lvl w:ilvl="2">
      <w:start w:val="1"/>
      <w:numFmt w:val="decimal"/>
      <w:lvlText w:val="%1.%2.%3"/>
      <w:lvlJc w:val="left"/>
      <w:pPr>
        <w:ind w:left="1080" w:hanging="720"/>
      </w:pPr>
      <w:rPr>
        <w:rFonts w:asciiTheme="minorHAnsi" w:hAnsiTheme="minorHAnsi" w:hint="default"/>
        <w:b/>
        <w:i w:val="0"/>
        <w:sz w:val="24"/>
      </w:rPr>
    </w:lvl>
    <w:lvl w:ilvl="3">
      <w:start w:val="1"/>
      <w:numFmt w:val="decimal"/>
      <w:lvlText w:val="%1.%2.%3.%4"/>
      <w:lvlJc w:val="left"/>
      <w:pPr>
        <w:ind w:left="1224" w:hanging="864"/>
      </w:pPr>
      <w:rPr>
        <w:rFonts w:asciiTheme="minorHAnsi" w:hAnsiTheme="minorHAnsi" w:hint="default"/>
        <w:b w:val="0"/>
        <w:i/>
        <w:color w:val="auto"/>
        <w:sz w:val="24"/>
      </w:rPr>
    </w:lvl>
    <w:lvl w:ilvl="4">
      <w:start w:val="1"/>
      <w:numFmt w:val="decimal"/>
      <w:lvlText w:val="%1.%2.%3.%4.%5"/>
      <w:lvlJc w:val="left"/>
      <w:pPr>
        <w:ind w:left="1368" w:hanging="1008"/>
      </w:pPr>
      <w:rPr>
        <w:rFonts w:hint="default"/>
      </w:rPr>
    </w:lvl>
    <w:lvl w:ilvl="5">
      <w:start w:val="1"/>
      <w:numFmt w:val="decimal"/>
      <w:lvlText w:val="%1.%2.%3.%4.%5.%6"/>
      <w:lvlJc w:val="left"/>
      <w:pPr>
        <w:ind w:left="1512" w:hanging="1152"/>
      </w:pPr>
      <w:rPr>
        <w:rFonts w:hint="default"/>
      </w:rPr>
    </w:lvl>
    <w:lvl w:ilvl="6">
      <w:start w:val="1"/>
      <w:numFmt w:val="decimal"/>
      <w:lvlText w:val="%1.%2.%3.%4.%5.%6.%7"/>
      <w:lvlJc w:val="left"/>
      <w:pPr>
        <w:ind w:left="1656" w:hanging="1296"/>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944" w:hanging="1584"/>
      </w:pPr>
      <w:rPr>
        <w:rFonts w:hint="default"/>
      </w:rPr>
    </w:lvl>
  </w:abstractNum>
  <w:abstractNum w:abstractNumId="9" w15:restartNumberingAfterBreak="0">
    <w:nsid w:val="3B8C3C12"/>
    <w:multiLevelType w:val="multilevel"/>
    <w:tmpl w:val="68CE16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587078E"/>
    <w:multiLevelType w:val="multilevel"/>
    <w:tmpl w:val="1F82340C"/>
    <w:lvl w:ilvl="0">
      <w:start w:val="1"/>
      <w:numFmt w:val="decimal"/>
      <w:lvlText w:val="%1."/>
      <w:lvlJc w:val="left"/>
      <w:pPr>
        <w:ind w:left="720" w:hanging="360"/>
      </w:pPr>
      <w:rPr>
        <w:color w:val="002060"/>
      </w:r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pStyle w:val="Heading4"/>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1" w15:restartNumberingAfterBreak="0">
    <w:nsid w:val="48797AD1"/>
    <w:multiLevelType w:val="hybridMultilevel"/>
    <w:tmpl w:val="BD78214A"/>
    <w:lvl w:ilvl="0" w:tplc="39AC03F2">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4F2D295F"/>
    <w:multiLevelType w:val="hybridMultilevel"/>
    <w:tmpl w:val="66BA8398"/>
    <w:lvl w:ilvl="0" w:tplc="E24CFD98">
      <w:start w:val="1"/>
      <w:numFmt w:val="lowerRoman"/>
      <w:lvlText w:val="%1."/>
      <w:lvlJc w:val="left"/>
      <w:pPr>
        <w:ind w:left="1080" w:hanging="720"/>
      </w:pPr>
      <w:rPr>
        <w:rFonts w:hint="default"/>
        <w:b w:val="0"/>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707662E"/>
    <w:multiLevelType w:val="multilevel"/>
    <w:tmpl w:val="7B4810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78E2CB6"/>
    <w:multiLevelType w:val="hybridMultilevel"/>
    <w:tmpl w:val="7EB433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D3C143C"/>
    <w:multiLevelType w:val="multilevel"/>
    <w:tmpl w:val="98186E7A"/>
    <w:lvl w:ilvl="0">
      <w:start w:val="1"/>
      <w:numFmt w:val="decimal"/>
      <w:pStyle w:val="Heading1"/>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620816E4"/>
    <w:multiLevelType w:val="hybridMultilevel"/>
    <w:tmpl w:val="D9E25708"/>
    <w:lvl w:ilvl="0" w:tplc="3260FEA6">
      <w:start w:val="1"/>
      <w:numFmt w:val="bullet"/>
      <w:lvlText w:val="•"/>
      <w:lvlJc w:val="left"/>
      <w:pPr>
        <w:tabs>
          <w:tab w:val="num" w:pos="720"/>
        </w:tabs>
        <w:ind w:left="720" w:hanging="360"/>
      </w:pPr>
      <w:rPr>
        <w:rFonts w:ascii="Times New Roman" w:hAnsi="Times New Roman" w:hint="default"/>
      </w:rPr>
    </w:lvl>
    <w:lvl w:ilvl="1" w:tplc="BB64A3C0" w:tentative="1">
      <w:start w:val="1"/>
      <w:numFmt w:val="bullet"/>
      <w:lvlText w:val="•"/>
      <w:lvlJc w:val="left"/>
      <w:pPr>
        <w:tabs>
          <w:tab w:val="num" w:pos="1440"/>
        </w:tabs>
        <w:ind w:left="1440" w:hanging="360"/>
      </w:pPr>
      <w:rPr>
        <w:rFonts w:ascii="Times New Roman" w:hAnsi="Times New Roman" w:hint="default"/>
      </w:rPr>
    </w:lvl>
    <w:lvl w:ilvl="2" w:tplc="A8405378" w:tentative="1">
      <w:start w:val="1"/>
      <w:numFmt w:val="bullet"/>
      <w:lvlText w:val="•"/>
      <w:lvlJc w:val="left"/>
      <w:pPr>
        <w:tabs>
          <w:tab w:val="num" w:pos="2160"/>
        </w:tabs>
        <w:ind w:left="2160" w:hanging="360"/>
      </w:pPr>
      <w:rPr>
        <w:rFonts w:ascii="Times New Roman" w:hAnsi="Times New Roman" w:hint="default"/>
      </w:rPr>
    </w:lvl>
    <w:lvl w:ilvl="3" w:tplc="9B5EF136" w:tentative="1">
      <w:start w:val="1"/>
      <w:numFmt w:val="bullet"/>
      <w:lvlText w:val="•"/>
      <w:lvlJc w:val="left"/>
      <w:pPr>
        <w:tabs>
          <w:tab w:val="num" w:pos="2880"/>
        </w:tabs>
        <w:ind w:left="2880" w:hanging="360"/>
      </w:pPr>
      <w:rPr>
        <w:rFonts w:ascii="Times New Roman" w:hAnsi="Times New Roman" w:hint="default"/>
      </w:rPr>
    </w:lvl>
    <w:lvl w:ilvl="4" w:tplc="46E4F958" w:tentative="1">
      <w:start w:val="1"/>
      <w:numFmt w:val="bullet"/>
      <w:lvlText w:val="•"/>
      <w:lvlJc w:val="left"/>
      <w:pPr>
        <w:tabs>
          <w:tab w:val="num" w:pos="3600"/>
        </w:tabs>
        <w:ind w:left="3600" w:hanging="360"/>
      </w:pPr>
      <w:rPr>
        <w:rFonts w:ascii="Times New Roman" w:hAnsi="Times New Roman" w:hint="default"/>
      </w:rPr>
    </w:lvl>
    <w:lvl w:ilvl="5" w:tplc="59D81640" w:tentative="1">
      <w:start w:val="1"/>
      <w:numFmt w:val="bullet"/>
      <w:lvlText w:val="•"/>
      <w:lvlJc w:val="left"/>
      <w:pPr>
        <w:tabs>
          <w:tab w:val="num" w:pos="4320"/>
        </w:tabs>
        <w:ind w:left="4320" w:hanging="360"/>
      </w:pPr>
      <w:rPr>
        <w:rFonts w:ascii="Times New Roman" w:hAnsi="Times New Roman" w:hint="default"/>
      </w:rPr>
    </w:lvl>
    <w:lvl w:ilvl="6" w:tplc="0568B6F0" w:tentative="1">
      <w:start w:val="1"/>
      <w:numFmt w:val="bullet"/>
      <w:lvlText w:val="•"/>
      <w:lvlJc w:val="left"/>
      <w:pPr>
        <w:tabs>
          <w:tab w:val="num" w:pos="5040"/>
        </w:tabs>
        <w:ind w:left="5040" w:hanging="360"/>
      </w:pPr>
      <w:rPr>
        <w:rFonts w:ascii="Times New Roman" w:hAnsi="Times New Roman" w:hint="default"/>
      </w:rPr>
    </w:lvl>
    <w:lvl w:ilvl="7" w:tplc="872ACB60" w:tentative="1">
      <w:start w:val="1"/>
      <w:numFmt w:val="bullet"/>
      <w:lvlText w:val="•"/>
      <w:lvlJc w:val="left"/>
      <w:pPr>
        <w:tabs>
          <w:tab w:val="num" w:pos="5760"/>
        </w:tabs>
        <w:ind w:left="5760" w:hanging="360"/>
      </w:pPr>
      <w:rPr>
        <w:rFonts w:ascii="Times New Roman" w:hAnsi="Times New Roman" w:hint="default"/>
      </w:rPr>
    </w:lvl>
    <w:lvl w:ilvl="8" w:tplc="D52C7F1E"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685D05EA"/>
    <w:multiLevelType w:val="hybridMultilevel"/>
    <w:tmpl w:val="107E0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C5A6966"/>
    <w:multiLevelType w:val="hybridMultilevel"/>
    <w:tmpl w:val="8F484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D697FDE"/>
    <w:multiLevelType w:val="multilevel"/>
    <w:tmpl w:val="DF8A4D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802701575">
    <w:abstractNumId w:val="8"/>
  </w:num>
  <w:num w:numId="2" w16cid:durableId="790131821">
    <w:abstractNumId w:val="10"/>
  </w:num>
  <w:num w:numId="3" w16cid:durableId="135969355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34140974">
    <w:abstractNumId w:val="17"/>
  </w:num>
  <w:num w:numId="5" w16cid:durableId="87581563">
    <w:abstractNumId w:val="5"/>
  </w:num>
  <w:num w:numId="6" w16cid:durableId="277640001">
    <w:abstractNumId w:val="0"/>
  </w:num>
  <w:num w:numId="7" w16cid:durableId="1223255324">
    <w:abstractNumId w:val="7"/>
  </w:num>
  <w:num w:numId="8" w16cid:durableId="1063987845">
    <w:abstractNumId w:val="15"/>
  </w:num>
  <w:num w:numId="9" w16cid:durableId="60325393">
    <w:abstractNumId w:val="11"/>
  </w:num>
  <w:num w:numId="10" w16cid:durableId="299964970">
    <w:abstractNumId w:val="16"/>
  </w:num>
  <w:num w:numId="11" w16cid:durableId="933587677">
    <w:abstractNumId w:val="18"/>
  </w:num>
  <w:num w:numId="12" w16cid:durableId="1727754442">
    <w:abstractNumId w:val="13"/>
  </w:num>
  <w:num w:numId="13" w16cid:durableId="819158302">
    <w:abstractNumId w:val="9"/>
  </w:num>
  <w:num w:numId="14" w16cid:durableId="403920846">
    <w:abstractNumId w:val="14"/>
  </w:num>
  <w:num w:numId="15" w16cid:durableId="1408766785">
    <w:abstractNumId w:val="12"/>
  </w:num>
  <w:num w:numId="16" w16cid:durableId="1408577951">
    <w:abstractNumId w:val="3"/>
  </w:num>
  <w:num w:numId="17" w16cid:durableId="1642998373">
    <w:abstractNumId w:val="1"/>
  </w:num>
  <w:num w:numId="18" w16cid:durableId="2001158687">
    <w:abstractNumId w:val="4"/>
  </w:num>
  <w:num w:numId="19" w16cid:durableId="1763406289">
    <w:abstractNumId w:val="6"/>
  </w:num>
  <w:num w:numId="20" w16cid:durableId="1904681864">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580"/>
    <w:rsid w:val="0000664D"/>
    <w:rsid w:val="0000666B"/>
    <w:rsid w:val="000218CB"/>
    <w:rsid w:val="00025200"/>
    <w:rsid w:val="00025DB7"/>
    <w:rsid w:val="000312F7"/>
    <w:rsid w:val="000314BC"/>
    <w:rsid w:val="0003316B"/>
    <w:rsid w:val="00034AF9"/>
    <w:rsid w:val="000401C2"/>
    <w:rsid w:val="000410E2"/>
    <w:rsid w:val="00043080"/>
    <w:rsid w:val="00045106"/>
    <w:rsid w:val="000451E2"/>
    <w:rsid w:val="00045464"/>
    <w:rsid w:val="00046B65"/>
    <w:rsid w:val="00047548"/>
    <w:rsid w:val="00051F0A"/>
    <w:rsid w:val="00052066"/>
    <w:rsid w:val="000550E5"/>
    <w:rsid w:val="00057F82"/>
    <w:rsid w:val="00063549"/>
    <w:rsid w:val="0006382C"/>
    <w:rsid w:val="00065427"/>
    <w:rsid w:val="000659BC"/>
    <w:rsid w:val="0006665C"/>
    <w:rsid w:val="000679FA"/>
    <w:rsid w:val="00071753"/>
    <w:rsid w:val="000739A7"/>
    <w:rsid w:val="00073E42"/>
    <w:rsid w:val="00074242"/>
    <w:rsid w:val="00075208"/>
    <w:rsid w:val="00075B9C"/>
    <w:rsid w:val="00076908"/>
    <w:rsid w:val="0007788D"/>
    <w:rsid w:val="000814EB"/>
    <w:rsid w:val="000822AE"/>
    <w:rsid w:val="00082827"/>
    <w:rsid w:val="000867D5"/>
    <w:rsid w:val="00087669"/>
    <w:rsid w:val="00087A8A"/>
    <w:rsid w:val="00090269"/>
    <w:rsid w:val="00090B8F"/>
    <w:rsid w:val="00094E64"/>
    <w:rsid w:val="0009583E"/>
    <w:rsid w:val="000A22EC"/>
    <w:rsid w:val="000A396D"/>
    <w:rsid w:val="000A57CB"/>
    <w:rsid w:val="000A7F4F"/>
    <w:rsid w:val="000B0CBB"/>
    <w:rsid w:val="000B0F6E"/>
    <w:rsid w:val="000B1688"/>
    <w:rsid w:val="000B17F7"/>
    <w:rsid w:val="000B34E5"/>
    <w:rsid w:val="000C113C"/>
    <w:rsid w:val="000C6FB0"/>
    <w:rsid w:val="000E194E"/>
    <w:rsid w:val="000E330F"/>
    <w:rsid w:val="000F0443"/>
    <w:rsid w:val="000F08AF"/>
    <w:rsid w:val="000F08C0"/>
    <w:rsid w:val="000F3829"/>
    <w:rsid w:val="000F48B9"/>
    <w:rsid w:val="001008B9"/>
    <w:rsid w:val="00102F71"/>
    <w:rsid w:val="001034D1"/>
    <w:rsid w:val="00103684"/>
    <w:rsid w:val="001051CE"/>
    <w:rsid w:val="0010630E"/>
    <w:rsid w:val="00106C5D"/>
    <w:rsid w:val="00111AF7"/>
    <w:rsid w:val="00114E3E"/>
    <w:rsid w:val="00116815"/>
    <w:rsid w:val="00117306"/>
    <w:rsid w:val="0012559F"/>
    <w:rsid w:val="00125817"/>
    <w:rsid w:val="00130748"/>
    <w:rsid w:val="00132FFE"/>
    <w:rsid w:val="00136DA3"/>
    <w:rsid w:val="00136FCC"/>
    <w:rsid w:val="001374B6"/>
    <w:rsid w:val="00137753"/>
    <w:rsid w:val="00137C81"/>
    <w:rsid w:val="0014234D"/>
    <w:rsid w:val="00144AA1"/>
    <w:rsid w:val="00144F72"/>
    <w:rsid w:val="00145951"/>
    <w:rsid w:val="00146073"/>
    <w:rsid w:val="00146808"/>
    <w:rsid w:val="001472C8"/>
    <w:rsid w:val="00147BC0"/>
    <w:rsid w:val="00147E94"/>
    <w:rsid w:val="00152141"/>
    <w:rsid w:val="001548F5"/>
    <w:rsid w:val="0015556E"/>
    <w:rsid w:val="00164066"/>
    <w:rsid w:val="0016538D"/>
    <w:rsid w:val="001671DA"/>
    <w:rsid w:val="00167640"/>
    <w:rsid w:val="001702C7"/>
    <w:rsid w:val="0017097E"/>
    <w:rsid w:val="00172F4A"/>
    <w:rsid w:val="00176647"/>
    <w:rsid w:val="001802BB"/>
    <w:rsid w:val="00180E5B"/>
    <w:rsid w:val="00180FCB"/>
    <w:rsid w:val="0018183E"/>
    <w:rsid w:val="001852A9"/>
    <w:rsid w:val="0019633C"/>
    <w:rsid w:val="00196D95"/>
    <w:rsid w:val="001A058D"/>
    <w:rsid w:val="001A09CE"/>
    <w:rsid w:val="001A6B61"/>
    <w:rsid w:val="001A7E37"/>
    <w:rsid w:val="001B0F53"/>
    <w:rsid w:val="001B0F62"/>
    <w:rsid w:val="001B1613"/>
    <w:rsid w:val="001B446D"/>
    <w:rsid w:val="001B4A5E"/>
    <w:rsid w:val="001B5309"/>
    <w:rsid w:val="001B59F3"/>
    <w:rsid w:val="001B5C60"/>
    <w:rsid w:val="001B6688"/>
    <w:rsid w:val="001B6B86"/>
    <w:rsid w:val="001C3942"/>
    <w:rsid w:val="001C3998"/>
    <w:rsid w:val="001C444F"/>
    <w:rsid w:val="001C45C3"/>
    <w:rsid w:val="001C4B0C"/>
    <w:rsid w:val="001C6117"/>
    <w:rsid w:val="001D09CB"/>
    <w:rsid w:val="001D2A8C"/>
    <w:rsid w:val="001E1575"/>
    <w:rsid w:val="001E34CE"/>
    <w:rsid w:val="001E5924"/>
    <w:rsid w:val="001E711B"/>
    <w:rsid w:val="001F0212"/>
    <w:rsid w:val="001F68E8"/>
    <w:rsid w:val="0020049B"/>
    <w:rsid w:val="00202856"/>
    <w:rsid w:val="0020415C"/>
    <w:rsid w:val="00204355"/>
    <w:rsid w:val="00205DDC"/>
    <w:rsid w:val="00205FFB"/>
    <w:rsid w:val="00206E8D"/>
    <w:rsid w:val="00206EA9"/>
    <w:rsid w:val="00212059"/>
    <w:rsid w:val="0021556C"/>
    <w:rsid w:val="00220D6C"/>
    <w:rsid w:val="00223BB4"/>
    <w:rsid w:val="00224428"/>
    <w:rsid w:val="00224491"/>
    <w:rsid w:val="00230476"/>
    <w:rsid w:val="00236E1D"/>
    <w:rsid w:val="00237788"/>
    <w:rsid w:val="00241D1C"/>
    <w:rsid w:val="00242091"/>
    <w:rsid w:val="0024269F"/>
    <w:rsid w:val="00243F79"/>
    <w:rsid w:val="00244DE8"/>
    <w:rsid w:val="0024659B"/>
    <w:rsid w:val="002478C2"/>
    <w:rsid w:val="0025065D"/>
    <w:rsid w:val="00251C91"/>
    <w:rsid w:val="00252C7C"/>
    <w:rsid w:val="00254C95"/>
    <w:rsid w:val="0025549F"/>
    <w:rsid w:val="00255846"/>
    <w:rsid w:val="00261D78"/>
    <w:rsid w:val="002639F8"/>
    <w:rsid w:val="00264E01"/>
    <w:rsid w:val="00265066"/>
    <w:rsid w:val="00265317"/>
    <w:rsid w:val="0027172F"/>
    <w:rsid w:val="00273A99"/>
    <w:rsid w:val="00273AC2"/>
    <w:rsid w:val="00274A38"/>
    <w:rsid w:val="00274B04"/>
    <w:rsid w:val="0027603E"/>
    <w:rsid w:val="00286444"/>
    <w:rsid w:val="00291F1C"/>
    <w:rsid w:val="00295FB0"/>
    <w:rsid w:val="002969ED"/>
    <w:rsid w:val="00296E06"/>
    <w:rsid w:val="002A0164"/>
    <w:rsid w:val="002A1520"/>
    <w:rsid w:val="002A5812"/>
    <w:rsid w:val="002A58B6"/>
    <w:rsid w:val="002A795B"/>
    <w:rsid w:val="002B0EAA"/>
    <w:rsid w:val="002B1CF0"/>
    <w:rsid w:val="002B2677"/>
    <w:rsid w:val="002B455A"/>
    <w:rsid w:val="002B70A0"/>
    <w:rsid w:val="002B778B"/>
    <w:rsid w:val="002C40F8"/>
    <w:rsid w:val="002C4710"/>
    <w:rsid w:val="002D187C"/>
    <w:rsid w:val="002D4DFF"/>
    <w:rsid w:val="002D5889"/>
    <w:rsid w:val="002D763A"/>
    <w:rsid w:val="002E1F12"/>
    <w:rsid w:val="002E226F"/>
    <w:rsid w:val="002E6AEF"/>
    <w:rsid w:val="002E7314"/>
    <w:rsid w:val="002E7E4A"/>
    <w:rsid w:val="002F1B3F"/>
    <w:rsid w:val="002F5979"/>
    <w:rsid w:val="0030051C"/>
    <w:rsid w:val="00302E67"/>
    <w:rsid w:val="00303587"/>
    <w:rsid w:val="003111C0"/>
    <w:rsid w:val="003120F8"/>
    <w:rsid w:val="00312C5D"/>
    <w:rsid w:val="003178FD"/>
    <w:rsid w:val="00322520"/>
    <w:rsid w:val="003259BE"/>
    <w:rsid w:val="00330D0D"/>
    <w:rsid w:val="00332438"/>
    <w:rsid w:val="00334FDE"/>
    <w:rsid w:val="0034265D"/>
    <w:rsid w:val="003465C3"/>
    <w:rsid w:val="0035065B"/>
    <w:rsid w:val="003507B8"/>
    <w:rsid w:val="003509EF"/>
    <w:rsid w:val="00357AB0"/>
    <w:rsid w:val="003625BC"/>
    <w:rsid w:val="0036292B"/>
    <w:rsid w:val="00367A41"/>
    <w:rsid w:val="00367D90"/>
    <w:rsid w:val="00371D2A"/>
    <w:rsid w:val="00373CBA"/>
    <w:rsid w:val="00374202"/>
    <w:rsid w:val="003759C2"/>
    <w:rsid w:val="00375AA6"/>
    <w:rsid w:val="003800B0"/>
    <w:rsid w:val="0038030A"/>
    <w:rsid w:val="00380FD6"/>
    <w:rsid w:val="003824B8"/>
    <w:rsid w:val="003847A6"/>
    <w:rsid w:val="003850F1"/>
    <w:rsid w:val="0038524C"/>
    <w:rsid w:val="00387182"/>
    <w:rsid w:val="003875F8"/>
    <w:rsid w:val="0039017E"/>
    <w:rsid w:val="003910EC"/>
    <w:rsid w:val="0039267C"/>
    <w:rsid w:val="00393326"/>
    <w:rsid w:val="00395079"/>
    <w:rsid w:val="00395C37"/>
    <w:rsid w:val="00396EF4"/>
    <w:rsid w:val="00397323"/>
    <w:rsid w:val="003977C8"/>
    <w:rsid w:val="00397D74"/>
    <w:rsid w:val="003A0BDB"/>
    <w:rsid w:val="003A25D9"/>
    <w:rsid w:val="003A2B59"/>
    <w:rsid w:val="003A34CA"/>
    <w:rsid w:val="003A54FB"/>
    <w:rsid w:val="003B4071"/>
    <w:rsid w:val="003B4E8E"/>
    <w:rsid w:val="003B7204"/>
    <w:rsid w:val="003C1504"/>
    <w:rsid w:val="003C220E"/>
    <w:rsid w:val="003C2BC4"/>
    <w:rsid w:val="003C2E91"/>
    <w:rsid w:val="003C4888"/>
    <w:rsid w:val="003D20D0"/>
    <w:rsid w:val="003D32F9"/>
    <w:rsid w:val="003D38DD"/>
    <w:rsid w:val="003D52CC"/>
    <w:rsid w:val="003E1705"/>
    <w:rsid w:val="003E17F5"/>
    <w:rsid w:val="003E1A85"/>
    <w:rsid w:val="003E4275"/>
    <w:rsid w:val="003F15AD"/>
    <w:rsid w:val="003F2E07"/>
    <w:rsid w:val="003F41DA"/>
    <w:rsid w:val="003F4EF0"/>
    <w:rsid w:val="003F7F8D"/>
    <w:rsid w:val="00403194"/>
    <w:rsid w:val="00411842"/>
    <w:rsid w:val="0041282D"/>
    <w:rsid w:val="00412CCB"/>
    <w:rsid w:val="00413E24"/>
    <w:rsid w:val="00415194"/>
    <w:rsid w:val="00415226"/>
    <w:rsid w:val="004247AF"/>
    <w:rsid w:val="00431CAA"/>
    <w:rsid w:val="00433A78"/>
    <w:rsid w:val="00434E04"/>
    <w:rsid w:val="00435A39"/>
    <w:rsid w:val="00437050"/>
    <w:rsid w:val="00437D45"/>
    <w:rsid w:val="004403CF"/>
    <w:rsid w:val="00440D2C"/>
    <w:rsid w:val="004448D6"/>
    <w:rsid w:val="004464C0"/>
    <w:rsid w:val="00447802"/>
    <w:rsid w:val="00451516"/>
    <w:rsid w:val="00454D24"/>
    <w:rsid w:val="00455FD8"/>
    <w:rsid w:val="0045618C"/>
    <w:rsid w:val="00460BAD"/>
    <w:rsid w:val="00460CAB"/>
    <w:rsid w:val="0046135A"/>
    <w:rsid w:val="004623F3"/>
    <w:rsid w:val="00466512"/>
    <w:rsid w:val="00466846"/>
    <w:rsid w:val="00466C26"/>
    <w:rsid w:val="004720BE"/>
    <w:rsid w:val="00474734"/>
    <w:rsid w:val="00474838"/>
    <w:rsid w:val="0048111E"/>
    <w:rsid w:val="0048131F"/>
    <w:rsid w:val="004816B0"/>
    <w:rsid w:val="00485AB7"/>
    <w:rsid w:val="00485FFD"/>
    <w:rsid w:val="004867A6"/>
    <w:rsid w:val="0048727B"/>
    <w:rsid w:val="00487C52"/>
    <w:rsid w:val="00496D52"/>
    <w:rsid w:val="00496EDE"/>
    <w:rsid w:val="004A3318"/>
    <w:rsid w:val="004A544C"/>
    <w:rsid w:val="004A5577"/>
    <w:rsid w:val="004A5C8A"/>
    <w:rsid w:val="004A7691"/>
    <w:rsid w:val="004B01BA"/>
    <w:rsid w:val="004B156D"/>
    <w:rsid w:val="004B1EFA"/>
    <w:rsid w:val="004B3751"/>
    <w:rsid w:val="004C0BEF"/>
    <w:rsid w:val="004C2ADB"/>
    <w:rsid w:val="004D112F"/>
    <w:rsid w:val="004D492E"/>
    <w:rsid w:val="004D5FEC"/>
    <w:rsid w:val="004D6724"/>
    <w:rsid w:val="004D778A"/>
    <w:rsid w:val="004E1BB9"/>
    <w:rsid w:val="004E2461"/>
    <w:rsid w:val="004F300A"/>
    <w:rsid w:val="004F55F0"/>
    <w:rsid w:val="00502016"/>
    <w:rsid w:val="0050389E"/>
    <w:rsid w:val="00503EC5"/>
    <w:rsid w:val="00504535"/>
    <w:rsid w:val="0050708A"/>
    <w:rsid w:val="005103C6"/>
    <w:rsid w:val="00514B60"/>
    <w:rsid w:val="00514D01"/>
    <w:rsid w:val="00515ED2"/>
    <w:rsid w:val="005164EE"/>
    <w:rsid w:val="00516E69"/>
    <w:rsid w:val="00520D03"/>
    <w:rsid w:val="005233CF"/>
    <w:rsid w:val="005245A7"/>
    <w:rsid w:val="00524D30"/>
    <w:rsid w:val="00526694"/>
    <w:rsid w:val="00526BB1"/>
    <w:rsid w:val="005272D9"/>
    <w:rsid w:val="00530E14"/>
    <w:rsid w:val="005321D9"/>
    <w:rsid w:val="00535B4D"/>
    <w:rsid w:val="00535D32"/>
    <w:rsid w:val="00542089"/>
    <w:rsid w:val="00543576"/>
    <w:rsid w:val="005439C1"/>
    <w:rsid w:val="005457EB"/>
    <w:rsid w:val="00550622"/>
    <w:rsid w:val="00550677"/>
    <w:rsid w:val="00550E15"/>
    <w:rsid w:val="00550E8A"/>
    <w:rsid w:val="00553DFC"/>
    <w:rsid w:val="00554828"/>
    <w:rsid w:val="00555634"/>
    <w:rsid w:val="00560318"/>
    <w:rsid w:val="00565A39"/>
    <w:rsid w:val="00566CF4"/>
    <w:rsid w:val="0057082B"/>
    <w:rsid w:val="0057351A"/>
    <w:rsid w:val="00574F36"/>
    <w:rsid w:val="005764E7"/>
    <w:rsid w:val="005768BE"/>
    <w:rsid w:val="00577004"/>
    <w:rsid w:val="005800C2"/>
    <w:rsid w:val="00581A6F"/>
    <w:rsid w:val="00585EDC"/>
    <w:rsid w:val="005867FC"/>
    <w:rsid w:val="005907FC"/>
    <w:rsid w:val="00591094"/>
    <w:rsid w:val="00591B76"/>
    <w:rsid w:val="00591CBC"/>
    <w:rsid w:val="00591DE1"/>
    <w:rsid w:val="0059251E"/>
    <w:rsid w:val="00592ECF"/>
    <w:rsid w:val="00593471"/>
    <w:rsid w:val="0059733B"/>
    <w:rsid w:val="0059788C"/>
    <w:rsid w:val="005A105A"/>
    <w:rsid w:val="005A58E0"/>
    <w:rsid w:val="005B00DE"/>
    <w:rsid w:val="005B0458"/>
    <w:rsid w:val="005B0A0E"/>
    <w:rsid w:val="005B0B9B"/>
    <w:rsid w:val="005B0BF8"/>
    <w:rsid w:val="005B0DEE"/>
    <w:rsid w:val="005B1DB2"/>
    <w:rsid w:val="005B1FE0"/>
    <w:rsid w:val="005B37FA"/>
    <w:rsid w:val="005B5FCF"/>
    <w:rsid w:val="005B70A9"/>
    <w:rsid w:val="005B7D89"/>
    <w:rsid w:val="005C0D43"/>
    <w:rsid w:val="005D1CBB"/>
    <w:rsid w:val="005D754B"/>
    <w:rsid w:val="005E2324"/>
    <w:rsid w:val="005E34CD"/>
    <w:rsid w:val="005E65D0"/>
    <w:rsid w:val="005E786B"/>
    <w:rsid w:val="005E7DFE"/>
    <w:rsid w:val="005F0496"/>
    <w:rsid w:val="005F06C7"/>
    <w:rsid w:val="005F1A79"/>
    <w:rsid w:val="005F4D79"/>
    <w:rsid w:val="005F562A"/>
    <w:rsid w:val="005F63F9"/>
    <w:rsid w:val="006035F6"/>
    <w:rsid w:val="00603E5C"/>
    <w:rsid w:val="00604393"/>
    <w:rsid w:val="00604CC3"/>
    <w:rsid w:val="006104FC"/>
    <w:rsid w:val="00610C67"/>
    <w:rsid w:val="006122B5"/>
    <w:rsid w:val="006135D7"/>
    <w:rsid w:val="00613D1A"/>
    <w:rsid w:val="00614AB9"/>
    <w:rsid w:val="00614FDF"/>
    <w:rsid w:val="00616247"/>
    <w:rsid w:val="00623439"/>
    <w:rsid w:val="00623E20"/>
    <w:rsid w:val="00625B54"/>
    <w:rsid w:val="00626CC2"/>
    <w:rsid w:val="00627FD4"/>
    <w:rsid w:val="006310A4"/>
    <w:rsid w:val="00633F97"/>
    <w:rsid w:val="006422FF"/>
    <w:rsid w:val="00642977"/>
    <w:rsid w:val="006434E8"/>
    <w:rsid w:val="0064357C"/>
    <w:rsid w:val="00645D94"/>
    <w:rsid w:val="00646246"/>
    <w:rsid w:val="006565DC"/>
    <w:rsid w:val="00661619"/>
    <w:rsid w:val="00661CC2"/>
    <w:rsid w:val="006742F8"/>
    <w:rsid w:val="006744BB"/>
    <w:rsid w:val="006747C8"/>
    <w:rsid w:val="00674FE3"/>
    <w:rsid w:val="00675498"/>
    <w:rsid w:val="006762CB"/>
    <w:rsid w:val="00676E45"/>
    <w:rsid w:val="006770E4"/>
    <w:rsid w:val="00677EE4"/>
    <w:rsid w:val="00683A56"/>
    <w:rsid w:val="006866CE"/>
    <w:rsid w:val="00692288"/>
    <w:rsid w:val="0069466A"/>
    <w:rsid w:val="00695661"/>
    <w:rsid w:val="00696264"/>
    <w:rsid w:val="00696AE5"/>
    <w:rsid w:val="006A2B0B"/>
    <w:rsid w:val="006A377E"/>
    <w:rsid w:val="006B32C6"/>
    <w:rsid w:val="006B4572"/>
    <w:rsid w:val="006B50C2"/>
    <w:rsid w:val="006B53DC"/>
    <w:rsid w:val="006C1C9B"/>
    <w:rsid w:val="006C3A14"/>
    <w:rsid w:val="006C4811"/>
    <w:rsid w:val="006D0A33"/>
    <w:rsid w:val="006D2BA5"/>
    <w:rsid w:val="006D670E"/>
    <w:rsid w:val="006D6B35"/>
    <w:rsid w:val="006E1E50"/>
    <w:rsid w:val="006E210A"/>
    <w:rsid w:val="006E3DEA"/>
    <w:rsid w:val="006E7960"/>
    <w:rsid w:val="006F057A"/>
    <w:rsid w:val="006F09CB"/>
    <w:rsid w:val="006F1099"/>
    <w:rsid w:val="006F18D3"/>
    <w:rsid w:val="006F1EFE"/>
    <w:rsid w:val="006F5F91"/>
    <w:rsid w:val="006F6A85"/>
    <w:rsid w:val="007054EC"/>
    <w:rsid w:val="007059A3"/>
    <w:rsid w:val="00713794"/>
    <w:rsid w:val="007142B2"/>
    <w:rsid w:val="00715166"/>
    <w:rsid w:val="00717243"/>
    <w:rsid w:val="007172A1"/>
    <w:rsid w:val="00720903"/>
    <w:rsid w:val="00720F0D"/>
    <w:rsid w:val="00721031"/>
    <w:rsid w:val="00722F99"/>
    <w:rsid w:val="0072519A"/>
    <w:rsid w:val="00731113"/>
    <w:rsid w:val="0073342F"/>
    <w:rsid w:val="00736214"/>
    <w:rsid w:val="007370F9"/>
    <w:rsid w:val="0074265D"/>
    <w:rsid w:val="00744EB3"/>
    <w:rsid w:val="007454DF"/>
    <w:rsid w:val="00745B3D"/>
    <w:rsid w:val="00746300"/>
    <w:rsid w:val="00750F03"/>
    <w:rsid w:val="00751B13"/>
    <w:rsid w:val="00753035"/>
    <w:rsid w:val="0075366B"/>
    <w:rsid w:val="00753D44"/>
    <w:rsid w:val="00755CDC"/>
    <w:rsid w:val="00760A2E"/>
    <w:rsid w:val="00763CE1"/>
    <w:rsid w:val="007647EF"/>
    <w:rsid w:val="00764D0B"/>
    <w:rsid w:val="00766F94"/>
    <w:rsid w:val="007673DC"/>
    <w:rsid w:val="0078123E"/>
    <w:rsid w:val="007828B5"/>
    <w:rsid w:val="00783480"/>
    <w:rsid w:val="00783798"/>
    <w:rsid w:val="00784A0C"/>
    <w:rsid w:val="00784C45"/>
    <w:rsid w:val="007870E9"/>
    <w:rsid w:val="007904D8"/>
    <w:rsid w:val="00790632"/>
    <w:rsid w:val="00792DC2"/>
    <w:rsid w:val="00795117"/>
    <w:rsid w:val="00796AD1"/>
    <w:rsid w:val="00796CE9"/>
    <w:rsid w:val="007A174F"/>
    <w:rsid w:val="007A2E87"/>
    <w:rsid w:val="007A55B8"/>
    <w:rsid w:val="007A7ED4"/>
    <w:rsid w:val="007B5EE7"/>
    <w:rsid w:val="007B5F45"/>
    <w:rsid w:val="007C0C57"/>
    <w:rsid w:val="007C3EEB"/>
    <w:rsid w:val="007C5F7C"/>
    <w:rsid w:val="007C6035"/>
    <w:rsid w:val="007C7B62"/>
    <w:rsid w:val="007D1928"/>
    <w:rsid w:val="007D2E2F"/>
    <w:rsid w:val="007D50B8"/>
    <w:rsid w:val="007D6292"/>
    <w:rsid w:val="007E0043"/>
    <w:rsid w:val="007E056B"/>
    <w:rsid w:val="007E4814"/>
    <w:rsid w:val="007E7C93"/>
    <w:rsid w:val="007E7CA0"/>
    <w:rsid w:val="007F3926"/>
    <w:rsid w:val="007F5B0F"/>
    <w:rsid w:val="007F62D7"/>
    <w:rsid w:val="007F636D"/>
    <w:rsid w:val="007F6CCB"/>
    <w:rsid w:val="00802CC5"/>
    <w:rsid w:val="008038C7"/>
    <w:rsid w:val="00806AB4"/>
    <w:rsid w:val="0080775B"/>
    <w:rsid w:val="00807BEE"/>
    <w:rsid w:val="008109F9"/>
    <w:rsid w:val="008115E7"/>
    <w:rsid w:val="0081286A"/>
    <w:rsid w:val="00812B1F"/>
    <w:rsid w:val="0081326B"/>
    <w:rsid w:val="00813BB1"/>
    <w:rsid w:val="00814107"/>
    <w:rsid w:val="00814A3B"/>
    <w:rsid w:val="00814C70"/>
    <w:rsid w:val="00815C63"/>
    <w:rsid w:val="0081731B"/>
    <w:rsid w:val="00822070"/>
    <w:rsid w:val="00826EAD"/>
    <w:rsid w:val="00830D6F"/>
    <w:rsid w:val="0083120A"/>
    <w:rsid w:val="0083195D"/>
    <w:rsid w:val="00831BF8"/>
    <w:rsid w:val="00834373"/>
    <w:rsid w:val="00841CCD"/>
    <w:rsid w:val="00842C9B"/>
    <w:rsid w:val="00844419"/>
    <w:rsid w:val="008450F7"/>
    <w:rsid w:val="0084540A"/>
    <w:rsid w:val="00850728"/>
    <w:rsid w:val="008529D4"/>
    <w:rsid w:val="00853AD6"/>
    <w:rsid w:val="00853F89"/>
    <w:rsid w:val="00856327"/>
    <w:rsid w:val="00862C03"/>
    <w:rsid w:val="00862C47"/>
    <w:rsid w:val="008648F7"/>
    <w:rsid w:val="008656AE"/>
    <w:rsid w:val="008671BA"/>
    <w:rsid w:val="008675DE"/>
    <w:rsid w:val="00870F79"/>
    <w:rsid w:val="008734E1"/>
    <w:rsid w:val="00874851"/>
    <w:rsid w:val="00875A65"/>
    <w:rsid w:val="008769ED"/>
    <w:rsid w:val="0088002F"/>
    <w:rsid w:val="00880532"/>
    <w:rsid w:val="00880FE2"/>
    <w:rsid w:val="00881AA1"/>
    <w:rsid w:val="00882278"/>
    <w:rsid w:val="00886CC5"/>
    <w:rsid w:val="00890409"/>
    <w:rsid w:val="008913AC"/>
    <w:rsid w:val="00892F43"/>
    <w:rsid w:val="00894820"/>
    <w:rsid w:val="0089515D"/>
    <w:rsid w:val="00895546"/>
    <w:rsid w:val="00896C04"/>
    <w:rsid w:val="00897CDA"/>
    <w:rsid w:val="008A142A"/>
    <w:rsid w:val="008A3868"/>
    <w:rsid w:val="008A50BE"/>
    <w:rsid w:val="008A72AD"/>
    <w:rsid w:val="008B0A90"/>
    <w:rsid w:val="008B35A4"/>
    <w:rsid w:val="008B565A"/>
    <w:rsid w:val="008C160C"/>
    <w:rsid w:val="008C1A83"/>
    <w:rsid w:val="008C3580"/>
    <w:rsid w:val="008C369C"/>
    <w:rsid w:val="008C539D"/>
    <w:rsid w:val="008D26C6"/>
    <w:rsid w:val="008D28A3"/>
    <w:rsid w:val="008D3B92"/>
    <w:rsid w:val="008D7048"/>
    <w:rsid w:val="008E2B7B"/>
    <w:rsid w:val="008E326E"/>
    <w:rsid w:val="008E479C"/>
    <w:rsid w:val="008E7238"/>
    <w:rsid w:val="008F13C2"/>
    <w:rsid w:val="008F3587"/>
    <w:rsid w:val="008F4618"/>
    <w:rsid w:val="008F4983"/>
    <w:rsid w:val="008F541C"/>
    <w:rsid w:val="008F6BBB"/>
    <w:rsid w:val="0090271E"/>
    <w:rsid w:val="00904822"/>
    <w:rsid w:val="00904BE6"/>
    <w:rsid w:val="0091004D"/>
    <w:rsid w:val="00911C55"/>
    <w:rsid w:val="0091212C"/>
    <w:rsid w:val="00912B85"/>
    <w:rsid w:val="00912C24"/>
    <w:rsid w:val="00912D91"/>
    <w:rsid w:val="00913FB0"/>
    <w:rsid w:val="009143C1"/>
    <w:rsid w:val="009144C0"/>
    <w:rsid w:val="0091650B"/>
    <w:rsid w:val="009219DD"/>
    <w:rsid w:val="00924CE4"/>
    <w:rsid w:val="00931C85"/>
    <w:rsid w:val="00931F40"/>
    <w:rsid w:val="00932979"/>
    <w:rsid w:val="00934C34"/>
    <w:rsid w:val="00935F1D"/>
    <w:rsid w:val="00936C96"/>
    <w:rsid w:val="00940C4C"/>
    <w:rsid w:val="009435E9"/>
    <w:rsid w:val="00947BCE"/>
    <w:rsid w:val="009513A3"/>
    <w:rsid w:val="00953C38"/>
    <w:rsid w:val="00954A5E"/>
    <w:rsid w:val="009570E9"/>
    <w:rsid w:val="009575F9"/>
    <w:rsid w:val="00962718"/>
    <w:rsid w:val="00971446"/>
    <w:rsid w:val="00971F9E"/>
    <w:rsid w:val="00973BD8"/>
    <w:rsid w:val="00974432"/>
    <w:rsid w:val="0097465A"/>
    <w:rsid w:val="00974D99"/>
    <w:rsid w:val="009757E3"/>
    <w:rsid w:val="00980061"/>
    <w:rsid w:val="00985D3A"/>
    <w:rsid w:val="00987262"/>
    <w:rsid w:val="00990093"/>
    <w:rsid w:val="009907F8"/>
    <w:rsid w:val="0099126F"/>
    <w:rsid w:val="00991C91"/>
    <w:rsid w:val="0099668F"/>
    <w:rsid w:val="00997C92"/>
    <w:rsid w:val="009A1584"/>
    <w:rsid w:val="009A2163"/>
    <w:rsid w:val="009B052E"/>
    <w:rsid w:val="009B1087"/>
    <w:rsid w:val="009B2B47"/>
    <w:rsid w:val="009B6A4A"/>
    <w:rsid w:val="009C165E"/>
    <w:rsid w:val="009C1DFE"/>
    <w:rsid w:val="009C2137"/>
    <w:rsid w:val="009C3185"/>
    <w:rsid w:val="009C480A"/>
    <w:rsid w:val="009C6350"/>
    <w:rsid w:val="009C71EF"/>
    <w:rsid w:val="009D5387"/>
    <w:rsid w:val="009D674F"/>
    <w:rsid w:val="009E4403"/>
    <w:rsid w:val="009E54B1"/>
    <w:rsid w:val="009E6776"/>
    <w:rsid w:val="009E6A89"/>
    <w:rsid w:val="009E6DAC"/>
    <w:rsid w:val="009F0B0E"/>
    <w:rsid w:val="009F29F4"/>
    <w:rsid w:val="009F38C1"/>
    <w:rsid w:val="009F5FDC"/>
    <w:rsid w:val="009F765F"/>
    <w:rsid w:val="00A00148"/>
    <w:rsid w:val="00A00827"/>
    <w:rsid w:val="00A00E93"/>
    <w:rsid w:val="00A0267F"/>
    <w:rsid w:val="00A03F93"/>
    <w:rsid w:val="00A063E4"/>
    <w:rsid w:val="00A11790"/>
    <w:rsid w:val="00A17A48"/>
    <w:rsid w:val="00A17B78"/>
    <w:rsid w:val="00A20356"/>
    <w:rsid w:val="00A2582D"/>
    <w:rsid w:val="00A331A6"/>
    <w:rsid w:val="00A347F8"/>
    <w:rsid w:val="00A3647D"/>
    <w:rsid w:val="00A41DB9"/>
    <w:rsid w:val="00A47A59"/>
    <w:rsid w:val="00A5105C"/>
    <w:rsid w:val="00A524D0"/>
    <w:rsid w:val="00A52FCC"/>
    <w:rsid w:val="00A546E4"/>
    <w:rsid w:val="00A550CE"/>
    <w:rsid w:val="00A60F07"/>
    <w:rsid w:val="00A6482A"/>
    <w:rsid w:val="00A7305F"/>
    <w:rsid w:val="00A73544"/>
    <w:rsid w:val="00A7391F"/>
    <w:rsid w:val="00A777C0"/>
    <w:rsid w:val="00A82664"/>
    <w:rsid w:val="00A83DB4"/>
    <w:rsid w:val="00A8437D"/>
    <w:rsid w:val="00A85B65"/>
    <w:rsid w:val="00A86807"/>
    <w:rsid w:val="00A90002"/>
    <w:rsid w:val="00A9074C"/>
    <w:rsid w:val="00A92A59"/>
    <w:rsid w:val="00A97137"/>
    <w:rsid w:val="00AA02A4"/>
    <w:rsid w:val="00AA6ABE"/>
    <w:rsid w:val="00AA7E24"/>
    <w:rsid w:val="00AB0D54"/>
    <w:rsid w:val="00AB244D"/>
    <w:rsid w:val="00AB2FEF"/>
    <w:rsid w:val="00AB40E2"/>
    <w:rsid w:val="00AB5158"/>
    <w:rsid w:val="00AB5A59"/>
    <w:rsid w:val="00AB6BEF"/>
    <w:rsid w:val="00AC050F"/>
    <w:rsid w:val="00AC1381"/>
    <w:rsid w:val="00AC229E"/>
    <w:rsid w:val="00AD02DC"/>
    <w:rsid w:val="00AD1728"/>
    <w:rsid w:val="00AD2E2F"/>
    <w:rsid w:val="00AD44C9"/>
    <w:rsid w:val="00AD73DF"/>
    <w:rsid w:val="00AD773A"/>
    <w:rsid w:val="00AE18DA"/>
    <w:rsid w:val="00AE4FE5"/>
    <w:rsid w:val="00AE6A33"/>
    <w:rsid w:val="00AE73F0"/>
    <w:rsid w:val="00AF045E"/>
    <w:rsid w:val="00AF3658"/>
    <w:rsid w:val="00AF4695"/>
    <w:rsid w:val="00AF63B3"/>
    <w:rsid w:val="00AF7254"/>
    <w:rsid w:val="00B021F8"/>
    <w:rsid w:val="00B02373"/>
    <w:rsid w:val="00B0340D"/>
    <w:rsid w:val="00B03A7A"/>
    <w:rsid w:val="00B047EF"/>
    <w:rsid w:val="00B0793A"/>
    <w:rsid w:val="00B13FD8"/>
    <w:rsid w:val="00B1586D"/>
    <w:rsid w:val="00B15A5A"/>
    <w:rsid w:val="00B16889"/>
    <w:rsid w:val="00B21460"/>
    <w:rsid w:val="00B25226"/>
    <w:rsid w:val="00B260BB"/>
    <w:rsid w:val="00B273F8"/>
    <w:rsid w:val="00B3104D"/>
    <w:rsid w:val="00B317F0"/>
    <w:rsid w:val="00B3187B"/>
    <w:rsid w:val="00B32E97"/>
    <w:rsid w:val="00B33DA3"/>
    <w:rsid w:val="00B36ECD"/>
    <w:rsid w:val="00B416F7"/>
    <w:rsid w:val="00B4341B"/>
    <w:rsid w:val="00B43631"/>
    <w:rsid w:val="00B44786"/>
    <w:rsid w:val="00B458EB"/>
    <w:rsid w:val="00B46308"/>
    <w:rsid w:val="00B50167"/>
    <w:rsid w:val="00B51086"/>
    <w:rsid w:val="00B52322"/>
    <w:rsid w:val="00B53347"/>
    <w:rsid w:val="00B56D9B"/>
    <w:rsid w:val="00B615CC"/>
    <w:rsid w:val="00B634D8"/>
    <w:rsid w:val="00B63D5F"/>
    <w:rsid w:val="00B644E3"/>
    <w:rsid w:val="00B65B73"/>
    <w:rsid w:val="00B66BCC"/>
    <w:rsid w:val="00B67801"/>
    <w:rsid w:val="00B72527"/>
    <w:rsid w:val="00B7364D"/>
    <w:rsid w:val="00B7501E"/>
    <w:rsid w:val="00B75FB9"/>
    <w:rsid w:val="00B77345"/>
    <w:rsid w:val="00B818D1"/>
    <w:rsid w:val="00B82763"/>
    <w:rsid w:val="00B83664"/>
    <w:rsid w:val="00B8512F"/>
    <w:rsid w:val="00B91FCB"/>
    <w:rsid w:val="00B92A47"/>
    <w:rsid w:val="00B92B80"/>
    <w:rsid w:val="00B93A58"/>
    <w:rsid w:val="00B94C0D"/>
    <w:rsid w:val="00B9628C"/>
    <w:rsid w:val="00B97259"/>
    <w:rsid w:val="00BA289A"/>
    <w:rsid w:val="00BA2BC5"/>
    <w:rsid w:val="00BA322D"/>
    <w:rsid w:val="00BA4F21"/>
    <w:rsid w:val="00BA652C"/>
    <w:rsid w:val="00BA7AE1"/>
    <w:rsid w:val="00BB0F7B"/>
    <w:rsid w:val="00BB3C27"/>
    <w:rsid w:val="00BB4A2C"/>
    <w:rsid w:val="00BB5DC1"/>
    <w:rsid w:val="00BB789D"/>
    <w:rsid w:val="00BC40B8"/>
    <w:rsid w:val="00BC6898"/>
    <w:rsid w:val="00BD0B94"/>
    <w:rsid w:val="00BD2097"/>
    <w:rsid w:val="00BD39A4"/>
    <w:rsid w:val="00BD536F"/>
    <w:rsid w:val="00BD5401"/>
    <w:rsid w:val="00BD5984"/>
    <w:rsid w:val="00BE0184"/>
    <w:rsid w:val="00BE0A3D"/>
    <w:rsid w:val="00BE463F"/>
    <w:rsid w:val="00BE6976"/>
    <w:rsid w:val="00BF18DA"/>
    <w:rsid w:val="00BF1F67"/>
    <w:rsid w:val="00BF335A"/>
    <w:rsid w:val="00BF4A0D"/>
    <w:rsid w:val="00C06067"/>
    <w:rsid w:val="00C060CA"/>
    <w:rsid w:val="00C0713B"/>
    <w:rsid w:val="00C07976"/>
    <w:rsid w:val="00C07B90"/>
    <w:rsid w:val="00C111F0"/>
    <w:rsid w:val="00C14281"/>
    <w:rsid w:val="00C158CD"/>
    <w:rsid w:val="00C171AC"/>
    <w:rsid w:val="00C20D25"/>
    <w:rsid w:val="00C24B9D"/>
    <w:rsid w:val="00C25622"/>
    <w:rsid w:val="00C25963"/>
    <w:rsid w:val="00C31A6E"/>
    <w:rsid w:val="00C32FD9"/>
    <w:rsid w:val="00C33047"/>
    <w:rsid w:val="00C3395A"/>
    <w:rsid w:val="00C33E8A"/>
    <w:rsid w:val="00C359A9"/>
    <w:rsid w:val="00C3657F"/>
    <w:rsid w:val="00C367AF"/>
    <w:rsid w:val="00C36C70"/>
    <w:rsid w:val="00C41A44"/>
    <w:rsid w:val="00C420BC"/>
    <w:rsid w:val="00C4288A"/>
    <w:rsid w:val="00C4613B"/>
    <w:rsid w:val="00C4772C"/>
    <w:rsid w:val="00C47901"/>
    <w:rsid w:val="00C512BF"/>
    <w:rsid w:val="00C54231"/>
    <w:rsid w:val="00C62F3A"/>
    <w:rsid w:val="00C65308"/>
    <w:rsid w:val="00C65591"/>
    <w:rsid w:val="00C65753"/>
    <w:rsid w:val="00C71CDE"/>
    <w:rsid w:val="00C71F97"/>
    <w:rsid w:val="00C729DF"/>
    <w:rsid w:val="00C75AB9"/>
    <w:rsid w:val="00C7663B"/>
    <w:rsid w:val="00C84E2D"/>
    <w:rsid w:val="00C85B2C"/>
    <w:rsid w:val="00C94765"/>
    <w:rsid w:val="00C957B8"/>
    <w:rsid w:val="00C974C2"/>
    <w:rsid w:val="00CA1AF2"/>
    <w:rsid w:val="00CA4498"/>
    <w:rsid w:val="00CA4C9D"/>
    <w:rsid w:val="00CA7657"/>
    <w:rsid w:val="00CB154C"/>
    <w:rsid w:val="00CB1890"/>
    <w:rsid w:val="00CB19E0"/>
    <w:rsid w:val="00CB1C78"/>
    <w:rsid w:val="00CB1D81"/>
    <w:rsid w:val="00CB316C"/>
    <w:rsid w:val="00CB58AF"/>
    <w:rsid w:val="00CB5C7D"/>
    <w:rsid w:val="00CB5CE4"/>
    <w:rsid w:val="00CB625A"/>
    <w:rsid w:val="00CB6333"/>
    <w:rsid w:val="00CC1103"/>
    <w:rsid w:val="00CC1119"/>
    <w:rsid w:val="00CC2027"/>
    <w:rsid w:val="00CC2B5B"/>
    <w:rsid w:val="00CC3D4C"/>
    <w:rsid w:val="00CC5703"/>
    <w:rsid w:val="00CD16F4"/>
    <w:rsid w:val="00CD1A76"/>
    <w:rsid w:val="00CE078F"/>
    <w:rsid w:val="00CE184C"/>
    <w:rsid w:val="00CE2AE6"/>
    <w:rsid w:val="00CE3604"/>
    <w:rsid w:val="00CE3688"/>
    <w:rsid w:val="00CE4805"/>
    <w:rsid w:val="00CE79FB"/>
    <w:rsid w:val="00CE7FE2"/>
    <w:rsid w:val="00CF0E34"/>
    <w:rsid w:val="00CF3A0C"/>
    <w:rsid w:val="00CF46E5"/>
    <w:rsid w:val="00CF4968"/>
    <w:rsid w:val="00D01861"/>
    <w:rsid w:val="00D100FE"/>
    <w:rsid w:val="00D10DFF"/>
    <w:rsid w:val="00D11137"/>
    <w:rsid w:val="00D13347"/>
    <w:rsid w:val="00D15276"/>
    <w:rsid w:val="00D20CFA"/>
    <w:rsid w:val="00D22D70"/>
    <w:rsid w:val="00D23523"/>
    <w:rsid w:val="00D23E68"/>
    <w:rsid w:val="00D308C4"/>
    <w:rsid w:val="00D314A3"/>
    <w:rsid w:val="00D32986"/>
    <w:rsid w:val="00D32F63"/>
    <w:rsid w:val="00D33FF2"/>
    <w:rsid w:val="00D351B0"/>
    <w:rsid w:val="00D37C38"/>
    <w:rsid w:val="00D411E4"/>
    <w:rsid w:val="00D413A5"/>
    <w:rsid w:val="00D440AE"/>
    <w:rsid w:val="00D464F2"/>
    <w:rsid w:val="00D4707D"/>
    <w:rsid w:val="00D50391"/>
    <w:rsid w:val="00D56C3E"/>
    <w:rsid w:val="00D5750E"/>
    <w:rsid w:val="00D60503"/>
    <w:rsid w:val="00D61F17"/>
    <w:rsid w:val="00D62E1D"/>
    <w:rsid w:val="00D655BD"/>
    <w:rsid w:val="00D66183"/>
    <w:rsid w:val="00D66467"/>
    <w:rsid w:val="00D67D96"/>
    <w:rsid w:val="00D70805"/>
    <w:rsid w:val="00D715A1"/>
    <w:rsid w:val="00D7397F"/>
    <w:rsid w:val="00D745A8"/>
    <w:rsid w:val="00D755B3"/>
    <w:rsid w:val="00D77AB0"/>
    <w:rsid w:val="00D80A21"/>
    <w:rsid w:val="00D86EB4"/>
    <w:rsid w:val="00D91645"/>
    <w:rsid w:val="00D91A96"/>
    <w:rsid w:val="00D9248B"/>
    <w:rsid w:val="00D968BC"/>
    <w:rsid w:val="00D977CD"/>
    <w:rsid w:val="00D97A35"/>
    <w:rsid w:val="00DA1951"/>
    <w:rsid w:val="00DA3431"/>
    <w:rsid w:val="00DA4866"/>
    <w:rsid w:val="00DA5DBB"/>
    <w:rsid w:val="00DA60A0"/>
    <w:rsid w:val="00DB1533"/>
    <w:rsid w:val="00DB1650"/>
    <w:rsid w:val="00DB209D"/>
    <w:rsid w:val="00DB34FE"/>
    <w:rsid w:val="00DB3631"/>
    <w:rsid w:val="00DB3D42"/>
    <w:rsid w:val="00DB4931"/>
    <w:rsid w:val="00DC0B3F"/>
    <w:rsid w:val="00DC1018"/>
    <w:rsid w:val="00DD2696"/>
    <w:rsid w:val="00DD3F41"/>
    <w:rsid w:val="00DD4FCB"/>
    <w:rsid w:val="00DE1689"/>
    <w:rsid w:val="00DE5387"/>
    <w:rsid w:val="00DE5CA3"/>
    <w:rsid w:val="00DE6C62"/>
    <w:rsid w:val="00DE7457"/>
    <w:rsid w:val="00DF03B1"/>
    <w:rsid w:val="00DF12F3"/>
    <w:rsid w:val="00DF398A"/>
    <w:rsid w:val="00DF4456"/>
    <w:rsid w:val="00E005DE"/>
    <w:rsid w:val="00E00F09"/>
    <w:rsid w:val="00E02757"/>
    <w:rsid w:val="00E04C5C"/>
    <w:rsid w:val="00E05DC0"/>
    <w:rsid w:val="00E06C87"/>
    <w:rsid w:val="00E11A1D"/>
    <w:rsid w:val="00E11D62"/>
    <w:rsid w:val="00E11F49"/>
    <w:rsid w:val="00E148E1"/>
    <w:rsid w:val="00E16199"/>
    <w:rsid w:val="00E2316E"/>
    <w:rsid w:val="00E23BAA"/>
    <w:rsid w:val="00E265BB"/>
    <w:rsid w:val="00E324D3"/>
    <w:rsid w:val="00E33753"/>
    <w:rsid w:val="00E33AF8"/>
    <w:rsid w:val="00E33B56"/>
    <w:rsid w:val="00E33FDB"/>
    <w:rsid w:val="00E3404F"/>
    <w:rsid w:val="00E34FD3"/>
    <w:rsid w:val="00E37B44"/>
    <w:rsid w:val="00E41B7C"/>
    <w:rsid w:val="00E444F4"/>
    <w:rsid w:val="00E4578C"/>
    <w:rsid w:val="00E50D94"/>
    <w:rsid w:val="00E5184C"/>
    <w:rsid w:val="00E51BC0"/>
    <w:rsid w:val="00E52C0D"/>
    <w:rsid w:val="00E57C93"/>
    <w:rsid w:val="00E60453"/>
    <w:rsid w:val="00E634A4"/>
    <w:rsid w:val="00E639CE"/>
    <w:rsid w:val="00E64769"/>
    <w:rsid w:val="00E66F48"/>
    <w:rsid w:val="00E6725D"/>
    <w:rsid w:val="00E74EB6"/>
    <w:rsid w:val="00E7510E"/>
    <w:rsid w:val="00E830DB"/>
    <w:rsid w:val="00E85868"/>
    <w:rsid w:val="00E916E9"/>
    <w:rsid w:val="00E93E54"/>
    <w:rsid w:val="00E95625"/>
    <w:rsid w:val="00E9568B"/>
    <w:rsid w:val="00E96E8D"/>
    <w:rsid w:val="00EA1185"/>
    <w:rsid w:val="00EA2868"/>
    <w:rsid w:val="00EA450D"/>
    <w:rsid w:val="00EA4EA0"/>
    <w:rsid w:val="00EB28D2"/>
    <w:rsid w:val="00EB6BD7"/>
    <w:rsid w:val="00EC0057"/>
    <w:rsid w:val="00EC0878"/>
    <w:rsid w:val="00EC1EAD"/>
    <w:rsid w:val="00EC5B60"/>
    <w:rsid w:val="00ED0E6A"/>
    <w:rsid w:val="00ED2D9C"/>
    <w:rsid w:val="00ED589E"/>
    <w:rsid w:val="00ED5CD6"/>
    <w:rsid w:val="00ED6D5E"/>
    <w:rsid w:val="00ED712B"/>
    <w:rsid w:val="00EE03CC"/>
    <w:rsid w:val="00EE1876"/>
    <w:rsid w:val="00EE1C5E"/>
    <w:rsid w:val="00EE42C0"/>
    <w:rsid w:val="00EE48EC"/>
    <w:rsid w:val="00EE518A"/>
    <w:rsid w:val="00EE71DE"/>
    <w:rsid w:val="00EF388B"/>
    <w:rsid w:val="00EF3915"/>
    <w:rsid w:val="00EF537D"/>
    <w:rsid w:val="00EF7A25"/>
    <w:rsid w:val="00EF7CDE"/>
    <w:rsid w:val="00F02482"/>
    <w:rsid w:val="00F03F58"/>
    <w:rsid w:val="00F04143"/>
    <w:rsid w:val="00F11967"/>
    <w:rsid w:val="00F12031"/>
    <w:rsid w:val="00F1278C"/>
    <w:rsid w:val="00F14580"/>
    <w:rsid w:val="00F14882"/>
    <w:rsid w:val="00F16847"/>
    <w:rsid w:val="00F21C07"/>
    <w:rsid w:val="00F23684"/>
    <w:rsid w:val="00F27412"/>
    <w:rsid w:val="00F30A19"/>
    <w:rsid w:val="00F35F68"/>
    <w:rsid w:val="00F50257"/>
    <w:rsid w:val="00F50D88"/>
    <w:rsid w:val="00F5136D"/>
    <w:rsid w:val="00F52E08"/>
    <w:rsid w:val="00F549B2"/>
    <w:rsid w:val="00F553AB"/>
    <w:rsid w:val="00F60A4A"/>
    <w:rsid w:val="00F620FE"/>
    <w:rsid w:val="00F67030"/>
    <w:rsid w:val="00F70D7D"/>
    <w:rsid w:val="00F71C58"/>
    <w:rsid w:val="00F74107"/>
    <w:rsid w:val="00F75054"/>
    <w:rsid w:val="00F82A40"/>
    <w:rsid w:val="00F82D41"/>
    <w:rsid w:val="00F82F88"/>
    <w:rsid w:val="00F831BC"/>
    <w:rsid w:val="00F83E53"/>
    <w:rsid w:val="00F83F58"/>
    <w:rsid w:val="00F84E55"/>
    <w:rsid w:val="00F867A7"/>
    <w:rsid w:val="00F87383"/>
    <w:rsid w:val="00F905EE"/>
    <w:rsid w:val="00F937D7"/>
    <w:rsid w:val="00FA0260"/>
    <w:rsid w:val="00FA1475"/>
    <w:rsid w:val="00FA1FB6"/>
    <w:rsid w:val="00FA527E"/>
    <w:rsid w:val="00FA7DC3"/>
    <w:rsid w:val="00FB1BE9"/>
    <w:rsid w:val="00FB1C75"/>
    <w:rsid w:val="00FB313D"/>
    <w:rsid w:val="00FB4A3A"/>
    <w:rsid w:val="00FB5E17"/>
    <w:rsid w:val="00FC0739"/>
    <w:rsid w:val="00FC24DA"/>
    <w:rsid w:val="00FC28BA"/>
    <w:rsid w:val="00FC5169"/>
    <w:rsid w:val="00FC7DD8"/>
    <w:rsid w:val="00FD13D0"/>
    <w:rsid w:val="00FD3E8D"/>
    <w:rsid w:val="00FD5A0F"/>
    <w:rsid w:val="00FD7A6B"/>
    <w:rsid w:val="00FE110A"/>
    <w:rsid w:val="00FE3765"/>
    <w:rsid w:val="00FE67D1"/>
    <w:rsid w:val="00FE6D99"/>
    <w:rsid w:val="00FE7FD6"/>
    <w:rsid w:val="00FF3606"/>
    <w:rsid w:val="00FF40B2"/>
    <w:rsid w:val="00FF4E94"/>
    <w:rsid w:val="00FF4EFE"/>
    <w:rsid w:val="00FF6294"/>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AB8797"/>
  <w15:chartTrackingRefBased/>
  <w15:docId w15:val="{F3A40EE5-542B-DA4A-BF66-DF93F19C9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1"/>
        <w:lang w:val="en-GB" w:eastAsia="en-US" w:bidi="hi-IN"/>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3587"/>
    <w:pPr>
      <w:spacing w:line="276" w:lineRule="auto"/>
      <w:jc w:val="both"/>
    </w:pPr>
    <w:rPr>
      <w:rFonts w:ascii="Calibri" w:hAnsi="Calibri" w:cs="Calibri"/>
      <w:kern w:val="0"/>
      <w:szCs w:val="24"/>
      <w14:ligatures w14:val="none"/>
    </w:rPr>
  </w:style>
  <w:style w:type="paragraph" w:styleId="Heading1">
    <w:name w:val="heading 1"/>
    <w:basedOn w:val="Normal"/>
    <w:next w:val="Normal"/>
    <w:link w:val="Heading1Char"/>
    <w:autoRedefine/>
    <w:uiPriority w:val="9"/>
    <w:qFormat/>
    <w:rsid w:val="001C4B0C"/>
    <w:pPr>
      <w:numPr>
        <w:numId w:val="8"/>
      </w:numPr>
      <w:outlineLvl w:val="0"/>
    </w:pPr>
    <w:rPr>
      <w:b/>
      <w:bCs/>
      <w:iCs/>
      <w:color w:val="000000" w:themeColor="text1"/>
      <w:shd w:val="clear" w:color="auto" w:fill="FFFFFF"/>
      <w:lang w:val="en-US"/>
    </w:rPr>
  </w:style>
  <w:style w:type="paragraph" w:styleId="Heading2">
    <w:name w:val="heading 2"/>
    <w:basedOn w:val="Heading1"/>
    <w:next w:val="Normal"/>
    <w:link w:val="Heading2Char"/>
    <w:autoRedefine/>
    <w:uiPriority w:val="9"/>
    <w:unhideWhenUsed/>
    <w:qFormat/>
    <w:rsid w:val="001C4B0C"/>
    <w:pPr>
      <w:numPr>
        <w:numId w:val="7"/>
      </w:numPr>
      <w:outlineLvl w:val="1"/>
    </w:pPr>
    <w:rPr>
      <w:bCs w:val="0"/>
    </w:rPr>
  </w:style>
  <w:style w:type="paragraph" w:styleId="Heading3">
    <w:name w:val="heading 3"/>
    <w:basedOn w:val="ListParagraph"/>
    <w:next w:val="Normal"/>
    <w:link w:val="Heading3Char"/>
    <w:autoRedefine/>
    <w:uiPriority w:val="9"/>
    <w:unhideWhenUsed/>
    <w:qFormat/>
    <w:rsid w:val="00896C04"/>
    <w:pPr>
      <w:numPr>
        <w:ilvl w:val="1"/>
      </w:numPr>
      <w:tabs>
        <w:tab w:val="num" w:pos="1440"/>
      </w:tabs>
      <w:ind w:left="720" w:hanging="720"/>
      <w:outlineLvl w:val="2"/>
    </w:pPr>
    <w:rPr>
      <w:i/>
      <w:iCs/>
      <w:lang w:val="en-US"/>
    </w:rPr>
  </w:style>
  <w:style w:type="paragraph" w:styleId="Heading4">
    <w:name w:val="heading 4"/>
    <w:basedOn w:val="Heading5"/>
    <w:next w:val="Normal"/>
    <w:link w:val="Heading4Char"/>
    <w:autoRedefine/>
    <w:uiPriority w:val="9"/>
    <w:unhideWhenUsed/>
    <w:qFormat/>
    <w:rsid w:val="00526694"/>
    <w:pPr>
      <w:numPr>
        <w:ilvl w:val="3"/>
        <w:numId w:val="2"/>
      </w:numPr>
      <w:outlineLvl w:val="3"/>
    </w:pPr>
    <w:rPr>
      <w:rFonts w:ascii="Garamond" w:hAnsi="Garamond"/>
      <w:bCs/>
      <w:i/>
      <w:color w:val="9BBB59" w:themeColor="accent3"/>
      <w:szCs w:val="21"/>
    </w:rPr>
  </w:style>
  <w:style w:type="paragraph" w:styleId="Heading5">
    <w:name w:val="heading 5"/>
    <w:basedOn w:val="Normal"/>
    <w:next w:val="Normal"/>
    <w:link w:val="Heading5Char"/>
    <w:uiPriority w:val="9"/>
    <w:semiHidden/>
    <w:unhideWhenUsed/>
    <w:qFormat/>
    <w:rsid w:val="004720BE"/>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4720BE"/>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4720BE"/>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4720BE"/>
    <w:pPr>
      <w:keepNext/>
      <w:keepLines/>
      <w:spacing w:before="40"/>
      <w:outlineLvl w:val="7"/>
    </w:pPr>
    <w:rPr>
      <w:rFonts w:asciiTheme="majorHAnsi" w:eastAsiaTheme="majorEastAsia" w:hAnsiTheme="majorHAnsi" w:cstheme="majorBidi"/>
      <w:color w:val="272727" w:themeColor="text1" w:themeTint="D8"/>
      <w:sz w:val="21"/>
      <w:szCs w:val="19"/>
    </w:rPr>
  </w:style>
  <w:style w:type="paragraph" w:styleId="Heading9">
    <w:name w:val="heading 9"/>
    <w:basedOn w:val="Normal"/>
    <w:next w:val="Normal"/>
    <w:link w:val="Heading9Char"/>
    <w:uiPriority w:val="9"/>
    <w:semiHidden/>
    <w:unhideWhenUsed/>
    <w:qFormat/>
    <w:rsid w:val="004720BE"/>
    <w:pPr>
      <w:keepNext/>
      <w:keepLines/>
      <w:spacing w:before="40"/>
      <w:outlineLvl w:val="8"/>
    </w:pPr>
    <w:rPr>
      <w:rFonts w:asciiTheme="majorHAnsi" w:eastAsiaTheme="majorEastAsia" w:hAnsiTheme="majorHAnsi" w:cstheme="majorBidi"/>
      <w:i/>
      <w:iCs/>
      <w:color w:val="272727" w:themeColor="text1" w:themeTint="D8"/>
      <w:sz w:val="21"/>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THESIS1">
    <w:name w:val="THESIS1"/>
    <w:uiPriority w:val="99"/>
    <w:rsid w:val="00831BF8"/>
    <w:pPr>
      <w:numPr>
        <w:numId w:val="1"/>
      </w:numPr>
    </w:pPr>
  </w:style>
  <w:style w:type="character" w:customStyle="1" w:styleId="Heading1Char">
    <w:name w:val="Heading 1 Char"/>
    <w:basedOn w:val="DefaultParagraphFont"/>
    <w:link w:val="Heading1"/>
    <w:uiPriority w:val="9"/>
    <w:rsid w:val="001C4B0C"/>
    <w:rPr>
      <w:rFonts w:ascii="Calibri" w:hAnsi="Calibri" w:cs="Calibri"/>
      <w:b/>
      <w:bCs/>
      <w:iCs/>
      <w:color w:val="000000" w:themeColor="text1"/>
      <w:kern w:val="0"/>
      <w:szCs w:val="24"/>
      <w:lang w:val="en-US"/>
      <w14:ligatures w14:val="none"/>
    </w:rPr>
  </w:style>
  <w:style w:type="character" w:customStyle="1" w:styleId="Heading2Char">
    <w:name w:val="Heading 2 Char"/>
    <w:basedOn w:val="DefaultParagraphFont"/>
    <w:link w:val="Heading2"/>
    <w:uiPriority w:val="9"/>
    <w:rsid w:val="001C4B0C"/>
    <w:rPr>
      <w:rFonts w:ascii="Calibri" w:hAnsi="Calibri" w:cs="Calibri"/>
      <w:b/>
      <w:iCs/>
      <w:color w:val="000000" w:themeColor="text1"/>
      <w:kern w:val="0"/>
      <w:szCs w:val="24"/>
      <w:lang w:val="en-US"/>
      <w14:ligatures w14:val="none"/>
    </w:rPr>
  </w:style>
  <w:style w:type="character" w:customStyle="1" w:styleId="Heading3Char">
    <w:name w:val="Heading 3 Char"/>
    <w:basedOn w:val="DefaultParagraphFont"/>
    <w:link w:val="Heading3"/>
    <w:uiPriority w:val="9"/>
    <w:rsid w:val="00896C04"/>
    <w:rPr>
      <w:rFonts w:ascii="Calibri" w:hAnsi="Calibri" w:cs="Calibri"/>
      <w:i/>
      <w:iCs/>
      <w:kern w:val="0"/>
      <w:szCs w:val="24"/>
      <w:lang w:val="en-US"/>
      <w14:ligatures w14:val="none"/>
    </w:rPr>
  </w:style>
  <w:style w:type="character" w:customStyle="1" w:styleId="Heading4Char">
    <w:name w:val="Heading 4 Char"/>
    <w:basedOn w:val="DefaultParagraphFont"/>
    <w:link w:val="Heading4"/>
    <w:uiPriority w:val="9"/>
    <w:rsid w:val="00E11A1D"/>
    <w:rPr>
      <w:rFonts w:ascii="Garamond" w:eastAsiaTheme="majorEastAsia" w:hAnsi="Garamond" w:cstheme="majorBidi"/>
      <w:bCs/>
      <w:i/>
      <w:color w:val="9BBB59" w:themeColor="accent3"/>
      <w:kern w:val="0"/>
      <w:lang w:val="en-GB"/>
      <w14:ligatures w14:val="none"/>
    </w:rPr>
  </w:style>
  <w:style w:type="character" w:customStyle="1" w:styleId="Heading5Char">
    <w:name w:val="Heading 5 Char"/>
    <w:basedOn w:val="DefaultParagraphFont"/>
    <w:link w:val="Heading5"/>
    <w:uiPriority w:val="9"/>
    <w:semiHidden/>
    <w:rsid w:val="004720BE"/>
    <w:rPr>
      <w:rFonts w:asciiTheme="majorHAnsi" w:eastAsiaTheme="majorEastAsia" w:hAnsiTheme="majorHAnsi" w:cstheme="majorBidi"/>
      <w:color w:val="365F91" w:themeColor="accent1" w:themeShade="BF"/>
      <w:szCs w:val="24"/>
      <w:lang w:val="en-GB"/>
    </w:rPr>
  </w:style>
  <w:style w:type="character" w:customStyle="1" w:styleId="Heading6Char">
    <w:name w:val="Heading 6 Char"/>
    <w:basedOn w:val="DefaultParagraphFont"/>
    <w:link w:val="Heading6"/>
    <w:uiPriority w:val="9"/>
    <w:semiHidden/>
    <w:rsid w:val="004720BE"/>
    <w:rPr>
      <w:rFonts w:asciiTheme="majorHAnsi" w:eastAsiaTheme="majorEastAsia" w:hAnsiTheme="majorHAnsi" w:cstheme="majorBidi"/>
      <w:color w:val="243F60" w:themeColor="accent1" w:themeShade="7F"/>
      <w:szCs w:val="24"/>
      <w:lang w:val="en-GB"/>
    </w:rPr>
  </w:style>
  <w:style w:type="character" w:customStyle="1" w:styleId="Heading7Char">
    <w:name w:val="Heading 7 Char"/>
    <w:basedOn w:val="DefaultParagraphFont"/>
    <w:link w:val="Heading7"/>
    <w:uiPriority w:val="9"/>
    <w:semiHidden/>
    <w:rsid w:val="004720BE"/>
    <w:rPr>
      <w:rFonts w:asciiTheme="majorHAnsi" w:eastAsiaTheme="majorEastAsia" w:hAnsiTheme="majorHAnsi" w:cstheme="majorBidi"/>
      <w:i/>
      <w:iCs/>
      <w:color w:val="243F60" w:themeColor="accent1" w:themeShade="7F"/>
      <w:szCs w:val="24"/>
      <w:lang w:val="en-GB"/>
    </w:rPr>
  </w:style>
  <w:style w:type="character" w:customStyle="1" w:styleId="Heading8Char">
    <w:name w:val="Heading 8 Char"/>
    <w:basedOn w:val="DefaultParagraphFont"/>
    <w:link w:val="Heading8"/>
    <w:uiPriority w:val="9"/>
    <w:semiHidden/>
    <w:rsid w:val="004720BE"/>
    <w:rPr>
      <w:rFonts w:asciiTheme="majorHAnsi" w:eastAsiaTheme="majorEastAsia" w:hAnsiTheme="majorHAnsi" w:cstheme="majorBidi"/>
      <w:color w:val="272727" w:themeColor="text1" w:themeTint="D8"/>
      <w:sz w:val="21"/>
      <w:szCs w:val="19"/>
      <w:lang w:val="en-GB"/>
    </w:rPr>
  </w:style>
  <w:style w:type="character" w:customStyle="1" w:styleId="Heading9Char">
    <w:name w:val="Heading 9 Char"/>
    <w:basedOn w:val="DefaultParagraphFont"/>
    <w:link w:val="Heading9"/>
    <w:uiPriority w:val="9"/>
    <w:semiHidden/>
    <w:rsid w:val="004720BE"/>
    <w:rPr>
      <w:rFonts w:asciiTheme="majorHAnsi" w:eastAsiaTheme="majorEastAsia" w:hAnsiTheme="majorHAnsi" w:cstheme="majorBidi"/>
      <w:i/>
      <w:iCs/>
      <w:color w:val="272727" w:themeColor="text1" w:themeTint="D8"/>
      <w:sz w:val="21"/>
      <w:szCs w:val="19"/>
      <w:lang w:val="en-GB"/>
    </w:rPr>
  </w:style>
  <w:style w:type="paragraph" w:styleId="Caption">
    <w:name w:val="caption"/>
    <w:basedOn w:val="Normal"/>
    <w:next w:val="Normal"/>
    <w:uiPriority w:val="35"/>
    <w:unhideWhenUsed/>
    <w:qFormat/>
    <w:rsid w:val="004720BE"/>
    <w:pPr>
      <w:spacing w:after="200"/>
    </w:pPr>
    <w:rPr>
      <w:rFonts w:cs="Mangal"/>
      <w:i/>
      <w:iCs/>
      <w:color w:val="1F497D" w:themeColor="text2"/>
      <w:sz w:val="18"/>
      <w:szCs w:val="16"/>
    </w:rPr>
  </w:style>
  <w:style w:type="paragraph" w:styleId="Subtitle">
    <w:name w:val="Subtitle"/>
    <w:aliases w:val="Figures-Tables"/>
    <w:basedOn w:val="Normal"/>
    <w:next w:val="Normal"/>
    <w:link w:val="SubtitleChar"/>
    <w:autoRedefine/>
    <w:uiPriority w:val="11"/>
    <w:qFormat/>
    <w:rsid w:val="004720BE"/>
    <w:pPr>
      <w:jc w:val="left"/>
    </w:pPr>
    <w:rPr>
      <w:b/>
      <w:bCs/>
      <w:color w:val="F79646" w:themeColor="accent6"/>
    </w:rPr>
  </w:style>
  <w:style w:type="character" w:customStyle="1" w:styleId="SubtitleChar">
    <w:name w:val="Subtitle Char"/>
    <w:aliases w:val="Figures-Tables Char"/>
    <w:basedOn w:val="DefaultParagraphFont"/>
    <w:link w:val="Subtitle"/>
    <w:uiPriority w:val="11"/>
    <w:rsid w:val="004720BE"/>
    <w:rPr>
      <w:rFonts w:ascii="Garamond" w:hAnsi="Garamond" w:cs="Calibri"/>
      <w:b/>
      <w:bCs/>
      <w:color w:val="F79646" w:themeColor="accent6"/>
      <w:szCs w:val="24"/>
      <w:lang w:val="en-GB"/>
    </w:rPr>
  </w:style>
  <w:style w:type="character" w:styleId="Emphasis">
    <w:name w:val="Emphasis"/>
    <w:aliases w:val="quotes-in-chapter"/>
    <w:basedOn w:val="DefaultParagraphFont"/>
    <w:uiPriority w:val="20"/>
    <w:qFormat/>
    <w:rsid w:val="004720BE"/>
    <w:rPr>
      <w:rFonts w:asciiTheme="minorHAnsi" w:hAnsiTheme="minorHAnsi"/>
      <w:i/>
      <w:iCs/>
    </w:rPr>
  </w:style>
  <w:style w:type="paragraph" w:styleId="ListParagraph">
    <w:name w:val="List Paragraph"/>
    <w:basedOn w:val="Normal"/>
    <w:uiPriority w:val="34"/>
    <w:qFormat/>
    <w:rsid w:val="004720BE"/>
    <w:pPr>
      <w:ind w:left="720"/>
      <w:contextualSpacing/>
    </w:pPr>
  </w:style>
  <w:style w:type="paragraph" w:styleId="Quote">
    <w:name w:val="Quote"/>
    <w:basedOn w:val="Normal"/>
    <w:next w:val="Normal"/>
    <w:link w:val="QuoteChar"/>
    <w:uiPriority w:val="29"/>
    <w:qFormat/>
    <w:rsid w:val="004720BE"/>
    <w:pPr>
      <w:jc w:val="center"/>
    </w:pPr>
    <w:rPr>
      <w:rFonts w:ascii="Georgia" w:eastAsia="Times New Roman" w:hAnsi="Georgia" w:cs="Times New Roman"/>
      <w:i/>
      <w:iCs/>
      <w:color w:val="000000" w:themeColor="text1"/>
      <w:lang w:val="en-IN" w:eastAsia="en-GB"/>
    </w:rPr>
  </w:style>
  <w:style w:type="character" w:customStyle="1" w:styleId="QuoteChar">
    <w:name w:val="Quote Char"/>
    <w:basedOn w:val="DefaultParagraphFont"/>
    <w:link w:val="Quote"/>
    <w:uiPriority w:val="29"/>
    <w:rsid w:val="004720BE"/>
    <w:rPr>
      <w:rFonts w:ascii="Georgia" w:eastAsia="Times New Roman" w:hAnsi="Georgia" w:cs="Times New Roman"/>
      <w:i/>
      <w:iCs/>
      <w:color w:val="000000" w:themeColor="text1"/>
      <w:szCs w:val="24"/>
      <w:lang w:val="en-IN" w:eastAsia="en-GB"/>
    </w:rPr>
  </w:style>
  <w:style w:type="paragraph" w:styleId="IntenseQuote">
    <w:name w:val="Intense Quote"/>
    <w:basedOn w:val="Normal"/>
    <w:next w:val="Normal"/>
    <w:link w:val="IntenseQuoteChar"/>
    <w:uiPriority w:val="30"/>
    <w:qFormat/>
    <w:rsid w:val="004720B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4720BE"/>
    <w:rPr>
      <w:rFonts w:ascii="Calibri" w:hAnsi="Calibri" w:cs="Calibri"/>
      <w:i/>
      <w:iCs/>
      <w:color w:val="4F81BD" w:themeColor="accent1"/>
      <w:szCs w:val="24"/>
      <w:lang w:val="en-GB"/>
    </w:rPr>
  </w:style>
  <w:style w:type="character" w:styleId="SubtleEmphasis">
    <w:name w:val="Subtle Emphasis"/>
    <w:aliases w:val="Footnotes"/>
    <w:basedOn w:val="Strong"/>
    <w:uiPriority w:val="19"/>
    <w:qFormat/>
    <w:rsid w:val="004720BE"/>
    <w:rPr>
      <w:rFonts w:ascii="Garamond" w:hAnsi="Garamond"/>
      <w:b w:val="0"/>
      <w:bCs/>
      <w:color w:val="000000" w:themeColor="text1"/>
      <w:sz w:val="22"/>
      <w:szCs w:val="22"/>
    </w:rPr>
  </w:style>
  <w:style w:type="character" w:styleId="SubtleReference">
    <w:name w:val="Subtle Reference"/>
    <w:aliases w:val="Starting Chapter Quotes"/>
    <w:basedOn w:val="DefaultParagraphFont"/>
    <w:uiPriority w:val="31"/>
    <w:qFormat/>
    <w:rsid w:val="004720BE"/>
    <w:rPr>
      <w:rFonts w:ascii="Garamond" w:hAnsi="Garamond" w:cstheme="minorHAnsi"/>
      <w:smallCaps/>
      <w:color w:val="5A5A5A" w:themeColor="text1" w:themeTint="A5"/>
    </w:rPr>
  </w:style>
  <w:style w:type="paragraph" w:styleId="TOCHeading">
    <w:name w:val="TOC Heading"/>
    <w:basedOn w:val="Heading1"/>
    <w:next w:val="Normal"/>
    <w:uiPriority w:val="39"/>
    <w:unhideWhenUsed/>
    <w:qFormat/>
    <w:rsid w:val="004720BE"/>
    <w:pPr>
      <w:keepNext/>
      <w:keepLines/>
      <w:spacing w:before="480"/>
      <w:outlineLvl w:val="9"/>
    </w:pPr>
    <w:rPr>
      <w:rFonts w:asciiTheme="majorHAnsi" w:eastAsiaTheme="majorEastAsia" w:hAnsiTheme="majorHAnsi" w:cstheme="majorBidi"/>
      <w:color w:val="365F91" w:themeColor="accent1" w:themeShade="BF"/>
      <w:lang w:bidi="ar-SA"/>
    </w:rPr>
  </w:style>
  <w:style w:type="character" w:styleId="Strong">
    <w:name w:val="Strong"/>
    <w:aliases w:val="Chapter abstract"/>
    <w:uiPriority w:val="22"/>
    <w:qFormat/>
    <w:rsid w:val="004720BE"/>
    <w:rPr>
      <w:rFonts w:ascii="Garamond" w:hAnsi="Garamond"/>
      <w:b/>
      <w:bCs/>
    </w:rPr>
  </w:style>
  <w:style w:type="character" w:styleId="IntenseEmphasis">
    <w:name w:val="Intense Emphasis"/>
    <w:uiPriority w:val="21"/>
    <w:qFormat/>
    <w:rsid w:val="00E11A1D"/>
    <w:rPr>
      <w:rFonts w:ascii="Garamond" w:hAnsi="Garamond"/>
      <w:b/>
      <w:bCs/>
      <w:color w:val="4F81BD" w:themeColor="accent1"/>
      <w:lang w:val="en-US"/>
    </w:rPr>
  </w:style>
  <w:style w:type="paragraph" w:styleId="NoSpacing">
    <w:name w:val="No Spacing"/>
    <w:autoRedefine/>
    <w:uiPriority w:val="1"/>
    <w:qFormat/>
    <w:rsid w:val="00437D45"/>
    <w:pPr>
      <w:jc w:val="both"/>
    </w:pPr>
    <w:rPr>
      <w:rFonts w:cs="Mangal"/>
      <w:kern w:val="0"/>
      <w14:ligatures w14:val="none"/>
    </w:rPr>
  </w:style>
  <w:style w:type="paragraph" w:styleId="Title">
    <w:name w:val="Title"/>
    <w:basedOn w:val="Normal"/>
    <w:next w:val="Normal"/>
    <w:link w:val="TitleChar"/>
    <w:uiPriority w:val="10"/>
    <w:qFormat/>
    <w:rsid w:val="00F14580"/>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F14580"/>
    <w:rPr>
      <w:rFonts w:asciiTheme="majorHAnsi" w:eastAsiaTheme="majorEastAsia" w:hAnsiTheme="majorHAnsi" w:cstheme="majorBidi"/>
      <w:spacing w:val="-10"/>
      <w:kern w:val="28"/>
      <w:sz w:val="56"/>
      <w:szCs w:val="50"/>
      <w:lang w:val="en-GB"/>
      <w14:ligatures w14:val="none"/>
    </w:rPr>
  </w:style>
  <w:style w:type="character" w:styleId="IntenseReference">
    <w:name w:val="Intense Reference"/>
    <w:basedOn w:val="DefaultParagraphFont"/>
    <w:uiPriority w:val="32"/>
    <w:qFormat/>
    <w:rsid w:val="00F14580"/>
    <w:rPr>
      <w:b/>
      <w:bCs/>
      <w:smallCaps/>
      <w:color w:val="365F91" w:themeColor="accent1" w:themeShade="BF"/>
      <w:spacing w:val="5"/>
    </w:rPr>
  </w:style>
  <w:style w:type="character" w:styleId="CommentReference">
    <w:name w:val="annotation reference"/>
    <w:basedOn w:val="DefaultParagraphFont"/>
    <w:uiPriority w:val="99"/>
    <w:semiHidden/>
    <w:unhideWhenUsed/>
    <w:rsid w:val="00E3404F"/>
    <w:rPr>
      <w:sz w:val="16"/>
      <w:szCs w:val="16"/>
    </w:rPr>
  </w:style>
  <w:style w:type="paragraph" w:styleId="CommentText">
    <w:name w:val="annotation text"/>
    <w:basedOn w:val="Normal"/>
    <w:link w:val="CommentTextChar"/>
    <w:uiPriority w:val="99"/>
    <w:unhideWhenUsed/>
    <w:rsid w:val="00E3404F"/>
    <w:pPr>
      <w:spacing w:line="240" w:lineRule="auto"/>
    </w:pPr>
    <w:rPr>
      <w:rFonts w:cs="Mangal"/>
      <w:sz w:val="20"/>
      <w:szCs w:val="18"/>
    </w:rPr>
  </w:style>
  <w:style w:type="character" w:customStyle="1" w:styleId="CommentTextChar">
    <w:name w:val="Comment Text Char"/>
    <w:basedOn w:val="DefaultParagraphFont"/>
    <w:link w:val="CommentText"/>
    <w:uiPriority w:val="99"/>
    <w:rsid w:val="00E3404F"/>
    <w:rPr>
      <w:rFonts w:ascii="Calibri" w:hAnsi="Calibri" w:cs="Mangal"/>
      <w:kern w:val="0"/>
      <w:sz w:val="20"/>
      <w:szCs w:val="18"/>
      <w:lang w:val="en-GB"/>
      <w14:ligatures w14:val="none"/>
    </w:rPr>
  </w:style>
  <w:style w:type="paragraph" w:styleId="CommentSubject">
    <w:name w:val="annotation subject"/>
    <w:basedOn w:val="CommentText"/>
    <w:next w:val="CommentText"/>
    <w:link w:val="CommentSubjectChar"/>
    <w:uiPriority w:val="99"/>
    <w:semiHidden/>
    <w:unhideWhenUsed/>
    <w:rsid w:val="00E3404F"/>
    <w:rPr>
      <w:b/>
      <w:bCs/>
    </w:rPr>
  </w:style>
  <w:style w:type="character" w:customStyle="1" w:styleId="CommentSubjectChar">
    <w:name w:val="Comment Subject Char"/>
    <w:basedOn w:val="CommentTextChar"/>
    <w:link w:val="CommentSubject"/>
    <w:uiPriority w:val="99"/>
    <w:semiHidden/>
    <w:rsid w:val="00E3404F"/>
    <w:rPr>
      <w:rFonts w:ascii="Calibri" w:hAnsi="Calibri" w:cs="Mangal"/>
      <w:b/>
      <w:bCs/>
      <w:kern w:val="0"/>
      <w:sz w:val="20"/>
      <w:szCs w:val="18"/>
      <w:lang w:val="en-GB"/>
      <w14:ligatures w14:val="none"/>
    </w:rPr>
  </w:style>
  <w:style w:type="table" w:styleId="TableGrid">
    <w:name w:val="Table Grid"/>
    <w:basedOn w:val="TableNormal"/>
    <w:uiPriority w:val="39"/>
    <w:rsid w:val="00AD44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07BEE"/>
    <w:rPr>
      <w:rFonts w:ascii="Calibri" w:hAnsi="Calibri" w:cs="Mangal"/>
      <w:kern w:val="0"/>
      <w14:ligatures w14:val="none"/>
    </w:rPr>
  </w:style>
  <w:style w:type="paragraph" w:styleId="Bibliography">
    <w:name w:val="Bibliography"/>
    <w:basedOn w:val="Normal"/>
    <w:next w:val="Normal"/>
    <w:uiPriority w:val="37"/>
    <w:unhideWhenUsed/>
    <w:rsid w:val="00205FFB"/>
    <w:pPr>
      <w:spacing w:line="240" w:lineRule="auto"/>
      <w:ind w:left="720" w:hanging="720"/>
    </w:pPr>
    <w:rPr>
      <w:rFonts w:cs="Mangal"/>
      <w:szCs w:val="21"/>
    </w:rPr>
  </w:style>
  <w:style w:type="character" w:styleId="Hyperlink">
    <w:name w:val="Hyperlink"/>
    <w:basedOn w:val="DefaultParagraphFont"/>
    <w:uiPriority w:val="99"/>
    <w:unhideWhenUsed/>
    <w:rsid w:val="003F4EF0"/>
    <w:rPr>
      <w:color w:val="0000FF" w:themeColor="hyperlink"/>
      <w:u w:val="single"/>
    </w:rPr>
  </w:style>
  <w:style w:type="character" w:styleId="UnresolvedMention">
    <w:name w:val="Unresolved Mention"/>
    <w:basedOn w:val="DefaultParagraphFont"/>
    <w:uiPriority w:val="99"/>
    <w:semiHidden/>
    <w:unhideWhenUsed/>
    <w:rsid w:val="003F4EF0"/>
    <w:rPr>
      <w:color w:val="605E5C"/>
      <w:shd w:val="clear" w:color="auto" w:fill="E1DFDD"/>
    </w:rPr>
  </w:style>
  <w:style w:type="paragraph" w:customStyle="1" w:styleId="react-xocs-list-item">
    <w:name w:val="react-xocs-list-item"/>
    <w:basedOn w:val="Normal"/>
    <w:rsid w:val="00BB5DC1"/>
    <w:pPr>
      <w:spacing w:before="100" w:beforeAutospacing="1" w:after="100" w:afterAutospacing="1" w:line="240" w:lineRule="auto"/>
      <w:jc w:val="left"/>
    </w:pPr>
    <w:rPr>
      <w:rFonts w:ascii="Times New Roman" w:eastAsia="Times New Roman" w:hAnsi="Times New Roman" w:cs="Times New Roman"/>
      <w:lang w:eastAsia="en-GB"/>
    </w:rPr>
  </w:style>
  <w:style w:type="character" w:customStyle="1" w:styleId="list-label">
    <w:name w:val="list-label"/>
    <w:basedOn w:val="DefaultParagraphFont"/>
    <w:rsid w:val="00BB5DC1"/>
  </w:style>
  <w:style w:type="paragraph" w:styleId="NormalWeb">
    <w:name w:val="Normal (Web)"/>
    <w:basedOn w:val="Normal"/>
    <w:uiPriority w:val="99"/>
    <w:unhideWhenUsed/>
    <w:rsid w:val="00164066"/>
    <w:pPr>
      <w:spacing w:before="100" w:beforeAutospacing="1" w:after="100" w:afterAutospacing="1" w:line="240" w:lineRule="auto"/>
      <w:jc w:val="left"/>
    </w:pPr>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167640"/>
    <w:rPr>
      <w:color w:val="800080" w:themeColor="followedHyperlink"/>
      <w:u w:val="single"/>
    </w:rPr>
  </w:style>
  <w:style w:type="paragraph" w:styleId="FootnoteText">
    <w:name w:val="footnote text"/>
    <w:basedOn w:val="Normal"/>
    <w:link w:val="FootnoteTextChar"/>
    <w:uiPriority w:val="99"/>
    <w:semiHidden/>
    <w:unhideWhenUsed/>
    <w:rsid w:val="004D112F"/>
    <w:pPr>
      <w:spacing w:line="240" w:lineRule="auto"/>
    </w:pPr>
    <w:rPr>
      <w:rFonts w:cs="Mangal"/>
      <w:sz w:val="20"/>
      <w:szCs w:val="18"/>
    </w:rPr>
  </w:style>
  <w:style w:type="character" w:customStyle="1" w:styleId="FootnoteTextChar">
    <w:name w:val="Footnote Text Char"/>
    <w:basedOn w:val="DefaultParagraphFont"/>
    <w:link w:val="FootnoteText"/>
    <w:uiPriority w:val="99"/>
    <w:semiHidden/>
    <w:rsid w:val="004D112F"/>
    <w:rPr>
      <w:rFonts w:ascii="Calibri" w:hAnsi="Calibri" w:cs="Mangal"/>
      <w:kern w:val="0"/>
      <w:sz w:val="20"/>
      <w:szCs w:val="18"/>
      <w:lang w:val="en-GB"/>
      <w14:ligatures w14:val="none"/>
    </w:rPr>
  </w:style>
  <w:style w:type="character" w:styleId="FootnoteReference">
    <w:name w:val="footnote reference"/>
    <w:basedOn w:val="DefaultParagraphFont"/>
    <w:uiPriority w:val="99"/>
    <w:semiHidden/>
    <w:unhideWhenUsed/>
    <w:rsid w:val="004D112F"/>
    <w:rPr>
      <w:vertAlign w:val="superscript"/>
    </w:rPr>
  </w:style>
  <w:style w:type="paragraph" w:customStyle="1" w:styleId="p1">
    <w:name w:val="p1"/>
    <w:basedOn w:val="Normal"/>
    <w:rsid w:val="000B0CBB"/>
    <w:pPr>
      <w:spacing w:line="240" w:lineRule="auto"/>
      <w:jc w:val="left"/>
    </w:pPr>
    <w:rPr>
      <w:rFonts w:ascii="Helvetica" w:eastAsia="Times New Roman" w:hAnsi="Helvetica" w:cs="Times New Roman"/>
      <w:color w:val="141413"/>
      <w:sz w:val="15"/>
      <w:szCs w:val="15"/>
      <w:lang w:eastAsia="en-GB"/>
    </w:rPr>
  </w:style>
  <w:style w:type="character" w:customStyle="1" w:styleId="apple-converted-space">
    <w:name w:val="apple-converted-space"/>
    <w:basedOn w:val="DefaultParagraphFont"/>
    <w:rsid w:val="000B0CBB"/>
  </w:style>
  <w:style w:type="character" w:styleId="EndnoteReference">
    <w:name w:val="endnote reference"/>
    <w:basedOn w:val="DefaultParagraphFont"/>
    <w:uiPriority w:val="99"/>
    <w:semiHidden/>
    <w:unhideWhenUsed/>
    <w:rsid w:val="0009583E"/>
    <w:rPr>
      <w:vertAlign w:val="superscript"/>
    </w:rPr>
  </w:style>
  <w:style w:type="paragraph" w:styleId="Header">
    <w:name w:val="header"/>
    <w:basedOn w:val="Normal"/>
    <w:link w:val="HeaderChar"/>
    <w:uiPriority w:val="99"/>
    <w:unhideWhenUsed/>
    <w:rsid w:val="0020049B"/>
    <w:pPr>
      <w:tabs>
        <w:tab w:val="center" w:pos="4513"/>
        <w:tab w:val="right" w:pos="9026"/>
      </w:tabs>
      <w:spacing w:line="240" w:lineRule="auto"/>
    </w:pPr>
    <w:rPr>
      <w:rFonts w:cs="Mangal"/>
      <w:szCs w:val="21"/>
    </w:rPr>
  </w:style>
  <w:style w:type="character" w:customStyle="1" w:styleId="HeaderChar">
    <w:name w:val="Header Char"/>
    <w:basedOn w:val="DefaultParagraphFont"/>
    <w:link w:val="Header"/>
    <w:uiPriority w:val="99"/>
    <w:rsid w:val="0020049B"/>
    <w:rPr>
      <w:rFonts w:ascii="Calibri" w:hAnsi="Calibri" w:cs="Mangal"/>
      <w:kern w:val="0"/>
      <w:lang w:val="en-GB"/>
      <w14:ligatures w14:val="none"/>
    </w:rPr>
  </w:style>
  <w:style w:type="paragraph" w:styleId="Footer">
    <w:name w:val="footer"/>
    <w:basedOn w:val="Normal"/>
    <w:link w:val="FooterChar"/>
    <w:uiPriority w:val="99"/>
    <w:unhideWhenUsed/>
    <w:rsid w:val="0020049B"/>
    <w:pPr>
      <w:tabs>
        <w:tab w:val="center" w:pos="4513"/>
        <w:tab w:val="right" w:pos="9026"/>
      </w:tabs>
      <w:spacing w:line="240" w:lineRule="auto"/>
    </w:pPr>
    <w:rPr>
      <w:rFonts w:cs="Mangal"/>
      <w:szCs w:val="21"/>
    </w:rPr>
  </w:style>
  <w:style w:type="character" w:customStyle="1" w:styleId="FooterChar">
    <w:name w:val="Footer Char"/>
    <w:basedOn w:val="DefaultParagraphFont"/>
    <w:link w:val="Footer"/>
    <w:uiPriority w:val="99"/>
    <w:rsid w:val="0020049B"/>
    <w:rPr>
      <w:rFonts w:ascii="Calibri" w:hAnsi="Calibri" w:cs="Mangal"/>
      <w:kern w:val="0"/>
      <w:lang w:val="en-GB"/>
      <w14:ligatures w14:val="none"/>
    </w:rPr>
  </w:style>
  <w:style w:type="character" w:customStyle="1" w:styleId="uv3um">
    <w:name w:val="uv3um"/>
    <w:basedOn w:val="DefaultParagraphFont"/>
    <w:rsid w:val="00736214"/>
  </w:style>
  <w:style w:type="paragraph" w:customStyle="1" w:styleId="text-center">
    <w:name w:val="text-center"/>
    <w:basedOn w:val="Normal"/>
    <w:rsid w:val="00AF045E"/>
    <w:pPr>
      <w:spacing w:before="100" w:beforeAutospacing="1" w:after="100" w:afterAutospacing="1" w:line="240" w:lineRule="auto"/>
      <w:jc w:val="left"/>
    </w:pPr>
    <w:rPr>
      <w:rFonts w:ascii="Times New Roman" w:eastAsia="Times New Roman" w:hAnsi="Times New Roman" w:cs="Times New Roman"/>
      <w:lang w:eastAsia="en-GB"/>
    </w:rPr>
  </w:style>
  <w:style w:type="paragraph" w:customStyle="1" w:styleId="my-2">
    <w:name w:val="my-2"/>
    <w:basedOn w:val="Normal"/>
    <w:rsid w:val="00947BCE"/>
    <w:pPr>
      <w:spacing w:before="100" w:beforeAutospacing="1" w:after="100" w:afterAutospacing="1" w:line="240" w:lineRule="auto"/>
      <w:jc w:val="left"/>
    </w:pPr>
    <w:rPr>
      <w:rFonts w:ascii="Times New Roman" w:eastAsia="Times New Roman" w:hAnsi="Times New Roman" w:cs="Times New Roman"/>
      <w:lang w:eastAsia="en-GB"/>
    </w:rPr>
  </w:style>
  <w:style w:type="character" w:customStyle="1" w:styleId="font-semibold">
    <w:name w:val="font-semibold"/>
    <w:basedOn w:val="DefaultParagraphFont"/>
    <w:rsid w:val="00AB0D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4199">
      <w:bodyDiv w:val="1"/>
      <w:marLeft w:val="0"/>
      <w:marRight w:val="0"/>
      <w:marTop w:val="0"/>
      <w:marBottom w:val="0"/>
      <w:divBdr>
        <w:top w:val="none" w:sz="0" w:space="0" w:color="auto"/>
        <w:left w:val="none" w:sz="0" w:space="0" w:color="auto"/>
        <w:bottom w:val="none" w:sz="0" w:space="0" w:color="auto"/>
        <w:right w:val="none" w:sz="0" w:space="0" w:color="auto"/>
      </w:divBdr>
    </w:div>
    <w:div w:id="6710861">
      <w:bodyDiv w:val="1"/>
      <w:marLeft w:val="0"/>
      <w:marRight w:val="0"/>
      <w:marTop w:val="0"/>
      <w:marBottom w:val="0"/>
      <w:divBdr>
        <w:top w:val="none" w:sz="0" w:space="0" w:color="auto"/>
        <w:left w:val="none" w:sz="0" w:space="0" w:color="auto"/>
        <w:bottom w:val="none" w:sz="0" w:space="0" w:color="auto"/>
        <w:right w:val="none" w:sz="0" w:space="0" w:color="auto"/>
      </w:divBdr>
    </w:div>
    <w:div w:id="208421136">
      <w:bodyDiv w:val="1"/>
      <w:marLeft w:val="0"/>
      <w:marRight w:val="0"/>
      <w:marTop w:val="0"/>
      <w:marBottom w:val="0"/>
      <w:divBdr>
        <w:top w:val="none" w:sz="0" w:space="0" w:color="auto"/>
        <w:left w:val="none" w:sz="0" w:space="0" w:color="auto"/>
        <w:bottom w:val="none" w:sz="0" w:space="0" w:color="auto"/>
        <w:right w:val="none" w:sz="0" w:space="0" w:color="auto"/>
      </w:divBdr>
    </w:div>
    <w:div w:id="220016860">
      <w:bodyDiv w:val="1"/>
      <w:marLeft w:val="0"/>
      <w:marRight w:val="0"/>
      <w:marTop w:val="0"/>
      <w:marBottom w:val="0"/>
      <w:divBdr>
        <w:top w:val="none" w:sz="0" w:space="0" w:color="auto"/>
        <w:left w:val="none" w:sz="0" w:space="0" w:color="auto"/>
        <w:bottom w:val="none" w:sz="0" w:space="0" w:color="auto"/>
        <w:right w:val="none" w:sz="0" w:space="0" w:color="auto"/>
      </w:divBdr>
    </w:div>
    <w:div w:id="263460283">
      <w:bodyDiv w:val="1"/>
      <w:marLeft w:val="0"/>
      <w:marRight w:val="0"/>
      <w:marTop w:val="0"/>
      <w:marBottom w:val="0"/>
      <w:divBdr>
        <w:top w:val="none" w:sz="0" w:space="0" w:color="auto"/>
        <w:left w:val="none" w:sz="0" w:space="0" w:color="auto"/>
        <w:bottom w:val="none" w:sz="0" w:space="0" w:color="auto"/>
        <w:right w:val="none" w:sz="0" w:space="0" w:color="auto"/>
      </w:divBdr>
    </w:div>
    <w:div w:id="290479899">
      <w:bodyDiv w:val="1"/>
      <w:marLeft w:val="0"/>
      <w:marRight w:val="0"/>
      <w:marTop w:val="0"/>
      <w:marBottom w:val="0"/>
      <w:divBdr>
        <w:top w:val="none" w:sz="0" w:space="0" w:color="auto"/>
        <w:left w:val="none" w:sz="0" w:space="0" w:color="auto"/>
        <w:bottom w:val="none" w:sz="0" w:space="0" w:color="auto"/>
        <w:right w:val="none" w:sz="0" w:space="0" w:color="auto"/>
      </w:divBdr>
    </w:div>
    <w:div w:id="309864873">
      <w:bodyDiv w:val="1"/>
      <w:marLeft w:val="0"/>
      <w:marRight w:val="0"/>
      <w:marTop w:val="0"/>
      <w:marBottom w:val="0"/>
      <w:divBdr>
        <w:top w:val="none" w:sz="0" w:space="0" w:color="auto"/>
        <w:left w:val="none" w:sz="0" w:space="0" w:color="auto"/>
        <w:bottom w:val="none" w:sz="0" w:space="0" w:color="auto"/>
        <w:right w:val="none" w:sz="0" w:space="0" w:color="auto"/>
      </w:divBdr>
    </w:div>
    <w:div w:id="317081119">
      <w:bodyDiv w:val="1"/>
      <w:marLeft w:val="0"/>
      <w:marRight w:val="0"/>
      <w:marTop w:val="0"/>
      <w:marBottom w:val="0"/>
      <w:divBdr>
        <w:top w:val="none" w:sz="0" w:space="0" w:color="auto"/>
        <w:left w:val="none" w:sz="0" w:space="0" w:color="auto"/>
        <w:bottom w:val="none" w:sz="0" w:space="0" w:color="auto"/>
        <w:right w:val="none" w:sz="0" w:space="0" w:color="auto"/>
      </w:divBdr>
    </w:div>
    <w:div w:id="375815871">
      <w:bodyDiv w:val="1"/>
      <w:marLeft w:val="0"/>
      <w:marRight w:val="0"/>
      <w:marTop w:val="0"/>
      <w:marBottom w:val="0"/>
      <w:divBdr>
        <w:top w:val="none" w:sz="0" w:space="0" w:color="auto"/>
        <w:left w:val="none" w:sz="0" w:space="0" w:color="auto"/>
        <w:bottom w:val="none" w:sz="0" w:space="0" w:color="auto"/>
        <w:right w:val="none" w:sz="0" w:space="0" w:color="auto"/>
      </w:divBdr>
    </w:div>
    <w:div w:id="452293060">
      <w:bodyDiv w:val="1"/>
      <w:marLeft w:val="0"/>
      <w:marRight w:val="0"/>
      <w:marTop w:val="0"/>
      <w:marBottom w:val="0"/>
      <w:divBdr>
        <w:top w:val="none" w:sz="0" w:space="0" w:color="auto"/>
        <w:left w:val="none" w:sz="0" w:space="0" w:color="auto"/>
        <w:bottom w:val="none" w:sz="0" w:space="0" w:color="auto"/>
        <w:right w:val="none" w:sz="0" w:space="0" w:color="auto"/>
      </w:divBdr>
    </w:div>
    <w:div w:id="517349931">
      <w:bodyDiv w:val="1"/>
      <w:marLeft w:val="0"/>
      <w:marRight w:val="0"/>
      <w:marTop w:val="0"/>
      <w:marBottom w:val="0"/>
      <w:divBdr>
        <w:top w:val="none" w:sz="0" w:space="0" w:color="auto"/>
        <w:left w:val="none" w:sz="0" w:space="0" w:color="auto"/>
        <w:bottom w:val="none" w:sz="0" w:space="0" w:color="auto"/>
        <w:right w:val="none" w:sz="0" w:space="0" w:color="auto"/>
      </w:divBdr>
      <w:divsChild>
        <w:div w:id="931743192">
          <w:marLeft w:val="0"/>
          <w:marRight w:val="0"/>
          <w:marTop w:val="0"/>
          <w:marBottom w:val="0"/>
          <w:divBdr>
            <w:top w:val="none" w:sz="0" w:space="0" w:color="auto"/>
            <w:left w:val="none" w:sz="0" w:space="0" w:color="auto"/>
            <w:bottom w:val="none" w:sz="0" w:space="0" w:color="auto"/>
            <w:right w:val="none" w:sz="0" w:space="0" w:color="auto"/>
          </w:divBdr>
          <w:divsChild>
            <w:div w:id="527372157">
              <w:marLeft w:val="0"/>
              <w:marRight w:val="0"/>
              <w:marTop w:val="0"/>
              <w:marBottom w:val="0"/>
              <w:divBdr>
                <w:top w:val="none" w:sz="0" w:space="0" w:color="auto"/>
                <w:left w:val="none" w:sz="0" w:space="0" w:color="auto"/>
                <w:bottom w:val="none" w:sz="0" w:space="0" w:color="auto"/>
                <w:right w:val="none" w:sz="0" w:space="0" w:color="auto"/>
              </w:divBdr>
              <w:divsChild>
                <w:div w:id="277223303">
                  <w:marLeft w:val="0"/>
                  <w:marRight w:val="0"/>
                  <w:marTop w:val="0"/>
                  <w:marBottom w:val="0"/>
                  <w:divBdr>
                    <w:top w:val="none" w:sz="0" w:space="0" w:color="auto"/>
                    <w:left w:val="none" w:sz="0" w:space="0" w:color="auto"/>
                    <w:bottom w:val="none" w:sz="0" w:space="0" w:color="auto"/>
                    <w:right w:val="none" w:sz="0" w:space="0" w:color="auto"/>
                  </w:divBdr>
                  <w:divsChild>
                    <w:div w:id="744650958">
                      <w:marLeft w:val="0"/>
                      <w:marRight w:val="0"/>
                      <w:marTop w:val="0"/>
                      <w:marBottom w:val="0"/>
                      <w:divBdr>
                        <w:top w:val="none" w:sz="0" w:space="0" w:color="auto"/>
                        <w:left w:val="none" w:sz="0" w:space="0" w:color="auto"/>
                        <w:bottom w:val="none" w:sz="0" w:space="0" w:color="auto"/>
                        <w:right w:val="none" w:sz="0" w:space="0" w:color="auto"/>
                      </w:divBdr>
                      <w:divsChild>
                        <w:div w:id="1312557818">
                          <w:marLeft w:val="0"/>
                          <w:marRight w:val="0"/>
                          <w:marTop w:val="0"/>
                          <w:marBottom w:val="0"/>
                          <w:divBdr>
                            <w:top w:val="none" w:sz="0" w:space="0" w:color="auto"/>
                            <w:left w:val="none" w:sz="0" w:space="0" w:color="auto"/>
                            <w:bottom w:val="none" w:sz="0" w:space="0" w:color="auto"/>
                            <w:right w:val="none" w:sz="0" w:space="0" w:color="auto"/>
                          </w:divBdr>
                          <w:divsChild>
                            <w:div w:id="1403529674">
                              <w:marLeft w:val="0"/>
                              <w:marRight w:val="0"/>
                              <w:marTop w:val="0"/>
                              <w:marBottom w:val="0"/>
                              <w:divBdr>
                                <w:top w:val="none" w:sz="0" w:space="0" w:color="auto"/>
                                <w:left w:val="none" w:sz="0" w:space="0" w:color="auto"/>
                                <w:bottom w:val="none" w:sz="0" w:space="0" w:color="auto"/>
                                <w:right w:val="none" w:sz="0" w:space="0" w:color="auto"/>
                              </w:divBdr>
                              <w:divsChild>
                                <w:div w:id="1673949638">
                                  <w:marLeft w:val="0"/>
                                  <w:marRight w:val="0"/>
                                  <w:marTop w:val="0"/>
                                  <w:marBottom w:val="0"/>
                                  <w:divBdr>
                                    <w:top w:val="none" w:sz="0" w:space="0" w:color="auto"/>
                                    <w:left w:val="none" w:sz="0" w:space="0" w:color="auto"/>
                                    <w:bottom w:val="none" w:sz="0" w:space="0" w:color="auto"/>
                                    <w:right w:val="none" w:sz="0" w:space="0" w:color="auto"/>
                                  </w:divBdr>
                                  <w:divsChild>
                                    <w:div w:id="195756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5434422">
      <w:bodyDiv w:val="1"/>
      <w:marLeft w:val="0"/>
      <w:marRight w:val="0"/>
      <w:marTop w:val="0"/>
      <w:marBottom w:val="0"/>
      <w:divBdr>
        <w:top w:val="none" w:sz="0" w:space="0" w:color="auto"/>
        <w:left w:val="none" w:sz="0" w:space="0" w:color="auto"/>
        <w:bottom w:val="none" w:sz="0" w:space="0" w:color="auto"/>
        <w:right w:val="none" w:sz="0" w:space="0" w:color="auto"/>
      </w:divBdr>
    </w:div>
    <w:div w:id="587809781">
      <w:bodyDiv w:val="1"/>
      <w:marLeft w:val="0"/>
      <w:marRight w:val="0"/>
      <w:marTop w:val="0"/>
      <w:marBottom w:val="0"/>
      <w:divBdr>
        <w:top w:val="none" w:sz="0" w:space="0" w:color="auto"/>
        <w:left w:val="none" w:sz="0" w:space="0" w:color="auto"/>
        <w:bottom w:val="none" w:sz="0" w:space="0" w:color="auto"/>
        <w:right w:val="none" w:sz="0" w:space="0" w:color="auto"/>
      </w:divBdr>
      <w:divsChild>
        <w:div w:id="58094551">
          <w:marLeft w:val="0"/>
          <w:marRight w:val="0"/>
          <w:marTop w:val="0"/>
          <w:marBottom w:val="0"/>
          <w:divBdr>
            <w:top w:val="none" w:sz="0" w:space="0" w:color="auto"/>
            <w:left w:val="none" w:sz="0" w:space="0" w:color="auto"/>
            <w:bottom w:val="none" w:sz="0" w:space="0" w:color="auto"/>
            <w:right w:val="none" w:sz="0" w:space="0" w:color="auto"/>
          </w:divBdr>
          <w:divsChild>
            <w:div w:id="1222327781">
              <w:marLeft w:val="0"/>
              <w:marRight w:val="0"/>
              <w:marTop w:val="0"/>
              <w:marBottom w:val="0"/>
              <w:divBdr>
                <w:top w:val="none" w:sz="0" w:space="0" w:color="auto"/>
                <w:left w:val="none" w:sz="0" w:space="0" w:color="auto"/>
                <w:bottom w:val="none" w:sz="0" w:space="0" w:color="auto"/>
                <w:right w:val="none" w:sz="0" w:space="0" w:color="auto"/>
              </w:divBdr>
              <w:divsChild>
                <w:div w:id="19784160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6740684">
          <w:marLeft w:val="0"/>
          <w:marRight w:val="0"/>
          <w:marTop w:val="0"/>
          <w:marBottom w:val="0"/>
          <w:divBdr>
            <w:top w:val="none" w:sz="0" w:space="0" w:color="auto"/>
            <w:left w:val="none" w:sz="0" w:space="0" w:color="auto"/>
            <w:bottom w:val="none" w:sz="0" w:space="0" w:color="auto"/>
            <w:right w:val="none" w:sz="0" w:space="0" w:color="auto"/>
          </w:divBdr>
          <w:divsChild>
            <w:div w:id="91647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421862">
      <w:bodyDiv w:val="1"/>
      <w:marLeft w:val="0"/>
      <w:marRight w:val="0"/>
      <w:marTop w:val="0"/>
      <w:marBottom w:val="0"/>
      <w:divBdr>
        <w:top w:val="none" w:sz="0" w:space="0" w:color="auto"/>
        <w:left w:val="none" w:sz="0" w:space="0" w:color="auto"/>
        <w:bottom w:val="none" w:sz="0" w:space="0" w:color="auto"/>
        <w:right w:val="none" w:sz="0" w:space="0" w:color="auto"/>
      </w:divBdr>
      <w:divsChild>
        <w:div w:id="1991514746">
          <w:marLeft w:val="547"/>
          <w:marRight w:val="0"/>
          <w:marTop w:val="0"/>
          <w:marBottom w:val="0"/>
          <w:divBdr>
            <w:top w:val="none" w:sz="0" w:space="0" w:color="auto"/>
            <w:left w:val="none" w:sz="0" w:space="0" w:color="auto"/>
            <w:bottom w:val="none" w:sz="0" w:space="0" w:color="auto"/>
            <w:right w:val="none" w:sz="0" w:space="0" w:color="auto"/>
          </w:divBdr>
        </w:div>
        <w:div w:id="597522641">
          <w:marLeft w:val="547"/>
          <w:marRight w:val="0"/>
          <w:marTop w:val="0"/>
          <w:marBottom w:val="0"/>
          <w:divBdr>
            <w:top w:val="none" w:sz="0" w:space="0" w:color="auto"/>
            <w:left w:val="none" w:sz="0" w:space="0" w:color="auto"/>
            <w:bottom w:val="none" w:sz="0" w:space="0" w:color="auto"/>
            <w:right w:val="none" w:sz="0" w:space="0" w:color="auto"/>
          </w:divBdr>
        </w:div>
        <w:div w:id="7759560">
          <w:marLeft w:val="547"/>
          <w:marRight w:val="0"/>
          <w:marTop w:val="0"/>
          <w:marBottom w:val="0"/>
          <w:divBdr>
            <w:top w:val="none" w:sz="0" w:space="0" w:color="auto"/>
            <w:left w:val="none" w:sz="0" w:space="0" w:color="auto"/>
            <w:bottom w:val="none" w:sz="0" w:space="0" w:color="auto"/>
            <w:right w:val="none" w:sz="0" w:space="0" w:color="auto"/>
          </w:divBdr>
        </w:div>
        <w:div w:id="659624871">
          <w:marLeft w:val="547"/>
          <w:marRight w:val="0"/>
          <w:marTop w:val="0"/>
          <w:marBottom w:val="0"/>
          <w:divBdr>
            <w:top w:val="none" w:sz="0" w:space="0" w:color="auto"/>
            <w:left w:val="none" w:sz="0" w:space="0" w:color="auto"/>
            <w:bottom w:val="none" w:sz="0" w:space="0" w:color="auto"/>
            <w:right w:val="none" w:sz="0" w:space="0" w:color="auto"/>
          </w:divBdr>
        </w:div>
        <w:div w:id="230504092">
          <w:marLeft w:val="547"/>
          <w:marRight w:val="0"/>
          <w:marTop w:val="0"/>
          <w:marBottom w:val="0"/>
          <w:divBdr>
            <w:top w:val="none" w:sz="0" w:space="0" w:color="auto"/>
            <w:left w:val="none" w:sz="0" w:space="0" w:color="auto"/>
            <w:bottom w:val="none" w:sz="0" w:space="0" w:color="auto"/>
            <w:right w:val="none" w:sz="0" w:space="0" w:color="auto"/>
          </w:divBdr>
        </w:div>
        <w:div w:id="1210191020">
          <w:marLeft w:val="547"/>
          <w:marRight w:val="0"/>
          <w:marTop w:val="0"/>
          <w:marBottom w:val="0"/>
          <w:divBdr>
            <w:top w:val="none" w:sz="0" w:space="0" w:color="auto"/>
            <w:left w:val="none" w:sz="0" w:space="0" w:color="auto"/>
            <w:bottom w:val="none" w:sz="0" w:space="0" w:color="auto"/>
            <w:right w:val="none" w:sz="0" w:space="0" w:color="auto"/>
          </w:divBdr>
        </w:div>
      </w:divsChild>
    </w:div>
    <w:div w:id="734162569">
      <w:bodyDiv w:val="1"/>
      <w:marLeft w:val="0"/>
      <w:marRight w:val="0"/>
      <w:marTop w:val="0"/>
      <w:marBottom w:val="0"/>
      <w:divBdr>
        <w:top w:val="none" w:sz="0" w:space="0" w:color="auto"/>
        <w:left w:val="none" w:sz="0" w:space="0" w:color="auto"/>
        <w:bottom w:val="none" w:sz="0" w:space="0" w:color="auto"/>
        <w:right w:val="none" w:sz="0" w:space="0" w:color="auto"/>
      </w:divBdr>
    </w:div>
    <w:div w:id="924724517">
      <w:bodyDiv w:val="1"/>
      <w:marLeft w:val="0"/>
      <w:marRight w:val="0"/>
      <w:marTop w:val="0"/>
      <w:marBottom w:val="0"/>
      <w:divBdr>
        <w:top w:val="none" w:sz="0" w:space="0" w:color="auto"/>
        <w:left w:val="none" w:sz="0" w:space="0" w:color="auto"/>
        <w:bottom w:val="none" w:sz="0" w:space="0" w:color="auto"/>
        <w:right w:val="none" w:sz="0" w:space="0" w:color="auto"/>
      </w:divBdr>
    </w:div>
    <w:div w:id="933977816">
      <w:bodyDiv w:val="1"/>
      <w:marLeft w:val="0"/>
      <w:marRight w:val="0"/>
      <w:marTop w:val="0"/>
      <w:marBottom w:val="0"/>
      <w:divBdr>
        <w:top w:val="none" w:sz="0" w:space="0" w:color="auto"/>
        <w:left w:val="none" w:sz="0" w:space="0" w:color="auto"/>
        <w:bottom w:val="none" w:sz="0" w:space="0" w:color="auto"/>
        <w:right w:val="none" w:sz="0" w:space="0" w:color="auto"/>
      </w:divBdr>
    </w:div>
    <w:div w:id="1007712962">
      <w:bodyDiv w:val="1"/>
      <w:marLeft w:val="0"/>
      <w:marRight w:val="0"/>
      <w:marTop w:val="0"/>
      <w:marBottom w:val="0"/>
      <w:divBdr>
        <w:top w:val="none" w:sz="0" w:space="0" w:color="auto"/>
        <w:left w:val="none" w:sz="0" w:space="0" w:color="auto"/>
        <w:bottom w:val="none" w:sz="0" w:space="0" w:color="auto"/>
        <w:right w:val="none" w:sz="0" w:space="0" w:color="auto"/>
      </w:divBdr>
    </w:div>
    <w:div w:id="1007908286">
      <w:bodyDiv w:val="1"/>
      <w:marLeft w:val="0"/>
      <w:marRight w:val="0"/>
      <w:marTop w:val="0"/>
      <w:marBottom w:val="0"/>
      <w:divBdr>
        <w:top w:val="none" w:sz="0" w:space="0" w:color="auto"/>
        <w:left w:val="none" w:sz="0" w:space="0" w:color="auto"/>
        <w:bottom w:val="none" w:sz="0" w:space="0" w:color="auto"/>
        <w:right w:val="none" w:sz="0" w:space="0" w:color="auto"/>
      </w:divBdr>
    </w:div>
    <w:div w:id="1030954617">
      <w:bodyDiv w:val="1"/>
      <w:marLeft w:val="0"/>
      <w:marRight w:val="0"/>
      <w:marTop w:val="0"/>
      <w:marBottom w:val="0"/>
      <w:divBdr>
        <w:top w:val="none" w:sz="0" w:space="0" w:color="auto"/>
        <w:left w:val="none" w:sz="0" w:space="0" w:color="auto"/>
        <w:bottom w:val="none" w:sz="0" w:space="0" w:color="auto"/>
        <w:right w:val="none" w:sz="0" w:space="0" w:color="auto"/>
      </w:divBdr>
    </w:div>
    <w:div w:id="1042560133">
      <w:bodyDiv w:val="1"/>
      <w:marLeft w:val="0"/>
      <w:marRight w:val="0"/>
      <w:marTop w:val="0"/>
      <w:marBottom w:val="0"/>
      <w:divBdr>
        <w:top w:val="none" w:sz="0" w:space="0" w:color="auto"/>
        <w:left w:val="none" w:sz="0" w:space="0" w:color="auto"/>
        <w:bottom w:val="none" w:sz="0" w:space="0" w:color="auto"/>
        <w:right w:val="none" w:sz="0" w:space="0" w:color="auto"/>
      </w:divBdr>
    </w:div>
    <w:div w:id="1128860101">
      <w:bodyDiv w:val="1"/>
      <w:marLeft w:val="0"/>
      <w:marRight w:val="0"/>
      <w:marTop w:val="0"/>
      <w:marBottom w:val="0"/>
      <w:divBdr>
        <w:top w:val="none" w:sz="0" w:space="0" w:color="auto"/>
        <w:left w:val="none" w:sz="0" w:space="0" w:color="auto"/>
        <w:bottom w:val="none" w:sz="0" w:space="0" w:color="auto"/>
        <w:right w:val="none" w:sz="0" w:space="0" w:color="auto"/>
      </w:divBdr>
    </w:div>
    <w:div w:id="1152020587">
      <w:bodyDiv w:val="1"/>
      <w:marLeft w:val="0"/>
      <w:marRight w:val="0"/>
      <w:marTop w:val="0"/>
      <w:marBottom w:val="0"/>
      <w:divBdr>
        <w:top w:val="none" w:sz="0" w:space="0" w:color="auto"/>
        <w:left w:val="none" w:sz="0" w:space="0" w:color="auto"/>
        <w:bottom w:val="none" w:sz="0" w:space="0" w:color="auto"/>
        <w:right w:val="none" w:sz="0" w:space="0" w:color="auto"/>
      </w:divBdr>
    </w:div>
    <w:div w:id="1182166797">
      <w:bodyDiv w:val="1"/>
      <w:marLeft w:val="0"/>
      <w:marRight w:val="0"/>
      <w:marTop w:val="0"/>
      <w:marBottom w:val="0"/>
      <w:divBdr>
        <w:top w:val="none" w:sz="0" w:space="0" w:color="auto"/>
        <w:left w:val="none" w:sz="0" w:space="0" w:color="auto"/>
        <w:bottom w:val="none" w:sz="0" w:space="0" w:color="auto"/>
        <w:right w:val="none" w:sz="0" w:space="0" w:color="auto"/>
      </w:divBdr>
    </w:div>
    <w:div w:id="1510874833">
      <w:bodyDiv w:val="1"/>
      <w:marLeft w:val="0"/>
      <w:marRight w:val="0"/>
      <w:marTop w:val="0"/>
      <w:marBottom w:val="0"/>
      <w:divBdr>
        <w:top w:val="none" w:sz="0" w:space="0" w:color="auto"/>
        <w:left w:val="none" w:sz="0" w:space="0" w:color="auto"/>
        <w:bottom w:val="none" w:sz="0" w:space="0" w:color="auto"/>
        <w:right w:val="none" w:sz="0" w:space="0" w:color="auto"/>
      </w:divBdr>
    </w:div>
    <w:div w:id="1516001114">
      <w:bodyDiv w:val="1"/>
      <w:marLeft w:val="0"/>
      <w:marRight w:val="0"/>
      <w:marTop w:val="0"/>
      <w:marBottom w:val="0"/>
      <w:divBdr>
        <w:top w:val="none" w:sz="0" w:space="0" w:color="auto"/>
        <w:left w:val="none" w:sz="0" w:space="0" w:color="auto"/>
        <w:bottom w:val="none" w:sz="0" w:space="0" w:color="auto"/>
        <w:right w:val="none" w:sz="0" w:space="0" w:color="auto"/>
      </w:divBdr>
    </w:div>
    <w:div w:id="1579709207">
      <w:bodyDiv w:val="1"/>
      <w:marLeft w:val="0"/>
      <w:marRight w:val="0"/>
      <w:marTop w:val="0"/>
      <w:marBottom w:val="0"/>
      <w:divBdr>
        <w:top w:val="none" w:sz="0" w:space="0" w:color="auto"/>
        <w:left w:val="none" w:sz="0" w:space="0" w:color="auto"/>
        <w:bottom w:val="none" w:sz="0" w:space="0" w:color="auto"/>
        <w:right w:val="none" w:sz="0" w:space="0" w:color="auto"/>
      </w:divBdr>
    </w:div>
    <w:div w:id="1591356769">
      <w:bodyDiv w:val="1"/>
      <w:marLeft w:val="0"/>
      <w:marRight w:val="0"/>
      <w:marTop w:val="0"/>
      <w:marBottom w:val="0"/>
      <w:divBdr>
        <w:top w:val="none" w:sz="0" w:space="0" w:color="auto"/>
        <w:left w:val="none" w:sz="0" w:space="0" w:color="auto"/>
        <w:bottom w:val="none" w:sz="0" w:space="0" w:color="auto"/>
        <w:right w:val="none" w:sz="0" w:space="0" w:color="auto"/>
      </w:divBdr>
    </w:div>
    <w:div w:id="1645112446">
      <w:bodyDiv w:val="1"/>
      <w:marLeft w:val="0"/>
      <w:marRight w:val="0"/>
      <w:marTop w:val="0"/>
      <w:marBottom w:val="0"/>
      <w:divBdr>
        <w:top w:val="none" w:sz="0" w:space="0" w:color="auto"/>
        <w:left w:val="none" w:sz="0" w:space="0" w:color="auto"/>
        <w:bottom w:val="none" w:sz="0" w:space="0" w:color="auto"/>
        <w:right w:val="none" w:sz="0" w:space="0" w:color="auto"/>
      </w:divBdr>
    </w:div>
    <w:div w:id="1768689426">
      <w:bodyDiv w:val="1"/>
      <w:marLeft w:val="0"/>
      <w:marRight w:val="0"/>
      <w:marTop w:val="0"/>
      <w:marBottom w:val="0"/>
      <w:divBdr>
        <w:top w:val="none" w:sz="0" w:space="0" w:color="auto"/>
        <w:left w:val="none" w:sz="0" w:space="0" w:color="auto"/>
        <w:bottom w:val="none" w:sz="0" w:space="0" w:color="auto"/>
        <w:right w:val="none" w:sz="0" w:space="0" w:color="auto"/>
      </w:divBdr>
      <w:divsChild>
        <w:div w:id="463474231">
          <w:marLeft w:val="0"/>
          <w:marRight w:val="0"/>
          <w:marTop w:val="0"/>
          <w:marBottom w:val="240"/>
          <w:divBdr>
            <w:top w:val="none" w:sz="0" w:space="0" w:color="auto"/>
            <w:left w:val="none" w:sz="0" w:space="0" w:color="auto"/>
            <w:bottom w:val="none" w:sz="0" w:space="0" w:color="auto"/>
            <w:right w:val="none" w:sz="0" w:space="0" w:color="auto"/>
          </w:divBdr>
        </w:div>
      </w:divsChild>
    </w:div>
    <w:div w:id="1811172043">
      <w:bodyDiv w:val="1"/>
      <w:marLeft w:val="0"/>
      <w:marRight w:val="0"/>
      <w:marTop w:val="0"/>
      <w:marBottom w:val="0"/>
      <w:divBdr>
        <w:top w:val="none" w:sz="0" w:space="0" w:color="auto"/>
        <w:left w:val="none" w:sz="0" w:space="0" w:color="auto"/>
        <w:bottom w:val="none" w:sz="0" w:space="0" w:color="auto"/>
        <w:right w:val="none" w:sz="0" w:space="0" w:color="auto"/>
      </w:divBdr>
    </w:div>
    <w:div w:id="1844783991">
      <w:bodyDiv w:val="1"/>
      <w:marLeft w:val="0"/>
      <w:marRight w:val="0"/>
      <w:marTop w:val="0"/>
      <w:marBottom w:val="0"/>
      <w:divBdr>
        <w:top w:val="none" w:sz="0" w:space="0" w:color="auto"/>
        <w:left w:val="none" w:sz="0" w:space="0" w:color="auto"/>
        <w:bottom w:val="none" w:sz="0" w:space="0" w:color="auto"/>
        <w:right w:val="none" w:sz="0" w:space="0" w:color="auto"/>
      </w:divBdr>
    </w:div>
    <w:div w:id="1864587392">
      <w:bodyDiv w:val="1"/>
      <w:marLeft w:val="0"/>
      <w:marRight w:val="0"/>
      <w:marTop w:val="0"/>
      <w:marBottom w:val="0"/>
      <w:divBdr>
        <w:top w:val="none" w:sz="0" w:space="0" w:color="auto"/>
        <w:left w:val="none" w:sz="0" w:space="0" w:color="auto"/>
        <w:bottom w:val="none" w:sz="0" w:space="0" w:color="auto"/>
        <w:right w:val="none" w:sz="0" w:space="0" w:color="auto"/>
      </w:divBdr>
    </w:div>
    <w:div w:id="1881701779">
      <w:bodyDiv w:val="1"/>
      <w:marLeft w:val="0"/>
      <w:marRight w:val="0"/>
      <w:marTop w:val="0"/>
      <w:marBottom w:val="0"/>
      <w:divBdr>
        <w:top w:val="none" w:sz="0" w:space="0" w:color="auto"/>
        <w:left w:val="none" w:sz="0" w:space="0" w:color="auto"/>
        <w:bottom w:val="none" w:sz="0" w:space="0" w:color="auto"/>
        <w:right w:val="none" w:sz="0" w:space="0" w:color="auto"/>
      </w:divBdr>
    </w:div>
    <w:div w:id="1930767046">
      <w:bodyDiv w:val="1"/>
      <w:marLeft w:val="0"/>
      <w:marRight w:val="0"/>
      <w:marTop w:val="0"/>
      <w:marBottom w:val="0"/>
      <w:divBdr>
        <w:top w:val="none" w:sz="0" w:space="0" w:color="auto"/>
        <w:left w:val="none" w:sz="0" w:space="0" w:color="auto"/>
        <w:bottom w:val="none" w:sz="0" w:space="0" w:color="auto"/>
        <w:right w:val="none" w:sz="0" w:space="0" w:color="auto"/>
      </w:divBdr>
    </w:div>
    <w:div w:id="2018462465">
      <w:bodyDiv w:val="1"/>
      <w:marLeft w:val="0"/>
      <w:marRight w:val="0"/>
      <w:marTop w:val="0"/>
      <w:marBottom w:val="0"/>
      <w:divBdr>
        <w:top w:val="none" w:sz="0" w:space="0" w:color="auto"/>
        <w:left w:val="none" w:sz="0" w:space="0" w:color="auto"/>
        <w:bottom w:val="none" w:sz="0" w:space="0" w:color="auto"/>
        <w:right w:val="none" w:sz="0" w:space="0" w:color="auto"/>
      </w:divBdr>
    </w:div>
    <w:div w:id="2039155085">
      <w:bodyDiv w:val="1"/>
      <w:marLeft w:val="0"/>
      <w:marRight w:val="0"/>
      <w:marTop w:val="0"/>
      <w:marBottom w:val="0"/>
      <w:divBdr>
        <w:top w:val="none" w:sz="0" w:space="0" w:color="auto"/>
        <w:left w:val="none" w:sz="0" w:space="0" w:color="auto"/>
        <w:bottom w:val="none" w:sz="0" w:space="0" w:color="auto"/>
        <w:right w:val="none" w:sz="0" w:space="0" w:color="auto"/>
      </w:divBdr>
    </w:div>
    <w:div w:id="2074888003">
      <w:bodyDiv w:val="1"/>
      <w:marLeft w:val="0"/>
      <w:marRight w:val="0"/>
      <w:marTop w:val="0"/>
      <w:marBottom w:val="0"/>
      <w:divBdr>
        <w:top w:val="none" w:sz="0" w:space="0" w:color="auto"/>
        <w:left w:val="none" w:sz="0" w:space="0" w:color="auto"/>
        <w:bottom w:val="none" w:sz="0" w:space="0" w:color="auto"/>
        <w:right w:val="none" w:sz="0" w:space="0" w:color="auto"/>
      </w:divBdr>
    </w:div>
    <w:div w:id="2077899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A28F1A-DEB1-6B4E-875A-CF9ABCB53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34</Pages>
  <Words>69826</Words>
  <Characters>398011</Characters>
  <Application>Microsoft Office Word</Application>
  <DocSecurity>0</DocSecurity>
  <Lines>3316</Lines>
  <Paragraphs>933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Costanza Conti</dc:creator>
  <cp:keywords/>
  <dc:description/>
  <cp:lastModifiedBy>Conti, Costanza (OIN)</cp:lastModifiedBy>
  <cp:revision>6</cp:revision>
  <dcterms:created xsi:type="dcterms:W3CDTF">2026-05-19T08:45:00Z</dcterms:created>
  <dcterms:modified xsi:type="dcterms:W3CDTF">2026-05-19T09:13:00Z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zotero-version="9.0.3"&gt;&lt;session id="Uc49WSev"/&gt;&lt;style id="http://www.zotero.org/styles/elsevier-harvard" hasBibliography="1" bibliographyStyleHasBeenSet="1"/&gt;&lt;prefs&gt;&lt;pref name="fieldType" value="Field"/&gt;&lt;pref name="automaticJournalA</vt:lpwstr>
  </property>
  <property fmtid="{D5CDD505-2E9C-101B-9397-08002B2CF9AE}" pid="3" name="ZOTERO_PREF_2">
    <vt:lpwstr>bbreviations" value="true"/&gt;&lt;/prefs&gt;&lt;/data&gt;</vt:lpwstr>
  </property>
  <property fmtid="{D5CDD505-2E9C-101B-9397-08002B2CF9AE}" pid="4" name="_NewReviewCycle">
    <vt:lpwstr/>
  </property>
  <property fmtid="{D5CDD505-2E9C-101B-9397-08002B2CF9AE}" pid="5" name="ClassificationContentMarkingHeaderShapeIds">
    <vt:lpwstr>33ee84d5,152e662d,1fca41f3</vt:lpwstr>
  </property>
  <property fmtid="{D5CDD505-2E9C-101B-9397-08002B2CF9AE}" pid="6" name="ClassificationContentMarkingHeaderFontProps">
    <vt:lpwstr>#ff0000,12,Calibri</vt:lpwstr>
  </property>
  <property fmtid="{D5CDD505-2E9C-101B-9397-08002B2CF9AE}" pid="7" name="ClassificationContentMarkingHeaderText">
    <vt:lpwstr>OFFICIAL: Sensitive</vt:lpwstr>
  </property>
  <property fmtid="{D5CDD505-2E9C-101B-9397-08002B2CF9AE}" pid="8" name="ClassificationContentMarkingFooterShapeIds">
    <vt:lpwstr>ebf97c1,6fd53979,b354101</vt:lpwstr>
  </property>
  <property fmtid="{D5CDD505-2E9C-101B-9397-08002B2CF9AE}" pid="9" name="ClassificationContentMarkingFooterFontProps">
    <vt:lpwstr>#ff0000,12,Calibri</vt:lpwstr>
  </property>
  <property fmtid="{D5CDD505-2E9C-101B-9397-08002B2CF9AE}" pid="10" name="ClassificationContentMarkingFooterText">
    <vt:lpwstr>OFFICIAL: Sensitive</vt:lpwstr>
  </property>
  <property fmtid="{D5CDD505-2E9C-101B-9397-08002B2CF9AE}" pid="11" name="MSIP_Label_7131dfc9-3851-4ec4-8c64-7480f479fb06_Enabled">
    <vt:lpwstr>true</vt:lpwstr>
  </property>
  <property fmtid="{D5CDD505-2E9C-101B-9397-08002B2CF9AE}" pid="12" name="MSIP_Label_7131dfc9-3851-4ec4-8c64-7480f479fb06_SetDate">
    <vt:lpwstr>2025-08-25T06:09:36Z</vt:lpwstr>
  </property>
  <property fmtid="{D5CDD505-2E9C-101B-9397-08002B2CF9AE}" pid="13" name="MSIP_Label_7131dfc9-3851-4ec4-8c64-7480f479fb06_Method">
    <vt:lpwstr>Privileged</vt:lpwstr>
  </property>
  <property fmtid="{D5CDD505-2E9C-101B-9397-08002B2CF9AE}" pid="14" name="MSIP_Label_7131dfc9-3851-4ec4-8c64-7480f479fb06_Name">
    <vt:lpwstr>OFFICIAL Sensitive</vt:lpwstr>
  </property>
  <property fmtid="{D5CDD505-2E9C-101B-9397-08002B2CF9AE}" pid="15" name="MSIP_Label_7131dfc9-3851-4ec4-8c64-7480f479fb06_SiteId">
    <vt:lpwstr>0fe05593-19ac-4f98-adbf-0375fce7f160</vt:lpwstr>
  </property>
  <property fmtid="{D5CDD505-2E9C-101B-9397-08002B2CF9AE}" pid="16" name="MSIP_Label_7131dfc9-3851-4ec4-8c64-7480f479fb06_ActionId">
    <vt:lpwstr>9df99a6b-7809-4887-aab6-6f7361aa7f90</vt:lpwstr>
  </property>
  <property fmtid="{D5CDD505-2E9C-101B-9397-08002B2CF9AE}" pid="17" name="MSIP_Label_7131dfc9-3851-4ec4-8c64-7480f479fb06_ContentBits">
    <vt:lpwstr>3</vt:lpwstr>
  </property>
  <property fmtid="{D5CDD505-2E9C-101B-9397-08002B2CF9AE}" pid="18" name="MSIP_Label_7131dfc9-3851-4ec4-8c64-7480f479fb06_Tag">
    <vt:lpwstr>50, 0, 1, 1</vt:lpwstr>
  </property>
  <property fmtid="{D5CDD505-2E9C-101B-9397-08002B2CF9AE}" pid="19" name="_AdHocReviewCycleID">
    <vt:i4>622081232</vt:i4>
  </property>
  <property fmtid="{D5CDD505-2E9C-101B-9397-08002B2CF9AE}" pid="20" name="_EmailSubject">
    <vt:lpwstr>Pure entry -additional information request</vt:lpwstr>
  </property>
  <property fmtid="{D5CDD505-2E9C-101B-9397-08002B2CF9AE}" pid="21" name="_AuthorEmail">
    <vt:lpwstr>N.Rao@uea.ac.uk</vt:lpwstr>
  </property>
  <property fmtid="{D5CDD505-2E9C-101B-9397-08002B2CF9AE}" pid="22" name="_AuthorEmailDisplayName">
    <vt:lpwstr>Nitya Rao (DEV - Staff)</vt:lpwstr>
  </property>
</Properties>
</file>