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619F1" w14:textId="7E46DCDA" w:rsidR="00912FDA" w:rsidRPr="00170494" w:rsidRDefault="00912FDA" w:rsidP="00912FDA">
      <w:pPr>
        <w:spacing w:after="0" w:line="240" w:lineRule="auto"/>
        <w:jc w:val="center"/>
        <w:rPr>
          <w:b/>
          <w:bCs/>
          <w:sz w:val="32"/>
          <w:szCs w:val="32"/>
        </w:rPr>
      </w:pPr>
      <w:r w:rsidRPr="00170494">
        <w:rPr>
          <w:b/>
          <w:bCs/>
          <w:sz w:val="32"/>
          <w:szCs w:val="32"/>
        </w:rPr>
        <w:t xml:space="preserve">The Role of Detection in </w:t>
      </w:r>
      <w:r w:rsidR="00B80279">
        <w:rPr>
          <w:b/>
          <w:bCs/>
          <w:sz w:val="32"/>
          <w:szCs w:val="32"/>
        </w:rPr>
        <w:t>Nuclear Non-Proliferation Regime</w:t>
      </w:r>
    </w:p>
    <w:p w14:paraId="328DF04B" w14:textId="77777777" w:rsidR="00912FDA" w:rsidRPr="00DE1DB8" w:rsidRDefault="00912FDA" w:rsidP="00912FDA">
      <w:pPr>
        <w:spacing w:after="0" w:line="240" w:lineRule="auto"/>
        <w:jc w:val="center"/>
        <w:rPr>
          <w:sz w:val="22"/>
          <w:szCs w:val="22"/>
        </w:rPr>
      </w:pPr>
      <w:r w:rsidRPr="00DE1DB8">
        <w:rPr>
          <w:sz w:val="32"/>
          <w:szCs w:val="32"/>
        </w:rPr>
        <w:t>The NPT, IAEA, and North Korea</w:t>
      </w:r>
    </w:p>
    <w:p w14:paraId="0A483A80" w14:textId="77777777" w:rsidR="00912FDA" w:rsidRPr="00170494" w:rsidRDefault="00912FDA" w:rsidP="00912FDA">
      <w:pPr>
        <w:spacing w:after="0" w:line="240" w:lineRule="auto"/>
        <w:rPr>
          <w:sz w:val="22"/>
          <w:szCs w:val="22"/>
        </w:rPr>
      </w:pPr>
    </w:p>
    <w:p w14:paraId="0FF8FE65" w14:textId="77777777" w:rsidR="00912FDA" w:rsidRPr="00170494" w:rsidRDefault="00912FDA" w:rsidP="00912FDA">
      <w:pPr>
        <w:spacing w:after="0" w:line="240" w:lineRule="auto"/>
      </w:pPr>
    </w:p>
    <w:p w14:paraId="41B39B16" w14:textId="77777777" w:rsidR="000E2C6C" w:rsidRPr="00C0632A" w:rsidRDefault="000E2C6C" w:rsidP="000E2C6C">
      <w:pPr>
        <w:spacing w:after="0" w:line="240" w:lineRule="auto"/>
        <w:jc w:val="center"/>
        <w:rPr>
          <w:b/>
          <w:sz w:val="24"/>
          <w:szCs w:val="24"/>
        </w:rPr>
      </w:pPr>
      <w:r w:rsidRPr="00C0632A">
        <w:rPr>
          <w:b/>
          <w:sz w:val="24"/>
          <w:szCs w:val="24"/>
        </w:rPr>
        <w:t>Kimberly Peh*</w:t>
      </w:r>
    </w:p>
    <w:p w14:paraId="22518219" w14:textId="77777777" w:rsidR="000E2C6C" w:rsidRPr="00DE1DB8" w:rsidRDefault="000E2C6C" w:rsidP="000E2C6C">
      <w:pPr>
        <w:spacing w:after="0" w:line="240" w:lineRule="auto"/>
        <w:jc w:val="center"/>
        <w:rPr>
          <w:sz w:val="22"/>
          <w:szCs w:val="22"/>
        </w:rPr>
      </w:pPr>
      <w:r w:rsidRPr="00DE1DB8">
        <w:rPr>
          <w:sz w:val="22"/>
          <w:szCs w:val="22"/>
        </w:rPr>
        <w:t>Center for Global Security Research</w:t>
      </w:r>
    </w:p>
    <w:p w14:paraId="2BF8B5A0" w14:textId="77777777" w:rsidR="000E2C6C" w:rsidRPr="00DE1DB8" w:rsidRDefault="000E2C6C" w:rsidP="000E2C6C">
      <w:pPr>
        <w:spacing w:after="0" w:line="240" w:lineRule="auto"/>
        <w:jc w:val="center"/>
        <w:rPr>
          <w:sz w:val="22"/>
          <w:szCs w:val="22"/>
        </w:rPr>
      </w:pPr>
      <w:r w:rsidRPr="00DE1DB8">
        <w:rPr>
          <w:sz w:val="22"/>
          <w:szCs w:val="22"/>
        </w:rPr>
        <w:t>Lawrence Livermore National Laboratory</w:t>
      </w:r>
    </w:p>
    <w:p w14:paraId="7F5C8BF8" w14:textId="77777777" w:rsidR="000E2C6C" w:rsidRPr="00DE1DB8" w:rsidRDefault="000E2C6C" w:rsidP="000E2C6C">
      <w:pPr>
        <w:spacing w:after="0" w:line="240" w:lineRule="auto"/>
        <w:jc w:val="center"/>
        <w:rPr>
          <w:sz w:val="22"/>
          <w:szCs w:val="22"/>
        </w:rPr>
      </w:pPr>
      <w:r w:rsidRPr="00DE1DB8">
        <w:rPr>
          <w:sz w:val="22"/>
          <w:szCs w:val="22"/>
        </w:rPr>
        <w:t>7000 East Ave</w:t>
      </w:r>
    </w:p>
    <w:p w14:paraId="1C72A8ED" w14:textId="77777777" w:rsidR="000E2C6C" w:rsidRPr="00DE1DB8" w:rsidRDefault="000E2C6C" w:rsidP="000E2C6C">
      <w:pPr>
        <w:spacing w:after="0" w:line="240" w:lineRule="auto"/>
        <w:jc w:val="center"/>
        <w:rPr>
          <w:sz w:val="22"/>
          <w:szCs w:val="22"/>
        </w:rPr>
      </w:pPr>
      <w:r w:rsidRPr="00DE1DB8">
        <w:rPr>
          <w:sz w:val="22"/>
          <w:szCs w:val="22"/>
        </w:rPr>
        <w:t>Livermore, CA 94550</w:t>
      </w:r>
    </w:p>
    <w:p w14:paraId="75C73B13" w14:textId="77777777" w:rsidR="000E2C6C" w:rsidRPr="00DE1DB8" w:rsidRDefault="000E2C6C" w:rsidP="000E2C6C">
      <w:pPr>
        <w:spacing w:after="0" w:line="240" w:lineRule="auto"/>
        <w:jc w:val="center"/>
        <w:rPr>
          <w:sz w:val="22"/>
          <w:szCs w:val="22"/>
        </w:rPr>
      </w:pPr>
      <w:r w:rsidRPr="00DE1DB8">
        <w:rPr>
          <w:sz w:val="22"/>
          <w:szCs w:val="22"/>
        </w:rPr>
        <w:t>USA</w:t>
      </w:r>
    </w:p>
    <w:p w14:paraId="773243D5" w14:textId="77777777" w:rsidR="000E2C6C" w:rsidRPr="00DE1DB8" w:rsidRDefault="000E2C6C" w:rsidP="000E2C6C">
      <w:pPr>
        <w:spacing w:after="0" w:line="240" w:lineRule="auto"/>
        <w:jc w:val="center"/>
        <w:rPr>
          <w:sz w:val="22"/>
          <w:szCs w:val="22"/>
        </w:rPr>
      </w:pPr>
      <w:hyperlink r:id="rId8">
        <w:r w:rsidRPr="00DE1DB8">
          <w:rPr>
            <w:rStyle w:val="Hyperlink"/>
            <w:sz w:val="22"/>
            <w:szCs w:val="22"/>
          </w:rPr>
          <w:t>kim.zien@gmail.com</w:t>
        </w:r>
      </w:hyperlink>
    </w:p>
    <w:p w14:paraId="5E612D00" w14:textId="77777777" w:rsidR="000E2C6C" w:rsidRPr="00DE1DB8" w:rsidRDefault="000E2C6C" w:rsidP="000E2C6C">
      <w:pPr>
        <w:spacing w:after="0" w:line="240" w:lineRule="auto"/>
        <w:jc w:val="center"/>
        <w:rPr>
          <w:sz w:val="22"/>
          <w:szCs w:val="22"/>
        </w:rPr>
      </w:pPr>
      <w:r w:rsidRPr="00DE1DB8">
        <w:rPr>
          <w:sz w:val="22"/>
          <w:szCs w:val="22"/>
        </w:rPr>
        <w:t>ORCID: 0000-0001-5533-7821</w:t>
      </w:r>
    </w:p>
    <w:p w14:paraId="5003F2FE" w14:textId="77777777" w:rsidR="000E2C6C" w:rsidRPr="00170494" w:rsidRDefault="000E2C6C" w:rsidP="00912FDA">
      <w:pPr>
        <w:spacing w:after="0" w:line="240" w:lineRule="auto"/>
      </w:pPr>
    </w:p>
    <w:p w14:paraId="30839882" w14:textId="77777777" w:rsidR="00912FDA" w:rsidRPr="00C0632A" w:rsidRDefault="00912FDA" w:rsidP="00912FDA">
      <w:pPr>
        <w:spacing w:after="0" w:line="240" w:lineRule="auto"/>
        <w:jc w:val="center"/>
        <w:rPr>
          <w:b/>
          <w:bCs/>
          <w:sz w:val="24"/>
          <w:szCs w:val="24"/>
        </w:rPr>
      </w:pPr>
      <w:r w:rsidRPr="00C0632A">
        <w:rPr>
          <w:b/>
          <w:bCs/>
          <w:sz w:val="24"/>
          <w:szCs w:val="24"/>
        </w:rPr>
        <w:t>Soul Park</w:t>
      </w:r>
    </w:p>
    <w:p w14:paraId="437E8413" w14:textId="77777777" w:rsidR="00912FDA" w:rsidRPr="00DE1DB8" w:rsidRDefault="00912FDA" w:rsidP="00912FDA">
      <w:pPr>
        <w:spacing w:after="0" w:line="240" w:lineRule="auto"/>
        <w:jc w:val="center"/>
        <w:rPr>
          <w:sz w:val="22"/>
          <w:szCs w:val="22"/>
        </w:rPr>
      </w:pPr>
      <w:r w:rsidRPr="00DE1DB8">
        <w:rPr>
          <w:sz w:val="22"/>
          <w:szCs w:val="22"/>
        </w:rPr>
        <w:t>School of Politics, Philosophy &amp; Area Studies</w:t>
      </w:r>
    </w:p>
    <w:p w14:paraId="679DA65D" w14:textId="77777777" w:rsidR="00912FDA" w:rsidRPr="00DE1DB8" w:rsidRDefault="00912FDA" w:rsidP="00912FDA">
      <w:pPr>
        <w:spacing w:after="0" w:line="240" w:lineRule="auto"/>
        <w:jc w:val="center"/>
        <w:rPr>
          <w:sz w:val="22"/>
          <w:szCs w:val="22"/>
        </w:rPr>
      </w:pPr>
      <w:r w:rsidRPr="00DE1DB8">
        <w:rPr>
          <w:sz w:val="22"/>
          <w:szCs w:val="22"/>
        </w:rPr>
        <w:t>University of East Anglia</w:t>
      </w:r>
    </w:p>
    <w:p w14:paraId="26043958" w14:textId="77777777" w:rsidR="00912FDA" w:rsidRPr="00DE1DB8" w:rsidRDefault="00912FDA" w:rsidP="00912FDA">
      <w:pPr>
        <w:spacing w:after="0" w:line="240" w:lineRule="auto"/>
        <w:jc w:val="center"/>
        <w:rPr>
          <w:sz w:val="22"/>
          <w:szCs w:val="22"/>
        </w:rPr>
      </w:pPr>
      <w:r w:rsidRPr="00DE1DB8">
        <w:rPr>
          <w:sz w:val="22"/>
          <w:szCs w:val="22"/>
        </w:rPr>
        <w:t>0.29 Arts &amp; Humanities Building</w:t>
      </w:r>
    </w:p>
    <w:p w14:paraId="0B18AC9B" w14:textId="77777777" w:rsidR="00912FDA" w:rsidRPr="00DE1DB8" w:rsidRDefault="00912FDA" w:rsidP="00912FDA">
      <w:pPr>
        <w:spacing w:after="0" w:line="240" w:lineRule="auto"/>
        <w:jc w:val="center"/>
        <w:rPr>
          <w:sz w:val="22"/>
          <w:szCs w:val="22"/>
        </w:rPr>
      </w:pPr>
      <w:r w:rsidRPr="00DE1DB8">
        <w:rPr>
          <w:sz w:val="22"/>
          <w:szCs w:val="22"/>
        </w:rPr>
        <w:t>Norwich NR4 7JT</w:t>
      </w:r>
    </w:p>
    <w:p w14:paraId="4CA25C4C" w14:textId="77777777" w:rsidR="00912FDA" w:rsidRPr="00DE1DB8" w:rsidRDefault="00912FDA" w:rsidP="00912FDA">
      <w:pPr>
        <w:spacing w:after="0" w:line="240" w:lineRule="auto"/>
        <w:jc w:val="center"/>
        <w:rPr>
          <w:sz w:val="22"/>
          <w:szCs w:val="22"/>
        </w:rPr>
      </w:pPr>
      <w:r w:rsidRPr="00DE1DB8">
        <w:rPr>
          <w:sz w:val="22"/>
          <w:szCs w:val="22"/>
        </w:rPr>
        <w:t>U.K.</w:t>
      </w:r>
    </w:p>
    <w:p w14:paraId="0BBBACF9" w14:textId="77777777" w:rsidR="00912FDA" w:rsidRPr="00DE1DB8" w:rsidRDefault="00912FDA" w:rsidP="00912FDA">
      <w:pPr>
        <w:spacing w:after="0" w:line="240" w:lineRule="auto"/>
        <w:jc w:val="center"/>
        <w:rPr>
          <w:sz w:val="22"/>
          <w:szCs w:val="22"/>
        </w:rPr>
      </w:pPr>
      <w:hyperlink r:id="rId9" w:history="1">
        <w:r w:rsidRPr="00DE1DB8">
          <w:rPr>
            <w:rStyle w:val="Hyperlink"/>
            <w:sz w:val="22"/>
            <w:szCs w:val="22"/>
          </w:rPr>
          <w:t>Soul.Park@uea.ac.uk</w:t>
        </w:r>
      </w:hyperlink>
      <w:r w:rsidRPr="00DE1DB8">
        <w:rPr>
          <w:sz w:val="22"/>
          <w:szCs w:val="22"/>
        </w:rPr>
        <w:t xml:space="preserve"> </w:t>
      </w:r>
      <w:r w:rsidRPr="00DE1DB8">
        <w:rPr>
          <w:sz w:val="22"/>
          <w:szCs w:val="22"/>
        </w:rPr>
        <w:tab/>
      </w:r>
    </w:p>
    <w:p w14:paraId="39E78C5F" w14:textId="77777777" w:rsidR="00912FDA" w:rsidRPr="00DE1DB8" w:rsidRDefault="00912FDA" w:rsidP="00912FDA">
      <w:pPr>
        <w:spacing w:after="0" w:line="240" w:lineRule="auto"/>
        <w:jc w:val="center"/>
        <w:rPr>
          <w:sz w:val="22"/>
          <w:szCs w:val="22"/>
        </w:rPr>
      </w:pPr>
      <w:r w:rsidRPr="00DE1DB8">
        <w:rPr>
          <w:sz w:val="22"/>
          <w:szCs w:val="22"/>
        </w:rPr>
        <w:t>ORCID: 0000-0001-6692-9080</w:t>
      </w:r>
    </w:p>
    <w:p w14:paraId="00DA663E" w14:textId="77777777" w:rsidR="00C41704" w:rsidRDefault="00C41704" w:rsidP="00912FDA">
      <w:pPr>
        <w:spacing w:after="0" w:line="240" w:lineRule="auto"/>
        <w:rPr>
          <w:sz w:val="22"/>
          <w:szCs w:val="22"/>
        </w:rPr>
      </w:pPr>
    </w:p>
    <w:p w14:paraId="2B516B6F" w14:textId="77777777" w:rsidR="000E2C6C" w:rsidRDefault="000E2C6C" w:rsidP="00912FDA">
      <w:pPr>
        <w:spacing w:after="0" w:line="240" w:lineRule="auto"/>
        <w:rPr>
          <w:sz w:val="22"/>
          <w:szCs w:val="22"/>
        </w:rPr>
      </w:pPr>
    </w:p>
    <w:p w14:paraId="43D4BA6C" w14:textId="77777777" w:rsidR="00FA6900" w:rsidRPr="00FA6900" w:rsidRDefault="00FA6900" w:rsidP="00912FDA">
      <w:pPr>
        <w:spacing w:after="0" w:line="240" w:lineRule="auto"/>
        <w:rPr>
          <w:b/>
          <w:bCs/>
          <w:sz w:val="22"/>
          <w:szCs w:val="22"/>
        </w:rPr>
      </w:pPr>
    </w:p>
    <w:p w14:paraId="56051C60" w14:textId="1F6F0332" w:rsidR="00912FDA" w:rsidRPr="00926E0E" w:rsidRDefault="00912FDA" w:rsidP="00912FDA">
      <w:pPr>
        <w:spacing w:after="0" w:line="240" w:lineRule="auto"/>
        <w:rPr>
          <w:b/>
          <w:bCs/>
          <w:sz w:val="24"/>
          <w:szCs w:val="24"/>
        </w:rPr>
      </w:pPr>
      <w:r w:rsidRPr="00926E0E">
        <w:rPr>
          <w:b/>
          <w:bCs/>
          <w:sz w:val="24"/>
          <w:szCs w:val="24"/>
        </w:rPr>
        <w:t>Abstract</w:t>
      </w:r>
    </w:p>
    <w:p w14:paraId="3478A814" w14:textId="505D9FC1" w:rsidR="00912FDA" w:rsidRPr="00FA6900" w:rsidRDefault="00FC298F" w:rsidP="00912FDA">
      <w:pPr>
        <w:spacing w:after="0" w:line="240" w:lineRule="auto"/>
        <w:rPr>
          <w:sz w:val="22"/>
          <w:szCs w:val="22"/>
        </w:rPr>
      </w:pPr>
      <w:r w:rsidRPr="00FA6900">
        <w:rPr>
          <w:rFonts w:hint="eastAsia"/>
          <w:sz w:val="22"/>
          <w:szCs w:val="22"/>
        </w:rPr>
        <w:t>North Korea</w:t>
      </w:r>
      <w:r w:rsidRPr="00FA6900">
        <w:rPr>
          <w:sz w:val="22"/>
          <w:szCs w:val="22"/>
        </w:rPr>
        <w:t>’</w:t>
      </w:r>
      <w:r w:rsidRPr="00FA6900">
        <w:rPr>
          <w:rFonts w:hint="eastAsia"/>
          <w:sz w:val="22"/>
          <w:szCs w:val="22"/>
        </w:rPr>
        <w:t>s nuclear breakout is often cited as evidence of the Nuclear Non-Proliferation Treaty (NPT)</w:t>
      </w:r>
      <w:r w:rsidRPr="00FA6900">
        <w:rPr>
          <w:sz w:val="22"/>
          <w:szCs w:val="22"/>
        </w:rPr>
        <w:t>’</w:t>
      </w:r>
      <w:r w:rsidRPr="00FA6900">
        <w:rPr>
          <w:rFonts w:hint="eastAsia"/>
          <w:sz w:val="22"/>
          <w:szCs w:val="22"/>
        </w:rPr>
        <w:t>s failure. This article argues that such judgements overlook the NPT</w:t>
      </w:r>
      <w:r w:rsidRPr="00FA6900">
        <w:rPr>
          <w:sz w:val="22"/>
          <w:szCs w:val="22"/>
        </w:rPr>
        <w:t>’</w:t>
      </w:r>
      <w:r w:rsidRPr="00FA6900">
        <w:rPr>
          <w:rFonts w:hint="eastAsia"/>
          <w:sz w:val="22"/>
          <w:szCs w:val="22"/>
        </w:rPr>
        <w:t xml:space="preserve">s critical institutional function of detection. Through </w:t>
      </w:r>
      <w:r w:rsidR="00C345E3" w:rsidRPr="00FA6900">
        <w:rPr>
          <w:rFonts w:hint="eastAsia"/>
          <w:sz w:val="22"/>
          <w:szCs w:val="22"/>
        </w:rPr>
        <w:t>screening, monitoring, and verification mechanisms</w:t>
      </w:r>
      <w:r w:rsidRPr="00FA6900">
        <w:rPr>
          <w:rFonts w:hint="eastAsia"/>
          <w:sz w:val="22"/>
          <w:szCs w:val="22"/>
        </w:rPr>
        <w:t>, the NPT</w:t>
      </w:r>
      <w:r w:rsidR="00DF27C7" w:rsidRPr="00FA6900">
        <w:rPr>
          <w:rFonts w:hint="eastAsia"/>
          <w:sz w:val="22"/>
          <w:szCs w:val="22"/>
        </w:rPr>
        <w:t xml:space="preserve"> and </w:t>
      </w:r>
      <w:r w:rsidR="00C345E3" w:rsidRPr="00FA6900">
        <w:rPr>
          <w:rFonts w:hint="eastAsia"/>
          <w:sz w:val="22"/>
          <w:szCs w:val="22"/>
        </w:rPr>
        <w:t>International Atomic Energy Agency (</w:t>
      </w:r>
      <w:r w:rsidR="00DF27C7" w:rsidRPr="00FA6900">
        <w:rPr>
          <w:rFonts w:hint="eastAsia"/>
          <w:sz w:val="22"/>
          <w:szCs w:val="22"/>
        </w:rPr>
        <w:t>IAEA</w:t>
      </w:r>
      <w:r w:rsidR="00C345E3" w:rsidRPr="00FA6900">
        <w:rPr>
          <w:rFonts w:hint="eastAsia"/>
          <w:sz w:val="22"/>
          <w:szCs w:val="22"/>
        </w:rPr>
        <w:t>)</w:t>
      </w:r>
      <w:r w:rsidRPr="00FA6900">
        <w:rPr>
          <w:rFonts w:hint="eastAsia"/>
          <w:sz w:val="22"/>
          <w:szCs w:val="22"/>
        </w:rPr>
        <w:t xml:space="preserve"> exposed Pyongyang</w:t>
      </w:r>
      <w:r w:rsidRPr="00FA6900">
        <w:rPr>
          <w:sz w:val="22"/>
          <w:szCs w:val="22"/>
        </w:rPr>
        <w:t>’</w:t>
      </w:r>
      <w:r w:rsidRPr="00FA6900">
        <w:rPr>
          <w:rFonts w:hint="eastAsia"/>
          <w:sz w:val="22"/>
          <w:szCs w:val="22"/>
        </w:rPr>
        <w:t xml:space="preserve">s violations and legitimized a global response, even though it could </w:t>
      </w:r>
      <w:r w:rsidRPr="00FA6900">
        <w:rPr>
          <w:sz w:val="22"/>
          <w:szCs w:val="22"/>
        </w:rPr>
        <w:t>not</w:t>
      </w:r>
      <w:r w:rsidRPr="00FA6900">
        <w:rPr>
          <w:rFonts w:hint="eastAsia"/>
          <w:sz w:val="22"/>
          <w:szCs w:val="22"/>
        </w:rPr>
        <w:t xml:space="preserve"> by itself prevent North Korea</w:t>
      </w:r>
      <w:r w:rsidRPr="00FA6900">
        <w:rPr>
          <w:sz w:val="22"/>
          <w:szCs w:val="22"/>
        </w:rPr>
        <w:t>’</w:t>
      </w:r>
      <w:r w:rsidRPr="00FA6900">
        <w:rPr>
          <w:rFonts w:hint="eastAsia"/>
          <w:sz w:val="22"/>
          <w:szCs w:val="22"/>
        </w:rPr>
        <w:t xml:space="preserve">s withdrawal or weapons development. A </w:t>
      </w:r>
      <w:r w:rsidR="00DF27C7" w:rsidRPr="00FA6900">
        <w:rPr>
          <w:rFonts w:hint="eastAsia"/>
          <w:sz w:val="22"/>
          <w:szCs w:val="22"/>
        </w:rPr>
        <w:t>case study</w:t>
      </w:r>
      <w:r w:rsidRPr="00FA6900">
        <w:rPr>
          <w:rFonts w:hint="eastAsia"/>
          <w:sz w:val="22"/>
          <w:szCs w:val="22"/>
        </w:rPr>
        <w:t xml:space="preserve"> analysis of North Korea</w:t>
      </w:r>
      <w:r w:rsidRPr="00FA6900">
        <w:rPr>
          <w:sz w:val="22"/>
          <w:szCs w:val="22"/>
        </w:rPr>
        <w:t>’</w:t>
      </w:r>
      <w:r w:rsidRPr="00FA6900">
        <w:rPr>
          <w:rFonts w:hint="eastAsia"/>
          <w:sz w:val="22"/>
          <w:szCs w:val="22"/>
        </w:rPr>
        <w:t xml:space="preserve">s </w:t>
      </w:r>
      <w:r w:rsidR="00DF27C7" w:rsidRPr="00FA6900">
        <w:rPr>
          <w:rFonts w:hint="eastAsia"/>
          <w:sz w:val="22"/>
          <w:szCs w:val="22"/>
        </w:rPr>
        <w:t xml:space="preserve">nuclear weapons program </w:t>
      </w:r>
      <w:r w:rsidRPr="00FA6900">
        <w:rPr>
          <w:rFonts w:hint="eastAsia"/>
          <w:sz w:val="22"/>
          <w:szCs w:val="22"/>
        </w:rPr>
        <w:t xml:space="preserve">(up to 2003) shows the treaty regime </w:t>
      </w:r>
      <w:r w:rsidRPr="00FA6900">
        <w:rPr>
          <w:sz w:val="22"/>
          <w:szCs w:val="22"/>
        </w:rPr>
        <w:t>‘</w:t>
      </w:r>
      <w:r w:rsidRPr="00FA6900">
        <w:rPr>
          <w:rFonts w:hint="eastAsia"/>
          <w:sz w:val="22"/>
          <w:szCs w:val="22"/>
        </w:rPr>
        <w:t>worked</w:t>
      </w:r>
      <w:r w:rsidRPr="00FA6900">
        <w:rPr>
          <w:sz w:val="22"/>
          <w:szCs w:val="22"/>
        </w:rPr>
        <w:t>’</w:t>
      </w:r>
      <w:r w:rsidRPr="00FA6900">
        <w:rPr>
          <w:rFonts w:hint="eastAsia"/>
          <w:sz w:val="22"/>
          <w:szCs w:val="22"/>
        </w:rPr>
        <w:t xml:space="preserve"> by gathering and reporting credible evidence of noncompliance, which enabled United Nations actions and bilateral </w:t>
      </w:r>
      <w:r w:rsidRPr="00FA6900">
        <w:rPr>
          <w:sz w:val="22"/>
          <w:szCs w:val="22"/>
        </w:rPr>
        <w:t>diplomacy</w:t>
      </w:r>
      <w:r w:rsidRPr="00FA6900">
        <w:rPr>
          <w:rFonts w:hint="eastAsia"/>
          <w:sz w:val="22"/>
          <w:szCs w:val="22"/>
        </w:rPr>
        <w:t xml:space="preserve"> (e.g., the 1994 Agreed Framework). Since the NPT</w:t>
      </w:r>
      <w:r w:rsidR="00DF27C7" w:rsidRPr="00FA6900">
        <w:rPr>
          <w:rFonts w:hint="eastAsia"/>
          <w:sz w:val="22"/>
          <w:szCs w:val="22"/>
        </w:rPr>
        <w:t xml:space="preserve"> and IAEA</w:t>
      </w:r>
      <w:r w:rsidRPr="00FA6900">
        <w:rPr>
          <w:rFonts w:hint="eastAsia"/>
          <w:sz w:val="22"/>
          <w:szCs w:val="22"/>
        </w:rPr>
        <w:t xml:space="preserve"> w</w:t>
      </w:r>
      <w:r w:rsidR="00DF27C7" w:rsidRPr="00FA6900">
        <w:rPr>
          <w:rFonts w:hint="eastAsia"/>
          <w:sz w:val="22"/>
          <w:szCs w:val="22"/>
        </w:rPr>
        <w:t>ere</w:t>
      </w:r>
      <w:r w:rsidRPr="00FA6900">
        <w:rPr>
          <w:rFonts w:hint="eastAsia"/>
          <w:sz w:val="22"/>
          <w:szCs w:val="22"/>
        </w:rPr>
        <w:t xml:space="preserve"> never </w:t>
      </w:r>
      <w:r w:rsidRPr="00FA6900">
        <w:rPr>
          <w:sz w:val="22"/>
          <w:szCs w:val="22"/>
        </w:rPr>
        <w:t>designed</w:t>
      </w:r>
      <w:r w:rsidRPr="00FA6900">
        <w:rPr>
          <w:rFonts w:hint="eastAsia"/>
          <w:sz w:val="22"/>
          <w:szCs w:val="22"/>
        </w:rPr>
        <w:t xml:space="preserve"> to enforce </w:t>
      </w:r>
      <w:r w:rsidRPr="00FA6900">
        <w:rPr>
          <w:sz w:val="22"/>
          <w:szCs w:val="22"/>
        </w:rPr>
        <w:t>compliance</w:t>
      </w:r>
      <w:r w:rsidRPr="00FA6900">
        <w:rPr>
          <w:rFonts w:hint="eastAsia"/>
          <w:sz w:val="22"/>
          <w:szCs w:val="22"/>
        </w:rPr>
        <w:t xml:space="preserve">, </w:t>
      </w:r>
      <w:r w:rsidR="00DF27C7" w:rsidRPr="00FA6900">
        <w:rPr>
          <w:rFonts w:hint="eastAsia"/>
          <w:sz w:val="22"/>
          <w:szCs w:val="22"/>
        </w:rPr>
        <w:t>their</w:t>
      </w:r>
      <w:r w:rsidRPr="00FA6900">
        <w:rPr>
          <w:rFonts w:hint="eastAsia"/>
          <w:sz w:val="22"/>
          <w:szCs w:val="22"/>
        </w:rPr>
        <w:t xml:space="preserve"> value lies in making proliferation visible and thus </w:t>
      </w:r>
      <w:r w:rsidR="00DF27C7" w:rsidRPr="00FA6900">
        <w:rPr>
          <w:sz w:val="22"/>
          <w:szCs w:val="22"/>
        </w:rPr>
        <w:t>facilitate</w:t>
      </w:r>
      <w:r w:rsidR="00DF27C7" w:rsidRPr="00FA6900">
        <w:rPr>
          <w:rFonts w:hint="eastAsia"/>
          <w:sz w:val="22"/>
          <w:szCs w:val="22"/>
        </w:rPr>
        <w:t xml:space="preserve"> </w:t>
      </w:r>
      <w:r w:rsidRPr="00FA6900">
        <w:rPr>
          <w:rFonts w:hint="eastAsia"/>
          <w:sz w:val="22"/>
          <w:szCs w:val="22"/>
        </w:rPr>
        <w:t>enforce</w:t>
      </w:r>
      <w:r w:rsidR="00DF27C7" w:rsidRPr="00FA6900">
        <w:rPr>
          <w:rFonts w:hint="eastAsia"/>
          <w:sz w:val="22"/>
          <w:szCs w:val="22"/>
        </w:rPr>
        <w:t>ment</w:t>
      </w:r>
      <w:r w:rsidRPr="00FA6900">
        <w:rPr>
          <w:rFonts w:hint="eastAsia"/>
          <w:sz w:val="22"/>
          <w:szCs w:val="22"/>
        </w:rPr>
        <w:t xml:space="preserve"> by the broader international community. Recognizing detection as a measure of success can help strengthen the NPT regime despite isolated setbacks. </w:t>
      </w:r>
    </w:p>
    <w:p w14:paraId="58BB4F6D" w14:textId="77777777" w:rsidR="000E2C6C" w:rsidRPr="00926E0E" w:rsidRDefault="00912FDA" w:rsidP="00FA6900">
      <w:pPr>
        <w:spacing w:before="120" w:after="0" w:line="240" w:lineRule="auto"/>
        <w:rPr>
          <w:sz w:val="24"/>
          <w:szCs w:val="24"/>
        </w:rPr>
      </w:pPr>
      <w:r w:rsidRPr="00926E0E">
        <w:rPr>
          <w:b/>
          <w:bCs/>
          <w:sz w:val="24"/>
          <w:szCs w:val="24"/>
        </w:rPr>
        <w:t xml:space="preserve">Keywords </w:t>
      </w:r>
      <w:r w:rsidRPr="00926E0E">
        <w:rPr>
          <w:sz w:val="24"/>
          <w:szCs w:val="24"/>
        </w:rPr>
        <w:t xml:space="preserve">North Korea; NPT; IAEA; </w:t>
      </w:r>
      <w:r w:rsidR="009D3DAC" w:rsidRPr="00926E0E">
        <w:rPr>
          <w:sz w:val="24"/>
          <w:szCs w:val="24"/>
        </w:rPr>
        <w:t>detection</w:t>
      </w:r>
      <w:r w:rsidRPr="00926E0E">
        <w:rPr>
          <w:sz w:val="24"/>
          <w:szCs w:val="24"/>
        </w:rPr>
        <w:t>; nonproliferation</w:t>
      </w:r>
    </w:p>
    <w:p w14:paraId="3182986D" w14:textId="77777777" w:rsidR="000E2C6C" w:rsidRDefault="000E2C6C">
      <w:pPr>
        <w:spacing w:after="0" w:line="240" w:lineRule="auto"/>
        <w:rPr>
          <w:sz w:val="22"/>
          <w:szCs w:val="22"/>
        </w:rPr>
      </w:pPr>
    </w:p>
    <w:p w14:paraId="25F0C6EA" w14:textId="77777777" w:rsidR="00377512" w:rsidRDefault="00377512">
      <w:pPr>
        <w:spacing w:after="0" w:line="240" w:lineRule="auto"/>
        <w:rPr>
          <w:sz w:val="22"/>
          <w:szCs w:val="22"/>
        </w:rPr>
      </w:pPr>
    </w:p>
    <w:p w14:paraId="09521E58" w14:textId="14D172C6" w:rsidR="00377512" w:rsidRDefault="00377512">
      <w:pPr>
        <w:spacing w:after="0" w:line="240" w:lineRule="auto"/>
        <w:rPr>
          <w:sz w:val="22"/>
          <w:szCs w:val="22"/>
        </w:rPr>
      </w:pPr>
      <w:r w:rsidRPr="00377512">
        <w:rPr>
          <w:b/>
          <w:bCs/>
          <w:sz w:val="24"/>
          <w:szCs w:val="24"/>
        </w:rPr>
        <w:t>Acknowledgement</w:t>
      </w:r>
      <w:r>
        <w:rPr>
          <w:sz w:val="22"/>
          <w:szCs w:val="22"/>
        </w:rPr>
        <w:t xml:space="preserve"> The authors would like to thank Seung Joon Paik, Luba Zatsepina, Nicola Nymalm, Rupal Mehta, </w:t>
      </w:r>
      <w:r w:rsidR="00A80D54" w:rsidRPr="00A80D54">
        <w:rPr>
          <w:sz w:val="22"/>
          <w:szCs w:val="22"/>
        </w:rPr>
        <w:t>Anna Péczeli</w:t>
      </w:r>
      <w:r w:rsidR="00A80D54">
        <w:rPr>
          <w:sz w:val="22"/>
          <w:szCs w:val="22"/>
        </w:rPr>
        <w:t>,</w:t>
      </w:r>
      <w:r w:rsidR="00A80D54" w:rsidRPr="00A80D54">
        <w:rPr>
          <w:sz w:val="22"/>
          <w:szCs w:val="22"/>
        </w:rPr>
        <w:t xml:space="preserve"> </w:t>
      </w:r>
      <w:r>
        <w:rPr>
          <w:sz w:val="22"/>
          <w:szCs w:val="22"/>
        </w:rPr>
        <w:t>the editors and the two anonymous reviewers for their productive comments and constructive criticisms. The authors</w:t>
      </w:r>
      <w:r w:rsidR="00DD2578">
        <w:rPr>
          <w:sz w:val="22"/>
          <w:szCs w:val="22"/>
        </w:rPr>
        <w:t xml:space="preserve"> would</w:t>
      </w:r>
      <w:r>
        <w:rPr>
          <w:sz w:val="22"/>
          <w:szCs w:val="22"/>
        </w:rPr>
        <w:t xml:space="preserve"> also like to thank Amy Dyer for her valuable research assistance.</w:t>
      </w:r>
    </w:p>
    <w:p w14:paraId="012D5B8D" w14:textId="77777777" w:rsidR="000E2C6C" w:rsidRDefault="000E2C6C">
      <w:pPr>
        <w:spacing w:after="0" w:line="240" w:lineRule="auto"/>
        <w:rPr>
          <w:sz w:val="22"/>
          <w:szCs w:val="22"/>
        </w:rPr>
      </w:pPr>
    </w:p>
    <w:p w14:paraId="4A3675E1" w14:textId="77777777" w:rsidR="000E2C6C" w:rsidRDefault="000E2C6C">
      <w:pPr>
        <w:spacing w:after="0" w:line="240" w:lineRule="auto"/>
        <w:rPr>
          <w:sz w:val="22"/>
          <w:szCs w:val="22"/>
        </w:rPr>
      </w:pPr>
    </w:p>
    <w:p w14:paraId="6D53C318" w14:textId="3E61FE17" w:rsidR="0045085B" w:rsidRDefault="000E2C6C">
      <w:pPr>
        <w:spacing w:after="0" w:line="240" w:lineRule="auto"/>
        <w:rPr>
          <w:sz w:val="22"/>
          <w:szCs w:val="22"/>
        </w:rPr>
      </w:pPr>
      <w:r w:rsidRPr="00C0632A">
        <w:rPr>
          <w:b/>
          <w:bCs/>
          <w:sz w:val="24"/>
          <w:szCs w:val="24"/>
        </w:rPr>
        <w:t>*Disclaimer:</w:t>
      </w:r>
      <w:r w:rsidRPr="00170494">
        <w:rPr>
          <w:sz w:val="22"/>
          <w:szCs w:val="22"/>
        </w:rPr>
        <w:t xml:space="preserve"> The views and opinions of the author expressed herein do not state or reflect those of the United States government or Lawrence Livermore National Security, LLC.</w:t>
      </w:r>
      <w:r w:rsidR="0028317D">
        <w:rPr>
          <w:sz w:val="22"/>
          <w:szCs w:val="22"/>
        </w:rPr>
        <w:t xml:space="preserve"> LLNL-MI-2010556.</w:t>
      </w:r>
    </w:p>
    <w:p w14:paraId="431B5ED0" w14:textId="77777777" w:rsidR="00FA6900" w:rsidRDefault="00FA6900">
      <w:pPr>
        <w:spacing w:after="0" w:line="240" w:lineRule="auto"/>
        <w:rPr>
          <w:sz w:val="22"/>
          <w:szCs w:val="22"/>
        </w:rPr>
      </w:pPr>
    </w:p>
    <w:p w14:paraId="0B786C0C" w14:textId="77777777" w:rsidR="00FA6900" w:rsidRDefault="00FA6900">
      <w:pPr>
        <w:spacing w:after="0" w:line="240" w:lineRule="auto"/>
        <w:rPr>
          <w:sz w:val="22"/>
          <w:szCs w:val="22"/>
        </w:rPr>
      </w:pPr>
    </w:p>
    <w:p w14:paraId="2CD016D3" w14:textId="0DB3D61A" w:rsidR="00FA6900" w:rsidRPr="00FA6900" w:rsidRDefault="00FA6900" w:rsidP="00FA6900">
      <w:pPr>
        <w:spacing w:after="0" w:line="240" w:lineRule="auto"/>
        <w:jc w:val="center"/>
        <w:rPr>
          <w:b/>
          <w:bCs/>
          <w:sz w:val="26"/>
          <w:szCs w:val="26"/>
        </w:rPr>
      </w:pPr>
      <w:r w:rsidRPr="00FA6900">
        <w:rPr>
          <w:rFonts w:hint="eastAsia"/>
          <w:b/>
          <w:bCs/>
          <w:sz w:val="26"/>
          <w:szCs w:val="26"/>
        </w:rPr>
        <w:t>Accepted</w:t>
      </w:r>
    </w:p>
    <w:p w14:paraId="181AEBDB" w14:textId="23FF254D" w:rsidR="00FA6900" w:rsidRPr="00FA6900" w:rsidRDefault="00FA6900" w:rsidP="00FA6900">
      <w:pPr>
        <w:spacing w:after="0" w:line="240" w:lineRule="auto"/>
        <w:jc w:val="center"/>
        <w:rPr>
          <w:b/>
          <w:bCs/>
          <w:i/>
          <w:iCs/>
          <w:sz w:val="26"/>
          <w:szCs w:val="26"/>
        </w:rPr>
      </w:pPr>
      <w:r w:rsidRPr="00FA6900">
        <w:rPr>
          <w:rFonts w:hint="eastAsia"/>
          <w:b/>
          <w:bCs/>
          <w:i/>
          <w:iCs/>
          <w:sz w:val="26"/>
          <w:szCs w:val="26"/>
        </w:rPr>
        <w:t>Global Governance</w:t>
      </w:r>
    </w:p>
    <w:p w14:paraId="4B00A808" w14:textId="0C367678" w:rsidR="00FA6900" w:rsidRPr="00FA6900" w:rsidRDefault="00FA6900" w:rsidP="00FA6900">
      <w:pPr>
        <w:spacing w:after="0" w:line="240" w:lineRule="auto"/>
        <w:jc w:val="center"/>
        <w:rPr>
          <w:rFonts w:hint="eastAsia"/>
          <w:b/>
          <w:bCs/>
          <w:sz w:val="26"/>
          <w:szCs w:val="26"/>
        </w:rPr>
      </w:pPr>
      <w:r w:rsidRPr="00FA6900">
        <w:rPr>
          <w:rFonts w:hint="eastAsia"/>
          <w:b/>
          <w:bCs/>
          <w:sz w:val="26"/>
          <w:szCs w:val="26"/>
        </w:rPr>
        <w:t>April 3, 2026</w:t>
      </w:r>
    </w:p>
    <w:p w14:paraId="73B008C6" w14:textId="77D000CE" w:rsidR="00912FDA" w:rsidRPr="004600F7" w:rsidRDefault="0076511D" w:rsidP="00912FDA">
      <w:pPr>
        <w:spacing w:after="0" w:line="240" w:lineRule="auto"/>
        <w:outlineLvl w:val="0"/>
        <w:rPr>
          <w:b/>
          <w:bCs/>
          <w:sz w:val="24"/>
          <w:szCs w:val="24"/>
        </w:rPr>
      </w:pPr>
      <w:r>
        <w:rPr>
          <w:b/>
          <w:bCs/>
          <w:sz w:val="24"/>
          <w:szCs w:val="24"/>
        </w:rPr>
        <w:lastRenderedPageBreak/>
        <w:t xml:space="preserve">1 </w:t>
      </w:r>
      <w:r w:rsidR="00912FDA" w:rsidRPr="004600F7">
        <w:rPr>
          <w:b/>
          <w:bCs/>
          <w:sz w:val="24"/>
          <w:szCs w:val="24"/>
        </w:rPr>
        <w:t>Introduction</w:t>
      </w:r>
    </w:p>
    <w:p w14:paraId="154BD2C7" w14:textId="77777777" w:rsidR="00D57D72" w:rsidRDefault="00D57D72" w:rsidP="00912FDA">
      <w:pPr>
        <w:spacing w:after="0" w:line="240" w:lineRule="auto"/>
        <w:rPr>
          <w:sz w:val="24"/>
          <w:szCs w:val="24"/>
        </w:rPr>
      </w:pPr>
    </w:p>
    <w:p w14:paraId="4E04B2BF" w14:textId="0C0A7952" w:rsidR="00D51784" w:rsidRPr="004600F7" w:rsidRDefault="00D51784" w:rsidP="00111EB4">
      <w:pPr>
        <w:spacing w:after="0" w:line="480" w:lineRule="auto"/>
        <w:rPr>
          <w:sz w:val="24"/>
          <w:szCs w:val="24"/>
        </w:rPr>
      </w:pPr>
      <w:r w:rsidRPr="004600F7">
        <w:rPr>
          <w:rFonts w:hint="eastAsia"/>
          <w:sz w:val="24"/>
          <w:szCs w:val="24"/>
        </w:rPr>
        <w:t xml:space="preserve">For over five decades, the </w:t>
      </w:r>
      <w:r w:rsidR="00692B69" w:rsidRPr="004600F7">
        <w:rPr>
          <w:sz w:val="24"/>
          <w:szCs w:val="24"/>
        </w:rPr>
        <w:t>Treaty on the Non-Proliferation of Nuclear Weapons</w:t>
      </w:r>
      <w:r w:rsidR="00692B69" w:rsidRPr="004600F7">
        <w:rPr>
          <w:rFonts w:hint="eastAsia"/>
          <w:sz w:val="24"/>
          <w:szCs w:val="24"/>
        </w:rPr>
        <w:t xml:space="preserve"> </w:t>
      </w:r>
      <w:r w:rsidRPr="004600F7">
        <w:rPr>
          <w:rFonts w:hint="eastAsia"/>
          <w:sz w:val="24"/>
          <w:szCs w:val="24"/>
        </w:rPr>
        <w:t xml:space="preserve">(NPT) </w:t>
      </w:r>
      <w:r w:rsidR="003E594B">
        <w:rPr>
          <w:sz w:val="24"/>
          <w:szCs w:val="24"/>
        </w:rPr>
        <w:t xml:space="preserve">and its implementation through the International Atomic Energy Agency (IAEA) </w:t>
      </w:r>
      <w:r w:rsidR="007C7C7B" w:rsidRPr="004600F7">
        <w:rPr>
          <w:rFonts w:hint="eastAsia"/>
          <w:sz w:val="24"/>
          <w:szCs w:val="24"/>
        </w:rPr>
        <w:t>provided</w:t>
      </w:r>
      <w:r w:rsidRPr="004600F7">
        <w:rPr>
          <w:rFonts w:hint="eastAsia"/>
          <w:sz w:val="24"/>
          <w:szCs w:val="24"/>
        </w:rPr>
        <w:t xml:space="preserve"> the central institutional framework </w:t>
      </w:r>
      <w:r w:rsidR="007C7C7B" w:rsidRPr="004600F7">
        <w:rPr>
          <w:rFonts w:hint="eastAsia"/>
          <w:sz w:val="24"/>
          <w:szCs w:val="24"/>
        </w:rPr>
        <w:t>to</w:t>
      </w:r>
      <w:r w:rsidRPr="004600F7">
        <w:rPr>
          <w:rFonts w:hint="eastAsia"/>
          <w:sz w:val="24"/>
          <w:szCs w:val="24"/>
        </w:rPr>
        <w:t xml:space="preserve"> limit the spread of nuclear weapons, promot</w:t>
      </w:r>
      <w:r w:rsidR="007C7C7B" w:rsidRPr="004600F7">
        <w:rPr>
          <w:rFonts w:hint="eastAsia"/>
          <w:sz w:val="24"/>
          <w:szCs w:val="24"/>
        </w:rPr>
        <w:t>e</w:t>
      </w:r>
      <w:r w:rsidRPr="004600F7">
        <w:rPr>
          <w:rFonts w:hint="eastAsia"/>
          <w:sz w:val="24"/>
          <w:szCs w:val="24"/>
        </w:rPr>
        <w:t xml:space="preserve"> disarmament, and </w:t>
      </w:r>
      <w:r w:rsidR="007C7C7B" w:rsidRPr="004600F7">
        <w:rPr>
          <w:rFonts w:hint="eastAsia"/>
          <w:sz w:val="24"/>
          <w:szCs w:val="24"/>
        </w:rPr>
        <w:t>facilitate peaceful nuclear cooperation</w:t>
      </w:r>
      <w:r w:rsidRPr="004600F7">
        <w:rPr>
          <w:rFonts w:hint="eastAsia"/>
          <w:sz w:val="24"/>
          <w:szCs w:val="24"/>
        </w:rPr>
        <w:t>.</w:t>
      </w:r>
      <w:r w:rsidR="00A451EB" w:rsidRPr="004600F7">
        <w:rPr>
          <w:rStyle w:val="FootnoteReference"/>
          <w:sz w:val="24"/>
          <w:szCs w:val="24"/>
        </w:rPr>
        <w:t xml:space="preserve"> </w:t>
      </w:r>
      <w:r w:rsidR="009B0A4B" w:rsidRPr="004600F7">
        <w:rPr>
          <w:sz w:val="24"/>
          <w:szCs w:val="24"/>
        </w:rPr>
        <w:t xml:space="preserve">Often described as the most consequential diplomatic effort to reduce nuclear risk, the NPT is widely credited with keeping the number of nuclear-armed states far below Cold War projections, </w:t>
      </w:r>
      <w:r w:rsidR="004A2CC4">
        <w:rPr>
          <w:rFonts w:hint="eastAsia"/>
          <w:sz w:val="24"/>
          <w:szCs w:val="24"/>
        </w:rPr>
        <w:t xml:space="preserve">in part through </w:t>
      </w:r>
      <w:r w:rsidR="009B0A4B" w:rsidRPr="004600F7">
        <w:rPr>
          <w:sz w:val="24"/>
          <w:szCs w:val="24"/>
        </w:rPr>
        <w:t>reinforcing the core nonproliferation bargain</w:t>
      </w:r>
      <w:r w:rsidR="001B39DA" w:rsidRPr="004600F7">
        <w:rPr>
          <w:rFonts w:hint="eastAsia"/>
          <w:sz w:val="24"/>
          <w:szCs w:val="24"/>
        </w:rPr>
        <w:t>.</w:t>
      </w:r>
      <w:r w:rsidR="001B39DA" w:rsidRPr="004600F7">
        <w:rPr>
          <w:rStyle w:val="FootnoteReference"/>
          <w:sz w:val="24"/>
          <w:szCs w:val="24"/>
        </w:rPr>
        <w:footnoteReference w:id="1"/>
      </w:r>
      <w:r w:rsidR="00BC2CD3" w:rsidRPr="004600F7">
        <w:rPr>
          <w:rFonts w:hint="eastAsia"/>
          <w:sz w:val="24"/>
          <w:szCs w:val="24"/>
        </w:rPr>
        <w:t xml:space="preserve"> </w:t>
      </w:r>
      <w:r w:rsidR="009B0A4B" w:rsidRPr="004600F7">
        <w:rPr>
          <w:sz w:val="24"/>
          <w:szCs w:val="24"/>
        </w:rPr>
        <w:t>As one observer noted, the Treaty’s success in creating a ‘small and exclusive club’ of nuclear-armed states was greater than most policymaker</w:t>
      </w:r>
      <w:r w:rsidR="00AD775E" w:rsidRPr="004600F7">
        <w:rPr>
          <w:sz w:val="24"/>
          <w:szCs w:val="24"/>
        </w:rPr>
        <w:t>s</w:t>
      </w:r>
      <w:r w:rsidR="009B0A4B" w:rsidRPr="004600F7">
        <w:rPr>
          <w:sz w:val="24"/>
          <w:szCs w:val="24"/>
        </w:rPr>
        <w:t xml:space="preserve"> expected.</w:t>
      </w:r>
      <w:r w:rsidR="009B0A4B" w:rsidRPr="004600F7">
        <w:rPr>
          <w:rStyle w:val="FootnoteReference"/>
          <w:sz w:val="24"/>
          <w:szCs w:val="24"/>
        </w:rPr>
        <w:footnoteReference w:id="2"/>
      </w:r>
      <w:r w:rsidR="009B0A4B" w:rsidRPr="004600F7">
        <w:rPr>
          <w:sz w:val="24"/>
          <w:szCs w:val="24"/>
        </w:rPr>
        <w:t xml:space="preserve"> </w:t>
      </w:r>
      <w:r w:rsidR="00BC2CD3" w:rsidRPr="004600F7">
        <w:rPr>
          <w:sz w:val="24"/>
          <w:szCs w:val="24"/>
        </w:rPr>
        <w:t xml:space="preserve">Such observations emphasize the NPT’s success in </w:t>
      </w:r>
      <w:r w:rsidR="00AD775E" w:rsidRPr="004600F7">
        <w:rPr>
          <w:sz w:val="24"/>
          <w:szCs w:val="24"/>
        </w:rPr>
        <w:t xml:space="preserve">limiting </w:t>
      </w:r>
      <w:r w:rsidR="00BC2CD3" w:rsidRPr="004600F7">
        <w:rPr>
          <w:sz w:val="24"/>
          <w:szCs w:val="24"/>
        </w:rPr>
        <w:t>proliferation</w:t>
      </w:r>
      <w:r w:rsidR="008911FF" w:rsidRPr="004600F7">
        <w:rPr>
          <w:sz w:val="24"/>
          <w:szCs w:val="24"/>
        </w:rPr>
        <w:t>.</w:t>
      </w:r>
    </w:p>
    <w:p w14:paraId="10914FD5" w14:textId="36B220A0" w:rsidR="00037D6D" w:rsidRPr="004600F7" w:rsidRDefault="004600F7" w:rsidP="00111EB4">
      <w:pPr>
        <w:spacing w:after="0" w:line="480" w:lineRule="auto"/>
        <w:rPr>
          <w:sz w:val="24"/>
          <w:szCs w:val="24"/>
        </w:rPr>
      </w:pPr>
      <w:r>
        <w:rPr>
          <w:sz w:val="24"/>
          <w:szCs w:val="24"/>
        </w:rPr>
        <w:t xml:space="preserve">     </w:t>
      </w:r>
      <w:r w:rsidR="00037D6D" w:rsidRPr="004600F7">
        <w:rPr>
          <w:rFonts w:hint="eastAsia"/>
          <w:sz w:val="24"/>
          <w:szCs w:val="24"/>
        </w:rPr>
        <w:t xml:space="preserve">Fast forward to the present, critics are much less sanguine about the success of the NPT and observers warn of mounting strains on the regime. They highlight, among others, the </w:t>
      </w:r>
      <w:r w:rsidR="0094123D" w:rsidRPr="004600F7">
        <w:rPr>
          <w:sz w:val="24"/>
          <w:szCs w:val="24"/>
        </w:rPr>
        <w:t>unequal</w:t>
      </w:r>
      <w:r w:rsidR="00037D6D" w:rsidRPr="004600F7">
        <w:rPr>
          <w:rFonts w:hint="eastAsia"/>
          <w:sz w:val="24"/>
          <w:szCs w:val="24"/>
        </w:rPr>
        <w:t xml:space="preserve"> structure that privileges the nuclear weapons states (NWS) over the non-nuclear weapon states (NNWS); the delay in </w:t>
      </w:r>
      <w:r w:rsidR="00037D6D" w:rsidRPr="004600F7">
        <w:rPr>
          <w:sz w:val="24"/>
          <w:szCs w:val="24"/>
        </w:rPr>
        <w:t>nuclear</w:t>
      </w:r>
      <w:r w:rsidR="00037D6D" w:rsidRPr="004600F7">
        <w:rPr>
          <w:rFonts w:hint="eastAsia"/>
          <w:sz w:val="24"/>
          <w:szCs w:val="24"/>
        </w:rPr>
        <w:t xml:space="preserve"> disarmament; rogue regimes</w:t>
      </w:r>
      <w:r w:rsidR="00037D6D" w:rsidRPr="004600F7">
        <w:rPr>
          <w:sz w:val="24"/>
          <w:szCs w:val="24"/>
        </w:rPr>
        <w:t>’</w:t>
      </w:r>
      <w:r w:rsidR="00037D6D" w:rsidRPr="004600F7">
        <w:rPr>
          <w:rFonts w:hint="eastAsia"/>
          <w:sz w:val="24"/>
          <w:szCs w:val="24"/>
        </w:rPr>
        <w:t xml:space="preserve"> clandestine development of nuclear weapons programs; and the treaty</w:t>
      </w:r>
      <w:r w:rsidR="00037D6D" w:rsidRPr="004600F7">
        <w:rPr>
          <w:sz w:val="24"/>
          <w:szCs w:val="24"/>
        </w:rPr>
        <w:t>’</w:t>
      </w:r>
      <w:r w:rsidR="00037D6D" w:rsidRPr="004600F7">
        <w:rPr>
          <w:rFonts w:hint="eastAsia"/>
          <w:sz w:val="24"/>
          <w:szCs w:val="24"/>
        </w:rPr>
        <w:t>s inability to deal with nonparties.</w:t>
      </w:r>
      <w:r w:rsidR="00037D6D" w:rsidRPr="004600F7">
        <w:rPr>
          <w:rStyle w:val="FootnoteReference"/>
          <w:sz w:val="24"/>
          <w:szCs w:val="24"/>
        </w:rPr>
        <w:footnoteReference w:id="3"/>
      </w:r>
      <w:r w:rsidR="00037D6D" w:rsidRPr="004600F7">
        <w:rPr>
          <w:rFonts w:hint="eastAsia"/>
          <w:sz w:val="24"/>
          <w:szCs w:val="24"/>
        </w:rPr>
        <w:t xml:space="preserve"> </w:t>
      </w:r>
      <w:r w:rsidR="007C7C7B" w:rsidRPr="004600F7">
        <w:rPr>
          <w:rFonts w:hint="eastAsia"/>
          <w:sz w:val="24"/>
          <w:szCs w:val="24"/>
        </w:rPr>
        <w:t xml:space="preserve">Thus, some scholars and activist groups have entertained or advocated the idea of withdrawing from or </w:t>
      </w:r>
      <w:r w:rsidR="007C7C7B" w:rsidRPr="004600F7">
        <w:rPr>
          <w:sz w:val="24"/>
          <w:szCs w:val="24"/>
        </w:rPr>
        <w:t>replacing</w:t>
      </w:r>
      <w:r w:rsidR="007C7C7B" w:rsidRPr="004600F7">
        <w:rPr>
          <w:rFonts w:hint="eastAsia"/>
          <w:sz w:val="24"/>
          <w:szCs w:val="24"/>
        </w:rPr>
        <w:t xml:space="preserve"> the NPT altogether</w:t>
      </w:r>
      <w:r w:rsidR="00037D6D" w:rsidRPr="004600F7">
        <w:rPr>
          <w:rFonts w:hint="eastAsia"/>
          <w:sz w:val="24"/>
          <w:szCs w:val="24"/>
        </w:rPr>
        <w:t>.</w:t>
      </w:r>
      <w:r w:rsidR="00037D6D" w:rsidRPr="004600F7">
        <w:rPr>
          <w:rStyle w:val="FootnoteReference"/>
          <w:sz w:val="24"/>
          <w:szCs w:val="24"/>
        </w:rPr>
        <w:footnoteReference w:id="4"/>
      </w:r>
    </w:p>
    <w:p w14:paraId="5FF4C51A" w14:textId="3E80802E" w:rsidR="00BC2CD3" w:rsidRPr="004600F7" w:rsidRDefault="004600F7" w:rsidP="00111EB4">
      <w:pPr>
        <w:spacing w:after="0" w:line="480" w:lineRule="auto"/>
        <w:rPr>
          <w:sz w:val="24"/>
          <w:szCs w:val="24"/>
        </w:rPr>
      </w:pPr>
      <w:r>
        <w:rPr>
          <w:sz w:val="24"/>
          <w:szCs w:val="24"/>
        </w:rPr>
        <w:t xml:space="preserve">     </w:t>
      </w:r>
      <w:r w:rsidR="00935C65" w:rsidRPr="004600F7">
        <w:rPr>
          <w:rFonts w:hint="eastAsia"/>
          <w:sz w:val="24"/>
          <w:szCs w:val="24"/>
        </w:rPr>
        <w:t>T</w:t>
      </w:r>
      <w:r w:rsidR="00935C65" w:rsidRPr="004600F7">
        <w:rPr>
          <w:sz w:val="24"/>
          <w:szCs w:val="24"/>
        </w:rPr>
        <w:t>h</w:t>
      </w:r>
      <w:r w:rsidR="00935C65" w:rsidRPr="004600F7">
        <w:rPr>
          <w:rFonts w:hint="eastAsia"/>
          <w:sz w:val="24"/>
          <w:szCs w:val="24"/>
        </w:rPr>
        <w:t xml:space="preserve">e effectiveness of the NPT has been assessed, implicitly or explicitly, primarily </w:t>
      </w:r>
      <w:r w:rsidR="004A2CC4">
        <w:rPr>
          <w:rFonts w:hint="eastAsia"/>
          <w:sz w:val="24"/>
          <w:szCs w:val="24"/>
        </w:rPr>
        <w:t>through</w:t>
      </w:r>
      <w:r w:rsidR="00935C65" w:rsidRPr="004600F7">
        <w:rPr>
          <w:rFonts w:hint="eastAsia"/>
          <w:sz w:val="24"/>
          <w:szCs w:val="24"/>
        </w:rPr>
        <w:t xml:space="preserve"> whether it has </w:t>
      </w:r>
      <w:r w:rsidR="00935C65" w:rsidRPr="00C345E3">
        <w:rPr>
          <w:rFonts w:hint="eastAsia"/>
          <w:sz w:val="24"/>
          <w:szCs w:val="24"/>
        </w:rPr>
        <w:t>prevented</w:t>
      </w:r>
      <w:r w:rsidR="00935C65" w:rsidRPr="004600F7">
        <w:rPr>
          <w:rFonts w:hint="eastAsia"/>
          <w:sz w:val="24"/>
          <w:szCs w:val="24"/>
        </w:rPr>
        <w:t xml:space="preserve"> </w:t>
      </w:r>
      <w:r w:rsidR="000E3156" w:rsidRPr="004600F7">
        <w:rPr>
          <w:sz w:val="24"/>
          <w:szCs w:val="24"/>
        </w:rPr>
        <w:t xml:space="preserve">proliferation activities and </w:t>
      </w:r>
      <w:r w:rsidR="00935C65" w:rsidRPr="004600F7">
        <w:rPr>
          <w:rFonts w:hint="eastAsia"/>
          <w:sz w:val="24"/>
          <w:szCs w:val="24"/>
        </w:rPr>
        <w:t>the emergence of new nuclear-armed states</w:t>
      </w:r>
      <w:r w:rsidR="000E3156" w:rsidRPr="004600F7">
        <w:rPr>
          <w:sz w:val="24"/>
          <w:szCs w:val="24"/>
        </w:rPr>
        <w:t>.</w:t>
      </w:r>
      <w:r w:rsidR="00935C65" w:rsidRPr="004600F7">
        <w:rPr>
          <w:rFonts w:hint="eastAsia"/>
          <w:sz w:val="24"/>
          <w:szCs w:val="24"/>
        </w:rPr>
        <w:t xml:space="preserve"> In this framing, success is measured by the absence of </w:t>
      </w:r>
      <w:r w:rsidR="00AF3113">
        <w:rPr>
          <w:sz w:val="24"/>
          <w:szCs w:val="24"/>
        </w:rPr>
        <w:t xml:space="preserve">proliferation activities and </w:t>
      </w:r>
      <w:r w:rsidR="00935C65" w:rsidRPr="004600F7">
        <w:rPr>
          <w:rFonts w:hint="eastAsia"/>
          <w:sz w:val="24"/>
          <w:szCs w:val="24"/>
        </w:rPr>
        <w:t xml:space="preserve">additional proliferators; failure is signaled by </w:t>
      </w:r>
      <w:r w:rsidR="000E3156" w:rsidRPr="004600F7">
        <w:rPr>
          <w:sz w:val="24"/>
          <w:szCs w:val="24"/>
        </w:rPr>
        <w:t xml:space="preserve">proliferation efforts and </w:t>
      </w:r>
      <w:r w:rsidR="00935C65" w:rsidRPr="004600F7">
        <w:rPr>
          <w:rFonts w:hint="eastAsia"/>
          <w:sz w:val="24"/>
          <w:szCs w:val="24"/>
        </w:rPr>
        <w:t>appearance of any new nuclear-armed state.</w:t>
      </w:r>
      <w:r w:rsidR="00AD775E" w:rsidRPr="004600F7">
        <w:rPr>
          <w:rStyle w:val="FootnoteReference"/>
          <w:sz w:val="24"/>
          <w:szCs w:val="24"/>
        </w:rPr>
        <w:footnoteReference w:id="5"/>
      </w:r>
      <w:r w:rsidR="00935C65" w:rsidRPr="004600F7">
        <w:rPr>
          <w:rFonts w:hint="eastAsia"/>
          <w:sz w:val="24"/>
          <w:szCs w:val="24"/>
        </w:rPr>
        <w:t xml:space="preserve"> This lens has deep roots in both arms control theory and international </w:t>
      </w:r>
      <w:r w:rsidR="00935C65" w:rsidRPr="004600F7">
        <w:rPr>
          <w:rFonts w:hint="eastAsia"/>
          <w:sz w:val="24"/>
          <w:szCs w:val="24"/>
        </w:rPr>
        <w:lastRenderedPageBreak/>
        <w:t>relations scholarship, where the prevention and deterrence functions of regimes are often foregrounded as the primary measure of institutional performance.</w:t>
      </w:r>
      <w:r w:rsidR="00935C65" w:rsidRPr="004600F7">
        <w:rPr>
          <w:rStyle w:val="FootnoteReference"/>
          <w:sz w:val="24"/>
          <w:szCs w:val="24"/>
        </w:rPr>
        <w:footnoteReference w:id="6"/>
      </w:r>
      <w:r w:rsidR="00935C65" w:rsidRPr="004600F7">
        <w:rPr>
          <w:rFonts w:hint="eastAsia"/>
          <w:sz w:val="24"/>
          <w:szCs w:val="24"/>
        </w:rPr>
        <w:t xml:space="preserve"> Such assessments have produced a </w:t>
      </w:r>
      <w:r w:rsidR="00935C65" w:rsidRPr="004600F7">
        <w:rPr>
          <w:sz w:val="24"/>
          <w:szCs w:val="24"/>
        </w:rPr>
        <w:t>recurring</w:t>
      </w:r>
      <w:r w:rsidR="00935C65" w:rsidRPr="004600F7">
        <w:rPr>
          <w:rFonts w:hint="eastAsia"/>
          <w:sz w:val="24"/>
          <w:szCs w:val="24"/>
        </w:rPr>
        <w:t xml:space="preserve"> narrative: while the NPT has </w:t>
      </w:r>
      <w:r w:rsidR="00935C65" w:rsidRPr="004600F7">
        <w:rPr>
          <w:sz w:val="24"/>
          <w:szCs w:val="24"/>
        </w:rPr>
        <w:t>‘</w:t>
      </w:r>
      <w:r w:rsidR="00935C65" w:rsidRPr="004600F7">
        <w:rPr>
          <w:rFonts w:hint="eastAsia"/>
          <w:sz w:val="24"/>
          <w:szCs w:val="24"/>
        </w:rPr>
        <w:t>succeeded</w:t>
      </w:r>
      <w:r w:rsidR="00935C65" w:rsidRPr="004600F7">
        <w:rPr>
          <w:sz w:val="24"/>
          <w:szCs w:val="24"/>
        </w:rPr>
        <w:t>’</w:t>
      </w:r>
      <w:r w:rsidR="00935C65" w:rsidRPr="004600F7">
        <w:rPr>
          <w:rFonts w:hint="eastAsia"/>
          <w:sz w:val="24"/>
          <w:szCs w:val="24"/>
        </w:rPr>
        <w:t xml:space="preserve"> in limiting the spread of nuclear weapons overall, it has </w:t>
      </w:r>
      <w:r w:rsidR="00935C65" w:rsidRPr="004600F7">
        <w:rPr>
          <w:sz w:val="24"/>
          <w:szCs w:val="24"/>
        </w:rPr>
        <w:t>‘</w:t>
      </w:r>
      <w:r w:rsidR="00935C65" w:rsidRPr="004600F7">
        <w:rPr>
          <w:rFonts w:hint="eastAsia"/>
          <w:sz w:val="24"/>
          <w:szCs w:val="24"/>
        </w:rPr>
        <w:t>failed</w:t>
      </w:r>
      <w:r w:rsidR="00935C65" w:rsidRPr="004600F7">
        <w:rPr>
          <w:sz w:val="24"/>
          <w:szCs w:val="24"/>
        </w:rPr>
        <w:t>’</w:t>
      </w:r>
      <w:r w:rsidR="00935C65" w:rsidRPr="004600F7">
        <w:rPr>
          <w:rFonts w:hint="eastAsia"/>
          <w:sz w:val="24"/>
          <w:szCs w:val="24"/>
        </w:rPr>
        <w:t xml:space="preserve"> in high-profile cases where determined states have pursued </w:t>
      </w:r>
      <w:r w:rsidR="00702CBA" w:rsidRPr="004600F7">
        <w:rPr>
          <w:sz w:val="24"/>
          <w:szCs w:val="24"/>
        </w:rPr>
        <w:t>or</w:t>
      </w:r>
      <w:r w:rsidR="00935C65" w:rsidRPr="004600F7">
        <w:rPr>
          <w:rFonts w:hint="eastAsia"/>
          <w:sz w:val="24"/>
          <w:szCs w:val="24"/>
        </w:rPr>
        <w:t xml:space="preserve"> obtained nuclear weapons capability.</w:t>
      </w:r>
      <w:r w:rsidR="00FB0F7E" w:rsidRPr="004600F7">
        <w:rPr>
          <w:rStyle w:val="FootnoteReference"/>
          <w:sz w:val="24"/>
          <w:szCs w:val="24"/>
        </w:rPr>
        <w:footnoteReference w:id="7"/>
      </w:r>
      <w:r w:rsidR="00935C65" w:rsidRPr="004600F7">
        <w:rPr>
          <w:rFonts w:hint="eastAsia"/>
          <w:sz w:val="24"/>
          <w:szCs w:val="24"/>
        </w:rPr>
        <w:t xml:space="preserve"> These assessments dominate review conference debates, where the number of </w:t>
      </w:r>
      <w:r w:rsidR="00935C65" w:rsidRPr="004600F7">
        <w:rPr>
          <w:sz w:val="24"/>
          <w:szCs w:val="24"/>
        </w:rPr>
        <w:t>nuclear</w:t>
      </w:r>
      <w:r w:rsidR="00935C65" w:rsidRPr="004600F7">
        <w:rPr>
          <w:rFonts w:hint="eastAsia"/>
          <w:sz w:val="24"/>
          <w:szCs w:val="24"/>
        </w:rPr>
        <w:t>-armed states is cited as a barometer of the treaty</w:t>
      </w:r>
      <w:r w:rsidR="00935C65" w:rsidRPr="004600F7">
        <w:rPr>
          <w:sz w:val="24"/>
          <w:szCs w:val="24"/>
        </w:rPr>
        <w:t>’</w:t>
      </w:r>
      <w:r w:rsidR="00935C65" w:rsidRPr="004600F7">
        <w:rPr>
          <w:rFonts w:hint="eastAsia"/>
          <w:sz w:val="24"/>
          <w:szCs w:val="24"/>
        </w:rPr>
        <w:t>s health.</w:t>
      </w:r>
      <w:r w:rsidR="00935C65" w:rsidRPr="004600F7">
        <w:rPr>
          <w:rStyle w:val="FootnoteReference"/>
          <w:sz w:val="24"/>
          <w:szCs w:val="24"/>
        </w:rPr>
        <w:footnoteReference w:id="8"/>
      </w:r>
    </w:p>
    <w:p w14:paraId="248312E8" w14:textId="77777777" w:rsidR="00521FBC" w:rsidRDefault="004600F7" w:rsidP="00111EB4">
      <w:pPr>
        <w:spacing w:after="0" w:line="480" w:lineRule="auto"/>
        <w:rPr>
          <w:sz w:val="24"/>
          <w:szCs w:val="24"/>
        </w:rPr>
      </w:pPr>
      <w:r>
        <w:rPr>
          <w:sz w:val="24"/>
          <w:szCs w:val="24"/>
        </w:rPr>
        <w:t xml:space="preserve">     </w:t>
      </w:r>
      <w:r w:rsidR="00AF3113">
        <w:rPr>
          <w:sz w:val="24"/>
          <w:szCs w:val="24"/>
        </w:rPr>
        <w:t xml:space="preserve">The </w:t>
      </w:r>
      <w:r w:rsidR="004A2CC4">
        <w:rPr>
          <w:rFonts w:hint="eastAsia"/>
          <w:sz w:val="24"/>
          <w:szCs w:val="24"/>
        </w:rPr>
        <w:t>attention paid to the failure to deter or punish violators has also drawn the literature</w:t>
      </w:r>
      <w:r w:rsidR="004A2CC4">
        <w:rPr>
          <w:sz w:val="24"/>
          <w:szCs w:val="24"/>
        </w:rPr>
        <w:t>’</w:t>
      </w:r>
      <w:r w:rsidR="004A2CC4">
        <w:rPr>
          <w:rFonts w:hint="eastAsia"/>
          <w:sz w:val="24"/>
          <w:szCs w:val="24"/>
        </w:rPr>
        <w:t>s focus to</w:t>
      </w:r>
      <w:r w:rsidR="00AF3113">
        <w:rPr>
          <w:sz w:val="24"/>
          <w:szCs w:val="24"/>
        </w:rPr>
        <w:t xml:space="preserve"> the limits of </w:t>
      </w:r>
      <w:r w:rsidR="00F84839" w:rsidRPr="004600F7">
        <w:rPr>
          <w:sz w:val="24"/>
          <w:szCs w:val="24"/>
        </w:rPr>
        <w:t>enforcement</w:t>
      </w:r>
      <w:r w:rsidR="008C7628" w:rsidRPr="004600F7">
        <w:rPr>
          <w:sz w:val="24"/>
          <w:szCs w:val="24"/>
        </w:rPr>
        <w:t>,</w:t>
      </w:r>
      <w:r w:rsidR="00AF3113">
        <w:rPr>
          <w:rStyle w:val="FootnoteReference"/>
          <w:sz w:val="24"/>
          <w:szCs w:val="24"/>
        </w:rPr>
        <w:footnoteReference w:id="9"/>
      </w:r>
      <w:r w:rsidR="008C7628" w:rsidRPr="004600F7">
        <w:rPr>
          <w:sz w:val="24"/>
          <w:szCs w:val="24"/>
        </w:rPr>
        <w:t xml:space="preserve"> </w:t>
      </w:r>
      <w:r w:rsidR="004A2CC4">
        <w:rPr>
          <w:rFonts w:hint="eastAsia"/>
          <w:sz w:val="24"/>
          <w:szCs w:val="24"/>
        </w:rPr>
        <w:t>that is</w:t>
      </w:r>
      <w:r w:rsidR="008C7628" w:rsidRPr="004600F7">
        <w:rPr>
          <w:sz w:val="24"/>
          <w:szCs w:val="24"/>
        </w:rPr>
        <w:t xml:space="preserve">, the </w:t>
      </w:r>
      <w:r w:rsidR="0038318B">
        <w:rPr>
          <w:sz w:val="24"/>
          <w:szCs w:val="24"/>
        </w:rPr>
        <w:t>use</w:t>
      </w:r>
      <w:r w:rsidR="00AF3113">
        <w:rPr>
          <w:sz w:val="24"/>
          <w:szCs w:val="24"/>
        </w:rPr>
        <w:t xml:space="preserve"> of corrective measures or </w:t>
      </w:r>
      <w:r w:rsidR="007F4143" w:rsidRPr="004600F7">
        <w:rPr>
          <w:sz w:val="24"/>
          <w:szCs w:val="24"/>
        </w:rPr>
        <w:t>punish</w:t>
      </w:r>
      <w:r w:rsidR="00AF3113">
        <w:rPr>
          <w:sz w:val="24"/>
          <w:szCs w:val="24"/>
        </w:rPr>
        <w:t>ment</w:t>
      </w:r>
      <w:r w:rsidR="007F4143" w:rsidRPr="004600F7">
        <w:rPr>
          <w:sz w:val="24"/>
          <w:szCs w:val="24"/>
        </w:rPr>
        <w:t xml:space="preserve"> </w:t>
      </w:r>
      <w:r w:rsidR="00AF3113">
        <w:rPr>
          <w:sz w:val="24"/>
          <w:szCs w:val="24"/>
        </w:rPr>
        <w:t xml:space="preserve">to </w:t>
      </w:r>
      <w:r w:rsidR="008C7628" w:rsidRPr="004600F7">
        <w:rPr>
          <w:sz w:val="24"/>
          <w:szCs w:val="24"/>
        </w:rPr>
        <w:t xml:space="preserve">bring </w:t>
      </w:r>
      <w:r w:rsidR="006441EC" w:rsidRPr="004600F7">
        <w:rPr>
          <w:sz w:val="24"/>
          <w:szCs w:val="24"/>
        </w:rPr>
        <w:t>violators</w:t>
      </w:r>
      <w:r w:rsidR="008C7628" w:rsidRPr="004600F7">
        <w:rPr>
          <w:sz w:val="24"/>
          <w:szCs w:val="24"/>
        </w:rPr>
        <w:t xml:space="preserve"> back </w:t>
      </w:r>
      <w:r w:rsidR="00AF3113">
        <w:rPr>
          <w:sz w:val="24"/>
          <w:szCs w:val="24"/>
        </w:rPr>
        <w:t>in</w:t>
      </w:r>
      <w:r w:rsidR="008C7628" w:rsidRPr="004600F7">
        <w:rPr>
          <w:sz w:val="24"/>
          <w:szCs w:val="24"/>
        </w:rPr>
        <w:t>to compliance</w:t>
      </w:r>
      <w:r w:rsidR="00F84839" w:rsidRPr="004600F7">
        <w:rPr>
          <w:sz w:val="24"/>
          <w:szCs w:val="24"/>
        </w:rPr>
        <w:t>.</w:t>
      </w:r>
      <w:r w:rsidR="00AF3113">
        <w:rPr>
          <w:rStyle w:val="FootnoteReference"/>
          <w:sz w:val="24"/>
          <w:szCs w:val="24"/>
        </w:rPr>
        <w:footnoteReference w:id="10"/>
      </w:r>
      <w:r w:rsidR="009D0390" w:rsidRPr="004600F7">
        <w:rPr>
          <w:sz w:val="24"/>
          <w:szCs w:val="24"/>
        </w:rPr>
        <w:t xml:space="preserve"> Yet </w:t>
      </w:r>
      <w:r w:rsidR="0076020F">
        <w:rPr>
          <w:sz w:val="24"/>
          <w:szCs w:val="24"/>
        </w:rPr>
        <w:t xml:space="preserve">enforcement </w:t>
      </w:r>
      <w:r w:rsidR="0038318B">
        <w:rPr>
          <w:sz w:val="24"/>
          <w:szCs w:val="24"/>
        </w:rPr>
        <w:t xml:space="preserve">is only </w:t>
      </w:r>
      <w:r w:rsidR="0076020F">
        <w:rPr>
          <w:sz w:val="24"/>
          <w:szCs w:val="24"/>
        </w:rPr>
        <w:t xml:space="preserve">half the story </w:t>
      </w:r>
      <w:r w:rsidR="004A2CC4">
        <w:rPr>
          <w:rFonts w:hint="eastAsia"/>
          <w:sz w:val="24"/>
          <w:szCs w:val="24"/>
        </w:rPr>
        <w:t>when assessing key institutions in the nonproliferation regime</w:t>
      </w:r>
      <w:r w:rsidR="0076020F">
        <w:rPr>
          <w:sz w:val="24"/>
          <w:szCs w:val="24"/>
        </w:rPr>
        <w:t xml:space="preserve">, namely the NPT and the IAEA, </w:t>
      </w:r>
      <w:r w:rsidR="00C345E3">
        <w:rPr>
          <w:rFonts w:hint="eastAsia"/>
          <w:sz w:val="24"/>
          <w:szCs w:val="24"/>
        </w:rPr>
        <w:t>because</w:t>
      </w:r>
      <w:r w:rsidR="0076020F">
        <w:rPr>
          <w:sz w:val="24"/>
          <w:szCs w:val="24"/>
        </w:rPr>
        <w:t xml:space="preserve"> </w:t>
      </w:r>
      <w:r w:rsidR="009D0390" w:rsidRPr="004600F7">
        <w:rPr>
          <w:sz w:val="24"/>
          <w:szCs w:val="24"/>
        </w:rPr>
        <w:t xml:space="preserve">neither </w:t>
      </w:r>
      <w:r w:rsidR="00C345E3">
        <w:rPr>
          <w:rFonts w:hint="eastAsia"/>
          <w:sz w:val="24"/>
          <w:szCs w:val="24"/>
        </w:rPr>
        <w:t xml:space="preserve">is </w:t>
      </w:r>
      <w:r w:rsidR="002F6724" w:rsidRPr="004600F7">
        <w:rPr>
          <w:sz w:val="24"/>
          <w:szCs w:val="24"/>
        </w:rPr>
        <w:t>designed</w:t>
      </w:r>
      <w:r w:rsidR="00F20C29" w:rsidRPr="004600F7">
        <w:rPr>
          <w:sz w:val="24"/>
          <w:szCs w:val="24"/>
        </w:rPr>
        <w:t xml:space="preserve"> </w:t>
      </w:r>
      <w:r w:rsidR="0076020F">
        <w:rPr>
          <w:sz w:val="24"/>
          <w:szCs w:val="24"/>
        </w:rPr>
        <w:t>n</w:t>
      </w:r>
      <w:r w:rsidR="00F20C29" w:rsidRPr="004600F7">
        <w:rPr>
          <w:sz w:val="24"/>
          <w:szCs w:val="24"/>
        </w:rPr>
        <w:t>or empowered</w:t>
      </w:r>
      <w:r w:rsidR="009D0390" w:rsidRPr="004600F7">
        <w:rPr>
          <w:sz w:val="24"/>
          <w:szCs w:val="24"/>
        </w:rPr>
        <w:t xml:space="preserve"> to</w:t>
      </w:r>
      <w:r w:rsidR="00F20C29" w:rsidRPr="004600F7">
        <w:rPr>
          <w:sz w:val="24"/>
          <w:szCs w:val="24"/>
        </w:rPr>
        <w:t xml:space="preserve"> </w:t>
      </w:r>
      <w:r w:rsidR="009D0390" w:rsidRPr="004600F7">
        <w:rPr>
          <w:sz w:val="24"/>
          <w:szCs w:val="24"/>
        </w:rPr>
        <w:t>enforce.</w:t>
      </w:r>
      <w:r w:rsidR="0076020F">
        <w:rPr>
          <w:rStyle w:val="FootnoteReference"/>
          <w:sz w:val="24"/>
          <w:szCs w:val="24"/>
        </w:rPr>
        <w:footnoteReference w:id="11"/>
      </w:r>
      <w:r w:rsidR="009D0390" w:rsidRPr="004600F7">
        <w:rPr>
          <w:sz w:val="24"/>
          <w:szCs w:val="24"/>
        </w:rPr>
        <w:t xml:space="preserve"> </w:t>
      </w:r>
    </w:p>
    <w:p w14:paraId="18F17269" w14:textId="0AF96156" w:rsidR="006441EC" w:rsidRPr="004600F7" w:rsidRDefault="00521FBC" w:rsidP="00111EB4">
      <w:pPr>
        <w:spacing w:after="0" w:line="480" w:lineRule="auto"/>
        <w:rPr>
          <w:sz w:val="24"/>
          <w:szCs w:val="24"/>
        </w:rPr>
      </w:pPr>
      <w:r>
        <w:rPr>
          <w:rFonts w:hint="eastAsia"/>
          <w:sz w:val="24"/>
          <w:szCs w:val="24"/>
        </w:rPr>
        <w:t xml:space="preserve">     </w:t>
      </w:r>
      <w:r w:rsidR="0076020F">
        <w:rPr>
          <w:sz w:val="24"/>
          <w:szCs w:val="24"/>
        </w:rPr>
        <w:t>Instead, as argue</w:t>
      </w:r>
      <w:r w:rsidR="00B7649D">
        <w:rPr>
          <w:sz w:val="24"/>
          <w:szCs w:val="24"/>
        </w:rPr>
        <w:t>d</w:t>
      </w:r>
      <w:r w:rsidR="0076020F">
        <w:rPr>
          <w:sz w:val="24"/>
          <w:szCs w:val="24"/>
        </w:rPr>
        <w:t xml:space="preserve"> in this paper, the NPT and IAEA </w:t>
      </w:r>
      <w:r w:rsidR="00B7649D">
        <w:rPr>
          <w:sz w:val="24"/>
          <w:szCs w:val="24"/>
        </w:rPr>
        <w:t>contribute</w:t>
      </w:r>
      <w:r w:rsidR="0076020F">
        <w:rPr>
          <w:sz w:val="24"/>
          <w:szCs w:val="24"/>
        </w:rPr>
        <w:t xml:space="preserve"> to the nonproliferation regime </w:t>
      </w:r>
      <w:r w:rsidR="00B7649D">
        <w:rPr>
          <w:sz w:val="24"/>
          <w:szCs w:val="24"/>
        </w:rPr>
        <w:t>through</w:t>
      </w:r>
      <w:r w:rsidR="0076020F">
        <w:rPr>
          <w:sz w:val="24"/>
          <w:szCs w:val="24"/>
        </w:rPr>
        <w:t xml:space="preserve"> the detection function</w:t>
      </w:r>
      <w:r w:rsidR="00C345E3">
        <w:rPr>
          <w:rFonts w:hint="eastAsia"/>
          <w:sz w:val="24"/>
          <w:szCs w:val="24"/>
        </w:rPr>
        <w:t>.</w:t>
      </w:r>
      <w:r w:rsidR="0076020F">
        <w:rPr>
          <w:sz w:val="24"/>
          <w:szCs w:val="24"/>
        </w:rPr>
        <w:t xml:space="preserve"> </w:t>
      </w:r>
      <w:r w:rsidR="00C345E3">
        <w:rPr>
          <w:rFonts w:hint="eastAsia"/>
          <w:sz w:val="24"/>
          <w:szCs w:val="24"/>
        </w:rPr>
        <w:t xml:space="preserve">Composed of the screening, monitoring, and verification (SMV) mechanisms, the detection function </w:t>
      </w:r>
      <w:r w:rsidR="0076020F">
        <w:rPr>
          <w:sz w:val="24"/>
          <w:szCs w:val="24"/>
        </w:rPr>
        <w:t>reveal</w:t>
      </w:r>
      <w:r w:rsidR="00C345E3">
        <w:rPr>
          <w:rFonts w:hint="eastAsia"/>
          <w:sz w:val="24"/>
          <w:szCs w:val="24"/>
        </w:rPr>
        <w:t>s</w:t>
      </w:r>
      <w:r w:rsidR="0076020F">
        <w:rPr>
          <w:sz w:val="24"/>
          <w:szCs w:val="24"/>
        </w:rPr>
        <w:t>, document</w:t>
      </w:r>
      <w:r w:rsidR="00C345E3">
        <w:rPr>
          <w:rFonts w:hint="eastAsia"/>
          <w:sz w:val="24"/>
          <w:szCs w:val="24"/>
        </w:rPr>
        <w:t>s</w:t>
      </w:r>
      <w:r w:rsidR="0076020F">
        <w:rPr>
          <w:sz w:val="24"/>
          <w:szCs w:val="24"/>
        </w:rPr>
        <w:t>, and escalat</w:t>
      </w:r>
      <w:r w:rsidR="00C345E3">
        <w:rPr>
          <w:rFonts w:hint="eastAsia"/>
          <w:sz w:val="24"/>
          <w:szCs w:val="24"/>
        </w:rPr>
        <w:t>es</w:t>
      </w:r>
      <w:r w:rsidR="0076020F">
        <w:rPr>
          <w:sz w:val="24"/>
          <w:szCs w:val="24"/>
        </w:rPr>
        <w:t xml:space="preserve"> proliferative behaviors. </w:t>
      </w:r>
      <w:r w:rsidR="00A80D54">
        <w:rPr>
          <w:sz w:val="24"/>
          <w:szCs w:val="24"/>
        </w:rPr>
        <w:t>This process generates authoritative</w:t>
      </w:r>
      <w:r w:rsidR="00A80D54">
        <w:rPr>
          <w:rFonts w:hint="eastAsia"/>
          <w:sz w:val="24"/>
          <w:szCs w:val="24"/>
        </w:rPr>
        <w:t xml:space="preserve"> information, </w:t>
      </w:r>
      <w:r w:rsidR="00A80D54">
        <w:rPr>
          <w:sz w:val="24"/>
          <w:szCs w:val="24"/>
        </w:rPr>
        <w:t xml:space="preserve">that is, </w:t>
      </w:r>
      <w:r w:rsidR="00A80D54">
        <w:rPr>
          <w:rFonts w:hint="eastAsia"/>
          <w:sz w:val="24"/>
          <w:szCs w:val="24"/>
        </w:rPr>
        <w:t>knowledge produced through specialized technical expertise and institutional impartiality, whereby findings are generated through rule-bound, politically independent procedures that render them credible to the international community as a basis for collective action.</w:t>
      </w:r>
      <w:r w:rsidR="00A80D54">
        <w:rPr>
          <w:rStyle w:val="FootnoteReference"/>
          <w:sz w:val="24"/>
          <w:szCs w:val="24"/>
        </w:rPr>
        <w:footnoteReference w:id="12"/>
      </w:r>
      <w:r w:rsidR="00A80D54">
        <w:rPr>
          <w:rFonts w:hint="eastAsia"/>
          <w:sz w:val="24"/>
          <w:szCs w:val="24"/>
        </w:rPr>
        <w:t xml:space="preserve"> </w:t>
      </w:r>
      <w:r w:rsidR="00A80D54">
        <w:rPr>
          <w:sz w:val="24"/>
          <w:szCs w:val="24"/>
        </w:rPr>
        <w:t xml:space="preserve">Such </w:t>
      </w:r>
      <w:r w:rsidR="00C345E3">
        <w:rPr>
          <w:rFonts w:hint="eastAsia"/>
          <w:sz w:val="24"/>
          <w:szCs w:val="24"/>
        </w:rPr>
        <w:t xml:space="preserve">information, in turn, mobilizes collective responses, shapes diplomatic engagement, and </w:t>
      </w:r>
      <w:r w:rsidR="00C345E3">
        <w:rPr>
          <w:rFonts w:hint="eastAsia"/>
          <w:sz w:val="24"/>
          <w:szCs w:val="24"/>
        </w:rPr>
        <w:lastRenderedPageBreak/>
        <w:t>legitimizes enforcement, which creates the conditions that make enforcement possible.</w:t>
      </w:r>
      <w:r w:rsidR="00C345E3">
        <w:rPr>
          <w:rStyle w:val="FootnoteReference"/>
          <w:sz w:val="24"/>
          <w:szCs w:val="24"/>
        </w:rPr>
        <w:footnoteReference w:id="13"/>
      </w:r>
      <w:r w:rsidR="00C345E3">
        <w:rPr>
          <w:rFonts w:hint="eastAsia"/>
          <w:sz w:val="24"/>
          <w:szCs w:val="24"/>
        </w:rPr>
        <w:t xml:space="preserve"> </w:t>
      </w:r>
      <w:r w:rsidR="0076020F">
        <w:rPr>
          <w:sz w:val="24"/>
          <w:szCs w:val="24"/>
        </w:rPr>
        <w:t>Literature on international cooperation recognizes that enforcement and detection are related b</w:t>
      </w:r>
      <w:r w:rsidR="00B7649D">
        <w:rPr>
          <w:sz w:val="24"/>
          <w:szCs w:val="24"/>
        </w:rPr>
        <w:t>ut</w:t>
      </w:r>
      <w:r w:rsidR="0076020F">
        <w:rPr>
          <w:sz w:val="24"/>
          <w:szCs w:val="24"/>
        </w:rPr>
        <w:t xml:space="preserve"> analytically distinct functions</w:t>
      </w:r>
      <w:r w:rsidR="00B7649D">
        <w:rPr>
          <w:sz w:val="24"/>
          <w:szCs w:val="24"/>
        </w:rPr>
        <w:t>, both of which</w:t>
      </w:r>
      <w:r w:rsidR="0076020F">
        <w:rPr>
          <w:sz w:val="24"/>
          <w:szCs w:val="24"/>
        </w:rPr>
        <w:t xml:space="preserve"> strengthen compliance and cooperation. </w:t>
      </w:r>
      <w:r w:rsidR="00B7649D">
        <w:rPr>
          <w:sz w:val="24"/>
          <w:szCs w:val="24"/>
        </w:rPr>
        <w:t>Crucially</w:t>
      </w:r>
      <w:r w:rsidR="0076020F">
        <w:rPr>
          <w:sz w:val="24"/>
          <w:szCs w:val="24"/>
        </w:rPr>
        <w:t>, enforcers</w:t>
      </w:r>
      <w:r w:rsidR="00DF27C7">
        <w:rPr>
          <w:rFonts w:hint="eastAsia"/>
          <w:sz w:val="24"/>
          <w:szCs w:val="24"/>
        </w:rPr>
        <w:t xml:space="preserve"> such as the United Nations Security Council (UNSC)</w:t>
      </w:r>
      <w:r w:rsidR="0076020F">
        <w:rPr>
          <w:sz w:val="24"/>
          <w:szCs w:val="24"/>
        </w:rPr>
        <w:t xml:space="preserve"> </w:t>
      </w:r>
      <w:r w:rsidR="00B7649D">
        <w:rPr>
          <w:sz w:val="24"/>
          <w:szCs w:val="24"/>
        </w:rPr>
        <w:t>can only apply enforcement measures</w:t>
      </w:r>
      <w:r w:rsidR="0076020F">
        <w:rPr>
          <w:sz w:val="24"/>
          <w:szCs w:val="24"/>
        </w:rPr>
        <w:t xml:space="preserve"> </w:t>
      </w:r>
      <w:r w:rsidR="00B7649D">
        <w:rPr>
          <w:sz w:val="24"/>
          <w:szCs w:val="24"/>
        </w:rPr>
        <w:t>once violations have been detected</w:t>
      </w:r>
      <w:r w:rsidR="0076020F">
        <w:rPr>
          <w:sz w:val="24"/>
          <w:szCs w:val="24"/>
        </w:rPr>
        <w:t>.</w:t>
      </w:r>
      <w:r w:rsidR="0076020F">
        <w:rPr>
          <w:rStyle w:val="FootnoteReference"/>
          <w:sz w:val="24"/>
          <w:szCs w:val="24"/>
        </w:rPr>
        <w:footnoteReference w:id="14"/>
      </w:r>
      <w:r w:rsidR="00F72265">
        <w:rPr>
          <w:sz w:val="24"/>
          <w:szCs w:val="24"/>
        </w:rPr>
        <w:t xml:space="preserve"> </w:t>
      </w:r>
      <w:r w:rsidR="00B7649D">
        <w:rPr>
          <w:sz w:val="24"/>
          <w:szCs w:val="24"/>
        </w:rPr>
        <w:t>B</w:t>
      </w:r>
      <w:r w:rsidR="00DB7B1E">
        <w:rPr>
          <w:sz w:val="24"/>
          <w:szCs w:val="24"/>
        </w:rPr>
        <w:t xml:space="preserve">y institutionalizing violation detection and reporting, </w:t>
      </w:r>
      <w:r w:rsidR="00C345E3">
        <w:rPr>
          <w:rFonts w:hint="eastAsia"/>
          <w:sz w:val="24"/>
          <w:szCs w:val="24"/>
        </w:rPr>
        <w:t>the NPT and IAEA thus facilitate enforcement by building up the sequential precondition</w:t>
      </w:r>
      <w:r w:rsidR="00DB7B1E">
        <w:rPr>
          <w:sz w:val="24"/>
          <w:szCs w:val="24"/>
        </w:rPr>
        <w:t xml:space="preserve">. </w:t>
      </w:r>
      <w:r w:rsidR="00B7649D">
        <w:rPr>
          <w:sz w:val="24"/>
          <w:szCs w:val="24"/>
        </w:rPr>
        <w:t>A</w:t>
      </w:r>
      <w:r w:rsidR="00F72265">
        <w:rPr>
          <w:sz w:val="24"/>
          <w:szCs w:val="24"/>
        </w:rPr>
        <w:t xml:space="preserve">ssessing the NPT and IAEA </w:t>
      </w:r>
      <w:r w:rsidR="00DF27C7">
        <w:rPr>
          <w:rFonts w:hint="eastAsia"/>
          <w:sz w:val="24"/>
          <w:szCs w:val="24"/>
        </w:rPr>
        <w:t>through their detection role</w:t>
      </w:r>
      <w:r w:rsidR="00B7649D">
        <w:rPr>
          <w:sz w:val="24"/>
          <w:szCs w:val="24"/>
        </w:rPr>
        <w:t xml:space="preserve"> allows</w:t>
      </w:r>
      <w:r w:rsidR="00F72265">
        <w:rPr>
          <w:sz w:val="24"/>
          <w:szCs w:val="24"/>
        </w:rPr>
        <w:t xml:space="preserve"> evaluations of their success </w:t>
      </w:r>
      <w:r w:rsidR="00B7649D">
        <w:rPr>
          <w:sz w:val="24"/>
          <w:szCs w:val="24"/>
        </w:rPr>
        <w:t>to</w:t>
      </w:r>
      <w:r w:rsidR="00F72265">
        <w:rPr>
          <w:sz w:val="24"/>
          <w:szCs w:val="24"/>
        </w:rPr>
        <w:t xml:space="preserve"> align</w:t>
      </w:r>
      <w:r w:rsidR="00B7649D">
        <w:rPr>
          <w:sz w:val="24"/>
          <w:szCs w:val="24"/>
        </w:rPr>
        <w:t xml:space="preserve"> more closely</w:t>
      </w:r>
      <w:r w:rsidR="00F72265">
        <w:rPr>
          <w:sz w:val="24"/>
          <w:szCs w:val="24"/>
        </w:rPr>
        <w:t xml:space="preserve"> with their institutional functions and properly account for </w:t>
      </w:r>
      <w:r w:rsidR="00B7649D">
        <w:rPr>
          <w:sz w:val="24"/>
          <w:szCs w:val="24"/>
        </w:rPr>
        <w:t>a dimension</w:t>
      </w:r>
      <w:r w:rsidR="00F72265">
        <w:rPr>
          <w:sz w:val="24"/>
          <w:szCs w:val="24"/>
        </w:rPr>
        <w:t xml:space="preserve"> of international cooperation and enforcement that </w:t>
      </w:r>
      <w:r w:rsidR="00B7649D">
        <w:rPr>
          <w:sz w:val="24"/>
          <w:szCs w:val="24"/>
        </w:rPr>
        <w:t>receives</w:t>
      </w:r>
      <w:r w:rsidR="00F72265">
        <w:rPr>
          <w:sz w:val="24"/>
          <w:szCs w:val="24"/>
        </w:rPr>
        <w:t xml:space="preserve"> less attention.</w:t>
      </w:r>
    </w:p>
    <w:p w14:paraId="101C812F" w14:textId="586A13CB" w:rsidR="00BF3BA3" w:rsidRPr="004600F7" w:rsidRDefault="004600F7" w:rsidP="00111EB4">
      <w:pPr>
        <w:spacing w:after="0" w:line="480" w:lineRule="auto"/>
        <w:rPr>
          <w:sz w:val="24"/>
          <w:szCs w:val="24"/>
        </w:rPr>
      </w:pPr>
      <w:r>
        <w:rPr>
          <w:sz w:val="24"/>
          <w:szCs w:val="24"/>
        </w:rPr>
        <w:t xml:space="preserve">     </w:t>
      </w:r>
      <w:r w:rsidR="007F4143" w:rsidRPr="004600F7">
        <w:rPr>
          <w:sz w:val="24"/>
          <w:szCs w:val="24"/>
        </w:rPr>
        <w:t xml:space="preserve">In this article, we </w:t>
      </w:r>
      <w:r w:rsidR="00F72265">
        <w:rPr>
          <w:sz w:val="24"/>
          <w:szCs w:val="24"/>
        </w:rPr>
        <w:t>analyze the detection function of the NPT and the IAEA</w:t>
      </w:r>
      <w:r w:rsidR="007F4143" w:rsidRPr="004600F7">
        <w:rPr>
          <w:sz w:val="24"/>
          <w:szCs w:val="24"/>
        </w:rPr>
        <w:t>.</w:t>
      </w:r>
      <w:r w:rsidR="00642F82" w:rsidRPr="004600F7">
        <w:rPr>
          <w:rFonts w:hint="eastAsia"/>
          <w:sz w:val="24"/>
          <w:szCs w:val="24"/>
        </w:rPr>
        <w:t xml:space="preserve"> </w:t>
      </w:r>
      <w:r w:rsidR="004A2CC4">
        <w:rPr>
          <w:rFonts w:hint="eastAsia"/>
          <w:sz w:val="24"/>
          <w:szCs w:val="24"/>
        </w:rPr>
        <w:t xml:space="preserve">We conceptualize </w:t>
      </w:r>
      <w:r w:rsidR="00AC6916" w:rsidRPr="004600F7">
        <w:rPr>
          <w:sz w:val="24"/>
          <w:szCs w:val="24"/>
        </w:rPr>
        <w:t xml:space="preserve">detection as </w:t>
      </w:r>
      <w:r w:rsidR="004A2CC4">
        <w:rPr>
          <w:rFonts w:hint="eastAsia"/>
          <w:sz w:val="24"/>
          <w:szCs w:val="24"/>
        </w:rPr>
        <w:t xml:space="preserve">comprising </w:t>
      </w:r>
      <w:r w:rsidR="00EB02B9" w:rsidRPr="004600F7">
        <w:rPr>
          <w:sz w:val="24"/>
          <w:szCs w:val="24"/>
        </w:rPr>
        <w:t xml:space="preserve">the </w:t>
      </w:r>
      <w:r w:rsidR="00AC6916" w:rsidRPr="004600F7">
        <w:rPr>
          <w:sz w:val="24"/>
          <w:szCs w:val="24"/>
        </w:rPr>
        <w:t xml:space="preserve">screening, monitoring, and verification </w:t>
      </w:r>
      <w:r w:rsidR="00DE1DB8" w:rsidRPr="004600F7">
        <w:rPr>
          <w:sz w:val="24"/>
          <w:szCs w:val="24"/>
        </w:rPr>
        <w:t xml:space="preserve">(SMV) </w:t>
      </w:r>
      <w:r w:rsidR="00AC6916" w:rsidRPr="004600F7">
        <w:rPr>
          <w:sz w:val="24"/>
          <w:szCs w:val="24"/>
        </w:rPr>
        <w:t>mechanisms</w:t>
      </w:r>
      <w:r w:rsidR="004A2CC4">
        <w:rPr>
          <w:rFonts w:hint="eastAsia"/>
          <w:sz w:val="24"/>
          <w:szCs w:val="24"/>
        </w:rPr>
        <w:t>, which are</w:t>
      </w:r>
      <w:r w:rsidR="00AC6916" w:rsidRPr="004600F7">
        <w:rPr>
          <w:sz w:val="24"/>
          <w:szCs w:val="24"/>
        </w:rPr>
        <w:t xml:space="preserve"> embedded in the Treaty</w:t>
      </w:r>
      <w:r w:rsidR="00F20C29" w:rsidRPr="004600F7">
        <w:rPr>
          <w:sz w:val="24"/>
          <w:szCs w:val="24"/>
        </w:rPr>
        <w:t xml:space="preserve"> and the IAEA</w:t>
      </w:r>
      <w:r w:rsidR="00C40C92" w:rsidRPr="004600F7">
        <w:rPr>
          <w:sz w:val="24"/>
          <w:szCs w:val="24"/>
        </w:rPr>
        <w:t>,</w:t>
      </w:r>
      <w:r w:rsidR="00AC6916" w:rsidRPr="004600F7">
        <w:rPr>
          <w:sz w:val="24"/>
          <w:szCs w:val="24"/>
        </w:rPr>
        <w:t xml:space="preserve"> and</w:t>
      </w:r>
      <w:r w:rsidR="004A2CC4">
        <w:rPr>
          <w:rFonts w:hint="eastAsia"/>
          <w:sz w:val="24"/>
          <w:szCs w:val="24"/>
        </w:rPr>
        <w:t xml:space="preserve"> demonstrate</w:t>
      </w:r>
      <w:r w:rsidR="00AC6916" w:rsidRPr="004600F7">
        <w:rPr>
          <w:sz w:val="24"/>
          <w:szCs w:val="24"/>
        </w:rPr>
        <w:t xml:space="preserve"> how the</w:t>
      </w:r>
      <w:r w:rsidR="00F20C29" w:rsidRPr="004600F7">
        <w:rPr>
          <w:sz w:val="24"/>
          <w:szCs w:val="24"/>
        </w:rPr>
        <w:t>se mechanisms</w:t>
      </w:r>
      <w:r w:rsidR="00AC6916" w:rsidRPr="004600F7">
        <w:rPr>
          <w:sz w:val="24"/>
          <w:szCs w:val="24"/>
        </w:rPr>
        <w:t xml:space="preserve"> contribute to institutional performance.</w:t>
      </w:r>
      <w:r w:rsidR="007F4143" w:rsidRPr="004600F7">
        <w:rPr>
          <w:rStyle w:val="FootnoteReference"/>
          <w:sz w:val="24"/>
          <w:szCs w:val="24"/>
        </w:rPr>
        <w:footnoteReference w:id="15"/>
      </w:r>
      <w:r w:rsidR="00AC6916" w:rsidRPr="004600F7">
        <w:rPr>
          <w:sz w:val="24"/>
          <w:szCs w:val="24"/>
        </w:rPr>
        <w:t xml:space="preserve"> </w:t>
      </w:r>
      <w:r w:rsidR="004A2CC4">
        <w:rPr>
          <w:rFonts w:hint="eastAsia"/>
          <w:sz w:val="24"/>
          <w:szCs w:val="24"/>
        </w:rPr>
        <w:t>Specifically, w</w:t>
      </w:r>
      <w:r w:rsidR="007C7C7B" w:rsidRPr="004600F7">
        <w:rPr>
          <w:rFonts w:hint="eastAsia"/>
          <w:sz w:val="24"/>
          <w:szCs w:val="24"/>
        </w:rPr>
        <w:t xml:space="preserve">e illustrate this claim through a case study of North Korea. Rather than asking </w:t>
      </w:r>
      <w:r w:rsidR="001826FF" w:rsidRPr="004600F7">
        <w:rPr>
          <w:sz w:val="24"/>
          <w:szCs w:val="24"/>
        </w:rPr>
        <w:t>why or how</w:t>
      </w:r>
      <w:r w:rsidR="007C7C7B" w:rsidRPr="004600F7">
        <w:rPr>
          <w:rFonts w:hint="eastAsia"/>
          <w:sz w:val="24"/>
          <w:szCs w:val="24"/>
        </w:rPr>
        <w:t xml:space="preserve"> Pyongyang ultimately proliferated, we examine how the NPT/IAEA system detected and escalated its violations</w:t>
      </w:r>
      <w:r w:rsidR="001826FF" w:rsidRPr="004600F7">
        <w:rPr>
          <w:sz w:val="24"/>
          <w:szCs w:val="24"/>
        </w:rPr>
        <w:t>, thereby enabling enforcement</w:t>
      </w:r>
      <w:r w:rsidR="007C7C7B" w:rsidRPr="004600F7">
        <w:rPr>
          <w:rFonts w:hint="eastAsia"/>
          <w:sz w:val="24"/>
          <w:szCs w:val="24"/>
        </w:rPr>
        <w:t xml:space="preserve"> up to North Korea</w:t>
      </w:r>
      <w:r w:rsidR="007C7C7B" w:rsidRPr="004600F7">
        <w:rPr>
          <w:sz w:val="24"/>
          <w:szCs w:val="24"/>
        </w:rPr>
        <w:t>’</w:t>
      </w:r>
      <w:r w:rsidR="007C7C7B" w:rsidRPr="004600F7">
        <w:rPr>
          <w:rFonts w:hint="eastAsia"/>
          <w:sz w:val="24"/>
          <w:szCs w:val="24"/>
        </w:rPr>
        <w:t>s 2003 withdrawal</w:t>
      </w:r>
      <w:r w:rsidR="001826FF" w:rsidRPr="004600F7">
        <w:rPr>
          <w:sz w:val="24"/>
          <w:szCs w:val="24"/>
        </w:rPr>
        <w:t xml:space="preserve">. </w:t>
      </w:r>
      <w:r w:rsidR="00BA500C" w:rsidRPr="004600F7">
        <w:rPr>
          <w:rFonts w:hint="eastAsia"/>
          <w:sz w:val="24"/>
          <w:szCs w:val="24"/>
        </w:rPr>
        <w:t xml:space="preserve">While often portrayed as a </w:t>
      </w:r>
      <w:r w:rsidR="00BA500C" w:rsidRPr="004600F7">
        <w:rPr>
          <w:sz w:val="24"/>
          <w:szCs w:val="24"/>
        </w:rPr>
        <w:t>definitive</w:t>
      </w:r>
      <w:r w:rsidR="00BA500C" w:rsidRPr="004600F7">
        <w:rPr>
          <w:rFonts w:hint="eastAsia"/>
          <w:sz w:val="24"/>
          <w:szCs w:val="24"/>
        </w:rPr>
        <w:t xml:space="preserve"> case of NPT failure,</w:t>
      </w:r>
      <w:r w:rsidR="00BA500C" w:rsidRPr="004600F7">
        <w:rPr>
          <w:rStyle w:val="FootnoteReference"/>
          <w:sz w:val="24"/>
          <w:szCs w:val="24"/>
        </w:rPr>
        <w:footnoteReference w:id="16"/>
      </w:r>
      <w:r w:rsidR="00BA500C" w:rsidRPr="004600F7">
        <w:rPr>
          <w:rFonts w:hint="eastAsia"/>
          <w:sz w:val="24"/>
          <w:szCs w:val="24"/>
        </w:rPr>
        <w:t xml:space="preserve"> we argue that the record</w:t>
      </w:r>
      <w:r w:rsidR="001F5BB9" w:rsidRPr="004600F7">
        <w:rPr>
          <w:sz w:val="24"/>
          <w:szCs w:val="24"/>
        </w:rPr>
        <w:t xml:space="preserve"> on NPT’s vitality</w:t>
      </w:r>
      <w:r w:rsidR="00BA500C" w:rsidRPr="004600F7">
        <w:rPr>
          <w:rFonts w:hint="eastAsia"/>
          <w:sz w:val="24"/>
          <w:szCs w:val="24"/>
        </w:rPr>
        <w:t xml:space="preserve"> is more nuanced when viewed from the perspective of institutional process</w:t>
      </w:r>
      <w:r w:rsidR="00BF3BA3" w:rsidRPr="004600F7">
        <w:rPr>
          <w:rFonts w:hint="eastAsia"/>
          <w:sz w:val="24"/>
          <w:szCs w:val="24"/>
        </w:rPr>
        <w:t xml:space="preserve">: </w:t>
      </w:r>
      <w:r w:rsidR="00AC6916" w:rsidRPr="004600F7">
        <w:rPr>
          <w:sz w:val="24"/>
          <w:szCs w:val="24"/>
        </w:rPr>
        <w:t>e</w:t>
      </w:r>
      <w:r w:rsidR="002F2516" w:rsidRPr="004600F7">
        <w:rPr>
          <w:rFonts w:hint="eastAsia"/>
          <w:sz w:val="24"/>
          <w:szCs w:val="24"/>
        </w:rPr>
        <w:t>ven</w:t>
      </w:r>
      <w:r w:rsidR="004179FE">
        <w:rPr>
          <w:rFonts w:hint="eastAsia"/>
          <w:sz w:val="24"/>
          <w:szCs w:val="24"/>
        </w:rPr>
        <w:t xml:space="preserve"> </w:t>
      </w:r>
      <w:r w:rsidR="004A2CC4">
        <w:rPr>
          <w:rFonts w:hint="eastAsia"/>
          <w:sz w:val="24"/>
          <w:szCs w:val="24"/>
        </w:rPr>
        <w:t>though North Korea ultimately proliferated</w:t>
      </w:r>
      <w:r w:rsidR="002F2516" w:rsidRPr="004600F7">
        <w:rPr>
          <w:rFonts w:hint="eastAsia"/>
          <w:sz w:val="24"/>
          <w:szCs w:val="24"/>
        </w:rPr>
        <w:t xml:space="preserve">, the treaty </w:t>
      </w:r>
      <w:r w:rsidR="002F2516" w:rsidRPr="004600F7">
        <w:rPr>
          <w:sz w:val="24"/>
          <w:szCs w:val="24"/>
        </w:rPr>
        <w:t>‘</w:t>
      </w:r>
      <w:r w:rsidR="002F2516" w:rsidRPr="004600F7">
        <w:rPr>
          <w:rFonts w:hint="eastAsia"/>
          <w:sz w:val="24"/>
          <w:szCs w:val="24"/>
        </w:rPr>
        <w:t>worked</w:t>
      </w:r>
      <w:r w:rsidR="002F2516" w:rsidRPr="004600F7">
        <w:rPr>
          <w:sz w:val="24"/>
          <w:szCs w:val="24"/>
        </w:rPr>
        <w:t>’</w:t>
      </w:r>
      <w:r w:rsidR="002F2516" w:rsidRPr="004600F7">
        <w:rPr>
          <w:rFonts w:hint="eastAsia"/>
          <w:sz w:val="24"/>
          <w:szCs w:val="24"/>
        </w:rPr>
        <w:t xml:space="preserve"> by making noncompliance public and laying the groundwork for collective action.</w:t>
      </w:r>
      <w:r w:rsidR="001826FF" w:rsidRPr="004600F7">
        <w:rPr>
          <w:sz w:val="24"/>
          <w:szCs w:val="24"/>
        </w:rPr>
        <w:t xml:space="preserve"> We stop our analysis at the time when North Korea withdrew from the NPT because contention o</w:t>
      </w:r>
      <w:r w:rsidR="001D18E3" w:rsidRPr="004600F7">
        <w:rPr>
          <w:sz w:val="24"/>
          <w:szCs w:val="24"/>
        </w:rPr>
        <w:t>ver</w:t>
      </w:r>
      <w:r w:rsidR="001826FF" w:rsidRPr="004600F7">
        <w:rPr>
          <w:sz w:val="24"/>
          <w:szCs w:val="24"/>
        </w:rPr>
        <w:t xml:space="preserve"> its withdrawal is outside the scope of the study and is a political question, rather than a functional matter.</w:t>
      </w:r>
    </w:p>
    <w:p w14:paraId="6706F091" w14:textId="5D0C0973" w:rsidR="0097070F" w:rsidRPr="004600F7" w:rsidRDefault="004600F7" w:rsidP="00111EB4">
      <w:pPr>
        <w:spacing w:after="0" w:line="480" w:lineRule="auto"/>
        <w:rPr>
          <w:sz w:val="24"/>
          <w:szCs w:val="24"/>
        </w:rPr>
      </w:pPr>
      <w:r>
        <w:rPr>
          <w:sz w:val="24"/>
          <w:szCs w:val="24"/>
        </w:rPr>
        <w:lastRenderedPageBreak/>
        <w:t xml:space="preserve">     </w:t>
      </w:r>
      <w:r w:rsidR="0097070F" w:rsidRPr="004600F7">
        <w:rPr>
          <w:sz w:val="24"/>
          <w:szCs w:val="24"/>
        </w:rPr>
        <w:t>This study contributes a different dimension to debates on the NPT</w:t>
      </w:r>
      <w:r w:rsidR="00F876A4" w:rsidRPr="004600F7">
        <w:rPr>
          <w:sz w:val="24"/>
          <w:szCs w:val="24"/>
        </w:rPr>
        <w:t xml:space="preserve"> </w:t>
      </w:r>
      <w:r w:rsidR="0076020F">
        <w:rPr>
          <w:sz w:val="24"/>
          <w:szCs w:val="24"/>
        </w:rPr>
        <w:t xml:space="preserve">and IAEA </w:t>
      </w:r>
      <w:r w:rsidR="00F876A4" w:rsidRPr="004600F7">
        <w:rPr>
          <w:sz w:val="24"/>
          <w:szCs w:val="24"/>
        </w:rPr>
        <w:t>by examining the functions that make the treaty worth preserving</w:t>
      </w:r>
      <w:r w:rsidR="0097070F" w:rsidRPr="004600F7">
        <w:rPr>
          <w:sz w:val="24"/>
          <w:szCs w:val="24"/>
        </w:rPr>
        <w:t xml:space="preserve">. </w:t>
      </w:r>
      <w:r w:rsidR="00F876A4" w:rsidRPr="004600F7">
        <w:rPr>
          <w:sz w:val="24"/>
          <w:szCs w:val="24"/>
        </w:rPr>
        <w:t xml:space="preserve">While extensive research has focused on the NPT’s success and durability, considerably less attention has been paid to understanding the specific mechanisms that underpin its value. </w:t>
      </w:r>
      <w:r w:rsidR="0097070F" w:rsidRPr="004600F7">
        <w:rPr>
          <w:sz w:val="24"/>
          <w:szCs w:val="24"/>
        </w:rPr>
        <w:t xml:space="preserve">This angle is important because without clarity on how the treaty </w:t>
      </w:r>
      <w:r w:rsidR="00B659B5" w:rsidRPr="004600F7">
        <w:rPr>
          <w:sz w:val="24"/>
          <w:szCs w:val="24"/>
        </w:rPr>
        <w:t>operates</w:t>
      </w:r>
      <w:r w:rsidR="0097070F" w:rsidRPr="004600F7">
        <w:rPr>
          <w:sz w:val="24"/>
          <w:szCs w:val="24"/>
        </w:rPr>
        <w:t xml:space="preserve"> and why </w:t>
      </w:r>
      <w:r w:rsidR="00B659B5" w:rsidRPr="004600F7">
        <w:rPr>
          <w:sz w:val="24"/>
          <w:szCs w:val="24"/>
        </w:rPr>
        <w:t>the international community</w:t>
      </w:r>
      <w:r w:rsidR="0097070F" w:rsidRPr="004600F7">
        <w:rPr>
          <w:sz w:val="24"/>
          <w:szCs w:val="24"/>
        </w:rPr>
        <w:t xml:space="preserve"> value</w:t>
      </w:r>
      <w:r w:rsidR="00B659B5" w:rsidRPr="004600F7">
        <w:rPr>
          <w:sz w:val="24"/>
          <w:szCs w:val="24"/>
        </w:rPr>
        <w:t>s</w:t>
      </w:r>
      <w:r w:rsidR="0097070F" w:rsidRPr="004600F7">
        <w:rPr>
          <w:sz w:val="24"/>
          <w:szCs w:val="24"/>
        </w:rPr>
        <w:t xml:space="preserve"> it, </w:t>
      </w:r>
      <w:r w:rsidR="00B659B5" w:rsidRPr="004600F7">
        <w:rPr>
          <w:sz w:val="24"/>
          <w:szCs w:val="24"/>
        </w:rPr>
        <w:t>there is a</w:t>
      </w:r>
      <w:r w:rsidR="0097070F" w:rsidRPr="004600F7">
        <w:rPr>
          <w:sz w:val="24"/>
          <w:szCs w:val="24"/>
        </w:rPr>
        <w:t xml:space="preserve"> risk </w:t>
      </w:r>
      <w:r w:rsidR="00B659B5" w:rsidRPr="004600F7">
        <w:rPr>
          <w:sz w:val="24"/>
          <w:szCs w:val="24"/>
        </w:rPr>
        <w:t>of</w:t>
      </w:r>
      <w:r w:rsidR="0097070F" w:rsidRPr="004600F7">
        <w:rPr>
          <w:sz w:val="24"/>
          <w:szCs w:val="24"/>
        </w:rPr>
        <w:t xml:space="preserve"> sustain</w:t>
      </w:r>
      <w:r w:rsidR="00B659B5" w:rsidRPr="004600F7">
        <w:rPr>
          <w:sz w:val="24"/>
          <w:szCs w:val="24"/>
        </w:rPr>
        <w:t>ing</w:t>
      </w:r>
      <w:r w:rsidR="0097070F" w:rsidRPr="004600F7">
        <w:rPr>
          <w:sz w:val="24"/>
          <w:szCs w:val="24"/>
        </w:rPr>
        <w:t xml:space="preserve"> the treaty for the treaty’s sake. Moreover, if the international community decides to keep supporting the treaty, the scholarly and policy communities can gain from </w:t>
      </w:r>
      <w:r w:rsidR="00B659B5" w:rsidRPr="004600F7">
        <w:rPr>
          <w:sz w:val="24"/>
          <w:szCs w:val="24"/>
        </w:rPr>
        <w:t>identifying which core</w:t>
      </w:r>
      <w:r w:rsidR="0097070F" w:rsidRPr="004600F7">
        <w:rPr>
          <w:sz w:val="24"/>
          <w:szCs w:val="24"/>
        </w:rPr>
        <w:t xml:space="preserve"> functions </w:t>
      </w:r>
      <w:r w:rsidR="00B659B5" w:rsidRPr="004600F7">
        <w:rPr>
          <w:sz w:val="24"/>
          <w:szCs w:val="24"/>
        </w:rPr>
        <w:t xml:space="preserve">merit reinforcement to </w:t>
      </w:r>
      <w:r w:rsidR="0097070F" w:rsidRPr="004600F7">
        <w:rPr>
          <w:sz w:val="24"/>
          <w:szCs w:val="24"/>
        </w:rPr>
        <w:t xml:space="preserve">strengthen the </w:t>
      </w:r>
      <w:r w:rsidR="00B659B5" w:rsidRPr="004600F7">
        <w:rPr>
          <w:sz w:val="24"/>
          <w:szCs w:val="24"/>
        </w:rPr>
        <w:t xml:space="preserve">nonproliferation </w:t>
      </w:r>
      <w:r w:rsidR="0097070F" w:rsidRPr="004600F7">
        <w:rPr>
          <w:sz w:val="24"/>
          <w:szCs w:val="24"/>
        </w:rPr>
        <w:t xml:space="preserve">regime. Alternatively, if the international community decides to abandon the treaty, it is crucial, too, to know the features of the NPT and the IAEA that might be important to replicate </w:t>
      </w:r>
      <w:r w:rsidR="00B659B5" w:rsidRPr="004600F7">
        <w:rPr>
          <w:sz w:val="24"/>
          <w:szCs w:val="24"/>
        </w:rPr>
        <w:t>the effective proliferation-limiting mechanisms in future arrangements</w:t>
      </w:r>
      <w:r w:rsidR="0097070F" w:rsidRPr="004600F7">
        <w:rPr>
          <w:sz w:val="24"/>
          <w:szCs w:val="24"/>
        </w:rPr>
        <w:t>. The NPT</w:t>
      </w:r>
      <w:r w:rsidR="00B659B5" w:rsidRPr="004600F7">
        <w:rPr>
          <w:sz w:val="24"/>
          <w:szCs w:val="24"/>
        </w:rPr>
        <w:t>’s institutional design</w:t>
      </w:r>
      <w:r w:rsidR="0097070F" w:rsidRPr="004600F7">
        <w:rPr>
          <w:sz w:val="24"/>
          <w:szCs w:val="24"/>
        </w:rPr>
        <w:t xml:space="preserve"> is unique in this respect because it is a treaty without a dedicated secretariat or executive board. </w:t>
      </w:r>
      <w:r w:rsidR="001D18E3" w:rsidRPr="004600F7">
        <w:rPr>
          <w:sz w:val="24"/>
          <w:szCs w:val="24"/>
        </w:rPr>
        <w:t>That means</w:t>
      </w:r>
      <w:r w:rsidR="0097070F" w:rsidRPr="004600F7">
        <w:rPr>
          <w:sz w:val="24"/>
          <w:szCs w:val="24"/>
        </w:rPr>
        <w:t>, it does not have an agency that can act as an advocate or actively adapt it to survive the changing international political environment.</w:t>
      </w:r>
      <w:r w:rsidR="0097070F" w:rsidRPr="004600F7">
        <w:rPr>
          <w:rStyle w:val="FootnoteReference"/>
          <w:sz w:val="24"/>
          <w:szCs w:val="24"/>
        </w:rPr>
        <w:footnoteReference w:id="17"/>
      </w:r>
      <w:r w:rsidR="0097070F" w:rsidRPr="004600F7">
        <w:rPr>
          <w:sz w:val="24"/>
          <w:szCs w:val="24"/>
        </w:rPr>
        <w:t xml:space="preserve"> Hence, good knowledge of the treaty and its functions can be especially valuable, because institutional knowledge will rely on the scholarly and analytical communities that study it.</w:t>
      </w:r>
    </w:p>
    <w:p w14:paraId="043D6333" w14:textId="12B5B0D8" w:rsidR="0089016D" w:rsidRPr="004600F7" w:rsidRDefault="0076511D" w:rsidP="00111EB4">
      <w:pPr>
        <w:spacing w:after="0" w:line="480" w:lineRule="auto"/>
        <w:rPr>
          <w:sz w:val="24"/>
          <w:szCs w:val="24"/>
        </w:rPr>
      </w:pPr>
      <w:r>
        <w:rPr>
          <w:sz w:val="24"/>
          <w:szCs w:val="24"/>
        </w:rPr>
        <w:t xml:space="preserve">     </w:t>
      </w:r>
      <w:r w:rsidR="00BF3BA3" w:rsidRPr="004600F7">
        <w:rPr>
          <w:rFonts w:hint="eastAsia"/>
          <w:sz w:val="24"/>
          <w:szCs w:val="24"/>
        </w:rPr>
        <w:t>T</w:t>
      </w:r>
      <w:r w:rsidR="00C175F5" w:rsidRPr="004600F7">
        <w:rPr>
          <w:rFonts w:hint="eastAsia"/>
          <w:sz w:val="24"/>
          <w:szCs w:val="24"/>
        </w:rPr>
        <w:t>he</w:t>
      </w:r>
      <w:r w:rsidR="00BF3BA3" w:rsidRPr="004600F7">
        <w:rPr>
          <w:rFonts w:hint="eastAsia"/>
          <w:sz w:val="24"/>
          <w:szCs w:val="24"/>
        </w:rPr>
        <w:t xml:space="preserve"> rest of the</w:t>
      </w:r>
      <w:r w:rsidR="00C175F5" w:rsidRPr="004600F7">
        <w:rPr>
          <w:rFonts w:hint="eastAsia"/>
          <w:sz w:val="24"/>
          <w:szCs w:val="24"/>
        </w:rPr>
        <w:t xml:space="preserve"> paper proceeds as follows. First, </w:t>
      </w:r>
      <w:r w:rsidR="001A42BA">
        <w:rPr>
          <w:sz w:val="24"/>
          <w:szCs w:val="24"/>
        </w:rPr>
        <w:t xml:space="preserve">we reorient the analytical focus on the institutional process of the NPT/IAEA system and </w:t>
      </w:r>
      <w:r w:rsidR="0089016D" w:rsidRPr="004600F7">
        <w:rPr>
          <w:rFonts w:hint="eastAsia"/>
          <w:sz w:val="24"/>
          <w:szCs w:val="24"/>
        </w:rPr>
        <w:t>argue that the role of detection</w:t>
      </w:r>
      <w:r w:rsidR="007E0F84" w:rsidRPr="004600F7">
        <w:rPr>
          <w:sz w:val="24"/>
          <w:szCs w:val="24"/>
        </w:rPr>
        <w:t xml:space="preserve"> </w:t>
      </w:r>
      <w:r w:rsidR="0089016D" w:rsidRPr="004600F7">
        <w:rPr>
          <w:rFonts w:hint="eastAsia"/>
          <w:sz w:val="24"/>
          <w:szCs w:val="24"/>
        </w:rPr>
        <w:t>is a vital, if underappreciated, ingredient of the nonproliferation</w:t>
      </w:r>
      <w:r w:rsidR="002F2516" w:rsidRPr="004600F7">
        <w:rPr>
          <w:rFonts w:hint="eastAsia"/>
          <w:sz w:val="24"/>
          <w:szCs w:val="24"/>
        </w:rPr>
        <w:t xml:space="preserve"> regime</w:t>
      </w:r>
      <w:r w:rsidR="0089016D" w:rsidRPr="004600F7">
        <w:rPr>
          <w:rFonts w:hint="eastAsia"/>
          <w:sz w:val="24"/>
          <w:szCs w:val="24"/>
        </w:rPr>
        <w:t xml:space="preserve">. </w:t>
      </w:r>
      <w:r w:rsidR="00C175F5" w:rsidRPr="004600F7">
        <w:rPr>
          <w:rFonts w:hint="eastAsia"/>
          <w:sz w:val="24"/>
          <w:szCs w:val="24"/>
        </w:rPr>
        <w:t xml:space="preserve">Next, we </w:t>
      </w:r>
      <w:r w:rsidR="002F2516" w:rsidRPr="004600F7">
        <w:rPr>
          <w:rFonts w:hint="eastAsia"/>
          <w:sz w:val="24"/>
          <w:szCs w:val="24"/>
        </w:rPr>
        <w:t xml:space="preserve">conduct </w:t>
      </w:r>
      <w:r w:rsidR="002F2516" w:rsidRPr="004600F7">
        <w:rPr>
          <w:sz w:val="24"/>
          <w:szCs w:val="24"/>
        </w:rPr>
        <w:t>process</w:t>
      </w:r>
      <w:r w:rsidR="002F2516" w:rsidRPr="004600F7">
        <w:rPr>
          <w:rFonts w:hint="eastAsia"/>
          <w:sz w:val="24"/>
          <w:szCs w:val="24"/>
        </w:rPr>
        <w:t>-tracing analysis of the</w:t>
      </w:r>
      <w:r w:rsidR="00C175F5" w:rsidRPr="004600F7">
        <w:rPr>
          <w:rFonts w:hint="eastAsia"/>
          <w:sz w:val="24"/>
          <w:szCs w:val="24"/>
        </w:rPr>
        <w:t xml:space="preserve"> North Korea</w:t>
      </w:r>
      <w:r w:rsidR="002F2516" w:rsidRPr="004600F7">
        <w:rPr>
          <w:rFonts w:hint="eastAsia"/>
          <w:sz w:val="24"/>
          <w:szCs w:val="24"/>
        </w:rPr>
        <w:t xml:space="preserve">n case to show these </w:t>
      </w:r>
      <w:r w:rsidR="004A2CC4">
        <w:rPr>
          <w:rFonts w:hint="eastAsia"/>
          <w:sz w:val="24"/>
          <w:szCs w:val="24"/>
        </w:rPr>
        <w:t>SMV mechanisms</w:t>
      </w:r>
      <w:r w:rsidR="004A2CC4" w:rsidRPr="004600F7">
        <w:rPr>
          <w:rFonts w:hint="eastAsia"/>
          <w:sz w:val="24"/>
          <w:szCs w:val="24"/>
        </w:rPr>
        <w:t xml:space="preserve"> </w:t>
      </w:r>
      <w:r w:rsidR="002F2516" w:rsidRPr="004600F7">
        <w:rPr>
          <w:rFonts w:hint="eastAsia"/>
          <w:sz w:val="24"/>
          <w:szCs w:val="24"/>
        </w:rPr>
        <w:t>in action</w:t>
      </w:r>
      <w:r w:rsidR="00C175F5" w:rsidRPr="004600F7">
        <w:rPr>
          <w:rFonts w:hint="eastAsia"/>
          <w:sz w:val="24"/>
          <w:szCs w:val="24"/>
        </w:rPr>
        <w:t xml:space="preserve">. Finally, </w:t>
      </w:r>
      <w:r w:rsidR="0089016D" w:rsidRPr="004600F7">
        <w:rPr>
          <w:rFonts w:hint="eastAsia"/>
          <w:sz w:val="24"/>
          <w:szCs w:val="24"/>
        </w:rPr>
        <w:t xml:space="preserve">we conclude with broader implications for assessing institutional performance in global governance regimes. </w:t>
      </w:r>
    </w:p>
    <w:p w14:paraId="6243A393" w14:textId="77777777" w:rsidR="006E01AF" w:rsidRDefault="006E01AF" w:rsidP="00912FDA">
      <w:pPr>
        <w:spacing w:after="0" w:line="240" w:lineRule="auto"/>
        <w:rPr>
          <w:sz w:val="24"/>
          <w:szCs w:val="24"/>
        </w:rPr>
      </w:pPr>
    </w:p>
    <w:p w14:paraId="3B04A46D" w14:textId="77777777" w:rsidR="0076511D" w:rsidRPr="004600F7" w:rsidRDefault="0076511D" w:rsidP="00912FDA">
      <w:pPr>
        <w:spacing w:after="0" w:line="240" w:lineRule="auto"/>
        <w:rPr>
          <w:sz w:val="24"/>
          <w:szCs w:val="24"/>
        </w:rPr>
      </w:pPr>
    </w:p>
    <w:p w14:paraId="0774A3A4" w14:textId="1C157AAA" w:rsidR="00AC3E94" w:rsidRPr="004600F7" w:rsidRDefault="0076511D" w:rsidP="00AC3E94">
      <w:pPr>
        <w:spacing w:after="0" w:line="240" w:lineRule="auto"/>
        <w:outlineLvl w:val="0"/>
        <w:rPr>
          <w:b/>
          <w:bCs/>
          <w:sz w:val="24"/>
          <w:szCs w:val="24"/>
        </w:rPr>
      </w:pPr>
      <w:r>
        <w:rPr>
          <w:b/>
          <w:bCs/>
          <w:sz w:val="24"/>
          <w:szCs w:val="24"/>
        </w:rPr>
        <w:lastRenderedPageBreak/>
        <w:t xml:space="preserve">2 </w:t>
      </w:r>
      <w:r w:rsidR="00912FDA" w:rsidRPr="004600F7">
        <w:rPr>
          <w:b/>
          <w:bCs/>
          <w:sz w:val="24"/>
          <w:szCs w:val="24"/>
        </w:rPr>
        <w:t>The Role of Detection</w:t>
      </w:r>
      <w:r w:rsidR="00965831" w:rsidRPr="004600F7">
        <w:rPr>
          <w:b/>
          <w:bCs/>
          <w:sz w:val="24"/>
          <w:szCs w:val="24"/>
        </w:rPr>
        <w:t>, NPT and</w:t>
      </w:r>
      <w:r w:rsidR="0026239D" w:rsidRPr="004600F7">
        <w:rPr>
          <w:b/>
          <w:bCs/>
          <w:sz w:val="24"/>
          <w:szCs w:val="24"/>
        </w:rPr>
        <w:t xml:space="preserve"> </w:t>
      </w:r>
      <w:r w:rsidR="00965831" w:rsidRPr="004600F7">
        <w:rPr>
          <w:b/>
          <w:bCs/>
          <w:sz w:val="24"/>
          <w:szCs w:val="24"/>
        </w:rPr>
        <w:t>IAEA</w:t>
      </w:r>
    </w:p>
    <w:p w14:paraId="6651150D" w14:textId="77777777" w:rsidR="0076511D" w:rsidRDefault="0076511D" w:rsidP="0076511D">
      <w:pPr>
        <w:spacing w:after="0" w:line="240" w:lineRule="auto"/>
        <w:rPr>
          <w:sz w:val="24"/>
          <w:szCs w:val="24"/>
        </w:rPr>
      </w:pPr>
    </w:p>
    <w:p w14:paraId="69B8F39F" w14:textId="3C24AEC2" w:rsidR="007E2F7F" w:rsidRPr="0076511D" w:rsidRDefault="0076511D" w:rsidP="007E2F7F">
      <w:pPr>
        <w:spacing w:after="0" w:line="240" w:lineRule="auto"/>
        <w:outlineLvl w:val="1"/>
        <w:rPr>
          <w:b/>
          <w:bCs/>
          <w:i/>
          <w:iCs/>
          <w:sz w:val="24"/>
          <w:szCs w:val="24"/>
        </w:rPr>
      </w:pPr>
      <w:r w:rsidRPr="0076511D">
        <w:rPr>
          <w:b/>
          <w:bCs/>
          <w:sz w:val="24"/>
          <w:szCs w:val="24"/>
        </w:rPr>
        <w:t xml:space="preserve">2.1 </w:t>
      </w:r>
      <w:r w:rsidR="007E2F7F" w:rsidRPr="0076511D">
        <w:rPr>
          <w:b/>
          <w:bCs/>
          <w:i/>
          <w:iCs/>
          <w:sz w:val="24"/>
          <w:szCs w:val="24"/>
        </w:rPr>
        <w:t xml:space="preserve">Detection and the Process-based </w:t>
      </w:r>
      <w:r w:rsidR="004B6AB0" w:rsidRPr="0076511D">
        <w:rPr>
          <w:b/>
          <w:bCs/>
          <w:i/>
          <w:iCs/>
          <w:sz w:val="24"/>
          <w:szCs w:val="24"/>
        </w:rPr>
        <w:t>F</w:t>
      </w:r>
      <w:r w:rsidR="007E2F7F" w:rsidRPr="0076511D">
        <w:rPr>
          <w:b/>
          <w:bCs/>
          <w:i/>
          <w:iCs/>
          <w:sz w:val="24"/>
          <w:szCs w:val="24"/>
        </w:rPr>
        <w:t>ramework</w:t>
      </w:r>
    </w:p>
    <w:p w14:paraId="1BB41722" w14:textId="77777777" w:rsidR="0076511D" w:rsidRDefault="0076511D" w:rsidP="007E2F7F">
      <w:pPr>
        <w:spacing w:after="0" w:line="240" w:lineRule="auto"/>
        <w:rPr>
          <w:sz w:val="24"/>
          <w:szCs w:val="24"/>
        </w:rPr>
      </w:pPr>
    </w:p>
    <w:p w14:paraId="73C08035" w14:textId="7AA3FA59" w:rsidR="007E2F7F" w:rsidRPr="004600F7" w:rsidRDefault="007E2F7F" w:rsidP="00111EB4">
      <w:pPr>
        <w:spacing w:after="0" w:line="480" w:lineRule="auto"/>
        <w:rPr>
          <w:sz w:val="24"/>
          <w:szCs w:val="24"/>
        </w:rPr>
      </w:pPr>
      <w:r w:rsidRPr="004600F7">
        <w:rPr>
          <w:sz w:val="24"/>
          <w:szCs w:val="24"/>
        </w:rPr>
        <w:t xml:space="preserve">Conventional scholarly and policy assessments </w:t>
      </w:r>
      <w:r w:rsidR="00A61AB0" w:rsidRPr="004600F7">
        <w:rPr>
          <w:rFonts w:hint="eastAsia"/>
          <w:sz w:val="24"/>
          <w:szCs w:val="24"/>
        </w:rPr>
        <w:t>judge</w:t>
      </w:r>
      <w:r w:rsidRPr="004600F7">
        <w:rPr>
          <w:sz w:val="24"/>
          <w:szCs w:val="24"/>
        </w:rPr>
        <w:t xml:space="preserve"> the NPT and the </w:t>
      </w:r>
      <w:r w:rsidR="00A61AB0" w:rsidRPr="004600F7">
        <w:rPr>
          <w:rFonts w:hint="eastAsia"/>
          <w:sz w:val="24"/>
          <w:szCs w:val="24"/>
        </w:rPr>
        <w:t>wider</w:t>
      </w:r>
      <w:r w:rsidRPr="004600F7">
        <w:rPr>
          <w:sz w:val="24"/>
          <w:szCs w:val="24"/>
        </w:rPr>
        <w:t xml:space="preserve"> nonproliferation regime </w:t>
      </w:r>
      <w:r w:rsidR="002A7258" w:rsidRPr="004600F7">
        <w:rPr>
          <w:sz w:val="24"/>
          <w:szCs w:val="24"/>
        </w:rPr>
        <w:t>in terms of</w:t>
      </w:r>
      <w:r w:rsidRPr="004600F7">
        <w:rPr>
          <w:sz w:val="24"/>
          <w:szCs w:val="24"/>
        </w:rPr>
        <w:t xml:space="preserve"> </w:t>
      </w:r>
      <w:r w:rsidR="00A61AB0" w:rsidRPr="004600F7">
        <w:rPr>
          <w:rFonts w:hint="eastAsia"/>
          <w:sz w:val="24"/>
          <w:szCs w:val="24"/>
        </w:rPr>
        <w:t>whether</w:t>
      </w:r>
      <w:r w:rsidRPr="004600F7">
        <w:rPr>
          <w:sz w:val="24"/>
          <w:szCs w:val="24"/>
        </w:rPr>
        <w:t xml:space="preserve"> the</w:t>
      </w:r>
      <w:r w:rsidR="00A61AB0" w:rsidRPr="004600F7">
        <w:rPr>
          <w:rFonts w:hint="eastAsia"/>
          <w:sz w:val="24"/>
          <w:szCs w:val="24"/>
        </w:rPr>
        <w:t>y have</w:t>
      </w:r>
      <w:r w:rsidRPr="004600F7">
        <w:rPr>
          <w:sz w:val="24"/>
          <w:szCs w:val="24"/>
        </w:rPr>
        <w:t xml:space="preserve"> </w:t>
      </w:r>
      <w:r w:rsidR="00974AF9" w:rsidRPr="004600F7">
        <w:rPr>
          <w:sz w:val="24"/>
          <w:szCs w:val="24"/>
        </w:rPr>
        <w:t>prevent</w:t>
      </w:r>
      <w:r w:rsidR="00A61AB0" w:rsidRPr="004600F7">
        <w:rPr>
          <w:rFonts w:hint="eastAsia"/>
          <w:sz w:val="24"/>
          <w:szCs w:val="24"/>
        </w:rPr>
        <w:t>ed</w:t>
      </w:r>
      <w:r w:rsidR="00974AF9" w:rsidRPr="004600F7">
        <w:rPr>
          <w:sz w:val="24"/>
          <w:szCs w:val="24"/>
        </w:rPr>
        <w:t xml:space="preserve"> </w:t>
      </w:r>
      <w:r w:rsidRPr="004600F7">
        <w:rPr>
          <w:sz w:val="24"/>
          <w:szCs w:val="24"/>
        </w:rPr>
        <w:t>or cur</w:t>
      </w:r>
      <w:r w:rsidR="00974AF9" w:rsidRPr="004600F7">
        <w:rPr>
          <w:sz w:val="24"/>
          <w:szCs w:val="24"/>
        </w:rPr>
        <w:t>tail</w:t>
      </w:r>
      <w:r w:rsidR="00A61AB0" w:rsidRPr="004600F7">
        <w:rPr>
          <w:rFonts w:hint="eastAsia"/>
          <w:sz w:val="24"/>
          <w:szCs w:val="24"/>
        </w:rPr>
        <w:t>ed the spread</w:t>
      </w:r>
      <w:r w:rsidRPr="004600F7">
        <w:rPr>
          <w:sz w:val="24"/>
          <w:szCs w:val="24"/>
        </w:rPr>
        <w:t xml:space="preserve"> of nuclear </w:t>
      </w:r>
      <w:r w:rsidR="00A61AB0" w:rsidRPr="004600F7">
        <w:rPr>
          <w:rFonts w:hint="eastAsia"/>
          <w:sz w:val="24"/>
          <w:szCs w:val="24"/>
        </w:rPr>
        <w:t>weapons</w:t>
      </w:r>
      <w:r w:rsidRPr="004600F7">
        <w:rPr>
          <w:sz w:val="24"/>
          <w:szCs w:val="24"/>
        </w:rPr>
        <w:t xml:space="preserve">. </w:t>
      </w:r>
      <w:r w:rsidR="00A61AB0" w:rsidRPr="004600F7">
        <w:rPr>
          <w:rFonts w:hint="eastAsia"/>
          <w:sz w:val="24"/>
          <w:szCs w:val="24"/>
        </w:rPr>
        <w:t>In</w:t>
      </w:r>
      <w:r w:rsidR="00D7462C" w:rsidRPr="004600F7">
        <w:rPr>
          <w:rFonts w:hint="eastAsia"/>
          <w:sz w:val="24"/>
          <w:szCs w:val="24"/>
        </w:rPr>
        <w:t xml:space="preserve"> much of the literature, either implicitly or explicitly, </w:t>
      </w:r>
      <w:r w:rsidR="00A61AB0" w:rsidRPr="004600F7">
        <w:rPr>
          <w:rFonts w:hint="eastAsia"/>
          <w:sz w:val="24"/>
          <w:szCs w:val="24"/>
        </w:rPr>
        <w:t>the treaty</w:t>
      </w:r>
      <w:r w:rsidR="00A61AB0" w:rsidRPr="004600F7">
        <w:rPr>
          <w:sz w:val="24"/>
          <w:szCs w:val="24"/>
        </w:rPr>
        <w:t>’</w:t>
      </w:r>
      <w:r w:rsidR="00A61AB0" w:rsidRPr="004600F7">
        <w:rPr>
          <w:rFonts w:hint="eastAsia"/>
          <w:sz w:val="24"/>
          <w:szCs w:val="24"/>
        </w:rPr>
        <w:t xml:space="preserve">s legitimacy is </w:t>
      </w:r>
      <w:r w:rsidR="009B6153" w:rsidRPr="004600F7">
        <w:rPr>
          <w:sz w:val="24"/>
          <w:szCs w:val="24"/>
        </w:rPr>
        <w:t>informed by</w:t>
      </w:r>
      <w:r w:rsidR="00A61AB0" w:rsidRPr="004600F7">
        <w:rPr>
          <w:rFonts w:hint="eastAsia"/>
          <w:sz w:val="24"/>
          <w:szCs w:val="24"/>
        </w:rPr>
        <w:t xml:space="preserve"> its record o</w:t>
      </w:r>
      <w:r w:rsidR="00F72265">
        <w:rPr>
          <w:sz w:val="24"/>
          <w:szCs w:val="24"/>
        </w:rPr>
        <w:t>f</w:t>
      </w:r>
      <w:r w:rsidR="00A61AB0" w:rsidRPr="004600F7">
        <w:rPr>
          <w:rFonts w:hint="eastAsia"/>
          <w:sz w:val="24"/>
          <w:szCs w:val="24"/>
        </w:rPr>
        <w:t xml:space="preserve"> stopping states from crossing the nuclear threshold</w:t>
      </w:r>
      <w:r w:rsidR="00D7462C" w:rsidRPr="004600F7">
        <w:rPr>
          <w:rFonts w:hint="eastAsia"/>
          <w:sz w:val="24"/>
          <w:szCs w:val="24"/>
        </w:rPr>
        <w:t>.</w:t>
      </w:r>
      <w:r w:rsidR="00D7462C" w:rsidRPr="004600F7">
        <w:rPr>
          <w:rStyle w:val="FootnoteReference"/>
          <w:sz w:val="24"/>
          <w:szCs w:val="24"/>
        </w:rPr>
        <w:footnoteReference w:id="18"/>
      </w:r>
      <w:r w:rsidR="00AE0F9D" w:rsidRPr="004600F7">
        <w:rPr>
          <w:rFonts w:hint="eastAsia"/>
          <w:sz w:val="24"/>
          <w:szCs w:val="24"/>
        </w:rPr>
        <w:t xml:space="preserve"> Similarly, policy analyses reinforce this framing and describe the NPT as </w:t>
      </w:r>
      <w:r w:rsidR="00E45D57" w:rsidRPr="004600F7">
        <w:rPr>
          <w:rFonts w:hint="eastAsia"/>
          <w:sz w:val="24"/>
          <w:szCs w:val="24"/>
        </w:rPr>
        <w:t xml:space="preserve">a bulwark against proliferation and emphasize its role in limiting the number of nuclear-armed states, i.e., maintaining a </w:t>
      </w:r>
      <w:r w:rsidR="00E45D57" w:rsidRPr="004600F7">
        <w:rPr>
          <w:sz w:val="24"/>
          <w:szCs w:val="24"/>
        </w:rPr>
        <w:t>‘</w:t>
      </w:r>
      <w:r w:rsidR="00E45D57" w:rsidRPr="004600F7">
        <w:rPr>
          <w:rFonts w:hint="eastAsia"/>
          <w:sz w:val="24"/>
          <w:szCs w:val="24"/>
        </w:rPr>
        <w:t>small and exclusive</w:t>
      </w:r>
      <w:r w:rsidR="00E45D57" w:rsidRPr="004600F7">
        <w:rPr>
          <w:sz w:val="24"/>
          <w:szCs w:val="24"/>
        </w:rPr>
        <w:t>’</w:t>
      </w:r>
      <w:r w:rsidR="00E45D57" w:rsidRPr="004600F7">
        <w:rPr>
          <w:rFonts w:hint="eastAsia"/>
          <w:sz w:val="24"/>
          <w:szCs w:val="24"/>
        </w:rPr>
        <w:t xml:space="preserve"> nuclear club</w:t>
      </w:r>
      <w:r w:rsidR="00AE0F9D" w:rsidRPr="004600F7">
        <w:rPr>
          <w:rFonts w:hint="eastAsia"/>
          <w:sz w:val="24"/>
          <w:szCs w:val="24"/>
        </w:rPr>
        <w:t>.</w:t>
      </w:r>
      <w:r w:rsidR="00AE0F9D" w:rsidRPr="004600F7">
        <w:rPr>
          <w:rStyle w:val="FootnoteReference"/>
          <w:sz w:val="24"/>
          <w:szCs w:val="24"/>
        </w:rPr>
        <w:footnoteReference w:id="19"/>
      </w:r>
      <w:r w:rsidR="00E45D57" w:rsidRPr="004600F7">
        <w:rPr>
          <w:rFonts w:hint="eastAsia"/>
          <w:sz w:val="24"/>
          <w:szCs w:val="24"/>
        </w:rPr>
        <w:t xml:space="preserve"> </w:t>
      </w:r>
      <w:r w:rsidR="0030573C" w:rsidRPr="004600F7">
        <w:rPr>
          <w:rFonts w:hint="eastAsia"/>
          <w:sz w:val="24"/>
          <w:szCs w:val="24"/>
        </w:rPr>
        <w:t xml:space="preserve">This </w:t>
      </w:r>
      <w:r w:rsidR="00A61AB0" w:rsidRPr="004600F7">
        <w:rPr>
          <w:rFonts w:hint="eastAsia"/>
          <w:sz w:val="24"/>
          <w:szCs w:val="24"/>
        </w:rPr>
        <w:t>logic mirrors</w:t>
      </w:r>
      <w:r w:rsidR="0030573C" w:rsidRPr="004600F7">
        <w:rPr>
          <w:rFonts w:hint="eastAsia"/>
          <w:sz w:val="24"/>
          <w:szCs w:val="24"/>
        </w:rPr>
        <w:t xml:space="preserve"> the Treaty</w:t>
      </w:r>
      <w:r w:rsidR="0030573C" w:rsidRPr="004600F7">
        <w:rPr>
          <w:sz w:val="24"/>
          <w:szCs w:val="24"/>
        </w:rPr>
        <w:t>’</w:t>
      </w:r>
      <w:r w:rsidR="0030573C" w:rsidRPr="004600F7">
        <w:rPr>
          <w:rFonts w:hint="eastAsia"/>
          <w:sz w:val="24"/>
          <w:szCs w:val="24"/>
        </w:rPr>
        <w:t xml:space="preserve">s stated objectives </w:t>
      </w:r>
      <w:r w:rsidR="00A61AB0" w:rsidRPr="004600F7">
        <w:rPr>
          <w:rFonts w:hint="eastAsia"/>
          <w:sz w:val="24"/>
          <w:szCs w:val="24"/>
        </w:rPr>
        <w:t>under</w:t>
      </w:r>
      <w:r w:rsidR="0030573C" w:rsidRPr="004600F7">
        <w:rPr>
          <w:rFonts w:hint="eastAsia"/>
          <w:sz w:val="24"/>
          <w:szCs w:val="24"/>
        </w:rPr>
        <w:t xml:space="preserve"> Article I and II</w:t>
      </w:r>
      <w:r w:rsidR="00A61AB0" w:rsidRPr="004600F7">
        <w:rPr>
          <w:rFonts w:hint="eastAsia"/>
          <w:sz w:val="24"/>
          <w:szCs w:val="24"/>
        </w:rPr>
        <w:t>:</w:t>
      </w:r>
      <w:r w:rsidR="0030573C" w:rsidRPr="004600F7">
        <w:rPr>
          <w:sz w:val="24"/>
          <w:szCs w:val="24"/>
        </w:rPr>
        <w:t xml:space="preserve"> to prevent the transfer of nuclear weapons and to deter NNWS from acquiring them.</w:t>
      </w:r>
      <w:r w:rsidR="0030573C" w:rsidRPr="004600F7">
        <w:rPr>
          <w:rFonts w:hint="eastAsia"/>
          <w:sz w:val="24"/>
          <w:szCs w:val="24"/>
        </w:rPr>
        <w:t xml:space="preserve"> </w:t>
      </w:r>
      <w:r w:rsidR="00A61AB0" w:rsidRPr="004600F7">
        <w:rPr>
          <w:rFonts w:hint="eastAsia"/>
          <w:sz w:val="24"/>
          <w:szCs w:val="24"/>
        </w:rPr>
        <w:t>It prioritizes deterrence and prevention as the primary metrics of success</w:t>
      </w:r>
      <w:r w:rsidR="00A61AB0" w:rsidRPr="004600F7">
        <w:rPr>
          <w:sz w:val="24"/>
          <w:szCs w:val="24"/>
        </w:rPr>
        <w:t>—</w:t>
      </w:r>
      <w:r w:rsidR="00974AF9" w:rsidRPr="004600F7">
        <w:rPr>
          <w:sz w:val="24"/>
          <w:szCs w:val="24"/>
        </w:rPr>
        <w:t xml:space="preserve">if no new states acquire nuclear weapons, the regime is </w:t>
      </w:r>
      <w:r w:rsidR="00A61AB0" w:rsidRPr="004600F7">
        <w:rPr>
          <w:rFonts w:hint="eastAsia"/>
          <w:sz w:val="24"/>
          <w:szCs w:val="24"/>
        </w:rPr>
        <w:t>deemed effective</w:t>
      </w:r>
      <w:r w:rsidR="00974AF9" w:rsidRPr="004600F7">
        <w:rPr>
          <w:sz w:val="24"/>
          <w:szCs w:val="24"/>
        </w:rPr>
        <w:t xml:space="preserve">; if they do, it is </w:t>
      </w:r>
      <w:r w:rsidR="002A7258" w:rsidRPr="004600F7">
        <w:rPr>
          <w:sz w:val="24"/>
          <w:szCs w:val="24"/>
        </w:rPr>
        <w:t>not</w:t>
      </w:r>
      <w:r w:rsidR="00A61AB0" w:rsidRPr="004600F7">
        <w:rPr>
          <w:rFonts w:hint="eastAsia"/>
          <w:sz w:val="24"/>
          <w:szCs w:val="24"/>
        </w:rPr>
        <w:t>.</w:t>
      </w:r>
      <w:r w:rsidRPr="004600F7">
        <w:rPr>
          <w:sz w:val="24"/>
          <w:szCs w:val="24"/>
        </w:rPr>
        <w:t xml:space="preserve"> </w:t>
      </w:r>
    </w:p>
    <w:p w14:paraId="0AF6EBC7" w14:textId="3506A2BE" w:rsidR="007E2F7F" w:rsidRPr="004600F7" w:rsidRDefault="0076511D" w:rsidP="00111EB4">
      <w:pPr>
        <w:spacing w:after="0" w:line="480" w:lineRule="auto"/>
        <w:rPr>
          <w:sz w:val="24"/>
          <w:szCs w:val="24"/>
        </w:rPr>
      </w:pPr>
      <w:r>
        <w:rPr>
          <w:sz w:val="24"/>
          <w:szCs w:val="24"/>
        </w:rPr>
        <w:t xml:space="preserve">     </w:t>
      </w:r>
      <w:r w:rsidR="00974AF9" w:rsidRPr="004600F7">
        <w:rPr>
          <w:sz w:val="24"/>
          <w:szCs w:val="24"/>
        </w:rPr>
        <w:t>However</w:t>
      </w:r>
      <w:r w:rsidR="007E2F7F" w:rsidRPr="004600F7">
        <w:rPr>
          <w:sz w:val="24"/>
          <w:szCs w:val="24"/>
        </w:rPr>
        <w:t>, evaluating the NPT</w:t>
      </w:r>
      <w:r w:rsidR="00F72265">
        <w:rPr>
          <w:sz w:val="24"/>
          <w:szCs w:val="24"/>
        </w:rPr>
        <w:t xml:space="preserve"> and IAEA</w:t>
      </w:r>
      <w:r w:rsidR="007E2F7F" w:rsidRPr="004600F7">
        <w:rPr>
          <w:sz w:val="24"/>
          <w:szCs w:val="24"/>
        </w:rPr>
        <w:t xml:space="preserve"> </w:t>
      </w:r>
      <w:r w:rsidR="007E0F84" w:rsidRPr="004600F7">
        <w:rPr>
          <w:sz w:val="24"/>
          <w:szCs w:val="24"/>
        </w:rPr>
        <w:t>based on</w:t>
      </w:r>
      <w:r w:rsidR="007E2F7F" w:rsidRPr="004600F7">
        <w:rPr>
          <w:sz w:val="24"/>
          <w:szCs w:val="24"/>
        </w:rPr>
        <w:t xml:space="preserve"> </w:t>
      </w:r>
      <w:r w:rsidR="00DF27C7">
        <w:rPr>
          <w:rFonts w:hint="eastAsia"/>
          <w:sz w:val="24"/>
          <w:szCs w:val="24"/>
        </w:rPr>
        <w:t xml:space="preserve">such </w:t>
      </w:r>
      <w:r w:rsidR="004A2CC4">
        <w:rPr>
          <w:rFonts w:hint="eastAsia"/>
          <w:sz w:val="24"/>
          <w:szCs w:val="24"/>
        </w:rPr>
        <w:t>measures</w:t>
      </w:r>
      <w:r w:rsidR="004A2CC4" w:rsidRPr="004600F7">
        <w:rPr>
          <w:sz w:val="24"/>
          <w:szCs w:val="24"/>
        </w:rPr>
        <w:t xml:space="preserve"> </w:t>
      </w:r>
      <w:r w:rsidR="00974AF9" w:rsidRPr="004600F7">
        <w:rPr>
          <w:sz w:val="24"/>
          <w:szCs w:val="24"/>
        </w:rPr>
        <w:t xml:space="preserve">obscures crucial aspects of how the regime </w:t>
      </w:r>
      <w:proofErr w:type="gramStart"/>
      <w:r w:rsidR="00974AF9" w:rsidRPr="004600F7">
        <w:rPr>
          <w:sz w:val="24"/>
          <w:szCs w:val="24"/>
        </w:rPr>
        <w:t>actually functions</w:t>
      </w:r>
      <w:proofErr w:type="gramEnd"/>
      <w:r w:rsidR="007E2F7F" w:rsidRPr="004600F7">
        <w:rPr>
          <w:sz w:val="24"/>
          <w:szCs w:val="24"/>
        </w:rPr>
        <w:t>. Even well-designed regimes can fail in the face of determined actors, especially when the potential benefits of violations</w:t>
      </w:r>
      <w:r w:rsidR="00CF0253" w:rsidRPr="004600F7">
        <w:rPr>
          <w:sz w:val="24"/>
          <w:szCs w:val="24"/>
        </w:rPr>
        <w:t>, or the costs of not violating,</w:t>
      </w:r>
      <w:r w:rsidR="007E2F7F" w:rsidRPr="004600F7">
        <w:rPr>
          <w:sz w:val="24"/>
          <w:szCs w:val="24"/>
        </w:rPr>
        <w:t xml:space="preserve"> are high. Moreover, full compliance is an unrealistic benchmark for any international institution, and particularly so for one lacking autonomous enforcement powers.</w:t>
      </w:r>
      <w:r w:rsidR="007E2F7F" w:rsidRPr="004600F7">
        <w:rPr>
          <w:rStyle w:val="FootnoteReference"/>
          <w:sz w:val="24"/>
          <w:szCs w:val="24"/>
        </w:rPr>
        <w:footnoteReference w:id="20"/>
      </w:r>
      <w:r w:rsidR="007E2F7F" w:rsidRPr="004600F7">
        <w:rPr>
          <w:sz w:val="24"/>
          <w:szCs w:val="24"/>
        </w:rPr>
        <w:t xml:space="preserve"> Accordingly, we </w:t>
      </w:r>
      <w:r w:rsidR="00170CF8" w:rsidRPr="004600F7">
        <w:rPr>
          <w:sz w:val="24"/>
          <w:szCs w:val="24"/>
        </w:rPr>
        <w:t>adopt</w:t>
      </w:r>
      <w:r w:rsidR="007E2F7F" w:rsidRPr="004600F7">
        <w:rPr>
          <w:sz w:val="24"/>
          <w:szCs w:val="24"/>
        </w:rPr>
        <w:t xml:space="preserve"> a complementary </w:t>
      </w:r>
      <w:r w:rsidR="00170CF8" w:rsidRPr="004600F7">
        <w:rPr>
          <w:sz w:val="24"/>
          <w:szCs w:val="24"/>
        </w:rPr>
        <w:t>framework to</w:t>
      </w:r>
      <w:r w:rsidR="007E2F7F" w:rsidRPr="004600F7">
        <w:rPr>
          <w:sz w:val="24"/>
          <w:szCs w:val="24"/>
        </w:rPr>
        <w:t xml:space="preserve"> evaluat</w:t>
      </w:r>
      <w:r w:rsidR="00170CF8" w:rsidRPr="004600F7">
        <w:rPr>
          <w:sz w:val="24"/>
          <w:szCs w:val="24"/>
        </w:rPr>
        <w:t>e</w:t>
      </w:r>
      <w:r w:rsidR="007E2F7F" w:rsidRPr="004600F7">
        <w:rPr>
          <w:sz w:val="24"/>
          <w:szCs w:val="24"/>
        </w:rPr>
        <w:t xml:space="preserve"> the NPT</w:t>
      </w:r>
      <w:r w:rsidR="00F72265">
        <w:rPr>
          <w:sz w:val="24"/>
          <w:szCs w:val="24"/>
        </w:rPr>
        <w:t xml:space="preserve"> and IAEA’s</w:t>
      </w:r>
      <w:r w:rsidR="007E2F7F" w:rsidRPr="004600F7">
        <w:rPr>
          <w:sz w:val="24"/>
          <w:szCs w:val="24"/>
        </w:rPr>
        <w:t xml:space="preserve"> </w:t>
      </w:r>
      <w:r w:rsidR="00F72265">
        <w:rPr>
          <w:sz w:val="24"/>
          <w:szCs w:val="24"/>
        </w:rPr>
        <w:t>institutional</w:t>
      </w:r>
      <w:r w:rsidR="007E2F7F" w:rsidRPr="004600F7">
        <w:rPr>
          <w:sz w:val="24"/>
          <w:szCs w:val="24"/>
        </w:rPr>
        <w:t xml:space="preserve"> capacity for </w:t>
      </w:r>
      <w:r w:rsidR="007E2F7F" w:rsidRPr="004600F7">
        <w:rPr>
          <w:i/>
          <w:iCs/>
          <w:sz w:val="24"/>
          <w:szCs w:val="24"/>
        </w:rPr>
        <w:t>detection</w:t>
      </w:r>
      <w:r w:rsidR="007E2F7F" w:rsidRPr="004600F7">
        <w:rPr>
          <w:sz w:val="24"/>
          <w:szCs w:val="24"/>
        </w:rPr>
        <w:t xml:space="preserve">. </w:t>
      </w:r>
      <w:r w:rsidR="00F1131C" w:rsidRPr="004600F7">
        <w:rPr>
          <w:rFonts w:hint="eastAsia"/>
          <w:sz w:val="24"/>
          <w:szCs w:val="24"/>
        </w:rPr>
        <w:t>Through detection, the</w:t>
      </w:r>
      <w:r w:rsidR="00F72265">
        <w:rPr>
          <w:sz w:val="24"/>
          <w:szCs w:val="24"/>
        </w:rPr>
        <w:t>y</w:t>
      </w:r>
      <w:r w:rsidR="00F1131C" w:rsidRPr="004600F7">
        <w:rPr>
          <w:rFonts w:hint="eastAsia"/>
          <w:sz w:val="24"/>
          <w:szCs w:val="24"/>
        </w:rPr>
        <w:t xml:space="preserve"> generate credible institutional knowledge, </w:t>
      </w:r>
      <w:r w:rsidR="00A45E19" w:rsidRPr="004600F7">
        <w:rPr>
          <w:rFonts w:hint="eastAsia"/>
          <w:sz w:val="24"/>
          <w:szCs w:val="24"/>
        </w:rPr>
        <w:t>underpins the legitimacy of</w:t>
      </w:r>
      <w:r w:rsidR="00F1131C" w:rsidRPr="004600F7">
        <w:rPr>
          <w:rFonts w:hint="eastAsia"/>
          <w:sz w:val="24"/>
          <w:szCs w:val="24"/>
        </w:rPr>
        <w:t xml:space="preserve"> enforcement, and enables collective diplomacy</w:t>
      </w:r>
      <w:r w:rsidR="00974AF9" w:rsidRPr="004600F7">
        <w:rPr>
          <w:sz w:val="24"/>
          <w:szCs w:val="24"/>
        </w:rPr>
        <w:t>.</w:t>
      </w:r>
      <w:r w:rsidR="00F1131C" w:rsidRPr="004600F7">
        <w:rPr>
          <w:rStyle w:val="FootnoteReference"/>
          <w:sz w:val="24"/>
          <w:szCs w:val="24"/>
        </w:rPr>
        <w:footnoteReference w:id="21"/>
      </w:r>
      <w:r w:rsidR="00974AF9" w:rsidRPr="004600F7">
        <w:rPr>
          <w:sz w:val="24"/>
          <w:szCs w:val="24"/>
        </w:rPr>
        <w:t xml:space="preserve"> </w:t>
      </w:r>
    </w:p>
    <w:p w14:paraId="051D0E59" w14:textId="698A7793" w:rsidR="00974AF9" w:rsidRPr="004600F7" w:rsidRDefault="0076511D" w:rsidP="00111EB4">
      <w:pPr>
        <w:spacing w:after="0" w:line="480" w:lineRule="auto"/>
        <w:rPr>
          <w:sz w:val="24"/>
          <w:szCs w:val="24"/>
        </w:rPr>
      </w:pPr>
      <w:r>
        <w:rPr>
          <w:sz w:val="24"/>
          <w:szCs w:val="24"/>
        </w:rPr>
        <w:lastRenderedPageBreak/>
        <w:t xml:space="preserve">     </w:t>
      </w:r>
      <w:r w:rsidR="00446AEF" w:rsidRPr="004600F7">
        <w:rPr>
          <w:sz w:val="24"/>
          <w:szCs w:val="24"/>
        </w:rPr>
        <w:t>We conceptualize d</w:t>
      </w:r>
      <w:r w:rsidR="00446AEF" w:rsidRPr="004600F7">
        <w:rPr>
          <w:rFonts w:hint="eastAsia"/>
          <w:sz w:val="24"/>
          <w:szCs w:val="24"/>
        </w:rPr>
        <w:t>etection</w:t>
      </w:r>
      <w:r w:rsidR="00F72265">
        <w:rPr>
          <w:sz w:val="24"/>
          <w:szCs w:val="24"/>
        </w:rPr>
        <w:t xml:space="preserve"> as </w:t>
      </w:r>
      <w:r w:rsidR="00A45E19" w:rsidRPr="004600F7">
        <w:rPr>
          <w:rFonts w:hint="eastAsia"/>
          <w:sz w:val="24"/>
          <w:szCs w:val="24"/>
        </w:rPr>
        <w:t>an ongoing process of gathering evidence, often under conditions of ambiguity</w:t>
      </w:r>
      <w:r w:rsidR="001D0B05" w:rsidRPr="004600F7">
        <w:rPr>
          <w:sz w:val="24"/>
          <w:szCs w:val="24"/>
        </w:rPr>
        <w:t xml:space="preserve">. </w:t>
      </w:r>
      <w:r w:rsidR="00610F0A" w:rsidRPr="004600F7">
        <w:rPr>
          <w:sz w:val="24"/>
          <w:szCs w:val="24"/>
        </w:rPr>
        <w:t>T</w:t>
      </w:r>
      <w:r w:rsidR="001D0B05" w:rsidRPr="004600F7">
        <w:rPr>
          <w:sz w:val="24"/>
          <w:szCs w:val="24"/>
        </w:rPr>
        <w:t xml:space="preserve">he objective of detection </w:t>
      </w:r>
      <w:r w:rsidR="003556BF" w:rsidRPr="004600F7">
        <w:rPr>
          <w:sz w:val="24"/>
          <w:szCs w:val="24"/>
        </w:rPr>
        <w:t>is to compile evidence and</w:t>
      </w:r>
      <w:r w:rsidR="00A45E19" w:rsidRPr="004600F7">
        <w:rPr>
          <w:rFonts w:hint="eastAsia"/>
          <w:sz w:val="24"/>
          <w:szCs w:val="24"/>
        </w:rPr>
        <w:t xml:space="preserve"> inform collective judgement</w:t>
      </w:r>
      <w:r w:rsidR="003556BF" w:rsidRPr="004600F7">
        <w:rPr>
          <w:sz w:val="24"/>
          <w:szCs w:val="24"/>
        </w:rPr>
        <w:t xml:space="preserve"> on a state’s compliance as bound by the Treaty</w:t>
      </w:r>
      <w:r w:rsidR="00F72265">
        <w:rPr>
          <w:sz w:val="24"/>
          <w:szCs w:val="24"/>
        </w:rPr>
        <w:t xml:space="preserve"> and IAEA</w:t>
      </w:r>
      <w:r w:rsidR="00A45E19" w:rsidRPr="004600F7">
        <w:rPr>
          <w:rFonts w:hint="eastAsia"/>
          <w:sz w:val="24"/>
          <w:szCs w:val="24"/>
        </w:rPr>
        <w:t>.</w:t>
      </w:r>
      <w:r w:rsidR="001D0B05" w:rsidRPr="004600F7">
        <w:rPr>
          <w:sz w:val="24"/>
          <w:szCs w:val="24"/>
        </w:rPr>
        <w:t xml:space="preserve"> </w:t>
      </w:r>
      <w:r w:rsidR="006E0B89" w:rsidRPr="004600F7">
        <w:rPr>
          <w:sz w:val="24"/>
          <w:szCs w:val="24"/>
        </w:rPr>
        <w:t xml:space="preserve">This emphasis on detection reflects the functional logic of the regime. While the NPT </w:t>
      </w:r>
      <w:r w:rsidR="00B7649D">
        <w:rPr>
          <w:sz w:val="24"/>
          <w:szCs w:val="24"/>
        </w:rPr>
        <w:t>and</w:t>
      </w:r>
      <w:r w:rsidR="00F72265">
        <w:rPr>
          <w:sz w:val="24"/>
          <w:szCs w:val="24"/>
        </w:rPr>
        <w:t xml:space="preserve"> IAEA </w:t>
      </w:r>
      <w:r w:rsidR="006E0B89" w:rsidRPr="004600F7">
        <w:rPr>
          <w:sz w:val="24"/>
          <w:szCs w:val="24"/>
        </w:rPr>
        <w:t xml:space="preserve">cannot directly enforce compliance, </w:t>
      </w:r>
      <w:r w:rsidR="0038318B">
        <w:rPr>
          <w:sz w:val="24"/>
          <w:szCs w:val="24"/>
        </w:rPr>
        <w:t>their</w:t>
      </w:r>
      <w:r w:rsidR="0038318B" w:rsidRPr="004600F7">
        <w:rPr>
          <w:sz w:val="24"/>
          <w:szCs w:val="24"/>
        </w:rPr>
        <w:t xml:space="preserve"> </w:t>
      </w:r>
      <w:r w:rsidR="006E0B89" w:rsidRPr="004600F7">
        <w:rPr>
          <w:sz w:val="24"/>
          <w:szCs w:val="24"/>
        </w:rPr>
        <w:t>institutional processes can generate authoritative information and legal designations</w:t>
      </w:r>
      <w:r w:rsidR="004A2CC4">
        <w:rPr>
          <w:rFonts w:hint="eastAsia"/>
          <w:sz w:val="24"/>
          <w:szCs w:val="24"/>
        </w:rPr>
        <w:t xml:space="preserve"> (i.e., a state</w:t>
      </w:r>
      <w:r w:rsidR="004A2CC4">
        <w:rPr>
          <w:sz w:val="24"/>
          <w:szCs w:val="24"/>
        </w:rPr>
        <w:t>’</w:t>
      </w:r>
      <w:r w:rsidR="004A2CC4">
        <w:rPr>
          <w:rFonts w:hint="eastAsia"/>
          <w:sz w:val="24"/>
          <w:szCs w:val="24"/>
        </w:rPr>
        <w:t>s standing with the treaty)</w:t>
      </w:r>
      <w:r w:rsidR="006E0B89" w:rsidRPr="004600F7">
        <w:rPr>
          <w:sz w:val="24"/>
          <w:szCs w:val="24"/>
        </w:rPr>
        <w:t xml:space="preserve"> that empower actors, such as the UN</w:t>
      </w:r>
      <w:r w:rsidR="00B7649D">
        <w:rPr>
          <w:sz w:val="24"/>
          <w:szCs w:val="24"/>
        </w:rPr>
        <w:t>SC</w:t>
      </w:r>
      <w:r w:rsidR="006E0B89" w:rsidRPr="004600F7">
        <w:rPr>
          <w:sz w:val="24"/>
          <w:szCs w:val="24"/>
        </w:rPr>
        <w:t>, to act as enforcers.</w:t>
      </w:r>
      <w:r w:rsidR="00B46C56" w:rsidRPr="004600F7">
        <w:rPr>
          <w:rFonts w:hint="eastAsia"/>
          <w:sz w:val="24"/>
          <w:szCs w:val="24"/>
        </w:rPr>
        <w:t xml:space="preserve"> In other words, detection </w:t>
      </w:r>
      <w:r w:rsidR="00E77EF3">
        <w:rPr>
          <w:sz w:val="24"/>
          <w:szCs w:val="24"/>
        </w:rPr>
        <w:t>facilitates and contributes to enforcement</w:t>
      </w:r>
      <w:r w:rsidR="00B46C56" w:rsidRPr="004600F7">
        <w:rPr>
          <w:rFonts w:hint="eastAsia"/>
          <w:sz w:val="24"/>
          <w:szCs w:val="24"/>
        </w:rPr>
        <w:t xml:space="preserve">: it is a mechanism </w:t>
      </w:r>
      <w:r w:rsidR="00B46C56" w:rsidRPr="004600F7">
        <w:rPr>
          <w:sz w:val="24"/>
          <w:szCs w:val="24"/>
        </w:rPr>
        <w:t>through</w:t>
      </w:r>
      <w:r w:rsidR="00B46C56" w:rsidRPr="004600F7">
        <w:rPr>
          <w:rFonts w:hint="eastAsia"/>
          <w:sz w:val="24"/>
          <w:szCs w:val="24"/>
        </w:rPr>
        <w:t xml:space="preserve"> which the </w:t>
      </w:r>
      <w:r w:rsidR="00E77EF3">
        <w:rPr>
          <w:sz w:val="24"/>
          <w:szCs w:val="24"/>
        </w:rPr>
        <w:t xml:space="preserve">broader nonproliferation </w:t>
      </w:r>
      <w:r w:rsidR="00B46C56" w:rsidRPr="004600F7">
        <w:rPr>
          <w:rFonts w:hint="eastAsia"/>
          <w:sz w:val="24"/>
          <w:szCs w:val="24"/>
        </w:rPr>
        <w:t xml:space="preserve">regime </w:t>
      </w:r>
      <w:r w:rsidR="00C345E3">
        <w:rPr>
          <w:rFonts w:hint="eastAsia"/>
          <w:sz w:val="24"/>
          <w:szCs w:val="24"/>
        </w:rPr>
        <w:t xml:space="preserve">generates information that mobilizes response, </w:t>
      </w:r>
      <w:r w:rsidR="00B46C56" w:rsidRPr="004600F7">
        <w:rPr>
          <w:sz w:val="24"/>
          <w:szCs w:val="24"/>
        </w:rPr>
        <w:t>legitimizes</w:t>
      </w:r>
      <w:r w:rsidR="00B46C56" w:rsidRPr="004600F7">
        <w:rPr>
          <w:rFonts w:hint="eastAsia"/>
          <w:sz w:val="24"/>
          <w:szCs w:val="24"/>
        </w:rPr>
        <w:t xml:space="preserve"> enforcement actions</w:t>
      </w:r>
      <w:r w:rsidR="00A80D54">
        <w:rPr>
          <w:sz w:val="24"/>
          <w:szCs w:val="24"/>
        </w:rPr>
        <w:t>,</w:t>
      </w:r>
      <w:r w:rsidR="00B46C56" w:rsidRPr="004600F7">
        <w:rPr>
          <w:rFonts w:hint="eastAsia"/>
          <w:sz w:val="24"/>
          <w:szCs w:val="24"/>
        </w:rPr>
        <w:t xml:space="preserve"> and shapes state behavior over time.</w:t>
      </w:r>
    </w:p>
    <w:p w14:paraId="040B1282" w14:textId="1661418F" w:rsidR="007E2F7F" w:rsidRPr="004600F7" w:rsidRDefault="0076511D" w:rsidP="00111EB4">
      <w:pPr>
        <w:spacing w:after="0" w:line="480" w:lineRule="auto"/>
        <w:rPr>
          <w:sz w:val="24"/>
          <w:szCs w:val="24"/>
        </w:rPr>
      </w:pPr>
      <w:r>
        <w:rPr>
          <w:sz w:val="24"/>
          <w:szCs w:val="24"/>
        </w:rPr>
        <w:t xml:space="preserve">     </w:t>
      </w:r>
      <w:r w:rsidR="00A45E19" w:rsidRPr="004600F7">
        <w:rPr>
          <w:rFonts w:hint="eastAsia"/>
          <w:sz w:val="24"/>
          <w:szCs w:val="24"/>
        </w:rPr>
        <w:t xml:space="preserve">Expectations </w:t>
      </w:r>
      <w:r w:rsidR="00727188" w:rsidRPr="004600F7">
        <w:rPr>
          <w:sz w:val="24"/>
          <w:szCs w:val="24"/>
        </w:rPr>
        <w:t>that the NPT and the IAEA will d</w:t>
      </w:r>
      <w:r w:rsidR="00A45E19" w:rsidRPr="004600F7">
        <w:rPr>
          <w:rFonts w:hint="eastAsia"/>
          <w:sz w:val="24"/>
          <w:szCs w:val="24"/>
        </w:rPr>
        <w:t>iscover</w:t>
      </w:r>
      <w:r w:rsidR="00727188" w:rsidRPr="004600F7">
        <w:rPr>
          <w:sz w:val="24"/>
          <w:szCs w:val="24"/>
        </w:rPr>
        <w:t xml:space="preserve"> illicit nuclear activities or clandestine weapons programs</w:t>
      </w:r>
      <w:r w:rsidR="00A45E19" w:rsidRPr="004600F7">
        <w:rPr>
          <w:rFonts w:hint="eastAsia"/>
          <w:sz w:val="24"/>
          <w:szCs w:val="24"/>
        </w:rPr>
        <w:t xml:space="preserve"> are widespread</w:t>
      </w:r>
      <w:r w:rsidR="00DD0FE8" w:rsidRPr="004600F7">
        <w:rPr>
          <w:sz w:val="24"/>
          <w:szCs w:val="24"/>
        </w:rPr>
        <w:t>.</w:t>
      </w:r>
      <w:r w:rsidR="00727188" w:rsidRPr="004600F7">
        <w:rPr>
          <w:rStyle w:val="FootnoteReference"/>
          <w:sz w:val="24"/>
          <w:szCs w:val="24"/>
        </w:rPr>
        <w:footnoteReference w:id="22"/>
      </w:r>
      <w:r w:rsidR="00DD0FE8" w:rsidRPr="004600F7">
        <w:rPr>
          <w:sz w:val="24"/>
          <w:szCs w:val="24"/>
        </w:rPr>
        <w:t xml:space="preserve"> For example, Wolfgang Fischer writes that, </w:t>
      </w:r>
      <w:r w:rsidR="005A111A" w:rsidRPr="004600F7">
        <w:rPr>
          <w:sz w:val="24"/>
          <w:szCs w:val="24"/>
        </w:rPr>
        <w:t>‘[</w:t>
      </w:r>
      <w:proofErr w:type="spellStart"/>
      <w:r w:rsidR="005A111A" w:rsidRPr="004600F7">
        <w:rPr>
          <w:sz w:val="24"/>
          <w:szCs w:val="24"/>
        </w:rPr>
        <w:t>i</w:t>
      </w:r>
      <w:proofErr w:type="spellEnd"/>
      <w:r w:rsidR="005A111A" w:rsidRPr="004600F7">
        <w:rPr>
          <w:sz w:val="24"/>
          <w:szCs w:val="24"/>
        </w:rPr>
        <w:t>]</w:t>
      </w:r>
      <w:r w:rsidR="00DD0FE8" w:rsidRPr="004600F7">
        <w:rPr>
          <w:sz w:val="24"/>
          <w:szCs w:val="24"/>
        </w:rPr>
        <w:t>f safeguards cannot detect clandestine [programs] by such states, a central pillar of the non-proliferation regime will collapse</w:t>
      </w:r>
      <w:r w:rsidR="005A111A" w:rsidRPr="004600F7">
        <w:rPr>
          <w:sz w:val="24"/>
          <w:szCs w:val="24"/>
        </w:rPr>
        <w:t>’</w:t>
      </w:r>
      <w:r w:rsidR="00DD0FE8" w:rsidRPr="004600F7">
        <w:rPr>
          <w:sz w:val="24"/>
          <w:szCs w:val="24"/>
        </w:rPr>
        <w:t>.</w:t>
      </w:r>
      <w:r w:rsidR="005A111A" w:rsidRPr="004600F7">
        <w:rPr>
          <w:rStyle w:val="FootnoteReference"/>
          <w:sz w:val="24"/>
          <w:szCs w:val="24"/>
        </w:rPr>
        <w:footnoteReference w:id="23"/>
      </w:r>
      <w:r w:rsidR="005A111A" w:rsidRPr="004600F7">
        <w:rPr>
          <w:sz w:val="24"/>
          <w:szCs w:val="24"/>
        </w:rPr>
        <w:t xml:space="preserve"> Reinhard Loosch, previously the Representative of the Federal Republic of Germany on the IAEA Board of Governors, states, ‘[t]he Principles proclaimed by the NPT Conference had reinforced the standing of the IAEA by… calling for increasing its capability to detect undeclared nuclear activities’.</w:t>
      </w:r>
      <w:r w:rsidR="005A111A" w:rsidRPr="004600F7">
        <w:rPr>
          <w:rStyle w:val="FootnoteReference"/>
          <w:sz w:val="24"/>
          <w:szCs w:val="24"/>
        </w:rPr>
        <w:footnoteReference w:id="24"/>
      </w:r>
      <w:r w:rsidR="00421147" w:rsidRPr="004600F7">
        <w:rPr>
          <w:sz w:val="24"/>
          <w:szCs w:val="24"/>
        </w:rPr>
        <w:t xml:space="preserve"> Hans Blix, former </w:t>
      </w:r>
      <w:r w:rsidR="00727188" w:rsidRPr="004600F7">
        <w:rPr>
          <w:sz w:val="24"/>
          <w:szCs w:val="24"/>
        </w:rPr>
        <w:t>D</w:t>
      </w:r>
      <w:r w:rsidR="00421147" w:rsidRPr="004600F7">
        <w:rPr>
          <w:sz w:val="24"/>
          <w:szCs w:val="24"/>
        </w:rPr>
        <w:t xml:space="preserve">irector </w:t>
      </w:r>
      <w:r w:rsidR="00727188" w:rsidRPr="004600F7">
        <w:rPr>
          <w:sz w:val="24"/>
          <w:szCs w:val="24"/>
        </w:rPr>
        <w:t>G</w:t>
      </w:r>
      <w:r w:rsidR="00421147" w:rsidRPr="004600F7">
        <w:rPr>
          <w:sz w:val="24"/>
          <w:szCs w:val="24"/>
        </w:rPr>
        <w:t xml:space="preserve">eneral of the IAEA, links deterrence with detection and suggests that </w:t>
      </w:r>
      <w:r w:rsidR="004C19CE">
        <w:rPr>
          <w:sz w:val="24"/>
          <w:szCs w:val="24"/>
        </w:rPr>
        <w:t>‘</w:t>
      </w:r>
      <w:r w:rsidR="00421147" w:rsidRPr="004600F7">
        <w:rPr>
          <w:sz w:val="24"/>
          <w:szCs w:val="24"/>
        </w:rPr>
        <w:t>IAEA safeguards inspection remain a most visible measure designed to “deter from diversion by the risk of detection”’.</w:t>
      </w:r>
      <w:r w:rsidR="00421147" w:rsidRPr="004600F7">
        <w:rPr>
          <w:rStyle w:val="FootnoteReference"/>
          <w:sz w:val="24"/>
          <w:szCs w:val="24"/>
        </w:rPr>
        <w:footnoteReference w:id="25"/>
      </w:r>
      <w:r w:rsidR="00421147" w:rsidRPr="004600F7">
        <w:rPr>
          <w:sz w:val="24"/>
          <w:szCs w:val="24"/>
        </w:rPr>
        <w:t xml:space="preserve"> Yet</w:t>
      </w:r>
      <w:r w:rsidR="001D0B05" w:rsidRPr="004600F7">
        <w:rPr>
          <w:sz w:val="24"/>
          <w:szCs w:val="24"/>
        </w:rPr>
        <w:t xml:space="preserve"> </w:t>
      </w:r>
      <w:r w:rsidR="00DF27C7">
        <w:rPr>
          <w:rFonts w:hint="eastAsia"/>
          <w:sz w:val="24"/>
          <w:szCs w:val="24"/>
        </w:rPr>
        <w:t>when assessed</w:t>
      </w:r>
      <w:r w:rsidR="00E77EF3">
        <w:rPr>
          <w:sz w:val="24"/>
          <w:szCs w:val="24"/>
        </w:rPr>
        <w:t xml:space="preserve"> based on </w:t>
      </w:r>
      <w:r w:rsidR="00DF27C7">
        <w:rPr>
          <w:rFonts w:hint="eastAsia"/>
          <w:sz w:val="24"/>
          <w:szCs w:val="24"/>
        </w:rPr>
        <w:t xml:space="preserve">whether the NPT and IAEA have </w:t>
      </w:r>
      <w:r w:rsidR="00E77EF3">
        <w:rPr>
          <w:sz w:val="24"/>
          <w:szCs w:val="24"/>
        </w:rPr>
        <w:t>prevent</w:t>
      </w:r>
      <w:r w:rsidR="00DF27C7">
        <w:rPr>
          <w:rFonts w:hint="eastAsia"/>
          <w:sz w:val="24"/>
          <w:szCs w:val="24"/>
        </w:rPr>
        <w:t>ed</w:t>
      </w:r>
      <w:r w:rsidR="00E77EF3">
        <w:rPr>
          <w:sz w:val="24"/>
          <w:szCs w:val="24"/>
        </w:rPr>
        <w:t xml:space="preserve"> proliferation</w:t>
      </w:r>
      <w:r w:rsidR="00A45E19" w:rsidRPr="004600F7">
        <w:rPr>
          <w:rFonts w:hint="eastAsia"/>
          <w:sz w:val="24"/>
          <w:szCs w:val="24"/>
        </w:rPr>
        <w:t xml:space="preserve">, detection may paradoxically be seen as evidence of </w:t>
      </w:r>
      <w:r w:rsidR="00E77EF3">
        <w:rPr>
          <w:sz w:val="24"/>
          <w:szCs w:val="24"/>
        </w:rPr>
        <w:t xml:space="preserve">regime </w:t>
      </w:r>
      <w:r w:rsidR="00A45E19" w:rsidRPr="004600F7">
        <w:rPr>
          <w:rFonts w:hint="eastAsia"/>
          <w:sz w:val="24"/>
          <w:szCs w:val="24"/>
        </w:rPr>
        <w:t xml:space="preserve">failure because it reveals violators, whereas success is defined by their absence. </w:t>
      </w:r>
      <w:r w:rsidR="00E77EF3">
        <w:rPr>
          <w:sz w:val="24"/>
          <w:szCs w:val="24"/>
        </w:rPr>
        <w:t xml:space="preserve">Focusing on how detection </w:t>
      </w:r>
      <w:r w:rsidR="00E77EF3">
        <w:rPr>
          <w:sz w:val="24"/>
          <w:szCs w:val="24"/>
        </w:rPr>
        <w:lastRenderedPageBreak/>
        <w:t xml:space="preserve">functions and contributes to regime effectiveness </w:t>
      </w:r>
      <w:r w:rsidR="00A45E19" w:rsidRPr="004600F7">
        <w:rPr>
          <w:rFonts w:hint="eastAsia"/>
          <w:sz w:val="24"/>
          <w:szCs w:val="24"/>
        </w:rPr>
        <w:t>resolves this incongruity by recasting detection as evidence of institutional functionality</w:t>
      </w:r>
      <w:r w:rsidR="00DF27C7">
        <w:rPr>
          <w:rFonts w:hint="eastAsia"/>
          <w:sz w:val="24"/>
          <w:szCs w:val="24"/>
        </w:rPr>
        <w:t xml:space="preserve"> and a contribution to subsequent enforcement actions</w:t>
      </w:r>
      <w:r w:rsidR="00A45E19" w:rsidRPr="004600F7">
        <w:rPr>
          <w:rFonts w:hint="eastAsia"/>
          <w:sz w:val="24"/>
          <w:szCs w:val="24"/>
        </w:rPr>
        <w:t xml:space="preserve">. </w:t>
      </w:r>
      <w:r w:rsidR="00D378FD" w:rsidRPr="004600F7">
        <w:rPr>
          <w:sz w:val="24"/>
          <w:szCs w:val="24"/>
        </w:rPr>
        <w:t xml:space="preserve"> </w:t>
      </w:r>
    </w:p>
    <w:p w14:paraId="6215EE3E" w14:textId="2A4EFDD5" w:rsidR="008C45C2" w:rsidRDefault="0076511D" w:rsidP="00111EB4">
      <w:pPr>
        <w:spacing w:after="0" w:line="480" w:lineRule="auto"/>
        <w:rPr>
          <w:sz w:val="24"/>
          <w:szCs w:val="24"/>
        </w:rPr>
      </w:pPr>
      <w:r>
        <w:rPr>
          <w:sz w:val="24"/>
          <w:szCs w:val="24"/>
        </w:rPr>
        <w:t xml:space="preserve">     </w:t>
      </w:r>
      <w:r w:rsidR="00DF27C7">
        <w:rPr>
          <w:rFonts w:hint="eastAsia"/>
          <w:sz w:val="24"/>
          <w:szCs w:val="24"/>
        </w:rPr>
        <w:t>Detection is composed of</w:t>
      </w:r>
      <w:r w:rsidR="00A45E19" w:rsidRPr="004600F7">
        <w:rPr>
          <w:rFonts w:hint="eastAsia"/>
          <w:sz w:val="24"/>
          <w:szCs w:val="24"/>
        </w:rPr>
        <w:t xml:space="preserve"> </w:t>
      </w:r>
      <w:r w:rsidR="00170CF8" w:rsidRPr="004600F7">
        <w:rPr>
          <w:sz w:val="24"/>
          <w:szCs w:val="24"/>
        </w:rPr>
        <w:t xml:space="preserve">the </w:t>
      </w:r>
      <w:r w:rsidR="00A45E19" w:rsidRPr="004600F7">
        <w:rPr>
          <w:rFonts w:hint="eastAsia"/>
          <w:sz w:val="24"/>
          <w:szCs w:val="24"/>
        </w:rPr>
        <w:t>screening, monitoring and verification</w:t>
      </w:r>
      <w:r w:rsidR="00E27320" w:rsidRPr="004600F7">
        <w:rPr>
          <w:sz w:val="24"/>
          <w:szCs w:val="24"/>
        </w:rPr>
        <w:t xml:space="preserve"> (SMV)</w:t>
      </w:r>
      <w:r w:rsidR="00A45E19" w:rsidRPr="004600F7">
        <w:rPr>
          <w:rFonts w:hint="eastAsia"/>
          <w:sz w:val="24"/>
          <w:szCs w:val="24"/>
        </w:rPr>
        <w:t xml:space="preserve"> mechanisms</w:t>
      </w:r>
      <w:r w:rsidR="00DF27C7">
        <w:rPr>
          <w:rFonts w:hint="eastAsia"/>
          <w:sz w:val="24"/>
          <w:szCs w:val="24"/>
        </w:rPr>
        <w:t>, which</w:t>
      </w:r>
      <w:r w:rsidR="00A45E19" w:rsidRPr="004600F7">
        <w:rPr>
          <w:rFonts w:hint="eastAsia"/>
          <w:sz w:val="24"/>
          <w:szCs w:val="24"/>
        </w:rPr>
        <w:t xml:space="preserve"> make proliferators visible. </w:t>
      </w:r>
      <w:r w:rsidR="00E77EF3" w:rsidRPr="00E77EF3">
        <w:rPr>
          <w:i/>
          <w:iCs/>
          <w:sz w:val="24"/>
          <w:szCs w:val="24"/>
        </w:rPr>
        <w:t>Screening</w:t>
      </w:r>
      <w:r w:rsidR="00E77EF3">
        <w:rPr>
          <w:sz w:val="24"/>
          <w:szCs w:val="24"/>
        </w:rPr>
        <w:t xml:space="preserve"> is the assessment of states’ risk of noncompliance and identifies states’ risk profiles.</w:t>
      </w:r>
      <w:r w:rsidR="00E77EF3">
        <w:rPr>
          <w:rStyle w:val="FootnoteReference"/>
          <w:sz w:val="24"/>
          <w:szCs w:val="24"/>
        </w:rPr>
        <w:footnoteReference w:id="26"/>
      </w:r>
      <w:r w:rsidR="00E77EF3">
        <w:rPr>
          <w:sz w:val="24"/>
          <w:szCs w:val="24"/>
        </w:rPr>
        <w:t xml:space="preserve"> In the NPT, s</w:t>
      </w:r>
      <w:r w:rsidR="00A45E19" w:rsidRPr="004600F7">
        <w:rPr>
          <w:rFonts w:hint="eastAsia"/>
          <w:sz w:val="24"/>
          <w:szCs w:val="24"/>
        </w:rPr>
        <w:t>creening begins with accession: joining the NPT signals a willingness to accept reputational, political, and procedural costs. Refusal to join, as in India</w:t>
      </w:r>
      <w:r w:rsidR="00A45E19" w:rsidRPr="004600F7">
        <w:rPr>
          <w:sz w:val="24"/>
          <w:szCs w:val="24"/>
        </w:rPr>
        <w:t>’</w:t>
      </w:r>
      <w:r w:rsidR="00A45E19" w:rsidRPr="004600F7">
        <w:rPr>
          <w:rFonts w:hint="eastAsia"/>
          <w:sz w:val="24"/>
          <w:szCs w:val="24"/>
        </w:rPr>
        <w:t>s case, can expose a state</w:t>
      </w:r>
      <w:r w:rsidR="00A45E19" w:rsidRPr="004600F7">
        <w:rPr>
          <w:sz w:val="24"/>
          <w:szCs w:val="24"/>
        </w:rPr>
        <w:t>’</w:t>
      </w:r>
      <w:r w:rsidR="00A45E19" w:rsidRPr="004600F7">
        <w:rPr>
          <w:rFonts w:hint="eastAsia"/>
          <w:sz w:val="24"/>
          <w:szCs w:val="24"/>
        </w:rPr>
        <w:t>s preference for retaining nuclear weapons.</w:t>
      </w:r>
      <w:r w:rsidR="00EF16CA" w:rsidRPr="004600F7">
        <w:rPr>
          <w:rStyle w:val="FootnoteReference"/>
          <w:sz w:val="24"/>
          <w:szCs w:val="24"/>
        </w:rPr>
        <w:footnoteReference w:id="27"/>
      </w:r>
      <w:r w:rsidR="00A45E19" w:rsidRPr="004600F7">
        <w:rPr>
          <w:rFonts w:hint="eastAsia"/>
          <w:sz w:val="24"/>
          <w:szCs w:val="24"/>
        </w:rPr>
        <w:t xml:space="preserve"> </w:t>
      </w:r>
      <w:r w:rsidR="00E77EF3">
        <w:rPr>
          <w:sz w:val="24"/>
          <w:szCs w:val="24"/>
        </w:rPr>
        <w:t>However, screening does not stop at accession. As states join more institutions within the nonproliferation regime, they become more deeply embedded normatively and institutionally. This embeddedness, in turn, can signal that the state is less likely to proliferate, if not reduce the likelihood of proliferation.</w:t>
      </w:r>
      <w:r w:rsidR="00E77EF3">
        <w:rPr>
          <w:rStyle w:val="FootnoteReference"/>
          <w:sz w:val="24"/>
          <w:szCs w:val="24"/>
        </w:rPr>
        <w:footnoteReference w:id="28"/>
      </w:r>
      <w:r w:rsidR="00E77EF3">
        <w:rPr>
          <w:sz w:val="24"/>
          <w:szCs w:val="24"/>
        </w:rPr>
        <w:t xml:space="preserve"> Screening is therefore an ongoing process, even if states’ risk profiles may not change frequently.</w:t>
      </w:r>
    </w:p>
    <w:p w14:paraId="4D1B572E" w14:textId="63367604" w:rsidR="001D0B05" w:rsidRDefault="00E77EF3" w:rsidP="00111EB4">
      <w:pPr>
        <w:spacing w:after="0" w:line="480" w:lineRule="auto"/>
        <w:rPr>
          <w:sz w:val="24"/>
          <w:szCs w:val="24"/>
        </w:rPr>
      </w:pPr>
      <w:r>
        <w:rPr>
          <w:sz w:val="24"/>
          <w:szCs w:val="24"/>
        </w:rPr>
        <w:t xml:space="preserve"> </w:t>
      </w:r>
      <w:r w:rsidR="008C45C2">
        <w:rPr>
          <w:sz w:val="24"/>
          <w:szCs w:val="24"/>
        </w:rPr>
        <w:t xml:space="preserve">    </w:t>
      </w:r>
      <w:r w:rsidR="008C45C2" w:rsidRPr="008C45C2">
        <w:rPr>
          <w:i/>
          <w:iCs/>
          <w:sz w:val="24"/>
          <w:szCs w:val="24"/>
        </w:rPr>
        <w:t>Monitoring</w:t>
      </w:r>
      <w:r w:rsidR="008C45C2">
        <w:rPr>
          <w:sz w:val="24"/>
          <w:szCs w:val="24"/>
        </w:rPr>
        <w:t xml:space="preserve"> relates to the gathering of data to ensure that states’ activities and</w:t>
      </w:r>
      <w:r w:rsidR="00A45E19" w:rsidRPr="004600F7">
        <w:rPr>
          <w:rFonts w:hint="eastAsia"/>
          <w:sz w:val="24"/>
          <w:szCs w:val="24"/>
        </w:rPr>
        <w:t xml:space="preserve"> declare</w:t>
      </w:r>
      <w:r w:rsidR="008C45C2">
        <w:rPr>
          <w:sz w:val="24"/>
          <w:szCs w:val="24"/>
        </w:rPr>
        <w:t>d</w:t>
      </w:r>
      <w:r w:rsidR="00A45E19" w:rsidRPr="004600F7">
        <w:rPr>
          <w:rFonts w:hint="eastAsia"/>
          <w:sz w:val="24"/>
          <w:szCs w:val="24"/>
        </w:rPr>
        <w:t xml:space="preserve"> materials </w:t>
      </w:r>
      <w:r w:rsidR="008C45C2">
        <w:rPr>
          <w:sz w:val="24"/>
          <w:szCs w:val="24"/>
        </w:rPr>
        <w:t>align with expectations and standards</w:t>
      </w:r>
      <w:r w:rsidR="00EF16CA" w:rsidRPr="004600F7">
        <w:rPr>
          <w:sz w:val="24"/>
          <w:szCs w:val="24"/>
        </w:rPr>
        <w:t>.</w:t>
      </w:r>
      <w:r w:rsidR="00A45E19" w:rsidRPr="004600F7">
        <w:rPr>
          <w:rFonts w:hint="eastAsia"/>
          <w:sz w:val="24"/>
          <w:szCs w:val="24"/>
        </w:rPr>
        <w:t xml:space="preserve"> </w:t>
      </w:r>
      <w:r w:rsidR="008C45C2">
        <w:rPr>
          <w:sz w:val="24"/>
          <w:szCs w:val="24"/>
        </w:rPr>
        <w:t xml:space="preserve">When monitoring efforts find discrepancies, they raise suspicions on intent. </w:t>
      </w:r>
      <w:r w:rsidR="00A45E19" w:rsidRPr="008C45C2">
        <w:rPr>
          <w:rFonts w:hint="eastAsia"/>
          <w:i/>
          <w:iCs/>
          <w:sz w:val="24"/>
          <w:szCs w:val="24"/>
        </w:rPr>
        <w:t>Verification</w:t>
      </w:r>
      <w:r w:rsidR="00A45E19" w:rsidRPr="004600F7">
        <w:rPr>
          <w:rFonts w:hint="eastAsia"/>
          <w:sz w:val="24"/>
          <w:szCs w:val="24"/>
        </w:rPr>
        <w:t xml:space="preserve"> </w:t>
      </w:r>
      <w:r w:rsidR="008C45C2">
        <w:rPr>
          <w:sz w:val="24"/>
          <w:szCs w:val="24"/>
        </w:rPr>
        <w:t xml:space="preserve">then </w:t>
      </w:r>
      <w:r w:rsidR="00A45E19" w:rsidRPr="004600F7">
        <w:rPr>
          <w:rFonts w:hint="eastAsia"/>
          <w:sz w:val="24"/>
          <w:szCs w:val="24"/>
        </w:rPr>
        <w:t>cross-checks declarations and</w:t>
      </w:r>
      <w:r w:rsidR="008C45C2">
        <w:rPr>
          <w:sz w:val="24"/>
          <w:szCs w:val="24"/>
        </w:rPr>
        <w:t>, importantly,</w:t>
      </w:r>
      <w:r w:rsidR="00A45E19" w:rsidRPr="004600F7">
        <w:rPr>
          <w:rFonts w:hint="eastAsia"/>
          <w:sz w:val="24"/>
          <w:szCs w:val="24"/>
        </w:rPr>
        <w:t xml:space="preserve"> investigates anomalies</w:t>
      </w:r>
      <w:r w:rsidR="005E1B6A">
        <w:rPr>
          <w:rFonts w:hint="eastAsia"/>
          <w:sz w:val="24"/>
          <w:szCs w:val="24"/>
        </w:rPr>
        <w:t xml:space="preserve"> and discrepancies identified through monitoring</w:t>
      </w:r>
      <w:r w:rsidR="00A45E19" w:rsidRPr="004600F7">
        <w:rPr>
          <w:rFonts w:hint="eastAsia"/>
          <w:sz w:val="24"/>
          <w:szCs w:val="24"/>
        </w:rPr>
        <w:t>.</w:t>
      </w:r>
      <w:r w:rsidR="005E1B6A">
        <w:rPr>
          <w:rStyle w:val="FootnoteReference"/>
          <w:sz w:val="24"/>
          <w:szCs w:val="24"/>
        </w:rPr>
        <w:footnoteReference w:id="29"/>
      </w:r>
      <w:r w:rsidR="00A45E19" w:rsidRPr="004600F7">
        <w:rPr>
          <w:rFonts w:hint="eastAsia"/>
          <w:sz w:val="24"/>
          <w:szCs w:val="24"/>
        </w:rPr>
        <w:t xml:space="preserve"> Together, these mechanisms not only constrain behavior but also reveal and </w:t>
      </w:r>
      <w:r w:rsidR="00A45E19" w:rsidRPr="004600F7">
        <w:rPr>
          <w:sz w:val="24"/>
          <w:szCs w:val="24"/>
        </w:rPr>
        <w:t>document</w:t>
      </w:r>
      <w:r w:rsidR="00A45E19" w:rsidRPr="004600F7">
        <w:rPr>
          <w:rFonts w:hint="eastAsia"/>
          <w:sz w:val="24"/>
          <w:szCs w:val="24"/>
        </w:rPr>
        <w:t xml:space="preserve"> suspect activities</w:t>
      </w:r>
      <w:r w:rsidR="001D0B05" w:rsidRPr="004600F7">
        <w:rPr>
          <w:sz w:val="24"/>
          <w:szCs w:val="24"/>
        </w:rPr>
        <w:t>.</w:t>
      </w:r>
      <w:r w:rsidR="008C45C2">
        <w:rPr>
          <w:sz w:val="24"/>
          <w:szCs w:val="24"/>
        </w:rPr>
        <w:t xml:space="preserve"> </w:t>
      </w:r>
      <w:r w:rsidR="008C45C2">
        <w:rPr>
          <w:sz w:val="24"/>
          <w:szCs w:val="24"/>
        </w:rPr>
        <w:lastRenderedPageBreak/>
        <w:t>IAEA’s state-level concept (SLC), adopted in the early 2000s, reflects the workings of the SMV mechanisms, as SLC seeks to use continuous analysis of data to derive evaluations and broader conclusions about states’ level of compliance.</w:t>
      </w:r>
      <w:r w:rsidR="008C45C2">
        <w:rPr>
          <w:rStyle w:val="FootnoteReference"/>
          <w:sz w:val="24"/>
          <w:szCs w:val="24"/>
        </w:rPr>
        <w:footnoteReference w:id="30"/>
      </w:r>
    </w:p>
    <w:p w14:paraId="0874F162" w14:textId="30C2587F" w:rsidR="005E1B6A" w:rsidRDefault="005E1B6A" w:rsidP="00111EB4">
      <w:pPr>
        <w:spacing w:after="0" w:line="480" w:lineRule="auto"/>
        <w:rPr>
          <w:sz w:val="24"/>
          <w:szCs w:val="24"/>
        </w:rPr>
      </w:pPr>
      <w:r>
        <w:rPr>
          <w:rFonts w:hint="eastAsia"/>
          <w:sz w:val="24"/>
          <w:szCs w:val="24"/>
        </w:rPr>
        <w:t xml:space="preserve">     Detection, overall, contributes to </w:t>
      </w:r>
      <w:r w:rsidR="004A2CC4">
        <w:rPr>
          <w:rFonts w:hint="eastAsia"/>
          <w:sz w:val="24"/>
          <w:szCs w:val="24"/>
        </w:rPr>
        <w:t xml:space="preserve">the </w:t>
      </w:r>
      <w:r w:rsidR="009E0F7E">
        <w:rPr>
          <w:rFonts w:hint="eastAsia"/>
          <w:sz w:val="24"/>
          <w:szCs w:val="24"/>
        </w:rPr>
        <w:t xml:space="preserve">mutually reinforcing relationship between </w:t>
      </w:r>
      <w:r>
        <w:rPr>
          <w:rFonts w:hint="eastAsia"/>
          <w:sz w:val="24"/>
          <w:szCs w:val="24"/>
        </w:rPr>
        <w:t xml:space="preserve">enforcement and compliance. </w:t>
      </w:r>
      <w:r w:rsidR="009E0F7E">
        <w:rPr>
          <w:rFonts w:hint="eastAsia"/>
          <w:sz w:val="24"/>
          <w:szCs w:val="24"/>
        </w:rPr>
        <w:t xml:space="preserve">Strong enforcement deters violations because high costs of </w:t>
      </w:r>
      <w:r w:rsidR="004A2CC4">
        <w:rPr>
          <w:rFonts w:hint="eastAsia"/>
          <w:sz w:val="24"/>
          <w:szCs w:val="24"/>
        </w:rPr>
        <w:t xml:space="preserve">regime </w:t>
      </w:r>
      <w:r w:rsidR="009E0F7E">
        <w:rPr>
          <w:rFonts w:hint="eastAsia"/>
          <w:sz w:val="24"/>
          <w:szCs w:val="24"/>
        </w:rPr>
        <w:t>defection shift states</w:t>
      </w:r>
      <w:r w:rsidR="009E0F7E">
        <w:rPr>
          <w:sz w:val="24"/>
          <w:szCs w:val="24"/>
        </w:rPr>
        <w:t>’</w:t>
      </w:r>
      <w:r w:rsidR="009E0F7E">
        <w:rPr>
          <w:rFonts w:hint="eastAsia"/>
          <w:sz w:val="24"/>
          <w:szCs w:val="24"/>
        </w:rPr>
        <w:t xml:space="preserve"> calculations, making cheating less attractive than cooperation</w:t>
      </w:r>
      <w:r w:rsidR="004A2CC4">
        <w:rPr>
          <w:rFonts w:hint="eastAsia"/>
          <w:sz w:val="24"/>
          <w:szCs w:val="24"/>
        </w:rPr>
        <w:t xml:space="preserve"> through complying with the regime</w:t>
      </w:r>
      <w:r>
        <w:rPr>
          <w:rFonts w:hint="eastAsia"/>
          <w:sz w:val="24"/>
          <w:szCs w:val="24"/>
        </w:rPr>
        <w:t>.</w:t>
      </w:r>
      <w:r>
        <w:rPr>
          <w:rStyle w:val="FootnoteReference"/>
          <w:sz w:val="24"/>
          <w:szCs w:val="24"/>
        </w:rPr>
        <w:footnoteReference w:id="31"/>
      </w:r>
      <w:r>
        <w:rPr>
          <w:rFonts w:hint="eastAsia"/>
          <w:sz w:val="24"/>
          <w:szCs w:val="24"/>
        </w:rPr>
        <w:t xml:space="preserve"> Yet, enforcers will be more inclined to perform the role only if </w:t>
      </w:r>
      <w:r w:rsidR="004A2CC4">
        <w:rPr>
          <w:rFonts w:hint="eastAsia"/>
          <w:sz w:val="24"/>
          <w:szCs w:val="24"/>
        </w:rPr>
        <w:t>enforcement is not too costly, that is, when compliance rate is high</w:t>
      </w:r>
      <w:r>
        <w:rPr>
          <w:rFonts w:hint="eastAsia"/>
          <w:sz w:val="24"/>
          <w:szCs w:val="24"/>
        </w:rPr>
        <w:t>.</w:t>
      </w:r>
      <w:r>
        <w:rPr>
          <w:rStyle w:val="FootnoteReference"/>
          <w:sz w:val="24"/>
          <w:szCs w:val="24"/>
        </w:rPr>
        <w:footnoteReference w:id="32"/>
      </w:r>
      <w:r>
        <w:rPr>
          <w:rFonts w:hint="eastAsia"/>
          <w:sz w:val="24"/>
          <w:szCs w:val="24"/>
        </w:rPr>
        <w:t xml:space="preserve"> </w:t>
      </w:r>
      <w:r w:rsidR="004A2CC4">
        <w:rPr>
          <w:rFonts w:hint="eastAsia"/>
          <w:sz w:val="24"/>
          <w:szCs w:val="24"/>
        </w:rPr>
        <w:t xml:space="preserve">This compliance-enforcement dynamic creates a </w:t>
      </w:r>
      <w:r w:rsidR="004A2CC4">
        <w:rPr>
          <w:sz w:val="24"/>
          <w:szCs w:val="24"/>
        </w:rPr>
        <w:t>circular</w:t>
      </w:r>
      <w:r w:rsidR="004A2CC4">
        <w:rPr>
          <w:rFonts w:hint="eastAsia"/>
          <w:sz w:val="24"/>
          <w:szCs w:val="24"/>
        </w:rPr>
        <w:t xml:space="preserve"> problem: one depends on the other to function and be reinforced.</w:t>
      </w:r>
      <w:r>
        <w:rPr>
          <w:rFonts w:hint="eastAsia"/>
          <w:sz w:val="24"/>
          <w:szCs w:val="24"/>
        </w:rPr>
        <w:t xml:space="preserve"> </w:t>
      </w:r>
    </w:p>
    <w:p w14:paraId="491CA311" w14:textId="6B145264" w:rsidR="005E1B6A" w:rsidRPr="005E1B6A" w:rsidRDefault="005E1B6A" w:rsidP="00111EB4">
      <w:pPr>
        <w:spacing w:after="0" w:line="480" w:lineRule="auto"/>
        <w:rPr>
          <w:sz w:val="24"/>
          <w:szCs w:val="24"/>
        </w:rPr>
      </w:pPr>
      <w:r>
        <w:rPr>
          <w:rFonts w:hint="eastAsia"/>
          <w:sz w:val="24"/>
          <w:szCs w:val="24"/>
        </w:rPr>
        <w:t xml:space="preserve">     Detection, through the SMV mechanisms, is therefore important, as it </w:t>
      </w:r>
      <w:r w:rsidR="00B71224">
        <w:rPr>
          <w:rFonts w:hint="eastAsia"/>
          <w:sz w:val="24"/>
          <w:szCs w:val="24"/>
        </w:rPr>
        <w:t>generates</w:t>
      </w:r>
      <w:r>
        <w:rPr>
          <w:rFonts w:hint="eastAsia"/>
          <w:sz w:val="24"/>
          <w:szCs w:val="24"/>
        </w:rPr>
        <w:t xml:space="preserve"> </w:t>
      </w:r>
      <w:r w:rsidR="00B71224">
        <w:rPr>
          <w:rFonts w:hint="eastAsia"/>
          <w:sz w:val="24"/>
          <w:szCs w:val="24"/>
        </w:rPr>
        <w:t xml:space="preserve">a means </w:t>
      </w:r>
      <w:r>
        <w:rPr>
          <w:rFonts w:hint="eastAsia"/>
          <w:sz w:val="24"/>
          <w:szCs w:val="24"/>
        </w:rPr>
        <w:t>to</w:t>
      </w:r>
      <w:r w:rsidR="00B71224">
        <w:rPr>
          <w:rFonts w:hint="eastAsia"/>
          <w:sz w:val="24"/>
          <w:szCs w:val="24"/>
        </w:rPr>
        <w:t xml:space="preserve"> initiating</w:t>
      </w:r>
      <w:r>
        <w:rPr>
          <w:rFonts w:hint="eastAsia"/>
          <w:sz w:val="24"/>
          <w:szCs w:val="24"/>
        </w:rPr>
        <w:t xml:space="preserve"> this mutually reinforcing relationship between enforcement and compliance. First, it </w:t>
      </w:r>
      <w:r w:rsidR="00B71224">
        <w:rPr>
          <w:rFonts w:hint="eastAsia"/>
          <w:sz w:val="24"/>
          <w:szCs w:val="24"/>
        </w:rPr>
        <w:t xml:space="preserve">reduces the costs of enforcement by </w:t>
      </w:r>
      <w:r w:rsidR="009E0F7E">
        <w:rPr>
          <w:rFonts w:hint="eastAsia"/>
          <w:sz w:val="24"/>
          <w:szCs w:val="24"/>
        </w:rPr>
        <w:t>identif</w:t>
      </w:r>
      <w:r w:rsidR="00B71224">
        <w:rPr>
          <w:rFonts w:hint="eastAsia"/>
          <w:sz w:val="24"/>
          <w:szCs w:val="24"/>
        </w:rPr>
        <w:t>ying</w:t>
      </w:r>
      <w:r>
        <w:rPr>
          <w:rFonts w:hint="eastAsia"/>
          <w:sz w:val="24"/>
          <w:szCs w:val="24"/>
        </w:rPr>
        <w:t xml:space="preserve"> violators and provid</w:t>
      </w:r>
      <w:r w:rsidR="00B71224">
        <w:rPr>
          <w:rFonts w:hint="eastAsia"/>
          <w:sz w:val="24"/>
          <w:szCs w:val="24"/>
        </w:rPr>
        <w:t>ing</w:t>
      </w:r>
      <w:r>
        <w:rPr>
          <w:rFonts w:hint="eastAsia"/>
          <w:sz w:val="24"/>
          <w:szCs w:val="24"/>
        </w:rPr>
        <w:t xml:space="preserve"> information </w:t>
      </w:r>
      <w:r w:rsidR="009E0F7E">
        <w:rPr>
          <w:rFonts w:hint="eastAsia"/>
          <w:sz w:val="24"/>
          <w:szCs w:val="24"/>
        </w:rPr>
        <w:t>that</w:t>
      </w:r>
      <w:r>
        <w:rPr>
          <w:rFonts w:hint="eastAsia"/>
          <w:sz w:val="24"/>
          <w:szCs w:val="24"/>
        </w:rPr>
        <w:t xml:space="preserve"> allows enforcers to </w:t>
      </w:r>
      <w:r w:rsidR="00B71224">
        <w:rPr>
          <w:rFonts w:hint="eastAsia"/>
          <w:sz w:val="24"/>
          <w:szCs w:val="24"/>
        </w:rPr>
        <w:t>step in more decisively to enact</w:t>
      </w:r>
      <w:r>
        <w:rPr>
          <w:rFonts w:hint="eastAsia"/>
          <w:sz w:val="24"/>
          <w:szCs w:val="24"/>
        </w:rPr>
        <w:t xml:space="preserve"> enforcement actions. Second, by observing and revealing information about (non)compliance, </w:t>
      </w:r>
      <w:r w:rsidR="009E0F7E">
        <w:rPr>
          <w:rFonts w:hint="eastAsia"/>
          <w:sz w:val="24"/>
          <w:szCs w:val="24"/>
        </w:rPr>
        <w:t xml:space="preserve">detection </w:t>
      </w:r>
      <w:r w:rsidR="00B71224">
        <w:rPr>
          <w:rFonts w:hint="eastAsia"/>
          <w:sz w:val="24"/>
          <w:szCs w:val="24"/>
        </w:rPr>
        <w:t>discourages cheating due to the likelihood of exposure and incentivizes compliance across states should they learn of other states</w:t>
      </w:r>
      <w:r w:rsidR="00B71224">
        <w:rPr>
          <w:sz w:val="24"/>
          <w:szCs w:val="24"/>
        </w:rPr>
        <w:t>’</w:t>
      </w:r>
      <w:r w:rsidR="00B71224">
        <w:rPr>
          <w:rFonts w:hint="eastAsia"/>
          <w:sz w:val="24"/>
          <w:szCs w:val="24"/>
        </w:rPr>
        <w:t xml:space="preserve"> continued compliance</w:t>
      </w:r>
      <w:r>
        <w:rPr>
          <w:rFonts w:hint="eastAsia"/>
          <w:sz w:val="24"/>
          <w:szCs w:val="24"/>
        </w:rPr>
        <w:t>.</w:t>
      </w:r>
      <w:r>
        <w:rPr>
          <w:rStyle w:val="FootnoteReference"/>
          <w:sz w:val="24"/>
          <w:szCs w:val="24"/>
        </w:rPr>
        <w:footnoteReference w:id="33"/>
      </w:r>
      <w:r>
        <w:rPr>
          <w:rFonts w:hint="eastAsia"/>
          <w:sz w:val="24"/>
          <w:szCs w:val="24"/>
        </w:rPr>
        <w:t xml:space="preserve"> </w:t>
      </w:r>
      <w:r w:rsidR="009E0F7E">
        <w:rPr>
          <w:rFonts w:hint="eastAsia"/>
          <w:sz w:val="24"/>
          <w:szCs w:val="24"/>
        </w:rPr>
        <w:t>Third</w:t>
      </w:r>
      <w:r>
        <w:rPr>
          <w:rFonts w:hint="eastAsia"/>
          <w:sz w:val="24"/>
          <w:szCs w:val="24"/>
        </w:rPr>
        <w:t>, through enabling enforcement, compliance incentives (or disincentives to not comply) can be strengthened since violation will run into a higher risk of sanctions and other relat</w:t>
      </w:r>
      <w:r w:rsidR="00B71224">
        <w:rPr>
          <w:rFonts w:hint="eastAsia"/>
          <w:sz w:val="24"/>
          <w:szCs w:val="24"/>
        </w:rPr>
        <w:t>ed</w:t>
      </w:r>
      <w:r>
        <w:rPr>
          <w:rFonts w:hint="eastAsia"/>
          <w:sz w:val="24"/>
          <w:szCs w:val="24"/>
        </w:rPr>
        <w:t xml:space="preserve"> measures. </w:t>
      </w:r>
      <w:proofErr w:type="gramStart"/>
      <w:r w:rsidR="00B71224">
        <w:rPr>
          <w:rFonts w:hint="eastAsia"/>
          <w:sz w:val="24"/>
          <w:szCs w:val="24"/>
        </w:rPr>
        <w:t>On the whole</w:t>
      </w:r>
      <w:proofErr w:type="gramEnd"/>
      <w:r w:rsidR="00B71224">
        <w:rPr>
          <w:rFonts w:hint="eastAsia"/>
          <w:sz w:val="24"/>
          <w:szCs w:val="24"/>
        </w:rPr>
        <w:t>, w</w:t>
      </w:r>
      <w:r w:rsidR="009E0F7E">
        <w:rPr>
          <w:rFonts w:hint="eastAsia"/>
          <w:sz w:val="24"/>
          <w:szCs w:val="24"/>
        </w:rPr>
        <w:t xml:space="preserve">hile detection </w:t>
      </w:r>
      <w:r w:rsidR="00B71224">
        <w:rPr>
          <w:rFonts w:hint="eastAsia"/>
          <w:sz w:val="24"/>
          <w:szCs w:val="24"/>
        </w:rPr>
        <w:t>can</w:t>
      </w:r>
      <w:r w:rsidR="009E0F7E">
        <w:rPr>
          <w:rFonts w:hint="eastAsia"/>
          <w:sz w:val="24"/>
          <w:szCs w:val="24"/>
        </w:rPr>
        <w:t>not guarantee enforcement</w:t>
      </w:r>
      <w:r w:rsidR="00B71224">
        <w:rPr>
          <w:rFonts w:hint="eastAsia"/>
          <w:sz w:val="24"/>
          <w:szCs w:val="24"/>
        </w:rPr>
        <w:t xml:space="preserve"> or compliance</w:t>
      </w:r>
      <w:r w:rsidR="009E0F7E">
        <w:rPr>
          <w:rFonts w:hint="eastAsia"/>
          <w:sz w:val="24"/>
          <w:szCs w:val="24"/>
        </w:rPr>
        <w:t xml:space="preserve">, it </w:t>
      </w:r>
      <w:r w:rsidR="00C345E3">
        <w:rPr>
          <w:rFonts w:hint="eastAsia"/>
          <w:sz w:val="24"/>
          <w:szCs w:val="24"/>
        </w:rPr>
        <w:t>generates</w:t>
      </w:r>
      <w:r w:rsidR="009E0F7E">
        <w:rPr>
          <w:rFonts w:hint="eastAsia"/>
          <w:sz w:val="24"/>
          <w:szCs w:val="24"/>
        </w:rPr>
        <w:t xml:space="preserve"> information </w:t>
      </w:r>
      <w:r w:rsidR="00B71224">
        <w:rPr>
          <w:rFonts w:hint="eastAsia"/>
          <w:sz w:val="24"/>
          <w:szCs w:val="24"/>
        </w:rPr>
        <w:t xml:space="preserve">through the SMV mechanisms that is </w:t>
      </w:r>
      <w:r w:rsidR="009E0F7E">
        <w:rPr>
          <w:rFonts w:hint="eastAsia"/>
          <w:sz w:val="24"/>
          <w:szCs w:val="24"/>
        </w:rPr>
        <w:t>necessary for regime maintenance and sustained cooperation.</w:t>
      </w:r>
      <w:r w:rsidR="009E0F7E">
        <w:rPr>
          <w:rStyle w:val="FootnoteReference"/>
          <w:sz w:val="24"/>
          <w:szCs w:val="24"/>
        </w:rPr>
        <w:footnoteReference w:id="34"/>
      </w:r>
    </w:p>
    <w:p w14:paraId="337DAB2D" w14:textId="57C2D3EB" w:rsidR="00A61AB0" w:rsidRPr="004600F7" w:rsidRDefault="0076511D" w:rsidP="00111EB4">
      <w:pPr>
        <w:spacing w:after="0" w:line="480" w:lineRule="auto"/>
        <w:rPr>
          <w:sz w:val="24"/>
          <w:szCs w:val="24"/>
        </w:rPr>
      </w:pPr>
      <w:r>
        <w:rPr>
          <w:sz w:val="24"/>
          <w:szCs w:val="24"/>
        </w:rPr>
        <w:lastRenderedPageBreak/>
        <w:t xml:space="preserve">     </w:t>
      </w:r>
      <w:r w:rsidR="00B71224">
        <w:rPr>
          <w:rFonts w:hint="eastAsia"/>
          <w:sz w:val="24"/>
          <w:szCs w:val="24"/>
        </w:rPr>
        <w:t xml:space="preserve">Examining the NPT and IAEA through their detection function also supplements </w:t>
      </w:r>
      <w:r w:rsidR="00085165" w:rsidRPr="004600F7">
        <w:rPr>
          <w:sz w:val="24"/>
          <w:szCs w:val="24"/>
        </w:rPr>
        <w:t xml:space="preserve">enduring debates </w:t>
      </w:r>
      <w:r w:rsidR="009E0F7E">
        <w:rPr>
          <w:rFonts w:hint="eastAsia"/>
          <w:sz w:val="24"/>
          <w:szCs w:val="24"/>
        </w:rPr>
        <w:t>about</w:t>
      </w:r>
      <w:r w:rsidR="00085165" w:rsidRPr="004600F7">
        <w:rPr>
          <w:sz w:val="24"/>
          <w:szCs w:val="24"/>
        </w:rPr>
        <w:t xml:space="preserve"> how the</w:t>
      </w:r>
      <w:r w:rsidR="00B71224">
        <w:rPr>
          <w:rFonts w:hint="eastAsia"/>
          <w:sz w:val="24"/>
          <w:szCs w:val="24"/>
        </w:rPr>
        <w:t>ir</w:t>
      </w:r>
      <w:r w:rsidR="00085165" w:rsidRPr="004600F7">
        <w:rPr>
          <w:sz w:val="24"/>
          <w:szCs w:val="24"/>
        </w:rPr>
        <w:t xml:space="preserve"> performance should be evaluated. Some analysts emphasize the large number of compliant states as evidence of strength, while others point to the existence of violators as a sign of systemic weakness. Our framework suggests that this debate misses a crucial dimension: the institutional visibility of violators. Rather than focusing solely on the occurrence or frequency of violations, we argue that the regime’s performance </w:t>
      </w:r>
      <w:r w:rsidR="008C45C2">
        <w:rPr>
          <w:sz w:val="24"/>
          <w:szCs w:val="24"/>
        </w:rPr>
        <w:t>can</w:t>
      </w:r>
      <w:r w:rsidR="008C45C2" w:rsidRPr="004600F7">
        <w:rPr>
          <w:sz w:val="24"/>
          <w:szCs w:val="24"/>
        </w:rPr>
        <w:t xml:space="preserve"> </w:t>
      </w:r>
      <w:r w:rsidR="00085165" w:rsidRPr="004600F7">
        <w:rPr>
          <w:sz w:val="24"/>
          <w:szCs w:val="24"/>
        </w:rPr>
        <w:t>also be judged by its ability to reveal, document, and escalate proliferative behavior to</w:t>
      </w:r>
      <w:r w:rsidR="00B71224">
        <w:rPr>
          <w:rFonts w:hint="eastAsia"/>
          <w:sz w:val="24"/>
          <w:szCs w:val="24"/>
        </w:rPr>
        <w:t xml:space="preserve"> support</w:t>
      </w:r>
      <w:r w:rsidR="00085165" w:rsidRPr="004600F7">
        <w:rPr>
          <w:sz w:val="24"/>
          <w:szCs w:val="24"/>
        </w:rPr>
        <w:t xml:space="preserve"> actionable </w:t>
      </w:r>
      <w:r w:rsidR="00B71224">
        <w:rPr>
          <w:rFonts w:hint="eastAsia"/>
          <w:sz w:val="24"/>
          <w:szCs w:val="24"/>
        </w:rPr>
        <w:t xml:space="preserve">enforcement of </w:t>
      </w:r>
      <w:r w:rsidR="00085165" w:rsidRPr="004600F7">
        <w:rPr>
          <w:sz w:val="24"/>
          <w:szCs w:val="24"/>
        </w:rPr>
        <w:t xml:space="preserve">violations of international </w:t>
      </w:r>
      <w:r w:rsidR="00077461" w:rsidRPr="004600F7">
        <w:rPr>
          <w:sz w:val="24"/>
          <w:szCs w:val="24"/>
        </w:rPr>
        <w:t xml:space="preserve">treaties and </w:t>
      </w:r>
      <w:r w:rsidR="00085165" w:rsidRPr="004600F7">
        <w:rPr>
          <w:sz w:val="24"/>
          <w:szCs w:val="24"/>
        </w:rPr>
        <w:t xml:space="preserve">norms. The case of Iraq—where the failure to detect clandestine weapons programs </w:t>
      </w:r>
      <w:r w:rsidR="00E575E2">
        <w:rPr>
          <w:rFonts w:hint="eastAsia"/>
          <w:sz w:val="24"/>
          <w:szCs w:val="24"/>
        </w:rPr>
        <w:t xml:space="preserve">prior to 1991 </w:t>
      </w:r>
      <w:r w:rsidR="00085165" w:rsidRPr="004600F7">
        <w:rPr>
          <w:sz w:val="24"/>
          <w:szCs w:val="24"/>
        </w:rPr>
        <w:t>undermined international confidence—illustrates the costs of detection breakdowns.</w:t>
      </w:r>
      <w:r w:rsidR="005124F4" w:rsidRPr="004600F7">
        <w:rPr>
          <w:rStyle w:val="FootnoteReference"/>
          <w:sz w:val="24"/>
          <w:szCs w:val="24"/>
        </w:rPr>
        <w:footnoteReference w:id="35"/>
      </w:r>
      <w:r w:rsidR="00085165" w:rsidRPr="004600F7">
        <w:rPr>
          <w:sz w:val="24"/>
          <w:szCs w:val="24"/>
        </w:rPr>
        <w:t xml:space="preserve"> By contrast, a world in which proliferation efforts are </w:t>
      </w:r>
      <w:r w:rsidR="008C45C2">
        <w:rPr>
          <w:sz w:val="24"/>
          <w:szCs w:val="24"/>
        </w:rPr>
        <w:t xml:space="preserve">made </w:t>
      </w:r>
      <w:r w:rsidR="00085165" w:rsidRPr="004600F7">
        <w:rPr>
          <w:sz w:val="24"/>
          <w:szCs w:val="24"/>
        </w:rPr>
        <w:t>known—even if not wholly prevented—is one in which the NPT</w:t>
      </w:r>
      <w:r w:rsidR="008C45C2">
        <w:rPr>
          <w:sz w:val="24"/>
          <w:szCs w:val="24"/>
        </w:rPr>
        <w:t xml:space="preserve"> and IAEA</w:t>
      </w:r>
      <w:r w:rsidR="00085165" w:rsidRPr="004600F7">
        <w:rPr>
          <w:sz w:val="24"/>
          <w:szCs w:val="24"/>
        </w:rPr>
        <w:t xml:space="preserve"> </w:t>
      </w:r>
      <w:r w:rsidR="008C45C2">
        <w:rPr>
          <w:sz w:val="24"/>
          <w:szCs w:val="24"/>
        </w:rPr>
        <w:t>are</w:t>
      </w:r>
      <w:r w:rsidR="00085165" w:rsidRPr="004600F7">
        <w:rPr>
          <w:sz w:val="24"/>
          <w:szCs w:val="24"/>
        </w:rPr>
        <w:t xml:space="preserve"> fulfilling a key functional role</w:t>
      </w:r>
      <w:r w:rsidR="008C45C2">
        <w:rPr>
          <w:sz w:val="24"/>
          <w:szCs w:val="24"/>
        </w:rPr>
        <w:t xml:space="preserve"> and allowing such violations to be enforced upon</w:t>
      </w:r>
      <w:r w:rsidR="00085165" w:rsidRPr="004600F7">
        <w:rPr>
          <w:sz w:val="24"/>
          <w:szCs w:val="24"/>
        </w:rPr>
        <w:t>. In this view, the success of the NPT</w:t>
      </w:r>
      <w:r w:rsidR="00446AEF" w:rsidRPr="004600F7">
        <w:rPr>
          <w:sz w:val="24"/>
          <w:szCs w:val="24"/>
        </w:rPr>
        <w:t xml:space="preserve"> and the </w:t>
      </w:r>
      <w:r w:rsidR="008C45C2">
        <w:rPr>
          <w:sz w:val="24"/>
          <w:szCs w:val="24"/>
        </w:rPr>
        <w:t>IAEA</w:t>
      </w:r>
      <w:r w:rsidR="008C45C2" w:rsidRPr="004600F7">
        <w:rPr>
          <w:sz w:val="24"/>
          <w:szCs w:val="24"/>
        </w:rPr>
        <w:t xml:space="preserve"> </w:t>
      </w:r>
      <w:r w:rsidR="00085165" w:rsidRPr="004600F7">
        <w:rPr>
          <w:sz w:val="24"/>
          <w:szCs w:val="24"/>
        </w:rPr>
        <w:t xml:space="preserve">lies also in </w:t>
      </w:r>
      <w:r w:rsidR="003528C2" w:rsidRPr="004600F7">
        <w:rPr>
          <w:sz w:val="24"/>
          <w:szCs w:val="24"/>
        </w:rPr>
        <w:t>the</w:t>
      </w:r>
      <w:r w:rsidR="008C45C2">
        <w:rPr>
          <w:sz w:val="24"/>
          <w:szCs w:val="24"/>
        </w:rPr>
        <w:t>ir</w:t>
      </w:r>
      <w:r w:rsidR="003528C2" w:rsidRPr="004600F7">
        <w:rPr>
          <w:sz w:val="24"/>
          <w:szCs w:val="24"/>
        </w:rPr>
        <w:t xml:space="preserve"> </w:t>
      </w:r>
      <w:r w:rsidR="00085165" w:rsidRPr="004600F7">
        <w:rPr>
          <w:sz w:val="24"/>
          <w:szCs w:val="24"/>
        </w:rPr>
        <w:t xml:space="preserve">capacity to make proliferation legible to the international system. This </w:t>
      </w:r>
      <w:r w:rsidR="008C45C2">
        <w:rPr>
          <w:sz w:val="24"/>
          <w:szCs w:val="24"/>
        </w:rPr>
        <w:t>provides an</w:t>
      </w:r>
      <w:r w:rsidR="00085165" w:rsidRPr="004600F7">
        <w:rPr>
          <w:sz w:val="24"/>
          <w:szCs w:val="24"/>
        </w:rPr>
        <w:t xml:space="preserve"> institutionally grounded basis to assess the </w:t>
      </w:r>
      <w:r w:rsidR="008C45C2">
        <w:rPr>
          <w:sz w:val="24"/>
          <w:szCs w:val="24"/>
        </w:rPr>
        <w:t xml:space="preserve">NPT/IAEA system’s </w:t>
      </w:r>
      <w:r w:rsidR="00085165" w:rsidRPr="004600F7">
        <w:rPr>
          <w:sz w:val="24"/>
          <w:szCs w:val="24"/>
        </w:rPr>
        <w:t>long-term contribution to global nuclear governance.</w:t>
      </w:r>
      <w:r w:rsidR="001D0B05" w:rsidRPr="004600F7">
        <w:rPr>
          <w:sz w:val="24"/>
          <w:szCs w:val="24"/>
        </w:rPr>
        <w:t xml:space="preserve"> </w:t>
      </w:r>
    </w:p>
    <w:p w14:paraId="39A3826C" w14:textId="5D9EBDAE" w:rsidR="007F04A6" w:rsidRPr="004600F7" w:rsidRDefault="0076511D" w:rsidP="00111EB4">
      <w:pPr>
        <w:spacing w:after="0" w:line="480" w:lineRule="auto"/>
        <w:rPr>
          <w:sz w:val="24"/>
          <w:szCs w:val="24"/>
        </w:rPr>
      </w:pPr>
      <w:r>
        <w:rPr>
          <w:sz w:val="24"/>
          <w:szCs w:val="24"/>
        </w:rPr>
        <w:t xml:space="preserve">     </w:t>
      </w:r>
      <w:r w:rsidR="00042FA8" w:rsidRPr="004600F7">
        <w:rPr>
          <w:sz w:val="24"/>
          <w:szCs w:val="24"/>
        </w:rPr>
        <w:t xml:space="preserve">By focusing on detection, we thus highlight the ways in which institutions shape preference and behaviors, not just by threatening </w:t>
      </w:r>
      <w:r w:rsidR="00B71224">
        <w:rPr>
          <w:rFonts w:hint="eastAsia"/>
          <w:sz w:val="24"/>
          <w:szCs w:val="24"/>
        </w:rPr>
        <w:t xml:space="preserve">and imposing costs </w:t>
      </w:r>
      <w:r w:rsidR="00042FA8" w:rsidRPr="004600F7">
        <w:rPr>
          <w:sz w:val="24"/>
          <w:szCs w:val="24"/>
        </w:rPr>
        <w:t>but</w:t>
      </w:r>
      <w:r w:rsidR="00B71224">
        <w:rPr>
          <w:rFonts w:hint="eastAsia"/>
          <w:sz w:val="24"/>
          <w:szCs w:val="24"/>
        </w:rPr>
        <w:t xml:space="preserve"> also</w:t>
      </w:r>
      <w:r w:rsidR="00042FA8" w:rsidRPr="004600F7">
        <w:rPr>
          <w:sz w:val="24"/>
          <w:szCs w:val="24"/>
        </w:rPr>
        <w:t xml:space="preserve"> by producing knowledge and mobilizing constituencies. </w:t>
      </w:r>
      <w:r w:rsidR="001D0B05" w:rsidRPr="004600F7">
        <w:rPr>
          <w:sz w:val="24"/>
          <w:szCs w:val="24"/>
        </w:rPr>
        <w:t xml:space="preserve">In the </w:t>
      </w:r>
      <w:r w:rsidR="00A61AB0" w:rsidRPr="004600F7">
        <w:rPr>
          <w:rFonts w:hint="eastAsia"/>
          <w:sz w:val="24"/>
          <w:szCs w:val="24"/>
        </w:rPr>
        <w:t>following subsections we examine how the NPT</w:t>
      </w:r>
      <w:r w:rsidR="00A61AB0" w:rsidRPr="004600F7">
        <w:rPr>
          <w:sz w:val="24"/>
          <w:szCs w:val="24"/>
        </w:rPr>
        <w:t>’</w:t>
      </w:r>
      <w:r w:rsidR="00A61AB0" w:rsidRPr="004600F7">
        <w:rPr>
          <w:rFonts w:hint="eastAsia"/>
          <w:sz w:val="24"/>
          <w:szCs w:val="24"/>
        </w:rPr>
        <w:t>s legal commitments and the IAEA</w:t>
      </w:r>
      <w:r w:rsidR="00A61AB0" w:rsidRPr="004600F7">
        <w:rPr>
          <w:sz w:val="24"/>
          <w:szCs w:val="24"/>
        </w:rPr>
        <w:t>’</w:t>
      </w:r>
      <w:r w:rsidR="00A61AB0" w:rsidRPr="004600F7">
        <w:rPr>
          <w:rFonts w:hint="eastAsia"/>
          <w:sz w:val="24"/>
          <w:szCs w:val="24"/>
        </w:rPr>
        <w:t xml:space="preserve">s safeguard system operationalize </w:t>
      </w:r>
      <w:r w:rsidR="00A168AC" w:rsidRPr="004600F7">
        <w:rPr>
          <w:sz w:val="24"/>
          <w:szCs w:val="24"/>
        </w:rPr>
        <w:t>SMV</w:t>
      </w:r>
      <w:r w:rsidR="00A61AB0" w:rsidRPr="004600F7">
        <w:rPr>
          <w:rFonts w:hint="eastAsia"/>
          <w:sz w:val="24"/>
          <w:szCs w:val="24"/>
        </w:rPr>
        <w:t xml:space="preserve">, and </w:t>
      </w:r>
      <w:r w:rsidR="00B71224">
        <w:rPr>
          <w:rFonts w:hint="eastAsia"/>
          <w:sz w:val="24"/>
          <w:szCs w:val="24"/>
        </w:rPr>
        <w:t xml:space="preserve">we </w:t>
      </w:r>
      <w:r w:rsidR="00A61AB0" w:rsidRPr="004600F7">
        <w:rPr>
          <w:rFonts w:hint="eastAsia"/>
          <w:sz w:val="24"/>
          <w:szCs w:val="24"/>
        </w:rPr>
        <w:t>illustrate how these processes have functioned in practice</w:t>
      </w:r>
      <w:r w:rsidR="00B71224">
        <w:rPr>
          <w:rFonts w:hint="eastAsia"/>
          <w:sz w:val="24"/>
          <w:szCs w:val="24"/>
        </w:rPr>
        <w:t xml:space="preserve"> through a case study of North Korea</w:t>
      </w:r>
      <w:r w:rsidR="00B71224">
        <w:rPr>
          <w:sz w:val="24"/>
          <w:szCs w:val="24"/>
        </w:rPr>
        <w:t>’</w:t>
      </w:r>
      <w:r w:rsidR="00B71224">
        <w:rPr>
          <w:rFonts w:hint="eastAsia"/>
          <w:sz w:val="24"/>
          <w:szCs w:val="24"/>
        </w:rPr>
        <w:t>s nuclear weapons program up until 2003</w:t>
      </w:r>
      <w:r w:rsidR="00A61AB0" w:rsidRPr="004600F7">
        <w:rPr>
          <w:rFonts w:hint="eastAsia"/>
          <w:sz w:val="24"/>
          <w:szCs w:val="24"/>
        </w:rPr>
        <w:t>.</w:t>
      </w:r>
    </w:p>
    <w:p w14:paraId="0A571F64" w14:textId="77777777" w:rsidR="001D0B05" w:rsidRDefault="001D0B05" w:rsidP="00912FDA">
      <w:pPr>
        <w:spacing w:after="0" w:line="240" w:lineRule="auto"/>
        <w:rPr>
          <w:sz w:val="24"/>
          <w:szCs w:val="24"/>
        </w:rPr>
      </w:pPr>
    </w:p>
    <w:p w14:paraId="15851C0B" w14:textId="77777777" w:rsidR="00FA6900" w:rsidRDefault="00FA6900" w:rsidP="00912FDA">
      <w:pPr>
        <w:spacing w:after="0" w:line="240" w:lineRule="auto"/>
        <w:rPr>
          <w:sz w:val="24"/>
          <w:szCs w:val="24"/>
        </w:rPr>
      </w:pPr>
    </w:p>
    <w:p w14:paraId="220D49DC" w14:textId="77777777" w:rsidR="00FA6900" w:rsidRDefault="00FA6900" w:rsidP="00912FDA">
      <w:pPr>
        <w:spacing w:after="0" w:line="240" w:lineRule="auto"/>
        <w:rPr>
          <w:sz w:val="24"/>
          <w:szCs w:val="24"/>
        </w:rPr>
      </w:pPr>
    </w:p>
    <w:p w14:paraId="48BB38F0" w14:textId="77777777" w:rsidR="00FA6900" w:rsidRPr="004600F7" w:rsidRDefault="00FA6900" w:rsidP="00912FDA">
      <w:pPr>
        <w:spacing w:after="0" w:line="240" w:lineRule="auto"/>
        <w:rPr>
          <w:sz w:val="24"/>
          <w:szCs w:val="24"/>
        </w:rPr>
      </w:pPr>
    </w:p>
    <w:p w14:paraId="0B4B062F" w14:textId="48C2BFD8" w:rsidR="007F04A6" w:rsidRPr="004B63FD" w:rsidRDefault="0076511D" w:rsidP="00AC3E94">
      <w:pPr>
        <w:spacing w:after="0" w:line="240" w:lineRule="auto"/>
        <w:outlineLvl w:val="1"/>
        <w:rPr>
          <w:b/>
          <w:bCs/>
          <w:i/>
          <w:iCs/>
          <w:sz w:val="24"/>
          <w:szCs w:val="24"/>
        </w:rPr>
      </w:pPr>
      <w:r w:rsidRPr="004B63FD">
        <w:rPr>
          <w:b/>
          <w:bCs/>
          <w:sz w:val="24"/>
          <w:szCs w:val="24"/>
        </w:rPr>
        <w:lastRenderedPageBreak/>
        <w:t xml:space="preserve">2.2 </w:t>
      </w:r>
      <w:r w:rsidR="007F04A6" w:rsidRPr="004B63FD">
        <w:rPr>
          <w:b/>
          <w:bCs/>
          <w:i/>
          <w:iCs/>
          <w:sz w:val="24"/>
          <w:szCs w:val="24"/>
        </w:rPr>
        <w:t>NPT</w:t>
      </w:r>
      <w:r w:rsidR="00AC3E94" w:rsidRPr="004B63FD">
        <w:rPr>
          <w:b/>
          <w:bCs/>
          <w:i/>
          <w:iCs/>
          <w:sz w:val="24"/>
          <w:szCs w:val="24"/>
        </w:rPr>
        <w:t xml:space="preserve"> and Detection</w:t>
      </w:r>
    </w:p>
    <w:p w14:paraId="7241CBCC" w14:textId="77777777" w:rsidR="004B63FD" w:rsidRDefault="004B63FD" w:rsidP="00912FDA">
      <w:pPr>
        <w:spacing w:after="0" w:line="240" w:lineRule="auto"/>
        <w:rPr>
          <w:sz w:val="24"/>
          <w:szCs w:val="24"/>
        </w:rPr>
      </w:pPr>
    </w:p>
    <w:p w14:paraId="05959788" w14:textId="7B10FEDD" w:rsidR="00946C71" w:rsidRPr="004600F7" w:rsidRDefault="00946C71" w:rsidP="00111EB4">
      <w:pPr>
        <w:spacing w:after="0" w:line="480" w:lineRule="auto"/>
        <w:rPr>
          <w:sz w:val="24"/>
          <w:szCs w:val="24"/>
        </w:rPr>
      </w:pPr>
      <w:r w:rsidRPr="004600F7">
        <w:rPr>
          <w:sz w:val="24"/>
          <w:szCs w:val="24"/>
        </w:rPr>
        <w:t xml:space="preserve">The NPT operates as an institutional architecture for detection rather than merely a preventive mechanism. </w:t>
      </w:r>
      <w:r w:rsidR="00B014A4" w:rsidRPr="004600F7">
        <w:rPr>
          <w:sz w:val="24"/>
          <w:szCs w:val="24"/>
        </w:rPr>
        <w:t>As</w:t>
      </w:r>
      <w:r w:rsidR="00D378FD" w:rsidRPr="004600F7">
        <w:rPr>
          <w:sz w:val="24"/>
          <w:szCs w:val="24"/>
        </w:rPr>
        <w:t xml:space="preserve"> an international legal agreement, the NPT </w:t>
      </w:r>
      <w:r w:rsidRPr="004600F7">
        <w:rPr>
          <w:sz w:val="24"/>
          <w:szCs w:val="24"/>
        </w:rPr>
        <w:t xml:space="preserve">creates a framework through which the international community can systematically </w:t>
      </w:r>
      <w:r w:rsidR="00284C6D">
        <w:rPr>
          <w:sz w:val="24"/>
          <w:szCs w:val="24"/>
        </w:rPr>
        <w:t>screen</w:t>
      </w:r>
      <w:r w:rsidRPr="004600F7">
        <w:rPr>
          <w:sz w:val="24"/>
          <w:szCs w:val="24"/>
        </w:rPr>
        <w:t>, monitor, and verify potential proliferation activities</w:t>
      </w:r>
      <w:r w:rsidR="00C345E3">
        <w:rPr>
          <w:rFonts w:hint="eastAsia"/>
          <w:sz w:val="24"/>
          <w:szCs w:val="24"/>
        </w:rPr>
        <w:t>.</w:t>
      </w:r>
      <w:r w:rsidRPr="004600F7">
        <w:rPr>
          <w:sz w:val="24"/>
          <w:szCs w:val="24"/>
        </w:rPr>
        <w:t xml:space="preserve"> </w:t>
      </w:r>
      <w:r w:rsidR="00785201" w:rsidRPr="004600F7">
        <w:rPr>
          <w:sz w:val="24"/>
          <w:szCs w:val="24"/>
        </w:rPr>
        <w:t xml:space="preserve">This process generates information that mobilizes collective responses, </w:t>
      </w:r>
      <w:r w:rsidR="00C345E3">
        <w:rPr>
          <w:rFonts w:hint="eastAsia"/>
          <w:sz w:val="24"/>
          <w:szCs w:val="24"/>
        </w:rPr>
        <w:t xml:space="preserve">shapes diplomatic engagement, and </w:t>
      </w:r>
      <w:r w:rsidR="00785201" w:rsidRPr="004600F7">
        <w:rPr>
          <w:sz w:val="24"/>
          <w:szCs w:val="24"/>
        </w:rPr>
        <w:t xml:space="preserve">legitimizes enforcement actions even when direct prevention proves impossible. </w:t>
      </w:r>
    </w:p>
    <w:p w14:paraId="67C62B92" w14:textId="438DCD25" w:rsidR="00785201" w:rsidRPr="004600F7" w:rsidRDefault="0076511D" w:rsidP="00111EB4">
      <w:pPr>
        <w:spacing w:after="0" w:line="480" w:lineRule="auto"/>
        <w:rPr>
          <w:sz w:val="24"/>
          <w:szCs w:val="24"/>
        </w:rPr>
      </w:pPr>
      <w:r>
        <w:rPr>
          <w:sz w:val="24"/>
          <w:szCs w:val="24"/>
        </w:rPr>
        <w:t xml:space="preserve">     </w:t>
      </w:r>
      <w:r w:rsidR="00785201" w:rsidRPr="004600F7">
        <w:rPr>
          <w:sz w:val="24"/>
          <w:szCs w:val="24"/>
        </w:rPr>
        <w:t>The Treaty’s screening function begins with accession itself. Joining the NPT constitutes a costly signal of commitment to nonproliferation norms, as membership entails accepting reputational, political, and procedural constraints.</w:t>
      </w:r>
      <w:r w:rsidR="00785201" w:rsidRPr="004600F7">
        <w:rPr>
          <w:rStyle w:val="FootnoteReference"/>
          <w:sz w:val="24"/>
          <w:szCs w:val="24"/>
        </w:rPr>
        <w:footnoteReference w:id="36"/>
      </w:r>
      <w:r w:rsidR="00785201" w:rsidRPr="004600F7">
        <w:rPr>
          <w:sz w:val="24"/>
          <w:szCs w:val="24"/>
        </w:rPr>
        <w:t xml:space="preserve"> </w:t>
      </w:r>
      <w:r w:rsidR="002A4B12" w:rsidRPr="004600F7">
        <w:rPr>
          <w:sz w:val="24"/>
          <w:szCs w:val="24"/>
        </w:rPr>
        <w:t xml:space="preserve">In so doing, the NPT facilitates the screening of state types since a state’s unwillingness to join the NPT could reveal information about its attitude toward the </w:t>
      </w:r>
      <w:r w:rsidR="00077461" w:rsidRPr="004600F7">
        <w:rPr>
          <w:sz w:val="24"/>
          <w:szCs w:val="24"/>
        </w:rPr>
        <w:t xml:space="preserve">Treaty </w:t>
      </w:r>
      <w:r w:rsidR="002A4B12" w:rsidRPr="004600F7">
        <w:rPr>
          <w:sz w:val="24"/>
          <w:szCs w:val="24"/>
        </w:rPr>
        <w:t xml:space="preserve">and the terms therein contained. </w:t>
      </w:r>
      <w:r w:rsidR="00785201" w:rsidRPr="004600F7">
        <w:rPr>
          <w:sz w:val="24"/>
          <w:szCs w:val="24"/>
        </w:rPr>
        <w:t>Despite widespread criticism of the Treaty’s two-tier structure among non-nuclear weapon states, India’s persistent refusal to join distinguishes it from compl</w:t>
      </w:r>
      <w:r w:rsidR="002A2162" w:rsidRPr="004600F7">
        <w:rPr>
          <w:sz w:val="24"/>
          <w:szCs w:val="24"/>
        </w:rPr>
        <w:t>i</w:t>
      </w:r>
      <w:r w:rsidR="00785201" w:rsidRPr="004600F7">
        <w:rPr>
          <w:sz w:val="24"/>
          <w:szCs w:val="24"/>
        </w:rPr>
        <w:t>ant parties precisely because membership would require dismantling its nuclear weapons program.</w:t>
      </w:r>
      <w:r w:rsidR="00785201" w:rsidRPr="004600F7">
        <w:rPr>
          <w:rStyle w:val="FootnoteReference"/>
          <w:sz w:val="24"/>
          <w:szCs w:val="24"/>
        </w:rPr>
        <w:footnoteReference w:id="37"/>
      </w:r>
      <w:r w:rsidR="00785201" w:rsidRPr="004600F7">
        <w:rPr>
          <w:sz w:val="24"/>
          <w:szCs w:val="24"/>
        </w:rPr>
        <w:t xml:space="preserve"> </w:t>
      </w:r>
      <w:r w:rsidR="00706C77" w:rsidRPr="004600F7">
        <w:rPr>
          <w:sz w:val="24"/>
          <w:szCs w:val="24"/>
        </w:rPr>
        <w:t xml:space="preserve">Similarly, Pakistan’s decades-long rejection of the NPT membership while </w:t>
      </w:r>
      <w:r w:rsidR="00B71224">
        <w:rPr>
          <w:rFonts w:hint="eastAsia"/>
          <w:sz w:val="24"/>
          <w:szCs w:val="24"/>
        </w:rPr>
        <w:t xml:space="preserve">it was </w:t>
      </w:r>
      <w:r w:rsidR="00706C77" w:rsidRPr="004600F7">
        <w:rPr>
          <w:sz w:val="24"/>
          <w:szCs w:val="24"/>
        </w:rPr>
        <w:t>developing nuclear capabilities shows how non-accession can signal proliferative intent.</w:t>
      </w:r>
      <w:r w:rsidR="00706C77" w:rsidRPr="004600F7">
        <w:rPr>
          <w:rStyle w:val="FootnoteReference"/>
          <w:sz w:val="24"/>
          <w:szCs w:val="24"/>
        </w:rPr>
        <w:footnoteReference w:id="38"/>
      </w:r>
    </w:p>
    <w:p w14:paraId="58E1A85A" w14:textId="560E5C05" w:rsidR="00362208" w:rsidRPr="004600F7" w:rsidRDefault="0076511D" w:rsidP="00111EB4">
      <w:pPr>
        <w:spacing w:after="0" w:line="480" w:lineRule="auto"/>
        <w:rPr>
          <w:sz w:val="24"/>
          <w:szCs w:val="24"/>
        </w:rPr>
      </w:pPr>
      <w:r>
        <w:rPr>
          <w:sz w:val="24"/>
          <w:szCs w:val="24"/>
        </w:rPr>
        <w:t xml:space="preserve">     </w:t>
      </w:r>
      <w:r w:rsidR="00362208" w:rsidRPr="004600F7">
        <w:rPr>
          <w:sz w:val="24"/>
          <w:szCs w:val="24"/>
        </w:rPr>
        <w:t xml:space="preserve">Additionally, by specifying such language that clarifies state types and responsibilities, the NPT provides information on the group to which states belong and the boundaries that delimit whether states are in good standing with the </w:t>
      </w:r>
      <w:r w:rsidR="00077461" w:rsidRPr="004600F7">
        <w:rPr>
          <w:sz w:val="24"/>
          <w:szCs w:val="24"/>
        </w:rPr>
        <w:t>Treaty</w:t>
      </w:r>
      <w:r w:rsidR="00362208" w:rsidRPr="004600F7">
        <w:rPr>
          <w:sz w:val="24"/>
          <w:szCs w:val="24"/>
        </w:rPr>
        <w:t>. To illustrate, the NPT codifies what constitutes a NWS</w:t>
      </w:r>
      <w:r w:rsidR="00A168AC" w:rsidRPr="004600F7">
        <w:rPr>
          <w:sz w:val="24"/>
          <w:szCs w:val="24"/>
        </w:rPr>
        <w:t xml:space="preserve"> </w:t>
      </w:r>
      <w:r w:rsidR="00362208" w:rsidRPr="004600F7">
        <w:rPr>
          <w:sz w:val="24"/>
          <w:szCs w:val="24"/>
        </w:rPr>
        <w:t xml:space="preserve">versus NNWS and the three </w:t>
      </w:r>
      <w:r w:rsidR="00343BF1" w:rsidRPr="004600F7">
        <w:rPr>
          <w:sz w:val="24"/>
          <w:szCs w:val="24"/>
        </w:rPr>
        <w:t>‘</w:t>
      </w:r>
      <w:r w:rsidR="00362208" w:rsidRPr="004600F7">
        <w:rPr>
          <w:sz w:val="24"/>
          <w:szCs w:val="24"/>
        </w:rPr>
        <w:t>basic bargains</w:t>
      </w:r>
      <w:r w:rsidR="00343BF1" w:rsidRPr="004600F7">
        <w:rPr>
          <w:sz w:val="24"/>
          <w:szCs w:val="24"/>
        </w:rPr>
        <w:t>’</w:t>
      </w:r>
      <w:r w:rsidR="00362208" w:rsidRPr="004600F7">
        <w:rPr>
          <w:sz w:val="24"/>
          <w:szCs w:val="24"/>
        </w:rPr>
        <w:t xml:space="preserve"> agreed upon between member states.</w:t>
      </w:r>
      <w:r w:rsidR="00362208" w:rsidRPr="004600F7">
        <w:rPr>
          <w:rStyle w:val="FootnoteReference"/>
          <w:sz w:val="24"/>
          <w:szCs w:val="24"/>
        </w:rPr>
        <w:footnoteReference w:id="39"/>
      </w:r>
      <w:r w:rsidR="00706C77" w:rsidRPr="004600F7">
        <w:rPr>
          <w:sz w:val="24"/>
          <w:szCs w:val="24"/>
        </w:rPr>
        <w:t xml:space="preserve"> </w:t>
      </w:r>
      <w:r w:rsidR="00B014A4" w:rsidRPr="004600F7">
        <w:rPr>
          <w:sz w:val="24"/>
          <w:szCs w:val="24"/>
        </w:rPr>
        <w:t xml:space="preserve">By clearly delineating the rights and obligations of NWS and NNWS, the NPT enables the identification of treaty outliers and helps legitimize collective responses to </w:t>
      </w:r>
      <w:r w:rsidR="00B014A4" w:rsidRPr="004600F7">
        <w:rPr>
          <w:sz w:val="24"/>
          <w:szCs w:val="24"/>
        </w:rPr>
        <w:lastRenderedPageBreak/>
        <w:t>violations</w:t>
      </w:r>
      <w:r w:rsidR="00375B20" w:rsidRPr="004600F7">
        <w:rPr>
          <w:sz w:val="24"/>
          <w:szCs w:val="24"/>
        </w:rPr>
        <w:t>.</w:t>
      </w:r>
      <w:r w:rsidR="00375B20" w:rsidRPr="004600F7">
        <w:rPr>
          <w:rStyle w:val="FootnoteReference"/>
          <w:sz w:val="24"/>
          <w:szCs w:val="24"/>
        </w:rPr>
        <w:footnoteReference w:id="40"/>
      </w:r>
      <w:r w:rsidR="008E677F" w:rsidRPr="004600F7">
        <w:rPr>
          <w:sz w:val="24"/>
          <w:szCs w:val="24"/>
        </w:rPr>
        <w:t xml:space="preserve"> This identification and legitimation function is </w:t>
      </w:r>
      <w:r w:rsidR="00B014A4" w:rsidRPr="004600F7">
        <w:rPr>
          <w:sz w:val="24"/>
          <w:szCs w:val="24"/>
        </w:rPr>
        <w:t xml:space="preserve">crucial, as the NPT lacks its own enforcement mechanism. Instead, enforcement depends on external bodies such as the UNSC, which may use </w:t>
      </w:r>
      <w:r w:rsidR="00077461" w:rsidRPr="004600F7">
        <w:rPr>
          <w:sz w:val="24"/>
          <w:szCs w:val="24"/>
        </w:rPr>
        <w:t xml:space="preserve">the legally bound </w:t>
      </w:r>
      <w:r w:rsidR="00B014A4" w:rsidRPr="004600F7">
        <w:rPr>
          <w:sz w:val="24"/>
          <w:szCs w:val="24"/>
        </w:rPr>
        <w:t>Treaty-defined violations as grounds for action</w:t>
      </w:r>
      <w:r w:rsidR="008E677F" w:rsidRPr="004600F7">
        <w:rPr>
          <w:sz w:val="24"/>
          <w:szCs w:val="24"/>
        </w:rPr>
        <w:t xml:space="preserve">. </w:t>
      </w:r>
      <w:r w:rsidR="00077461" w:rsidRPr="004600F7">
        <w:rPr>
          <w:sz w:val="24"/>
          <w:szCs w:val="24"/>
        </w:rPr>
        <w:t xml:space="preserve">The </w:t>
      </w:r>
      <w:r w:rsidR="008E677F" w:rsidRPr="004600F7">
        <w:rPr>
          <w:sz w:val="24"/>
          <w:szCs w:val="24"/>
        </w:rPr>
        <w:t xml:space="preserve">stipulations </w:t>
      </w:r>
      <w:r w:rsidR="00077461" w:rsidRPr="004600F7">
        <w:rPr>
          <w:sz w:val="24"/>
          <w:szCs w:val="24"/>
        </w:rPr>
        <w:t xml:space="preserve">thus </w:t>
      </w:r>
      <w:r w:rsidR="008E677F" w:rsidRPr="004600F7">
        <w:rPr>
          <w:sz w:val="24"/>
          <w:szCs w:val="24"/>
        </w:rPr>
        <w:t xml:space="preserve">provide the basis for the international community to pin down proscribed behaviors as violations and undertake actions to sanction the violator. </w:t>
      </w:r>
      <w:r w:rsidR="005D110C" w:rsidRPr="004600F7">
        <w:rPr>
          <w:sz w:val="24"/>
          <w:szCs w:val="24"/>
        </w:rPr>
        <w:t>States like the US and the Soviet Union have built upon the screening and coordination function of the NPT to perform the role of an enforcer,</w:t>
      </w:r>
      <w:r w:rsidR="005D110C" w:rsidRPr="004600F7">
        <w:rPr>
          <w:rStyle w:val="FootnoteReference"/>
          <w:sz w:val="24"/>
          <w:szCs w:val="24"/>
        </w:rPr>
        <w:footnoteReference w:id="41"/>
      </w:r>
      <w:r w:rsidR="005D110C" w:rsidRPr="004600F7">
        <w:rPr>
          <w:sz w:val="24"/>
          <w:szCs w:val="24"/>
        </w:rPr>
        <w:t xml:space="preserve"> and the UNSC has at times passed resolutions to punish </w:t>
      </w:r>
      <w:proofErr w:type="spellStart"/>
      <w:r w:rsidR="005D110C" w:rsidRPr="004600F7">
        <w:rPr>
          <w:sz w:val="24"/>
          <w:szCs w:val="24"/>
        </w:rPr>
        <w:t>proliferants</w:t>
      </w:r>
      <w:proofErr w:type="spellEnd"/>
      <w:r w:rsidR="005D110C" w:rsidRPr="004600F7">
        <w:rPr>
          <w:sz w:val="24"/>
          <w:szCs w:val="24"/>
        </w:rPr>
        <w:t>.</w:t>
      </w:r>
      <w:r w:rsidR="005D110C" w:rsidRPr="004600F7">
        <w:rPr>
          <w:rStyle w:val="FootnoteReference"/>
          <w:sz w:val="24"/>
          <w:szCs w:val="24"/>
        </w:rPr>
        <w:footnoteReference w:id="42"/>
      </w:r>
    </w:p>
    <w:p w14:paraId="4E6AEBD1" w14:textId="4C41F333" w:rsidR="00706C77" w:rsidRPr="004600F7" w:rsidRDefault="0076511D" w:rsidP="00111EB4">
      <w:pPr>
        <w:spacing w:after="0" w:line="480" w:lineRule="auto"/>
        <w:rPr>
          <w:sz w:val="24"/>
          <w:szCs w:val="24"/>
        </w:rPr>
      </w:pPr>
      <w:r>
        <w:rPr>
          <w:sz w:val="24"/>
          <w:szCs w:val="24"/>
        </w:rPr>
        <w:t xml:space="preserve">     </w:t>
      </w:r>
      <w:r w:rsidR="005D110C" w:rsidRPr="004600F7">
        <w:rPr>
          <w:sz w:val="24"/>
          <w:szCs w:val="24"/>
        </w:rPr>
        <w:t>Article III</w:t>
      </w:r>
      <w:r w:rsidR="00706C77" w:rsidRPr="004600F7">
        <w:rPr>
          <w:sz w:val="24"/>
          <w:szCs w:val="24"/>
        </w:rPr>
        <w:t xml:space="preserve"> operationalizes</w:t>
      </w:r>
      <w:r w:rsidR="005D110C" w:rsidRPr="004600F7">
        <w:rPr>
          <w:sz w:val="24"/>
          <w:szCs w:val="24"/>
        </w:rPr>
        <w:t xml:space="preserve"> the NPT</w:t>
      </w:r>
      <w:r w:rsidR="00706C77" w:rsidRPr="004600F7">
        <w:rPr>
          <w:sz w:val="24"/>
          <w:szCs w:val="24"/>
        </w:rPr>
        <w:t xml:space="preserve">’s monitoring function </w:t>
      </w:r>
      <w:r w:rsidR="00B014A4" w:rsidRPr="004600F7">
        <w:rPr>
          <w:sz w:val="24"/>
          <w:szCs w:val="24"/>
        </w:rPr>
        <w:t xml:space="preserve">by requiring </w:t>
      </w:r>
      <w:r w:rsidR="005D110C" w:rsidRPr="004600F7">
        <w:rPr>
          <w:sz w:val="24"/>
          <w:szCs w:val="24"/>
        </w:rPr>
        <w:t>NNWS</w:t>
      </w:r>
      <w:r w:rsidR="00B014A4" w:rsidRPr="004600F7">
        <w:rPr>
          <w:sz w:val="24"/>
          <w:szCs w:val="24"/>
        </w:rPr>
        <w:t xml:space="preserve"> to</w:t>
      </w:r>
      <w:r w:rsidR="005D110C" w:rsidRPr="004600F7">
        <w:rPr>
          <w:sz w:val="24"/>
          <w:szCs w:val="24"/>
        </w:rPr>
        <w:t xml:space="preserve"> accept </w:t>
      </w:r>
      <w:r w:rsidR="00B014A4" w:rsidRPr="004600F7">
        <w:rPr>
          <w:sz w:val="24"/>
          <w:szCs w:val="24"/>
        </w:rPr>
        <w:t xml:space="preserve">comprehensive </w:t>
      </w:r>
      <w:r w:rsidR="005D110C" w:rsidRPr="004600F7">
        <w:rPr>
          <w:sz w:val="24"/>
          <w:szCs w:val="24"/>
        </w:rPr>
        <w:t xml:space="preserve">safeguards </w:t>
      </w:r>
      <w:r w:rsidR="00B014A4" w:rsidRPr="004600F7">
        <w:rPr>
          <w:sz w:val="24"/>
          <w:szCs w:val="24"/>
        </w:rPr>
        <w:t>through agreements with the</w:t>
      </w:r>
      <w:r w:rsidR="005D110C" w:rsidRPr="004600F7">
        <w:rPr>
          <w:sz w:val="24"/>
          <w:szCs w:val="24"/>
        </w:rPr>
        <w:t xml:space="preserve"> IAEA. </w:t>
      </w:r>
      <w:r w:rsidR="00B014A4" w:rsidRPr="004600F7">
        <w:rPr>
          <w:sz w:val="24"/>
          <w:szCs w:val="24"/>
        </w:rPr>
        <w:t xml:space="preserve">These safeguards aim to </w:t>
      </w:r>
      <w:r w:rsidR="00C345E3">
        <w:rPr>
          <w:rFonts w:hint="eastAsia"/>
          <w:sz w:val="24"/>
          <w:szCs w:val="24"/>
        </w:rPr>
        <w:t xml:space="preserve">ensure </w:t>
      </w:r>
      <w:r w:rsidR="00B014A4" w:rsidRPr="004600F7">
        <w:rPr>
          <w:sz w:val="24"/>
          <w:szCs w:val="24"/>
        </w:rPr>
        <w:t xml:space="preserve">that nuclear materials are not diverted to weapons programs </w:t>
      </w:r>
      <w:r w:rsidR="004C19CE">
        <w:rPr>
          <w:sz w:val="24"/>
          <w:szCs w:val="24"/>
        </w:rPr>
        <w:t>‘</w:t>
      </w:r>
      <w:r w:rsidR="00B014A4" w:rsidRPr="004600F7">
        <w:rPr>
          <w:sz w:val="24"/>
          <w:szCs w:val="24"/>
        </w:rPr>
        <w:t>or other nuclear explosive devices</w:t>
      </w:r>
      <w:r w:rsidR="004C19CE">
        <w:rPr>
          <w:sz w:val="24"/>
          <w:szCs w:val="24"/>
        </w:rPr>
        <w:t>’</w:t>
      </w:r>
      <w:r w:rsidR="00B014A4" w:rsidRPr="004600F7">
        <w:rPr>
          <w:sz w:val="24"/>
          <w:szCs w:val="24"/>
        </w:rPr>
        <w:t>.</w:t>
      </w:r>
      <w:r w:rsidR="005D110C" w:rsidRPr="004600F7">
        <w:rPr>
          <w:rStyle w:val="FootnoteReference"/>
          <w:sz w:val="24"/>
          <w:szCs w:val="24"/>
        </w:rPr>
        <w:footnoteReference w:id="43"/>
      </w:r>
      <w:r w:rsidR="0048215C" w:rsidRPr="004600F7">
        <w:rPr>
          <w:sz w:val="24"/>
          <w:szCs w:val="24"/>
        </w:rPr>
        <w:t xml:space="preserve"> </w:t>
      </w:r>
      <w:r w:rsidR="00706C77" w:rsidRPr="004600F7">
        <w:rPr>
          <w:sz w:val="24"/>
          <w:szCs w:val="24"/>
        </w:rPr>
        <w:t xml:space="preserve">This creates a legal framework for systematic surveillance. </w:t>
      </w:r>
      <w:r w:rsidR="005808B6" w:rsidRPr="004600F7">
        <w:rPr>
          <w:sz w:val="24"/>
          <w:szCs w:val="24"/>
        </w:rPr>
        <w:t>The monitoring system generates continuous information flows about states’ nuclear activities, material flows, and facility operations. When reporting discrepancies emerge—as occurred with North Korea’s plutonium reprocessing declarations—the system flags potential violations and triggers enhanced scrutiny</w:t>
      </w:r>
      <w:r w:rsidR="003823A9">
        <w:rPr>
          <w:rFonts w:hint="eastAsia"/>
          <w:sz w:val="24"/>
          <w:szCs w:val="24"/>
        </w:rPr>
        <w:t xml:space="preserve"> and investigation</w:t>
      </w:r>
      <w:r w:rsidR="005808B6" w:rsidRPr="004600F7">
        <w:rPr>
          <w:sz w:val="24"/>
          <w:szCs w:val="24"/>
        </w:rPr>
        <w:t xml:space="preserve">. </w:t>
      </w:r>
    </w:p>
    <w:p w14:paraId="6AEEAFA6" w14:textId="2B02E13A" w:rsidR="00C703B4" w:rsidRPr="004600F7" w:rsidRDefault="0076511D" w:rsidP="00111EB4">
      <w:pPr>
        <w:spacing w:after="0" w:line="480" w:lineRule="auto"/>
        <w:rPr>
          <w:sz w:val="24"/>
          <w:szCs w:val="24"/>
        </w:rPr>
      </w:pPr>
      <w:r>
        <w:rPr>
          <w:sz w:val="24"/>
          <w:szCs w:val="24"/>
        </w:rPr>
        <w:t xml:space="preserve">     </w:t>
      </w:r>
      <w:r w:rsidR="005808B6" w:rsidRPr="004600F7">
        <w:rPr>
          <w:sz w:val="24"/>
          <w:szCs w:val="24"/>
        </w:rPr>
        <w:t xml:space="preserve">The NPT’s verification function operates through collective assessment mechanisms that validate or challenge state declarations. </w:t>
      </w:r>
      <w:r w:rsidR="0013668D" w:rsidRPr="004600F7">
        <w:rPr>
          <w:sz w:val="24"/>
          <w:szCs w:val="24"/>
        </w:rPr>
        <w:t xml:space="preserve">In this way, the </w:t>
      </w:r>
      <w:r w:rsidR="00C703B4" w:rsidRPr="004600F7">
        <w:rPr>
          <w:sz w:val="24"/>
          <w:szCs w:val="24"/>
        </w:rPr>
        <w:t xml:space="preserve">NPT Review Conferences serve as meta-verification processes, where the international community systematically evaluates regime effectiveness and identifies compliance concerns. </w:t>
      </w:r>
      <w:r w:rsidR="00B71224">
        <w:rPr>
          <w:rFonts w:hint="eastAsia"/>
          <w:sz w:val="24"/>
          <w:szCs w:val="24"/>
        </w:rPr>
        <w:t xml:space="preserve">Together, </w:t>
      </w:r>
      <w:r w:rsidR="00C703B4" w:rsidRPr="004600F7">
        <w:rPr>
          <w:sz w:val="24"/>
          <w:szCs w:val="24"/>
        </w:rPr>
        <w:t xml:space="preserve">IAEA’s performance of the monitoring and verification function </w:t>
      </w:r>
      <w:r w:rsidR="00B71224">
        <w:rPr>
          <w:rFonts w:hint="eastAsia"/>
          <w:sz w:val="24"/>
          <w:szCs w:val="24"/>
        </w:rPr>
        <w:t>implements the NPT terms</w:t>
      </w:r>
      <w:r w:rsidR="00C703B4" w:rsidRPr="004600F7">
        <w:rPr>
          <w:sz w:val="24"/>
          <w:szCs w:val="24"/>
        </w:rPr>
        <w:t xml:space="preserve"> and, when doubts in compliance arise, the inspection and data collection process help enable enforcement by </w:t>
      </w:r>
      <w:r w:rsidR="00C703B4" w:rsidRPr="004600F7">
        <w:rPr>
          <w:sz w:val="24"/>
          <w:szCs w:val="24"/>
        </w:rPr>
        <w:lastRenderedPageBreak/>
        <w:t>putting together a case for consideration by the UNSC or the major powers.</w:t>
      </w:r>
      <w:r w:rsidR="00C703B4" w:rsidRPr="004600F7">
        <w:rPr>
          <w:rStyle w:val="FootnoteReference"/>
          <w:sz w:val="24"/>
          <w:szCs w:val="24"/>
        </w:rPr>
        <w:footnoteReference w:id="44"/>
      </w:r>
      <w:r w:rsidR="00C703B4" w:rsidRPr="004600F7">
        <w:rPr>
          <w:sz w:val="24"/>
          <w:szCs w:val="24"/>
        </w:rPr>
        <w:t xml:space="preserve"> </w:t>
      </w:r>
      <w:r w:rsidR="00284C6D">
        <w:rPr>
          <w:sz w:val="24"/>
          <w:szCs w:val="24"/>
        </w:rPr>
        <w:t>Simply put, t</w:t>
      </w:r>
      <w:r w:rsidR="00C703B4" w:rsidRPr="004600F7">
        <w:rPr>
          <w:sz w:val="24"/>
          <w:szCs w:val="24"/>
        </w:rPr>
        <w:t xml:space="preserve">he Treaty provides legal and institutional scaffolding that other actors—such as the UNSC or major powers—can use to </w:t>
      </w:r>
      <w:r w:rsidR="003823A9">
        <w:rPr>
          <w:rFonts w:hint="eastAsia"/>
          <w:sz w:val="24"/>
          <w:szCs w:val="24"/>
        </w:rPr>
        <w:t xml:space="preserve">inform and </w:t>
      </w:r>
      <w:r w:rsidR="00C703B4" w:rsidRPr="004600F7">
        <w:rPr>
          <w:sz w:val="24"/>
          <w:szCs w:val="24"/>
        </w:rPr>
        <w:t>legitimize responses to violations</w:t>
      </w:r>
      <w:r w:rsidR="00B71224">
        <w:rPr>
          <w:rFonts w:hint="eastAsia"/>
          <w:sz w:val="24"/>
          <w:szCs w:val="24"/>
        </w:rPr>
        <w:t>,</w:t>
      </w:r>
      <w:r w:rsidR="00C703B4" w:rsidRPr="004600F7">
        <w:rPr>
          <w:sz w:val="24"/>
          <w:szCs w:val="24"/>
        </w:rPr>
        <w:t xml:space="preserve"> </w:t>
      </w:r>
      <w:r w:rsidR="00B71224">
        <w:rPr>
          <w:rFonts w:hint="eastAsia"/>
          <w:sz w:val="24"/>
          <w:szCs w:val="24"/>
        </w:rPr>
        <w:t>although</w:t>
      </w:r>
      <w:r w:rsidR="00C703B4" w:rsidRPr="004600F7">
        <w:rPr>
          <w:sz w:val="24"/>
          <w:szCs w:val="24"/>
        </w:rPr>
        <w:t xml:space="preserve"> enforcement remains selective, political, and context-dependent.</w:t>
      </w:r>
    </w:p>
    <w:p w14:paraId="1128DEAF" w14:textId="6F5F3B15" w:rsidR="005D110C" w:rsidRPr="004600F7" w:rsidRDefault="0076511D" w:rsidP="00111EB4">
      <w:pPr>
        <w:spacing w:after="0" w:line="480" w:lineRule="auto"/>
        <w:rPr>
          <w:sz w:val="24"/>
          <w:szCs w:val="24"/>
        </w:rPr>
      </w:pPr>
      <w:r>
        <w:rPr>
          <w:sz w:val="24"/>
          <w:szCs w:val="24"/>
        </w:rPr>
        <w:t xml:space="preserve">     </w:t>
      </w:r>
      <w:r w:rsidR="00C703B4" w:rsidRPr="004600F7">
        <w:rPr>
          <w:sz w:val="24"/>
          <w:szCs w:val="24"/>
        </w:rPr>
        <w:t xml:space="preserve">In all, the Treaty’s effectiveness </w:t>
      </w:r>
      <w:r w:rsidR="00B71224">
        <w:rPr>
          <w:rFonts w:hint="eastAsia"/>
          <w:sz w:val="24"/>
          <w:szCs w:val="24"/>
        </w:rPr>
        <w:t>can be found</w:t>
      </w:r>
      <w:r w:rsidR="00C703B4" w:rsidRPr="004600F7">
        <w:rPr>
          <w:sz w:val="24"/>
          <w:szCs w:val="24"/>
        </w:rPr>
        <w:t xml:space="preserve"> in </w:t>
      </w:r>
      <w:r w:rsidR="00B71224">
        <w:rPr>
          <w:rFonts w:hint="eastAsia"/>
          <w:sz w:val="24"/>
          <w:szCs w:val="24"/>
        </w:rPr>
        <w:t xml:space="preserve">its ability to </w:t>
      </w:r>
      <w:r w:rsidR="00C703B4" w:rsidRPr="004600F7">
        <w:rPr>
          <w:sz w:val="24"/>
          <w:szCs w:val="24"/>
        </w:rPr>
        <w:t>mak</w:t>
      </w:r>
      <w:r w:rsidR="00B71224">
        <w:rPr>
          <w:rFonts w:hint="eastAsia"/>
          <w:sz w:val="24"/>
          <w:szCs w:val="24"/>
        </w:rPr>
        <w:t>e</w:t>
      </w:r>
      <w:r w:rsidR="00C703B4" w:rsidRPr="004600F7">
        <w:rPr>
          <w:sz w:val="24"/>
          <w:szCs w:val="24"/>
        </w:rPr>
        <w:t xml:space="preserve"> proliferation visible and legally actionable. The key SMV functions raise </w:t>
      </w:r>
      <w:r w:rsidR="0048215C" w:rsidRPr="004600F7">
        <w:rPr>
          <w:sz w:val="24"/>
          <w:szCs w:val="24"/>
        </w:rPr>
        <w:t xml:space="preserve">the barrier of proliferation by providing early warning signals to the international community and hence, is a </w:t>
      </w:r>
      <w:r w:rsidR="004C19CE">
        <w:rPr>
          <w:sz w:val="24"/>
          <w:szCs w:val="24"/>
        </w:rPr>
        <w:t>‘</w:t>
      </w:r>
      <w:r w:rsidR="0048215C" w:rsidRPr="004600F7">
        <w:rPr>
          <w:sz w:val="24"/>
          <w:szCs w:val="24"/>
        </w:rPr>
        <w:t>useful alarm</w:t>
      </w:r>
      <w:r w:rsidR="004C19CE">
        <w:rPr>
          <w:sz w:val="24"/>
          <w:szCs w:val="24"/>
        </w:rPr>
        <w:t>’</w:t>
      </w:r>
      <w:r w:rsidR="0048215C" w:rsidRPr="004600F7">
        <w:rPr>
          <w:sz w:val="24"/>
          <w:szCs w:val="24"/>
        </w:rPr>
        <w:t>.</w:t>
      </w:r>
      <w:r w:rsidR="0048215C" w:rsidRPr="004600F7">
        <w:rPr>
          <w:rStyle w:val="FootnoteReference"/>
          <w:sz w:val="24"/>
          <w:szCs w:val="24"/>
        </w:rPr>
        <w:footnoteReference w:id="45"/>
      </w:r>
      <w:r w:rsidR="0048215C" w:rsidRPr="004600F7">
        <w:rPr>
          <w:sz w:val="24"/>
          <w:szCs w:val="24"/>
        </w:rPr>
        <w:t xml:space="preserve"> </w:t>
      </w:r>
      <w:r w:rsidR="00724C45" w:rsidRPr="004600F7">
        <w:rPr>
          <w:sz w:val="24"/>
          <w:szCs w:val="24"/>
        </w:rPr>
        <w:t>Even when enforcement mechanisms</w:t>
      </w:r>
      <w:r w:rsidR="00B71224">
        <w:rPr>
          <w:rFonts w:hint="eastAsia"/>
          <w:sz w:val="24"/>
          <w:szCs w:val="24"/>
        </w:rPr>
        <w:t xml:space="preserve"> do not take place or ultimately fail to prevent proliferation</w:t>
      </w:r>
      <w:r w:rsidR="00724C45" w:rsidRPr="004600F7">
        <w:rPr>
          <w:sz w:val="24"/>
          <w:szCs w:val="24"/>
        </w:rPr>
        <w:t xml:space="preserve">, as in North Korea’s case, the NPT succeeded in </w:t>
      </w:r>
      <w:r w:rsidR="00B71224">
        <w:rPr>
          <w:rFonts w:hint="eastAsia"/>
          <w:sz w:val="24"/>
          <w:szCs w:val="24"/>
        </w:rPr>
        <w:t xml:space="preserve">providing </w:t>
      </w:r>
      <w:r w:rsidR="002D41A9">
        <w:rPr>
          <w:rFonts w:hint="eastAsia"/>
          <w:sz w:val="24"/>
          <w:szCs w:val="24"/>
        </w:rPr>
        <w:t>interim</w:t>
      </w:r>
      <w:r w:rsidR="00B71224">
        <w:rPr>
          <w:rFonts w:hint="eastAsia"/>
          <w:sz w:val="24"/>
          <w:szCs w:val="24"/>
        </w:rPr>
        <w:t xml:space="preserve"> conditions that supported enforcement </w:t>
      </w:r>
      <w:r w:rsidR="002D41A9">
        <w:rPr>
          <w:rFonts w:hint="eastAsia"/>
          <w:sz w:val="24"/>
          <w:szCs w:val="24"/>
        </w:rPr>
        <w:t>by</w:t>
      </w:r>
      <w:r w:rsidR="00B71224">
        <w:rPr>
          <w:rFonts w:hint="eastAsia"/>
          <w:sz w:val="24"/>
          <w:szCs w:val="24"/>
        </w:rPr>
        <w:t xml:space="preserve"> </w:t>
      </w:r>
      <w:r w:rsidR="00724C45" w:rsidRPr="004600F7">
        <w:rPr>
          <w:sz w:val="24"/>
          <w:szCs w:val="24"/>
        </w:rPr>
        <w:t xml:space="preserve">establishing clear legal violations that justified international responses and sustained diplomatic engagement. </w:t>
      </w:r>
    </w:p>
    <w:p w14:paraId="79EF086A" w14:textId="77777777" w:rsidR="00D378FD" w:rsidRPr="004600F7" w:rsidRDefault="00D378FD" w:rsidP="00912FDA">
      <w:pPr>
        <w:spacing w:after="0" w:line="240" w:lineRule="auto"/>
        <w:rPr>
          <w:sz w:val="24"/>
          <w:szCs w:val="24"/>
        </w:rPr>
      </w:pPr>
    </w:p>
    <w:p w14:paraId="4B46A1F3" w14:textId="161BAF26" w:rsidR="007F04A6" w:rsidRPr="004B63FD" w:rsidRDefault="004B63FD" w:rsidP="00AC3E94">
      <w:pPr>
        <w:spacing w:after="0" w:line="240" w:lineRule="auto"/>
        <w:outlineLvl w:val="1"/>
        <w:rPr>
          <w:b/>
          <w:bCs/>
          <w:i/>
          <w:iCs/>
          <w:sz w:val="24"/>
          <w:szCs w:val="24"/>
        </w:rPr>
      </w:pPr>
      <w:r w:rsidRPr="004B63FD">
        <w:rPr>
          <w:b/>
          <w:bCs/>
          <w:sz w:val="24"/>
          <w:szCs w:val="24"/>
        </w:rPr>
        <w:t xml:space="preserve">2.3 </w:t>
      </w:r>
      <w:r w:rsidR="007F04A6" w:rsidRPr="004B63FD">
        <w:rPr>
          <w:b/>
          <w:bCs/>
          <w:i/>
          <w:iCs/>
          <w:sz w:val="24"/>
          <w:szCs w:val="24"/>
        </w:rPr>
        <w:t>IAEA</w:t>
      </w:r>
      <w:r w:rsidR="00AC3E94" w:rsidRPr="004B63FD">
        <w:rPr>
          <w:b/>
          <w:bCs/>
          <w:i/>
          <w:iCs/>
          <w:sz w:val="24"/>
          <w:szCs w:val="24"/>
        </w:rPr>
        <w:t xml:space="preserve"> and Detection</w:t>
      </w:r>
    </w:p>
    <w:p w14:paraId="0AAD9D12" w14:textId="77777777" w:rsidR="004B63FD" w:rsidRDefault="004B63FD" w:rsidP="00912FDA">
      <w:pPr>
        <w:spacing w:after="0" w:line="240" w:lineRule="auto"/>
        <w:rPr>
          <w:sz w:val="24"/>
          <w:szCs w:val="24"/>
        </w:rPr>
      </w:pPr>
    </w:p>
    <w:p w14:paraId="3DC0985C" w14:textId="1B861993" w:rsidR="001143DD" w:rsidRPr="004600F7" w:rsidRDefault="001143DD" w:rsidP="00111EB4">
      <w:pPr>
        <w:spacing w:after="0" w:line="480" w:lineRule="auto"/>
        <w:rPr>
          <w:sz w:val="24"/>
          <w:szCs w:val="24"/>
        </w:rPr>
      </w:pPr>
      <w:r w:rsidRPr="004600F7">
        <w:rPr>
          <w:sz w:val="24"/>
          <w:szCs w:val="24"/>
        </w:rPr>
        <w:t xml:space="preserve">The IAEA’s institutional evolution reflects the changing demands of nuclear governance. </w:t>
      </w:r>
      <w:r w:rsidR="00F913ED" w:rsidRPr="004600F7">
        <w:rPr>
          <w:sz w:val="24"/>
          <w:szCs w:val="24"/>
        </w:rPr>
        <w:t>Established in 1957</w:t>
      </w:r>
      <w:r w:rsidRPr="004600F7">
        <w:rPr>
          <w:sz w:val="24"/>
          <w:szCs w:val="24"/>
        </w:rPr>
        <w:t xml:space="preserve"> to promote peaceful nuclear technology,</w:t>
      </w:r>
      <w:r w:rsidRPr="004600F7">
        <w:rPr>
          <w:rStyle w:val="FootnoteReference"/>
          <w:sz w:val="24"/>
          <w:szCs w:val="24"/>
        </w:rPr>
        <w:footnoteReference w:id="46"/>
      </w:r>
      <w:r w:rsidRPr="004600F7">
        <w:rPr>
          <w:sz w:val="24"/>
          <w:szCs w:val="24"/>
        </w:rPr>
        <w:t xml:space="preserve"> the Agency gradually assumed primary responsibility for implementing the NPT’s </w:t>
      </w:r>
      <w:r w:rsidR="003823A9">
        <w:rPr>
          <w:rFonts w:hint="eastAsia"/>
          <w:sz w:val="24"/>
          <w:szCs w:val="24"/>
        </w:rPr>
        <w:t xml:space="preserve">monitoring and </w:t>
      </w:r>
      <w:r w:rsidRPr="004600F7">
        <w:rPr>
          <w:sz w:val="24"/>
          <w:szCs w:val="24"/>
        </w:rPr>
        <w:t>verification requirements after 1970. This transformation accelerated following the 1991 discovery of Iraq’s clandestine weapons program</w:t>
      </w:r>
      <w:r w:rsidR="00375D2E" w:rsidRPr="004600F7">
        <w:rPr>
          <w:sz w:val="24"/>
          <w:szCs w:val="24"/>
        </w:rPr>
        <w:t>,</w:t>
      </w:r>
      <w:r w:rsidRPr="004600F7">
        <w:rPr>
          <w:sz w:val="24"/>
          <w:szCs w:val="24"/>
        </w:rPr>
        <w:t xml:space="preserve"> and </w:t>
      </w:r>
      <w:r w:rsidR="00375D2E" w:rsidRPr="004600F7">
        <w:rPr>
          <w:sz w:val="24"/>
          <w:szCs w:val="24"/>
        </w:rPr>
        <w:t xml:space="preserve">today </w:t>
      </w:r>
      <w:r w:rsidRPr="004600F7">
        <w:rPr>
          <w:sz w:val="24"/>
          <w:szCs w:val="24"/>
        </w:rPr>
        <w:t xml:space="preserve">the IAEA effectively serves as the international </w:t>
      </w:r>
      <w:r w:rsidR="004C19CE">
        <w:rPr>
          <w:sz w:val="24"/>
          <w:szCs w:val="24"/>
        </w:rPr>
        <w:t>‘</w:t>
      </w:r>
      <w:r w:rsidRPr="004600F7">
        <w:rPr>
          <w:sz w:val="24"/>
          <w:szCs w:val="24"/>
        </w:rPr>
        <w:t>supervisory mechanism of nuclear non-proliferation rules</w:t>
      </w:r>
      <w:r w:rsidR="004C19CE">
        <w:rPr>
          <w:sz w:val="24"/>
          <w:szCs w:val="24"/>
        </w:rPr>
        <w:t>’</w:t>
      </w:r>
      <w:r w:rsidRPr="004600F7">
        <w:rPr>
          <w:sz w:val="24"/>
          <w:szCs w:val="24"/>
        </w:rPr>
        <w:t>.</w:t>
      </w:r>
      <w:r w:rsidRPr="004600F7">
        <w:rPr>
          <w:rStyle w:val="FootnoteReference"/>
          <w:sz w:val="24"/>
          <w:szCs w:val="24"/>
        </w:rPr>
        <w:footnoteReference w:id="47"/>
      </w:r>
    </w:p>
    <w:p w14:paraId="3A9021D4" w14:textId="2B1E7C24" w:rsidR="008C5332" w:rsidRPr="004600F7" w:rsidRDefault="0076511D" w:rsidP="00111EB4">
      <w:pPr>
        <w:spacing w:after="0" w:line="480" w:lineRule="auto"/>
        <w:rPr>
          <w:sz w:val="24"/>
          <w:szCs w:val="24"/>
        </w:rPr>
      </w:pPr>
      <w:r>
        <w:rPr>
          <w:sz w:val="24"/>
          <w:szCs w:val="24"/>
        </w:rPr>
        <w:t xml:space="preserve">     </w:t>
      </w:r>
      <w:r w:rsidR="001143DD" w:rsidRPr="004600F7">
        <w:rPr>
          <w:sz w:val="24"/>
          <w:szCs w:val="24"/>
        </w:rPr>
        <w:t xml:space="preserve">The Agency’s screening function operates through its differential </w:t>
      </w:r>
      <w:proofErr w:type="gramStart"/>
      <w:r w:rsidR="001143DD" w:rsidRPr="004600F7">
        <w:rPr>
          <w:sz w:val="24"/>
          <w:szCs w:val="24"/>
        </w:rPr>
        <w:t>safeguards</w:t>
      </w:r>
      <w:proofErr w:type="gramEnd"/>
      <w:r w:rsidR="001143DD" w:rsidRPr="004600F7">
        <w:rPr>
          <w:sz w:val="24"/>
          <w:szCs w:val="24"/>
        </w:rPr>
        <w:t xml:space="preserve"> agreements and voluntary commitments. </w:t>
      </w:r>
      <w:r w:rsidR="00F913ED" w:rsidRPr="004600F7">
        <w:rPr>
          <w:sz w:val="24"/>
          <w:szCs w:val="24"/>
        </w:rPr>
        <w:t>Under Article III, all NNWS are required to conclude Comprehensive Safeguards Agreements (CSAs) and even NWS signed Voluntary Offer Agreements (VOAs) to support global verification norms.</w:t>
      </w:r>
      <w:r w:rsidR="009F4C26" w:rsidRPr="004600F7">
        <w:rPr>
          <w:rStyle w:val="FootnoteReference"/>
          <w:sz w:val="24"/>
          <w:szCs w:val="24"/>
        </w:rPr>
        <w:footnoteReference w:id="48"/>
      </w:r>
      <w:r w:rsidR="009F4C26" w:rsidRPr="004600F7">
        <w:rPr>
          <w:sz w:val="24"/>
          <w:szCs w:val="24"/>
        </w:rPr>
        <w:t xml:space="preserve"> </w:t>
      </w:r>
      <w:r w:rsidR="00375D2E" w:rsidRPr="004600F7">
        <w:rPr>
          <w:sz w:val="24"/>
          <w:szCs w:val="24"/>
        </w:rPr>
        <w:t xml:space="preserve">States signal their transparency </w:t>
      </w:r>
      <w:r w:rsidR="00375D2E" w:rsidRPr="004600F7">
        <w:rPr>
          <w:sz w:val="24"/>
          <w:szCs w:val="24"/>
        </w:rPr>
        <w:lastRenderedPageBreak/>
        <w:t xml:space="preserve">preferences through choices about safeguards levels. </w:t>
      </w:r>
      <w:r w:rsidR="00C05FB3" w:rsidRPr="004600F7">
        <w:rPr>
          <w:sz w:val="24"/>
          <w:szCs w:val="24"/>
        </w:rPr>
        <w:t>For instance, states that sign the Additional Protocol (AP) signal a higher degree of transparency and commitment, while refusal may raise suspicions—particularly in states with latent nuclear capacity.</w:t>
      </w:r>
      <w:r w:rsidR="00C05FB3" w:rsidRPr="004600F7">
        <w:rPr>
          <w:rStyle w:val="FootnoteReference"/>
          <w:sz w:val="24"/>
          <w:szCs w:val="24"/>
        </w:rPr>
        <w:footnoteReference w:id="49"/>
      </w:r>
      <w:r w:rsidR="00C05FB3" w:rsidRPr="004600F7">
        <w:rPr>
          <w:sz w:val="24"/>
          <w:szCs w:val="24"/>
        </w:rPr>
        <w:t xml:space="preserve"> In 2003, </w:t>
      </w:r>
      <w:r w:rsidR="00375D2E" w:rsidRPr="004600F7">
        <w:rPr>
          <w:sz w:val="24"/>
          <w:szCs w:val="24"/>
        </w:rPr>
        <w:t xml:space="preserve">Libya’s decision to voluntarily accept intrusive verification demonstrates how institutional screening can facilitate </w:t>
      </w:r>
      <w:r w:rsidR="00284C6D">
        <w:rPr>
          <w:sz w:val="24"/>
          <w:szCs w:val="24"/>
        </w:rPr>
        <w:t xml:space="preserve">the signaling of </w:t>
      </w:r>
      <w:r w:rsidR="00375D2E" w:rsidRPr="004600F7">
        <w:rPr>
          <w:sz w:val="24"/>
          <w:szCs w:val="24"/>
        </w:rPr>
        <w:t>policy reversals.</w:t>
      </w:r>
      <w:r w:rsidR="00375D2E" w:rsidRPr="004600F7">
        <w:rPr>
          <w:rStyle w:val="FootnoteReference"/>
          <w:sz w:val="24"/>
          <w:szCs w:val="24"/>
        </w:rPr>
        <w:footnoteReference w:id="50"/>
      </w:r>
      <w:r w:rsidR="00375D2E" w:rsidRPr="004600F7">
        <w:rPr>
          <w:sz w:val="24"/>
          <w:szCs w:val="24"/>
        </w:rPr>
        <w:t xml:space="preserve"> </w:t>
      </w:r>
    </w:p>
    <w:p w14:paraId="030B1BC7" w14:textId="2CF9A062" w:rsidR="00771ABC" w:rsidRPr="004600F7" w:rsidRDefault="0076511D" w:rsidP="00111EB4">
      <w:pPr>
        <w:spacing w:after="0" w:line="480" w:lineRule="auto"/>
        <w:rPr>
          <w:sz w:val="24"/>
          <w:szCs w:val="24"/>
        </w:rPr>
      </w:pPr>
      <w:r>
        <w:rPr>
          <w:sz w:val="24"/>
          <w:szCs w:val="24"/>
        </w:rPr>
        <w:t xml:space="preserve">     </w:t>
      </w:r>
      <w:r w:rsidR="003D5965" w:rsidRPr="004600F7">
        <w:rPr>
          <w:sz w:val="24"/>
          <w:szCs w:val="24"/>
        </w:rPr>
        <w:t xml:space="preserve">In terms of monitoring, there are two distinct but complementary </w:t>
      </w:r>
      <w:r w:rsidR="002D41A9">
        <w:rPr>
          <w:rFonts w:hint="eastAsia"/>
          <w:sz w:val="24"/>
          <w:szCs w:val="24"/>
        </w:rPr>
        <w:t xml:space="preserve">safeguards </w:t>
      </w:r>
      <w:proofErr w:type="gramStart"/>
      <w:r w:rsidR="003D5965" w:rsidRPr="004600F7">
        <w:rPr>
          <w:sz w:val="24"/>
          <w:szCs w:val="24"/>
        </w:rPr>
        <w:t>approaches</w:t>
      </w:r>
      <w:proofErr w:type="gramEnd"/>
      <w:r w:rsidR="003D5965" w:rsidRPr="004600F7">
        <w:rPr>
          <w:sz w:val="24"/>
          <w:szCs w:val="24"/>
        </w:rPr>
        <w:t xml:space="preserve"> by the IAEA. </w:t>
      </w:r>
      <w:r w:rsidR="009F4C26" w:rsidRPr="004600F7">
        <w:rPr>
          <w:sz w:val="24"/>
          <w:szCs w:val="24"/>
        </w:rPr>
        <w:t>Under INFCIRC/153,</w:t>
      </w:r>
      <w:r w:rsidR="00113F1A" w:rsidRPr="004600F7">
        <w:rPr>
          <w:sz w:val="24"/>
          <w:szCs w:val="24"/>
        </w:rPr>
        <w:t xml:space="preserve"> </w:t>
      </w:r>
      <w:r w:rsidR="009F4C26" w:rsidRPr="004600F7">
        <w:rPr>
          <w:sz w:val="24"/>
          <w:szCs w:val="24"/>
        </w:rPr>
        <w:t>the focus is on the correctness of states’ declarations</w:t>
      </w:r>
      <w:r w:rsidR="003D5965" w:rsidRPr="004600F7">
        <w:rPr>
          <w:sz w:val="24"/>
          <w:szCs w:val="24"/>
        </w:rPr>
        <w:t xml:space="preserve"> through systematic accounting of declared nuclear materials</w:t>
      </w:r>
      <w:r w:rsidR="009F4C26" w:rsidRPr="004600F7">
        <w:rPr>
          <w:sz w:val="24"/>
          <w:szCs w:val="24"/>
        </w:rPr>
        <w:t>.</w:t>
      </w:r>
      <w:r w:rsidR="009F4C26" w:rsidRPr="004600F7">
        <w:rPr>
          <w:rStyle w:val="FootnoteReference"/>
          <w:sz w:val="24"/>
          <w:szCs w:val="24"/>
        </w:rPr>
        <w:footnoteReference w:id="51"/>
      </w:r>
      <w:r w:rsidR="003D5965" w:rsidRPr="004600F7">
        <w:rPr>
          <w:sz w:val="24"/>
          <w:szCs w:val="24"/>
        </w:rPr>
        <w:t xml:space="preserve"> This approach emphasizes facility-level monitoring, routine inspections, and material balance verification. INFCIRC/153 also allows for special inspections of undeclared sites </w:t>
      </w:r>
      <w:proofErr w:type="gramStart"/>
      <w:r w:rsidR="003D5965" w:rsidRPr="004600F7">
        <w:rPr>
          <w:sz w:val="24"/>
          <w:szCs w:val="24"/>
        </w:rPr>
        <w:t>when</w:t>
      </w:r>
      <w:proofErr w:type="gramEnd"/>
      <w:r w:rsidR="003D5965" w:rsidRPr="004600F7">
        <w:rPr>
          <w:sz w:val="24"/>
          <w:szCs w:val="24"/>
        </w:rPr>
        <w:t xml:space="preserve"> compliance cannot be verified. However, the political sensitivity and procedural ambiguity surrounding their use have made them exceedingly rare.</w:t>
      </w:r>
      <w:r w:rsidR="003D5965" w:rsidRPr="004600F7">
        <w:rPr>
          <w:rStyle w:val="FootnoteReference"/>
          <w:sz w:val="24"/>
          <w:szCs w:val="24"/>
        </w:rPr>
        <w:footnoteReference w:id="52"/>
      </w:r>
    </w:p>
    <w:p w14:paraId="4BA696E9" w14:textId="0703C6C6" w:rsidR="00C05FB3" w:rsidRPr="004600F7" w:rsidRDefault="0076511D" w:rsidP="00111EB4">
      <w:pPr>
        <w:spacing w:after="0" w:line="480" w:lineRule="auto"/>
        <w:rPr>
          <w:sz w:val="24"/>
          <w:szCs w:val="24"/>
        </w:rPr>
      </w:pPr>
      <w:r>
        <w:rPr>
          <w:sz w:val="24"/>
          <w:szCs w:val="24"/>
        </w:rPr>
        <w:t xml:space="preserve">     </w:t>
      </w:r>
      <w:r w:rsidR="002D41A9">
        <w:rPr>
          <w:rFonts w:hint="eastAsia"/>
          <w:sz w:val="24"/>
          <w:szCs w:val="24"/>
        </w:rPr>
        <w:t>Subsequently, t</w:t>
      </w:r>
      <w:r w:rsidR="003D5965" w:rsidRPr="004600F7">
        <w:rPr>
          <w:sz w:val="24"/>
          <w:szCs w:val="24"/>
        </w:rPr>
        <w:t>he IAEA adopted the Additional Protocol (INFCIRC/540</w:t>
      </w:r>
      <w:r w:rsidR="00771ABC" w:rsidRPr="004600F7">
        <w:rPr>
          <w:sz w:val="24"/>
          <w:szCs w:val="24"/>
        </w:rPr>
        <w:t>, or AP</w:t>
      </w:r>
      <w:r w:rsidR="003D5965" w:rsidRPr="004600F7">
        <w:rPr>
          <w:sz w:val="24"/>
          <w:szCs w:val="24"/>
        </w:rPr>
        <w:t>)</w:t>
      </w:r>
      <w:r w:rsidR="00C05FB3" w:rsidRPr="004600F7">
        <w:rPr>
          <w:sz w:val="24"/>
          <w:szCs w:val="24"/>
        </w:rPr>
        <w:t xml:space="preserve"> in 1997</w:t>
      </w:r>
      <w:r w:rsidR="003D5965" w:rsidRPr="004600F7">
        <w:rPr>
          <w:sz w:val="24"/>
          <w:szCs w:val="24"/>
        </w:rPr>
        <w:t xml:space="preserve">, the second key safeguards document. </w:t>
      </w:r>
      <w:r w:rsidR="00E575E2">
        <w:rPr>
          <w:rFonts w:hint="eastAsia"/>
          <w:sz w:val="24"/>
          <w:szCs w:val="24"/>
        </w:rPr>
        <w:t>The AP emerged directly from institutional learning following Iraq</w:t>
      </w:r>
      <w:r w:rsidR="00E575E2">
        <w:rPr>
          <w:sz w:val="24"/>
          <w:szCs w:val="24"/>
        </w:rPr>
        <w:t>’</w:t>
      </w:r>
      <w:r w:rsidR="00E575E2">
        <w:rPr>
          <w:rFonts w:hint="eastAsia"/>
          <w:sz w:val="24"/>
          <w:szCs w:val="24"/>
        </w:rPr>
        <w:t>s undetected weapons program (1980-1991) and North Korea</w:t>
      </w:r>
      <w:r w:rsidR="00E575E2">
        <w:rPr>
          <w:sz w:val="24"/>
          <w:szCs w:val="24"/>
        </w:rPr>
        <w:t>’</w:t>
      </w:r>
      <w:r w:rsidR="00E575E2">
        <w:rPr>
          <w:rFonts w:hint="eastAsia"/>
          <w:sz w:val="24"/>
          <w:szCs w:val="24"/>
        </w:rPr>
        <w:t>s safeguards violations (1992-1993)</w:t>
      </w:r>
      <w:r w:rsidR="00284C6D">
        <w:rPr>
          <w:sz w:val="24"/>
          <w:szCs w:val="24"/>
        </w:rPr>
        <w:t>.</w:t>
      </w:r>
      <w:r w:rsidR="003B2C81">
        <w:rPr>
          <w:rFonts w:hint="eastAsia"/>
          <w:sz w:val="24"/>
          <w:szCs w:val="24"/>
        </w:rPr>
        <w:t xml:space="preserve"> </w:t>
      </w:r>
      <w:r w:rsidR="00284C6D">
        <w:rPr>
          <w:sz w:val="24"/>
          <w:szCs w:val="24"/>
        </w:rPr>
        <w:t>T</w:t>
      </w:r>
      <w:r w:rsidR="00E575E2">
        <w:rPr>
          <w:rFonts w:hint="eastAsia"/>
          <w:sz w:val="24"/>
          <w:szCs w:val="24"/>
        </w:rPr>
        <w:t xml:space="preserve">he IAEA evaluated safeguards gaps </w:t>
      </w:r>
      <w:r w:rsidR="00284C6D">
        <w:rPr>
          <w:sz w:val="24"/>
          <w:szCs w:val="24"/>
        </w:rPr>
        <w:t xml:space="preserve">systematically </w:t>
      </w:r>
      <w:r w:rsidR="00E575E2">
        <w:rPr>
          <w:rFonts w:hint="eastAsia"/>
          <w:sz w:val="24"/>
          <w:szCs w:val="24"/>
        </w:rPr>
        <w:t xml:space="preserve">and developed </w:t>
      </w:r>
      <w:r w:rsidR="00E575E2">
        <w:rPr>
          <w:sz w:val="24"/>
          <w:szCs w:val="24"/>
        </w:rPr>
        <w:t>strengthened</w:t>
      </w:r>
      <w:r w:rsidR="00E575E2">
        <w:rPr>
          <w:rFonts w:hint="eastAsia"/>
          <w:sz w:val="24"/>
          <w:szCs w:val="24"/>
        </w:rPr>
        <w:t xml:space="preserve"> measures.</w:t>
      </w:r>
      <w:r w:rsidR="003B2C81">
        <w:rPr>
          <w:rStyle w:val="FootnoteReference"/>
          <w:sz w:val="24"/>
          <w:szCs w:val="24"/>
        </w:rPr>
        <w:footnoteReference w:id="53"/>
      </w:r>
      <w:r w:rsidR="00E575E2">
        <w:rPr>
          <w:rFonts w:hint="eastAsia"/>
          <w:sz w:val="24"/>
          <w:szCs w:val="24"/>
        </w:rPr>
        <w:t xml:space="preserve"> </w:t>
      </w:r>
      <w:r w:rsidR="003D5965" w:rsidRPr="004600F7">
        <w:rPr>
          <w:sz w:val="24"/>
          <w:szCs w:val="24"/>
        </w:rPr>
        <w:t xml:space="preserve">The AP expanded access rights, allowing inspectors to verify the completeness of declarations—not just correctness—through investigating undeclared sites or suspicious indicators. Olli Heinonen, former IAEA Deputy Director General, noted that the institution’s focus thence shifted from accounting to </w:t>
      </w:r>
      <w:r w:rsidR="004C19CE">
        <w:rPr>
          <w:sz w:val="24"/>
          <w:szCs w:val="24"/>
        </w:rPr>
        <w:t>‘</w:t>
      </w:r>
      <w:r w:rsidR="003D5965" w:rsidRPr="004600F7">
        <w:rPr>
          <w:sz w:val="24"/>
          <w:szCs w:val="24"/>
        </w:rPr>
        <w:t>detective work</w:t>
      </w:r>
      <w:r w:rsidR="004C19CE">
        <w:rPr>
          <w:sz w:val="24"/>
          <w:szCs w:val="24"/>
        </w:rPr>
        <w:t>’</w:t>
      </w:r>
      <w:r w:rsidR="003D5965" w:rsidRPr="004600F7">
        <w:rPr>
          <w:sz w:val="24"/>
          <w:szCs w:val="24"/>
        </w:rPr>
        <w:t>.</w:t>
      </w:r>
      <w:r w:rsidR="003D5965" w:rsidRPr="004600F7">
        <w:rPr>
          <w:rStyle w:val="FootnoteReference"/>
          <w:sz w:val="24"/>
          <w:szCs w:val="24"/>
        </w:rPr>
        <w:footnoteReference w:id="54"/>
      </w:r>
      <w:r w:rsidR="003D5965" w:rsidRPr="004600F7">
        <w:rPr>
          <w:sz w:val="24"/>
          <w:szCs w:val="24"/>
        </w:rPr>
        <w:t xml:space="preserve"> </w:t>
      </w:r>
    </w:p>
    <w:p w14:paraId="1A29EB68" w14:textId="7E537515" w:rsidR="00C05FB3" w:rsidRPr="004600F7" w:rsidRDefault="0076511D" w:rsidP="00111EB4">
      <w:pPr>
        <w:spacing w:after="0" w:line="480" w:lineRule="auto"/>
        <w:rPr>
          <w:sz w:val="24"/>
          <w:szCs w:val="24"/>
        </w:rPr>
      </w:pPr>
      <w:r>
        <w:rPr>
          <w:sz w:val="24"/>
          <w:szCs w:val="24"/>
        </w:rPr>
        <w:t xml:space="preserve">     </w:t>
      </w:r>
      <w:r w:rsidR="00C05FB3" w:rsidRPr="004600F7">
        <w:rPr>
          <w:sz w:val="24"/>
          <w:szCs w:val="24"/>
        </w:rPr>
        <w:t xml:space="preserve">The IAEA’s verification system evolved further through the </w:t>
      </w:r>
      <w:r w:rsidR="00284C6D">
        <w:rPr>
          <w:sz w:val="24"/>
          <w:szCs w:val="24"/>
        </w:rPr>
        <w:t xml:space="preserve">SLC </w:t>
      </w:r>
      <w:r w:rsidR="00C05FB3" w:rsidRPr="004600F7">
        <w:rPr>
          <w:sz w:val="24"/>
          <w:szCs w:val="24"/>
        </w:rPr>
        <w:t xml:space="preserve">that integrates correctness and completeness verification while accounting for each state’s specific </w:t>
      </w:r>
      <w:r w:rsidR="00C05FB3" w:rsidRPr="004600F7">
        <w:rPr>
          <w:sz w:val="24"/>
          <w:szCs w:val="24"/>
        </w:rPr>
        <w:lastRenderedPageBreak/>
        <w:t>proliferation pathways and technical capabilities.</w:t>
      </w:r>
      <w:r w:rsidR="00946C71" w:rsidRPr="004600F7">
        <w:rPr>
          <w:rStyle w:val="FootnoteReference"/>
          <w:sz w:val="24"/>
          <w:szCs w:val="24"/>
        </w:rPr>
        <w:footnoteReference w:id="55"/>
      </w:r>
      <w:r w:rsidR="00946C71" w:rsidRPr="004600F7">
        <w:rPr>
          <w:sz w:val="24"/>
          <w:szCs w:val="24"/>
        </w:rPr>
        <w:t xml:space="preserve"> </w:t>
      </w:r>
      <w:r w:rsidR="00C05FB3" w:rsidRPr="004600F7">
        <w:rPr>
          <w:sz w:val="24"/>
          <w:szCs w:val="24"/>
        </w:rPr>
        <w:t xml:space="preserve"> Rather than applying uniform inspection procedures, the </w:t>
      </w:r>
      <w:r w:rsidR="00284C6D">
        <w:rPr>
          <w:sz w:val="24"/>
          <w:szCs w:val="24"/>
        </w:rPr>
        <w:t>SLC</w:t>
      </w:r>
      <w:r w:rsidR="00C05FB3" w:rsidRPr="004600F7">
        <w:rPr>
          <w:sz w:val="24"/>
          <w:szCs w:val="24"/>
        </w:rPr>
        <w:t xml:space="preserve"> enables tailored verification that maximizes detection capabilities while minimizing intrusion for </w:t>
      </w:r>
      <w:r w:rsidR="00284C6D">
        <w:rPr>
          <w:sz w:val="24"/>
          <w:szCs w:val="24"/>
        </w:rPr>
        <w:t xml:space="preserve">and bureaucratic burdens on </w:t>
      </w:r>
      <w:r w:rsidR="00C05FB3" w:rsidRPr="004600F7">
        <w:rPr>
          <w:sz w:val="24"/>
          <w:szCs w:val="24"/>
        </w:rPr>
        <w:t>compliant states.</w:t>
      </w:r>
    </w:p>
    <w:p w14:paraId="3E000E41" w14:textId="11433A5F" w:rsidR="00946C71" w:rsidRDefault="0076511D" w:rsidP="00111EB4">
      <w:pPr>
        <w:spacing w:after="0" w:line="480" w:lineRule="auto"/>
        <w:rPr>
          <w:sz w:val="24"/>
          <w:szCs w:val="24"/>
        </w:rPr>
      </w:pPr>
      <w:r>
        <w:rPr>
          <w:sz w:val="24"/>
          <w:szCs w:val="24"/>
        </w:rPr>
        <w:t xml:space="preserve">     </w:t>
      </w:r>
      <w:r w:rsidR="00946C71" w:rsidRPr="004600F7">
        <w:rPr>
          <w:sz w:val="24"/>
          <w:szCs w:val="24"/>
        </w:rPr>
        <w:t xml:space="preserve">Overall, the IAEA’s detection role </w:t>
      </w:r>
      <w:r w:rsidR="001311CE" w:rsidRPr="004600F7">
        <w:rPr>
          <w:sz w:val="24"/>
          <w:szCs w:val="24"/>
        </w:rPr>
        <w:t>underscores</w:t>
      </w:r>
      <w:r w:rsidR="00946C71" w:rsidRPr="004600F7">
        <w:rPr>
          <w:sz w:val="24"/>
          <w:szCs w:val="24"/>
        </w:rPr>
        <w:t xml:space="preserve"> its function as a technical, not punitive, body. When compliance doubts arise, the IAEA gathers data, requests </w:t>
      </w:r>
      <w:proofErr w:type="gramStart"/>
      <w:r w:rsidR="00946C71" w:rsidRPr="004600F7">
        <w:rPr>
          <w:sz w:val="24"/>
          <w:szCs w:val="24"/>
        </w:rPr>
        <w:t>access, and</w:t>
      </w:r>
      <w:proofErr w:type="gramEnd"/>
      <w:r w:rsidR="00946C71" w:rsidRPr="004600F7">
        <w:rPr>
          <w:sz w:val="24"/>
          <w:szCs w:val="24"/>
        </w:rPr>
        <w:t xml:space="preserve"> escalates cases when technical resolution is impossible. </w:t>
      </w:r>
      <w:r w:rsidR="00E575E2">
        <w:rPr>
          <w:rFonts w:hint="eastAsia"/>
          <w:sz w:val="24"/>
          <w:szCs w:val="24"/>
        </w:rPr>
        <w:t>However, the IAEA</w:t>
      </w:r>
      <w:r w:rsidR="00946C71" w:rsidRPr="004600F7">
        <w:rPr>
          <w:sz w:val="24"/>
          <w:szCs w:val="24"/>
        </w:rPr>
        <w:t xml:space="preserve"> does not </w:t>
      </w:r>
      <w:r w:rsidR="001A2FDE">
        <w:rPr>
          <w:rFonts w:hint="eastAsia"/>
          <w:sz w:val="24"/>
          <w:szCs w:val="24"/>
        </w:rPr>
        <w:t xml:space="preserve">take enforcement actions </w:t>
      </w:r>
      <w:r w:rsidR="00E575E2">
        <w:rPr>
          <w:rFonts w:hint="eastAsia"/>
          <w:sz w:val="24"/>
          <w:szCs w:val="24"/>
        </w:rPr>
        <w:t xml:space="preserve">through </w:t>
      </w:r>
      <w:r w:rsidR="001A2FDE">
        <w:rPr>
          <w:rFonts w:hint="eastAsia"/>
          <w:sz w:val="24"/>
          <w:szCs w:val="24"/>
        </w:rPr>
        <w:t xml:space="preserve">its own </w:t>
      </w:r>
      <w:r w:rsidR="00E575E2">
        <w:rPr>
          <w:rFonts w:hint="eastAsia"/>
          <w:sz w:val="24"/>
          <w:szCs w:val="24"/>
        </w:rPr>
        <w:t>procedural and institutional responses</w:t>
      </w:r>
      <w:r w:rsidR="00946C71" w:rsidRPr="004600F7">
        <w:rPr>
          <w:sz w:val="24"/>
          <w:szCs w:val="24"/>
        </w:rPr>
        <w:t>.</w:t>
      </w:r>
      <w:r w:rsidR="00E575E2">
        <w:rPr>
          <w:rFonts w:hint="eastAsia"/>
          <w:sz w:val="24"/>
          <w:szCs w:val="24"/>
        </w:rPr>
        <w:t xml:space="preserve"> If inspectors remain unable to ascertain the non-diversion of nuclear materials, the IAEA can</w:t>
      </w:r>
      <w:r w:rsidR="003B2C81">
        <w:rPr>
          <w:rFonts w:hint="eastAsia"/>
          <w:sz w:val="24"/>
          <w:szCs w:val="24"/>
        </w:rPr>
        <w:t>:</w:t>
      </w:r>
      <w:r w:rsidR="00E575E2">
        <w:rPr>
          <w:rFonts w:hint="eastAsia"/>
          <w:sz w:val="24"/>
          <w:szCs w:val="24"/>
        </w:rPr>
        <w:t xml:space="preserve"> issue a finding of noncompliance through its Board of Governors; withdraw technical assistance to the state; and refer the matter to the UNSC and UN General Assembly.</w:t>
      </w:r>
      <w:r w:rsidR="003B2C81">
        <w:rPr>
          <w:rStyle w:val="FootnoteReference"/>
          <w:sz w:val="24"/>
          <w:szCs w:val="24"/>
        </w:rPr>
        <w:footnoteReference w:id="56"/>
      </w:r>
      <w:r w:rsidR="00E575E2">
        <w:rPr>
          <w:rFonts w:hint="eastAsia"/>
          <w:sz w:val="24"/>
          <w:szCs w:val="24"/>
        </w:rPr>
        <w:t xml:space="preserve"> These actions constitute consequential institutional responses that </w:t>
      </w:r>
      <w:r w:rsidR="001A2FDE">
        <w:rPr>
          <w:rFonts w:hint="eastAsia"/>
          <w:sz w:val="24"/>
          <w:szCs w:val="24"/>
        </w:rPr>
        <w:t xml:space="preserve">help </w:t>
      </w:r>
      <w:r w:rsidR="00E575E2">
        <w:rPr>
          <w:rFonts w:hint="eastAsia"/>
          <w:sz w:val="24"/>
          <w:szCs w:val="24"/>
        </w:rPr>
        <w:t>translate technical findings into political processes</w:t>
      </w:r>
      <w:r w:rsidR="002D41A9">
        <w:rPr>
          <w:rFonts w:hint="eastAsia"/>
          <w:sz w:val="24"/>
          <w:szCs w:val="24"/>
        </w:rPr>
        <w:t xml:space="preserve"> that can be undertaken by enforcers</w:t>
      </w:r>
      <w:r w:rsidR="00E575E2">
        <w:rPr>
          <w:rFonts w:hint="eastAsia"/>
          <w:sz w:val="24"/>
          <w:szCs w:val="24"/>
        </w:rPr>
        <w:t>.</w:t>
      </w:r>
      <w:r w:rsidR="00946C71" w:rsidRPr="004600F7">
        <w:rPr>
          <w:sz w:val="24"/>
          <w:szCs w:val="24"/>
        </w:rPr>
        <w:t xml:space="preserve"> This </w:t>
      </w:r>
      <w:r w:rsidR="00284C6D">
        <w:rPr>
          <w:sz w:val="24"/>
          <w:szCs w:val="24"/>
        </w:rPr>
        <w:t>graded</w:t>
      </w:r>
      <w:r w:rsidR="00284C6D" w:rsidRPr="004600F7">
        <w:rPr>
          <w:sz w:val="24"/>
          <w:szCs w:val="24"/>
        </w:rPr>
        <w:t xml:space="preserve"> </w:t>
      </w:r>
      <w:r w:rsidR="00946C71" w:rsidRPr="004600F7">
        <w:rPr>
          <w:sz w:val="24"/>
          <w:szCs w:val="24"/>
        </w:rPr>
        <w:t xml:space="preserve">approach acts as a screening mechanism, because refusals and non-cooperation by states </w:t>
      </w:r>
      <w:r w:rsidR="00284C6D">
        <w:rPr>
          <w:sz w:val="24"/>
          <w:szCs w:val="24"/>
        </w:rPr>
        <w:t xml:space="preserve">at the initial stages of resolution themselves </w:t>
      </w:r>
      <w:r w:rsidR="00946C71" w:rsidRPr="004600F7">
        <w:rPr>
          <w:sz w:val="24"/>
          <w:szCs w:val="24"/>
        </w:rPr>
        <w:t xml:space="preserve">suggest cause for concern. This role of the IAEA safeguards as a </w:t>
      </w:r>
      <w:r w:rsidR="004C19CE">
        <w:rPr>
          <w:sz w:val="24"/>
          <w:szCs w:val="24"/>
        </w:rPr>
        <w:t>‘</w:t>
      </w:r>
      <w:r w:rsidR="00946C71" w:rsidRPr="004600F7">
        <w:rPr>
          <w:sz w:val="24"/>
          <w:szCs w:val="24"/>
        </w:rPr>
        <w:t>detection and alarm</w:t>
      </w:r>
      <w:r w:rsidR="004C19CE">
        <w:rPr>
          <w:sz w:val="24"/>
          <w:szCs w:val="24"/>
        </w:rPr>
        <w:t>’</w:t>
      </w:r>
      <w:r w:rsidR="00946C71" w:rsidRPr="004600F7">
        <w:rPr>
          <w:sz w:val="24"/>
          <w:szCs w:val="24"/>
        </w:rPr>
        <w:t xml:space="preserve"> system is a </w:t>
      </w:r>
      <w:r w:rsidR="004C19CE">
        <w:rPr>
          <w:sz w:val="24"/>
          <w:szCs w:val="24"/>
        </w:rPr>
        <w:t>‘</w:t>
      </w:r>
      <w:r w:rsidR="00946C71" w:rsidRPr="004600F7">
        <w:rPr>
          <w:sz w:val="24"/>
          <w:szCs w:val="24"/>
        </w:rPr>
        <w:t>principle</w:t>
      </w:r>
      <w:r w:rsidR="004C19CE">
        <w:rPr>
          <w:sz w:val="24"/>
          <w:szCs w:val="24"/>
        </w:rPr>
        <w:t>’</w:t>
      </w:r>
      <w:r w:rsidR="00946C71" w:rsidRPr="004600F7">
        <w:rPr>
          <w:rStyle w:val="FootnoteReference"/>
          <w:sz w:val="24"/>
          <w:szCs w:val="24"/>
        </w:rPr>
        <w:footnoteReference w:id="57"/>
      </w:r>
      <w:r w:rsidR="00946C71" w:rsidRPr="004600F7">
        <w:rPr>
          <w:sz w:val="24"/>
          <w:szCs w:val="24"/>
        </w:rPr>
        <w:t xml:space="preserve"> that underscores the centrality of detection when evaluating IAEA’s success as an institution. This function is further institutionalized through the AP, which enhanc</w:t>
      </w:r>
      <w:r w:rsidR="00771ABC" w:rsidRPr="004600F7">
        <w:rPr>
          <w:sz w:val="24"/>
          <w:szCs w:val="24"/>
        </w:rPr>
        <w:t xml:space="preserve">es the IAEA’s </w:t>
      </w:r>
      <w:r w:rsidR="00946C71" w:rsidRPr="004600F7">
        <w:rPr>
          <w:sz w:val="24"/>
          <w:szCs w:val="24"/>
        </w:rPr>
        <w:t>capacity to detect undeclared nuclear material and activities.</w:t>
      </w:r>
    </w:p>
    <w:p w14:paraId="0ADDAABD" w14:textId="2BFF0CA6" w:rsidR="000922B7" w:rsidRPr="003B2C81" w:rsidRDefault="000922B7" w:rsidP="00111EB4">
      <w:pPr>
        <w:spacing w:after="0" w:line="480" w:lineRule="auto"/>
        <w:rPr>
          <w:sz w:val="24"/>
          <w:szCs w:val="24"/>
        </w:rPr>
      </w:pPr>
      <w:r>
        <w:rPr>
          <w:rFonts w:hint="eastAsia"/>
          <w:sz w:val="24"/>
          <w:szCs w:val="24"/>
        </w:rPr>
        <w:t xml:space="preserve">     </w:t>
      </w:r>
      <w:r w:rsidR="002D41A9">
        <w:rPr>
          <w:rFonts w:hint="eastAsia"/>
          <w:sz w:val="24"/>
          <w:szCs w:val="24"/>
        </w:rPr>
        <w:t xml:space="preserve">To further support detection, the IAEA also carefully navigates the </w:t>
      </w:r>
      <w:r w:rsidR="002D41A9">
        <w:rPr>
          <w:sz w:val="24"/>
          <w:szCs w:val="24"/>
        </w:rPr>
        <w:t>‘</w:t>
      </w:r>
      <w:r w:rsidR="002D41A9">
        <w:rPr>
          <w:rFonts w:hint="eastAsia"/>
          <w:sz w:val="24"/>
          <w:szCs w:val="24"/>
        </w:rPr>
        <w:t>disclosure dilemma</w:t>
      </w:r>
      <w:r w:rsidR="002D41A9">
        <w:rPr>
          <w:sz w:val="24"/>
          <w:szCs w:val="24"/>
        </w:rPr>
        <w:t>’</w:t>
      </w:r>
      <w:r w:rsidR="003B2C81">
        <w:rPr>
          <w:rFonts w:hint="eastAsia"/>
          <w:sz w:val="24"/>
          <w:szCs w:val="24"/>
        </w:rPr>
        <w:t>,</w:t>
      </w:r>
      <w:r w:rsidR="003B2C81">
        <w:rPr>
          <w:rStyle w:val="FootnoteReference"/>
          <w:sz w:val="24"/>
          <w:szCs w:val="24"/>
        </w:rPr>
        <w:footnoteReference w:id="58"/>
      </w:r>
      <w:r w:rsidR="003B2C81">
        <w:rPr>
          <w:rFonts w:hint="eastAsia"/>
          <w:sz w:val="24"/>
          <w:szCs w:val="24"/>
        </w:rPr>
        <w:t xml:space="preserve"> in which states </w:t>
      </w:r>
      <w:r w:rsidR="005951C5">
        <w:rPr>
          <w:sz w:val="24"/>
          <w:szCs w:val="24"/>
        </w:rPr>
        <w:t>possess</w:t>
      </w:r>
      <w:r w:rsidR="003B2C81">
        <w:rPr>
          <w:rFonts w:hint="eastAsia"/>
          <w:sz w:val="24"/>
          <w:szCs w:val="24"/>
        </w:rPr>
        <w:t xml:space="preserve"> sensitive information about </w:t>
      </w:r>
      <w:r w:rsidR="00284C6D">
        <w:rPr>
          <w:sz w:val="24"/>
          <w:szCs w:val="24"/>
        </w:rPr>
        <w:t xml:space="preserve">others’ </w:t>
      </w:r>
      <w:r w:rsidR="003B2C81">
        <w:rPr>
          <w:rFonts w:hint="eastAsia"/>
          <w:sz w:val="24"/>
          <w:szCs w:val="24"/>
        </w:rPr>
        <w:t xml:space="preserve">violations but hesitate to reveal intelligence sources and methods. </w:t>
      </w:r>
      <w:r w:rsidR="002D41A9">
        <w:rPr>
          <w:rFonts w:hint="eastAsia"/>
          <w:sz w:val="24"/>
          <w:szCs w:val="24"/>
        </w:rPr>
        <w:t xml:space="preserve">To encourage information sharing from states that might otherwise </w:t>
      </w:r>
      <w:r w:rsidR="003823A9">
        <w:rPr>
          <w:rFonts w:hint="eastAsia"/>
          <w:sz w:val="24"/>
          <w:szCs w:val="24"/>
        </w:rPr>
        <w:t>withhold such sensitive information</w:t>
      </w:r>
      <w:r w:rsidR="002D41A9">
        <w:rPr>
          <w:rFonts w:hint="eastAsia"/>
          <w:sz w:val="24"/>
          <w:szCs w:val="24"/>
        </w:rPr>
        <w:t xml:space="preserve">, the </w:t>
      </w:r>
      <w:r w:rsidR="000D044D">
        <w:rPr>
          <w:sz w:val="24"/>
          <w:szCs w:val="24"/>
        </w:rPr>
        <w:t>IAEA</w:t>
      </w:r>
      <w:r w:rsidR="002D41A9">
        <w:rPr>
          <w:rFonts w:hint="eastAsia"/>
          <w:sz w:val="24"/>
          <w:szCs w:val="24"/>
        </w:rPr>
        <w:t xml:space="preserve"> upholds a</w:t>
      </w:r>
      <w:r w:rsidR="000D044D">
        <w:rPr>
          <w:sz w:val="24"/>
          <w:szCs w:val="24"/>
        </w:rPr>
        <w:t xml:space="preserve"> strict confidentiality system </w:t>
      </w:r>
      <w:r w:rsidR="005951C5">
        <w:rPr>
          <w:sz w:val="24"/>
          <w:szCs w:val="24"/>
        </w:rPr>
        <w:t xml:space="preserve">and procedural safeguards, which ensure objectivity and neutrality without </w:t>
      </w:r>
      <w:r w:rsidR="005951C5">
        <w:rPr>
          <w:sz w:val="24"/>
          <w:szCs w:val="24"/>
        </w:rPr>
        <w:lastRenderedPageBreak/>
        <w:t>compromising collection capabilities.</w:t>
      </w:r>
      <w:r w:rsidR="005951C5">
        <w:rPr>
          <w:rStyle w:val="FootnoteReference"/>
          <w:sz w:val="24"/>
          <w:szCs w:val="24"/>
        </w:rPr>
        <w:footnoteReference w:id="59"/>
      </w:r>
      <w:r w:rsidR="000D044D">
        <w:rPr>
          <w:sz w:val="24"/>
          <w:szCs w:val="24"/>
        </w:rPr>
        <w:t xml:space="preserve"> Similarly, the IAEA </w:t>
      </w:r>
      <w:r w:rsidR="005951C5">
        <w:rPr>
          <w:sz w:val="24"/>
          <w:szCs w:val="24"/>
        </w:rPr>
        <w:t>employs</w:t>
      </w:r>
      <w:r w:rsidR="000D044D">
        <w:rPr>
          <w:sz w:val="24"/>
          <w:szCs w:val="24"/>
        </w:rPr>
        <w:t xml:space="preserve"> strict confidentiality practices, such as </w:t>
      </w:r>
      <w:r w:rsidR="004C19CE">
        <w:rPr>
          <w:sz w:val="24"/>
          <w:szCs w:val="24"/>
        </w:rPr>
        <w:t>‘</w:t>
      </w:r>
      <w:r w:rsidR="000D044D">
        <w:rPr>
          <w:sz w:val="24"/>
          <w:szCs w:val="24"/>
        </w:rPr>
        <w:t>managed access</w:t>
      </w:r>
      <w:r w:rsidR="004C19CE">
        <w:rPr>
          <w:sz w:val="24"/>
          <w:szCs w:val="24"/>
        </w:rPr>
        <w:t>’</w:t>
      </w:r>
      <w:r w:rsidR="000D044D">
        <w:rPr>
          <w:sz w:val="24"/>
          <w:szCs w:val="24"/>
        </w:rPr>
        <w:t xml:space="preserve"> </w:t>
      </w:r>
      <w:r w:rsidR="005951C5">
        <w:rPr>
          <w:sz w:val="24"/>
          <w:szCs w:val="24"/>
        </w:rPr>
        <w:t>during</w:t>
      </w:r>
      <w:r w:rsidR="000D044D">
        <w:rPr>
          <w:sz w:val="24"/>
          <w:szCs w:val="24"/>
        </w:rPr>
        <w:t xml:space="preserve"> verification</w:t>
      </w:r>
      <w:r w:rsidR="005951C5">
        <w:rPr>
          <w:sz w:val="24"/>
          <w:szCs w:val="24"/>
        </w:rPr>
        <w:t>,</w:t>
      </w:r>
      <w:r w:rsidR="000D044D">
        <w:rPr>
          <w:sz w:val="24"/>
          <w:szCs w:val="24"/>
        </w:rPr>
        <w:t xml:space="preserve"> to allow states to guard sensitive information.</w:t>
      </w:r>
      <w:r w:rsidR="000D044D">
        <w:rPr>
          <w:rStyle w:val="FootnoteReference"/>
          <w:sz w:val="24"/>
          <w:szCs w:val="24"/>
        </w:rPr>
        <w:footnoteReference w:id="60"/>
      </w:r>
      <w:r w:rsidR="000D044D">
        <w:rPr>
          <w:sz w:val="24"/>
          <w:szCs w:val="24"/>
        </w:rPr>
        <w:t xml:space="preserve"> Managing this trade-off encourages compliance</w:t>
      </w:r>
      <w:r w:rsidR="005951C5">
        <w:rPr>
          <w:sz w:val="24"/>
          <w:szCs w:val="24"/>
        </w:rPr>
        <w:t>,</w:t>
      </w:r>
      <w:r w:rsidR="000D044D">
        <w:rPr>
          <w:sz w:val="24"/>
          <w:szCs w:val="24"/>
        </w:rPr>
        <w:t xml:space="preserve"> as </w:t>
      </w:r>
      <w:r w:rsidR="005951C5">
        <w:rPr>
          <w:sz w:val="24"/>
          <w:szCs w:val="24"/>
        </w:rPr>
        <w:t xml:space="preserve">excessive </w:t>
      </w:r>
      <w:r w:rsidR="000D044D">
        <w:rPr>
          <w:sz w:val="24"/>
          <w:szCs w:val="24"/>
        </w:rPr>
        <w:t xml:space="preserve">institutional stringency </w:t>
      </w:r>
      <w:r w:rsidR="005951C5">
        <w:rPr>
          <w:sz w:val="24"/>
          <w:szCs w:val="24"/>
        </w:rPr>
        <w:t>could provoke pushback</w:t>
      </w:r>
      <w:r w:rsidR="001A2FDE">
        <w:rPr>
          <w:rFonts w:hint="eastAsia"/>
          <w:sz w:val="24"/>
          <w:szCs w:val="24"/>
        </w:rPr>
        <w:t>s</w:t>
      </w:r>
      <w:r w:rsidR="005951C5">
        <w:rPr>
          <w:sz w:val="24"/>
          <w:szCs w:val="24"/>
        </w:rPr>
        <w:t xml:space="preserve"> or even withdrawals, particularly given the highly sensitive nature of nuclear technologies</w:t>
      </w:r>
      <w:r w:rsidR="000D044D">
        <w:rPr>
          <w:sz w:val="24"/>
          <w:szCs w:val="24"/>
        </w:rPr>
        <w:t>.</w:t>
      </w:r>
      <w:r w:rsidR="000D044D">
        <w:rPr>
          <w:rStyle w:val="FootnoteReference"/>
          <w:sz w:val="24"/>
          <w:szCs w:val="24"/>
        </w:rPr>
        <w:footnoteReference w:id="61"/>
      </w:r>
    </w:p>
    <w:p w14:paraId="1EA2E2B0" w14:textId="439792C7" w:rsidR="000C62D0" w:rsidRPr="004600F7" w:rsidRDefault="0076511D" w:rsidP="00111EB4">
      <w:pPr>
        <w:spacing w:after="0" w:line="480" w:lineRule="auto"/>
        <w:rPr>
          <w:sz w:val="24"/>
          <w:szCs w:val="24"/>
        </w:rPr>
      </w:pPr>
      <w:r>
        <w:rPr>
          <w:sz w:val="24"/>
          <w:szCs w:val="24"/>
        </w:rPr>
        <w:t xml:space="preserve">     </w:t>
      </w:r>
      <w:r w:rsidR="00946C71" w:rsidRPr="004600F7">
        <w:rPr>
          <w:sz w:val="24"/>
          <w:szCs w:val="24"/>
        </w:rPr>
        <w:t xml:space="preserve">As this discussion </w:t>
      </w:r>
      <w:r w:rsidR="008902C3" w:rsidRPr="004600F7">
        <w:rPr>
          <w:sz w:val="24"/>
          <w:szCs w:val="24"/>
        </w:rPr>
        <w:t>shows</w:t>
      </w:r>
      <w:r w:rsidR="00946C71" w:rsidRPr="004600F7">
        <w:rPr>
          <w:sz w:val="24"/>
          <w:szCs w:val="24"/>
        </w:rPr>
        <w:t xml:space="preserve">, the NPT and the IAEA </w:t>
      </w:r>
      <w:r w:rsidR="000D044D">
        <w:rPr>
          <w:sz w:val="24"/>
          <w:szCs w:val="24"/>
        </w:rPr>
        <w:t xml:space="preserve">play a big role in </w:t>
      </w:r>
      <w:r w:rsidR="00946C71" w:rsidRPr="004600F7">
        <w:rPr>
          <w:sz w:val="24"/>
          <w:szCs w:val="24"/>
        </w:rPr>
        <w:t xml:space="preserve">detecting and </w:t>
      </w:r>
      <w:r w:rsidR="001A2FDE">
        <w:rPr>
          <w:rFonts w:hint="eastAsia"/>
          <w:sz w:val="24"/>
          <w:szCs w:val="24"/>
        </w:rPr>
        <w:t>providing</w:t>
      </w:r>
      <w:r w:rsidR="001A2FDE" w:rsidRPr="004600F7">
        <w:rPr>
          <w:sz w:val="24"/>
          <w:szCs w:val="24"/>
        </w:rPr>
        <w:t xml:space="preserve"> </w:t>
      </w:r>
      <w:r w:rsidR="00946C71" w:rsidRPr="004600F7">
        <w:rPr>
          <w:sz w:val="24"/>
          <w:szCs w:val="24"/>
        </w:rPr>
        <w:t xml:space="preserve">early signs of potential violations. In the next section, we illustrate how these functions were activated in the case of North Korea—a frequently cited example of NPT regime failure. The conventional argument is that the NPT has failed, as it did not prevent North Korea from advancing its nuclear weapons program or get Pyongyang to return to the NPT after its withdrawal in 2003. We show that up until 2003, the NPT and the IAEA have, rather, been successful in revealing information about Pyongyang’s attitude toward nonproliferation and </w:t>
      </w:r>
      <w:r w:rsidR="003823A9">
        <w:rPr>
          <w:rFonts w:hint="eastAsia"/>
          <w:sz w:val="24"/>
          <w:szCs w:val="24"/>
        </w:rPr>
        <w:t>documenting</w:t>
      </w:r>
      <w:r w:rsidR="00946C71" w:rsidRPr="004600F7">
        <w:rPr>
          <w:sz w:val="24"/>
          <w:szCs w:val="24"/>
        </w:rPr>
        <w:t xml:space="preserve"> evidence that cast doubt on Pyongyang’s compliance with the NPT and IAEA safeguards. We stop at 2003 since there is no consensus on North Korea’s status in relation to the NPT after its withdrawal. In that respect, North Korea poses a different challenge to the NPT that concerns the interpretation of Article X (the withdrawal clause) of the treaty. </w:t>
      </w:r>
    </w:p>
    <w:p w14:paraId="37C226D4" w14:textId="77777777" w:rsidR="00CF0B64" w:rsidRDefault="00CF0B64" w:rsidP="00912FDA">
      <w:pPr>
        <w:spacing w:after="0" w:line="240" w:lineRule="auto"/>
        <w:rPr>
          <w:sz w:val="24"/>
          <w:szCs w:val="24"/>
        </w:rPr>
      </w:pPr>
    </w:p>
    <w:p w14:paraId="5638033D" w14:textId="77777777" w:rsidR="00D57D72" w:rsidRPr="004600F7" w:rsidRDefault="00D57D72" w:rsidP="00912FDA">
      <w:pPr>
        <w:spacing w:after="0" w:line="240" w:lineRule="auto"/>
        <w:rPr>
          <w:sz w:val="24"/>
          <w:szCs w:val="24"/>
        </w:rPr>
      </w:pPr>
    </w:p>
    <w:p w14:paraId="384E04E3" w14:textId="6B7B78B1" w:rsidR="00912FDA" w:rsidRPr="004600F7" w:rsidRDefault="004B63FD" w:rsidP="00912FDA">
      <w:pPr>
        <w:spacing w:after="0" w:line="240" w:lineRule="auto"/>
        <w:outlineLvl w:val="0"/>
        <w:rPr>
          <w:b/>
          <w:bCs/>
          <w:sz w:val="24"/>
          <w:szCs w:val="24"/>
        </w:rPr>
      </w:pPr>
      <w:r>
        <w:rPr>
          <w:b/>
          <w:bCs/>
          <w:sz w:val="24"/>
          <w:szCs w:val="24"/>
        </w:rPr>
        <w:t xml:space="preserve">3 </w:t>
      </w:r>
      <w:r w:rsidR="00912FDA" w:rsidRPr="004600F7">
        <w:rPr>
          <w:b/>
          <w:bCs/>
          <w:sz w:val="24"/>
          <w:szCs w:val="24"/>
        </w:rPr>
        <w:t>North Korea’s Nuclear Program in the Context of the NPT and the Nonproliferation Regime</w:t>
      </w:r>
    </w:p>
    <w:p w14:paraId="7ED593D5" w14:textId="77777777" w:rsidR="00D57D72" w:rsidRDefault="00D57D72" w:rsidP="00912FDA">
      <w:pPr>
        <w:spacing w:after="0" w:line="240" w:lineRule="auto"/>
        <w:rPr>
          <w:sz w:val="24"/>
          <w:szCs w:val="24"/>
        </w:rPr>
      </w:pPr>
    </w:p>
    <w:p w14:paraId="696C79D0" w14:textId="3DE11453" w:rsidR="00262561" w:rsidRPr="004600F7" w:rsidRDefault="001C6174" w:rsidP="00111EB4">
      <w:pPr>
        <w:spacing w:after="0" w:line="480" w:lineRule="auto"/>
        <w:rPr>
          <w:sz w:val="24"/>
          <w:szCs w:val="24"/>
        </w:rPr>
      </w:pPr>
      <w:r w:rsidRPr="004600F7">
        <w:rPr>
          <w:sz w:val="24"/>
          <w:szCs w:val="24"/>
        </w:rPr>
        <w:t xml:space="preserve">North Korea’s nuclear journey exemplifies </w:t>
      </w:r>
      <w:r w:rsidR="00262561" w:rsidRPr="004600F7">
        <w:rPr>
          <w:sz w:val="24"/>
          <w:szCs w:val="24"/>
        </w:rPr>
        <w:t xml:space="preserve">how institutional detection mechanisms function even when prevention </w:t>
      </w:r>
      <w:r w:rsidR="00895C4F" w:rsidRPr="004600F7">
        <w:rPr>
          <w:sz w:val="24"/>
          <w:szCs w:val="24"/>
        </w:rPr>
        <w:t xml:space="preserve">has </w:t>
      </w:r>
      <w:r w:rsidR="00262561" w:rsidRPr="004600F7">
        <w:rPr>
          <w:sz w:val="24"/>
          <w:szCs w:val="24"/>
        </w:rPr>
        <w:t>fail</w:t>
      </w:r>
      <w:r w:rsidR="00895C4F" w:rsidRPr="004600F7">
        <w:rPr>
          <w:sz w:val="24"/>
          <w:szCs w:val="24"/>
        </w:rPr>
        <w:t>ed</w:t>
      </w:r>
      <w:r w:rsidR="00262561" w:rsidRPr="004600F7">
        <w:rPr>
          <w:sz w:val="24"/>
          <w:szCs w:val="24"/>
        </w:rPr>
        <w:t xml:space="preserve">. </w:t>
      </w:r>
      <w:r w:rsidR="00DC1EEB" w:rsidRPr="004600F7">
        <w:rPr>
          <w:sz w:val="24"/>
          <w:szCs w:val="24"/>
        </w:rPr>
        <w:t xml:space="preserve">Specifically, rather </w:t>
      </w:r>
      <w:r w:rsidR="00262561" w:rsidRPr="004600F7">
        <w:rPr>
          <w:sz w:val="24"/>
          <w:szCs w:val="24"/>
        </w:rPr>
        <w:t xml:space="preserve">than demonstrating the NPT regime’s </w:t>
      </w:r>
      <w:r w:rsidR="00DC1EEB" w:rsidRPr="004600F7">
        <w:rPr>
          <w:sz w:val="24"/>
          <w:szCs w:val="24"/>
        </w:rPr>
        <w:t>deficiency</w:t>
      </w:r>
      <w:r w:rsidR="00262561" w:rsidRPr="004600F7">
        <w:rPr>
          <w:sz w:val="24"/>
          <w:szCs w:val="24"/>
        </w:rPr>
        <w:t xml:space="preserve">, North Korea’s case illustrates how SMV processes systematically generated </w:t>
      </w:r>
      <w:r w:rsidR="00262561" w:rsidRPr="004600F7">
        <w:rPr>
          <w:sz w:val="24"/>
          <w:szCs w:val="24"/>
        </w:rPr>
        <w:lastRenderedPageBreak/>
        <w:t xml:space="preserve">authoritative information about proliferation activities, enabling sustained international responses and diplomatic engagement. </w:t>
      </w:r>
    </w:p>
    <w:p w14:paraId="34CFA97F" w14:textId="70D7404F" w:rsidR="008F38E6" w:rsidRPr="004600F7" w:rsidRDefault="0076511D" w:rsidP="00111EB4">
      <w:pPr>
        <w:spacing w:after="0" w:line="480" w:lineRule="auto"/>
        <w:rPr>
          <w:sz w:val="24"/>
          <w:szCs w:val="24"/>
        </w:rPr>
      </w:pPr>
      <w:r>
        <w:rPr>
          <w:sz w:val="24"/>
          <w:szCs w:val="24"/>
        </w:rPr>
        <w:t xml:space="preserve">     </w:t>
      </w:r>
      <w:r w:rsidR="00410232" w:rsidRPr="004600F7">
        <w:rPr>
          <w:sz w:val="24"/>
          <w:szCs w:val="24"/>
        </w:rPr>
        <w:t xml:space="preserve">The NPT’s screening function began operating immediately through North Korea’s non-accession decision in </w:t>
      </w:r>
      <w:r w:rsidR="004828D1" w:rsidRPr="004600F7">
        <w:rPr>
          <w:sz w:val="24"/>
          <w:szCs w:val="24"/>
        </w:rPr>
        <w:t xml:space="preserve">the </w:t>
      </w:r>
      <w:r w:rsidR="00410232" w:rsidRPr="004600F7">
        <w:rPr>
          <w:sz w:val="24"/>
          <w:szCs w:val="24"/>
        </w:rPr>
        <w:t xml:space="preserve">1970s as </w:t>
      </w:r>
      <w:r w:rsidR="002D41A9">
        <w:rPr>
          <w:rFonts w:hint="eastAsia"/>
          <w:sz w:val="24"/>
          <w:szCs w:val="24"/>
        </w:rPr>
        <w:t>its</w:t>
      </w:r>
      <w:r w:rsidR="002D41A9" w:rsidRPr="004600F7">
        <w:rPr>
          <w:sz w:val="24"/>
          <w:szCs w:val="24"/>
        </w:rPr>
        <w:t xml:space="preserve"> </w:t>
      </w:r>
      <w:r w:rsidR="00D85808" w:rsidRPr="004600F7">
        <w:rPr>
          <w:sz w:val="24"/>
          <w:szCs w:val="24"/>
        </w:rPr>
        <w:t xml:space="preserve">nuclear weapons program </w:t>
      </w:r>
      <w:r w:rsidR="00CF6D14" w:rsidRPr="004600F7">
        <w:rPr>
          <w:sz w:val="24"/>
          <w:szCs w:val="24"/>
        </w:rPr>
        <w:t>began</w:t>
      </w:r>
      <w:r w:rsidR="008F38E6" w:rsidRPr="004600F7">
        <w:rPr>
          <w:sz w:val="24"/>
          <w:szCs w:val="24"/>
        </w:rPr>
        <w:t xml:space="preserve"> </w:t>
      </w:r>
      <w:r w:rsidR="005A111A" w:rsidRPr="004600F7">
        <w:rPr>
          <w:sz w:val="24"/>
          <w:szCs w:val="24"/>
        </w:rPr>
        <w:t>‘</w:t>
      </w:r>
      <w:r w:rsidR="008F38E6" w:rsidRPr="004600F7">
        <w:rPr>
          <w:sz w:val="24"/>
          <w:szCs w:val="24"/>
        </w:rPr>
        <w:t>in earnest</w:t>
      </w:r>
      <w:r w:rsidR="005A111A" w:rsidRPr="004600F7">
        <w:rPr>
          <w:sz w:val="24"/>
          <w:szCs w:val="24"/>
        </w:rPr>
        <w:t>’</w:t>
      </w:r>
      <w:r w:rsidR="008F38E6" w:rsidRPr="004600F7">
        <w:rPr>
          <w:sz w:val="24"/>
          <w:szCs w:val="24"/>
        </w:rPr>
        <w:t xml:space="preserve"> due to growing </w:t>
      </w:r>
      <w:r w:rsidR="0096536C" w:rsidRPr="004600F7">
        <w:rPr>
          <w:sz w:val="24"/>
          <w:szCs w:val="24"/>
        </w:rPr>
        <w:t xml:space="preserve">regional </w:t>
      </w:r>
      <w:r w:rsidR="008F38E6" w:rsidRPr="004600F7">
        <w:rPr>
          <w:sz w:val="24"/>
          <w:szCs w:val="24"/>
        </w:rPr>
        <w:t>insecurity.</w:t>
      </w:r>
      <w:r w:rsidR="008F38E6" w:rsidRPr="004600F7">
        <w:rPr>
          <w:rStyle w:val="FootnoteReference"/>
          <w:sz w:val="24"/>
          <w:szCs w:val="24"/>
        </w:rPr>
        <w:footnoteReference w:id="62"/>
      </w:r>
      <w:r w:rsidR="008F38E6" w:rsidRPr="004600F7">
        <w:rPr>
          <w:sz w:val="24"/>
          <w:szCs w:val="24"/>
        </w:rPr>
        <w:t xml:space="preserve"> </w:t>
      </w:r>
      <w:r w:rsidR="00477E42" w:rsidRPr="004600F7">
        <w:rPr>
          <w:sz w:val="24"/>
          <w:szCs w:val="24"/>
        </w:rPr>
        <w:t>Pyongyang was not a supporter of the NPT</w:t>
      </w:r>
      <w:r w:rsidR="00D85808" w:rsidRPr="004600F7">
        <w:rPr>
          <w:sz w:val="24"/>
          <w:szCs w:val="24"/>
        </w:rPr>
        <w:t xml:space="preserve"> from the beginning</w:t>
      </w:r>
      <w:r w:rsidR="00477E42" w:rsidRPr="004600F7">
        <w:rPr>
          <w:sz w:val="24"/>
          <w:szCs w:val="24"/>
        </w:rPr>
        <w:t xml:space="preserve">. It </w:t>
      </w:r>
      <w:r w:rsidR="0096536C" w:rsidRPr="004600F7">
        <w:rPr>
          <w:sz w:val="24"/>
          <w:szCs w:val="24"/>
        </w:rPr>
        <w:t xml:space="preserve">criticized the </w:t>
      </w:r>
      <w:r w:rsidR="00477E42" w:rsidRPr="004600F7">
        <w:rPr>
          <w:sz w:val="24"/>
          <w:szCs w:val="24"/>
        </w:rPr>
        <w:t xml:space="preserve">Treaty </w:t>
      </w:r>
      <w:r w:rsidR="008F38E6" w:rsidRPr="004600F7">
        <w:rPr>
          <w:sz w:val="24"/>
          <w:szCs w:val="24"/>
        </w:rPr>
        <w:t xml:space="preserve">as </w:t>
      </w:r>
      <w:r w:rsidR="005A111A" w:rsidRPr="004600F7">
        <w:rPr>
          <w:sz w:val="24"/>
          <w:szCs w:val="24"/>
        </w:rPr>
        <w:t>‘</w:t>
      </w:r>
      <w:r w:rsidR="008F38E6" w:rsidRPr="004600F7">
        <w:rPr>
          <w:sz w:val="24"/>
          <w:szCs w:val="24"/>
        </w:rPr>
        <w:t>unequal and discriminatory</w:t>
      </w:r>
      <w:r w:rsidR="005A111A" w:rsidRPr="004600F7">
        <w:rPr>
          <w:sz w:val="24"/>
          <w:szCs w:val="24"/>
        </w:rPr>
        <w:t>’</w:t>
      </w:r>
      <w:r w:rsidR="008F38E6" w:rsidRPr="004600F7">
        <w:rPr>
          <w:rStyle w:val="FootnoteReference"/>
          <w:sz w:val="24"/>
          <w:szCs w:val="24"/>
        </w:rPr>
        <w:footnoteReference w:id="63"/>
      </w:r>
      <w:r w:rsidR="008F38E6" w:rsidRPr="004600F7">
        <w:rPr>
          <w:sz w:val="24"/>
          <w:szCs w:val="24"/>
        </w:rPr>
        <w:t xml:space="preserve"> </w:t>
      </w:r>
      <w:r w:rsidR="00477E42" w:rsidRPr="004600F7">
        <w:rPr>
          <w:sz w:val="24"/>
          <w:szCs w:val="24"/>
        </w:rPr>
        <w:t>and had chosen</w:t>
      </w:r>
      <w:r w:rsidR="008F38E6" w:rsidRPr="004600F7">
        <w:rPr>
          <w:sz w:val="24"/>
          <w:szCs w:val="24"/>
        </w:rPr>
        <w:t xml:space="preserve"> to remain an NPT holdout </w:t>
      </w:r>
      <w:r w:rsidR="00477E42" w:rsidRPr="004600F7">
        <w:rPr>
          <w:sz w:val="24"/>
          <w:szCs w:val="24"/>
        </w:rPr>
        <w:t xml:space="preserve">while </w:t>
      </w:r>
      <w:r w:rsidR="008F38E6" w:rsidRPr="004600F7">
        <w:rPr>
          <w:sz w:val="24"/>
          <w:szCs w:val="24"/>
        </w:rPr>
        <w:t>continu</w:t>
      </w:r>
      <w:r w:rsidR="00477E42" w:rsidRPr="004600F7">
        <w:rPr>
          <w:sz w:val="24"/>
          <w:szCs w:val="24"/>
        </w:rPr>
        <w:t>ing</w:t>
      </w:r>
      <w:r w:rsidR="008F38E6" w:rsidRPr="004600F7">
        <w:rPr>
          <w:sz w:val="24"/>
          <w:szCs w:val="24"/>
        </w:rPr>
        <w:t xml:space="preserve"> its path on nuclear development. </w:t>
      </w:r>
      <w:r w:rsidR="0096536C" w:rsidRPr="004600F7">
        <w:rPr>
          <w:sz w:val="24"/>
          <w:szCs w:val="24"/>
        </w:rPr>
        <w:t>I</w:t>
      </w:r>
      <w:r w:rsidR="008F38E6" w:rsidRPr="004600F7">
        <w:rPr>
          <w:sz w:val="24"/>
          <w:szCs w:val="24"/>
        </w:rPr>
        <w:t>n 1974,</w:t>
      </w:r>
      <w:r w:rsidR="0096536C" w:rsidRPr="004600F7">
        <w:rPr>
          <w:sz w:val="24"/>
          <w:szCs w:val="24"/>
        </w:rPr>
        <w:t xml:space="preserve"> Pyongyang</w:t>
      </w:r>
      <w:r w:rsidR="008F38E6" w:rsidRPr="004600F7">
        <w:rPr>
          <w:sz w:val="24"/>
          <w:szCs w:val="24"/>
        </w:rPr>
        <w:t xml:space="preserve"> joined the IAEA</w:t>
      </w:r>
      <w:r w:rsidR="0096536C" w:rsidRPr="004600F7">
        <w:rPr>
          <w:sz w:val="24"/>
          <w:szCs w:val="24"/>
        </w:rPr>
        <w:t>,</w:t>
      </w:r>
      <w:r w:rsidR="008F38E6" w:rsidRPr="004600F7">
        <w:rPr>
          <w:sz w:val="24"/>
          <w:szCs w:val="24"/>
        </w:rPr>
        <w:t xml:space="preserve"> allegedly</w:t>
      </w:r>
      <w:r w:rsidR="0096536C" w:rsidRPr="004600F7">
        <w:rPr>
          <w:sz w:val="24"/>
          <w:szCs w:val="24"/>
        </w:rPr>
        <w:t xml:space="preserve"> to gain technical knowledge </w:t>
      </w:r>
      <w:r w:rsidR="00477E42" w:rsidRPr="004600F7">
        <w:rPr>
          <w:sz w:val="24"/>
          <w:szCs w:val="24"/>
        </w:rPr>
        <w:t>on</w:t>
      </w:r>
      <w:r w:rsidR="0096536C" w:rsidRPr="004600F7">
        <w:rPr>
          <w:sz w:val="24"/>
          <w:szCs w:val="24"/>
        </w:rPr>
        <w:t xml:space="preserve"> reactor design</w:t>
      </w:r>
      <w:r w:rsidR="008F38E6" w:rsidRPr="004600F7">
        <w:rPr>
          <w:sz w:val="24"/>
          <w:szCs w:val="24"/>
        </w:rPr>
        <w:t>.</w:t>
      </w:r>
      <w:r w:rsidR="008F38E6" w:rsidRPr="004600F7">
        <w:rPr>
          <w:rStyle w:val="FootnoteReference"/>
          <w:sz w:val="24"/>
          <w:szCs w:val="24"/>
        </w:rPr>
        <w:footnoteReference w:id="64"/>
      </w:r>
      <w:r w:rsidR="008F38E6" w:rsidRPr="004600F7">
        <w:rPr>
          <w:sz w:val="24"/>
          <w:szCs w:val="24"/>
        </w:rPr>
        <w:t xml:space="preserve"> In 1977, it </w:t>
      </w:r>
      <w:r w:rsidR="0096536C" w:rsidRPr="004600F7">
        <w:rPr>
          <w:sz w:val="24"/>
          <w:szCs w:val="24"/>
        </w:rPr>
        <w:t xml:space="preserve">concluded a limited, </w:t>
      </w:r>
      <w:r w:rsidR="008F38E6" w:rsidRPr="004600F7">
        <w:rPr>
          <w:sz w:val="24"/>
          <w:szCs w:val="24"/>
        </w:rPr>
        <w:t xml:space="preserve">item-specific safeguards agreement </w:t>
      </w:r>
      <w:r w:rsidR="0096536C" w:rsidRPr="004600F7">
        <w:rPr>
          <w:sz w:val="24"/>
          <w:szCs w:val="24"/>
        </w:rPr>
        <w:t xml:space="preserve">covering </w:t>
      </w:r>
      <w:r w:rsidR="008F38E6" w:rsidRPr="004600F7">
        <w:rPr>
          <w:sz w:val="24"/>
          <w:szCs w:val="24"/>
        </w:rPr>
        <w:t xml:space="preserve">two nuclear research facilities </w:t>
      </w:r>
      <w:r w:rsidR="0096536C" w:rsidRPr="004600F7">
        <w:rPr>
          <w:sz w:val="24"/>
          <w:szCs w:val="24"/>
        </w:rPr>
        <w:t>at</w:t>
      </w:r>
      <w:r w:rsidR="008F38E6" w:rsidRPr="004600F7">
        <w:rPr>
          <w:sz w:val="24"/>
          <w:szCs w:val="24"/>
        </w:rPr>
        <w:t xml:space="preserve"> Yongbyon.</w:t>
      </w:r>
      <w:r w:rsidR="008F38E6" w:rsidRPr="004600F7">
        <w:rPr>
          <w:rStyle w:val="FootnoteReference"/>
          <w:sz w:val="24"/>
          <w:szCs w:val="24"/>
        </w:rPr>
        <w:footnoteReference w:id="65"/>
      </w:r>
      <w:r w:rsidR="00410232" w:rsidRPr="004600F7">
        <w:rPr>
          <w:sz w:val="24"/>
          <w:szCs w:val="24"/>
        </w:rPr>
        <w:t xml:space="preserve"> </w:t>
      </w:r>
      <w:r w:rsidR="002D41A9">
        <w:rPr>
          <w:rFonts w:hint="eastAsia"/>
          <w:sz w:val="24"/>
          <w:szCs w:val="24"/>
        </w:rPr>
        <w:t>While it gradually signed on to these nonproliferation mechanisms</w:t>
      </w:r>
      <w:r w:rsidR="00D85808" w:rsidRPr="004600F7">
        <w:rPr>
          <w:sz w:val="24"/>
          <w:szCs w:val="24"/>
        </w:rPr>
        <w:t xml:space="preserve">, </w:t>
      </w:r>
      <w:r w:rsidR="00410232" w:rsidRPr="004600F7">
        <w:rPr>
          <w:sz w:val="24"/>
          <w:szCs w:val="24"/>
        </w:rPr>
        <w:t xml:space="preserve">North Korea’s holdout </w:t>
      </w:r>
      <w:r w:rsidR="002D41A9">
        <w:rPr>
          <w:rFonts w:hint="eastAsia"/>
          <w:sz w:val="24"/>
          <w:szCs w:val="24"/>
        </w:rPr>
        <w:t xml:space="preserve">also </w:t>
      </w:r>
      <w:r w:rsidR="00410232" w:rsidRPr="004600F7">
        <w:rPr>
          <w:sz w:val="24"/>
          <w:szCs w:val="24"/>
        </w:rPr>
        <w:t>revealed critical information about Pyongyang’s nuclear intentions and strategic calculations.</w:t>
      </w:r>
    </w:p>
    <w:p w14:paraId="3992BEDD" w14:textId="0CCAFF3A" w:rsidR="008F38E6" w:rsidRPr="004600F7" w:rsidRDefault="0076511D" w:rsidP="00111EB4">
      <w:pPr>
        <w:spacing w:after="0" w:line="480" w:lineRule="auto"/>
        <w:rPr>
          <w:sz w:val="24"/>
          <w:szCs w:val="24"/>
        </w:rPr>
      </w:pPr>
      <w:r>
        <w:rPr>
          <w:sz w:val="24"/>
          <w:szCs w:val="24"/>
        </w:rPr>
        <w:t xml:space="preserve">     </w:t>
      </w:r>
      <w:r w:rsidR="008F38E6" w:rsidRPr="004600F7">
        <w:rPr>
          <w:sz w:val="24"/>
          <w:szCs w:val="24"/>
        </w:rPr>
        <w:t>Through</w:t>
      </w:r>
      <w:r w:rsidR="0096536C" w:rsidRPr="004600F7">
        <w:rPr>
          <w:sz w:val="24"/>
          <w:szCs w:val="24"/>
        </w:rPr>
        <w:t>out</w:t>
      </w:r>
      <w:r w:rsidR="008F38E6" w:rsidRPr="004600F7">
        <w:rPr>
          <w:sz w:val="24"/>
          <w:szCs w:val="24"/>
        </w:rPr>
        <w:t xml:space="preserve"> the 1980s, North Korea’s nuclear program remained driven by the desire to address its energy shortage and </w:t>
      </w:r>
      <w:r w:rsidR="00477E42" w:rsidRPr="004600F7">
        <w:rPr>
          <w:sz w:val="24"/>
          <w:szCs w:val="24"/>
        </w:rPr>
        <w:t xml:space="preserve">was </w:t>
      </w:r>
      <w:r w:rsidR="008F38E6" w:rsidRPr="004600F7">
        <w:rPr>
          <w:sz w:val="24"/>
          <w:szCs w:val="24"/>
        </w:rPr>
        <w:t>politically</w:t>
      </w:r>
      <w:r w:rsidR="0096536C" w:rsidRPr="004600F7">
        <w:rPr>
          <w:sz w:val="24"/>
          <w:szCs w:val="24"/>
        </w:rPr>
        <w:t xml:space="preserve"> framed as a response to South Korea’s operating nuclear power plant</w:t>
      </w:r>
      <w:r w:rsidR="008F38E6" w:rsidRPr="004600F7">
        <w:rPr>
          <w:sz w:val="24"/>
          <w:szCs w:val="24"/>
        </w:rPr>
        <w:t>.</w:t>
      </w:r>
      <w:r w:rsidR="008F38E6" w:rsidRPr="004600F7">
        <w:rPr>
          <w:rStyle w:val="FootnoteReference"/>
          <w:sz w:val="24"/>
          <w:szCs w:val="24"/>
        </w:rPr>
        <w:footnoteReference w:id="66"/>
      </w:r>
      <w:r w:rsidR="00E056E5" w:rsidRPr="004600F7">
        <w:rPr>
          <w:sz w:val="24"/>
          <w:szCs w:val="24"/>
        </w:rPr>
        <w:t xml:space="preserve"> </w:t>
      </w:r>
      <w:r w:rsidR="004828D1" w:rsidRPr="004600F7">
        <w:rPr>
          <w:sz w:val="24"/>
          <w:szCs w:val="24"/>
        </w:rPr>
        <w:t xml:space="preserve">Its motivations </w:t>
      </w:r>
      <w:r w:rsidR="0096536C" w:rsidRPr="004600F7">
        <w:rPr>
          <w:sz w:val="24"/>
          <w:szCs w:val="24"/>
        </w:rPr>
        <w:t>gave Moscow</w:t>
      </w:r>
      <w:r w:rsidR="00E056E5" w:rsidRPr="004600F7">
        <w:rPr>
          <w:sz w:val="24"/>
          <w:szCs w:val="24"/>
        </w:rPr>
        <w:t xml:space="preserve"> the leverage to condition the supply of four light-water nuclear power reactors on North Korea joining the NPT, </w:t>
      </w:r>
      <w:r w:rsidR="005A111A" w:rsidRPr="004600F7">
        <w:rPr>
          <w:sz w:val="24"/>
          <w:szCs w:val="24"/>
        </w:rPr>
        <w:t>‘</w:t>
      </w:r>
      <w:r w:rsidR="00E056E5" w:rsidRPr="004600F7">
        <w:rPr>
          <w:sz w:val="24"/>
          <w:szCs w:val="24"/>
        </w:rPr>
        <w:t>hoping this would lead to international inspection and control of Pyongyang’s nuclear facilities</w:t>
      </w:r>
      <w:r w:rsidR="005A111A" w:rsidRPr="004600F7">
        <w:rPr>
          <w:sz w:val="24"/>
          <w:szCs w:val="24"/>
        </w:rPr>
        <w:t>’</w:t>
      </w:r>
      <w:r w:rsidR="00E056E5" w:rsidRPr="004600F7">
        <w:rPr>
          <w:sz w:val="24"/>
          <w:szCs w:val="24"/>
        </w:rPr>
        <w:t>.</w:t>
      </w:r>
      <w:r w:rsidR="00E056E5" w:rsidRPr="004600F7">
        <w:rPr>
          <w:rStyle w:val="FootnoteReference"/>
          <w:sz w:val="24"/>
          <w:szCs w:val="24"/>
        </w:rPr>
        <w:footnoteReference w:id="67"/>
      </w:r>
      <w:r w:rsidR="00E056E5" w:rsidRPr="004600F7">
        <w:rPr>
          <w:sz w:val="24"/>
          <w:szCs w:val="24"/>
        </w:rPr>
        <w:t xml:space="preserve"> In 1985, Pyongyang joined the NPT due to pressures from the Soviet Union, which was in turn pressed by the US.</w:t>
      </w:r>
      <w:r w:rsidR="00E056E5" w:rsidRPr="004600F7">
        <w:rPr>
          <w:rStyle w:val="FootnoteReference"/>
          <w:sz w:val="24"/>
          <w:szCs w:val="24"/>
        </w:rPr>
        <w:footnoteReference w:id="68"/>
      </w:r>
      <w:r w:rsidR="00E056E5" w:rsidRPr="004600F7">
        <w:rPr>
          <w:sz w:val="24"/>
          <w:szCs w:val="24"/>
        </w:rPr>
        <w:t xml:space="preserve"> However, Pyongyang only signed a CSA with the IAEA in 1992. This delay was much longer than the eighteen months given to state parties to conclude a CSA, beginning from the </w:t>
      </w:r>
      <w:r w:rsidR="005A111A" w:rsidRPr="004600F7">
        <w:rPr>
          <w:sz w:val="24"/>
          <w:szCs w:val="24"/>
        </w:rPr>
        <w:t>‘</w:t>
      </w:r>
      <w:r w:rsidR="00E056E5" w:rsidRPr="004600F7">
        <w:rPr>
          <w:sz w:val="24"/>
          <w:szCs w:val="24"/>
        </w:rPr>
        <w:t>date of initiation of negotiations</w:t>
      </w:r>
      <w:r w:rsidR="005A111A" w:rsidRPr="004600F7">
        <w:rPr>
          <w:sz w:val="24"/>
          <w:szCs w:val="24"/>
        </w:rPr>
        <w:t>’</w:t>
      </w:r>
      <w:r w:rsidR="00E056E5" w:rsidRPr="004600F7">
        <w:rPr>
          <w:sz w:val="24"/>
          <w:szCs w:val="24"/>
        </w:rPr>
        <w:t>,</w:t>
      </w:r>
      <w:r w:rsidR="00E056E5" w:rsidRPr="004600F7">
        <w:rPr>
          <w:rStyle w:val="FootnoteReference"/>
          <w:sz w:val="24"/>
          <w:szCs w:val="24"/>
        </w:rPr>
        <w:footnoteReference w:id="69"/>
      </w:r>
      <w:r w:rsidR="00E056E5" w:rsidRPr="004600F7">
        <w:rPr>
          <w:sz w:val="24"/>
          <w:szCs w:val="24"/>
        </w:rPr>
        <w:t xml:space="preserve"> although at this point, </w:t>
      </w:r>
      <w:r w:rsidR="005A111A" w:rsidRPr="004600F7">
        <w:rPr>
          <w:sz w:val="24"/>
          <w:szCs w:val="24"/>
        </w:rPr>
        <w:t>‘</w:t>
      </w:r>
      <w:r w:rsidR="00E056E5" w:rsidRPr="004600F7">
        <w:rPr>
          <w:sz w:val="24"/>
          <w:szCs w:val="24"/>
        </w:rPr>
        <w:t xml:space="preserve">North Korea </w:t>
      </w:r>
      <w:r w:rsidR="00E056E5" w:rsidRPr="004600F7">
        <w:rPr>
          <w:sz w:val="24"/>
          <w:szCs w:val="24"/>
        </w:rPr>
        <w:lastRenderedPageBreak/>
        <w:t>is still on a plausible schedule leading to compliance with its IAEA and bilateral non-proliferation agreements</w:t>
      </w:r>
      <w:r w:rsidR="005A111A" w:rsidRPr="004600F7">
        <w:rPr>
          <w:sz w:val="24"/>
          <w:szCs w:val="24"/>
        </w:rPr>
        <w:t>’</w:t>
      </w:r>
      <w:r w:rsidR="00E056E5" w:rsidRPr="004600F7">
        <w:rPr>
          <w:sz w:val="24"/>
          <w:szCs w:val="24"/>
        </w:rPr>
        <w:t>.</w:t>
      </w:r>
      <w:r w:rsidR="00E056E5" w:rsidRPr="004600F7">
        <w:rPr>
          <w:rStyle w:val="FootnoteReference"/>
          <w:sz w:val="24"/>
          <w:szCs w:val="24"/>
        </w:rPr>
        <w:footnoteReference w:id="70"/>
      </w:r>
    </w:p>
    <w:p w14:paraId="39A61099" w14:textId="62AE1688" w:rsidR="00F71AED" w:rsidRPr="004600F7" w:rsidRDefault="0076511D" w:rsidP="00111EB4">
      <w:pPr>
        <w:spacing w:after="0" w:line="480" w:lineRule="auto"/>
        <w:rPr>
          <w:sz w:val="24"/>
          <w:szCs w:val="24"/>
        </w:rPr>
      </w:pPr>
      <w:r>
        <w:rPr>
          <w:sz w:val="24"/>
          <w:szCs w:val="24"/>
        </w:rPr>
        <w:t xml:space="preserve">     </w:t>
      </w:r>
      <w:r w:rsidR="00F71AED" w:rsidRPr="004600F7">
        <w:rPr>
          <w:sz w:val="24"/>
          <w:szCs w:val="24"/>
        </w:rPr>
        <w:t>The process of getting to a CSA offers insights into North Korea’s view of the nonproliferation regime and its compliance with the NPT. Prior to Pyongyang si</w:t>
      </w:r>
      <w:r w:rsidR="0096536C" w:rsidRPr="004600F7">
        <w:rPr>
          <w:sz w:val="24"/>
          <w:szCs w:val="24"/>
        </w:rPr>
        <w:t>gn</w:t>
      </w:r>
      <w:r w:rsidR="00F71AED" w:rsidRPr="004600F7">
        <w:rPr>
          <w:sz w:val="24"/>
          <w:szCs w:val="24"/>
        </w:rPr>
        <w:t xml:space="preserve">ing the CSA, the US </w:t>
      </w:r>
      <w:r w:rsidR="0096536C" w:rsidRPr="004600F7">
        <w:rPr>
          <w:sz w:val="24"/>
          <w:szCs w:val="24"/>
        </w:rPr>
        <w:t xml:space="preserve">intelligence </w:t>
      </w:r>
      <w:r w:rsidR="00F71AED" w:rsidRPr="004600F7">
        <w:rPr>
          <w:sz w:val="24"/>
          <w:szCs w:val="24"/>
        </w:rPr>
        <w:t>ha</w:t>
      </w:r>
      <w:r w:rsidR="00B808B6" w:rsidRPr="004600F7">
        <w:rPr>
          <w:sz w:val="24"/>
          <w:szCs w:val="24"/>
        </w:rPr>
        <w:t>d</w:t>
      </w:r>
      <w:r w:rsidR="00F71AED" w:rsidRPr="004600F7">
        <w:rPr>
          <w:sz w:val="24"/>
          <w:szCs w:val="24"/>
        </w:rPr>
        <w:t xml:space="preserve"> already </w:t>
      </w:r>
      <w:r w:rsidR="00924EAE" w:rsidRPr="004600F7">
        <w:rPr>
          <w:sz w:val="24"/>
          <w:szCs w:val="24"/>
        </w:rPr>
        <w:t>detected</w:t>
      </w:r>
      <w:r w:rsidR="00F71AED" w:rsidRPr="004600F7">
        <w:rPr>
          <w:sz w:val="24"/>
          <w:szCs w:val="24"/>
        </w:rPr>
        <w:t xml:space="preserve"> </w:t>
      </w:r>
      <w:r w:rsidR="005A111A" w:rsidRPr="004600F7">
        <w:rPr>
          <w:sz w:val="24"/>
          <w:szCs w:val="24"/>
        </w:rPr>
        <w:t>‘</w:t>
      </w:r>
      <w:r w:rsidR="00F71AED" w:rsidRPr="004600F7">
        <w:rPr>
          <w:sz w:val="24"/>
          <w:szCs w:val="24"/>
        </w:rPr>
        <w:t>suspicious nuclear facilities at Yongbyon</w:t>
      </w:r>
      <w:r w:rsidR="005A111A" w:rsidRPr="004600F7">
        <w:rPr>
          <w:sz w:val="24"/>
          <w:szCs w:val="24"/>
        </w:rPr>
        <w:t>’</w:t>
      </w:r>
      <w:r w:rsidR="00F71AED" w:rsidRPr="004600F7">
        <w:rPr>
          <w:sz w:val="24"/>
          <w:szCs w:val="24"/>
        </w:rPr>
        <w:t>.</w:t>
      </w:r>
      <w:r w:rsidR="00F71AED" w:rsidRPr="004600F7">
        <w:rPr>
          <w:rStyle w:val="FootnoteReference"/>
          <w:sz w:val="24"/>
          <w:szCs w:val="24"/>
        </w:rPr>
        <w:footnoteReference w:id="71"/>
      </w:r>
      <w:r>
        <w:rPr>
          <w:sz w:val="24"/>
          <w:szCs w:val="24"/>
        </w:rPr>
        <w:t xml:space="preserve"> </w:t>
      </w:r>
      <w:r w:rsidR="00924EAE" w:rsidRPr="004600F7">
        <w:rPr>
          <w:sz w:val="24"/>
          <w:szCs w:val="24"/>
        </w:rPr>
        <w:t>Pyongyang insisted that IAEA inspections should be linked to reciprocal inspections of US bases in South Korea</w:t>
      </w:r>
      <w:r w:rsidR="00F71AED" w:rsidRPr="004600F7">
        <w:rPr>
          <w:sz w:val="24"/>
          <w:szCs w:val="24"/>
        </w:rPr>
        <w:t>. Russia’s then Deputy Foreign Minister, Georgii Kunadze, met with North Korea’s Ambassador Son Seong-</w:t>
      </w:r>
      <w:proofErr w:type="spellStart"/>
      <w:r w:rsidR="00F71AED" w:rsidRPr="004600F7">
        <w:rPr>
          <w:sz w:val="24"/>
          <w:szCs w:val="24"/>
        </w:rPr>
        <w:t>pil</w:t>
      </w:r>
      <w:proofErr w:type="spellEnd"/>
      <w:r w:rsidR="00F71AED" w:rsidRPr="004600F7">
        <w:rPr>
          <w:sz w:val="24"/>
          <w:szCs w:val="24"/>
        </w:rPr>
        <w:t xml:space="preserve"> to demand Pyongyang’s compliance with the NPT by threatening </w:t>
      </w:r>
      <w:r w:rsidR="00B808B6" w:rsidRPr="004600F7">
        <w:rPr>
          <w:sz w:val="24"/>
          <w:szCs w:val="24"/>
        </w:rPr>
        <w:t xml:space="preserve">to stop </w:t>
      </w:r>
      <w:r w:rsidR="00F71AED" w:rsidRPr="004600F7">
        <w:rPr>
          <w:sz w:val="24"/>
          <w:szCs w:val="24"/>
        </w:rPr>
        <w:t xml:space="preserve">cooperation </w:t>
      </w:r>
      <w:r w:rsidR="00B808B6" w:rsidRPr="004600F7">
        <w:rPr>
          <w:sz w:val="24"/>
          <w:szCs w:val="24"/>
        </w:rPr>
        <w:t>in</w:t>
      </w:r>
      <w:r w:rsidR="00F71AED" w:rsidRPr="004600F7">
        <w:rPr>
          <w:sz w:val="24"/>
          <w:szCs w:val="24"/>
        </w:rPr>
        <w:t xml:space="preserve"> </w:t>
      </w:r>
      <w:r w:rsidR="00B808B6" w:rsidRPr="004600F7">
        <w:rPr>
          <w:sz w:val="24"/>
          <w:szCs w:val="24"/>
        </w:rPr>
        <w:t xml:space="preserve">the </w:t>
      </w:r>
      <w:r w:rsidR="00F71AED" w:rsidRPr="004600F7">
        <w:rPr>
          <w:sz w:val="24"/>
          <w:szCs w:val="24"/>
        </w:rPr>
        <w:t xml:space="preserve">building of a nuclear power plant, military sales, and the supply of oil and nuclear fuel. Ultimately, North Korea agreed to sign a CSA </w:t>
      </w:r>
      <w:r w:rsidR="005A111A" w:rsidRPr="004600F7">
        <w:rPr>
          <w:sz w:val="24"/>
          <w:szCs w:val="24"/>
        </w:rPr>
        <w:t>‘</w:t>
      </w:r>
      <w:r w:rsidR="00F71AED" w:rsidRPr="004600F7">
        <w:rPr>
          <w:sz w:val="24"/>
          <w:szCs w:val="24"/>
        </w:rPr>
        <w:t xml:space="preserve">only </w:t>
      </w:r>
      <w:r w:rsidR="005A111A" w:rsidRPr="004600F7">
        <w:rPr>
          <w:sz w:val="24"/>
          <w:szCs w:val="24"/>
        </w:rPr>
        <w:t>“</w:t>
      </w:r>
      <w:r w:rsidR="00F71AED" w:rsidRPr="004600F7">
        <w:rPr>
          <w:sz w:val="24"/>
          <w:szCs w:val="24"/>
        </w:rPr>
        <w:t>if the international pressure ceases”</w:t>
      </w:r>
      <w:r w:rsidR="005A111A" w:rsidRPr="004600F7">
        <w:rPr>
          <w:sz w:val="24"/>
          <w:szCs w:val="24"/>
        </w:rPr>
        <w:t>’</w:t>
      </w:r>
      <w:r w:rsidR="00F71AED" w:rsidRPr="004600F7">
        <w:rPr>
          <w:sz w:val="24"/>
          <w:szCs w:val="24"/>
        </w:rPr>
        <w:t>.</w:t>
      </w:r>
      <w:r w:rsidR="00F71AED" w:rsidRPr="004600F7">
        <w:rPr>
          <w:rStyle w:val="FootnoteReference"/>
          <w:sz w:val="24"/>
          <w:szCs w:val="24"/>
        </w:rPr>
        <w:footnoteReference w:id="72"/>
      </w:r>
      <w:r w:rsidR="00F71AED" w:rsidRPr="004600F7">
        <w:rPr>
          <w:sz w:val="24"/>
          <w:szCs w:val="24"/>
        </w:rPr>
        <w:t xml:space="preserve"> T</w:t>
      </w:r>
      <w:r w:rsidR="00924EAE" w:rsidRPr="004600F7">
        <w:rPr>
          <w:sz w:val="24"/>
          <w:szCs w:val="24"/>
        </w:rPr>
        <w:t>he following</w:t>
      </w:r>
      <w:r w:rsidR="00F71AED" w:rsidRPr="004600F7">
        <w:rPr>
          <w:sz w:val="24"/>
          <w:szCs w:val="24"/>
        </w:rPr>
        <w:t xml:space="preserve"> exchange elucidates Pyongyang’s position:</w:t>
      </w:r>
    </w:p>
    <w:p w14:paraId="67C56453" w14:textId="77777777" w:rsidR="00F71AED" w:rsidRPr="004600F7" w:rsidRDefault="00F71AED" w:rsidP="00912FDA">
      <w:pPr>
        <w:spacing w:after="0" w:line="240" w:lineRule="auto"/>
        <w:rPr>
          <w:sz w:val="24"/>
          <w:szCs w:val="24"/>
        </w:rPr>
      </w:pPr>
    </w:p>
    <w:p w14:paraId="08DEFEB8" w14:textId="222DDF47" w:rsidR="00F71AED" w:rsidRPr="004600F7" w:rsidRDefault="00A75DBF" w:rsidP="00F71AED">
      <w:pPr>
        <w:spacing w:after="0" w:line="240" w:lineRule="auto"/>
        <w:ind w:left="288" w:right="288"/>
        <w:rPr>
          <w:sz w:val="24"/>
          <w:szCs w:val="24"/>
        </w:rPr>
      </w:pPr>
      <w:r w:rsidRPr="004600F7">
        <w:rPr>
          <w:sz w:val="24"/>
          <w:szCs w:val="24"/>
        </w:rPr>
        <w:t>‘</w:t>
      </w:r>
      <w:proofErr w:type="gramStart"/>
      <w:r w:rsidR="00F71AED" w:rsidRPr="004600F7">
        <w:rPr>
          <w:sz w:val="24"/>
          <w:szCs w:val="24"/>
        </w:rPr>
        <w:t>to</w:t>
      </w:r>
      <w:proofErr w:type="gramEnd"/>
      <w:r w:rsidR="00F71AED" w:rsidRPr="004600F7">
        <w:rPr>
          <w:sz w:val="24"/>
          <w:szCs w:val="24"/>
        </w:rPr>
        <w:t xml:space="preserve"> sell North Korea’s compliance with IAEA demands at as high a price as possible. There was no inherent incompatibility of aims between DPRK and the broad “international community”—just a big difference in the understanding of how to get there. Kim Il Sung’s take on the matter was that compliance was only one in a complex set of variables, and the only one he personally controlled. Solving the equation then required other variables to be put into place. Kim had in mind </w:t>
      </w:r>
      <w:proofErr w:type="gramStart"/>
      <w:r w:rsidR="00F71AED" w:rsidRPr="004600F7">
        <w:rPr>
          <w:sz w:val="24"/>
          <w:szCs w:val="24"/>
        </w:rPr>
        <w:t>a number of</w:t>
      </w:r>
      <w:proofErr w:type="gramEnd"/>
      <w:r w:rsidR="00F71AED" w:rsidRPr="004600F7">
        <w:rPr>
          <w:sz w:val="24"/>
          <w:szCs w:val="24"/>
        </w:rPr>
        <w:t xml:space="preserve"> issues like his various inter-Korean initiatives, as well as direct dialogue with the United States, which he had tried to address in years past but with very little success. He clearly wanted to use the prospect of compliance to make headway on these other issues</w:t>
      </w:r>
      <w:r w:rsidRPr="004600F7">
        <w:rPr>
          <w:sz w:val="24"/>
          <w:szCs w:val="24"/>
        </w:rPr>
        <w:t>’</w:t>
      </w:r>
      <w:r w:rsidR="00F71AED" w:rsidRPr="004600F7">
        <w:rPr>
          <w:sz w:val="24"/>
          <w:szCs w:val="24"/>
        </w:rPr>
        <w:t>.</w:t>
      </w:r>
      <w:r w:rsidR="00F71AED" w:rsidRPr="004600F7">
        <w:rPr>
          <w:rStyle w:val="FootnoteReference"/>
          <w:sz w:val="24"/>
          <w:szCs w:val="24"/>
        </w:rPr>
        <w:footnoteReference w:id="73"/>
      </w:r>
    </w:p>
    <w:p w14:paraId="7EE9E2E5" w14:textId="77777777" w:rsidR="00F71AED" w:rsidRPr="004600F7" w:rsidRDefault="00F71AED" w:rsidP="00912FDA">
      <w:pPr>
        <w:spacing w:after="0" w:line="240" w:lineRule="auto"/>
        <w:rPr>
          <w:sz w:val="24"/>
          <w:szCs w:val="24"/>
        </w:rPr>
      </w:pPr>
    </w:p>
    <w:p w14:paraId="01D025FC" w14:textId="77777777" w:rsidR="007341A2" w:rsidRDefault="0076511D" w:rsidP="00111EB4">
      <w:pPr>
        <w:spacing w:after="0" w:line="480" w:lineRule="auto"/>
        <w:rPr>
          <w:sz w:val="24"/>
          <w:szCs w:val="24"/>
        </w:rPr>
      </w:pPr>
      <w:r>
        <w:rPr>
          <w:sz w:val="24"/>
          <w:szCs w:val="24"/>
        </w:rPr>
        <w:t xml:space="preserve">     </w:t>
      </w:r>
      <w:r w:rsidR="00F71AED" w:rsidRPr="004600F7">
        <w:rPr>
          <w:sz w:val="24"/>
          <w:szCs w:val="24"/>
        </w:rPr>
        <w:t xml:space="preserve">Following the CSA, North Korea submitted an Initial Report of its nuclear materials and facilities to the IAEA. However, the report contained </w:t>
      </w:r>
      <w:r w:rsidR="005A111A" w:rsidRPr="004600F7">
        <w:rPr>
          <w:sz w:val="24"/>
          <w:szCs w:val="24"/>
        </w:rPr>
        <w:t>‘</w:t>
      </w:r>
      <w:r w:rsidR="00F71AED" w:rsidRPr="004600F7">
        <w:rPr>
          <w:sz w:val="24"/>
          <w:szCs w:val="24"/>
        </w:rPr>
        <w:t>surprises</w:t>
      </w:r>
      <w:r w:rsidR="005A111A" w:rsidRPr="004600F7">
        <w:rPr>
          <w:sz w:val="24"/>
          <w:szCs w:val="24"/>
        </w:rPr>
        <w:t>’</w:t>
      </w:r>
      <w:r w:rsidR="00F71AED" w:rsidRPr="004600F7">
        <w:rPr>
          <w:sz w:val="24"/>
          <w:szCs w:val="24"/>
        </w:rPr>
        <w:t>, such as three Magnox type reactors, one operating at 5MW</w:t>
      </w:r>
      <w:r w:rsidR="00A75DBF" w:rsidRPr="004600F7">
        <w:rPr>
          <w:sz w:val="24"/>
          <w:szCs w:val="24"/>
        </w:rPr>
        <w:t>(e)</w:t>
      </w:r>
      <w:r w:rsidR="00F71AED" w:rsidRPr="004600F7">
        <w:rPr>
          <w:sz w:val="24"/>
          <w:szCs w:val="24"/>
        </w:rPr>
        <w:t xml:space="preserve"> and two (50MW(e) and 200MW(e)) that are under construction.</w:t>
      </w:r>
      <w:r w:rsidR="00F71AED" w:rsidRPr="004600F7">
        <w:rPr>
          <w:rStyle w:val="FootnoteReference"/>
          <w:sz w:val="24"/>
          <w:szCs w:val="24"/>
        </w:rPr>
        <w:footnoteReference w:id="74"/>
      </w:r>
      <w:r w:rsidR="00F71AED" w:rsidRPr="004600F7">
        <w:rPr>
          <w:sz w:val="24"/>
          <w:szCs w:val="24"/>
        </w:rPr>
        <w:t xml:space="preserve"> The 50MW(e) reactor </w:t>
      </w:r>
      <w:r w:rsidR="005A111A" w:rsidRPr="004600F7">
        <w:rPr>
          <w:sz w:val="24"/>
          <w:szCs w:val="24"/>
        </w:rPr>
        <w:t>‘</w:t>
      </w:r>
      <w:r w:rsidR="00F71AED" w:rsidRPr="004600F7">
        <w:rPr>
          <w:sz w:val="24"/>
          <w:szCs w:val="24"/>
        </w:rPr>
        <w:t>would have been able to produce as much as 40-50 kilograms of plutonium a year, enough for five to ten nuclear warheads</w:t>
      </w:r>
      <w:r w:rsidR="005A111A" w:rsidRPr="004600F7">
        <w:rPr>
          <w:sz w:val="24"/>
          <w:szCs w:val="24"/>
        </w:rPr>
        <w:t>’</w:t>
      </w:r>
      <w:r w:rsidR="00F71AED" w:rsidRPr="004600F7">
        <w:rPr>
          <w:sz w:val="24"/>
          <w:szCs w:val="24"/>
        </w:rPr>
        <w:t>.</w:t>
      </w:r>
      <w:r w:rsidR="00B808B6" w:rsidRPr="004600F7">
        <w:rPr>
          <w:rStyle w:val="FootnoteReference"/>
          <w:sz w:val="24"/>
          <w:szCs w:val="24"/>
        </w:rPr>
        <w:footnoteReference w:id="75"/>
      </w:r>
      <w:r w:rsidR="00F71AED" w:rsidRPr="004600F7">
        <w:rPr>
          <w:sz w:val="24"/>
          <w:szCs w:val="24"/>
        </w:rPr>
        <w:t xml:space="preserve"> </w:t>
      </w:r>
    </w:p>
    <w:p w14:paraId="3D0A0589" w14:textId="42E9DE99" w:rsidR="007341A2" w:rsidRDefault="007341A2" w:rsidP="00111EB4">
      <w:pPr>
        <w:spacing w:after="0" w:line="480" w:lineRule="auto"/>
        <w:rPr>
          <w:sz w:val="24"/>
          <w:szCs w:val="24"/>
        </w:rPr>
      </w:pPr>
      <w:r>
        <w:rPr>
          <w:rFonts w:hint="eastAsia"/>
          <w:sz w:val="24"/>
          <w:szCs w:val="24"/>
        </w:rPr>
        <w:lastRenderedPageBreak/>
        <w:t xml:space="preserve">     </w:t>
      </w:r>
      <w:r w:rsidR="00F71AED" w:rsidRPr="004600F7">
        <w:rPr>
          <w:sz w:val="24"/>
          <w:szCs w:val="24"/>
        </w:rPr>
        <w:t>A total of six inspections subsequently took place between May 1992 and February 1993.</w:t>
      </w:r>
      <w:r>
        <w:rPr>
          <w:rFonts w:hint="eastAsia"/>
          <w:sz w:val="24"/>
          <w:szCs w:val="24"/>
        </w:rPr>
        <w:t xml:space="preserve"> IAEA inspectors employed multiple technical verification methods to assess North Korea</w:t>
      </w:r>
      <w:r>
        <w:rPr>
          <w:sz w:val="24"/>
          <w:szCs w:val="24"/>
        </w:rPr>
        <w:t>’</w:t>
      </w:r>
      <w:r>
        <w:rPr>
          <w:rFonts w:hint="eastAsia"/>
          <w:sz w:val="24"/>
          <w:szCs w:val="24"/>
        </w:rPr>
        <w:t>s declarations</w:t>
      </w:r>
      <w:r w:rsidR="001E5968">
        <w:rPr>
          <w:rFonts w:hint="eastAsia"/>
          <w:sz w:val="24"/>
          <w:szCs w:val="24"/>
        </w:rPr>
        <w:t>, ranging from</w:t>
      </w:r>
      <w:r>
        <w:rPr>
          <w:rFonts w:hint="eastAsia"/>
          <w:sz w:val="24"/>
          <w:szCs w:val="24"/>
        </w:rPr>
        <w:t xml:space="preserve"> material accountancy (measuring plutonium quantities in spent fuel and waste streams)</w:t>
      </w:r>
      <w:r w:rsidR="001E5968">
        <w:rPr>
          <w:rFonts w:hint="eastAsia"/>
          <w:sz w:val="24"/>
          <w:szCs w:val="24"/>
        </w:rPr>
        <w:t xml:space="preserve"> and </w:t>
      </w:r>
      <w:r>
        <w:rPr>
          <w:rFonts w:hint="eastAsia"/>
          <w:sz w:val="24"/>
          <w:szCs w:val="24"/>
        </w:rPr>
        <w:t>environmental sampling (collecting samples for isotopic analysis)</w:t>
      </w:r>
      <w:r w:rsidR="001E5968">
        <w:rPr>
          <w:rFonts w:hint="eastAsia"/>
          <w:sz w:val="24"/>
          <w:szCs w:val="24"/>
        </w:rPr>
        <w:t xml:space="preserve"> to</w:t>
      </w:r>
      <w:r>
        <w:rPr>
          <w:rFonts w:hint="eastAsia"/>
          <w:sz w:val="24"/>
          <w:szCs w:val="24"/>
        </w:rPr>
        <w:t xml:space="preserve"> containment and surveillance systems (cameras and seals monitoring material movements).</w:t>
      </w:r>
      <w:r w:rsidR="001E5968">
        <w:rPr>
          <w:rStyle w:val="FootnoteReference"/>
          <w:sz w:val="24"/>
          <w:szCs w:val="24"/>
        </w:rPr>
        <w:footnoteReference w:id="76"/>
      </w:r>
      <w:r>
        <w:rPr>
          <w:rFonts w:hint="eastAsia"/>
          <w:sz w:val="24"/>
          <w:szCs w:val="24"/>
        </w:rPr>
        <w:t xml:space="preserve"> </w:t>
      </w:r>
      <w:r w:rsidR="004D2324" w:rsidRPr="004D2324">
        <w:rPr>
          <w:sz w:val="24"/>
          <w:szCs w:val="24"/>
        </w:rPr>
        <w:t>US satellite imagery had identified camouflaged waste sites in fall 1992,</w:t>
      </w:r>
      <w:r w:rsidR="004D2324">
        <w:rPr>
          <w:rStyle w:val="FootnoteReference"/>
          <w:sz w:val="24"/>
          <w:szCs w:val="24"/>
        </w:rPr>
        <w:footnoteReference w:id="77"/>
      </w:r>
      <w:r w:rsidR="004D2324" w:rsidRPr="004D2324">
        <w:rPr>
          <w:sz w:val="24"/>
          <w:szCs w:val="24"/>
        </w:rPr>
        <w:t xml:space="preserve"> but this forensic capability—measuring americium-241 decay and plutonium-240 isotopic ratios in glove-box residues—could only be performed on collected samples, not remote sensing.</w:t>
      </w:r>
      <w:r w:rsidR="004D2324">
        <w:rPr>
          <w:rStyle w:val="FootnoteReference"/>
          <w:sz w:val="24"/>
          <w:szCs w:val="24"/>
        </w:rPr>
        <w:footnoteReference w:id="78"/>
      </w:r>
      <w:r w:rsidR="004D2324" w:rsidRPr="004D2324">
        <w:rPr>
          <w:sz w:val="24"/>
          <w:szCs w:val="24"/>
        </w:rPr>
        <w:t xml:space="preserve"> </w:t>
      </w:r>
      <w:r w:rsidR="00771461">
        <w:rPr>
          <w:rFonts w:hint="eastAsia"/>
          <w:sz w:val="24"/>
          <w:szCs w:val="24"/>
        </w:rPr>
        <w:t>B</w:t>
      </w:r>
      <w:r>
        <w:rPr>
          <w:rFonts w:hint="eastAsia"/>
          <w:sz w:val="24"/>
          <w:szCs w:val="24"/>
        </w:rPr>
        <w:t>y analyzing plutonium and americium isotopes in samples from reprocessing areas, the IAEA could determine when plutonium had been separated and how many reprocessing campaigns had occurred.</w:t>
      </w:r>
      <w:r w:rsidR="00F71AED" w:rsidRPr="004600F7">
        <w:rPr>
          <w:sz w:val="24"/>
          <w:szCs w:val="24"/>
        </w:rPr>
        <w:t xml:space="preserve"> </w:t>
      </w:r>
    </w:p>
    <w:p w14:paraId="244E2BAE" w14:textId="157B69E4" w:rsidR="00776381" w:rsidRPr="00776381" w:rsidRDefault="007341A2" w:rsidP="00111EB4">
      <w:pPr>
        <w:spacing w:after="0" w:line="480" w:lineRule="auto"/>
        <w:rPr>
          <w:sz w:val="24"/>
          <w:szCs w:val="24"/>
        </w:rPr>
      </w:pPr>
      <w:r>
        <w:rPr>
          <w:rFonts w:hint="eastAsia"/>
          <w:sz w:val="24"/>
          <w:szCs w:val="24"/>
        </w:rPr>
        <w:t xml:space="preserve">     </w:t>
      </w:r>
      <w:r w:rsidR="00F71AED" w:rsidRPr="004600F7">
        <w:rPr>
          <w:sz w:val="24"/>
          <w:szCs w:val="24"/>
        </w:rPr>
        <w:t>These inspections produced analyses that showed the reprocessing of plutonium three times between 1989 and 1991,</w:t>
      </w:r>
      <w:r w:rsidR="00F71AED" w:rsidRPr="004600F7">
        <w:rPr>
          <w:rStyle w:val="FootnoteReference"/>
          <w:sz w:val="24"/>
          <w:szCs w:val="24"/>
        </w:rPr>
        <w:footnoteReference w:id="79"/>
      </w:r>
      <w:r w:rsidR="00F71AED" w:rsidRPr="004600F7">
        <w:rPr>
          <w:sz w:val="24"/>
          <w:szCs w:val="24"/>
        </w:rPr>
        <w:t xml:space="preserve"> </w:t>
      </w:r>
      <w:r w:rsidR="00776381">
        <w:rPr>
          <w:rFonts w:hint="eastAsia"/>
          <w:sz w:val="24"/>
          <w:szCs w:val="24"/>
        </w:rPr>
        <w:t>contradicting North Korea</w:t>
      </w:r>
      <w:r w:rsidR="00776381">
        <w:rPr>
          <w:sz w:val="24"/>
          <w:szCs w:val="24"/>
        </w:rPr>
        <w:t>’</w:t>
      </w:r>
      <w:r w:rsidR="00776381">
        <w:rPr>
          <w:rFonts w:hint="eastAsia"/>
          <w:sz w:val="24"/>
          <w:szCs w:val="24"/>
        </w:rPr>
        <w:t>s declaration of a single operation in 1990</w:t>
      </w:r>
      <w:r w:rsidR="00272C56" w:rsidRPr="004600F7">
        <w:rPr>
          <w:sz w:val="24"/>
          <w:szCs w:val="24"/>
        </w:rPr>
        <w:t>.</w:t>
      </w:r>
      <w:r w:rsidR="00272C56" w:rsidRPr="004600F7">
        <w:rPr>
          <w:rStyle w:val="FootnoteReference"/>
          <w:sz w:val="24"/>
          <w:szCs w:val="24"/>
        </w:rPr>
        <w:footnoteReference w:id="80"/>
      </w:r>
      <w:r w:rsidR="00272C56" w:rsidRPr="004600F7">
        <w:rPr>
          <w:sz w:val="24"/>
          <w:szCs w:val="24"/>
        </w:rPr>
        <w:t xml:space="preserve"> </w:t>
      </w:r>
      <w:r w:rsidR="00776381">
        <w:rPr>
          <w:rFonts w:hint="eastAsia"/>
          <w:sz w:val="24"/>
          <w:szCs w:val="24"/>
        </w:rPr>
        <w:t>The isotopic signature</w:t>
      </w:r>
      <w:r w:rsidR="00771461">
        <w:rPr>
          <w:rFonts w:hint="eastAsia"/>
          <w:sz w:val="24"/>
          <w:szCs w:val="24"/>
        </w:rPr>
        <w:t xml:space="preserve"> </w:t>
      </w:r>
      <w:r w:rsidR="00776381">
        <w:rPr>
          <w:rFonts w:hint="eastAsia"/>
          <w:sz w:val="24"/>
          <w:szCs w:val="24"/>
        </w:rPr>
        <w:t>demonstrated that plutonium from fuel irradiated for different period had been processed at different times. The IAEA</w:t>
      </w:r>
      <w:r w:rsidR="00776381">
        <w:rPr>
          <w:sz w:val="24"/>
          <w:szCs w:val="24"/>
        </w:rPr>
        <w:t>’</w:t>
      </w:r>
      <w:r w:rsidR="00776381">
        <w:rPr>
          <w:rFonts w:hint="eastAsia"/>
          <w:sz w:val="24"/>
          <w:szCs w:val="24"/>
        </w:rPr>
        <w:t xml:space="preserve">s findings were based on multiple corroborating evidence steams: environmental samples from glove boxes, waste material analysis, and spent fuel measurements all indicated </w:t>
      </w:r>
      <w:r w:rsidR="00776381">
        <w:rPr>
          <w:sz w:val="24"/>
          <w:szCs w:val="24"/>
        </w:rPr>
        <w:t>discrepancies</w:t>
      </w:r>
      <w:r w:rsidR="00776381">
        <w:rPr>
          <w:rFonts w:hint="eastAsia"/>
          <w:sz w:val="24"/>
          <w:szCs w:val="24"/>
        </w:rPr>
        <w:t xml:space="preserve"> with North Korea</w:t>
      </w:r>
      <w:r w:rsidR="00776381">
        <w:rPr>
          <w:sz w:val="24"/>
          <w:szCs w:val="24"/>
        </w:rPr>
        <w:t>’</w:t>
      </w:r>
      <w:r w:rsidR="00776381">
        <w:rPr>
          <w:rFonts w:hint="eastAsia"/>
          <w:sz w:val="24"/>
          <w:szCs w:val="24"/>
        </w:rPr>
        <w:t>s declared plutonium inventory.</w:t>
      </w:r>
      <w:r w:rsidR="00771461">
        <w:rPr>
          <w:rStyle w:val="FootnoteReference"/>
          <w:sz w:val="24"/>
          <w:szCs w:val="24"/>
        </w:rPr>
        <w:footnoteReference w:id="81"/>
      </w:r>
      <w:r w:rsidR="00776381">
        <w:rPr>
          <w:rFonts w:hint="eastAsia"/>
          <w:sz w:val="24"/>
          <w:szCs w:val="24"/>
        </w:rPr>
        <w:t xml:space="preserve"> IAEA officials estimated that these findings suggested </w:t>
      </w:r>
      <w:r w:rsidR="00CB1AEB">
        <w:rPr>
          <w:rFonts w:hint="eastAsia"/>
          <w:sz w:val="24"/>
          <w:szCs w:val="24"/>
        </w:rPr>
        <w:t>7</w:t>
      </w:r>
      <w:r w:rsidR="00776381">
        <w:rPr>
          <w:rFonts w:hint="eastAsia"/>
          <w:sz w:val="24"/>
          <w:szCs w:val="24"/>
        </w:rPr>
        <w:t>-1</w:t>
      </w:r>
      <w:r w:rsidR="00CB1AEB">
        <w:rPr>
          <w:rFonts w:hint="eastAsia"/>
          <w:sz w:val="24"/>
          <w:szCs w:val="24"/>
        </w:rPr>
        <w:t>4</w:t>
      </w:r>
      <w:r w:rsidR="00776381">
        <w:rPr>
          <w:rFonts w:hint="eastAsia"/>
          <w:sz w:val="24"/>
          <w:szCs w:val="24"/>
        </w:rPr>
        <w:t xml:space="preserve"> kilograms of separated plutonium rather than the approximate 90 grams North Korea claimed.</w:t>
      </w:r>
      <w:r w:rsidR="00771461">
        <w:rPr>
          <w:rStyle w:val="FootnoteReference"/>
          <w:sz w:val="24"/>
          <w:szCs w:val="24"/>
        </w:rPr>
        <w:footnoteReference w:id="82"/>
      </w:r>
      <w:r w:rsidR="00776381">
        <w:rPr>
          <w:rFonts w:hint="eastAsia"/>
          <w:sz w:val="24"/>
          <w:szCs w:val="24"/>
        </w:rPr>
        <w:t xml:space="preserve"> </w:t>
      </w:r>
    </w:p>
    <w:p w14:paraId="0F29E6E9" w14:textId="648EE2D4" w:rsidR="00F71AED" w:rsidRPr="004600F7" w:rsidRDefault="00776381" w:rsidP="00111EB4">
      <w:pPr>
        <w:spacing w:after="0" w:line="480" w:lineRule="auto"/>
        <w:rPr>
          <w:sz w:val="24"/>
          <w:szCs w:val="24"/>
        </w:rPr>
      </w:pPr>
      <w:r>
        <w:rPr>
          <w:rFonts w:hint="eastAsia"/>
          <w:sz w:val="24"/>
          <w:szCs w:val="24"/>
        </w:rPr>
        <w:lastRenderedPageBreak/>
        <w:t xml:space="preserve">     </w:t>
      </w:r>
      <w:r w:rsidR="00272C56" w:rsidRPr="004600F7">
        <w:rPr>
          <w:sz w:val="24"/>
          <w:szCs w:val="24"/>
        </w:rPr>
        <w:t>To address the discrepancy, the IAEA requested visits to two waste sites and was denied access.</w:t>
      </w:r>
      <w:r w:rsidR="00272C56" w:rsidRPr="004600F7">
        <w:rPr>
          <w:rStyle w:val="FootnoteReference"/>
          <w:sz w:val="24"/>
          <w:szCs w:val="24"/>
        </w:rPr>
        <w:footnoteReference w:id="83"/>
      </w:r>
      <w:r w:rsidR="00272C56" w:rsidRPr="004600F7">
        <w:rPr>
          <w:sz w:val="24"/>
          <w:szCs w:val="24"/>
        </w:rPr>
        <w:t xml:space="preserve"> </w:t>
      </w:r>
      <w:r>
        <w:rPr>
          <w:rFonts w:hint="eastAsia"/>
          <w:sz w:val="24"/>
          <w:szCs w:val="24"/>
        </w:rPr>
        <w:t xml:space="preserve">These waste storage facilities </w:t>
      </w:r>
      <w:r w:rsidR="00CB1AEB">
        <w:rPr>
          <w:rFonts w:hint="eastAsia"/>
          <w:sz w:val="24"/>
          <w:szCs w:val="24"/>
        </w:rPr>
        <w:t>likely contained material from all reprocessing campaigns, providing definitive isotopic evidence of plutonium production and enabling the IAEA to reconstruct North Korea</w:t>
      </w:r>
      <w:r w:rsidR="00CB1AEB">
        <w:rPr>
          <w:sz w:val="24"/>
          <w:szCs w:val="24"/>
        </w:rPr>
        <w:t>’</w:t>
      </w:r>
      <w:r w:rsidR="00CB1AEB">
        <w:rPr>
          <w:rFonts w:hint="eastAsia"/>
          <w:sz w:val="24"/>
          <w:szCs w:val="24"/>
        </w:rPr>
        <w:t>s complete plutonium inventory from fission product waste streams</w:t>
      </w:r>
      <w:r>
        <w:rPr>
          <w:rFonts w:hint="eastAsia"/>
          <w:sz w:val="24"/>
          <w:szCs w:val="24"/>
        </w:rPr>
        <w:t xml:space="preserve">. </w:t>
      </w:r>
      <w:r w:rsidR="00272C56" w:rsidRPr="004600F7">
        <w:rPr>
          <w:sz w:val="24"/>
          <w:szCs w:val="24"/>
        </w:rPr>
        <w:t>The IAEA</w:t>
      </w:r>
      <w:r w:rsidR="00925723">
        <w:rPr>
          <w:rFonts w:hint="eastAsia"/>
          <w:sz w:val="24"/>
          <w:szCs w:val="24"/>
        </w:rPr>
        <w:t xml:space="preserve">, regarding the North Korean situation as an </w:t>
      </w:r>
      <w:r w:rsidR="00243199">
        <w:rPr>
          <w:sz w:val="24"/>
          <w:szCs w:val="24"/>
        </w:rPr>
        <w:t>‘</w:t>
      </w:r>
      <w:r w:rsidR="00925723">
        <w:rPr>
          <w:rFonts w:hint="eastAsia"/>
          <w:sz w:val="24"/>
          <w:szCs w:val="24"/>
        </w:rPr>
        <w:t>important test of its own credibility</w:t>
      </w:r>
      <w:r w:rsidR="00243199">
        <w:rPr>
          <w:sz w:val="24"/>
          <w:szCs w:val="24"/>
        </w:rPr>
        <w:t>’</w:t>
      </w:r>
      <w:r w:rsidR="00925723">
        <w:rPr>
          <w:rFonts w:hint="eastAsia"/>
          <w:sz w:val="24"/>
          <w:szCs w:val="24"/>
        </w:rPr>
        <w:t>,</w:t>
      </w:r>
      <w:r w:rsidR="00925723">
        <w:rPr>
          <w:rStyle w:val="FootnoteReference"/>
          <w:sz w:val="24"/>
          <w:szCs w:val="24"/>
        </w:rPr>
        <w:footnoteReference w:id="84"/>
      </w:r>
      <w:r w:rsidR="00272C56" w:rsidRPr="004600F7">
        <w:rPr>
          <w:sz w:val="24"/>
          <w:szCs w:val="24"/>
        </w:rPr>
        <w:t xml:space="preserve"> then requested to conduct special inspections</w:t>
      </w:r>
      <w:r w:rsidR="0090276B">
        <w:rPr>
          <w:rFonts w:hint="eastAsia"/>
          <w:sz w:val="24"/>
          <w:szCs w:val="24"/>
        </w:rPr>
        <w:t xml:space="preserve"> in accordance with INFCIRC/153</w:t>
      </w:r>
      <w:r w:rsidR="00272C56" w:rsidRPr="004600F7">
        <w:rPr>
          <w:sz w:val="24"/>
          <w:szCs w:val="24"/>
        </w:rPr>
        <w:t xml:space="preserve">—for the first time since the IAEA affirmed </w:t>
      </w:r>
      <w:proofErr w:type="gramStart"/>
      <w:r w:rsidR="00272C56" w:rsidRPr="004600F7">
        <w:rPr>
          <w:sz w:val="24"/>
          <w:szCs w:val="24"/>
        </w:rPr>
        <w:t>its</w:t>
      </w:r>
      <w:proofErr w:type="gramEnd"/>
      <w:r w:rsidR="00272C56" w:rsidRPr="004600F7">
        <w:rPr>
          <w:sz w:val="24"/>
          <w:szCs w:val="24"/>
        </w:rPr>
        <w:t xml:space="preserve"> right to conduct them—and was likewise rejected. This denial </w:t>
      </w:r>
      <w:r w:rsidR="005A111A" w:rsidRPr="004600F7">
        <w:rPr>
          <w:sz w:val="24"/>
          <w:szCs w:val="24"/>
        </w:rPr>
        <w:t>‘</w:t>
      </w:r>
      <w:r w:rsidR="00272C56" w:rsidRPr="004600F7">
        <w:rPr>
          <w:sz w:val="24"/>
          <w:szCs w:val="24"/>
        </w:rPr>
        <w:t>deepened suspicions</w:t>
      </w:r>
      <w:r w:rsidR="005A111A" w:rsidRPr="004600F7">
        <w:rPr>
          <w:sz w:val="24"/>
          <w:szCs w:val="24"/>
        </w:rPr>
        <w:t>’</w:t>
      </w:r>
      <w:r w:rsidR="00272C56" w:rsidRPr="004600F7">
        <w:rPr>
          <w:sz w:val="24"/>
          <w:szCs w:val="24"/>
        </w:rPr>
        <w:t>.</w:t>
      </w:r>
      <w:r w:rsidR="00272C56" w:rsidRPr="004600F7">
        <w:rPr>
          <w:rStyle w:val="FootnoteReference"/>
          <w:sz w:val="24"/>
          <w:szCs w:val="24"/>
        </w:rPr>
        <w:footnoteReference w:id="85"/>
      </w:r>
      <w:r w:rsidR="00272C56" w:rsidRPr="004600F7">
        <w:rPr>
          <w:sz w:val="24"/>
          <w:szCs w:val="24"/>
        </w:rPr>
        <w:t xml:space="preserve"> In April 1993, without the ability to verify the non-diversion of nuclear materials, the Board of Governors at the IAEA </w:t>
      </w:r>
      <w:r w:rsidR="005A111A" w:rsidRPr="004600F7">
        <w:rPr>
          <w:sz w:val="24"/>
          <w:szCs w:val="24"/>
        </w:rPr>
        <w:t>‘</w:t>
      </w:r>
      <w:r w:rsidR="00272C56" w:rsidRPr="004600F7">
        <w:rPr>
          <w:sz w:val="24"/>
          <w:szCs w:val="24"/>
        </w:rPr>
        <w:t>concluded that the DPRK was in non-compliance with its Safeguards Agreement and, in line with Article XII.C of the IAEA Statute, referred this non-compliance to the UN Security Council</w:t>
      </w:r>
      <w:r w:rsidR="005A111A" w:rsidRPr="004600F7">
        <w:rPr>
          <w:sz w:val="24"/>
          <w:szCs w:val="24"/>
        </w:rPr>
        <w:t>’</w:t>
      </w:r>
      <w:r w:rsidR="00272C56" w:rsidRPr="004600F7">
        <w:rPr>
          <w:sz w:val="24"/>
          <w:szCs w:val="24"/>
        </w:rPr>
        <w:t>.</w:t>
      </w:r>
      <w:r w:rsidR="00272C56" w:rsidRPr="004600F7">
        <w:rPr>
          <w:rStyle w:val="FootnoteReference"/>
          <w:sz w:val="24"/>
          <w:szCs w:val="24"/>
        </w:rPr>
        <w:footnoteReference w:id="86"/>
      </w:r>
    </w:p>
    <w:p w14:paraId="52AF4049" w14:textId="3A9A0DCB" w:rsidR="00BE56C4" w:rsidRPr="004600F7" w:rsidRDefault="0076511D" w:rsidP="00111EB4">
      <w:pPr>
        <w:spacing w:after="0" w:line="480" w:lineRule="auto"/>
        <w:rPr>
          <w:sz w:val="24"/>
          <w:szCs w:val="24"/>
        </w:rPr>
      </w:pPr>
      <w:r>
        <w:rPr>
          <w:sz w:val="24"/>
          <w:szCs w:val="24"/>
        </w:rPr>
        <w:t xml:space="preserve">     </w:t>
      </w:r>
      <w:r w:rsidR="00BE56C4" w:rsidRPr="004600F7">
        <w:rPr>
          <w:sz w:val="24"/>
          <w:szCs w:val="24"/>
        </w:rPr>
        <w:t>The IAEA’s monitoring function demonstrated institutional effectiveness through systematic detection of North Korean violations despite Pyongyang’s sophisticated concealment efforts. The monitoring function’s success lay not in preventi</w:t>
      </w:r>
      <w:r w:rsidR="005A5F7F" w:rsidRPr="004600F7">
        <w:rPr>
          <w:sz w:val="24"/>
          <w:szCs w:val="24"/>
        </w:rPr>
        <w:t>ng</w:t>
      </w:r>
      <w:r w:rsidR="00BE56C4" w:rsidRPr="004600F7">
        <w:rPr>
          <w:sz w:val="24"/>
          <w:szCs w:val="24"/>
        </w:rPr>
        <w:t xml:space="preserve"> violations but in generating authoritative evidence about them. IAEA’s inspectors’ f</w:t>
      </w:r>
      <w:r w:rsidR="00253E4B">
        <w:rPr>
          <w:rFonts w:hint="eastAsia"/>
          <w:sz w:val="24"/>
          <w:szCs w:val="24"/>
        </w:rPr>
        <w:t>i</w:t>
      </w:r>
      <w:r w:rsidR="00BE56C4" w:rsidRPr="004600F7">
        <w:rPr>
          <w:sz w:val="24"/>
          <w:szCs w:val="24"/>
        </w:rPr>
        <w:t>ndings provided definitive technical proof of North Korean deception, creating the factual foundation for subsequent diplomatic and legal responses. Even when North Korea restricted inspector access</w:t>
      </w:r>
      <w:r w:rsidR="00776381">
        <w:rPr>
          <w:rFonts w:hint="eastAsia"/>
          <w:sz w:val="24"/>
          <w:szCs w:val="24"/>
        </w:rPr>
        <w:t xml:space="preserve"> to waste storage</w:t>
      </w:r>
      <w:r w:rsidR="00BE56C4" w:rsidRPr="004600F7">
        <w:rPr>
          <w:sz w:val="24"/>
          <w:szCs w:val="24"/>
        </w:rPr>
        <w:t xml:space="preserve"> in early 1993, the monitoring system had already accomplished its primary detection mission</w:t>
      </w:r>
      <w:r w:rsidR="00776381">
        <w:rPr>
          <w:rFonts w:hint="eastAsia"/>
          <w:sz w:val="24"/>
          <w:szCs w:val="24"/>
        </w:rPr>
        <w:t xml:space="preserve"> through environmental sampling and material accountancy at accessible facilities. </w:t>
      </w:r>
      <w:r w:rsidR="00CB1AEB">
        <w:rPr>
          <w:sz w:val="24"/>
          <w:szCs w:val="24"/>
        </w:rPr>
        <w:t>This detection</w:t>
      </w:r>
      <w:r w:rsidR="00776381">
        <w:rPr>
          <w:rFonts w:hint="eastAsia"/>
          <w:sz w:val="24"/>
          <w:szCs w:val="24"/>
        </w:rPr>
        <w:t xml:space="preserve"> succeeded despite access constraints because multiple independent verification methods corroborated the finding of undeclared reprocessing</w:t>
      </w:r>
      <w:r w:rsidR="00BE56C4" w:rsidRPr="004600F7">
        <w:rPr>
          <w:sz w:val="24"/>
          <w:szCs w:val="24"/>
        </w:rPr>
        <w:t>.</w:t>
      </w:r>
    </w:p>
    <w:p w14:paraId="5B094ADD" w14:textId="2C89A2DD" w:rsidR="008F1C5F" w:rsidRPr="004600F7" w:rsidRDefault="0076511D" w:rsidP="00111EB4">
      <w:pPr>
        <w:spacing w:after="0" w:line="480" w:lineRule="auto"/>
        <w:rPr>
          <w:sz w:val="24"/>
          <w:szCs w:val="24"/>
        </w:rPr>
      </w:pPr>
      <w:r>
        <w:rPr>
          <w:sz w:val="24"/>
          <w:szCs w:val="24"/>
        </w:rPr>
        <w:lastRenderedPageBreak/>
        <w:t xml:space="preserve">     </w:t>
      </w:r>
      <w:r w:rsidR="00BE56C4" w:rsidRPr="004600F7">
        <w:rPr>
          <w:sz w:val="24"/>
          <w:szCs w:val="24"/>
        </w:rPr>
        <w:t>I</w:t>
      </w:r>
      <w:r w:rsidR="008F1C5F" w:rsidRPr="004600F7">
        <w:rPr>
          <w:sz w:val="24"/>
          <w:szCs w:val="24"/>
        </w:rPr>
        <w:t xml:space="preserve">n response to the resumption of </w:t>
      </w:r>
      <w:r w:rsidR="008F1C5F" w:rsidRPr="004600F7">
        <w:rPr>
          <w:i/>
          <w:iCs/>
          <w:sz w:val="24"/>
          <w:szCs w:val="24"/>
        </w:rPr>
        <w:t>Team Spirit</w:t>
      </w:r>
      <w:r w:rsidR="00924EAE" w:rsidRPr="004600F7">
        <w:rPr>
          <w:sz w:val="24"/>
          <w:szCs w:val="24"/>
        </w:rPr>
        <w:t xml:space="preserve"> military exercises</w:t>
      </w:r>
      <w:r w:rsidR="008F1C5F" w:rsidRPr="004600F7">
        <w:rPr>
          <w:sz w:val="24"/>
          <w:szCs w:val="24"/>
        </w:rPr>
        <w:t xml:space="preserve"> and the demand for special inspections by the IAEA, North Korea declared in March 1993 that it would withdraw from the NPT.</w:t>
      </w:r>
      <w:r w:rsidR="008F1C5F" w:rsidRPr="004600F7">
        <w:rPr>
          <w:rStyle w:val="FootnoteReference"/>
          <w:sz w:val="24"/>
          <w:szCs w:val="24"/>
        </w:rPr>
        <w:footnoteReference w:id="87"/>
      </w:r>
      <w:r w:rsidR="008F1C5F" w:rsidRPr="004600F7">
        <w:rPr>
          <w:sz w:val="24"/>
          <w:szCs w:val="24"/>
        </w:rPr>
        <w:t xml:space="preserve"> Pyongyang’s goal was to create a crisis by putting the state of the nonproliferation regime on the line to draw US attention back to the peninsula and resume direct negotiations.</w:t>
      </w:r>
      <w:r w:rsidR="008F1C5F" w:rsidRPr="004600F7">
        <w:rPr>
          <w:rStyle w:val="FootnoteReference"/>
          <w:sz w:val="24"/>
          <w:szCs w:val="24"/>
        </w:rPr>
        <w:footnoteReference w:id="88"/>
      </w:r>
      <w:r w:rsidR="008F1C5F" w:rsidRPr="004600F7">
        <w:rPr>
          <w:sz w:val="24"/>
          <w:szCs w:val="24"/>
        </w:rPr>
        <w:t xml:space="preserve"> Pursuant to UNSC Resolution 825,</w:t>
      </w:r>
      <w:r w:rsidR="00854D25" w:rsidRPr="004600F7">
        <w:rPr>
          <w:rStyle w:val="FootnoteReference"/>
          <w:sz w:val="24"/>
          <w:szCs w:val="24"/>
        </w:rPr>
        <w:footnoteReference w:id="89"/>
      </w:r>
      <w:r w:rsidR="008F1C5F" w:rsidRPr="004600F7">
        <w:rPr>
          <w:sz w:val="24"/>
          <w:szCs w:val="24"/>
        </w:rPr>
        <w:t xml:space="preserve"> which is adopted after IAEA’s referral, the US held talks with North Korea in </w:t>
      </w:r>
      <w:r w:rsidR="00924EAE" w:rsidRPr="004600F7">
        <w:rPr>
          <w:sz w:val="24"/>
          <w:szCs w:val="24"/>
        </w:rPr>
        <w:t xml:space="preserve">the summer of </w:t>
      </w:r>
      <w:r w:rsidR="008F1C5F" w:rsidRPr="004600F7">
        <w:rPr>
          <w:sz w:val="24"/>
          <w:szCs w:val="24"/>
        </w:rPr>
        <w:t>1993.</w:t>
      </w:r>
      <w:r w:rsidR="00854D25" w:rsidRPr="004600F7">
        <w:rPr>
          <w:rStyle w:val="FootnoteReference"/>
          <w:sz w:val="24"/>
          <w:szCs w:val="24"/>
        </w:rPr>
        <w:footnoteReference w:id="90"/>
      </w:r>
      <w:r w:rsidR="008F1C5F" w:rsidRPr="004600F7">
        <w:rPr>
          <w:sz w:val="24"/>
          <w:szCs w:val="24"/>
        </w:rPr>
        <w:t xml:space="preserve"> Exchanges followed, and a day before the withdrawal took effect, North Korea suspended it and agreed to recommence inspections due to Washington’s willingness to resume talks and meet some of Pyongyang’s demands.</w:t>
      </w:r>
      <w:r w:rsidR="008F1C5F" w:rsidRPr="004600F7">
        <w:rPr>
          <w:rStyle w:val="FootnoteReference"/>
          <w:sz w:val="24"/>
          <w:szCs w:val="24"/>
        </w:rPr>
        <w:footnoteReference w:id="91"/>
      </w:r>
    </w:p>
    <w:p w14:paraId="6621B109" w14:textId="431006E7" w:rsidR="00854D25" w:rsidRPr="0090276B" w:rsidRDefault="0076511D" w:rsidP="00111EB4">
      <w:pPr>
        <w:spacing w:after="0" w:line="480" w:lineRule="auto"/>
        <w:rPr>
          <w:sz w:val="24"/>
          <w:szCs w:val="24"/>
        </w:rPr>
      </w:pPr>
      <w:r>
        <w:rPr>
          <w:sz w:val="24"/>
          <w:szCs w:val="24"/>
        </w:rPr>
        <w:t xml:space="preserve">     </w:t>
      </w:r>
      <w:r w:rsidR="00854D25" w:rsidRPr="004600F7">
        <w:rPr>
          <w:sz w:val="24"/>
          <w:szCs w:val="24"/>
        </w:rPr>
        <w:t>However, due to the tough stances and differences among the IAEA, the UNSC, and the two Koreas, disagreements between Pyongyang and the IAEA continued and eventually led to the departure of its inspectors in March 1994.</w:t>
      </w:r>
      <w:r w:rsidR="00854D25" w:rsidRPr="004600F7">
        <w:rPr>
          <w:rStyle w:val="FootnoteReference"/>
          <w:sz w:val="24"/>
          <w:szCs w:val="24"/>
        </w:rPr>
        <w:footnoteReference w:id="92"/>
      </w:r>
      <w:r w:rsidR="00854D25" w:rsidRPr="004600F7">
        <w:rPr>
          <w:sz w:val="24"/>
          <w:szCs w:val="24"/>
        </w:rPr>
        <w:t xml:space="preserve"> Later, North Korea withdrew from the IAEA, contributing to the Agency’s inability to confirm the continuity of safeguard. The IAEA’s judgement, in turn, provided the basis for the US to propose the imposition of UN sanctions.</w:t>
      </w:r>
      <w:r w:rsidR="00854D25" w:rsidRPr="004600F7">
        <w:rPr>
          <w:rStyle w:val="FootnoteReference"/>
          <w:sz w:val="24"/>
          <w:szCs w:val="24"/>
        </w:rPr>
        <w:footnoteReference w:id="93"/>
      </w:r>
      <w:r w:rsidR="005E094F" w:rsidRPr="004600F7">
        <w:rPr>
          <w:sz w:val="24"/>
          <w:szCs w:val="24"/>
        </w:rPr>
        <w:t xml:space="preserve"> The IAEA’s referral of North Korea to the UN</w:t>
      </w:r>
      <w:r w:rsidR="00DE73BF" w:rsidRPr="004600F7">
        <w:rPr>
          <w:sz w:val="24"/>
          <w:szCs w:val="24"/>
        </w:rPr>
        <w:t>SC</w:t>
      </w:r>
      <w:r w:rsidR="005E094F" w:rsidRPr="004600F7">
        <w:rPr>
          <w:sz w:val="24"/>
          <w:szCs w:val="24"/>
        </w:rPr>
        <w:t xml:space="preserve"> exemplified how verification mechanisms translate technical findings into political action.</w:t>
      </w:r>
      <w:r w:rsidR="00967293">
        <w:rPr>
          <w:rFonts w:hint="eastAsia"/>
          <w:sz w:val="24"/>
          <w:szCs w:val="24"/>
        </w:rPr>
        <w:t xml:space="preserve"> UNSC Resolution 825 grounded its call for compliance directly </w:t>
      </w:r>
      <w:r w:rsidR="001A2FDE">
        <w:rPr>
          <w:rFonts w:hint="eastAsia"/>
          <w:sz w:val="24"/>
          <w:szCs w:val="24"/>
        </w:rPr>
        <w:t>o</w:t>
      </w:r>
      <w:r w:rsidR="00967293">
        <w:rPr>
          <w:rFonts w:hint="eastAsia"/>
          <w:sz w:val="24"/>
          <w:szCs w:val="24"/>
        </w:rPr>
        <w:t>n the IAEA Board</w:t>
      </w:r>
      <w:r w:rsidR="00967293">
        <w:rPr>
          <w:sz w:val="24"/>
          <w:szCs w:val="24"/>
        </w:rPr>
        <w:t>’</w:t>
      </w:r>
      <w:r w:rsidR="00967293">
        <w:rPr>
          <w:rFonts w:hint="eastAsia"/>
          <w:sz w:val="24"/>
          <w:szCs w:val="24"/>
        </w:rPr>
        <w:t>s April 1993 non-compliance finding, making the Agency</w:t>
      </w:r>
      <w:r w:rsidR="00967293">
        <w:rPr>
          <w:sz w:val="24"/>
          <w:szCs w:val="24"/>
        </w:rPr>
        <w:t>’</w:t>
      </w:r>
      <w:r w:rsidR="00967293">
        <w:rPr>
          <w:rFonts w:hint="eastAsia"/>
          <w:sz w:val="24"/>
          <w:szCs w:val="24"/>
        </w:rPr>
        <w:t>s technical verification</w:t>
      </w:r>
      <w:r w:rsidR="00967293" w:rsidRPr="00967293">
        <w:rPr>
          <w:i/>
          <w:iCs/>
          <w:sz w:val="24"/>
          <w:szCs w:val="24"/>
        </w:rPr>
        <w:t>—</w:t>
      </w:r>
      <w:r w:rsidR="00967293">
        <w:rPr>
          <w:rFonts w:hint="eastAsia"/>
          <w:sz w:val="24"/>
          <w:szCs w:val="24"/>
        </w:rPr>
        <w:t>not national intelligence</w:t>
      </w:r>
      <w:r w:rsidR="00967293" w:rsidRPr="00967293">
        <w:rPr>
          <w:i/>
          <w:iCs/>
          <w:sz w:val="24"/>
          <w:szCs w:val="24"/>
        </w:rPr>
        <w:t>—</w:t>
      </w:r>
      <w:r w:rsidR="00967293">
        <w:rPr>
          <w:rFonts w:hint="eastAsia"/>
          <w:sz w:val="24"/>
          <w:szCs w:val="24"/>
        </w:rPr>
        <w:t>the international legal basis for addressing the crisis (UNSC 1993).</w:t>
      </w:r>
      <w:r w:rsidR="00D35B5A">
        <w:rPr>
          <w:rStyle w:val="FootnoteReference"/>
          <w:sz w:val="24"/>
          <w:szCs w:val="24"/>
        </w:rPr>
        <w:footnoteReference w:id="94"/>
      </w:r>
      <w:r w:rsidR="00967293">
        <w:rPr>
          <w:rFonts w:hint="eastAsia"/>
          <w:sz w:val="24"/>
          <w:szCs w:val="24"/>
        </w:rPr>
        <w:t xml:space="preserve"> Furthermore,</w:t>
      </w:r>
      <w:r w:rsidR="00925723">
        <w:rPr>
          <w:rFonts w:hint="eastAsia"/>
          <w:sz w:val="24"/>
          <w:szCs w:val="24"/>
        </w:rPr>
        <w:t xml:space="preserve"> Blix wrote to the UNSC in </w:t>
      </w:r>
      <w:r w:rsidR="00925723">
        <w:rPr>
          <w:rFonts w:hint="eastAsia"/>
          <w:sz w:val="24"/>
          <w:szCs w:val="24"/>
        </w:rPr>
        <w:lastRenderedPageBreak/>
        <w:t>summer of 1993 noting that the IAEA</w:t>
      </w:r>
      <w:r w:rsidR="005E094F" w:rsidRPr="004600F7">
        <w:rPr>
          <w:sz w:val="24"/>
          <w:szCs w:val="24"/>
        </w:rPr>
        <w:t xml:space="preserve"> </w:t>
      </w:r>
      <w:r w:rsidR="00925723">
        <w:rPr>
          <w:rFonts w:hint="eastAsia"/>
          <w:sz w:val="24"/>
          <w:szCs w:val="24"/>
        </w:rPr>
        <w:t xml:space="preserve">could not </w:t>
      </w:r>
      <w:r w:rsidR="00243199">
        <w:rPr>
          <w:sz w:val="24"/>
          <w:szCs w:val="24"/>
        </w:rPr>
        <w:t>‘</w:t>
      </w:r>
      <w:r w:rsidR="00925723">
        <w:rPr>
          <w:rFonts w:hint="eastAsia"/>
          <w:sz w:val="24"/>
          <w:szCs w:val="24"/>
        </w:rPr>
        <w:t>achieve the overall objective of comprehensive safeguards in [North Korea], namely, to provide assurance about the non-diversion of nuclear material</w:t>
      </w:r>
      <w:r w:rsidR="00243199">
        <w:rPr>
          <w:sz w:val="24"/>
          <w:szCs w:val="24"/>
        </w:rPr>
        <w:t>’</w:t>
      </w:r>
      <w:r w:rsidR="00925723">
        <w:rPr>
          <w:rFonts w:hint="eastAsia"/>
          <w:sz w:val="24"/>
          <w:szCs w:val="24"/>
        </w:rPr>
        <w:t>.</w:t>
      </w:r>
      <w:r w:rsidR="00925723">
        <w:rPr>
          <w:rStyle w:val="FootnoteReference"/>
          <w:sz w:val="24"/>
          <w:szCs w:val="24"/>
        </w:rPr>
        <w:footnoteReference w:id="95"/>
      </w:r>
      <w:r w:rsidR="00925723">
        <w:rPr>
          <w:rFonts w:hint="eastAsia"/>
          <w:sz w:val="24"/>
          <w:szCs w:val="24"/>
        </w:rPr>
        <w:t xml:space="preserve"> </w:t>
      </w:r>
      <w:r w:rsidR="005E094F" w:rsidRPr="004600F7">
        <w:rPr>
          <w:sz w:val="24"/>
          <w:szCs w:val="24"/>
        </w:rPr>
        <w:t xml:space="preserve">This institutional escalation demonstrated the NPT framework’s capacity to legitimize collective responses to verified violations, even </w:t>
      </w:r>
      <w:r w:rsidR="001A2FDE">
        <w:rPr>
          <w:rFonts w:hint="eastAsia"/>
          <w:sz w:val="24"/>
          <w:szCs w:val="24"/>
        </w:rPr>
        <w:t xml:space="preserve">though </w:t>
      </w:r>
      <w:r w:rsidR="005E094F" w:rsidRPr="004600F7">
        <w:rPr>
          <w:sz w:val="24"/>
          <w:szCs w:val="24"/>
        </w:rPr>
        <w:t>enforcement ultimately proved limited.</w:t>
      </w:r>
      <w:r w:rsidR="0090276B">
        <w:rPr>
          <w:rFonts w:hint="eastAsia"/>
          <w:sz w:val="24"/>
          <w:szCs w:val="24"/>
        </w:rPr>
        <w:t xml:space="preserve"> The IAEA inspections allowed for the UNSC to act and for the US to proce</w:t>
      </w:r>
      <w:r w:rsidR="001A2FDE">
        <w:rPr>
          <w:rFonts w:hint="eastAsia"/>
          <w:sz w:val="24"/>
          <w:szCs w:val="24"/>
        </w:rPr>
        <w:t>ed</w:t>
      </w:r>
      <w:r w:rsidR="0090276B">
        <w:rPr>
          <w:rFonts w:hint="eastAsia"/>
          <w:sz w:val="24"/>
          <w:szCs w:val="24"/>
        </w:rPr>
        <w:t xml:space="preserve"> with a gradual </w:t>
      </w:r>
      <w:r w:rsidR="0090276B">
        <w:rPr>
          <w:sz w:val="24"/>
          <w:szCs w:val="24"/>
        </w:rPr>
        <w:t>escalation</w:t>
      </w:r>
      <w:r w:rsidR="0090276B">
        <w:rPr>
          <w:rFonts w:hint="eastAsia"/>
          <w:sz w:val="24"/>
          <w:szCs w:val="24"/>
        </w:rPr>
        <w:t xml:space="preserve"> strategy with North Korea.</w:t>
      </w:r>
      <w:r w:rsidR="0090276B">
        <w:rPr>
          <w:rStyle w:val="FootnoteReference"/>
          <w:sz w:val="24"/>
          <w:szCs w:val="24"/>
        </w:rPr>
        <w:footnoteReference w:id="96"/>
      </w:r>
    </w:p>
    <w:p w14:paraId="0F1D4EA8" w14:textId="0E5D76F8" w:rsidR="00854D25" w:rsidRPr="000E306A" w:rsidRDefault="0076511D" w:rsidP="00111EB4">
      <w:pPr>
        <w:spacing w:after="0" w:line="480" w:lineRule="auto"/>
        <w:rPr>
          <w:sz w:val="24"/>
          <w:szCs w:val="24"/>
        </w:rPr>
      </w:pPr>
      <w:r>
        <w:rPr>
          <w:sz w:val="24"/>
          <w:szCs w:val="24"/>
        </w:rPr>
        <w:t xml:space="preserve">     </w:t>
      </w:r>
      <w:r w:rsidR="00854D25" w:rsidRPr="004600F7">
        <w:rPr>
          <w:sz w:val="24"/>
          <w:szCs w:val="24"/>
        </w:rPr>
        <w:t xml:space="preserve">While sanctions were underway, decisionmakers in Washington contemplated the cost and effectiveness of military actions. Plans for </w:t>
      </w:r>
      <w:r w:rsidR="005A111A" w:rsidRPr="004600F7">
        <w:rPr>
          <w:sz w:val="24"/>
          <w:szCs w:val="24"/>
        </w:rPr>
        <w:t>‘</w:t>
      </w:r>
      <w:r w:rsidR="00854D25" w:rsidRPr="004600F7">
        <w:rPr>
          <w:sz w:val="24"/>
          <w:szCs w:val="24"/>
        </w:rPr>
        <w:t xml:space="preserve">conducting </w:t>
      </w:r>
      <w:r w:rsidR="005A111A" w:rsidRPr="004600F7">
        <w:rPr>
          <w:sz w:val="24"/>
          <w:szCs w:val="24"/>
        </w:rPr>
        <w:t>“</w:t>
      </w:r>
      <w:r w:rsidR="00854D25" w:rsidRPr="004600F7">
        <w:rPr>
          <w:sz w:val="24"/>
          <w:szCs w:val="24"/>
        </w:rPr>
        <w:t>surgical strikes</w:t>
      </w:r>
      <w:r w:rsidR="005A111A" w:rsidRPr="004600F7">
        <w:rPr>
          <w:sz w:val="24"/>
          <w:szCs w:val="24"/>
        </w:rPr>
        <w:t>”</w:t>
      </w:r>
      <w:r w:rsidR="00854D25" w:rsidRPr="004600F7">
        <w:rPr>
          <w:sz w:val="24"/>
          <w:szCs w:val="24"/>
        </w:rPr>
        <w:t xml:space="preserve"> against North Korea’s nuclear installations</w:t>
      </w:r>
      <w:r w:rsidR="005A111A" w:rsidRPr="004600F7">
        <w:rPr>
          <w:sz w:val="24"/>
          <w:szCs w:val="24"/>
        </w:rPr>
        <w:t>’</w:t>
      </w:r>
      <w:r w:rsidR="00854D25" w:rsidRPr="004600F7">
        <w:rPr>
          <w:sz w:val="24"/>
          <w:szCs w:val="24"/>
        </w:rPr>
        <w:t xml:space="preserve"> were considered and then-president Bill Clinton recalled that he was </w:t>
      </w:r>
      <w:r w:rsidR="005A111A" w:rsidRPr="004600F7">
        <w:rPr>
          <w:sz w:val="24"/>
          <w:szCs w:val="24"/>
        </w:rPr>
        <w:t>‘</w:t>
      </w:r>
      <w:r w:rsidR="00854D25" w:rsidRPr="004600F7">
        <w:rPr>
          <w:sz w:val="24"/>
          <w:szCs w:val="24"/>
        </w:rPr>
        <w:t>determined to prevent North Korea from developing a nuclear arsenal, even at the risk of war</w:t>
      </w:r>
      <w:r w:rsidR="005A111A" w:rsidRPr="004600F7">
        <w:rPr>
          <w:sz w:val="24"/>
          <w:szCs w:val="24"/>
        </w:rPr>
        <w:t>’</w:t>
      </w:r>
      <w:r w:rsidR="00854D25" w:rsidRPr="004600F7">
        <w:rPr>
          <w:sz w:val="24"/>
          <w:szCs w:val="24"/>
        </w:rPr>
        <w:t>.</w:t>
      </w:r>
      <w:r w:rsidR="00854D25" w:rsidRPr="004600F7">
        <w:rPr>
          <w:rStyle w:val="FootnoteReference"/>
          <w:sz w:val="24"/>
          <w:szCs w:val="24"/>
        </w:rPr>
        <w:footnoteReference w:id="97"/>
      </w:r>
      <w:r w:rsidR="00854D25" w:rsidRPr="004600F7">
        <w:rPr>
          <w:sz w:val="24"/>
          <w:szCs w:val="24"/>
        </w:rPr>
        <w:t xml:space="preserve"> </w:t>
      </w:r>
      <w:r w:rsidR="00E673E1" w:rsidRPr="004600F7">
        <w:rPr>
          <w:sz w:val="24"/>
          <w:szCs w:val="24"/>
        </w:rPr>
        <w:t>However, plans were pulled back at the last minute when the costs of military action and economic fallout were considered too hefty.</w:t>
      </w:r>
      <w:r w:rsidR="00E673E1" w:rsidRPr="004600F7">
        <w:rPr>
          <w:rStyle w:val="FootnoteReference"/>
          <w:sz w:val="24"/>
          <w:szCs w:val="24"/>
        </w:rPr>
        <w:footnoteReference w:id="98"/>
      </w:r>
      <w:r w:rsidR="00E673E1" w:rsidRPr="004600F7">
        <w:rPr>
          <w:sz w:val="24"/>
          <w:szCs w:val="24"/>
        </w:rPr>
        <w:t xml:space="preserve"> The enforcement of North Korea’s compliance with the </w:t>
      </w:r>
      <w:r w:rsidR="00B808B6" w:rsidRPr="004600F7">
        <w:rPr>
          <w:sz w:val="24"/>
          <w:szCs w:val="24"/>
        </w:rPr>
        <w:t>NPT</w:t>
      </w:r>
      <w:r w:rsidR="00E673E1" w:rsidRPr="004600F7">
        <w:rPr>
          <w:sz w:val="24"/>
          <w:szCs w:val="24"/>
        </w:rPr>
        <w:t xml:space="preserve"> and regime thus manifested into the</w:t>
      </w:r>
      <w:r w:rsidR="005E094F" w:rsidRPr="004600F7">
        <w:rPr>
          <w:sz w:val="24"/>
          <w:szCs w:val="24"/>
        </w:rPr>
        <w:t xml:space="preserve"> verification-enabled diplomacy, the</w:t>
      </w:r>
      <w:r w:rsidR="00E673E1" w:rsidRPr="004600F7">
        <w:rPr>
          <w:sz w:val="24"/>
          <w:szCs w:val="24"/>
        </w:rPr>
        <w:t xml:space="preserve"> 1994 Agreed Framework.</w:t>
      </w:r>
      <w:r w:rsidR="00E673E1" w:rsidRPr="004600F7">
        <w:rPr>
          <w:rStyle w:val="FootnoteReference"/>
          <w:sz w:val="24"/>
          <w:szCs w:val="24"/>
        </w:rPr>
        <w:footnoteReference w:id="99"/>
      </w:r>
      <w:r w:rsidR="00E673E1" w:rsidRPr="004600F7">
        <w:rPr>
          <w:sz w:val="24"/>
          <w:szCs w:val="24"/>
        </w:rPr>
        <w:t xml:space="preserve"> In exchange for the US’s negative security guarantee, the relief of economic sanctions, the establishment of diplomatic representation, and the provision of aid in energy, North Korea affirmed its status as a member of the NPT and agreed to freeze work on its plutonium production facilities.</w:t>
      </w:r>
      <w:r w:rsidR="00E673E1" w:rsidRPr="004600F7">
        <w:rPr>
          <w:rStyle w:val="FootnoteReference"/>
          <w:sz w:val="24"/>
          <w:szCs w:val="24"/>
        </w:rPr>
        <w:footnoteReference w:id="100"/>
      </w:r>
      <w:r w:rsidR="00E673E1" w:rsidRPr="004600F7">
        <w:rPr>
          <w:sz w:val="24"/>
          <w:szCs w:val="24"/>
        </w:rPr>
        <w:t xml:space="preserve"> Despite North Korea’s withdrawal from the IAEA, the Agency played </w:t>
      </w:r>
      <w:r w:rsidR="00B808B6" w:rsidRPr="004600F7">
        <w:rPr>
          <w:sz w:val="24"/>
          <w:szCs w:val="24"/>
        </w:rPr>
        <w:t>a</w:t>
      </w:r>
      <w:r w:rsidR="00E673E1" w:rsidRPr="004600F7">
        <w:rPr>
          <w:sz w:val="24"/>
          <w:szCs w:val="24"/>
        </w:rPr>
        <w:t xml:space="preserve"> critical role, under INFCIRC/457, </w:t>
      </w:r>
      <w:r w:rsidR="001A2FDE">
        <w:rPr>
          <w:rFonts w:hint="eastAsia"/>
          <w:sz w:val="24"/>
          <w:szCs w:val="24"/>
        </w:rPr>
        <w:t xml:space="preserve">by </w:t>
      </w:r>
      <w:r w:rsidR="00E673E1" w:rsidRPr="004600F7">
        <w:rPr>
          <w:sz w:val="24"/>
          <w:szCs w:val="24"/>
        </w:rPr>
        <w:t>monitoring the freeze</w:t>
      </w:r>
      <w:r w:rsidR="00B808B6" w:rsidRPr="004600F7">
        <w:rPr>
          <w:sz w:val="24"/>
          <w:szCs w:val="24"/>
        </w:rPr>
        <w:t>, including</w:t>
      </w:r>
      <w:r w:rsidR="00E673E1" w:rsidRPr="004600F7">
        <w:rPr>
          <w:sz w:val="24"/>
          <w:szCs w:val="24"/>
        </w:rPr>
        <w:t xml:space="preserve"> the three reactors located at </w:t>
      </w:r>
      <w:proofErr w:type="spellStart"/>
      <w:r w:rsidR="00E673E1" w:rsidRPr="004600F7">
        <w:rPr>
          <w:sz w:val="24"/>
          <w:szCs w:val="24"/>
        </w:rPr>
        <w:t>Yongbyun</w:t>
      </w:r>
      <w:proofErr w:type="spellEnd"/>
      <w:r w:rsidR="00E673E1" w:rsidRPr="004600F7">
        <w:rPr>
          <w:sz w:val="24"/>
          <w:szCs w:val="24"/>
        </w:rPr>
        <w:t xml:space="preserve"> and </w:t>
      </w:r>
      <w:proofErr w:type="spellStart"/>
      <w:r w:rsidR="00E673E1" w:rsidRPr="004600F7">
        <w:rPr>
          <w:sz w:val="24"/>
          <w:szCs w:val="24"/>
        </w:rPr>
        <w:t>Taechon</w:t>
      </w:r>
      <w:proofErr w:type="spellEnd"/>
      <w:r w:rsidR="00E673E1" w:rsidRPr="004600F7">
        <w:rPr>
          <w:sz w:val="24"/>
          <w:szCs w:val="24"/>
        </w:rPr>
        <w:t>.</w:t>
      </w:r>
      <w:r w:rsidR="00E673E1" w:rsidRPr="004600F7">
        <w:rPr>
          <w:rStyle w:val="FootnoteReference"/>
          <w:sz w:val="24"/>
          <w:szCs w:val="24"/>
        </w:rPr>
        <w:footnoteReference w:id="101"/>
      </w:r>
      <w:r w:rsidR="00E673E1" w:rsidRPr="004600F7">
        <w:rPr>
          <w:sz w:val="24"/>
          <w:szCs w:val="24"/>
        </w:rPr>
        <w:t xml:space="preserve"> This agreement lasted between 1994 and 2002</w:t>
      </w:r>
      <w:r w:rsidR="00A856E5" w:rsidRPr="004600F7">
        <w:rPr>
          <w:sz w:val="24"/>
          <w:szCs w:val="24"/>
        </w:rPr>
        <w:t>.</w:t>
      </w:r>
      <w:r w:rsidR="00E673E1" w:rsidRPr="004600F7">
        <w:rPr>
          <w:sz w:val="24"/>
          <w:szCs w:val="24"/>
        </w:rPr>
        <w:t xml:space="preserve"> </w:t>
      </w:r>
      <w:r w:rsidR="00A856E5" w:rsidRPr="004600F7">
        <w:rPr>
          <w:sz w:val="24"/>
          <w:szCs w:val="24"/>
        </w:rPr>
        <w:t>T</w:t>
      </w:r>
      <w:r w:rsidR="00E673E1" w:rsidRPr="004600F7">
        <w:rPr>
          <w:sz w:val="24"/>
          <w:szCs w:val="24"/>
        </w:rPr>
        <w:t xml:space="preserve">hroughout the period, </w:t>
      </w:r>
      <w:r w:rsidR="000E306A">
        <w:rPr>
          <w:rFonts w:hint="eastAsia"/>
          <w:sz w:val="24"/>
          <w:szCs w:val="24"/>
        </w:rPr>
        <w:t xml:space="preserve">the IAEA monitored North </w:t>
      </w:r>
      <w:r w:rsidR="000E306A">
        <w:rPr>
          <w:rFonts w:hint="eastAsia"/>
          <w:sz w:val="24"/>
          <w:szCs w:val="24"/>
        </w:rPr>
        <w:lastRenderedPageBreak/>
        <w:t>Korea</w:t>
      </w:r>
      <w:r w:rsidR="000E306A">
        <w:rPr>
          <w:sz w:val="24"/>
          <w:szCs w:val="24"/>
        </w:rPr>
        <w:t>’</w:t>
      </w:r>
      <w:r w:rsidR="000E306A">
        <w:rPr>
          <w:rFonts w:hint="eastAsia"/>
          <w:sz w:val="24"/>
          <w:szCs w:val="24"/>
        </w:rPr>
        <w:t xml:space="preserve">s nuclear program as part of the Agreed Framework, </w:t>
      </w:r>
      <w:r w:rsidR="001A2FDE">
        <w:rPr>
          <w:rFonts w:hint="eastAsia"/>
          <w:sz w:val="24"/>
          <w:szCs w:val="24"/>
        </w:rPr>
        <w:t>although</w:t>
      </w:r>
      <w:r w:rsidR="000E306A">
        <w:rPr>
          <w:rFonts w:hint="eastAsia"/>
          <w:sz w:val="24"/>
          <w:szCs w:val="24"/>
        </w:rPr>
        <w:t xml:space="preserve"> under constraints that undermined detection capabilities. T</w:t>
      </w:r>
      <w:r w:rsidR="000E306A">
        <w:rPr>
          <w:sz w:val="24"/>
          <w:szCs w:val="24"/>
        </w:rPr>
        <w:t>h</w:t>
      </w:r>
      <w:r w:rsidR="000E306A">
        <w:rPr>
          <w:rFonts w:hint="eastAsia"/>
          <w:sz w:val="24"/>
          <w:szCs w:val="24"/>
        </w:rPr>
        <w:t>e Framework confined IAEA verification to declared freeze locations at Yongbyon, abandoning the comprehensive safeguards authority needed to investigate undeclared sites.</w:t>
      </w:r>
      <w:r w:rsidR="000E306A">
        <w:rPr>
          <w:rStyle w:val="FootnoteReference"/>
          <w:sz w:val="24"/>
          <w:szCs w:val="24"/>
        </w:rPr>
        <w:footnoteReference w:id="102"/>
      </w:r>
      <w:r w:rsidR="000E306A">
        <w:rPr>
          <w:rFonts w:hint="eastAsia"/>
          <w:sz w:val="24"/>
          <w:szCs w:val="24"/>
        </w:rPr>
        <w:t xml:space="preserve"> This institutional narrowing</w:t>
      </w:r>
      <w:r w:rsidR="000E306A" w:rsidRPr="000E306A">
        <w:rPr>
          <w:sz w:val="24"/>
          <w:szCs w:val="24"/>
        </w:rPr>
        <w:t>—</w:t>
      </w:r>
      <w:r w:rsidR="000E306A">
        <w:rPr>
          <w:rFonts w:hint="eastAsia"/>
          <w:sz w:val="24"/>
          <w:szCs w:val="24"/>
        </w:rPr>
        <w:t>from investigative verification to compliance monitoring</w:t>
      </w:r>
      <w:r w:rsidR="000E306A" w:rsidRPr="000E306A">
        <w:rPr>
          <w:i/>
          <w:iCs/>
          <w:sz w:val="24"/>
          <w:szCs w:val="24"/>
        </w:rPr>
        <w:t>—</w:t>
      </w:r>
      <w:r w:rsidR="000E306A">
        <w:rPr>
          <w:rFonts w:hint="eastAsia"/>
          <w:sz w:val="24"/>
          <w:szCs w:val="24"/>
        </w:rPr>
        <w:t>prevented the Agency from detecting North Korea</w:t>
      </w:r>
      <w:r w:rsidR="000E306A">
        <w:rPr>
          <w:sz w:val="24"/>
          <w:szCs w:val="24"/>
        </w:rPr>
        <w:t>’</w:t>
      </w:r>
      <w:r w:rsidR="000E306A">
        <w:rPr>
          <w:rFonts w:hint="eastAsia"/>
          <w:sz w:val="24"/>
          <w:szCs w:val="24"/>
        </w:rPr>
        <w:t xml:space="preserve">s covert uranium enrichment program that surfaced in 2002. </w:t>
      </w:r>
    </w:p>
    <w:p w14:paraId="17245B0C" w14:textId="57C32B68" w:rsidR="00DF2FE5" w:rsidRPr="004600F7" w:rsidRDefault="0076511D" w:rsidP="00111EB4">
      <w:pPr>
        <w:spacing w:after="0" w:line="480" w:lineRule="auto"/>
        <w:rPr>
          <w:sz w:val="24"/>
          <w:szCs w:val="24"/>
        </w:rPr>
      </w:pPr>
      <w:r>
        <w:rPr>
          <w:sz w:val="24"/>
          <w:szCs w:val="24"/>
        </w:rPr>
        <w:t xml:space="preserve">     </w:t>
      </w:r>
      <w:r w:rsidR="00DF2FE5" w:rsidRPr="004600F7">
        <w:rPr>
          <w:sz w:val="24"/>
          <w:szCs w:val="24"/>
        </w:rPr>
        <w:t>After the breakdown of the Agreed Framework, North Korea declared that it would withdraw from the NPT with immediate effect, exploiting the ambiguity in Article X of the NPT on the three-month notice requirement.</w:t>
      </w:r>
      <w:r w:rsidR="00DF2FE5" w:rsidRPr="004600F7">
        <w:rPr>
          <w:rStyle w:val="FootnoteReference"/>
          <w:sz w:val="24"/>
          <w:szCs w:val="24"/>
        </w:rPr>
        <w:footnoteReference w:id="103"/>
      </w:r>
      <w:r w:rsidR="00DF2FE5" w:rsidRPr="004600F7">
        <w:rPr>
          <w:sz w:val="24"/>
          <w:szCs w:val="24"/>
        </w:rPr>
        <w:t xml:space="preserve"> On January 22, 2003, its official media outlet, the Korean Central News Agency (KCNA), published an extensive statement listing events and circumstances to justify its withdrawal and emphasized, in Article X’s terms, </w:t>
      </w:r>
      <w:r w:rsidR="005A111A" w:rsidRPr="004600F7">
        <w:rPr>
          <w:sz w:val="24"/>
          <w:szCs w:val="24"/>
        </w:rPr>
        <w:t>‘</w:t>
      </w:r>
      <w:r w:rsidR="00DF2FE5" w:rsidRPr="004600F7">
        <w:rPr>
          <w:sz w:val="24"/>
          <w:szCs w:val="24"/>
        </w:rPr>
        <w:t>extraordinary events</w:t>
      </w:r>
      <w:r w:rsidR="005A111A" w:rsidRPr="004600F7">
        <w:rPr>
          <w:sz w:val="24"/>
          <w:szCs w:val="24"/>
        </w:rPr>
        <w:t>’</w:t>
      </w:r>
      <w:r w:rsidR="00DF2FE5" w:rsidRPr="004600F7">
        <w:rPr>
          <w:sz w:val="24"/>
          <w:szCs w:val="24"/>
        </w:rPr>
        <w:t xml:space="preserve"> that have </w:t>
      </w:r>
      <w:r w:rsidR="005A111A" w:rsidRPr="004600F7">
        <w:rPr>
          <w:sz w:val="24"/>
          <w:szCs w:val="24"/>
        </w:rPr>
        <w:t>‘</w:t>
      </w:r>
      <w:r w:rsidR="00DF2FE5" w:rsidRPr="004600F7">
        <w:rPr>
          <w:sz w:val="24"/>
          <w:szCs w:val="24"/>
        </w:rPr>
        <w:t>jeopardized the supreme interests of its country</w:t>
      </w:r>
      <w:r w:rsidR="005A111A" w:rsidRPr="004600F7">
        <w:rPr>
          <w:sz w:val="24"/>
          <w:szCs w:val="24"/>
        </w:rPr>
        <w:t>’</w:t>
      </w:r>
      <w:r w:rsidR="00DF2FE5" w:rsidRPr="004600F7">
        <w:rPr>
          <w:sz w:val="24"/>
          <w:szCs w:val="24"/>
        </w:rPr>
        <w:t>.</w:t>
      </w:r>
      <w:r w:rsidR="00DF2FE5" w:rsidRPr="004600F7">
        <w:rPr>
          <w:rStyle w:val="FootnoteReference"/>
          <w:sz w:val="24"/>
          <w:szCs w:val="24"/>
        </w:rPr>
        <w:footnoteReference w:id="104"/>
      </w:r>
      <w:r w:rsidR="000624EA" w:rsidRPr="004600F7">
        <w:rPr>
          <w:sz w:val="24"/>
          <w:szCs w:val="24"/>
        </w:rPr>
        <w:t xml:space="preserve"> Accordingly, its withdrawal was chiefly </w:t>
      </w:r>
      <w:r w:rsidR="005A111A" w:rsidRPr="004600F7">
        <w:rPr>
          <w:sz w:val="24"/>
          <w:szCs w:val="24"/>
        </w:rPr>
        <w:t>‘</w:t>
      </w:r>
      <w:r w:rsidR="000624EA" w:rsidRPr="004600F7">
        <w:rPr>
          <w:sz w:val="24"/>
          <w:szCs w:val="24"/>
        </w:rPr>
        <w:t>[t]o cope with the grave situation where our [North Korea’s] state security and national sovereignty are being threatened due to the United States and forces following the United States and the US tyrannical nuclear crushing policy toward the DPRK</w:t>
      </w:r>
      <w:r w:rsidR="005A111A" w:rsidRPr="004600F7">
        <w:rPr>
          <w:sz w:val="24"/>
          <w:szCs w:val="24"/>
        </w:rPr>
        <w:t>’</w:t>
      </w:r>
      <w:r w:rsidR="000624EA" w:rsidRPr="004600F7">
        <w:rPr>
          <w:sz w:val="24"/>
          <w:szCs w:val="24"/>
        </w:rPr>
        <w:t>.</w:t>
      </w:r>
      <w:r w:rsidR="000624EA" w:rsidRPr="004600F7">
        <w:rPr>
          <w:rStyle w:val="FootnoteReference"/>
          <w:sz w:val="24"/>
          <w:szCs w:val="24"/>
        </w:rPr>
        <w:footnoteReference w:id="105"/>
      </w:r>
      <w:r w:rsidR="000624EA" w:rsidRPr="004600F7">
        <w:rPr>
          <w:sz w:val="24"/>
          <w:szCs w:val="24"/>
        </w:rPr>
        <w:t xml:space="preserve"> Since then, North Korea’s status with respect to the NPT remains inconclusive.</w:t>
      </w:r>
    </w:p>
    <w:p w14:paraId="22AB8558" w14:textId="32A9B31B" w:rsidR="000624EA" w:rsidRPr="004600F7" w:rsidRDefault="0076511D" w:rsidP="00111EB4">
      <w:pPr>
        <w:spacing w:after="0" w:line="480" w:lineRule="auto"/>
        <w:rPr>
          <w:sz w:val="24"/>
          <w:szCs w:val="24"/>
        </w:rPr>
      </w:pPr>
      <w:r>
        <w:rPr>
          <w:sz w:val="24"/>
          <w:szCs w:val="24"/>
        </w:rPr>
        <w:t xml:space="preserve">     </w:t>
      </w:r>
      <w:r w:rsidR="000624EA" w:rsidRPr="004600F7">
        <w:rPr>
          <w:sz w:val="24"/>
          <w:szCs w:val="24"/>
        </w:rPr>
        <w:t xml:space="preserve">This discussion of North Korea’s nuclear program shows that through </w:t>
      </w:r>
      <w:r w:rsidR="005E094F" w:rsidRPr="004600F7">
        <w:rPr>
          <w:sz w:val="24"/>
          <w:szCs w:val="24"/>
        </w:rPr>
        <w:t>the SMV functions</w:t>
      </w:r>
      <w:r w:rsidR="000624EA" w:rsidRPr="004600F7">
        <w:rPr>
          <w:sz w:val="24"/>
          <w:szCs w:val="24"/>
        </w:rPr>
        <w:t xml:space="preserve">, both the NPT and the IAEA have </w:t>
      </w:r>
      <w:r w:rsidR="003823A9">
        <w:rPr>
          <w:rFonts w:hint="eastAsia"/>
          <w:sz w:val="24"/>
          <w:szCs w:val="24"/>
        </w:rPr>
        <w:t>performed their</w:t>
      </w:r>
      <w:r w:rsidR="000624EA" w:rsidRPr="004600F7">
        <w:rPr>
          <w:sz w:val="24"/>
          <w:szCs w:val="24"/>
        </w:rPr>
        <w:t xml:space="preserve"> detection</w:t>
      </w:r>
      <w:r w:rsidR="003823A9">
        <w:rPr>
          <w:rFonts w:hint="eastAsia"/>
          <w:sz w:val="24"/>
          <w:szCs w:val="24"/>
        </w:rPr>
        <w:t xml:space="preserve"> function</w:t>
      </w:r>
      <w:r w:rsidR="000624EA" w:rsidRPr="004600F7">
        <w:rPr>
          <w:sz w:val="24"/>
          <w:szCs w:val="24"/>
        </w:rPr>
        <w:t>: they revealed information on Pyongyang’s low commitment toward nonproliferation and gathered evidence that cast doubt on Pyongyang’s compliance. Indeed, Pyongyang’s hesitance in joining the NPT and the IAEA</w:t>
      </w:r>
      <w:r w:rsidR="005E094F" w:rsidRPr="004600F7">
        <w:rPr>
          <w:sz w:val="24"/>
          <w:szCs w:val="24"/>
        </w:rPr>
        <w:t>,</w:t>
      </w:r>
      <w:r w:rsidR="000624EA" w:rsidRPr="004600F7">
        <w:rPr>
          <w:sz w:val="24"/>
          <w:szCs w:val="24"/>
        </w:rPr>
        <w:t xml:space="preserve"> and the reasons which eventually motivated it to become a member state </w:t>
      </w:r>
      <w:r w:rsidR="000624EA" w:rsidRPr="004600F7">
        <w:rPr>
          <w:sz w:val="24"/>
          <w:szCs w:val="24"/>
        </w:rPr>
        <w:lastRenderedPageBreak/>
        <w:t xml:space="preserve">highlight that it is not concerned so much with nonproliferation than meeting its energy needs and security concerns. This interest-based motivation is not necessarily a problem, but when viewed alongside Pyongyang’s persistent refusal to cooperate with the IAEA, and thus, violation of Article III of the NPT, the various pieces of evidence demonstrate how the NPT and the IAEA work as a useful alarm to alert the international community to cases that might present problems to the nonproliferation regime. Importantly, the </w:t>
      </w:r>
      <w:r w:rsidR="005A111A" w:rsidRPr="004600F7">
        <w:rPr>
          <w:sz w:val="24"/>
          <w:szCs w:val="24"/>
        </w:rPr>
        <w:t>‘</w:t>
      </w:r>
      <w:r w:rsidR="000624EA" w:rsidRPr="004600F7">
        <w:rPr>
          <w:sz w:val="24"/>
          <w:szCs w:val="24"/>
        </w:rPr>
        <w:t>existence of the IAEA also made it easier for the United States to mobilize international political support in order to persuade North Korea to abandon bomb-making and implement the Agreed Framework, once it was reached</w:t>
      </w:r>
      <w:r w:rsidR="005A111A" w:rsidRPr="004600F7">
        <w:rPr>
          <w:sz w:val="24"/>
          <w:szCs w:val="24"/>
        </w:rPr>
        <w:t>’</w:t>
      </w:r>
      <w:r w:rsidR="000624EA" w:rsidRPr="004600F7">
        <w:rPr>
          <w:sz w:val="24"/>
          <w:szCs w:val="24"/>
        </w:rPr>
        <w:t>.</w:t>
      </w:r>
      <w:r w:rsidR="000624EA" w:rsidRPr="004600F7">
        <w:rPr>
          <w:rStyle w:val="FootnoteReference"/>
          <w:sz w:val="24"/>
          <w:szCs w:val="24"/>
        </w:rPr>
        <w:footnoteReference w:id="106"/>
      </w:r>
    </w:p>
    <w:p w14:paraId="58433533" w14:textId="4EC0DF46" w:rsidR="000624EA" w:rsidRPr="004600F7" w:rsidRDefault="0076511D" w:rsidP="00111EB4">
      <w:pPr>
        <w:spacing w:after="0" w:line="480" w:lineRule="auto"/>
        <w:rPr>
          <w:sz w:val="24"/>
          <w:szCs w:val="24"/>
        </w:rPr>
      </w:pPr>
      <w:r>
        <w:rPr>
          <w:sz w:val="24"/>
          <w:szCs w:val="24"/>
        </w:rPr>
        <w:t xml:space="preserve">     </w:t>
      </w:r>
      <w:r w:rsidR="000624EA" w:rsidRPr="004600F7">
        <w:rPr>
          <w:sz w:val="24"/>
          <w:szCs w:val="24"/>
        </w:rPr>
        <w:t xml:space="preserve">The IAEA also supported the enforcement of Pyongyang’s compliance both </w:t>
      </w:r>
      <w:r w:rsidR="00A856E5" w:rsidRPr="004600F7">
        <w:rPr>
          <w:sz w:val="24"/>
          <w:szCs w:val="24"/>
        </w:rPr>
        <w:t xml:space="preserve">by </w:t>
      </w:r>
      <w:r w:rsidR="000624EA" w:rsidRPr="004600F7">
        <w:rPr>
          <w:sz w:val="24"/>
          <w:szCs w:val="24"/>
        </w:rPr>
        <w:t>provid</w:t>
      </w:r>
      <w:r w:rsidR="00A856E5" w:rsidRPr="004600F7">
        <w:rPr>
          <w:sz w:val="24"/>
          <w:szCs w:val="24"/>
        </w:rPr>
        <w:t>ing</w:t>
      </w:r>
      <w:r w:rsidR="000624EA" w:rsidRPr="004600F7">
        <w:rPr>
          <w:sz w:val="24"/>
          <w:szCs w:val="24"/>
        </w:rPr>
        <w:t xml:space="preserve"> the US with reasons to pursue negotiations and giving the UNSC evidentiary grounds to impose sanctions. Both enforcement mechanisms eventually failed in constraining North Korea for reasons ranging from disagreements within the UNSC and US domestic politics to Pyongyang’s breaking of the spirit of the agreement by developing a uranium program.</w:t>
      </w:r>
      <w:r w:rsidR="000624EA" w:rsidRPr="004600F7">
        <w:rPr>
          <w:rStyle w:val="FootnoteReference"/>
          <w:sz w:val="24"/>
          <w:szCs w:val="24"/>
        </w:rPr>
        <w:footnoteReference w:id="107"/>
      </w:r>
      <w:r w:rsidR="000624EA" w:rsidRPr="004600F7">
        <w:rPr>
          <w:sz w:val="24"/>
          <w:szCs w:val="24"/>
        </w:rPr>
        <w:t xml:space="preserve"> Nonetheless, the 1994 Agreed Framework delayed the progress of North Korea’s nuclear program, and as the discussions shows, the agreement’s fruition cannot be seen as distinct from the detective work made possible and laid down </w:t>
      </w:r>
      <w:r w:rsidR="00A856E5" w:rsidRPr="004600F7">
        <w:rPr>
          <w:sz w:val="24"/>
          <w:szCs w:val="24"/>
        </w:rPr>
        <w:t xml:space="preserve">by </w:t>
      </w:r>
      <w:r w:rsidR="000624EA" w:rsidRPr="004600F7">
        <w:rPr>
          <w:sz w:val="24"/>
          <w:szCs w:val="24"/>
        </w:rPr>
        <w:t>the NPT and the IAEA.</w:t>
      </w:r>
    </w:p>
    <w:p w14:paraId="1A9DFE51" w14:textId="77777777" w:rsidR="00CF0B64" w:rsidRDefault="00CF0B64" w:rsidP="00912FDA">
      <w:pPr>
        <w:spacing w:after="0" w:line="240" w:lineRule="auto"/>
        <w:rPr>
          <w:sz w:val="24"/>
          <w:szCs w:val="24"/>
        </w:rPr>
      </w:pPr>
    </w:p>
    <w:p w14:paraId="74A9A6F6" w14:textId="77777777" w:rsidR="00D57D72" w:rsidRPr="004600F7" w:rsidRDefault="00D57D72" w:rsidP="00912FDA">
      <w:pPr>
        <w:spacing w:after="0" w:line="240" w:lineRule="auto"/>
        <w:rPr>
          <w:sz w:val="24"/>
          <w:szCs w:val="24"/>
        </w:rPr>
      </w:pPr>
    </w:p>
    <w:p w14:paraId="3BE26CCA" w14:textId="66E6AF44" w:rsidR="00912FDA" w:rsidRPr="004600F7" w:rsidRDefault="004B63FD" w:rsidP="00912FDA">
      <w:pPr>
        <w:spacing w:after="0" w:line="240" w:lineRule="auto"/>
        <w:outlineLvl w:val="0"/>
        <w:rPr>
          <w:b/>
          <w:bCs/>
          <w:sz w:val="24"/>
          <w:szCs w:val="24"/>
        </w:rPr>
      </w:pPr>
      <w:r>
        <w:rPr>
          <w:b/>
          <w:bCs/>
          <w:sz w:val="24"/>
          <w:szCs w:val="24"/>
        </w:rPr>
        <w:t xml:space="preserve">4 </w:t>
      </w:r>
      <w:r w:rsidR="00912FDA" w:rsidRPr="004600F7">
        <w:rPr>
          <w:b/>
          <w:bCs/>
          <w:sz w:val="24"/>
          <w:szCs w:val="24"/>
        </w:rPr>
        <w:t>Conclusion</w:t>
      </w:r>
    </w:p>
    <w:p w14:paraId="79826B63" w14:textId="77777777" w:rsidR="00D57D72" w:rsidRDefault="00D57D72" w:rsidP="00912FDA">
      <w:pPr>
        <w:spacing w:after="0" w:line="240" w:lineRule="auto"/>
        <w:rPr>
          <w:sz w:val="24"/>
          <w:szCs w:val="24"/>
        </w:rPr>
      </w:pPr>
    </w:p>
    <w:p w14:paraId="67FBD77F" w14:textId="4DA01137" w:rsidR="00170494" w:rsidRPr="004600F7" w:rsidRDefault="002D41A9" w:rsidP="00111EB4">
      <w:pPr>
        <w:spacing w:after="0" w:line="480" w:lineRule="auto"/>
        <w:rPr>
          <w:sz w:val="24"/>
          <w:szCs w:val="24"/>
        </w:rPr>
      </w:pPr>
      <w:r>
        <w:rPr>
          <w:rFonts w:hint="eastAsia"/>
          <w:sz w:val="24"/>
          <w:szCs w:val="24"/>
        </w:rPr>
        <w:t>The NPT and IAEA have been judged, implicitly or explicitly, by their record of preventing proliferation. However, this measure is</w:t>
      </w:r>
      <w:r w:rsidR="004C2F9A" w:rsidRPr="004600F7">
        <w:rPr>
          <w:sz w:val="24"/>
          <w:szCs w:val="24"/>
        </w:rPr>
        <w:t xml:space="preserve"> somewhat in tension with the goals of the NPT and the IAEA, which </w:t>
      </w:r>
      <w:r w:rsidR="00A856E5" w:rsidRPr="004600F7">
        <w:rPr>
          <w:sz w:val="24"/>
          <w:szCs w:val="24"/>
        </w:rPr>
        <w:t xml:space="preserve">are </w:t>
      </w:r>
      <w:r w:rsidR="004C2F9A" w:rsidRPr="004600F7">
        <w:rPr>
          <w:sz w:val="24"/>
          <w:szCs w:val="24"/>
        </w:rPr>
        <w:t xml:space="preserve">designed to identify violations and violators. This paper </w:t>
      </w:r>
      <w:proofErr w:type="gramStart"/>
      <w:r w:rsidR="00511E58">
        <w:rPr>
          <w:rFonts w:hint="eastAsia"/>
          <w:sz w:val="24"/>
          <w:szCs w:val="24"/>
        </w:rPr>
        <w:t>has argued</w:t>
      </w:r>
      <w:proofErr w:type="gramEnd"/>
      <w:r w:rsidR="004C2F9A" w:rsidRPr="004600F7">
        <w:rPr>
          <w:sz w:val="24"/>
          <w:szCs w:val="24"/>
        </w:rPr>
        <w:t xml:space="preserve"> that the observation</w:t>
      </w:r>
      <w:r w:rsidR="00170494" w:rsidRPr="004600F7">
        <w:rPr>
          <w:sz w:val="24"/>
          <w:szCs w:val="24"/>
        </w:rPr>
        <w:t xml:space="preserve"> of violators should not imply that the NPT and the nonproliferation regime is weak or is tending towards failure. Instead, their ability to detect such efforts, like North </w:t>
      </w:r>
      <w:r w:rsidR="00170494" w:rsidRPr="004600F7">
        <w:rPr>
          <w:sz w:val="24"/>
          <w:szCs w:val="24"/>
        </w:rPr>
        <w:lastRenderedPageBreak/>
        <w:t xml:space="preserve">Korea’s, </w:t>
      </w:r>
      <w:r w:rsidR="000641ED" w:rsidRPr="004600F7">
        <w:rPr>
          <w:sz w:val="24"/>
          <w:szCs w:val="24"/>
        </w:rPr>
        <w:t xml:space="preserve">indicates </w:t>
      </w:r>
      <w:r w:rsidR="00170494" w:rsidRPr="004600F7">
        <w:rPr>
          <w:sz w:val="24"/>
          <w:szCs w:val="24"/>
        </w:rPr>
        <w:t xml:space="preserve">the NPT and the IAEA’s </w:t>
      </w:r>
      <w:r w:rsidR="000641ED" w:rsidRPr="004600F7">
        <w:rPr>
          <w:sz w:val="24"/>
          <w:szCs w:val="24"/>
        </w:rPr>
        <w:t xml:space="preserve">institutional </w:t>
      </w:r>
      <w:r w:rsidR="00170494" w:rsidRPr="004600F7">
        <w:rPr>
          <w:sz w:val="24"/>
          <w:szCs w:val="24"/>
        </w:rPr>
        <w:t>strength</w:t>
      </w:r>
      <w:r w:rsidR="005B67F0" w:rsidRPr="004600F7">
        <w:rPr>
          <w:sz w:val="24"/>
          <w:szCs w:val="24"/>
        </w:rPr>
        <w:t>.</w:t>
      </w:r>
      <w:r w:rsidR="00170494" w:rsidRPr="004600F7">
        <w:rPr>
          <w:sz w:val="24"/>
          <w:szCs w:val="24"/>
        </w:rPr>
        <w:t xml:space="preserve"> The detection argument laid out in this paper thus supports and expands on </w:t>
      </w:r>
      <w:r w:rsidR="00A856E5" w:rsidRPr="004600F7">
        <w:rPr>
          <w:sz w:val="24"/>
          <w:szCs w:val="24"/>
        </w:rPr>
        <w:t>existing</w:t>
      </w:r>
      <w:r w:rsidR="00170494" w:rsidRPr="004600F7">
        <w:rPr>
          <w:sz w:val="24"/>
          <w:szCs w:val="24"/>
        </w:rPr>
        <w:t xml:space="preserve"> work by suggesting that the regime</w:t>
      </w:r>
      <w:r w:rsidR="000641ED" w:rsidRPr="004600F7">
        <w:rPr>
          <w:sz w:val="24"/>
          <w:szCs w:val="24"/>
        </w:rPr>
        <w:t xml:space="preserve"> has</w:t>
      </w:r>
      <w:r w:rsidR="00170494" w:rsidRPr="004600F7">
        <w:rPr>
          <w:sz w:val="24"/>
          <w:szCs w:val="24"/>
        </w:rPr>
        <w:t xml:space="preserve"> work</w:t>
      </w:r>
      <w:r w:rsidR="000641ED" w:rsidRPr="004600F7">
        <w:rPr>
          <w:sz w:val="24"/>
          <w:szCs w:val="24"/>
        </w:rPr>
        <w:t>ed</w:t>
      </w:r>
      <w:r w:rsidR="00170494" w:rsidRPr="004600F7">
        <w:rPr>
          <w:sz w:val="24"/>
          <w:szCs w:val="24"/>
        </w:rPr>
        <w:t xml:space="preserve"> through the </w:t>
      </w:r>
      <w:r w:rsidR="00DE73BF" w:rsidRPr="004600F7">
        <w:rPr>
          <w:sz w:val="24"/>
          <w:szCs w:val="24"/>
        </w:rPr>
        <w:t>SMV</w:t>
      </w:r>
      <w:r w:rsidR="00170494" w:rsidRPr="004600F7">
        <w:rPr>
          <w:sz w:val="24"/>
          <w:szCs w:val="24"/>
        </w:rPr>
        <w:t xml:space="preserve"> mechanisms embedded in the terms and workings of the two institutions. </w:t>
      </w:r>
    </w:p>
    <w:p w14:paraId="51E014EB" w14:textId="2B4DD31F" w:rsidR="00170494" w:rsidRDefault="0076511D" w:rsidP="00111EB4">
      <w:pPr>
        <w:spacing w:after="0" w:line="480" w:lineRule="auto"/>
        <w:rPr>
          <w:sz w:val="24"/>
          <w:szCs w:val="24"/>
        </w:rPr>
      </w:pPr>
      <w:r>
        <w:rPr>
          <w:sz w:val="24"/>
          <w:szCs w:val="24"/>
        </w:rPr>
        <w:t xml:space="preserve">     </w:t>
      </w:r>
      <w:r w:rsidR="00170494" w:rsidRPr="004600F7">
        <w:rPr>
          <w:sz w:val="24"/>
          <w:szCs w:val="24"/>
        </w:rPr>
        <w:t>The NPT and the broader nonproliferation regime are not perfect. Stat</w:t>
      </w:r>
      <w:r w:rsidR="00A856E5" w:rsidRPr="004600F7">
        <w:rPr>
          <w:sz w:val="24"/>
          <w:szCs w:val="24"/>
        </w:rPr>
        <w:t>e</w:t>
      </w:r>
      <w:r w:rsidR="00170494" w:rsidRPr="004600F7">
        <w:rPr>
          <w:sz w:val="24"/>
          <w:szCs w:val="24"/>
        </w:rPr>
        <w:t xml:space="preserve">s and non-state actors have all debated, passionately, the limits of the regime and some scholars have even argued for the abandonment of the </w:t>
      </w:r>
      <w:r w:rsidR="00A856E5" w:rsidRPr="004600F7">
        <w:rPr>
          <w:sz w:val="24"/>
          <w:szCs w:val="24"/>
        </w:rPr>
        <w:t xml:space="preserve">Treaty </w:t>
      </w:r>
      <w:r w:rsidR="00170494" w:rsidRPr="004600F7">
        <w:rPr>
          <w:sz w:val="24"/>
          <w:szCs w:val="24"/>
        </w:rPr>
        <w:t xml:space="preserve">to make room for a different one. As such, the detection function of the NPT and IAEA should be understood as one—and not the only—way to evaluate the vitality of the regime. Moreover, as the case of North Korea’s nuclear program shows, the terms stipulated in the NPT are not always clear, and the workings of the IAEA are not always perfect, straightforward, or apolitical. That said, the detection framework </w:t>
      </w:r>
      <w:r w:rsidR="00D55DD3" w:rsidRPr="004600F7">
        <w:rPr>
          <w:sz w:val="24"/>
          <w:szCs w:val="24"/>
        </w:rPr>
        <w:t>remains valuable</w:t>
      </w:r>
      <w:r w:rsidR="00007E57" w:rsidRPr="004600F7">
        <w:rPr>
          <w:sz w:val="24"/>
          <w:szCs w:val="24"/>
        </w:rPr>
        <w:t>.</w:t>
      </w:r>
      <w:r w:rsidR="00170494" w:rsidRPr="004600F7">
        <w:rPr>
          <w:sz w:val="24"/>
          <w:szCs w:val="24"/>
        </w:rPr>
        <w:t xml:space="preserve"> </w:t>
      </w:r>
      <w:r w:rsidR="00007E57" w:rsidRPr="004600F7">
        <w:rPr>
          <w:sz w:val="24"/>
          <w:szCs w:val="24"/>
        </w:rPr>
        <w:t>B</w:t>
      </w:r>
      <w:r w:rsidR="00170494" w:rsidRPr="004600F7">
        <w:rPr>
          <w:sz w:val="24"/>
          <w:szCs w:val="24"/>
        </w:rPr>
        <w:t>y drawing attention to how actors can exploit loopholes, the international community can then work on closing them</w:t>
      </w:r>
      <w:r w:rsidR="00007E57" w:rsidRPr="004600F7">
        <w:rPr>
          <w:sz w:val="24"/>
          <w:szCs w:val="24"/>
        </w:rPr>
        <w:t xml:space="preserve"> – be it through the NPT/IAEA system or an alternative one</w:t>
      </w:r>
      <w:r w:rsidR="003823A9">
        <w:rPr>
          <w:rFonts w:hint="eastAsia"/>
          <w:sz w:val="24"/>
          <w:szCs w:val="24"/>
        </w:rPr>
        <w:t>.</w:t>
      </w:r>
      <w:r w:rsidR="00007E57" w:rsidRPr="004600F7">
        <w:rPr>
          <w:sz w:val="24"/>
          <w:szCs w:val="24"/>
        </w:rPr>
        <w:t xml:space="preserve"> </w:t>
      </w:r>
    </w:p>
    <w:p w14:paraId="39E7F7E2" w14:textId="3E5BCD5E" w:rsidR="00511E58" w:rsidRPr="00B37354" w:rsidRDefault="00511E58" w:rsidP="00111EB4">
      <w:pPr>
        <w:spacing w:after="0" w:line="480" w:lineRule="auto"/>
        <w:rPr>
          <w:sz w:val="24"/>
          <w:szCs w:val="24"/>
        </w:rPr>
      </w:pPr>
      <w:r>
        <w:rPr>
          <w:rFonts w:hint="eastAsia"/>
          <w:sz w:val="24"/>
          <w:szCs w:val="24"/>
        </w:rPr>
        <w:t xml:space="preserve">     </w:t>
      </w:r>
      <w:r w:rsidR="00B37354">
        <w:rPr>
          <w:rFonts w:hint="eastAsia"/>
          <w:sz w:val="24"/>
          <w:szCs w:val="24"/>
        </w:rPr>
        <w:t xml:space="preserve">The detection framework developed here travels most readily to institutional arrangements </w:t>
      </w:r>
      <w:r w:rsidR="00A80D54">
        <w:rPr>
          <w:sz w:val="24"/>
          <w:szCs w:val="24"/>
        </w:rPr>
        <w:t>that share one of</w:t>
      </w:r>
      <w:r w:rsidR="00B37354">
        <w:rPr>
          <w:rFonts w:hint="eastAsia"/>
          <w:sz w:val="24"/>
          <w:szCs w:val="24"/>
        </w:rPr>
        <w:t xml:space="preserve"> the NPT/IAEA</w:t>
      </w:r>
      <w:r w:rsidR="00B37354">
        <w:rPr>
          <w:sz w:val="24"/>
          <w:szCs w:val="24"/>
        </w:rPr>
        <w:t>’</w:t>
      </w:r>
      <w:r w:rsidR="00B37354">
        <w:rPr>
          <w:rFonts w:hint="eastAsia"/>
          <w:sz w:val="24"/>
          <w:szCs w:val="24"/>
        </w:rPr>
        <w:t>s defining structural feature</w:t>
      </w:r>
      <w:r w:rsidR="00A80D54">
        <w:rPr>
          <w:sz w:val="24"/>
          <w:szCs w:val="24"/>
        </w:rPr>
        <w:t>s</w:t>
      </w:r>
      <w:r w:rsidR="00B37354">
        <w:rPr>
          <w:rFonts w:hint="eastAsia"/>
          <w:sz w:val="24"/>
          <w:szCs w:val="24"/>
        </w:rPr>
        <w:t xml:space="preserve">: a technically capable and impartial </w:t>
      </w:r>
      <w:r w:rsidR="00A80D54">
        <w:rPr>
          <w:sz w:val="24"/>
          <w:szCs w:val="24"/>
        </w:rPr>
        <w:t>international institution</w:t>
      </w:r>
      <w:r w:rsidR="00B37354">
        <w:rPr>
          <w:rFonts w:hint="eastAsia"/>
          <w:sz w:val="24"/>
          <w:szCs w:val="24"/>
        </w:rPr>
        <w:t xml:space="preserve"> performing the detection function, </w:t>
      </w:r>
      <w:r w:rsidR="00A80D54">
        <w:rPr>
          <w:sz w:val="24"/>
          <w:szCs w:val="24"/>
        </w:rPr>
        <w:t>which has</w:t>
      </w:r>
      <w:r w:rsidR="00B37354">
        <w:rPr>
          <w:rFonts w:hint="eastAsia"/>
          <w:sz w:val="24"/>
          <w:szCs w:val="24"/>
        </w:rPr>
        <w:t xml:space="preserve"> a formal </w:t>
      </w:r>
      <w:r w:rsidR="00A80D54">
        <w:rPr>
          <w:sz w:val="24"/>
          <w:szCs w:val="24"/>
        </w:rPr>
        <w:t>institutional linkage</w:t>
      </w:r>
      <w:r w:rsidR="00B37354">
        <w:rPr>
          <w:rFonts w:hint="eastAsia"/>
          <w:sz w:val="24"/>
          <w:szCs w:val="24"/>
        </w:rPr>
        <w:t xml:space="preserve"> to an enforcement body capable of coercive action</w:t>
      </w:r>
      <w:r w:rsidR="00A80D54">
        <w:rPr>
          <w:sz w:val="24"/>
          <w:szCs w:val="24"/>
        </w:rPr>
        <w:t xml:space="preserve"> (i.e., the UNSC)</w:t>
      </w:r>
      <w:r w:rsidR="00B37354">
        <w:rPr>
          <w:rFonts w:hint="eastAsia"/>
          <w:sz w:val="24"/>
          <w:szCs w:val="24"/>
        </w:rPr>
        <w:t>. The Organization for the Prohibition of Chemical Weapons (OPCW) represents the clearest parallel</w:t>
      </w:r>
      <w:r w:rsidR="00A80D54">
        <w:rPr>
          <w:sz w:val="24"/>
          <w:szCs w:val="24"/>
        </w:rPr>
        <w:t>.</w:t>
      </w:r>
      <w:r w:rsidR="00B37354">
        <w:rPr>
          <w:rFonts w:hint="eastAsia"/>
          <w:sz w:val="24"/>
          <w:szCs w:val="24"/>
        </w:rPr>
        <w:t xml:space="preserve"> </w:t>
      </w:r>
      <w:r w:rsidR="00A80D54">
        <w:rPr>
          <w:sz w:val="24"/>
          <w:szCs w:val="24"/>
        </w:rPr>
        <w:t>I</w:t>
      </w:r>
      <w:r w:rsidR="00B37354">
        <w:rPr>
          <w:rFonts w:hint="eastAsia"/>
          <w:sz w:val="24"/>
          <w:szCs w:val="24"/>
        </w:rPr>
        <w:t xml:space="preserve">ts Executive Council can refer noncompliance findings of </w:t>
      </w:r>
      <w:proofErr w:type="gramStart"/>
      <w:r w:rsidR="00B37354">
        <w:rPr>
          <w:rFonts w:hint="eastAsia"/>
          <w:sz w:val="24"/>
          <w:szCs w:val="24"/>
        </w:rPr>
        <w:t>particular gravity</w:t>
      </w:r>
      <w:proofErr w:type="gramEnd"/>
      <w:r w:rsidR="00B37354">
        <w:rPr>
          <w:rFonts w:hint="eastAsia"/>
          <w:sz w:val="24"/>
          <w:szCs w:val="24"/>
        </w:rPr>
        <w:t xml:space="preserve"> to the UNSC under Article XII of the Chemical Weapons Convention, a pathway activated in the Syrian case.</w:t>
      </w:r>
      <w:r w:rsidR="00B37354">
        <w:rPr>
          <w:rStyle w:val="FootnoteReference"/>
          <w:sz w:val="24"/>
          <w:szCs w:val="24"/>
        </w:rPr>
        <w:footnoteReference w:id="108"/>
      </w:r>
      <w:r w:rsidR="00B37354">
        <w:rPr>
          <w:rFonts w:hint="eastAsia"/>
          <w:sz w:val="24"/>
          <w:szCs w:val="24"/>
        </w:rPr>
        <w:t xml:space="preserve"> The Comprehensive Nuclear-Test-Ban Treaty (CTBT), designed on </w:t>
      </w:r>
      <w:r w:rsidR="00B37354">
        <w:rPr>
          <w:sz w:val="24"/>
          <w:szCs w:val="24"/>
        </w:rPr>
        <w:t>the</w:t>
      </w:r>
      <w:r w:rsidR="00B37354">
        <w:rPr>
          <w:rFonts w:hint="eastAsia"/>
          <w:sz w:val="24"/>
          <w:szCs w:val="24"/>
        </w:rPr>
        <w:t xml:space="preserve"> same detection-first logic,</w:t>
      </w:r>
      <w:r w:rsidR="00A80D54">
        <w:rPr>
          <w:rStyle w:val="FootnoteReference"/>
          <w:sz w:val="24"/>
          <w:szCs w:val="24"/>
        </w:rPr>
        <w:footnoteReference w:id="109"/>
      </w:r>
      <w:r w:rsidR="00B37354">
        <w:rPr>
          <w:rFonts w:hint="eastAsia"/>
          <w:sz w:val="24"/>
          <w:szCs w:val="24"/>
        </w:rPr>
        <w:t xml:space="preserve"> currently lacks an equivalent enforcement linkage </w:t>
      </w:r>
      <w:r w:rsidR="00A80D54">
        <w:rPr>
          <w:sz w:val="24"/>
          <w:szCs w:val="24"/>
        </w:rPr>
        <w:t>because it has yet to enter</w:t>
      </w:r>
      <w:r w:rsidR="00B37354">
        <w:rPr>
          <w:rFonts w:hint="eastAsia"/>
          <w:sz w:val="24"/>
          <w:szCs w:val="24"/>
        </w:rPr>
        <w:t xml:space="preserve"> into force. Where such linkage is absent altogether </w:t>
      </w:r>
      <w:r w:rsidR="00B37354" w:rsidRPr="004600F7">
        <w:rPr>
          <w:sz w:val="24"/>
          <w:szCs w:val="24"/>
        </w:rPr>
        <w:t>—</w:t>
      </w:r>
      <w:r w:rsidR="00B37354">
        <w:rPr>
          <w:rFonts w:hint="eastAsia"/>
          <w:sz w:val="24"/>
          <w:szCs w:val="24"/>
        </w:rPr>
        <w:t xml:space="preserve"> as in the WTO, where </w:t>
      </w:r>
      <w:r w:rsidR="00B37354">
        <w:rPr>
          <w:rFonts w:hint="eastAsia"/>
          <w:sz w:val="24"/>
          <w:szCs w:val="24"/>
        </w:rPr>
        <w:lastRenderedPageBreak/>
        <w:t>noncompliance triggers reputational costs or trade retaliation rather than coercive multilateral enforcement</w:t>
      </w:r>
      <w:r w:rsidR="00B37354">
        <w:rPr>
          <w:rStyle w:val="FootnoteReference"/>
          <w:sz w:val="24"/>
          <w:szCs w:val="24"/>
        </w:rPr>
        <w:footnoteReference w:id="110"/>
      </w:r>
      <w:r w:rsidR="00B37354">
        <w:rPr>
          <w:rFonts w:hint="eastAsia"/>
          <w:sz w:val="24"/>
          <w:szCs w:val="24"/>
        </w:rPr>
        <w:t xml:space="preserve"> </w:t>
      </w:r>
      <w:r w:rsidR="00B37354" w:rsidRPr="004600F7">
        <w:rPr>
          <w:sz w:val="24"/>
          <w:szCs w:val="24"/>
        </w:rPr>
        <w:t>—</w:t>
      </w:r>
      <w:r w:rsidR="00B37354">
        <w:rPr>
          <w:rFonts w:hint="eastAsia"/>
          <w:sz w:val="24"/>
          <w:szCs w:val="24"/>
        </w:rPr>
        <w:t xml:space="preserve"> detection remains necessary, but its translation into collective action </w:t>
      </w:r>
      <w:r w:rsidR="00A80D54">
        <w:rPr>
          <w:sz w:val="24"/>
          <w:szCs w:val="24"/>
        </w:rPr>
        <w:t xml:space="preserve">may </w:t>
      </w:r>
      <w:r w:rsidR="00B37354">
        <w:rPr>
          <w:rFonts w:hint="eastAsia"/>
          <w:sz w:val="24"/>
          <w:szCs w:val="24"/>
        </w:rPr>
        <w:t>depend on ad hoc political mobilization rather than institutional design.</w:t>
      </w:r>
    </w:p>
    <w:p w14:paraId="7019B617" w14:textId="77777777" w:rsidR="00521FBC" w:rsidRDefault="0076511D" w:rsidP="00111EB4">
      <w:pPr>
        <w:spacing w:after="0" w:line="480" w:lineRule="auto"/>
        <w:rPr>
          <w:sz w:val="24"/>
          <w:szCs w:val="24"/>
        </w:rPr>
      </w:pPr>
      <w:r>
        <w:rPr>
          <w:sz w:val="24"/>
          <w:szCs w:val="24"/>
        </w:rPr>
        <w:t xml:space="preserve">      </w:t>
      </w:r>
      <w:r w:rsidR="00170494" w:rsidRPr="004600F7">
        <w:rPr>
          <w:sz w:val="24"/>
          <w:szCs w:val="24"/>
        </w:rPr>
        <w:t xml:space="preserve">In </w:t>
      </w:r>
      <w:r w:rsidR="00A856E5" w:rsidRPr="004600F7">
        <w:rPr>
          <w:sz w:val="24"/>
          <w:szCs w:val="24"/>
        </w:rPr>
        <w:t xml:space="preserve">the </w:t>
      </w:r>
      <w:r w:rsidR="00170494" w:rsidRPr="004600F7">
        <w:rPr>
          <w:sz w:val="24"/>
          <w:szCs w:val="24"/>
        </w:rPr>
        <w:t xml:space="preserve">light of the changing geopolitical environment, where conversations have now shifted toward discussing </w:t>
      </w:r>
      <w:proofErr w:type="gramStart"/>
      <w:r w:rsidR="00170494" w:rsidRPr="004600F7">
        <w:rPr>
          <w:sz w:val="24"/>
          <w:szCs w:val="24"/>
        </w:rPr>
        <w:t>if and when</w:t>
      </w:r>
      <w:proofErr w:type="gramEnd"/>
      <w:r w:rsidR="00170494" w:rsidRPr="004600F7">
        <w:rPr>
          <w:sz w:val="24"/>
          <w:szCs w:val="24"/>
        </w:rPr>
        <w:t xml:space="preserve"> countries like South Korea, Japan, Poland, and Germany, among others, might become nuclear latent states or </w:t>
      </w:r>
      <w:proofErr w:type="spellStart"/>
      <w:r w:rsidR="00170494" w:rsidRPr="004600F7">
        <w:rPr>
          <w:sz w:val="24"/>
          <w:szCs w:val="24"/>
        </w:rPr>
        <w:t>proliferants</w:t>
      </w:r>
      <w:proofErr w:type="spellEnd"/>
      <w:r w:rsidR="00170494" w:rsidRPr="004600F7">
        <w:rPr>
          <w:sz w:val="24"/>
          <w:szCs w:val="24"/>
        </w:rPr>
        <w:t>,</w:t>
      </w:r>
      <w:r w:rsidR="005124F4" w:rsidRPr="004600F7">
        <w:rPr>
          <w:rStyle w:val="FootnoteReference"/>
          <w:sz w:val="24"/>
          <w:szCs w:val="24"/>
        </w:rPr>
        <w:footnoteReference w:id="111"/>
      </w:r>
      <w:r w:rsidR="00170494" w:rsidRPr="004600F7">
        <w:rPr>
          <w:sz w:val="24"/>
          <w:szCs w:val="24"/>
        </w:rPr>
        <w:t xml:space="preserve"> the detection function of the regime is arguably even more </w:t>
      </w:r>
      <w:r w:rsidR="00D55DD3" w:rsidRPr="004600F7">
        <w:rPr>
          <w:sz w:val="24"/>
          <w:szCs w:val="24"/>
        </w:rPr>
        <w:t>critical</w:t>
      </w:r>
      <w:r w:rsidR="00170494" w:rsidRPr="004600F7">
        <w:rPr>
          <w:sz w:val="24"/>
          <w:szCs w:val="24"/>
        </w:rPr>
        <w:t xml:space="preserve">. The earlier that the NPT and the IAEA </w:t>
      </w:r>
      <w:proofErr w:type="gramStart"/>
      <w:r w:rsidR="00170494" w:rsidRPr="004600F7">
        <w:rPr>
          <w:sz w:val="24"/>
          <w:szCs w:val="24"/>
        </w:rPr>
        <w:t>are able to</w:t>
      </w:r>
      <w:proofErr w:type="gramEnd"/>
      <w:r w:rsidR="00170494" w:rsidRPr="004600F7">
        <w:rPr>
          <w:sz w:val="24"/>
          <w:szCs w:val="24"/>
        </w:rPr>
        <w:t xml:space="preserve"> identify such behaviors and actors, the more that regional and international actors can do to either prevent proliferation or mitigate the consequences that might follow. Given the current state of US extended deterrence, one can even argue that the US might have less will or means to stop even its own allies from going nuclear or further</w:t>
      </w:r>
      <w:r w:rsidR="003823A9">
        <w:rPr>
          <w:rFonts w:hint="eastAsia"/>
          <w:sz w:val="24"/>
          <w:szCs w:val="24"/>
        </w:rPr>
        <w:t>ing</w:t>
      </w:r>
      <w:r w:rsidR="00170494" w:rsidRPr="004600F7">
        <w:rPr>
          <w:sz w:val="24"/>
          <w:szCs w:val="24"/>
        </w:rPr>
        <w:t xml:space="preserve"> their levels of nuclear latency.</w:t>
      </w:r>
      <w:r w:rsidR="00007E57" w:rsidRPr="004600F7">
        <w:rPr>
          <w:rStyle w:val="FootnoteReference"/>
          <w:sz w:val="24"/>
          <w:szCs w:val="24"/>
        </w:rPr>
        <w:footnoteReference w:id="112"/>
      </w:r>
      <w:r w:rsidR="00170494" w:rsidRPr="004600F7">
        <w:rPr>
          <w:sz w:val="24"/>
          <w:szCs w:val="24"/>
        </w:rPr>
        <w:t xml:space="preserve"> </w:t>
      </w:r>
      <w:r w:rsidR="004520F5" w:rsidRPr="004600F7">
        <w:rPr>
          <w:sz w:val="24"/>
          <w:szCs w:val="24"/>
        </w:rPr>
        <w:t xml:space="preserve">At this time when </w:t>
      </w:r>
      <w:proofErr w:type="gramStart"/>
      <w:r w:rsidR="004520F5" w:rsidRPr="004600F7">
        <w:rPr>
          <w:sz w:val="24"/>
          <w:szCs w:val="24"/>
        </w:rPr>
        <w:t xml:space="preserve">proliferation </w:t>
      </w:r>
      <w:r w:rsidR="00521112" w:rsidRPr="004600F7">
        <w:rPr>
          <w:sz w:val="24"/>
          <w:szCs w:val="24"/>
        </w:rPr>
        <w:t>concerns</w:t>
      </w:r>
      <w:proofErr w:type="gramEnd"/>
      <w:r w:rsidR="00521112" w:rsidRPr="004600F7">
        <w:rPr>
          <w:sz w:val="24"/>
          <w:szCs w:val="24"/>
        </w:rPr>
        <w:t xml:space="preserve"> abound</w:t>
      </w:r>
      <w:r w:rsidR="004520F5" w:rsidRPr="004600F7">
        <w:rPr>
          <w:sz w:val="24"/>
          <w:szCs w:val="24"/>
        </w:rPr>
        <w:t>,</w:t>
      </w:r>
      <w:r w:rsidR="00170494" w:rsidRPr="004600F7">
        <w:rPr>
          <w:sz w:val="24"/>
          <w:szCs w:val="24"/>
        </w:rPr>
        <w:t xml:space="preserve"> states</w:t>
      </w:r>
      <w:r w:rsidR="004520F5" w:rsidRPr="004600F7">
        <w:rPr>
          <w:sz w:val="24"/>
          <w:szCs w:val="24"/>
        </w:rPr>
        <w:t xml:space="preserve"> might consider strengthening support for </w:t>
      </w:r>
      <w:r w:rsidR="00170494" w:rsidRPr="004600F7">
        <w:rPr>
          <w:sz w:val="24"/>
          <w:szCs w:val="24"/>
        </w:rPr>
        <w:t>the NPT</w:t>
      </w:r>
      <w:r w:rsidR="004520F5" w:rsidRPr="004600F7">
        <w:rPr>
          <w:sz w:val="24"/>
          <w:szCs w:val="24"/>
        </w:rPr>
        <w:t xml:space="preserve"> and the IAEA. If so, it is worthwhile investing in figuring out </w:t>
      </w:r>
      <w:r w:rsidR="00FA456A" w:rsidRPr="004600F7">
        <w:rPr>
          <w:sz w:val="24"/>
          <w:szCs w:val="24"/>
        </w:rPr>
        <w:t xml:space="preserve">where and </w:t>
      </w:r>
      <w:r w:rsidR="004520F5" w:rsidRPr="004600F7">
        <w:rPr>
          <w:sz w:val="24"/>
          <w:szCs w:val="24"/>
        </w:rPr>
        <w:t>how to strengthen the system</w:t>
      </w:r>
      <w:r w:rsidR="00FA456A" w:rsidRPr="004600F7">
        <w:rPr>
          <w:sz w:val="24"/>
          <w:szCs w:val="24"/>
        </w:rPr>
        <w:t xml:space="preserve">. The detection framework provides one starting point. More creativity will be needed to figure out what more international institutions can do to </w:t>
      </w:r>
      <w:r w:rsidR="00521112" w:rsidRPr="004600F7">
        <w:rPr>
          <w:sz w:val="24"/>
          <w:szCs w:val="24"/>
        </w:rPr>
        <w:t>reinforce legal mandates and constraints</w:t>
      </w:r>
      <w:r w:rsidR="00FA456A" w:rsidRPr="004600F7">
        <w:rPr>
          <w:sz w:val="24"/>
          <w:szCs w:val="24"/>
        </w:rPr>
        <w:t xml:space="preserve"> when major power competition and a bleak arms control future </w:t>
      </w:r>
      <w:r w:rsidR="00521112" w:rsidRPr="004600F7">
        <w:rPr>
          <w:sz w:val="24"/>
          <w:szCs w:val="24"/>
        </w:rPr>
        <w:t>eclipse international politics.</w:t>
      </w:r>
    </w:p>
    <w:p w14:paraId="269EDD6D" w14:textId="637AC418" w:rsidR="00521FBC" w:rsidRDefault="00521FBC" w:rsidP="00111EB4">
      <w:pPr>
        <w:spacing w:after="0" w:line="480" w:lineRule="auto"/>
        <w:rPr>
          <w:sz w:val="24"/>
          <w:szCs w:val="24"/>
        </w:rPr>
      </w:pPr>
    </w:p>
    <w:p w14:paraId="5B368C96" w14:textId="77777777" w:rsidR="002F4489" w:rsidRDefault="002F4489" w:rsidP="00111EB4">
      <w:pPr>
        <w:spacing w:after="0" w:line="480" w:lineRule="auto"/>
        <w:rPr>
          <w:sz w:val="24"/>
          <w:szCs w:val="24"/>
        </w:rPr>
      </w:pPr>
    </w:p>
    <w:p w14:paraId="0D5A75C3" w14:textId="77777777" w:rsidR="002F4489" w:rsidRDefault="002F4489" w:rsidP="00111EB4">
      <w:pPr>
        <w:spacing w:after="0" w:line="480" w:lineRule="auto"/>
        <w:rPr>
          <w:sz w:val="24"/>
          <w:szCs w:val="24"/>
        </w:rPr>
      </w:pPr>
    </w:p>
    <w:p w14:paraId="3FF0E30C" w14:textId="77777777" w:rsidR="002F4489" w:rsidRDefault="002F4489" w:rsidP="00111EB4">
      <w:pPr>
        <w:spacing w:after="0" w:line="480" w:lineRule="auto"/>
        <w:rPr>
          <w:sz w:val="24"/>
          <w:szCs w:val="24"/>
        </w:rPr>
      </w:pPr>
    </w:p>
    <w:p w14:paraId="0702E556" w14:textId="77777777" w:rsidR="002F4489" w:rsidRDefault="002F4489" w:rsidP="00FA6900">
      <w:pPr>
        <w:spacing w:after="0" w:line="240" w:lineRule="auto"/>
        <w:rPr>
          <w:sz w:val="24"/>
          <w:szCs w:val="24"/>
        </w:rPr>
      </w:pPr>
    </w:p>
    <w:p w14:paraId="6AD90FD2" w14:textId="64655C56" w:rsidR="00170494" w:rsidRDefault="00170494" w:rsidP="00FA6900">
      <w:pPr>
        <w:spacing w:after="0" w:line="240" w:lineRule="auto"/>
        <w:rPr>
          <w:sz w:val="24"/>
          <w:szCs w:val="24"/>
        </w:rPr>
      </w:pPr>
    </w:p>
    <w:p w14:paraId="5AAC1CCD" w14:textId="77777777" w:rsidR="00FA6900" w:rsidRDefault="00FA6900" w:rsidP="00FA6900">
      <w:pPr>
        <w:spacing w:after="0" w:line="240" w:lineRule="auto"/>
        <w:rPr>
          <w:sz w:val="24"/>
          <w:szCs w:val="24"/>
        </w:rPr>
      </w:pPr>
    </w:p>
    <w:p w14:paraId="1A3E1404" w14:textId="77777777" w:rsidR="00FA6900" w:rsidRDefault="00FA6900" w:rsidP="00FA6900">
      <w:pPr>
        <w:spacing w:after="0" w:line="240" w:lineRule="auto"/>
        <w:rPr>
          <w:sz w:val="24"/>
          <w:szCs w:val="24"/>
        </w:rPr>
      </w:pPr>
    </w:p>
    <w:p w14:paraId="4877B676" w14:textId="77777777" w:rsidR="00FA6900" w:rsidRDefault="00FA6900" w:rsidP="00FA6900">
      <w:pPr>
        <w:spacing w:after="0" w:line="240" w:lineRule="auto"/>
        <w:rPr>
          <w:sz w:val="24"/>
          <w:szCs w:val="24"/>
        </w:rPr>
      </w:pPr>
    </w:p>
    <w:p w14:paraId="6343A4A9" w14:textId="0C1CCE4B" w:rsidR="00912FDA" w:rsidRPr="004600F7" w:rsidRDefault="00912FDA" w:rsidP="00912FDA">
      <w:pPr>
        <w:spacing w:after="0" w:line="240" w:lineRule="auto"/>
        <w:outlineLvl w:val="0"/>
        <w:rPr>
          <w:b/>
          <w:bCs/>
          <w:sz w:val="24"/>
          <w:szCs w:val="24"/>
        </w:rPr>
      </w:pPr>
      <w:r w:rsidRPr="004600F7">
        <w:rPr>
          <w:b/>
          <w:bCs/>
          <w:sz w:val="24"/>
          <w:szCs w:val="24"/>
        </w:rPr>
        <w:lastRenderedPageBreak/>
        <w:t>Reference</w:t>
      </w:r>
    </w:p>
    <w:p w14:paraId="19595B64" w14:textId="77777777" w:rsidR="00D57D72" w:rsidRDefault="00D57D72" w:rsidP="00DC5C70">
      <w:pPr>
        <w:spacing w:after="0" w:line="240" w:lineRule="auto"/>
        <w:ind w:left="144" w:hanging="144"/>
        <w:rPr>
          <w:sz w:val="24"/>
          <w:szCs w:val="24"/>
        </w:rPr>
      </w:pPr>
    </w:p>
    <w:p w14:paraId="5917017E" w14:textId="003604ED" w:rsidR="00DC5C70" w:rsidRPr="004600F7" w:rsidRDefault="00DC5C70" w:rsidP="00DC5C70">
      <w:pPr>
        <w:spacing w:after="0" w:line="240" w:lineRule="auto"/>
        <w:ind w:left="144" w:hanging="144"/>
        <w:rPr>
          <w:sz w:val="24"/>
          <w:szCs w:val="24"/>
        </w:rPr>
      </w:pPr>
      <w:bookmarkStart w:id="1" w:name="_Hlk218504158"/>
      <w:r w:rsidRPr="004600F7">
        <w:rPr>
          <w:sz w:val="24"/>
          <w:szCs w:val="24"/>
        </w:rPr>
        <w:t xml:space="preserve">Abe, </w:t>
      </w:r>
      <w:proofErr w:type="spellStart"/>
      <w:r w:rsidRPr="004600F7">
        <w:rPr>
          <w:sz w:val="24"/>
          <w:szCs w:val="24"/>
        </w:rPr>
        <w:t>Nobuyasu</w:t>
      </w:r>
      <w:proofErr w:type="spellEnd"/>
      <w:r w:rsidRPr="004600F7">
        <w:rPr>
          <w:sz w:val="24"/>
          <w:szCs w:val="24"/>
        </w:rPr>
        <w:t xml:space="preserve">. “The NPT at Fifty: Successes and Failures.” </w:t>
      </w:r>
      <w:r w:rsidRPr="004600F7">
        <w:rPr>
          <w:i/>
          <w:iCs/>
          <w:sz w:val="24"/>
          <w:szCs w:val="24"/>
        </w:rPr>
        <w:t>Journal for Peace and Nuclear Disarmament</w:t>
      </w:r>
      <w:r w:rsidRPr="004600F7">
        <w:rPr>
          <w:sz w:val="24"/>
          <w:szCs w:val="24"/>
        </w:rPr>
        <w:t xml:space="preserve"> 3(2</w:t>
      </w:r>
      <w:r w:rsidR="00D57D72">
        <w:rPr>
          <w:sz w:val="24"/>
          <w:szCs w:val="24"/>
        </w:rPr>
        <w:t>) (2020</w:t>
      </w:r>
      <w:r w:rsidRPr="004600F7">
        <w:rPr>
          <w:sz w:val="24"/>
          <w:szCs w:val="24"/>
        </w:rPr>
        <w:t>)</w:t>
      </w:r>
      <w:r w:rsidR="00D57D72">
        <w:rPr>
          <w:sz w:val="24"/>
          <w:szCs w:val="24"/>
        </w:rPr>
        <w:t>,</w:t>
      </w:r>
      <w:r w:rsidRPr="004600F7">
        <w:rPr>
          <w:sz w:val="24"/>
          <w:szCs w:val="24"/>
        </w:rPr>
        <w:t xml:space="preserve"> 224-233.</w:t>
      </w:r>
      <w:r w:rsidR="00D57D72">
        <w:rPr>
          <w:sz w:val="24"/>
          <w:szCs w:val="24"/>
        </w:rPr>
        <w:t xml:space="preserve"> DOI</w:t>
      </w:r>
      <w:r w:rsidRPr="004600F7">
        <w:rPr>
          <w:sz w:val="24"/>
          <w:szCs w:val="24"/>
        </w:rPr>
        <w:t xml:space="preserve"> </w:t>
      </w:r>
      <w:hyperlink r:id="rId10" w:history="1">
        <w:r w:rsidRPr="004600F7">
          <w:rPr>
            <w:rStyle w:val="Hyperlink"/>
            <w:sz w:val="24"/>
            <w:szCs w:val="24"/>
          </w:rPr>
          <w:t>10.1080/25751654.2020.1824500</w:t>
        </w:r>
      </w:hyperlink>
      <w:r w:rsidRPr="004600F7">
        <w:rPr>
          <w:rFonts w:hint="eastAsia"/>
          <w:sz w:val="24"/>
          <w:szCs w:val="24"/>
        </w:rPr>
        <w:t xml:space="preserve"> </w:t>
      </w:r>
    </w:p>
    <w:p w14:paraId="3F1D1D0D" w14:textId="072D6A6D" w:rsidR="00872FFA" w:rsidRPr="00872FFA" w:rsidRDefault="00872FFA" w:rsidP="005D110C">
      <w:pPr>
        <w:spacing w:after="0" w:line="240" w:lineRule="auto"/>
        <w:ind w:left="144" w:hanging="144"/>
        <w:rPr>
          <w:sz w:val="24"/>
          <w:szCs w:val="24"/>
        </w:rPr>
      </w:pPr>
      <w:r>
        <w:rPr>
          <w:rFonts w:hint="eastAsia"/>
          <w:sz w:val="24"/>
          <w:szCs w:val="24"/>
        </w:rPr>
        <w:t xml:space="preserve">Abbott, Kenneth W. </w:t>
      </w:r>
      <w:r>
        <w:rPr>
          <w:sz w:val="24"/>
          <w:szCs w:val="24"/>
        </w:rPr>
        <w:t>“</w:t>
      </w:r>
      <w:r>
        <w:rPr>
          <w:rFonts w:hint="eastAsia"/>
          <w:sz w:val="24"/>
          <w:szCs w:val="24"/>
        </w:rPr>
        <w:t xml:space="preserve">Trust </w:t>
      </w:r>
      <w:proofErr w:type="gramStart"/>
      <w:r>
        <w:rPr>
          <w:rFonts w:hint="eastAsia"/>
          <w:sz w:val="24"/>
          <w:szCs w:val="24"/>
        </w:rPr>
        <w:t>But</w:t>
      </w:r>
      <w:proofErr w:type="gramEnd"/>
      <w:r>
        <w:rPr>
          <w:rFonts w:hint="eastAsia"/>
          <w:sz w:val="24"/>
          <w:szCs w:val="24"/>
        </w:rPr>
        <w:t xml:space="preserve"> Verify: The Production of Information in Arms Control Treaties and Other International Agreements.</w:t>
      </w:r>
      <w:r>
        <w:rPr>
          <w:sz w:val="24"/>
          <w:szCs w:val="24"/>
        </w:rPr>
        <w:t>”</w:t>
      </w:r>
      <w:r>
        <w:rPr>
          <w:rFonts w:hint="eastAsia"/>
          <w:sz w:val="24"/>
          <w:szCs w:val="24"/>
        </w:rPr>
        <w:t xml:space="preserve"> </w:t>
      </w:r>
      <w:r w:rsidRPr="00872FFA">
        <w:rPr>
          <w:rFonts w:hint="eastAsia"/>
          <w:i/>
          <w:iCs/>
          <w:sz w:val="24"/>
          <w:szCs w:val="24"/>
        </w:rPr>
        <w:t>Cornell International Law Journal</w:t>
      </w:r>
      <w:r>
        <w:rPr>
          <w:rFonts w:hint="eastAsia"/>
          <w:sz w:val="24"/>
          <w:szCs w:val="24"/>
        </w:rPr>
        <w:t xml:space="preserve"> 26(1) (1993), 1-58.</w:t>
      </w:r>
    </w:p>
    <w:p w14:paraId="74C61844" w14:textId="5493A490" w:rsidR="00776381" w:rsidRDefault="00776381" w:rsidP="005D110C">
      <w:pPr>
        <w:spacing w:after="0" w:line="240" w:lineRule="auto"/>
        <w:ind w:left="144" w:hanging="144"/>
        <w:rPr>
          <w:sz w:val="24"/>
          <w:szCs w:val="24"/>
        </w:rPr>
      </w:pPr>
      <w:r>
        <w:rPr>
          <w:rFonts w:hint="eastAsia"/>
          <w:sz w:val="24"/>
          <w:szCs w:val="24"/>
        </w:rPr>
        <w:t xml:space="preserve">Albright, David. </w:t>
      </w:r>
      <w:r>
        <w:rPr>
          <w:sz w:val="24"/>
          <w:szCs w:val="24"/>
        </w:rPr>
        <w:t>“</w:t>
      </w:r>
      <w:r>
        <w:rPr>
          <w:rFonts w:hint="eastAsia"/>
          <w:sz w:val="24"/>
          <w:szCs w:val="24"/>
        </w:rPr>
        <w:t>North Korean Plutonium Production.</w:t>
      </w:r>
      <w:r>
        <w:rPr>
          <w:sz w:val="24"/>
          <w:szCs w:val="24"/>
        </w:rPr>
        <w:t>”</w:t>
      </w:r>
      <w:r>
        <w:rPr>
          <w:rFonts w:hint="eastAsia"/>
          <w:sz w:val="24"/>
          <w:szCs w:val="24"/>
        </w:rPr>
        <w:t xml:space="preserve"> </w:t>
      </w:r>
      <w:r w:rsidRPr="00776381">
        <w:rPr>
          <w:rFonts w:hint="eastAsia"/>
          <w:i/>
          <w:iCs/>
          <w:sz w:val="24"/>
          <w:szCs w:val="24"/>
        </w:rPr>
        <w:t>Science &amp; Global Security</w:t>
      </w:r>
      <w:r>
        <w:rPr>
          <w:rFonts w:hint="eastAsia"/>
          <w:sz w:val="24"/>
          <w:szCs w:val="24"/>
        </w:rPr>
        <w:t xml:space="preserve"> 5(1) (1994), 63-87.</w:t>
      </w:r>
    </w:p>
    <w:p w14:paraId="0C79AE77" w14:textId="413A4DC3" w:rsidR="00B233EF" w:rsidRPr="004600F7" w:rsidRDefault="00B233EF" w:rsidP="005D110C">
      <w:pPr>
        <w:spacing w:after="0" w:line="240" w:lineRule="auto"/>
        <w:ind w:left="144" w:hanging="144"/>
        <w:rPr>
          <w:sz w:val="24"/>
          <w:szCs w:val="24"/>
        </w:rPr>
      </w:pPr>
      <w:r w:rsidRPr="004600F7">
        <w:rPr>
          <w:sz w:val="24"/>
          <w:szCs w:val="24"/>
        </w:rPr>
        <w:t xml:space="preserve">Azaran, Amir. “NPT, Where Art Thou? The Nonproliferation Treaty and Bargaining: Iran as a Case Study.” </w:t>
      </w:r>
      <w:r w:rsidRPr="004600F7">
        <w:rPr>
          <w:i/>
          <w:iCs/>
          <w:sz w:val="24"/>
          <w:szCs w:val="24"/>
        </w:rPr>
        <w:t>Chicago Journal of International Law</w:t>
      </w:r>
      <w:r w:rsidRPr="004600F7">
        <w:rPr>
          <w:sz w:val="24"/>
          <w:szCs w:val="24"/>
        </w:rPr>
        <w:t xml:space="preserve"> 6(1)</w:t>
      </w:r>
      <w:r w:rsidR="00D57D72">
        <w:rPr>
          <w:sz w:val="24"/>
          <w:szCs w:val="24"/>
        </w:rPr>
        <w:t xml:space="preserve"> (2005),</w:t>
      </w:r>
      <w:r w:rsidRPr="004600F7">
        <w:rPr>
          <w:sz w:val="24"/>
          <w:szCs w:val="24"/>
        </w:rPr>
        <w:t xml:space="preserve"> 415-425.</w:t>
      </w:r>
    </w:p>
    <w:p w14:paraId="1B51282E" w14:textId="1B704BC1" w:rsidR="008E5FFF" w:rsidRPr="004600F7" w:rsidRDefault="008E5FFF" w:rsidP="005D110C">
      <w:pPr>
        <w:spacing w:after="0" w:line="240" w:lineRule="auto"/>
        <w:ind w:left="144" w:hanging="144"/>
        <w:rPr>
          <w:sz w:val="24"/>
          <w:szCs w:val="24"/>
        </w:rPr>
      </w:pPr>
      <w:r w:rsidRPr="004600F7">
        <w:rPr>
          <w:rFonts w:hint="eastAsia"/>
          <w:sz w:val="24"/>
          <w:szCs w:val="24"/>
        </w:rPr>
        <w:t xml:space="preserve">Baldus, Jana, Harald </w:t>
      </w:r>
      <w:r w:rsidRPr="004600F7">
        <w:rPr>
          <w:sz w:val="24"/>
          <w:szCs w:val="24"/>
        </w:rPr>
        <w:t>Müller</w:t>
      </w:r>
      <w:r w:rsidRPr="004600F7">
        <w:rPr>
          <w:rFonts w:hint="eastAsia"/>
          <w:sz w:val="24"/>
          <w:szCs w:val="24"/>
        </w:rPr>
        <w:t xml:space="preserve">, and Carmen Wunderlich. </w:t>
      </w:r>
      <w:r w:rsidRPr="004600F7">
        <w:rPr>
          <w:sz w:val="24"/>
          <w:szCs w:val="24"/>
        </w:rPr>
        <w:t>“</w:t>
      </w:r>
      <w:r w:rsidRPr="004600F7">
        <w:rPr>
          <w:rFonts w:hint="eastAsia"/>
          <w:sz w:val="24"/>
          <w:szCs w:val="24"/>
        </w:rPr>
        <w:t>T</w:t>
      </w:r>
      <w:r w:rsidRPr="004600F7">
        <w:rPr>
          <w:sz w:val="24"/>
          <w:szCs w:val="24"/>
        </w:rPr>
        <w:t>h</w:t>
      </w:r>
      <w:r w:rsidRPr="004600F7">
        <w:rPr>
          <w:rFonts w:hint="eastAsia"/>
          <w:sz w:val="24"/>
          <w:szCs w:val="24"/>
        </w:rPr>
        <w:t xml:space="preserve">e global nuclear order and the crisis of the nuclear non-proliferation regime: Taking stock and moving </w:t>
      </w:r>
      <w:r w:rsidRPr="004600F7">
        <w:rPr>
          <w:sz w:val="24"/>
          <w:szCs w:val="24"/>
        </w:rPr>
        <w:t>forward</w:t>
      </w:r>
      <w:r w:rsidRPr="004600F7">
        <w:rPr>
          <w:rFonts w:hint="eastAsia"/>
          <w:sz w:val="24"/>
          <w:szCs w:val="24"/>
        </w:rPr>
        <w:t>.</w:t>
      </w:r>
      <w:r w:rsidRPr="004600F7">
        <w:rPr>
          <w:sz w:val="24"/>
          <w:szCs w:val="24"/>
        </w:rPr>
        <w:t>”</w:t>
      </w:r>
      <w:r w:rsidRPr="004600F7">
        <w:rPr>
          <w:rFonts w:hint="eastAsia"/>
          <w:sz w:val="24"/>
          <w:szCs w:val="24"/>
        </w:rPr>
        <w:t xml:space="preserve"> </w:t>
      </w:r>
      <w:r w:rsidRPr="004600F7">
        <w:rPr>
          <w:i/>
          <w:iCs/>
          <w:sz w:val="24"/>
          <w:szCs w:val="24"/>
        </w:rPr>
        <w:t xml:space="preserve">Z Friedens und </w:t>
      </w:r>
      <w:proofErr w:type="spellStart"/>
      <w:r w:rsidRPr="004600F7">
        <w:rPr>
          <w:i/>
          <w:iCs/>
          <w:sz w:val="24"/>
          <w:szCs w:val="24"/>
        </w:rPr>
        <w:t>Konflforsch</w:t>
      </w:r>
      <w:proofErr w:type="spellEnd"/>
      <w:r w:rsidRPr="004600F7">
        <w:rPr>
          <w:rFonts w:hint="eastAsia"/>
          <w:sz w:val="24"/>
          <w:szCs w:val="24"/>
        </w:rPr>
        <w:t xml:space="preserve"> 10</w:t>
      </w:r>
      <w:r w:rsidR="00D57D72">
        <w:rPr>
          <w:sz w:val="24"/>
          <w:szCs w:val="24"/>
        </w:rPr>
        <w:t xml:space="preserve"> (2021),</w:t>
      </w:r>
      <w:r w:rsidRPr="004600F7">
        <w:rPr>
          <w:rFonts w:hint="eastAsia"/>
          <w:sz w:val="24"/>
          <w:szCs w:val="24"/>
        </w:rPr>
        <w:t xml:space="preserve"> 195-219.</w:t>
      </w:r>
      <w:r w:rsidR="00D57D72">
        <w:rPr>
          <w:sz w:val="24"/>
          <w:szCs w:val="24"/>
        </w:rPr>
        <w:t xml:space="preserve"> DOI</w:t>
      </w:r>
      <w:r w:rsidR="00FD7994" w:rsidRPr="004600F7">
        <w:rPr>
          <w:rFonts w:hint="eastAsia"/>
          <w:sz w:val="24"/>
          <w:szCs w:val="24"/>
        </w:rPr>
        <w:t xml:space="preserve"> </w:t>
      </w:r>
      <w:hyperlink r:id="rId11" w:history="1">
        <w:r w:rsidR="00FD7994" w:rsidRPr="004600F7">
          <w:rPr>
            <w:rStyle w:val="Hyperlink"/>
            <w:sz w:val="24"/>
            <w:szCs w:val="24"/>
          </w:rPr>
          <w:t>10.1007/s42597-021-00066-0</w:t>
        </w:r>
      </w:hyperlink>
      <w:r w:rsidR="00FD7994" w:rsidRPr="004600F7">
        <w:rPr>
          <w:rFonts w:hint="eastAsia"/>
          <w:sz w:val="24"/>
          <w:szCs w:val="24"/>
        </w:rPr>
        <w:t xml:space="preserve"> </w:t>
      </w:r>
    </w:p>
    <w:p w14:paraId="23AAD657" w14:textId="456760E0" w:rsidR="00521FBC" w:rsidRPr="00521FBC" w:rsidRDefault="00521FBC" w:rsidP="005D110C">
      <w:pPr>
        <w:spacing w:after="0" w:line="240" w:lineRule="auto"/>
        <w:ind w:left="144" w:hanging="144"/>
        <w:rPr>
          <w:sz w:val="24"/>
          <w:szCs w:val="24"/>
        </w:rPr>
      </w:pPr>
      <w:r>
        <w:rPr>
          <w:rFonts w:hint="eastAsia"/>
          <w:sz w:val="24"/>
          <w:szCs w:val="24"/>
        </w:rPr>
        <w:t xml:space="preserve">Barnett, Michael N., and Martha Finnemore. </w:t>
      </w:r>
      <w:r>
        <w:rPr>
          <w:sz w:val="24"/>
          <w:szCs w:val="24"/>
        </w:rPr>
        <w:t>“</w:t>
      </w:r>
      <w:r>
        <w:rPr>
          <w:rFonts w:hint="eastAsia"/>
          <w:sz w:val="24"/>
          <w:szCs w:val="24"/>
        </w:rPr>
        <w:t>The Politics, Power, and Pathologies of International Organizations.</w:t>
      </w:r>
      <w:r>
        <w:rPr>
          <w:sz w:val="24"/>
          <w:szCs w:val="24"/>
        </w:rPr>
        <w:t>”</w:t>
      </w:r>
      <w:r>
        <w:rPr>
          <w:rFonts w:hint="eastAsia"/>
          <w:sz w:val="24"/>
          <w:szCs w:val="24"/>
        </w:rPr>
        <w:t xml:space="preserve"> </w:t>
      </w:r>
      <w:r w:rsidRPr="00521FBC">
        <w:rPr>
          <w:rFonts w:hint="eastAsia"/>
          <w:i/>
          <w:iCs/>
          <w:sz w:val="24"/>
          <w:szCs w:val="24"/>
        </w:rPr>
        <w:t>International Organization</w:t>
      </w:r>
      <w:r>
        <w:rPr>
          <w:rFonts w:hint="eastAsia"/>
          <w:sz w:val="24"/>
          <w:szCs w:val="24"/>
        </w:rPr>
        <w:t xml:space="preserve"> 53(4) (1999): 699-732. DOI </w:t>
      </w:r>
      <w:hyperlink r:id="rId12" w:history="1">
        <w:r w:rsidRPr="00654850">
          <w:rPr>
            <w:rStyle w:val="Hyperlink"/>
            <w:sz w:val="24"/>
            <w:szCs w:val="24"/>
          </w:rPr>
          <w:t>10.1162/002081899551048</w:t>
        </w:r>
      </w:hyperlink>
      <w:r>
        <w:rPr>
          <w:rFonts w:hint="eastAsia"/>
          <w:sz w:val="24"/>
          <w:szCs w:val="24"/>
        </w:rPr>
        <w:t xml:space="preserve">  </w:t>
      </w:r>
    </w:p>
    <w:p w14:paraId="30FBDEF3" w14:textId="0EC4818E" w:rsidR="00865E41" w:rsidRPr="004600F7" w:rsidRDefault="00865E41" w:rsidP="005D110C">
      <w:pPr>
        <w:spacing w:after="0" w:line="240" w:lineRule="auto"/>
        <w:ind w:left="144" w:hanging="144"/>
        <w:rPr>
          <w:sz w:val="24"/>
          <w:szCs w:val="24"/>
        </w:rPr>
      </w:pPr>
      <w:r w:rsidRPr="004600F7">
        <w:rPr>
          <w:sz w:val="24"/>
          <w:szCs w:val="24"/>
        </w:rPr>
        <w:t xml:space="preserve">Bas, Muhammet, and Andrew Coe. “Give Peace a (Second) Chance: A Theory of Nonproliferation Deals.” </w:t>
      </w:r>
      <w:r w:rsidRPr="004600F7">
        <w:rPr>
          <w:i/>
          <w:iCs/>
          <w:sz w:val="24"/>
          <w:szCs w:val="24"/>
        </w:rPr>
        <w:t>International Studies Quarterly</w:t>
      </w:r>
      <w:r w:rsidRPr="004600F7">
        <w:rPr>
          <w:sz w:val="24"/>
          <w:szCs w:val="24"/>
        </w:rPr>
        <w:t xml:space="preserve"> 62(3)</w:t>
      </w:r>
      <w:r w:rsidR="00D57D72">
        <w:rPr>
          <w:sz w:val="24"/>
          <w:szCs w:val="24"/>
        </w:rPr>
        <w:t xml:space="preserve"> (2018),</w:t>
      </w:r>
      <w:r w:rsidRPr="004600F7">
        <w:rPr>
          <w:sz w:val="24"/>
          <w:szCs w:val="24"/>
        </w:rPr>
        <w:t xml:space="preserve"> 606-617.</w:t>
      </w:r>
      <w:r w:rsidR="00EE16CE" w:rsidRPr="004600F7">
        <w:rPr>
          <w:sz w:val="24"/>
          <w:szCs w:val="24"/>
        </w:rPr>
        <w:t xml:space="preserve"> </w:t>
      </w:r>
      <w:r w:rsidR="00D57D72">
        <w:rPr>
          <w:sz w:val="24"/>
          <w:szCs w:val="24"/>
        </w:rPr>
        <w:t xml:space="preserve">DOI </w:t>
      </w:r>
      <w:hyperlink r:id="rId13" w:history="1">
        <w:r w:rsidR="00EE16CE" w:rsidRPr="004600F7">
          <w:rPr>
            <w:rStyle w:val="Hyperlink"/>
            <w:sz w:val="24"/>
            <w:szCs w:val="24"/>
          </w:rPr>
          <w:t>10.1093/</w:t>
        </w:r>
        <w:proofErr w:type="spellStart"/>
        <w:r w:rsidR="00EE16CE" w:rsidRPr="004600F7">
          <w:rPr>
            <w:rStyle w:val="Hyperlink"/>
            <w:sz w:val="24"/>
            <w:szCs w:val="24"/>
          </w:rPr>
          <w:t>isq</w:t>
        </w:r>
        <w:proofErr w:type="spellEnd"/>
        <w:r w:rsidR="00EE16CE" w:rsidRPr="004600F7">
          <w:rPr>
            <w:rStyle w:val="Hyperlink"/>
            <w:sz w:val="24"/>
            <w:szCs w:val="24"/>
          </w:rPr>
          <w:t>/sqy015</w:t>
        </w:r>
      </w:hyperlink>
      <w:r w:rsidR="00EE16CE" w:rsidRPr="004600F7">
        <w:rPr>
          <w:sz w:val="24"/>
          <w:szCs w:val="24"/>
        </w:rPr>
        <w:t xml:space="preserve"> </w:t>
      </w:r>
    </w:p>
    <w:p w14:paraId="6E59675E" w14:textId="4BFB2123" w:rsidR="00A50286" w:rsidRPr="004600F7" w:rsidRDefault="00A50286" w:rsidP="005D110C">
      <w:pPr>
        <w:spacing w:after="0" w:line="240" w:lineRule="auto"/>
        <w:ind w:left="144" w:hanging="144"/>
        <w:rPr>
          <w:sz w:val="24"/>
          <w:szCs w:val="24"/>
        </w:rPr>
      </w:pPr>
      <w:r w:rsidRPr="004600F7">
        <w:rPr>
          <w:sz w:val="24"/>
          <w:szCs w:val="24"/>
        </w:rPr>
        <w:t xml:space="preserve">Betts, Richard K. “Universal Deterrence or Conceptual Collapse? Liberal Pessimism and Utopian Realism.” In </w:t>
      </w:r>
      <w:r w:rsidRPr="004600F7">
        <w:rPr>
          <w:i/>
          <w:iCs/>
          <w:sz w:val="24"/>
          <w:szCs w:val="24"/>
        </w:rPr>
        <w:t>The Coming Crisis: Nuclear Proliferation, U.S. Interests, and World Order</w:t>
      </w:r>
      <w:r w:rsidRPr="004600F7">
        <w:rPr>
          <w:sz w:val="24"/>
          <w:szCs w:val="24"/>
        </w:rPr>
        <w:t>, ed</w:t>
      </w:r>
      <w:r w:rsidR="00D57D72">
        <w:rPr>
          <w:sz w:val="24"/>
          <w:szCs w:val="24"/>
        </w:rPr>
        <w:t>.</w:t>
      </w:r>
      <w:r w:rsidRPr="004600F7">
        <w:rPr>
          <w:sz w:val="24"/>
          <w:szCs w:val="24"/>
        </w:rPr>
        <w:t xml:space="preserve"> Victor A. </w:t>
      </w:r>
      <w:proofErr w:type="spellStart"/>
      <w:r w:rsidRPr="004600F7">
        <w:rPr>
          <w:sz w:val="24"/>
          <w:szCs w:val="24"/>
        </w:rPr>
        <w:t>Utgoff</w:t>
      </w:r>
      <w:proofErr w:type="spellEnd"/>
      <w:r w:rsidRPr="004600F7">
        <w:rPr>
          <w:sz w:val="24"/>
          <w:szCs w:val="24"/>
        </w:rPr>
        <w:t xml:space="preserve"> </w:t>
      </w:r>
      <w:r w:rsidR="00D57D72">
        <w:rPr>
          <w:sz w:val="24"/>
          <w:szCs w:val="24"/>
        </w:rPr>
        <w:t>(</w:t>
      </w:r>
      <w:r w:rsidRPr="004600F7">
        <w:rPr>
          <w:sz w:val="24"/>
          <w:szCs w:val="24"/>
        </w:rPr>
        <w:t>Cambridge: MIT Press</w:t>
      </w:r>
      <w:r w:rsidR="00D57D72">
        <w:rPr>
          <w:sz w:val="24"/>
          <w:szCs w:val="24"/>
        </w:rPr>
        <w:t>, 2000),</w:t>
      </w:r>
      <w:r w:rsidR="00D57D72" w:rsidRPr="004600F7">
        <w:rPr>
          <w:sz w:val="24"/>
          <w:szCs w:val="24"/>
        </w:rPr>
        <w:t xml:space="preserve"> 51-85.</w:t>
      </w:r>
    </w:p>
    <w:p w14:paraId="1CDE4E19" w14:textId="29E79BFC" w:rsidR="00421147" w:rsidRPr="004600F7" w:rsidRDefault="00421147" w:rsidP="005D110C">
      <w:pPr>
        <w:spacing w:after="0" w:line="240" w:lineRule="auto"/>
        <w:ind w:left="144" w:hanging="144"/>
        <w:rPr>
          <w:sz w:val="24"/>
          <w:szCs w:val="24"/>
        </w:rPr>
      </w:pPr>
      <w:r w:rsidRPr="004600F7">
        <w:rPr>
          <w:sz w:val="24"/>
          <w:szCs w:val="24"/>
        </w:rPr>
        <w:t>Blix, H</w:t>
      </w:r>
      <w:r w:rsidR="008D4271" w:rsidRPr="004600F7">
        <w:rPr>
          <w:sz w:val="24"/>
          <w:szCs w:val="24"/>
        </w:rPr>
        <w:t>ans</w:t>
      </w:r>
      <w:r w:rsidR="00D57D72">
        <w:rPr>
          <w:sz w:val="24"/>
          <w:szCs w:val="24"/>
        </w:rPr>
        <w:t>.</w:t>
      </w:r>
      <w:r w:rsidRPr="004600F7">
        <w:rPr>
          <w:sz w:val="24"/>
          <w:szCs w:val="24"/>
        </w:rPr>
        <w:t xml:space="preserve"> </w:t>
      </w:r>
      <w:r w:rsidR="00E112DE" w:rsidRPr="004600F7">
        <w:rPr>
          <w:sz w:val="24"/>
          <w:szCs w:val="24"/>
        </w:rPr>
        <w:t>“</w:t>
      </w:r>
      <w:r w:rsidRPr="004600F7">
        <w:rPr>
          <w:sz w:val="24"/>
          <w:szCs w:val="24"/>
        </w:rPr>
        <w:t xml:space="preserve">Introduction: The Present Nuclear Order, How It Came About, and Why It May Not Last.” In </w:t>
      </w:r>
      <w:r w:rsidR="00E112DE" w:rsidRPr="004600F7">
        <w:rPr>
          <w:i/>
          <w:iCs/>
          <w:sz w:val="24"/>
          <w:szCs w:val="24"/>
        </w:rPr>
        <w:t>Nuclear Proliferation and International Order: Challenges to the Non-Proliferation Treaty</w:t>
      </w:r>
      <w:r w:rsidR="00E112DE" w:rsidRPr="004600F7">
        <w:rPr>
          <w:sz w:val="24"/>
          <w:szCs w:val="24"/>
        </w:rPr>
        <w:t>, ed</w:t>
      </w:r>
      <w:r w:rsidR="00D57D72">
        <w:rPr>
          <w:sz w:val="24"/>
          <w:szCs w:val="24"/>
        </w:rPr>
        <w:t>.</w:t>
      </w:r>
      <w:r w:rsidR="00E112DE" w:rsidRPr="004600F7">
        <w:rPr>
          <w:sz w:val="24"/>
          <w:szCs w:val="24"/>
        </w:rPr>
        <w:t xml:space="preserve"> </w:t>
      </w:r>
      <w:r w:rsidRPr="004600F7">
        <w:rPr>
          <w:sz w:val="24"/>
          <w:szCs w:val="24"/>
        </w:rPr>
        <w:t>O</w:t>
      </w:r>
      <w:r w:rsidR="00613366" w:rsidRPr="004600F7">
        <w:rPr>
          <w:sz w:val="24"/>
          <w:szCs w:val="24"/>
        </w:rPr>
        <w:t>lav</w:t>
      </w:r>
      <w:r w:rsidRPr="004600F7">
        <w:rPr>
          <w:sz w:val="24"/>
          <w:szCs w:val="24"/>
        </w:rPr>
        <w:t xml:space="preserve"> Njølstad </w:t>
      </w:r>
      <w:r w:rsidR="00D57D72">
        <w:rPr>
          <w:sz w:val="24"/>
          <w:szCs w:val="24"/>
        </w:rPr>
        <w:t xml:space="preserve">(London: </w:t>
      </w:r>
      <w:r w:rsidRPr="004600F7">
        <w:rPr>
          <w:sz w:val="24"/>
          <w:szCs w:val="24"/>
        </w:rPr>
        <w:t>Routledge</w:t>
      </w:r>
      <w:r w:rsidR="00D57D72">
        <w:rPr>
          <w:sz w:val="24"/>
          <w:szCs w:val="24"/>
        </w:rPr>
        <w:t>, 2011),</w:t>
      </w:r>
      <w:r w:rsidR="00D57D72" w:rsidRPr="00D57D72">
        <w:rPr>
          <w:sz w:val="24"/>
          <w:szCs w:val="24"/>
        </w:rPr>
        <w:t xml:space="preserve"> </w:t>
      </w:r>
      <w:r w:rsidR="00D57D72" w:rsidRPr="004600F7">
        <w:rPr>
          <w:sz w:val="24"/>
          <w:szCs w:val="24"/>
        </w:rPr>
        <w:t>1-10.</w:t>
      </w:r>
    </w:p>
    <w:p w14:paraId="2F064496" w14:textId="6F50D2AC" w:rsidR="00D11639" w:rsidRPr="004600F7" w:rsidRDefault="00D11639" w:rsidP="005D110C">
      <w:pPr>
        <w:spacing w:after="0" w:line="240" w:lineRule="auto"/>
        <w:ind w:left="144" w:hanging="144"/>
        <w:rPr>
          <w:sz w:val="24"/>
          <w:szCs w:val="24"/>
        </w:rPr>
      </w:pPr>
      <w:r w:rsidRPr="004600F7">
        <w:rPr>
          <w:sz w:val="24"/>
          <w:szCs w:val="24"/>
        </w:rPr>
        <w:t xml:space="preserve">Bohlen, Avis. “The Rise and Fall of Arms Control.” </w:t>
      </w:r>
      <w:r w:rsidRPr="004600F7">
        <w:rPr>
          <w:i/>
          <w:iCs/>
          <w:sz w:val="24"/>
          <w:szCs w:val="24"/>
        </w:rPr>
        <w:t>Survival</w:t>
      </w:r>
      <w:r w:rsidRPr="004600F7">
        <w:rPr>
          <w:sz w:val="24"/>
          <w:szCs w:val="24"/>
        </w:rPr>
        <w:t xml:space="preserve"> 45(3)</w:t>
      </w:r>
      <w:r w:rsidR="00D57D72">
        <w:rPr>
          <w:sz w:val="24"/>
          <w:szCs w:val="24"/>
        </w:rPr>
        <w:t xml:space="preserve"> (2003)</w:t>
      </w:r>
      <w:r w:rsidRPr="004600F7">
        <w:rPr>
          <w:sz w:val="24"/>
          <w:szCs w:val="24"/>
        </w:rPr>
        <w:t xml:space="preserve">, </w:t>
      </w:r>
      <w:r w:rsidR="004A015D" w:rsidRPr="004600F7">
        <w:rPr>
          <w:sz w:val="24"/>
          <w:szCs w:val="24"/>
        </w:rPr>
        <w:t>7-34.</w:t>
      </w:r>
    </w:p>
    <w:p w14:paraId="5DF2D0A8" w14:textId="36805A43" w:rsidR="007D272D" w:rsidRPr="007D272D" w:rsidRDefault="007D272D" w:rsidP="007D272D">
      <w:pPr>
        <w:spacing w:after="0" w:line="240" w:lineRule="auto"/>
        <w:ind w:left="144" w:hanging="144"/>
        <w:rPr>
          <w:rFonts w:eastAsia="Malgun Gothic"/>
          <w:sz w:val="24"/>
          <w:szCs w:val="24"/>
        </w:rPr>
      </w:pPr>
      <w:proofErr w:type="spellStart"/>
      <w:r w:rsidRPr="007D272D">
        <w:rPr>
          <w:rFonts w:eastAsia="Malgun Gothic"/>
          <w:sz w:val="24"/>
          <w:szCs w:val="24"/>
        </w:rPr>
        <w:t>Bourestan</w:t>
      </w:r>
      <w:proofErr w:type="spellEnd"/>
      <w:r w:rsidRPr="007D272D">
        <w:rPr>
          <w:rFonts w:eastAsia="Malgun Gothic"/>
          <w:sz w:val="24"/>
          <w:szCs w:val="24"/>
        </w:rPr>
        <w:t xml:space="preserve">, Jack, and Yana Feldman. “Verifying Libya’s nuclear disarmament.” In </w:t>
      </w:r>
      <w:r w:rsidRPr="007D272D">
        <w:rPr>
          <w:rFonts w:eastAsia="Malgun Gothic"/>
          <w:i/>
          <w:iCs/>
          <w:sz w:val="24"/>
          <w:szCs w:val="24"/>
        </w:rPr>
        <w:t>Verification Yearbook 2004</w:t>
      </w:r>
      <w:r w:rsidRPr="007D272D">
        <w:rPr>
          <w:rFonts w:eastAsia="Malgun Gothic"/>
          <w:sz w:val="24"/>
          <w:szCs w:val="24"/>
        </w:rPr>
        <w:t>, ed. Trevor Findlay (London: Verification Research, Training and Information Centre (VERTIC), 2004), 87-105.</w:t>
      </w:r>
    </w:p>
    <w:p w14:paraId="695918EE" w14:textId="52CB7ED0" w:rsidR="001E5968" w:rsidRPr="001E5968" w:rsidRDefault="001E5968" w:rsidP="00375D2E">
      <w:pPr>
        <w:spacing w:after="0" w:line="240" w:lineRule="auto"/>
        <w:ind w:left="144" w:hanging="144"/>
        <w:rPr>
          <w:sz w:val="24"/>
          <w:szCs w:val="24"/>
        </w:rPr>
      </w:pPr>
      <w:r>
        <w:rPr>
          <w:rFonts w:hint="eastAsia"/>
          <w:sz w:val="24"/>
          <w:szCs w:val="24"/>
        </w:rPr>
        <w:t xml:space="preserve">Boutin, Kenneth. </w:t>
      </w:r>
      <w:r>
        <w:rPr>
          <w:sz w:val="24"/>
          <w:szCs w:val="24"/>
        </w:rPr>
        <w:t>“</w:t>
      </w:r>
      <w:r>
        <w:rPr>
          <w:rFonts w:hint="eastAsia"/>
          <w:sz w:val="24"/>
          <w:szCs w:val="24"/>
        </w:rPr>
        <w:t>North Korea: the challenge of verifying a moving target.</w:t>
      </w:r>
      <w:r>
        <w:rPr>
          <w:sz w:val="24"/>
          <w:szCs w:val="24"/>
        </w:rPr>
        <w:t>”</w:t>
      </w:r>
      <w:r>
        <w:rPr>
          <w:rFonts w:hint="eastAsia"/>
          <w:sz w:val="24"/>
          <w:szCs w:val="24"/>
        </w:rPr>
        <w:t xml:space="preserve"> Verification Yearbook 2003. </w:t>
      </w:r>
      <w:hyperlink r:id="rId14" w:history="1">
        <w:r w:rsidRPr="00405296">
          <w:rPr>
            <w:rStyle w:val="Hyperlink"/>
            <w:sz w:val="24"/>
            <w:szCs w:val="24"/>
          </w:rPr>
          <w:t>https://www.vertic.org/media/Archived_Publications/Yearbooks/2003/VY03_Boutin.pdf</w:t>
        </w:r>
      </w:hyperlink>
      <w:r>
        <w:rPr>
          <w:rFonts w:hint="eastAsia"/>
          <w:sz w:val="24"/>
          <w:szCs w:val="24"/>
        </w:rPr>
        <w:t xml:space="preserve">. </w:t>
      </w:r>
    </w:p>
    <w:p w14:paraId="786F5DE5" w14:textId="6FCB67C6" w:rsidR="00375D2E" w:rsidRPr="004600F7" w:rsidRDefault="00375D2E" w:rsidP="00375D2E">
      <w:pPr>
        <w:spacing w:after="0" w:line="240" w:lineRule="auto"/>
        <w:ind w:left="144" w:hanging="144"/>
        <w:rPr>
          <w:sz w:val="24"/>
          <w:szCs w:val="24"/>
        </w:rPr>
      </w:pPr>
      <w:r w:rsidRPr="004600F7">
        <w:rPr>
          <w:sz w:val="24"/>
          <w:szCs w:val="24"/>
        </w:rPr>
        <w:t xml:space="preserve">Bunn, Matthew. “International Safeguards: Summarizing “Traditional” and “New” Measures.” </w:t>
      </w:r>
      <w:hyperlink r:id="rId15" w:history="1">
        <w:r w:rsidRPr="004600F7">
          <w:rPr>
            <w:rStyle w:val="Hyperlink"/>
            <w:sz w:val="24"/>
            <w:szCs w:val="24"/>
          </w:rPr>
          <w:t>https://ocw.mit.edu/courses/22-812j-managing-nuclear-technology-spring-2004/2f1945e13a0add353d8b60030c421af5_lec16notes.pdf</w:t>
        </w:r>
      </w:hyperlink>
      <w:r w:rsidRPr="004600F7">
        <w:rPr>
          <w:sz w:val="24"/>
          <w:szCs w:val="24"/>
        </w:rPr>
        <w:t xml:space="preserve">. </w:t>
      </w:r>
    </w:p>
    <w:p w14:paraId="1499C140" w14:textId="16577FA1" w:rsidR="00A52764" w:rsidRDefault="00A52764" w:rsidP="00865E41">
      <w:pPr>
        <w:spacing w:after="0" w:line="240" w:lineRule="auto"/>
        <w:ind w:left="144" w:hanging="144"/>
        <w:rPr>
          <w:sz w:val="24"/>
          <w:szCs w:val="24"/>
        </w:rPr>
      </w:pPr>
      <w:r>
        <w:rPr>
          <w:sz w:val="24"/>
          <w:szCs w:val="24"/>
        </w:rPr>
        <w:t xml:space="preserve">Butler, Richard. “Improving Nonproliferation Enforcement.” </w:t>
      </w:r>
      <w:r w:rsidRPr="00A52764">
        <w:rPr>
          <w:i/>
          <w:iCs/>
          <w:sz w:val="24"/>
          <w:szCs w:val="24"/>
        </w:rPr>
        <w:t>The Washington Quarterly</w:t>
      </w:r>
      <w:r>
        <w:rPr>
          <w:sz w:val="24"/>
          <w:szCs w:val="24"/>
        </w:rPr>
        <w:t xml:space="preserve"> 26(4) (2003), 133-145.</w:t>
      </w:r>
    </w:p>
    <w:p w14:paraId="4672B48A" w14:textId="5FA64657" w:rsidR="003D2203" w:rsidRPr="003D2203" w:rsidRDefault="003D2203" w:rsidP="00865E41">
      <w:pPr>
        <w:spacing w:after="0" w:line="240" w:lineRule="auto"/>
        <w:ind w:left="144" w:hanging="144"/>
        <w:rPr>
          <w:sz w:val="24"/>
          <w:szCs w:val="24"/>
        </w:rPr>
      </w:pPr>
      <w:r>
        <w:rPr>
          <w:rFonts w:hint="eastAsia"/>
          <w:sz w:val="24"/>
          <w:szCs w:val="24"/>
        </w:rPr>
        <w:t xml:space="preserve">Bytchkov, Valeri, and John Carlson. </w:t>
      </w:r>
      <w:r>
        <w:rPr>
          <w:sz w:val="24"/>
          <w:szCs w:val="24"/>
        </w:rPr>
        <w:t>“</w:t>
      </w:r>
      <w:proofErr w:type="spellStart"/>
      <w:r>
        <w:rPr>
          <w:rFonts w:hint="eastAsia"/>
          <w:sz w:val="24"/>
          <w:szCs w:val="24"/>
        </w:rPr>
        <w:t>Conceptualisation</w:t>
      </w:r>
      <w:proofErr w:type="spellEnd"/>
      <w:r>
        <w:rPr>
          <w:rFonts w:hint="eastAsia"/>
          <w:sz w:val="24"/>
          <w:szCs w:val="24"/>
        </w:rPr>
        <w:t xml:space="preserve"> </w:t>
      </w:r>
      <w:r>
        <w:rPr>
          <w:sz w:val="24"/>
          <w:szCs w:val="24"/>
        </w:rPr>
        <w:t>in the</w:t>
      </w:r>
      <w:r>
        <w:rPr>
          <w:rFonts w:hint="eastAsia"/>
          <w:sz w:val="24"/>
          <w:szCs w:val="24"/>
        </w:rPr>
        <w:t xml:space="preserve"> IAEA Safeguards System and the Formation of Safeguards Culture.</w:t>
      </w:r>
      <w:r>
        <w:rPr>
          <w:sz w:val="24"/>
          <w:szCs w:val="24"/>
        </w:rPr>
        <w:t>”</w:t>
      </w:r>
      <w:r>
        <w:rPr>
          <w:rFonts w:hint="eastAsia"/>
          <w:sz w:val="24"/>
          <w:szCs w:val="24"/>
        </w:rPr>
        <w:t xml:space="preserve"> Vienna Center for Disarmament and Non-Proliferation, 19 March 2024. </w:t>
      </w:r>
      <w:hyperlink r:id="rId16" w:history="1">
        <w:r w:rsidRPr="00A2110F">
          <w:rPr>
            <w:rStyle w:val="Hyperlink"/>
            <w:sz w:val="24"/>
            <w:szCs w:val="24"/>
          </w:rPr>
          <w:t>https://vcdnp.org/iaea-safeguards-system-and-safeguards-culture/</w:t>
        </w:r>
      </w:hyperlink>
      <w:r>
        <w:rPr>
          <w:rFonts w:hint="eastAsia"/>
          <w:sz w:val="24"/>
          <w:szCs w:val="24"/>
        </w:rPr>
        <w:t xml:space="preserve">. </w:t>
      </w:r>
    </w:p>
    <w:p w14:paraId="1D62B149" w14:textId="6449588B" w:rsidR="00946C71" w:rsidRPr="004600F7" w:rsidRDefault="00946C71" w:rsidP="00865E41">
      <w:pPr>
        <w:spacing w:after="0" w:line="240" w:lineRule="auto"/>
        <w:ind w:left="144" w:hanging="144"/>
        <w:rPr>
          <w:sz w:val="24"/>
          <w:szCs w:val="24"/>
        </w:rPr>
      </w:pPr>
      <w:r w:rsidRPr="004600F7">
        <w:rPr>
          <w:sz w:val="24"/>
          <w:szCs w:val="24"/>
        </w:rPr>
        <w:t>Bytchkov, Valer</w:t>
      </w:r>
      <w:r w:rsidR="003D2203">
        <w:rPr>
          <w:rFonts w:hint="eastAsia"/>
          <w:sz w:val="24"/>
          <w:szCs w:val="24"/>
        </w:rPr>
        <w:t>i</w:t>
      </w:r>
      <w:r w:rsidRPr="004600F7">
        <w:rPr>
          <w:sz w:val="24"/>
          <w:szCs w:val="24"/>
        </w:rPr>
        <w:t xml:space="preserve">, and Jill N. Cooley. “IAEA Safeguards System: Implementing the State-Level Concept.” Nuclear Threat Initiative. </w:t>
      </w:r>
      <w:hyperlink r:id="rId17" w:history="1">
        <w:r w:rsidRPr="004600F7">
          <w:rPr>
            <w:rStyle w:val="Hyperlink"/>
            <w:sz w:val="24"/>
            <w:szCs w:val="24"/>
          </w:rPr>
          <w:t>https://media.nti.org/documents/IAEA_Safeguards_System-Implementing_the_State-Level_Concept.pdf</w:t>
        </w:r>
      </w:hyperlink>
      <w:r w:rsidRPr="004600F7">
        <w:rPr>
          <w:sz w:val="24"/>
          <w:szCs w:val="24"/>
        </w:rPr>
        <w:t xml:space="preserve">. </w:t>
      </w:r>
    </w:p>
    <w:p w14:paraId="437DB51D" w14:textId="4BF1F85A" w:rsidR="00EE16CE" w:rsidRDefault="00EE16CE" w:rsidP="00865E41">
      <w:pPr>
        <w:spacing w:after="0" w:line="240" w:lineRule="auto"/>
        <w:ind w:left="144" w:hanging="144"/>
        <w:rPr>
          <w:sz w:val="24"/>
          <w:szCs w:val="24"/>
        </w:rPr>
      </w:pPr>
      <w:r w:rsidRPr="004600F7">
        <w:rPr>
          <w:sz w:val="24"/>
          <w:szCs w:val="24"/>
        </w:rPr>
        <w:t xml:space="preserve">Carlson, John. “IAEA Safeguards in North Korea: Possible Verification Roles and Mandates.” Stimson, </w:t>
      </w:r>
      <w:r w:rsidR="00B9690B">
        <w:rPr>
          <w:sz w:val="24"/>
          <w:szCs w:val="24"/>
        </w:rPr>
        <w:t xml:space="preserve">16 </w:t>
      </w:r>
      <w:r w:rsidRPr="004600F7">
        <w:rPr>
          <w:sz w:val="24"/>
          <w:szCs w:val="24"/>
        </w:rPr>
        <w:t xml:space="preserve">March </w:t>
      </w:r>
      <w:r w:rsidR="00B9690B">
        <w:rPr>
          <w:sz w:val="24"/>
          <w:szCs w:val="24"/>
        </w:rPr>
        <w:t>2020</w:t>
      </w:r>
      <w:r w:rsidR="003D2203">
        <w:rPr>
          <w:rFonts w:hint="eastAsia"/>
          <w:sz w:val="24"/>
          <w:szCs w:val="24"/>
        </w:rPr>
        <w:t>a</w:t>
      </w:r>
      <w:r w:rsidRPr="004600F7">
        <w:rPr>
          <w:sz w:val="24"/>
          <w:szCs w:val="24"/>
        </w:rPr>
        <w:t xml:space="preserve">. </w:t>
      </w:r>
      <w:hyperlink r:id="rId18" w:history="1">
        <w:r w:rsidRPr="004600F7">
          <w:rPr>
            <w:rStyle w:val="Hyperlink"/>
            <w:sz w:val="24"/>
            <w:szCs w:val="24"/>
          </w:rPr>
          <w:t>https://www.stimson.org/2020/iaea-safeguards-in-north-korea-possible-verification-roles-and-mandates/</w:t>
        </w:r>
      </w:hyperlink>
      <w:r w:rsidRPr="004600F7">
        <w:rPr>
          <w:sz w:val="24"/>
          <w:szCs w:val="24"/>
        </w:rPr>
        <w:t xml:space="preserve">. </w:t>
      </w:r>
    </w:p>
    <w:p w14:paraId="65C34E93" w14:textId="6CD6B7DE" w:rsidR="00A52764" w:rsidRDefault="00A40713" w:rsidP="00865E41">
      <w:pPr>
        <w:spacing w:after="0" w:line="240" w:lineRule="auto"/>
        <w:ind w:left="144" w:hanging="144"/>
        <w:rPr>
          <w:sz w:val="24"/>
          <w:szCs w:val="24"/>
        </w:rPr>
      </w:pPr>
      <w:r>
        <w:rPr>
          <w:rFonts w:hint="eastAsia"/>
          <w:sz w:val="24"/>
          <w:szCs w:val="24"/>
        </w:rPr>
        <w:lastRenderedPageBreak/>
        <w:t>Carlson, John.</w:t>
      </w:r>
      <w:r w:rsidR="000F3FBD">
        <w:rPr>
          <w:rFonts w:hint="eastAsia"/>
          <w:sz w:val="24"/>
          <w:szCs w:val="24"/>
        </w:rPr>
        <w:t xml:space="preserve"> </w:t>
      </w:r>
      <w:r>
        <w:rPr>
          <w:sz w:val="24"/>
          <w:szCs w:val="24"/>
        </w:rPr>
        <w:t>“</w:t>
      </w:r>
      <w:r>
        <w:rPr>
          <w:rFonts w:hint="eastAsia"/>
          <w:sz w:val="24"/>
          <w:szCs w:val="24"/>
        </w:rPr>
        <w:t>The IAEA</w:t>
      </w:r>
      <w:r>
        <w:rPr>
          <w:sz w:val="24"/>
          <w:szCs w:val="24"/>
        </w:rPr>
        <w:t>’</w:t>
      </w:r>
      <w:r>
        <w:rPr>
          <w:rFonts w:hint="eastAsia"/>
          <w:sz w:val="24"/>
          <w:szCs w:val="24"/>
        </w:rPr>
        <w:t>s Safeguards System as the Nonproliferation Treaty</w:t>
      </w:r>
      <w:r>
        <w:rPr>
          <w:sz w:val="24"/>
          <w:szCs w:val="24"/>
        </w:rPr>
        <w:t>’</w:t>
      </w:r>
      <w:r>
        <w:rPr>
          <w:rFonts w:hint="eastAsia"/>
          <w:sz w:val="24"/>
          <w:szCs w:val="24"/>
        </w:rPr>
        <w:t>s Verification Mechanism.</w:t>
      </w:r>
      <w:r>
        <w:rPr>
          <w:sz w:val="24"/>
          <w:szCs w:val="24"/>
        </w:rPr>
        <w:t>”</w:t>
      </w:r>
      <w:r>
        <w:rPr>
          <w:rFonts w:hint="eastAsia"/>
          <w:sz w:val="24"/>
          <w:szCs w:val="24"/>
        </w:rPr>
        <w:t xml:space="preserve"> Report prepared for Nuclear Theat Initiative</w:t>
      </w:r>
      <w:r w:rsidR="003D2203">
        <w:rPr>
          <w:rFonts w:hint="eastAsia"/>
          <w:sz w:val="24"/>
          <w:szCs w:val="24"/>
        </w:rPr>
        <w:t>, 2020b</w:t>
      </w:r>
      <w:r>
        <w:rPr>
          <w:rFonts w:hint="eastAsia"/>
          <w:sz w:val="24"/>
          <w:szCs w:val="24"/>
        </w:rPr>
        <w:t xml:space="preserve">. </w:t>
      </w:r>
      <w:hyperlink r:id="rId19" w:history="1">
        <w:r w:rsidRPr="00D62FA1">
          <w:rPr>
            <w:rStyle w:val="Hyperlink"/>
            <w:sz w:val="24"/>
            <w:szCs w:val="24"/>
          </w:rPr>
          <w:t>https://www.nti.org/analysis/articles/the-iaeas-safeguards-system-as-the-non-proliferation-treatys-verification-mechanism/</w:t>
        </w:r>
      </w:hyperlink>
      <w:r>
        <w:rPr>
          <w:rFonts w:hint="eastAsia"/>
          <w:sz w:val="24"/>
          <w:szCs w:val="24"/>
        </w:rPr>
        <w:t xml:space="preserve">. </w:t>
      </w:r>
      <w:r w:rsidR="00A52764">
        <w:rPr>
          <w:sz w:val="24"/>
          <w:szCs w:val="24"/>
        </w:rPr>
        <w:t xml:space="preserve">Carlson, John, Vladimir Kuchinov, and Thomas Shea. “The IAEA Safeguards System as the Non-Proliferation Treaty’s Verification Mechanism.” Nuclear Threat Initiative, May 2020. </w:t>
      </w:r>
      <w:hyperlink r:id="rId20" w:history="1">
        <w:r w:rsidR="00A52764" w:rsidRPr="00676D61">
          <w:rPr>
            <w:rStyle w:val="Hyperlink"/>
            <w:sz w:val="24"/>
            <w:szCs w:val="24"/>
          </w:rPr>
          <w:t>https://media.nti.org/documents/NTI_Paper_Safeguards_FINAL_5-8-20.pdf</w:t>
        </w:r>
      </w:hyperlink>
      <w:r w:rsidR="00A52764">
        <w:rPr>
          <w:sz w:val="24"/>
          <w:szCs w:val="24"/>
        </w:rPr>
        <w:t xml:space="preserve">. </w:t>
      </w:r>
    </w:p>
    <w:p w14:paraId="6D54F08E" w14:textId="619D2C8F" w:rsidR="00872FFA" w:rsidRDefault="00872FFA" w:rsidP="00865E41">
      <w:pPr>
        <w:spacing w:after="0" w:line="240" w:lineRule="auto"/>
        <w:ind w:left="144" w:hanging="144"/>
        <w:rPr>
          <w:sz w:val="24"/>
          <w:szCs w:val="24"/>
        </w:rPr>
      </w:pPr>
      <w:r>
        <w:rPr>
          <w:rFonts w:hint="eastAsia"/>
          <w:sz w:val="24"/>
          <w:szCs w:val="24"/>
        </w:rPr>
        <w:t xml:space="preserve">Carnegie, Allison, and Austin Carson. </w:t>
      </w:r>
      <w:r w:rsidRPr="00872FFA">
        <w:rPr>
          <w:rFonts w:hint="eastAsia"/>
          <w:i/>
          <w:iCs/>
          <w:sz w:val="24"/>
          <w:szCs w:val="24"/>
        </w:rPr>
        <w:t>Secrets in Global Governance: Disclosure Dilemmas and the Challenge of International Cooperation</w:t>
      </w:r>
      <w:r>
        <w:rPr>
          <w:rFonts w:hint="eastAsia"/>
          <w:sz w:val="24"/>
          <w:szCs w:val="24"/>
        </w:rPr>
        <w:t xml:space="preserve">. (New York: Cambridge University Press, 2020). </w:t>
      </w:r>
    </w:p>
    <w:p w14:paraId="2E0902B5" w14:textId="57B16ED0" w:rsidR="00865E41" w:rsidRPr="004600F7" w:rsidRDefault="00865E41" w:rsidP="00865E41">
      <w:pPr>
        <w:spacing w:after="0" w:line="240" w:lineRule="auto"/>
        <w:ind w:left="144" w:hanging="144"/>
        <w:rPr>
          <w:sz w:val="24"/>
          <w:szCs w:val="24"/>
        </w:rPr>
      </w:pPr>
      <w:r w:rsidRPr="004600F7">
        <w:rPr>
          <w:sz w:val="24"/>
          <w:szCs w:val="24"/>
        </w:rPr>
        <w:t>Carpenter, Ted Galen. “The 1994 North Korea Crisis: Military Force a Bad Idea Then (and a Worse One Now).” CATO Institute</w:t>
      </w:r>
      <w:r w:rsidR="00B9690B">
        <w:rPr>
          <w:sz w:val="24"/>
          <w:szCs w:val="24"/>
        </w:rPr>
        <w:t>,</w:t>
      </w:r>
      <w:r w:rsidRPr="004600F7">
        <w:rPr>
          <w:sz w:val="24"/>
          <w:szCs w:val="24"/>
        </w:rPr>
        <w:t xml:space="preserve"> </w:t>
      </w:r>
      <w:r w:rsidR="00B9690B">
        <w:rPr>
          <w:sz w:val="24"/>
          <w:szCs w:val="24"/>
        </w:rPr>
        <w:t xml:space="preserve">18 </w:t>
      </w:r>
      <w:r w:rsidRPr="004600F7">
        <w:rPr>
          <w:sz w:val="24"/>
          <w:szCs w:val="24"/>
        </w:rPr>
        <w:t xml:space="preserve">April </w:t>
      </w:r>
      <w:r w:rsidR="00B9690B">
        <w:rPr>
          <w:sz w:val="24"/>
          <w:szCs w:val="24"/>
        </w:rPr>
        <w:t>2017</w:t>
      </w:r>
      <w:r w:rsidRPr="004600F7">
        <w:rPr>
          <w:sz w:val="24"/>
          <w:szCs w:val="24"/>
        </w:rPr>
        <w:t>.</w:t>
      </w:r>
      <w:r w:rsidR="00A52764" w:rsidRPr="00A52764">
        <w:t xml:space="preserve"> </w:t>
      </w:r>
      <w:hyperlink r:id="rId21" w:history="1">
        <w:r w:rsidR="00A52764" w:rsidRPr="00A52764">
          <w:rPr>
            <w:rStyle w:val="Hyperlink"/>
            <w:sz w:val="24"/>
            <w:szCs w:val="24"/>
          </w:rPr>
          <w:t>https://www.cato.org/commentary/1994-north-korea-crisis-military-force-bad-idea-then-worse-one-now</w:t>
        </w:r>
      </w:hyperlink>
      <w:r w:rsidRPr="004600F7">
        <w:rPr>
          <w:sz w:val="24"/>
          <w:szCs w:val="24"/>
        </w:rPr>
        <w:t>.</w:t>
      </w:r>
      <w:r w:rsidR="00A52764">
        <w:rPr>
          <w:sz w:val="24"/>
          <w:szCs w:val="24"/>
        </w:rPr>
        <w:t xml:space="preserve"> </w:t>
      </w:r>
    </w:p>
    <w:p w14:paraId="594F9B5A" w14:textId="4959EB2F" w:rsidR="00D07EAF" w:rsidRPr="004600F7" w:rsidRDefault="00D07EAF" w:rsidP="00D07EAF">
      <w:pPr>
        <w:spacing w:after="0" w:line="240" w:lineRule="auto"/>
        <w:ind w:left="144" w:hanging="144"/>
        <w:rPr>
          <w:sz w:val="24"/>
          <w:szCs w:val="24"/>
        </w:rPr>
      </w:pPr>
      <w:r w:rsidRPr="004600F7">
        <w:rPr>
          <w:sz w:val="24"/>
          <w:szCs w:val="24"/>
        </w:rPr>
        <w:t>Carrel-Billiard, François, and Christine Wing. “Nuclear, Energy, Nonproliferation, and Disarmament: Briefing Notes for the 2010 NPT Review Conference.” International Peace Institute. April</w:t>
      </w:r>
      <w:r w:rsidR="00B9690B">
        <w:rPr>
          <w:sz w:val="24"/>
          <w:szCs w:val="24"/>
        </w:rPr>
        <w:t xml:space="preserve"> 2010</w:t>
      </w:r>
      <w:r w:rsidRPr="004600F7">
        <w:rPr>
          <w:sz w:val="24"/>
          <w:szCs w:val="24"/>
        </w:rPr>
        <w:t xml:space="preserve">. </w:t>
      </w:r>
      <w:hyperlink r:id="rId22" w:history="1">
        <w:r w:rsidRPr="004600F7">
          <w:rPr>
            <w:rStyle w:val="Hyperlink"/>
            <w:sz w:val="24"/>
            <w:szCs w:val="24"/>
          </w:rPr>
          <w:t>https://www.ipinst.org/wp-content/uploads/publications/nuclearcomplete2.pdf</w:t>
        </w:r>
      </w:hyperlink>
      <w:r w:rsidRPr="004600F7">
        <w:rPr>
          <w:sz w:val="24"/>
          <w:szCs w:val="24"/>
        </w:rPr>
        <w:t xml:space="preserve">. </w:t>
      </w:r>
    </w:p>
    <w:p w14:paraId="2B389DBC" w14:textId="0CD86DDE" w:rsidR="002A6531" w:rsidRPr="004600F7" w:rsidRDefault="002A6531" w:rsidP="005D110C">
      <w:pPr>
        <w:spacing w:after="0" w:line="240" w:lineRule="auto"/>
        <w:ind w:left="144" w:hanging="144"/>
        <w:rPr>
          <w:sz w:val="24"/>
          <w:szCs w:val="24"/>
        </w:rPr>
      </w:pPr>
      <w:r w:rsidRPr="004600F7">
        <w:rPr>
          <w:sz w:val="24"/>
          <w:szCs w:val="24"/>
        </w:rPr>
        <w:t xml:space="preserve">Chayes, Abram, and Antonia Handler Chayes. “Compliance Without Enforcement: State Behavior Under Regulatory Treaties.” </w:t>
      </w:r>
      <w:r w:rsidRPr="004600F7">
        <w:rPr>
          <w:i/>
          <w:iCs/>
          <w:sz w:val="24"/>
          <w:szCs w:val="24"/>
        </w:rPr>
        <w:t>Negotiation Journal</w:t>
      </w:r>
      <w:r w:rsidRPr="004600F7">
        <w:rPr>
          <w:sz w:val="24"/>
          <w:szCs w:val="24"/>
        </w:rPr>
        <w:t xml:space="preserve"> 7(3)</w:t>
      </w:r>
      <w:r w:rsidR="00B9690B">
        <w:rPr>
          <w:sz w:val="24"/>
          <w:szCs w:val="24"/>
        </w:rPr>
        <w:t xml:space="preserve"> (1991),</w:t>
      </w:r>
      <w:r w:rsidRPr="004600F7">
        <w:rPr>
          <w:sz w:val="24"/>
          <w:szCs w:val="24"/>
        </w:rPr>
        <w:t xml:space="preserve"> 311-330. </w:t>
      </w:r>
      <w:r w:rsidR="00B9690B">
        <w:rPr>
          <w:sz w:val="24"/>
          <w:szCs w:val="24"/>
        </w:rPr>
        <w:t xml:space="preserve">DOI </w:t>
      </w:r>
      <w:hyperlink r:id="rId23" w:history="1">
        <w:r w:rsidRPr="004600F7">
          <w:rPr>
            <w:rStyle w:val="Hyperlink"/>
            <w:sz w:val="24"/>
            <w:szCs w:val="24"/>
          </w:rPr>
          <w:t>10.1111/j.1571-</w:t>
        </w:r>
        <w:proofErr w:type="gramStart"/>
        <w:r w:rsidRPr="004600F7">
          <w:rPr>
            <w:rStyle w:val="Hyperlink"/>
            <w:sz w:val="24"/>
            <w:szCs w:val="24"/>
          </w:rPr>
          <w:t>9979.1991.tb</w:t>
        </w:r>
        <w:proofErr w:type="gramEnd"/>
        <w:r w:rsidRPr="004600F7">
          <w:rPr>
            <w:rStyle w:val="Hyperlink"/>
            <w:sz w:val="24"/>
            <w:szCs w:val="24"/>
          </w:rPr>
          <w:t>00625.x</w:t>
        </w:r>
      </w:hyperlink>
      <w:r w:rsidRPr="004600F7">
        <w:rPr>
          <w:sz w:val="24"/>
          <w:szCs w:val="24"/>
        </w:rPr>
        <w:t xml:space="preserve"> </w:t>
      </w:r>
    </w:p>
    <w:p w14:paraId="7E07C71D" w14:textId="14677B1E" w:rsidR="00A52764" w:rsidRDefault="00A52764" w:rsidP="005D110C">
      <w:pPr>
        <w:spacing w:after="0" w:line="240" w:lineRule="auto"/>
        <w:ind w:left="144" w:hanging="144"/>
        <w:rPr>
          <w:sz w:val="24"/>
          <w:szCs w:val="24"/>
        </w:rPr>
      </w:pPr>
      <w:r>
        <w:rPr>
          <w:sz w:val="24"/>
          <w:szCs w:val="24"/>
        </w:rPr>
        <w:t xml:space="preserve">Cirincione, Joseph. “Enforcing Compliance with the Non-Proliferation Treaty.” Carnegie Endowment for International Peace, 24 March 2005. </w:t>
      </w:r>
      <w:hyperlink r:id="rId24" w:history="1">
        <w:r w:rsidRPr="00676D61">
          <w:rPr>
            <w:rStyle w:val="Hyperlink"/>
            <w:sz w:val="24"/>
            <w:szCs w:val="24"/>
          </w:rPr>
          <w:t>https://carnegieendowment.org/research/2005/03/enforcing-compliance-with-the-non-proliferation-treaty?lang=en</w:t>
        </w:r>
      </w:hyperlink>
      <w:r>
        <w:rPr>
          <w:sz w:val="24"/>
          <w:szCs w:val="24"/>
        </w:rPr>
        <w:t xml:space="preserve">.  </w:t>
      </w:r>
    </w:p>
    <w:p w14:paraId="3A9AA072" w14:textId="436B14BF" w:rsidR="005D110C" w:rsidRPr="004600F7" w:rsidRDefault="005D110C" w:rsidP="005D110C">
      <w:pPr>
        <w:spacing w:after="0" w:line="240" w:lineRule="auto"/>
        <w:ind w:left="144" w:hanging="144"/>
        <w:rPr>
          <w:sz w:val="24"/>
          <w:szCs w:val="24"/>
        </w:rPr>
      </w:pPr>
      <w:r w:rsidRPr="004600F7">
        <w:rPr>
          <w:sz w:val="24"/>
          <w:szCs w:val="24"/>
        </w:rPr>
        <w:t xml:space="preserve">Coe, Andrew, and Jane Vaynman. “Collusion and the Nuclear Nonproliferation Regime.” </w:t>
      </w:r>
      <w:r w:rsidRPr="004600F7">
        <w:rPr>
          <w:i/>
          <w:iCs/>
          <w:sz w:val="24"/>
          <w:szCs w:val="24"/>
        </w:rPr>
        <w:t>Journal of Politics</w:t>
      </w:r>
      <w:r w:rsidRPr="004600F7">
        <w:rPr>
          <w:sz w:val="24"/>
          <w:szCs w:val="24"/>
        </w:rPr>
        <w:t xml:space="preserve"> 77(4)</w:t>
      </w:r>
      <w:r w:rsidR="00B9690B">
        <w:rPr>
          <w:sz w:val="24"/>
          <w:szCs w:val="24"/>
        </w:rPr>
        <w:t xml:space="preserve"> (2015),</w:t>
      </w:r>
      <w:r w:rsidRPr="004600F7">
        <w:rPr>
          <w:sz w:val="24"/>
          <w:szCs w:val="24"/>
        </w:rPr>
        <w:t xml:space="preserve"> 983-997.</w:t>
      </w:r>
      <w:r w:rsidR="00B9690B">
        <w:rPr>
          <w:sz w:val="24"/>
          <w:szCs w:val="24"/>
        </w:rPr>
        <w:t xml:space="preserve"> DOI</w:t>
      </w:r>
      <w:r w:rsidRPr="004600F7">
        <w:rPr>
          <w:sz w:val="24"/>
          <w:szCs w:val="24"/>
        </w:rPr>
        <w:t xml:space="preserve"> </w:t>
      </w:r>
      <w:hyperlink r:id="rId25" w:history="1">
        <w:r w:rsidRPr="004600F7">
          <w:rPr>
            <w:rStyle w:val="Hyperlink"/>
            <w:sz w:val="24"/>
            <w:szCs w:val="24"/>
          </w:rPr>
          <w:t>10.1086/682080</w:t>
        </w:r>
      </w:hyperlink>
      <w:r w:rsidRPr="004600F7">
        <w:rPr>
          <w:sz w:val="24"/>
          <w:szCs w:val="24"/>
        </w:rPr>
        <w:t xml:space="preserve"> </w:t>
      </w:r>
    </w:p>
    <w:p w14:paraId="73CDC884" w14:textId="63EA4471" w:rsidR="00A52764" w:rsidRDefault="00A52764" w:rsidP="005D110C">
      <w:pPr>
        <w:spacing w:after="0" w:line="240" w:lineRule="auto"/>
        <w:ind w:left="144" w:hanging="144"/>
        <w:rPr>
          <w:sz w:val="24"/>
          <w:szCs w:val="24"/>
        </w:rPr>
      </w:pPr>
      <w:r>
        <w:rPr>
          <w:sz w:val="24"/>
          <w:szCs w:val="24"/>
        </w:rPr>
        <w:t xml:space="preserve">Comply Advantage. “Transaction Screening vs. Transaction Monitoring: How Do They Relate?” </w:t>
      </w:r>
      <w:hyperlink r:id="rId26" w:history="1">
        <w:r w:rsidRPr="00676D61">
          <w:rPr>
            <w:rStyle w:val="Hyperlink"/>
            <w:sz w:val="24"/>
            <w:szCs w:val="24"/>
          </w:rPr>
          <w:t>https://complyadvantage.com/insights/transaction-screening-vs-transaction-monitoring/</w:t>
        </w:r>
      </w:hyperlink>
      <w:r>
        <w:rPr>
          <w:sz w:val="24"/>
          <w:szCs w:val="24"/>
        </w:rPr>
        <w:t xml:space="preserve">. </w:t>
      </w:r>
    </w:p>
    <w:p w14:paraId="101AFE4D" w14:textId="4BD2DF4F" w:rsidR="009F4C26" w:rsidRPr="004600F7" w:rsidRDefault="009F4C26" w:rsidP="005D110C">
      <w:pPr>
        <w:spacing w:after="0" w:line="240" w:lineRule="auto"/>
        <w:ind w:left="144" w:hanging="144"/>
        <w:rPr>
          <w:sz w:val="24"/>
          <w:szCs w:val="24"/>
        </w:rPr>
      </w:pPr>
      <w:proofErr w:type="spellStart"/>
      <w:r w:rsidRPr="004600F7">
        <w:rPr>
          <w:sz w:val="24"/>
          <w:szCs w:val="24"/>
        </w:rPr>
        <w:t>Coppen</w:t>
      </w:r>
      <w:proofErr w:type="spellEnd"/>
      <w:r w:rsidRPr="004600F7">
        <w:rPr>
          <w:sz w:val="24"/>
          <w:szCs w:val="24"/>
        </w:rPr>
        <w:t xml:space="preserve">, Tom. “Developing IAEA Safeguards: An Institutional Perspective on the State-Level Concept.” </w:t>
      </w:r>
      <w:r w:rsidRPr="004600F7">
        <w:rPr>
          <w:i/>
          <w:iCs/>
          <w:sz w:val="24"/>
          <w:szCs w:val="24"/>
        </w:rPr>
        <w:t>Journal of Conflict &amp; Security Law</w:t>
      </w:r>
      <w:r w:rsidRPr="004600F7">
        <w:rPr>
          <w:sz w:val="24"/>
          <w:szCs w:val="24"/>
        </w:rPr>
        <w:t xml:space="preserve"> 20(2)</w:t>
      </w:r>
      <w:r w:rsidR="00B9690B">
        <w:rPr>
          <w:sz w:val="24"/>
          <w:szCs w:val="24"/>
        </w:rPr>
        <w:t xml:space="preserve"> (2015),</w:t>
      </w:r>
      <w:r w:rsidRPr="004600F7">
        <w:rPr>
          <w:sz w:val="24"/>
          <w:szCs w:val="24"/>
        </w:rPr>
        <w:t xml:space="preserve"> 169-193. </w:t>
      </w:r>
      <w:r w:rsidR="00B9690B">
        <w:rPr>
          <w:sz w:val="24"/>
          <w:szCs w:val="24"/>
        </w:rPr>
        <w:t xml:space="preserve">DOI </w:t>
      </w:r>
      <w:hyperlink r:id="rId27" w:history="1">
        <w:r w:rsidR="0028317D" w:rsidRPr="004600F7">
          <w:rPr>
            <w:rStyle w:val="Hyperlink"/>
            <w:sz w:val="24"/>
            <w:szCs w:val="24"/>
          </w:rPr>
          <w:t>10.1093/</w:t>
        </w:r>
        <w:proofErr w:type="spellStart"/>
        <w:r w:rsidR="0028317D" w:rsidRPr="004600F7">
          <w:rPr>
            <w:rStyle w:val="Hyperlink"/>
            <w:sz w:val="24"/>
            <w:szCs w:val="24"/>
          </w:rPr>
          <w:t>jcsl</w:t>
        </w:r>
        <w:proofErr w:type="spellEnd"/>
        <w:r w:rsidR="0028317D" w:rsidRPr="004600F7">
          <w:rPr>
            <w:rStyle w:val="Hyperlink"/>
            <w:sz w:val="24"/>
            <w:szCs w:val="24"/>
          </w:rPr>
          <w:t>/krv004</w:t>
        </w:r>
      </w:hyperlink>
      <w:r w:rsidRPr="004600F7">
        <w:rPr>
          <w:sz w:val="24"/>
          <w:szCs w:val="24"/>
        </w:rPr>
        <w:t xml:space="preserve"> </w:t>
      </w:r>
    </w:p>
    <w:p w14:paraId="48AB946F" w14:textId="30DE42B1" w:rsidR="0028317D" w:rsidRPr="004600F7" w:rsidRDefault="0028317D" w:rsidP="005D110C">
      <w:pPr>
        <w:spacing w:after="0" w:line="240" w:lineRule="auto"/>
        <w:ind w:left="144" w:hanging="144"/>
        <w:rPr>
          <w:sz w:val="24"/>
          <w:szCs w:val="24"/>
        </w:rPr>
      </w:pPr>
      <w:r w:rsidRPr="004600F7">
        <w:rPr>
          <w:sz w:val="24"/>
          <w:szCs w:val="24"/>
        </w:rPr>
        <w:t xml:space="preserve">Cuéllar, Mariano-Florentino, Ernest J. Moniz, and Meghan L. O’Sullivan. “The Proliferation Problem Is Back: Washington Must Adapt Its Playbook for a New Era of Nuclear Risk.” </w:t>
      </w:r>
      <w:r w:rsidRPr="004600F7">
        <w:rPr>
          <w:i/>
          <w:iCs/>
          <w:sz w:val="24"/>
          <w:szCs w:val="24"/>
        </w:rPr>
        <w:t>Foreign Affairs</w:t>
      </w:r>
      <w:r w:rsidRPr="004600F7">
        <w:rPr>
          <w:sz w:val="24"/>
          <w:szCs w:val="24"/>
        </w:rPr>
        <w:t xml:space="preserve">, </w:t>
      </w:r>
      <w:r w:rsidR="00B9690B">
        <w:rPr>
          <w:sz w:val="24"/>
          <w:szCs w:val="24"/>
        </w:rPr>
        <w:t xml:space="preserve">25 </w:t>
      </w:r>
      <w:r w:rsidRPr="004600F7">
        <w:rPr>
          <w:sz w:val="24"/>
          <w:szCs w:val="24"/>
        </w:rPr>
        <w:t>September 2</w:t>
      </w:r>
      <w:r w:rsidR="00B9690B">
        <w:rPr>
          <w:sz w:val="24"/>
          <w:szCs w:val="24"/>
        </w:rPr>
        <w:t>02</w:t>
      </w:r>
      <w:r w:rsidRPr="004600F7">
        <w:rPr>
          <w:sz w:val="24"/>
          <w:szCs w:val="24"/>
        </w:rPr>
        <w:t xml:space="preserve">5. </w:t>
      </w:r>
      <w:hyperlink r:id="rId28" w:history="1">
        <w:r w:rsidRPr="004600F7">
          <w:rPr>
            <w:rStyle w:val="Hyperlink"/>
            <w:sz w:val="24"/>
            <w:szCs w:val="24"/>
          </w:rPr>
          <w:t>https://www.foreignaffairs.com/united-states/proliferation-problem-back</w:t>
        </w:r>
      </w:hyperlink>
      <w:r w:rsidRPr="004600F7">
        <w:rPr>
          <w:sz w:val="24"/>
          <w:szCs w:val="24"/>
        </w:rPr>
        <w:t xml:space="preserve">. </w:t>
      </w:r>
    </w:p>
    <w:p w14:paraId="7D44AD2F" w14:textId="45834DC1" w:rsidR="00454DFC" w:rsidRPr="004600F7" w:rsidRDefault="00454DFC" w:rsidP="005D110C">
      <w:pPr>
        <w:spacing w:after="0" w:line="240" w:lineRule="auto"/>
        <w:ind w:left="144" w:hanging="144"/>
        <w:rPr>
          <w:sz w:val="24"/>
          <w:szCs w:val="24"/>
        </w:rPr>
      </w:pPr>
      <w:r w:rsidRPr="004600F7">
        <w:rPr>
          <w:sz w:val="24"/>
          <w:szCs w:val="24"/>
        </w:rPr>
        <w:t xml:space="preserve">Dai, Xinyuan. “Information Systems in Treaty Regimes.” </w:t>
      </w:r>
      <w:r w:rsidRPr="004600F7">
        <w:rPr>
          <w:i/>
          <w:iCs/>
          <w:sz w:val="24"/>
          <w:szCs w:val="24"/>
        </w:rPr>
        <w:t>World Politics</w:t>
      </w:r>
      <w:r w:rsidRPr="004600F7">
        <w:rPr>
          <w:sz w:val="24"/>
          <w:szCs w:val="24"/>
        </w:rPr>
        <w:t xml:space="preserve"> 54</w:t>
      </w:r>
      <w:r w:rsidR="00B9690B">
        <w:rPr>
          <w:sz w:val="24"/>
          <w:szCs w:val="24"/>
        </w:rPr>
        <w:t>(4) (2002),</w:t>
      </w:r>
      <w:r w:rsidRPr="004600F7">
        <w:rPr>
          <w:sz w:val="24"/>
          <w:szCs w:val="24"/>
        </w:rPr>
        <w:t xml:space="preserve"> 405-436.</w:t>
      </w:r>
      <w:r w:rsidR="00B9690B" w:rsidRPr="00B9690B">
        <w:t xml:space="preserve"> </w:t>
      </w:r>
      <w:r w:rsidR="00B9690B" w:rsidRPr="00B9690B">
        <w:rPr>
          <w:sz w:val="24"/>
          <w:szCs w:val="24"/>
        </w:rPr>
        <w:t xml:space="preserve">DOI: </w:t>
      </w:r>
      <w:hyperlink r:id="rId29" w:history="1">
        <w:r w:rsidR="00B9690B" w:rsidRPr="004C3E20">
          <w:rPr>
            <w:rStyle w:val="Hyperlink"/>
            <w:sz w:val="24"/>
            <w:szCs w:val="24"/>
          </w:rPr>
          <w:t>10.1353/wp.2002.0013</w:t>
        </w:r>
      </w:hyperlink>
      <w:r w:rsidR="00B9690B">
        <w:rPr>
          <w:sz w:val="24"/>
          <w:szCs w:val="24"/>
        </w:rPr>
        <w:t xml:space="preserve"> </w:t>
      </w:r>
    </w:p>
    <w:p w14:paraId="3ABD66FF" w14:textId="586F611C" w:rsidR="00945978" w:rsidRPr="00945978" w:rsidRDefault="00945978" w:rsidP="005D110C">
      <w:pPr>
        <w:spacing w:after="0" w:line="240" w:lineRule="auto"/>
        <w:ind w:left="144" w:hanging="144"/>
        <w:rPr>
          <w:sz w:val="24"/>
          <w:szCs w:val="24"/>
        </w:rPr>
      </w:pPr>
      <w:r>
        <w:rPr>
          <w:rFonts w:hint="eastAsia"/>
          <w:sz w:val="24"/>
          <w:szCs w:val="24"/>
        </w:rPr>
        <w:t xml:space="preserve">Davenport, Kelsey. </w:t>
      </w:r>
      <w:r>
        <w:rPr>
          <w:sz w:val="24"/>
          <w:szCs w:val="24"/>
        </w:rPr>
        <w:t>“</w:t>
      </w:r>
      <w:r>
        <w:rPr>
          <w:rFonts w:hint="eastAsia"/>
          <w:sz w:val="24"/>
          <w:szCs w:val="24"/>
        </w:rPr>
        <w:t xml:space="preserve">Timeline of Nuclear Diplomacy </w:t>
      </w:r>
      <w:proofErr w:type="gramStart"/>
      <w:r>
        <w:rPr>
          <w:rFonts w:hint="eastAsia"/>
          <w:sz w:val="24"/>
          <w:szCs w:val="24"/>
        </w:rPr>
        <w:t>With</w:t>
      </w:r>
      <w:proofErr w:type="gramEnd"/>
      <w:r>
        <w:rPr>
          <w:rFonts w:hint="eastAsia"/>
          <w:sz w:val="24"/>
          <w:szCs w:val="24"/>
        </w:rPr>
        <w:t xml:space="preserve"> Iran, 1967-2023.</w:t>
      </w:r>
      <w:r>
        <w:rPr>
          <w:sz w:val="24"/>
          <w:szCs w:val="24"/>
        </w:rPr>
        <w:t>”</w:t>
      </w:r>
      <w:r>
        <w:rPr>
          <w:rFonts w:hint="eastAsia"/>
          <w:sz w:val="24"/>
          <w:szCs w:val="24"/>
        </w:rPr>
        <w:t xml:space="preserve"> Arms Control Association, January. </w:t>
      </w:r>
      <w:hyperlink r:id="rId30" w:history="1">
        <w:r w:rsidRPr="005E5699">
          <w:rPr>
            <w:rStyle w:val="Hyperlink"/>
            <w:sz w:val="24"/>
            <w:szCs w:val="24"/>
          </w:rPr>
          <w:t>https://www.armscontrol.org/factsheets/timeline-nuclear-diplomacy-iran-1967-2023</w:t>
        </w:r>
      </w:hyperlink>
      <w:r>
        <w:rPr>
          <w:rFonts w:hint="eastAsia"/>
          <w:sz w:val="24"/>
          <w:szCs w:val="24"/>
        </w:rPr>
        <w:t xml:space="preserve">. </w:t>
      </w:r>
    </w:p>
    <w:p w14:paraId="561BEDC9" w14:textId="22A1F840" w:rsidR="00D07EAF" w:rsidRPr="004600F7" w:rsidRDefault="00D07EAF" w:rsidP="005D110C">
      <w:pPr>
        <w:spacing w:after="0" w:line="240" w:lineRule="auto"/>
        <w:ind w:left="144" w:hanging="144"/>
        <w:rPr>
          <w:sz w:val="24"/>
          <w:szCs w:val="24"/>
        </w:rPr>
      </w:pPr>
      <w:r w:rsidRPr="004600F7">
        <w:rPr>
          <w:sz w:val="24"/>
          <w:szCs w:val="24"/>
        </w:rPr>
        <w:t xml:space="preserve">Dembinski, Matthias. “North Korea, IAEA Special Inspections, and the Future of the Nonproliferation Regime.” </w:t>
      </w:r>
      <w:r w:rsidRPr="004600F7">
        <w:rPr>
          <w:i/>
          <w:iCs/>
          <w:sz w:val="24"/>
          <w:szCs w:val="24"/>
        </w:rPr>
        <w:t>The Nonproliferation Review</w:t>
      </w:r>
      <w:r w:rsidRPr="004600F7">
        <w:rPr>
          <w:sz w:val="24"/>
          <w:szCs w:val="24"/>
        </w:rPr>
        <w:t xml:space="preserve"> 2(2)</w:t>
      </w:r>
      <w:r w:rsidR="00B9690B">
        <w:rPr>
          <w:sz w:val="24"/>
          <w:szCs w:val="24"/>
        </w:rPr>
        <w:t xml:space="preserve"> (1995),</w:t>
      </w:r>
      <w:r w:rsidRPr="004600F7">
        <w:rPr>
          <w:sz w:val="24"/>
          <w:szCs w:val="24"/>
        </w:rPr>
        <w:t xml:space="preserve"> 31-39.</w:t>
      </w:r>
      <w:r w:rsidR="00B9690B">
        <w:rPr>
          <w:sz w:val="24"/>
          <w:szCs w:val="24"/>
        </w:rPr>
        <w:t xml:space="preserve"> DOI</w:t>
      </w:r>
      <w:r w:rsidRPr="004600F7">
        <w:rPr>
          <w:sz w:val="24"/>
          <w:szCs w:val="24"/>
        </w:rPr>
        <w:t xml:space="preserve"> </w:t>
      </w:r>
      <w:hyperlink r:id="rId31" w:history="1">
        <w:r w:rsidRPr="004600F7">
          <w:rPr>
            <w:rStyle w:val="Hyperlink"/>
            <w:sz w:val="24"/>
            <w:szCs w:val="24"/>
          </w:rPr>
          <w:t>10.1080/10736709508436579</w:t>
        </w:r>
      </w:hyperlink>
      <w:r w:rsidRPr="004600F7">
        <w:rPr>
          <w:sz w:val="24"/>
          <w:szCs w:val="24"/>
        </w:rPr>
        <w:t xml:space="preserve"> </w:t>
      </w:r>
    </w:p>
    <w:p w14:paraId="75115D11" w14:textId="44E6BC98" w:rsidR="00A736C8" w:rsidRPr="00B9690B" w:rsidRDefault="00A736C8" w:rsidP="00B9690B">
      <w:pPr>
        <w:spacing w:after="0" w:line="240" w:lineRule="auto"/>
        <w:ind w:left="144" w:hanging="144"/>
        <w:rPr>
          <w:i/>
          <w:iCs/>
          <w:sz w:val="24"/>
          <w:szCs w:val="24"/>
        </w:rPr>
      </w:pPr>
      <w:r w:rsidRPr="004600F7">
        <w:rPr>
          <w:sz w:val="24"/>
          <w:szCs w:val="24"/>
        </w:rPr>
        <w:t xml:space="preserve">Dijkstra, Hyle, Laura von Allwörden, Leonard Schütte, and Giuseppe Zaccaria. </w:t>
      </w:r>
      <w:r w:rsidRPr="004600F7">
        <w:rPr>
          <w:i/>
          <w:iCs/>
          <w:sz w:val="24"/>
          <w:szCs w:val="24"/>
        </w:rPr>
        <w:t>The Survival of International Organizations: Institutional Responses to Existential Challenges.</w:t>
      </w:r>
      <w:r w:rsidRPr="004600F7">
        <w:rPr>
          <w:sz w:val="24"/>
          <w:szCs w:val="24"/>
        </w:rPr>
        <w:t xml:space="preserve"> </w:t>
      </w:r>
      <w:r w:rsidR="00B9690B">
        <w:rPr>
          <w:sz w:val="24"/>
          <w:szCs w:val="24"/>
        </w:rPr>
        <w:t>(</w:t>
      </w:r>
      <w:r w:rsidRPr="004600F7">
        <w:rPr>
          <w:sz w:val="24"/>
          <w:szCs w:val="24"/>
        </w:rPr>
        <w:t>Oxford: Oxford University Press</w:t>
      </w:r>
      <w:r w:rsidR="00B9690B">
        <w:rPr>
          <w:sz w:val="24"/>
          <w:szCs w:val="24"/>
        </w:rPr>
        <w:t>, 2022).</w:t>
      </w:r>
    </w:p>
    <w:p w14:paraId="1CCE143E" w14:textId="51B7611B" w:rsidR="00872FFA" w:rsidRDefault="00872FFA" w:rsidP="00D07EAF">
      <w:pPr>
        <w:spacing w:after="0" w:line="240" w:lineRule="auto"/>
        <w:ind w:left="144" w:hanging="144"/>
        <w:rPr>
          <w:sz w:val="24"/>
          <w:szCs w:val="24"/>
        </w:rPr>
      </w:pPr>
      <w:r>
        <w:rPr>
          <w:rFonts w:hint="eastAsia"/>
          <w:sz w:val="24"/>
          <w:szCs w:val="24"/>
        </w:rPr>
        <w:t xml:space="preserve">Downs, George W., David M. Rocke, and Peter N. </w:t>
      </w:r>
      <w:proofErr w:type="spellStart"/>
      <w:r>
        <w:rPr>
          <w:rFonts w:hint="eastAsia"/>
          <w:sz w:val="24"/>
          <w:szCs w:val="24"/>
        </w:rPr>
        <w:t>Barsoom</w:t>
      </w:r>
      <w:proofErr w:type="spellEnd"/>
      <w:r>
        <w:rPr>
          <w:rFonts w:hint="eastAsia"/>
          <w:sz w:val="24"/>
          <w:szCs w:val="24"/>
        </w:rPr>
        <w:t xml:space="preserve">. </w:t>
      </w:r>
      <w:r>
        <w:rPr>
          <w:sz w:val="24"/>
          <w:szCs w:val="24"/>
        </w:rPr>
        <w:t>“</w:t>
      </w:r>
      <w:r>
        <w:rPr>
          <w:rFonts w:hint="eastAsia"/>
          <w:sz w:val="24"/>
          <w:szCs w:val="24"/>
        </w:rPr>
        <w:t xml:space="preserve">Is the good news about </w:t>
      </w:r>
      <w:r>
        <w:rPr>
          <w:sz w:val="24"/>
          <w:szCs w:val="24"/>
        </w:rPr>
        <w:t>compliance</w:t>
      </w:r>
      <w:r>
        <w:rPr>
          <w:rFonts w:hint="eastAsia"/>
          <w:sz w:val="24"/>
          <w:szCs w:val="24"/>
        </w:rPr>
        <w:t xml:space="preserve"> good news about cooperation.</w:t>
      </w:r>
      <w:r>
        <w:rPr>
          <w:sz w:val="24"/>
          <w:szCs w:val="24"/>
        </w:rPr>
        <w:t>”</w:t>
      </w:r>
      <w:r>
        <w:rPr>
          <w:rFonts w:hint="eastAsia"/>
          <w:sz w:val="24"/>
          <w:szCs w:val="24"/>
        </w:rPr>
        <w:t xml:space="preserve"> </w:t>
      </w:r>
      <w:r w:rsidRPr="00872FFA">
        <w:rPr>
          <w:rFonts w:hint="eastAsia"/>
          <w:i/>
          <w:iCs/>
          <w:sz w:val="24"/>
          <w:szCs w:val="24"/>
        </w:rPr>
        <w:t>International Organization</w:t>
      </w:r>
      <w:r>
        <w:rPr>
          <w:rFonts w:hint="eastAsia"/>
          <w:sz w:val="24"/>
          <w:szCs w:val="24"/>
        </w:rPr>
        <w:t xml:space="preserve"> 50(3) (1996), 379-506. DOI </w:t>
      </w:r>
      <w:hyperlink r:id="rId32" w:history="1">
        <w:r w:rsidRPr="002B64EA">
          <w:rPr>
            <w:rStyle w:val="Hyperlink"/>
            <w:sz w:val="24"/>
            <w:szCs w:val="24"/>
          </w:rPr>
          <w:t>10.1017/S0020818300033427</w:t>
        </w:r>
      </w:hyperlink>
      <w:r>
        <w:rPr>
          <w:rFonts w:hint="eastAsia"/>
          <w:sz w:val="24"/>
          <w:szCs w:val="24"/>
        </w:rPr>
        <w:t xml:space="preserve"> </w:t>
      </w:r>
    </w:p>
    <w:p w14:paraId="14A03B5E" w14:textId="3C8F5123" w:rsidR="00872FFA" w:rsidRPr="00872FFA" w:rsidRDefault="00872FFA" w:rsidP="00D07EAF">
      <w:pPr>
        <w:spacing w:after="0" w:line="240" w:lineRule="auto"/>
        <w:ind w:left="144" w:hanging="144"/>
        <w:rPr>
          <w:sz w:val="24"/>
          <w:szCs w:val="24"/>
        </w:rPr>
      </w:pPr>
      <w:r>
        <w:rPr>
          <w:rFonts w:hint="eastAsia"/>
          <w:sz w:val="24"/>
          <w:szCs w:val="24"/>
        </w:rPr>
        <w:lastRenderedPageBreak/>
        <w:t xml:space="preserve">Downs, George W. </w:t>
      </w:r>
      <w:r>
        <w:rPr>
          <w:sz w:val="24"/>
          <w:szCs w:val="24"/>
        </w:rPr>
        <w:t>“</w:t>
      </w:r>
      <w:r>
        <w:rPr>
          <w:rFonts w:hint="eastAsia"/>
          <w:sz w:val="24"/>
          <w:szCs w:val="24"/>
        </w:rPr>
        <w:t>Enforcement and the Evolution of Cooperation.</w:t>
      </w:r>
      <w:r>
        <w:rPr>
          <w:sz w:val="24"/>
          <w:szCs w:val="24"/>
        </w:rPr>
        <w:t>”</w:t>
      </w:r>
      <w:r>
        <w:rPr>
          <w:rFonts w:hint="eastAsia"/>
          <w:sz w:val="24"/>
          <w:szCs w:val="24"/>
        </w:rPr>
        <w:t xml:space="preserve"> </w:t>
      </w:r>
      <w:r w:rsidRPr="00872FFA">
        <w:rPr>
          <w:rFonts w:hint="eastAsia"/>
          <w:i/>
          <w:iCs/>
          <w:sz w:val="24"/>
          <w:szCs w:val="24"/>
        </w:rPr>
        <w:t>Michigan Journal of International Law</w:t>
      </w:r>
      <w:r>
        <w:rPr>
          <w:rFonts w:hint="eastAsia"/>
          <w:sz w:val="24"/>
          <w:szCs w:val="24"/>
        </w:rPr>
        <w:t xml:space="preserve"> 19(2) (1998), 319-344. </w:t>
      </w:r>
    </w:p>
    <w:p w14:paraId="01EBC16C" w14:textId="20A2B387" w:rsidR="00FB0F7E" w:rsidRPr="004600F7" w:rsidRDefault="00FB0F7E" w:rsidP="00D07EAF">
      <w:pPr>
        <w:spacing w:after="0" w:line="240" w:lineRule="auto"/>
        <w:ind w:left="144" w:hanging="144"/>
        <w:rPr>
          <w:sz w:val="24"/>
          <w:szCs w:val="24"/>
        </w:rPr>
      </w:pPr>
      <w:r w:rsidRPr="004600F7">
        <w:rPr>
          <w:sz w:val="24"/>
          <w:szCs w:val="24"/>
        </w:rPr>
        <w:t>Dunn, Lewis. “The NPT</w:t>
      </w:r>
      <w:r w:rsidR="00B9690B">
        <w:rPr>
          <w:sz w:val="24"/>
          <w:szCs w:val="24"/>
        </w:rPr>
        <w:t>: Assessing the Past, Building the Future</w:t>
      </w:r>
      <w:r w:rsidRPr="004600F7">
        <w:rPr>
          <w:sz w:val="24"/>
          <w:szCs w:val="24"/>
        </w:rPr>
        <w:t xml:space="preserve">.” </w:t>
      </w:r>
      <w:r w:rsidRPr="004600F7">
        <w:rPr>
          <w:i/>
          <w:iCs/>
          <w:sz w:val="24"/>
          <w:szCs w:val="24"/>
        </w:rPr>
        <w:t>The Nonproliferation Review</w:t>
      </w:r>
      <w:r w:rsidRPr="004600F7">
        <w:rPr>
          <w:sz w:val="24"/>
          <w:szCs w:val="24"/>
        </w:rPr>
        <w:t xml:space="preserve"> 16(2)</w:t>
      </w:r>
      <w:r w:rsidR="00B9690B">
        <w:rPr>
          <w:sz w:val="24"/>
          <w:szCs w:val="24"/>
        </w:rPr>
        <w:t xml:space="preserve"> (2009),</w:t>
      </w:r>
      <w:r w:rsidRPr="004600F7">
        <w:rPr>
          <w:sz w:val="24"/>
          <w:szCs w:val="24"/>
        </w:rPr>
        <w:t xml:space="preserve"> 143-172.</w:t>
      </w:r>
      <w:r w:rsidR="00B9690B">
        <w:rPr>
          <w:sz w:val="24"/>
          <w:szCs w:val="24"/>
        </w:rPr>
        <w:t xml:space="preserve"> DOI</w:t>
      </w:r>
      <w:r w:rsidR="00B9690B" w:rsidRPr="00B9690B">
        <w:t xml:space="preserve"> </w:t>
      </w:r>
      <w:hyperlink r:id="rId33" w:history="1">
        <w:r w:rsidR="00B9690B" w:rsidRPr="004C3E20">
          <w:rPr>
            <w:rStyle w:val="Hyperlink"/>
            <w:sz w:val="24"/>
            <w:szCs w:val="24"/>
          </w:rPr>
          <w:t>10.1080/10736700902969638</w:t>
        </w:r>
      </w:hyperlink>
      <w:r w:rsidR="00B9690B">
        <w:rPr>
          <w:sz w:val="24"/>
          <w:szCs w:val="24"/>
        </w:rPr>
        <w:t xml:space="preserve"> </w:t>
      </w:r>
    </w:p>
    <w:p w14:paraId="0916E027" w14:textId="1CBD977C" w:rsidR="00D07EAF" w:rsidRPr="004600F7" w:rsidRDefault="00D07EAF" w:rsidP="00D07EAF">
      <w:pPr>
        <w:spacing w:after="0" w:line="240" w:lineRule="auto"/>
        <w:ind w:left="144" w:hanging="144"/>
        <w:rPr>
          <w:sz w:val="24"/>
          <w:szCs w:val="24"/>
        </w:rPr>
      </w:pPr>
      <w:r w:rsidRPr="004600F7">
        <w:rPr>
          <w:sz w:val="24"/>
          <w:szCs w:val="24"/>
        </w:rPr>
        <w:t>du Preez, Jean, and William Potter. “North Korea’s Withdrawal from the NPT: A Reality Check.” Middlebury Institute of International Studies at Monterey</w:t>
      </w:r>
      <w:r w:rsidR="00B9690B">
        <w:rPr>
          <w:sz w:val="24"/>
          <w:szCs w:val="24"/>
        </w:rPr>
        <w:t>,</w:t>
      </w:r>
      <w:r w:rsidRPr="004600F7">
        <w:rPr>
          <w:sz w:val="24"/>
          <w:szCs w:val="24"/>
        </w:rPr>
        <w:t xml:space="preserve"> </w:t>
      </w:r>
      <w:r w:rsidR="00B9690B">
        <w:rPr>
          <w:sz w:val="24"/>
          <w:szCs w:val="24"/>
        </w:rPr>
        <w:t xml:space="preserve">8 </w:t>
      </w:r>
      <w:r w:rsidRPr="004600F7">
        <w:rPr>
          <w:sz w:val="24"/>
          <w:szCs w:val="24"/>
        </w:rPr>
        <w:t xml:space="preserve">April </w:t>
      </w:r>
      <w:r w:rsidR="00B9690B">
        <w:rPr>
          <w:sz w:val="24"/>
          <w:szCs w:val="24"/>
        </w:rPr>
        <w:t>2003</w:t>
      </w:r>
      <w:r w:rsidRPr="004600F7">
        <w:rPr>
          <w:sz w:val="24"/>
          <w:szCs w:val="24"/>
        </w:rPr>
        <w:t xml:space="preserve">. </w:t>
      </w:r>
      <w:hyperlink r:id="rId34" w:history="1">
        <w:r w:rsidRPr="004600F7">
          <w:rPr>
            <w:rStyle w:val="Hyperlink"/>
            <w:sz w:val="24"/>
            <w:szCs w:val="24"/>
          </w:rPr>
          <w:t>https://nonproliferation.org/north-koreas-withdrawal-from-the-npt-a-reality-check/</w:t>
        </w:r>
      </w:hyperlink>
      <w:r w:rsidRPr="004600F7">
        <w:rPr>
          <w:sz w:val="24"/>
          <w:szCs w:val="24"/>
        </w:rPr>
        <w:t>.</w:t>
      </w:r>
    </w:p>
    <w:p w14:paraId="4FE2B6B0" w14:textId="02D3FED7" w:rsidR="005D110C" w:rsidRPr="004600F7" w:rsidRDefault="005D110C" w:rsidP="005D110C">
      <w:pPr>
        <w:spacing w:after="0" w:line="240" w:lineRule="auto"/>
        <w:ind w:left="144" w:hanging="144"/>
        <w:rPr>
          <w:sz w:val="24"/>
          <w:szCs w:val="24"/>
        </w:rPr>
      </w:pPr>
      <w:r w:rsidRPr="004600F7">
        <w:rPr>
          <w:sz w:val="24"/>
          <w:szCs w:val="24"/>
        </w:rPr>
        <w:t xml:space="preserve">Eckert, Sue S. “United Nations Nonproliferation Sanctions.” </w:t>
      </w:r>
      <w:r w:rsidRPr="004600F7">
        <w:rPr>
          <w:i/>
          <w:iCs/>
          <w:sz w:val="24"/>
          <w:szCs w:val="24"/>
        </w:rPr>
        <w:t>International Journal</w:t>
      </w:r>
      <w:r w:rsidRPr="004600F7">
        <w:rPr>
          <w:sz w:val="24"/>
          <w:szCs w:val="24"/>
        </w:rPr>
        <w:t xml:space="preserve"> 65(1)</w:t>
      </w:r>
      <w:r w:rsidR="00B9690B">
        <w:rPr>
          <w:sz w:val="24"/>
          <w:szCs w:val="24"/>
        </w:rPr>
        <w:t xml:space="preserve"> (2009/10),</w:t>
      </w:r>
      <w:r w:rsidRPr="004600F7">
        <w:rPr>
          <w:sz w:val="24"/>
          <w:szCs w:val="24"/>
        </w:rPr>
        <w:t xml:space="preserve"> 69-83.</w:t>
      </w:r>
      <w:r w:rsidR="00B9690B">
        <w:rPr>
          <w:sz w:val="24"/>
          <w:szCs w:val="24"/>
        </w:rPr>
        <w:t xml:space="preserve"> DOI</w:t>
      </w:r>
      <w:r w:rsidRPr="004600F7">
        <w:rPr>
          <w:sz w:val="24"/>
          <w:szCs w:val="24"/>
        </w:rPr>
        <w:t xml:space="preserve"> </w:t>
      </w:r>
      <w:hyperlink r:id="rId35" w:history="1">
        <w:r w:rsidRPr="004600F7">
          <w:rPr>
            <w:rStyle w:val="Hyperlink"/>
            <w:sz w:val="24"/>
            <w:szCs w:val="24"/>
          </w:rPr>
          <w:t>10.1177/002070201006500105</w:t>
        </w:r>
      </w:hyperlink>
      <w:r w:rsidRPr="004600F7">
        <w:rPr>
          <w:sz w:val="24"/>
          <w:szCs w:val="24"/>
        </w:rPr>
        <w:t xml:space="preserve"> </w:t>
      </w:r>
    </w:p>
    <w:p w14:paraId="3D877BB5" w14:textId="4DC7FD11" w:rsidR="001A2FDE" w:rsidRPr="001A2FDE" w:rsidRDefault="001A2FDE" w:rsidP="005D110C">
      <w:pPr>
        <w:spacing w:after="0" w:line="240" w:lineRule="auto"/>
        <w:ind w:left="144" w:hanging="144"/>
        <w:rPr>
          <w:sz w:val="24"/>
          <w:szCs w:val="24"/>
        </w:rPr>
      </w:pPr>
      <w:r>
        <w:rPr>
          <w:rFonts w:hint="eastAsia"/>
          <w:sz w:val="24"/>
          <w:szCs w:val="24"/>
        </w:rPr>
        <w:t xml:space="preserve">Environmental Protection Authority. </w:t>
      </w:r>
      <w:r>
        <w:rPr>
          <w:sz w:val="24"/>
          <w:szCs w:val="24"/>
        </w:rPr>
        <w:t>“</w:t>
      </w:r>
      <w:r>
        <w:rPr>
          <w:rFonts w:hint="eastAsia"/>
          <w:sz w:val="24"/>
          <w:szCs w:val="24"/>
        </w:rPr>
        <w:t>Regulatory Monitoring and Testing: Independent Verification Requirements.</w:t>
      </w:r>
      <w:r>
        <w:rPr>
          <w:sz w:val="24"/>
          <w:szCs w:val="24"/>
        </w:rPr>
        <w:t>”</w:t>
      </w:r>
      <w:r>
        <w:rPr>
          <w:rFonts w:hint="eastAsia"/>
          <w:sz w:val="24"/>
          <w:szCs w:val="24"/>
        </w:rPr>
        <w:t xml:space="preserve"> 2016. </w:t>
      </w:r>
      <w:hyperlink r:id="rId36" w:history="1">
        <w:r w:rsidRPr="00A619D5">
          <w:rPr>
            <w:rStyle w:val="Hyperlink"/>
            <w:sz w:val="24"/>
            <w:szCs w:val="24"/>
          </w:rPr>
          <w:t>https://www.epa.sa.gov.au/files/8493_guide_monitoring.pdf</w:t>
        </w:r>
      </w:hyperlink>
      <w:r>
        <w:rPr>
          <w:rFonts w:hint="eastAsia"/>
          <w:sz w:val="24"/>
          <w:szCs w:val="24"/>
        </w:rPr>
        <w:t xml:space="preserve">. </w:t>
      </w:r>
    </w:p>
    <w:p w14:paraId="7EECCA87" w14:textId="2D62ACAF" w:rsidR="00872FFA" w:rsidRPr="00872FFA" w:rsidRDefault="00872FFA" w:rsidP="005D110C">
      <w:pPr>
        <w:spacing w:after="0" w:line="240" w:lineRule="auto"/>
        <w:ind w:left="144" w:hanging="144"/>
        <w:rPr>
          <w:sz w:val="24"/>
          <w:szCs w:val="24"/>
        </w:rPr>
      </w:pPr>
      <w:r>
        <w:rPr>
          <w:rFonts w:hint="eastAsia"/>
          <w:sz w:val="24"/>
          <w:szCs w:val="24"/>
        </w:rPr>
        <w:t xml:space="preserve">Fearon, James D. </w:t>
      </w:r>
      <w:r>
        <w:rPr>
          <w:sz w:val="24"/>
          <w:szCs w:val="24"/>
        </w:rPr>
        <w:t>“</w:t>
      </w:r>
      <w:r>
        <w:rPr>
          <w:rFonts w:hint="eastAsia"/>
          <w:sz w:val="24"/>
          <w:szCs w:val="24"/>
        </w:rPr>
        <w:t>Bargaining, Enforcement, and International Cooperation.</w:t>
      </w:r>
      <w:r>
        <w:rPr>
          <w:sz w:val="24"/>
          <w:szCs w:val="24"/>
        </w:rPr>
        <w:t>”</w:t>
      </w:r>
      <w:r>
        <w:rPr>
          <w:rFonts w:hint="eastAsia"/>
          <w:sz w:val="24"/>
          <w:szCs w:val="24"/>
        </w:rPr>
        <w:t xml:space="preserve"> International Organization 52(2) (1998), 269-305. DOI </w:t>
      </w:r>
      <w:hyperlink r:id="rId37" w:history="1">
        <w:r w:rsidRPr="002B64EA">
          <w:rPr>
            <w:rStyle w:val="Hyperlink"/>
            <w:sz w:val="24"/>
            <w:szCs w:val="24"/>
          </w:rPr>
          <w:t>10.1162/002081898753162820</w:t>
        </w:r>
      </w:hyperlink>
      <w:r>
        <w:rPr>
          <w:rFonts w:hint="eastAsia"/>
          <w:sz w:val="24"/>
          <w:szCs w:val="24"/>
        </w:rPr>
        <w:t xml:space="preserve"> </w:t>
      </w:r>
    </w:p>
    <w:p w14:paraId="4381AE94" w14:textId="77367328" w:rsidR="00F1131C" w:rsidRPr="004600F7" w:rsidRDefault="00F1131C" w:rsidP="005D110C">
      <w:pPr>
        <w:spacing w:after="0" w:line="240" w:lineRule="auto"/>
        <w:ind w:left="144" w:hanging="144"/>
        <w:rPr>
          <w:sz w:val="24"/>
          <w:szCs w:val="24"/>
        </w:rPr>
      </w:pPr>
      <w:r w:rsidRPr="004600F7">
        <w:rPr>
          <w:rFonts w:hint="eastAsia"/>
          <w:sz w:val="24"/>
          <w:szCs w:val="24"/>
        </w:rPr>
        <w:t>F</w:t>
      </w:r>
      <w:r w:rsidRPr="004600F7">
        <w:rPr>
          <w:sz w:val="24"/>
          <w:szCs w:val="24"/>
        </w:rPr>
        <w:t>i</w:t>
      </w:r>
      <w:r w:rsidRPr="004600F7">
        <w:rPr>
          <w:rFonts w:hint="eastAsia"/>
          <w:sz w:val="24"/>
          <w:szCs w:val="24"/>
        </w:rPr>
        <w:t xml:space="preserve">ndlay, </w:t>
      </w:r>
      <w:proofErr w:type="spellStart"/>
      <w:r w:rsidRPr="004600F7">
        <w:rPr>
          <w:rFonts w:hint="eastAsia"/>
          <w:sz w:val="24"/>
          <w:szCs w:val="24"/>
        </w:rPr>
        <w:t>Tevor</w:t>
      </w:r>
      <w:proofErr w:type="spellEnd"/>
      <w:r w:rsidRPr="004600F7">
        <w:rPr>
          <w:rFonts w:hint="eastAsia"/>
          <w:sz w:val="24"/>
          <w:szCs w:val="24"/>
        </w:rPr>
        <w:t xml:space="preserve">. </w:t>
      </w:r>
      <w:r w:rsidRPr="004600F7">
        <w:rPr>
          <w:sz w:val="24"/>
          <w:szCs w:val="24"/>
        </w:rPr>
        <w:t>“</w:t>
      </w:r>
      <w:r w:rsidRPr="004600F7">
        <w:rPr>
          <w:rFonts w:hint="eastAsia"/>
          <w:sz w:val="24"/>
          <w:szCs w:val="24"/>
        </w:rPr>
        <w:t>Unleashing the Nuclear Watchdog: Strengthening and Reform of the IAEA.</w:t>
      </w:r>
      <w:r w:rsidR="00B9690B">
        <w:rPr>
          <w:sz w:val="24"/>
          <w:szCs w:val="24"/>
        </w:rPr>
        <w:t>”</w:t>
      </w:r>
      <w:r w:rsidRPr="004600F7">
        <w:rPr>
          <w:rFonts w:hint="eastAsia"/>
          <w:sz w:val="24"/>
          <w:szCs w:val="24"/>
        </w:rPr>
        <w:t xml:space="preserve"> CIGI Policy Brief, June</w:t>
      </w:r>
      <w:r w:rsidR="00B9690B">
        <w:rPr>
          <w:sz w:val="24"/>
          <w:szCs w:val="24"/>
        </w:rPr>
        <w:t xml:space="preserve"> 2012</w:t>
      </w:r>
      <w:r w:rsidRPr="004600F7">
        <w:rPr>
          <w:rFonts w:hint="eastAsia"/>
          <w:sz w:val="24"/>
          <w:szCs w:val="24"/>
        </w:rPr>
        <w:t xml:space="preserve">. </w:t>
      </w:r>
      <w:hyperlink r:id="rId38" w:history="1">
        <w:r w:rsidRPr="004600F7">
          <w:rPr>
            <w:rStyle w:val="Hyperlink"/>
            <w:sz w:val="24"/>
            <w:szCs w:val="24"/>
          </w:rPr>
          <w:t>https://www.files.ethz.ch/isn/144979/IAEA_findlay.pdf</w:t>
        </w:r>
      </w:hyperlink>
      <w:r w:rsidRPr="004600F7">
        <w:rPr>
          <w:rFonts w:hint="eastAsia"/>
          <w:sz w:val="24"/>
          <w:szCs w:val="24"/>
        </w:rPr>
        <w:t xml:space="preserve">. </w:t>
      </w:r>
    </w:p>
    <w:p w14:paraId="71F4ECDA" w14:textId="46CE95BE" w:rsidR="008C5332" w:rsidRPr="004600F7" w:rsidRDefault="008C5332" w:rsidP="005D110C">
      <w:pPr>
        <w:spacing w:after="0" w:line="240" w:lineRule="auto"/>
        <w:ind w:left="144" w:hanging="144"/>
        <w:rPr>
          <w:sz w:val="24"/>
          <w:szCs w:val="24"/>
        </w:rPr>
      </w:pPr>
      <w:r w:rsidRPr="004600F7">
        <w:rPr>
          <w:sz w:val="24"/>
          <w:szCs w:val="24"/>
        </w:rPr>
        <w:t xml:space="preserve">Fischer, David. </w:t>
      </w:r>
      <w:r w:rsidRPr="004600F7">
        <w:rPr>
          <w:i/>
          <w:iCs/>
          <w:sz w:val="24"/>
          <w:szCs w:val="24"/>
        </w:rPr>
        <w:t>History of the International Atomic Energy Agency: The First Forty Years</w:t>
      </w:r>
      <w:r w:rsidRPr="004600F7">
        <w:rPr>
          <w:sz w:val="24"/>
          <w:szCs w:val="24"/>
        </w:rPr>
        <w:t xml:space="preserve">. </w:t>
      </w:r>
      <w:r w:rsidR="00B9690B">
        <w:rPr>
          <w:sz w:val="24"/>
          <w:szCs w:val="24"/>
        </w:rPr>
        <w:t>(</w:t>
      </w:r>
      <w:r w:rsidRPr="004600F7">
        <w:rPr>
          <w:sz w:val="24"/>
          <w:szCs w:val="24"/>
        </w:rPr>
        <w:t xml:space="preserve">Vienna: </w:t>
      </w:r>
      <w:r w:rsidR="00D07EAF" w:rsidRPr="004600F7">
        <w:rPr>
          <w:sz w:val="24"/>
          <w:szCs w:val="24"/>
        </w:rPr>
        <w:t>IAEA</w:t>
      </w:r>
      <w:r w:rsidR="00B9690B">
        <w:rPr>
          <w:sz w:val="24"/>
          <w:szCs w:val="24"/>
        </w:rPr>
        <w:t>, 1997a)</w:t>
      </w:r>
      <w:r w:rsidRPr="004600F7">
        <w:rPr>
          <w:sz w:val="24"/>
          <w:szCs w:val="24"/>
        </w:rPr>
        <w:t xml:space="preserve">. </w:t>
      </w:r>
      <w:hyperlink r:id="rId39" w:history="1">
        <w:r w:rsidRPr="004600F7">
          <w:rPr>
            <w:rStyle w:val="Hyperlink"/>
            <w:sz w:val="24"/>
            <w:szCs w:val="24"/>
          </w:rPr>
          <w:t>https://www-pub.iaea.org/MTCD/Publications/PDF/Pub1032_web.pdf</w:t>
        </w:r>
      </w:hyperlink>
      <w:r w:rsidR="00F92CD8" w:rsidRPr="004600F7">
        <w:rPr>
          <w:sz w:val="24"/>
          <w:szCs w:val="24"/>
        </w:rPr>
        <w:t xml:space="preserve">. </w:t>
      </w:r>
    </w:p>
    <w:p w14:paraId="39D0712C" w14:textId="38F3F8E9" w:rsidR="00D07EAF" w:rsidRPr="004600F7" w:rsidRDefault="00D07EAF" w:rsidP="00D07EAF">
      <w:pPr>
        <w:spacing w:after="0" w:line="240" w:lineRule="auto"/>
        <w:ind w:left="144" w:hanging="144"/>
        <w:rPr>
          <w:sz w:val="24"/>
          <w:szCs w:val="24"/>
        </w:rPr>
      </w:pPr>
      <w:r w:rsidRPr="004600F7">
        <w:rPr>
          <w:sz w:val="24"/>
          <w:szCs w:val="24"/>
        </w:rPr>
        <w:t>Fischer, David. “The DPRK’s Violation of its NPT Safeguards Agreement with the IAEA.” IAEA</w:t>
      </w:r>
      <w:r w:rsidR="00B9690B">
        <w:rPr>
          <w:sz w:val="24"/>
          <w:szCs w:val="24"/>
        </w:rPr>
        <w:t>, 1997b</w:t>
      </w:r>
      <w:r w:rsidRPr="004600F7">
        <w:rPr>
          <w:sz w:val="24"/>
          <w:szCs w:val="24"/>
        </w:rPr>
        <w:t xml:space="preserve">. </w:t>
      </w:r>
      <w:hyperlink r:id="rId40" w:history="1">
        <w:r w:rsidRPr="004600F7">
          <w:rPr>
            <w:rStyle w:val="Hyperlink"/>
            <w:sz w:val="24"/>
            <w:szCs w:val="24"/>
          </w:rPr>
          <w:t>https://nsarchive2.gwu.edu/NSAEBB/NSAEBB87/nk18.pdf</w:t>
        </w:r>
      </w:hyperlink>
      <w:r w:rsidRPr="004600F7">
        <w:rPr>
          <w:sz w:val="24"/>
          <w:szCs w:val="24"/>
        </w:rPr>
        <w:t xml:space="preserve">. </w:t>
      </w:r>
    </w:p>
    <w:p w14:paraId="4C1E5357" w14:textId="5FDA6743" w:rsidR="005A111A" w:rsidRPr="004600F7" w:rsidRDefault="005A111A" w:rsidP="005D110C">
      <w:pPr>
        <w:spacing w:after="0" w:line="240" w:lineRule="auto"/>
        <w:ind w:left="144" w:hanging="144"/>
        <w:rPr>
          <w:sz w:val="24"/>
          <w:szCs w:val="24"/>
        </w:rPr>
      </w:pPr>
      <w:r w:rsidRPr="004600F7">
        <w:rPr>
          <w:sz w:val="24"/>
          <w:szCs w:val="24"/>
        </w:rPr>
        <w:t>Fischer, W</w:t>
      </w:r>
      <w:r w:rsidR="00613366" w:rsidRPr="004600F7">
        <w:rPr>
          <w:sz w:val="24"/>
          <w:szCs w:val="24"/>
        </w:rPr>
        <w:t>olfgang</w:t>
      </w:r>
      <w:r w:rsidRPr="004600F7">
        <w:rPr>
          <w:sz w:val="24"/>
          <w:szCs w:val="24"/>
        </w:rPr>
        <w:t xml:space="preserve">. </w:t>
      </w:r>
      <w:r w:rsidR="00613366" w:rsidRPr="004600F7">
        <w:rPr>
          <w:sz w:val="24"/>
          <w:szCs w:val="24"/>
        </w:rPr>
        <w:t>“</w:t>
      </w:r>
      <w:r w:rsidRPr="004600F7">
        <w:rPr>
          <w:sz w:val="24"/>
          <w:szCs w:val="24"/>
        </w:rPr>
        <w:t xml:space="preserve">Nuclear Non-Proliferation and Safeguards: From INFCIRC/153 to INFCIRC/540 and Beyond.” </w:t>
      </w:r>
      <w:bookmarkStart w:id="2" w:name="_Hlk204694516"/>
      <w:r w:rsidRPr="004600F7">
        <w:rPr>
          <w:sz w:val="24"/>
          <w:szCs w:val="24"/>
        </w:rPr>
        <w:t xml:space="preserve">In </w:t>
      </w:r>
      <w:r w:rsidR="00613366" w:rsidRPr="004600F7">
        <w:rPr>
          <w:i/>
          <w:iCs/>
          <w:sz w:val="24"/>
          <w:szCs w:val="24"/>
        </w:rPr>
        <w:t>Tightening the Reins: Towards a Strengthened International Nuclear Safeguards System</w:t>
      </w:r>
      <w:r w:rsidR="00613366" w:rsidRPr="004600F7">
        <w:rPr>
          <w:sz w:val="24"/>
          <w:szCs w:val="24"/>
        </w:rPr>
        <w:t>, ed</w:t>
      </w:r>
      <w:r w:rsidR="00B9690B">
        <w:rPr>
          <w:sz w:val="24"/>
          <w:szCs w:val="24"/>
        </w:rPr>
        <w:t>s.</w:t>
      </w:r>
      <w:r w:rsidR="00613366" w:rsidRPr="004600F7">
        <w:rPr>
          <w:sz w:val="24"/>
          <w:szCs w:val="24"/>
        </w:rPr>
        <w:t xml:space="preserve"> </w:t>
      </w:r>
      <w:r w:rsidRPr="004600F7">
        <w:rPr>
          <w:sz w:val="24"/>
          <w:szCs w:val="24"/>
        </w:rPr>
        <w:t>E</w:t>
      </w:r>
      <w:r w:rsidR="00613366" w:rsidRPr="004600F7">
        <w:rPr>
          <w:sz w:val="24"/>
          <w:szCs w:val="24"/>
        </w:rPr>
        <w:t>rwin</w:t>
      </w:r>
      <w:r w:rsidRPr="004600F7">
        <w:rPr>
          <w:sz w:val="24"/>
          <w:szCs w:val="24"/>
        </w:rPr>
        <w:t xml:space="preserve"> Hӓckel </w:t>
      </w:r>
      <w:r w:rsidR="00613366" w:rsidRPr="004600F7">
        <w:rPr>
          <w:sz w:val="24"/>
          <w:szCs w:val="24"/>
        </w:rPr>
        <w:t>and</w:t>
      </w:r>
      <w:r w:rsidRPr="004600F7">
        <w:rPr>
          <w:sz w:val="24"/>
          <w:szCs w:val="24"/>
        </w:rPr>
        <w:t xml:space="preserve"> G</w:t>
      </w:r>
      <w:r w:rsidR="00613366" w:rsidRPr="004600F7">
        <w:rPr>
          <w:sz w:val="24"/>
          <w:szCs w:val="24"/>
        </w:rPr>
        <w:t>otthard</w:t>
      </w:r>
      <w:r w:rsidRPr="004600F7">
        <w:rPr>
          <w:sz w:val="24"/>
          <w:szCs w:val="24"/>
        </w:rPr>
        <w:t xml:space="preserve"> Stein </w:t>
      </w:r>
      <w:bookmarkStart w:id="3" w:name="_Hlk204707132"/>
      <w:bookmarkEnd w:id="2"/>
      <w:r w:rsidR="00B9690B">
        <w:rPr>
          <w:sz w:val="24"/>
          <w:szCs w:val="24"/>
        </w:rPr>
        <w:t>(</w:t>
      </w:r>
      <w:r w:rsidR="00613366" w:rsidRPr="004600F7">
        <w:rPr>
          <w:sz w:val="24"/>
          <w:szCs w:val="24"/>
        </w:rPr>
        <w:t xml:space="preserve">Berlin: </w:t>
      </w:r>
      <w:r w:rsidRPr="004600F7">
        <w:rPr>
          <w:sz w:val="24"/>
          <w:szCs w:val="24"/>
        </w:rPr>
        <w:t>Springer-Verlag</w:t>
      </w:r>
      <w:r w:rsidR="00B9690B">
        <w:rPr>
          <w:sz w:val="24"/>
          <w:szCs w:val="24"/>
        </w:rPr>
        <w:t>, 2000),</w:t>
      </w:r>
      <w:r w:rsidR="00B9690B" w:rsidRPr="004600F7">
        <w:rPr>
          <w:sz w:val="24"/>
          <w:szCs w:val="24"/>
        </w:rPr>
        <w:t xml:space="preserve"> 9-21.</w:t>
      </w:r>
    </w:p>
    <w:bookmarkEnd w:id="3"/>
    <w:p w14:paraId="7A4EFCD9" w14:textId="20779498" w:rsidR="004D2324" w:rsidRPr="004D2324" w:rsidRDefault="004D2324" w:rsidP="004D2324">
      <w:pPr>
        <w:spacing w:after="0" w:line="240" w:lineRule="auto"/>
        <w:ind w:left="144" w:hanging="144"/>
        <w:rPr>
          <w:sz w:val="24"/>
          <w:szCs w:val="24"/>
        </w:rPr>
      </w:pPr>
      <w:proofErr w:type="spellStart"/>
      <w:r w:rsidRPr="004D2324">
        <w:rPr>
          <w:sz w:val="24"/>
          <w:szCs w:val="24"/>
        </w:rPr>
        <w:t>Froscher</w:t>
      </w:r>
      <w:proofErr w:type="spellEnd"/>
      <w:r w:rsidRPr="004D2324">
        <w:rPr>
          <w:sz w:val="24"/>
          <w:szCs w:val="24"/>
        </w:rPr>
        <w:t xml:space="preserve">, Torrey. </w:t>
      </w:r>
      <w:r>
        <w:rPr>
          <w:sz w:val="24"/>
          <w:szCs w:val="24"/>
        </w:rPr>
        <w:t>“</w:t>
      </w:r>
      <w:r w:rsidRPr="004D2324">
        <w:rPr>
          <w:sz w:val="24"/>
          <w:szCs w:val="24"/>
        </w:rPr>
        <w:t>North Korea's Nuclear Program: The Early Days, 1984</w:t>
      </w:r>
      <w:r>
        <w:rPr>
          <w:rFonts w:hint="eastAsia"/>
          <w:sz w:val="24"/>
          <w:szCs w:val="24"/>
        </w:rPr>
        <w:t>-</w:t>
      </w:r>
      <w:r w:rsidRPr="004D2324">
        <w:rPr>
          <w:sz w:val="24"/>
          <w:szCs w:val="24"/>
        </w:rPr>
        <w:t>2002.</w:t>
      </w:r>
      <w:r>
        <w:rPr>
          <w:sz w:val="24"/>
          <w:szCs w:val="24"/>
        </w:rPr>
        <w:t>”</w:t>
      </w:r>
      <w:r w:rsidRPr="004D2324">
        <w:rPr>
          <w:sz w:val="24"/>
          <w:szCs w:val="24"/>
        </w:rPr>
        <w:t xml:space="preserve"> </w:t>
      </w:r>
    </w:p>
    <w:p w14:paraId="434714B2" w14:textId="039D332B" w:rsidR="004D2324" w:rsidRPr="004D2324" w:rsidRDefault="004D2324" w:rsidP="004D2324">
      <w:pPr>
        <w:spacing w:after="0" w:line="240" w:lineRule="auto"/>
        <w:ind w:left="144" w:hanging="144"/>
        <w:rPr>
          <w:sz w:val="24"/>
          <w:szCs w:val="24"/>
        </w:rPr>
      </w:pPr>
      <w:r w:rsidRPr="00105DD1">
        <w:rPr>
          <w:i/>
          <w:iCs/>
          <w:sz w:val="24"/>
          <w:szCs w:val="24"/>
        </w:rPr>
        <w:t>Studies in Intelligence</w:t>
      </w:r>
      <w:r>
        <w:rPr>
          <w:rFonts w:hint="eastAsia"/>
          <w:sz w:val="24"/>
          <w:szCs w:val="24"/>
        </w:rPr>
        <w:t xml:space="preserve"> </w:t>
      </w:r>
      <w:r w:rsidRPr="004D2324">
        <w:rPr>
          <w:sz w:val="24"/>
          <w:szCs w:val="24"/>
        </w:rPr>
        <w:t>63</w:t>
      </w:r>
      <w:r>
        <w:rPr>
          <w:rFonts w:hint="eastAsia"/>
          <w:sz w:val="24"/>
          <w:szCs w:val="24"/>
        </w:rPr>
        <w:t>(</w:t>
      </w:r>
      <w:r w:rsidRPr="004D2324">
        <w:rPr>
          <w:sz w:val="24"/>
          <w:szCs w:val="24"/>
        </w:rPr>
        <w:t>4</w:t>
      </w:r>
      <w:r>
        <w:rPr>
          <w:rFonts w:hint="eastAsia"/>
          <w:sz w:val="24"/>
          <w:szCs w:val="24"/>
        </w:rPr>
        <w:t>)</w:t>
      </w:r>
      <w:r w:rsidRPr="004D2324">
        <w:rPr>
          <w:sz w:val="24"/>
          <w:szCs w:val="24"/>
        </w:rPr>
        <w:t xml:space="preserve"> </w:t>
      </w:r>
      <w:r>
        <w:rPr>
          <w:rFonts w:hint="eastAsia"/>
          <w:sz w:val="24"/>
          <w:szCs w:val="24"/>
        </w:rPr>
        <w:t>(</w:t>
      </w:r>
      <w:r w:rsidRPr="004D2324">
        <w:rPr>
          <w:sz w:val="24"/>
          <w:szCs w:val="24"/>
        </w:rPr>
        <w:t>2019)</w:t>
      </w:r>
      <w:r>
        <w:rPr>
          <w:rFonts w:hint="eastAsia"/>
          <w:sz w:val="24"/>
          <w:szCs w:val="24"/>
        </w:rPr>
        <w:t>,</w:t>
      </w:r>
      <w:r w:rsidRPr="004D2324">
        <w:rPr>
          <w:sz w:val="24"/>
          <w:szCs w:val="24"/>
        </w:rPr>
        <w:t xml:space="preserve"> </w:t>
      </w:r>
      <w:r>
        <w:rPr>
          <w:rFonts w:hint="eastAsia"/>
          <w:sz w:val="24"/>
          <w:szCs w:val="24"/>
        </w:rPr>
        <w:t>17-32</w:t>
      </w:r>
      <w:r w:rsidRPr="004D2324">
        <w:rPr>
          <w:sz w:val="24"/>
          <w:szCs w:val="24"/>
        </w:rPr>
        <w:t xml:space="preserve">. </w:t>
      </w:r>
    </w:p>
    <w:p w14:paraId="40CF4DBE" w14:textId="39B39354" w:rsidR="002A6531" w:rsidRPr="004600F7" w:rsidRDefault="002A6531" w:rsidP="005D110C">
      <w:pPr>
        <w:spacing w:after="0" w:line="240" w:lineRule="auto"/>
        <w:ind w:left="144" w:hanging="144"/>
        <w:rPr>
          <w:sz w:val="24"/>
          <w:szCs w:val="24"/>
        </w:rPr>
      </w:pPr>
      <w:r w:rsidRPr="004600F7">
        <w:rPr>
          <w:sz w:val="24"/>
          <w:szCs w:val="24"/>
        </w:rPr>
        <w:t xml:space="preserve">Fuhrmann, Matthew, and Yonatan Lupu. “Do Arms Control Treaties Work? Assessing the Effectiveness of the Nuclear Nonproliferation Treaty.” </w:t>
      </w:r>
      <w:r w:rsidRPr="004600F7">
        <w:rPr>
          <w:i/>
          <w:iCs/>
          <w:sz w:val="24"/>
          <w:szCs w:val="24"/>
        </w:rPr>
        <w:t>International Studies Quarterly</w:t>
      </w:r>
      <w:r w:rsidRPr="004600F7">
        <w:rPr>
          <w:sz w:val="24"/>
          <w:szCs w:val="24"/>
        </w:rPr>
        <w:t xml:space="preserve"> 60</w:t>
      </w:r>
      <w:r w:rsidR="00965831" w:rsidRPr="004600F7">
        <w:rPr>
          <w:sz w:val="24"/>
          <w:szCs w:val="24"/>
        </w:rPr>
        <w:t>(3)</w:t>
      </w:r>
      <w:r w:rsidR="00B9690B">
        <w:rPr>
          <w:sz w:val="24"/>
          <w:szCs w:val="24"/>
        </w:rPr>
        <w:t xml:space="preserve"> (2016)</w:t>
      </w:r>
      <w:r w:rsidRPr="004600F7">
        <w:rPr>
          <w:sz w:val="24"/>
          <w:szCs w:val="24"/>
        </w:rPr>
        <w:t>: 530-539.</w:t>
      </w:r>
      <w:r w:rsidR="00B9690B">
        <w:rPr>
          <w:sz w:val="24"/>
          <w:szCs w:val="24"/>
        </w:rPr>
        <w:t xml:space="preserve"> DOI</w:t>
      </w:r>
      <w:r w:rsidR="00965831" w:rsidRPr="004600F7">
        <w:rPr>
          <w:sz w:val="24"/>
          <w:szCs w:val="24"/>
        </w:rPr>
        <w:t xml:space="preserve"> </w:t>
      </w:r>
      <w:hyperlink r:id="rId41" w:history="1">
        <w:r w:rsidR="00965831" w:rsidRPr="004600F7">
          <w:rPr>
            <w:rStyle w:val="Hyperlink"/>
            <w:sz w:val="24"/>
            <w:szCs w:val="24"/>
          </w:rPr>
          <w:t>10.1093/</w:t>
        </w:r>
        <w:proofErr w:type="spellStart"/>
        <w:r w:rsidR="00965831" w:rsidRPr="004600F7">
          <w:rPr>
            <w:rStyle w:val="Hyperlink"/>
            <w:sz w:val="24"/>
            <w:szCs w:val="24"/>
          </w:rPr>
          <w:t>isq</w:t>
        </w:r>
        <w:proofErr w:type="spellEnd"/>
        <w:r w:rsidR="00965831" w:rsidRPr="004600F7">
          <w:rPr>
            <w:rStyle w:val="Hyperlink"/>
            <w:sz w:val="24"/>
            <w:szCs w:val="24"/>
          </w:rPr>
          <w:t>/sqw013</w:t>
        </w:r>
      </w:hyperlink>
      <w:r w:rsidR="00965831" w:rsidRPr="004600F7">
        <w:rPr>
          <w:sz w:val="24"/>
          <w:szCs w:val="24"/>
        </w:rPr>
        <w:t xml:space="preserve"> </w:t>
      </w:r>
    </w:p>
    <w:p w14:paraId="1425CF0D" w14:textId="1EDE02FF" w:rsidR="00C76F66" w:rsidRPr="00C76F66" w:rsidRDefault="00C76F66" w:rsidP="005D110C">
      <w:pPr>
        <w:spacing w:after="0" w:line="240" w:lineRule="auto"/>
        <w:ind w:left="144" w:hanging="144"/>
        <w:rPr>
          <w:sz w:val="24"/>
          <w:szCs w:val="24"/>
        </w:rPr>
      </w:pPr>
      <w:r>
        <w:rPr>
          <w:rFonts w:hint="eastAsia"/>
          <w:sz w:val="24"/>
          <w:szCs w:val="24"/>
        </w:rPr>
        <w:t xml:space="preserve">Gerami, Nima, and Pierre Goldschmidt. </w:t>
      </w:r>
      <w:r>
        <w:rPr>
          <w:sz w:val="24"/>
          <w:szCs w:val="24"/>
        </w:rPr>
        <w:t>“</w:t>
      </w:r>
      <w:r>
        <w:rPr>
          <w:rFonts w:hint="eastAsia"/>
          <w:sz w:val="24"/>
          <w:szCs w:val="24"/>
        </w:rPr>
        <w:t>The International Atomic Energy Agency</w:t>
      </w:r>
      <w:r>
        <w:rPr>
          <w:sz w:val="24"/>
          <w:szCs w:val="24"/>
        </w:rPr>
        <w:t>’</w:t>
      </w:r>
      <w:r>
        <w:rPr>
          <w:rFonts w:hint="eastAsia"/>
          <w:sz w:val="24"/>
          <w:szCs w:val="24"/>
        </w:rPr>
        <w:t>s Decision to Find Iran in Non-Compliance.</w:t>
      </w:r>
      <w:r>
        <w:rPr>
          <w:sz w:val="24"/>
          <w:szCs w:val="24"/>
        </w:rPr>
        <w:t>”</w:t>
      </w:r>
      <w:r>
        <w:rPr>
          <w:rFonts w:hint="eastAsia"/>
          <w:sz w:val="24"/>
          <w:szCs w:val="24"/>
        </w:rPr>
        <w:t xml:space="preserve"> WMD Case Study 6. Washington, DC: National Defense University, Institute for National Strategic Studies, 2016. </w:t>
      </w:r>
      <w:hyperlink r:id="rId42" w:history="1">
        <w:r w:rsidRPr="0024391B">
          <w:rPr>
            <w:rStyle w:val="Hyperlink"/>
            <w:sz w:val="24"/>
            <w:szCs w:val="24"/>
          </w:rPr>
          <w:t>https://inss.ndu.edu/Portals/97/Documents/Publications/Case%20Studies/cswmd_cs6.pdf</w:t>
        </w:r>
      </w:hyperlink>
      <w:r>
        <w:rPr>
          <w:rFonts w:hint="eastAsia"/>
          <w:sz w:val="24"/>
          <w:szCs w:val="24"/>
        </w:rPr>
        <w:t xml:space="preserve">. </w:t>
      </w:r>
    </w:p>
    <w:p w14:paraId="284AA09D" w14:textId="0979790E" w:rsidR="00094172" w:rsidRPr="004600F7" w:rsidRDefault="00094172" w:rsidP="005D110C">
      <w:pPr>
        <w:spacing w:after="0" w:line="240" w:lineRule="auto"/>
        <w:ind w:left="144" w:hanging="144"/>
        <w:rPr>
          <w:sz w:val="24"/>
          <w:szCs w:val="24"/>
        </w:rPr>
      </w:pPr>
      <w:r w:rsidRPr="004600F7">
        <w:rPr>
          <w:rFonts w:hint="eastAsia"/>
          <w:sz w:val="24"/>
          <w:szCs w:val="24"/>
        </w:rPr>
        <w:t xml:space="preserve">Gershman, John, and Wade L. Huntley. </w:t>
      </w:r>
      <w:r w:rsidRPr="004600F7">
        <w:rPr>
          <w:sz w:val="24"/>
          <w:szCs w:val="24"/>
        </w:rPr>
        <w:t>“</w:t>
      </w:r>
      <w:r w:rsidRPr="004600F7">
        <w:rPr>
          <w:rFonts w:hint="eastAsia"/>
          <w:sz w:val="24"/>
          <w:szCs w:val="24"/>
        </w:rPr>
        <w:t>North Korea &amp; the NPT.</w:t>
      </w:r>
      <w:r w:rsidRPr="004600F7">
        <w:rPr>
          <w:sz w:val="24"/>
          <w:szCs w:val="24"/>
        </w:rPr>
        <w:t>”</w:t>
      </w:r>
      <w:r w:rsidRPr="004600F7">
        <w:rPr>
          <w:rFonts w:hint="eastAsia"/>
          <w:sz w:val="24"/>
          <w:szCs w:val="24"/>
        </w:rPr>
        <w:t xml:space="preserve"> </w:t>
      </w:r>
      <w:r w:rsidRPr="004600F7">
        <w:rPr>
          <w:rFonts w:hint="eastAsia"/>
          <w:i/>
          <w:iCs/>
          <w:sz w:val="24"/>
          <w:szCs w:val="24"/>
        </w:rPr>
        <w:t>Foreign Policy in Focus</w:t>
      </w:r>
      <w:r w:rsidRPr="004600F7">
        <w:rPr>
          <w:rFonts w:hint="eastAsia"/>
          <w:sz w:val="24"/>
          <w:szCs w:val="24"/>
        </w:rPr>
        <w:t>,</w:t>
      </w:r>
      <w:r w:rsidR="00B9690B">
        <w:rPr>
          <w:sz w:val="24"/>
          <w:szCs w:val="24"/>
        </w:rPr>
        <w:t xml:space="preserve"> 2</w:t>
      </w:r>
      <w:r w:rsidRPr="004600F7">
        <w:rPr>
          <w:rFonts w:hint="eastAsia"/>
          <w:sz w:val="24"/>
          <w:szCs w:val="24"/>
        </w:rPr>
        <w:t xml:space="preserve"> October 2</w:t>
      </w:r>
      <w:r w:rsidR="00B9690B">
        <w:rPr>
          <w:sz w:val="24"/>
          <w:szCs w:val="24"/>
        </w:rPr>
        <w:t>005</w:t>
      </w:r>
      <w:r w:rsidRPr="004600F7">
        <w:rPr>
          <w:rFonts w:hint="eastAsia"/>
          <w:sz w:val="24"/>
          <w:szCs w:val="24"/>
        </w:rPr>
        <w:t xml:space="preserve">. </w:t>
      </w:r>
      <w:hyperlink r:id="rId43" w:history="1">
        <w:r w:rsidRPr="004600F7">
          <w:rPr>
            <w:rStyle w:val="Hyperlink"/>
            <w:sz w:val="24"/>
            <w:szCs w:val="24"/>
          </w:rPr>
          <w:t>https://fpif.org/north_korea_the_npt/?utm_source=chatgpt.com</w:t>
        </w:r>
      </w:hyperlink>
      <w:r w:rsidRPr="004600F7">
        <w:rPr>
          <w:rFonts w:hint="eastAsia"/>
          <w:sz w:val="24"/>
          <w:szCs w:val="24"/>
        </w:rPr>
        <w:t xml:space="preserve">. </w:t>
      </w:r>
    </w:p>
    <w:p w14:paraId="1D1D1074" w14:textId="2881A204" w:rsidR="002A4B12" w:rsidRPr="004600F7" w:rsidRDefault="002A4B12" w:rsidP="005D110C">
      <w:pPr>
        <w:spacing w:after="0" w:line="240" w:lineRule="auto"/>
        <w:ind w:left="144" w:hanging="144"/>
        <w:rPr>
          <w:sz w:val="24"/>
          <w:szCs w:val="24"/>
        </w:rPr>
      </w:pPr>
      <w:r w:rsidRPr="004600F7">
        <w:rPr>
          <w:sz w:val="24"/>
          <w:szCs w:val="24"/>
        </w:rPr>
        <w:t>Ghosh, A</w:t>
      </w:r>
      <w:r w:rsidR="00613366" w:rsidRPr="004600F7">
        <w:rPr>
          <w:sz w:val="24"/>
          <w:szCs w:val="24"/>
        </w:rPr>
        <w:t>rundhati</w:t>
      </w:r>
      <w:r w:rsidRPr="004600F7">
        <w:rPr>
          <w:sz w:val="24"/>
          <w:szCs w:val="24"/>
        </w:rPr>
        <w:t xml:space="preserve">. </w:t>
      </w:r>
      <w:r w:rsidR="00613366" w:rsidRPr="004600F7">
        <w:rPr>
          <w:sz w:val="24"/>
          <w:szCs w:val="24"/>
        </w:rPr>
        <w:t>“</w:t>
      </w:r>
      <w:r w:rsidRPr="004600F7">
        <w:rPr>
          <w:sz w:val="24"/>
          <w:szCs w:val="24"/>
        </w:rPr>
        <w:t>India and the Non-Proliferation Regime: Consistency of Change?</w:t>
      </w:r>
      <w:r w:rsidR="00613366" w:rsidRPr="004600F7">
        <w:rPr>
          <w:sz w:val="24"/>
          <w:szCs w:val="24"/>
        </w:rPr>
        <w:t>”</w:t>
      </w:r>
      <w:r w:rsidRPr="004600F7">
        <w:rPr>
          <w:sz w:val="24"/>
          <w:szCs w:val="24"/>
        </w:rPr>
        <w:t xml:space="preserve"> </w:t>
      </w:r>
      <w:r w:rsidRPr="004600F7">
        <w:rPr>
          <w:i/>
          <w:iCs/>
          <w:sz w:val="24"/>
          <w:szCs w:val="24"/>
        </w:rPr>
        <w:t>Indian Foreign Affairs Journal</w:t>
      </w:r>
      <w:r w:rsidRPr="004600F7">
        <w:rPr>
          <w:sz w:val="24"/>
          <w:szCs w:val="24"/>
        </w:rPr>
        <w:t xml:space="preserve"> 1(1)</w:t>
      </w:r>
      <w:r w:rsidR="00B9690B">
        <w:rPr>
          <w:sz w:val="24"/>
          <w:szCs w:val="24"/>
        </w:rPr>
        <w:t xml:space="preserve"> (2006),</w:t>
      </w:r>
      <w:r w:rsidRPr="004600F7">
        <w:rPr>
          <w:sz w:val="24"/>
          <w:szCs w:val="24"/>
        </w:rPr>
        <w:t xml:space="preserve"> 32-44.</w:t>
      </w:r>
    </w:p>
    <w:p w14:paraId="5299576F" w14:textId="70D94C5D" w:rsidR="007405E1" w:rsidRPr="004600F7" w:rsidRDefault="007405E1" w:rsidP="005D110C">
      <w:pPr>
        <w:spacing w:after="0" w:line="240" w:lineRule="auto"/>
        <w:ind w:left="144" w:hanging="144"/>
        <w:rPr>
          <w:sz w:val="24"/>
          <w:szCs w:val="24"/>
        </w:rPr>
      </w:pPr>
      <w:r w:rsidRPr="004600F7">
        <w:rPr>
          <w:sz w:val="24"/>
          <w:szCs w:val="24"/>
        </w:rPr>
        <w:t>Gibbons, Rebecca, and Todd Robinson.</w:t>
      </w:r>
      <w:r w:rsidR="00B9690B">
        <w:rPr>
          <w:sz w:val="24"/>
          <w:szCs w:val="24"/>
        </w:rPr>
        <w:t xml:space="preserve"> </w:t>
      </w:r>
      <w:r w:rsidRPr="004600F7">
        <w:rPr>
          <w:sz w:val="24"/>
          <w:szCs w:val="24"/>
        </w:rPr>
        <w:t xml:space="preserve">“Twenty-Five Years Safer? Assessing the IAEA’s Model Additional Protocol and Its Role in International Politics.” </w:t>
      </w:r>
      <w:r w:rsidRPr="004600F7">
        <w:rPr>
          <w:i/>
          <w:iCs/>
          <w:sz w:val="24"/>
          <w:szCs w:val="24"/>
        </w:rPr>
        <w:t>The Nonproliferation Review</w:t>
      </w:r>
      <w:r w:rsidRPr="004600F7">
        <w:rPr>
          <w:sz w:val="24"/>
          <w:szCs w:val="24"/>
        </w:rPr>
        <w:t xml:space="preserve"> 28(4-6)</w:t>
      </w:r>
      <w:r w:rsidR="00B9690B">
        <w:rPr>
          <w:sz w:val="24"/>
          <w:szCs w:val="24"/>
        </w:rPr>
        <w:t xml:space="preserve"> (2021),</w:t>
      </w:r>
      <w:r w:rsidRPr="004600F7">
        <w:rPr>
          <w:sz w:val="24"/>
          <w:szCs w:val="24"/>
        </w:rPr>
        <w:t xml:space="preserve"> 297-318.</w:t>
      </w:r>
      <w:r w:rsidR="00B9690B">
        <w:rPr>
          <w:sz w:val="24"/>
          <w:szCs w:val="24"/>
        </w:rPr>
        <w:t xml:space="preserve"> DOI</w:t>
      </w:r>
      <w:r w:rsidRPr="004600F7">
        <w:rPr>
          <w:sz w:val="24"/>
          <w:szCs w:val="24"/>
        </w:rPr>
        <w:t xml:space="preserve"> </w:t>
      </w:r>
      <w:hyperlink r:id="rId44" w:history="1">
        <w:r w:rsidRPr="004600F7">
          <w:rPr>
            <w:rStyle w:val="Hyperlink"/>
            <w:sz w:val="24"/>
            <w:szCs w:val="24"/>
          </w:rPr>
          <w:t>10.1080/10736700.2022.2064516</w:t>
        </w:r>
      </w:hyperlink>
      <w:r w:rsidRPr="004600F7">
        <w:rPr>
          <w:sz w:val="24"/>
          <w:szCs w:val="24"/>
        </w:rPr>
        <w:t xml:space="preserve"> </w:t>
      </w:r>
    </w:p>
    <w:p w14:paraId="14D15D57" w14:textId="34C2FD19" w:rsidR="00F1131C" w:rsidRPr="004600F7" w:rsidRDefault="00F1131C" w:rsidP="00EB2D5B">
      <w:pPr>
        <w:spacing w:after="0" w:line="240" w:lineRule="auto"/>
        <w:ind w:left="144" w:hanging="144"/>
        <w:rPr>
          <w:sz w:val="24"/>
          <w:szCs w:val="24"/>
        </w:rPr>
      </w:pPr>
      <w:r w:rsidRPr="004600F7">
        <w:rPr>
          <w:rFonts w:hint="eastAsia"/>
          <w:sz w:val="24"/>
          <w:szCs w:val="24"/>
        </w:rPr>
        <w:t xml:space="preserve">Goldschmidt, Pierre. </w:t>
      </w:r>
      <w:r w:rsidRPr="004600F7">
        <w:rPr>
          <w:sz w:val="24"/>
          <w:szCs w:val="24"/>
        </w:rPr>
        <w:t>“</w:t>
      </w:r>
      <w:r w:rsidRPr="004600F7">
        <w:rPr>
          <w:rFonts w:hint="eastAsia"/>
          <w:sz w:val="24"/>
          <w:szCs w:val="24"/>
        </w:rPr>
        <w:t>IAEA Safeguards: Dealing Preventively with Non-Compliance.</w:t>
      </w:r>
      <w:r w:rsidRPr="004600F7">
        <w:rPr>
          <w:sz w:val="24"/>
          <w:szCs w:val="24"/>
        </w:rPr>
        <w:t>”</w:t>
      </w:r>
      <w:r w:rsidRPr="004600F7">
        <w:rPr>
          <w:rFonts w:hint="eastAsia"/>
          <w:sz w:val="24"/>
          <w:szCs w:val="24"/>
        </w:rPr>
        <w:t xml:space="preserve"> Belfer Center, </w:t>
      </w:r>
      <w:r w:rsidR="00B9690B">
        <w:rPr>
          <w:sz w:val="24"/>
          <w:szCs w:val="24"/>
        </w:rPr>
        <w:t xml:space="preserve">12 </w:t>
      </w:r>
      <w:r w:rsidRPr="004600F7">
        <w:rPr>
          <w:rFonts w:hint="eastAsia"/>
          <w:sz w:val="24"/>
          <w:szCs w:val="24"/>
        </w:rPr>
        <w:t xml:space="preserve">July </w:t>
      </w:r>
      <w:r w:rsidR="00B9690B">
        <w:rPr>
          <w:sz w:val="24"/>
          <w:szCs w:val="24"/>
        </w:rPr>
        <w:t>2008</w:t>
      </w:r>
      <w:r w:rsidRPr="004600F7">
        <w:rPr>
          <w:rFonts w:hint="eastAsia"/>
          <w:sz w:val="24"/>
          <w:szCs w:val="24"/>
        </w:rPr>
        <w:t xml:space="preserve">. </w:t>
      </w:r>
      <w:hyperlink r:id="rId45" w:history="1">
        <w:r w:rsidRPr="004600F7">
          <w:rPr>
            <w:rStyle w:val="Hyperlink"/>
            <w:sz w:val="24"/>
            <w:szCs w:val="24"/>
          </w:rPr>
          <w:t>https://www.belfercenter.org/publication/iaea-safeguards-dealing-preventively-non-compliance</w:t>
        </w:r>
      </w:hyperlink>
      <w:r w:rsidRPr="004600F7">
        <w:rPr>
          <w:rFonts w:hint="eastAsia"/>
          <w:sz w:val="24"/>
          <w:szCs w:val="24"/>
        </w:rPr>
        <w:t xml:space="preserve">. </w:t>
      </w:r>
    </w:p>
    <w:p w14:paraId="2C42FC08" w14:textId="5BBE4168" w:rsidR="00995A26" w:rsidRPr="00995A26" w:rsidRDefault="00995A26" w:rsidP="007405E1">
      <w:pPr>
        <w:spacing w:after="0" w:line="240" w:lineRule="auto"/>
        <w:ind w:left="144" w:hanging="144"/>
        <w:rPr>
          <w:sz w:val="24"/>
          <w:szCs w:val="24"/>
        </w:rPr>
      </w:pPr>
      <w:r>
        <w:rPr>
          <w:rFonts w:hint="eastAsia"/>
          <w:sz w:val="24"/>
          <w:szCs w:val="24"/>
        </w:rPr>
        <w:t xml:space="preserve">Goldschmidt, Pierre. </w:t>
      </w:r>
      <w:r>
        <w:rPr>
          <w:sz w:val="24"/>
          <w:szCs w:val="24"/>
        </w:rPr>
        <w:t>“</w:t>
      </w:r>
      <w:r>
        <w:rPr>
          <w:rFonts w:hint="eastAsia"/>
          <w:sz w:val="24"/>
          <w:szCs w:val="24"/>
        </w:rPr>
        <w:t>The IAEA Reports on Egypt: Reluctantly?</w:t>
      </w:r>
      <w:r>
        <w:rPr>
          <w:sz w:val="24"/>
          <w:szCs w:val="24"/>
        </w:rPr>
        <w:t>”</w:t>
      </w:r>
      <w:r>
        <w:rPr>
          <w:rFonts w:hint="eastAsia"/>
          <w:sz w:val="24"/>
          <w:szCs w:val="24"/>
        </w:rPr>
        <w:t xml:space="preserve"> Carnegie Endowment for International Peace, 2 June 2009. </w:t>
      </w:r>
      <w:hyperlink r:id="rId46" w:history="1">
        <w:r w:rsidRPr="0024391B">
          <w:rPr>
            <w:rStyle w:val="Hyperlink"/>
            <w:sz w:val="24"/>
            <w:szCs w:val="24"/>
          </w:rPr>
          <w:t>https://carnegieendowment.org/research/2009/06/the-iaea-reports-on-egypt-reluctantly</w:t>
        </w:r>
      </w:hyperlink>
      <w:r>
        <w:rPr>
          <w:rFonts w:hint="eastAsia"/>
          <w:sz w:val="24"/>
          <w:szCs w:val="24"/>
        </w:rPr>
        <w:t xml:space="preserve">. </w:t>
      </w:r>
    </w:p>
    <w:p w14:paraId="51D8E8B1" w14:textId="3F0E8CF9" w:rsidR="00A52764" w:rsidRDefault="00A52764" w:rsidP="007405E1">
      <w:pPr>
        <w:spacing w:after="0" w:line="240" w:lineRule="auto"/>
        <w:ind w:left="144" w:hanging="144"/>
        <w:rPr>
          <w:sz w:val="24"/>
          <w:szCs w:val="24"/>
        </w:rPr>
      </w:pPr>
      <w:r>
        <w:rPr>
          <w:sz w:val="24"/>
          <w:szCs w:val="24"/>
        </w:rPr>
        <w:t xml:space="preserve">Habib, Benjamin. “The Enforcement Problem in Resolution 2094 and the United Nations Security Council Sanctions Regime: Sanctioning North Korea.” </w:t>
      </w:r>
      <w:r w:rsidRPr="00A52764">
        <w:rPr>
          <w:i/>
          <w:iCs/>
          <w:sz w:val="24"/>
          <w:szCs w:val="24"/>
        </w:rPr>
        <w:t>Australian Journal of International Affairs</w:t>
      </w:r>
      <w:r>
        <w:rPr>
          <w:sz w:val="24"/>
          <w:szCs w:val="24"/>
        </w:rPr>
        <w:t xml:space="preserve"> 70(1)</w:t>
      </w:r>
      <w:r w:rsidR="00615572">
        <w:rPr>
          <w:sz w:val="24"/>
          <w:szCs w:val="24"/>
        </w:rPr>
        <w:t xml:space="preserve"> (2016)</w:t>
      </w:r>
      <w:r>
        <w:rPr>
          <w:sz w:val="24"/>
          <w:szCs w:val="24"/>
        </w:rPr>
        <w:t>, 50-68.</w:t>
      </w:r>
      <w:r w:rsidR="00615572">
        <w:rPr>
          <w:sz w:val="24"/>
          <w:szCs w:val="24"/>
        </w:rPr>
        <w:t xml:space="preserve"> DOI </w:t>
      </w:r>
      <w:hyperlink r:id="rId47" w:history="1">
        <w:r w:rsidR="00615572" w:rsidRPr="00676D61">
          <w:rPr>
            <w:rStyle w:val="Hyperlink"/>
            <w:sz w:val="24"/>
            <w:szCs w:val="24"/>
          </w:rPr>
          <w:t>10.1080/10357718.2015.1095278</w:t>
        </w:r>
      </w:hyperlink>
      <w:r w:rsidR="00615572">
        <w:rPr>
          <w:sz w:val="24"/>
          <w:szCs w:val="24"/>
        </w:rPr>
        <w:t xml:space="preserve"> </w:t>
      </w:r>
    </w:p>
    <w:p w14:paraId="700AA4BC" w14:textId="42FF291C" w:rsidR="007405E1" w:rsidRPr="004600F7" w:rsidRDefault="007405E1" w:rsidP="007405E1">
      <w:pPr>
        <w:spacing w:after="0" w:line="240" w:lineRule="auto"/>
        <w:ind w:left="144" w:hanging="144"/>
        <w:rPr>
          <w:sz w:val="24"/>
          <w:szCs w:val="24"/>
        </w:rPr>
      </w:pPr>
      <w:proofErr w:type="spellStart"/>
      <w:r w:rsidRPr="004600F7">
        <w:rPr>
          <w:sz w:val="24"/>
          <w:szCs w:val="24"/>
        </w:rPr>
        <w:lastRenderedPageBreak/>
        <w:t>Hӓckel</w:t>
      </w:r>
      <w:proofErr w:type="spellEnd"/>
      <w:r w:rsidRPr="004600F7">
        <w:rPr>
          <w:sz w:val="24"/>
          <w:szCs w:val="24"/>
        </w:rPr>
        <w:t xml:space="preserve">, Erwin, and Gotthard Stein. “Introduction.” In </w:t>
      </w:r>
      <w:r w:rsidRPr="004600F7">
        <w:rPr>
          <w:i/>
          <w:iCs/>
          <w:sz w:val="24"/>
          <w:szCs w:val="24"/>
        </w:rPr>
        <w:t>Tightening the Reins: Towards a Strengthened International Nuclear Safeguards System</w:t>
      </w:r>
      <w:r w:rsidRPr="004600F7">
        <w:rPr>
          <w:sz w:val="24"/>
          <w:szCs w:val="24"/>
        </w:rPr>
        <w:t>, ed</w:t>
      </w:r>
      <w:r w:rsidR="002C35B3">
        <w:rPr>
          <w:sz w:val="24"/>
          <w:szCs w:val="24"/>
        </w:rPr>
        <w:t>.</w:t>
      </w:r>
      <w:r w:rsidRPr="004600F7">
        <w:rPr>
          <w:sz w:val="24"/>
          <w:szCs w:val="24"/>
        </w:rPr>
        <w:t xml:space="preserve"> Erwin Hӓckel and Gotthard Stein </w:t>
      </w:r>
      <w:r w:rsidR="002C35B3">
        <w:rPr>
          <w:sz w:val="24"/>
          <w:szCs w:val="24"/>
        </w:rPr>
        <w:t>(</w:t>
      </w:r>
      <w:r w:rsidRPr="004600F7">
        <w:rPr>
          <w:sz w:val="24"/>
          <w:szCs w:val="24"/>
        </w:rPr>
        <w:t>Berlin: Springer-Verlag</w:t>
      </w:r>
      <w:r w:rsidR="002C35B3">
        <w:rPr>
          <w:sz w:val="24"/>
          <w:szCs w:val="24"/>
        </w:rPr>
        <w:t>, 2000),</w:t>
      </w:r>
      <w:r w:rsidR="002C35B3" w:rsidRPr="004600F7">
        <w:rPr>
          <w:sz w:val="24"/>
          <w:szCs w:val="24"/>
        </w:rPr>
        <w:t xml:space="preserve"> 1-5.</w:t>
      </w:r>
    </w:p>
    <w:p w14:paraId="37711996" w14:textId="533BDDAB" w:rsidR="003823A9" w:rsidRDefault="003823A9" w:rsidP="00F92CD8">
      <w:pPr>
        <w:spacing w:after="0" w:line="240" w:lineRule="auto"/>
        <w:ind w:left="144" w:hanging="144"/>
        <w:rPr>
          <w:sz w:val="24"/>
          <w:szCs w:val="24"/>
        </w:rPr>
      </w:pPr>
      <w:r w:rsidRPr="003823A9">
        <w:rPr>
          <w:sz w:val="24"/>
          <w:szCs w:val="24"/>
        </w:rPr>
        <w:t xml:space="preserve">Hasenclever, Andreas, and Brigitte Weiffen. “International Institutions are the Key: A New Perspective on the Democratic Peace.” </w:t>
      </w:r>
      <w:r w:rsidRPr="003823A9">
        <w:rPr>
          <w:i/>
          <w:iCs/>
          <w:sz w:val="24"/>
          <w:szCs w:val="24"/>
        </w:rPr>
        <w:t>Review of International Studies</w:t>
      </w:r>
      <w:r w:rsidRPr="003823A9">
        <w:rPr>
          <w:sz w:val="24"/>
          <w:szCs w:val="24"/>
        </w:rPr>
        <w:t xml:space="preserve"> 32(4) (2006), 563-585. </w:t>
      </w:r>
      <w:r>
        <w:rPr>
          <w:rFonts w:hint="eastAsia"/>
          <w:sz w:val="24"/>
          <w:szCs w:val="24"/>
        </w:rPr>
        <w:t xml:space="preserve">DOI </w:t>
      </w:r>
      <w:hyperlink r:id="rId48" w:history="1">
        <w:r w:rsidRPr="007D3629">
          <w:rPr>
            <w:rStyle w:val="Hyperlink"/>
            <w:sz w:val="24"/>
            <w:szCs w:val="24"/>
          </w:rPr>
          <w:t>10.1017/S0260210506007169</w:t>
        </w:r>
      </w:hyperlink>
      <w:r>
        <w:rPr>
          <w:rFonts w:hint="eastAsia"/>
          <w:sz w:val="24"/>
          <w:szCs w:val="24"/>
        </w:rPr>
        <w:t xml:space="preserve"> </w:t>
      </w:r>
    </w:p>
    <w:p w14:paraId="3E37B97D" w14:textId="0089899E" w:rsidR="00F92CD8" w:rsidRPr="004600F7" w:rsidRDefault="00F92CD8" w:rsidP="00F92CD8">
      <w:pPr>
        <w:spacing w:after="0" w:line="240" w:lineRule="auto"/>
        <w:ind w:left="144" w:hanging="144"/>
        <w:rPr>
          <w:sz w:val="24"/>
          <w:szCs w:val="24"/>
        </w:rPr>
      </w:pPr>
      <w:r w:rsidRPr="004600F7">
        <w:rPr>
          <w:sz w:val="24"/>
          <w:szCs w:val="24"/>
        </w:rPr>
        <w:t xml:space="preserve">Hecker, Siegfried, Robert Carlin, and Elliot Serbin. “A Technical and Political History of North Korea’s Nuclear Program Over the Past 26 Years.” Center for International Security and Cooperation, Stanford University. </w:t>
      </w:r>
      <w:r w:rsidR="002C35B3">
        <w:rPr>
          <w:sz w:val="24"/>
          <w:szCs w:val="24"/>
        </w:rPr>
        <w:t xml:space="preserve">24 </w:t>
      </w:r>
      <w:r w:rsidRPr="004600F7">
        <w:rPr>
          <w:sz w:val="24"/>
          <w:szCs w:val="24"/>
        </w:rPr>
        <w:t>May 2</w:t>
      </w:r>
      <w:r w:rsidR="002C35B3">
        <w:rPr>
          <w:sz w:val="24"/>
          <w:szCs w:val="24"/>
        </w:rPr>
        <w:t>018</w:t>
      </w:r>
      <w:r w:rsidRPr="004600F7">
        <w:rPr>
          <w:sz w:val="24"/>
          <w:szCs w:val="24"/>
        </w:rPr>
        <w:t xml:space="preserve">. </w:t>
      </w:r>
      <w:hyperlink r:id="rId49" w:history="1">
        <w:r w:rsidRPr="004600F7">
          <w:rPr>
            <w:rStyle w:val="Hyperlink"/>
            <w:sz w:val="24"/>
            <w:szCs w:val="24"/>
          </w:rPr>
          <w:t>https://fsi9-prod.s3.us-west-1.amazonaws.com/s3fs-public/narrativescombinedfinv2.pdf</w:t>
        </w:r>
      </w:hyperlink>
      <w:r w:rsidRPr="004600F7">
        <w:rPr>
          <w:sz w:val="24"/>
          <w:szCs w:val="24"/>
        </w:rPr>
        <w:t>.</w:t>
      </w:r>
    </w:p>
    <w:p w14:paraId="67A7C14C" w14:textId="7A537499" w:rsidR="00A40713" w:rsidRPr="00A40713" w:rsidRDefault="00A40713" w:rsidP="005D110C">
      <w:pPr>
        <w:spacing w:after="0" w:line="240" w:lineRule="auto"/>
        <w:ind w:left="144" w:hanging="144"/>
        <w:rPr>
          <w:sz w:val="24"/>
          <w:szCs w:val="24"/>
        </w:rPr>
      </w:pPr>
      <w:r>
        <w:rPr>
          <w:rFonts w:hint="eastAsia"/>
          <w:sz w:val="24"/>
          <w:szCs w:val="24"/>
        </w:rPr>
        <w:t xml:space="preserve">Hooper, Ronald L. </w:t>
      </w:r>
      <w:r>
        <w:rPr>
          <w:sz w:val="24"/>
          <w:szCs w:val="24"/>
        </w:rPr>
        <w:t>“</w:t>
      </w:r>
      <w:r>
        <w:rPr>
          <w:rFonts w:hint="eastAsia"/>
          <w:sz w:val="24"/>
          <w:szCs w:val="24"/>
        </w:rPr>
        <w:t>T</w:t>
      </w:r>
      <w:r>
        <w:rPr>
          <w:sz w:val="24"/>
          <w:szCs w:val="24"/>
        </w:rPr>
        <w:t>h</w:t>
      </w:r>
      <w:r>
        <w:rPr>
          <w:rFonts w:hint="eastAsia"/>
          <w:sz w:val="24"/>
          <w:szCs w:val="24"/>
        </w:rPr>
        <w:t>e System of Strengthened Safeguards.</w:t>
      </w:r>
      <w:r>
        <w:rPr>
          <w:sz w:val="24"/>
          <w:szCs w:val="24"/>
        </w:rPr>
        <w:t>”</w:t>
      </w:r>
      <w:r>
        <w:rPr>
          <w:rFonts w:hint="eastAsia"/>
          <w:sz w:val="24"/>
          <w:szCs w:val="24"/>
        </w:rPr>
        <w:t xml:space="preserve"> IAEA Bulletin 39(2) (1997), 27-30. </w:t>
      </w:r>
      <w:hyperlink r:id="rId50" w:history="1">
        <w:r w:rsidRPr="00D62FA1">
          <w:rPr>
            <w:rStyle w:val="Hyperlink"/>
            <w:sz w:val="24"/>
            <w:szCs w:val="24"/>
          </w:rPr>
          <w:t>https://www.iaea.org/sites/default/files/39403452630_0.PDF</w:t>
        </w:r>
      </w:hyperlink>
      <w:r>
        <w:rPr>
          <w:rFonts w:hint="eastAsia"/>
          <w:sz w:val="24"/>
          <w:szCs w:val="24"/>
        </w:rPr>
        <w:t xml:space="preserve">. </w:t>
      </w:r>
    </w:p>
    <w:p w14:paraId="0014EA55" w14:textId="323D83D2" w:rsidR="00A80D54" w:rsidRDefault="00A80D54" w:rsidP="005D110C">
      <w:pPr>
        <w:spacing w:after="0" w:line="240" w:lineRule="auto"/>
        <w:ind w:left="144" w:hanging="144"/>
        <w:rPr>
          <w:sz w:val="24"/>
          <w:szCs w:val="24"/>
        </w:rPr>
      </w:pPr>
      <w:r>
        <w:rPr>
          <w:sz w:val="24"/>
          <w:szCs w:val="24"/>
        </w:rPr>
        <w:t xml:space="preserve">Hopewell, Kristen. “Unravelling of the Trade Legal Order: Enforcement, Defection and the Crisis of the WTO Dispute Settlement System.” </w:t>
      </w:r>
      <w:r w:rsidRPr="00075711">
        <w:rPr>
          <w:i/>
          <w:iCs/>
          <w:sz w:val="24"/>
          <w:szCs w:val="24"/>
        </w:rPr>
        <w:t>International Affairs</w:t>
      </w:r>
      <w:r>
        <w:rPr>
          <w:sz w:val="24"/>
          <w:szCs w:val="24"/>
        </w:rPr>
        <w:t xml:space="preserve"> 101(3) (2025), 1103-1117. DOI </w:t>
      </w:r>
      <w:hyperlink r:id="rId51" w:history="1">
        <w:r w:rsidRPr="005C1D5A">
          <w:rPr>
            <w:rStyle w:val="Hyperlink"/>
            <w:sz w:val="24"/>
            <w:szCs w:val="24"/>
          </w:rPr>
          <w:t>10.1093/</w:t>
        </w:r>
        <w:proofErr w:type="spellStart"/>
        <w:r w:rsidRPr="005C1D5A">
          <w:rPr>
            <w:rStyle w:val="Hyperlink"/>
            <w:sz w:val="24"/>
            <w:szCs w:val="24"/>
          </w:rPr>
          <w:t>ia</w:t>
        </w:r>
        <w:proofErr w:type="spellEnd"/>
        <w:r w:rsidRPr="005C1D5A">
          <w:rPr>
            <w:rStyle w:val="Hyperlink"/>
            <w:sz w:val="24"/>
            <w:szCs w:val="24"/>
          </w:rPr>
          <w:t>/iiaf055</w:t>
        </w:r>
      </w:hyperlink>
      <w:r>
        <w:rPr>
          <w:sz w:val="24"/>
          <w:szCs w:val="24"/>
        </w:rPr>
        <w:t xml:space="preserve"> </w:t>
      </w:r>
    </w:p>
    <w:p w14:paraId="7446D5C9" w14:textId="2E86AFD9" w:rsidR="00615572" w:rsidRDefault="00615572" w:rsidP="005D110C">
      <w:pPr>
        <w:spacing w:after="0" w:line="240" w:lineRule="auto"/>
        <w:ind w:left="144" w:hanging="144"/>
        <w:rPr>
          <w:sz w:val="24"/>
          <w:szCs w:val="24"/>
        </w:rPr>
      </w:pPr>
      <w:proofErr w:type="spellStart"/>
      <w:r>
        <w:rPr>
          <w:sz w:val="24"/>
          <w:szCs w:val="24"/>
        </w:rPr>
        <w:t>Horschig</w:t>
      </w:r>
      <w:proofErr w:type="spellEnd"/>
      <w:r>
        <w:rPr>
          <w:sz w:val="24"/>
          <w:szCs w:val="24"/>
        </w:rPr>
        <w:t xml:space="preserve">, Doreen. “Reinforcing the Nuclear Nonproliferation Regime.” </w:t>
      </w:r>
      <w:r w:rsidRPr="00615572">
        <w:rPr>
          <w:i/>
          <w:iCs/>
          <w:sz w:val="24"/>
          <w:szCs w:val="24"/>
        </w:rPr>
        <w:t>Lawfare</w:t>
      </w:r>
      <w:r>
        <w:rPr>
          <w:sz w:val="24"/>
          <w:szCs w:val="24"/>
        </w:rPr>
        <w:t xml:space="preserve">, 4 February 2024. </w:t>
      </w:r>
      <w:hyperlink r:id="rId52" w:history="1">
        <w:r w:rsidRPr="00676D61">
          <w:rPr>
            <w:rStyle w:val="Hyperlink"/>
            <w:sz w:val="24"/>
            <w:szCs w:val="24"/>
          </w:rPr>
          <w:t>https://www.lawfaremedia.org/article/reinforcing-the-nuclear-nonproliferation-regime</w:t>
        </w:r>
      </w:hyperlink>
      <w:r>
        <w:rPr>
          <w:sz w:val="24"/>
          <w:szCs w:val="24"/>
        </w:rPr>
        <w:t xml:space="preserve">. </w:t>
      </w:r>
    </w:p>
    <w:p w14:paraId="698FF502" w14:textId="56E041BD" w:rsidR="00DD0FE8" w:rsidRPr="004600F7" w:rsidRDefault="00DD0FE8" w:rsidP="005D110C">
      <w:pPr>
        <w:spacing w:after="0" w:line="240" w:lineRule="auto"/>
        <w:ind w:left="144" w:hanging="144"/>
        <w:rPr>
          <w:sz w:val="24"/>
          <w:szCs w:val="24"/>
        </w:rPr>
      </w:pPr>
      <w:r w:rsidRPr="004600F7">
        <w:rPr>
          <w:sz w:val="24"/>
          <w:szCs w:val="24"/>
        </w:rPr>
        <w:t>Howse, R</w:t>
      </w:r>
      <w:r w:rsidR="00613366" w:rsidRPr="004600F7">
        <w:rPr>
          <w:sz w:val="24"/>
          <w:szCs w:val="24"/>
        </w:rPr>
        <w:t>obert,</w:t>
      </w:r>
      <w:r w:rsidRPr="004600F7">
        <w:rPr>
          <w:sz w:val="24"/>
          <w:szCs w:val="24"/>
        </w:rPr>
        <w:t xml:space="preserve"> </w:t>
      </w:r>
      <w:r w:rsidR="00613366" w:rsidRPr="004600F7">
        <w:rPr>
          <w:sz w:val="24"/>
          <w:szCs w:val="24"/>
        </w:rPr>
        <w:t>and</w:t>
      </w:r>
      <w:r w:rsidRPr="004600F7">
        <w:rPr>
          <w:sz w:val="24"/>
          <w:szCs w:val="24"/>
        </w:rPr>
        <w:t xml:space="preserve"> </w:t>
      </w:r>
      <w:r w:rsidR="00613366" w:rsidRPr="004600F7">
        <w:rPr>
          <w:sz w:val="24"/>
          <w:szCs w:val="24"/>
        </w:rPr>
        <w:t xml:space="preserve">Ruti </w:t>
      </w:r>
      <w:r w:rsidRPr="004600F7">
        <w:rPr>
          <w:sz w:val="24"/>
          <w:szCs w:val="24"/>
        </w:rPr>
        <w:t xml:space="preserve">Teitel. </w:t>
      </w:r>
      <w:r w:rsidR="00613366" w:rsidRPr="004600F7">
        <w:rPr>
          <w:sz w:val="24"/>
          <w:szCs w:val="24"/>
        </w:rPr>
        <w:t>“</w:t>
      </w:r>
      <w:r w:rsidRPr="004600F7">
        <w:rPr>
          <w:sz w:val="24"/>
          <w:szCs w:val="24"/>
        </w:rPr>
        <w:t xml:space="preserve">Beyond Compliance: Rethinking Why International Law Really Matters.” </w:t>
      </w:r>
      <w:r w:rsidRPr="004600F7">
        <w:rPr>
          <w:i/>
          <w:iCs/>
          <w:sz w:val="24"/>
          <w:szCs w:val="24"/>
        </w:rPr>
        <w:t>Global Policy</w:t>
      </w:r>
      <w:r w:rsidRPr="004600F7">
        <w:rPr>
          <w:sz w:val="24"/>
          <w:szCs w:val="24"/>
        </w:rPr>
        <w:t xml:space="preserve"> 1(2)</w:t>
      </w:r>
      <w:r w:rsidR="002C35B3">
        <w:rPr>
          <w:sz w:val="24"/>
          <w:szCs w:val="24"/>
        </w:rPr>
        <w:t xml:space="preserve"> (2010),</w:t>
      </w:r>
      <w:r w:rsidRPr="004600F7">
        <w:rPr>
          <w:sz w:val="24"/>
          <w:szCs w:val="24"/>
        </w:rPr>
        <w:t xml:space="preserve"> 127-136.</w:t>
      </w:r>
      <w:r w:rsidR="002C35B3">
        <w:rPr>
          <w:sz w:val="24"/>
          <w:szCs w:val="24"/>
        </w:rPr>
        <w:t xml:space="preserve"> DOI</w:t>
      </w:r>
      <w:r w:rsidR="00613366" w:rsidRPr="004600F7">
        <w:rPr>
          <w:sz w:val="24"/>
          <w:szCs w:val="24"/>
        </w:rPr>
        <w:t xml:space="preserve"> </w:t>
      </w:r>
      <w:hyperlink r:id="rId53" w:history="1">
        <w:r w:rsidR="00613366" w:rsidRPr="004600F7">
          <w:rPr>
            <w:rStyle w:val="Hyperlink"/>
            <w:sz w:val="24"/>
            <w:szCs w:val="24"/>
          </w:rPr>
          <w:t>10.1111/j.1758-5899.</w:t>
        </w:r>
        <w:proofErr w:type="gramStart"/>
        <w:r w:rsidR="00613366" w:rsidRPr="004600F7">
          <w:rPr>
            <w:rStyle w:val="Hyperlink"/>
            <w:sz w:val="24"/>
            <w:szCs w:val="24"/>
          </w:rPr>
          <w:t>2010.00035.x</w:t>
        </w:r>
        <w:proofErr w:type="gramEnd"/>
      </w:hyperlink>
      <w:r w:rsidR="00613366" w:rsidRPr="004600F7">
        <w:rPr>
          <w:sz w:val="24"/>
          <w:szCs w:val="24"/>
        </w:rPr>
        <w:t xml:space="preserve"> </w:t>
      </w:r>
    </w:p>
    <w:p w14:paraId="36F42EB1" w14:textId="6323B6F2" w:rsidR="00A11CD9" w:rsidRPr="004600F7" w:rsidRDefault="00A11CD9" w:rsidP="005D110C">
      <w:pPr>
        <w:spacing w:after="0" w:line="240" w:lineRule="auto"/>
        <w:ind w:left="144" w:hanging="144"/>
        <w:rPr>
          <w:sz w:val="24"/>
          <w:szCs w:val="24"/>
        </w:rPr>
      </w:pPr>
      <w:r w:rsidRPr="004600F7">
        <w:rPr>
          <w:rFonts w:hint="eastAsia"/>
          <w:sz w:val="24"/>
          <w:szCs w:val="24"/>
        </w:rPr>
        <w:t xml:space="preserve">Hymans, Jacques E.C. </w:t>
      </w:r>
      <w:r w:rsidRPr="004600F7">
        <w:rPr>
          <w:rFonts w:hint="eastAsia"/>
          <w:i/>
          <w:iCs/>
          <w:sz w:val="24"/>
          <w:szCs w:val="24"/>
        </w:rPr>
        <w:t>The Psychology of Nuclear Proliferation</w:t>
      </w:r>
      <w:r w:rsidRPr="004600F7">
        <w:rPr>
          <w:rFonts w:hint="eastAsia"/>
          <w:sz w:val="24"/>
          <w:szCs w:val="24"/>
        </w:rPr>
        <w:t xml:space="preserve">. </w:t>
      </w:r>
      <w:r w:rsidR="002C35B3">
        <w:rPr>
          <w:sz w:val="24"/>
          <w:szCs w:val="24"/>
        </w:rPr>
        <w:t>(</w:t>
      </w:r>
      <w:r w:rsidRPr="004600F7">
        <w:rPr>
          <w:rFonts w:hint="eastAsia"/>
          <w:sz w:val="24"/>
          <w:szCs w:val="24"/>
        </w:rPr>
        <w:t>New York: Cambridge University Press</w:t>
      </w:r>
      <w:r w:rsidR="002C35B3">
        <w:rPr>
          <w:sz w:val="24"/>
          <w:szCs w:val="24"/>
        </w:rPr>
        <w:t>, 2006)</w:t>
      </w:r>
      <w:r w:rsidRPr="004600F7">
        <w:rPr>
          <w:rFonts w:hint="eastAsia"/>
          <w:sz w:val="24"/>
          <w:szCs w:val="24"/>
        </w:rPr>
        <w:t xml:space="preserve">. </w:t>
      </w:r>
    </w:p>
    <w:p w14:paraId="4474A839" w14:textId="2C1E24A9" w:rsidR="00F92CD8" w:rsidRPr="004600F7" w:rsidRDefault="00F92CD8" w:rsidP="005D110C">
      <w:pPr>
        <w:spacing w:after="0" w:line="240" w:lineRule="auto"/>
        <w:ind w:left="144" w:hanging="144"/>
        <w:rPr>
          <w:sz w:val="24"/>
          <w:szCs w:val="24"/>
        </w:rPr>
      </w:pPr>
      <w:proofErr w:type="spellStart"/>
      <w:r w:rsidRPr="004600F7">
        <w:rPr>
          <w:sz w:val="24"/>
          <w:szCs w:val="24"/>
        </w:rPr>
        <w:t>IAEA</w:t>
      </w:r>
      <w:r w:rsidR="00D07EAF" w:rsidRPr="004600F7">
        <w:rPr>
          <w:sz w:val="24"/>
          <w:szCs w:val="24"/>
        </w:rPr>
        <w:t>a</w:t>
      </w:r>
      <w:proofErr w:type="spellEnd"/>
      <w:r w:rsidRPr="004600F7">
        <w:rPr>
          <w:sz w:val="24"/>
          <w:szCs w:val="24"/>
        </w:rPr>
        <w:t xml:space="preserve">. </w:t>
      </w:r>
      <w:r w:rsidR="00727188" w:rsidRPr="004600F7">
        <w:rPr>
          <w:sz w:val="24"/>
          <w:szCs w:val="24"/>
        </w:rPr>
        <w:t xml:space="preserve">“IAEA Safeguards Overview.” </w:t>
      </w:r>
      <w:hyperlink r:id="rId54">
        <w:r w:rsidR="00727188" w:rsidRPr="004600F7">
          <w:rPr>
            <w:rStyle w:val="Hyperlink"/>
            <w:sz w:val="24"/>
            <w:szCs w:val="24"/>
          </w:rPr>
          <w:t>https://www.iaea.org/publications/factsheets/iaea-safeguards-overview</w:t>
        </w:r>
      </w:hyperlink>
      <w:r w:rsidR="00727188" w:rsidRPr="004600F7">
        <w:rPr>
          <w:sz w:val="24"/>
          <w:szCs w:val="24"/>
        </w:rPr>
        <w:t>.</w:t>
      </w:r>
    </w:p>
    <w:p w14:paraId="5EB9B4AA" w14:textId="69C597C5" w:rsidR="00D07EAF" w:rsidRDefault="00D07EAF" w:rsidP="00D07EAF">
      <w:pPr>
        <w:spacing w:after="0" w:line="240" w:lineRule="auto"/>
        <w:ind w:left="144" w:hanging="144"/>
        <w:rPr>
          <w:sz w:val="24"/>
          <w:szCs w:val="24"/>
        </w:rPr>
      </w:pPr>
      <w:proofErr w:type="spellStart"/>
      <w:r w:rsidRPr="004600F7">
        <w:rPr>
          <w:sz w:val="24"/>
          <w:szCs w:val="24"/>
        </w:rPr>
        <w:t>IAEAb</w:t>
      </w:r>
      <w:proofErr w:type="spellEnd"/>
      <w:r w:rsidRPr="004600F7">
        <w:rPr>
          <w:sz w:val="24"/>
          <w:szCs w:val="24"/>
        </w:rPr>
        <w:t xml:space="preserve">. “Fact Sheet on DPRK Nuclear Safeguards.” </w:t>
      </w:r>
      <w:hyperlink r:id="rId55" w:history="1">
        <w:r w:rsidRPr="004600F7">
          <w:rPr>
            <w:rStyle w:val="Hyperlink"/>
            <w:sz w:val="24"/>
            <w:szCs w:val="24"/>
          </w:rPr>
          <w:t>https://www.iaea.org/newscenter/focus/dprk/fact-sheet-on-dprk-nuclear-safeguards</w:t>
        </w:r>
      </w:hyperlink>
      <w:r w:rsidRPr="004600F7">
        <w:rPr>
          <w:sz w:val="24"/>
          <w:szCs w:val="24"/>
        </w:rPr>
        <w:t xml:space="preserve">. </w:t>
      </w:r>
    </w:p>
    <w:p w14:paraId="1347E58D" w14:textId="064DDAFA" w:rsidR="00995A26" w:rsidRPr="00995A26" w:rsidRDefault="00995A26" w:rsidP="00D07EAF">
      <w:pPr>
        <w:spacing w:after="0" w:line="240" w:lineRule="auto"/>
        <w:ind w:left="144" w:hanging="144"/>
        <w:rPr>
          <w:sz w:val="24"/>
          <w:szCs w:val="24"/>
        </w:rPr>
      </w:pPr>
      <w:r>
        <w:rPr>
          <w:rFonts w:hint="eastAsia"/>
          <w:sz w:val="24"/>
          <w:szCs w:val="24"/>
        </w:rPr>
        <w:t xml:space="preserve">IAEA. </w:t>
      </w:r>
      <w:r>
        <w:rPr>
          <w:sz w:val="24"/>
          <w:szCs w:val="24"/>
        </w:rPr>
        <w:t>“</w:t>
      </w:r>
      <w:r>
        <w:rPr>
          <w:rFonts w:hint="eastAsia"/>
          <w:sz w:val="24"/>
          <w:szCs w:val="24"/>
        </w:rPr>
        <w:t>Implementation of the NPT Safeguards Agreement in the Syrian Arab Republic.</w:t>
      </w:r>
      <w:r>
        <w:rPr>
          <w:sz w:val="24"/>
          <w:szCs w:val="24"/>
        </w:rPr>
        <w:t>”</w:t>
      </w:r>
      <w:r>
        <w:rPr>
          <w:rFonts w:hint="eastAsia"/>
          <w:sz w:val="24"/>
          <w:szCs w:val="24"/>
        </w:rPr>
        <w:t xml:space="preserve"> GOV/2011/30, 24 May 2011. </w:t>
      </w:r>
      <w:hyperlink r:id="rId56" w:history="1">
        <w:r w:rsidRPr="0024391B">
          <w:rPr>
            <w:rStyle w:val="Hyperlink"/>
            <w:sz w:val="24"/>
            <w:szCs w:val="24"/>
          </w:rPr>
          <w:t>https://www.iaea.org/sites/default/files/documents/gov2011-30.pdf</w:t>
        </w:r>
      </w:hyperlink>
      <w:r>
        <w:rPr>
          <w:rFonts w:hint="eastAsia"/>
          <w:sz w:val="24"/>
          <w:szCs w:val="24"/>
        </w:rPr>
        <w:t xml:space="preserve">. </w:t>
      </w:r>
    </w:p>
    <w:p w14:paraId="67E0008E" w14:textId="1F942B55" w:rsidR="00615572" w:rsidRPr="004600F7" w:rsidRDefault="00615572" w:rsidP="00D07EAF">
      <w:pPr>
        <w:spacing w:after="0" w:line="240" w:lineRule="auto"/>
        <w:ind w:left="144" w:hanging="144"/>
        <w:rPr>
          <w:sz w:val="24"/>
          <w:szCs w:val="24"/>
        </w:rPr>
      </w:pPr>
      <w:r>
        <w:rPr>
          <w:sz w:val="24"/>
          <w:szCs w:val="24"/>
        </w:rPr>
        <w:t xml:space="preserve">IAEA. “Regulatory Enforcement Policy Development and Implementation.” </w:t>
      </w:r>
      <w:r w:rsidRPr="00615572">
        <w:rPr>
          <w:i/>
          <w:iCs/>
          <w:sz w:val="24"/>
          <w:szCs w:val="24"/>
        </w:rPr>
        <w:t>IAEA TECDOC</w:t>
      </w:r>
      <w:r>
        <w:rPr>
          <w:sz w:val="24"/>
          <w:szCs w:val="24"/>
        </w:rPr>
        <w:t xml:space="preserve"> Series 2089, 2025. </w:t>
      </w:r>
      <w:hyperlink r:id="rId57" w:history="1">
        <w:r w:rsidRPr="00676D61">
          <w:rPr>
            <w:rStyle w:val="Hyperlink"/>
            <w:sz w:val="24"/>
            <w:szCs w:val="24"/>
          </w:rPr>
          <w:t>https://www-pub.iaea.org/MTCD/publications/PDF/TE-2089web.pdf</w:t>
        </w:r>
      </w:hyperlink>
      <w:r>
        <w:rPr>
          <w:sz w:val="24"/>
          <w:szCs w:val="24"/>
        </w:rPr>
        <w:t xml:space="preserve">. </w:t>
      </w:r>
    </w:p>
    <w:p w14:paraId="241BD3E4" w14:textId="47AA849C" w:rsidR="00DD0FE8" w:rsidRPr="004600F7" w:rsidRDefault="00DD0FE8" w:rsidP="005D110C">
      <w:pPr>
        <w:spacing w:after="0" w:line="240" w:lineRule="auto"/>
        <w:ind w:left="144" w:hanging="144"/>
        <w:rPr>
          <w:sz w:val="24"/>
          <w:szCs w:val="24"/>
        </w:rPr>
      </w:pPr>
      <w:r w:rsidRPr="004600F7">
        <w:rPr>
          <w:sz w:val="24"/>
          <w:szCs w:val="24"/>
        </w:rPr>
        <w:t>Ikenberry, G.</w:t>
      </w:r>
      <w:r w:rsidR="00613366" w:rsidRPr="004600F7">
        <w:rPr>
          <w:sz w:val="24"/>
          <w:szCs w:val="24"/>
        </w:rPr>
        <w:t xml:space="preserve"> </w:t>
      </w:r>
      <w:r w:rsidRPr="004600F7">
        <w:rPr>
          <w:sz w:val="24"/>
          <w:szCs w:val="24"/>
        </w:rPr>
        <w:t>J</w:t>
      </w:r>
      <w:r w:rsidR="00613366" w:rsidRPr="004600F7">
        <w:rPr>
          <w:sz w:val="24"/>
          <w:szCs w:val="24"/>
        </w:rPr>
        <w:t>ohn</w:t>
      </w:r>
      <w:r w:rsidRPr="004600F7">
        <w:rPr>
          <w:sz w:val="24"/>
          <w:szCs w:val="24"/>
        </w:rPr>
        <w:t xml:space="preserve">. </w:t>
      </w:r>
      <w:r w:rsidRPr="004600F7">
        <w:rPr>
          <w:i/>
          <w:iCs/>
          <w:sz w:val="24"/>
          <w:szCs w:val="24"/>
        </w:rPr>
        <w:t>After Victory: Institutions, Strategic Restraint, and the Rebuilding of Order after Major Wars</w:t>
      </w:r>
      <w:r w:rsidR="00613366" w:rsidRPr="004600F7">
        <w:rPr>
          <w:sz w:val="24"/>
          <w:szCs w:val="24"/>
        </w:rPr>
        <w:t xml:space="preserve"> </w:t>
      </w:r>
      <w:r w:rsidR="002C35B3">
        <w:rPr>
          <w:sz w:val="24"/>
          <w:szCs w:val="24"/>
        </w:rPr>
        <w:t>(</w:t>
      </w:r>
      <w:r w:rsidR="00613366" w:rsidRPr="004600F7">
        <w:rPr>
          <w:sz w:val="24"/>
          <w:szCs w:val="24"/>
        </w:rPr>
        <w:t>Princeton:</w:t>
      </w:r>
      <w:r w:rsidRPr="004600F7">
        <w:rPr>
          <w:sz w:val="24"/>
          <w:szCs w:val="24"/>
        </w:rPr>
        <w:t xml:space="preserve"> Princeton University Press</w:t>
      </w:r>
      <w:r w:rsidR="002C35B3">
        <w:rPr>
          <w:sz w:val="24"/>
          <w:szCs w:val="24"/>
        </w:rPr>
        <w:t>, 2010)</w:t>
      </w:r>
      <w:r w:rsidRPr="004600F7">
        <w:rPr>
          <w:sz w:val="24"/>
          <w:szCs w:val="24"/>
        </w:rPr>
        <w:t xml:space="preserve">. </w:t>
      </w:r>
    </w:p>
    <w:p w14:paraId="16CBC919" w14:textId="1C5D3194" w:rsidR="00D7462C" w:rsidRPr="004600F7" w:rsidRDefault="00D7462C" w:rsidP="005D110C">
      <w:pPr>
        <w:spacing w:after="0" w:line="240" w:lineRule="auto"/>
        <w:ind w:left="144" w:hanging="144"/>
        <w:rPr>
          <w:sz w:val="24"/>
          <w:szCs w:val="24"/>
        </w:rPr>
      </w:pPr>
      <w:r w:rsidRPr="004600F7">
        <w:rPr>
          <w:rFonts w:hint="eastAsia"/>
          <w:sz w:val="24"/>
          <w:szCs w:val="24"/>
        </w:rPr>
        <w:t xml:space="preserve">Jo, Dong-Joon, and Erik Gartzke. </w:t>
      </w:r>
      <w:r w:rsidRPr="004600F7">
        <w:rPr>
          <w:sz w:val="24"/>
          <w:szCs w:val="24"/>
        </w:rPr>
        <w:t>“</w:t>
      </w:r>
      <w:r w:rsidRPr="004600F7">
        <w:rPr>
          <w:rFonts w:hint="eastAsia"/>
          <w:sz w:val="24"/>
          <w:szCs w:val="24"/>
        </w:rPr>
        <w:t>Determinants of Nuclear Weapons Proliferation.</w:t>
      </w:r>
      <w:r w:rsidRPr="004600F7">
        <w:rPr>
          <w:sz w:val="24"/>
          <w:szCs w:val="24"/>
        </w:rPr>
        <w:t>”</w:t>
      </w:r>
      <w:r w:rsidRPr="004600F7">
        <w:rPr>
          <w:rFonts w:hint="eastAsia"/>
          <w:sz w:val="24"/>
          <w:szCs w:val="24"/>
        </w:rPr>
        <w:t xml:space="preserve"> </w:t>
      </w:r>
      <w:r w:rsidRPr="004600F7">
        <w:rPr>
          <w:rFonts w:hint="eastAsia"/>
          <w:i/>
          <w:iCs/>
          <w:sz w:val="24"/>
          <w:szCs w:val="24"/>
        </w:rPr>
        <w:t>Journal of Conflict Resolution</w:t>
      </w:r>
      <w:r w:rsidRPr="004600F7">
        <w:rPr>
          <w:rFonts w:hint="eastAsia"/>
          <w:sz w:val="24"/>
          <w:szCs w:val="24"/>
        </w:rPr>
        <w:t xml:space="preserve"> 51(1)</w:t>
      </w:r>
      <w:r w:rsidR="002C35B3">
        <w:rPr>
          <w:sz w:val="24"/>
          <w:szCs w:val="24"/>
        </w:rPr>
        <w:t xml:space="preserve"> (2007),</w:t>
      </w:r>
      <w:r w:rsidRPr="004600F7">
        <w:rPr>
          <w:rFonts w:hint="eastAsia"/>
          <w:sz w:val="24"/>
          <w:szCs w:val="24"/>
        </w:rPr>
        <w:t xml:space="preserve"> 167-194.</w:t>
      </w:r>
      <w:r w:rsidR="002C35B3">
        <w:rPr>
          <w:sz w:val="24"/>
          <w:szCs w:val="24"/>
        </w:rPr>
        <w:t xml:space="preserve"> DOI</w:t>
      </w:r>
      <w:r w:rsidRPr="004600F7">
        <w:rPr>
          <w:rFonts w:hint="eastAsia"/>
          <w:sz w:val="24"/>
          <w:szCs w:val="24"/>
        </w:rPr>
        <w:t xml:space="preserve"> </w:t>
      </w:r>
      <w:hyperlink r:id="rId58" w:history="1">
        <w:r w:rsidRPr="004600F7">
          <w:rPr>
            <w:rStyle w:val="Hyperlink"/>
            <w:sz w:val="24"/>
            <w:szCs w:val="24"/>
          </w:rPr>
          <w:t>10.1177/0022002706296158</w:t>
        </w:r>
      </w:hyperlink>
      <w:r w:rsidRPr="004600F7">
        <w:rPr>
          <w:rFonts w:hint="eastAsia"/>
          <w:sz w:val="24"/>
          <w:szCs w:val="24"/>
        </w:rPr>
        <w:t xml:space="preserve"> </w:t>
      </w:r>
    </w:p>
    <w:p w14:paraId="66342BA8" w14:textId="5AE79E92" w:rsidR="000B5960" w:rsidRDefault="000B5960" w:rsidP="005D110C">
      <w:pPr>
        <w:spacing w:after="0" w:line="240" w:lineRule="auto"/>
        <w:ind w:left="144" w:hanging="144"/>
        <w:rPr>
          <w:sz w:val="24"/>
          <w:szCs w:val="24"/>
        </w:rPr>
      </w:pPr>
      <w:r>
        <w:rPr>
          <w:rFonts w:hint="eastAsia"/>
          <w:sz w:val="24"/>
          <w:szCs w:val="24"/>
        </w:rPr>
        <w:t xml:space="preserve">Joyner, </w:t>
      </w:r>
      <w:r w:rsidR="00B80279">
        <w:rPr>
          <w:sz w:val="24"/>
          <w:szCs w:val="24"/>
        </w:rPr>
        <w:t xml:space="preserve">Daniel H. </w:t>
      </w:r>
      <w:r w:rsidR="00B80279" w:rsidRPr="00B80279">
        <w:rPr>
          <w:i/>
          <w:iCs/>
          <w:sz w:val="24"/>
          <w:szCs w:val="24"/>
        </w:rPr>
        <w:t>Interpreting the Nuclear Non-Proliferation Treaty</w:t>
      </w:r>
      <w:r w:rsidR="00B80279">
        <w:rPr>
          <w:sz w:val="24"/>
          <w:szCs w:val="24"/>
        </w:rPr>
        <w:t xml:space="preserve">. (Oxford: Oxford University Press, 2011). </w:t>
      </w:r>
    </w:p>
    <w:p w14:paraId="76645119" w14:textId="122D12BA" w:rsidR="005D110C" w:rsidRPr="004600F7" w:rsidRDefault="005D110C" w:rsidP="005D110C">
      <w:pPr>
        <w:spacing w:after="0" w:line="240" w:lineRule="auto"/>
        <w:ind w:left="144" w:hanging="144"/>
        <w:rPr>
          <w:sz w:val="24"/>
          <w:szCs w:val="24"/>
        </w:rPr>
      </w:pPr>
      <w:r w:rsidRPr="004600F7">
        <w:rPr>
          <w:sz w:val="24"/>
          <w:szCs w:val="24"/>
        </w:rPr>
        <w:t xml:space="preserve">Kanwar, Vic. “Two Crises of Confidence: Securing Non-Proliferation and the Rule of Law Through Security Council Resolutions.” </w:t>
      </w:r>
      <w:r w:rsidRPr="004600F7">
        <w:rPr>
          <w:i/>
          <w:iCs/>
          <w:sz w:val="24"/>
          <w:szCs w:val="24"/>
        </w:rPr>
        <w:t>Ohio Northern University Law Review</w:t>
      </w:r>
      <w:r w:rsidRPr="004600F7">
        <w:rPr>
          <w:sz w:val="24"/>
          <w:szCs w:val="24"/>
        </w:rPr>
        <w:t xml:space="preserve"> 35</w:t>
      </w:r>
      <w:r w:rsidR="00111EB4">
        <w:rPr>
          <w:sz w:val="24"/>
          <w:szCs w:val="24"/>
        </w:rPr>
        <w:t xml:space="preserve"> (2009),</w:t>
      </w:r>
      <w:r w:rsidRPr="004600F7">
        <w:rPr>
          <w:sz w:val="24"/>
          <w:szCs w:val="24"/>
        </w:rPr>
        <w:t xml:space="preserve"> 171-242.</w:t>
      </w:r>
    </w:p>
    <w:p w14:paraId="481CF81A" w14:textId="4AA5599E" w:rsidR="00D07EAF" w:rsidRPr="004600F7" w:rsidRDefault="00D07EAF" w:rsidP="00D07EAF">
      <w:pPr>
        <w:spacing w:after="0" w:line="240" w:lineRule="auto"/>
        <w:ind w:left="144" w:hanging="144"/>
        <w:rPr>
          <w:sz w:val="24"/>
          <w:szCs w:val="24"/>
        </w:rPr>
      </w:pPr>
      <w:r w:rsidRPr="004600F7">
        <w:rPr>
          <w:sz w:val="24"/>
          <w:szCs w:val="24"/>
        </w:rPr>
        <w:t xml:space="preserve">Kaplow, Jeffrey. </w:t>
      </w:r>
      <w:r w:rsidRPr="004600F7">
        <w:rPr>
          <w:i/>
          <w:iCs/>
          <w:sz w:val="24"/>
          <w:szCs w:val="24"/>
        </w:rPr>
        <w:t>Signing Away the Bomb: The Surprising Success of the Nuclear Nonproliferation Regime</w:t>
      </w:r>
      <w:r w:rsidRPr="004600F7">
        <w:rPr>
          <w:sz w:val="24"/>
          <w:szCs w:val="24"/>
        </w:rPr>
        <w:t xml:space="preserve"> </w:t>
      </w:r>
      <w:r w:rsidR="00111EB4">
        <w:rPr>
          <w:sz w:val="24"/>
          <w:szCs w:val="24"/>
        </w:rPr>
        <w:t>(</w:t>
      </w:r>
      <w:r w:rsidRPr="004600F7">
        <w:rPr>
          <w:sz w:val="24"/>
          <w:szCs w:val="24"/>
        </w:rPr>
        <w:t>New York: Cambridge University Press</w:t>
      </w:r>
      <w:r w:rsidR="00111EB4">
        <w:rPr>
          <w:sz w:val="24"/>
          <w:szCs w:val="24"/>
        </w:rPr>
        <w:t>, 2023)</w:t>
      </w:r>
      <w:r w:rsidRPr="004600F7">
        <w:rPr>
          <w:sz w:val="24"/>
          <w:szCs w:val="24"/>
        </w:rPr>
        <w:t>.</w:t>
      </w:r>
    </w:p>
    <w:p w14:paraId="5F7860A3" w14:textId="4544F11D" w:rsidR="00EE16CE" w:rsidRPr="004600F7" w:rsidRDefault="00EE16CE" w:rsidP="005D110C">
      <w:pPr>
        <w:spacing w:after="0" w:line="240" w:lineRule="auto"/>
        <w:ind w:left="144" w:hanging="144"/>
        <w:rPr>
          <w:sz w:val="24"/>
          <w:szCs w:val="24"/>
        </w:rPr>
      </w:pPr>
      <w:r w:rsidRPr="004600F7">
        <w:rPr>
          <w:sz w:val="24"/>
          <w:szCs w:val="24"/>
        </w:rPr>
        <w:t xml:space="preserve">KCNA. “KCNA ‘Detailed Report’ Explains NPT Withdrawal.” </w:t>
      </w:r>
      <w:r w:rsidR="00111EB4">
        <w:rPr>
          <w:sz w:val="24"/>
          <w:szCs w:val="24"/>
        </w:rPr>
        <w:t xml:space="preserve">22 </w:t>
      </w:r>
      <w:r w:rsidRPr="004600F7">
        <w:rPr>
          <w:sz w:val="24"/>
          <w:szCs w:val="24"/>
        </w:rPr>
        <w:t>January 2</w:t>
      </w:r>
      <w:r w:rsidR="00111EB4">
        <w:rPr>
          <w:sz w:val="24"/>
          <w:szCs w:val="24"/>
        </w:rPr>
        <w:t>003</w:t>
      </w:r>
      <w:r w:rsidRPr="004600F7">
        <w:rPr>
          <w:sz w:val="24"/>
          <w:szCs w:val="24"/>
        </w:rPr>
        <w:t xml:space="preserve">. </w:t>
      </w:r>
      <w:hyperlink r:id="rId59" w:history="1">
        <w:r w:rsidRPr="004600F7">
          <w:rPr>
            <w:rStyle w:val="Hyperlink"/>
            <w:sz w:val="24"/>
            <w:szCs w:val="24"/>
          </w:rPr>
          <w:t>https://nuke.fas.org/guide/dprk/nuke/dprk012203.html</w:t>
        </w:r>
      </w:hyperlink>
      <w:r w:rsidRPr="004600F7">
        <w:rPr>
          <w:sz w:val="24"/>
          <w:szCs w:val="24"/>
        </w:rPr>
        <w:t xml:space="preserve">. </w:t>
      </w:r>
    </w:p>
    <w:p w14:paraId="4647BD65" w14:textId="5B5F7A30" w:rsidR="0075080A" w:rsidRPr="004600F7" w:rsidRDefault="0075080A" w:rsidP="005D110C">
      <w:pPr>
        <w:spacing w:after="0" w:line="240" w:lineRule="auto"/>
        <w:ind w:left="144" w:hanging="144"/>
        <w:rPr>
          <w:sz w:val="24"/>
          <w:szCs w:val="24"/>
        </w:rPr>
      </w:pPr>
      <w:r w:rsidRPr="004600F7">
        <w:rPr>
          <w:sz w:val="24"/>
          <w:szCs w:val="24"/>
        </w:rPr>
        <w:t xml:space="preserve">Keeley, James F. “Legitimacy, Capability, Effectiveness and the Future of the NPT.” In </w:t>
      </w:r>
      <w:r w:rsidRPr="004600F7">
        <w:rPr>
          <w:i/>
          <w:iCs/>
          <w:sz w:val="24"/>
          <w:szCs w:val="24"/>
        </w:rPr>
        <w:t>Nuclear Non-Proliferation and Global Security</w:t>
      </w:r>
      <w:r w:rsidRPr="004600F7">
        <w:rPr>
          <w:sz w:val="24"/>
          <w:szCs w:val="24"/>
        </w:rPr>
        <w:t>, ed</w:t>
      </w:r>
      <w:r w:rsidR="00111EB4">
        <w:rPr>
          <w:sz w:val="24"/>
          <w:szCs w:val="24"/>
        </w:rPr>
        <w:t>.</w:t>
      </w:r>
      <w:r w:rsidRPr="004600F7">
        <w:rPr>
          <w:sz w:val="24"/>
          <w:szCs w:val="24"/>
        </w:rPr>
        <w:t xml:space="preserve"> </w:t>
      </w:r>
      <w:r w:rsidR="003F2387" w:rsidRPr="004600F7">
        <w:rPr>
          <w:sz w:val="24"/>
          <w:szCs w:val="24"/>
        </w:rPr>
        <w:t xml:space="preserve">David B. Dewitt </w:t>
      </w:r>
      <w:r w:rsidR="00111EB4">
        <w:rPr>
          <w:sz w:val="24"/>
          <w:szCs w:val="24"/>
        </w:rPr>
        <w:t>(</w:t>
      </w:r>
      <w:r w:rsidR="003F2387" w:rsidRPr="004600F7">
        <w:rPr>
          <w:sz w:val="24"/>
          <w:szCs w:val="24"/>
        </w:rPr>
        <w:t>London: Routledge</w:t>
      </w:r>
      <w:r w:rsidR="00111EB4">
        <w:rPr>
          <w:sz w:val="24"/>
          <w:szCs w:val="24"/>
        </w:rPr>
        <w:t>, 1987), 25-47</w:t>
      </w:r>
      <w:r w:rsidR="003F2387" w:rsidRPr="004600F7">
        <w:rPr>
          <w:sz w:val="24"/>
          <w:szCs w:val="24"/>
        </w:rPr>
        <w:t>.</w:t>
      </w:r>
    </w:p>
    <w:p w14:paraId="331AFFDE" w14:textId="1BBCAE7F" w:rsidR="003823A9" w:rsidRDefault="003823A9" w:rsidP="005D110C">
      <w:pPr>
        <w:spacing w:after="0" w:line="240" w:lineRule="auto"/>
        <w:ind w:left="144" w:hanging="144"/>
        <w:rPr>
          <w:sz w:val="24"/>
          <w:szCs w:val="24"/>
        </w:rPr>
      </w:pPr>
      <w:r w:rsidRPr="003823A9">
        <w:rPr>
          <w:sz w:val="24"/>
          <w:szCs w:val="24"/>
        </w:rPr>
        <w:lastRenderedPageBreak/>
        <w:t xml:space="preserve">Keohane, Robert O., Stephen Macedo, and Andrew Moravcsik. “Democracy-Enhancing Multilateralism.” </w:t>
      </w:r>
      <w:r w:rsidRPr="003823A9">
        <w:rPr>
          <w:i/>
          <w:iCs/>
          <w:sz w:val="24"/>
          <w:szCs w:val="24"/>
        </w:rPr>
        <w:t>International Organization</w:t>
      </w:r>
      <w:r w:rsidRPr="003823A9">
        <w:rPr>
          <w:sz w:val="24"/>
          <w:szCs w:val="24"/>
        </w:rPr>
        <w:t xml:space="preserve"> 63</w:t>
      </w:r>
      <w:r>
        <w:rPr>
          <w:rFonts w:hint="eastAsia"/>
          <w:sz w:val="24"/>
          <w:szCs w:val="24"/>
        </w:rPr>
        <w:t xml:space="preserve">(1) </w:t>
      </w:r>
      <w:r w:rsidRPr="003823A9">
        <w:rPr>
          <w:sz w:val="24"/>
          <w:szCs w:val="24"/>
        </w:rPr>
        <w:t xml:space="preserve">(2009), 1-31. DOI </w:t>
      </w:r>
      <w:hyperlink r:id="rId60" w:history="1">
        <w:r w:rsidRPr="007D3629">
          <w:rPr>
            <w:rStyle w:val="Hyperlink"/>
            <w:sz w:val="24"/>
            <w:szCs w:val="24"/>
          </w:rPr>
          <w:t>10.1017/S0020818309090018</w:t>
        </w:r>
      </w:hyperlink>
      <w:r>
        <w:rPr>
          <w:rFonts w:hint="eastAsia"/>
          <w:sz w:val="24"/>
          <w:szCs w:val="24"/>
        </w:rPr>
        <w:t xml:space="preserve"> </w:t>
      </w:r>
    </w:p>
    <w:p w14:paraId="72BF2AAE" w14:textId="1D286E45" w:rsidR="00A43A7B" w:rsidRPr="004600F7" w:rsidRDefault="00A43A7B" w:rsidP="005D110C">
      <w:pPr>
        <w:spacing w:after="0" w:line="240" w:lineRule="auto"/>
        <w:ind w:left="144" w:hanging="144"/>
        <w:rPr>
          <w:sz w:val="24"/>
          <w:szCs w:val="24"/>
        </w:rPr>
      </w:pPr>
      <w:proofErr w:type="spellStart"/>
      <w:r w:rsidRPr="004600F7">
        <w:rPr>
          <w:sz w:val="24"/>
          <w:szCs w:val="24"/>
        </w:rPr>
        <w:t>Kettrie</w:t>
      </w:r>
      <w:proofErr w:type="spellEnd"/>
      <w:r w:rsidRPr="004600F7">
        <w:rPr>
          <w:sz w:val="24"/>
          <w:szCs w:val="24"/>
        </w:rPr>
        <w:t xml:space="preserve">, Orde F. “Averting Catastrophe: Why the Nuclear Nonproliferation Treaty is Losing its Deterrence Capacity and How to Restore it.” </w:t>
      </w:r>
      <w:r w:rsidRPr="004600F7">
        <w:rPr>
          <w:i/>
          <w:iCs/>
          <w:sz w:val="24"/>
          <w:szCs w:val="24"/>
        </w:rPr>
        <w:t>Michigan Journal of International Law</w:t>
      </w:r>
      <w:r w:rsidRPr="004600F7">
        <w:rPr>
          <w:sz w:val="24"/>
          <w:szCs w:val="24"/>
        </w:rPr>
        <w:t xml:space="preserve"> 28(3)</w:t>
      </w:r>
      <w:r w:rsidR="00111EB4">
        <w:rPr>
          <w:sz w:val="24"/>
          <w:szCs w:val="24"/>
        </w:rPr>
        <w:t xml:space="preserve"> (2007),</w:t>
      </w:r>
      <w:r w:rsidRPr="004600F7">
        <w:rPr>
          <w:sz w:val="24"/>
          <w:szCs w:val="24"/>
        </w:rPr>
        <w:t xml:space="preserve"> 337-430.</w:t>
      </w:r>
    </w:p>
    <w:p w14:paraId="0003D697" w14:textId="3B0B033F" w:rsidR="00094172" w:rsidRPr="004600F7" w:rsidRDefault="00094172" w:rsidP="00DC5C70">
      <w:pPr>
        <w:spacing w:after="0" w:line="240" w:lineRule="auto"/>
        <w:ind w:left="144" w:hanging="144"/>
        <w:rPr>
          <w:sz w:val="24"/>
          <w:szCs w:val="24"/>
        </w:rPr>
      </w:pPr>
      <w:r w:rsidRPr="004600F7">
        <w:rPr>
          <w:rFonts w:hint="eastAsia"/>
          <w:sz w:val="24"/>
          <w:szCs w:val="24"/>
        </w:rPr>
        <w:t xml:space="preserve">Kim, Yang Gyu. </w:t>
      </w:r>
      <w:r w:rsidRPr="004600F7">
        <w:rPr>
          <w:sz w:val="24"/>
          <w:szCs w:val="24"/>
        </w:rPr>
        <w:t>“</w:t>
      </w:r>
      <w:r w:rsidRPr="004600F7">
        <w:rPr>
          <w:rFonts w:hint="eastAsia"/>
          <w:sz w:val="24"/>
          <w:szCs w:val="24"/>
        </w:rPr>
        <w:t>Decline or Resilience? DPRK</w:t>
      </w:r>
      <w:r w:rsidRPr="004600F7">
        <w:rPr>
          <w:sz w:val="24"/>
          <w:szCs w:val="24"/>
        </w:rPr>
        <w:t>’</w:t>
      </w:r>
      <w:r w:rsidRPr="004600F7">
        <w:rPr>
          <w:rFonts w:hint="eastAsia"/>
          <w:sz w:val="24"/>
          <w:szCs w:val="24"/>
        </w:rPr>
        <w:t>s Non-Compliance and the Future of NPT.</w:t>
      </w:r>
      <w:r w:rsidRPr="004600F7">
        <w:rPr>
          <w:sz w:val="24"/>
          <w:szCs w:val="24"/>
        </w:rPr>
        <w:t>”</w:t>
      </w:r>
      <w:r w:rsidRPr="004600F7">
        <w:rPr>
          <w:rFonts w:hint="eastAsia"/>
          <w:sz w:val="24"/>
          <w:szCs w:val="24"/>
        </w:rPr>
        <w:t xml:space="preserve"> </w:t>
      </w:r>
      <w:r w:rsidRPr="004600F7">
        <w:rPr>
          <w:rFonts w:hint="eastAsia"/>
          <w:i/>
          <w:iCs/>
          <w:sz w:val="24"/>
          <w:szCs w:val="24"/>
        </w:rPr>
        <w:t>Global NK</w:t>
      </w:r>
      <w:r w:rsidRPr="004600F7">
        <w:rPr>
          <w:rFonts w:hint="eastAsia"/>
          <w:sz w:val="24"/>
          <w:szCs w:val="24"/>
        </w:rPr>
        <w:t xml:space="preserve">, </w:t>
      </w:r>
      <w:r w:rsidR="00111EB4">
        <w:rPr>
          <w:sz w:val="24"/>
          <w:szCs w:val="24"/>
        </w:rPr>
        <w:t xml:space="preserve">1 </w:t>
      </w:r>
      <w:r w:rsidRPr="004600F7">
        <w:rPr>
          <w:rFonts w:hint="eastAsia"/>
          <w:sz w:val="24"/>
          <w:szCs w:val="24"/>
        </w:rPr>
        <w:t xml:space="preserve">August </w:t>
      </w:r>
      <w:r w:rsidR="00111EB4">
        <w:rPr>
          <w:sz w:val="24"/>
          <w:szCs w:val="24"/>
        </w:rPr>
        <w:t>2024</w:t>
      </w:r>
      <w:r w:rsidRPr="004600F7">
        <w:rPr>
          <w:rFonts w:hint="eastAsia"/>
          <w:sz w:val="24"/>
          <w:szCs w:val="24"/>
        </w:rPr>
        <w:t xml:space="preserve">. </w:t>
      </w:r>
      <w:hyperlink r:id="rId61" w:history="1">
        <w:r w:rsidRPr="004600F7">
          <w:rPr>
            <w:rStyle w:val="Hyperlink"/>
            <w:sz w:val="24"/>
            <w:szCs w:val="24"/>
          </w:rPr>
          <w:t>https://www.globalnk.org/publication/view.php?cd=COM000152&amp;ctype=1&amp;utm_source=chatgpt.com</w:t>
        </w:r>
      </w:hyperlink>
      <w:r w:rsidRPr="004600F7">
        <w:rPr>
          <w:rFonts w:hint="eastAsia"/>
          <w:sz w:val="24"/>
          <w:szCs w:val="24"/>
        </w:rPr>
        <w:t xml:space="preserve">. </w:t>
      </w:r>
    </w:p>
    <w:p w14:paraId="65BF1A2E" w14:textId="43D42521" w:rsidR="00DC5C70" w:rsidRPr="004600F7" w:rsidRDefault="00DC5C70" w:rsidP="00DC5C70">
      <w:pPr>
        <w:spacing w:after="0" w:line="240" w:lineRule="auto"/>
        <w:ind w:left="144" w:hanging="144"/>
        <w:rPr>
          <w:sz w:val="24"/>
          <w:szCs w:val="24"/>
        </w:rPr>
      </w:pPr>
      <w:r w:rsidRPr="004600F7">
        <w:rPr>
          <w:sz w:val="24"/>
          <w:szCs w:val="24"/>
        </w:rPr>
        <w:t xml:space="preserve">Knopf, Jeffrey. “Not by NPT alone: The future of the global nuclear order.” </w:t>
      </w:r>
      <w:r w:rsidRPr="004600F7">
        <w:rPr>
          <w:i/>
          <w:iCs/>
          <w:sz w:val="24"/>
          <w:szCs w:val="24"/>
        </w:rPr>
        <w:t>Contemporary Security Policy</w:t>
      </w:r>
      <w:r w:rsidRPr="004600F7">
        <w:rPr>
          <w:sz w:val="24"/>
          <w:szCs w:val="24"/>
        </w:rPr>
        <w:t xml:space="preserve"> 43(1) (2021)</w:t>
      </w:r>
      <w:r w:rsidR="00111EB4">
        <w:rPr>
          <w:sz w:val="24"/>
          <w:szCs w:val="24"/>
        </w:rPr>
        <w:t>,</w:t>
      </w:r>
      <w:r w:rsidRPr="004600F7">
        <w:rPr>
          <w:rFonts w:hint="eastAsia"/>
          <w:sz w:val="24"/>
          <w:szCs w:val="24"/>
        </w:rPr>
        <w:t xml:space="preserve"> </w:t>
      </w:r>
      <w:r w:rsidRPr="004600F7">
        <w:rPr>
          <w:sz w:val="24"/>
          <w:szCs w:val="24"/>
        </w:rPr>
        <w:t>186-212.</w:t>
      </w:r>
      <w:r w:rsidRPr="004600F7">
        <w:rPr>
          <w:rFonts w:hint="eastAsia"/>
          <w:sz w:val="24"/>
          <w:szCs w:val="24"/>
        </w:rPr>
        <w:t xml:space="preserve"> </w:t>
      </w:r>
      <w:r w:rsidR="00111EB4">
        <w:rPr>
          <w:sz w:val="24"/>
          <w:szCs w:val="24"/>
        </w:rPr>
        <w:t>DOI</w:t>
      </w:r>
      <w:r w:rsidRPr="004600F7">
        <w:rPr>
          <w:sz w:val="24"/>
          <w:szCs w:val="24"/>
        </w:rPr>
        <w:t xml:space="preserve"> </w:t>
      </w:r>
      <w:hyperlink r:id="rId62" w:history="1">
        <w:r w:rsidRPr="004600F7">
          <w:rPr>
            <w:rStyle w:val="Hyperlink"/>
            <w:sz w:val="24"/>
            <w:szCs w:val="24"/>
          </w:rPr>
          <w:t>10.1080/13523260.2021.1983243</w:t>
        </w:r>
      </w:hyperlink>
      <w:r w:rsidRPr="004600F7">
        <w:rPr>
          <w:rFonts w:hint="eastAsia"/>
          <w:sz w:val="24"/>
          <w:szCs w:val="24"/>
        </w:rPr>
        <w:t xml:space="preserve"> </w:t>
      </w:r>
    </w:p>
    <w:p w14:paraId="1413A1F9" w14:textId="1986A4D6" w:rsidR="00362208" w:rsidRPr="004600F7" w:rsidRDefault="00362208" w:rsidP="005D110C">
      <w:pPr>
        <w:spacing w:after="0" w:line="240" w:lineRule="auto"/>
        <w:ind w:left="144" w:hanging="144"/>
        <w:rPr>
          <w:sz w:val="24"/>
          <w:szCs w:val="24"/>
        </w:rPr>
      </w:pPr>
      <w:r w:rsidRPr="004600F7">
        <w:rPr>
          <w:sz w:val="24"/>
          <w:szCs w:val="24"/>
        </w:rPr>
        <w:t xml:space="preserve">Koch, Susan. “Extended Deterrence and the Future of the Nuclear Nonproliferation Treaty.” </w:t>
      </w:r>
      <w:r w:rsidRPr="004600F7">
        <w:rPr>
          <w:i/>
          <w:iCs/>
          <w:sz w:val="24"/>
          <w:szCs w:val="24"/>
        </w:rPr>
        <w:t>Comparative Strategy</w:t>
      </w:r>
      <w:r w:rsidRPr="004600F7">
        <w:rPr>
          <w:sz w:val="24"/>
          <w:szCs w:val="24"/>
        </w:rPr>
        <w:t xml:space="preserve"> 39(3)</w:t>
      </w:r>
      <w:r w:rsidR="00833C1A">
        <w:rPr>
          <w:sz w:val="24"/>
          <w:szCs w:val="24"/>
        </w:rPr>
        <w:t xml:space="preserve"> (2020),</w:t>
      </w:r>
      <w:r w:rsidRPr="004600F7">
        <w:rPr>
          <w:sz w:val="24"/>
          <w:szCs w:val="24"/>
        </w:rPr>
        <w:t xml:space="preserve"> 239-249.</w:t>
      </w:r>
      <w:r w:rsidR="00833C1A">
        <w:rPr>
          <w:sz w:val="24"/>
          <w:szCs w:val="24"/>
        </w:rPr>
        <w:t xml:space="preserve"> DOI</w:t>
      </w:r>
      <w:r w:rsidR="00375B20" w:rsidRPr="004600F7">
        <w:rPr>
          <w:sz w:val="24"/>
          <w:szCs w:val="24"/>
        </w:rPr>
        <w:t xml:space="preserve"> </w:t>
      </w:r>
      <w:hyperlink r:id="rId63" w:history="1">
        <w:r w:rsidR="00375B20" w:rsidRPr="004600F7">
          <w:rPr>
            <w:rStyle w:val="Hyperlink"/>
            <w:sz w:val="24"/>
            <w:szCs w:val="24"/>
          </w:rPr>
          <w:t>10.1080/01495933.2020.1740569</w:t>
        </w:r>
      </w:hyperlink>
      <w:r w:rsidR="00375B20" w:rsidRPr="004600F7">
        <w:rPr>
          <w:sz w:val="24"/>
          <w:szCs w:val="24"/>
        </w:rPr>
        <w:t xml:space="preserve"> </w:t>
      </w:r>
    </w:p>
    <w:p w14:paraId="5D66A58C" w14:textId="65F1BA19" w:rsidR="001A2FDE" w:rsidRDefault="001A2FDE" w:rsidP="001A2FDE">
      <w:pPr>
        <w:spacing w:after="0" w:line="240" w:lineRule="auto"/>
        <w:rPr>
          <w:sz w:val="24"/>
          <w:szCs w:val="24"/>
        </w:rPr>
      </w:pPr>
      <w:r>
        <w:rPr>
          <w:rFonts w:hint="eastAsia"/>
          <w:sz w:val="24"/>
          <w:szCs w:val="24"/>
        </w:rPr>
        <w:t xml:space="preserve">Kucik, Jeffrey, and Krzysztof J. Pelc. </w:t>
      </w:r>
      <w:r>
        <w:rPr>
          <w:sz w:val="24"/>
          <w:szCs w:val="24"/>
        </w:rPr>
        <w:t>“</w:t>
      </w:r>
      <w:r w:rsidR="003823A9">
        <w:rPr>
          <w:rFonts w:hint="eastAsia"/>
          <w:sz w:val="24"/>
          <w:szCs w:val="24"/>
        </w:rPr>
        <w:t>Over-Commitment and Backsliding in International Trade</w:t>
      </w:r>
      <w:r>
        <w:rPr>
          <w:rFonts w:hint="eastAsia"/>
          <w:sz w:val="24"/>
          <w:szCs w:val="24"/>
        </w:rPr>
        <w:t>.</w:t>
      </w:r>
      <w:r>
        <w:rPr>
          <w:sz w:val="24"/>
          <w:szCs w:val="24"/>
        </w:rPr>
        <w:t>”</w:t>
      </w:r>
      <w:r>
        <w:rPr>
          <w:rFonts w:hint="eastAsia"/>
          <w:sz w:val="24"/>
          <w:szCs w:val="24"/>
        </w:rPr>
        <w:t xml:space="preserve"> </w:t>
      </w:r>
      <w:r w:rsidR="003823A9">
        <w:rPr>
          <w:rFonts w:hint="eastAsia"/>
          <w:i/>
          <w:iCs/>
          <w:sz w:val="24"/>
          <w:szCs w:val="24"/>
        </w:rPr>
        <w:t>European Journal of Political Research</w:t>
      </w:r>
      <w:r>
        <w:rPr>
          <w:rFonts w:hint="eastAsia"/>
          <w:sz w:val="24"/>
          <w:szCs w:val="24"/>
        </w:rPr>
        <w:t xml:space="preserve"> </w:t>
      </w:r>
      <w:r w:rsidR="003823A9">
        <w:rPr>
          <w:rFonts w:hint="eastAsia"/>
          <w:sz w:val="24"/>
          <w:szCs w:val="24"/>
        </w:rPr>
        <w:t>55</w:t>
      </w:r>
      <w:r>
        <w:rPr>
          <w:rFonts w:hint="eastAsia"/>
          <w:sz w:val="24"/>
          <w:szCs w:val="24"/>
        </w:rPr>
        <w:t>(</w:t>
      </w:r>
      <w:r w:rsidR="003823A9">
        <w:rPr>
          <w:rFonts w:hint="eastAsia"/>
          <w:sz w:val="24"/>
          <w:szCs w:val="24"/>
        </w:rPr>
        <w:t>2</w:t>
      </w:r>
      <w:r>
        <w:rPr>
          <w:rFonts w:hint="eastAsia"/>
          <w:sz w:val="24"/>
          <w:szCs w:val="24"/>
        </w:rPr>
        <w:t xml:space="preserve">) (2016), </w:t>
      </w:r>
      <w:r w:rsidR="003823A9">
        <w:rPr>
          <w:rFonts w:hint="eastAsia"/>
          <w:sz w:val="24"/>
          <w:szCs w:val="24"/>
        </w:rPr>
        <w:t>391-415</w:t>
      </w:r>
      <w:r>
        <w:rPr>
          <w:rFonts w:hint="eastAsia"/>
          <w:sz w:val="24"/>
          <w:szCs w:val="24"/>
        </w:rPr>
        <w:t>. DOI</w:t>
      </w:r>
      <w:r w:rsidR="00B31FAB">
        <w:rPr>
          <w:rFonts w:hint="eastAsia"/>
          <w:sz w:val="24"/>
          <w:szCs w:val="24"/>
        </w:rPr>
        <w:t xml:space="preserve"> </w:t>
      </w:r>
      <w:hyperlink r:id="rId64" w:history="1">
        <w:r w:rsidR="003823A9" w:rsidRPr="007D3629">
          <w:rPr>
            <w:rStyle w:val="Hyperlink"/>
            <w:sz w:val="24"/>
            <w:szCs w:val="24"/>
          </w:rPr>
          <w:t>10.1111/1475-6765.12130</w:t>
        </w:r>
      </w:hyperlink>
      <w:r w:rsidR="003823A9">
        <w:rPr>
          <w:rFonts w:hint="eastAsia"/>
          <w:sz w:val="24"/>
          <w:szCs w:val="24"/>
        </w:rPr>
        <w:t xml:space="preserve"> </w:t>
      </w:r>
    </w:p>
    <w:p w14:paraId="678D58B4" w14:textId="3C567F83" w:rsidR="00D1227E" w:rsidRDefault="00D1227E" w:rsidP="005D110C">
      <w:pPr>
        <w:spacing w:after="0" w:line="240" w:lineRule="auto"/>
        <w:ind w:left="144" w:hanging="144"/>
        <w:rPr>
          <w:sz w:val="24"/>
          <w:szCs w:val="24"/>
        </w:rPr>
      </w:pPr>
      <w:r>
        <w:rPr>
          <w:sz w:val="24"/>
          <w:szCs w:val="24"/>
        </w:rPr>
        <w:t xml:space="preserve">Kucik, Jeffrey, Lauren Peritz, and Sergio Puig. “Legalization and Compliance: How Judicial Activity Undercuts the Global Trade Regime.” </w:t>
      </w:r>
      <w:r w:rsidRPr="00D1227E">
        <w:rPr>
          <w:i/>
          <w:iCs/>
          <w:sz w:val="24"/>
          <w:szCs w:val="24"/>
        </w:rPr>
        <w:t>British Journal of Political Science</w:t>
      </w:r>
      <w:r>
        <w:rPr>
          <w:sz w:val="24"/>
          <w:szCs w:val="24"/>
        </w:rPr>
        <w:t xml:space="preserve"> 53(1) (2020), 221-238. DOI </w:t>
      </w:r>
      <w:hyperlink r:id="rId65" w:history="1">
        <w:r w:rsidRPr="00676D61">
          <w:rPr>
            <w:rStyle w:val="Hyperlink"/>
            <w:sz w:val="24"/>
            <w:szCs w:val="24"/>
          </w:rPr>
          <w:t>10.1017/S0007123422000163</w:t>
        </w:r>
      </w:hyperlink>
      <w:r>
        <w:rPr>
          <w:sz w:val="24"/>
          <w:szCs w:val="24"/>
        </w:rPr>
        <w:t xml:space="preserve"> </w:t>
      </w:r>
    </w:p>
    <w:p w14:paraId="7CE5568D" w14:textId="306F6D74" w:rsidR="00D1227E" w:rsidRDefault="00D1227E" w:rsidP="005D110C">
      <w:pPr>
        <w:spacing w:after="0" w:line="240" w:lineRule="auto"/>
        <w:ind w:left="144" w:hanging="144"/>
        <w:rPr>
          <w:sz w:val="24"/>
          <w:szCs w:val="24"/>
        </w:rPr>
      </w:pPr>
      <w:r>
        <w:rPr>
          <w:sz w:val="24"/>
          <w:szCs w:val="24"/>
        </w:rPr>
        <w:t xml:space="preserve">Kucik, Jeffrey, and Sergio Puig. “Do International Dispute Bodies Overreach? Reassessing World Trade Organization Dispute Ruling.” </w:t>
      </w:r>
      <w:r w:rsidRPr="00D1227E">
        <w:rPr>
          <w:i/>
          <w:iCs/>
          <w:sz w:val="24"/>
          <w:szCs w:val="24"/>
        </w:rPr>
        <w:t>International Studies Quarterly</w:t>
      </w:r>
      <w:r>
        <w:rPr>
          <w:sz w:val="24"/>
          <w:szCs w:val="24"/>
        </w:rPr>
        <w:t xml:space="preserve"> 66(4) (2022), spaq074. DOI </w:t>
      </w:r>
      <w:hyperlink r:id="rId66" w:history="1">
        <w:r w:rsidRPr="00676D61">
          <w:rPr>
            <w:rStyle w:val="Hyperlink"/>
            <w:sz w:val="24"/>
            <w:szCs w:val="24"/>
          </w:rPr>
          <w:t>10.1093/</w:t>
        </w:r>
        <w:proofErr w:type="spellStart"/>
        <w:r w:rsidRPr="00676D61">
          <w:rPr>
            <w:rStyle w:val="Hyperlink"/>
            <w:sz w:val="24"/>
            <w:szCs w:val="24"/>
          </w:rPr>
          <w:t>isq</w:t>
        </w:r>
        <w:proofErr w:type="spellEnd"/>
        <w:r w:rsidRPr="00676D61">
          <w:rPr>
            <w:rStyle w:val="Hyperlink"/>
            <w:sz w:val="24"/>
            <w:szCs w:val="24"/>
          </w:rPr>
          <w:t>/sqac074</w:t>
        </w:r>
      </w:hyperlink>
      <w:r>
        <w:rPr>
          <w:sz w:val="24"/>
          <w:szCs w:val="24"/>
        </w:rPr>
        <w:t xml:space="preserve"> </w:t>
      </w:r>
    </w:p>
    <w:p w14:paraId="3A11A7CA" w14:textId="72815B02" w:rsidR="00E45D57" w:rsidRPr="004600F7" w:rsidRDefault="00E45D57" w:rsidP="005D110C">
      <w:pPr>
        <w:spacing w:after="0" w:line="240" w:lineRule="auto"/>
        <w:ind w:left="144" w:hanging="144"/>
        <w:rPr>
          <w:sz w:val="24"/>
          <w:szCs w:val="24"/>
        </w:rPr>
      </w:pPr>
      <w:proofErr w:type="spellStart"/>
      <w:r w:rsidRPr="004600F7">
        <w:rPr>
          <w:rFonts w:hint="eastAsia"/>
          <w:sz w:val="24"/>
          <w:szCs w:val="24"/>
        </w:rPr>
        <w:t>Kutchesfahani</w:t>
      </w:r>
      <w:proofErr w:type="spellEnd"/>
      <w:r w:rsidRPr="004600F7">
        <w:rPr>
          <w:rFonts w:hint="eastAsia"/>
          <w:sz w:val="24"/>
          <w:szCs w:val="24"/>
        </w:rPr>
        <w:t xml:space="preserve">, Sara Z. </w:t>
      </w:r>
      <w:r w:rsidRPr="004600F7">
        <w:rPr>
          <w:sz w:val="24"/>
          <w:szCs w:val="24"/>
        </w:rPr>
        <w:t>“</w:t>
      </w:r>
      <w:r w:rsidRPr="004600F7">
        <w:rPr>
          <w:rFonts w:hint="eastAsia"/>
          <w:sz w:val="24"/>
          <w:szCs w:val="24"/>
        </w:rPr>
        <w:t>The NPT at 50: A Staple of Global Nuclear Order. Arms Control Association, June</w:t>
      </w:r>
      <w:r w:rsidR="00833C1A">
        <w:rPr>
          <w:sz w:val="24"/>
          <w:szCs w:val="24"/>
        </w:rPr>
        <w:t xml:space="preserve"> 2018</w:t>
      </w:r>
      <w:r w:rsidRPr="004600F7">
        <w:rPr>
          <w:rFonts w:hint="eastAsia"/>
          <w:sz w:val="24"/>
          <w:szCs w:val="24"/>
        </w:rPr>
        <w:t xml:space="preserve">. </w:t>
      </w:r>
      <w:hyperlink r:id="rId67" w:anchor=":~:text=This%20year%20marks%20the%2050th,many%20accomplishments%20should%20be%20recognized" w:history="1">
        <w:r w:rsidRPr="004600F7">
          <w:rPr>
            <w:rStyle w:val="Hyperlink"/>
            <w:sz w:val="24"/>
            <w:szCs w:val="24"/>
          </w:rPr>
          <w:t>https://www.armscontrol.org/act/2018-06/features/npt-50-staple-global-nuclear-order#:~:text=This%20year%20marks%20the%2050th,many%20accomplishments%20should%20be%20recognized</w:t>
        </w:r>
      </w:hyperlink>
      <w:r w:rsidRPr="004600F7">
        <w:rPr>
          <w:sz w:val="24"/>
          <w:szCs w:val="24"/>
        </w:rPr>
        <w:t>.</w:t>
      </w:r>
      <w:r w:rsidRPr="004600F7">
        <w:rPr>
          <w:rFonts w:hint="eastAsia"/>
          <w:sz w:val="24"/>
          <w:szCs w:val="24"/>
        </w:rPr>
        <w:t xml:space="preserve">. </w:t>
      </w:r>
    </w:p>
    <w:p w14:paraId="214CCD9C" w14:textId="7E16A071" w:rsidR="0090276B" w:rsidRPr="0090276B" w:rsidRDefault="0090276B" w:rsidP="005D110C">
      <w:pPr>
        <w:spacing w:after="0" w:line="240" w:lineRule="auto"/>
        <w:ind w:left="144" w:hanging="144"/>
        <w:rPr>
          <w:sz w:val="24"/>
          <w:szCs w:val="24"/>
        </w:rPr>
      </w:pPr>
      <w:r>
        <w:rPr>
          <w:rFonts w:hint="eastAsia"/>
          <w:sz w:val="24"/>
          <w:szCs w:val="24"/>
        </w:rPr>
        <w:t xml:space="preserve">Leventhal, Paul and Steven Dolley. </w:t>
      </w:r>
      <w:r>
        <w:rPr>
          <w:sz w:val="24"/>
          <w:szCs w:val="24"/>
        </w:rPr>
        <w:t>“</w:t>
      </w:r>
      <w:r>
        <w:rPr>
          <w:rFonts w:hint="eastAsia"/>
          <w:sz w:val="24"/>
          <w:szCs w:val="24"/>
        </w:rPr>
        <w:t>The North Korean Nuclear Crisis.</w:t>
      </w:r>
      <w:r>
        <w:rPr>
          <w:sz w:val="24"/>
          <w:szCs w:val="24"/>
        </w:rPr>
        <w:t>”</w:t>
      </w:r>
      <w:r>
        <w:rPr>
          <w:rFonts w:hint="eastAsia"/>
          <w:sz w:val="24"/>
          <w:szCs w:val="24"/>
        </w:rPr>
        <w:t xml:space="preserve"> </w:t>
      </w:r>
      <w:r w:rsidRPr="0090276B">
        <w:rPr>
          <w:rFonts w:hint="eastAsia"/>
          <w:i/>
          <w:iCs/>
          <w:sz w:val="24"/>
          <w:szCs w:val="24"/>
        </w:rPr>
        <w:t>Medicine &amp; Global Survival</w:t>
      </w:r>
      <w:r>
        <w:rPr>
          <w:rFonts w:hint="eastAsia"/>
          <w:sz w:val="24"/>
          <w:szCs w:val="24"/>
        </w:rPr>
        <w:t xml:space="preserve"> 1(3) (1994), 164-175.</w:t>
      </w:r>
    </w:p>
    <w:p w14:paraId="032689BF" w14:textId="36C0E638" w:rsidR="005A111A" w:rsidRPr="004600F7" w:rsidRDefault="005A111A" w:rsidP="005D110C">
      <w:pPr>
        <w:spacing w:after="0" w:line="240" w:lineRule="auto"/>
        <w:ind w:left="144" w:hanging="144"/>
        <w:rPr>
          <w:sz w:val="24"/>
          <w:szCs w:val="24"/>
        </w:rPr>
      </w:pPr>
      <w:proofErr w:type="spellStart"/>
      <w:r w:rsidRPr="004600F7">
        <w:rPr>
          <w:sz w:val="24"/>
          <w:szCs w:val="24"/>
        </w:rPr>
        <w:t>Loosch</w:t>
      </w:r>
      <w:proofErr w:type="spellEnd"/>
      <w:r w:rsidRPr="004600F7">
        <w:rPr>
          <w:sz w:val="24"/>
          <w:szCs w:val="24"/>
        </w:rPr>
        <w:t>, R</w:t>
      </w:r>
      <w:r w:rsidR="00613366" w:rsidRPr="004600F7">
        <w:rPr>
          <w:sz w:val="24"/>
          <w:szCs w:val="24"/>
        </w:rPr>
        <w:t>einhard</w:t>
      </w:r>
      <w:r w:rsidRPr="004600F7">
        <w:rPr>
          <w:sz w:val="24"/>
          <w:szCs w:val="24"/>
        </w:rPr>
        <w:t xml:space="preserve">. </w:t>
      </w:r>
      <w:r w:rsidR="00613366" w:rsidRPr="004600F7">
        <w:rPr>
          <w:sz w:val="24"/>
          <w:szCs w:val="24"/>
        </w:rPr>
        <w:t>“</w:t>
      </w:r>
      <w:r w:rsidRPr="004600F7">
        <w:rPr>
          <w:sz w:val="24"/>
          <w:szCs w:val="24"/>
        </w:rPr>
        <w:t>From ‘</w:t>
      </w:r>
      <w:proofErr w:type="spellStart"/>
      <w:r w:rsidRPr="004600F7">
        <w:rPr>
          <w:sz w:val="24"/>
          <w:szCs w:val="24"/>
        </w:rPr>
        <w:t>Programme</w:t>
      </w:r>
      <w:proofErr w:type="spellEnd"/>
      <w:r w:rsidRPr="004600F7">
        <w:rPr>
          <w:sz w:val="24"/>
          <w:szCs w:val="24"/>
        </w:rPr>
        <w:t xml:space="preserve"> </w:t>
      </w:r>
      <w:r w:rsidR="00D31192" w:rsidRPr="004600F7">
        <w:rPr>
          <w:sz w:val="24"/>
          <w:szCs w:val="24"/>
        </w:rPr>
        <w:t>93 + 2’ to Model Protocol INFCIRC/540: Negotiating for a Multilateral Agreement in the International Atomic Energy Agency.</w:t>
      </w:r>
      <w:r w:rsidR="00613366" w:rsidRPr="004600F7">
        <w:rPr>
          <w:sz w:val="24"/>
          <w:szCs w:val="24"/>
        </w:rPr>
        <w:t>”</w:t>
      </w:r>
      <w:r w:rsidR="00D31192" w:rsidRPr="004600F7">
        <w:rPr>
          <w:sz w:val="24"/>
          <w:szCs w:val="24"/>
        </w:rPr>
        <w:t xml:space="preserve"> </w:t>
      </w:r>
      <w:r w:rsidR="00613366" w:rsidRPr="004600F7">
        <w:rPr>
          <w:sz w:val="24"/>
          <w:szCs w:val="24"/>
        </w:rPr>
        <w:t xml:space="preserve">In </w:t>
      </w:r>
      <w:r w:rsidR="00613366" w:rsidRPr="004600F7">
        <w:rPr>
          <w:i/>
          <w:iCs/>
          <w:sz w:val="24"/>
          <w:szCs w:val="24"/>
        </w:rPr>
        <w:t>Tightening the Reins: Towards a Strengthened International Nuclear Safeguards System</w:t>
      </w:r>
      <w:r w:rsidR="00613366" w:rsidRPr="004600F7">
        <w:rPr>
          <w:sz w:val="24"/>
          <w:szCs w:val="24"/>
        </w:rPr>
        <w:t>, ed</w:t>
      </w:r>
      <w:r w:rsidR="00833C1A">
        <w:rPr>
          <w:sz w:val="24"/>
          <w:szCs w:val="24"/>
        </w:rPr>
        <w:t>.</w:t>
      </w:r>
      <w:r w:rsidR="00613366" w:rsidRPr="004600F7">
        <w:rPr>
          <w:sz w:val="24"/>
          <w:szCs w:val="24"/>
        </w:rPr>
        <w:t xml:space="preserve"> Erwin Hӓckel and Gotthard Stein</w:t>
      </w:r>
      <w:r w:rsidR="00D31192" w:rsidRPr="004600F7">
        <w:rPr>
          <w:sz w:val="24"/>
          <w:szCs w:val="24"/>
        </w:rPr>
        <w:t xml:space="preserve"> </w:t>
      </w:r>
      <w:r w:rsidR="00833C1A">
        <w:rPr>
          <w:sz w:val="24"/>
          <w:szCs w:val="24"/>
        </w:rPr>
        <w:t>(</w:t>
      </w:r>
      <w:r w:rsidR="00613366" w:rsidRPr="004600F7">
        <w:rPr>
          <w:sz w:val="24"/>
          <w:szCs w:val="24"/>
        </w:rPr>
        <w:t xml:space="preserve">Berlin: </w:t>
      </w:r>
      <w:r w:rsidR="00D31192" w:rsidRPr="004600F7">
        <w:rPr>
          <w:sz w:val="24"/>
          <w:szCs w:val="24"/>
        </w:rPr>
        <w:t>Springer-Verlag</w:t>
      </w:r>
      <w:r w:rsidR="00833C1A">
        <w:rPr>
          <w:sz w:val="24"/>
          <w:szCs w:val="24"/>
        </w:rPr>
        <w:t>, 2000), 23-66</w:t>
      </w:r>
      <w:r w:rsidR="00D31192" w:rsidRPr="004600F7">
        <w:rPr>
          <w:sz w:val="24"/>
          <w:szCs w:val="24"/>
        </w:rPr>
        <w:t>.</w:t>
      </w:r>
    </w:p>
    <w:p w14:paraId="152EC552" w14:textId="0B513069" w:rsidR="00F92CD8" w:rsidRPr="004600F7" w:rsidRDefault="00F92CD8" w:rsidP="005D110C">
      <w:pPr>
        <w:spacing w:after="0" w:line="240" w:lineRule="auto"/>
        <w:ind w:left="144" w:hanging="144"/>
        <w:rPr>
          <w:sz w:val="24"/>
          <w:szCs w:val="24"/>
        </w:rPr>
      </w:pPr>
      <w:r w:rsidRPr="004600F7">
        <w:rPr>
          <w:sz w:val="24"/>
          <w:szCs w:val="24"/>
        </w:rPr>
        <w:t xml:space="preserve">Mansourov, Alexandre. “The Origins, Evolution, and Current Politics of the North Korean Nuclear Program.” </w:t>
      </w:r>
      <w:r w:rsidRPr="004600F7">
        <w:rPr>
          <w:i/>
          <w:iCs/>
          <w:sz w:val="24"/>
          <w:szCs w:val="24"/>
        </w:rPr>
        <w:t>The Nonproliferation Review</w:t>
      </w:r>
      <w:r w:rsidRPr="004600F7">
        <w:rPr>
          <w:sz w:val="24"/>
          <w:szCs w:val="24"/>
        </w:rPr>
        <w:t xml:space="preserve"> 2(3)</w:t>
      </w:r>
      <w:r w:rsidR="00833C1A">
        <w:rPr>
          <w:sz w:val="24"/>
          <w:szCs w:val="24"/>
        </w:rPr>
        <w:t xml:space="preserve"> (1995),</w:t>
      </w:r>
      <w:r w:rsidRPr="004600F7">
        <w:rPr>
          <w:sz w:val="24"/>
          <w:szCs w:val="24"/>
        </w:rPr>
        <w:t xml:space="preserve"> 25-38. </w:t>
      </w:r>
      <w:r w:rsidR="00833C1A">
        <w:rPr>
          <w:sz w:val="24"/>
          <w:szCs w:val="24"/>
        </w:rPr>
        <w:t xml:space="preserve">DOI </w:t>
      </w:r>
      <w:hyperlink r:id="rId68" w:history="1">
        <w:r w:rsidRPr="004600F7">
          <w:rPr>
            <w:rStyle w:val="Hyperlink"/>
            <w:sz w:val="24"/>
            <w:szCs w:val="24"/>
          </w:rPr>
          <w:t>10.1080/10736709508436590</w:t>
        </w:r>
      </w:hyperlink>
      <w:r w:rsidRPr="004600F7">
        <w:rPr>
          <w:sz w:val="24"/>
          <w:szCs w:val="24"/>
        </w:rPr>
        <w:t xml:space="preserve"> </w:t>
      </w:r>
    </w:p>
    <w:p w14:paraId="4A73D088" w14:textId="09792477" w:rsidR="00D1227E" w:rsidRDefault="00D1227E" w:rsidP="00F92CD8">
      <w:pPr>
        <w:spacing w:after="0" w:line="240" w:lineRule="auto"/>
        <w:ind w:left="144" w:hanging="144"/>
        <w:rPr>
          <w:sz w:val="24"/>
          <w:szCs w:val="24"/>
        </w:rPr>
      </w:pPr>
      <w:r>
        <w:rPr>
          <w:sz w:val="24"/>
          <w:szCs w:val="24"/>
        </w:rPr>
        <w:t>Mayhew, Noah. “A Lexical History of the State-Level Concept and Issues for Today.” Vienna Center for Disarmament and Non-Proliferation</w:t>
      </w:r>
      <w:r w:rsidR="00B904B3">
        <w:rPr>
          <w:sz w:val="24"/>
          <w:szCs w:val="24"/>
        </w:rPr>
        <w:t>, December 2020</w:t>
      </w:r>
      <w:r>
        <w:rPr>
          <w:sz w:val="24"/>
          <w:szCs w:val="24"/>
        </w:rPr>
        <w:t xml:space="preserve">. </w:t>
      </w:r>
      <w:hyperlink r:id="rId69" w:history="1">
        <w:r w:rsidR="00B904B3" w:rsidRPr="00676D61">
          <w:rPr>
            <w:rStyle w:val="Hyperlink"/>
            <w:sz w:val="24"/>
            <w:szCs w:val="24"/>
          </w:rPr>
          <w:t>https://vcdnp.org/wp-content/uploads/2021/01/Lexical-History-of-the-State-level-Concept_Final.pdf</w:t>
        </w:r>
      </w:hyperlink>
      <w:r w:rsidR="00B904B3">
        <w:rPr>
          <w:sz w:val="24"/>
          <w:szCs w:val="24"/>
        </w:rPr>
        <w:t xml:space="preserve">. </w:t>
      </w:r>
    </w:p>
    <w:p w14:paraId="19F58304" w14:textId="0E03FFAA" w:rsidR="00F92CD8" w:rsidRPr="004600F7" w:rsidRDefault="00F92CD8" w:rsidP="00F92CD8">
      <w:pPr>
        <w:spacing w:after="0" w:line="240" w:lineRule="auto"/>
        <w:ind w:left="144" w:hanging="144"/>
        <w:rPr>
          <w:sz w:val="24"/>
          <w:szCs w:val="24"/>
        </w:rPr>
      </w:pPr>
      <w:r w:rsidRPr="004600F7">
        <w:rPr>
          <w:sz w:val="24"/>
          <w:szCs w:val="24"/>
        </w:rPr>
        <w:t xml:space="preserve">Mazarr, Michael. </w:t>
      </w:r>
      <w:r w:rsidRPr="004600F7">
        <w:rPr>
          <w:i/>
          <w:iCs/>
          <w:sz w:val="24"/>
          <w:szCs w:val="24"/>
        </w:rPr>
        <w:t>North Korea and the Bomb: A Case Study in Nonproliferation</w:t>
      </w:r>
      <w:r w:rsidRPr="004600F7">
        <w:rPr>
          <w:sz w:val="24"/>
          <w:szCs w:val="24"/>
        </w:rPr>
        <w:t xml:space="preserve">. </w:t>
      </w:r>
      <w:r w:rsidR="00833C1A">
        <w:rPr>
          <w:sz w:val="24"/>
          <w:szCs w:val="24"/>
        </w:rPr>
        <w:t>(</w:t>
      </w:r>
      <w:r w:rsidRPr="004600F7">
        <w:rPr>
          <w:sz w:val="24"/>
          <w:szCs w:val="24"/>
        </w:rPr>
        <w:t>London: Palgrave Macmillan</w:t>
      </w:r>
      <w:r w:rsidR="00833C1A">
        <w:rPr>
          <w:sz w:val="24"/>
          <w:szCs w:val="24"/>
        </w:rPr>
        <w:t>, 1997)</w:t>
      </w:r>
      <w:r w:rsidRPr="004600F7">
        <w:rPr>
          <w:sz w:val="24"/>
          <w:szCs w:val="24"/>
        </w:rPr>
        <w:t xml:space="preserve">. </w:t>
      </w:r>
    </w:p>
    <w:p w14:paraId="02E0827F" w14:textId="6AE9B4C4" w:rsidR="00B904B3" w:rsidRDefault="00B904B3" w:rsidP="00BC2CD3">
      <w:pPr>
        <w:spacing w:after="0" w:line="240" w:lineRule="auto"/>
        <w:ind w:left="144" w:hanging="144"/>
        <w:rPr>
          <w:sz w:val="24"/>
          <w:szCs w:val="24"/>
        </w:rPr>
      </w:pPr>
      <w:r>
        <w:rPr>
          <w:sz w:val="24"/>
          <w:szCs w:val="24"/>
        </w:rPr>
        <w:t xml:space="preserve">McLaughlin, Jessica. “Confidentiality and Verification: The IAEA and OPCW.” Trust &amp; Verify 114 (2004). </w:t>
      </w:r>
      <w:hyperlink r:id="rId70" w:history="1">
        <w:r w:rsidRPr="00676D61">
          <w:rPr>
            <w:rStyle w:val="Hyperlink"/>
            <w:sz w:val="24"/>
            <w:szCs w:val="24"/>
          </w:rPr>
          <w:t>https://vertic.org/media/assets/TV114.pdf</w:t>
        </w:r>
      </w:hyperlink>
      <w:r>
        <w:rPr>
          <w:sz w:val="24"/>
          <w:szCs w:val="24"/>
        </w:rPr>
        <w:t xml:space="preserve">. </w:t>
      </w:r>
    </w:p>
    <w:p w14:paraId="1C2065D3" w14:textId="5CA00B5B" w:rsidR="00A11CD9" w:rsidRPr="004600F7" w:rsidRDefault="00A11CD9" w:rsidP="00BC2CD3">
      <w:pPr>
        <w:spacing w:after="0" w:line="240" w:lineRule="auto"/>
        <w:ind w:left="144" w:hanging="144"/>
        <w:rPr>
          <w:sz w:val="24"/>
          <w:szCs w:val="24"/>
        </w:rPr>
      </w:pPr>
      <w:r w:rsidRPr="004600F7">
        <w:rPr>
          <w:rFonts w:hint="eastAsia"/>
          <w:sz w:val="24"/>
          <w:szCs w:val="24"/>
        </w:rPr>
        <w:t xml:space="preserve">Miller, Marvin, and Lawrence Scheinman. </w:t>
      </w:r>
      <w:r w:rsidRPr="004600F7">
        <w:rPr>
          <w:sz w:val="24"/>
          <w:szCs w:val="24"/>
        </w:rPr>
        <w:t>“</w:t>
      </w:r>
      <w:r w:rsidRPr="004600F7">
        <w:rPr>
          <w:rFonts w:hint="eastAsia"/>
          <w:sz w:val="24"/>
          <w:szCs w:val="24"/>
        </w:rPr>
        <w:t>Israel, India, Pakistan: Engaging the Non-NPT States in the Nonproliferation Regime.</w:t>
      </w:r>
      <w:r w:rsidRPr="004600F7">
        <w:rPr>
          <w:sz w:val="24"/>
          <w:szCs w:val="24"/>
        </w:rPr>
        <w:t>”</w:t>
      </w:r>
      <w:r w:rsidRPr="004600F7">
        <w:rPr>
          <w:rFonts w:hint="eastAsia"/>
          <w:sz w:val="24"/>
          <w:szCs w:val="24"/>
        </w:rPr>
        <w:t xml:space="preserve"> Arms C</w:t>
      </w:r>
      <w:r w:rsidRPr="004600F7">
        <w:rPr>
          <w:sz w:val="24"/>
          <w:szCs w:val="24"/>
        </w:rPr>
        <w:t>o</w:t>
      </w:r>
      <w:r w:rsidRPr="004600F7">
        <w:rPr>
          <w:rFonts w:hint="eastAsia"/>
          <w:sz w:val="24"/>
          <w:szCs w:val="24"/>
        </w:rPr>
        <w:t xml:space="preserve">ntrol Association. </w:t>
      </w:r>
      <w:hyperlink r:id="rId71" w:history="1">
        <w:r w:rsidR="00E45D57" w:rsidRPr="004600F7">
          <w:rPr>
            <w:rStyle w:val="Hyperlink"/>
            <w:sz w:val="24"/>
            <w:szCs w:val="24"/>
          </w:rPr>
          <w:t>https://www.armscontrol.org/act/2003-12/features/israel-india-and-pakistan-engaging-non-npt-states-nonproliferation-regime</w:t>
        </w:r>
      </w:hyperlink>
      <w:r w:rsidRPr="004600F7">
        <w:rPr>
          <w:rFonts w:hint="eastAsia"/>
          <w:sz w:val="24"/>
          <w:szCs w:val="24"/>
        </w:rPr>
        <w:t>.</w:t>
      </w:r>
      <w:r w:rsidR="00E45D57" w:rsidRPr="004600F7">
        <w:rPr>
          <w:rFonts w:hint="eastAsia"/>
          <w:sz w:val="24"/>
          <w:szCs w:val="24"/>
        </w:rPr>
        <w:t xml:space="preserve"> </w:t>
      </w:r>
      <w:r w:rsidRPr="004600F7">
        <w:rPr>
          <w:rFonts w:hint="eastAsia"/>
          <w:sz w:val="24"/>
          <w:szCs w:val="24"/>
        </w:rPr>
        <w:t xml:space="preserve"> </w:t>
      </w:r>
      <w:r w:rsidR="00E45D57" w:rsidRPr="004600F7">
        <w:rPr>
          <w:rFonts w:hint="eastAsia"/>
          <w:sz w:val="24"/>
          <w:szCs w:val="24"/>
        </w:rPr>
        <w:t xml:space="preserve"> </w:t>
      </w:r>
    </w:p>
    <w:p w14:paraId="63D1FA42" w14:textId="6359C9C2" w:rsidR="00B904B3" w:rsidRDefault="00B904B3" w:rsidP="00B904B3">
      <w:pPr>
        <w:spacing w:after="0" w:line="240" w:lineRule="auto"/>
        <w:ind w:left="144" w:hanging="144"/>
        <w:rPr>
          <w:sz w:val="24"/>
          <w:szCs w:val="24"/>
        </w:rPr>
      </w:pPr>
      <w:r w:rsidRPr="00B904B3">
        <w:rPr>
          <w:sz w:val="24"/>
          <w:szCs w:val="24"/>
        </w:rPr>
        <w:lastRenderedPageBreak/>
        <w:t xml:space="preserve">Mitchell, Ronald B. “International control of nuclear proliferation: Beyond carrots and sticks.” </w:t>
      </w:r>
      <w:r w:rsidRPr="00B904B3">
        <w:rPr>
          <w:i/>
          <w:iCs/>
          <w:sz w:val="24"/>
          <w:szCs w:val="24"/>
        </w:rPr>
        <w:t>The Nonproliferation Review</w:t>
      </w:r>
      <w:r w:rsidRPr="00B904B3">
        <w:rPr>
          <w:sz w:val="24"/>
          <w:szCs w:val="24"/>
        </w:rPr>
        <w:t xml:space="preserve"> 5(1) (1997), 40-52. DOI: </w:t>
      </w:r>
      <w:hyperlink r:id="rId72" w:history="1">
        <w:r w:rsidRPr="00B904B3">
          <w:rPr>
            <w:rStyle w:val="Hyperlink"/>
            <w:sz w:val="24"/>
            <w:szCs w:val="24"/>
          </w:rPr>
          <w:t>10.1080/10736709708436692</w:t>
        </w:r>
      </w:hyperlink>
      <w:r w:rsidRPr="00B904B3">
        <w:rPr>
          <w:sz w:val="24"/>
          <w:szCs w:val="24"/>
        </w:rPr>
        <w:t xml:space="preserve"> </w:t>
      </w:r>
    </w:p>
    <w:p w14:paraId="65AAE961" w14:textId="16EB8174" w:rsidR="00BC2CD3" w:rsidRPr="004600F7" w:rsidRDefault="00BC2CD3" w:rsidP="00BC2CD3">
      <w:pPr>
        <w:spacing w:after="0" w:line="240" w:lineRule="auto"/>
        <w:ind w:left="144" w:hanging="144"/>
        <w:rPr>
          <w:sz w:val="24"/>
          <w:szCs w:val="24"/>
        </w:rPr>
      </w:pPr>
      <w:r w:rsidRPr="004600F7">
        <w:rPr>
          <w:sz w:val="24"/>
          <w:szCs w:val="24"/>
        </w:rPr>
        <w:t xml:space="preserve">Müller, Harald, and Carmen Wunderlich. “Nuclear Disarmament without the Nuclear-Weapon States: The Nuclear Weapon Ban Treaty.” </w:t>
      </w:r>
      <w:r w:rsidRPr="004600F7">
        <w:rPr>
          <w:i/>
          <w:iCs/>
          <w:sz w:val="24"/>
          <w:szCs w:val="24"/>
        </w:rPr>
        <w:t>Daedalus</w:t>
      </w:r>
      <w:r w:rsidRPr="004600F7">
        <w:rPr>
          <w:sz w:val="24"/>
          <w:szCs w:val="24"/>
        </w:rPr>
        <w:t xml:space="preserve"> 149(2) (2020)</w:t>
      </w:r>
      <w:r w:rsidR="00DC5C70" w:rsidRPr="004600F7">
        <w:rPr>
          <w:rFonts w:hint="eastAsia"/>
          <w:sz w:val="24"/>
          <w:szCs w:val="24"/>
        </w:rPr>
        <w:t>:</w:t>
      </w:r>
      <w:r w:rsidRPr="004600F7">
        <w:rPr>
          <w:sz w:val="24"/>
          <w:szCs w:val="24"/>
        </w:rPr>
        <w:t xml:space="preserve"> 171-189.</w:t>
      </w:r>
      <w:r w:rsidRPr="004600F7">
        <w:rPr>
          <w:rFonts w:hint="eastAsia"/>
          <w:sz w:val="24"/>
          <w:szCs w:val="24"/>
        </w:rPr>
        <w:t xml:space="preserve"> </w:t>
      </w:r>
      <w:r w:rsidR="00833C1A">
        <w:rPr>
          <w:sz w:val="24"/>
          <w:szCs w:val="24"/>
        </w:rPr>
        <w:t xml:space="preserve">DOI </w:t>
      </w:r>
      <w:hyperlink r:id="rId73" w:history="1">
        <w:r w:rsidRPr="004600F7">
          <w:rPr>
            <w:rStyle w:val="Hyperlink"/>
            <w:sz w:val="24"/>
            <w:szCs w:val="24"/>
          </w:rPr>
          <w:t>10.1162/daed_a_01796</w:t>
        </w:r>
      </w:hyperlink>
      <w:r w:rsidRPr="004600F7">
        <w:rPr>
          <w:rFonts w:hint="eastAsia"/>
          <w:sz w:val="24"/>
          <w:szCs w:val="24"/>
        </w:rPr>
        <w:t xml:space="preserve"> </w:t>
      </w:r>
    </w:p>
    <w:p w14:paraId="0F752FFE" w14:textId="415F4CCD" w:rsidR="00575085" w:rsidRDefault="00575085" w:rsidP="005D110C">
      <w:pPr>
        <w:spacing w:after="0" w:line="240" w:lineRule="auto"/>
        <w:ind w:left="144" w:hanging="144"/>
        <w:rPr>
          <w:sz w:val="24"/>
          <w:szCs w:val="24"/>
        </w:rPr>
      </w:pPr>
      <w:r>
        <w:rPr>
          <w:sz w:val="24"/>
          <w:szCs w:val="24"/>
        </w:rPr>
        <w:t>National Academ</w:t>
      </w:r>
      <w:r w:rsidR="002F4489">
        <w:rPr>
          <w:sz w:val="24"/>
          <w:szCs w:val="24"/>
        </w:rPr>
        <w:t>y</w:t>
      </w:r>
      <w:r>
        <w:rPr>
          <w:sz w:val="24"/>
          <w:szCs w:val="24"/>
        </w:rPr>
        <w:t xml:space="preserve"> of Sciences. “CTBT Monitoring Capability.” In </w:t>
      </w:r>
      <w:r w:rsidRPr="00575085">
        <w:rPr>
          <w:i/>
          <w:iCs/>
          <w:sz w:val="24"/>
          <w:szCs w:val="24"/>
        </w:rPr>
        <w:t>Technical Issues Related to the Comprehensive Nuclear Test Ban Treaty</w:t>
      </w:r>
      <w:r>
        <w:rPr>
          <w:sz w:val="24"/>
          <w:szCs w:val="24"/>
        </w:rPr>
        <w:t>. (Washington, DC: The National Academ</w:t>
      </w:r>
      <w:r w:rsidR="002F4489">
        <w:rPr>
          <w:sz w:val="24"/>
          <w:szCs w:val="24"/>
        </w:rPr>
        <w:t>y</w:t>
      </w:r>
      <w:r>
        <w:rPr>
          <w:sz w:val="24"/>
          <w:szCs w:val="24"/>
        </w:rPr>
        <w:t xml:space="preserve"> Press, 2002), 35-59.</w:t>
      </w:r>
    </w:p>
    <w:p w14:paraId="153FCFE9" w14:textId="049CD3C7" w:rsidR="00007E57" w:rsidRPr="004600F7" w:rsidRDefault="00007E57" w:rsidP="005D110C">
      <w:pPr>
        <w:spacing w:after="0" w:line="240" w:lineRule="auto"/>
        <w:ind w:left="144" w:hanging="144"/>
        <w:rPr>
          <w:sz w:val="24"/>
          <w:szCs w:val="24"/>
        </w:rPr>
      </w:pPr>
      <w:r w:rsidRPr="004600F7">
        <w:rPr>
          <w:sz w:val="24"/>
          <w:szCs w:val="24"/>
        </w:rPr>
        <w:t xml:space="preserve">Panda, Ankit. “Why America may be Triggering a New Era of Nuclear Proliferation.” Chatham House. </w:t>
      </w:r>
      <w:r w:rsidR="00833C1A">
        <w:rPr>
          <w:sz w:val="24"/>
          <w:szCs w:val="24"/>
        </w:rPr>
        <w:t xml:space="preserve">25 </w:t>
      </w:r>
      <w:r w:rsidRPr="004600F7">
        <w:rPr>
          <w:sz w:val="24"/>
          <w:szCs w:val="24"/>
        </w:rPr>
        <w:t>September 2</w:t>
      </w:r>
      <w:r w:rsidR="00833C1A">
        <w:rPr>
          <w:sz w:val="24"/>
          <w:szCs w:val="24"/>
        </w:rPr>
        <w:t>02</w:t>
      </w:r>
      <w:r w:rsidRPr="004600F7">
        <w:rPr>
          <w:sz w:val="24"/>
          <w:szCs w:val="24"/>
        </w:rPr>
        <w:t xml:space="preserve">5. </w:t>
      </w:r>
      <w:hyperlink r:id="rId74" w:history="1">
        <w:r w:rsidRPr="004600F7">
          <w:rPr>
            <w:rStyle w:val="Hyperlink"/>
            <w:sz w:val="24"/>
            <w:szCs w:val="24"/>
          </w:rPr>
          <w:t>https://www.chathamhouse.org/publications/the-world-today/2025-06/why-america-may-be-triggering-new-era-nuclear-proliferation</w:t>
        </w:r>
      </w:hyperlink>
      <w:r w:rsidRPr="004600F7">
        <w:rPr>
          <w:sz w:val="24"/>
          <w:szCs w:val="24"/>
        </w:rPr>
        <w:t>.</w:t>
      </w:r>
    </w:p>
    <w:p w14:paraId="2888744B" w14:textId="56D0FC4B" w:rsidR="00865E41" w:rsidRPr="004600F7" w:rsidRDefault="00865E41" w:rsidP="005D110C">
      <w:pPr>
        <w:spacing w:after="0" w:line="240" w:lineRule="auto"/>
        <w:ind w:left="144" w:hanging="144"/>
        <w:rPr>
          <w:sz w:val="24"/>
          <w:szCs w:val="24"/>
        </w:rPr>
      </w:pPr>
      <w:r w:rsidRPr="004600F7">
        <w:rPr>
          <w:sz w:val="24"/>
          <w:szCs w:val="24"/>
        </w:rPr>
        <w:t xml:space="preserve">Park, Soul, and Kimberly Peh. “Leveraging towards Restraint: Nuclear Hedging and North Korea’s Shifting Reference Points during the Agreed Framework and the Six-Party Talks.” </w:t>
      </w:r>
      <w:r w:rsidRPr="004600F7">
        <w:rPr>
          <w:i/>
          <w:iCs/>
          <w:sz w:val="24"/>
          <w:szCs w:val="24"/>
        </w:rPr>
        <w:t>European Journal of International Security</w:t>
      </w:r>
      <w:r w:rsidRPr="004600F7">
        <w:rPr>
          <w:sz w:val="24"/>
          <w:szCs w:val="24"/>
        </w:rPr>
        <w:t xml:space="preserve"> 5(1)</w:t>
      </w:r>
      <w:r w:rsidR="00833C1A">
        <w:rPr>
          <w:sz w:val="24"/>
          <w:szCs w:val="24"/>
        </w:rPr>
        <w:t xml:space="preserve"> (2020),</w:t>
      </w:r>
      <w:r w:rsidRPr="004600F7">
        <w:rPr>
          <w:sz w:val="24"/>
          <w:szCs w:val="24"/>
        </w:rPr>
        <w:t xml:space="preserve"> 94–114. </w:t>
      </w:r>
      <w:r w:rsidR="00833C1A">
        <w:rPr>
          <w:sz w:val="24"/>
          <w:szCs w:val="24"/>
        </w:rPr>
        <w:t xml:space="preserve">DOI </w:t>
      </w:r>
      <w:hyperlink r:id="rId75" w:history="1">
        <w:r w:rsidRPr="004600F7">
          <w:rPr>
            <w:rStyle w:val="Hyperlink"/>
            <w:sz w:val="24"/>
            <w:szCs w:val="24"/>
          </w:rPr>
          <w:t>10.1017/eis.2019.15</w:t>
        </w:r>
      </w:hyperlink>
      <w:r w:rsidRPr="004600F7">
        <w:rPr>
          <w:sz w:val="24"/>
          <w:szCs w:val="24"/>
        </w:rPr>
        <w:t xml:space="preserve"> </w:t>
      </w:r>
    </w:p>
    <w:p w14:paraId="099579C8" w14:textId="50ACCFAE" w:rsidR="00EE16CE" w:rsidRPr="004600F7" w:rsidRDefault="00EE16CE" w:rsidP="005D110C">
      <w:pPr>
        <w:spacing w:after="0" w:line="240" w:lineRule="auto"/>
        <w:ind w:left="144" w:hanging="144"/>
        <w:rPr>
          <w:sz w:val="24"/>
          <w:szCs w:val="24"/>
        </w:rPr>
      </w:pPr>
      <w:r w:rsidRPr="004600F7">
        <w:rPr>
          <w:sz w:val="24"/>
          <w:szCs w:val="24"/>
        </w:rPr>
        <w:t xml:space="preserve">PBS. “Interview: Jimmy Carter.” </w:t>
      </w:r>
      <w:r w:rsidRPr="00833C1A">
        <w:rPr>
          <w:i/>
          <w:iCs/>
          <w:sz w:val="24"/>
          <w:szCs w:val="24"/>
        </w:rPr>
        <w:t>Frontline</w:t>
      </w:r>
      <w:r w:rsidR="00833C1A">
        <w:rPr>
          <w:sz w:val="24"/>
          <w:szCs w:val="24"/>
        </w:rPr>
        <w:t>,</w:t>
      </w:r>
      <w:r w:rsidRPr="004600F7">
        <w:rPr>
          <w:sz w:val="24"/>
          <w:szCs w:val="24"/>
        </w:rPr>
        <w:t xml:space="preserve"> </w:t>
      </w:r>
      <w:r w:rsidR="00833C1A">
        <w:rPr>
          <w:sz w:val="24"/>
          <w:szCs w:val="24"/>
        </w:rPr>
        <w:t xml:space="preserve">21 </w:t>
      </w:r>
      <w:r w:rsidRPr="004600F7">
        <w:rPr>
          <w:sz w:val="24"/>
          <w:szCs w:val="24"/>
        </w:rPr>
        <w:t>March 2</w:t>
      </w:r>
      <w:r w:rsidR="00833C1A">
        <w:rPr>
          <w:sz w:val="24"/>
          <w:szCs w:val="24"/>
        </w:rPr>
        <w:t>003</w:t>
      </w:r>
      <w:r w:rsidRPr="004600F7">
        <w:rPr>
          <w:sz w:val="24"/>
          <w:szCs w:val="24"/>
        </w:rPr>
        <w:t xml:space="preserve">. </w:t>
      </w:r>
      <w:hyperlink r:id="rId76" w:history="1">
        <w:r w:rsidRPr="004600F7">
          <w:rPr>
            <w:rStyle w:val="Hyperlink"/>
            <w:sz w:val="24"/>
            <w:szCs w:val="24"/>
          </w:rPr>
          <w:t>https://www.pbs.org/wgbh/pages/frontline/shows/kim/interviews/carter.html</w:t>
        </w:r>
      </w:hyperlink>
      <w:r w:rsidRPr="004600F7">
        <w:rPr>
          <w:sz w:val="24"/>
          <w:szCs w:val="24"/>
        </w:rPr>
        <w:t xml:space="preserve">. </w:t>
      </w:r>
    </w:p>
    <w:p w14:paraId="6CEDC411" w14:textId="7202BB56" w:rsidR="00865E41" w:rsidRPr="004600F7" w:rsidRDefault="00865E41" w:rsidP="005D110C">
      <w:pPr>
        <w:spacing w:after="0" w:line="240" w:lineRule="auto"/>
        <w:ind w:left="144" w:hanging="144"/>
        <w:rPr>
          <w:sz w:val="24"/>
          <w:szCs w:val="24"/>
        </w:rPr>
      </w:pPr>
      <w:r w:rsidRPr="004600F7">
        <w:rPr>
          <w:sz w:val="24"/>
          <w:szCs w:val="24"/>
        </w:rPr>
        <w:t xml:space="preserve">Peh, Kimberly, and Soul Park. “Staying the Course: Denuclearization and Path Dependence in the US-North Korea Relations.” </w:t>
      </w:r>
      <w:r w:rsidRPr="004600F7">
        <w:rPr>
          <w:i/>
          <w:iCs/>
          <w:sz w:val="24"/>
          <w:szCs w:val="24"/>
        </w:rPr>
        <w:t>North Korean Review</w:t>
      </w:r>
      <w:r w:rsidRPr="004600F7">
        <w:rPr>
          <w:sz w:val="24"/>
          <w:szCs w:val="24"/>
        </w:rPr>
        <w:t xml:space="preserve"> 17(1)</w:t>
      </w:r>
      <w:r w:rsidR="00833C1A">
        <w:rPr>
          <w:sz w:val="24"/>
          <w:szCs w:val="24"/>
        </w:rPr>
        <w:t xml:space="preserve"> (2021),</w:t>
      </w:r>
      <w:r w:rsidRPr="004600F7">
        <w:rPr>
          <w:sz w:val="24"/>
          <w:szCs w:val="24"/>
        </w:rPr>
        <w:t xml:space="preserve"> 57-78.</w:t>
      </w:r>
    </w:p>
    <w:p w14:paraId="2F80E202" w14:textId="5D079069" w:rsidR="00B904B3" w:rsidRDefault="00B904B3" w:rsidP="005D110C">
      <w:pPr>
        <w:spacing w:after="0" w:line="240" w:lineRule="auto"/>
        <w:ind w:left="144" w:hanging="144"/>
        <w:rPr>
          <w:sz w:val="24"/>
          <w:szCs w:val="24"/>
        </w:rPr>
      </w:pPr>
      <w:r>
        <w:rPr>
          <w:sz w:val="24"/>
          <w:szCs w:val="24"/>
        </w:rPr>
        <w:t xml:space="preserve">Peritz, Lauren. “When are International Institutions Effective? The Impact of Domestic Veto Players on Compliance with WTO Rulings.” </w:t>
      </w:r>
      <w:r w:rsidRPr="00B904B3">
        <w:rPr>
          <w:i/>
          <w:iCs/>
          <w:sz w:val="24"/>
          <w:szCs w:val="24"/>
        </w:rPr>
        <w:t>International Studies Quarterly</w:t>
      </w:r>
      <w:r>
        <w:rPr>
          <w:sz w:val="24"/>
          <w:szCs w:val="24"/>
        </w:rPr>
        <w:t xml:space="preserve"> 64(1) (2020), 220-234. DOI </w:t>
      </w:r>
      <w:hyperlink r:id="rId77" w:history="1">
        <w:r w:rsidRPr="00E61061">
          <w:rPr>
            <w:rStyle w:val="Hyperlink"/>
            <w:sz w:val="24"/>
            <w:szCs w:val="24"/>
          </w:rPr>
          <w:t>10.1093/</w:t>
        </w:r>
        <w:proofErr w:type="spellStart"/>
        <w:r w:rsidRPr="00E61061">
          <w:rPr>
            <w:rStyle w:val="Hyperlink"/>
            <w:sz w:val="24"/>
            <w:szCs w:val="24"/>
          </w:rPr>
          <w:t>isq</w:t>
        </w:r>
        <w:proofErr w:type="spellEnd"/>
        <w:r w:rsidRPr="00E61061">
          <w:rPr>
            <w:rStyle w:val="Hyperlink"/>
            <w:sz w:val="24"/>
            <w:szCs w:val="24"/>
          </w:rPr>
          <w:t>/sqz094</w:t>
        </w:r>
      </w:hyperlink>
      <w:r>
        <w:rPr>
          <w:sz w:val="24"/>
          <w:szCs w:val="24"/>
        </w:rPr>
        <w:t xml:space="preserve"> </w:t>
      </w:r>
    </w:p>
    <w:p w14:paraId="47B1AAA3" w14:textId="0BA0B65E" w:rsidR="00375B20" w:rsidRPr="004600F7" w:rsidRDefault="00375B20" w:rsidP="005D110C">
      <w:pPr>
        <w:spacing w:after="0" w:line="240" w:lineRule="auto"/>
        <w:ind w:left="144" w:hanging="144"/>
        <w:rPr>
          <w:sz w:val="24"/>
          <w:szCs w:val="24"/>
        </w:rPr>
      </w:pPr>
      <w:r w:rsidRPr="004600F7">
        <w:rPr>
          <w:sz w:val="24"/>
          <w:szCs w:val="24"/>
        </w:rPr>
        <w:t xml:space="preserve">Perkovich, George. “The End of the Nonproliferation Regime?” </w:t>
      </w:r>
      <w:r w:rsidRPr="004600F7">
        <w:rPr>
          <w:i/>
          <w:iCs/>
          <w:sz w:val="24"/>
          <w:szCs w:val="24"/>
        </w:rPr>
        <w:t>Current History</w:t>
      </w:r>
      <w:r w:rsidRPr="004600F7">
        <w:rPr>
          <w:sz w:val="24"/>
          <w:szCs w:val="24"/>
        </w:rPr>
        <w:t xml:space="preserve"> 105(694)</w:t>
      </w:r>
      <w:r w:rsidR="00833C1A">
        <w:rPr>
          <w:sz w:val="24"/>
          <w:szCs w:val="24"/>
        </w:rPr>
        <w:t xml:space="preserve"> (2006),</w:t>
      </w:r>
      <w:r w:rsidRPr="004600F7">
        <w:rPr>
          <w:sz w:val="24"/>
          <w:szCs w:val="24"/>
        </w:rPr>
        <w:t xml:space="preserve"> 355-362.</w:t>
      </w:r>
      <w:r w:rsidR="00833C1A">
        <w:rPr>
          <w:sz w:val="24"/>
          <w:szCs w:val="24"/>
        </w:rPr>
        <w:t xml:space="preserve"> DOI</w:t>
      </w:r>
      <w:r w:rsidRPr="004600F7">
        <w:rPr>
          <w:sz w:val="24"/>
          <w:szCs w:val="24"/>
        </w:rPr>
        <w:t xml:space="preserve"> </w:t>
      </w:r>
      <w:hyperlink r:id="rId78" w:history="1">
        <w:r w:rsidRPr="004600F7">
          <w:rPr>
            <w:rStyle w:val="Hyperlink"/>
            <w:sz w:val="24"/>
            <w:szCs w:val="24"/>
          </w:rPr>
          <w:t>10.1525/curh.2006.105.694.355</w:t>
        </w:r>
      </w:hyperlink>
      <w:r w:rsidRPr="004600F7">
        <w:rPr>
          <w:sz w:val="24"/>
          <w:szCs w:val="24"/>
        </w:rPr>
        <w:t xml:space="preserve"> </w:t>
      </w:r>
    </w:p>
    <w:p w14:paraId="56947FA6" w14:textId="26F606E0" w:rsidR="007511C0" w:rsidRDefault="007511C0" w:rsidP="0048215C">
      <w:pPr>
        <w:spacing w:after="0" w:line="240" w:lineRule="auto"/>
        <w:ind w:left="144" w:hanging="144"/>
        <w:rPr>
          <w:sz w:val="24"/>
          <w:szCs w:val="24"/>
        </w:rPr>
      </w:pPr>
      <w:r>
        <w:rPr>
          <w:sz w:val="24"/>
          <w:szCs w:val="24"/>
        </w:rPr>
        <w:t xml:space="preserve">Pevehouse, Jon, and Bruce Russett. “Democratic International Governmental Organizations Promote Peace.” </w:t>
      </w:r>
      <w:r>
        <w:rPr>
          <w:i/>
          <w:iCs/>
          <w:sz w:val="24"/>
          <w:szCs w:val="24"/>
        </w:rPr>
        <w:t>International Organization</w:t>
      </w:r>
      <w:r>
        <w:rPr>
          <w:sz w:val="24"/>
          <w:szCs w:val="24"/>
        </w:rPr>
        <w:t xml:space="preserve"> 60</w:t>
      </w:r>
      <w:r>
        <w:rPr>
          <w:rFonts w:hint="eastAsia"/>
          <w:sz w:val="24"/>
          <w:szCs w:val="24"/>
        </w:rPr>
        <w:t>(4)</w:t>
      </w:r>
      <w:r>
        <w:rPr>
          <w:sz w:val="24"/>
          <w:szCs w:val="24"/>
        </w:rPr>
        <w:t xml:space="preserve">, </w:t>
      </w:r>
      <w:r>
        <w:rPr>
          <w:rFonts w:hint="eastAsia"/>
          <w:sz w:val="24"/>
          <w:szCs w:val="24"/>
        </w:rPr>
        <w:t>(</w:t>
      </w:r>
      <w:r>
        <w:rPr>
          <w:sz w:val="24"/>
          <w:szCs w:val="24"/>
        </w:rPr>
        <w:t>2006), 969-1000.</w:t>
      </w:r>
      <w:r>
        <w:rPr>
          <w:rFonts w:hint="eastAsia"/>
          <w:sz w:val="24"/>
          <w:szCs w:val="24"/>
        </w:rPr>
        <w:t xml:space="preserve"> DOI </w:t>
      </w:r>
      <w:hyperlink r:id="rId79" w:history="1">
        <w:r w:rsidRPr="007D3629">
          <w:rPr>
            <w:rStyle w:val="Hyperlink"/>
            <w:sz w:val="24"/>
            <w:szCs w:val="24"/>
          </w:rPr>
          <w:t>10.1017/S0020818306060322</w:t>
        </w:r>
      </w:hyperlink>
      <w:r>
        <w:rPr>
          <w:rFonts w:hint="eastAsia"/>
          <w:sz w:val="24"/>
          <w:szCs w:val="24"/>
        </w:rPr>
        <w:t xml:space="preserve"> </w:t>
      </w:r>
    </w:p>
    <w:p w14:paraId="1AF981F4" w14:textId="055E88BB" w:rsidR="007511C0" w:rsidRDefault="007511C0" w:rsidP="007511C0">
      <w:pPr>
        <w:spacing w:after="0" w:line="240" w:lineRule="auto"/>
        <w:ind w:left="144" w:hanging="144"/>
        <w:rPr>
          <w:sz w:val="24"/>
          <w:szCs w:val="24"/>
        </w:rPr>
      </w:pPr>
      <w:r>
        <w:rPr>
          <w:sz w:val="24"/>
          <w:szCs w:val="24"/>
        </w:rPr>
        <w:t xml:space="preserve">Poast, Paul, and Johannes Urpelainen. </w:t>
      </w:r>
      <w:r>
        <w:rPr>
          <w:i/>
          <w:iCs/>
          <w:sz w:val="24"/>
          <w:szCs w:val="24"/>
        </w:rPr>
        <w:t>Organizing Democracy: How International Organizations Assist New Democracies</w:t>
      </w:r>
      <w:r>
        <w:rPr>
          <w:sz w:val="24"/>
          <w:szCs w:val="24"/>
        </w:rPr>
        <w:t>. (Chicago: The University of Chicago Press. 2018).</w:t>
      </w:r>
    </w:p>
    <w:p w14:paraId="78AD4CD6" w14:textId="38A14372" w:rsidR="00EE16CE" w:rsidRPr="004600F7" w:rsidRDefault="00EE16CE" w:rsidP="0048215C">
      <w:pPr>
        <w:spacing w:after="0" w:line="240" w:lineRule="auto"/>
        <w:ind w:left="144" w:hanging="144"/>
        <w:rPr>
          <w:sz w:val="24"/>
          <w:szCs w:val="24"/>
        </w:rPr>
      </w:pPr>
      <w:r w:rsidRPr="004600F7">
        <w:rPr>
          <w:sz w:val="24"/>
          <w:szCs w:val="24"/>
        </w:rPr>
        <w:t xml:space="preserve">Pollack, Jonathan D. “The United States, North Korea, and the End of the Agreed Framework.” </w:t>
      </w:r>
      <w:r w:rsidRPr="004600F7">
        <w:rPr>
          <w:i/>
          <w:iCs/>
          <w:sz w:val="24"/>
          <w:szCs w:val="24"/>
        </w:rPr>
        <w:t>Naval War College Review</w:t>
      </w:r>
      <w:r w:rsidRPr="004600F7">
        <w:rPr>
          <w:sz w:val="24"/>
          <w:szCs w:val="24"/>
        </w:rPr>
        <w:t xml:space="preserve"> </w:t>
      </w:r>
      <w:proofErr w:type="gramStart"/>
      <w:r w:rsidRPr="004600F7">
        <w:rPr>
          <w:sz w:val="24"/>
          <w:szCs w:val="24"/>
        </w:rPr>
        <w:t>LVI(</w:t>
      </w:r>
      <w:proofErr w:type="gramEnd"/>
      <w:r w:rsidRPr="004600F7">
        <w:rPr>
          <w:sz w:val="24"/>
          <w:szCs w:val="24"/>
        </w:rPr>
        <w:t>3)</w:t>
      </w:r>
      <w:r w:rsidR="00833C1A">
        <w:rPr>
          <w:sz w:val="24"/>
          <w:szCs w:val="24"/>
        </w:rPr>
        <w:t xml:space="preserve"> (2003),</w:t>
      </w:r>
      <w:r w:rsidRPr="004600F7">
        <w:rPr>
          <w:sz w:val="24"/>
          <w:szCs w:val="24"/>
        </w:rPr>
        <w:t xml:space="preserve"> 10-49. </w:t>
      </w:r>
    </w:p>
    <w:p w14:paraId="45F12826" w14:textId="1D7F51FB" w:rsidR="00865E41" w:rsidRPr="004600F7" w:rsidRDefault="00865E41" w:rsidP="0048215C">
      <w:pPr>
        <w:spacing w:after="0" w:line="240" w:lineRule="auto"/>
        <w:ind w:left="144" w:hanging="144"/>
        <w:rPr>
          <w:sz w:val="24"/>
          <w:szCs w:val="24"/>
        </w:rPr>
      </w:pPr>
      <w:proofErr w:type="spellStart"/>
      <w:r w:rsidRPr="004600F7">
        <w:rPr>
          <w:sz w:val="24"/>
          <w:szCs w:val="24"/>
        </w:rPr>
        <w:t>Poneman</w:t>
      </w:r>
      <w:proofErr w:type="spellEnd"/>
      <w:r w:rsidRPr="004600F7">
        <w:rPr>
          <w:sz w:val="24"/>
          <w:szCs w:val="24"/>
        </w:rPr>
        <w:t xml:space="preserve">, Daniel. “The History of the 1994 Agreed Framework.” </w:t>
      </w:r>
      <w:r w:rsidRPr="004600F7">
        <w:rPr>
          <w:i/>
          <w:iCs/>
          <w:sz w:val="24"/>
          <w:szCs w:val="24"/>
        </w:rPr>
        <w:t>History News Network</w:t>
      </w:r>
      <w:r w:rsidRPr="004600F7">
        <w:rPr>
          <w:sz w:val="24"/>
          <w:szCs w:val="24"/>
        </w:rPr>
        <w:t xml:space="preserve">. </w:t>
      </w:r>
      <w:r w:rsidR="00833C1A">
        <w:rPr>
          <w:sz w:val="24"/>
          <w:szCs w:val="24"/>
        </w:rPr>
        <w:t xml:space="preserve">14 </w:t>
      </w:r>
      <w:r w:rsidRPr="004600F7">
        <w:rPr>
          <w:sz w:val="24"/>
          <w:szCs w:val="24"/>
        </w:rPr>
        <w:t xml:space="preserve">February </w:t>
      </w:r>
      <w:r w:rsidR="00833C1A">
        <w:rPr>
          <w:sz w:val="24"/>
          <w:szCs w:val="24"/>
        </w:rPr>
        <w:t>2007</w:t>
      </w:r>
      <w:r w:rsidRPr="004600F7">
        <w:rPr>
          <w:sz w:val="24"/>
          <w:szCs w:val="24"/>
        </w:rPr>
        <w:t xml:space="preserve">. </w:t>
      </w:r>
      <w:hyperlink r:id="rId80" w:history="1">
        <w:r w:rsidRPr="004600F7">
          <w:rPr>
            <w:rStyle w:val="Hyperlink"/>
            <w:sz w:val="24"/>
            <w:szCs w:val="24"/>
          </w:rPr>
          <w:t>https://www.hnn.us/article/the-history-of-the-1994-agreed-framework</w:t>
        </w:r>
      </w:hyperlink>
      <w:r w:rsidRPr="004600F7">
        <w:rPr>
          <w:sz w:val="24"/>
          <w:szCs w:val="24"/>
        </w:rPr>
        <w:t xml:space="preserve">. </w:t>
      </w:r>
    </w:p>
    <w:p w14:paraId="2A2B3B6F" w14:textId="05C2648D" w:rsidR="00BC3441" w:rsidRPr="004600F7" w:rsidRDefault="00BC3441" w:rsidP="0048215C">
      <w:pPr>
        <w:spacing w:after="0" w:line="240" w:lineRule="auto"/>
        <w:ind w:left="144" w:hanging="144"/>
        <w:rPr>
          <w:sz w:val="24"/>
          <w:szCs w:val="24"/>
        </w:rPr>
      </w:pPr>
      <w:r w:rsidRPr="004600F7">
        <w:rPr>
          <w:sz w:val="24"/>
          <w:szCs w:val="24"/>
        </w:rPr>
        <w:t xml:space="preserve">Potter, William C. “The NPT &amp; the Sources of Nuclear Restraint.” </w:t>
      </w:r>
      <w:r w:rsidRPr="004600F7">
        <w:rPr>
          <w:i/>
          <w:iCs/>
          <w:sz w:val="24"/>
          <w:szCs w:val="24"/>
        </w:rPr>
        <w:t>Daedalus</w:t>
      </w:r>
      <w:r w:rsidRPr="004600F7">
        <w:rPr>
          <w:sz w:val="24"/>
          <w:szCs w:val="24"/>
        </w:rPr>
        <w:t xml:space="preserve"> 139(1)</w:t>
      </w:r>
      <w:r w:rsidR="00833C1A">
        <w:rPr>
          <w:sz w:val="24"/>
          <w:szCs w:val="24"/>
        </w:rPr>
        <w:t xml:space="preserve"> (2010),</w:t>
      </w:r>
      <w:r w:rsidRPr="004600F7">
        <w:rPr>
          <w:sz w:val="24"/>
          <w:szCs w:val="24"/>
        </w:rPr>
        <w:t xml:space="preserve"> 68-81.</w:t>
      </w:r>
      <w:r w:rsidR="00833C1A">
        <w:rPr>
          <w:sz w:val="24"/>
          <w:szCs w:val="24"/>
        </w:rPr>
        <w:t xml:space="preserve"> DOI</w:t>
      </w:r>
      <w:r w:rsidR="00EC1F95" w:rsidRPr="004600F7">
        <w:rPr>
          <w:sz w:val="24"/>
          <w:szCs w:val="24"/>
        </w:rPr>
        <w:t xml:space="preserve"> </w:t>
      </w:r>
      <w:hyperlink r:id="rId81" w:history="1">
        <w:r w:rsidR="00EC1F95" w:rsidRPr="004600F7">
          <w:rPr>
            <w:rStyle w:val="Hyperlink"/>
            <w:sz w:val="24"/>
            <w:szCs w:val="24"/>
          </w:rPr>
          <w:t>10.1162/daed.2010.139.1.68</w:t>
        </w:r>
      </w:hyperlink>
      <w:r w:rsidR="00EC1F95" w:rsidRPr="004600F7">
        <w:rPr>
          <w:sz w:val="24"/>
          <w:szCs w:val="24"/>
        </w:rPr>
        <w:t xml:space="preserve"> </w:t>
      </w:r>
    </w:p>
    <w:p w14:paraId="069A2597" w14:textId="68F33251" w:rsidR="00F91063" w:rsidRPr="004600F7" w:rsidRDefault="00BC2CD3" w:rsidP="00BC2CD3">
      <w:pPr>
        <w:spacing w:after="0" w:line="240" w:lineRule="auto"/>
        <w:ind w:left="144" w:hanging="144"/>
        <w:rPr>
          <w:sz w:val="24"/>
          <w:szCs w:val="24"/>
        </w:rPr>
      </w:pPr>
      <w:r w:rsidRPr="004600F7">
        <w:rPr>
          <w:sz w:val="24"/>
          <w:szCs w:val="24"/>
        </w:rPr>
        <w:t>Pretorius, Joelien, and Tom Sauer.</w:t>
      </w:r>
      <w:r w:rsidR="00F91063" w:rsidRPr="004600F7">
        <w:rPr>
          <w:sz w:val="24"/>
          <w:szCs w:val="24"/>
        </w:rPr>
        <w:t xml:space="preserve"> </w:t>
      </w:r>
      <w:r w:rsidRPr="004600F7">
        <w:rPr>
          <w:sz w:val="24"/>
          <w:szCs w:val="24"/>
        </w:rPr>
        <w:t xml:space="preserve">“When is it Legitimate to Abandon the NPT? Withdrawal as a Political Tool to Move Nuclear Disarmament Forward.” </w:t>
      </w:r>
      <w:r w:rsidRPr="004600F7">
        <w:rPr>
          <w:i/>
          <w:iCs/>
          <w:sz w:val="24"/>
          <w:szCs w:val="24"/>
        </w:rPr>
        <w:t>Contemporary Security Policy</w:t>
      </w:r>
      <w:r w:rsidRPr="004600F7">
        <w:rPr>
          <w:sz w:val="24"/>
          <w:szCs w:val="24"/>
        </w:rPr>
        <w:t xml:space="preserve"> 43(1)</w:t>
      </w:r>
      <w:r w:rsidR="00833C1A">
        <w:rPr>
          <w:sz w:val="24"/>
          <w:szCs w:val="24"/>
        </w:rPr>
        <w:t xml:space="preserve"> (2022),</w:t>
      </w:r>
      <w:r w:rsidRPr="004600F7">
        <w:rPr>
          <w:sz w:val="24"/>
          <w:szCs w:val="24"/>
        </w:rPr>
        <w:t xml:space="preserve"> 161-185.</w:t>
      </w:r>
      <w:r w:rsidR="00833C1A">
        <w:rPr>
          <w:sz w:val="24"/>
          <w:szCs w:val="24"/>
        </w:rPr>
        <w:t xml:space="preserve"> DOI</w:t>
      </w:r>
      <w:r w:rsidRPr="004600F7">
        <w:rPr>
          <w:sz w:val="24"/>
          <w:szCs w:val="24"/>
        </w:rPr>
        <w:t xml:space="preserve"> </w:t>
      </w:r>
      <w:hyperlink r:id="rId82" w:history="1">
        <w:r w:rsidRPr="004600F7">
          <w:rPr>
            <w:rStyle w:val="Hyperlink"/>
            <w:sz w:val="24"/>
            <w:szCs w:val="24"/>
          </w:rPr>
          <w:t>10.1080/13523260.2021.2009695</w:t>
        </w:r>
      </w:hyperlink>
      <w:r w:rsidR="00F91063" w:rsidRPr="004600F7">
        <w:rPr>
          <w:sz w:val="24"/>
          <w:szCs w:val="24"/>
        </w:rPr>
        <w:t>.</w:t>
      </w:r>
    </w:p>
    <w:p w14:paraId="74C663B2" w14:textId="2002342A" w:rsidR="00BC2CD3" w:rsidRPr="004600F7" w:rsidRDefault="00F91063" w:rsidP="00F91063">
      <w:pPr>
        <w:spacing w:after="0" w:line="240" w:lineRule="auto"/>
        <w:ind w:left="144" w:hanging="144"/>
        <w:rPr>
          <w:sz w:val="24"/>
          <w:szCs w:val="24"/>
        </w:rPr>
      </w:pPr>
      <w:r w:rsidRPr="004600F7">
        <w:rPr>
          <w:sz w:val="24"/>
          <w:szCs w:val="24"/>
        </w:rPr>
        <w:t xml:space="preserve">Pretorius, Joelien, and Tom Sauer. “Ditch the NPT.” </w:t>
      </w:r>
      <w:r w:rsidRPr="004600F7">
        <w:rPr>
          <w:i/>
          <w:iCs/>
          <w:sz w:val="24"/>
          <w:szCs w:val="24"/>
        </w:rPr>
        <w:t>Survival</w:t>
      </w:r>
      <w:r w:rsidRPr="004600F7">
        <w:rPr>
          <w:sz w:val="24"/>
          <w:szCs w:val="24"/>
        </w:rPr>
        <w:t xml:space="preserve"> 63(4)</w:t>
      </w:r>
      <w:r w:rsidR="00833C1A">
        <w:rPr>
          <w:sz w:val="24"/>
          <w:szCs w:val="24"/>
        </w:rPr>
        <w:t xml:space="preserve"> (2021),</w:t>
      </w:r>
      <w:r w:rsidRPr="004600F7">
        <w:rPr>
          <w:sz w:val="24"/>
          <w:szCs w:val="24"/>
        </w:rPr>
        <w:t xml:space="preserve"> 103–124. </w:t>
      </w:r>
      <w:r w:rsidR="00833C1A">
        <w:rPr>
          <w:sz w:val="24"/>
          <w:szCs w:val="24"/>
        </w:rPr>
        <w:t xml:space="preserve">DOI </w:t>
      </w:r>
      <w:hyperlink r:id="rId83" w:history="1">
        <w:r w:rsidRPr="004600F7">
          <w:rPr>
            <w:rStyle w:val="Hyperlink"/>
            <w:sz w:val="24"/>
            <w:szCs w:val="24"/>
          </w:rPr>
          <w:t>10.1080/00396338.2021.1956197</w:t>
        </w:r>
      </w:hyperlink>
      <w:r w:rsidRPr="004600F7">
        <w:rPr>
          <w:sz w:val="24"/>
          <w:szCs w:val="24"/>
        </w:rPr>
        <w:t>.</w:t>
      </w:r>
    </w:p>
    <w:p w14:paraId="106EFC3F" w14:textId="7B9515E3" w:rsidR="00F92CD8" w:rsidRPr="004600F7" w:rsidRDefault="00F92CD8" w:rsidP="0048215C">
      <w:pPr>
        <w:spacing w:after="0" w:line="240" w:lineRule="auto"/>
        <w:ind w:left="144" w:hanging="144"/>
        <w:rPr>
          <w:sz w:val="24"/>
          <w:szCs w:val="24"/>
        </w:rPr>
      </w:pPr>
      <w:r w:rsidRPr="004600F7">
        <w:rPr>
          <w:sz w:val="24"/>
          <w:szCs w:val="24"/>
        </w:rPr>
        <w:t>Radchenko, Sergey. “Russia’s Policy in the Run-Up to the First North Korea Nuclear Crisis, 1991-1993.” Wilson Center</w:t>
      </w:r>
      <w:r w:rsidR="00833C1A">
        <w:rPr>
          <w:sz w:val="24"/>
          <w:szCs w:val="24"/>
        </w:rPr>
        <w:t>, 2015</w:t>
      </w:r>
      <w:r w:rsidRPr="004600F7">
        <w:rPr>
          <w:sz w:val="24"/>
          <w:szCs w:val="24"/>
        </w:rPr>
        <w:t xml:space="preserve">. </w:t>
      </w:r>
      <w:hyperlink r:id="rId84" w:history="1">
        <w:r w:rsidRPr="004600F7">
          <w:rPr>
            <w:rStyle w:val="Hyperlink"/>
            <w:sz w:val="24"/>
            <w:szCs w:val="24"/>
          </w:rPr>
          <w:t>https://www.wilsoncenter.org/publication/russias-policy-the-run-to-the-first-north-korean-nuclear-crisis-1991-1993</w:t>
        </w:r>
      </w:hyperlink>
      <w:r w:rsidRPr="004600F7">
        <w:rPr>
          <w:sz w:val="24"/>
          <w:szCs w:val="24"/>
        </w:rPr>
        <w:t xml:space="preserve">. </w:t>
      </w:r>
    </w:p>
    <w:p w14:paraId="5C3DE138" w14:textId="78DF44A8" w:rsidR="0048215C" w:rsidRPr="004600F7" w:rsidRDefault="0048215C" w:rsidP="0048215C">
      <w:pPr>
        <w:spacing w:after="0" w:line="240" w:lineRule="auto"/>
        <w:ind w:left="144" w:hanging="144"/>
        <w:rPr>
          <w:sz w:val="24"/>
          <w:szCs w:val="24"/>
        </w:rPr>
      </w:pPr>
      <w:r w:rsidRPr="004600F7">
        <w:rPr>
          <w:sz w:val="24"/>
          <w:szCs w:val="24"/>
        </w:rPr>
        <w:t xml:space="preserve">Rockwood, Laura. “Legal Frameworks for IAEA Safeguards.” </w:t>
      </w:r>
      <w:r w:rsidRPr="004600F7">
        <w:rPr>
          <w:i/>
          <w:iCs/>
          <w:sz w:val="24"/>
          <w:szCs w:val="24"/>
        </w:rPr>
        <w:t>International Atomic Energy Agency</w:t>
      </w:r>
      <w:r w:rsidR="00833C1A">
        <w:rPr>
          <w:sz w:val="24"/>
          <w:szCs w:val="24"/>
        </w:rPr>
        <w:t xml:space="preserve">, 2013. </w:t>
      </w:r>
      <w:hyperlink r:id="rId85" w:history="1">
        <w:r w:rsidR="00833C1A" w:rsidRPr="004C3E20">
          <w:rPr>
            <w:rStyle w:val="Hyperlink"/>
            <w:sz w:val="24"/>
            <w:szCs w:val="24"/>
          </w:rPr>
          <w:t>https://www.iaea.org/sites/default/files/16/12/legalframeworkforsafeguards.pdf</w:t>
        </w:r>
      </w:hyperlink>
      <w:r w:rsidR="00F92CD8" w:rsidRPr="004600F7">
        <w:rPr>
          <w:sz w:val="24"/>
          <w:szCs w:val="24"/>
        </w:rPr>
        <w:t xml:space="preserve">. </w:t>
      </w:r>
    </w:p>
    <w:p w14:paraId="1BB07CF9" w14:textId="04491D24" w:rsidR="00AE0F9D" w:rsidRPr="004600F7" w:rsidRDefault="00AE0F9D" w:rsidP="00865E41">
      <w:pPr>
        <w:spacing w:after="0" w:line="240" w:lineRule="auto"/>
        <w:ind w:left="144" w:hanging="144"/>
        <w:rPr>
          <w:sz w:val="24"/>
          <w:szCs w:val="24"/>
        </w:rPr>
      </w:pPr>
      <w:r w:rsidRPr="004600F7">
        <w:rPr>
          <w:rFonts w:hint="eastAsia"/>
          <w:sz w:val="24"/>
          <w:szCs w:val="24"/>
        </w:rPr>
        <w:t xml:space="preserve">Sagan, Scott D. </w:t>
      </w:r>
      <w:r w:rsidRPr="004600F7">
        <w:rPr>
          <w:sz w:val="24"/>
          <w:szCs w:val="24"/>
        </w:rPr>
        <w:t>“</w:t>
      </w:r>
      <w:r w:rsidRPr="004600F7">
        <w:rPr>
          <w:rFonts w:hint="eastAsia"/>
          <w:sz w:val="24"/>
          <w:szCs w:val="24"/>
        </w:rPr>
        <w:t>The Causes of Nuclear Weapons Proliferation.</w:t>
      </w:r>
      <w:r w:rsidRPr="004600F7">
        <w:rPr>
          <w:sz w:val="24"/>
          <w:szCs w:val="24"/>
        </w:rPr>
        <w:t>”</w:t>
      </w:r>
      <w:r w:rsidRPr="004600F7">
        <w:rPr>
          <w:rFonts w:hint="eastAsia"/>
          <w:sz w:val="24"/>
          <w:szCs w:val="24"/>
        </w:rPr>
        <w:t xml:space="preserve"> </w:t>
      </w:r>
      <w:r w:rsidRPr="004600F7">
        <w:rPr>
          <w:rFonts w:hint="eastAsia"/>
          <w:i/>
          <w:iCs/>
          <w:sz w:val="24"/>
          <w:szCs w:val="24"/>
        </w:rPr>
        <w:t>Annual Review of Political Science</w:t>
      </w:r>
      <w:r w:rsidRPr="004600F7">
        <w:rPr>
          <w:rFonts w:hint="eastAsia"/>
          <w:sz w:val="24"/>
          <w:szCs w:val="24"/>
        </w:rPr>
        <w:t xml:space="preserve"> 14</w:t>
      </w:r>
      <w:r w:rsidR="00833C1A">
        <w:rPr>
          <w:sz w:val="24"/>
          <w:szCs w:val="24"/>
        </w:rPr>
        <w:t xml:space="preserve"> (2011),</w:t>
      </w:r>
      <w:r w:rsidRPr="004600F7">
        <w:rPr>
          <w:rFonts w:hint="eastAsia"/>
          <w:sz w:val="24"/>
          <w:szCs w:val="24"/>
        </w:rPr>
        <w:t xml:space="preserve"> 225-244.</w:t>
      </w:r>
      <w:r w:rsidR="00833C1A">
        <w:rPr>
          <w:sz w:val="24"/>
          <w:szCs w:val="24"/>
        </w:rPr>
        <w:t xml:space="preserve"> DOI</w:t>
      </w:r>
      <w:r w:rsidRPr="004600F7">
        <w:rPr>
          <w:sz w:val="24"/>
          <w:szCs w:val="24"/>
        </w:rPr>
        <w:t xml:space="preserve"> </w:t>
      </w:r>
      <w:hyperlink r:id="rId86" w:history="1">
        <w:r w:rsidRPr="004600F7">
          <w:rPr>
            <w:rStyle w:val="Hyperlink"/>
            <w:sz w:val="24"/>
            <w:szCs w:val="24"/>
          </w:rPr>
          <w:t>10.1146/annurev-polisci-052209-131042</w:t>
        </w:r>
      </w:hyperlink>
      <w:r w:rsidRPr="004600F7">
        <w:rPr>
          <w:rFonts w:hint="eastAsia"/>
          <w:sz w:val="24"/>
          <w:szCs w:val="24"/>
        </w:rPr>
        <w:t xml:space="preserve"> </w:t>
      </w:r>
    </w:p>
    <w:p w14:paraId="55B8A8D8" w14:textId="635EF317" w:rsidR="00B904B3" w:rsidRDefault="00B904B3" w:rsidP="00865E41">
      <w:pPr>
        <w:spacing w:after="0" w:line="240" w:lineRule="auto"/>
        <w:ind w:left="144" w:hanging="144"/>
        <w:rPr>
          <w:sz w:val="24"/>
          <w:szCs w:val="24"/>
        </w:rPr>
      </w:pPr>
      <w:r>
        <w:rPr>
          <w:sz w:val="24"/>
          <w:szCs w:val="24"/>
        </w:rPr>
        <w:t xml:space="preserve">Sievert, Ronald J. “Working Toward a Legally Enforceable Nuclear Non-Proliferation Regime.” </w:t>
      </w:r>
      <w:r w:rsidRPr="00B904B3">
        <w:rPr>
          <w:i/>
          <w:iCs/>
          <w:sz w:val="24"/>
          <w:szCs w:val="24"/>
        </w:rPr>
        <w:t>Fordham International Law Journal</w:t>
      </w:r>
      <w:r>
        <w:rPr>
          <w:sz w:val="24"/>
          <w:szCs w:val="24"/>
        </w:rPr>
        <w:t xml:space="preserve"> 34(1) (2010), 93-123. </w:t>
      </w:r>
    </w:p>
    <w:p w14:paraId="1A123EF3" w14:textId="0E8DA148" w:rsidR="00865E41" w:rsidRPr="004600F7" w:rsidRDefault="00865E41" w:rsidP="00865E41">
      <w:pPr>
        <w:spacing w:after="0" w:line="240" w:lineRule="auto"/>
        <w:ind w:left="144" w:hanging="144"/>
        <w:rPr>
          <w:sz w:val="24"/>
          <w:szCs w:val="24"/>
        </w:rPr>
      </w:pPr>
      <w:r w:rsidRPr="004600F7">
        <w:rPr>
          <w:sz w:val="24"/>
          <w:szCs w:val="24"/>
        </w:rPr>
        <w:lastRenderedPageBreak/>
        <w:t xml:space="preserve">Sigal, Leon. </w:t>
      </w:r>
      <w:r w:rsidRPr="004600F7">
        <w:rPr>
          <w:i/>
          <w:iCs/>
          <w:sz w:val="24"/>
          <w:szCs w:val="24"/>
        </w:rPr>
        <w:t>Disarming Strangers: Nuclear Diplomacy with North Korea</w:t>
      </w:r>
      <w:r w:rsidRPr="004600F7">
        <w:rPr>
          <w:sz w:val="24"/>
          <w:szCs w:val="24"/>
        </w:rPr>
        <w:t xml:space="preserve">. </w:t>
      </w:r>
      <w:r w:rsidR="002C35B3">
        <w:rPr>
          <w:sz w:val="24"/>
          <w:szCs w:val="24"/>
        </w:rPr>
        <w:t>(</w:t>
      </w:r>
      <w:r w:rsidRPr="004600F7">
        <w:rPr>
          <w:sz w:val="24"/>
          <w:szCs w:val="24"/>
        </w:rPr>
        <w:t>Princeton: Princeton University Press</w:t>
      </w:r>
      <w:r w:rsidR="002C35B3">
        <w:rPr>
          <w:sz w:val="24"/>
          <w:szCs w:val="24"/>
        </w:rPr>
        <w:t>, 1998)</w:t>
      </w:r>
      <w:r w:rsidRPr="004600F7">
        <w:rPr>
          <w:sz w:val="24"/>
          <w:szCs w:val="24"/>
        </w:rPr>
        <w:t>.</w:t>
      </w:r>
    </w:p>
    <w:p w14:paraId="5A41FD04" w14:textId="60F7A21D" w:rsidR="00865E41" w:rsidRPr="004600F7" w:rsidRDefault="00865E41" w:rsidP="005D110C">
      <w:pPr>
        <w:spacing w:after="0" w:line="240" w:lineRule="auto"/>
        <w:ind w:left="144" w:hanging="144"/>
        <w:rPr>
          <w:sz w:val="24"/>
          <w:szCs w:val="24"/>
        </w:rPr>
      </w:pPr>
      <w:r w:rsidRPr="004600F7">
        <w:rPr>
          <w:sz w:val="24"/>
          <w:szCs w:val="24"/>
        </w:rPr>
        <w:t xml:space="preserve">Sigal, Leon V. “For North Korea, Verifying Requires Reconciling: The Lesson for A Trouble Past—Part I.” </w:t>
      </w:r>
      <w:r w:rsidRPr="004600F7">
        <w:rPr>
          <w:i/>
          <w:iCs/>
          <w:sz w:val="24"/>
          <w:szCs w:val="24"/>
        </w:rPr>
        <w:t>38 North</w:t>
      </w:r>
      <w:r w:rsidRPr="004600F7">
        <w:rPr>
          <w:sz w:val="24"/>
          <w:szCs w:val="24"/>
        </w:rPr>
        <w:t xml:space="preserve">, </w:t>
      </w:r>
      <w:r w:rsidR="002C35B3">
        <w:rPr>
          <w:sz w:val="24"/>
          <w:szCs w:val="24"/>
        </w:rPr>
        <w:t xml:space="preserve">14 </w:t>
      </w:r>
      <w:r w:rsidRPr="004600F7">
        <w:rPr>
          <w:sz w:val="24"/>
          <w:szCs w:val="24"/>
        </w:rPr>
        <w:t xml:space="preserve">December </w:t>
      </w:r>
      <w:r w:rsidR="002C35B3">
        <w:rPr>
          <w:sz w:val="24"/>
          <w:szCs w:val="24"/>
        </w:rPr>
        <w:t>2018</w:t>
      </w:r>
      <w:r w:rsidRPr="004600F7">
        <w:rPr>
          <w:sz w:val="24"/>
          <w:szCs w:val="24"/>
        </w:rPr>
        <w:t xml:space="preserve">. </w:t>
      </w:r>
      <w:hyperlink r:id="rId87" w:history="1">
        <w:r w:rsidRPr="004600F7">
          <w:rPr>
            <w:rStyle w:val="Hyperlink"/>
            <w:sz w:val="24"/>
            <w:szCs w:val="24"/>
          </w:rPr>
          <w:t>https://www.38north.org/2018/12/lsigal121418/</w:t>
        </w:r>
      </w:hyperlink>
      <w:r w:rsidRPr="004600F7">
        <w:rPr>
          <w:sz w:val="24"/>
          <w:szCs w:val="24"/>
        </w:rPr>
        <w:t>.</w:t>
      </w:r>
    </w:p>
    <w:p w14:paraId="7FC1A5E4" w14:textId="636B7377" w:rsidR="00EE16CE" w:rsidRPr="004600F7" w:rsidRDefault="00EE16CE" w:rsidP="00EE16CE">
      <w:pPr>
        <w:spacing w:after="0" w:line="240" w:lineRule="auto"/>
        <w:ind w:left="144" w:hanging="144"/>
        <w:rPr>
          <w:sz w:val="24"/>
          <w:szCs w:val="24"/>
        </w:rPr>
      </w:pPr>
      <w:r w:rsidRPr="004600F7">
        <w:rPr>
          <w:sz w:val="24"/>
          <w:szCs w:val="24"/>
        </w:rPr>
        <w:t xml:space="preserve">Sigal, Leon. “The North Korean Nuclear Crisis: Understanding the Failure of the ‘Crime-and-Punishment’ Strategy.” Arms Control Association. </w:t>
      </w:r>
      <w:hyperlink r:id="rId88" w:history="1">
        <w:r w:rsidRPr="004600F7">
          <w:rPr>
            <w:rStyle w:val="Hyperlink"/>
            <w:sz w:val="24"/>
            <w:szCs w:val="24"/>
          </w:rPr>
          <w:t>https://www.armscontrol.org/act/1997-05/features/north-korean-nuclear-crisis-understanding-failure-crime-punishment-strategy</w:t>
        </w:r>
      </w:hyperlink>
      <w:r w:rsidRPr="004600F7">
        <w:rPr>
          <w:sz w:val="24"/>
          <w:szCs w:val="24"/>
        </w:rPr>
        <w:t xml:space="preserve">. </w:t>
      </w:r>
    </w:p>
    <w:p w14:paraId="6F871CE2" w14:textId="105EB0E0" w:rsidR="00912FDA" w:rsidRPr="004600F7" w:rsidRDefault="007F04A6" w:rsidP="005D110C">
      <w:pPr>
        <w:spacing w:after="0" w:line="240" w:lineRule="auto"/>
        <w:ind w:left="144" w:hanging="144"/>
        <w:rPr>
          <w:sz w:val="24"/>
          <w:szCs w:val="24"/>
        </w:rPr>
      </w:pPr>
      <w:r w:rsidRPr="004600F7">
        <w:rPr>
          <w:sz w:val="24"/>
          <w:szCs w:val="24"/>
        </w:rPr>
        <w:t>Simmons, B</w:t>
      </w:r>
      <w:r w:rsidR="00613366" w:rsidRPr="004600F7">
        <w:rPr>
          <w:sz w:val="24"/>
          <w:szCs w:val="24"/>
        </w:rPr>
        <w:t xml:space="preserve">eth </w:t>
      </w:r>
      <w:r w:rsidRPr="004600F7">
        <w:rPr>
          <w:sz w:val="24"/>
          <w:szCs w:val="24"/>
        </w:rPr>
        <w:t xml:space="preserve">A., </w:t>
      </w:r>
      <w:r w:rsidR="00613366" w:rsidRPr="004600F7">
        <w:rPr>
          <w:sz w:val="24"/>
          <w:szCs w:val="24"/>
        </w:rPr>
        <w:t>and</w:t>
      </w:r>
      <w:r w:rsidRPr="004600F7">
        <w:rPr>
          <w:sz w:val="24"/>
          <w:szCs w:val="24"/>
        </w:rPr>
        <w:t xml:space="preserve"> </w:t>
      </w:r>
      <w:r w:rsidR="00613366" w:rsidRPr="004600F7">
        <w:rPr>
          <w:sz w:val="24"/>
          <w:szCs w:val="24"/>
        </w:rPr>
        <w:t xml:space="preserve">Daniel J. </w:t>
      </w:r>
      <w:r w:rsidRPr="004600F7">
        <w:rPr>
          <w:sz w:val="24"/>
          <w:szCs w:val="24"/>
        </w:rPr>
        <w:t xml:space="preserve">Hopkins. </w:t>
      </w:r>
      <w:r w:rsidR="00613366" w:rsidRPr="004600F7">
        <w:rPr>
          <w:sz w:val="24"/>
          <w:szCs w:val="24"/>
        </w:rPr>
        <w:t>“</w:t>
      </w:r>
      <w:r w:rsidRPr="004600F7">
        <w:rPr>
          <w:sz w:val="24"/>
          <w:szCs w:val="24"/>
        </w:rPr>
        <w:t xml:space="preserve">The </w:t>
      </w:r>
      <w:r w:rsidR="00613366" w:rsidRPr="004600F7">
        <w:rPr>
          <w:sz w:val="24"/>
          <w:szCs w:val="24"/>
        </w:rPr>
        <w:t>C</w:t>
      </w:r>
      <w:r w:rsidRPr="004600F7">
        <w:rPr>
          <w:sz w:val="24"/>
          <w:szCs w:val="24"/>
        </w:rPr>
        <w:t xml:space="preserve">onstraining </w:t>
      </w:r>
      <w:r w:rsidR="00613366" w:rsidRPr="004600F7">
        <w:rPr>
          <w:sz w:val="24"/>
          <w:szCs w:val="24"/>
        </w:rPr>
        <w:t>P</w:t>
      </w:r>
      <w:r w:rsidRPr="004600F7">
        <w:rPr>
          <w:sz w:val="24"/>
          <w:szCs w:val="24"/>
        </w:rPr>
        <w:t xml:space="preserve">ower of </w:t>
      </w:r>
      <w:r w:rsidR="00613366" w:rsidRPr="004600F7">
        <w:rPr>
          <w:sz w:val="24"/>
          <w:szCs w:val="24"/>
        </w:rPr>
        <w:t>I</w:t>
      </w:r>
      <w:r w:rsidRPr="004600F7">
        <w:rPr>
          <w:sz w:val="24"/>
          <w:szCs w:val="24"/>
        </w:rPr>
        <w:t xml:space="preserve">nternational </w:t>
      </w:r>
      <w:r w:rsidR="00613366" w:rsidRPr="004600F7">
        <w:rPr>
          <w:sz w:val="24"/>
          <w:szCs w:val="24"/>
        </w:rPr>
        <w:t>T</w:t>
      </w:r>
      <w:r w:rsidRPr="004600F7">
        <w:rPr>
          <w:sz w:val="24"/>
          <w:szCs w:val="24"/>
        </w:rPr>
        <w:t>reaties: Theories and Methods.</w:t>
      </w:r>
      <w:r w:rsidR="00613366" w:rsidRPr="004600F7">
        <w:rPr>
          <w:sz w:val="24"/>
          <w:szCs w:val="24"/>
        </w:rPr>
        <w:t>”</w:t>
      </w:r>
      <w:r w:rsidRPr="004600F7">
        <w:rPr>
          <w:sz w:val="24"/>
          <w:szCs w:val="24"/>
        </w:rPr>
        <w:t xml:space="preserve"> </w:t>
      </w:r>
      <w:r w:rsidRPr="004600F7">
        <w:rPr>
          <w:i/>
          <w:iCs/>
          <w:sz w:val="24"/>
          <w:szCs w:val="24"/>
        </w:rPr>
        <w:t>American Political Science Review</w:t>
      </w:r>
      <w:r w:rsidR="00DD0FE8" w:rsidRPr="004600F7">
        <w:rPr>
          <w:sz w:val="24"/>
          <w:szCs w:val="24"/>
        </w:rPr>
        <w:t xml:space="preserve">, </w:t>
      </w:r>
      <w:r w:rsidRPr="004600F7">
        <w:rPr>
          <w:sz w:val="24"/>
          <w:szCs w:val="24"/>
        </w:rPr>
        <w:t>99(4)</w:t>
      </w:r>
      <w:r w:rsidR="002C35B3">
        <w:rPr>
          <w:sz w:val="24"/>
          <w:szCs w:val="24"/>
        </w:rPr>
        <w:t xml:space="preserve"> (2005),</w:t>
      </w:r>
      <w:r w:rsidRPr="004600F7">
        <w:rPr>
          <w:sz w:val="24"/>
          <w:szCs w:val="24"/>
        </w:rPr>
        <w:t xml:space="preserve"> 623-631. </w:t>
      </w:r>
      <w:r w:rsidR="002C35B3">
        <w:rPr>
          <w:sz w:val="24"/>
          <w:szCs w:val="24"/>
        </w:rPr>
        <w:t xml:space="preserve">DOI </w:t>
      </w:r>
      <w:hyperlink r:id="rId89" w:history="1">
        <w:r w:rsidR="00362208" w:rsidRPr="004600F7">
          <w:rPr>
            <w:rStyle w:val="Hyperlink"/>
            <w:sz w:val="24"/>
            <w:szCs w:val="24"/>
          </w:rPr>
          <w:t>10.1017/S0003055405051920</w:t>
        </w:r>
      </w:hyperlink>
      <w:r w:rsidR="00362208" w:rsidRPr="004600F7">
        <w:rPr>
          <w:sz w:val="24"/>
          <w:szCs w:val="24"/>
        </w:rPr>
        <w:t xml:space="preserve"> </w:t>
      </w:r>
    </w:p>
    <w:p w14:paraId="156685AC" w14:textId="1936B935" w:rsidR="00D7462C" w:rsidRPr="004600F7" w:rsidRDefault="00D7462C" w:rsidP="00F92CD8">
      <w:pPr>
        <w:spacing w:after="0" w:line="240" w:lineRule="auto"/>
        <w:ind w:left="144" w:hanging="144"/>
        <w:rPr>
          <w:sz w:val="24"/>
          <w:szCs w:val="24"/>
        </w:rPr>
      </w:pPr>
      <w:r w:rsidRPr="004600F7">
        <w:rPr>
          <w:rFonts w:hint="eastAsia"/>
          <w:sz w:val="24"/>
          <w:szCs w:val="24"/>
        </w:rPr>
        <w:t xml:space="preserve">Singh, Sonali, and Christopher R. Way. </w:t>
      </w:r>
      <w:r w:rsidRPr="004600F7">
        <w:rPr>
          <w:sz w:val="24"/>
          <w:szCs w:val="24"/>
        </w:rPr>
        <w:t>“</w:t>
      </w:r>
      <w:r w:rsidRPr="004600F7">
        <w:rPr>
          <w:rFonts w:hint="eastAsia"/>
          <w:sz w:val="24"/>
          <w:szCs w:val="24"/>
        </w:rPr>
        <w:t>The Correlates of Nuclear Proliferation: A Quantitative Test.</w:t>
      </w:r>
      <w:r w:rsidRPr="004600F7">
        <w:rPr>
          <w:sz w:val="24"/>
          <w:szCs w:val="24"/>
        </w:rPr>
        <w:t>”</w:t>
      </w:r>
      <w:r w:rsidRPr="004600F7">
        <w:rPr>
          <w:rFonts w:hint="eastAsia"/>
          <w:sz w:val="24"/>
          <w:szCs w:val="24"/>
        </w:rPr>
        <w:t xml:space="preserve"> </w:t>
      </w:r>
      <w:r w:rsidRPr="004600F7">
        <w:rPr>
          <w:rFonts w:hint="eastAsia"/>
          <w:i/>
          <w:iCs/>
          <w:sz w:val="24"/>
          <w:szCs w:val="24"/>
        </w:rPr>
        <w:t>Journal of Conflict Resolution</w:t>
      </w:r>
      <w:r w:rsidRPr="004600F7">
        <w:rPr>
          <w:rFonts w:hint="eastAsia"/>
          <w:sz w:val="24"/>
          <w:szCs w:val="24"/>
        </w:rPr>
        <w:t xml:space="preserve"> 48(6)</w:t>
      </w:r>
      <w:r w:rsidR="002C35B3">
        <w:rPr>
          <w:sz w:val="24"/>
          <w:szCs w:val="24"/>
        </w:rPr>
        <w:t xml:space="preserve"> (2004),</w:t>
      </w:r>
      <w:r w:rsidRPr="004600F7">
        <w:rPr>
          <w:rFonts w:hint="eastAsia"/>
          <w:sz w:val="24"/>
          <w:szCs w:val="24"/>
        </w:rPr>
        <w:t xml:space="preserve"> 859-885. </w:t>
      </w:r>
      <w:r w:rsidR="002C35B3">
        <w:rPr>
          <w:sz w:val="24"/>
          <w:szCs w:val="24"/>
        </w:rPr>
        <w:t xml:space="preserve">DOI </w:t>
      </w:r>
      <w:hyperlink r:id="rId90" w:history="1">
        <w:r w:rsidRPr="004600F7">
          <w:rPr>
            <w:rStyle w:val="Hyperlink"/>
            <w:sz w:val="24"/>
            <w:szCs w:val="24"/>
          </w:rPr>
          <w:t>10.1177/0022002704269655</w:t>
        </w:r>
      </w:hyperlink>
      <w:r w:rsidRPr="004600F7">
        <w:rPr>
          <w:rFonts w:hint="eastAsia"/>
          <w:sz w:val="24"/>
          <w:szCs w:val="24"/>
        </w:rPr>
        <w:t xml:space="preserve"> </w:t>
      </w:r>
    </w:p>
    <w:p w14:paraId="65DB3449" w14:textId="48B52052" w:rsidR="00865E41" w:rsidRPr="004600F7" w:rsidRDefault="00865E41" w:rsidP="00F92CD8">
      <w:pPr>
        <w:spacing w:after="0" w:line="240" w:lineRule="auto"/>
        <w:ind w:left="144" w:hanging="144"/>
        <w:rPr>
          <w:sz w:val="24"/>
          <w:szCs w:val="24"/>
        </w:rPr>
      </w:pPr>
      <w:r w:rsidRPr="004600F7">
        <w:rPr>
          <w:sz w:val="24"/>
          <w:szCs w:val="24"/>
        </w:rPr>
        <w:t xml:space="preserve">Snyder, Scott. “Negotiating on the Edge: Patterns in North Korea’s Diplomatic Style.” </w:t>
      </w:r>
      <w:r w:rsidRPr="004600F7">
        <w:rPr>
          <w:i/>
          <w:iCs/>
          <w:sz w:val="24"/>
          <w:szCs w:val="24"/>
        </w:rPr>
        <w:t>World Affairs</w:t>
      </w:r>
      <w:r w:rsidRPr="004600F7">
        <w:rPr>
          <w:sz w:val="24"/>
          <w:szCs w:val="24"/>
        </w:rPr>
        <w:t xml:space="preserve"> 163(1)</w:t>
      </w:r>
      <w:r w:rsidR="002C35B3">
        <w:rPr>
          <w:sz w:val="24"/>
          <w:szCs w:val="24"/>
        </w:rPr>
        <w:t xml:space="preserve"> (2000),</w:t>
      </w:r>
      <w:r w:rsidRPr="004600F7">
        <w:rPr>
          <w:sz w:val="24"/>
          <w:szCs w:val="24"/>
        </w:rPr>
        <w:t xml:space="preserve"> 3-17.</w:t>
      </w:r>
    </w:p>
    <w:p w14:paraId="71593B7A" w14:textId="74D7618F" w:rsidR="00F92CD8" w:rsidRPr="004600F7" w:rsidRDefault="00F92CD8" w:rsidP="00F92CD8">
      <w:pPr>
        <w:spacing w:after="0" w:line="240" w:lineRule="auto"/>
        <w:ind w:left="144" w:hanging="144"/>
        <w:rPr>
          <w:sz w:val="24"/>
          <w:szCs w:val="24"/>
        </w:rPr>
      </w:pPr>
      <w:r w:rsidRPr="004600F7">
        <w:rPr>
          <w:sz w:val="24"/>
          <w:szCs w:val="24"/>
        </w:rPr>
        <w:t>Szalontai, Balazs, and Sergey Radchenko. “North Korea's Efforts to Acquire Nuclear Technology and Nuclear Weapons: Evidence from Russian and Hungarian Archives.” Cold War International History Project, Working Paper 53</w:t>
      </w:r>
      <w:r w:rsidR="002C35B3">
        <w:rPr>
          <w:sz w:val="24"/>
          <w:szCs w:val="24"/>
        </w:rPr>
        <w:t>, 2026.</w:t>
      </w:r>
      <w:r w:rsidRPr="004600F7">
        <w:rPr>
          <w:sz w:val="24"/>
          <w:szCs w:val="24"/>
        </w:rPr>
        <w:t xml:space="preserve"> </w:t>
      </w:r>
      <w:hyperlink r:id="rId91" w:history="1">
        <w:r w:rsidRPr="004600F7">
          <w:rPr>
            <w:rStyle w:val="Hyperlink"/>
            <w:sz w:val="24"/>
            <w:szCs w:val="24"/>
          </w:rPr>
          <w:t>https://www.wilsoncenter.org/sites/default/files/media/documents/publication/WP53_web_final1.pdf</w:t>
        </w:r>
      </w:hyperlink>
      <w:r w:rsidRPr="004600F7">
        <w:rPr>
          <w:sz w:val="24"/>
          <w:szCs w:val="24"/>
        </w:rPr>
        <w:t xml:space="preserve">. </w:t>
      </w:r>
    </w:p>
    <w:p w14:paraId="158B2B0C" w14:textId="6F1E30C7" w:rsidR="00094172" w:rsidRPr="004600F7" w:rsidRDefault="00094172" w:rsidP="00F92CD8">
      <w:pPr>
        <w:spacing w:after="0" w:line="240" w:lineRule="auto"/>
        <w:ind w:left="144" w:hanging="144"/>
        <w:rPr>
          <w:sz w:val="24"/>
          <w:szCs w:val="24"/>
        </w:rPr>
      </w:pPr>
      <w:r w:rsidRPr="004600F7">
        <w:rPr>
          <w:rFonts w:hint="eastAsia"/>
          <w:sz w:val="24"/>
          <w:szCs w:val="24"/>
        </w:rPr>
        <w:t xml:space="preserve">Tannenwald, Nina. </w:t>
      </w:r>
      <w:r w:rsidRPr="004600F7">
        <w:rPr>
          <w:sz w:val="24"/>
          <w:szCs w:val="24"/>
        </w:rPr>
        <w:t>“</w:t>
      </w:r>
      <w:r w:rsidRPr="004600F7">
        <w:rPr>
          <w:rFonts w:hint="eastAsia"/>
          <w:sz w:val="24"/>
          <w:szCs w:val="24"/>
        </w:rPr>
        <w:t xml:space="preserve">The Nuclear Nonproliferation Regime as a </w:t>
      </w:r>
      <w:r w:rsidRPr="004600F7">
        <w:rPr>
          <w:sz w:val="24"/>
          <w:szCs w:val="24"/>
        </w:rPr>
        <w:t>“</w:t>
      </w:r>
      <w:r w:rsidRPr="004600F7">
        <w:rPr>
          <w:rFonts w:hint="eastAsia"/>
          <w:sz w:val="24"/>
          <w:szCs w:val="24"/>
        </w:rPr>
        <w:t>Failed Promise</w:t>
      </w:r>
      <w:r w:rsidRPr="004600F7">
        <w:rPr>
          <w:sz w:val="24"/>
          <w:szCs w:val="24"/>
        </w:rPr>
        <w:t>”</w:t>
      </w:r>
      <w:r w:rsidRPr="004600F7">
        <w:rPr>
          <w:rFonts w:hint="eastAsia"/>
          <w:sz w:val="24"/>
          <w:szCs w:val="24"/>
        </w:rPr>
        <w:t>: Contestation and Self-Undermining Dynamics in a Liberal Order.</w:t>
      </w:r>
      <w:r w:rsidRPr="004600F7">
        <w:rPr>
          <w:sz w:val="24"/>
          <w:szCs w:val="24"/>
        </w:rPr>
        <w:t>”</w:t>
      </w:r>
      <w:r w:rsidRPr="004600F7">
        <w:rPr>
          <w:rFonts w:hint="eastAsia"/>
          <w:sz w:val="24"/>
          <w:szCs w:val="24"/>
        </w:rPr>
        <w:t xml:space="preserve"> </w:t>
      </w:r>
      <w:r w:rsidRPr="004600F7">
        <w:rPr>
          <w:rFonts w:hint="eastAsia"/>
          <w:i/>
          <w:iCs/>
          <w:sz w:val="24"/>
          <w:szCs w:val="24"/>
        </w:rPr>
        <w:t>Global Studies Quarterly</w:t>
      </w:r>
      <w:r w:rsidRPr="004600F7">
        <w:rPr>
          <w:rFonts w:hint="eastAsia"/>
          <w:sz w:val="24"/>
          <w:szCs w:val="24"/>
        </w:rPr>
        <w:t xml:space="preserve"> 4(2)</w:t>
      </w:r>
      <w:r w:rsidR="002C35B3">
        <w:rPr>
          <w:sz w:val="24"/>
          <w:szCs w:val="24"/>
        </w:rPr>
        <w:t xml:space="preserve"> (2024),</w:t>
      </w:r>
      <w:r w:rsidRPr="004600F7">
        <w:rPr>
          <w:rFonts w:hint="eastAsia"/>
          <w:sz w:val="24"/>
          <w:szCs w:val="24"/>
        </w:rPr>
        <w:t xml:space="preserve"> 1-13.</w:t>
      </w:r>
      <w:r w:rsidR="002C35B3">
        <w:rPr>
          <w:sz w:val="24"/>
          <w:szCs w:val="24"/>
        </w:rPr>
        <w:t xml:space="preserve"> DOI</w:t>
      </w:r>
      <w:r w:rsidRPr="004600F7">
        <w:rPr>
          <w:rFonts w:hint="eastAsia"/>
          <w:sz w:val="24"/>
          <w:szCs w:val="24"/>
        </w:rPr>
        <w:t xml:space="preserve"> </w:t>
      </w:r>
      <w:hyperlink r:id="rId92" w:history="1">
        <w:r w:rsidRPr="004600F7">
          <w:rPr>
            <w:rStyle w:val="Hyperlink"/>
            <w:sz w:val="24"/>
            <w:szCs w:val="24"/>
          </w:rPr>
          <w:t>10.1093/</w:t>
        </w:r>
        <w:proofErr w:type="spellStart"/>
        <w:r w:rsidRPr="004600F7">
          <w:rPr>
            <w:rStyle w:val="Hyperlink"/>
            <w:sz w:val="24"/>
            <w:szCs w:val="24"/>
          </w:rPr>
          <w:t>isagsq</w:t>
        </w:r>
        <w:proofErr w:type="spellEnd"/>
        <w:r w:rsidRPr="004600F7">
          <w:rPr>
            <w:rStyle w:val="Hyperlink"/>
            <w:sz w:val="24"/>
            <w:szCs w:val="24"/>
          </w:rPr>
          <w:t>/ksae025</w:t>
        </w:r>
      </w:hyperlink>
      <w:r w:rsidRPr="004600F7">
        <w:rPr>
          <w:rFonts w:hint="eastAsia"/>
          <w:sz w:val="24"/>
          <w:szCs w:val="24"/>
        </w:rPr>
        <w:t xml:space="preserve"> </w:t>
      </w:r>
    </w:p>
    <w:p w14:paraId="449810D9" w14:textId="495DA025" w:rsidR="008A06B5" w:rsidRPr="008A06B5" w:rsidRDefault="008A06B5" w:rsidP="00F92CD8">
      <w:pPr>
        <w:spacing w:after="0" w:line="240" w:lineRule="auto"/>
        <w:ind w:left="144" w:hanging="144"/>
        <w:rPr>
          <w:sz w:val="24"/>
          <w:szCs w:val="24"/>
        </w:rPr>
      </w:pPr>
      <w:r>
        <w:rPr>
          <w:rFonts w:hint="eastAsia"/>
          <w:sz w:val="24"/>
          <w:szCs w:val="24"/>
        </w:rPr>
        <w:t xml:space="preserve">Trapp, Ralf. </w:t>
      </w:r>
      <w:r>
        <w:rPr>
          <w:sz w:val="24"/>
          <w:szCs w:val="24"/>
        </w:rPr>
        <w:t>“</w:t>
      </w:r>
      <w:r>
        <w:rPr>
          <w:rFonts w:hint="eastAsia"/>
          <w:sz w:val="24"/>
          <w:szCs w:val="24"/>
        </w:rPr>
        <w:t>Compliance Management under the Chemical Weapons Convention.</w:t>
      </w:r>
      <w:r>
        <w:rPr>
          <w:sz w:val="24"/>
          <w:szCs w:val="24"/>
        </w:rPr>
        <w:t>”</w:t>
      </w:r>
      <w:r>
        <w:rPr>
          <w:rFonts w:hint="eastAsia"/>
          <w:sz w:val="24"/>
          <w:szCs w:val="24"/>
        </w:rPr>
        <w:t xml:space="preserve"> UNIDIR 2019. </w:t>
      </w:r>
      <w:hyperlink r:id="rId93" w:history="1">
        <w:r w:rsidRPr="008A06B5">
          <w:rPr>
            <w:rStyle w:val="Hyperlink"/>
            <w:sz w:val="24"/>
            <w:szCs w:val="24"/>
          </w:rPr>
          <w:t>https://unidir.org/files/2019-12/UNID%20WMD%20CE%20-%20Paper%203%20v3.pdf</w:t>
        </w:r>
      </w:hyperlink>
      <w:r>
        <w:rPr>
          <w:rFonts w:hint="eastAsia"/>
          <w:sz w:val="24"/>
          <w:szCs w:val="24"/>
        </w:rPr>
        <w:t xml:space="preserve">. </w:t>
      </w:r>
    </w:p>
    <w:p w14:paraId="2491E43D" w14:textId="46CD147E" w:rsidR="00F92CD8" w:rsidRDefault="00F92CD8" w:rsidP="00F92CD8">
      <w:pPr>
        <w:spacing w:after="0" w:line="240" w:lineRule="auto"/>
        <w:ind w:left="144" w:hanging="144"/>
        <w:rPr>
          <w:sz w:val="24"/>
          <w:szCs w:val="24"/>
        </w:rPr>
      </w:pPr>
      <w:r w:rsidRPr="004600F7">
        <w:rPr>
          <w:sz w:val="24"/>
          <w:szCs w:val="24"/>
        </w:rPr>
        <w:t>United Nations. “Treaty on the Non-Proliferation of Nuclear Weapons (NPT): Text of the Treaty.”</w:t>
      </w:r>
      <w:r w:rsidR="00EE16CE" w:rsidRPr="004600F7">
        <w:rPr>
          <w:sz w:val="24"/>
          <w:szCs w:val="24"/>
        </w:rPr>
        <w:t xml:space="preserve"> Office for Disarmament Affairs.</w:t>
      </w:r>
      <w:r w:rsidR="002C35B3">
        <w:rPr>
          <w:sz w:val="24"/>
          <w:szCs w:val="24"/>
        </w:rPr>
        <w:t xml:space="preserve"> </w:t>
      </w:r>
      <w:hyperlink r:id="rId94" w:history="1">
        <w:r w:rsidR="002C35B3" w:rsidRPr="004C3E20">
          <w:rPr>
            <w:rStyle w:val="Hyperlink"/>
            <w:sz w:val="24"/>
            <w:szCs w:val="24"/>
          </w:rPr>
          <w:t>https://disarmament.unoda.org/wmd/nuclear/npt/text/</w:t>
        </w:r>
      </w:hyperlink>
      <w:r w:rsidRPr="004600F7">
        <w:rPr>
          <w:sz w:val="24"/>
          <w:szCs w:val="24"/>
        </w:rPr>
        <w:t xml:space="preserve">. </w:t>
      </w:r>
    </w:p>
    <w:p w14:paraId="38BE3E8B" w14:textId="124F186D" w:rsidR="00C76F66" w:rsidRDefault="00967293" w:rsidP="00865E41">
      <w:pPr>
        <w:spacing w:after="0" w:line="240" w:lineRule="auto"/>
        <w:ind w:left="144" w:hanging="144"/>
        <w:rPr>
          <w:sz w:val="24"/>
          <w:szCs w:val="24"/>
        </w:rPr>
      </w:pPr>
      <w:r w:rsidRPr="00967293">
        <w:rPr>
          <w:sz w:val="24"/>
          <w:szCs w:val="24"/>
        </w:rPr>
        <w:t xml:space="preserve">United Nations Security Council. </w:t>
      </w:r>
      <w:r>
        <w:rPr>
          <w:sz w:val="24"/>
          <w:szCs w:val="24"/>
        </w:rPr>
        <w:t>“</w:t>
      </w:r>
      <w:r w:rsidRPr="00967293">
        <w:rPr>
          <w:sz w:val="24"/>
          <w:szCs w:val="24"/>
        </w:rPr>
        <w:t>Resolution 825</w:t>
      </w:r>
      <w:r>
        <w:rPr>
          <w:rFonts w:hint="eastAsia"/>
          <w:sz w:val="24"/>
          <w:szCs w:val="24"/>
        </w:rPr>
        <w:t>(1993)/adopted by the Security Council at its 3212</w:t>
      </w:r>
      <w:r w:rsidRPr="00054B0E">
        <w:rPr>
          <w:sz w:val="24"/>
          <w:szCs w:val="24"/>
          <w:vertAlign w:val="superscript"/>
        </w:rPr>
        <w:t>th</w:t>
      </w:r>
      <w:r>
        <w:rPr>
          <w:rFonts w:hint="eastAsia"/>
          <w:sz w:val="24"/>
          <w:szCs w:val="24"/>
        </w:rPr>
        <w:t xml:space="preserve"> meeting, on 11 May 1993.</w:t>
      </w:r>
      <w:r>
        <w:rPr>
          <w:sz w:val="24"/>
          <w:szCs w:val="24"/>
        </w:rPr>
        <w:t>”</w:t>
      </w:r>
      <w:r w:rsidRPr="00967293">
        <w:rPr>
          <w:sz w:val="24"/>
          <w:szCs w:val="24"/>
        </w:rPr>
        <w:t xml:space="preserve"> S/RES/825, 11 May 1993. </w:t>
      </w:r>
      <w:hyperlink r:id="rId95" w:history="1">
        <w:r w:rsidR="000E306A" w:rsidRPr="005E5699">
          <w:rPr>
            <w:rStyle w:val="Hyperlink"/>
            <w:sz w:val="24"/>
            <w:szCs w:val="24"/>
          </w:rPr>
          <w:t>https://docs.un.org/en/S/RES/825(1993)</w:t>
        </w:r>
      </w:hyperlink>
      <w:r w:rsidR="000E306A">
        <w:rPr>
          <w:rFonts w:hint="eastAsia"/>
          <w:sz w:val="24"/>
          <w:szCs w:val="24"/>
        </w:rPr>
        <w:t xml:space="preserve">. </w:t>
      </w:r>
    </w:p>
    <w:p w14:paraId="01B7A7DF" w14:textId="64695A68" w:rsidR="00D07EAF" w:rsidRPr="004600F7" w:rsidRDefault="00D07EAF" w:rsidP="00865E41">
      <w:pPr>
        <w:spacing w:after="0" w:line="240" w:lineRule="auto"/>
        <w:ind w:left="144" w:hanging="144"/>
        <w:rPr>
          <w:sz w:val="24"/>
          <w:szCs w:val="24"/>
        </w:rPr>
      </w:pPr>
      <w:r w:rsidRPr="004600F7">
        <w:rPr>
          <w:sz w:val="24"/>
          <w:szCs w:val="24"/>
        </w:rPr>
        <w:t xml:space="preserve">U.S. Department of State. “North Korea Deputies’ Committee.” </w:t>
      </w:r>
      <w:r w:rsidRPr="004600F7">
        <w:rPr>
          <w:i/>
          <w:iCs/>
          <w:sz w:val="24"/>
          <w:szCs w:val="24"/>
        </w:rPr>
        <w:t>National Security Archive</w:t>
      </w:r>
      <w:r w:rsidR="002C35B3">
        <w:rPr>
          <w:sz w:val="24"/>
          <w:szCs w:val="24"/>
        </w:rPr>
        <w:t xml:space="preserve">, </w:t>
      </w:r>
      <w:r w:rsidR="002C35B3" w:rsidRPr="004600F7">
        <w:rPr>
          <w:sz w:val="24"/>
          <w:szCs w:val="24"/>
        </w:rPr>
        <w:t xml:space="preserve">Case No. F-2004-03448, </w:t>
      </w:r>
      <w:r w:rsidR="002C35B3">
        <w:rPr>
          <w:sz w:val="24"/>
          <w:szCs w:val="24"/>
        </w:rPr>
        <w:t xml:space="preserve">8 </w:t>
      </w:r>
      <w:r w:rsidRPr="004600F7">
        <w:rPr>
          <w:sz w:val="24"/>
          <w:szCs w:val="24"/>
        </w:rPr>
        <w:t xml:space="preserve">November </w:t>
      </w:r>
      <w:r w:rsidR="002C35B3">
        <w:rPr>
          <w:sz w:val="24"/>
          <w:szCs w:val="24"/>
        </w:rPr>
        <w:t>2017</w:t>
      </w:r>
      <w:r w:rsidRPr="004600F7">
        <w:rPr>
          <w:sz w:val="24"/>
          <w:szCs w:val="24"/>
        </w:rPr>
        <w:t xml:space="preserve">. </w:t>
      </w:r>
      <w:hyperlink r:id="rId96" w:history="1">
        <w:r w:rsidRPr="004600F7">
          <w:rPr>
            <w:rStyle w:val="Hyperlink"/>
            <w:sz w:val="24"/>
            <w:szCs w:val="24"/>
          </w:rPr>
          <w:t>https://nsarchive.gwu.edu/document/16008-document-10-memorandum-north-korean-deputies</w:t>
        </w:r>
      </w:hyperlink>
      <w:r w:rsidRPr="004600F7">
        <w:rPr>
          <w:sz w:val="24"/>
          <w:szCs w:val="24"/>
        </w:rPr>
        <w:t xml:space="preserve">. </w:t>
      </w:r>
    </w:p>
    <w:p w14:paraId="78C4D319" w14:textId="0DDF7D9A" w:rsidR="00F92CD8" w:rsidRPr="004600F7" w:rsidRDefault="00F92CD8" w:rsidP="00F92CD8">
      <w:pPr>
        <w:spacing w:after="0" w:line="240" w:lineRule="auto"/>
        <w:ind w:left="144" w:hanging="144"/>
        <w:rPr>
          <w:sz w:val="24"/>
          <w:szCs w:val="24"/>
        </w:rPr>
      </w:pPr>
      <w:r w:rsidRPr="004600F7">
        <w:rPr>
          <w:sz w:val="24"/>
          <w:szCs w:val="24"/>
        </w:rPr>
        <w:t xml:space="preserve">Wakefield, Bryce, and Robert Hathaway. “Revisiting History: North Korea and Nuclear Weapons.” Wilson Center. </w:t>
      </w:r>
      <w:r w:rsidR="002C35B3">
        <w:rPr>
          <w:sz w:val="24"/>
          <w:szCs w:val="24"/>
        </w:rPr>
        <w:t xml:space="preserve">3 </w:t>
      </w:r>
      <w:r w:rsidRPr="004600F7">
        <w:rPr>
          <w:sz w:val="24"/>
          <w:szCs w:val="24"/>
        </w:rPr>
        <w:t xml:space="preserve">November </w:t>
      </w:r>
      <w:r w:rsidR="002C35B3">
        <w:rPr>
          <w:sz w:val="24"/>
          <w:szCs w:val="24"/>
        </w:rPr>
        <w:t>2010</w:t>
      </w:r>
      <w:r w:rsidRPr="004600F7">
        <w:rPr>
          <w:sz w:val="24"/>
          <w:szCs w:val="24"/>
        </w:rPr>
        <w:t xml:space="preserve">. </w:t>
      </w:r>
      <w:hyperlink r:id="rId97" w:history="1">
        <w:r w:rsidRPr="004600F7">
          <w:rPr>
            <w:rStyle w:val="Hyperlink"/>
            <w:sz w:val="24"/>
            <w:szCs w:val="24"/>
          </w:rPr>
          <w:t>https://www.wilsoncenter.org/event/revisiting-history-north-korea-and-nuclear-weapons</w:t>
        </w:r>
      </w:hyperlink>
      <w:r w:rsidRPr="004600F7">
        <w:rPr>
          <w:sz w:val="24"/>
          <w:szCs w:val="24"/>
        </w:rPr>
        <w:t xml:space="preserve">. </w:t>
      </w:r>
    </w:p>
    <w:p w14:paraId="112F59F2" w14:textId="389C7A22" w:rsidR="00F92CD8" w:rsidRPr="004600F7" w:rsidRDefault="00F92CD8" w:rsidP="00F92CD8">
      <w:pPr>
        <w:spacing w:after="0" w:line="240" w:lineRule="auto"/>
        <w:ind w:left="144" w:hanging="144"/>
        <w:rPr>
          <w:sz w:val="24"/>
          <w:szCs w:val="24"/>
        </w:rPr>
      </w:pPr>
      <w:r w:rsidRPr="004600F7">
        <w:rPr>
          <w:sz w:val="24"/>
          <w:szCs w:val="24"/>
        </w:rPr>
        <w:t xml:space="preserve">Winters, Raven. “Preventing Repeat Offenders: North Korea’s Withdrawal and the Need for Revisions to the Nuclear Non-Proliferation Treaty.” </w:t>
      </w:r>
      <w:r w:rsidRPr="004600F7">
        <w:rPr>
          <w:i/>
          <w:iCs/>
          <w:sz w:val="24"/>
          <w:szCs w:val="24"/>
        </w:rPr>
        <w:t>Vanderbilt Journal of Transnational Law</w:t>
      </w:r>
      <w:r w:rsidRPr="004600F7">
        <w:rPr>
          <w:sz w:val="24"/>
          <w:szCs w:val="24"/>
        </w:rPr>
        <w:t xml:space="preserve"> 38(5)</w:t>
      </w:r>
      <w:r w:rsidR="002C35B3">
        <w:rPr>
          <w:sz w:val="24"/>
          <w:szCs w:val="24"/>
        </w:rPr>
        <w:t xml:space="preserve"> (2005),</w:t>
      </w:r>
      <w:r w:rsidRPr="004600F7">
        <w:rPr>
          <w:sz w:val="24"/>
          <w:szCs w:val="24"/>
        </w:rPr>
        <w:t xml:space="preserve"> 1499-1529.</w:t>
      </w:r>
    </w:p>
    <w:p w14:paraId="63E3FD69" w14:textId="30736A62" w:rsidR="00925723" w:rsidRDefault="00925723" w:rsidP="00F92CD8">
      <w:pPr>
        <w:spacing w:after="0" w:line="240" w:lineRule="auto"/>
        <w:ind w:left="144" w:hanging="144"/>
        <w:rPr>
          <w:sz w:val="24"/>
          <w:szCs w:val="24"/>
        </w:rPr>
      </w:pPr>
      <w:r>
        <w:rPr>
          <w:rFonts w:hint="eastAsia"/>
          <w:sz w:val="24"/>
          <w:szCs w:val="24"/>
        </w:rPr>
        <w:t xml:space="preserve">Wit, Joel S., Daniel B. </w:t>
      </w:r>
      <w:proofErr w:type="spellStart"/>
      <w:r>
        <w:rPr>
          <w:rFonts w:hint="eastAsia"/>
          <w:sz w:val="24"/>
          <w:szCs w:val="24"/>
        </w:rPr>
        <w:t>Poneman</w:t>
      </w:r>
      <w:proofErr w:type="spellEnd"/>
      <w:r>
        <w:rPr>
          <w:rFonts w:hint="eastAsia"/>
          <w:sz w:val="24"/>
          <w:szCs w:val="24"/>
        </w:rPr>
        <w:t xml:space="preserve">, and Robert L. Gallucci. </w:t>
      </w:r>
      <w:r w:rsidRPr="00925723">
        <w:rPr>
          <w:rFonts w:hint="eastAsia"/>
          <w:i/>
          <w:iCs/>
          <w:sz w:val="24"/>
          <w:szCs w:val="24"/>
        </w:rPr>
        <w:t>Going Critical: T</w:t>
      </w:r>
      <w:r w:rsidRPr="00925723">
        <w:rPr>
          <w:i/>
          <w:iCs/>
          <w:sz w:val="24"/>
          <w:szCs w:val="24"/>
        </w:rPr>
        <w:t>h</w:t>
      </w:r>
      <w:r w:rsidRPr="00925723">
        <w:rPr>
          <w:rFonts w:hint="eastAsia"/>
          <w:i/>
          <w:iCs/>
          <w:sz w:val="24"/>
          <w:szCs w:val="24"/>
        </w:rPr>
        <w:t>e First North Korean Nuclear Crisis</w:t>
      </w:r>
      <w:r>
        <w:rPr>
          <w:rFonts w:hint="eastAsia"/>
          <w:sz w:val="24"/>
          <w:szCs w:val="24"/>
        </w:rPr>
        <w:t xml:space="preserve">. (Washington, DC: Brookings Institution Press, 2004). </w:t>
      </w:r>
    </w:p>
    <w:p w14:paraId="148D935A" w14:textId="68A10CA3" w:rsidR="00B904B3" w:rsidRDefault="00B904B3" w:rsidP="00F92CD8">
      <w:pPr>
        <w:spacing w:after="0" w:line="240" w:lineRule="auto"/>
        <w:ind w:left="144" w:hanging="144"/>
        <w:rPr>
          <w:sz w:val="24"/>
          <w:szCs w:val="24"/>
        </w:rPr>
      </w:pPr>
      <w:r>
        <w:rPr>
          <w:sz w:val="24"/>
          <w:szCs w:val="24"/>
        </w:rPr>
        <w:t xml:space="preserve">World Health Organization. “Screening.” </w:t>
      </w:r>
      <w:hyperlink r:id="rId98" w:history="1">
        <w:r w:rsidRPr="00E61061">
          <w:rPr>
            <w:rStyle w:val="Hyperlink"/>
            <w:sz w:val="24"/>
            <w:szCs w:val="24"/>
          </w:rPr>
          <w:t>https://www.who.int/europe/teams/ncd-management/screening</w:t>
        </w:r>
      </w:hyperlink>
      <w:r>
        <w:rPr>
          <w:sz w:val="24"/>
          <w:szCs w:val="24"/>
        </w:rPr>
        <w:t xml:space="preserve">. </w:t>
      </w:r>
    </w:p>
    <w:p w14:paraId="609A5C59" w14:textId="4F11407E" w:rsidR="00F92CD8" w:rsidRPr="004600F7" w:rsidRDefault="00F92CD8" w:rsidP="00F92CD8">
      <w:pPr>
        <w:spacing w:after="0" w:line="240" w:lineRule="auto"/>
        <w:ind w:left="144" w:hanging="144"/>
        <w:rPr>
          <w:sz w:val="24"/>
          <w:szCs w:val="24"/>
        </w:rPr>
      </w:pPr>
      <w:r w:rsidRPr="004600F7">
        <w:rPr>
          <w:sz w:val="24"/>
          <w:szCs w:val="24"/>
        </w:rPr>
        <w:t xml:space="preserve">Wunderlich, Carmen, Andrea Hellmann, Daniel Müller, Judith Reuter, and Hans-Joachim Schmidt. “Non-Aligned Reformers and Revolutionaries: Egypt, South Africa, Iran and North Korea.” In </w:t>
      </w:r>
      <w:r w:rsidRPr="004600F7">
        <w:rPr>
          <w:i/>
          <w:iCs/>
          <w:sz w:val="24"/>
          <w:szCs w:val="24"/>
        </w:rPr>
        <w:t xml:space="preserve">Norm Dynamics in Multilateral Arms Control: Interests, Conflicts, and </w:t>
      </w:r>
      <w:r w:rsidRPr="004600F7">
        <w:rPr>
          <w:i/>
          <w:iCs/>
          <w:sz w:val="24"/>
          <w:szCs w:val="24"/>
        </w:rPr>
        <w:lastRenderedPageBreak/>
        <w:t>Justice</w:t>
      </w:r>
      <w:r w:rsidRPr="004600F7">
        <w:rPr>
          <w:sz w:val="24"/>
          <w:szCs w:val="24"/>
        </w:rPr>
        <w:t>, ed</w:t>
      </w:r>
      <w:r w:rsidR="002C35B3">
        <w:rPr>
          <w:sz w:val="24"/>
          <w:szCs w:val="24"/>
        </w:rPr>
        <w:t>.</w:t>
      </w:r>
      <w:r w:rsidRPr="004600F7">
        <w:rPr>
          <w:sz w:val="24"/>
          <w:szCs w:val="24"/>
        </w:rPr>
        <w:t xml:space="preserve"> Harald Müller and Carmen Wunderlich </w:t>
      </w:r>
      <w:r w:rsidR="002C35B3">
        <w:rPr>
          <w:sz w:val="24"/>
          <w:szCs w:val="24"/>
        </w:rPr>
        <w:t>(</w:t>
      </w:r>
      <w:r w:rsidRPr="004600F7">
        <w:rPr>
          <w:sz w:val="24"/>
          <w:szCs w:val="24"/>
        </w:rPr>
        <w:t>Athens: University of Georgia Press</w:t>
      </w:r>
      <w:r w:rsidR="002C35B3">
        <w:rPr>
          <w:sz w:val="24"/>
          <w:szCs w:val="24"/>
        </w:rPr>
        <w:t>, 2013),</w:t>
      </w:r>
      <w:r w:rsidR="002C35B3" w:rsidRPr="002C35B3">
        <w:rPr>
          <w:sz w:val="24"/>
          <w:szCs w:val="24"/>
        </w:rPr>
        <w:t xml:space="preserve"> </w:t>
      </w:r>
      <w:r w:rsidR="002C35B3" w:rsidRPr="004600F7">
        <w:rPr>
          <w:sz w:val="24"/>
          <w:szCs w:val="24"/>
        </w:rPr>
        <w:t>246-295.</w:t>
      </w:r>
    </w:p>
    <w:bookmarkEnd w:id="1"/>
    <w:p w14:paraId="172F3AA9" w14:textId="77777777" w:rsidR="005D110C" w:rsidRDefault="005D110C" w:rsidP="005D110C">
      <w:pPr>
        <w:spacing w:after="0" w:line="240" w:lineRule="auto"/>
        <w:ind w:left="144" w:hanging="144"/>
        <w:rPr>
          <w:sz w:val="22"/>
          <w:szCs w:val="22"/>
        </w:rPr>
      </w:pPr>
    </w:p>
    <w:p w14:paraId="29830571" w14:textId="77777777" w:rsidR="00AC3E94" w:rsidRDefault="00AC3E94" w:rsidP="005D110C">
      <w:pPr>
        <w:spacing w:after="0" w:line="240" w:lineRule="auto"/>
        <w:ind w:left="144" w:hanging="144"/>
        <w:rPr>
          <w:sz w:val="22"/>
          <w:szCs w:val="22"/>
        </w:rPr>
      </w:pPr>
    </w:p>
    <w:p w14:paraId="14A408F9" w14:textId="77777777" w:rsidR="00516B58" w:rsidRDefault="00516B58" w:rsidP="005D110C">
      <w:pPr>
        <w:spacing w:after="0" w:line="240" w:lineRule="auto"/>
        <w:ind w:left="144" w:hanging="144"/>
        <w:rPr>
          <w:sz w:val="22"/>
          <w:szCs w:val="22"/>
        </w:rPr>
      </w:pPr>
    </w:p>
    <w:p w14:paraId="698947D1" w14:textId="09529EE1" w:rsidR="00AC3E94" w:rsidRPr="00AC3E94" w:rsidRDefault="00AC3E94" w:rsidP="005D110C">
      <w:pPr>
        <w:spacing w:after="0" w:line="240" w:lineRule="auto"/>
        <w:ind w:left="144" w:hanging="144"/>
        <w:rPr>
          <w:b/>
          <w:bCs/>
          <w:sz w:val="22"/>
          <w:szCs w:val="22"/>
        </w:rPr>
      </w:pPr>
      <w:r w:rsidRPr="00AC3E94">
        <w:rPr>
          <w:b/>
          <w:bCs/>
          <w:sz w:val="22"/>
          <w:szCs w:val="22"/>
        </w:rPr>
        <w:t xml:space="preserve">WORD COUNT: </w:t>
      </w:r>
      <w:r w:rsidR="00951D02">
        <w:rPr>
          <w:sz w:val="22"/>
          <w:szCs w:val="22"/>
        </w:rPr>
        <w:t>10,</w:t>
      </w:r>
      <w:r w:rsidR="00575085">
        <w:rPr>
          <w:sz w:val="22"/>
          <w:szCs w:val="22"/>
        </w:rPr>
        <w:t>247</w:t>
      </w:r>
    </w:p>
    <w:sectPr w:rsidR="00AC3E94" w:rsidRPr="00AC3E94">
      <w:footerReference w:type="default" r:id="rId9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E5C23" w14:textId="77777777" w:rsidR="00694E31" w:rsidRDefault="00694E31" w:rsidP="004C2F9A">
      <w:pPr>
        <w:spacing w:after="0" w:line="240" w:lineRule="auto"/>
      </w:pPr>
      <w:r>
        <w:separator/>
      </w:r>
    </w:p>
  </w:endnote>
  <w:endnote w:type="continuationSeparator" w:id="0">
    <w:p w14:paraId="3B5157EB" w14:textId="77777777" w:rsidR="00694E31" w:rsidRDefault="00694E31" w:rsidP="004C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886160"/>
      <w:docPartObj>
        <w:docPartGallery w:val="Page Numbers (Bottom of Page)"/>
        <w:docPartUnique/>
      </w:docPartObj>
    </w:sdtPr>
    <w:sdtEndPr>
      <w:rPr>
        <w:noProof/>
      </w:rPr>
    </w:sdtEndPr>
    <w:sdtContent>
      <w:p w14:paraId="4C66FF49" w14:textId="45FE3003" w:rsidR="004C2F9A" w:rsidRDefault="004C2F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3246B0" w14:textId="77777777" w:rsidR="004C2F9A" w:rsidRDefault="004C2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46F0" w14:textId="77777777" w:rsidR="00694E31" w:rsidRDefault="00694E31" w:rsidP="004C2F9A">
      <w:pPr>
        <w:spacing w:after="0" w:line="240" w:lineRule="auto"/>
      </w:pPr>
      <w:r>
        <w:separator/>
      </w:r>
    </w:p>
  </w:footnote>
  <w:footnote w:type="continuationSeparator" w:id="0">
    <w:p w14:paraId="2EA38E77" w14:textId="77777777" w:rsidR="00694E31" w:rsidRDefault="00694E31" w:rsidP="004C2F9A">
      <w:pPr>
        <w:spacing w:after="0" w:line="240" w:lineRule="auto"/>
      </w:pPr>
      <w:r>
        <w:continuationSeparator/>
      </w:r>
    </w:p>
  </w:footnote>
  <w:footnote w:id="1">
    <w:p w14:paraId="2A9CFE00" w14:textId="28226139" w:rsidR="001B39DA" w:rsidRPr="001B39DA" w:rsidRDefault="001B39DA">
      <w:pPr>
        <w:pStyle w:val="FootnoteText"/>
      </w:pPr>
      <w:r>
        <w:rPr>
          <w:rStyle w:val="FootnoteReference"/>
        </w:rPr>
        <w:footnoteRef/>
      </w:r>
      <w:r>
        <w:t xml:space="preserve"> </w:t>
      </w:r>
      <w:r w:rsidR="00A451EB">
        <w:rPr>
          <w:rFonts w:hint="eastAsia"/>
        </w:rPr>
        <w:t>Bunn 2003</w:t>
      </w:r>
      <w:r w:rsidR="00BC2CD3">
        <w:rPr>
          <w:rFonts w:hint="eastAsia"/>
        </w:rPr>
        <w:t>; Potter 2010</w:t>
      </w:r>
      <w:r w:rsidR="00A451EB">
        <w:rPr>
          <w:rFonts w:hint="eastAsia"/>
        </w:rPr>
        <w:t>.</w:t>
      </w:r>
    </w:p>
  </w:footnote>
  <w:footnote w:id="2">
    <w:p w14:paraId="22BCE95D" w14:textId="27A9588F" w:rsidR="009B0A4B" w:rsidRDefault="009B0A4B">
      <w:pPr>
        <w:pStyle w:val="FootnoteText"/>
      </w:pPr>
      <w:r>
        <w:rPr>
          <w:rStyle w:val="FootnoteReference"/>
        </w:rPr>
        <w:footnoteRef/>
      </w:r>
      <w:r>
        <w:t xml:space="preserve"> Abe 2020.</w:t>
      </w:r>
    </w:p>
  </w:footnote>
  <w:footnote w:id="3">
    <w:p w14:paraId="61B64F5E" w14:textId="6B89C65B" w:rsidR="00037D6D" w:rsidRDefault="00037D6D">
      <w:pPr>
        <w:pStyle w:val="FootnoteText"/>
      </w:pPr>
      <w:r>
        <w:rPr>
          <w:rStyle w:val="FootnoteReference"/>
        </w:rPr>
        <w:footnoteRef/>
      </w:r>
      <w:r>
        <w:t xml:space="preserve"> </w:t>
      </w:r>
      <w:r w:rsidR="00DC5C70">
        <w:rPr>
          <w:rFonts w:hint="eastAsia"/>
        </w:rPr>
        <w:t>Joyner 2011</w:t>
      </w:r>
      <w:r w:rsidR="00A40713">
        <w:rPr>
          <w:rFonts w:hint="eastAsia"/>
        </w:rPr>
        <w:t>;</w:t>
      </w:r>
      <w:r w:rsidR="00DC5C70">
        <w:rPr>
          <w:rFonts w:hint="eastAsia"/>
        </w:rPr>
        <w:t xml:space="preserve"> Perkovich 2006; Abe 2020; Knopf 2022; </w:t>
      </w:r>
      <w:r>
        <w:rPr>
          <w:rFonts w:hint="eastAsia"/>
        </w:rPr>
        <w:t>Bunn 2003.</w:t>
      </w:r>
    </w:p>
  </w:footnote>
  <w:footnote w:id="4">
    <w:p w14:paraId="559720D7" w14:textId="15D05092" w:rsidR="00037D6D" w:rsidRPr="00BC2CD3" w:rsidRDefault="00037D6D" w:rsidP="00037D6D">
      <w:pPr>
        <w:pStyle w:val="FootnoteText"/>
        <w:rPr>
          <w:vertAlign w:val="superscript"/>
        </w:rPr>
      </w:pPr>
      <w:r>
        <w:rPr>
          <w:rStyle w:val="FootnoteReference"/>
        </w:rPr>
        <w:footnoteRef/>
      </w:r>
      <w:r>
        <w:t xml:space="preserve"> </w:t>
      </w:r>
      <w:r>
        <w:rPr>
          <w:rFonts w:hint="eastAsia"/>
        </w:rPr>
        <w:t>Pretorius and Sauer 2022;</w:t>
      </w:r>
      <w:r w:rsidR="00F91063">
        <w:t xml:space="preserve"> </w:t>
      </w:r>
      <w:r w:rsidR="00F91063">
        <w:rPr>
          <w:rFonts w:hint="eastAsia"/>
        </w:rPr>
        <w:t>Pretorius and Sauer</w:t>
      </w:r>
      <w:r w:rsidR="00F91063">
        <w:t xml:space="preserve"> 2021;</w:t>
      </w:r>
      <w:r>
        <w:rPr>
          <w:rFonts w:hint="eastAsia"/>
        </w:rPr>
        <w:t xml:space="preserve"> </w:t>
      </w:r>
      <w:r w:rsidRPr="00BC2CD3">
        <w:t>Müller and Wunderlich 2020.</w:t>
      </w:r>
    </w:p>
  </w:footnote>
  <w:footnote w:id="5">
    <w:p w14:paraId="3A105103" w14:textId="6531FD3A" w:rsidR="00AD775E" w:rsidRDefault="00AD775E">
      <w:pPr>
        <w:pStyle w:val="FootnoteText"/>
      </w:pPr>
      <w:r>
        <w:rPr>
          <w:rStyle w:val="FootnoteReference"/>
        </w:rPr>
        <w:footnoteRef/>
      </w:r>
      <w:r>
        <w:t xml:space="preserve"> For </w:t>
      </w:r>
      <w:r w:rsidR="00FB0F7E">
        <w:t>a systematic examination of the Treaty’s success and failure</w:t>
      </w:r>
      <w:r>
        <w:t xml:space="preserve">, see </w:t>
      </w:r>
      <w:r w:rsidR="002D2276">
        <w:t>Dunn 2009.</w:t>
      </w:r>
    </w:p>
  </w:footnote>
  <w:footnote w:id="6">
    <w:p w14:paraId="38D58F02" w14:textId="5C3398F4" w:rsidR="00935C65" w:rsidRDefault="00935C65">
      <w:pPr>
        <w:pStyle w:val="FootnoteText"/>
      </w:pPr>
      <w:r>
        <w:rPr>
          <w:rStyle w:val="FootnoteReference"/>
        </w:rPr>
        <w:footnoteRef/>
      </w:r>
      <w:r>
        <w:t xml:space="preserve"> </w:t>
      </w:r>
      <w:r w:rsidR="008E5FFF">
        <w:rPr>
          <w:rFonts w:hint="eastAsia"/>
        </w:rPr>
        <w:t xml:space="preserve">Pretorious and Sauer 2022. </w:t>
      </w:r>
    </w:p>
  </w:footnote>
  <w:footnote w:id="7">
    <w:p w14:paraId="45AF6A7C" w14:textId="143E2603" w:rsidR="00FB0F7E" w:rsidRDefault="00FB0F7E">
      <w:pPr>
        <w:pStyle w:val="FootnoteText"/>
      </w:pPr>
      <w:r>
        <w:rPr>
          <w:rStyle w:val="FootnoteReference"/>
        </w:rPr>
        <w:footnoteRef/>
      </w:r>
      <w:r>
        <w:t xml:space="preserve"> See the assessment of Article II in Dunn 2009.</w:t>
      </w:r>
    </w:p>
  </w:footnote>
  <w:footnote w:id="8">
    <w:p w14:paraId="2AD185BA" w14:textId="3359E369" w:rsidR="00935C65" w:rsidRDefault="00935C65">
      <w:pPr>
        <w:pStyle w:val="FootnoteText"/>
      </w:pPr>
      <w:r>
        <w:rPr>
          <w:rStyle w:val="FootnoteReference"/>
        </w:rPr>
        <w:footnoteRef/>
      </w:r>
      <w:r>
        <w:t xml:space="preserve"> </w:t>
      </w:r>
      <w:r w:rsidR="008E5FFF">
        <w:rPr>
          <w:rFonts w:hint="eastAsia"/>
        </w:rPr>
        <w:t xml:space="preserve">Baldus </w:t>
      </w:r>
      <w:r w:rsidR="000B5960">
        <w:rPr>
          <w:rFonts w:hint="eastAsia"/>
        </w:rPr>
        <w:t xml:space="preserve">et al. </w:t>
      </w:r>
      <w:r w:rsidR="008E5FFF">
        <w:rPr>
          <w:rFonts w:hint="eastAsia"/>
        </w:rPr>
        <w:t>2021.</w:t>
      </w:r>
    </w:p>
  </w:footnote>
  <w:footnote w:id="9">
    <w:p w14:paraId="497BFBEB" w14:textId="0DFCC7E1" w:rsidR="00AF3113" w:rsidRDefault="00AF3113">
      <w:pPr>
        <w:pStyle w:val="FootnoteText"/>
      </w:pPr>
      <w:r>
        <w:rPr>
          <w:rStyle w:val="FootnoteReference"/>
        </w:rPr>
        <w:footnoteRef/>
      </w:r>
      <w:r>
        <w:t xml:space="preserve"> E.g., Kaplow 2023, 150-184; Habib 2016; Sievert 2010; Cirincione 2005; Butler 2003.</w:t>
      </w:r>
    </w:p>
  </w:footnote>
  <w:footnote w:id="10">
    <w:p w14:paraId="4670D403" w14:textId="41A5D57C" w:rsidR="00AF3113" w:rsidRDefault="00AF3113">
      <w:pPr>
        <w:pStyle w:val="FootnoteText"/>
      </w:pPr>
      <w:r>
        <w:rPr>
          <w:rStyle w:val="FootnoteReference"/>
        </w:rPr>
        <w:footnoteRef/>
      </w:r>
      <w:r>
        <w:t xml:space="preserve"> Following the IAEA, enforcement refers to the </w:t>
      </w:r>
      <w:r w:rsidR="004C19CE">
        <w:t>‘</w:t>
      </w:r>
      <w:r>
        <w:t>application by a regulatory body of sanctions against an operator, intended to correct and, as appropriate, penalize non-compliance</w:t>
      </w:r>
      <w:r w:rsidR="004C19CE">
        <w:t>’</w:t>
      </w:r>
      <w:r>
        <w:t xml:space="preserve">. IAEA 2025, 2. </w:t>
      </w:r>
      <w:r w:rsidR="0076020F">
        <w:t>Some enforcement measures include threats, promises, persuasion, and the use of force. See Keeley 1987, 28; Mitchell 1997.</w:t>
      </w:r>
    </w:p>
  </w:footnote>
  <w:footnote w:id="11">
    <w:p w14:paraId="7C6EC58C" w14:textId="739EDD8D" w:rsidR="0076020F" w:rsidRDefault="0076020F">
      <w:pPr>
        <w:pStyle w:val="FootnoteText"/>
      </w:pPr>
      <w:r>
        <w:rPr>
          <w:rStyle w:val="FootnoteReference"/>
        </w:rPr>
        <w:footnoteRef/>
      </w:r>
      <w:r>
        <w:t xml:space="preserve"> Mitchell 1997,</w:t>
      </w:r>
    </w:p>
  </w:footnote>
  <w:footnote w:id="12">
    <w:p w14:paraId="70F755ED" w14:textId="77777777" w:rsidR="00A80D54" w:rsidRPr="00521FBC" w:rsidRDefault="00A80D54" w:rsidP="00A80D54">
      <w:pPr>
        <w:pStyle w:val="FootnoteText"/>
      </w:pPr>
      <w:r>
        <w:rPr>
          <w:rStyle w:val="FootnoteReference"/>
        </w:rPr>
        <w:footnoteRef/>
      </w:r>
      <w:r>
        <w:t xml:space="preserve"> </w:t>
      </w:r>
      <w:r>
        <w:rPr>
          <w:rFonts w:hint="eastAsia"/>
        </w:rPr>
        <w:t>On how international organizations derive authority from the combination of technical expertise and perceived impartiality, see Barnett and Finnemore 1999, 707.</w:t>
      </w:r>
    </w:p>
  </w:footnote>
  <w:footnote w:id="13">
    <w:p w14:paraId="7F57D4F6" w14:textId="4662BDE2" w:rsidR="00C345E3" w:rsidRPr="00C345E3" w:rsidRDefault="00C345E3">
      <w:pPr>
        <w:pStyle w:val="FootnoteText"/>
      </w:pPr>
      <w:r>
        <w:rPr>
          <w:rStyle w:val="FootnoteReference"/>
        </w:rPr>
        <w:footnoteRef/>
      </w:r>
      <w:r>
        <w:t xml:space="preserve"> </w:t>
      </w:r>
      <w:r>
        <w:rPr>
          <w:rFonts w:hint="eastAsia"/>
        </w:rPr>
        <w:t>Dai 2002; Fearon 1998.</w:t>
      </w:r>
    </w:p>
  </w:footnote>
  <w:footnote w:id="14">
    <w:p w14:paraId="65E074BC" w14:textId="4A77323F" w:rsidR="0076020F" w:rsidRDefault="0076020F">
      <w:pPr>
        <w:pStyle w:val="FootnoteText"/>
      </w:pPr>
      <w:r>
        <w:rPr>
          <w:rStyle w:val="FootnoteReference"/>
        </w:rPr>
        <w:footnoteRef/>
      </w:r>
      <w:r>
        <w:t xml:space="preserve"> E.g., Downs et al. 1996; Fearon 1998; Abbott 1993.</w:t>
      </w:r>
    </w:p>
  </w:footnote>
  <w:footnote w:id="15">
    <w:p w14:paraId="31F135DC" w14:textId="3E84E1CC" w:rsidR="007F4143" w:rsidRDefault="007F4143">
      <w:pPr>
        <w:pStyle w:val="FootnoteText"/>
      </w:pPr>
      <w:r>
        <w:rPr>
          <w:rStyle w:val="FootnoteReference"/>
        </w:rPr>
        <w:footnoteRef/>
      </w:r>
      <w:r>
        <w:t xml:space="preserve"> Dai </w:t>
      </w:r>
      <w:r w:rsidR="00454DFC">
        <w:t>2002 makes a similar case, but she focuses solely on monitoring.</w:t>
      </w:r>
    </w:p>
  </w:footnote>
  <w:footnote w:id="16">
    <w:p w14:paraId="2F9C603B" w14:textId="30108A0B" w:rsidR="00BA500C" w:rsidRDefault="00BA500C" w:rsidP="00BA500C">
      <w:pPr>
        <w:pStyle w:val="FootnoteText"/>
      </w:pPr>
      <w:r>
        <w:rPr>
          <w:rStyle w:val="FootnoteReference"/>
        </w:rPr>
        <w:footnoteRef/>
      </w:r>
      <w:r>
        <w:t xml:space="preserve"> </w:t>
      </w:r>
      <w:r w:rsidR="00094172">
        <w:rPr>
          <w:rFonts w:hint="eastAsia"/>
        </w:rPr>
        <w:t>E.g., Kim 2024; Tannenwald 2024; Gershman and Huntley 2005</w:t>
      </w:r>
      <w:r w:rsidR="00B46C56">
        <w:rPr>
          <w:rFonts w:hint="eastAsia"/>
        </w:rPr>
        <w:t>.</w:t>
      </w:r>
    </w:p>
  </w:footnote>
  <w:footnote w:id="17">
    <w:p w14:paraId="27738D05" w14:textId="0CB1FA6E" w:rsidR="0097070F" w:rsidRDefault="0097070F" w:rsidP="0097070F">
      <w:pPr>
        <w:pStyle w:val="FootnoteText"/>
      </w:pPr>
      <w:r>
        <w:rPr>
          <w:rStyle w:val="FootnoteReference"/>
        </w:rPr>
        <w:footnoteRef/>
      </w:r>
      <w:r>
        <w:t xml:space="preserve"> On how international organizations survive, see Dijkstra</w:t>
      </w:r>
      <w:r w:rsidR="00B659B5">
        <w:t xml:space="preserve"> et al. </w:t>
      </w:r>
      <w:r>
        <w:t>2022.</w:t>
      </w:r>
    </w:p>
  </w:footnote>
  <w:footnote w:id="18">
    <w:p w14:paraId="3A0929F9" w14:textId="5398ED5F" w:rsidR="00D7462C" w:rsidRPr="00D7462C" w:rsidRDefault="00D7462C">
      <w:pPr>
        <w:pStyle w:val="FootnoteText"/>
      </w:pPr>
      <w:r>
        <w:rPr>
          <w:rStyle w:val="FootnoteReference"/>
        </w:rPr>
        <w:footnoteRef/>
      </w:r>
      <w:r>
        <w:t xml:space="preserve"> </w:t>
      </w:r>
      <w:r>
        <w:rPr>
          <w:rFonts w:hint="eastAsia"/>
        </w:rPr>
        <w:t xml:space="preserve">E.g., </w:t>
      </w:r>
      <w:r w:rsidR="00E45D57">
        <w:t>Fuhrmann and Lupu 2016</w:t>
      </w:r>
      <w:r w:rsidR="00E45D57">
        <w:rPr>
          <w:rFonts w:hint="eastAsia"/>
        </w:rPr>
        <w:t xml:space="preserve">; </w:t>
      </w:r>
      <w:r>
        <w:rPr>
          <w:rFonts w:hint="eastAsia"/>
        </w:rPr>
        <w:t xml:space="preserve">Jo and Gartzke 2007; Singh and Way 2004; Sagan 2011; Hymans 2006; </w:t>
      </w:r>
      <w:r>
        <w:t>Potter 2010;</w:t>
      </w:r>
      <w:r w:rsidRPr="00A43A7B">
        <w:t xml:space="preserve"> </w:t>
      </w:r>
      <w:r>
        <w:t xml:space="preserve">Azaran 2005; Kaplow 2023; </w:t>
      </w:r>
      <w:proofErr w:type="spellStart"/>
      <w:r>
        <w:t>Kettrie</w:t>
      </w:r>
      <w:proofErr w:type="spellEnd"/>
      <w:r>
        <w:t xml:space="preserve"> 2007.</w:t>
      </w:r>
    </w:p>
  </w:footnote>
  <w:footnote w:id="19">
    <w:p w14:paraId="08981C07" w14:textId="1108E7D7" w:rsidR="00AE0F9D" w:rsidRDefault="00AE0F9D">
      <w:pPr>
        <w:pStyle w:val="FootnoteText"/>
      </w:pPr>
      <w:r>
        <w:rPr>
          <w:rStyle w:val="FootnoteReference"/>
        </w:rPr>
        <w:footnoteRef/>
      </w:r>
      <w:r>
        <w:t xml:space="preserve"> </w:t>
      </w:r>
      <w:r w:rsidR="00A11CD9">
        <w:rPr>
          <w:rFonts w:hint="eastAsia"/>
        </w:rPr>
        <w:t xml:space="preserve">Miller and Scheinman n.d.; </w:t>
      </w:r>
      <w:proofErr w:type="spellStart"/>
      <w:r w:rsidR="00E45D57">
        <w:rPr>
          <w:rFonts w:hint="eastAsia"/>
        </w:rPr>
        <w:t>Kutchesfahani</w:t>
      </w:r>
      <w:proofErr w:type="spellEnd"/>
      <w:r w:rsidR="00E45D57">
        <w:rPr>
          <w:rFonts w:hint="eastAsia"/>
        </w:rPr>
        <w:t xml:space="preserve"> 2018</w:t>
      </w:r>
      <w:r w:rsidR="00F72265">
        <w:t xml:space="preserve">; </w:t>
      </w:r>
      <w:proofErr w:type="spellStart"/>
      <w:r w:rsidR="00F72265">
        <w:t>Horschig</w:t>
      </w:r>
      <w:proofErr w:type="spellEnd"/>
      <w:r w:rsidR="00F72265">
        <w:t xml:space="preserve"> 2024</w:t>
      </w:r>
      <w:r w:rsidR="00E45D57">
        <w:rPr>
          <w:rFonts w:hint="eastAsia"/>
        </w:rPr>
        <w:t xml:space="preserve">. </w:t>
      </w:r>
    </w:p>
  </w:footnote>
  <w:footnote w:id="20">
    <w:p w14:paraId="3E676DC4" w14:textId="153AC3D7" w:rsidR="007E2F7F" w:rsidRDefault="007E2F7F" w:rsidP="007E2F7F">
      <w:pPr>
        <w:pStyle w:val="FootnoteText"/>
      </w:pPr>
      <w:r>
        <w:rPr>
          <w:rStyle w:val="FootnoteReference"/>
        </w:rPr>
        <w:footnoteRef/>
      </w:r>
      <w:r>
        <w:t xml:space="preserve"> Chayes and Chayes 1991</w:t>
      </w:r>
      <w:r w:rsidR="00D11639">
        <w:t xml:space="preserve">; </w:t>
      </w:r>
      <w:r w:rsidR="00D11639" w:rsidRPr="00D11639">
        <w:t>Bohlen</w:t>
      </w:r>
      <w:r w:rsidR="00D11639">
        <w:t xml:space="preserve"> </w:t>
      </w:r>
      <w:r w:rsidR="00D11639" w:rsidRPr="00D11639">
        <w:t>2003</w:t>
      </w:r>
      <w:r w:rsidR="00D11639">
        <w:t>.</w:t>
      </w:r>
    </w:p>
  </w:footnote>
  <w:footnote w:id="21">
    <w:p w14:paraId="6187291B" w14:textId="4A86256F" w:rsidR="00F1131C" w:rsidRPr="00F1131C" w:rsidRDefault="00F1131C">
      <w:pPr>
        <w:pStyle w:val="FootnoteText"/>
      </w:pPr>
      <w:r>
        <w:rPr>
          <w:rStyle w:val="FootnoteReference"/>
        </w:rPr>
        <w:footnoteRef/>
      </w:r>
      <w:r>
        <w:t xml:space="preserve"> </w:t>
      </w:r>
      <w:r>
        <w:rPr>
          <w:rFonts w:hint="eastAsia"/>
        </w:rPr>
        <w:t>Findlay 201</w:t>
      </w:r>
      <w:bookmarkStart w:id="0" w:name="_Hlk206079509"/>
      <w:r>
        <w:rPr>
          <w:rFonts w:hint="eastAsia"/>
        </w:rPr>
        <w:t>3; Goldschmidt 2008.</w:t>
      </w:r>
      <w:bookmarkEnd w:id="0"/>
      <w:r w:rsidR="00F72265">
        <w:t xml:space="preserve"> </w:t>
      </w:r>
      <w:r w:rsidR="0038318B">
        <w:t xml:space="preserve">Nuclear proliferation activities are difficult to detect due to technical complexity </w:t>
      </w:r>
      <w:r w:rsidR="00DF27C7">
        <w:rPr>
          <w:rFonts w:hint="eastAsia"/>
        </w:rPr>
        <w:t xml:space="preserve">(e.g., latency and the dual use nature of nuclear facilities) </w:t>
      </w:r>
      <w:r w:rsidR="0038318B">
        <w:t xml:space="preserve">and </w:t>
      </w:r>
      <w:r w:rsidR="00DF27C7">
        <w:rPr>
          <w:rFonts w:hint="eastAsia"/>
        </w:rPr>
        <w:t xml:space="preserve">the potential for </w:t>
      </w:r>
      <w:r w:rsidR="0038318B">
        <w:t xml:space="preserve">deliberate concealment by determined </w:t>
      </w:r>
      <w:proofErr w:type="spellStart"/>
      <w:r w:rsidR="0038318B">
        <w:t>proliferants</w:t>
      </w:r>
      <w:proofErr w:type="spellEnd"/>
      <w:r w:rsidR="0038318B">
        <w:t xml:space="preserve">. The NPT and IAEA provide value precisely because they help states </w:t>
      </w:r>
      <w:r w:rsidR="00DF27C7">
        <w:rPr>
          <w:rFonts w:hint="eastAsia"/>
        </w:rPr>
        <w:t>alleviate</w:t>
      </w:r>
      <w:r w:rsidR="0038318B">
        <w:t xml:space="preserve"> these technological barriers. The IAEA’s independent inspection capacity and technical expertise enable it to detect clandestine activities where states lack comparable capabilities.</w:t>
      </w:r>
      <w:r w:rsidR="00F72265">
        <w:t xml:space="preserve"> See, Abbott 1993, 34-35.</w:t>
      </w:r>
      <w:r w:rsidR="00DF27C7">
        <w:rPr>
          <w:rFonts w:hint="eastAsia"/>
        </w:rPr>
        <w:t xml:space="preserve"> Also see Dai (2002), which argues that the IAEA is set up as such </w:t>
      </w:r>
      <w:r w:rsidR="00DF27C7">
        <w:t>because</w:t>
      </w:r>
      <w:r w:rsidR="00DF27C7">
        <w:rPr>
          <w:rFonts w:hint="eastAsia"/>
        </w:rPr>
        <w:t xml:space="preserve"> states are interested in preventing other states from developing nuclear weapons but find it hard to detect noncompliance at a low cost.</w:t>
      </w:r>
    </w:p>
  </w:footnote>
  <w:footnote w:id="22">
    <w:p w14:paraId="55772B73" w14:textId="450E2656" w:rsidR="00727188" w:rsidRDefault="00727188">
      <w:pPr>
        <w:pStyle w:val="FootnoteText"/>
      </w:pPr>
      <w:r>
        <w:rPr>
          <w:rStyle w:val="FootnoteReference"/>
        </w:rPr>
        <w:footnoteRef/>
      </w:r>
      <w:r>
        <w:t xml:space="preserve"> </w:t>
      </w:r>
      <w:proofErr w:type="spellStart"/>
      <w:r>
        <w:t>Loosch</w:t>
      </w:r>
      <w:proofErr w:type="spellEnd"/>
      <w:r>
        <w:t xml:space="preserve"> 2000; </w:t>
      </w:r>
      <w:proofErr w:type="spellStart"/>
      <w:r>
        <w:t>IAEAa</w:t>
      </w:r>
      <w:proofErr w:type="spellEnd"/>
      <w:r>
        <w:t>, n.d.</w:t>
      </w:r>
    </w:p>
  </w:footnote>
  <w:footnote w:id="23">
    <w:p w14:paraId="4ED57755" w14:textId="19698241" w:rsidR="005A111A" w:rsidRDefault="005A111A">
      <w:pPr>
        <w:pStyle w:val="FootnoteText"/>
      </w:pPr>
      <w:r>
        <w:rPr>
          <w:rStyle w:val="FootnoteReference"/>
        </w:rPr>
        <w:footnoteRef/>
      </w:r>
      <w:r>
        <w:t xml:space="preserve"> Fischer 2000,</w:t>
      </w:r>
      <w:r w:rsidR="00DC0BFC">
        <w:t xml:space="preserve"> 11.</w:t>
      </w:r>
    </w:p>
  </w:footnote>
  <w:footnote w:id="24">
    <w:p w14:paraId="4B057CDA" w14:textId="79CD0D17" w:rsidR="005A111A" w:rsidRDefault="005A111A">
      <w:pPr>
        <w:pStyle w:val="FootnoteText"/>
      </w:pPr>
      <w:r>
        <w:rPr>
          <w:rStyle w:val="FootnoteReference"/>
        </w:rPr>
        <w:footnoteRef/>
      </w:r>
      <w:r>
        <w:t xml:space="preserve"> </w:t>
      </w:r>
      <w:proofErr w:type="spellStart"/>
      <w:r>
        <w:t>Loosch</w:t>
      </w:r>
      <w:proofErr w:type="spellEnd"/>
      <w:r>
        <w:t xml:space="preserve"> 2000, </w:t>
      </w:r>
      <w:r w:rsidR="00DC0BFC">
        <w:t>33.</w:t>
      </w:r>
    </w:p>
  </w:footnote>
  <w:footnote w:id="25">
    <w:p w14:paraId="579157C3" w14:textId="4083819F" w:rsidR="00421147" w:rsidRDefault="00421147">
      <w:pPr>
        <w:pStyle w:val="FootnoteText"/>
      </w:pPr>
      <w:r>
        <w:rPr>
          <w:rStyle w:val="FootnoteReference"/>
        </w:rPr>
        <w:footnoteRef/>
      </w:r>
      <w:r>
        <w:t xml:space="preserve"> Blix 2011, </w:t>
      </w:r>
      <w:r w:rsidR="00DC0BFC">
        <w:t>6.</w:t>
      </w:r>
    </w:p>
  </w:footnote>
  <w:footnote w:id="26">
    <w:p w14:paraId="00CB4EB5" w14:textId="53427D49" w:rsidR="00E77EF3" w:rsidRDefault="00E77EF3">
      <w:pPr>
        <w:pStyle w:val="FootnoteText"/>
      </w:pPr>
      <w:r>
        <w:rPr>
          <w:rStyle w:val="FootnoteReference"/>
        </w:rPr>
        <w:footnoteRef/>
      </w:r>
      <w:r>
        <w:t xml:space="preserve"> Screening in this context operates similarly to practices in the medical and financial sectors. In medicine, health screening evaluates individuals against specified risk factors to identify heightened susceptibility to serious conditions, present or future. In finance, banks screen transactions to assess the likelihood of fraud and reduce exposure to financial crime. </w:t>
      </w:r>
      <w:r w:rsidR="00DF27C7">
        <w:rPr>
          <w:rFonts w:hint="eastAsia"/>
        </w:rPr>
        <w:t xml:space="preserve">In both cases, screening is not a one-off process; it is done repeatedly to continually assess risks and risk factors. </w:t>
      </w:r>
      <w:r>
        <w:t xml:space="preserve">World </w:t>
      </w:r>
      <w:r w:rsidR="008B19F4">
        <w:t xml:space="preserve">Health </w:t>
      </w:r>
      <w:r>
        <w:t xml:space="preserve">Organization n.d.; Comply Advantage n.d. </w:t>
      </w:r>
    </w:p>
  </w:footnote>
  <w:footnote w:id="27">
    <w:p w14:paraId="7679129A" w14:textId="3F694E33" w:rsidR="00EF16CA" w:rsidRDefault="00EF16CA">
      <w:pPr>
        <w:pStyle w:val="FootnoteText"/>
      </w:pPr>
      <w:r>
        <w:rPr>
          <w:rStyle w:val="FootnoteReference"/>
        </w:rPr>
        <w:footnoteRef/>
      </w:r>
      <w:r>
        <w:t xml:space="preserve"> Ghosh 2006.</w:t>
      </w:r>
    </w:p>
  </w:footnote>
  <w:footnote w:id="28">
    <w:p w14:paraId="704030CC" w14:textId="08A7BD1E" w:rsidR="00E77EF3" w:rsidRDefault="00E77EF3">
      <w:pPr>
        <w:pStyle w:val="FootnoteText"/>
      </w:pPr>
      <w:r>
        <w:rPr>
          <w:rStyle w:val="FootnoteReference"/>
        </w:rPr>
        <w:footnoteRef/>
      </w:r>
      <w:r>
        <w:t xml:space="preserve"> Kaplow 2023, 152-157.</w:t>
      </w:r>
      <w:r w:rsidR="00C345E3">
        <w:rPr>
          <w:rFonts w:hint="eastAsia"/>
        </w:rPr>
        <w:t xml:space="preserve"> Similar dynamics are observed in the literature on international institutions and peace or democracy. As states or state dyads become more deeply involved in international institutions, scholars have found that states are more likely to transit to democracy or maintain peace between rivals. E.g., Hasenclever and </w:t>
      </w:r>
      <w:proofErr w:type="spellStart"/>
      <w:r w:rsidR="00C345E3">
        <w:rPr>
          <w:rFonts w:hint="eastAsia"/>
        </w:rPr>
        <w:t>Weiffen</w:t>
      </w:r>
      <w:proofErr w:type="spellEnd"/>
      <w:r w:rsidR="00C345E3">
        <w:rPr>
          <w:rFonts w:hint="eastAsia"/>
        </w:rPr>
        <w:t xml:space="preserve"> 2006; Pevehouse and Russett 2006; Keohane et al. 2009; Poast and </w:t>
      </w:r>
      <w:proofErr w:type="spellStart"/>
      <w:r w:rsidR="00C345E3">
        <w:rPr>
          <w:rFonts w:hint="eastAsia"/>
        </w:rPr>
        <w:t>Urpelainen</w:t>
      </w:r>
      <w:proofErr w:type="spellEnd"/>
      <w:r w:rsidR="00C345E3">
        <w:rPr>
          <w:rFonts w:hint="eastAsia"/>
        </w:rPr>
        <w:t xml:space="preserve"> 2018.</w:t>
      </w:r>
    </w:p>
  </w:footnote>
  <w:footnote w:id="29">
    <w:p w14:paraId="202CAA19" w14:textId="6BF1CE51" w:rsidR="005E1B6A" w:rsidRPr="005E1B6A" w:rsidRDefault="005E1B6A">
      <w:pPr>
        <w:pStyle w:val="FootnoteText"/>
      </w:pPr>
      <w:r>
        <w:rPr>
          <w:rStyle w:val="FootnoteReference"/>
        </w:rPr>
        <w:footnoteRef/>
      </w:r>
      <w:r>
        <w:t xml:space="preserve"> </w:t>
      </w:r>
      <w:r>
        <w:rPr>
          <w:rFonts w:hint="eastAsia"/>
        </w:rPr>
        <w:t xml:space="preserve">Monitoring and verification are </w:t>
      </w:r>
      <w:r>
        <w:t>sometimes</w:t>
      </w:r>
      <w:r>
        <w:rPr>
          <w:rFonts w:hint="eastAsia"/>
        </w:rPr>
        <w:t xml:space="preserve"> described as one process, and in practice, they can take place simultaneously (e.g., Dai 2002, 423). However, these are different processes. In environmental protection, for example, verification is done independently of monitoring to ensure that the monitoring programs are executed adequately and in accordance with guidelines (Environmental Protection Authority 2016). Hence, there is value in defining them separately and labeling them properly as each process serves a different function. </w:t>
      </w:r>
    </w:p>
  </w:footnote>
  <w:footnote w:id="30">
    <w:p w14:paraId="2B8D7835" w14:textId="6748E346" w:rsidR="008C45C2" w:rsidRDefault="008C45C2">
      <w:pPr>
        <w:pStyle w:val="FootnoteText"/>
      </w:pPr>
      <w:r>
        <w:rPr>
          <w:rStyle w:val="FootnoteReference"/>
        </w:rPr>
        <w:footnoteRef/>
      </w:r>
      <w:r>
        <w:t xml:space="preserve"> Carlson et al. 2020; Mayhew 2020, fn. 64. </w:t>
      </w:r>
    </w:p>
  </w:footnote>
  <w:footnote w:id="31">
    <w:p w14:paraId="448381A8" w14:textId="0A0F3F89" w:rsidR="005E1B6A" w:rsidRDefault="005E1B6A">
      <w:pPr>
        <w:pStyle w:val="FootnoteText"/>
      </w:pPr>
      <w:r>
        <w:rPr>
          <w:rStyle w:val="FootnoteReference"/>
        </w:rPr>
        <w:footnoteRef/>
      </w:r>
      <w:r>
        <w:t xml:space="preserve"> </w:t>
      </w:r>
      <w:r>
        <w:rPr>
          <w:rFonts w:hint="eastAsia"/>
        </w:rPr>
        <w:t>Downs et al. 1996.</w:t>
      </w:r>
    </w:p>
  </w:footnote>
  <w:footnote w:id="32">
    <w:p w14:paraId="1740B937" w14:textId="133E76A5" w:rsidR="005E1B6A" w:rsidRPr="005E1B6A" w:rsidRDefault="005E1B6A">
      <w:pPr>
        <w:pStyle w:val="FootnoteText"/>
      </w:pPr>
      <w:r>
        <w:rPr>
          <w:rStyle w:val="FootnoteReference"/>
        </w:rPr>
        <w:footnoteRef/>
      </w:r>
      <w:r>
        <w:t xml:space="preserve"> </w:t>
      </w:r>
      <w:r>
        <w:rPr>
          <w:rFonts w:hint="eastAsia"/>
        </w:rPr>
        <w:t xml:space="preserve">Coe and </w:t>
      </w:r>
      <w:proofErr w:type="spellStart"/>
      <w:r>
        <w:rPr>
          <w:rFonts w:hint="eastAsia"/>
        </w:rPr>
        <w:t>Vaynman</w:t>
      </w:r>
      <w:proofErr w:type="spellEnd"/>
      <w:r>
        <w:rPr>
          <w:rFonts w:hint="eastAsia"/>
        </w:rPr>
        <w:t xml:space="preserve"> 2015.</w:t>
      </w:r>
    </w:p>
  </w:footnote>
  <w:footnote w:id="33">
    <w:p w14:paraId="541A5AE7" w14:textId="20C08F05" w:rsidR="005E1B6A" w:rsidRPr="005E1B6A" w:rsidRDefault="005E1B6A">
      <w:pPr>
        <w:pStyle w:val="FootnoteText"/>
      </w:pPr>
      <w:r>
        <w:rPr>
          <w:rStyle w:val="FootnoteReference"/>
        </w:rPr>
        <w:footnoteRef/>
      </w:r>
      <w:r>
        <w:t xml:space="preserve"> </w:t>
      </w:r>
      <w:r w:rsidR="009E0F7E">
        <w:rPr>
          <w:rFonts w:hint="eastAsia"/>
        </w:rPr>
        <w:t>Kaplow 2023, 109-113.</w:t>
      </w:r>
    </w:p>
  </w:footnote>
  <w:footnote w:id="34">
    <w:p w14:paraId="3EBC9D38" w14:textId="1A6F3388" w:rsidR="009E0F7E" w:rsidRDefault="009E0F7E">
      <w:pPr>
        <w:pStyle w:val="FootnoteText"/>
      </w:pPr>
      <w:r>
        <w:rPr>
          <w:rStyle w:val="FootnoteReference"/>
        </w:rPr>
        <w:footnoteRef/>
      </w:r>
      <w:r>
        <w:t xml:space="preserve"> </w:t>
      </w:r>
      <w:r>
        <w:rPr>
          <w:rFonts w:hint="eastAsia"/>
        </w:rPr>
        <w:t>Fearon 1998.</w:t>
      </w:r>
    </w:p>
  </w:footnote>
  <w:footnote w:id="35">
    <w:p w14:paraId="68B485E5" w14:textId="77777777" w:rsidR="005124F4" w:rsidRDefault="005124F4" w:rsidP="005124F4">
      <w:pPr>
        <w:pStyle w:val="FootnoteText"/>
      </w:pPr>
      <w:r>
        <w:rPr>
          <w:rStyle w:val="FootnoteReference"/>
        </w:rPr>
        <w:footnoteRef/>
      </w:r>
      <w:r>
        <w:t xml:space="preserve"> </w:t>
      </w:r>
      <w:proofErr w:type="spellStart"/>
      <w:r w:rsidRPr="007405E1">
        <w:t>Hӓckel</w:t>
      </w:r>
      <w:proofErr w:type="spellEnd"/>
      <w:r w:rsidRPr="007405E1">
        <w:t xml:space="preserve"> and</w:t>
      </w:r>
      <w:r>
        <w:t xml:space="preserve"> </w:t>
      </w:r>
      <w:r w:rsidRPr="007405E1">
        <w:t>Stein</w:t>
      </w:r>
      <w:r>
        <w:t xml:space="preserve"> 2000, 2.</w:t>
      </w:r>
    </w:p>
  </w:footnote>
  <w:footnote w:id="36">
    <w:p w14:paraId="7B316686" w14:textId="77777777" w:rsidR="00785201" w:rsidRDefault="00785201" w:rsidP="00785201">
      <w:pPr>
        <w:pStyle w:val="FootnoteText"/>
      </w:pPr>
      <w:r>
        <w:rPr>
          <w:rStyle w:val="FootnoteReference"/>
        </w:rPr>
        <w:footnoteRef/>
      </w:r>
      <w:r>
        <w:t xml:space="preserve"> Simmons and Hopkins 2005.</w:t>
      </w:r>
    </w:p>
  </w:footnote>
  <w:footnote w:id="37">
    <w:p w14:paraId="33829987" w14:textId="77777777" w:rsidR="00785201" w:rsidRDefault="00785201" w:rsidP="00785201">
      <w:pPr>
        <w:pStyle w:val="FootnoteText"/>
      </w:pPr>
      <w:r>
        <w:rPr>
          <w:rStyle w:val="FootnoteReference"/>
        </w:rPr>
        <w:footnoteRef/>
      </w:r>
      <w:r>
        <w:t xml:space="preserve"> Ghosh 2006.</w:t>
      </w:r>
    </w:p>
  </w:footnote>
  <w:footnote w:id="38">
    <w:p w14:paraId="60803098" w14:textId="54C4A81A" w:rsidR="00706C77" w:rsidRDefault="00706C77">
      <w:pPr>
        <w:pStyle w:val="FootnoteText"/>
      </w:pPr>
      <w:r>
        <w:rPr>
          <w:rStyle w:val="FootnoteReference"/>
        </w:rPr>
        <w:footnoteRef/>
      </w:r>
      <w:r>
        <w:t xml:space="preserve"> Miller and Scheinman </w:t>
      </w:r>
      <w:proofErr w:type="spellStart"/>
      <w:r>
        <w:t>nd</w:t>
      </w:r>
      <w:proofErr w:type="spellEnd"/>
      <w:r>
        <w:t>.</w:t>
      </w:r>
    </w:p>
  </w:footnote>
  <w:footnote w:id="39">
    <w:p w14:paraId="6660B37D" w14:textId="0607C4E1" w:rsidR="00362208" w:rsidRDefault="00362208">
      <w:pPr>
        <w:pStyle w:val="FootnoteText"/>
      </w:pPr>
      <w:r>
        <w:rPr>
          <w:rStyle w:val="FootnoteReference"/>
        </w:rPr>
        <w:footnoteRef/>
      </w:r>
      <w:r>
        <w:t xml:space="preserve"> Perkovich 2006. Also, see Koch 2020 on the political bargains that informed the negotiations behind the NPT.</w:t>
      </w:r>
    </w:p>
  </w:footnote>
  <w:footnote w:id="40">
    <w:p w14:paraId="4296BEC8" w14:textId="5DDE2814" w:rsidR="00375B20" w:rsidRDefault="00375B20">
      <w:pPr>
        <w:pStyle w:val="FootnoteText"/>
      </w:pPr>
      <w:r>
        <w:rPr>
          <w:rStyle w:val="FootnoteReference"/>
        </w:rPr>
        <w:footnoteRef/>
      </w:r>
      <w:r>
        <w:t xml:space="preserve"> Howse and </w:t>
      </w:r>
      <w:proofErr w:type="spellStart"/>
      <w:r>
        <w:t>Teital</w:t>
      </w:r>
      <w:proofErr w:type="spellEnd"/>
      <w:r>
        <w:t xml:space="preserve"> 2010, 130.</w:t>
      </w:r>
    </w:p>
  </w:footnote>
  <w:footnote w:id="41">
    <w:p w14:paraId="0C69B892" w14:textId="26015A89" w:rsidR="005D110C" w:rsidRDefault="005D110C">
      <w:pPr>
        <w:pStyle w:val="FootnoteText"/>
      </w:pPr>
      <w:r>
        <w:rPr>
          <w:rStyle w:val="FootnoteReference"/>
        </w:rPr>
        <w:footnoteRef/>
      </w:r>
      <w:r>
        <w:t xml:space="preserve"> Coe and </w:t>
      </w:r>
      <w:proofErr w:type="spellStart"/>
      <w:r>
        <w:t>Vaynman</w:t>
      </w:r>
      <w:proofErr w:type="spellEnd"/>
      <w:r>
        <w:t xml:space="preserve"> 2015.</w:t>
      </w:r>
    </w:p>
  </w:footnote>
  <w:footnote w:id="42">
    <w:p w14:paraId="235861E3" w14:textId="79EF7919" w:rsidR="005D110C" w:rsidRDefault="005D110C">
      <w:pPr>
        <w:pStyle w:val="FootnoteText"/>
      </w:pPr>
      <w:r>
        <w:rPr>
          <w:rStyle w:val="FootnoteReference"/>
        </w:rPr>
        <w:footnoteRef/>
      </w:r>
      <w:r>
        <w:t xml:space="preserve"> Eckert 2009/10; Kanwar 2009.</w:t>
      </w:r>
    </w:p>
  </w:footnote>
  <w:footnote w:id="43">
    <w:p w14:paraId="53D22092" w14:textId="1426FD43" w:rsidR="005D110C" w:rsidRDefault="005D110C">
      <w:pPr>
        <w:pStyle w:val="FootnoteText"/>
      </w:pPr>
      <w:r>
        <w:rPr>
          <w:rStyle w:val="FootnoteReference"/>
        </w:rPr>
        <w:footnoteRef/>
      </w:r>
      <w:r>
        <w:t xml:space="preserve"> </w:t>
      </w:r>
      <w:r w:rsidR="0048215C">
        <w:t>Rockwood 2013, 5.</w:t>
      </w:r>
    </w:p>
  </w:footnote>
  <w:footnote w:id="44">
    <w:p w14:paraId="61D56724" w14:textId="77777777" w:rsidR="00C703B4" w:rsidRDefault="00C703B4" w:rsidP="00C703B4">
      <w:pPr>
        <w:pStyle w:val="FootnoteText"/>
      </w:pPr>
      <w:r>
        <w:rPr>
          <w:rStyle w:val="FootnoteReference"/>
        </w:rPr>
        <w:footnoteRef/>
      </w:r>
      <w:r>
        <w:t xml:space="preserve"> Kanwar 2009; Coe and </w:t>
      </w:r>
      <w:proofErr w:type="spellStart"/>
      <w:r>
        <w:t>Vaynman</w:t>
      </w:r>
      <w:proofErr w:type="spellEnd"/>
      <w:r>
        <w:t xml:space="preserve"> 2015.</w:t>
      </w:r>
    </w:p>
  </w:footnote>
  <w:footnote w:id="45">
    <w:p w14:paraId="2BEB3CD0" w14:textId="44838F9C" w:rsidR="0048215C" w:rsidRDefault="0048215C">
      <w:pPr>
        <w:pStyle w:val="FootnoteText"/>
      </w:pPr>
      <w:r>
        <w:rPr>
          <w:rStyle w:val="FootnoteReference"/>
        </w:rPr>
        <w:footnoteRef/>
      </w:r>
      <w:r>
        <w:t xml:space="preserve"> Blix 2010, </w:t>
      </w:r>
      <w:r w:rsidR="00DC0BFC">
        <w:t>6.</w:t>
      </w:r>
    </w:p>
  </w:footnote>
  <w:footnote w:id="46">
    <w:p w14:paraId="1CACE0D3" w14:textId="77777777" w:rsidR="001143DD" w:rsidRDefault="001143DD" w:rsidP="001143DD">
      <w:pPr>
        <w:pStyle w:val="FootnoteText"/>
      </w:pPr>
      <w:r>
        <w:rPr>
          <w:rStyle w:val="FootnoteReference"/>
        </w:rPr>
        <w:footnoteRef/>
      </w:r>
      <w:r>
        <w:t xml:space="preserve"> Fischer 1997a, 71-108, 243-257.</w:t>
      </w:r>
    </w:p>
  </w:footnote>
  <w:footnote w:id="47">
    <w:p w14:paraId="2C086290" w14:textId="77777777" w:rsidR="001143DD" w:rsidRDefault="001143DD" w:rsidP="001143DD">
      <w:pPr>
        <w:pStyle w:val="FootnoteText"/>
      </w:pPr>
      <w:r>
        <w:rPr>
          <w:rStyle w:val="FootnoteReference"/>
        </w:rPr>
        <w:footnoteRef/>
      </w:r>
      <w:r>
        <w:t xml:space="preserve"> </w:t>
      </w:r>
      <w:proofErr w:type="spellStart"/>
      <w:r>
        <w:t>Coppen</w:t>
      </w:r>
      <w:proofErr w:type="spellEnd"/>
      <w:r>
        <w:t xml:space="preserve"> 2015, 170.</w:t>
      </w:r>
    </w:p>
  </w:footnote>
  <w:footnote w:id="48">
    <w:p w14:paraId="2B1620C9" w14:textId="30F250C0" w:rsidR="009F4C26" w:rsidRDefault="009F4C26">
      <w:pPr>
        <w:pStyle w:val="FootnoteText"/>
      </w:pPr>
      <w:r>
        <w:rPr>
          <w:rStyle w:val="FootnoteReference"/>
        </w:rPr>
        <w:footnoteRef/>
      </w:r>
      <w:r>
        <w:t xml:space="preserve"> Blix 2010, 5</w:t>
      </w:r>
      <w:r w:rsidR="00F913ED">
        <w:t>;</w:t>
      </w:r>
      <w:r w:rsidR="00F913ED" w:rsidRPr="00F913ED">
        <w:t xml:space="preserve"> </w:t>
      </w:r>
      <w:r w:rsidR="00F913ED">
        <w:t>Fischer 1997a, 252-257; Rockwood 2013, 12.</w:t>
      </w:r>
    </w:p>
  </w:footnote>
  <w:footnote w:id="49">
    <w:p w14:paraId="77EAD9F9" w14:textId="77777777" w:rsidR="00C05FB3" w:rsidRDefault="00C05FB3" w:rsidP="00C05FB3">
      <w:pPr>
        <w:pStyle w:val="FootnoteText"/>
      </w:pPr>
      <w:r>
        <w:rPr>
          <w:rStyle w:val="FootnoteReference"/>
        </w:rPr>
        <w:footnoteRef/>
      </w:r>
      <w:r>
        <w:t xml:space="preserve"> Gibbons and Robinson 2021.</w:t>
      </w:r>
    </w:p>
  </w:footnote>
  <w:footnote w:id="50">
    <w:p w14:paraId="0BECBB06" w14:textId="74C14D8A" w:rsidR="00375D2E" w:rsidRDefault="00375D2E">
      <w:pPr>
        <w:pStyle w:val="FootnoteText"/>
      </w:pPr>
      <w:r>
        <w:rPr>
          <w:rStyle w:val="FootnoteReference"/>
        </w:rPr>
        <w:footnoteRef/>
      </w:r>
      <w:r>
        <w:t xml:space="preserve"> </w:t>
      </w:r>
      <w:proofErr w:type="spellStart"/>
      <w:r>
        <w:t>Boureston</w:t>
      </w:r>
      <w:proofErr w:type="spellEnd"/>
      <w:r>
        <w:t xml:space="preserve"> and Feldman 2004.</w:t>
      </w:r>
    </w:p>
  </w:footnote>
  <w:footnote w:id="51">
    <w:p w14:paraId="4C5C8501" w14:textId="1E6E4004" w:rsidR="009F4C26" w:rsidRDefault="009F4C26">
      <w:pPr>
        <w:pStyle w:val="FootnoteText"/>
      </w:pPr>
      <w:r>
        <w:rPr>
          <w:rStyle w:val="FootnoteReference"/>
        </w:rPr>
        <w:footnoteRef/>
      </w:r>
      <w:r>
        <w:t xml:space="preserve"> </w:t>
      </w:r>
      <w:r w:rsidRPr="009F4C26">
        <w:t>Fischer 2000,</w:t>
      </w:r>
      <w:r>
        <w:t xml:space="preserve"> 12.</w:t>
      </w:r>
    </w:p>
  </w:footnote>
  <w:footnote w:id="52">
    <w:p w14:paraId="5CFB39DA" w14:textId="77777777" w:rsidR="003D5965" w:rsidRDefault="003D5965" w:rsidP="003D5965">
      <w:pPr>
        <w:pStyle w:val="FootnoteText"/>
      </w:pPr>
      <w:r>
        <w:rPr>
          <w:rStyle w:val="FootnoteReference"/>
        </w:rPr>
        <w:footnoteRef/>
      </w:r>
      <w:r>
        <w:t xml:space="preserve"> </w:t>
      </w:r>
      <w:proofErr w:type="spellStart"/>
      <w:r>
        <w:t>Coppen</w:t>
      </w:r>
      <w:proofErr w:type="spellEnd"/>
      <w:r>
        <w:t xml:space="preserve"> 2015; Fischer 2000, 14; Rockwood 2013.</w:t>
      </w:r>
    </w:p>
  </w:footnote>
  <w:footnote w:id="53">
    <w:p w14:paraId="5231E8A6" w14:textId="06E4FEFB" w:rsidR="003B2C81" w:rsidRDefault="003B2C81">
      <w:pPr>
        <w:pStyle w:val="FootnoteText"/>
      </w:pPr>
      <w:r>
        <w:rPr>
          <w:rStyle w:val="FootnoteReference"/>
        </w:rPr>
        <w:footnoteRef/>
      </w:r>
      <w:r>
        <w:t xml:space="preserve"> </w:t>
      </w:r>
      <w:r>
        <w:rPr>
          <w:rFonts w:hint="eastAsia"/>
        </w:rPr>
        <w:t>Hooper 1997.</w:t>
      </w:r>
    </w:p>
  </w:footnote>
  <w:footnote w:id="54">
    <w:p w14:paraId="09CAC92C" w14:textId="77777777" w:rsidR="003D5965" w:rsidRDefault="003D5965" w:rsidP="003D5965">
      <w:pPr>
        <w:pStyle w:val="FootnoteText"/>
      </w:pPr>
      <w:r>
        <w:rPr>
          <w:rStyle w:val="FootnoteReference"/>
        </w:rPr>
        <w:footnoteRef/>
      </w:r>
      <w:r>
        <w:t xml:space="preserve"> Gibbons and Robinson 2021, 301-303.</w:t>
      </w:r>
    </w:p>
  </w:footnote>
  <w:footnote w:id="55">
    <w:p w14:paraId="20EFF0D0" w14:textId="697DFD2F" w:rsidR="00946C71" w:rsidRDefault="00946C71" w:rsidP="00946C71">
      <w:pPr>
        <w:pStyle w:val="FootnoteText"/>
      </w:pPr>
      <w:r>
        <w:rPr>
          <w:rStyle w:val="FootnoteReference"/>
        </w:rPr>
        <w:footnoteRef/>
      </w:r>
      <w:r>
        <w:t xml:space="preserve"> </w:t>
      </w:r>
      <w:proofErr w:type="spellStart"/>
      <w:r>
        <w:t>Bytchkov</w:t>
      </w:r>
      <w:proofErr w:type="spellEnd"/>
      <w:r>
        <w:t xml:space="preserve"> and Cooley n</w:t>
      </w:r>
      <w:r w:rsidR="0094123D">
        <w:t>.</w:t>
      </w:r>
      <w:r>
        <w:t>d.</w:t>
      </w:r>
    </w:p>
  </w:footnote>
  <w:footnote w:id="56">
    <w:p w14:paraId="37862637" w14:textId="22B6E56C" w:rsidR="003B2C81" w:rsidRDefault="003B2C81">
      <w:pPr>
        <w:pStyle w:val="FootnoteText"/>
      </w:pPr>
      <w:r>
        <w:rPr>
          <w:rStyle w:val="FootnoteReference"/>
        </w:rPr>
        <w:footnoteRef/>
      </w:r>
      <w:r>
        <w:t xml:space="preserve"> </w:t>
      </w:r>
      <w:r>
        <w:rPr>
          <w:rFonts w:hint="eastAsia"/>
        </w:rPr>
        <w:t>Rockwood 2013.</w:t>
      </w:r>
    </w:p>
  </w:footnote>
  <w:footnote w:id="57">
    <w:p w14:paraId="3398040D" w14:textId="77777777" w:rsidR="00946C71" w:rsidRDefault="00946C71" w:rsidP="00946C71">
      <w:pPr>
        <w:pStyle w:val="FootnoteText"/>
      </w:pPr>
      <w:r>
        <w:rPr>
          <w:rStyle w:val="FootnoteReference"/>
        </w:rPr>
        <w:footnoteRef/>
      </w:r>
      <w:r>
        <w:t xml:space="preserve"> Fischer 2000, 13.</w:t>
      </w:r>
    </w:p>
  </w:footnote>
  <w:footnote w:id="58">
    <w:p w14:paraId="42F8F6AB" w14:textId="09CE90BE" w:rsidR="003B2C81" w:rsidRDefault="003B2C81">
      <w:pPr>
        <w:pStyle w:val="FootnoteText"/>
      </w:pPr>
      <w:r>
        <w:rPr>
          <w:rStyle w:val="FootnoteReference"/>
        </w:rPr>
        <w:footnoteRef/>
      </w:r>
      <w:r>
        <w:t xml:space="preserve"> </w:t>
      </w:r>
      <w:r>
        <w:rPr>
          <w:rFonts w:hint="eastAsia"/>
        </w:rPr>
        <w:t>Carnegie and Carson 2020.</w:t>
      </w:r>
    </w:p>
  </w:footnote>
  <w:footnote w:id="59">
    <w:p w14:paraId="3E204816" w14:textId="2D3CAA52" w:rsidR="005951C5" w:rsidRDefault="005951C5">
      <w:pPr>
        <w:pStyle w:val="FootnoteText"/>
      </w:pPr>
      <w:r>
        <w:rPr>
          <w:rStyle w:val="FootnoteReference"/>
        </w:rPr>
        <w:footnoteRef/>
      </w:r>
      <w:r>
        <w:t xml:space="preserve"> Carnegie and Carson 2020, 90-91.</w:t>
      </w:r>
    </w:p>
  </w:footnote>
  <w:footnote w:id="60">
    <w:p w14:paraId="4BF59D83" w14:textId="209CA48F" w:rsidR="000D044D" w:rsidRDefault="000D044D">
      <w:pPr>
        <w:pStyle w:val="FootnoteText"/>
      </w:pPr>
      <w:r>
        <w:rPr>
          <w:rStyle w:val="FootnoteReference"/>
        </w:rPr>
        <w:footnoteRef/>
      </w:r>
      <w:r>
        <w:t xml:space="preserve"> McLaughlin 2004.</w:t>
      </w:r>
    </w:p>
  </w:footnote>
  <w:footnote w:id="61">
    <w:p w14:paraId="313766F4" w14:textId="487E7AA0" w:rsidR="000D044D" w:rsidRDefault="000D044D">
      <w:pPr>
        <w:pStyle w:val="FootnoteText"/>
      </w:pPr>
      <w:r>
        <w:rPr>
          <w:rStyle w:val="FootnoteReference"/>
        </w:rPr>
        <w:footnoteRef/>
      </w:r>
      <w:r>
        <w:t xml:space="preserve"> We thank our reviewers for pointing out this pattern that is observed in international law and trade. See Kucik et al. 2022; Peritz 2020; Kucik and Pelc 2016</w:t>
      </w:r>
      <w:r w:rsidR="001A2FDE">
        <w:rPr>
          <w:rFonts w:hint="eastAsia"/>
        </w:rPr>
        <w:t>; Mitchell 1997, 48-49; Downs et al. 1996</w:t>
      </w:r>
      <w:r>
        <w:t>.</w:t>
      </w:r>
    </w:p>
  </w:footnote>
  <w:footnote w:id="62">
    <w:p w14:paraId="326EFE45" w14:textId="39EC7DFB" w:rsidR="008F38E6" w:rsidRDefault="008F38E6">
      <w:pPr>
        <w:pStyle w:val="FootnoteText"/>
      </w:pPr>
      <w:r>
        <w:rPr>
          <w:rStyle w:val="FootnoteReference"/>
        </w:rPr>
        <w:footnoteRef/>
      </w:r>
      <w:r>
        <w:t xml:space="preserve"> Wakefield and Hathaway 2010. </w:t>
      </w:r>
    </w:p>
  </w:footnote>
  <w:footnote w:id="63">
    <w:p w14:paraId="6227C032" w14:textId="5F594F58" w:rsidR="008F38E6" w:rsidRDefault="008F38E6">
      <w:pPr>
        <w:pStyle w:val="FootnoteText"/>
      </w:pPr>
      <w:r>
        <w:rPr>
          <w:rStyle w:val="FootnoteReference"/>
        </w:rPr>
        <w:footnoteRef/>
      </w:r>
      <w:r>
        <w:t xml:space="preserve"> Wunderlich et al. 2013, 276.</w:t>
      </w:r>
    </w:p>
  </w:footnote>
  <w:footnote w:id="64">
    <w:p w14:paraId="4CC36F03" w14:textId="5ADBD914" w:rsidR="008F38E6" w:rsidRDefault="008F38E6">
      <w:pPr>
        <w:pStyle w:val="FootnoteText"/>
      </w:pPr>
      <w:r>
        <w:rPr>
          <w:rStyle w:val="FootnoteReference"/>
        </w:rPr>
        <w:footnoteRef/>
      </w:r>
      <w:r>
        <w:t xml:space="preserve"> Wakefield and Hathaway 2010.</w:t>
      </w:r>
    </w:p>
  </w:footnote>
  <w:footnote w:id="65">
    <w:p w14:paraId="660A7E27" w14:textId="62F713C1" w:rsidR="008F38E6" w:rsidRDefault="008F38E6">
      <w:pPr>
        <w:pStyle w:val="FootnoteText"/>
      </w:pPr>
      <w:r>
        <w:rPr>
          <w:rStyle w:val="FootnoteReference"/>
        </w:rPr>
        <w:footnoteRef/>
      </w:r>
      <w:r>
        <w:t xml:space="preserve"> </w:t>
      </w:r>
      <w:proofErr w:type="spellStart"/>
      <w:r w:rsidRPr="008F38E6">
        <w:t>IAEA</w:t>
      </w:r>
      <w:r w:rsidR="00D07EAF">
        <w:t>a</w:t>
      </w:r>
      <w:proofErr w:type="spellEnd"/>
      <w:r w:rsidRPr="008F38E6">
        <w:t xml:space="preserve"> </w:t>
      </w:r>
      <w:r w:rsidR="00D07EAF">
        <w:t>n.d.</w:t>
      </w:r>
      <w:r w:rsidRPr="008F38E6">
        <w:t xml:space="preserve"> On the difference between INFCIRC/66 and INFCIRC/153, see Bunn</w:t>
      </w:r>
      <w:r w:rsidR="00D07EAF">
        <w:t xml:space="preserve"> n.d.</w:t>
      </w:r>
    </w:p>
  </w:footnote>
  <w:footnote w:id="66">
    <w:p w14:paraId="5EC9FA3B" w14:textId="42A41B1E" w:rsidR="008F38E6" w:rsidRDefault="008F38E6">
      <w:pPr>
        <w:pStyle w:val="FootnoteText"/>
      </w:pPr>
      <w:r>
        <w:rPr>
          <w:rStyle w:val="FootnoteReference"/>
        </w:rPr>
        <w:footnoteRef/>
      </w:r>
      <w:r>
        <w:t xml:space="preserve"> </w:t>
      </w:r>
      <w:r w:rsidR="0096536C" w:rsidRPr="00E056E5">
        <w:t>Radchenko 2015</w:t>
      </w:r>
      <w:r w:rsidR="0096536C">
        <w:t xml:space="preserve">; </w:t>
      </w:r>
      <w:r w:rsidR="00F92CD8" w:rsidRPr="00F92CD8">
        <w:t xml:space="preserve">Szalontai </w:t>
      </w:r>
      <w:r w:rsidR="00F92CD8">
        <w:t xml:space="preserve">and </w:t>
      </w:r>
      <w:r w:rsidR="00E056E5" w:rsidRPr="00E056E5">
        <w:t>Radchenko 2006.</w:t>
      </w:r>
    </w:p>
  </w:footnote>
  <w:footnote w:id="67">
    <w:p w14:paraId="12C70ABD" w14:textId="42CFC4C1" w:rsidR="00E056E5" w:rsidRDefault="00E056E5">
      <w:pPr>
        <w:pStyle w:val="FootnoteText"/>
      </w:pPr>
      <w:r>
        <w:rPr>
          <w:rStyle w:val="FootnoteReference"/>
        </w:rPr>
        <w:footnoteRef/>
      </w:r>
      <w:r>
        <w:t xml:space="preserve"> Hecker et al., 2018.</w:t>
      </w:r>
    </w:p>
  </w:footnote>
  <w:footnote w:id="68">
    <w:p w14:paraId="2A278C6A" w14:textId="4E47988F" w:rsidR="00E056E5" w:rsidRDefault="00E056E5">
      <w:pPr>
        <w:pStyle w:val="FootnoteText"/>
      </w:pPr>
      <w:r>
        <w:rPr>
          <w:rStyle w:val="FootnoteReference"/>
        </w:rPr>
        <w:footnoteRef/>
      </w:r>
      <w:r>
        <w:t xml:space="preserve"> </w:t>
      </w:r>
      <w:proofErr w:type="spellStart"/>
      <w:r>
        <w:t>Mansourov</w:t>
      </w:r>
      <w:proofErr w:type="spellEnd"/>
      <w:r>
        <w:t xml:space="preserve"> 1995, 27; Mazarr 1997, 29.</w:t>
      </w:r>
    </w:p>
  </w:footnote>
  <w:footnote w:id="69">
    <w:p w14:paraId="0F4665E5" w14:textId="2B63DAFE" w:rsidR="00E056E5" w:rsidRDefault="00E056E5">
      <w:pPr>
        <w:pStyle w:val="FootnoteText"/>
      </w:pPr>
      <w:r>
        <w:rPr>
          <w:rStyle w:val="FootnoteReference"/>
        </w:rPr>
        <w:footnoteRef/>
      </w:r>
      <w:r>
        <w:t xml:space="preserve"> </w:t>
      </w:r>
      <w:r w:rsidRPr="00E056E5">
        <w:t xml:space="preserve">See Article III.4 in </w:t>
      </w:r>
      <w:r w:rsidR="00D07EAF" w:rsidRPr="00D07EAF">
        <w:t xml:space="preserve">United </w:t>
      </w:r>
      <w:r w:rsidR="00EE16CE">
        <w:t>Nations</w:t>
      </w:r>
      <w:r w:rsidR="00D07EAF">
        <w:t xml:space="preserve"> </w:t>
      </w:r>
      <w:r w:rsidR="00D07EAF" w:rsidRPr="00E056E5">
        <w:t>n.d.</w:t>
      </w:r>
    </w:p>
  </w:footnote>
  <w:footnote w:id="70">
    <w:p w14:paraId="4E5A1C02" w14:textId="0AE42567" w:rsidR="00E056E5" w:rsidRDefault="00E056E5">
      <w:pPr>
        <w:pStyle w:val="FootnoteText"/>
      </w:pPr>
      <w:r>
        <w:rPr>
          <w:rStyle w:val="FootnoteReference"/>
        </w:rPr>
        <w:footnoteRef/>
      </w:r>
      <w:r>
        <w:t xml:space="preserve"> </w:t>
      </w:r>
      <w:r w:rsidR="00D07EAF" w:rsidRPr="00E056E5">
        <w:t>U.S. Department of State</w:t>
      </w:r>
      <w:r w:rsidR="00D07EAF">
        <w:t xml:space="preserve"> 2017.</w:t>
      </w:r>
    </w:p>
  </w:footnote>
  <w:footnote w:id="71">
    <w:p w14:paraId="24D2F058" w14:textId="54AE71FA" w:rsidR="00F71AED" w:rsidRDefault="00F71AED">
      <w:pPr>
        <w:pStyle w:val="FootnoteText"/>
      </w:pPr>
      <w:r>
        <w:rPr>
          <w:rStyle w:val="FootnoteReference"/>
        </w:rPr>
        <w:footnoteRef/>
      </w:r>
      <w:r>
        <w:t xml:space="preserve"> Radchenko, 2015.</w:t>
      </w:r>
    </w:p>
  </w:footnote>
  <w:footnote w:id="72">
    <w:p w14:paraId="3A870B6B" w14:textId="64A72EAC" w:rsidR="00F71AED" w:rsidRDefault="00F71AED">
      <w:pPr>
        <w:pStyle w:val="FootnoteText"/>
      </w:pPr>
      <w:r>
        <w:rPr>
          <w:rStyle w:val="FootnoteReference"/>
        </w:rPr>
        <w:footnoteRef/>
      </w:r>
      <w:r>
        <w:t xml:space="preserve"> Radchenko, 2015.</w:t>
      </w:r>
    </w:p>
  </w:footnote>
  <w:footnote w:id="73">
    <w:p w14:paraId="19E99DE3" w14:textId="1FA89287" w:rsidR="00F71AED" w:rsidRDefault="00F71AED">
      <w:pPr>
        <w:pStyle w:val="FootnoteText"/>
      </w:pPr>
      <w:r>
        <w:rPr>
          <w:rStyle w:val="FootnoteReference"/>
        </w:rPr>
        <w:footnoteRef/>
      </w:r>
      <w:r>
        <w:t xml:space="preserve"> Radchenko, 2015.</w:t>
      </w:r>
    </w:p>
  </w:footnote>
  <w:footnote w:id="74">
    <w:p w14:paraId="3C97A03C" w14:textId="6D7B92B1" w:rsidR="00F71AED" w:rsidRDefault="00F71AED">
      <w:pPr>
        <w:pStyle w:val="FootnoteText"/>
      </w:pPr>
      <w:r>
        <w:rPr>
          <w:rStyle w:val="FootnoteReference"/>
        </w:rPr>
        <w:footnoteRef/>
      </w:r>
      <w:r>
        <w:t xml:space="preserve"> </w:t>
      </w:r>
      <w:r w:rsidR="00272C56">
        <w:t>Fischer 1997</w:t>
      </w:r>
      <w:r w:rsidR="00D07EAF">
        <w:t>b</w:t>
      </w:r>
      <w:r w:rsidR="00272C56">
        <w:t>, 1.</w:t>
      </w:r>
    </w:p>
  </w:footnote>
  <w:footnote w:id="75">
    <w:p w14:paraId="461A5F88" w14:textId="18BB6E36" w:rsidR="00B808B6" w:rsidRDefault="00B808B6">
      <w:pPr>
        <w:pStyle w:val="FootnoteText"/>
      </w:pPr>
      <w:r>
        <w:rPr>
          <w:rStyle w:val="FootnoteReference"/>
        </w:rPr>
        <w:footnoteRef/>
      </w:r>
      <w:r>
        <w:t xml:space="preserve"> Fischer 1997b, 1.</w:t>
      </w:r>
    </w:p>
  </w:footnote>
  <w:footnote w:id="76">
    <w:p w14:paraId="05FA534D" w14:textId="569FA2B4" w:rsidR="001E5968" w:rsidRDefault="001E5968">
      <w:pPr>
        <w:pStyle w:val="FootnoteText"/>
      </w:pPr>
      <w:r>
        <w:rPr>
          <w:rStyle w:val="FootnoteReference"/>
        </w:rPr>
        <w:footnoteRef/>
      </w:r>
      <w:r>
        <w:t xml:space="preserve"> </w:t>
      </w:r>
      <w:r>
        <w:rPr>
          <w:rFonts w:hint="eastAsia"/>
        </w:rPr>
        <w:t>Boutin 2003, 74-75.</w:t>
      </w:r>
    </w:p>
  </w:footnote>
  <w:footnote w:id="77">
    <w:p w14:paraId="62793A28" w14:textId="66FCF138" w:rsidR="004D2324" w:rsidRDefault="004D2324" w:rsidP="004D2324">
      <w:pPr>
        <w:pStyle w:val="FootnoteText"/>
      </w:pPr>
      <w:r>
        <w:rPr>
          <w:rStyle w:val="FootnoteReference"/>
        </w:rPr>
        <w:footnoteRef/>
      </w:r>
      <w:r>
        <w:t xml:space="preserve"> </w:t>
      </w:r>
      <w:proofErr w:type="spellStart"/>
      <w:r>
        <w:t>Froscher</w:t>
      </w:r>
      <w:proofErr w:type="spellEnd"/>
      <w:r>
        <w:rPr>
          <w:rFonts w:hint="eastAsia"/>
        </w:rPr>
        <w:t xml:space="preserve"> </w:t>
      </w:r>
      <w:r>
        <w:t>2019</w:t>
      </w:r>
      <w:r>
        <w:rPr>
          <w:rFonts w:hint="eastAsia"/>
        </w:rPr>
        <w:t>,</w:t>
      </w:r>
      <w:r>
        <w:t xml:space="preserve"> 21-22. </w:t>
      </w:r>
    </w:p>
  </w:footnote>
  <w:footnote w:id="78">
    <w:p w14:paraId="2472C78B" w14:textId="11AE6EE8" w:rsidR="004D2324" w:rsidRDefault="004D2324">
      <w:pPr>
        <w:pStyle w:val="FootnoteText"/>
      </w:pPr>
      <w:r>
        <w:rPr>
          <w:rStyle w:val="FootnoteReference"/>
        </w:rPr>
        <w:footnoteRef/>
      </w:r>
      <w:r>
        <w:t xml:space="preserve"> </w:t>
      </w:r>
      <w:r>
        <w:rPr>
          <w:rFonts w:hint="eastAsia"/>
        </w:rPr>
        <w:t>Albright 1994. 66-67.</w:t>
      </w:r>
    </w:p>
  </w:footnote>
  <w:footnote w:id="79">
    <w:p w14:paraId="7A53DB6E" w14:textId="1A760126" w:rsidR="00F71AED" w:rsidRDefault="00F71AED">
      <w:pPr>
        <w:pStyle w:val="FootnoteText"/>
      </w:pPr>
      <w:r>
        <w:rPr>
          <w:rStyle w:val="FootnoteReference"/>
        </w:rPr>
        <w:footnoteRef/>
      </w:r>
      <w:r>
        <w:t xml:space="preserve"> </w:t>
      </w:r>
      <w:r w:rsidR="00272C56">
        <w:t>Dembinski 1</w:t>
      </w:r>
      <w:r w:rsidR="00872FFA">
        <w:rPr>
          <w:rFonts w:hint="eastAsia"/>
        </w:rPr>
        <w:t>99</w:t>
      </w:r>
      <w:r w:rsidR="00272C56">
        <w:t>5.</w:t>
      </w:r>
    </w:p>
  </w:footnote>
  <w:footnote w:id="80">
    <w:p w14:paraId="43123A71" w14:textId="74801E92" w:rsidR="00272C56" w:rsidRDefault="00272C56">
      <w:pPr>
        <w:pStyle w:val="FootnoteText"/>
      </w:pPr>
      <w:r>
        <w:rPr>
          <w:rStyle w:val="FootnoteReference"/>
        </w:rPr>
        <w:footnoteRef/>
      </w:r>
      <w:r>
        <w:t xml:space="preserve"> Fischer 1997</w:t>
      </w:r>
      <w:r w:rsidR="00D07EAF">
        <w:t>b</w:t>
      </w:r>
      <w:r>
        <w:t>, 1.</w:t>
      </w:r>
    </w:p>
  </w:footnote>
  <w:footnote w:id="81">
    <w:p w14:paraId="1006BE5C" w14:textId="5B6F136D" w:rsidR="00771461" w:rsidRDefault="00771461">
      <w:pPr>
        <w:pStyle w:val="FootnoteText"/>
      </w:pPr>
      <w:r>
        <w:rPr>
          <w:rStyle w:val="FootnoteReference"/>
        </w:rPr>
        <w:footnoteRef/>
      </w:r>
      <w:r>
        <w:t xml:space="preserve"> </w:t>
      </w:r>
      <w:r>
        <w:rPr>
          <w:rFonts w:hint="eastAsia"/>
        </w:rPr>
        <w:t>Albright 1994, 66-68</w:t>
      </w:r>
    </w:p>
  </w:footnote>
  <w:footnote w:id="82">
    <w:p w14:paraId="31127608" w14:textId="4CDDEF7C" w:rsidR="00771461" w:rsidRDefault="00771461">
      <w:pPr>
        <w:pStyle w:val="FootnoteText"/>
      </w:pPr>
      <w:r>
        <w:rPr>
          <w:rStyle w:val="FootnoteReference"/>
        </w:rPr>
        <w:footnoteRef/>
      </w:r>
      <w:r>
        <w:t xml:space="preserve"> </w:t>
      </w:r>
      <w:r w:rsidR="00CB1AEB">
        <w:rPr>
          <w:rFonts w:hint="eastAsia"/>
        </w:rPr>
        <w:t>Albright 1994, 75. Also, see Fischer 1997a; Hecker et al. 2018.</w:t>
      </w:r>
    </w:p>
  </w:footnote>
  <w:footnote w:id="83">
    <w:p w14:paraId="684B47FC" w14:textId="4CFF6430" w:rsidR="00272C56" w:rsidRDefault="00272C56">
      <w:pPr>
        <w:pStyle w:val="FootnoteText"/>
      </w:pPr>
      <w:r>
        <w:rPr>
          <w:rStyle w:val="FootnoteReference"/>
        </w:rPr>
        <w:footnoteRef/>
      </w:r>
      <w:r>
        <w:t xml:space="preserve"> Carrel-Billiard and Wing 2010, 29.</w:t>
      </w:r>
    </w:p>
  </w:footnote>
  <w:footnote w:id="84">
    <w:p w14:paraId="5CD7E095" w14:textId="1EA05F00" w:rsidR="00925723" w:rsidRDefault="00925723">
      <w:pPr>
        <w:pStyle w:val="FootnoteText"/>
      </w:pPr>
      <w:r>
        <w:rPr>
          <w:rStyle w:val="FootnoteReference"/>
        </w:rPr>
        <w:footnoteRef/>
      </w:r>
      <w:r>
        <w:t xml:space="preserve"> </w:t>
      </w:r>
      <w:r>
        <w:rPr>
          <w:rFonts w:hint="eastAsia"/>
        </w:rPr>
        <w:t>Wit et al. 2004, 34.</w:t>
      </w:r>
    </w:p>
  </w:footnote>
  <w:footnote w:id="85">
    <w:p w14:paraId="1526A7DA" w14:textId="3C16C5A7" w:rsidR="00272C56" w:rsidRDefault="00272C56">
      <w:pPr>
        <w:pStyle w:val="FootnoteText"/>
      </w:pPr>
      <w:r>
        <w:rPr>
          <w:rStyle w:val="FootnoteReference"/>
        </w:rPr>
        <w:footnoteRef/>
      </w:r>
      <w:r>
        <w:t xml:space="preserve"> Fischer 1997</w:t>
      </w:r>
      <w:r w:rsidR="00D07EAF">
        <w:t>b</w:t>
      </w:r>
      <w:r>
        <w:t>, 4</w:t>
      </w:r>
      <w:r w:rsidR="0090276B">
        <w:rPr>
          <w:rFonts w:hint="eastAsia"/>
        </w:rPr>
        <w:t>; Dembinski 1995, 33-34. On the different types of inspection, see Leventhal and Dolley 1994, 168.</w:t>
      </w:r>
    </w:p>
  </w:footnote>
  <w:footnote w:id="86">
    <w:p w14:paraId="213500A4" w14:textId="6A8DF4D9" w:rsidR="00272C56" w:rsidRDefault="00272C56">
      <w:pPr>
        <w:pStyle w:val="FootnoteText"/>
      </w:pPr>
      <w:r>
        <w:rPr>
          <w:rStyle w:val="FootnoteReference"/>
        </w:rPr>
        <w:footnoteRef/>
      </w:r>
      <w:r>
        <w:t xml:space="preserve"> </w:t>
      </w:r>
      <w:proofErr w:type="spellStart"/>
      <w:r w:rsidRPr="00D07EAF">
        <w:t>IAEA</w:t>
      </w:r>
      <w:r w:rsidR="00D07EAF">
        <w:t>b</w:t>
      </w:r>
      <w:proofErr w:type="spellEnd"/>
      <w:r w:rsidRPr="00272C56">
        <w:t xml:space="preserve"> n.d</w:t>
      </w:r>
      <w:r>
        <w:t>.</w:t>
      </w:r>
    </w:p>
  </w:footnote>
  <w:footnote w:id="87">
    <w:p w14:paraId="376983D0" w14:textId="7D6B20A9" w:rsidR="008F1C5F" w:rsidRDefault="008F1C5F">
      <w:pPr>
        <w:pStyle w:val="FootnoteText"/>
      </w:pPr>
      <w:r>
        <w:rPr>
          <w:rStyle w:val="FootnoteReference"/>
        </w:rPr>
        <w:footnoteRef/>
      </w:r>
      <w:r>
        <w:t xml:space="preserve"> </w:t>
      </w:r>
      <w:r w:rsidRPr="008F1C5F">
        <w:t>Sigal</w:t>
      </w:r>
      <w:r w:rsidR="00D07EAF">
        <w:t xml:space="preserve"> 2018.</w:t>
      </w:r>
    </w:p>
  </w:footnote>
  <w:footnote w:id="88">
    <w:p w14:paraId="57C76FD4" w14:textId="2C780007" w:rsidR="008F1C5F" w:rsidRDefault="008F1C5F">
      <w:pPr>
        <w:pStyle w:val="FootnoteText"/>
      </w:pPr>
      <w:r>
        <w:rPr>
          <w:rStyle w:val="FootnoteReference"/>
        </w:rPr>
        <w:footnoteRef/>
      </w:r>
      <w:r>
        <w:t xml:space="preserve"> Snyder 2000, 8.</w:t>
      </w:r>
    </w:p>
  </w:footnote>
  <w:footnote w:id="89">
    <w:p w14:paraId="4414F41C" w14:textId="5470C45F" w:rsidR="00854D25" w:rsidRDefault="00854D25">
      <w:pPr>
        <w:pStyle w:val="FootnoteText"/>
      </w:pPr>
      <w:r>
        <w:rPr>
          <w:rStyle w:val="FootnoteReference"/>
        </w:rPr>
        <w:footnoteRef/>
      </w:r>
      <w:r>
        <w:t xml:space="preserve"> </w:t>
      </w:r>
      <w:proofErr w:type="spellStart"/>
      <w:r w:rsidRPr="00854D25">
        <w:t>Poneman</w:t>
      </w:r>
      <w:proofErr w:type="spellEnd"/>
      <w:r w:rsidR="00865E41">
        <w:t xml:space="preserve"> 2007.</w:t>
      </w:r>
    </w:p>
  </w:footnote>
  <w:footnote w:id="90">
    <w:p w14:paraId="5916459D" w14:textId="490F4334" w:rsidR="00854D25" w:rsidRDefault="00854D25">
      <w:pPr>
        <w:pStyle w:val="FootnoteText"/>
      </w:pPr>
      <w:r>
        <w:rPr>
          <w:rStyle w:val="FootnoteReference"/>
        </w:rPr>
        <w:footnoteRef/>
      </w:r>
      <w:r>
        <w:t xml:space="preserve"> </w:t>
      </w:r>
      <w:r w:rsidRPr="00854D25">
        <w:t xml:space="preserve">The US led in the enforcement of North Korea’s compliance and negotiations with Pyongyang in part because members of the UNSC—in view of China’s veto—could not reach an agreement on the actions to take. Fischer </w:t>
      </w:r>
      <w:r w:rsidR="00865E41">
        <w:t>2000</w:t>
      </w:r>
      <w:r>
        <w:t>,</w:t>
      </w:r>
      <w:r w:rsidRPr="00854D25">
        <w:t xml:space="preserve"> 15.</w:t>
      </w:r>
    </w:p>
  </w:footnote>
  <w:footnote w:id="91">
    <w:p w14:paraId="14923FA0" w14:textId="478B4FFD" w:rsidR="008F1C5F" w:rsidRDefault="008F1C5F">
      <w:pPr>
        <w:pStyle w:val="FootnoteText"/>
      </w:pPr>
      <w:r>
        <w:rPr>
          <w:rStyle w:val="FootnoteReference"/>
        </w:rPr>
        <w:footnoteRef/>
      </w:r>
      <w:r>
        <w:t xml:space="preserve"> </w:t>
      </w:r>
      <w:r w:rsidR="00854D25" w:rsidRPr="00854D25">
        <w:t>Sigal 1998, 125; Park and Peh 2020; Peh and Park 2021.</w:t>
      </w:r>
    </w:p>
  </w:footnote>
  <w:footnote w:id="92">
    <w:p w14:paraId="573F02DA" w14:textId="5D5BCB57" w:rsidR="00854D25" w:rsidRDefault="00854D25">
      <w:pPr>
        <w:pStyle w:val="FootnoteText"/>
      </w:pPr>
      <w:r>
        <w:rPr>
          <w:rStyle w:val="FootnoteReference"/>
        </w:rPr>
        <w:footnoteRef/>
      </w:r>
      <w:r>
        <w:t xml:space="preserve"> Du Preez and Potter 2003; Sigal 1998, 97-108.</w:t>
      </w:r>
    </w:p>
  </w:footnote>
  <w:footnote w:id="93">
    <w:p w14:paraId="5B50BDB1" w14:textId="02F1DE1B" w:rsidR="00854D25" w:rsidRDefault="00854D25">
      <w:pPr>
        <w:pStyle w:val="FootnoteText"/>
      </w:pPr>
      <w:r>
        <w:rPr>
          <w:rStyle w:val="FootnoteReference"/>
        </w:rPr>
        <w:footnoteRef/>
      </w:r>
      <w:r>
        <w:t xml:space="preserve"> </w:t>
      </w:r>
      <w:proofErr w:type="spellStart"/>
      <w:r>
        <w:t>Poneman</w:t>
      </w:r>
      <w:proofErr w:type="spellEnd"/>
      <w:r>
        <w:t xml:space="preserve"> 2022, 82.</w:t>
      </w:r>
    </w:p>
  </w:footnote>
  <w:footnote w:id="94">
    <w:p w14:paraId="17EBB987" w14:textId="778EA141" w:rsidR="00D35B5A" w:rsidRPr="00D35B5A" w:rsidRDefault="00D35B5A">
      <w:pPr>
        <w:pStyle w:val="FootnoteText"/>
      </w:pPr>
      <w:r>
        <w:rPr>
          <w:rStyle w:val="FootnoteReference"/>
        </w:rPr>
        <w:footnoteRef/>
      </w:r>
      <w:r>
        <w:t xml:space="preserve"> </w:t>
      </w:r>
      <w:r w:rsidR="00C65F17">
        <w:rPr>
          <w:rFonts w:hint="eastAsia"/>
        </w:rPr>
        <w:t xml:space="preserve">Iran is an instructive but imperfect </w:t>
      </w:r>
      <w:r w:rsidR="00C65F17">
        <w:t>comparison</w:t>
      </w:r>
      <w:r w:rsidR="00C65F17">
        <w:rPr>
          <w:rFonts w:hint="eastAsia"/>
        </w:rPr>
        <w:t>. The IAEA did not detect Natanz or Arak through its own intrinsic means; both sites were revealed by the Iranian opposition groups in August 2002, after which the IAEA confirmed them through inspections</w:t>
      </w:r>
      <w:r w:rsidR="00C76F66">
        <w:rPr>
          <w:rFonts w:hint="eastAsia"/>
        </w:rPr>
        <w:t xml:space="preserve"> (Gerami and Goldschmidt 2016)</w:t>
      </w:r>
      <w:r w:rsidR="00C65F17">
        <w:rPr>
          <w:rFonts w:hint="eastAsia"/>
        </w:rPr>
        <w:t>. The subsequent noncompliance findings (</w:t>
      </w:r>
      <w:r w:rsidR="00B353B9">
        <w:t>GOV/2005/77</w:t>
      </w:r>
      <w:r w:rsidR="00C65F17">
        <w:rPr>
          <w:rFonts w:hint="eastAsia"/>
        </w:rPr>
        <w:t>), UNSC referral (</w:t>
      </w:r>
      <w:r w:rsidR="00B353B9">
        <w:t>GOV/2006/14</w:t>
      </w:r>
      <w:r w:rsidR="00C65F17">
        <w:rPr>
          <w:rFonts w:hint="eastAsia"/>
        </w:rPr>
        <w:t>), and first sanctions (</w:t>
      </w:r>
      <w:r w:rsidR="00C76F66">
        <w:rPr>
          <w:rFonts w:hint="eastAsia"/>
        </w:rPr>
        <w:t>UN</w:t>
      </w:r>
      <w:r w:rsidR="00B353B9">
        <w:t>SC resolution 1737,</w:t>
      </w:r>
      <w:r w:rsidR="00C65F17">
        <w:rPr>
          <w:rFonts w:hint="eastAsia"/>
        </w:rPr>
        <w:t xml:space="preserve"> 2006) </w:t>
      </w:r>
      <w:proofErr w:type="gramStart"/>
      <w:r w:rsidR="00C65F17">
        <w:rPr>
          <w:rFonts w:hint="eastAsia"/>
        </w:rPr>
        <w:t>followed after</w:t>
      </w:r>
      <w:proofErr w:type="gramEnd"/>
      <w:r w:rsidR="00C65F17">
        <w:rPr>
          <w:rFonts w:hint="eastAsia"/>
        </w:rPr>
        <w:t xml:space="preserve"> significant delay driven by obstruction and geopolitical factors rather than detection failure. Cases of IAEA-intrinsic detection include Syria (Dair Al-Zour, 2008, where </w:t>
      </w:r>
      <w:r w:rsidR="00C65F17">
        <w:t>environmental</w:t>
      </w:r>
      <w:r w:rsidR="00C65F17">
        <w:rPr>
          <w:rFonts w:hint="eastAsia"/>
        </w:rPr>
        <w:t xml:space="preserve"> sampling identified anthropogenic uranium particles at an undeclared site)</w:t>
      </w:r>
      <w:r w:rsidR="00995A26">
        <w:rPr>
          <w:rFonts w:hint="eastAsia"/>
        </w:rPr>
        <w:t xml:space="preserve"> (IAEA 2011)</w:t>
      </w:r>
      <w:r w:rsidR="00C65F17">
        <w:rPr>
          <w:rFonts w:hint="eastAsia"/>
        </w:rPr>
        <w:t xml:space="preserve"> and Egypt (Inshas, 2007</w:t>
      </w:r>
      <w:r w:rsidR="00995A26">
        <w:rPr>
          <w:rFonts w:hint="eastAsia"/>
        </w:rPr>
        <w:t>/08</w:t>
      </w:r>
      <w:r w:rsidR="00C65F17">
        <w:rPr>
          <w:rFonts w:hint="eastAsia"/>
        </w:rPr>
        <w:t>, where HEU particles were found in environmental samples)</w:t>
      </w:r>
      <w:r w:rsidR="00995A26">
        <w:rPr>
          <w:rFonts w:hint="eastAsia"/>
        </w:rPr>
        <w:t xml:space="preserve"> (Goldschmidt 2009)</w:t>
      </w:r>
      <w:r w:rsidR="00C65F17">
        <w:rPr>
          <w:rFonts w:hint="eastAsia"/>
        </w:rPr>
        <w:t>.</w:t>
      </w:r>
    </w:p>
  </w:footnote>
  <w:footnote w:id="95">
    <w:p w14:paraId="0D12E4A9" w14:textId="49D70717" w:rsidR="00925723" w:rsidRDefault="00925723">
      <w:pPr>
        <w:pStyle w:val="FootnoteText"/>
      </w:pPr>
      <w:r>
        <w:rPr>
          <w:rStyle w:val="FootnoteReference"/>
        </w:rPr>
        <w:footnoteRef/>
      </w:r>
      <w:r>
        <w:t xml:space="preserve"> </w:t>
      </w:r>
      <w:r>
        <w:rPr>
          <w:rFonts w:hint="eastAsia"/>
        </w:rPr>
        <w:t>Albright 1994, 70.</w:t>
      </w:r>
    </w:p>
  </w:footnote>
  <w:footnote w:id="96">
    <w:p w14:paraId="3C9E4F8D" w14:textId="097B5F62" w:rsidR="0090276B" w:rsidRDefault="0090276B">
      <w:pPr>
        <w:pStyle w:val="FootnoteText"/>
      </w:pPr>
      <w:r>
        <w:rPr>
          <w:rStyle w:val="FootnoteReference"/>
        </w:rPr>
        <w:footnoteRef/>
      </w:r>
      <w:r>
        <w:t xml:space="preserve"> </w:t>
      </w:r>
      <w:r>
        <w:rPr>
          <w:rFonts w:hint="eastAsia"/>
        </w:rPr>
        <w:t>Wit et al. 2004, 34.</w:t>
      </w:r>
    </w:p>
  </w:footnote>
  <w:footnote w:id="97">
    <w:p w14:paraId="0A759C90" w14:textId="39329419" w:rsidR="00854D25" w:rsidRDefault="00854D25">
      <w:pPr>
        <w:pStyle w:val="FootnoteText"/>
      </w:pPr>
      <w:r>
        <w:rPr>
          <w:rStyle w:val="FootnoteReference"/>
        </w:rPr>
        <w:footnoteRef/>
      </w:r>
      <w:r>
        <w:t xml:space="preserve"> </w:t>
      </w:r>
      <w:r w:rsidR="00E673E1" w:rsidRPr="00E673E1">
        <w:t xml:space="preserve">Carpenter 2017; </w:t>
      </w:r>
      <w:proofErr w:type="spellStart"/>
      <w:r w:rsidR="00E673E1" w:rsidRPr="00E673E1">
        <w:t>Poneman</w:t>
      </w:r>
      <w:proofErr w:type="spellEnd"/>
      <w:r w:rsidR="00E673E1">
        <w:t xml:space="preserve"> 2007.</w:t>
      </w:r>
    </w:p>
  </w:footnote>
  <w:footnote w:id="98">
    <w:p w14:paraId="7E9D4D41" w14:textId="44416556" w:rsidR="00E673E1" w:rsidRDefault="00E673E1">
      <w:pPr>
        <w:pStyle w:val="FootnoteText"/>
      </w:pPr>
      <w:r>
        <w:rPr>
          <w:rStyle w:val="FootnoteReference"/>
        </w:rPr>
        <w:footnoteRef/>
      </w:r>
      <w:r>
        <w:t xml:space="preserve"> PBS 2003.</w:t>
      </w:r>
    </w:p>
  </w:footnote>
  <w:footnote w:id="99">
    <w:p w14:paraId="5CE5F28A" w14:textId="0E0FC0BD" w:rsidR="00E673E1" w:rsidRDefault="00E673E1">
      <w:pPr>
        <w:pStyle w:val="FootnoteText"/>
      </w:pPr>
      <w:r>
        <w:rPr>
          <w:rStyle w:val="FootnoteReference"/>
        </w:rPr>
        <w:footnoteRef/>
      </w:r>
      <w:r>
        <w:t xml:space="preserve"> Bas and Coe 2018.</w:t>
      </w:r>
    </w:p>
  </w:footnote>
  <w:footnote w:id="100">
    <w:p w14:paraId="7A7B7434" w14:textId="66F57A68" w:rsidR="00E673E1" w:rsidRDefault="00E673E1">
      <w:pPr>
        <w:pStyle w:val="FootnoteText"/>
      </w:pPr>
      <w:r>
        <w:rPr>
          <w:rStyle w:val="FootnoteReference"/>
        </w:rPr>
        <w:footnoteRef/>
      </w:r>
      <w:r>
        <w:t xml:space="preserve"> Park and Peh 2020, 106.</w:t>
      </w:r>
    </w:p>
  </w:footnote>
  <w:footnote w:id="101">
    <w:p w14:paraId="04675CF3" w14:textId="01DCAA81" w:rsidR="00E673E1" w:rsidRDefault="00E673E1">
      <w:pPr>
        <w:pStyle w:val="FootnoteText"/>
      </w:pPr>
      <w:r>
        <w:rPr>
          <w:rStyle w:val="FootnoteReference"/>
        </w:rPr>
        <w:footnoteRef/>
      </w:r>
      <w:r>
        <w:t xml:space="preserve"> Carlson </w:t>
      </w:r>
      <w:r w:rsidRPr="00E673E1">
        <w:t>2020</w:t>
      </w:r>
      <w:r w:rsidR="003D2203">
        <w:rPr>
          <w:rFonts w:hint="eastAsia"/>
        </w:rPr>
        <w:t>b</w:t>
      </w:r>
      <w:r>
        <w:t xml:space="preserve">. </w:t>
      </w:r>
    </w:p>
  </w:footnote>
  <w:footnote w:id="102">
    <w:p w14:paraId="5AE983D5" w14:textId="6566C941" w:rsidR="000E306A" w:rsidRPr="00D50392" w:rsidRDefault="000E306A" w:rsidP="000E306A">
      <w:pPr>
        <w:pStyle w:val="FootnoteText"/>
      </w:pPr>
      <w:r>
        <w:rPr>
          <w:rStyle w:val="FootnoteReference"/>
        </w:rPr>
        <w:footnoteRef/>
      </w:r>
      <w:r>
        <w:t xml:space="preserve"> </w:t>
      </w:r>
      <w:r>
        <w:rPr>
          <w:rFonts w:hint="eastAsia"/>
        </w:rPr>
        <w:t xml:space="preserve">Under </w:t>
      </w:r>
      <w:r>
        <w:t>comprehensive</w:t>
      </w:r>
      <w:r>
        <w:rPr>
          <w:rFonts w:hint="eastAsia"/>
        </w:rPr>
        <w:t xml:space="preserve"> safeguards (INFCIRC/153 and AP), </w:t>
      </w:r>
      <w:r>
        <w:t xml:space="preserve">the </w:t>
      </w:r>
      <w:r>
        <w:rPr>
          <w:rFonts w:hint="eastAsia"/>
        </w:rPr>
        <w:t xml:space="preserve">IAEA investigates all undeclared nuclear material and activities. The Agreed Framework imposed situation-specific restrictions: the IAEA was </w:t>
      </w:r>
      <w:r>
        <w:t>‘</w:t>
      </w:r>
      <w:r>
        <w:rPr>
          <w:rFonts w:hint="eastAsia"/>
        </w:rPr>
        <w:t xml:space="preserve">not authorized to </w:t>
      </w:r>
      <w:r w:rsidR="008532AF">
        <w:rPr>
          <w:rFonts w:hint="eastAsia"/>
        </w:rPr>
        <w:t xml:space="preserve">conduct verification activities away from Yongbyon (other than the </w:t>
      </w:r>
      <w:proofErr w:type="spellStart"/>
      <w:r w:rsidR="008532AF">
        <w:rPr>
          <w:rFonts w:hint="eastAsia"/>
        </w:rPr>
        <w:t>Taechon</w:t>
      </w:r>
      <w:proofErr w:type="spellEnd"/>
      <w:r w:rsidR="008532AF">
        <w:rPr>
          <w:rFonts w:hint="eastAsia"/>
        </w:rPr>
        <w:t xml:space="preserve"> reactor) until a significant portion of the light water reactor project under the Agreed Framework was complete</w:t>
      </w:r>
      <w:r w:rsidR="008532AF">
        <w:t>’</w:t>
      </w:r>
      <w:r w:rsidR="008532AF">
        <w:rPr>
          <w:rFonts w:hint="eastAsia"/>
        </w:rPr>
        <w:t xml:space="preserve"> (Carlson 2020a). This shift from investigative to compliance-focused monitoring prevented detection of uranium enrichment activities. See </w:t>
      </w:r>
      <w:proofErr w:type="spellStart"/>
      <w:r w:rsidR="008532AF">
        <w:rPr>
          <w:rFonts w:hint="eastAsia"/>
        </w:rPr>
        <w:t>Bytchkov</w:t>
      </w:r>
      <w:proofErr w:type="spellEnd"/>
      <w:r w:rsidR="008532AF">
        <w:rPr>
          <w:rFonts w:hint="eastAsia"/>
        </w:rPr>
        <w:t xml:space="preserve"> and Carlson 2024 on verification modality changes.</w:t>
      </w:r>
    </w:p>
  </w:footnote>
  <w:footnote w:id="103">
    <w:p w14:paraId="52589688" w14:textId="497DBB27" w:rsidR="00DF2FE5" w:rsidRDefault="00DF2FE5">
      <w:pPr>
        <w:pStyle w:val="FootnoteText"/>
      </w:pPr>
      <w:r>
        <w:rPr>
          <w:rStyle w:val="FootnoteReference"/>
        </w:rPr>
        <w:footnoteRef/>
      </w:r>
      <w:r>
        <w:t xml:space="preserve"> </w:t>
      </w:r>
      <w:r w:rsidR="000624EA">
        <w:t>Winters 2005.</w:t>
      </w:r>
    </w:p>
  </w:footnote>
  <w:footnote w:id="104">
    <w:p w14:paraId="6B2525DA" w14:textId="75535EE3" w:rsidR="00DF2FE5" w:rsidRDefault="00DF2FE5">
      <w:pPr>
        <w:pStyle w:val="FootnoteText"/>
      </w:pPr>
      <w:r>
        <w:rPr>
          <w:rStyle w:val="FootnoteReference"/>
        </w:rPr>
        <w:footnoteRef/>
      </w:r>
      <w:r>
        <w:t xml:space="preserve"> </w:t>
      </w:r>
      <w:r w:rsidR="000624EA">
        <w:t>United Nations n.d.</w:t>
      </w:r>
    </w:p>
  </w:footnote>
  <w:footnote w:id="105">
    <w:p w14:paraId="7BAB96A6" w14:textId="6085A969" w:rsidR="000624EA" w:rsidRDefault="000624EA">
      <w:pPr>
        <w:pStyle w:val="FootnoteText"/>
      </w:pPr>
      <w:r>
        <w:rPr>
          <w:rStyle w:val="FootnoteReference"/>
        </w:rPr>
        <w:footnoteRef/>
      </w:r>
      <w:r>
        <w:t xml:space="preserve"> KCNA 2003.</w:t>
      </w:r>
    </w:p>
  </w:footnote>
  <w:footnote w:id="106">
    <w:p w14:paraId="4E315D20" w14:textId="5C102A20" w:rsidR="000624EA" w:rsidRDefault="000624EA">
      <w:pPr>
        <w:pStyle w:val="FootnoteText"/>
      </w:pPr>
      <w:r>
        <w:rPr>
          <w:rStyle w:val="FootnoteReference"/>
        </w:rPr>
        <w:footnoteRef/>
      </w:r>
      <w:r>
        <w:t xml:space="preserve"> Sigal n.d.</w:t>
      </w:r>
    </w:p>
  </w:footnote>
  <w:footnote w:id="107">
    <w:p w14:paraId="0DFD31BE" w14:textId="105B3F3E" w:rsidR="000624EA" w:rsidRDefault="000624EA">
      <w:pPr>
        <w:pStyle w:val="FootnoteText"/>
      </w:pPr>
      <w:r>
        <w:rPr>
          <w:rStyle w:val="FootnoteReference"/>
        </w:rPr>
        <w:footnoteRef/>
      </w:r>
      <w:r>
        <w:t xml:space="preserve"> Peh and Park 2021; Pollack 2003.</w:t>
      </w:r>
    </w:p>
  </w:footnote>
  <w:footnote w:id="108">
    <w:p w14:paraId="523711EE" w14:textId="496E916A" w:rsidR="00B37354" w:rsidRDefault="00B37354">
      <w:pPr>
        <w:pStyle w:val="FootnoteText"/>
      </w:pPr>
      <w:r>
        <w:rPr>
          <w:rStyle w:val="FootnoteReference"/>
        </w:rPr>
        <w:footnoteRef/>
      </w:r>
      <w:r>
        <w:t xml:space="preserve"> </w:t>
      </w:r>
      <w:r w:rsidR="008A06B5">
        <w:rPr>
          <w:rFonts w:hint="eastAsia"/>
        </w:rPr>
        <w:t>Trapp 2019.</w:t>
      </w:r>
    </w:p>
  </w:footnote>
  <w:footnote w:id="109">
    <w:p w14:paraId="39938B3F" w14:textId="33185BB0" w:rsidR="00A80D54" w:rsidRDefault="00A80D54">
      <w:pPr>
        <w:pStyle w:val="FootnoteText"/>
      </w:pPr>
      <w:r>
        <w:rPr>
          <w:rStyle w:val="FootnoteReference"/>
        </w:rPr>
        <w:footnoteRef/>
      </w:r>
      <w:r>
        <w:t xml:space="preserve"> National Academy of Sciences 2002.</w:t>
      </w:r>
    </w:p>
  </w:footnote>
  <w:footnote w:id="110">
    <w:p w14:paraId="5A990317" w14:textId="226F6AD3" w:rsidR="00B37354" w:rsidRDefault="00B37354">
      <w:pPr>
        <w:pStyle w:val="FootnoteText"/>
      </w:pPr>
      <w:r>
        <w:rPr>
          <w:rStyle w:val="FootnoteReference"/>
        </w:rPr>
        <w:footnoteRef/>
      </w:r>
      <w:r>
        <w:t xml:space="preserve"> </w:t>
      </w:r>
      <w:r w:rsidR="008A06B5">
        <w:rPr>
          <w:rFonts w:hint="eastAsia"/>
        </w:rPr>
        <w:t>Chayes and Chayes 1995; Downs et al. 1996</w:t>
      </w:r>
      <w:r w:rsidR="00A80D54">
        <w:t>; Hopewell 2025.</w:t>
      </w:r>
    </w:p>
  </w:footnote>
  <w:footnote w:id="111">
    <w:p w14:paraId="0BB8A082" w14:textId="6682FDB1" w:rsidR="005124F4" w:rsidRDefault="005124F4" w:rsidP="005124F4">
      <w:pPr>
        <w:pStyle w:val="FootnoteText"/>
      </w:pPr>
      <w:r>
        <w:rPr>
          <w:rStyle w:val="FootnoteReference"/>
        </w:rPr>
        <w:footnoteRef/>
      </w:r>
      <w:r>
        <w:t xml:space="preserve"> </w:t>
      </w:r>
      <w:r w:rsidR="0028317D" w:rsidRPr="0028317D">
        <w:t>Cuéllar</w:t>
      </w:r>
      <w:r w:rsidR="0028317D">
        <w:t xml:space="preserve"> et al.</w:t>
      </w:r>
      <w:r>
        <w:t xml:space="preserve"> 2025.</w:t>
      </w:r>
    </w:p>
  </w:footnote>
  <w:footnote w:id="112">
    <w:p w14:paraId="181B7C8C" w14:textId="504DF368" w:rsidR="00007E57" w:rsidRDefault="00007E57">
      <w:pPr>
        <w:pStyle w:val="FootnoteText"/>
      </w:pPr>
      <w:r>
        <w:rPr>
          <w:rStyle w:val="FootnoteReference"/>
        </w:rPr>
        <w:footnoteRef/>
      </w:r>
      <w:r>
        <w:t xml:space="preserve"> Panda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6A5D"/>
    <w:multiLevelType w:val="multilevel"/>
    <w:tmpl w:val="6496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47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DA"/>
    <w:rsid w:val="00004A8D"/>
    <w:rsid w:val="00007E57"/>
    <w:rsid w:val="000355AF"/>
    <w:rsid w:val="00035E47"/>
    <w:rsid w:val="00037D6D"/>
    <w:rsid w:val="00042782"/>
    <w:rsid w:val="00042FA8"/>
    <w:rsid w:val="00044758"/>
    <w:rsid w:val="0005322D"/>
    <w:rsid w:val="00053C2B"/>
    <w:rsid w:val="00054B0E"/>
    <w:rsid w:val="000624EA"/>
    <w:rsid w:val="000641ED"/>
    <w:rsid w:val="0006455B"/>
    <w:rsid w:val="0006567B"/>
    <w:rsid w:val="00075711"/>
    <w:rsid w:val="00077461"/>
    <w:rsid w:val="00080641"/>
    <w:rsid w:val="00085165"/>
    <w:rsid w:val="000866CA"/>
    <w:rsid w:val="00087F38"/>
    <w:rsid w:val="000922B7"/>
    <w:rsid w:val="000937BD"/>
    <w:rsid w:val="00094172"/>
    <w:rsid w:val="000B5960"/>
    <w:rsid w:val="000C1719"/>
    <w:rsid w:val="000C62D0"/>
    <w:rsid w:val="000D044D"/>
    <w:rsid w:val="000D7CBB"/>
    <w:rsid w:val="000E2BAD"/>
    <w:rsid w:val="000E2C6C"/>
    <w:rsid w:val="000E306A"/>
    <w:rsid w:val="000E3156"/>
    <w:rsid w:val="000E36D1"/>
    <w:rsid w:val="000E7995"/>
    <w:rsid w:val="000F376A"/>
    <w:rsid w:val="000F3FBD"/>
    <w:rsid w:val="00104B29"/>
    <w:rsid w:val="00105DD1"/>
    <w:rsid w:val="00111EB4"/>
    <w:rsid w:val="00113F1A"/>
    <w:rsid w:val="001143DD"/>
    <w:rsid w:val="00116BF3"/>
    <w:rsid w:val="001311CE"/>
    <w:rsid w:val="0013668D"/>
    <w:rsid w:val="001466F7"/>
    <w:rsid w:val="00162543"/>
    <w:rsid w:val="00170494"/>
    <w:rsid w:val="00170CF8"/>
    <w:rsid w:val="001762D3"/>
    <w:rsid w:val="00177D90"/>
    <w:rsid w:val="001826FF"/>
    <w:rsid w:val="00182780"/>
    <w:rsid w:val="001A0576"/>
    <w:rsid w:val="001A2FDE"/>
    <w:rsid w:val="001A42BA"/>
    <w:rsid w:val="001A63C1"/>
    <w:rsid w:val="001B39DA"/>
    <w:rsid w:val="001C0F1F"/>
    <w:rsid w:val="001C6174"/>
    <w:rsid w:val="001D0B05"/>
    <w:rsid w:val="001D18E3"/>
    <w:rsid w:val="001D475E"/>
    <w:rsid w:val="001E5968"/>
    <w:rsid w:val="001E7B08"/>
    <w:rsid w:val="001F3A91"/>
    <w:rsid w:val="001F5BB9"/>
    <w:rsid w:val="001F7DEF"/>
    <w:rsid w:val="002166C0"/>
    <w:rsid w:val="00233914"/>
    <w:rsid w:val="00240327"/>
    <w:rsid w:val="00243199"/>
    <w:rsid w:val="00246E16"/>
    <w:rsid w:val="00250EEC"/>
    <w:rsid w:val="00253E4B"/>
    <w:rsid w:val="0026239D"/>
    <w:rsid w:val="00262561"/>
    <w:rsid w:val="002679BB"/>
    <w:rsid w:val="00272C56"/>
    <w:rsid w:val="00273B62"/>
    <w:rsid w:val="00282690"/>
    <w:rsid w:val="0028317D"/>
    <w:rsid w:val="00284C6D"/>
    <w:rsid w:val="002A2162"/>
    <w:rsid w:val="002A4B12"/>
    <w:rsid w:val="002A6531"/>
    <w:rsid w:val="002A7258"/>
    <w:rsid w:val="002C35B3"/>
    <w:rsid w:val="002D2276"/>
    <w:rsid w:val="002D41A9"/>
    <w:rsid w:val="002E5865"/>
    <w:rsid w:val="002F2516"/>
    <w:rsid w:val="002F4489"/>
    <w:rsid w:val="002F6724"/>
    <w:rsid w:val="0030573C"/>
    <w:rsid w:val="00314548"/>
    <w:rsid w:val="00315273"/>
    <w:rsid w:val="00343BF1"/>
    <w:rsid w:val="00350E0B"/>
    <w:rsid w:val="003528C2"/>
    <w:rsid w:val="003556BF"/>
    <w:rsid w:val="00362208"/>
    <w:rsid w:val="00375B20"/>
    <w:rsid w:val="00375D2E"/>
    <w:rsid w:val="00377512"/>
    <w:rsid w:val="003823A9"/>
    <w:rsid w:val="0038318B"/>
    <w:rsid w:val="003905F0"/>
    <w:rsid w:val="003B2C81"/>
    <w:rsid w:val="003C2D1D"/>
    <w:rsid w:val="003C4B66"/>
    <w:rsid w:val="003D2203"/>
    <w:rsid w:val="003D5965"/>
    <w:rsid w:val="003D67F2"/>
    <w:rsid w:val="003E594B"/>
    <w:rsid w:val="003F2387"/>
    <w:rsid w:val="003F2CED"/>
    <w:rsid w:val="003F5F96"/>
    <w:rsid w:val="00410232"/>
    <w:rsid w:val="0041133B"/>
    <w:rsid w:val="004179FE"/>
    <w:rsid w:val="00421147"/>
    <w:rsid w:val="00446AEF"/>
    <w:rsid w:val="0045085B"/>
    <w:rsid w:val="004520F5"/>
    <w:rsid w:val="00453B2C"/>
    <w:rsid w:val="00454DFC"/>
    <w:rsid w:val="004600F7"/>
    <w:rsid w:val="00461139"/>
    <w:rsid w:val="00461F09"/>
    <w:rsid w:val="00462B29"/>
    <w:rsid w:val="00477E42"/>
    <w:rsid w:val="0048215C"/>
    <w:rsid w:val="004828D1"/>
    <w:rsid w:val="004916CC"/>
    <w:rsid w:val="004A015D"/>
    <w:rsid w:val="004A21C6"/>
    <w:rsid w:val="004A2CC4"/>
    <w:rsid w:val="004A680F"/>
    <w:rsid w:val="004B63FD"/>
    <w:rsid w:val="004B6AB0"/>
    <w:rsid w:val="004C19CE"/>
    <w:rsid w:val="004C2F9A"/>
    <w:rsid w:val="004D2324"/>
    <w:rsid w:val="004D3DA9"/>
    <w:rsid w:val="004E61A0"/>
    <w:rsid w:val="004E736F"/>
    <w:rsid w:val="00503639"/>
    <w:rsid w:val="005047F8"/>
    <w:rsid w:val="00506254"/>
    <w:rsid w:val="00506330"/>
    <w:rsid w:val="00511E58"/>
    <w:rsid w:val="005124F4"/>
    <w:rsid w:val="005130EE"/>
    <w:rsid w:val="00516B58"/>
    <w:rsid w:val="00520278"/>
    <w:rsid w:val="00521112"/>
    <w:rsid w:val="00521FBC"/>
    <w:rsid w:val="005429D5"/>
    <w:rsid w:val="0055299D"/>
    <w:rsid w:val="00575085"/>
    <w:rsid w:val="0057512F"/>
    <w:rsid w:val="0057662A"/>
    <w:rsid w:val="005808B6"/>
    <w:rsid w:val="0059390C"/>
    <w:rsid w:val="005951C5"/>
    <w:rsid w:val="005A111A"/>
    <w:rsid w:val="005A5F7F"/>
    <w:rsid w:val="005B67F0"/>
    <w:rsid w:val="005C15EE"/>
    <w:rsid w:val="005D110C"/>
    <w:rsid w:val="005D1EA6"/>
    <w:rsid w:val="005D409A"/>
    <w:rsid w:val="005E094F"/>
    <w:rsid w:val="005E1B6A"/>
    <w:rsid w:val="005E1E53"/>
    <w:rsid w:val="00604622"/>
    <w:rsid w:val="00610F0A"/>
    <w:rsid w:val="00613366"/>
    <w:rsid w:val="00615572"/>
    <w:rsid w:val="00624475"/>
    <w:rsid w:val="00631ABD"/>
    <w:rsid w:val="00642F82"/>
    <w:rsid w:val="006441EC"/>
    <w:rsid w:val="00665429"/>
    <w:rsid w:val="006658A2"/>
    <w:rsid w:val="006661FA"/>
    <w:rsid w:val="0067535E"/>
    <w:rsid w:val="00675515"/>
    <w:rsid w:val="006771B4"/>
    <w:rsid w:val="00683DD4"/>
    <w:rsid w:val="00692B69"/>
    <w:rsid w:val="00694E31"/>
    <w:rsid w:val="00696D80"/>
    <w:rsid w:val="006A64F8"/>
    <w:rsid w:val="006C14E6"/>
    <w:rsid w:val="006C6061"/>
    <w:rsid w:val="006E01AF"/>
    <w:rsid w:val="006E0B89"/>
    <w:rsid w:val="00702CBA"/>
    <w:rsid w:val="00706C77"/>
    <w:rsid w:val="00712A83"/>
    <w:rsid w:val="00724C45"/>
    <w:rsid w:val="00727188"/>
    <w:rsid w:val="00731C92"/>
    <w:rsid w:val="00733485"/>
    <w:rsid w:val="007341A2"/>
    <w:rsid w:val="00735A10"/>
    <w:rsid w:val="007405E1"/>
    <w:rsid w:val="00742578"/>
    <w:rsid w:val="0075080A"/>
    <w:rsid w:val="007511C0"/>
    <w:rsid w:val="007541C1"/>
    <w:rsid w:val="0076020F"/>
    <w:rsid w:val="00761AA2"/>
    <w:rsid w:val="0076511D"/>
    <w:rsid w:val="00771461"/>
    <w:rsid w:val="00771ABC"/>
    <w:rsid w:val="00776381"/>
    <w:rsid w:val="00784E60"/>
    <w:rsid w:val="00785201"/>
    <w:rsid w:val="00793419"/>
    <w:rsid w:val="007B1F81"/>
    <w:rsid w:val="007C7C7B"/>
    <w:rsid w:val="007D272D"/>
    <w:rsid w:val="007E0F84"/>
    <w:rsid w:val="007E2F7F"/>
    <w:rsid w:val="007F04A6"/>
    <w:rsid w:val="007F4143"/>
    <w:rsid w:val="0080001A"/>
    <w:rsid w:val="00817445"/>
    <w:rsid w:val="008177C6"/>
    <w:rsid w:val="00833C1A"/>
    <w:rsid w:val="00835199"/>
    <w:rsid w:val="008532AF"/>
    <w:rsid w:val="00854D25"/>
    <w:rsid w:val="00865E41"/>
    <w:rsid w:val="00872FFA"/>
    <w:rsid w:val="0088711E"/>
    <w:rsid w:val="0089016D"/>
    <w:rsid w:val="008902C3"/>
    <w:rsid w:val="0089073C"/>
    <w:rsid w:val="008911FF"/>
    <w:rsid w:val="00895C4F"/>
    <w:rsid w:val="00895CAD"/>
    <w:rsid w:val="008A06B5"/>
    <w:rsid w:val="008B19F4"/>
    <w:rsid w:val="008C45C2"/>
    <w:rsid w:val="008C5332"/>
    <w:rsid w:val="008C7628"/>
    <w:rsid w:val="008D4271"/>
    <w:rsid w:val="008E5FFF"/>
    <w:rsid w:val="008E677F"/>
    <w:rsid w:val="008F1C5F"/>
    <w:rsid w:val="008F38E6"/>
    <w:rsid w:val="0090276B"/>
    <w:rsid w:val="00912FDA"/>
    <w:rsid w:val="0091302E"/>
    <w:rsid w:val="00924EAE"/>
    <w:rsid w:val="00925723"/>
    <w:rsid w:val="00926E0E"/>
    <w:rsid w:val="0093457A"/>
    <w:rsid w:val="00935C65"/>
    <w:rsid w:val="00937712"/>
    <w:rsid w:val="00937B58"/>
    <w:rsid w:val="0094123D"/>
    <w:rsid w:val="00941DF8"/>
    <w:rsid w:val="0094358D"/>
    <w:rsid w:val="0094453A"/>
    <w:rsid w:val="009449FC"/>
    <w:rsid w:val="00945978"/>
    <w:rsid w:val="00946C71"/>
    <w:rsid w:val="00951D02"/>
    <w:rsid w:val="0096536C"/>
    <w:rsid w:val="00965831"/>
    <w:rsid w:val="00967293"/>
    <w:rsid w:val="0097070F"/>
    <w:rsid w:val="00971E87"/>
    <w:rsid w:val="00974AF9"/>
    <w:rsid w:val="00976E21"/>
    <w:rsid w:val="00995A26"/>
    <w:rsid w:val="009A1507"/>
    <w:rsid w:val="009B0A4B"/>
    <w:rsid w:val="009B3AC7"/>
    <w:rsid w:val="009B6153"/>
    <w:rsid w:val="009C03C8"/>
    <w:rsid w:val="009C476D"/>
    <w:rsid w:val="009C566A"/>
    <w:rsid w:val="009D0390"/>
    <w:rsid w:val="009D3DAC"/>
    <w:rsid w:val="009E0F7E"/>
    <w:rsid w:val="009E6BB1"/>
    <w:rsid w:val="009F4C26"/>
    <w:rsid w:val="00A11CD9"/>
    <w:rsid w:val="00A168AC"/>
    <w:rsid w:val="00A234D2"/>
    <w:rsid w:val="00A36076"/>
    <w:rsid w:val="00A40713"/>
    <w:rsid w:val="00A43A7B"/>
    <w:rsid w:val="00A451EB"/>
    <w:rsid w:val="00A45E19"/>
    <w:rsid w:val="00A50286"/>
    <w:rsid w:val="00A52764"/>
    <w:rsid w:val="00A52BA4"/>
    <w:rsid w:val="00A61AB0"/>
    <w:rsid w:val="00A736C8"/>
    <w:rsid w:val="00A75DBF"/>
    <w:rsid w:val="00A77AB9"/>
    <w:rsid w:val="00A77D37"/>
    <w:rsid w:val="00A80D54"/>
    <w:rsid w:val="00A856E5"/>
    <w:rsid w:val="00A91EA1"/>
    <w:rsid w:val="00AA0CB0"/>
    <w:rsid w:val="00AB4661"/>
    <w:rsid w:val="00AC0FE4"/>
    <w:rsid w:val="00AC3E94"/>
    <w:rsid w:val="00AC6916"/>
    <w:rsid w:val="00AD3638"/>
    <w:rsid w:val="00AD775E"/>
    <w:rsid w:val="00AE0F9D"/>
    <w:rsid w:val="00AE6E7D"/>
    <w:rsid w:val="00AF3113"/>
    <w:rsid w:val="00B014A4"/>
    <w:rsid w:val="00B04B21"/>
    <w:rsid w:val="00B21524"/>
    <w:rsid w:val="00B233EF"/>
    <w:rsid w:val="00B27F28"/>
    <w:rsid w:val="00B31FAB"/>
    <w:rsid w:val="00B353B9"/>
    <w:rsid w:val="00B36C08"/>
    <w:rsid w:val="00B37354"/>
    <w:rsid w:val="00B43A33"/>
    <w:rsid w:val="00B46C56"/>
    <w:rsid w:val="00B5085C"/>
    <w:rsid w:val="00B659B5"/>
    <w:rsid w:val="00B71224"/>
    <w:rsid w:val="00B7649D"/>
    <w:rsid w:val="00B76841"/>
    <w:rsid w:val="00B80279"/>
    <w:rsid w:val="00B808B6"/>
    <w:rsid w:val="00B83B14"/>
    <w:rsid w:val="00B904B3"/>
    <w:rsid w:val="00B9690B"/>
    <w:rsid w:val="00BA4DB4"/>
    <w:rsid w:val="00BA500C"/>
    <w:rsid w:val="00BB1E9F"/>
    <w:rsid w:val="00BB2661"/>
    <w:rsid w:val="00BB75CE"/>
    <w:rsid w:val="00BC2CD3"/>
    <w:rsid w:val="00BC3441"/>
    <w:rsid w:val="00BC7156"/>
    <w:rsid w:val="00BE038A"/>
    <w:rsid w:val="00BE56C4"/>
    <w:rsid w:val="00BE77C1"/>
    <w:rsid w:val="00BF3BA3"/>
    <w:rsid w:val="00BF664B"/>
    <w:rsid w:val="00C01FA7"/>
    <w:rsid w:val="00C05FB3"/>
    <w:rsid w:val="00C0632A"/>
    <w:rsid w:val="00C175F5"/>
    <w:rsid w:val="00C2274C"/>
    <w:rsid w:val="00C345E3"/>
    <w:rsid w:val="00C40C92"/>
    <w:rsid w:val="00C41704"/>
    <w:rsid w:val="00C42992"/>
    <w:rsid w:val="00C43CD7"/>
    <w:rsid w:val="00C576A8"/>
    <w:rsid w:val="00C65F17"/>
    <w:rsid w:val="00C703B4"/>
    <w:rsid w:val="00C76F66"/>
    <w:rsid w:val="00C83BA0"/>
    <w:rsid w:val="00CA50B5"/>
    <w:rsid w:val="00CA695B"/>
    <w:rsid w:val="00CB1AEB"/>
    <w:rsid w:val="00CE70F2"/>
    <w:rsid w:val="00CE7E66"/>
    <w:rsid w:val="00CF0253"/>
    <w:rsid w:val="00CF0B64"/>
    <w:rsid w:val="00CF32B9"/>
    <w:rsid w:val="00CF6D14"/>
    <w:rsid w:val="00D0677B"/>
    <w:rsid w:val="00D07EAF"/>
    <w:rsid w:val="00D10120"/>
    <w:rsid w:val="00D11639"/>
    <w:rsid w:val="00D1227E"/>
    <w:rsid w:val="00D30792"/>
    <w:rsid w:val="00D31192"/>
    <w:rsid w:val="00D33FC1"/>
    <w:rsid w:val="00D35B5A"/>
    <w:rsid w:val="00D378FD"/>
    <w:rsid w:val="00D50392"/>
    <w:rsid w:val="00D51784"/>
    <w:rsid w:val="00D51998"/>
    <w:rsid w:val="00D527E7"/>
    <w:rsid w:val="00D55DD3"/>
    <w:rsid w:val="00D57D72"/>
    <w:rsid w:val="00D7462C"/>
    <w:rsid w:val="00D85808"/>
    <w:rsid w:val="00DA7782"/>
    <w:rsid w:val="00DB7B1E"/>
    <w:rsid w:val="00DC0BFC"/>
    <w:rsid w:val="00DC1EEB"/>
    <w:rsid w:val="00DC42CB"/>
    <w:rsid w:val="00DC5C70"/>
    <w:rsid w:val="00DD0FE8"/>
    <w:rsid w:val="00DD170C"/>
    <w:rsid w:val="00DD2578"/>
    <w:rsid w:val="00DE1DB8"/>
    <w:rsid w:val="00DE73BF"/>
    <w:rsid w:val="00DF27C7"/>
    <w:rsid w:val="00DF2FE5"/>
    <w:rsid w:val="00E056E5"/>
    <w:rsid w:val="00E103E5"/>
    <w:rsid w:val="00E112DE"/>
    <w:rsid w:val="00E16397"/>
    <w:rsid w:val="00E20B52"/>
    <w:rsid w:val="00E27320"/>
    <w:rsid w:val="00E42B6D"/>
    <w:rsid w:val="00E454CC"/>
    <w:rsid w:val="00E45D57"/>
    <w:rsid w:val="00E575E2"/>
    <w:rsid w:val="00E60477"/>
    <w:rsid w:val="00E61033"/>
    <w:rsid w:val="00E66115"/>
    <w:rsid w:val="00E673E1"/>
    <w:rsid w:val="00E77EF3"/>
    <w:rsid w:val="00EB02B9"/>
    <w:rsid w:val="00EB2D5B"/>
    <w:rsid w:val="00EB766D"/>
    <w:rsid w:val="00EB7DA5"/>
    <w:rsid w:val="00EC1F95"/>
    <w:rsid w:val="00EC4C72"/>
    <w:rsid w:val="00EE16CE"/>
    <w:rsid w:val="00EF16CA"/>
    <w:rsid w:val="00F063D5"/>
    <w:rsid w:val="00F1131C"/>
    <w:rsid w:val="00F20C29"/>
    <w:rsid w:val="00F401FE"/>
    <w:rsid w:val="00F406C5"/>
    <w:rsid w:val="00F44A28"/>
    <w:rsid w:val="00F45726"/>
    <w:rsid w:val="00F65AFD"/>
    <w:rsid w:val="00F71AED"/>
    <w:rsid w:val="00F72265"/>
    <w:rsid w:val="00F733DE"/>
    <w:rsid w:val="00F81860"/>
    <w:rsid w:val="00F84839"/>
    <w:rsid w:val="00F8601C"/>
    <w:rsid w:val="00F876A4"/>
    <w:rsid w:val="00F91063"/>
    <w:rsid w:val="00F913ED"/>
    <w:rsid w:val="00F92CD8"/>
    <w:rsid w:val="00F945AE"/>
    <w:rsid w:val="00FA456A"/>
    <w:rsid w:val="00FA6900"/>
    <w:rsid w:val="00FB0F7E"/>
    <w:rsid w:val="00FC298F"/>
    <w:rsid w:val="00FC3FD7"/>
    <w:rsid w:val="00FC5D53"/>
    <w:rsid w:val="00FD16FF"/>
    <w:rsid w:val="00FD456D"/>
    <w:rsid w:val="00FD799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4D050"/>
  <w15:chartTrackingRefBased/>
  <w15:docId w15:val="{EAA10856-C6F4-42D4-99E6-32479EC6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lang w:val="en-GB"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FDA"/>
    <w:pPr>
      <w:spacing w:after="160" w:line="278" w:lineRule="auto"/>
    </w:pPr>
    <w:rPr>
      <w:lang w:val="en-US"/>
    </w:rPr>
  </w:style>
  <w:style w:type="paragraph" w:styleId="Heading1">
    <w:name w:val="heading 1"/>
    <w:basedOn w:val="Normal"/>
    <w:next w:val="Normal"/>
    <w:link w:val="Heading1Char"/>
    <w:uiPriority w:val="9"/>
    <w:qFormat/>
    <w:rsid w:val="00912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F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F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2F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2F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2F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2F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2F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FDA"/>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912FDA"/>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912FDA"/>
    <w:rPr>
      <w:rFonts w:asciiTheme="minorHAnsi" w:eastAsiaTheme="majorEastAsia" w:hAnsiTheme="minorHAnsi"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912FDA"/>
    <w:rPr>
      <w:rFonts w:asciiTheme="minorHAnsi" w:eastAsiaTheme="majorEastAsia" w:hAnsiTheme="minorHAnsi"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912FDA"/>
    <w:rPr>
      <w:rFonts w:asciiTheme="minorHAnsi" w:eastAsiaTheme="majorEastAsia" w:hAnsiTheme="minorHAnsi" w:cstheme="majorBidi"/>
      <w:color w:val="0F4761" w:themeColor="accent1" w:themeShade="BF"/>
      <w:lang w:val="en-US"/>
    </w:rPr>
  </w:style>
  <w:style w:type="character" w:customStyle="1" w:styleId="Heading6Char">
    <w:name w:val="Heading 6 Char"/>
    <w:basedOn w:val="DefaultParagraphFont"/>
    <w:link w:val="Heading6"/>
    <w:uiPriority w:val="9"/>
    <w:semiHidden/>
    <w:rsid w:val="00912FDA"/>
    <w:rPr>
      <w:rFonts w:asciiTheme="minorHAnsi" w:eastAsiaTheme="majorEastAsia" w:hAnsiTheme="minorHAnsi" w:cstheme="majorBidi"/>
      <w:i/>
      <w:iCs/>
      <w:color w:val="595959" w:themeColor="text1" w:themeTint="A6"/>
      <w:lang w:val="en-US"/>
    </w:rPr>
  </w:style>
  <w:style w:type="character" w:customStyle="1" w:styleId="Heading7Char">
    <w:name w:val="Heading 7 Char"/>
    <w:basedOn w:val="DefaultParagraphFont"/>
    <w:link w:val="Heading7"/>
    <w:uiPriority w:val="9"/>
    <w:semiHidden/>
    <w:rsid w:val="00912FDA"/>
    <w:rPr>
      <w:rFonts w:asciiTheme="minorHAnsi" w:eastAsiaTheme="majorEastAsia" w:hAnsiTheme="minorHAnsi" w:cstheme="majorBidi"/>
      <w:color w:val="595959" w:themeColor="text1" w:themeTint="A6"/>
      <w:lang w:val="en-US"/>
    </w:rPr>
  </w:style>
  <w:style w:type="character" w:customStyle="1" w:styleId="Heading8Char">
    <w:name w:val="Heading 8 Char"/>
    <w:basedOn w:val="DefaultParagraphFont"/>
    <w:link w:val="Heading8"/>
    <w:uiPriority w:val="9"/>
    <w:semiHidden/>
    <w:rsid w:val="00912FDA"/>
    <w:rPr>
      <w:rFonts w:asciiTheme="minorHAnsi" w:eastAsiaTheme="majorEastAsia" w:hAnsiTheme="minorHAnsi" w:cstheme="majorBidi"/>
      <w:i/>
      <w:iCs/>
      <w:color w:val="272727" w:themeColor="text1" w:themeTint="D8"/>
      <w:lang w:val="en-US"/>
    </w:rPr>
  </w:style>
  <w:style w:type="character" w:customStyle="1" w:styleId="Heading9Char">
    <w:name w:val="Heading 9 Char"/>
    <w:basedOn w:val="DefaultParagraphFont"/>
    <w:link w:val="Heading9"/>
    <w:uiPriority w:val="9"/>
    <w:semiHidden/>
    <w:rsid w:val="00912FDA"/>
    <w:rPr>
      <w:rFonts w:asciiTheme="minorHAnsi" w:eastAsiaTheme="majorEastAsia" w:hAnsiTheme="minorHAnsi" w:cstheme="majorBidi"/>
      <w:color w:val="272727" w:themeColor="text1" w:themeTint="D8"/>
      <w:lang w:val="en-US"/>
    </w:rPr>
  </w:style>
  <w:style w:type="paragraph" w:styleId="Title">
    <w:name w:val="Title"/>
    <w:basedOn w:val="Normal"/>
    <w:next w:val="Normal"/>
    <w:link w:val="TitleChar"/>
    <w:uiPriority w:val="10"/>
    <w:qFormat/>
    <w:rsid w:val="00912F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FDA"/>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912F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FDA"/>
    <w:rPr>
      <w:rFonts w:asciiTheme="minorHAnsi" w:eastAsiaTheme="majorEastAsia" w:hAnsiTheme="minorHAnsi"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912FDA"/>
    <w:pPr>
      <w:spacing w:before="160"/>
      <w:jc w:val="center"/>
    </w:pPr>
    <w:rPr>
      <w:i/>
      <w:iCs/>
      <w:color w:val="404040" w:themeColor="text1" w:themeTint="BF"/>
    </w:rPr>
  </w:style>
  <w:style w:type="character" w:customStyle="1" w:styleId="QuoteChar">
    <w:name w:val="Quote Char"/>
    <w:basedOn w:val="DefaultParagraphFont"/>
    <w:link w:val="Quote"/>
    <w:uiPriority w:val="29"/>
    <w:rsid w:val="00912FDA"/>
    <w:rPr>
      <w:i/>
      <w:iCs/>
      <w:color w:val="404040" w:themeColor="text1" w:themeTint="BF"/>
      <w:lang w:val="en-US"/>
    </w:rPr>
  </w:style>
  <w:style w:type="paragraph" w:styleId="ListParagraph">
    <w:name w:val="List Paragraph"/>
    <w:basedOn w:val="Normal"/>
    <w:uiPriority w:val="34"/>
    <w:qFormat/>
    <w:rsid w:val="00912FDA"/>
    <w:pPr>
      <w:ind w:left="720"/>
      <w:contextualSpacing/>
    </w:pPr>
  </w:style>
  <w:style w:type="character" w:styleId="IntenseEmphasis">
    <w:name w:val="Intense Emphasis"/>
    <w:basedOn w:val="DefaultParagraphFont"/>
    <w:uiPriority w:val="21"/>
    <w:qFormat/>
    <w:rsid w:val="00912FDA"/>
    <w:rPr>
      <w:i/>
      <w:iCs/>
      <w:color w:val="0F4761" w:themeColor="accent1" w:themeShade="BF"/>
    </w:rPr>
  </w:style>
  <w:style w:type="paragraph" w:styleId="IntenseQuote">
    <w:name w:val="Intense Quote"/>
    <w:basedOn w:val="Normal"/>
    <w:next w:val="Normal"/>
    <w:link w:val="IntenseQuoteChar"/>
    <w:uiPriority w:val="30"/>
    <w:qFormat/>
    <w:rsid w:val="00912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FDA"/>
    <w:rPr>
      <w:i/>
      <w:iCs/>
      <w:color w:val="0F4761" w:themeColor="accent1" w:themeShade="BF"/>
      <w:lang w:val="en-US"/>
    </w:rPr>
  </w:style>
  <w:style w:type="character" w:styleId="IntenseReference">
    <w:name w:val="Intense Reference"/>
    <w:basedOn w:val="DefaultParagraphFont"/>
    <w:uiPriority w:val="32"/>
    <w:qFormat/>
    <w:rsid w:val="00912FDA"/>
    <w:rPr>
      <w:b/>
      <w:bCs/>
      <w:smallCaps/>
      <w:color w:val="0F4761" w:themeColor="accent1" w:themeShade="BF"/>
      <w:spacing w:val="5"/>
    </w:rPr>
  </w:style>
  <w:style w:type="character" w:styleId="Hyperlink">
    <w:name w:val="Hyperlink"/>
    <w:basedOn w:val="DefaultParagraphFont"/>
    <w:uiPriority w:val="99"/>
    <w:unhideWhenUsed/>
    <w:rsid w:val="00912FDA"/>
    <w:rPr>
      <w:color w:val="467886" w:themeColor="hyperlink"/>
      <w:u w:val="single"/>
    </w:rPr>
  </w:style>
  <w:style w:type="paragraph" w:styleId="Header">
    <w:name w:val="header"/>
    <w:basedOn w:val="Normal"/>
    <w:link w:val="HeaderChar"/>
    <w:uiPriority w:val="99"/>
    <w:unhideWhenUsed/>
    <w:rsid w:val="004C2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F9A"/>
    <w:rPr>
      <w:rFonts w:asciiTheme="minorHAnsi" w:hAnsiTheme="minorHAnsi" w:cstheme="minorBidi"/>
      <w:kern w:val="2"/>
      <w:sz w:val="24"/>
      <w:szCs w:val="24"/>
      <w:lang w:val="en-US" w:eastAsia="zh-CN"/>
      <w14:ligatures w14:val="standardContextual"/>
    </w:rPr>
  </w:style>
  <w:style w:type="paragraph" w:styleId="Footer">
    <w:name w:val="footer"/>
    <w:basedOn w:val="Normal"/>
    <w:link w:val="FooterChar"/>
    <w:uiPriority w:val="99"/>
    <w:unhideWhenUsed/>
    <w:rsid w:val="004C2F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F9A"/>
    <w:rPr>
      <w:rFonts w:asciiTheme="minorHAnsi" w:hAnsiTheme="minorHAnsi" w:cstheme="minorBidi"/>
      <w:kern w:val="2"/>
      <w:sz w:val="24"/>
      <w:szCs w:val="24"/>
      <w:lang w:val="en-US" w:eastAsia="zh-CN"/>
      <w14:ligatures w14:val="standardContextual"/>
    </w:rPr>
  </w:style>
  <w:style w:type="paragraph" w:styleId="FootnoteText">
    <w:name w:val="footnote text"/>
    <w:basedOn w:val="Normal"/>
    <w:link w:val="FootnoteTextChar"/>
    <w:uiPriority w:val="99"/>
    <w:unhideWhenUsed/>
    <w:rsid w:val="00170494"/>
    <w:pPr>
      <w:spacing w:after="0" w:line="240" w:lineRule="auto"/>
    </w:pPr>
  </w:style>
  <w:style w:type="character" w:customStyle="1" w:styleId="FootnoteTextChar">
    <w:name w:val="Footnote Text Char"/>
    <w:basedOn w:val="DefaultParagraphFont"/>
    <w:link w:val="FootnoteText"/>
    <w:uiPriority w:val="99"/>
    <w:rsid w:val="00170494"/>
    <w:rPr>
      <w:rFonts w:asciiTheme="minorHAnsi" w:hAnsiTheme="minorHAnsi" w:cstheme="minorBidi"/>
      <w:kern w:val="2"/>
      <w:sz w:val="20"/>
      <w:szCs w:val="20"/>
      <w:lang w:val="en-US" w:eastAsia="zh-CN"/>
      <w14:ligatures w14:val="standardContextual"/>
    </w:rPr>
  </w:style>
  <w:style w:type="character" w:styleId="FootnoteReference">
    <w:name w:val="footnote reference"/>
    <w:basedOn w:val="DefaultParagraphFont"/>
    <w:uiPriority w:val="99"/>
    <w:semiHidden/>
    <w:unhideWhenUsed/>
    <w:rsid w:val="00170494"/>
    <w:rPr>
      <w:vertAlign w:val="superscript"/>
    </w:rPr>
  </w:style>
  <w:style w:type="character" w:styleId="UnresolvedMention">
    <w:name w:val="Unresolved Mention"/>
    <w:basedOn w:val="DefaultParagraphFont"/>
    <w:uiPriority w:val="99"/>
    <w:semiHidden/>
    <w:unhideWhenUsed/>
    <w:rsid w:val="008F38E6"/>
    <w:rPr>
      <w:color w:val="605E5C"/>
      <w:shd w:val="clear" w:color="auto" w:fill="E1DFDD"/>
    </w:rPr>
  </w:style>
  <w:style w:type="paragraph" w:styleId="Revision">
    <w:name w:val="Revision"/>
    <w:hidden/>
    <w:uiPriority w:val="99"/>
    <w:semiHidden/>
    <w:rsid w:val="00CF0253"/>
    <w:rPr>
      <w:lang w:val="en-US"/>
    </w:rPr>
  </w:style>
  <w:style w:type="character" w:styleId="CommentReference">
    <w:name w:val="annotation reference"/>
    <w:basedOn w:val="DefaultParagraphFont"/>
    <w:uiPriority w:val="99"/>
    <w:semiHidden/>
    <w:unhideWhenUsed/>
    <w:rsid w:val="00CF0253"/>
    <w:rPr>
      <w:sz w:val="16"/>
      <w:szCs w:val="16"/>
    </w:rPr>
  </w:style>
  <w:style w:type="paragraph" w:styleId="CommentText">
    <w:name w:val="annotation text"/>
    <w:basedOn w:val="Normal"/>
    <w:link w:val="CommentTextChar"/>
    <w:uiPriority w:val="99"/>
    <w:unhideWhenUsed/>
    <w:rsid w:val="00CF0253"/>
    <w:pPr>
      <w:spacing w:line="240" w:lineRule="auto"/>
    </w:pPr>
  </w:style>
  <w:style w:type="character" w:customStyle="1" w:styleId="CommentTextChar">
    <w:name w:val="Comment Text Char"/>
    <w:basedOn w:val="DefaultParagraphFont"/>
    <w:link w:val="CommentText"/>
    <w:uiPriority w:val="99"/>
    <w:rsid w:val="00CF0253"/>
    <w:rPr>
      <w:lang w:val="en-US"/>
    </w:rPr>
  </w:style>
  <w:style w:type="paragraph" w:styleId="CommentSubject">
    <w:name w:val="annotation subject"/>
    <w:basedOn w:val="CommentText"/>
    <w:next w:val="CommentText"/>
    <w:link w:val="CommentSubjectChar"/>
    <w:uiPriority w:val="99"/>
    <w:semiHidden/>
    <w:unhideWhenUsed/>
    <w:rsid w:val="00CF0253"/>
    <w:rPr>
      <w:b/>
      <w:bCs/>
    </w:rPr>
  </w:style>
  <w:style w:type="character" w:customStyle="1" w:styleId="CommentSubjectChar">
    <w:name w:val="Comment Subject Char"/>
    <w:basedOn w:val="CommentTextChar"/>
    <w:link w:val="CommentSubject"/>
    <w:uiPriority w:val="99"/>
    <w:semiHidden/>
    <w:rsid w:val="00CF0253"/>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7745">
      <w:bodyDiv w:val="1"/>
      <w:marLeft w:val="0"/>
      <w:marRight w:val="0"/>
      <w:marTop w:val="0"/>
      <w:marBottom w:val="0"/>
      <w:divBdr>
        <w:top w:val="none" w:sz="0" w:space="0" w:color="auto"/>
        <w:left w:val="none" w:sz="0" w:space="0" w:color="auto"/>
        <w:bottom w:val="none" w:sz="0" w:space="0" w:color="auto"/>
        <w:right w:val="none" w:sz="0" w:space="0" w:color="auto"/>
      </w:divBdr>
    </w:div>
    <w:div w:id="160976737">
      <w:bodyDiv w:val="1"/>
      <w:marLeft w:val="0"/>
      <w:marRight w:val="0"/>
      <w:marTop w:val="0"/>
      <w:marBottom w:val="0"/>
      <w:divBdr>
        <w:top w:val="none" w:sz="0" w:space="0" w:color="auto"/>
        <w:left w:val="none" w:sz="0" w:space="0" w:color="auto"/>
        <w:bottom w:val="none" w:sz="0" w:space="0" w:color="auto"/>
        <w:right w:val="none" w:sz="0" w:space="0" w:color="auto"/>
      </w:divBdr>
    </w:div>
    <w:div w:id="201287463">
      <w:bodyDiv w:val="1"/>
      <w:marLeft w:val="0"/>
      <w:marRight w:val="0"/>
      <w:marTop w:val="0"/>
      <w:marBottom w:val="0"/>
      <w:divBdr>
        <w:top w:val="none" w:sz="0" w:space="0" w:color="auto"/>
        <w:left w:val="none" w:sz="0" w:space="0" w:color="auto"/>
        <w:bottom w:val="none" w:sz="0" w:space="0" w:color="auto"/>
        <w:right w:val="none" w:sz="0" w:space="0" w:color="auto"/>
      </w:divBdr>
    </w:div>
    <w:div w:id="205681617">
      <w:bodyDiv w:val="1"/>
      <w:marLeft w:val="0"/>
      <w:marRight w:val="0"/>
      <w:marTop w:val="0"/>
      <w:marBottom w:val="0"/>
      <w:divBdr>
        <w:top w:val="none" w:sz="0" w:space="0" w:color="auto"/>
        <w:left w:val="none" w:sz="0" w:space="0" w:color="auto"/>
        <w:bottom w:val="none" w:sz="0" w:space="0" w:color="auto"/>
        <w:right w:val="none" w:sz="0" w:space="0" w:color="auto"/>
      </w:divBdr>
    </w:div>
    <w:div w:id="259338248">
      <w:bodyDiv w:val="1"/>
      <w:marLeft w:val="0"/>
      <w:marRight w:val="0"/>
      <w:marTop w:val="0"/>
      <w:marBottom w:val="0"/>
      <w:divBdr>
        <w:top w:val="none" w:sz="0" w:space="0" w:color="auto"/>
        <w:left w:val="none" w:sz="0" w:space="0" w:color="auto"/>
        <w:bottom w:val="none" w:sz="0" w:space="0" w:color="auto"/>
        <w:right w:val="none" w:sz="0" w:space="0" w:color="auto"/>
      </w:divBdr>
    </w:div>
    <w:div w:id="413860105">
      <w:bodyDiv w:val="1"/>
      <w:marLeft w:val="0"/>
      <w:marRight w:val="0"/>
      <w:marTop w:val="0"/>
      <w:marBottom w:val="0"/>
      <w:divBdr>
        <w:top w:val="none" w:sz="0" w:space="0" w:color="auto"/>
        <w:left w:val="none" w:sz="0" w:space="0" w:color="auto"/>
        <w:bottom w:val="none" w:sz="0" w:space="0" w:color="auto"/>
        <w:right w:val="none" w:sz="0" w:space="0" w:color="auto"/>
      </w:divBdr>
    </w:div>
    <w:div w:id="419526370">
      <w:bodyDiv w:val="1"/>
      <w:marLeft w:val="0"/>
      <w:marRight w:val="0"/>
      <w:marTop w:val="0"/>
      <w:marBottom w:val="0"/>
      <w:divBdr>
        <w:top w:val="none" w:sz="0" w:space="0" w:color="auto"/>
        <w:left w:val="none" w:sz="0" w:space="0" w:color="auto"/>
        <w:bottom w:val="none" w:sz="0" w:space="0" w:color="auto"/>
        <w:right w:val="none" w:sz="0" w:space="0" w:color="auto"/>
      </w:divBdr>
    </w:div>
    <w:div w:id="540483757">
      <w:bodyDiv w:val="1"/>
      <w:marLeft w:val="0"/>
      <w:marRight w:val="0"/>
      <w:marTop w:val="0"/>
      <w:marBottom w:val="0"/>
      <w:divBdr>
        <w:top w:val="none" w:sz="0" w:space="0" w:color="auto"/>
        <w:left w:val="none" w:sz="0" w:space="0" w:color="auto"/>
        <w:bottom w:val="none" w:sz="0" w:space="0" w:color="auto"/>
        <w:right w:val="none" w:sz="0" w:space="0" w:color="auto"/>
      </w:divBdr>
    </w:div>
    <w:div w:id="576062741">
      <w:bodyDiv w:val="1"/>
      <w:marLeft w:val="0"/>
      <w:marRight w:val="0"/>
      <w:marTop w:val="0"/>
      <w:marBottom w:val="0"/>
      <w:divBdr>
        <w:top w:val="none" w:sz="0" w:space="0" w:color="auto"/>
        <w:left w:val="none" w:sz="0" w:space="0" w:color="auto"/>
        <w:bottom w:val="none" w:sz="0" w:space="0" w:color="auto"/>
        <w:right w:val="none" w:sz="0" w:space="0" w:color="auto"/>
      </w:divBdr>
    </w:div>
    <w:div w:id="669910150">
      <w:bodyDiv w:val="1"/>
      <w:marLeft w:val="0"/>
      <w:marRight w:val="0"/>
      <w:marTop w:val="0"/>
      <w:marBottom w:val="0"/>
      <w:divBdr>
        <w:top w:val="none" w:sz="0" w:space="0" w:color="auto"/>
        <w:left w:val="none" w:sz="0" w:space="0" w:color="auto"/>
        <w:bottom w:val="none" w:sz="0" w:space="0" w:color="auto"/>
        <w:right w:val="none" w:sz="0" w:space="0" w:color="auto"/>
      </w:divBdr>
    </w:div>
    <w:div w:id="726536401">
      <w:bodyDiv w:val="1"/>
      <w:marLeft w:val="0"/>
      <w:marRight w:val="0"/>
      <w:marTop w:val="0"/>
      <w:marBottom w:val="0"/>
      <w:divBdr>
        <w:top w:val="none" w:sz="0" w:space="0" w:color="auto"/>
        <w:left w:val="none" w:sz="0" w:space="0" w:color="auto"/>
        <w:bottom w:val="none" w:sz="0" w:space="0" w:color="auto"/>
        <w:right w:val="none" w:sz="0" w:space="0" w:color="auto"/>
      </w:divBdr>
    </w:div>
    <w:div w:id="752119062">
      <w:bodyDiv w:val="1"/>
      <w:marLeft w:val="0"/>
      <w:marRight w:val="0"/>
      <w:marTop w:val="0"/>
      <w:marBottom w:val="0"/>
      <w:divBdr>
        <w:top w:val="none" w:sz="0" w:space="0" w:color="auto"/>
        <w:left w:val="none" w:sz="0" w:space="0" w:color="auto"/>
        <w:bottom w:val="none" w:sz="0" w:space="0" w:color="auto"/>
        <w:right w:val="none" w:sz="0" w:space="0" w:color="auto"/>
      </w:divBdr>
    </w:div>
    <w:div w:id="950405438">
      <w:bodyDiv w:val="1"/>
      <w:marLeft w:val="0"/>
      <w:marRight w:val="0"/>
      <w:marTop w:val="0"/>
      <w:marBottom w:val="0"/>
      <w:divBdr>
        <w:top w:val="none" w:sz="0" w:space="0" w:color="auto"/>
        <w:left w:val="none" w:sz="0" w:space="0" w:color="auto"/>
        <w:bottom w:val="none" w:sz="0" w:space="0" w:color="auto"/>
        <w:right w:val="none" w:sz="0" w:space="0" w:color="auto"/>
      </w:divBdr>
    </w:div>
    <w:div w:id="1049919439">
      <w:bodyDiv w:val="1"/>
      <w:marLeft w:val="0"/>
      <w:marRight w:val="0"/>
      <w:marTop w:val="0"/>
      <w:marBottom w:val="0"/>
      <w:divBdr>
        <w:top w:val="none" w:sz="0" w:space="0" w:color="auto"/>
        <w:left w:val="none" w:sz="0" w:space="0" w:color="auto"/>
        <w:bottom w:val="none" w:sz="0" w:space="0" w:color="auto"/>
        <w:right w:val="none" w:sz="0" w:space="0" w:color="auto"/>
      </w:divBdr>
    </w:div>
    <w:div w:id="1122575013">
      <w:bodyDiv w:val="1"/>
      <w:marLeft w:val="0"/>
      <w:marRight w:val="0"/>
      <w:marTop w:val="0"/>
      <w:marBottom w:val="0"/>
      <w:divBdr>
        <w:top w:val="none" w:sz="0" w:space="0" w:color="auto"/>
        <w:left w:val="none" w:sz="0" w:space="0" w:color="auto"/>
        <w:bottom w:val="none" w:sz="0" w:space="0" w:color="auto"/>
        <w:right w:val="none" w:sz="0" w:space="0" w:color="auto"/>
      </w:divBdr>
    </w:div>
    <w:div w:id="1451705973">
      <w:bodyDiv w:val="1"/>
      <w:marLeft w:val="0"/>
      <w:marRight w:val="0"/>
      <w:marTop w:val="0"/>
      <w:marBottom w:val="0"/>
      <w:divBdr>
        <w:top w:val="none" w:sz="0" w:space="0" w:color="auto"/>
        <w:left w:val="none" w:sz="0" w:space="0" w:color="auto"/>
        <w:bottom w:val="none" w:sz="0" w:space="0" w:color="auto"/>
        <w:right w:val="none" w:sz="0" w:space="0" w:color="auto"/>
      </w:divBdr>
    </w:div>
    <w:div w:id="1660881889">
      <w:bodyDiv w:val="1"/>
      <w:marLeft w:val="0"/>
      <w:marRight w:val="0"/>
      <w:marTop w:val="0"/>
      <w:marBottom w:val="0"/>
      <w:divBdr>
        <w:top w:val="none" w:sz="0" w:space="0" w:color="auto"/>
        <w:left w:val="none" w:sz="0" w:space="0" w:color="auto"/>
        <w:bottom w:val="none" w:sz="0" w:space="0" w:color="auto"/>
        <w:right w:val="none" w:sz="0" w:space="0" w:color="auto"/>
      </w:divBdr>
    </w:div>
    <w:div w:id="1843666386">
      <w:bodyDiv w:val="1"/>
      <w:marLeft w:val="0"/>
      <w:marRight w:val="0"/>
      <w:marTop w:val="0"/>
      <w:marBottom w:val="0"/>
      <w:divBdr>
        <w:top w:val="none" w:sz="0" w:space="0" w:color="auto"/>
        <w:left w:val="none" w:sz="0" w:space="0" w:color="auto"/>
        <w:bottom w:val="none" w:sz="0" w:space="0" w:color="auto"/>
        <w:right w:val="none" w:sz="0" w:space="0" w:color="auto"/>
      </w:divBdr>
    </w:div>
    <w:div w:id="1904487752">
      <w:bodyDiv w:val="1"/>
      <w:marLeft w:val="0"/>
      <w:marRight w:val="0"/>
      <w:marTop w:val="0"/>
      <w:marBottom w:val="0"/>
      <w:divBdr>
        <w:top w:val="none" w:sz="0" w:space="0" w:color="auto"/>
        <w:left w:val="none" w:sz="0" w:space="0" w:color="auto"/>
        <w:bottom w:val="none" w:sz="0" w:space="0" w:color="auto"/>
        <w:right w:val="none" w:sz="0" w:space="0" w:color="auto"/>
      </w:divBdr>
    </w:div>
    <w:div w:id="2013141510">
      <w:bodyDiv w:val="1"/>
      <w:marLeft w:val="0"/>
      <w:marRight w:val="0"/>
      <w:marTop w:val="0"/>
      <w:marBottom w:val="0"/>
      <w:divBdr>
        <w:top w:val="none" w:sz="0" w:space="0" w:color="auto"/>
        <w:left w:val="none" w:sz="0" w:space="0" w:color="auto"/>
        <w:bottom w:val="none" w:sz="0" w:space="0" w:color="auto"/>
        <w:right w:val="none" w:sz="0" w:space="0" w:color="auto"/>
      </w:divBdr>
    </w:div>
    <w:div w:id="205681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omplyadvantage.com/insights/transaction-screening-vs-transaction-monitoring/" TargetMode="External"/><Relationship Id="rId21" Type="http://schemas.openxmlformats.org/officeDocument/2006/relationships/hyperlink" Target="https://www.cato.org/commentary/1994-north-korea-crisis-military-force-bad-idea-then-worse-one-now" TargetMode="External"/><Relationship Id="rId34" Type="http://schemas.openxmlformats.org/officeDocument/2006/relationships/hyperlink" Target="https://nonproliferation.org/north-koreas-withdrawal-from-the-npt-a-reality-check/" TargetMode="External"/><Relationship Id="rId42" Type="http://schemas.openxmlformats.org/officeDocument/2006/relationships/hyperlink" Target="https://inss.ndu.edu/Portals/97/Documents/Publications/Case%20Studies/cswmd_cs6.pdf" TargetMode="External"/><Relationship Id="rId47" Type="http://schemas.openxmlformats.org/officeDocument/2006/relationships/hyperlink" Target="https://doi.org/10.1080/10357718.2015.1095278" TargetMode="External"/><Relationship Id="rId50" Type="http://schemas.openxmlformats.org/officeDocument/2006/relationships/hyperlink" Target="https://www.iaea.org/sites/default/files/39403452630_0.PDF" TargetMode="External"/><Relationship Id="rId55" Type="http://schemas.openxmlformats.org/officeDocument/2006/relationships/hyperlink" Target="https://www.iaea.org/newscenter/focus/dprk/fact-sheet-on-dprk-nuclear-safeguards" TargetMode="External"/><Relationship Id="rId63" Type="http://schemas.openxmlformats.org/officeDocument/2006/relationships/hyperlink" Target="https://doi.org/10.1080/01495933.2020.1740569" TargetMode="External"/><Relationship Id="rId68" Type="http://schemas.openxmlformats.org/officeDocument/2006/relationships/hyperlink" Target="https://doi.org/10.1080/10736709508436590" TargetMode="External"/><Relationship Id="rId76" Type="http://schemas.openxmlformats.org/officeDocument/2006/relationships/hyperlink" Target="https://www.pbs.org/wgbh/pages/frontline/shows/kim/interviews/carter.html" TargetMode="External"/><Relationship Id="rId84" Type="http://schemas.openxmlformats.org/officeDocument/2006/relationships/hyperlink" Target="https://www.wilsoncenter.org/publication/russias-policy-the-run-to-the-first-north-korean-nuclear-crisis-1991-1993" TargetMode="External"/><Relationship Id="rId89" Type="http://schemas.openxmlformats.org/officeDocument/2006/relationships/hyperlink" Target="https://doi.org/10.1017/S0003055405051920" TargetMode="External"/><Relationship Id="rId97" Type="http://schemas.openxmlformats.org/officeDocument/2006/relationships/hyperlink" Target="https://www.wilsoncenter.org/event/revisiting-history-north-korea-and-nuclear-weapons" TargetMode="External"/><Relationship Id="rId7" Type="http://schemas.openxmlformats.org/officeDocument/2006/relationships/endnotes" Target="endnotes.xml"/><Relationship Id="rId71" Type="http://schemas.openxmlformats.org/officeDocument/2006/relationships/hyperlink" Target="https://www.armscontrol.org/act/2003-12/features/israel-india-and-pakistan-engaging-non-npt-states-nonproliferation-regime" TargetMode="External"/><Relationship Id="rId92" Type="http://schemas.openxmlformats.org/officeDocument/2006/relationships/hyperlink" Target="https://doi.org/10.1093/isagsq/ksae025" TargetMode="External"/><Relationship Id="rId2" Type="http://schemas.openxmlformats.org/officeDocument/2006/relationships/numbering" Target="numbering.xml"/><Relationship Id="rId16" Type="http://schemas.openxmlformats.org/officeDocument/2006/relationships/hyperlink" Target="https://vcdnp.org/iaea-safeguards-system-and-safeguards-culture/" TargetMode="External"/><Relationship Id="rId29" Type="http://schemas.openxmlformats.org/officeDocument/2006/relationships/hyperlink" Target="https://doi.org/10.1353/wp.2002.0013" TargetMode="External"/><Relationship Id="rId11" Type="http://schemas.openxmlformats.org/officeDocument/2006/relationships/hyperlink" Target="https://doi.org/10.1007/s42597-021-00066-0" TargetMode="External"/><Relationship Id="rId24" Type="http://schemas.openxmlformats.org/officeDocument/2006/relationships/hyperlink" Target="https://carnegieendowment.org/research/2005/03/enforcing-compliance-with-the-non-proliferation-treaty?lang=en" TargetMode="External"/><Relationship Id="rId32" Type="http://schemas.openxmlformats.org/officeDocument/2006/relationships/hyperlink" Target="https://doi.org/10.1017/S0020818300033427" TargetMode="External"/><Relationship Id="rId37" Type="http://schemas.openxmlformats.org/officeDocument/2006/relationships/hyperlink" Target="https://doi.org/10.1162/002081898753162820" TargetMode="External"/><Relationship Id="rId40" Type="http://schemas.openxmlformats.org/officeDocument/2006/relationships/hyperlink" Target="https://nsarchive2.gwu.edu/NSAEBB/NSAEBB87/nk18.pdf" TargetMode="External"/><Relationship Id="rId45" Type="http://schemas.openxmlformats.org/officeDocument/2006/relationships/hyperlink" Target="https://www.belfercenter.org/publication/iaea-safeguards-dealing-preventively-non-compliance" TargetMode="External"/><Relationship Id="rId53" Type="http://schemas.openxmlformats.org/officeDocument/2006/relationships/hyperlink" Target="https://doi.org/10.1111/j.1758-5899.2010.00035.x" TargetMode="External"/><Relationship Id="rId58" Type="http://schemas.openxmlformats.org/officeDocument/2006/relationships/hyperlink" Target="https://doi.org/10.1177/0022002706296158" TargetMode="External"/><Relationship Id="rId66" Type="http://schemas.openxmlformats.org/officeDocument/2006/relationships/hyperlink" Target="https://doi.org/10.1093/isq/sqac074" TargetMode="External"/><Relationship Id="rId74" Type="http://schemas.openxmlformats.org/officeDocument/2006/relationships/hyperlink" Target="https://www.chathamhouse.org/publications/the-world-today/2025-06/why-america-may-be-triggering-new-era-nuclear-proliferation" TargetMode="External"/><Relationship Id="rId79" Type="http://schemas.openxmlformats.org/officeDocument/2006/relationships/hyperlink" Target="https://doi.org/10.1017/S0020818306060322" TargetMode="External"/><Relationship Id="rId87" Type="http://schemas.openxmlformats.org/officeDocument/2006/relationships/hyperlink" Target="https://www.38north.org/2018/12/lsigal121418/" TargetMode="External"/><Relationship Id="rId5" Type="http://schemas.openxmlformats.org/officeDocument/2006/relationships/webSettings" Target="webSettings.xml"/><Relationship Id="rId61" Type="http://schemas.openxmlformats.org/officeDocument/2006/relationships/hyperlink" Target="https://www.globalnk.org/publication/view.php?cd=COM000152&amp;ctype=1&amp;utm_source=chatgpt.com" TargetMode="External"/><Relationship Id="rId82" Type="http://schemas.openxmlformats.org/officeDocument/2006/relationships/hyperlink" Target="https://doi.org/10.1080/13523260.2021.2009695" TargetMode="External"/><Relationship Id="rId90" Type="http://schemas.openxmlformats.org/officeDocument/2006/relationships/hyperlink" Target="https://doi.org/10.1177/0022002704269655" TargetMode="External"/><Relationship Id="rId95" Type="http://schemas.openxmlformats.org/officeDocument/2006/relationships/hyperlink" Target="https://docs.un.org/en/S/RES/825(1993)" TargetMode="External"/><Relationship Id="rId19" Type="http://schemas.openxmlformats.org/officeDocument/2006/relationships/hyperlink" Target="https://www.nti.org/analysis/articles/the-iaeas-safeguards-system-as-the-non-proliferation-treatys-verification-mechanism/" TargetMode="External"/><Relationship Id="rId14" Type="http://schemas.openxmlformats.org/officeDocument/2006/relationships/hyperlink" Target="https://www.vertic.org/media/Archived_Publications/Yearbooks/2003/VY03_Boutin.pdf" TargetMode="External"/><Relationship Id="rId22" Type="http://schemas.openxmlformats.org/officeDocument/2006/relationships/hyperlink" Target="https://www.ipinst.org/wp-content/uploads/publications/nuclearcomplete2.pdf" TargetMode="External"/><Relationship Id="rId27" Type="http://schemas.openxmlformats.org/officeDocument/2006/relationships/hyperlink" Target="https://doi.org/10.1093/jcsl/krv004" TargetMode="External"/><Relationship Id="rId30" Type="http://schemas.openxmlformats.org/officeDocument/2006/relationships/hyperlink" Target="https://www.armscontrol.org/factsheets/timeline-nuclear-diplomacy-iran-1967-2023" TargetMode="External"/><Relationship Id="rId35" Type="http://schemas.openxmlformats.org/officeDocument/2006/relationships/hyperlink" Target="https://doi.org/10.1177/002070201006500105" TargetMode="External"/><Relationship Id="rId43" Type="http://schemas.openxmlformats.org/officeDocument/2006/relationships/hyperlink" Target="https://fpif.org/north_korea_the_npt/?utm_source=chatgpt.com" TargetMode="External"/><Relationship Id="rId48" Type="http://schemas.openxmlformats.org/officeDocument/2006/relationships/hyperlink" Target="https://doi.org/10.1017/S0260210506007169" TargetMode="External"/><Relationship Id="rId56" Type="http://schemas.openxmlformats.org/officeDocument/2006/relationships/hyperlink" Target="https://www.iaea.org/sites/default/files/documents/gov2011-30.pdf" TargetMode="External"/><Relationship Id="rId64" Type="http://schemas.openxmlformats.org/officeDocument/2006/relationships/hyperlink" Target="https://doi.org/10.1111/1475-6765.12130" TargetMode="External"/><Relationship Id="rId69" Type="http://schemas.openxmlformats.org/officeDocument/2006/relationships/hyperlink" Target="https://vcdnp.org/wp-content/uploads/2021/01/Lexical-History-of-the-State-level-Concept_Final.pdf" TargetMode="External"/><Relationship Id="rId77" Type="http://schemas.openxmlformats.org/officeDocument/2006/relationships/hyperlink" Target="https://doi.org/10.1093/isq/sqz094" TargetMode="External"/><Relationship Id="rId100" Type="http://schemas.openxmlformats.org/officeDocument/2006/relationships/fontTable" Target="fontTable.xml"/><Relationship Id="rId8" Type="http://schemas.openxmlformats.org/officeDocument/2006/relationships/hyperlink" Target="mailto:Kim.zien@gmail.com" TargetMode="External"/><Relationship Id="rId51" Type="http://schemas.openxmlformats.org/officeDocument/2006/relationships/hyperlink" Target="https://doi.org/10.1093/ia/iiaf055" TargetMode="External"/><Relationship Id="rId72" Type="http://schemas.openxmlformats.org/officeDocument/2006/relationships/hyperlink" Target="https://doi.org/10.1080/10736709708436692" TargetMode="External"/><Relationship Id="rId80" Type="http://schemas.openxmlformats.org/officeDocument/2006/relationships/hyperlink" Target="https://www.hnn.us/article/the-history-of-the-1994-agreed-framework" TargetMode="External"/><Relationship Id="rId85" Type="http://schemas.openxmlformats.org/officeDocument/2006/relationships/hyperlink" Target="https://www.iaea.org/sites/default/files/16/12/legalframeworkforsafeguards.pdf" TargetMode="External"/><Relationship Id="rId93" Type="http://schemas.openxmlformats.org/officeDocument/2006/relationships/hyperlink" Target="https://unidir.org/files/2019-12/UNID%20WMD%20CE%20-%20Paper%203%20v3.pdf" TargetMode="External"/><Relationship Id="rId98" Type="http://schemas.openxmlformats.org/officeDocument/2006/relationships/hyperlink" Target="https://www.who.int/europe/teams/ncd-management/screening" TargetMode="External"/><Relationship Id="rId3" Type="http://schemas.openxmlformats.org/officeDocument/2006/relationships/styles" Target="styles.xml"/><Relationship Id="rId12" Type="http://schemas.openxmlformats.org/officeDocument/2006/relationships/hyperlink" Target="https://doi.org/10.1162/002081899551048" TargetMode="External"/><Relationship Id="rId17" Type="http://schemas.openxmlformats.org/officeDocument/2006/relationships/hyperlink" Target="https://media.nti.org/documents/IAEA_Safeguards_System-Implementing_the_State-Level_Concept.pdf" TargetMode="External"/><Relationship Id="rId25" Type="http://schemas.openxmlformats.org/officeDocument/2006/relationships/hyperlink" Target="https://doi.org/10.1086/682080" TargetMode="External"/><Relationship Id="rId33" Type="http://schemas.openxmlformats.org/officeDocument/2006/relationships/hyperlink" Target="https://doi.org/10.1080/10736700902969638" TargetMode="External"/><Relationship Id="rId38" Type="http://schemas.openxmlformats.org/officeDocument/2006/relationships/hyperlink" Target="https://www.files.ethz.ch/isn/144979/IAEA_findlay.pdf" TargetMode="External"/><Relationship Id="rId46" Type="http://schemas.openxmlformats.org/officeDocument/2006/relationships/hyperlink" Target="https://carnegieendowment.org/research/2009/06/the-iaea-reports-on-egypt-reluctantly" TargetMode="External"/><Relationship Id="rId59" Type="http://schemas.openxmlformats.org/officeDocument/2006/relationships/hyperlink" Target="https://nuke.fas.org/guide/dprk/nuke/dprk012203.html" TargetMode="External"/><Relationship Id="rId67" Type="http://schemas.openxmlformats.org/officeDocument/2006/relationships/hyperlink" Target="https://www.armscontrol.org/act/2018-06/features/npt-50-staple-global-nuclear-order" TargetMode="External"/><Relationship Id="rId20" Type="http://schemas.openxmlformats.org/officeDocument/2006/relationships/hyperlink" Target="https://media.nti.org/documents/NTI_Paper_Safeguards_FINAL_5-8-20.pdf" TargetMode="External"/><Relationship Id="rId41" Type="http://schemas.openxmlformats.org/officeDocument/2006/relationships/hyperlink" Target="https://doi.org/10.1093/isq/sqw013" TargetMode="External"/><Relationship Id="rId54" Type="http://schemas.openxmlformats.org/officeDocument/2006/relationships/hyperlink" Target="https://www.iaea.org/publications/factsheets/iaea-safeguards-overview" TargetMode="External"/><Relationship Id="rId62" Type="http://schemas.openxmlformats.org/officeDocument/2006/relationships/hyperlink" Target="https://doi.org/10.1080/13523260.2021.1983243" TargetMode="External"/><Relationship Id="rId70" Type="http://schemas.openxmlformats.org/officeDocument/2006/relationships/hyperlink" Target="https://vertic.org/media/assets/TV114.pdf" TargetMode="External"/><Relationship Id="rId75" Type="http://schemas.openxmlformats.org/officeDocument/2006/relationships/hyperlink" Target="https://doi.org/10.1017/eis.2019.15" TargetMode="External"/><Relationship Id="rId83" Type="http://schemas.openxmlformats.org/officeDocument/2006/relationships/hyperlink" Target="https://doi.org/10.1080/00396338.2021.1956197" TargetMode="External"/><Relationship Id="rId88" Type="http://schemas.openxmlformats.org/officeDocument/2006/relationships/hyperlink" Target="https://www.armscontrol.org/act/1997-05/features/north-korean-nuclear-crisis-understanding-failure-crime-punishment-strategy" TargetMode="External"/><Relationship Id="rId91" Type="http://schemas.openxmlformats.org/officeDocument/2006/relationships/hyperlink" Target="https://www.wilsoncenter.org/sites/default/files/media/documents/publication/WP53_web_final1.pdf" TargetMode="External"/><Relationship Id="rId96" Type="http://schemas.openxmlformats.org/officeDocument/2006/relationships/hyperlink" Target="https://nsarchive.gwu.edu/document/16008-document-10-memorandum-north-korean-deputi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cw.mit.edu/courses/22-812j-managing-nuclear-technology-spring-2004/2f1945e13a0add353d8b60030c421af5_lec16notes.pdf" TargetMode="External"/><Relationship Id="rId23" Type="http://schemas.openxmlformats.org/officeDocument/2006/relationships/hyperlink" Target="https://doi.org/10.1111/j.1571-9979.1991.tb00625.x" TargetMode="External"/><Relationship Id="rId28" Type="http://schemas.openxmlformats.org/officeDocument/2006/relationships/hyperlink" Target="https://www.foreignaffairs.com/united-states/proliferation-problem-back" TargetMode="External"/><Relationship Id="rId36" Type="http://schemas.openxmlformats.org/officeDocument/2006/relationships/hyperlink" Target="https://www.epa.sa.gov.au/files/8493_guide_monitoring.pdf" TargetMode="External"/><Relationship Id="rId49" Type="http://schemas.openxmlformats.org/officeDocument/2006/relationships/hyperlink" Target="https://fsi9-prod.s3.us-west-1.amazonaws.com/s3fs-public/narrativescombinedfinv2.pdf" TargetMode="External"/><Relationship Id="rId57" Type="http://schemas.openxmlformats.org/officeDocument/2006/relationships/hyperlink" Target="https://www-pub.iaea.org/MTCD/publications/PDF/TE-2089web.pdf" TargetMode="External"/><Relationship Id="rId10" Type="http://schemas.openxmlformats.org/officeDocument/2006/relationships/hyperlink" Target="https://doi.org/10.1080/25751654.2020.1824500" TargetMode="External"/><Relationship Id="rId31" Type="http://schemas.openxmlformats.org/officeDocument/2006/relationships/hyperlink" Target="https://doi.org/10.1080/10736709508436579" TargetMode="External"/><Relationship Id="rId44" Type="http://schemas.openxmlformats.org/officeDocument/2006/relationships/hyperlink" Target="https://doi.org/10.1080/10736700.2022.2064516" TargetMode="External"/><Relationship Id="rId52" Type="http://schemas.openxmlformats.org/officeDocument/2006/relationships/hyperlink" Target="https://www.lawfaremedia.org/article/reinforcing-the-nuclear-nonproliferation-regime" TargetMode="External"/><Relationship Id="rId60" Type="http://schemas.openxmlformats.org/officeDocument/2006/relationships/hyperlink" Target="https://doi.org/10.1017/S0020818309090018" TargetMode="External"/><Relationship Id="rId65" Type="http://schemas.openxmlformats.org/officeDocument/2006/relationships/hyperlink" Target="https://doi.org/10.1017/S0007123422000163" TargetMode="External"/><Relationship Id="rId73" Type="http://schemas.openxmlformats.org/officeDocument/2006/relationships/hyperlink" Target="https://doi.org/10.1162/daed_a_01796" TargetMode="External"/><Relationship Id="rId78" Type="http://schemas.openxmlformats.org/officeDocument/2006/relationships/hyperlink" Target="https://doi.org/10.1525/curh.2006.105.694.355" TargetMode="External"/><Relationship Id="rId81" Type="http://schemas.openxmlformats.org/officeDocument/2006/relationships/hyperlink" Target="https://doi.org/10.1162/daed.2010.139.1.68" TargetMode="External"/><Relationship Id="rId86" Type="http://schemas.openxmlformats.org/officeDocument/2006/relationships/hyperlink" Target="https://doi.org/10.1146/annurev-polisci-052209-131042" TargetMode="External"/><Relationship Id="rId94" Type="http://schemas.openxmlformats.org/officeDocument/2006/relationships/hyperlink" Target="https://disarmament.unoda.org/wmd/nuclear/npt/text/"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oul.Park@uea.ac.uk" TargetMode="External"/><Relationship Id="rId13" Type="http://schemas.openxmlformats.org/officeDocument/2006/relationships/hyperlink" Target="https://doi.org/10.1093/isq/sqy015" TargetMode="External"/><Relationship Id="rId18" Type="http://schemas.openxmlformats.org/officeDocument/2006/relationships/hyperlink" Target="https://www.stimson.org/2020/iaea-safeguards-in-north-korea-possible-verification-roles-and-mandates/" TargetMode="External"/><Relationship Id="rId39" Type="http://schemas.openxmlformats.org/officeDocument/2006/relationships/hyperlink" Target="https://www-pub.iaea.org/MTCD/Publications/PDF/Pub1032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2FE27-B170-4974-A8AA-4CE395BB2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11694</Words>
  <Characters>66658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 Park (PPA - Staff)</dc:creator>
  <cp:keywords/>
  <dc:description/>
  <cp:lastModifiedBy>Soul Park (PPA - Staff)</cp:lastModifiedBy>
  <cp:revision>3</cp:revision>
  <dcterms:created xsi:type="dcterms:W3CDTF">2026-04-03T10:17:00Z</dcterms:created>
  <dcterms:modified xsi:type="dcterms:W3CDTF">2026-04-03T10:21:00Z</dcterms:modified>
</cp:coreProperties>
</file>