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47F4" w14:textId="7FC90F0D" w:rsidR="00530C9A" w:rsidRDefault="00E1078B" w:rsidP="00D55A7C">
      <w:pPr>
        <w:spacing w:line="480" w:lineRule="auto"/>
        <w:jc w:val="both"/>
        <w:rPr>
          <w:sz w:val="28"/>
          <w:szCs w:val="28"/>
        </w:rPr>
      </w:pPr>
      <w:r>
        <w:rPr>
          <w:sz w:val="28"/>
          <w:szCs w:val="28"/>
        </w:rPr>
        <w:t>Scholarship Across Borders</w:t>
      </w:r>
      <w:r w:rsidR="00CA536D">
        <w:rPr>
          <w:sz w:val="28"/>
          <w:szCs w:val="28"/>
        </w:rPr>
        <w:t>:</w:t>
      </w:r>
    </w:p>
    <w:p w14:paraId="0D353762" w14:textId="1ED6966E" w:rsidR="00721129" w:rsidRPr="001054E4" w:rsidRDefault="00721129" w:rsidP="00D55A7C">
      <w:pPr>
        <w:spacing w:line="480" w:lineRule="auto"/>
        <w:jc w:val="both"/>
        <w:rPr>
          <w:sz w:val="28"/>
          <w:szCs w:val="28"/>
        </w:rPr>
      </w:pPr>
      <w:r w:rsidRPr="001054E4">
        <w:rPr>
          <w:sz w:val="28"/>
          <w:szCs w:val="28"/>
        </w:rPr>
        <w:t xml:space="preserve">Thomas Savile’s </w:t>
      </w:r>
      <w:r w:rsidR="00E1078B">
        <w:rPr>
          <w:sz w:val="28"/>
          <w:szCs w:val="28"/>
        </w:rPr>
        <w:t xml:space="preserve">Translation </w:t>
      </w:r>
      <w:r w:rsidRPr="001054E4">
        <w:rPr>
          <w:sz w:val="28"/>
          <w:szCs w:val="28"/>
        </w:rPr>
        <w:t xml:space="preserve">of </w:t>
      </w:r>
      <w:r w:rsidR="00D5124A" w:rsidRPr="001054E4">
        <w:rPr>
          <w:sz w:val="28"/>
          <w:szCs w:val="28"/>
        </w:rPr>
        <w:t xml:space="preserve">Geminus’s </w:t>
      </w:r>
      <w:r w:rsidR="00D5124A" w:rsidRPr="001054E4">
        <w:rPr>
          <w:i/>
          <w:iCs/>
          <w:sz w:val="28"/>
          <w:szCs w:val="28"/>
        </w:rPr>
        <w:t>Phaenomena</w:t>
      </w:r>
    </w:p>
    <w:p w14:paraId="377D45B6" w14:textId="182D580E" w:rsidR="00ED7595" w:rsidRPr="001054E4" w:rsidRDefault="00236603" w:rsidP="00FB3B99">
      <w:pPr>
        <w:tabs>
          <w:tab w:val="left" w:pos="2650"/>
        </w:tabs>
        <w:spacing w:line="480" w:lineRule="auto"/>
        <w:jc w:val="both"/>
        <w:rPr>
          <w:sz w:val="28"/>
          <w:szCs w:val="28"/>
        </w:rPr>
      </w:pPr>
      <w:r w:rsidRPr="001054E4">
        <w:rPr>
          <w:sz w:val="28"/>
          <w:szCs w:val="28"/>
        </w:rPr>
        <w:tab/>
      </w:r>
    </w:p>
    <w:p w14:paraId="0C17F2FE" w14:textId="01D04632" w:rsidR="00ED7595" w:rsidRPr="001054E4" w:rsidRDefault="00ED7595" w:rsidP="00D55A7C">
      <w:pPr>
        <w:spacing w:line="480" w:lineRule="auto"/>
        <w:jc w:val="both"/>
        <w:rPr>
          <w:b/>
          <w:bCs/>
          <w:sz w:val="28"/>
          <w:szCs w:val="28"/>
        </w:rPr>
      </w:pPr>
      <w:r w:rsidRPr="001054E4">
        <w:rPr>
          <w:b/>
          <w:bCs/>
          <w:sz w:val="28"/>
          <w:szCs w:val="28"/>
        </w:rPr>
        <w:t xml:space="preserve">Introduction: </w:t>
      </w:r>
    </w:p>
    <w:p w14:paraId="7FAFA6F9" w14:textId="10A59F69" w:rsidR="00816BD7" w:rsidRDefault="00816BD7" w:rsidP="00D55A7C">
      <w:pPr>
        <w:spacing w:line="480" w:lineRule="auto"/>
        <w:jc w:val="both"/>
        <w:rPr>
          <w:b/>
          <w:bCs/>
        </w:rPr>
      </w:pPr>
    </w:p>
    <w:p w14:paraId="3CE149D9" w14:textId="1F0A237C" w:rsidR="00816BD7" w:rsidRDefault="00816BD7" w:rsidP="00D55A7C">
      <w:pPr>
        <w:spacing w:line="480" w:lineRule="auto"/>
        <w:ind w:left="720"/>
        <w:jc w:val="both"/>
      </w:pPr>
      <w:proofErr w:type="spellStart"/>
      <w:r w:rsidRPr="00816BD7">
        <w:t>Divinum</w:t>
      </w:r>
      <w:proofErr w:type="spellEnd"/>
      <w:r w:rsidRPr="00816BD7">
        <w:t xml:space="preserve">, </w:t>
      </w:r>
      <w:r>
        <w:t xml:space="preserve">Savile, ingenium, et </w:t>
      </w:r>
      <w:proofErr w:type="spellStart"/>
      <w:r>
        <w:t>eruditio</w:t>
      </w:r>
      <w:proofErr w:type="spellEnd"/>
      <w:r>
        <w:t xml:space="preserve">, quantum in </w:t>
      </w:r>
      <w:proofErr w:type="spellStart"/>
      <w:r>
        <w:t>istam</w:t>
      </w:r>
      <w:proofErr w:type="spellEnd"/>
      <w:r>
        <w:t xml:space="preserve"> </w:t>
      </w:r>
      <w:proofErr w:type="spellStart"/>
      <w:r>
        <w:t>ætatem</w:t>
      </w:r>
      <w:proofErr w:type="spellEnd"/>
      <w:r>
        <w:t xml:space="preserve"> credere </w:t>
      </w:r>
      <w:proofErr w:type="spellStart"/>
      <w:r>
        <w:t>numquam</w:t>
      </w:r>
      <w:proofErr w:type="spellEnd"/>
      <w:r>
        <w:t xml:space="preserve"> </w:t>
      </w:r>
      <w:proofErr w:type="spellStart"/>
      <w:r>
        <w:t>putaui</w:t>
      </w:r>
      <w:proofErr w:type="spellEnd"/>
      <w:r>
        <w:t xml:space="preserve">. Quid </w:t>
      </w:r>
      <w:proofErr w:type="spellStart"/>
      <w:r>
        <w:t>multa</w:t>
      </w:r>
      <w:proofErr w:type="spellEnd"/>
      <w:r>
        <w:t xml:space="preserve">? </w:t>
      </w:r>
      <w:proofErr w:type="spellStart"/>
      <w:r w:rsidR="00943E5E" w:rsidRPr="00943E5E">
        <w:t>μηκε</w:t>
      </w:r>
      <w:r w:rsidR="009D15C3" w:rsidRPr="009D15C3">
        <w:t>θ</w:t>
      </w:r>
      <w:proofErr w:type="spellEnd"/>
      <w:r w:rsidR="00943E5E" w:rsidRPr="00943E5E">
        <w:t xml:space="preserve">' </w:t>
      </w:r>
      <w:proofErr w:type="spellStart"/>
      <w:r w:rsidR="00943E5E" w:rsidRPr="00943E5E">
        <w:t>ἁλιου</w:t>
      </w:r>
      <w:proofErr w:type="spellEnd"/>
      <w:r w:rsidR="00943E5E" w:rsidRPr="00943E5E">
        <w:t xml:space="preserve"> </w:t>
      </w:r>
      <w:proofErr w:type="spellStart"/>
      <w:r w:rsidR="00943E5E" w:rsidRPr="00943E5E">
        <w:t>σκο</w:t>
      </w:r>
      <w:proofErr w:type="spellEnd"/>
      <w:r w:rsidR="00943E5E" w:rsidRPr="00943E5E">
        <w:t xml:space="preserve">πει </w:t>
      </w:r>
      <w:proofErr w:type="spellStart"/>
      <w:r w:rsidR="00943E5E" w:rsidRPr="00943E5E">
        <w:t>ἀλλο</w:t>
      </w:r>
      <w:proofErr w:type="spellEnd"/>
      <w:r w:rsidR="00943E5E" w:rsidRPr="00943E5E">
        <w:t xml:space="preserve"> θαλπ</w:t>
      </w:r>
      <w:proofErr w:type="spellStart"/>
      <w:r w:rsidR="00943E5E" w:rsidRPr="00943E5E">
        <w:t>νοτερον</w:t>
      </w:r>
      <w:proofErr w:type="spellEnd"/>
      <w:r w:rsidR="00943E5E" w:rsidRPr="00943E5E">
        <w:t xml:space="preserve"> </w:t>
      </w:r>
      <w:proofErr w:type="spellStart"/>
      <w:r w:rsidR="00943E5E" w:rsidRPr="00943E5E">
        <w:t>ἐν</w:t>
      </w:r>
      <w:proofErr w:type="spellEnd"/>
      <w:r w:rsidR="00943E5E" w:rsidRPr="00943E5E">
        <w:t xml:space="preserve"> </w:t>
      </w:r>
      <w:proofErr w:type="spellStart"/>
      <w:r w:rsidR="00943E5E" w:rsidRPr="00943E5E">
        <w:t>ἁμερ</w:t>
      </w:r>
      <w:proofErr w:type="spellEnd"/>
      <w:r w:rsidR="00943E5E" w:rsidRPr="00943E5E">
        <w:t>α φα</w:t>
      </w:r>
      <w:proofErr w:type="spellStart"/>
      <w:r w:rsidR="00943E5E" w:rsidRPr="00943E5E">
        <w:t>εινον</w:t>
      </w:r>
      <w:proofErr w:type="spellEnd"/>
      <w:r w:rsidR="00943E5E" w:rsidRPr="00943E5E">
        <w:t xml:space="preserve"> </w:t>
      </w:r>
      <w:proofErr w:type="spellStart"/>
      <w:r w:rsidR="00943E5E" w:rsidRPr="00943E5E">
        <w:t>ἀστρον</w:t>
      </w:r>
      <w:proofErr w:type="spellEnd"/>
      <w:r w:rsidR="00943E5E" w:rsidRPr="00943E5E">
        <w:t xml:space="preserve"> </w:t>
      </w:r>
      <w:proofErr w:type="spellStart"/>
      <w:r w:rsidR="00943E5E" w:rsidRPr="00943E5E">
        <w:t>ἐρημ</w:t>
      </w:r>
      <w:proofErr w:type="spellEnd"/>
      <w:r w:rsidR="00943E5E" w:rsidRPr="00943E5E">
        <w:t xml:space="preserve">ας </w:t>
      </w:r>
      <w:proofErr w:type="spellStart"/>
      <w:r w:rsidR="00943E5E" w:rsidRPr="00943E5E">
        <w:t>δἰ</w:t>
      </w:r>
      <w:proofErr w:type="spellEnd"/>
      <w:r w:rsidR="00943E5E" w:rsidRPr="00943E5E">
        <w:t xml:space="preserve"> α</w:t>
      </w:r>
      <w:proofErr w:type="spellStart"/>
      <w:r w:rsidR="00943E5E" w:rsidRPr="00943E5E">
        <w:t>ἰθερος</w:t>
      </w:r>
      <w:proofErr w:type="spellEnd"/>
      <w:r w:rsidR="00943E5E">
        <w:t>.</w:t>
      </w:r>
    </w:p>
    <w:p w14:paraId="422197F3" w14:textId="1DCF1707" w:rsidR="00943E5E" w:rsidRDefault="00943E5E" w:rsidP="00D55A7C">
      <w:pPr>
        <w:spacing w:line="480" w:lineRule="auto"/>
        <w:ind w:left="720"/>
        <w:jc w:val="both"/>
      </w:pPr>
    </w:p>
    <w:p w14:paraId="2CB3218A" w14:textId="25E59E3E" w:rsidR="00943E5E" w:rsidRDefault="005C1D7E" w:rsidP="00D55A7C">
      <w:pPr>
        <w:spacing w:line="480" w:lineRule="auto"/>
        <w:ind w:left="720"/>
        <w:jc w:val="both"/>
      </w:pPr>
      <w:r>
        <w:t>(</w:t>
      </w:r>
      <w:r w:rsidR="00943E5E">
        <w:t xml:space="preserve">A divine intellect, Savile, and erudition, such as I never believed could be possessed by one so young. What </w:t>
      </w:r>
      <w:r>
        <w:t>else</w:t>
      </w:r>
      <w:r w:rsidR="00943E5E">
        <w:t xml:space="preserve">? </w:t>
      </w:r>
      <w:r w:rsidR="00961F28">
        <w:t xml:space="preserve">“Look no further than the sun for another star </w:t>
      </w:r>
      <w:r>
        <w:t>shining more warmly by day through the empty sky”)</w:t>
      </w:r>
      <w:r>
        <w:rPr>
          <w:rStyle w:val="FootnoteReference"/>
        </w:rPr>
        <w:footnoteReference w:id="1"/>
      </w:r>
    </w:p>
    <w:p w14:paraId="3EA51092" w14:textId="77777777" w:rsidR="00197C2B" w:rsidRDefault="00197C2B" w:rsidP="00D55A7C">
      <w:pPr>
        <w:spacing w:line="480" w:lineRule="auto"/>
        <w:jc w:val="both"/>
      </w:pPr>
    </w:p>
    <w:p w14:paraId="4E6B42C3" w14:textId="0498B4EF" w:rsidR="00332A18" w:rsidRDefault="00E246F6" w:rsidP="00D55A7C">
      <w:pPr>
        <w:spacing w:line="480" w:lineRule="auto"/>
        <w:jc w:val="both"/>
      </w:pPr>
      <w:r>
        <w:t>Thus wrote the</w:t>
      </w:r>
      <w:r w:rsidR="00681E62">
        <w:t xml:space="preserve"> Scottish theologian and humanist, Andrew Melville (</w:t>
      </w:r>
      <w:r w:rsidR="00681E62" w:rsidRPr="00681E62">
        <w:t>1545–1622</w:t>
      </w:r>
      <w:r w:rsidR="00681E62">
        <w:t xml:space="preserve">), </w:t>
      </w:r>
      <w:r w:rsidR="00197C2B">
        <w:t>to</w:t>
      </w:r>
      <w:r w:rsidR="008471BD">
        <w:t xml:space="preserve"> </w:t>
      </w:r>
      <w:r w:rsidR="00197C2B">
        <w:t>Thomas Savile</w:t>
      </w:r>
      <w:r w:rsidR="00125FC0">
        <w:t xml:space="preserve"> (</w:t>
      </w:r>
      <w:r w:rsidR="00125FC0" w:rsidRPr="008922C2">
        <w:rPr>
          <w:i/>
          <w:iCs/>
        </w:rPr>
        <w:t>d</w:t>
      </w:r>
      <w:r w:rsidR="00125FC0">
        <w:t>.1593)</w:t>
      </w:r>
      <w:r w:rsidR="00197C2B">
        <w:t xml:space="preserve">, </w:t>
      </w:r>
      <w:r w:rsidR="00160A1A">
        <w:t xml:space="preserve">in </w:t>
      </w:r>
      <w:r w:rsidR="00B86A6A">
        <w:t xml:space="preserve">December 1584, </w:t>
      </w:r>
      <w:r w:rsidR="00197C2B">
        <w:t xml:space="preserve">praising </w:t>
      </w:r>
      <w:r w:rsidR="008471BD">
        <w:t>the English scholar’s</w:t>
      </w:r>
      <w:r w:rsidR="00681E62">
        <w:t xml:space="preserve"> </w:t>
      </w:r>
      <w:r w:rsidR="00197C2B">
        <w:t>‘incredible knowledge of mathematic</w:t>
      </w:r>
      <w:r w:rsidR="00332A18">
        <w:t xml:space="preserve">s’ </w:t>
      </w:r>
      <w:r w:rsidR="009D15C3">
        <w:t>(‘</w:t>
      </w:r>
      <w:proofErr w:type="spellStart"/>
      <w:r w:rsidR="009D15C3">
        <w:t>incredibilis</w:t>
      </w:r>
      <w:proofErr w:type="spellEnd"/>
      <w:r w:rsidR="009D15C3">
        <w:t xml:space="preserve"> rerum </w:t>
      </w:r>
      <w:proofErr w:type="spellStart"/>
      <w:r w:rsidR="009D15C3">
        <w:t>mathematicarum</w:t>
      </w:r>
      <w:proofErr w:type="spellEnd"/>
      <w:r w:rsidR="009D15C3">
        <w:t xml:space="preserve"> </w:t>
      </w:r>
      <w:proofErr w:type="spellStart"/>
      <w:r w:rsidR="009D15C3">
        <w:t>scientia</w:t>
      </w:r>
      <w:proofErr w:type="spellEnd"/>
      <w:r w:rsidR="009D15C3">
        <w:t>’)</w:t>
      </w:r>
      <w:r w:rsidR="00197C2B">
        <w:t xml:space="preserve">. Melville quotes </w:t>
      </w:r>
      <w:r w:rsidR="00332A18">
        <w:t xml:space="preserve">here </w:t>
      </w:r>
      <w:r w:rsidR="00197C2B">
        <w:t xml:space="preserve">from the Pindar’s first </w:t>
      </w:r>
      <w:r w:rsidR="00197C2B" w:rsidRPr="007928C1">
        <w:rPr>
          <w:i/>
          <w:iCs/>
        </w:rPr>
        <w:t>Olympic Ode</w:t>
      </w:r>
      <w:r w:rsidR="00197C2B">
        <w:t xml:space="preserve">, casting Savile as the sun </w:t>
      </w:r>
      <w:r w:rsidR="00B86A6A">
        <w:t>to</w:t>
      </w:r>
      <w:r w:rsidR="00197C2B">
        <w:t xml:space="preserve"> a host of scholarly stars he </w:t>
      </w:r>
      <w:r w:rsidR="009D15C3">
        <w:t>encountered</w:t>
      </w:r>
      <w:r w:rsidR="00197C2B">
        <w:t xml:space="preserve"> during his </w:t>
      </w:r>
      <w:r w:rsidR="009D15C3">
        <w:t>visit</w:t>
      </w:r>
      <w:r w:rsidR="00197C2B">
        <w:t xml:space="preserve"> </w:t>
      </w:r>
      <w:r w:rsidR="009D15C3">
        <w:t xml:space="preserve">to </w:t>
      </w:r>
      <w:r w:rsidR="00197C2B">
        <w:t xml:space="preserve">the University of Oxford. </w:t>
      </w:r>
      <w:r w:rsidR="004E7D23">
        <w:t xml:space="preserve">With this </w:t>
      </w:r>
      <w:r w:rsidR="00197C2B">
        <w:t xml:space="preserve">appeal to </w:t>
      </w:r>
      <w:r w:rsidR="007928C1">
        <w:t>the heavens</w:t>
      </w:r>
      <w:r w:rsidR="004E7D23">
        <w:t>, Melville touches on Thomas’s enduring interest in astronomy</w:t>
      </w:r>
      <w:r w:rsidR="00ED4A09">
        <w:t xml:space="preserve">. Indeed, he uses this image to transition smoothly </w:t>
      </w:r>
      <w:r w:rsidR="00ED4A09">
        <w:lastRenderedPageBreak/>
        <w:t xml:space="preserve">into </w:t>
      </w:r>
      <w:r w:rsidR="00332A18">
        <w:t>a</w:t>
      </w:r>
      <w:r w:rsidR="00ED4A09">
        <w:t xml:space="preserve"> request for Savile’s notes on </w:t>
      </w:r>
      <w:proofErr w:type="spellStart"/>
      <w:r w:rsidR="00ED4A09">
        <w:t>Manilius’s</w:t>
      </w:r>
      <w:proofErr w:type="spellEnd"/>
      <w:r w:rsidR="00ED4A09">
        <w:t xml:space="preserve"> </w:t>
      </w:r>
      <w:proofErr w:type="spellStart"/>
      <w:r w:rsidR="00ED4A09" w:rsidRPr="00ED4A09">
        <w:rPr>
          <w:i/>
          <w:iCs/>
        </w:rPr>
        <w:t>Astronomica</w:t>
      </w:r>
      <w:proofErr w:type="spellEnd"/>
      <w:r w:rsidR="00ED4A09">
        <w:t>, a didactic poem</w:t>
      </w:r>
      <w:r w:rsidR="00160A1A">
        <w:t xml:space="preserve"> on celestial phenomena</w:t>
      </w:r>
      <w:r w:rsidR="00332A18">
        <w:t xml:space="preserve">, </w:t>
      </w:r>
      <w:r w:rsidR="007928C1">
        <w:t xml:space="preserve">edited by </w:t>
      </w:r>
      <w:r w:rsidR="00160A1A">
        <w:t xml:space="preserve">Joseph Scaliger </w:t>
      </w:r>
      <w:r w:rsidR="00332A18">
        <w:t>for</w:t>
      </w:r>
      <w:r w:rsidR="00160A1A">
        <w:t xml:space="preserve"> his celebrated edition </w:t>
      </w:r>
      <w:r w:rsidR="00332A18">
        <w:t>of</w:t>
      </w:r>
      <w:r w:rsidR="00160A1A">
        <w:t xml:space="preserve"> 1579.</w:t>
      </w:r>
      <w:r w:rsidR="00160A1A">
        <w:rPr>
          <w:rStyle w:val="FootnoteReference"/>
        </w:rPr>
        <w:footnoteReference w:id="2"/>
      </w:r>
      <w:r w:rsidR="00160A1A">
        <w:t xml:space="preserve"> </w:t>
      </w:r>
    </w:p>
    <w:p w14:paraId="2571089D" w14:textId="653444FB" w:rsidR="0017414E" w:rsidRPr="0017414E" w:rsidRDefault="00160A1A" w:rsidP="00D55A7C">
      <w:pPr>
        <w:spacing w:line="480" w:lineRule="auto"/>
        <w:ind w:firstLine="720"/>
        <w:jc w:val="both"/>
      </w:pPr>
      <w:r>
        <w:t xml:space="preserve">This article </w:t>
      </w:r>
      <w:r w:rsidR="007E751D">
        <w:t>explores</w:t>
      </w:r>
      <w:r>
        <w:t xml:space="preserve"> a</w:t>
      </w:r>
      <w:r w:rsidR="009D15C3">
        <w:t xml:space="preserve"> key </w:t>
      </w:r>
      <w:r w:rsidR="00B86A6A">
        <w:t xml:space="preserve">moment in </w:t>
      </w:r>
      <w:r w:rsidR="00332A18">
        <w:t xml:space="preserve">Thomas </w:t>
      </w:r>
      <w:r w:rsidR="00B86A6A">
        <w:t xml:space="preserve">Savile’s </w:t>
      </w:r>
      <w:r w:rsidR="00332A18">
        <w:t xml:space="preserve">wider </w:t>
      </w:r>
      <w:r w:rsidR="00125FC0">
        <w:t>engagement with</w:t>
      </w:r>
      <w:r w:rsidR="00B86A6A">
        <w:t xml:space="preserve"> </w:t>
      </w:r>
      <w:r w:rsidR="009D15C3">
        <w:t>astronomy</w:t>
      </w:r>
      <w:r w:rsidR="00B86A6A">
        <w:t xml:space="preserve">, namely his Latin translation of Geminus’s </w:t>
      </w:r>
      <w:r w:rsidR="00B86A6A" w:rsidRPr="0017414E">
        <w:rPr>
          <w:i/>
          <w:iCs/>
        </w:rPr>
        <w:t>Phaenomena</w:t>
      </w:r>
      <w:r w:rsidR="00B86A6A">
        <w:t xml:space="preserve">, an introduction </w:t>
      </w:r>
      <w:r w:rsidR="0072104D">
        <w:t xml:space="preserve">to astronomical study </w:t>
      </w:r>
      <w:r w:rsidR="00B86A6A">
        <w:t>originally composed in the first century BCE.</w:t>
      </w:r>
      <w:r w:rsidR="00332A18">
        <w:t xml:space="preserve"> </w:t>
      </w:r>
      <w:r w:rsidR="0017414E">
        <w:t>Savile</w:t>
      </w:r>
      <w:r w:rsidR="00505B5C">
        <w:t xml:space="preserve"> </w:t>
      </w:r>
      <w:r w:rsidR="0017414E">
        <w:t xml:space="preserve">undertook </w:t>
      </w:r>
      <w:r w:rsidR="0072104D">
        <w:t>the</w:t>
      </w:r>
      <w:r w:rsidR="00125FC0">
        <w:t xml:space="preserve"> translation</w:t>
      </w:r>
      <w:r w:rsidR="0072104D">
        <w:t xml:space="preserve"> during his stay in Breslau in 1588 </w:t>
      </w:r>
      <w:r w:rsidR="00125FC0">
        <w:t>in the company of the Hungarian humanist, Andr</w:t>
      </w:r>
      <w:r w:rsidR="004F07A1">
        <w:t>eas</w:t>
      </w:r>
      <w:r w:rsidR="00125FC0">
        <w:t xml:space="preserve"> Dudith (1533–89). </w:t>
      </w:r>
      <w:r w:rsidR="00505B5C">
        <w:t xml:space="preserve">Following the death of his host, Savile left for Italy, but continued to work on his translation, supplementing both his Latin version and the </w:t>
      </w:r>
      <w:r w:rsidR="0041725D">
        <w:t xml:space="preserve">Greek </w:t>
      </w:r>
      <w:r w:rsidR="00505B5C">
        <w:t xml:space="preserve">original with variant readings he found in </w:t>
      </w:r>
      <w:r w:rsidR="0041725D">
        <w:t xml:space="preserve">manuscripts at </w:t>
      </w:r>
      <w:r w:rsidR="00505B5C">
        <w:t xml:space="preserve">Padua. </w:t>
      </w:r>
      <w:r w:rsidR="007E751D">
        <w:t>In examining</w:t>
      </w:r>
      <w:r w:rsidR="00505B5C">
        <w:t xml:space="preserve"> </w:t>
      </w:r>
      <w:r w:rsidR="0041725D">
        <w:t xml:space="preserve">Savile’s </w:t>
      </w:r>
      <w:r w:rsidR="00275FCA">
        <w:t>translation</w:t>
      </w:r>
      <w:r w:rsidR="0041725D">
        <w:t xml:space="preserve"> </w:t>
      </w:r>
      <w:r w:rsidR="00505B5C">
        <w:t>in detail for the first time,</w:t>
      </w:r>
      <w:r w:rsidR="0041725D">
        <w:t xml:space="preserve"> </w:t>
      </w:r>
      <w:r w:rsidR="007E751D">
        <w:t>this article considers</w:t>
      </w:r>
      <w:r w:rsidR="0041725D">
        <w:t xml:space="preserve"> his approach to translation, as well as the scholarly </w:t>
      </w:r>
      <w:r w:rsidR="00114059">
        <w:t>networks</w:t>
      </w:r>
      <w:r w:rsidR="0041725D">
        <w:t xml:space="preserve"> across Europe from which his translation </w:t>
      </w:r>
      <w:r w:rsidR="00275FCA">
        <w:t xml:space="preserve">and commentary </w:t>
      </w:r>
      <w:r w:rsidR="0041725D">
        <w:t xml:space="preserve">emerged. </w:t>
      </w:r>
      <w:r w:rsidR="00E919E4">
        <w:t xml:space="preserve">As this essay explores, </w:t>
      </w:r>
      <w:r w:rsidR="00114059">
        <w:t>the</w:t>
      </w:r>
      <w:r w:rsidR="00E919E4">
        <w:t xml:space="preserve"> translation </w:t>
      </w:r>
      <w:r w:rsidR="00332A18">
        <w:t xml:space="preserve">bears witness </w:t>
      </w:r>
      <w:r w:rsidR="0072104D">
        <w:t>as much</w:t>
      </w:r>
      <w:r w:rsidR="00E919E4">
        <w:t xml:space="preserve"> to Savile’s erudition </w:t>
      </w:r>
      <w:r w:rsidR="00332A18">
        <w:t xml:space="preserve">as </w:t>
      </w:r>
      <w:r w:rsidR="0072104D">
        <w:t>it does to</w:t>
      </w:r>
      <w:r w:rsidR="00332A18">
        <w:t xml:space="preserve"> the</w:t>
      </w:r>
      <w:r w:rsidR="00E919E4">
        <w:t xml:space="preserve"> </w:t>
      </w:r>
      <w:r w:rsidR="00114059">
        <w:t>intellectual</w:t>
      </w:r>
      <w:r w:rsidR="00E919E4">
        <w:t xml:space="preserve"> reciprocity </w:t>
      </w:r>
      <w:r w:rsidR="00332A18">
        <w:t>from which</w:t>
      </w:r>
      <w:r w:rsidR="00114059">
        <w:t xml:space="preserve"> travelling scholars </w:t>
      </w:r>
      <w:r w:rsidR="00332A18">
        <w:t>profited</w:t>
      </w:r>
      <w:r w:rsidR="00114059">
        <w:t xml:space="preserve"> </w:t>
      </w:r>
      <w:r w:rsidR="00E919E4">
        <w:t xml:space="preserve">in early-modern Europe. </w:t>
      </w:r>
    </w:p>
    <w:p w14:paraId="6D099FEE" w14:textId="7675C578" w:rsidR="007C2380" w:rsidRDefault="00114059" w:rsidP="00D55A7C">
      <w:pPr>
        <w:spacing w:line="480" w:lineRule="auto"/>
        <w:ind w:firstLine="720"/>
        <w:jc w:val="both"/>
      </w:pPr>
      <w:r>
        <w:t>T</w:t>
      </w:r>
      <w:r w:rsidR="00824802">
        <w:t xml:space="preserve">hough </w:t>
      </w:r>
      <w:r w:rsidR="007611D9">
        <w:t xml:space="preserve">typically </w:t>
      </w:r>
      <w:r w:rsidR="00372569">
        <w:t>overshadowed by his</w:t>
      </w:r>
      <w:r w:rsidR="00450FC3">
        <w:t xml:space="preserve"> </w:t>
      </w:r>
      <w:r w:rsidR="00721129">
        <w:t>elder brother,</w:t>
      </w:r>
      <w:r w:rsidR="00372569">
        <w:t xml:space="preserve"> Sir</w:t>
      </w:r>
      <w:r w:rsidR="00721129">
        <w:t xml:space="preserve"> Henry Savile</w:t>
      </w:r>
      <w:r w:rsidR="00CC7BEC">
        <w:t xml:space="preserve"> (</w:t>
      </w:r>
      <w:r w:rsidR="00CC7BEC" w:rsidRPr="004F406C">
        <w:t>1549–1622</w:t>
      </w:r>
      <w:r w:rsidR="00CC7BEC">
        <w:t>)</w:t>
      </w:r>
      <w:r w:rsidR="00721129">
        <w:t xml:space="preserve">, </w:t>
      </w:r>
      <w:r>
        <w:t xml:space="preserve">Thomas </w:t>
      </w:r>
      <w:r w:rsidR="00721129">
        <w:t xml:space="preserve">was a talented scholar in his own right. </w:t>
      </w:r>
      <w:r w:rsidR="00275FCA">
        <w:t xml:space="preserve">Having obtained his bachelor’s degree at Merton College, Oxford, in 1580, he was promptly elected as Fellow in the following year. </w:t>
      </w:r>
      <w:r w:rsidR="009E4F03">
        <w:t xml:space="preserve">He was accomplished in </w:t>
      </w:r>
      <w:r w:rsidR="00C33AAE">
        <w:t>Latin and Greek</w:t>
      </w:r>
      <w:r w:rsidR="009E4F03">
        <w:t xml:space="preserve">, undertook his own </w:t>
      </w:r>
      <w:r w:rsidR="00852AF8">
        <w:t xml:space="preserve">editorial work </w:t>
      </w:r>
      <w:r w:rsidR="009E4F03">
        <w:t xml:space="preserve">on classical texts, and contributed in no small part to his elder brother’s </w:t>
      </w:r>
      <w:r>
        <w:t xml:space="preserve">translation of </w:t>
      </w:r>
      <w:r w:rsidR="00824802">
        <w:t>Tacitus</w:t>
      </w:r>
      <w:r w:rsidR="00E20621">
        <w:t xml:space="preserve"> </w:t>
      </w:r>
      <w:r>
        <w:t>(</w:t>
      </w:r>
      <w:r w:rsidR="00E20621">
        <w:t>1</w:t>
      </w:r>
      <w:r w:rsidR="009E4F03">
        <w:t>59</w:t>
      </w:r>
      <w:r w:rsidR="00C33AAE">
        <w:t>1</w:t>
      </w:r>
      <w:r>
        <w:t>)</w:t>
      </w:r>
      <w:r w:rsidR="00C33AAE">
        <w:t xml:space="preserve">. </w:t>
      </w:r>
      <w:r w:rsidR="00505B5C">
        <w:t xml:space="preserve">As Mordechai Feingold has </w:t>
      </w:r>
      <w:r w:rsidR="00EF3734">
        <w:t xml:space="preserve">highlighted, he was also ‘one of the most important </w:t>
      </w:r>
      <w:r w:rsidR="00E73277">
        <w:t xml:space="preserve">collaborators in [William] Camden’s </w:t>
      </w:r>
      <w:r w:rsidR="00E73277" w:rsidRPr="00E73277">
        <w:rPr>
          <w:i/>
          <w:iCs/>
        </w:rPr>
        <w:t>Britannia</w:t>
      </w:r>
      <w:r w:rsidR="00E73277">
        <w:t xml:space="preserve">’, steering </w:t>
      </w:r>
      <w:r w:rsidR="00332A18">
        <w:t xml:space="preserve">Camden </w:t>
      </w:r>
      <w:r w:rsidR="00E73277">
        <w:t xml:space="preserve">towards the most relevant passages of Roman </w:t>
      </w:r>
      <w:r w:rsidR="00E73277">
        <w:lastRenderedPageBreak/>
        <w:t>historiography.</w:t>
      </w:r>
      <w:r w:rsidR="00E73277">
        <w:rPr>
          <w:rStyle w:val="FootnoteReference"/>
        </w:rPr>
        <w:footnoteReference w:id="3"/>
      </w:r>
      <w:r w:rsidR="00E73277">
        <w:t xml:space="preserve"> </w:t>
      </w:r>
      <w:r w:rsidR="00984386">
        <w:t>It is through his correspondence with Camden that we know of another of Savile’s translations</w:t>
      </w:r>
      <w:r w:rsidR="00397442">
        <w:t xml:space="preserve"> of Greek astronomy</w:t>
      </w:r>
      <w:r w:rsidR="00984386">
        <w:t xml:space="preserve">, </w:t>
      </w:r>
      <w:r w:rsidR="00397442">
        <w:t xml:space="preserve">namely </w:t>
      </w:r>
      <w:r w:rsidR="00984386">
        <w:t xml:space="preserve">Theodosius’s </w:t>
      </w:r>
      <w:r w:rsidR="00984386" w:rsidRPr="00692ADD">
        <w:rPr>
          <w:i/>
          <w:iCs/>
        </w:rPr>
        <w:t>On Nights and Days</w:t>
      </w:r>
      <w:r w:rsidR="00397442">
        <w:t>, though this</w:t>
      </w:r>
      <w:r w:rsidR="00332A18">
        <w:t xml:space="preserve"> work</w:t>
      </w:r>
      <w:r w:rsidR="00397442">
        <w:t xml:space="preserve"> is now lost</w:t>
      </w:r>
      <w:r w:rsidR="00984386">
        <w:t>.</w:t>
      </w:r>
      <w:r w:rsidR="00984386">
        <w:rPr>
          <w:rStyle w:val="FootnoteReference"/>
        </w:rPr>
        <w:footnoteReference w:id="4"/>
      </w:r>
      <w:r w:rsidR="00984386">
        <w:t xml:space="preserve"> </w:t>
      </w:r>
      <w:r w:rsidR="00E863E0">
        <w:t>He established connections with some of the leading scholars of his day</w:t>
      </w:r>
      <w:r w:rsidR="004F42E8">
        <w:t>, befriending</w:t>
      </w:r>
      <w:r w:rsidR="007E751D">
        <w:t xml:space="preserve"> </w:t>
      </w:r>
      <w:r w:rsidR="004F42E8">
        <w:t>foreign visitors to the University</w:t>
      </w:r>
      <w:r w:rsidR="00397442">
        <w:t xml:space="preserve"> of Oxford</w:t>
      </w:r>
      <w:r w:rsidR="007E751D">
        <w:t xml:space="preserve">. </w:t>
      </w:r>
      <w:r w:rsidR="00397442">
        <w:t>H</w:t>
      </w:r>
      <w:r w:rsidR="00E863E0">
        <w:t xml:space="preserve">e was able to strike up a friendship </w:t>
      </w:r>
      <w:r w:rsidR="00397442">
        <w:t>with Andrew Melvill</w:t>
      </w:r>
      <w:r w:rsidR="007A1F96">
        <w:t>e</w:t>
      </w:r>
      <w:r w:rsidR="00397442">
        <w:t xml:space="preserve"> </w:t>
      </w:r>
      <w:r w:rsidR="00E863E0">
        <w:t>through ‘their mutual love of classical Greek literature’</w:t>
      </w:r>
      <w:r w:rsidR="004F42E8">
        <w:t>, while the Italian juris</w:t>
      </w:r>
      <w:r w:rsidR="00D60638">
        <w:t xml:space="preserve"> and Protestant exile</w:t>
      </w:r>
      <w:r w:rsidR="004F42E8">
        <w:t xml:space="preserve">, Alberico Gentili, he </w:t>
      </w:r>
      <w:r w:rsidR="008E28AC">
        <w:t>promptly</w:t>
      </w:r>
      <w:r w:rsidR="00D60638">
        <w:t xml:space="preserve"> befriended upon his arrival to Oxford and subsequently </w:t>
      </w:r>
      <w:r w:rsidR="004F42E8">
        <w:t>introduced to Camden</w:t>
      </w:r>
      <w:r w:rsidR="00E863E0">
        <w:t>.</w:t>
      </w:r>
      <w:r w:rsidR="00E863E0">
        <w:rPr>
          <w:rStyle w:val="FootnoteReference"/>
        </w:rPr>
        <w:footnoteReference w:id="5"/>
      </w:r>
      <w:r w:rsidR="001F15D7">
        <w:t xml:space="preserve"> </w:t>
      </w:r>
      <w:r w:rsidR="00CF419E">
        <w:t>Thomas</w:t>
      </w:r>
      <w:r w:rsidR="007A1F96">
        <w:t xml:space="preserve"> also corresponded with the </w:t>
      </w:r>
      <w:r w:rsidR="00CF419E">
        <w:t xml:space="preserve">Danish astronomer, Tycho Brahe (1546–1601), who sent him extracts from his forthcoming </w:t>
      </w:r>
      <w:r w:rsidR="00CF419E" w:rsidRPr="00811BAB">
        <w:rPr>
          <w:i/>
          <w:iCs/>
        </w:rPr>
        <w:t xml:space="preserve">De Mundi </w:t>
      </w:r>
      <w:proofErr w:type="spellStart"/>
      <w:r w:rsidR="00CF419E" w:rsidRPr="00811BAB">
        <w:rPr>
          <w:i/>
          <w:iCs/>
        </w:rPr>
        <w:t>Aethe</w:t>
      </w:r>
      <w:r w:rsidR="00CF419E">
        <w:rPr>
          <w:i/>
          <w:iCs/>
        </w:rPr>
        <w:t>e</w:t>
      </w:r>
      <w:r w:rsidR="00CF419E" w:rsidRPr="00811BAB">
        <w:rPr>
          <w:i/>
          <w:iCs/>
        </w:rPr>
        <w:t>ri</w:t>
      </w:r>
      <w:proofErr w:type="spellEnd"/>
      <w:r w:rsidR="00CF419E" w:rsidRPr="00811BAB">
        <w:rPr>
          <w:i/>
          <w:iCs/>
        </w:rPr>
        <w:t xml:space="preserve"> </w:t>
      </w:r>
      <w:proofErr w:type="spellStart"/>
      <w:r w:rsidR="00CF419E" w:rsidRPr="00811BAB">
        <w:rPr>
          <w:i/>
          <w:iCs/>
        </w:rPr>
        <w:t>Recentioribus</w:t>
      </w:r>
      <w:proofErr w:type="spellEnd"/>
      <w:r w:rsidR="00CF419E" w:rsidRPr="00811BAB">
        <w:rPr>
          <w:i/>
          <w:iCs/>
        </w:rPr>
        <w:t xml:space="preserve"> </w:t>
      </w:r>
      <w:proofErr w:type="spellStart"/>
      <w:r w:rsidR="00CF419E" w:rsidRPr="00811BAB">
        <w:rPr>
          <w:i/>
          <w:iCs/>
        </w:rPr>
        <w:t>Phaenomenis</w:t>
      </w:r>
      <w:proofErr w:type="spellEnd"/>
      <w:r w:rsidR="00CF419E">
        <w:t xml:space="preserve">, published at </w:t>
      </w:r>
      <w:proofErr w:type="spellStart"/>
      <w:r w:rsidR="00CF419E">
        <w:t>Uraniborg</w:t>
      </w:r>
      <w:proofErr w:type="spellEnd"/>
      <w:r w:rsidR="00CF419E">
        <w:t xml:space="preserve"> in </w:t>
      </w:r>
      <w:r w:rsidR="00CF419E" w:rsidRPr="00811BAB">
        <w:t>1588</w:t>
      </w:r>
      <w:r w:rsidR="00CF419E">
        <w:t>.</w:t>
      </w:r>
      <w:r w:rsidR="007C2380">
        <w:rPr>
          <w:rStyle w:val="FootnoteReference"/>
        </w:rPr>
        <w:footnoteReference w:id="6"/>
      </w:r>
      <w:r w:rsidR="000B56C3">
        <w:t xml:space="preserve"> </w:t>
      </w:r>
      <w:r w:rsidR="00A47B51">
        <w:t>Brahe hoped that Savile would offer his own judgment on the work, and gather the opinion</w:t>
      </w:r>
      <w:r w:rsidR="007A1F96">
        <w:t>s</w:t>
      </w:r>
      <w:r w:rsidR="00A47B51">
        <w:t xml:space="preserve"> of ‘</w:t>
      </w:r>
      <w:proofErr w:type="spellStart"/>
      <w:r w:rsidR="00A47B51">
        <w:t>aliorum</w:t>
      </w:r>
      <w:proofErr w:type="spellEnd"/>
      <w:r w:rsidR="00A47B51">
        <w:t xml:space="preserve"> </w:t>
      </w:r>
      <w:proofErr w:type="spellStart"/>
      <w:r w:rsidR="00A47B51">
        <w:t>præstantium</w:t>
      </w:r>
      <w:proofErr w:type="spellEnd"/>
      <w:r w:rsidR="00A47B51">
        <w:t xml:space="preserve"> in Anglia </w:t>
      </w:r>
      <w:proofErr w:type="spellStart"/>
      <w:r w:rsidR="00A47B51">
        <w:t>philosophorum</w:t>
      </w:r>
      <w:proofErr w:type="spellEnd"/>
      <w:r w:rsidR="00A47B51">
        <w:t>’</w:t>
      </w:r>
      <w:r w:rsidR="007A1F96">
        <w:t xml:space="preserve"> (‘other outstanding philosophers in England’)</w:t>
      </w:r>
      <w:r w:rsidR="00A47B51">
        <w:t>, including, in particular,</w:t>
      </w:r>
      <w:r w:rsidR="007C2380">
        <w:t xml:space="preserve"> </w:t>
      </w:r>
      <w:r w:rsidR="007A1F96">
        <w:t>those</w:t>
      </w:r>
      <w:r w:rsidR="007C2380">
        <w:t xml:space="preserve"> of</w:t>
      </w:r>
      <w:r w:rsidR="00A47B51">
        <w:t xml:space="preserve"> the mathematician and astrologer, John Dee (1527–1609)</w:t>
      </w:r>
      <w:r w:rsidR="007E751D">
        <w:t>,</w:t>
      </w:r>
      <w:r w:rsidR="00A47B51">
        <w:t xml:space="preserve"> and </w:t>
      </w:r>
      <w:r w:rsidR="007E751D">
        <w:t xml:space="preserve">of </w:t>
      </w:r>
      <w:r w:rsidR="00A47B51">
        <w:t xml:space="preserve">Dee’s </w:t>
      </w:r>
      <w:r w:rsidR="00072A46">
        <w:t>protégé</w:t>
      </w:r>
      <w:r w:rsidR="00A47B51">
        <w:t xml:space="preserve">, </w:t>
      </w:r>
      <w:r w:rsidR="00100B85">
        <w:t xml:space="preserve">Thomas Digges (c.1546–1595). </w:t>
      </w:r>
      <w:r w:rsidR="007C2380">
        <w:t>Thomas</w:t>
      </w:r>
      <w:r w:rsidR="007E751D">
        <w:t xml:space="preserve"> Savile’s</w:t>
      </w:r>
      <w:r w:rsidR="007C2380">
        <w:t xml:space="preserve"> elder brother, Henry, had made </w:t>
      </w:r>
      <w:r w:rsidR="007C2380">
        <w:lastRenderedPageBreak/>
        <w:t xml:space="preserve">Dee’s acquaintance following his return to England in 1582, and it seems likely that </w:t>
      </w:r>
      <w:r w:rsidR="00EA4CAC">
        <w:t>Thomas kn</w:t>
      </w:r>
      <w:r w:rsidR="007E751D">
        <w:t>e</w:t>
      </w:r>
      <w:r w:rsidR="00EA4CAC">
        <w:t>w the mathematician through this familial tie.</w:t>
      </w:r>
      <w:r w:rsidR="007C2380">
        <w:rPr>
          <w:rStyle w:val="FootnoteReference"/>
        </w:rPr>
        <w:footnoteReference w:id="7"/>
      </w:r>
      <w:r w:rsidR="007C2380">
        <w:t xml:space="preserve">  </w:t>
      </w:r>
    </w:p>
    <w:p w14:paraId="4644C0DF" w14:textId="2232FB9C" w:rsidR="00824802" w:rsidRDefault="005E0C29" w:rsidP="00D55A7C">
      <w:pPr>
        <w:spacing w:line="480" w:lineRule="auto"/>
        <w:ind w:firstLine="720"/>
        <w:jc w:val="both"/>
      </w:pPr>
      <w:r>
        <w:t xml:space="preserve">Between 1588 and 1591, Savile travelled extensively on continental Europe, </w:t>
      </w:r>
      <w:r w:rsidR="004460FF">
        <w:t xml:space="preserve">preparing the initial version </w:t>
      </w:r>
      <w:r>
        <w:t>of Geminus at</w:t>
      </w:r>
      <w:r w:rsidR="007476CC">
        <w:t xml:space="preserve"> Breslau</w:t>
      </w:r>
      <w:r w:rsidR="00114059">
        <w:t xml:space="preserve"> in the company of</w:t>
      </w:r>
      <w:r>
        <w:t xml:space="preserve"> Andr</w:t>
      </w:r>
      <w:r w:rsidR="004F07A1">
        <w:t>eas</w:t>
      </w:r>
      <w:r w:rsidR="00114059">
        <w:t xml:space="preserve"> Dudith, </w:t>
      </w:r>
      <w:r w:rsidR="00852AF8">
        <w:t>before</w:t>
      </w:r>
      <w:r w:rsidR="007476CC">
        <w:t xml:space="preserve"> expanding </w:t>
      </w:r>
      <w:r>
        <w:t>the</w:t>
      </w:r>
      <w:r w:rsidR="007476CC">
        <w:t xml:space="preserve"> commentary </w:t>
      </w:r>
      <w:r w:rsidR="00852AF8">
        <w:t>and amending the text at the vast private library of Gian Vincenzo Pinelli at Padua.</w:t>
      </w:r>
      <w:r w:rsidR="00397442">
        <w:t xml:space="preserve"> </w:t>
      </w:r>
      <w:r w:rsidR="00275FCA">
        <w:t xml:space="preserve">Savile spent almost two years in Italy, </w:t>
      </w:r>
      <w:r w:rsidR="00332572">
        <w:t>visiting Venice and Rome</w:t>
      </w:r>
      <w:r>
        <w:t xml:space="preserve"> also,</w:t>
      </w:r>
      <w:r w:rsidR="000B11DB">
        <w:t xml:space="preserve"> before returning to England. </w:t>
      </w:r>
      <w:r w:rsidR="008B6A3F">
        <w:t xml:space="preserve">He served at Oxford </w:t>
      </w:r>
      <w:r>
        <w:t xml:space="preserve">University </w:t>
      </w:r>
      <w:r w:rsidR="008B6A3F">
        <w:t xml:space="preserve">as senior proctor until 1592, in which office he presided over a visit by Elizabeth I. </w:t>
      </w:r>
      <w:r w:rsidR="0005369B">
        <w:t>An emerging and respected talent, h</w:t>
      </w:r>
      <w:r w:rsidR="008B6A3F">
        <w:t xml:space="preserve">e died prematurely in January 1593 during a visit to London. </w:t>
      </w:r>
    </w:p>
    <w:p w14:paraId="552EA858" w14:textId="0C1C2B3B" w:rsidR="00C33AAE" w:rsidRDefault="00C33AAE" w:rsidP="00D55A7C">
      <w:pPr>
        <w:spacing w:line="480" w:lineRule="auto"/>
        <w:ind w:firstLine="720"/>
        <w:jc w:val="both"/>
      </w:pPr>
      <w:r>
        <w:t xml:space="preserve">The text of Savile’s translation </w:t>
      </w:r>
      <w:r w:rsidR="008B6A3F">
        <w:t xml:space="preserve">of Geminus </w:t>
      </w:r>
      <w:r>
        <w:t xml:space="preserve">exists in various stages of completion. The earliest version extant is a </w:t>
      </w:r>
      <w:r w:rsidR="008146B5">
        <w:t>partial</w:t>
      </w:r>
      <w:r>
        <w:t xml:space="preserve"> copy preserved at the Bayerische </w:t>
      </w:r>
      <w:proofErr w:type="spellStart"/>
      <w:r>
        <w:t>Staatsbibliothek</w:t>
      </w:r>
      <w:proofErr w:type="spellEnd"/>
      <w:r>
        <w:t xml:space="preserve"> (</w:t>
      </w:r>
      <w:r w:rsidRPr="00532630">
        <w:t xml:space="preserve">BSB </w:t>
      </w:r>
      <w:proofErr w:type="spellStart"/>
      <w:r w:rsidRPr="00532630">
        <w:t>Clm</w:t>
      </w:r>
      <w:proofErr w:type="spellEnd"/>
      <w:r w:rsidRPr="00532630">
        <w:t xml:space="preserve"> 719</w:t>
      </w:r>
      <w:r>
        <w:t xml:space="preserve">). This </w:t>
      </w:r>
      <w:r w:rsidR="00984386">
        <w:t>manuscript</w:t>
      </w:r>
      <w:r w:rsidR="008146B5">
        <w:t xml:space="preserve"> has been copied in a </w:t>
      </w:r>
      <w:r w:rsidR="00E56DC8">
        <w:t>fair hand</w:t>
      </w:r>
      <w:r w:rsidR="00F330F3">
        <w:t xml:space="preserve">, with commentary in the margin, </w:t>
      </w:r>
      <w:r w:rsidR="00E56DC8">
        <w:t xml:space="preserve">and is dated </w:t>
      </w:r>
      <w:r>
        <w:t>November 1588</w:t>
      </w:r>
      <w:r w:rsidR="00E56DC8">
        <w:t>, that is,</w:t>
      </w:r>
      <w:r>
        <w:t xml:space="preserve"> during </w:t>
      </w:r>
      <w:r w:rsidR="00E56DC8">
        <w:t>Savile’s</w:t>
      </w:r>
      <w:r>
        <w:t xml:space="preserve"> sojourn in Breslau</w:t>
      </w:r>
      <w:r w:rsidR="00E56DC8">
        <w:t>. It includes only 8 pages of text, however.</w:t>
      </w:r>
      <w:r w:rsidR="00E56DC8">
        <w:rPr>
          <w:rStyle w:val="FootnoteReference"/>
        </w:rPr>
        <w:footnoteReference w:id="8"/>
      </w:r>
      <w:r w:rsidR="00F330F3">
        <w:t xml:space="preserve"> </w:t>
      </w:r>
      <w:r>
        <w:t xml:space="preserve">Two </w:t>
      </w:r>
      <w:r w:rsidR="00E56DC8">
        <w:t>further</w:t>
      </w:r>
      <w:r>
        <w:t xml:space="preserve"> copies are now held at the Biblioteca Ambrosiana</w:t>
      </w:r>
      <w:r w:rsidR="00E56DC8">
        <w:t>, Milan</w:t>
      </w:r>
      <w:r w:rsidR="00984386">
        <w:t xml:space="preserve">. </w:t>
      </w:r>
      <w:r>
        <w:t>The earliest of these</w:t>
      </w:r>
      <w:r w:rsidR="00F330F3">
        <w:t xml:space="preserve"> (</w:t>
      </w:r>
      <w:r w:rsidRPr="001E7BB7">
        <w:t>R124 sup.</w:t>
      </w:r>
      <w:r>
        <w:t>,</w:t>
      </w:r>
      <w:r w:rsidRPr="001E7BB7">
        <w:t xml:space="preserve"> </w:t>
      </w:r>
      <w:proofErr w:type="spellStart"/>
      <w:r w:rsidRPr="001E7BB7">
        <w:t>unità</w:t>
      </w:r>
      <w:proofErr w:type="spellEnd"/>
      <w:r w:rsidRPr="001E7BB7">
        <w:t xml:space="preserve"> </w:t>
      </w:r>
      <w:proofErr w:type="spellStart"/>
      <w:r w:rsidRPr="001E7BB7">
        <w:t>codicologica</w:t>
      </w:r>
      <w:proofErr w:type="spellEnd"/>
      <w:r w:rsidRPr="001E7BB7">
        <w:t xml:space="preserve"> 17</w:t>
      </w:r>
      <w:r w:rsidR="00F330F3">
        <w:t>)</w:t>
      </w:r>
      <w:r>
        <w:t xml:space="preserve"> has been copied in a fair italic by a scribe and contains corrections and additions in Savile’s </w:t>
      </w:r>
      <w:r w:rsidR="00F330F3">
        <w:t>hand</w:t>
      </w:r>
      <w:r>
        <w:t xml:space="preserve">. The scribe </w:t>
      </w:r>
      <w:r w:rsidR="00F330F3">
        <w:t xml:space="preserve">responsible for this version </w:t>
      </w:r>
      <w:r>
        <w:t xml:space="preserve">has accidentally incorporated Savile’s commentary directly into the main text. Savile has </w:t>
      </w:r>
      <w:r w:rsidR="0038232F">
        <w:t xml:space="preserve">subsequently </w:t>
      </w:r>
      <w:r>
        <w:t xml:space="preserve">scored through these annotations and </w:t>
      </w:r>
      <w:r w:rsidR="00D05E47">
        <w:t xml:space="preserve">has </w:t>
      </w:r>
      <w:r>
        <w:t xml:space="preserve">re-written them in the margins </w:t>
      </w:r>
      <w:r w:rsidR="00F330F3">
        <w:t>himself</w:t>
      </w:r>
      <w:r>
        <w:t xml:space="preserve">. The scribe has also left space for quotations from external Greek texts </w:t>
      </w:r>
      <w:r>
        <w:softHyphen/>
        <w:t xml:space="preserve">–– including, for example, verse from the </w:t>
      </w:r>
      <w:r w:rsidRPr="003051FB">
        <w:rPr>
          <w:i/>
          <w:iCs/>
        </w:rPr>
        <w:t>Odyssey</w:t>
      </w:r>
      <w:r>
        <w:t xml:space="preserve"> – which Savile had perhaps yet to </w:t>
      </w:r>
      <w:proofErr w:type="gramStart"/>
      <w:r>
        <w:t>translate, or</w:t>
      </w:r>
      <w:proofErr w:type="gramEnd"/>
      <w:r>
        <w:t xml:space="preserve"> wished to </w:t>
      </w:r>
      <w:r>
        <w:lastRenderedPageBreak/>
        <w:t>retain in the original Greek.</w:t>
      </w:r>
      <w:r>
        <w:rPr>
          <w:rStyle w:val="FootnoteReference"/>
        </w:rPr>
        <w:footnoteReference w:id="9"/>
      </w:r>
      <w:r w:rsidR="00F330F3">
        <w:t xml:space="preserve"> </w:t>
      </w:r>
      <w:r w:rsidR="0038267A">
        <w:t xml:space="preserve"> </w:t>
      </w:r>
      <w:r>
        <w:t xml:space="preserve">The most complete </w:t>
      </w:r>
      <w:r w:rsidR="00F330F3">
        <w:t>version</w:t>
      </w:r>
      <w:r>
        <w:t xml:space="preserve"> of the translation is found in Biblioteca Ambrosiana MS P. 227 Sup. Here the translation, written in a fair italic by a scribe, is juxtaposed </w:t>
      </w:r>
      <w:r w:rsidR="00DC460D">
        <w:t>with</w:t>
      </w:r>
      <w:r>
        <w:t xml:space="preserve"> Savile’s treatise </w:t>
      </w:r>
      <w:r>
        <w:rPr>
          <w:i/>
        </w:rPr>
        <w:t xml:space="preserve">De </w:t>
      </w:r>
      <w:proofErr w:type="spellStart"/>
      <w:r>
        <w:rPr>
          <w:i/>
        </w:rPr>
        <w:t>Rationum</w:t>
      </w:r>
      <w:proofErr w:type="spellEnd"/>
      <w:r w:rsidRPr="001F7B61">
        <w:rPr>
          <w:i/>
        </w:rPr>
        <w:t xml:space="preserve"> </w:t>
      </w:r>
      <w:proofErr w:type="spellStart"/>
      <w:r w:rsidRPr="001F7B61">
        <w:rPr>
          <w:i/>
        </w:rPr>
        <w:t>Additione</w:t>
      </w:r>
      <w:proofErr w:type="spellEnd"/>
      <w:r w:rsidRPr="001F7B61">
        <w:rPr>
          <w:i/>
        </w:rPr>
        <w:t xml:space="preserve">, et </w:t>
      </w:r>
      <w:proofErr w:type="spellStart"/>
      <w:r w:rsidRPr="001F7B61">
        <w:rPr>
          <w:i/>
        </w:rPr>
        <w:t>Subtractione</w:t>
      </w:r>
      <w:proofErr w:type="spellEnd"/>
      <w:r>
        <w:t xml:space="preserve">, as well </w:t>
      </w:r>
      <w:r w:rsidR="00F330F3">
        <w:t xml:space="preserve">as </w:t>
      </w:r>
      <w:r>
        <w:t xml:space="preserve">Henry Savile’s annotations on the </w:t>
      </w:r>
      <w:r w:rsidRPr="00F47EA5">
        <w:rPr>
          <w:i/>
        </w:rPr>
        <w:t>Elementa</w:t>
      </w:r>
      <w:r>
        <w:t xml:space="preserve"> of Euclid. </w:t>
      </w:r>
      <w:r w:rsidR="006A7268">
        <w:t xml:space="preserve">It too leaves blank space for quotations of Greek verse. </w:t>
      </w:r>
      <w:r w:rsidR="0038232F">
        <w:t>It is from this fair copy that the quotations below are taken.</w:t>
      </w:r>
      <w:r>
        <w:t xml:space="preserve"> </w:t>
      </w:r>
      <w:r w:rsidR="0038267A">
        <w:t xml:space="preserve">Savile appears to have left </w:t>
      </w:r>
      <w:r w:rsidR="00B22AB9">
        <w:t xml:space="preserve">these copies </w:t>
      </w:r>
      <w:r w:rsidR="0038267A">
        <w:t xml:space="preserve">with </w:t>
      </w:r>
      <w:r w:rsidR="0038232F">
        <w:t>his host</w:t>
      </w:r>
      <w:r w:rsidR="0038267A">
        <w:t>, Gian Vincenzo Pinelli,</w:t>
      </w:r>
      <w:r w:rsidR="00B22AB9">
        <w:t xml:space="preserve"> by way of thanks</w:t>
      </w:r>
      <w:r w:rsidR="0038232F">
        <w:t xml:space="preserve">. </w:t>
      </w:r>
    </w:p>
    <w:p w14:paraId="71B75244" w14:textId="1DA9F099" w:rsidR="00090A6A" w:rsidRDefault="000A3F0E" w:rsidP="00D55A7C">
      <w:pPr>
        <w:spacing w:line="480" w:lineRule="auto"/>
        <w:ind w:firstLine="720"/>
        <w:jc w:val="both"/>
      </w:pPr>
      <w:r>
        <w:t xml:space="preserve">Among modern editors of Geminus, Savile’s translation has </w:t>
      </w:r>
      <w:r w:rsidR="0038232F">
        <w:t>prompted</w:t>
      </w:r>
      <w:r>
        <w:t xml:space="preserve"> little interest. </w:t>
      </w:r>
      <w:r w:rsidR="009A356A">
        <w:t xml:space="preserve">Karl Manitius includes a brief discussion of </w:t>
      </w:r>
      <w:r w:rsidR="006A7268">
        <w:t xml:space="preserve">Savile’s work </w:t>
      </w:r>
      <w:r w:rsidR="009A356A">
        <w:t>in the material prefacing his edition of 1898, suggesting</w:t>
      </w:r>
      <w:r w:rsidR="006A7268">
        <w:t xml:space="preserve">, not unreasonably, </w:t>
      </w:r>
      <w:r w:rsidR="009A356A">
        <w:t xml:space="preserve">that Savile may have been using the Greek manuscript which Henry Savile </w:t>
      </w:r>
      <w:r w:rsidR="00914F7A">
        <w:t>presented</w:t>
      </w:r>
      <w:r w:rsidR="009A356A">
        <w:t xml:space="preserve"> to </w:t>
      </w:r>
      <w:r w:rsidR="008F7F4D">
        <w:t xml:space="preserve">Andreas </w:t>
      </w:r>
      <w:r w:rsidR="009A356A">
        <w:t>Dudith.</w:t>
      </w:r>
      <w:r w:rsidR="001168CE">
        <w:rPr>
          <w:rStyle w:val="FootnoteReference"/>
        </w:rPr>
        <w:footnoteReference w:id="10"/>
      </w:r>
      <w:r w:rsidR="009A356A">
        <w:t xml:space="preserve"> </w:t>
      </w:r>
      <w:r w:rsidR="001168CE">
        <w:t>From the ‘hodge podge’ (‘</w:t>
      </w:r>
      <w:proofErr w:type="spellStart"/>
      <w:r w:rsidR="001168CE">
        <w:t>farragine</w:t>
      </w:r>
      <w:proofErr w:type="spellEnd"/>
      <w:r w:rsidR="001168CE">
        <w:t xml:space="preserve">’) of Savile’s notes, however, </w:t>
      </w:r>
      <w:proofErr w:type="spellStart"/>
      <w:r w:rsidR="001168CE">
        <w:t>Manitius</w:t>
      </w:r>
      <w:proofErr w:type="spellEnd"/>
      <w:r w:rsidR="001168CE">
        <w:t xml:space="preserve"> cites only two</w:t>
      </w:r>
      <w:r w:rsidR="00FF3133">
        <w:t xml:space="preserve"> examples</w:t>
      </w:r>
      <w:r w:rsidR="001168CE">
        <w:t xml:space="preserve">, both of them concerning Savile’s </w:t>
      </w:r>
      <w:r w:rsidR="00145650">
        <w:t>appeal to textual variants preserved in the</w:t>
      </w:r>
      <w:r w:rsidR="008F7F4D">
        <w:t xml:space="preserve"> ‘Arabic translation’ (</w:t>
      </w:r>
      <w:r w:rsidR="00145650">
        <w:t>‘</w:t>
      </w:r>
      <w:proofErr w:type="spellStart"/>
      <w:r w:rsidR="00145650">
        <w:t>versio</w:t>
      </w:r>
      <w:proofErr w:type="spellEnd"/>
      <w:r w:rsidR="00145650">
        <w:t xml:space="preserve"> Arabica’</w:t>
      </w:r>
      <w:r w:rsidR="008F7F4D">
        <w:t>)</w:t>
      </w:r>
      <w:r w:rsidR="00145650">
        <w:t>.</w:t>
      </w:r>
      <w:r w:rsidR="00145650">
        <w:rPr>
          <w:rStyle w:val="FootnoteReference"/>
        </w:rPr>
        <w:footnoteReference w:id="11"/>
      </w:r>
      <w:r w:rsidR="00145650">
        <w:t xml:space="preserve"> The rest of Savile’s commentary</w:t>
      </w:r>
      <w:r w:rsidR="00FF3133">
        <w:t>, however,</w:t>
      </w:r>
      <w:r w:rsidR="00145650">
        <w:t xml:space="preserve"> </w:t>
      </w:r>
      <w:proofErr w:type="spellStart"/>
      <w:r w:rsidR="00145650">
        <w:t>Manitius</w:t>
      </w:r>
      <w:proofErr w:type="spellEnd"/>
      <w:r w:rsidR="00145650">
        <w:t xml:space="preserve"> did not </w:t>
      </w:r>
      <w:r w:rsidR="00C54D82">
        <w:t>consider</w:t>
      </w:r>
      <w:r w:rsidR="00145650">
        <w:t xml:space="preserve"> worth</w:t>
      </w:r>
      <w:r w:rsidR="00651E01">
        <w:t>y</w:t>
      </w:r>
      <w:r w:rsidR="00145650">
        <w:t xml:space="preserve"> of publication.</w:t>
      </w:r>
      <w:r w:rsidR="00651E01">
        <w:rPr>
          <w:rStyle w:val="FootnoteReference"/>
        </w:rPr>
        <w:footnoteReference w:id="12"/>
      </w:r>
      <w:r w:rsidR="00651E01">
        <w:t xml:space="preserve"> </w:t>
      </w:r>
      <w:r>
        <w:t xml:space="preserve">Germain </w:t>
      </w:r>
      <w:proofErr w:type="spellStart"/>
      <w:r>
        <w:t>Aujac</w:t>
      </w:r>
      <w:proofErr w:type="spellEnd"/>
      <w:r>
        <w:t xml:space="preserve"> includes </w:t>
      </w:r>
      <w:r w:rsidR="00FF3133">
        <w:t xml:space="preserve">some </w:t>
      </w:r>
      <w:r>
        <w:t>bibliographical details</w:t>
      </w:r>
      <w:r w:rsidR="00FF3133">
        <w:t xml:space="preserve"> concerning</w:t>
      </w:r>
      <w:r>
        <w:t xml:space="preserve"> Savile’s Latin version, but stops short of discussion</w:t>
      </w:r>
      <w:r w:rsidR="006424BF">
        <w:t>.</w:t>
      </w:r>
      <w:r>
        <w:rPr>
          <w:rStyle w:val="FootnoteReference"/>
        </w:rPr>
        <w:footnoteReference w:id="13"/>
      </w:r>
      <w:r>
        <w:t xml:space="preserve"> </w:t>
      </w:r>
      <w:r w:rsidR="00DC460D">
        <w:t>In</w:t>
      </w:r>
      <w:r w:rsidR="00C54D82">
        <w:t xml:space="preserve"> their translation and commentary o</w:t>
      </w:r>
      <w:r w:rsidR="00DC460D">
        <w:t>n</w:t>
      </w:r>
      <w:r w:rsidR="00C54D82">
        <w:t xml:space="preserve"> the </w:t>
      </w:r>
      <w:r w:rsidR="00C54D82" w:rsidRPr="009E6912">
        <w:rPr>
          <w:i/>
          <w:iCs/>
        </w:rPr>
        <w:t>Phaenomena</w:t>
      </w:r>
      <w:r w:rsidR="00C54D82">
        <w:t xml:space="preserve">, </w:t>
      </w:r>
      <w:r w:rsidR="00651E01">
        <w:t>James Evans and J. Lennart Berggren</w:t>
      </w:r>
      <w:r w:rsidR="009E6912">
        <w:t xml:space="preserve"> make no mention of Savile, though they include details of Edo </w:t>
      </w:r>
      <w:proofErr w:type="spellStart"/>
      <w:r w:rsidR="009E6912">
        <w:t>Hilderich’s</w:t>
      </w:r>
      <w:proofErr w:type="spellEnd"/>
      <w:r w:rsidR="009E6912">
        <w:t xml:space="preserve"> </w:t>
      </w:r>
      <w:r w:rsidR="009E6912">
        <w:lastRenderedPageBreak/>
        <w:t xml:space="preserve">Latin translation which accompanied the </w:t>
      </w:r>
      <w:proofErr w:type="spellStart"/>
      <w:r w:rsidR="009E6912" w:rsidRPr="009E6912">
        <w:rPr>
          <w:i/>
          <w:iCs/>
        </w:rPr>
        <w:t>editio</w:t>
      </w:r>
      <w:proofErr w:type="spellEnd"/>
      <w:r w:rsidR="009E6912" w:rsidRPr="009E6912">
        <w:rPr>
          <w:i/>
          <w:iCs/>
        </w:rPr>
        <w:t xml:space="preserve"> princeps</w:t>
      </w:r>
      <w:r w:rsidR="009E6912">
        <w:t xml:space="preserve"> of the Greek text in 1590.</w:t>
      </w:r>
      <w:r w:rsidR="009E6912">
        <w:rPr>
          <w:rStyle w:val="FootnoteReference"/>
        </w:rPr>
        <w:footnoteReference w:id="14"/>
      </w:r>
      <w:r w:rsidR="009E6912">
        <w:t xml:space="preserve"> </w:t>
      </w:r>
      <w:r w:rsidR="00C54D82">
        <w:t xml:space="preserve">As is explored below, however, Savile </w:t>
      </w:r>
      <w:r w:rsidR="006C5E5D">
        <w:t xml:space="preserve">conjectured at least two </w:t>
      </w:r>
      <w:r w:rsidR="00C54D82">
        <w:t xml:space="preserve">alternative textual readings which are </w:t>
      </w:r>
      <w:r w:rsidR="008F7F4D">
        <w:t>still</w:t>
      </w:r>
      <w:r w:rsidR="00C54D82">
        <w:t xml:space="preserve"> honoured in modern editions of Geminus. </w:t>
      </w:r>
    </w:p>
    <w:p w14:paraId="32410FEF" w14:textId="023FDFB0" w:rsidR="00811879" w:rsidRDefault="00090A6A" w:rsidP="00FB3B99">
      <w:pPr>
        <w:spacing w:line="480" w:lineRule="auto"/>
        <w:ind w:firstLine="720"/>
        <w:jc w:val="both"/>
      </w:pPr>
      <w:r>
        <w:t xml:space="preserve">The most extensive study of Thomas Savile and his scholarship </w:t>
      </w:r>
      <w:proofErr w:type="gramStart"/>
      <w:r>
        <w:t>has</w:t>
      </w:r>
      <w:proofErr w:type="gramEnd"/>
      <w:r>
        <w:t xml:space="preserve"> been undertaken by Robert Todd. His superlative study of Geminus’s reception for the </w:t>
      </w:r>
      <w:proofErr w:type="spellStart"/>
      <w:r w:rsidRPr="00F0699B">
        <w:rPr>
          <w:i/>
          <w:iCs/>
        </w:rPr>
        <w:t>Catalogus</w:t>
      </w:r>
      <w:proofErr w:type="spellEnd"/>
      <w:r w:rsidRPr="00F0699B">
        <w:rPr>
          <w:i/>
          <w:iCs/>
        </w:rPr>
        <w:t xml:space="preserve"> </w:t>
      </w:r>
      <w:proofErr w:type="spellStart"/>
      <w:r w:rsidRPr="00F0699B">
        <w:rPr>
          <w:i/>
          <w:iCs/>
        </w:rPr>
        <w:t>Translationum</w:t>
      </w:r>
      <w:proofErr w:type="spellEnd"/>
      <w:r w:rsidRPr="00F0699B">
        <w:rPr>
          <w:i/>
          <w:iCs/>
        </w:rPr>
        <w:t xml:space="preserve"> et </w:t>
      </w:r>
      <w:proofErr w:type="spellStart"/>
      <w:r w:rsidRPr="00F0699B">
        <w:rPr>
          <w:i/>
          <w:iCs/>
        </w:rPr>
        <w:t>Commentariorum</w:t>
      </w:r>
      <w:proofErr w:type="spellEnd"/>
      <w:r>
        <w:t xml:space="preserve"> offers a</w:t>
      </w:r>
      <w:r w:rsidR="00CF7354">
        <w:t xml:space="preserve"> key </w:t>
      </w:r>
      <w:r>
        <w:t xml:space="preserve">introduction to the </w:t>
      </w:r>
      <w:r w:rsidRPr="00106EC1">
        <w:rPr>
          <w:i/>
          <w:iCs/>
        </w:rPr>
        <w:t>Phaenomena’s</w:t>
      </w:r>
      <w:r>
        <w:t xml:space="preserve"> medieval and early-modern afterlives, and, in particular, to the role of the Savile brothers in the transmission and dissemination of manuscripts of </w:t>
      </w:r>
      <w:r w:rsidR="00332572">
        <w:t xml:space="preserve">Geminus </w:t>
      </w:r>
      <w:r>
        <w:t>in the sixteenth century.</w:t>
      </w:r>
      <w:r>
        <w:rPr>
          <w:rStyle w:val="FootnoteReference"/>
        </w:rPr>
        <w:footnoteReference w:id="15"/>
      </w:r>
      <w:r>
        <w:t xml:space="preserve"> Todd has </w:t>
      </w:r>
      <w:r w:rsidR="00DC460D">
        <w:t>also written on</w:t>
      </w:r>
      <w:r w:rsidR="00B8265B">
        <w:t xml:space="preserve"> </w:t>
      </w:r>
      <w:r w:rsidR="001C604F">
        <w:t xml:space="preserve">the travels of </w:t>
      </w:r>
      <w:r w:rsidR="00B8265B">
        <w:t xml:space="preserve">Thomas and his elder brother </w:t>
      </w:r>
      <w:r w:rsidR="001C604F">
        <w:t>in</w:t>
      </w:r>
      <w:r w:rsidR="00B8265B">
        <w:t xml:space="preserve"> Italy, </w:t>
      </w:r>
      <w:r w:rsidR="00D85541">
        <w:t>with a special emphasis on the scholarly relationships the two brothers were able to cultivate</w:t>
      </w:r>
      <w:r w:rsidR="00FF3133">
        <w:t xml:space="preserve"> during their sojourns abroad</w:t>
      </w:r>
      <w:r w:rsidR="00D85541">
        <w:t>.</w:t>
      </w:r>
      <w:r w:rsidR="00D85541">
        <w:rPr>
          <w:rStyle w:val="FootnoteReference"/>
        </w:rPr>
        <w:footnoteReference w:id="16"/>
      </w:r>
      <w:r w:rsidR="00CF7354">
        <w:t xml:space="preserve"> </w:t>
      </w:r>
      <w:r w:rsidR="008F7F4D">
        <w:t>Mordechai Feingold has</w:t>
      </w:r>
      <w:r w:rsidR="00CF7354">
        <w:t xml:space="preserve"> also</w:t>
      </w:r>
      <w:r w:rsidR="008F7F4D">
        <w:t xml:space="preserve"> </w:t>
      </w:r>
      <w:r w:rsidR="00D4057C">
        <w:t>examined</w:t>
      </w:r>
      <w:r w:rsidR="008F7F4D">
        <w:t xml:space="preserve"> the careers of both Savile brothers</w:t>
      </w:r>
      <w:r w:rsidR="00D4057C">
        <w:t xml:space="preserve"> and their travels in his reconstruction of English scientific communities at the universities.</w:t>
      </w:r>
      <w:r w:rsidR="00D4057C">
        <w:rPr>
          <w:rStyle w:val="FootnoteReference"/>
        </w:rPr>
        <w:footnoteReference w:id="17"/>
      </w:r>
      <w:r w:rsidR="00DC460D">
        <w:t xml:space="preserve"> </w:t>
      </w:r>
      <w:r w:rsidR="00F2554E">
        <w:t>This is</w:t>
      </w:r>
      <w:r w:rsidR="00FF3133">
        <w:t xml:space="preserve"> the first detailed </w:t>
      </w:r>
      <w:r w:rsidR="008060B8">
        <w:t>study</w:t>
      </w:r>
      <w:r w:rsidR="00FF3133">
        <w:t xml:space="preserve"> of Savile’s </w:t>
      </w:r>
      <w:r w:rsidR="00DC460D">
        <w:t>G</w:t>
      </w:r>
      <w:r w:rsidR="00811879">
        <w:t>e</w:t>
      </w:r>
      <w:r w:rsidR="00DC460D">
        <w:t>minus, however</w:t>
      </w:r>
      <w:r w:rsidR="00FF3133">
        <w:t>. The</w:t>
      </w:r>
      <w:r w:rsidR="009E6912">
        <w:t xml:space="preserve"> translation </w:t>
      </w:r>
      <w:r w:rsidR="00DC460D">
        <w:t xml:space="preserve">merits </w:t>
      </w:r>
      <w:r w:rsidR="009E6912">
        <w:t>our attention, this article argues,</w:t>
      </w:r>
      <w:r w:rsidR="00CF7354">
        <w:t xml:space="preserve"> for the evidence it offers not only of </w:t>
      </w:r>
      <w:r w:rsidR="008E7AE4">
        <w:t xml:space="preserve">detailed engagement with ancient astronomy in the final </w:t>
      </w:r>
      <w:r w:rsidR="008E7AE4">
        <w:lastRenderedPageBreak/>
        <w:t xml:space="preserve">decades of the sixteenth century, </w:t>
      </w:r>
      <w:r w:rsidR="0038232F">
        <w:t>but</w:t>
      </w:r>
      <w:r w:rsidR="00DC460D">
        <w:t xml:space="preserve"> also </w:t>
      </w:r>
      <w:r w:rsidR="00CF7354">
        <w:t>of</w:t>
      </w:r>
      <w:r w:rsidR="001A6DE2">
        <w:t xml:space="preserve"> the kinds of shared and collaborative scholarship which travelling scholars achieved in this period. As this article explores, the history of Savile’s translation highlights the </w:t>
      </w:r>
      <w:r w:rsidR="00DC460D">
        <w:t xml:space="preserve">intellectual exchange </w:t>
      </w:r>
      <w:r w:rsidR="001A6DE2">
        <w:t>which this scholar was able to foster through his</w:t>
      </w:r>
      <w:r w:rsidR="0038232F">
        <w:t xml:space="preserve"> wider</w:t>
      </w:r>
      <w:r w:rsidR="001A6DE2">
        <w:t xml:space="preserve"> </w:t>
      </w:r>
      <w:r w:rsidR="0038232F">
        <w:t>sojourn</w:t>
      </w:r>
      <w:r w:rsidR="001A6DE2">
        <w:t xml:space="preserve"> </w:t>
      </w:r>
      <w:r w:rsidR="00DC460D">
        <w:t xml:space="preserve">in </w:t>
      </w:r>
      <w:r w:rsidR="001A6DE2">
        <w:t xml:space="preserve">Europe. </w:t>
      </w:r>
    </w:p>
    <w:p w14:paraId="2AB3B161" w14:textId="4AA89866" w:rsidR="007C53E6" w:rsidRDefault="007C53E6" w:rsidP="00D55A7C">
      <w:pPr>
        <w:spacing w:line="480" w:lineRule="auto"/>
        <w:jc w:val="both"/>
      </w:pPr>
    </w:p>
    <w:p w14:paraId="72749D9B" w14:textId="7773AA36" w:rsidR="007C53E6" w:rsidRPr="00FB3B99" w:rsidRDefault="007C53E6" w:rsidP="00D55A7C">
      <w:pPr>
        <w:spacing w:line="480" w:lineRule="auto"/>
        <w:jc w:val="both"/>
        <w:rPr>
          <w:b/>
          <w:bCs/>
          <w:sz w:val="28"/>
          <w:szCs w:val="28"/>
        </w:rPr>
      </w:pPr>
      <w:r w:rsidRPr="001054E4">
        <w:rPr>
          <w:b/>
          <w:bCs/>
          <w:sz w:val="28"/>
          <w:szCs w:val="28"/>
        </w:rPr>
        <w:t xml:space="preserve">The Savile Brothers Abroad and the Transmission of Geminus </w:t>
      </w:r>
    </w:p>
    <w:p w14:paraId="26A59E8D" w14:textId="77777777" w:rsidR="00DC460D" w:rsidRDefault="00DC460D" w:rsidP="00D55A7C">
      <w:pPr>
        <w:spacing w:line="480" w:lineRule="auto"/>
        <w:jc w:val="both"/>
      </w:pPr>
    </w:p>
    <w:p w14:paraId="166A0CD1" w14:textId="7450FD08" w:rsidR="007C53E6" w:rsidRDefault="00307302" w:rsidP="00D55A7C">
      <w:pPr>
        <w:spacing w:line="480" w:lineRule="auto"/>
        <w:jc w:val="both"/>
      </w:pPr>
      <w:r>
        <w:t xml:space="preserve">Between 1578 and 1585, </w:t>
      </w:r>
      <w:r w:rsidR="00B312E1">
        <w:t xml:space="preserve">Thomas’s elder brother, </w:t>
      </w:r>
      <w:r w:rsidR="007C53E6">
        <w:t>Henry Savile</w:t>
      </w:r>
      <w:r w:rsidR="00B312E1">
        <w:t>,</w:t>
      </w:r>
      <w:r w:rsidR="007C53E6">
        <w:t xml:space="preserve"> undertook </w:t>
      </w:r>
      <w:r w:rsidR="007C53E6" w:rsidRPr="00ED7595">
        <w:t>an extensive tour of Europe</w:t>
      </w:r>
      <w:r>
        <w:t>,</w:t>
      </w:r>
      <w:r w:rsidR="007C53E6">
        <w:t xml:space="preserve"> </w:t>
      </w:r>
      <w:r w:rsidR="007C53E6" w:rsidRPr="00ED7595">
        <w:t>accompanied by his student, Henry Neville (1561/2–1615), the diplomat George Carew (</w:t>
      </w:r>
      <w:r w:rsidR="007C53E6" w:rsidRPr="00ED7595">
        <w:rPr>
          <w:i/>
        </w:rPr>
        <w:t>c</w:t>
      </w:r>
      <w:r w:rsidR="007C53E6" w:rsidRPr="00ED7595">
        <w:t>.1556–</w:t>
      </w:r>
      <w:r w:rsidR="007C53E6" w:rsidRPr="00ED7595">
        <w:rPr>
          <w:i/>
        </w:rPr>
        <w:t>d</w:t>
      </w:r>
      <w:r w:rsidR="007C53E6" w:rsidRPr="00ED7595">
        <w:t xml:space="preserve">.1612), and Robert Sidney (1563–1626), the younger brother of Sir Phillip (1554–1586). </w:t>
      </w:r>
      <w:r>
        <w:t xml:space="preserve">Thomas would follow in </w:t>
      </w:r>
      <w:r w:rsidR="00B312E1">
        <w:t>their</w:t>
      </w:r>
      <w:r>
        <w:t xml:space="preserve"> footsteps, travelling extensively on the Continent between 1588 and 1591. </w:t>
      </w:r>
      <w:r w:rsidR="007C53E6">
        <w:t xml:space="preserve">As Mark </w:t>
      </w:r>
      <w:proofErr w:type="spellStart"/>
      <w:r w:rsidR="007C53E6">
        <w:t>Sosower</w:t>
      </w:r>
      <w:proofErr w:type="spellEnd"/>
      <w:r w:rsidR="007C53E6">
        <w:t xml:space="preserve"> notes of </w:t>
      </w:r>
      <w:r w:rsidR="00B312E1">
        <w:t>the brothers’</w:t>
      </w:r>
      <w:r w:rsidR="007C53E6">
        <w:t xml:space="preserve"> </w:t>
      </w:r>
      <w:r w:rsidR="00180EAF">
        <w:t>scholarly pursuits</w:t>
      </w:r>
      <w:r w:rsidR="007C53E6">
        <w:t xml:space="preserve"> abroad, ‘the </w:t>
      </w:r>
      <w:proofErr w:type="spellStart"/>
      <w:r w:rsidR="007C53E6">
        <w:t>Saviles</w:t>
      </w:r>
      <w:proofErr w:type="spellEnd"/>
      <w:r w:rsidR="007C53E6">
        <w:t xml:space="preserve"> acquired Greek manuscripts containing rare and unpublished mathematical, astronomical, musical and philosophical texts. They brought these manuscripts to Merton College at the time when scholars at the University of Oxford were beginning to achieve world prominence in these academic disciplines’.</w:t>
      </w:r>
      <w:r w:rsidR="007C53E6">
        <w:rPr>
          <w:rStyle w:val="FootnoteReference"/>
        </w:rPr>
        <w:footnoteReference w:id="18"/>
      </w:r>
      <w:r w:rsidR="007C53E6">
        <w:t xml:space="preserve"> These included works by Autolycus of </w:t>
      </w:r>
      <w:proofErr w:type="spellStart"/>
      <w:r w:rsidR="007C53E6">
        <w:t>Pitane</w:t>
      </w:r>
      <w:proofErr w:type="spellEnd"/>
      <w:r w:rsidR="007C53E6">
        <w:t xml:space="preserve">, Theodosius of Bithynia, Sextus </w:t>
      </w:r>
      <w:proofErr w:type="spellStart"/>
      <w:r w:rsidR="007C53E6">
        <w:t>Empiricus</w:t>
      </w:r>
      <w:proofErr w:type="spellEnd"/>
      <w:r w:rsidR="007C53E6">
        <w:t>, and Theon and Pappus of Alexandria, and</w:t>
      </w:r>
      <w:r w:rsidR="0046241B">
        <w:t xml:space="preserve"> – key to Thomas’ later pursuits –</w:t>
      </w:r>
      <w:r w:rsidR="0047324E">
        <w:t xml:space="preserve"> </w:t>
      </w:r>
      <w:r w:rsidR="007C53E6">
        <w:t xml:space="preserve">by Geminus. </w:t>
      </w:r>
    </w:p>
    <w:p w14:paraId="620F44F5" w14:textId="698A4CEA" w:rsidR="0052594F" w:rsidRDefault="00FF6F34" w:rsidP="00D55A7C">
      <w:pPr>
        <w:spacing w:line="480" w:lineRule="auto"/>
        <w:ind w:firstLine="720"/>
        <w:jc w:val="both"/>
      </w:pPr>
      <w:r>
        <w:t xml:space="preserve">It was at the Imperial Library of Vienna that Henry Savile and his fellow travellers had accessed and copied the Greek text of Geminus. Now preserved among the Savile Manuscripts at the Bodleian Library, Oxford, Savile Manuscript 10 includes the </w:t>
      </w:r>
      <w:r w:rsidRPr="00931288">
        <w:rPr>
          <w:i/>
          <w:iCs/>
        </w:rPr>
        <w:t>Phaenomena</w:t>
      </w:r>
      <w:r>
        <w:t xml:space="preserve"> alongside a series of astronomical works by Theodosius, Autolycus, and Euclid. Here on folio</w:t>
      </w:r>
      <w:r w:rsidRPr="007129E9">
        <w:t xml:space="preserve"> 117</w:t>
      </w:r>
      <w:r w:rsidRPr="007129E9">
        <w:rPr>
          <w:vertAlign w:val="superscript"/>
        </w:rPr>
        <w:t>v</w:t>
      </w:r>
      <w:r w:rsidRPr="007129E9">
        <w:t>,</w:t>
      </w:r>
      <w:r>
        <w:t xml:space="preserve"> we </w:t>
      </w:r>
      <w:r>
        <w:lastRenderedPageBreak/>
        <w:t>find Carew’s note of completion: ‘</w:t>
      </w:r>
      <w:r w:rsidRPr="00530732">
        <w:t xml:space="preserve">Explicit opus feliciter 1581 18 </w:t>
      </w:r>
      <w:proofErr w:type="spellStart"/>
      <w:r w:rsidRPr="00530732">
        <w:t>Julii</w:t>
      </w:r>
      <w:proofErr w:type="spellEnd"/>
      <w:r w:rsidRPr="00530732">
        <w:t xml:space="preserve"> George Karew</w:t>
      </w:r>
      <w:r>
        <w:t>’.</w:t>
      </w:r>
      <w:r>
        <w:rPr>
          <w:rStyle w:val="FootnoteReference"/>
        </w:rPr>
        <w:footnoteReference w:id="19"/>
      </w:r>
      <w:r>
        <w:t xml:space="preserve"> In the same manuscript, we find a note reading ‘</w:t>
      </w:r>
      <w:r w:rsidRPr="006D2F9B">
        <w:t xml:space="preserve">ex </w:t>
      </w:r>
      <w:proofErr w:type="spellStart"/>
      <w:r w:rsidRPr="006D2F9B">
        <w:t>antiquo</w:t>
      </w:r>
      <w:proofErr w:type="spellEnd"/>
      <w:r w:rsidRPr="006D2F9B">
        <w:t xml:space="preserve"> </w:t>
      </w:r>
      <w:proofErr w:type="spellStart"/>
      <w:r w:rsidRPr="006D2F9B">
        <w:t>manuscripto</w:t>
      </w:r>
      <w:proofErr w:type="spellEnd"/>
      <w:r w:rsidRPr="006D2F9B">
        <w:t xml:space="preserve"> </w:t>
      </w:r>
      <w:proofErr w:type="spellStart"/>
      <w:r w:rsidRPr="006D2F9B">
        <w:t>bibliothecae</w:t>
      </w:r>
      <w:proofErr w:type="spellEnd"/>
      <w:r w:rsidRPr="006D2F9B">
        <w:t xml:space="preserve"> </w:t>
      </w:r>
      <w:proofErr w:type="spellStart"/>
      <w:r w:rsidRPr="006D2F9B">
        <w:t>Caesareae</w:t>
      </w:r>
      <w:proofErr w:type="spellEnd"/>
      <w:r>
        <w:t>’, pointing to the Imperial Library</w:t>
      </w:r>
      <w:r w:rsidR="00BC2900">
        <w:t>, Vienna</w:t>
      </w:r>
      <w:r>
        <w:t>.</w:t>
      </w:r>
      <w:r w:rsidR="00B312E1">
        <w:rPr>
          <w:rStyle w:val="FootnoteReference"/>
        </w:rPr>
        <w:footnoteReference w:id="20"/>
      </w:r>
      <w:r>
        <w:t xml:space="preserve"> </w:t>
      </w:r>
      <w:r w:rsidR="00CB582E">
        <w:t xml:space="preserve">The copies made by </w:t>
      </w:r>
      <w:r w:rsidR="00D55C24">
        <w:t xml:space="preserve">the </w:t>
      </w:r>
      <w:r w:rsidR="00CB582E">
        <w:t xml:space="preserve">Savile group </w:t>
      </w:r>
      <w:r>
        <w:t xml:space="preserve">would ultimately play </w:t>
      </w:r>
      <w:r w:rsidR="00CB582E">
        <w:t xml:space="preserve">a role in establishing the </w:t>
      </w:r>
      <w:proofErr w:type="spellStart"/>
      <w:r w:rsidR="00CB582E">
        <w:t>editio</w:t>
      </w:r>
      <w:proofErr w:type="spellEnd"/>
      <w:r w:rsidR="00CB582E">
        <w:t xml:space="preserve"> princeps</w:t>
      </w:r>
      <w:r w:rsidR="00531DBB">
        <w:t xml:space="preserve"> of the Greek Geminus</w:t>
      </w:r>
      <w:r w:rsidR="00B74684">
        <w:t xml:space="preserve"> </w:t>
      </w:r>
      <w:r w:rsidR="00531DBB">
        <w:t>(</w:t>
      </w:r>
      <w:r w:rsidR="00B74684">
        <w:t>1590</w:t>
      </w:r>
      <w:r w:rsidR="00531DBB">
        <w:t>),</w:t>
      </w:r>
      <w:r w:rsidR="007B06DC">
        <w:t xml:space="preserve"> prepared with a facing-page Latin translation by Edo </w:t>
      </w:r>
      <w:proofErr w:type="spellStart"/>
      <w:r w:rsidR="007B06DC">
        <w:t>Hilderich</w:t>
      </w:r>
      <w:proofErr w:type="spellEnd"/>
      <w:r w:rsidR="007B06DC">
        <w:t xml:space="preserve"> von Varel (1533</w:t>
      </w:r>
      <w:r w:rsidR="007B06DC">
        <w:softHyphen/>
        <w:t xml:space="preserve">–89). </w:t>
      </w:r>
      <w:r w:rsidR="00B74684">
        <w:t xml:space="preserve">As </w:t>
      </w:r>
      <w:proofErr w:type="spellStart"/>
      <w:r w:rsidR="007B06DC">
        <w:t>Hilderich</w:t>
      </w:r>
      <w:proofErr w:type="spellEnd"/>
      <w:r w:rsidR="007B06DC">
        <w:t xml:space="preserve"> explains</w:t>
      </w:r>
      <w:r w:rsidR="00B74684">
        <w:t xml:space="preserve"> in the material prefacing </w:t>
      </w:r>
      <w:r w:rsidR="007B06DC">
        <w:t>his</w:t>
      </w:r>
      <w:r w:rsidR="00B74684">
        <w:t xml:space="preserve"> edition, </w:t>
      </w:r>
      <w:r w:rsidR="007B06DC">
        <w:t xml:space="preserve">Henry </w:t>
      </w:r>
      <w:r w:rsidR="00303944">
        <w:t xml:space="preserve">Savile was a key point of contact in the dissemination of </w:t>
      </w:r>
      <w:r w:rsidR="00531DBB">
        <w:t>the Greek text</w:t>
      </w:r>
      <w:r w:rsidR="00303944">
        <w:t>:</w:t>
      </w:r>
    </w:p>
    <w:p w14:paraId="089B2EA0" w14:textId="77777777" w:rsidR="0052594F" w:rsidRDefault="0052594F" w:rsidP="00D55A7C">
      <w:pPr>
        <w:spacing w:line="480" w:lineRule="auto"/>
        <w:jc w:val="both"/>
      </w:pPr>
    </w:p>
    <w:p w14:paraId="3D2B9E3E" w14:textId="21656C60" w:rsidR="00303944" w:rsidRDefault="00303944" w:rsidP="00D55A7C">
      <w:pPr>
        <w:spacing w:line="480" w:lineRule="auto"/>
        <w:ind w:left="720"/>
        <w:jc w:val="both"/>
      </w:pPr>
      <w:r>
        <w:t xml:space="preserve">Ad </w:t>
      </w:r>
      <w:proofErr w:type="spellStart"/>
      <w:r>
        <w:t>meas</w:t>
      </w:r>
      <w:proofErr w:type="spellEnd"/>
      <w:r>
        <w:t xml:space="preserve"> autem manus </w:t>
      </w:r>
      <w:proofErr w:type="spellStart"/>
      <w:r>
        <w:t>huius</w:t>
      </w:r>
      <w:proofErr w:type="spellEnd"/>
      <w:r>
        <w:t xml:space="preserve"> </w:t>
      </w:r>
      <w:r w:rsidR="00137F96">
        <w:t xml:space="preserve">tam </w:t>
      </w:r>
      <w:proofErr w:type="spellStart"/>
      <w:r w:rsidR="00137F96">
        <w:t>præstantis</w:t>
      </w:r>
      <w:proofErr w:type="spellEnd"/>
      <w:r w:rsidR="00137F96">
        <w:t xml:space="preserve"> </w:t>
      </w:r>
      <w:proofErr w:type="spellStart"/>
      <w:r w:rsidR="00137F96">
        <w:t>Philosophi</w:t>
      </w:r>
      <w:proofErr w:type="spellEnd"/>
      <w:r w:rsidR="00137F96">
        <w:t xml:space="preserve"> Sphæra, ne </w:t>
      </w:r>
      <w:proofErr w:type="spellStart"/>
      <w:r w:rsidR="00137F96">
        <w:t>quis</w:t>
      </w:r>
      <w:proofErr w:type="spellEnd"/>
      <w:r w:rsidR="00137F96">
        <w:t xml:space="preserve"> </w:t>
      </w:r>
      <w:proofErr w:type="spellStart"/>
      <w:r w:rsidR="00137F96">
        <w:t>sua</w:t>
      </w:r>
      <w:proofErr w:type="spellEnd"/>
      <w:r w:rsidR="00137F96">
        <w:t xml:space="preserve"> laude</w:t>
      </w:r>
      <w:r w:rsidR="0052594F">
        <w:t xml:space="preserve"> </w:t>
      </w:r>
      <w:proofErr w:type="spellStart"/>
      <w:r w:rsidR="0052594F">
        <w:t>defraudetur</w:t>
      </w:r>
      <w:proofErr w:type="spellEnd"/>
      <w:r w:rsidR="00137F96">
        <w:t xml:space="preserve">, hac </w:t>
      </w:r>
      <w:proofErr w:type="spellStart"/>
      <w:r w:rsidR="00137F96">
        <w:t>occasione</w:t>
      </w:r>
      <w:proofErr w:type="spellEnd"/>
      <w:r w:rsidR="00137F96">
        <w:t xml:space="preserve"> </w:t>
      </w:r>
      <w:proofErr w:type="spellStart"/>
      <w:r w:rsidR="00137F96">
        <w:t>pervenit</w:t>
      </w:r>
      <w:proofErr w:type="spellEnd"/>
      <w:r w:rsidR="00137F96">
        <w:t xml:space="preserve">. </w:t>
      </w:r>
      <w:proofErr w:type="spellStart"/>
      <w:r w:rsidR="00137F96">
        <w:t>Viennæ</w:t>
      </w:r>
      <w:proofErr w:type="spellEnd"/>
      <w:r w:rsidR="00137F96">
        <w:t xml:space="preserve"> </w:t>
      </w:r>
      <w:proofErr w:type="spellStart"/>
      <w:r w:rsidR="00137F96">
        <w:t>eam</w:t>
      </w:r>
      <w:proofErr w:type="spellEnd"/>
      <w:r w:rsidR="00137F96">
        <w:t xml:space="preserve"> </w:t>
      </w:r>
      <w:proofErr w:type="spellStart"/>
      <w:r w:rsidR="00137F96">
        <w:t>accepit</w:t>
      </w:r>
      <w:proofErr w:type="spellEnd"/>
      <w:r w:rsidR="00137F96">
        <w:t xml:space="preserve"> à </w:t>
      </w:r>
      <w:proofErr w:type="spellStart"/>
      <w:r w:rsidR="00137F96">
        <w:t>clarissimo</w:t>
      </w:r>
      <w:proofErr w:type="spellEnd"/>
      <w:r w:rsidR="00137F96">
        <w:t xml:space="preserve"> </w:t>
      </w:r>
      <w:proofErr w:type="spellStart"/>
      <w:r w:rsidR="00137F96">
        <w:t>viro</w:t>
      </w:r>
      <w:proofErr w:type="spellEnd"/>
      <w:r w:rsidR="00137F96">
        <w:t xml:space="preserve"> Domino </w:t>
      </w:r>
      <w:proofErr w:type="spellStart"/>
      <w:r w:rsidR="00137F96">
        <w:t>Iohanne</w:t>
      </w:r>
      <w:proofErr w:type="spellEnd"/>
      <w:r w:rsidR="00137F96">
        <w:t xml:space="preserve"> Sambuco, Henricus Savilius Anglus, vir non minus generis </w:t>
      </w:r>
      <w:proofErr w:type="spellStart"/>
      <w:r w:rsidR="00137F96">
        <w:t>nobilitate</w:t>
      </w:r>
      <w:proofErr w:type="spellEnd"/>
      <w:r w:rsidR="00137F96">
        <w:t xml:space="preserve">, </w:t>
      </w:r>
      <w:proofErr w:type="spellStart"/>
      <w:r w:rsidR="00137F96">
        <w:t>quam</w:t>
      </w:r>
      <w:proofErr w:type="spellEnd"/>
      <w:r w:rsidR="00137F96">
        <w:t xml:space="preserve"> </w:t>
      </w:r>
      <w:proofErr w:type="spellStart"/>
      <w:r w:rsidR="00137F96">
        <w:t>Philosophiæ</w:t>
      </w:r>
      <w:proofErr w:type="spellEnd"/>
      <w:r w:rsidR="00137F96">
        <w:t xml:space="preserve"> &amp; </w:t>
      </w:r>
      <w:proofErr w:type="spellStart"/>
      <w:r w:rsidR="00137F96">
        <w:t>Mathematum</w:t>
      </w:r>
      <w:proofErr w:type="spellEnd"/>
      <w:r w:rsidR="00137F96">
        <w:t xml:space="preserve"> </w:t>
      </w:r>
      <w:proofErr w:type="spellStart"/>
      <w:r w:rsidR="00137F96">
        <w:t>cognitione</w:t>
      </w:r>
      <w:proofErr w:type="spellEnd"/>
      <w:r w:rsidR="00137F96">
        <w:t xml:space="preserve"> </w:t>
      </w:r>
      <w:proofErr w:type="spellStart"/>
      <w:r w:rsidR="00137F96">
        <w:t>cla</w:t>
      </w:r>
      <w:r w:rsidR="00BF267B">
        <w:t>rus</w:t>
      </w:r>
      <w:proofErr w:type="spellEnd"/>
      <w:r w:rsidR="00204E54">
        <w:t>.</w:t>
      </w:r>
      <w:r w:rsidR="00EC2E73">
        <w:rPr>
          <w:rStyle w:val="FootnoteReference"/>
        </w:rPr>
        <w:footnoteReference w:id="21"/>
      </w:r>
    </w:p>
    <w:p w14:paraId="6E2532DF" w14:textId="77777777" w:rsidR="0052594F" w:rsidRDefault="0052594F" w:rsidP="00D55C24">
      <w:pPr>
        <w:spacing w:line="480" w:lineRule="auto"/>
        <w:jc w:val="both"/>
      </w:pPr>
    </w:p>
    <w:p w14:paraId="2115A890" w14:textId="15F5CD76" w:rsidR="00E63D92" w:rsidRDefault="0052594F" w:rsidP="00D55A7C">
      <w:pPr>
        <w:spacing w:line="480" w:lineRule="auto"/>
        <w:ind w:left="720"/>
        <w:jc w:val="both"/>
      </w:pPr>
      <w:r>
        <w:t xml:space="preserve">Lest anyone be cheated of their praise, the </w:t>
      </w:r>
      <w:proofErr w:type="spellStart"/>
      <w:r w:rsidRPr="0052594F">
        <w:rPr>
          <w:i/>
          <w:iCs/>
        </w:rPr>
        <w:t>Sphaera</w:t>
      </w:r>
      <w:proofErr w:type="spellEnd"/>
      <w:r>
        <w:t xml:space="preserve"> of this outstanding philosopher came into my hands through the following opportunity: at </w:t>
      </w:r>
      <w:r w:rsidR="00DB00A2">
        <w:t>Vienna</w:t>
      </w:r>
      <w:r>
        <w:t>, the Englishman</w:t>
      </w:r>
      <w:r w:rsidR="0047324E">
        <w:t>,</w:t>
      </w:r>
      <w:r>
        <w:t xml:space="preserve"> </w:t>
      </w:r>
      <w:r w:rsidR="006A4C5F">
        <w:t>Henry Savile</w:t>
      </w:r>
      <w:r w:rsidR="0047324E">
        <w:t>,</w:t>
      </w:r>
      <w:r w:rsidR="007E6D04">
        <w:t xml:space="preserve"> a man no less renowned for the nobility of his kin, than for his knowledge of Philosophy and Mathematics</w:t>
      </w:r>
      <w:r w:rsidR="0047324E">
        <w:t>,</w:t>
      </w:r>
      <w:r w:rsidR="007E6D04">
        <w:t xml:space="preserve"> </w:t>
      </w:r>
      <w:r w:rsidR="00DB00A2">
        <w:t>received it from th</w:t>
      </w:r>
      <w:r w:rsidR="007E6D04">
        <w:t xml:space="preserve">at most renowned of men, Master Johannes Sambucus. </w:t>
      </w:r>
    </w:p>
    <w:p w14:paraId="7040D8D8" w14:textId="30F3E973" w:rsidR="00EC2E73" w:rsidRDefault="00EC2E73" w:rsidP="00D55A7C">
      <w:pPr>
        <w:spacing w:line="480" w:lineRule="auto"/>
        <w:jc w:val="both"/>
      </w:pPr>
    </w:p>
    <w:p w14:paraId="29DFD89F" w14:textId="5BAB00DD" w:rsidR="00DD3154" w:rsidRDefault="002C1AF5" w:rsidP="00D55A7C">
      <w:pPr>
        <w:spacing w:line="480" w:lineRule="auto"/>
        <w:jc w:val="both"/>
      </w:pPr>
      <w:r>
        <w:lastRenderedPageBreak/>
        <w:t>According to Hilderic</w:t>
      </w:r>
      <w:r w:rsidR="00D55C24">
        <w:t>h</w:t>
      </w:r>
      <w:r>
        <w:t>, it was through the Hungarian physician and scholar, Johannes Sambucus (</w:t>
      </w:r>
      <w:proofErr w:type="spellStart"/>
      <w:r>
        <w:t>Zsamboky</w:t>
      </w:r>
      <w:proofErr w:type="spellEnd"/>
      <w:r>
        <w:t xml:space="preserve">, 1531-1584) that Savile accessed the Geminus manuscript, perhaps through </w:t>
      </w:r>
      <w:r w:rsidR="008511E2">
        <w:t xml:space="preserve">his </w:t>
      </w:r>
      <w:r>
        <w:t xml:space="preserve">ties to the Imperial Court and (presumably) ready access to the </w:t>
      </w:r>
      <w:r w:rsidR="00865DE3">
        <w:t>I</w:t>
      </w:r>
      <w:r>
        <w:t xml:space="preserve">mperial </w:t>
      </w:r>
      <w:r w:rsidR="00865DE3">
        <w:t>L</w:t>
      </w:r>
      <w:r>
        <w:t xml:space="preserve">ibrary. </w:t>
      </w:r>
      <w:r w:rsidR="00D55C24">
        <w:t xml:space="preserve">Savile, </w:t>
      </w:r>
      <w:proofErr w:type="spellStart"/>
      <w:r w:rsidR="00D55C24">
        <w:t>Hilderich</w:t>
      </w:r>
      <w:proofErr w:type="spellEnd"/>
      <w:r w:rsidR="00D55C24">
        <w:t xml:space="preserve"> explains, shared a copy of the Greek Geminus with Andreas Dudith, both of whom </w:t>
      </w:r>
      <w:r w:rsidR="00204E54">
        <w:t xml:space="preserve">sent copies to the German mathematician, Johannes Praetorius (1537–1616), who in turn encouraged </w:t>
      </w:r>
      <w:proofErr w:type="spellStart"/>
      <w:r w:rsidR="00204E54">
        <w:t>Hilderich</w:t>
      </w:r>
      <w:proofErr w:type="spellEnd"/>
      <w:r w:rsidR="00204E54">
        <w:t xml:space="preserve"> to </w:t>
      </w:r>
      <w:r w:rsidR="00EC2E73">
        <w:t>translate Geminus’s ‘</w:t>
      </w:r>
      <w:proofErr w:type="spellStart"/>
      <w:r w:rsidR="00EC2E73">
        <w:t>libellum</w:t>
      </w:r>
      <w:proofErr w:type="spellEnd"/>
      <w:r w:rsidR="00EC2E73">
        <w:t xml:space="preserve"> ex </w:t>
      </w:r>
      <w:proofErr w:type="spellStart"/>
      <w:r w:rsidR="00EC2E73">
        <w:t>Græeco</w:t>
      </w:r>
      <w:proofErr w:type="spellEnd"/>
      <w:r w:rsidR="00EC2E73">
        <w:t xml:space="preserve"> </w:t>
      </w:r>
      <w:proofErr w:type="spellStart"/>
      <w:r w:rsidR="00EC2E73">
        <w:t>idiomate</w:t>
      </w:r>
      <w:proofErr w:type="spellEnd"/>
      <w:r w:rsidR="00EC2E73">
        <w:t xml:space="preserve"> in </w:t>
      </w:r>
      <w:proofErr w:type="spellStart"/>
      <w:r w:rsidR="00EC2E73">
        <w:t>Latinam</w:t>
      </w:r>
      <w:proofErr w:type="spellEnd"/>
      <w:r w:rsidR="00EC2E73">
        <w:t xml:space="preserve"> </w:t>
      </w:r>
      <w:proofErr w:type="spellStart"/>
      <w:r w:rsidR="00EC2E73">
        <w:t>linguam</w:t>
      </w:r>
      <w:proofErr w:type="spellEnd"/>
      <w:r w:rsidR="00EC2E73">
        <w:t>’</w:t>
      </w:r>
      <w:r w:rsidR="0047324E">
        <w:t xml:space="preserve"> (‘little book from the Greek into the Latin language’)</w:t>
      </w:r>
      <w:r w:rsidR="00EC2E73">
        <w:t>.</w:t>
      </w:r>
      <w:r w:rsidR="00EC2E73">
        <w:rPr>
          <w:rStyle w:val="FootnoteReference"/>
        </w:rPr>
        <w:footnoteReference w:id="22"/>
      </w:r>
      <w:r w:rsidR="00204E54">
        <w:t xml:space="preserve"> </w:t>
      </w:r>
    </w:p>
    <w:p w14:paraId="05ABB222" w14:textId="6DE5DFC1" w:rsidR="00DD3154" w:rsidRDefault="00DD3154" w:rsidP="00D55A7C">
      <w:pPr>
        <w:spacing w:line="480" w:lineRule="auto"/>
        <w:ind w:firstLine="720"/>
        <w:jc w:val="both"/>
      </w:pPr>
      <w:r>
        <w:t>In his work on the Macedonian and Asiatic solar year, James Ussher, Archbishop of Armagh (</w:t>
      </w:r>
      <w:r w:rsidRPr="007B6BDA">
        <w:t>1581–1656</w:t>
      </w:r>
      <w:r>
        <w:t xml:space="preserve">), explains that Henry Savile </w:t>
      </w:r>
      <w:r w:rsidR="00844D59">
        <w:t xml:space="preserve">also </w:t>
      </w:r>
      <w:r>
        <w:t xml:space="preserve">provided him with a text of Geminus, replete with variant readings. Discussing four </w:t>
      </w:r>
      <w:proofErr w:type="spellStart"/>
      <w:r>
        <w:t>parapegmata</w:t>
      </w:r>
      <w:proofErr w:type="spellEnd"/>
      <w:r>
        <w:t xml:space="preserve"> (that is, the lists noting the rising and falling of fixed stars) which had traditionally been ascribed to Ptolemy, Ussher refers to the list included in Geminus’s </w:t>
      </w:r>
      <w:r w:rsidRPr="00DC62CF">
        <w:rPr>
          <w:i/>
          <w:iCs/>
        </w:rPr>
        <w:t>Phaenomena</w:t>
      </w:r>
      <w:r>
        <w:t xml:space="preserve">: </w:t>
      </w:r>
    </w:p>
    <w:p w14:paraId="26DD7CB9" w14:textId="77777777" w:rsidR="00DD3154" w:rsidRDefault="00DD3154" w:rsidP="00D55A7C">
      <w:pPr>
        <w:spacing w:line="480" w:lineRule="auto"/>
        <w:jc w:val="both"/>
      </w:pPr>
    </w:p>
    <w:p w14:paraId="1A068BCB" w14:textId="77777777" w:rsidR="00DD3154" w:rsidRDefault="00DD3154" w:rsidP="00D55A7C">
      <w:pPr>
        <w:spacing w:line="480" w:lineRule="auto"/>
        <w:ind w:left="720"/>
        <w:jc w:val="both"/>
      </w:pPr>
      <w:proofErr w:type="spellStart"/>
      <w:r>
        <w:t>Quartum</w:t>
      </w:r>
      <w:proofErr w:type="spellEnd"/>
      <w:r>
        <w:t xml:space="preserve"> </w:t>
      </w:r>
      <w:proofErr w:type="spellStart"/>
      <w:r>
        <w:t>subjectum</w:t>
      </w:r>
      <w:proofErr w:type="spellEnd"/>
      <w:r>
        <w:t xml:space="preserve"> </w:t>
      </w:r>
      <w:proofErr w:type="spellStart"/>
      <w:r>
        <w:t>habebatur</w:t>
      </w:r>
      <w:proofErr w:type="spellEnd"/>
      <w:r>
        <w:t xml:space="preserve"> </w:t>
      </w:r>
      <w:proofErr w:type="spellStart"/>
      <w:r w:rsidRPr="008D2452">
        <w:rPr>
          <w:i/>
          <w:iCs/>
        </w:rPr>
        <w:t>Isagogico</w:t>
      </w:r>
      <w:proofErr w:type="spellEnd"/>
      <w:r w:rsidRPr="008D2452">
        <w:rPr>
          <w:i/>
          <w:iCs/>
        </w:rPr>
        <w:t xml:space="preserve"> </w:t>
      </w:r>
      <w:proofErr w:type="spellStart"/>
      <w:r w:rsidRPr="008D2452">
        <w:rPr>
          <w:i/>
          <w:iCs/>
        </w:rPr>
        <w:t>Astrologiæ</w:t>
      </w:r>
      <w:proofErr w:type="spellEnd"/>
      <w:r w:rsidRPr="008D2452">
        <w:rPr>
          <w:i/>
          <w:iCs/>
        </w:rPr>
        <w:t xml:space="preserve"> Ptolemæi, ex </w:t>
      </w:r>
      <w:proofErr w:type="spellStart"/>
      <w:r w:rsidRPr="008D2452">
        <w:rPr>
          <w:i/>
          <w:iCs/>
        </w:rPr>
        <w:t>Arabico</w:t>
      </w:r>
      <w:proofErr w:type="spellEnd"/>
      <w:r w:rsidRPr="008D2452">
        <w:rPr>
          <w:i/>
          <w:iCs/>
        </w:rPr>
        <w:t xml:space="preserve"> ab Abrahamo de Balmes converso</w:t>
      </w:r>
      <w:r>
        <w:t xml:space="preserve">: quod non </w:t>
      </w:r>
      <w:proofErr w:type="spellStart"/>
      <w:r>
        <w:t>aliud</w:t>
      </w:r>
      <w:proofErr w:type="spellEnd"/>
      <w:r>
        <w:t xml:space="preserve"> est </w:t>
      </w:r>
      <w:proofErr w:type="spellStart"/>
      <w:r>
        <w:t>quam</w:t>
      </w:r>
      <w:proofErr w:type="spellEnd"/>
      <w:r>
        <w:t xml:space="preserve"> Gemini Isagoge in </w:t>
      </w:r>
      <w:proofErr w:type="spellStart"/>
      <w:r>
        <w:t>Phænomena</w:t>
      </w:r>
      <w:proofErr w:type="spellEnd"/>
      <w:r>
        <w:t xml:space="preserve">; cujus </w:t>
      </w:r>
      <w:proofErr w:type="spellStart"/>
      <w:r>
        <w:t>editionem</w:t>
      </w:r>
      <w:proofErr w:type="spellEnd"/>
      <w:r>
        <w:t xml:space="preserve"> ex </w:t>
      </w:r>
      <w:proofErr w:type="spellStart"/>
      <w:r>
        <w:t>codice</w:t>
      </w:r>
      <w:proofErr w:type="spellEnd"/>
      <w:r>
        <w:t xml:space="preserve">, quem </w:t>
      </w:r>
      <w:proofErr w:type="spellStart"/>
      <w:r>
        <w:t>Viennæ</w:t>
      </w:r>
      <w:proofErr w:type="spellEnd"/>
      <w:r>
        <w:t xml:space="preserve"> a Johanne Sambuco Savilius </w:t>
      </w:r>
      <w:proofErr w:type="spellStart"/>
      <w:r>
        <w:t>noster</w:t>
      </w:r>
      <w:proofErr w:type="spellEnd"/>
      <w:r>
        <w:t xml:space="preserve"> </w:t>
      </w:r>
      <w:proofErr w:type="spellStart"/>
      <w:r>
        <w:t>nactus</w:t>
      </w:r>
      <w:proofErr w:type="spellEnd"/>
      <w:r>
        <w:t xml:space="preserve"> est, </w:t>
      </w:r>
      <w:proofErr w:type="spellStart"/>
      <w:r>
        <w:t>expressam</w:t>
      </w:r>
      <w:proofErr w:type="spellEnd"/>
      <w:r>
        <w:t xml:space="preserve">, non solum cum </w:t>
      </w:r>
      <w:proofErr w:type="spellStart"/>
      <w:r>
        <w:t>Arabico</w:t>
      </w:r>
      <w:proofErr w:type="spellEnd"/>
      <w:r>
        <w:t xml:space="preserve"> </w:t>
      </w:r>
      <w:proofErr w:type="spellStart"/>
      <w:r>
        <w:t>isto</w:t>
      </w:r>
      <w:proofErr w:type="spellEnd"/>
      <w:r>
        <w:t xml:space="preserve"> </w:t>
      </w:r>
      <w:proofErr w:type="spellStart"/>
      <w:r>
        <w:t>Isagogico</w:t>
      </w:r>
      <w:proofErr w:type="spellEnd"/>
      <w:r>
        <w:t xml:space="preserve">, </w:t>
      </w:r>
      <w:proofErr w:type="spellStart"/>
      <w:r>
        <w:t>sed</w:t>
      </w:r>
      <w:proofErr w:type="spellEnd"/>
      <w:r>
        <w:t xml:space="preserve"> </w:t>
      </w:r>
      <w:proofErr w:type="spellStart"/>
      <w:r>
        <w:t>etiam</w:t>
      </w:r>
      <w:proofErr w:type="spellEnd"/>
      <w:r>
        <w:t xml:space="preserve"> cum </w:t>
      </w:r>
      <w:proofErr w:type="spellStart"/>
      <w:r>
        <w:t>alio</w:t>
      </w:r>
      <w:proofErr w:type="spellEnd"/>
      <w:r>
        <w:t xml:space="preserve"> </w:t>
      </w:r>
      <w:proofErr w:type="spellStart"/>
      <w:r>
        <w:t>MS</w:t>
      </w:r>
      <w:r w:rsidRPr="00883B8A">
        <w:rPr>
          <w:vertAlign w:val="superscript"/>
        </w:rPr>
        <w:t>o</w:t>
      </w:r>
      <w:proofErr w:type="spellEnd"/>
      <w:r>
        <w:t xml:space="preserve"> </w:t>
      </w:r>
      <w:proofErr w:type="spellStart"/>
      <w:r>
        <w:t>Græco</w:t>
      </w:r>
      <w:proofErr w:type="spellEnd"/>
      <w:r>
        <w:t xml:space="preserve"> &amp; </w:t>
      </w:r>
      <w:proofErr w:type="spellStart"/>
      <w:r>
        <w:t>Vaticani</w:t>
      </w:r>
      <w:proofErr w:type="spellEnd"/>
      <w:r>
        <w:t xml:space="preserve"> </w:t>
      </w:r>
      <w:proofErr w:type="spellStart"/>
      <w:r>
        <w:t>exemplaris</w:t>
      </w:r>
      <w:proofErr w:type="spellEnd"/>
      <w:r>
        <w:t xml:space="preserve"> </w:t>
      </w:r>
      <w:proofErr w:type="spellStart"/>
      <w:r w:rsidRPr="00C20EA0">
        <w:t>δι</w:t>
      </w:r>
      <w:proofErr w:type="spellEnd"/>
      <w:r w:rsidRPr="00C20EA0">
        <w:t xml:space="preserve">πλογραφιαις </w:t>
      </w:r>
      <w:r>
        <w:t xml:space="preserve">(ab </w:t>
      </w:r>
      <w:proofErr w:type="spellStart"/>
      <w:r>
        <w:t>eodem</w:t>
      </w:r>
      <w:proofErr w:type="spellEnd"/>
      <w:r>
        <w:t xml:space="preserve"> </w:t>
      </w:r>
      <w:proofErr w:type="spellStart"/>
      <w:r>
        <w:t>præstantissimo</w:t>
      </w:r>
      <w:proofErr w:type="spellEnd"/>
      <w:r>
        <w:t xml:space="preserve"> </w:t>
      </w:r>
      <w:proofErr w:type="spellStart"/>
      <w:r>
        <w:t>viro</w:t>
      </w:r>
      <w:proofErr w:type="spellEnd"/>
      <w:r>
        <w:t xml:space="preserve"> </w:t>
      </w:r>
      <w:proofErr w:type="spellStart"/>
      <w:r>
        <w:t>acceptis</w:t>
      </w:r>
      <w:proofErr w:type="spellEnd"/>
      <w:r>
        <w:t xml:space="preserve">) </w:t>
      </w:r>
      <w:proofErr w:type="spellStart"/>
      <w:r>
        <w:t>diligenter</w:t>
      </w:r>
      <w:proofErr w:type="spellEnd"/>
      <w:r>
        <w:t xml:space="preserve"> </w:t>
      </w:r>
      <w:proofErr w:type="spellStart"/>
      <w:r>
        <w:t>contulimus</w:t>
      </w:r>
      <w:proofErr w:type="spellEnd"/>
      <w:r>
        <w:t>.</w:t>
      </w:r>
      <w:r>
        <w:rPr>
          <w:rStyle w:val="FootnoteReference"/>
        </w:rPr>
        <w:footnoteReference w:id="23"/>
      </w:r>
      <w:r>
        <w:t xml:space="preserve"> </w:t>
      </w:r>
    </w:p>
    <w:p w14:paraId="082DA246" w14:textId="77777777" w:rsidR="00DD3154" w:rsidRDefault="00DD3154" w:rsidP="00D55A7C">
      <w:pPr>
        <w:spacing w:line="480" w:lineRule="auto"/>
        <w:ind w:left="720"/>
        <w:jc w:val="both"/>
      </w:pPr>
    </w:p>
    <w:p w14:paraId="59B6FB65" w14:textId="1719EDB2" w:rsidR="00DD3154" w:rsidRDefault="00DD3154" w:rsidP="00D55A7C">
      <w:pPr>
        <w:spacing w:line="480" w:lineRule="auto"/>
        <w:ind w:left="720"/>
        <w:jc w:val="both"/>
      </w:pPr>
      <w:r>
        <w:lastRenderedPageBreak/>
        <w:t xml:space="preserve">The fourth was appended to Ptolemy’s </w:t>
      </w:r>
      <w:r w:rsidRPr="0047324E">
        <w:rPr>
          <w:i/>
          <w:iCs/>
        </w:rPr>
        <w:t>Introduction to Astrology</w:t>
      </w:r>
      <w:r>
        <w:t xml:space="preserve">, Translated from Arabic by Abraham de Balmes: </w:t>
      </w:r>
      <w:r w:rsidR="0047324E">
        <w:t>this</w:t>
      </w:r>
      <w:r>
        <w:t xml:space="preserve"> is in fact none other than Geminus’s </w:t>
      </w:r>
      <w:r w:rsidRPr="00CF7749">
        <w:rPr>
          <w:i/>
          <w:iCs/>
        </w:rPr>
        <w:t>Introduction to the Phaenomena</w:t>
      </w:r>
      <w:r>
        <w:t xml:space="preserve">: the edition of which, copied from the manuscript which our Savile found at Vienna through Johannes Sambucus, we compared not only with the Arabic </w:t>
      </w:r>
      <w:r w:rsidRPr="00FF4B40">
        <w:rPr>
          <w:i/>
          <w:iCs/>
        </w:rPr>
        <w:t>Introduction</w:t>
      </w:r>
      <w:r>
        <w:t xml:space="preserve"> but also with another Greek manuscript and transcriptions of the Vatican copy.</w:t>
      </w:r>
      <w:r w:rsidRPr="00FF4B40">
        <w:rPr>
          <w:rStyle w:val="FootnoteReference"/>
        </w:rPr>
        <w:t xml:space="preserve"> </w:t>
      </w:r>
    </w:p>
    <w:p w14:paraId="19C198AD" w14:textId="77777777" w:rsidR="00826409" w:rsidRDefault="00826409" w:rsidP="00D55A7C">
      <w:pPr>
        <w:spacing w:line="480" w:lineRule="auto"/>
        <w:jc w:val="both"/>
      </w:pPr>
    </w:p>
    <w:p w14:paraId="48600CA2" w14:textId="4455759E" w:rsidR="0047324E" w:rsidRDefault="00826409" w:rsidP="00D55A7C">
      <w:pPr>
        <w:spacing w:line="480" w:lineRule="auto"/>
        <w:jc w:val="both"/>
      </w:pPr>
      <w:r>
        <w:t>Even after their deaths, the activities of the Savile group would continue to shape Geminus’s textual reception. When preparing his edition of Geminus (1630), the French Jesuit, Denys Petau (1583–1652) accessed readings which had been copied by Henry Savile from a manuscript version preserved at the Vatican Library.</w:t>
      </w:r>
      <w:r>
        <w:rPr>
          <w:rStyle w:val="FootnoteReference"/>
        </w:rPr>
        <w:footnoteReference w:id="24"/>
      </w:r>
      <w:r>
        <w:t xml:space="preserve"> He was able to do so through the help of Henry Briggs (1561–1630), </w:t>
      </w:r>
      <w:proofErr w:type="spellStart"/>
      <w:r>
        <w:t>Savilian</w:t>
      </w:r>
      <w:proofErr w:type="spellEnd"/>
      <w:r>
        <w:t xml:space="preserve"> professor of Astronomy, whose answer was mediated through the correspondence of Patrick Young </w:t>
      </w:r>
      <w:r w:rsidRPr="00413EBD">
        <w:t>(1584–1652)</w:t>
      </w:r>
      <w:r>
        <w:t>, Royal Librarian to James and Charles I, and Luc Holste (1596–1661), who would ultimately serve as keeper at the Vatican Library.</w:t>
      </w:r>
      <w:r>
        <w:rPr>
          <w:rStyle w:val="FootnoteReference"/>
        </w:rPr>
        <w:footnoteReference w:id="25"/>
      </w:r>
      <w:r>
        <w:t xml:space="preserve"> As Todd notes, ‘these confirmed readings in </w:t>
      </w:r>
      <w:proofErr w:type="spellStart"/>
      <w:r>
        <w:t>Petau’s</w:t>
      </w:r>
      <w:proofErr w:type="spellEnd"/>
      <w:r>
        <w:t xml:space="preserve"> Paris manuscript and established the basis for his edition and revised version of </w:t>
      </w:r>
      <w:proofErr w:type="spellStart"/>
      <w:r>
        <w:t>Hilderich’s</w:t>
      </w:r>
      <w:proofErr w:type="spellEnd"/>
      <w:r>
        <w:t xml:space="preserve"> translation’.</w:t>
      </w:r>
      <w:r>
        <w:rPr>
          <w:rStyle w:val="FootnoteReference"/>
        </w:rPr>
        <w:footnoteReference w:id="26"/>
      </w:r>
      <w:r w:rsidR="003161B9">
        <w:t xml:space="preserve"> </w:t>
      </w:r>
      <w:r w:rsidR="0047324E">
        <w:t xml:space="preserve">In the </w:t>
      </w:r>
      <w:r w:rsidR="0047324E">
        <w:lastRenderedPageBreak/>
        <w:t xml:space="preserve">dissemination of the Greek text on the Continent, then, the Savile group played a fundamental role. </w:t>
      </w:r>
    </w:p>
    <w:p w14:paraId="084AF258" w14:textId="327966B7" w:rsidR="00193B2F" w:rsidRDefault="00C2128A" w:rsidP="00D55A7C">
      <w:pPr>
        <w:spacing w:line="480" w:lineRule="auto"/>
        <w:ind w:firstLine="720"/>
        <w:jc w:val="both"/>
      </w:pPr>
      <w:r>
        <w:t xml:space="preserve">At Breslau, </w:t>
      </w:r>
      <w:r w:rsidR="00116EA0">
        <w:t xml:space="preserve">Thomas </w:t>
      </w:r>
      <w:r>
        <w:t>Savile visited the Hungarian scholar Andr</w:t>
      </w:r>
      <w:r w:rsidR="004F07A1">
        <w:t>eas</w:t>
      </w:r>
      <w:r>
        <w:t xml:space="preserve"> Dudith</w:t>
      </w:r>
      <w:r w:rsidR="002C53E8">
        <w:t xml:space="preserve">, with whom his elder brother, Henry, had stayed for 6 months </w:t>
      </w:r>
      <w:r w:rsidR="00BF32D5">
        <w:t xml:space="preserve">in </w:t>
      </w:r>
      <w:r w:rsidR="002C53E8">
        <w:t xml:space="preserve">1581. </w:t>
      </w:r>
      <w:r>
        <w:t xml:space="preserve">It was here that </w:t>
      </w:r>
      <w:r w:rsidR="002C53E8">
        <w:t>he</w:t>
      </w:r>
      <w:r>
        <w:t xml:space="preserve"> completed his </w:t>
      </w:r>
      <w:r w:rsidR="00AF086F">
        <w:t xml:space="preserve">initial </w:t>
      </w:r>
      <w:r w:rsidR="00BF32D5">
        <w:t>translation</w:t>
      </w:r>
      <w:r>
        <w:t xml:space="preserve"> of Geminus in November 1588. </w:t>
      </w:r>
      <w:r w:rsidR="00D561C4">
        <w:t xml:space="preserve">Savile </w:t>
      </w:r>
      <w:r>
        <w:t xml:space="preserve">also </w:t>
      </w:r>
      <w:r w:rsidR="009E3EAD">
        <w:t xml:space="preserve">assisted </w:t>
      </w:r>
      <w:proofErr w:type="spellStart"/>
      <w:r w:rsidR="009E3EAD">
        <w:t>Dudith</w:t>
      </w:r>
      <w:proofErr w:type="spellEnd"/>
      <w:r w:rsidR="009E3EAD">
        <w:t xml:space="preserve"> </w:t>
      </w:r>
      <w:r w:rsidR="00F37901">
        <w:t xml:space="preserve">to prepare </w:t>
      </w:r>
      <w:r w:rsidR="009E3EAD">
        <w:t>material for an edition of</w:t>
      </w:r>
      <w:r w:rsidR="00F37901">
        <w:t xml:space="preserve"> Apollonius Dyscolus’s </w:t>
      </w:r>
      <w:r w:rsidR="009E3EAD" w:rsidRPr="009E3EAD">
        <w:rPr>
          <w:i/>
          <w:iCs/>
        </w:rPr>
        <w:t xml:space="preserve">De </w:t>
      </w:r>
      <w:proofErr w:type="spellStart"/>
      <w:r w:rsidR="009E3EAD" w:rsidRPr="009E3EAD">
        <w:rPr>
          <w:i/>
          <w:iCs/>
        </w:rPr>
        <w:t>Constructione</w:t>
      </w:r>
      <w:proofErr w:type="spellEnd"/>
      <w:r w:rsidR="009E3EAD" w:rsidRPr="009E3EAD">
        <w:rPr>
          <w:i/>
          <w:iCs/>
        </w:rPr>
        <w:t xml:space="preserve"> Verborum</w:t>
      </w:r>
      <w:r w:rsidR="009E3EAD">
        <w:t xml:space="preserve">, </w:t>
      </w:r>
      <w:r w:rsidR="00EC6AA2">
        <w:t xml:space="preserve">a </w:t>
      </w:r>
      <w:r w:rsidR="009E3EAD">
        <w:t>systematic study of Greek grammar</w:t>
      </w:r>
      <w:r w:rsidR="00F37901">
        <w:t xml:space="preserve"> </w:t>
      </w:r>
      <w:r w:rsidR="00933A5A">
        <w:t xml:space="preserve">completed in </w:t>
      </w:r>
      <w:r w:rsidR="00EC6AA2">
        <w:t>the 2</w:t>
      </w:r>
      <w:r w:rsidR="00EC6AA2" w:rsidRPr="00EC6AA2">
        <w:rPr>
          <w:vertAlign w:val="superscript"/>
        </w:rPr>
        <w:t>nd</w:t>
      </w:r>
      <w:r w:rsidR="00EC6AA2">
        <w:t xml:space="preserve"> c. CE. </w:t>
      </w:r>
      <w:r w:rsidR="00193B2F">
        <w:t xml:space="preserve">As Friedrich </w:t>
      </w:r>
      <w:proofErr w:type="spellStart"/>
      <w:r w:rsidR="00193B2F">
        <w:t>Syllburg</w:t>
      </w:r>
      <w:proofErr w:type="spellEnd"/>
      <w:r w:rsidR="00193B2F">
        <w:t xml:space="preserve"> explains in the preface to </w:t>
      </w:r>
      <w:r w:rsidR="00BF32D5">
        <w:t>the edition of</w:t>
      </w:r>
      <w:r w:rsidR="00193B2F">
        <w:t xml:space="preserve"> </w:t>
      </w:r>
      <w:proofErr w:type="gramStart"/>
      <w:r w:rsidR="00193B2F">
        <w:t xml:space="preserve">1590, </w:t>
      </w:r>
      <w:r w:rsidR="00F37901">
        <w:t xml:space="preserve"> however</w:t>
      </w:r>
      <w:proofErr w:type="gramEnd"/>
      <w:r w:rsidR="00F37901">
        <w:t xml:space="preserve">, </w:t>
      </w:r>
      <w:r w:rsidR="00BF32D5">
        <w:t xml:space="preserve">its publication </w:t>
      </w:r>
      <w:r w:rsidR="00F37901">
        <w:t xml:space="preserve">was </w:t>
      </w:r>
      <w:r w:rsidR="00193B2F">
        <w:t>delayed by two major factors: the death of Dudith, and the departure of Thomas Savile:</w:t>
      </w:r>
    </w:p>
    <w:p w14:paraId="7668ECA7" w14:textId="324BC173" w:rsidR="00193B2F" w:rsidRDefault="00193B2F" w:rsidP="00D55A7C">
      <w:pPr>
        <w:spacing w:line="480" w:lineRule="auto"/>
        <w:jc w:val="both"/>
      </w:pPr>
    </w:p>
    <w:p w14:paraId="1F491925" w14:textId="0A8A98A5" w:rsidR="00193B2F" w:rsidRDefault="00193B2F" w:rsidP="00D55A7C">
      <w:pPr>
        <w:spacing w:line="480" w:lineRule="auto"/>
        <w:ind w:left="720"/>
        <w:jc w:val="both"/>
      </w:pPr>
      <w:proofErr w:type="spellStart"/>
      <w:r>
        <w:t>Paucis</w:t>
      </w:r>
      <w:proofErr w:type="spellEnd"/>
      <w:r>
        <w:t xml:space="preserve"> </w:t>
      </w:r>
      <w:proofErr w:type="spellStart"/>
      <w:r>
        <w:t>mensib</w:t>
      </w:r>
      <w:r w:rsidRPr="00B91716">
        <w:rPr>
          <w:i/>
          <w:iCs/>
        </w:rPr>
        <w:t>us</w:t>
      </w:r>
      <w:proofErr w:type="spellEnd"/>
      <w:r>
        <w:t xml:space="preserve"> </w:t>
      </w:r>
      <w:r w:rsidR="00B91716">
        <w:t xml:space="preserve">post </w:t>
      </w:r>
      <w:proofErr w:type="spellStart"/>
      <w:r w:rsidR="00B91716">
        <w:t>accidit</w:t>
      </w:r>
      <w:proofErr w:type="spellEnd"/>
      <w:r w:rsidR="00B91716">
        <w:t xml:space="preserve"> </w:t>
      </w:r>
      <w:proofErr w:type="spellStart"/>
      <w:r w:rsidR="00B91716">
        <w:t>ut</w:t>
      </w:r>
      <w:proofErr w:type="spellEnd"/>
      <w:r w:rsidR="00B91716">
        <w:t xml:space="preserve"> magnus </w:t>
      </w:r>
      <w:proofErr w:type="spellStart"/>
      <w:r w:rsidR="00B91716">
        <w:t>ille</w:t>
      </w:r>
      <w:proofErr w:type="spellEnd"/>
      <w:r w:rsidR="00B91716">
        <w:t xml:space="preserve"> vir [Andreas Dudithius], </w:t>
      </w:r>
      <w:proofErr w:type="spellStart"/>
      <w:r w:rsidR="00B91716">
        <w:t>non sine</w:t>
      </w:r>
      <w:proofErr w:type="spellEnd"/>
      <w:r w:rsidR="00B91716">
        <w:t xml:space="preserve"> </w:t>
      </w:r>
      <w:proofErr w:type="spellStart"/>
      <w:r w:rsidR="00B91716">
        <w:t>insigni</w:t>
      </w:r>
      <w:proofErr w:type="spellEnd"/>
      <w:r w:rsidR="00B91716">
        <w:t xml:space="preserve"> rei </w:t>
      </w:r>
      <w:proofErr w:type="spellStart"/>
      <w:r w:rsidR="00B91716">
        <w:t>litter</w:t>
      </w:r>
      <w:r w:rsidR="004A0517">
        <w:t>ariæ</w:t>
      </w:r>
      <w:proofErr w:type="spellEnd"/>
      <w:r w:rsidR="004A0517">
        <w:t xml:space="preserve"> </w:t>
      </w:r>
      <w:proofErr w:type="spellStart"/>
      <w:r w:rsidR="004A0517">
        <w:t>detrimento</w:t>
      </w:r>
      <w:proofErr w:type="spellEnd"/>
      <w:r w:rsidR="004A0517">
        <w:t xml:space="preserve">, ex hac </w:t>
      </w:r>
      <w:proofErr w:type="spellStart"/>
      <w:r w:rsidR="004A0517">
        <w:t>mortali</w:t>
      </w:r>
      <w:proofErr w:type="spellEnd"/>
      <w:r w:rsidR="004A0517">
        <w:t xml:space="preserve"> vita</w:t>
      </w:r>
      <w:r w:rsidR="00492AF7">
        <w:t xml:space="preserve"> </w:t>
      </w:r>
      <w:proofErr w:type="spellStart"/>
      <w:r w:rsidR="00492AF7">
        <w:t>euocaretur</w:t>
      </w:r>
      <w:proofErr w:type="spellEnd"/>
      <w:r w:rsidR="00492AF7">
        <w:t xml:space="preserve">. Ibi </w:t>
      </w:r>
      <w:proofErr w:type="spellStart"/>
      <w:r w:rsidR="00492AF7">
        <w:t>Apollonii</w:t>
      </w:r>
      <w:proofErr w:type="spellEnd"/>
      <w:r w:rsidR="00492AF7">
        <w:t xml:space="preserve"> </w:t>
      </w:r>
      <w:proofErr w:type="spellStart"/>
      <w:r w:rsidR="00492AF7">
        <w:t>progressus</w:t>
      </w:r>
      <w:proofErr w:type="spellEnd"/>
    </w:p>
    <w:p w14:paraId="272CB5CB" w14:textId="6C2A85A1" w:rsidR="0070162D" w:rsidRDefault="0070162D" w:rsidP="00D55A7C">
      <w:pPr>
        <w:spacing w:line="480" w:lineRule="auto"/>
        <w:ind w:left="720"/>
        <w:jc w:val="both"/>
      </w:pPr>
      <w:r>
        <w:t xml:space="preserve">Aliqua ex </w:t>
      </w:r>
      <w:proofErr w:type="spellStart"/>
      <w:r>
        <w:t>parte</w:t>
      </w:r>
      <w:proofErr w:type="spellEnd"/>
      <w:r>
        <w:t xml:space="preserve"> </w:t>
      </w:r>
      <w:proofErr w:type="spellStart"/>
      <w:r>
        <w:t>interrumpebatur</w:t>
      </w:r>
      <w:proofErr w:type="spellEnd"/>
      <w:r>
        <w:t xml:space="preserve">: </w:t>
      </w:r>
      <w:proofErr w:type="spellStart"/>
      <w:r>
        <w:t>præsertim</w:t>
      </w:r>
      <w:proofErr w:type="spellEnd"/>
      <w:r>
        <w:t xml:space="preserve"> cum </w:t>
      </w:r>
      <w:proofErr w:type="spellStart"/>
      <w:r>
        <w:t>præsentissmus</w:t>
      </w:r>
      <w:proofErr w:type="spellEnd"/>
      <w:r>
        <w:t xml:space="preserve"> </w:t>
      </w:r>
      <w:proofErr w:type="spellStart"/>
      <w:r w:rsidR="00DE544D">
        <w:t>iuuenis</w:t>
      </w:r>
      <w:proofErr w:type="spellEnd"/>
      <w:r w:rsidR="00DE544D">
        <w:t xml:space="preserve">, Thomas Savellus, qui </w:t>
      </w:r>
      <w:proofErr w:type="spellStart"/>
      <w:r w:rsidR="00DE544D">
        <w:t>editionem</w:t>
      </w:r>
      <w:proofErr w:type="spellEnd"/>
      <w:r w:rsidR="00DE544D">
        <w:t xml:space="preserve"> &amp; </w:t>
      </w:r>
      <w:proofErr w:type="spellStart"/>
      <w:r w:rsidR="00DE544D">
        <w:t>urgebat</w:t>
      </w:r>
      <w:proofErr w:type="spellEnd"/>
      <w:r w:rsidR="00DE544D">
        <w:t xml:space="preserve">, a vobis in </w:t>
      </w:r>
      <w:proofErr w:type="spellStart"/>
      <w:r w:rsidR="00DE544D">
        <w:t>Italiam</w:t>
      </w:r>
      <w:proofErr w:type="spellEnd"/>
      <w:r w:rsidR="00DE544D">
        <w:t xml:space="preserve"> </w:t>
      </w:r>
      <w:proofErr w:type="spellStart"/>
      <w:r w:rsidR="00DE544D">
        <w:t>abiisset</w:t>
      </w:r>
      <w:proofErr w:type="spellEnd"/>
      <w:r w:rsidR="00DE544D">
        <w:t>.</w:t>
      </w:r>
      <w:r w:rsidR="00DE544D">
        <w:rPr>
          <w:rStyle w:val="FootnoteReference"/>
        </w:rPr>
        <w:footnoteReference w:id="27"/>
      </w:r>
    </w:p>
    <w:p w14:paraId="3655755D" w14:textId="07843EA4" w:rsidR="00BF32D5" w:rsidRDefault="00BF32D5" w:rsidP="00D55A7C">
      <w:pPr>
        <w:spacing w:line="480" w:lineRule="auto"/>
        <w:ind w:left="720"/>
        <w:jc w:val="both"/>
      </w:pPr>
    </w:p>
    <w:p w14:paraId="7763C27C" w14:textId="44C5BE70" w:rsidR="00BF32D5" w:rsidRDefault="00BF32D5" w:rsidP="00D55A7C">
      <w:pPr>
        <w:spacing w:line="480" w:lineRule="auto"/>
        <w:ind w:left="720"/>
        <w:jc w:val="both"/>
      </w:pPr>
      <w:r>
        <w:t xml:space="preserve">A few months later it happened that that </w:t>
      </w:r>
      <w:r w:rsidR="00BF23CF">
        <w:t>great man [Andr</w:t>
      </w:r>
      <w:r w:rsidR="004F07A1">
        <w:t>eas</w:t>
      </w:r>
      <w:r w:rsidR="00BF23CF">
        <w:t xml:space="preserve"> Dudith] was called away from this mortal life, not without remarkable loss to the world of letters. The progress of Apollonius was then interrupted to some extent, especially when </w:t>
      </w:r>
      <w:r w:rsidR="00790C36">
        <w:t xml:space="preserve">that most efficient of young men, Thomas Savile, who was urging the edition on, left you to go away to Italy. </w:t>
      </w:r>
    </w:p>
    <w:p w14:paraId="0CA5A6DB" w14:textId="35E9C9D8" w:rsidR="00BF32D5" w:rsidRDefault="00BF32D5" w:rsidP="00D55A7C">
      <w:pPr>
        <w:spacing w:line="480" w:lineRule="auto"/>
        <w:jc w:val="both"/>
      </w:pPr>
    </w:p>
    <w:p w14:paraId="6F70D620" w14:textId="77777777" w:rsidR="00116EA0" w:rsidRDefault="005B474E" w:rsidP="00D55A7C">
      <w:pPr>
        <w:spacing w:line="480" w:lineRule="auto"/>
        <w:jc w:val="both"/>
      </w:pPr>
      <w:r>
        <w:lastRenderedPageBreak/>
        <w:t xml:space="preserve">Savile </w:t>
      </w:r>
      <w:r w:rsidR="002C53E8">
        <w:t xml:space="preserve">was </w:t>
      </w:r>
      <w:r>
        <w:t xml:space="preserve">with </w:t>
      </w:r>
      <w:proofErr w:type="spellStart"/>
      <w:r>
        <w:t>Dudith</w:t>
      </w:r>
      <w:proofErr w:type="spellEnd"/>
      <w:r>
        <w:t xml:space="preserve"> when he died, and the shock of </w:t>
      </w:r>
      <w:r w:rsidR="00A77E9C">
        <w:t xml:space="preserve">his </w:t>
      </w:r>
      <w:r>
        <w:t xml:space="preserve">friend’s death appears to have halted his engagement with the edition. As he remarks of their shared pursuits in a letter to Johannes Praetorius of </w:t>
      </w:r>
      <w:r w:rsidR="00234B2C">
        <w:t xml:space="preserve">March 1589, </w:t>
      </w:r>
      <w:r w:rsidR="003C3350">
        <w:t xml:space="preserve">‘all those things </w:t>
      </w:r>
      <w:r w:rsidR="00972879">
        <w:t>which I shared with that most blessed of men, I used to enjoy as my leisure, but now I hold in contempt’</w:t>
      </w:r>
      <w:r w:rsidR="00A77E9C">
        <w:t xml:space="preserve"> (‘ego </w:t>
      </w:r>
      <w:proofErr w:type="spellStart"/>
      <w:r w:rsidR="00A77E9C">
        <w:t>enim</w:t>
      </w:r>
      <w:proofErr w:type="spellEnd"/>
      <w:r w:rsidR="00A77E9C">
        <w:t xml:space="preserve"> </w:t>
      </w:r>
      <w:proofErr w:type="spellStart"/>
      <w:r w:rsidR="00A77E9C">
        <w:t>illa</w:t>
      </w:r>
      <w:proofErr w:type="spellEnd"/>
      <w:r w:rsidR="00A77E9C">
        <w:t xml:space="preserve"> omnia, </w:t>
      </w:r>
      <w:proofErr w:type="spellStart"/>
      <w:r w:rsidR="00A77E9C">
        <w:t>quibus</w:t>
      </w:r>
      <w:proofErr w:type="spellEnd"/>
      <w:r w:rsidR="00A77E9C">
        <w:t xml:space="preserve"> cum </w:t>
      </w:r>
      <w:proofErr w:type="spellStart"/>
      <w:r w:rsidR="00A77E9C">
        <w:t>beatissimo</w:t>
      </w:r>
      <w:proofErr w:type="spellEnd"/>
      <w:r w:rsidR="00A77E9C">
        <w:t xml:space="preserve"> </w:t>
      </w:r>
      <w:proofErr w:type="spellStart"/>
      <w:r w:rsidR="00A77E9C">
        <w:t>illo</w:t>
      </w:r>
      <w:proofErr w:type="spellEnd"/>
      <w:r w:rsidR="00A77E9C">
        <w:t xml:space="preserve"> […] </w:t>
      </w:r>
      <w:proofErr w:type="spellStart"/>
      <w:r w:rsidR="00A77E9C">
        <w:t>otium</w:t>
      </w:r>
      <w:proofErr w:type="spellEnd"/>
      <w:r w:rsidR="00A77E9C">
        <w:t xml:space="preserve"> </w:t>
      </w:r>
      <w:proofErr w:type="spellStart"/>
      <w:r w:rsidR="00A77E9C">
        <w:t>meum</w:t>
      </w:r>
      <w:proofErr w:type="spellEnd"/>
      <w:r w:rsidR="00A77E9C">
        <w:t xml:space="preserve"> </w:t>
      </w:r>
      <w:proofErr w:type="spellStart"/>
      <w:r w:rsidR="00A77E9C">
        <w:t>oblectabam</w:t>
      </w:r>
      <w:proofErr w:type="spellEnd"/>
      <w:r w:rsidR="00A77E9C">
        <w:t xml:space="preserve">, </w:t>
      </w:r>
      <w:proofErr w:type="spellStart"/>
      <w:r w:rsidR="00A77E9C">
        <w:t>iam</w:t>
      </w:r>
      <w:proofErr w:type="spellEnd"/>
      <w:r w:rsidR="00A77E9C">
        <w:t xml:space="preserve"> in </w:t>
      </w:r>
      <w:proofErr w:type="spellStart"/>
      <w:r w:rsidR="00A77E9C">
        <w:t>odio</w:t>
      </w:r>
      <w:proofErr w:type="spellEnd"/>
      <w:r w:rsidR="00A77E9C">
        <w:t xml:space="preserve"> </w:t>
      </w:r>
      <w:proofErr w:type="spellStart"/>
      <w:r w:rsidR="00A77E9C">
        <w:t>habeo</w:t>
      </w:r>
      <w:proofErr w:type="spellEnd"/>
      <w:r w:rsidR="00A77E9C">
        <w:t>’)</w:t>
      </w:r>
      <w:r w:rsidR="00972879">
        <w:t>.</w:t>
      </w:r>
      <w:r w:rsidR="00972879">
        <w:rPr>
          <w:rStyle w:val="FootnoteReference"/>
        </w:rPr>
        <w:footnoteReference w:id="28"/>
      </w:r>
      <w:r w:rsidR="00377E68">
        <w:t xml:space="preserve"> </w:t>
      </w:r>
      <w:r w:rsidR="00F014D2">
        <w:t xml:space="preserve">Instead, Thomas </w:t>
      </w:r>
      <w:r w:rsidR="00C2128A">
        <w:t>continued his travels. At Vienna, he met the Royal Librarian, Hugo Blotius (1533–1608)</w:t>
      </w:r>
      <w:r w:rsidR="00411EC1">
        <w:t xml:space="preserve">, Thomas’s letters to whom are now preserved at the </w:t>
      </w:r>
      <w:proofErr w:type="spellStart"/>
      <w:r w:rsidR="00411EC1">
        <w:t>Österreichische</w:t>
      </w:r>
      <w:proofErr w:type="spellEnd"/>
      <w:r w:rsidR="00411EC1">
        <w:t xml:space="preserve"> </w:t>
      </w:r>
      <w:proofErr w:type="spellStart"/>
      <w:r w:rsidR="00411EC1">
        <w:t>Nationalbibliothek</w:t>
      </w:r>
      <w:proofErr w:type="spellEnd"/>
      <w:r w:rsidR="00411EC1">
        <w:t>, Vienna.</w:t>
      </w:r>
      <w:r w:rsidR="00411EC1">
        <w:rPr>
          <w:rStyle w:val="FootnoteReference"/>
        </w:rPr>
        <w:footnoteReference w:id="29"/>
      </w:r>
      <w:r w:rsidR="00411EC1">
        <w:t xml:space="preserve"> </w:t>
      </w:r>
      <w:r w:rsidR="00F37901">
        <w:t xml:space="preserve"> </w:t>
      </w:r>
      <w:r w:rsidR="00DE2C45">
        <w:t>From Vienna</w:t>
      </w:r>
      <w:r w:rsidR="00F37901">
        <w:t>, Thomas</w:t>
      </w:r>
      <w:r w:rsidR="00DE2C45">
        <w:t xml:space="preserve"> travelled to Padua</w:t>
      </w:r>
      <w:r w:rsidR="00D16547">
        <w:t xml:space="preserve"> in 1589</w:t>
      </w:r>
      <w:r w:rsidR="00DE2C45">
        <w:t xml:space="preserve">, where, </w:t>
      </w:r>
      <w:r w:rsidR="00116EA0">
        <w:t xml:space="preserve">once again </w:t>
      </w:r>
      <w:r w:rsidR="00DE2C45">
        <w:t>following in his brother’s footsteps, he studied at the vast private library of Gian Vincenzo Pinelli.</w:t>
      </w:r>
      <w:r w:rsidR="00D57E4F">
        <w:rPr>
          <w:rStyle w:val="FootnoteReference"/>
        </w:rPr>
        <w:footnoteReference w:id="30"/>
      </w:r>
      <w:r w:rsidR="00DE2C45">
        <w:t xml:space="preserve"> </w:t>
      </w:r>
    </w:p>
    <w:p w14:paraId="68F246B6" w14:textId="366AA2EC" w:rsidR="00D16547" w:rsidRDefault="00DE2C45" w:rsidP="00D55A7C">
      <w:pPr>
        <w:spacing w:line="480" w:lineRule="auto"/>
        <w:ind w:firstLine="720"/>
        <w:jc w:val="both"/>
      </w:pPr>
      <w:r>
        <w:t xml:space="preserve">As Angelo Nuovo </w:t>
      </w:r>
      <w:r w:rsidR="00116EA0">
        <w:t>suggests</w:t>
      </w:r>
      <w:r>
        <w:t>, Pinelli’s library was perhaps ‘the most important library in sixteenth-century Italy’: ‘For the sheer number of volumes acquired, his passion for collecting and his fidelity to the goal of constructing a great tool for research, very few collectors in Italy can be compared to Pinelli’.</w:t>
      </w:r>
      <w:r>
        <w:rPr>
          <w:rStyle w:val="FootnoteReference"/>
        </w:rPr>
        <w:footnoteReference w:id="31"/>
      </w:r>
      <w:r>
        <w:t xml:space="preserve"> </w:t>
      </w:r>
      <w:r w:rsidR="00D16547" w:rsidRPr="00ED7595">
        <w:t>Crucially, Pinelli was not only an avid collector but also a generous host, welcoming scholars, students, and painters into his home, from English</w:t>
      </w:r>
      <w:r w:rsidR="00D16547">
        <w:t xml:space="preserve"> scholars </w:t>
      </w:r>
      <w:r w:rsidR="00D16547" w:rsidRPr="00ED7595">
        <w:t xml:space="preserve">abroad to Galileo Galilei </w:t>
      </w:r>
      <w:r w:rsidR="00D16547" w:rsidRPr="00ED7595">
        <w:rPr>
          <w:bCs/>
        </w:rPr>
        <w:t xml:space="preserve">(1564–1642). </w:t>
      </w:r>
      <w:r w:rsidR="00D16547" w:rsidRPr="00ED7595">
        <w:t>In a letter to Pinelli, Paolo Manuzio (1512–1574), son of the celebrated printer, Aldo Manuzio (</w:t>
      </w:r>
      <w:r w:rsidR="00D16547" w:rsidRPr="00ED7595">
        <w:rPr>
          <w:i/>
        </w:rPr>
        <w:t>c</w:t>
      </w:r>
      <w:r w:rsidR="00D16547" w:rsidRPr="00ED7595">
        <w:t>.1452–1515), spoke enthusiastically of this scholarly environment:</w:t>
      </w:r>
    </w:p>
    <w:p w14:paraId="33F91B2A" w14:textId="7693F584" w:rsidR="00865DE3" w:rsidRDefault="00865DE3" w:rsidP="00D55A7C">
      <w:pPr>
        <w:spacing w:line="480" w:lineRule="auto"/>
        <w:ind w:firstLine="720"/>
        <w:jc w:val="both"/>
      </w:pPr>
    </w:p>
    <w:p w14:paraId="253ED24C" w14:textId="4E6B2305" w:rsidR="00865DE3" w:rsidRDefault="00865DE3" w:rsidP="00865DE3">
      <w:pPr>
        <w:spacing w:line="480" w:lineRule="auto"/>
        <w:ind w:left="720"/>
        <w:jc w:val="both"/>
      </w:pPr>
      <w:r w:rsidRPr="00865DE3">
        <w:t xml:space="preserve">O </w:t>
      </w:r>
      <w:proofErr w:type="spellStart"/>
      <w:r w:rsidRPr="00865DE3">
        <w:t>che</w:t>
      </w:r>
      <w:proofErr w:type="spellEnd"/>
      <w:r w:rsidRPr="00865DE3">
        <w:t xml:space="preserve"> </w:t>
      </w:r>
      <w:proofErr w:type="spellStart"/>
      <w:r w:rsidRPr="00865DE3">
        <w:t>perfetta</w:t>
      </w:r>
      <w:proofErr w:type="spellEnd"/>
      <w:r w:rsidRPr="00865DE3">
        <w:t xml:space="preserve"> </w:t>
      </w:r>
      <w:proofErr w:type="spellStart"/>
      <w:r w:rsidRPr="00865DE3">
        <w:t>compagnia</w:t>
      </w:r>
      <w:proofErr w:type="spellEnd"/>
      <w:r w:rsidRPr="00865DE3">
        <w:t xml:space="preserve">! </w:t>
      </w:r>
      <w:proofErr w:type="spellStart"/>
      <w:r w:rsidRPr="00865DE3">
        <w:t>questa</w:t>
      </w:r>
      <w:proofErr w:type="spellEnd"/>
      <w:r w:rsidRPr="00865DE3">
        <w:t xml:space="preserve"> </w:t>
      </w:r>
      <w:proofErr w:type="spellStart"/>
      <w:r w:rsidRPr="00865DE3">
        <w:t>sì</w:t>
      </w:r>
      <w:proofErr w:type="spellEnd"/>
      <w:r w:rsidRPr="00865DE3">
        <w:t xml:space="preserve"> </w:t>
      </w:r>
      <w:proofErr w:type="spellStart"/>
      <w:r w:rsidRPr="00865DE3">
        <w:t>che</w:t>
      </w:r>
      <w:proofErr w:type="spellEnd"/>
      <w:r w:rsidRPr="00865DE3">
        <w:t xml:space="preserve"> </w:t>
      </w:r>
      <w:proofErr w:type="spellStart"/>
      <w:r w:rsidRPr="00865DE3">
        <w:t>merita</w:t>
      </w:r>
      <w:proofErr w:type="spellEnd"/>
      <w:r w:rsidRPr="00865DE3">
        <w:t xml:space="preserve"> </w:t>
      </w:r>
      <w:proofErr w:type="spellStart"/>
      <w:r w:rsidRPr="00865DE3">
        <w:t>nome</w:t>
      </w:r>
      <w:proofErr w:type="spellEnd"/>
      <w:r w:rsidRPr="00865DE3">
        <w:t xml:space="preserve"> di Academia, </w:t>
      </w:r>
      <w:proofErr w:type="spellStart"/>
      <w:r w:rsidRPr="00865DE3">
        <w:t>dou’è</w:t>
      </w:r>
      <w:proofErr w:type="spellEnd"/>
      <w:r w:rsidRPr="00865DE3">
        <w:t xml:space="preserve"> </w:t>
      </w:r>
      <w:proofErr w:type="spellStart"/>
      <w:r w:rsidRPr="00865DE3">
        <w:t>tanta</w:t>
      </w:r>
      <w:proofErr w:type="spellEnd"/>
      <w:r w:rsidRPr="00865DE3">
        <w:t xml:space="preserve"> </w:t>
      </w:r>
      <w:proofErr w:type="spellStart"/>
      <w:r w:rsidRPr="00865DE3">
        <w:t>dottrina</w:t>
      </w:r>
      <w:proofErr w:type="spellEnd"/>
      <w:r w:rsidRPr="00865DE3">
        <w:t xml:space="preserve">, </w:t>
      </w:r>
      <w:proofErr w:type="spellStart"/>
      <w:r w:rsidRPr="00865DE3">
        <w:t>tanta</w:t>
      </w:r>
      <w:proofErr w:type="spellEnd"/>
      <w:r w:rsidRPr="00865DE3">
        <w:t xml:space="preserve"> </w:t>
      </w:r>
      <w:proofErr w:type="spellStart"/>
      <w:r w:rsidRPr="00865DE3">
        <w:t>bontà</w:t>
      </w:r>
      <w:proofErr w:type="spellEnd"/>
      <w:r w:rsidRPr="00865DE3">
        <w:t xml:space="preserve">, tanto amore. V. S. </w:t>
      </w:r>
      <w:proofErr w:type="spellStart"/>
      <w:r w:rsidRPr="00865DE3">
        <w:t>può</w:t>
      </w:r>
      <w:proofErr w:type="spellEnd"/>
      <w:r w:rsidRPr="00865DE3">
        <w:t xml:space="preserve"> ben dire: </w:t>
      </w:r>
      <w:r>
        <w:t>‘</w:t>
      </w:r>
      <w:r w:rsidRPr="00865DE3">
        <w:t xml:space="preserve">Regum </w:t>
      </w:r>
      <w:proofErr w:type="spellStart"/>
      <w:r w:rsidRPr="00865DE3">
        <w:t>fortunas</w:t>
      </w:r>
      <w:proofErr w:type="spellEnd"/>
      <w:r w:rsidRPr="00865DE3">
        <w:t xml:space="preserve"> </w:t>
      </w:r>
      <w:proofErr w:type="spellStart"/>
      <w:r w:rsidRPr="00865DE3">
        <w:t>fortunis</w:t>
      </w:r>
      <w:proofErr w:type="spellEnd"/>
      <w:r w:rsidRPr="00865DE3">
        <w:t xml:space="preserve"> </w:t>
      </w:r>
      <w:proofErr w:type="spellStart"/>
      <w:r w:rsidRPr="00865DE3">
        <w:t>anteeo</w:t>
      </w:r>
      <w:proofErr w:type="spellEnd"/>
      <w:r w:rsidRPr="00865DE3">
        <w:t xml:space="preserve"> </w:t>
      </w:r>
      <w:proofErr w:type="spellStart"/>
      <w:r w:rsidRPr="00865DE3">
        <w:t>meis</w:t>
      </w:r>
      <w:proofErr w:type="spellEnd"/>
      <w:r>
        <w:t>’</w:t>
      </w:r>
      <w:r w:rsidRPr="00865DE3">
        <w:t xml:space="preserve">, </w:t>
      </w:r>
      <w:proofErr w:type="spellStart"/>
      <w:r w:rsidRPr="00865DE3">
        <w:t>conversando</w:t>
      </w:r>
      <w:proofErr w:type="spellEnd"/>
      <w:r w:rsidRPr="00865DE3">
        <w:t xml:space="preserve"> a tutte </w:t>
      </w:r>
      <w:proofErr w:type="spellStart"/>
      <w:r w:rsidRPr="00865DE3">
        <w:t>l’hore</w:t>
      </w:r>
      <w:proofErr w:type="spellEnd"/>
      <w:r w:rsidRPr="00865DE3">
        <w:t xml:space="preserve"> con </w:t>
      </w:r>
      <w:proofErr w:type="spellStart"/>
      <w:r w:rsidRPr="00865DE3">
        <w:t>que</w:t>
      </w:r>
      <w:proofErr w:type="spellEnd"/>
      <w:r w:rsidRPr="00865DE3">
        <w:t xml:space="preserve">’ </w:t>
      </w:r>
      <w:proofErr w:type="spellStart"/>
      <w:r w:rsidRPr="00865DE3">
        <w:t>spiriti</w:t>
      </w:r>
      <w:proofErr w:type="spellEnd"/>
      <w:r w:rsidRPr="00865DE3">
        <w:t xml:space="preserve"> </w:t>
      </w:r>
      <w:proofErr w:type="spellStart"/>
      <w:r w:rsidRPr="00865DE3">
        <w:t>divini</w:t>
      </w:r>
      <w:proofErr w:type="spellEnd"/>
      <w:r w:rsidRPr="00865DE3">
        <w:t>.</w:t>
      </w:r>
    </w:p>
    <w:p w14:paraId="318F991F" w14:textId="77777777" w:rsidR="00D16547" w:rsidRDefault="00D16547" w:rsidP="00D55A7C">
      <w:pPr>
        <w:spacing w:line="480" w:lineRule="auto"/>
        <w:jc w:val="both"/>
      </w:pPr>
    </w:p>
    <w:p w14:paraId="6CF20E67" w14:textId="464DCC18" w:rsidR="00D16547" w:rsidRDefault="00865DE3" w:rsidP="00D55A7C">
      <w:pPr>
        <w:spacing w:line="480" w:lineRule="auto"/>
        <w:ind w:left="720"/>
        <w:jc w:val="both"/>
      </w:pPr>
      <w:r>
        <w:t>(O</w:t>
      </w:r>
      <w:r w:rsidR="00D16547" w:rsidRPr="00ED7595">
        <w:t xml:space="preserve"> what perfect company! That which </w:t>
      </w:r>
      <w:r w:rsidR="00D16547">
        <w:t xml:space="preserve">indeed </w:t>
      </w:r>
      <w:r w:rsidR="00D16547" w:rsidRPr="00ED7595">
        <w:t xml:space="preserve">deserves the name of </w:t>
      </w:r>
      <w:r>
        <w:t>‘</w:t>
      </w:r>
      <w:r w:rsidR="00D16547" w:rsidRPr="00ED7595">
        <w:t>Academy</w:t>
      </w:r>
      <w:r>
        <w:t>’</w:t>
      </w:r>
      <w:r w:rsidR="00D16547" w:rsidRPr="00ED7595">
        <w:t xml:space="preserve">, where there is such learning, such goodness, such love. Well may your Lordship </w:t>
      </w:r>
      <w:proofErr w:type="gramStart"/>
      <w:r w:rsidR="00D16547" w:rsidRPr="00ED7595">
        <w:t>say</w:t>
      </w:r>
      <w:proofErr w:type="gramEnd"/>
      <w:r w:rsidR="00D16547" w:rsidRPr="00ED7595">
        <w:t xml:space="preserve"> </w:t>
      </w:r>
      <w:r>
        <w:t>‘</w:t>
      </w:r>
      <w:r w:rsidR="00D16547" w:rsidRPr="00ED7595">
        <w:t>I surpass the fortunes of kings with my own</w:t>
      </w:r>
      <w:r>
        <w:t>’</w:t>
      </w:r>
      <w:r w:rsidR="00D16547" w:rsidRPr="00ED7595">
        <w:t>, conversing at every hour with these divine spirits.</w:t>
      </w:r>
      <w:r w:rsidR="00D16547" w:rsidRPr="00ED7595">
        <w:rPr>
          <w:vertAlign w:val="superscript"/>
        </w:rPr>
        <w:footnoteReference w:id="32"/>
      </w:r>
      <w:r w:rsidR="00D16547" w:rsidRPr="00ED7595">
        <w:t xml:space="preserve"> </w:t>
      </w:r>
    </w:p>
    <w:p w14:paraId="0E0BE612" w14:textId="56489A24" w:rsidR="00DE2C45" w:rsidRDefault="00DE2C45" w:rsidP="00D55A7C">
      <w:pPr>
        <w:spacing w:line="480" w:lineRule="auto"/>
        <w:jc w:val="both"/>
      </w:pPr>
    </w:p>
    <w:p w14:paraId="1F3D6FBF" w14:textId="77FB2EFE" w:rsidR="0039083B" w:rsidRDefault="00B54138" w:rsidP="00D55A7C">
      <w:pPr>
        <w:spacing w:line="480" w:lineRule="auto"/>
        <w:jc w:val="both"/>
      </w:pPr>
      <w:r>
        <w:t xml:space="preserve">It was </w:t>
      </w:r>
      <w:r w:rsidR="008D4CC0">
        <w:t>among</w:t>
      </w:r>
      <w:r>
        <w:t xml:space="preserve"> this scholarly milieu that Henry Savile, and later Thomas, </w:t>
      </w:r>
      <w:r w:rsidR="008D4CC0">
        <w:t xml:space="preserve">were able to consult and copy Pinelli’s mathematical and astronomical </w:t>
      </w:r>
      <w:proofErr w:type="gramStart"/>
      <w:r w:rsidR="008D4CC0">
        <w:t>manuscripts</w:t>
      </w:r>
      <w:r w:rsidR="00857C78">
        <w:t>, and</w:t>
      </w:r>
      <w:proofErr w:type="gramEnd"/>
      <w:r w:rsidR="00857C78">
        <w:t xml:space="preserve"> access their Italian host’s network of scribes and scholars. </w:t>
      </w:r>
      <w:r w:rsidR="0039083B">
        <w:t xml:space="preserve">As Mark </w:t>
      </w:r>
      <w:proofErr w:type="spellStart"/>
      <w:r w:rsidR="0039083B">
        <w:t>Sosower</w:t>
      </w:r>
      <w:proofErr w:type="spellEnd"/>
      <w:r w:rsidR="0039083B">
        <w:t xml:space="preserve"> </w:t>
      </w:r>
      <w:r w:rsidR="00857C78">
        <w:t>posits</w:t>
      </w:r>
      <w:r w:rsidR="0039083B">
        <w:t xml:space="preserve">, ‘Pinelli not only made available his manuscripts for their perusal and for duplication, but it is likely that he introduced the </w:t>
      </w:r>
      <w:proofErr w:type="spellStart"/>
      <w:r w:rsidR="0039083B">
        <w:t>Saviles</w:t>
      </w:r>
      <w:proofErr w:type="spellEnd"/>
      <w:r w:rsidR="0039083B">
        <w:t xml:space="preserve"> to Camillus </w:t>
      </w:r>
      <w:proofErr w:type="spellStart"/>
      <w:r w:rsidR="0039083B">
        <w:t>Venetus</w:t>
      </w:r>
      <w:proofErr w:type="spellEnd"/>
      <w:r w:rsidR="0039083B">
        <w:t xml:space="preserve">, </w:t>
      </w:r>
      <w:proofErr w:type="spellStart"/>
      <w:r w:rsidR="0039083B">
        <w:t>Sophianos</w:t>
      </w:r>
      <w:proofErr w:type="spellEnd"/>
      <w:r w:rsidR="0039083B">
        <w:t xml:space="preserve"> Melissenos and James Dalrymple, the scribes who produced most of the manuscripts that they acquired in Italy and brought back to England’.</w:t>
      </w:r>
      <w:r w:rsidR="0039083B">
        <w:rPr>
          <w:rStyle w:val="FootnoteReference"/>
        </w:rPr>
        <w:footnoteReference w:id="33"/>
      </w:r>
    </w:p>
    <w:p w14:paraId="7B343010" w14:textId="21D5C1B7" w:rsidR="00181390" w:rsidRDefault="00181390" w:rsidP="00D55A7C">
      <w:pPr>
        <w:spacing w:line="480" w:lineRule="auto"/>
        <w:ind w:firstLine="720"/>
        <w:jc w:val="both"/>
      </w:pPr>
      <w:r>
        <w:t xml:space="preserve">The Savile brothers in turn presented Pinelli with their own manuscripts, including, for example, the manuscript of Geminus </w:t>
      </w:r>
      <w:r w:rsidR="00116EA0">
        <w:t xml:space="preserve">originally </w:t>
      </w:r>
      <w:r>
        <w:t xml:space="preserve">copied at Vienna. This copy appears to have been the exemplar for two manuscript versions now preserved at the Biblioteca Ambrosiana. </w:t>
      </w:r>
      <w:proofErr w:type="spellStart"/>
      <w:proofErr w:type="gramStart"/>
      <w:r>
        <w:t>Ambrosianus</w:t>
      </w:r>
      <w:proofErr w:type="spellEnd"/>
      <w:r>
        <w:t xml:space="preserve"> Graecus C263 Inf.,</w:t>
      </w:r>
      <w:proofErr w:type="gramEnd"/>
      <w:r>
        <w:t xml:space="preserve"> signed ‘Jo. Vinc. Pinelli’, boasts multiple works of mathematics, from </w:t>
      </w:r>
      <w:r w:rsidRPr="003E4516">
        <w:t>Ahmed ibn Yusuf</w:t>
      </w:r>
      <w:r>
        <w:t xml:space="preserve">’s commentary on the </w:t>
      </w:r>
      <w:proofErr w:type="spellStart"/>
      <w:r w:rsidRPr="00661454">
        <w:rPr>
          <w:i/>
          <w:iCs/>
        </w:rPr>
        <w:t>Centoloquium</w:t>
      </w:r>
      <w:proofErr w:type="spellEnd"/>
      <w:r>
        <w:t xml:space="preserve"> (a collection of astronomical aphorisms once attributed to Ptolemy), to Symeon Seth’s treatise on the utility of </w:t>
      </w:r>
      <w:r>
        <w:lastRenderedPageBreak/>
        <w:t>celestial bodies.</w:t>
      </w:r>
      <w:r>
        <w:rPr>
          <w:rStyle w:val="FootnoteReference"/>
        </w:rPr>
        <w:footnoteReference w:id="34"/>
      </w:r>
      <w:r>
        <w:t xml:space="preserve"> It also includes the Greek text of the </w:t>
      </w:r>
      <w:r w:rsidRPr="0081077D">
        <w:rPr>
          <w:i/>
          <w:iCs/>
        </w:rPr>
        <w:t>Phaenomena</w:t>
      </w:r>
      <w:r>
        <w:t>.</w:t>
      </w:r>
      <w:r>
        <w:rPr>
          <w:rStyle w:val="FootnoteReference"/>
        </w:rPr>
        <w:footnoteReference w:id="35"/>
      </w:r>
      <w:r>
        <w:t xml:space="preserve"> So too the shorter manuscript </w:t>
      </w:r>
      <w:r w:rsidRPr="007B2A15">
        <w:t>I 90 inf.</w:t>
      </w:r>
      <w:r>
        <w:t xml:space="preserve">, copied by the prolific scribe </w:t>
      </w:r>
      <w:r w:rsidRPr="007B2A15">
        <w:t>Camillo Zanetti</w:t>
      </w:r>
      <w:r>
        <w:t xml:space="preserve">, opens with the Greek version of the </w:t>
      </w:r>
      <w:r w:rsidRPr="0081077D">
        <w:rPr>
          <w:i/>
          <w:iCs/>
        </w:rPr>
        <w:t>Phaenomena</w:t>
      </w:r>
      <w:r>
        <w:t xml:space="preserve">. </w:t>
      </w:r>
    </w:p>
    <w:p w14:paraId="22225EEF" w14:textId="4E0DB560" w:rsidR="00627639" w:rsidRDefault="00D16547" w:rsidP="00D55A7C">
      <w:pPr>
        <w:spacing w:line="480" w:lineRule="auto"/>
        <w:ind w:firstLine="720"/>
        <w:jc w:val="both"/>
      </w:pPr>
      <w:r>
        <w:t>Thomas</w:t>
      </w:r>
      <w:r w:rsidR="00F2554E">
        <w:t xml:space="preserve"> (or ‘Thomaso’ as he styled himself in Italy)</w:t>
      </w:r>
      <w:r>
        <w:t xml:space="preserve"> made enthusiastic use of Pinelli’s </w:t>
      </w:r>
      <w:proofErr w:type="gramStart"/>
      <w:r>
        <w:t xml:space="preserve">collection, </w:t>
      </w:r>
      <w:r w:rsidR="00601823">
        <w:t>and</w:t>
      </w:r>
      <w:proofErr w:type="gramEnd"/>
      <w:r w:rsidR="00601823">
        <w:t xml:space="preserve"> presented </w:t>
      </w:r>
      <w:r>
        <w:t xml:space="preserve">contributions of his very own to </w:t>
      </w:r>
      <w:r w:rsidR="00601823">
        <w:t xml:space="preserve">the </w:t>
      </w:r>
      <w:r>
        <w:t xml:space="preserve">library. </w:t>
      </w:r>
      <w:r w:rsidR="00F31C3D">
        <w:t xml:space="preserve">As he explains in an undated letter now preserved in </w:t>
      </w:r>
      <w:r w:rsidR="00614718">
        <w:t xml:space="preserve">Ambrosiana </w:t>
      </w:r>
      <w:r w:rsidR="008441BE">
        <w:t>MS D251</w:t>
      </w:r>
      <w:r w:rsidR="00614718">
        <w:t>,</w:t>
      </w:r>
      <w:r w:rsidR="004361D2">
        <w:t xml:space="preserve"> </w:t>
      </w:r>
      <w:r w:rsidR="00F2554E">
        <w:t>he</w:t>
      </w:r>
      <w:r w:rsidR="004361D2">
        <w:t xml:space="preserve"> prepared a small treatise on Strabo by way of thanks</w:t>
      </w:r>
      <w:r w:rsidR="006319D3">
        <w:t xml:space="preserve"> to Pinelli</w:t>
      </w:r>
      <w:r w:rsidR="004361D2">
        <w:t>:</w:t>
      </w:r>
      <w:r w:rsidR="00614718">
        <w:t xml:space="preserve"> ‘Rimando a </w:t>
      </w:r>
      <w:proofErr w:type="spellStart"/>
      <w:r w:rsidR="00614718">
        <w:t>V</w:t>
      </w:r>
      <w:r w:rsidR="00614718" w:rsidRPr="00614718">
        <w:rPr>
          <w:i/>
        </w:rPr>
        <w:t>ostra</w:t>
      </w:r>
      <w:proofErr w:type="spellEnd"/>
      <w:r w:rsidR="00614718" w:rsidRPr="00614718">
        <w:rPr>
          <w:i/>
        </w:rPr>
        <w:t xml:space="preserve"> </w:t>
      </w:r>
      <w:r w:rsidR="00614718">
        <w:t>S</w:t>
      </w:r>
      <w:r w:rsidR="00614718" w:rsidRPr="00614718">
        <w:rPr>
          <w:i/>
        </w:rPr>
        <w:t>ignoria</w:t>
      </w:r>
      <w:r w:rsidR="00614718">
        <w:t xml:space="preserve"> </w:t>
      </w:r>
      <w:proofErr w:type="spellStart"/>
      <w:r w:rsidR="00614718">
        <w:t>molto</w:t>
      </w:r>
      <w:proofErr w:type="spellEnd"/>
      <w:r w:rsidR="00614718">
        <w:t xml:space="preserve"> </w:t>
      </w:r>
      <w:proofErr w:type="spellStart"/>
      <w:r w:rsidR="00F6084F">
        <w:t>ill</w:t>
      </w:r>
      <w:r w:rsidR="00F6084F" w:rsidRPr="00F6084F">
        <w:rPr>
          <w:i/>
        </w:rPr>
        <w:t>ust</w:t>
      </w:r>
      <w:r w:rsidR="00F6084F">
        <w:t>re</w:t>
      </w:r>
      <w:proofErr w:type="spellEnd"/>
      <w:r w:rsidR="00F6084F">
        <w:t xml:space="preserve"> </w:t>
      </w:r>
      <w:r w:rsidR="009F6CBB">
        <w:t xml:space="preserve">il </w:t>
      </w:r>
      <w:proofErr w:type="spellStart"/>
      <w:r w:rsidR="009F6CBB">
        <w:t>Strabone</w:t>
      </w:r>
      <w:proofErr w:type="spellEnd"/>
      <w:r w:rsidR="009F6CBB">
        <w:t xml:space="preserve"> </w:t>
      </w:r>
      <w:proofErr w:type="spellStart"/>
      <w:r w:rsidR="004361D2">
        <w:t>insieme</w:t>
      </w:r>
      <w:proofErr w:type="spellEnd"/>
      <w:r w:rsidR="004361D2">
        <w:t xml:space="preserve"> </w:t>
      </w:r>
      <w:proofErr w:type="spellStart"/>
      <w:r w:rsidR="004361D2">
        <w:t>co’tre</w:t>
      </w:r>
      <w:proofErr w:type="spellEnd"/>
      <w:r w:rsidR="004361D2">
        <w:t xml:space="preserve"> </w:t>
      </w:r>
      <w:proofErr w:type="spellStart"/>
      <w:r w:rsidR="004361D2">
        <w:t>altri</w:t>
      </w:r>
      <w:proofErr w:type="spellEnd"/>
      <w:r w:rsidR="004361D2">
        <w:t xml:space="preserve"> libri, de’ </w:t>
      </w:r>
      <w:proofErr w:type="spellStart"/>
      <w:r w:rsidR="004361D2">
        <w:t>quali</w:t>
      </w:r>
      <w:proofErr w:type="spellEnd"/>
      <w:r w:rsidR="004361D2">
        <w:t xml:space="preserve"> tutti e quattro io le </w:t>
      </w:r>
      <w:proofErr w:type="spellStart"/>
      <w:r w:rsidR="004361D2">
        <w:t>rendo</w:t>
      </w:r>
      <w:proofErr w:type="spellEnd"/>
      <w:r w:rsidR="004361D2">
        <w:t xml:space="preserve"> </w:t>
      </w:r>
      <w:proofErr w:type="spellStart"/>
      <w:r w:rsidR="004361D2">
        <w:t>somme</w:t>
      </w:r>
      <w:proofErr w:type="spellEnd"/>
      <w:r w:rsidR="004361D2">
        <w:t xml:space="preserve"> </w:t>
      </w:r>
      <w:proofErr w:type="spellStart"/>
      <w:r w:rsidR="004361D2">
        <w:t>gratie</w:t>
      </w:r>
      <w:proofErr w:type="spellEnd"/>
      <w:r w:rsidR="004361D2">
        <w:t xml:space="preserve"> […] Le </w:t>
      </w:r>
      <w:proofErr w:type="spellStart"/>
      <w:r w:rsidR="004361D2">
        <w:t>mando</w:t>
      </w:r>
      <w:proofErr w:type="spellEnd"/>
      <w:r w:rsidR="004361D2">
        <w:t xml:space="preserve"> </w:t>
      </w:r>
      <w:proofErr w:type="spellStart"/>
      <w:r w:rsidR="004361D2">
        <w:t>ancora</w:t>
      </w:r>
      <w:proofErr w:type="spellEnd"/>
      <w:r w:rsidR="004361D2">
        <w:t xml:space="preserve"> </w:t>
      </w:r>
      <w:proofErr w:type="spellStart"/>
      <w:r w:rsidR="004361D2">
        <w:t>quel</w:t>
      </w:r>
      <w:proofErr w:type="spellEnd"/>
      <w:r w:rsidR="004361D2">
        <w:t xml:space="preserve"> poco </w:t>
      </w:r>
      <w:proofErr w:type="spellStart"/>
      <w:r w:rsidR="004361D2">
        <w:t>ch’io</w:t>
      </w:r>
      <w:proofErr w:type="spellEnd"/>
      <w:r w:rsidR="004361D2">
        <w:t xml:space="preserve"> </w:t>
      </w:r>
      <w:proofErr w:type="spellStart"/>
      <w:r w:rsidR="004361D2">
        <w:t>fatto</w:t>
      </w:r>
      <w:proofErr w:type="spellEnd"/>
      <w:r w:rsidR="004361D2">
        <w:t xml:space="preserve"> </w:t>
      </w:r>
      <w:proofErr w:type="spellStart"/>
      <w:r w:rsidR="004361D2">
        <w:t>intorno</w:t>
      </w:r>
      <w:proofErr w:type="spellEnd"/>
      <w:r w:rsidR="004361D2">
        <w:t xml:space="preserve"> a </w:t>
      </w:r>
      <w:proofErr w:type="spellStart"/>
      <w:r w:rsidR="004361D2">
        <w:t>i</w:t>
      </w:r>
      <w:proofErr w:type="spellEnd"/>
      <w:r w:rsidR="004361D2">
        <w:t xml:space="preserve"> </w:t>
      </w:r>
      <w:proofErr w:type="spellStart"/>
      <w:r w:rsidR="004361D2">
        <w:t>luoghi</w:t>
      </w:r>
      <w:proofErr w:type="spellEnd"/>
      <w:r w:rsidR="004361D2">
        <w:t xml:space="preserve"> </w:t>
      </w:r>
      <w:proofErr w:type="spellStart"/>
      <w:r w:rsidR="004361D2">
        <w:t>doue</w:t>
      </w:r>
      <w:proofErr w:type="spellEnd"/>
      <w:r w:rsidR="004361D2">
        <w:t xml:space="preserve"> </w:t>
      </w:r>
      <w:proofErr w:type="spellStart"/>
      <w:r w:rsidR="004361D2">
        <w:t>parla</w:t>
      </w:r>
      <w:proofErr w:type="spellEnd"/>
      <w:r w:rsidR="004361D2">
        <w:t xml:space="preserve"> </w:t>
      </w:r>
      <w:proofErr w:type="spellStart"/>
      <w:r w:rsidR="004361D2">
        <w:t>dell’Italia</w:t>
      </w:r>
      <w:proofErr w:type="spellEnd"/>
      <w:r w:rsidR="004361D2">
        <w:t>’</w:t>
      </w:r>
      <w:r w:rsidR="00206EED">
        <w:t xml:space="preserve"> (I am returning to your Lordship the Strabo together with the other books, for all four of which I give you the utmost thanks […] I am sending you also what little I have completed concerning those places where he speaks of Italy)</w:t>
      </w:r>
      <w:r w:rsidR="004361D2">
        <w:t>.</w:t>
      </w:r>
      <w:r w:rsidR="004361D2">
        <w:rPr>
          <w:rStyle w:val="FootnoteReference"/>
        </w:rPr>
        <w:footnoteReference w:id="36"/>
      </w:r>
      <w:r w:rsidR="006A6193">
        <w:t xml:space="preserve"> He also promises to deliver to Pinelli in person an unnamed manuscript work (‘il </w:t>
      </w:r>
      <w:proofErr w:type="spellStart"/>
      <w:r w:rsidR="006A6193">
        <w:t>libro</w:t>
      </w:r>
      <w:proofErr w:type="spellEnd"/>
      <w:r w:rsidR="006A6193">
        <w:t xml:space="preserve"> </w:t>
      </w:r>
      <w:proofErr w:type="spellStart"/>
      <w:r w:rsidR="006A6193">
        <w:t>scritto</w:t>
      </w:r>
      <w:proofErr w:type="spellEnd"/>
      <w:r w:rsidR="006A6193">
        <w:t xml:space="preserve"> a </w:t>
      </w:r>
      <w:proofErr w:type="spellStart"/>
      <w:r w:rsidR="006A6193">
        <w:t>penna</w:t>
      </w:r>
      <w:proofErr w:type="spellEnd"/>
      <w:r w:rsidR="006A6193">
        <w:t>’)</w:t>
      </w:r>
      <w:r w:rsidR="00292B34">
        <w:t>, perhaps a copy of a desirable manuscript or even another work of his own composition</w:t>
      </w:r>
      <w:r w:rsidR="00EE5745">
        <w:t>.</w:t>
      </w:r>
      <w:r w:rsidR="00EE5745">
        <w:rPr>
          <w:rStyle w:val="FootnoteReference"/>
        </w:rPr>
        <w:footnoteReference w:id="37"/>
      </w:r>
      <w:r w:rsidR="00FC12E4">
        <w:t xml:space="preserve"> </w:t>
      </w:r>
      <w:r w:rsidR="004361D2">
        <w:t>There follows</w:t>
      </w:r>
      <w:r w:rsidR="00EF0253">
        <w:t xml:space="preserve"> </w:t>
      </w:r>
      <w:r>
        <w:t>in</w:t>
      </w:r>
      <w:r w:rsidR="00FC12E4">
        <w:t xml:space="preserve"> the same manuscript</w:t>
      </w:r>
      <w:r>
        <w:t xml:space="preserve"> Thomas’s </w:t>
      </w:r>
      <w:r w:rsidR="00EF0253">
        <w:t>‘</w:t>
      </w:r>
      <w:proofErr w:type="spellStart"/>
      <w:r w:rsidR="004361D2">
        <w:t>Coniectur</w:t>
      </w:r>
      <w:r w:rsidR="008A2DBF">
        <w:t>æ</w:t>
      </w:r>
      <w:proofErr w:type="spellEnd"/>
      <w:r w:rsidR="004361D2">
        <w:t xml:space="preserve"> in </w:t>
      </w:r>
      <w:proofErr w:type="spellStart"/>
      <w:r w:rsidR="004361D2">
        <w:t>Strabonem</w:t>
      </w:r>
      <w:proofErr w:type="spellEnd"/>
      <w:r w:rsidR="004361D2">
        <w:t>’</w:t>
      </w:r>
      <w:r w:rsidR="001A5F50">
        <w:t xml:space="preserve">, in which </w:t>
      </w:r>
      <w:r>
        <w:t>he</w:t>
      </w:r>
      <w:r w:rsidR="001A5F50">
        <w:t xml:space="preserve"> offers </w:t>
      </w:r>
      <w:r w:rsidR="00784D9E">
        <w:t xml:space="preserve">textual emendations and commentary on </w:t>
      </w:r>
      <w:r w:rsidR="00FC12E4">
        <w:t>Strabo’s</w:t>
      </w:r>
      <w:r w:rsidR="00784D9E">
        <w:t xml:space="preserve"> </w:t>
      </w:r>
      <w:r w:rsidR="00784D9E" w:rsidRPr="00784D9E">
        <w:rPr>
          <w:i/>
        </w:rPr>
        <w:t>Geography</w:t>
      </w:r>
      <w:r w:rsidR="00784D9E">
        <w:t xml:space="preserve">. </w:t>
      </w:r>
      <w:r w:rsidR="002B0458">
        <w:t xml:space="preserve">Thomas appears to have sent </w:t>
      </w:r>
      <w:r w:rsidR="00F9670C">
        <w:t xml:space="preserve">a version of these notes </w:t>
      </w:r>
      <w:r w:rsidR="002B0458">
        <w:t xml:space="preserve">directly to </w:t>
      </w:r>
      <w:r w:rsidR="00FC12E4">
        <w:t xml:space="preserve">Isaac </w:t>
      </w:r>
      <w:r w:rsidR="002B0458">
        <w:t>Casaubon</w:t>
      </w:r>
      <w:r w:rsidR="00F9670C">
        <w:t xml:space="preserve"> </w:t>
      </w:r>
      <w:r w:rsidR="00FC12E4">
        <w:t xml:space="preserve">(1559–1614) </w:t>
      </w:r>
      <w:proofErr w:type="gramStart"/>
      <w:r w:rsidR="00F9670C">
        <w:t>at a later date</w:t>
      </w:r>
      <w:proofErr w:type="gramEnd"/>
      <w:r w:rsidR="002B0458">
        <w:t xml:space="preserve">. </w:t>
      </w:r>
      <w:r w:rsidR="008A2DBF">
        <w:t xml:space="preserve">In a letter of September, 1591, Casaubon confirms receipt of Savile’s letters, along with </w:t>
      </w:r>
      <w:r w:rsidR="00FC12E4">
        <w:t>‘those most learned notes, both on us, and on our Strabo’ (</w:t>
      </w:r>
      <w:r w:rsidR="008A2DBF">
        <w:t>‘</w:t>
      </w:r>
      <w:proofErr w:type="spellStart"/>
      <w:r w:rsidR="008A2DBF">
        <w:t>ea</w:t>
      </w:r>
      <w:proofErr w:type="spellEnd"/>
      <w:r w:rsidR="008A2DBF">
        <w:t xml:space="preserve"> </w:t>
      </w:r>
      <w:proofErr w:type="spellStart"/>
      <w:r w:rsidR="008A2DBF">
        <w:t>quæ</w:t>
      </w:r>
      <w:proofErr w:type="spellEnd"/>
      <w:r w:rsidR="008A2DBF">
        <w:t xml:space="preserve"> sunt </w:t>
      </w:r>
      <w:proofErr w:type="spellStart"/>
      <w:r w:rsidR="008A2DBF">
        <w:t>pereruditè</w:t>
      </w:r>
      <w:proofErr w:type="spellEnd"/>
      <w:r w:rsidR="008A2DBF">
        <w:t xml:space="preserve"> </w:t>
      </w:r>
      <w:proofErr w:type="spellStart"/>
      <w:r w:rsidR="008A2DBF">
        <w:t>notata</w:t>
      </w:r>
      <w:proofErr w:type="spellEnd"/>
      <w:r w:rsidR="008A2DBF">
        <w:t xml:space="preserve">, qua in </w:t>
      </w:r>
      <w:proofErr w:type="spellStart"/>
      <w:r w:rsidR="008A2DBF">
        <w:t>nos</w:t>
      </w:r>
      <w:proofErr w:type="spellEnd"/>
      <w:r w:rsidR="008A2DBF">
        <w:t xml:space="preserve">, </w:t>
      </w:r>
      <w:r w:rsidR="008A2DBF">
        <w:lastRenderedPageBreak/>
        <w:t xml:space="preserve">qua in </w:t>
      </w:r>
      <w:proofErr w:type="spellStart"/>
      <w:r w:rsidR="008A2DBF">
        <w:t>Strabonem</w:t>
      </w:r>
      <w:proofErr w:type="spellEnd"/>
      <w:r w:rsidR="008A2DBF">
        <w:t xml:space="preserve"> nostrum’</w:t>
      </w:r>
      <w:r w:rsidR="00FC12E4">
        <w:t>)</w:t>
      </w:r>
      <w:r w:rsidR="008A2DBF">
        <w:t>.</w:t>
      </w:r>
      <w:r w:rsidR="008A2DBF">
        <w:rPr>
          <w:rStyle w:val="FootnoteReference"/>
        </w:rPr>
        <w:footnoteReference w:id="38"/>
      </w:r>
      <w:r w:rsidR="00627639">
        <w:t xml:space="preserve"> Even if the </w:t>
      </w:r>
      <w:r w:rsidR="00FC12E4">
        <w:t>commentary</w:t>
      </w:r>
      <w:r w:rsidR="00627639">
        <w:t xml:space="preserve"> </w:t>
      </w:r>
      <w:r w:rsidR="008B5650">
        <w:t xml:space="preserve">which </w:t>
      </w:r>
      <w:r w:rsidR="00627639">
        <w:t xml:space="preserve">Savile shared with Casaubon </w:t>
      </w:r>
      <w:r w:rsidR="00FC12E4">
        <w:t>was</w:t>
      </w:r>
      <w:r w:rsidR="00627639">
        <w:t xml:space="preserve"> </w:t>
      </w:r>
      <w:r w:rsidR="00824D4F">
        <w:t>as critical</w:t>
      </w:r>
      <w:r w:rsidR="00627639">
        <w:t xml:space="preserve"> as </w:t>
      </w:r>
      <w:r w:rsidR="00FC12E4">
        <w:t>that</w:t>
      </w:r>
      <w:r w:rsidR="00627639">
        <w:t xml:space="preserve"> preserved at the Ambrosiana</w:t>
      </w:r>
      <w:r w:rsidR="00824D4F">
        <w:t xml:space="preserve">, in which Savile </w:t>
      </w:r>
      <w:r w:rsidR="00F41FF9">
        <w:t xml:space="preserve">underlines Casaubon’s alleged misreading of Strabo, </w:t>
      </w:r>
      <w:r w:rsidR="008B5650">
        <w:t>the senior scholar</w:t>
      </w:r>
      <w:r w:rsidR="00627639">
        <w:t xml:space="preserve"> was ready for the challenge, encouraging </w:t>
      </w:r>
      <w:r w:rsidR="008B5650">
        <w:t>Thomas</w:t>
      </w:r>
      <w:r w:rsidR="00627639">
        <w:t xml:space="preserve"> to engage in a more detailed correspondence: ‘</w:t>
      </w:r>
      <w:r w:rsidR="005141DC">
        <w:t xml:space="preserve">Mihi </w:t>
      </w:r>
      <w:proofErr w:type="spellStart"/>
      <w:r w:rsidR="005141DC">
        <w:t>enim</w:t>
      </w:r>
      <w:proofErr w:type="spellEnd"/>
      <w:r w:rsidR="005141DC">
        <w:t xml:space="preserve"> in animo est. </w:t>
      </w:r>
      <w:proofErr w:type="spellStart"/>
      <w:r w:rsidR="005141DC">
        <w:t>sæpius</w:t>
      </w:r>
      <w:proofErr w:type="spellEnd"/>
      <w:r w:rsidR="005141DC">
        <w:t xml:space="preserve"> per </w:t>
      </w:r>
      <w:proofErr w:type="spellStart"/>
      <w:r w:rsidR="005141DC">
        <w:t>literas</w:t>
      </w:r>
      <w:proofErr w:type="spellEnd"/>
      <w:r w:rsidR="005141DC">
        <w:t xml:space="preserve"> tecum </w:t>
      </w:r>
      <w:proofErr w:type="spellStart"/>
      <w:r w:rsidR="005141DC">
        <w:t>agere</w:t>
      </w:r>
      <w:proofErr w:type="spellEnd"/>
      <w:r w:rsidR="005141DC">
        <w:t xml:space="preserve">, tecum </w:t>
      </w:r>
      <w:proofErr w:type="spellStart"/>
      <w:r w:rsidR="005141DC">
        <w:t>loqui</w:t>
      </w:r>
      <w:proofErr w:type="spellEnd"/>
      <w:r w:rsidR="005141DC">
        <w:t xml:space="preserve">, tecum de </w:t>
      </w:r>
      <w:proofErr w:type="spellStart"/>
      <w:r w:rsidR="005141DC">
        <w:t>illis</w:t>
      </w:r>
      <w:proofErr w:type="spellEnd"/>
      <w:r w:rsidR="005141DC">
        <w:t xml:space="preserve"> </w:t>
      </w:r>
      <w:proofErr w:type="spellStart"/>
      <w:r w:rsidR="005141DC">
        <w:t>ipsis</w:t>
      </w:r>
      <w:proofErr w:type="spellEnd"/>
      <w:r w:rsidR="005141DC">
        <w:t xml:space="preserve"> </w:t>
      </w:r>
      <w:proofErr w:type="spellStart"/>
      <w:r w:rsidR="005141DC">
        <w:t>disputare</w:t>
      </w:r>
      <w:proofErr w:type="spellEnd"/>
      <w:r w:rsidR="005141DC">
        <w:t xml:space="preserve">, ad </w:t>
      </w:r>
      <w:proofErr w:type="spellStart"/>
      <w:r w:rsidR="005141DC">
        <w:t>quæ</w:t>
      </w:r>
      <w:proofErr w:type="spellEnd"/>
      <w:r w:rsidR="005141DC">
        <w:t xml:space="preserve"> me </w:t>
      </w:r>
      <w:proofErr w:type="spellStart"/>
      <w:r w:rsidR="005141DC">
        <w:t>scripto</w:t>
      </w:r>
      <w:proofErr w:type="spellEnd"/>
      <w:r w:rsidR="005141DC">
        <w:t xml:space="preserve"> </w:t>
      </w:r>
      <w:proofErr w:type="spellStart"/>
      <w:r w:rsidR="005141DC">
        <w:t>illo</w:t>
      </w:r>
      <w:proofErr w:type="spellEnd"/>
      <w:r w:rsidR="005141DC">
        <w:t xml:space="preserve"> </w:t>
      </w:r>
      <w:proofErr w:type="spellStart"/>
      <w:r w:rsidR="005141DC">
        <w:t>tuo</w:t>
      </w:r>
      <w:proofErr w:type="spellEnd"/>
      <w:r w:rsidR="005141DC">
        <w:t xml:space="preserve"> </w:t>
      </w:r>
      <w:proofErr w:type="spellStart"/>
      <w:r w:rsidR="005141DC">
        <w:t>provocasti</w:t>
      </w:r>
      <w:proofErr w:type="spellEnd"/>
      <w:r w:rsidR="005141DC">
        <w:t xml:space="preserve">. Tu </w:t>
      </w:r>
      <w:proofErr w:type="gramStart"/>
      <w:r w:rsidR="005141DC">
        <w:t>vide</w:t>
      </w:r>
      <w:proofErr w:type="gramEnd"/>
      <w:r w:rsidR="005141DC">
        <w:t xml:space="preserve">, </w:t>
      </w:r>
      <w:proofErr w:type="spellStart"/>
      <w:r w:rsidR="005141DC">
        <w:t>ut</w:t>
      </w:r>
      <w:proofErr w:type="spellEnd"/>
      <w:r w:rsidR="005141DC">
        <w:t xml:space="preserve"> mutuum facias’</w:t>
      </w:r>
      <w:r w:rsidR="00FC12E4">
        <w:t xml:space="preserve"> (‘it is my intention to </w:t>
      </w:r>
      <w:r w:rsidR="00A55037">
        <w:t>converse with you more often in letters, to talk with you, to argue about those things with you, about which you have challenged me with your writing’)</w:t>
      </w:r>
      <w:r w:rsidR="005141DC">
        <w:t>.</w:t>
      </w:r>
      <w:r w:rsidR="005141DC">
        <w:rPr>
          <w:rStyle w:val="FootnoteReference"/>
        </w:rPr>
        <w:footnoteReference w:id="39"/>
      </w:r>
      <w:r w:rsidR="005141DC">
        <w:t xml:space="preserve"> </w:t>
      </w:r>
    </w:p>
    <w:p w14:paraId="7A318151" w14:textId="7A845ABF" w:rsidR="00B17FD6" w:rsidRDefault="00B17FD6" w:rsidP="00D55A7C">
      <w:pPr>
        <w:spacing w:line="480" w:lineRule="auto"/>
        <w:ind w:firstLine="720"/>
        <w:jc w:val="both"/>
      </w:pPr>
      <w:r>
        <w:t xml:space="preserve">These were not the only works that Thomas left with Pinelli. Preserved at the Ambrosiana there </w:t>
      </w:r>
      <w:r w:rsidR="005327AA">
        <w:t>are</w:t>
      </w:r>
      <w:r>
        <w:t xml:space="preserve"> also his notes on Euclid’s </w:t>
      </w:r>
      <w:r w:rsidRPr="00B17FD6">
        <w:rPr>
          <w:i/>
          <w:iCs/>
        </w:rPr>
        <w:t>Elements</w:t>
      </w:r>
      <w:r>
        <w:t xml:space="preserve">, </w:t>
      </w:r>
      <w:r w:rsidR="00FA14FD">
        <w:t xml:space="preserve">a work which he cites in his commentary on Geminus, </w:t>
      </w:r>
      <w:r>
        <w:t xml:space="preserve">as well as </w:t>
      </w:r>
      <w:r w:rsidR="005327AA">
        <w:t>a</w:t>
      </w:r>
      <w:r>
        <w:t xml:space="preserve"> treatise on</w:t>
      </w:r>
      <w:r w:rsidR="00FA14FD">
        <w:t xml:space="preserve"> mathematics</w:t>
      </w:r>
      <w:r w:rsidR="005327AA">
        <w:t>.</w:t>
      </w:r>
      <w:r w:rsidR="005327AA">
        <w:rPr>
          <w:rStyle w:val="FootnoteReference"/>
        </w:rPr>
        <w:footnoteReference w:id="40"/>
      </w:r>
      <w:r w:rsidR="00E97FDD">
        <w:t xml:space="preserve"> </w:t>
      </w:r>
      <w:r w:rsidR="0079063A">
        <w:t xml:space="preserve">A handful of </w:t>
      </w:r>
      <w:r w:rsidR="001D7E33">
        <w:t>short</w:t>
      </w:r>
      <w:r w:rsidR="00206EED">
        <w:t xml:space="preserve"> </w:t>
      </w:r>
      <w:r w:rsidR="0079063A">
        <w:t>works</w:t>
      </w:r>
      <w:r w:rsidR="00206EED">
        <w:t xml:space="preserve"> by </w:t>
      </w:r>
      <w:r w:rsidR="0079063A">
        <w:t xml:space="preserve">Thomas’s elder brother, Henry, are also kept among Pinelli’s papers, including the </w:t>
      </w:r>
      <w:r w:rsidR="0079063A" w:rsidRPr="0079063A">
        <w:rPr>
          <w:i/>
          <w:iCs/>
        </w:rPr>
        <w:t>Quaesita Mathematica</w:t>
      </w:r>
      <w:r w:rsidR="0079063A">
        <w:t>, juxtaposed with a series of letters from Savile to Pinell</w:t>
      </w:r>
      <w:r w:rsidR="001D7E33">
        <w:t>i sent from Venice, Paris, and Nuremberg while travelling in 1581.</w:t>
      </w:r>
      <w:r w:rsidR="001D7E33">
        <w:rPr>
          <w:rStyle w:val="FootnoteReference"/>
        </w:rPr>
        <w:footnoteReference w:id="41"/>
      </w:r>
      <w:r w:rsidR="001D7E33">
        <w:t xml:space="preserve"> So too we find multiple translations into Italian and Latin from the elder Savile’s commentary on Tacitus, published in 1591, suggesting that </w:t>
      </w:r>
      <w:r w:rsidR="00D762E4">
        <w:t>Pinelli took an enduring interest in the English scholar’s intellectual pursuits.</w:t>
      </w:r>
      <w:r w:rsidR="00D762E4">
        <w:rPr>
          <w:rStyle w:val="FootnoteReference"/>
        </w:rPr>
        <w:footnoteReference w:id="42"/>
      </w:r>
    </w:p>
    <w:p w14:paraId="3B98CA37" w14:textId="5AE5D7FA" w:rsidR="00206EED" w:rsidRDefault="00206EED" w:rsidP="00D55A7C">
      <w:pPr>
        <w:spacing w:line="480" w:lineRule="auto"/>
        <w:ind w:firstLine="720"/>
        <w:jc w:val="both"/>
      </w:pPr>
      <w:r>
        <w:lastRenderedPageBreak/>
        <w:t xml:space="preserve">The traces of another member of the scholars and students </w:t>
      </w:r>
      <w:r w:rsidR="00CD61C0">
        <w:t xml:space="preserve">in </w:t>
      </w:r>
      <w:r>
        <w:t>Savile</w:t>
      </w:r>
      <w:r w:rsidR="00CD61C0">
        <w:t>’s orbit</w:t>
      </w:r>
      <w:r w:rsidR="0079063A">
        <w:t>, namely Henry Cuffe</w:t>
      </w:r>
      <w:r w:rsidR="00303751">
        <w:t xml:space="preserve"> </w:t>
      </w:r>
      <w:r w:rsidR="00303751">
        <w:rPr>
          <w:rFonts w:ascii="Times" w:hAnsi="Times"/>
        </w:rPr>
        <w:t>(1562/3–1601)</w:t>
      </w:r>
      <w:r w:rsidR="0079063A">
        <w:t xml:space="preserve">, are also preserved at the Ambrosiana. </w:t>
      </w:r>
      <w:r w:rsidR="00303751">
        <w:t xml:space="preserve">Cuffe, who had been taken under Henry Savile’s wing at Oxford, travelled to Italy in 1597 on a mission for the Earl of Essex. Having matriculated at the University </w:t>
      </w:r>
      <w:r w:rsidR="00D04DD8">
        <w:t>of Padua</w:t>
      </w:r>
      <w:r w:rsidR="00316190">
        <w:t>, Cuffe too studied at Pinelli’s library, and, in the company of his host, compiled notes on Photi</w:t>
      </w:r>
      <w:r w:rsidR="00995A87">
        <w:t>u</w:t>
      </w:r>
      <w:r w:rsidR="00316190">
        <w:t>s (</w:t>
      </w:r>
      <w:r w:rsidR="00316190" w:rsidRPr="00F85B96">
        <w:t>858–67</w:t>
      </w:r>
      <w:r w:rsidR="00316190">
        <w:t>), Patriarch of Byzantium. Cuffe and Pinelli appear to have been reading and correcting an edition of Photius</w:t>
      </w:r>
      <w:r w:rsidR="00450814">
        <w:t xml:space="preserve">’s </w:t>
      </w:r>
      <w:proofErr w:type="spellStart"/>
      <w:r w:rsidR="00450814">
        <w:t>Βι</w:t>
      </w:r>
      <w:proofErr w:type="spellEnd"/>
      <w:r w:rsidR="00450814">
        <w:t>βλιοθηκη</w:t>
      </w:r>
      <w:r w:rsidR="00316190">
        <w:t xml:space="preserve"> </w:t>
      </w:r>
      <w:r w:rsidR="00450814">
        <w:t>[</w:t>
      </w:r>
      <w:proofErr w:type="spellStart"/>
      <w:r w:rsidR="00450814" w:rsidRPr="00450814">
        <w:rPr>
          <w:i/>
          <w:iCs/>
        </w:rPr>
        <w:t>Bibliotecha</w:t>
      </w:r>
      <w:proofErr w:type="spellEnd"/>
      <w:r w:rsidR="00450814">
        <w:t xml:space="preserve">] </w:t>
      </w:r>
      <w:r w:rsidR="00316190">
        <w:t xml:space="preserve">together, with </w:t>
      </w:r>
      <w:r w:rsidR="00450814">
        <w:t>Cuffe’s notes on one side of the page, and Pinelli’s on the other.</w:t>
      </w:r>
      <w:r w:rsidR="00316190">
        <w:rPr>
          <w:rStyle w:val="FootnoteReference"/>
        </w:rPr>
        <w:footnoteReference w:id="43"/>
      </w:r>
      <w:r w:rsidR="00BF041C">
        <w:t xml:space="preserve"> The library at Padua thus continued to serve as a scholarly focal point for the Savile circle during their travels on continental Europe. </w:t>
      </w:r>
    </w:p>
    <w:p w14:paraId="7B003EFD" w14:textId="25DBFFCE" w:rsidR="00C37933" w:rsidRDefault="007476CC" w:rsidP="00D55A7C">
      <w:pPr>
        <w:spacing w:line="480" w:lineRule="auto"/>
        <w:ind w:firstLine="720"/>
        <w:jc w:val="both"/>
      </w:pPr>
      <w:r>
        <w:t xml:space="preserve">Thomas continued his work on Geminus at Pinelli’s library. </w:t>
      </w:r>
      <w:r w:rsidR="00E106D7">
        <w:t>Here he was able to access what he</w:t>
      </w:r>
      <w:r w:rsidR="00183FB7">
        <w:t xml:space="preserve"> refers to as the ‘Arabic </w:t>
      </w:r>
      <w:r w:rsidR="00E106D7">
        <w:t>version’</w:t>
      </w:r>
      <w:r w:rsidR="00C53E9E">
        <w:t xml:space="preserve"> – </w:t>
      </w:r>
      <w:r w:rsidR="00E106D7">
        <w:t xml:space="preserve">in fact a Latin translation of a Hebrew translation of an Arabic translation of the original </w:t>
      </w:r>
      <w:r w:rsidR="00C53E9E" w:rsidRPr="00C53E9E">
        <w:rPr>
          <w:i/>
          <w:iCs/>
        </w:rPr>
        <w:t>Phaenomena</w:t>
      </w:r>
      <w:r w:rsidR="00C53E9E">
        <w:t xml:space="preserve"> –</w:t>
      </w:r>
      <w:r w:rsidR="00E106D7">
        <w:t xml:space="preserve"> which he used to</w:t>
      </w:r>
      <w:r w:rsidR="00183FB7">
        <w:t xml:space="preserve"> </w:t>
      </w:r>
      <w:r w:rsidR="00E106D7">
        <w:t>tackle</w:t>
      </w:r>
      <w:r w:rsidR="00183FB7">
        <w:t xml:space="preserve"> textual cruxes in the Gree</w:t>
      </w:r>
      <w:r w:rsidR="00E106D7">
        <w:t>k text</w:t>
      </w:r>
      <w:r w:rsidR="00DD1DB7">
        <w:t>.</w:t>
      </w:r>
      <w:r w:rsidR="00DD1DB7">
        <w:rPr>
          <w:rStyle w:val="FootnoteReference"/>
        </w:rPr>
        <w:footnoteReference w:id="44"/>
      </w:r>
      <w:r w:rsidR="00DD1DB7">
        <w:t xml:space="preserve"> About the medieval Arabic translation of Geminus little is known, save that </w:t>
      </w:r>
      <w:r w:rsidR="00A31E72">
        <w:t>it once existed</w:t>
      </w:r>
      <w:r w:rsidR="00C53E9E">
        <w:t xml:space="preserve">. </w:t>
      </w:r>
      <w:r w:rsidR="00A31E72">
        <w:t xml:space="preserve">Germaine </w:t>
      </w:r>
      <w:proofErr w:type="spellStart"/>
      <w:r w:rsidR="00A31E72">
        <w:t>Aujac</w:t>
      </w:r>
      <w:proofErr w:type="spellEnd"/>
      <w:r w:rsidR="00F7607E">
        <w:t xml:space="preserve"> posits</w:t>
      </w:r>
      <w:r w:rsidR="00A31E72">
        <w:t xml:space="preserve"> in her critical edition of the </w:t>
      </w:r>
      <w:r w:rsidR="00A31E72" w:rsidRPr="00A31E72">
        <w:rPr>
          <w:i/>
          <w:iCs/>
        </w:rPr>
        <w:t>Phaenomena</w:t>
      </w:r>
      <w:r w:rsidR="00A31E72">
        <w:t xml:space="preserve"> that it was </w:t>
      </w:r>
      <w:r w:rsidR="00C53E9E">
        <w:t xml:space="preserve">probably </w:t>
      </w:r>
      <w:r w:rsidR="00A31E72">
        <w:t>undertaken in the 9</w:t>
      </w:r>
      <w:r w:rsidR="00A31E72" w:rsidRPr="00A31E72">
        <w:rPr>
          <w:vertAlign w:val="superscript"/>
        </w:rPr>
        <w:t>th</w:t>
      </w:r>
      <w:r w:rsidR="00A31E72">
        <w:t xml:space="preserve"> century as part of a </w:t>
      </w:r>
      <w:r w:rsidR="00F7607E">
        <w:t>wider series of</w:t>
      </w:r>
      <w:r w:rsidR="00A31E72">
        <w:t xml:space="preserve"> ‘</w:t>
      </w:r>
      <w:proofErr w:type="spellStart"/>
      <w:r w:rsidR="00A31E72">
        <w:t>manuels</w:t>
      </w:r>
      <w:proofErr w:type="spellEnd"/>
      <w:r w:rsidR="00A31E72">
        <w:t xml:space="preserve"> </w:t>
      </w:r>
      <w:proofErr w:type="spellStart"/>
      <w:r w:rsidR="00F7607E">
        <w:t>é</w:t>
      </w:r>
      <w:r w:rsidR="00A31E72">
        <w:t>l</w:t>
      </w:r>
      <w:r w:rsidR="00F7607E">
        <w:t>é</w:t>
      </w:r>
      <w:r w:rsidR="00A31E72">
        <w:t>mentaires</w:t>
      </w:r>
      <w:proofErr w:type="spellEnd"/>
      <w:r w:rsidR="00F7607E">
        <w:t xml:space="preserve"> </w:t>
      </w:r>
      <w:proofErr w:type="spellStart"/>
      <w:r w:rsidR="00F7607E">
        <w:t>considérés</w:t>
      </w:r>
      <w:proofErr w:type="spellEnd"/>
      <w:r w:rsidR="00F7607E">
        <w:t xml:space="preserve"> </w:t>
      </w:r>
      <w:proofErr w:type="spellStart"/>
      <w:r w:rsidR="00F7607E">
        <w:t>comme</w:t>
      </w:r>
      <w:proofErr w:type="spellEnd"/>
      <w:r w:rsidR="00F7607E">
        <w:t xml:space="preserve"> </w:t>
      </w:r>
      <w:proofErr w:type="spellStart"/>
      <w:r w:rsidR="00F7607E">
        <w:t>une</w:t>
      </w:r>
      <w:proofErr w:type="spellEnd"/>
      <w:r w:rsidR="00F7607E">
        <w:t xml:space="preserve"> </w:t>
      </w:r>
      <w:proofErr w:type="spellStart"/>
      <w:r w:rsidR="00F7607E">
        <w:t>intitiation</w:t>
      </w:r>
      <w:proofErr w:type="spellEnd"/>
      <w:r w:rsidR="00F7607E">
        <w:t xml:space="preserve"> indispensable à qui </w:t>
      </w:r>
      <w:proofErr w:type="spellStart"/>
      <w:r w:rsidR="00F7607E">
        <w:t>voulait</w:t>
      </w:r>
      <w:proofErr w:type="spellEnd"/>
      <w:r w:rsidR="00F7607E">
        <w:t xml:space="preserve"> </w:t>
      </w:r>
      <w:proofErr w:type="spellStart"/>
      <w:r w:rsidR="00F7607E">
        <w:t>aborder</w:t>
      </w:r>
      <w:proofErr w:type="spellEnd"/>
      <w:r w:rsidR="00F7607E">
        <w:t xml:space="preserve"> la grande </w:t>
      </w:r>
      <w:proofErr w:type="spellStart"/>
      <w:r w:rsidR="00F7607E">
        <w:t>oêuvre</w:t>
      </w:r>
      <w:proofErr w:type="spellEnd"/>
      <w:r w:rsidR="00F7607E">
        <w:t xml:space="preserve"> de </w:t>
      </w:r>
      <w:proofErr w:type="spellStart"/>
      <w:r w:rsidR="00F7607E">
        <w:lastRenderedPageBreak/>
        <w:t>Ptolémée</w:t>
      </w:r>
      <w:proofErr w:type="spellEnd"/>
      <w:r w:rsidR="00F7607E">
        <w:t>’.</w:t>
      </w:r>
      <w:r w:rsidR="00F7607E">
        <w:rPr>
          <w:rStyle w:val="FootnoteReference"/>
        </w:rPr>
        <w:footnoteReference w:id="45"/>
      </w:r>
      <w:r w:rsidR="00C53E9E">
        <w:t xml:space="preserve"> </w:t>
      </w:r>
      <w:r w:rsidR="00F717AC">
        <w:t xml:space="preserve"> </w:t>
      </w:r>
      <w:r w:rsidR="00914DFC">
        <w:t>The Arabic translation was subsequently translated into Hebrew in the 13</w:t>
      </w:r>
      <w:r w:rsidR="00914DFC" w:rsidRPr="00914DFC">
        <w:rPr>
          <w:vertAlign w:val="superscript"/>
        </w:rPr>
        <w:t>th</w:t>
      </w:r>
      <w:r w:rsidR="00914DFC">
        <w:t xml:space="preserve"> century by Moses ibn </w:t>
      </w:r>
      <w:proofErr w:type="spellStart"/>
      <w:r w:rsidR="00914DFC">
        <w:t>Tibbon</w:t>
      </w:r>
      <w:proofErr w:type="spellEnd"/>
      <w:r w:rsidR="00914DFC">
        <w:t xml:space="preserve"> (fl. 1240–83), perhaps completed, as Todd suggests, at Naples.</w:t>
      </w:r>
      <w:r w:rsidR="00914DFC">
        <w:rPr>
          <w:rStyle w:val="FootnoteReference"/>
        </w:rPr>
        <w:footnoteReference w:id="46"/>
      </w:r>
      <w:r w:rsidR="00930A5D">
        <w:t xml:space="preserve"> </w:t>
      </w:r>
      <w:r w:rsidR="00B174A7">
        <w:t xml:space="preserve">Towards the beginning </w:t>
      </w:r>
      <w:r w:rsidR="00C37933">
        <w:t xml:space="preserve">of the sixteenth century, </w:t>
      </w:r>
      <w:r w:rsidR="00B174A7">
        <w:t xml:space="preserve">the physician and scholar, Abraham de Balmes ben Meir, translated the Hebrew version of the </w:t>
      </w:r>
      <w:r w:rsidR="00B174A7" w:rsidRPr="00B174A7">
        <w:rPr>
          <w:i/>
          <w:iCs/>
        </w:rPr>
        <w:t>Phaenomena</w:t>
      </w:r>
      <w:r w:rsidR="00B174A7">
        <w:t xml:space="preserve"> into Latin. His other translations from Hebrew into Latin</w:t>
      </w:r>
      <w:r w:rsidR="00EF56E6">
        <w:t xml:space="preserve"> –</w:t>
      </w:r>
      <w:r w:rsidR="00B174A7">
        <w:t xml:space="preserve"> including </w:t>
      </w:r>
      <w:proofErr w:type="spellStart"/>
      <w:r w:rsidR="00B174A7">
        <w:t>Avempace’s</w:t>
      </w:r>
      <w:proofErr w:type="spellEnd"/>
      <w:r w:rsidR="00B174A7">
        <w:t xml:space="preserve"> (</w:t>
      </w:r>
      <w:r w:rsidR="00B174A7" w:rsidRPr="00B174A7">
        <w:t xml:space="preserve">Ibn </w:t>
      </w:r>
      <w:proofErr w:type="spellStart"/>
      <w:r w:rsidR="00B174A7" w:rsidRPr="00B174A7">
        <w:t>Bajjah</w:t>
      </w:r>
      <w:r w:rsidR="00B174A7">
        <w:t>’s</w:t>
      </w:r>
      <w:proofErr w:type="spellEnd"/>
      <w:r w:rsidR="00B174A7">
        <w:t xml:space="preserve">) </w:t>
      </w:r>
      <w:r w:rsidR="00B174A7" w:rsidRPr="00B174A7">
        <w:rPr>
          <w:i/>
          <w:iCs/>
        </w:rPr>
        <w:t>Epistolae</w:t>
      </w:r>
      <w:r w:rsidR="00EF56E6">
        <w:t xml:space="preserve"> </w:t>
      </w:r>
      <w:proofErr w:type="spellStart"/>
      <w:r w:rsidR="00EF56E6" w:rsidRPr="00EF56E6">
        <w:rPr>
          <w:i/>
          <w:iCs/>
        </w:rPr>
        <w:t>Expeditionis</w:t>
      </w:r>
      <w:proofErr w:type="spellEnd"/>
      <w:r w:rsidR="00EF56E6">
        <w:t xml:space="preserve">, Ibn al-Haytham’s treatise on astronomy, and a Hebrew Grammar – were published at Venice in 1523. </w:t>
      </w:r>
      <w:r w:rsidR="00C668AF">
        <w:t>D</w:t>
      </w:r>
      <w:r w:rsidR="00EF56E6">
        <w:t xml:space="preserve">e Balmes </w:t>
      </w:r>
      <w:r w:rsidR="00F01A30">
        <w:t>perhaps</w:t>
      </w:r>
      <w:r w:rsidR="00C668AF">
        <w:t xml:space="preserve"> </w:t>
      </w:r>
      <w:r w:rsidR="00EF56E6">
        <w:t xml:space="preserve">completed his translation of the Hebrew </w:t>
      </w:r>
      <w:r w:rsidR="00EF56E6" w:rsidRPr="00C668AF">
        <w:rPr>
          <w:i/>
          <w:iCs/>
        </w:rPr>
        <w:t>Phaenomena</w:t>
      </w:r>
      <w:r w:rsidR="00EF56E6">
        <w:t xml:space="preserve"> in the same period, when he was in the service of Cardinal Domenico Grimani (d.1523). </w:t>
      </w:r>
    </w:p>
    <w:p w14:paraId="21D6D177" w14:textId="77777777" w:rsidR="00D7147D" w:rsidRDefault="004242AD" w:rsidP="00D55A7C">
      <w:pPr>
        <w:spacing w:line="480" w:lineRule="auto"/>
        <w:ind w:firstLine="720"/>
        <w:jc w:val="both"/>
      </w:pPr>
      <w:r>
        <w:t xml:space="preserve">Thomas Savile accessed </w:t>
      </w:r>
      <w:r w:rsidR="00C63C16">
        <w:t>de Balmes’s Latin translation of the Hebrew</w:t>
      </w:r>
      <w:r w:rsidR="00652497">
        <w:t xml:space="preserve"> through Pinelli’s collection</w:t>
      </w:r>
      <w:r>
        <w:t xml:space="preserve">. </w:t>
      </w:r>
      <w:r w:rsidR="00956465">
        <w:t>Ambrosiana MS P167 sup. contains a fragment of th</w:t>
      </w:r>
      <w:r>
        <w:t xml:space="preserve">is </w:t>
      </w:r>
      <w:r w:rsidR="00956465">
        <w:t xml:space="preserve">Latin </w:t>
      </w:r>
      <w:r>
        <w:t>version</w:t>
      </w:r>
      <w:r w:rsidR="00956465">
        <w:t xml:space="preserve">, with </w:t>
      </w:r>
      <w:r w:rsidR="00FA3877">
        <w:t xml:space="preserve">a series of </w:t>
      </w:r>
      <w:r w:rsidR="00956465">
        <w:t>notes in Thomas Savile’s hand.</w:t>
      </w:r>
      <w:r w:rsidR="00956465">
        <w:rPr>
          <w:rStyle w:val="FootnoteReference"/>
        </w:rPr>
        <w:footnoteReference w:id="47"/>
      </w:r>
      <w:r w:rsidR="00956465">
        <w:t xml:space="preserve"> The fragment is </w:t>
      </w:r>
      <w:r w:rsidR="00FA3877">
        <w:t>collocated</w:t>
      </w:r>
      <w:r w:rsidR="00956465">
        <w:t xml:space="preserve"> in this manuscript with</w:t>
      </w:r>
      <w:r w:rsidR="00EF4E48">
        <w:t xml:space="preserve"> rough-copy</w:t>
      </w:r>
      <w:r w:rsidR="00956465">
        <w:t xml:space="preserve"> translations from Henry Savile’s commentary on Tacitus</w:t>
      </w:r>
      <w:r w:rsidR="006B55BF">
        <w:t xml:space="preserve"> (</w:t>
      </w:r>
      <w:r w:rsidR="00956465">
        <w:t>1591</w:t>
      </w:r>
      <w:r w:rsidR="006B55BF">
        <w:t>)</w:t>
      </w:r>
      <w:r w:rsidR="00956465">
        <w:t>.</w:t>
      </w:r>
      <w:r w:rsidR="00956465">
        <w:rPr>
          <w:rStyle w:val="FootnoteReference"/>
        </w:rPr>
        <w:footnoteReference w:id="48"/>
      </w:r>
      <w:r w:rsidR="001C3C48">
        <w:t xml:space="preserve"> Although little is known of how Pinelli’s many notes and extracts came to be compiled, it does not seem unreasonable to assume that the scholarly endeavours of the Savile brothers were deliberately </w:t>
      </w:r>
      <w:r w:rsidR="00FA3877">
        <w:t>gathered together</w:t>
      </w:r>
      <w:r w:rsidR="005F1A11">
        <w:t xml:space="preserve">. </w:t>
      </w:r>
    </w:p>
    <w:p w14:paraId="11DB7860" w14:textId="5F8101B5" w:rsidR="00A51BEE" w:rsidRDefault="00D7147D" w:rsidP="00D55A7C">
      <w:pPr>
        <w:spacing w:line="480" w:lineRule="auto"/>
        <w:ind w:firstLine="720"/>
        <w:jc w:val="both"/>
      </w:pPr>
      <w:r>
        <w:t>He</w:t>
      </w:r>
      <w:r w:rsidR="005F1A11">
        <w:t xml:space="preserve"> harnessed de Balmes to inform his reading of the Greek original, appealing to the former to make textual emendations to the latter</w:t>
      </w:r>
      <w:r w:rsidR="00371CC3">
        <w:t xml:space="preserve">. </w:t>
      </w:r>
      <w:r w:rsidR="002B15B1">
        <w:t xml:space="preserve">On the first page </w:t>
      </w:r>
      <w:r w:rsidR="00BF041C">
        <w:t xml:space="preserve"> </w:t>
      </w:r>
      <w:r w:rsidR="002B15B1">
        <w:t xml:space="preserve">of the Greek copy of Geminus now persevered among the Savile manuscripts at the Bodleian, we find a garbled </w:t>
      </w:r>
      <w:r w:rsidR="002B15B1">
        <w:lastRenderedPageBreak/>
        <w:t>word form: ‘</w:t>
      </w:r>
      <w:proofErr w:type="spellStart"/>
      <w:r w:rsidR="002B15B1" w:rsidRPr="000A1B80">
        <w:t>διο</w:t>
      </w:r>
      <w:proofErr w:type="spellEnd"/>
      <w:r w:rsidR="002B15B1" w:rsidRPr="000A1B80">
        <w:t>περ...α</w:t>
      </w:r>
      <w:r w:rsidR="002B15B1">
        <w:t>’.</w:t>
      </w:r>
      <w:r w:rsidR="002B15B1">
        <w:rPr>
          <w:rStyle w:val="FootnoteReference"/>
        </w:rPr>
        <w:footnoteReference w:id="49"/>
      </w:r>
      <w:r w:rsidR="002B15B1">
        <w:t xml:space="preserve"> </w:t>
      </w:r>
      <w:r w:rsidR="00A51BEE">
        <w:t xml:space="preserve">In the following example, </w:t>
      </w:r>
      <w:r w:rsidR="002B15B1">
        <w:t xml:space="preserve">Thomas </w:t>
      </w:r>
      <w:r w:rsidR="00A51BEE">
        <w:t xml:space="preserve">Savile compares the Greek text as it has been received with the de Balmes version, and by doing so, manages to solve </w:t>
      </w:r>
      <w:r w:rsidR="002B15B1">
        <w:t xml:space="preserve">the </w:t>
      </w:r>
      <w:r w:rsidR="00A51BEE">
        <w:t xml:space="preserve">textual crux: </w:t>
      </w:r>
    </w:p>
    <w:p w14:paraId="0902D578" w14:textId="77777777" w:rsidR="00A734D9" w:rsidRDefault="00A734D9" w:rsidP="00D55A7C">
      <w:pPr>
        <w:spacing w:line="480" w:lineRule="auto"/>
        <w:jc w:val="both"/>
      </w:pPr>
    </w:p>
    <w:p w14:paraId="2BEAF723" w14:textId="240C463F" w:rsidR="00A51BEE" w:rsidRDefault="000A1B80" w:rsidP="00D55A7C">
      <w:pPr>
        <w:spacing w:line="480" w:lineRule="auto"/>
        <w:ind w:left="720"/>
        <w:jc w:val="both"/>
      </w:pPr>
      <w:r w:rsidRPr="000A1B80">
        <w:t xml:space="preserve">τα </w:t>
      </w:r>
      <w:proofErr w:type="spellStart"/>
      <w:r w:rsidRPr="000A1B80">
        <w:t>μεν</w:t>
      </w:r>
      <w:proofErr w:type="spellEnd"/>
      <w:r w:rsidRPr="000A1B80">
        <w:t xml:space="preserve"> </w:t>
      </w:r>
      <w:proofErr w:type="spellStart"/>
      <w:r w:rsidRPr="000A1B80">
        <w:t>οὐν</w:t>
      </w:r>
      <w:proofErr w:type="spellEnd"/>
      <w:r w:rsidRPr="000A1B80">
        <w:t xml:space="preserve"> </w:t>
      </w:r>
      <w:proofErr w:type="spellStart"/>
      <w:r w:rsidRPr="000A1B80">
        <w:t>δωδεκ</w:t>
      </w:r>
      <w:proofErr w:type="spellEnd"/>
      <w:r w:rsidRPr="000A1B80">
        <w:t xml:space="preserve">ατημορια </w:t>
      </w:r>
      <w:proofErr w:type="spellStart"/>
      <w:r w:rsidRPr="000A1B80">
        <w:t>ἰν</w:t>
      </w:r>
      <w:proofErr w:type="spellEnd"/>
      <w:r w:rsidRPr="000A1B80">
        <w:t xml:space="preserve">α </w:t>
      </w:r>
      <w:proofErr w:type="spellStart"/>
      <w:r w:rsidRPr="000A1B80">
        <w:t>ἐστι</w:t>
      </w:r>
      <w:proofErr w:type="spellEnd"/>
      <w:r w:rsidRPr="000A1B80">
        <w:t xml:space="preserve"> κατα </w:t>
      </w:r>
      <w:proofErr w:type="spellStart"/>
      <w:r w:rsidRPr="000A1B80">
        <w:t>το</w:t>
      </w:r>
      <w:proofErr w:type="spellEnd"/>
      <w:r w:rsidRPr="000A1B80">
        <w:t xml:space="preserve"> </w:t>
      </w:r>
      <w:proofErr w:type="spellStart"/>
      <w:r w:rsidRPr="000A1B80">
        <w:t>μεγεθος</w:t>
      </w:r>
      <w:proofErr w:type="spellEnd"/>
      <w:r w:rsidRPr="000A1B80">
        <w:t xml:space="preserve">, </w:t>
      </w:r>
      <w:proofErr w:type="spellStart"/>
      <w:r w:rsidRPr="000A1B80">
        <w:t>διο</w:t>
      </w:r>
      <w:proofErr w:type="spellEnd"/>
      <w:r w:rsidRPr="000A1B80">
        <w:t xml:space="preserve">περ...α γαρ </w:t>
      </w:r>
      <w:proofErr w:type="spellStart"/>
      <w:r w:rsidRPr="000A1B80">
        <w:t>δïηρητ</w:t>
      </w:r>
      <w:proofErr w:type="spellEnd"/>
      <w:r w:rsidRPr="000A1B80">
        <w:t xml:space="preserve">αι ὁ </w:t>
      </w:r>
      <w:proofErr w:type="spellStart"/>
      <w:r w:rsidRPr="000A1B80">
        <w:t>των</w:t>
      </w:r>
      <w:proofErr w:type="spellEnd"/>
      <w:r w:rsidRPr="000A1B80">
        <w:t xml:space="preserve"> </w:t>
      </w:r>
      <w:proofErr w:type="spellStart"/>
      <w:r w:rsidRPr="000A1B80">
        <w:t>ζωδιων</w:t>
      </w:r>
      <w:proofErr w:type="spellEnd"/>
      <w:r w:rsidRPr="000A1B80">
        <w:t xml:space="preserve"> </w:t>
      </w:r>
      <w:proofErr w:type="spellStart"/>
      <w:r w:rsidRPr="000A1B80">
        <w:t>κυκλ</w:t>
      </w:r>
      <w:r w:rsidR="00DD5D6F" w:rsidRPr="000A1B80">
        <w:t>ο</w:t>
      </w:r>
      <w:r w:rsidRPr="000A1B80">
        <w:t>ς</w:t>
      </w:r>
      <w:proofErr w:type="spellEnd"/>
      <w:r w:rsidRPr="000A1B80">
        <w:t xml:space="preserve"> </w:t>
      </w:r>
      <w:proofErr w:type="spellStart"/>
      <w:r w:rsidRPr="000A1B80">
        <w:t>εἰς</w:t>
      </w:r>
      <w:proofErr w:type="spellEnd"/>
      <w:r w:rsidRPr="000A1B80">
        <w:t xml:space="preserve"> </w:t>
      </w:r>
      <w:proofErr w:type="spellStart"/>
      <w:r w:rsidRPr="000A1B80">
        <w:t>δωδεκ</w:t>
      </w:r>
      <w:proofErr w:type="spellEnd"/>
      <w:r w:rsidRPr="000A1B80">
        <w:t xml:space="preserve">α </w:t>
      </w:r>
      <w:proofErr w:type="spellStart"/>
      <w:r w:rsidRPr="000A1B80">
        <w:t>μερη</w:t>
      </w:r>
      <w:proofErr w:type="spellEnd"/>
      <w:r w:rsidRPr="000A1B80">
        <w:t xml:space="preserve"> </w:t>
      </w:r>
      <w:proofErr w:type="spellStart"/>
      <w:r w:rsidRPr="000A1B80">
        <w:t>ἰσ</w:t>
      </w:r>
      <w:proofErr w:type="spellEnd"/>
      <w:r w:rsidRPr="000A1B80">
        <w:t>α.</w:t>
      </w:r>
      <w:r>
        <w:t xml:space="preserve"> </w:t>
      </w:r>
      <w:r w:rsidR="00E01E48">
        <w:t xml:space="preserve">Partes autem </w:t>
      </w:r>
      <w:proofErr w:type="spellStart"/>
      <w:r w:rsidR="00E01E48">
        <w:t>duodecima</w:t>
      </w:r>
      <w:proofErr w:type="spellEnd"/>
      <w:r w:rsidR="00E01E48">
        <w:t xml:space="preserve"> sunt </w:t>
      </w:r>
      <w:proofErr w:type="spellStart"/>
      <w:r w:rsidR="00E01E48">
        <w:t>æquales</w:t>
      </w:r>
      <w:proofErr w:type="spellEnd"/>
      <w:r w:rsidR="00E01E48">
        <w:t xml:space="preserve"> secundum </w:t>
      </w:r>
      <w:proofErr w:type="spellStart"/>
      <w:r w:rsidR="00E01E48">
        <w:t>signoru</w:t>
      </w:r>
      <w:r w:rsidR="00E01E48" w:rsidRPr="00E01E48">
        <w:rPr>
          <w:i/>
          <w:iCs/>
        </w:rPr>
        <w:t>m</w:t>
      </w:r>
      <w:proofErr w:type="spellEnd"/>
      <w:r w:rsidR="00E01E48">
        <w:t xml:space="preserve"> </w:t>
      </w:r>
      <w:proofErr w:type="spellStart"/>
      <w:r w:rsidR="00E01E48">
        <w:t>magnitudinem</w:t>
      </w:r>
      <w:proofErr w:type="spellEnd"/>
      <w:r w:rsidR="00E01E48">
        <w:t xml:space="preserve">, </w:t>
      </w:r>
      <w:r w:rsidR="006A2242">
        <w:t xml:space="preserve">et </w:t>
      </w:r>
      <w:proofErr w:type="spellStart"/>
      <w:r w:rsidR="006A2242">
        <w:t>sequestrantur</w:t>
      </w:r>
      <w:proofErr w:type="spellEnd"/>
      <w:r w:rsidR="006A2242">
        <w:t xml:space="preserve"> per 12. partes </w:t>
      </w:r>
      <w:proofErr w:type="spellStart"/>
      <w:r w:rsidR="006A2242">
        <w:t>æquales</w:t>
      </w:r>
      <w:proofErr w:type="spellEnd"/>
      <w:r w:rsidR="006A2242">
        <w:t xml:space="preserve"> </w:t>
      </w:r>
      <w:proofErr w:type="spellStart"/>
      <w:r w:rsidR="00EC5F52">
        <w:t>ad</w:t>
      </w:r>
      <w:proofErr w:type="spellEnd"/>
      <w:r w:rsidR="00EC5F52">
        <w:t xml:space="preserve"> </w:t>
      </w:r>
      <w:proofErr w:type="spellStart"/>
      <w:r w:rsidR="00EC5F52">
        <w:t>quantitate</w:t>
      </w:r>
      <w:r w:rsidR="00EC5F52" w:rsidRPr="00EC5F52">
        <w:rPr>
          <w:i/>
          <w:iCs/>
        </w:rPr>
        <w:t>m</w:t>
      </w:r>
      <w:proofErr w:type="spellEnd"/>
      <w:r w:rsidR="00EC5F52">
        <w:t xml:space="preserve"> </w:t>
      </w:r>
      <w:proofErr w:type="spellStart"/>
      <w:r w:rsidR="00EC5F52">
        <w:t>Astrolabij</w:t>
      </w:r>
      <w:proofErr w:type="spellEnd"/>
      <w:r w:rsidR="00EC5F52">
        <w:t xml:space="preserve">. </w:t>
      </w:r>
      <w:proofErr w:type="spellStart"/>
      <w:r w:rsidR="00EC5F52">
        <w:t>apparet</w:t>
      </w:r>
      <w:proofErr w:type="spellEnd"/>
      <w:r w:rsidR="00EC5F52">
        <w:t xml:space="preserve"> legendum esse</w:t>
      </w:r>
      <w:r w:rsidR="00E46BEC">
        <w:t xml:space="preserve"> </w:t>
      </w:r>
      <w:proofErr w:type="spellStart"/>
      <w:r w:rsidR="00E46BEC" w:rsidRPr="00E46BEC">
        <w:t>διο</w:t>
      </w:r>
      <w:proofErr w:type="spellEnd"/>
      <w:r w:rsidR="00E46BEC" w:rsidRPr="00E46BEC">
        <w:t xml:space="preserve">πτρᾳ γαρ </w:t>
      </w:r>
      <w:proofErr w:type="spellStart"/>
      <w:r w:rsidR="00E46BEC" w:rsidRPr="00E46BEC">
        <w:t>διῃρητ</w:t>
      </w:r>
      <w:proofErr w:type="spellEnd"/>
      <w:r w:rsidR="00E46BEC" w:rsidRPr="00E46BEC">
        <w:t>α</w:t>
      </w:r>
      <w:r w:rsidR="00BC5D3C" w:rsidRPr="000A1B80">
        <w:t>ι</w:t>
      </w:r>
      <w:r w:rsidR="00E46BEC">
        <w:rPr>
          <w:rStyle w:val="FootnoteReference"/>
        </w:rPr>
        <w:footnoteReference w:id="50"/>
      </w:r>
      <w:r w:rsidR="00EC5F52">
        <w:t xml:space="preserve"> </w:t>
      </w:r>
    </w:p>
    <w:p w14:paraId="4AF666A0" w14:textId="3FB6E72F" w:rsidR="00BC5D3C" w:rsidRDefault="00BC5D3C" w:rsidP="00D55A7C">
      <w:pPr>
        <w:spacing w:line="480" w:lineRule="auto"/>
        <w:ind w:left="720"/>
        <w:jc w:val="both"/>
      </w:pPr>
    </w:p>
    <w:p w14:paraId="63A38736" w14:textId="507EE3FD" w:rsidR="00DD5D6F" w:rsidRPr="00B12BAF" w:rsidRDefault="005F1171" w:rsidP="00D55A7C">
      <w:pPr>
        <w:spacing w:line="480" w:lineRule="auto"/>
        <w:ind w:left="720"/>
        <w:jc w:val="both"/>
      </w:pPr>
      <w:r>
        <w:t xml:space="preserve">Thus, the </w:t>
      </w:r>
      <w:proofErr w:type="gramStart"/>
      <w:r>
        <w:t>twel</w:t>
      </w:r>
      <w:r w:rsidR="00DD5D6F">
        <w:t>fth-</w:t>
      </w:r>
      <w:r>
        <w:t>parts</w:t>
      </w:r>
      <w:proofErr w:type="gramEnd"/>
      <w:r>
        <w:t xml:space="preserve"> are in equal size</w:t>
      </w:r>
      <w:r w:rsidR="00DD5D6F">
        <w:t xml:space="preserve">: for the circle of the signs has been divided into 12 equal parts by means of the </w:t>
      </w:r>
      <w:proofErr w:type="spellStart"/>
      <w:r w:rsidR="00DD5D6F" w:rsidRPr="00DD5D6F">
        <w:rPr>
          <w:i/>
          <w:iCs/>
        </w:rPr>
        <w:t>dioptra</w:t>
      </w:r>
      <w:proofErr w:type="spellEnd"/>
      <w:r w:rsidR="00DD5D6F">
        <w:t xml:space="preserve">. The twelfth parts are equal according to the size of the </w:t>
      </w:r>
      <w:proofErr w:type="gramStart"/>
      <w:r w:rsidR="00DD5D6F">
        <w:t>sigs, and</w:t>
      </w:r>
      <w:proofErr w:type="gramEnd"/>
      <w:r w:rsidR="00DD5D6F">
        <w:t xml:space="preserve"> are separated </w:t>
      </w:r>
      <w:r w:rsidR="00B12BAF">
        <w:t xml:space="preserve">into 12 equal parts by the </w:t>
      </w:r>
      <w:r w:rsidR="00F951AF">
        <w:t>measure</w:t>
      </w:r>
      <w:r w:rsidR="00B12BAF">
        <w:t xml:space="preserve"> of the </w:t>
      </w:r>
      <w:r w:rsidR="00B12BAF" w:rsidRPr="00B12BAF">
        <w:rPr>
          <w:i/>
          <w:iCs/>
        </w:rPr>
        <w:t>astrolabe</w:t>
      </w:r>
      <w:r w:rsidR="00B12BAF">
        <w:t xml:space="preserve">. </w:t>
      </w:r>
      <w:proofErr w:type="gramStart"/>
      <w:r w:rsidR="00B12BAF">
        <w:t>It is clear that we</w:t>
      </w:r>
      <w:proofErr w:type="gramEnd"/>
      <w:r w:rsidR="00B12BAF">
        <w:t xml:space="preserve"> should read “is divided by the </w:t>
      </w:r>
      <w:proofErr w:type="spellStart"/>
      <w:r w:rsidR="00B12BAF" w:rsidRPr="00E46BEC">
        <w:t>διῃρητ</w:t>
      </w:r>
      <w:proofErr w:type="spellEnd"/>
      <w:r w:rsidR="00B12BAF" w:rsidRPr="00E46BEC">
        <w:t>α</w:t>
      </w:r>
      <w:r w:rsidR="00B12BAF" w:rsidRPr="000A1B80">
        <w:t>ι</w:t>
      </w:r>
      <w:r w:rsidR="00B12BAF">
        <w:t>”.</w:t>
      </w:r>
      <w:r w:rsidR="001434DE">
        <w:rPr>
          <w:rStyle w:val="FootnoteReference"/>
        </w:rPr>
        <w:footnoteReference w:id="51"/>
      </w:r>
    </w:p>
    <w:p w14:paraId="74C57F6B" w14:textId="7AEE4FDE" w:rsidR="00EC5F52" w:rsidRDefault="00EC5F52" w:rsidP="00D55A7C">
      <w:pPr>
        <w:spacing w:line="480" w:lineRule="auto"/>
        <w:jc w:val="both"/>
      </w:pPr>
    </w:p>
    <w:p w14:paraId="7D1C929C" w14:textId="35432CE9" w:rsidR="00AC6B3F" w:rsidRDefault="00AC6B3F" w:rsidP="00D55A7C">
      <w:pPr>
        <w:spacing w:line="480" w:lineRule="auto"/>
        <w:jc w:val="both"/>
      </w:pPr>
      <w:r>
        <w:t xml:space="preserve">The </w:t>
      </w:r>
      <w:proofErr w:type="spellStart"/>
      <w:r w:rsidRPr="00AC6B3F">
        <w:rPr>
          <w:i/>
          <w:iCs/>
        </w:rPr>
        <w:t>dioptra</w:t>
      </w:r>
      <w:proofErr w:type="spellEnd"/>
      <w:r>
        <w:t xml:space="preserve"> (</w:t>
      </w:r>
      <w:proofErr w:type="spellStart"/>
      <w:r w:rsidRPr="00E46BEC">
        <w:t>διο</w:t>
      </w:r>
      <w:proofErr w:type="spellEnd"/>
      <w:r w:rsidRPr="00E46BEC">
        <w:t>πτρ</w:t>
      </w:r>
      <w:r w:rsidRPr="000A1B80">
        <w:t>α</w:t>
      </w:r>
      <w:r>
        <w:t xml:space="preserve">) </w:t>
      </w:r>
      <w:r w:rsidR="00CA37C5">
        <w:t xml:space="preserve">was an instrument </w:t>
      </w:r>
      <w:r w:rsidR="002F5519">
        <w:t>used to view the celestial bodies, ‘a rod with</w:t>
      </w:r>
      <w:r w:rsidR="00CB39D1">
        <w:t xml:space="preserve"> equipped with two sights’</w:t>
      </w:r>
      <w:r w:rsidR="002F5519">
        <w:t xml:space="preserve"> suggesting, in its root sense, something that the viewer looks through. </w:t>
      </w:r>
      <w:r w:rsidR="00CB39D1">
        <w:t>As Evans and Berggren explain, ‘in its</w:t>
      </w:r>
      <w:r w:rsidR="00DE6255">
        <w:t xml:space="preserve"> simplest version, the </w:t>
      </w:r>
      <w:proofErr w:type="spellStart"/>
      <w:r w:rsidR="00DE6255" w:rsidRPr="00DE6255">
        <w:rPr>
          <w:i/>
          <w:iCs/>
        </w:rPr>
        <w:t>dioptra</w:t>
      </w:r>
      <w:proofErr w:type="spellEnd"/>
      <w:r w:rsidR="00DE6255">
        <w:t xml:space="preserve"> could be aimed at a star and clamped in position. A teacher could use it to point out a particular star to students. If one then waited for 10 or 20 minutes, the star would have moved out of the sighting tube: in this way the motion of the celestial sphere could be demonstrated’.</w:t>
      </w:r>
      <w:r w:rsidR="00DE6255">
        <w:rPr>
          <w:rStyle w:val="FootnoteReference"/>
        </w:rPr>
        <w:footnoteReference w:id="52"/>
      </w:r>
    </w:p>
    <w:p w14:paraId="6F00A03B" w14:textId="19DBC66B" w:rsidR="00BC5AF9" w:rsidRDefault="002B15B1" w:rsidP="00D55A7C">
      <w:pPr>
        <w:spacing w:line="480" w:lineRule="auto"/>
        <w:ind w:firstLine="720"/>
        <w:jc w:val="both"/>
      </w:pPr>
      <w:r>
        <w:lastRenderedPageBreak/>
        <w:t>As noted, the</w:t>
      </w:r>
      <w:r w:rsidR="00EC5F52">
        <w:t xml:space="preserve"> copy of Geminus now</w:t>
      </w:r>
      <w:r>
        <w:t xml:space="preserve"> found</w:t>
      </w:r>
      <w:r w:rsidR="00EC5F52">
        <w:t xml:space="preserve"> </w:t>
      </w:r>
      <w:r w:rsidR="0079527B">
        <w:t xml:space="preserve">in Savile Manuscript 10 </w:t>
      </w:r>
      <w:r w:rsidR="00EC5F52">
        <w:t xml:space="preserve">has the mangled </w:t>
      </w:r>
      <w:proofErr w:type="spellStart"/>
      <w:r w:rsidR="008261BE" w:rsidRPr="000A1B80">
        <w:t>διο</w:t>
      </w:r>
      <w:proofErr w:type="spellEnd"/>
      <w:r w:rsidR="008261BE" w:rsidRPr="000A1B80">
        <w:t>περ...</w:t>
      </w:r>
      <w:proofErr w:type="gramStart"/>
      <w:r w:rsidR="008261BE" w:rsidRPr="000A1B80">
        <w:t>α</w:t>
      </w:r>
      <w:r w:rsidR="008261BE">
        <w:t xml:space="preserve">, </w:t>
      </w:r>
      <w:r w:rsidR="00EC5F52">
        <w:t>but</w:t>
      </w:r>
      <w:proofErr w:type="gramEnd"/>
      <w:r w:rsidR="00EC5F52">
        <w:t xml:space="preserve"> includes the following marginal note: ‘s</w:t>
      </w:r>
      <w:r w:rsidR="00EC5F52" w:rsidRPr="00EC5F52">
        <w:rPr>
          <w:i/>
          <w:iCs/>
        </w:rPr>
        <w:t>cilicet</w:t>
      </w:r>
      <w:r w:rsidR="00EC5F52">
        <w:t xml:space="preserve"> </w:t>
      </w:r>
      <w:proofErr w:type="spellStart"/>
      <w:r w:rsidR="009556CB" w:rsidRPr="009556CB">
        <w:t>διο</w:t>
      </w:r>
      <w:proofErr w:type="spellEnd"/>
      <w:r w:rsidR="009556CB" w:rsidRPr="009556CB">
        <w:t>πτρᾳ</w:t>
      </w:r>
      <w:r w:rsidR="009556CB">
        <w:t>’.</w:t>
      </w:r>
      <w:r w:rsidR="00270DA5">
        <w:rPr>
          <w:rStyle w:val="FootnoteReference"/>
        </w:rPr>
        <w:footnoteReference w:id="53"/>
      </w:r>
      <w:r w:rsidR="00BC5AF9">
        <w:t xml:space="preserve"> </w:t>
      </w:r>
      <w:r w:rsidR="00822F98">
        <w:t xml:space="preserve">Intriguingly, </w:t>
      </w:r>
      <w:r w:rsidR="00BC5AF9">
        <w:t>however, the reading</w:t>
      </w:r>
      <w:r w:rsidR="00822F98">
        <w:t xml:space="preserve"> ‘</w:t>
      </w:r>
      <w:proofErr w:type="spellStart"/>
      <w:r w:rsidR="00822F98" w:rsidRPr="00E46BEC">
        <w:t>διο</w:t>
      </w:r>
      <w:proofErr w:type="spellEnd"/>
      <w:r w:rsidR="00822F98" w:rsidRPr="00E46BEC">
        <w:t>πτρᾳ</w:t>
      </w:r>
      <w:r w:rsidR="00822F98">
        <w:t>’ appears in the</w:t>
      </w:r>
      <w:r w:rsidR="00BC5AF9">
        <w:t xml:space="preserve"> main text of the</w:t>
      </w:r>
      <w:r w:rsidR="00822F98">
        <w:t xml:space="preserve"> fair copies of the Greek Geminus now preserved at the Ambrosiana. </w:t>
      </w:r>
      <w:r w:rsidR="00BC5AF9">
        <w:t>Might this suggest then that Henry Savile had conjectured ‘</w:t>
      </w:r>
      <w:proofErr w:type="spellStart"/>
      <w:r w:rsidR="00BC5AF9" w:rsidRPr="009556CB">
        <w:t>διο</w:t>
      </w:r>
      <w:proofErr w:type="spellEnd"/>
      <w:r w:rsidR="00BC5AF9" w:rsidRPr="009556CB">
        <w:t>πτρᾳ</w:t>
      </w:r>
      <w:r w:rsidR="00BC5AF9">
        <w:t xml:space="preserve">’ even before Thomas had consulted the de Balmes translation? </w:t>
      </w:r>
      <w:r w:rsidR="007B63E2">
        <w:t>Or was Thomas amending the Viennese manuscript of Geminus upon his return to Oxford, fresh from his study of the De Balmes translation</w:t>
      </w:r>
      <w:r w:rsidR="0079527B">
        <w:t xml:space="preserve"> at Pinelli’s library</w:t>
      </w:r>
      <w:r w:rsidR="007B63E2">
        <w:t xml:space="preserve">? </w:t>
      </w:r>
      <w:r w:rsidR="0079527B">
        <w:t>A note in Thomas’s hand in Savile Manuscript 10 suggests the latter</w:t>
      </w:r>
      <w:r w:rsidR="00CF5A9C">
        <w:t xml:space="preserve"> scenario</w:t>
      </w:r>
      <w:r w:rsidR="0079527B">
        <w:t>: ‘l</w:t>
      </w:r>
      <w:r w:rsidR="0079527B" w:rsidRPr="0002306B">
        <w:rPr>
          <w:i/>
        </w:rPr>
        <w:t>egendum</w:t>
      </w:r>
      <w:r w:rsidR="0079527B">
        <w:rPr>
          <w:i/>
        </w:rPr>
        <w:t xml:space="preserve"> </w:t>
      </w:r>
      <w:proofErr w:type="spellStart"/>
      <w:r w:rsidR="0079527B">
        <w:t>των</w:t>
      </w:r>
      <w:proofErr w:type="spellEnd"/>
      <w:r w:rsidR="0079527B">
        <w:t xml:space="preserve"> </w:t>
      </w:r>
      <w:proofErr w:type="spellStart"/>
      <w:r w:rsidR="0079527B" w:rsidRPr="00B14F51">
        <w:t>ζωδιων</w:t>
      </w:r>
      <w:proofErr w:type="spellEnd"/>
      <w:r w:rsidR="0079527B">
        <w:t xml:space="preserve"> ex arabica </w:t>
      </w:r>
      <w:proofErr w:type="spellStart"/>
      <w:r w:rsidR="0079527B">
        <w:t>uersione</w:t>
      </w:r>
      <w:proofErr w:type="spellEnd"/>
      <w:r w:rsidR="0079527B">
        <w:t xml:space="preserve"> J</w:t>
      </w:r>
      <w:r w:rsidR="0079527B">
        <w:rPr>
          <w:i/>
        </w:rPr>
        <w:t>o</w:t>
      </w:r>
      <w:r w:rsidR="0079527B" w:rsidRPr="0002306B">
        <w:rPr>
          <w:i/>
        </w:rPr>
        <w:t>annis</w:t>
      </w:r>
      <w:r w:rsidR="0079527B">
        <w:t xml:space="preserve"> V</w:t>
      </w:r>
      <w:r w:rsidR="0079527B" w:rsidRPr="0002306B">
        <w:rPr>
          <w:i/>
        </w:rPr>
        <w:t>incenti</w:t>
      </w:r>
      <w:r w:rsidR="0079527B">
        <w:t xml:space="preserve"> Pin</w:t>
      </w:r>
      <w:r w:rsidR="0079527B" w:rsidRPr="0002306B">
        <w:rPr>
          <w:i/>
        </w:rPr>
        <w:t>elli</w:t>
      </w:r>
      <w:r w:rsidR="0079527B">
        <w:t>’ (‘one should read “of the signs of the zodiac” – from the Arabic version of Joannis Vincentius Pinellus’).</w:t>
      </w:r>
      <w:r w:rsidR="0079527B">
        <w:rPr>
          <w:rStyle w:val="FootnoteReference"/>
        </w:rPr>
        <w:footnoteReference w:id="54"/>
      </w:r>
      <w:r w:rsidR="00CF5A9C">
        <w:t xml:space="preserve"> </w:t>
      </w:r>
      <w:r w:rsidR="00BC5AF9">
        <w:t xml:space="preserve">Thomas </w:t>
      </w:r>
      <w:r w:rsidR="0079527B">
        <w:t xml:space="preserve">appears to have </w:t>
      </w:r>
      <w:r w:rsidR="00BC5AF9">
        <w:t>added this note following his consultation of the de Balmes translation at Pinelli’s library</w:t>
      </w:r>
      <w:r w:rsidR="00CF5A9C">
        <w:t xml:space="preserve">. </w:t>
      </w:r>
    </w:p>
    <w:p w14:paraId="464430B6" w14:textId="55DBAACC" w:rsidR="0029653E" w:rsidRDefault="007B63E2" w:rsidP="00D55A7C">
      <w:pPr>
        <w:spacing w:line="480" w:lineRule="auto"/>
        <w:ind w:firstLine="720"/>
        <w:jc w:val="both"/>
      </w:pPr>
      <w:r>
        <w:t xml:space="preserve">Thomas </w:t>
      </w:r>
      <w:r w:rsidR="0029653E">
        <w:t>makes a similar emendation to</w:t>
      </w:r>
      <w:r w:rsidR="0079527B">
        <w:t xml:space="preserve"> the Greek in </w:t>
      </w:r>
      <w:r w:rsidR="00CF5A9C">
        <w:t>the</w:t>
      </w:r>
      <w:r w:rsidR="0079527B">
        <w:t xml:space="preserve"> following</w:t>
      </w:r>
      <w:r w:rsidR="0029653E">
        <w:t xml:space="preserve"> section</w:t>
      </w:r>
      <w:r w:rsidR="0079527B">
        <w:t xml:space="preserve">, again </w:t>
      </w:r>
      <w:r w:rsidR="00E311A5">
        <w:t>with an appeal to de Balmes</w:t>
      </w:r>
      <w:r w:rsidR="0029653E">
        <w:t xml:space="preserve">: </w:t>
      </w:r>
    </w:p>
    <w:p w14:paraId="411BF2E2" w14:textId="77777777" w:rsidR="0029653E" w:rsidRDefault="0029653E" w:rsidP="00D55A7C">
      <w:pPr>
        <w:spacing w:line="480" w:lineRule="auto"/>
        <w:jc w:val="both"/>
      </w:pPr>
    </w:p>
    <w:p w14:paraId="7F5DD039" w14:textId="1B220690" w:rsidR="0029653E" w:rsidRDefault="0029653E" w:rsidP="00D55A7C">
      <w:pPr>
        <w:spacing w:line="480" w:lineRule="auto"/>
        <w:ind w:left="720"/>
        <w:jc w:val="both"/>
      </w:pPr>
      <w:r w:rsidRPr="0029653E">
        <w:t xml:space="preserve">τα </w:t>
      </w:r>
      <w:proofErr w:type="spellStart"/>
      <w:r w:rsidRPr="0029653E">
        <w:t>δε</w:t>
      </w:r>
      <w:proofErr w:type="spellEnd"/>
      <w:r w:rsidRPr="0029653E">
        <w:t xml:space="preserve"> κα</w:t>
      </w:r>
      <w:proofErr w:type="spellStart"/>
      <w:r w:rsidRPr="0029653E">
        <w:t>τεστηριγμεν</w:t>
      </w:r>
      <w:proofErr w:type="spellEnd"/>
      <w:r w:rsidRPr="0029653E">
        <w:t>α</w:t>
      </w:r>
      <w:r>
        <w:t xml:space="preserve">. Arabs: signa </w:t>
      </w:r>
      <w:proofErr w:type="spellStart"/>
      <w:r>
        <w:t>uero</w:t>
      </w:r>
      <w:proofErr w:type="spellEnd"/>
      <w:r>
        <w:t xml:space="preserve"> </w:t>
      </w:r>
      <w:proofErr w:type="spellStart"/>
      <w:r>
        <w:t>quæ</w:t>
      </w:r>
      <w:proofErr w:type="spellEnd"/>
      <w:r>
        <w:t xml:space="preserve"> </w:t>
      </w:r>
      <w:proofErr w:type="spellStart"/>
      <w:r>
        <w:t>describunt</w:t>
      </w:r>
      <w:r w:rsidRPr="0029653E">
        <w:rPr>
          <w:i/>
          <w:iCs/>
        </w:rPr>
        <w:t>u</w:t>
      </w:r>
      <w:r>
        <w:t>r</w:t>
      </w:r>
      <w:proofErr w:type="spellEnd"/>
      <w:r>
        <w:t xml:space="preserve"> </w:t>
      </w:r>
      <w:proofErr w:type="spellStart"/>
      <w:r>
        <w:t>stellis</w:t>
      </w:r>
      <w:proofErr w:type="spellEnd"/>
      <w:r>
        <w:t xml:space="preserve"> etc. </w:t>
      </w:r>
      <w:proofErr w:type="spellStart"/>
      <w:r>
        <w:t>apparet</w:t>
      </w:r>
      <w:proofErr w:type="spellEnd"/>
      <w:r>
        <w:t xml:space="preserve"> </w:t>
      </w:r>
      <w:proofErr w:type="spellStart"/>
      <w:r w:rsidR="00E11234" w:rsidRPr="00E11234">
        <w:rPr>
          <w:vertAlign w:val="superscript"/>
        </w:rPr>
        <w:t>eum</w:t>
      </w:r>
      <w:proofErr w:type="spellEnd"/>
      <w:r w:rsidR="00E11234">
        <w:t xml:space="preserve"> </w:t>
      </w:r>
      <w:proofErr w:type="spellStart"/>
      <w:r w:rsidR="00E11234">
        <w:t>legisse</w:t>
      </w:r>
      <w:proofErr w:type="spellEnd"/>
      <w:r w:rsidR="00E11234">
        <w:t xml:space="preserve"> </w:t>
      </w:r>
      <w:r w:rsidR="00E11234" w:rsidRPr="00E11234">
        <w:t>κα</w:t>
      </w:r>
      <w:proofErr w:type="spellStart"/>
      <w:r w:rsidR="00E11234" w:rsidRPr="00E11234">
        <w:t>τηστερισμεν</w:t>
      </w:r>
      <w:proofErr w:type="spellEnd"/>
      <w:r w:rsidR="00E11234" w:rsidRPr="00E11234">
        <w:t>α</w:t>
      </w:r>
      <w:r w:rsidR="00E11234">
        <w:t xml:space="preserve">, quomodo </w:t>
      </w:r>
      <w:proofErr w:type="spellStart"/>
      <w:r w:rsidR="00E11234">
        <w:t>nos</w:t>
      </w:r>
      <w:proofErr w:type="spellEnd"/>
      <w:r w:rsidR="00E11234">
        <w:t xml:space="preserve"> legendu</w:t>
      </w:r>
      <w:r w:rsidR="00E11234" w:rsidRPr="00E11234">
        <w:rPr>
          <w:i/>
          <w:iCs/>
        </w:rPr>
        <w:t>m</w:t>
      </w:r>
      <w:r w:rsidR="00E11234">
        <w:t xml:space="preserve"> </w:t>
      </w:r>
      <w:proofErr w:type="spellStart"/>
      <w:r w:rsidR="00E11234">
        <w:t>coniecimus</w:t>
      </w:r>
      <w:proofErr w:type="spellEnd"/>
      <w:r w:rsidR="00822F98">
        <w:rPr>
          <w:rStyle w:val="FootnoteReference"/>
        </w:rPr>
        <w:footnoteReference w:id="55"/>
      </w:r>
    </w:p>
    <w:p w14:paraId="1A4A57A2" w14:textId="6B5E78DC" w:rsidR="0029653E" w:rsidRDefault="0029653E" w:rsidP="00D55A7C">
      <w:pPr>
        <w:spacing w:line="480" w:lineRule="auto"/>
        <w:jc w:val="both"/>
      </w:pPr>
    </w:p>
    <w:p w14:paraId="224F8CC1" w14:textId="086A1D3F" w:rsidR="00355526" w:rsidRDefault="00355526" w:rsidP="00D55A7C">
      <w:pPr>
        <w:spacing w:line="480" w:lineRule="auto"/>
        <w:ind w:left="720"/>
        <w:jc w:val="both"/>
      </w:pPr>
      <w:r>
        <w:t xml:space="preserve">the </w:t>
      </w:r>
      <w:proofErr w:type="spellStart"/>
      <w:r>
        <w:t>katestērigmena</w:t>
      </w:r>
      <w:proofErr w:type="spellEnd"/>
      <w:r>
        <w:t xml:space="preserve">. The Arab [translator] gives: signs which are assigned to the stars etc. it is clear then that he read </w:t>
      </w:r>
      <w:r w:rsidRPr="00E11234">
        <w:t>κα</w:t>
      </w:r>
      <w:proofErr w:type="spellStart"/>
      <w:r w:rsidRPr="00E11234">
        <w:t>τηστερισμεν</w:t>
      </w:r>
      <w:proofErr w:type="spellEnd"/>
      <w:r w:rsidRPr="00E11234">
        <w:t>α</w:t>
      </w:r>
      <w:r w:rsidR="00C523A7">
        <w:t xml:space="preserve">, which is how we have conjectured that </w:t>
      </w:r>
      <w:proofErr w:type="gramStart"/>
      <w:r w:rsidR="00C523A7">
        <w:t>is should be</w:t>
      </w:r>
      <w:proofErr w:type="gramEnd"/>
      <w:r w:rsidR="00C523A7">
        <w:t xml:space="preserve"> read.</w:t>
      </w:r>
    </w:p>
    <w:p w14:paraId="2236ED9E" w14:textId="30469A65" w:rsidR="00C523A7" w:rsidRDefault="00C523A7" w:rsidP="00D55A7C">
      <w:pPr>
        <w:spacing w:line="480" w:lineRule="auto"/>
        <w:jc w:val="both"/>
      </w:pPr>
    </w:p>
    <w:p w14:paraId="2D8E728D" w14:textId="732B5637" w:rsidR="00355526" w:rsidRDefault="00C523A7" w:rsidP="00D55A7C">
      <w:pPr>
        <w:spacing w:line="480" w:lineRule="auto"/>
        <w:jc w:val="both"/>
      </w:pPr>
      <w:r>
        <w:lastRenderedPageBreak/>
        <w:t xml:space="preserve">Translated by </w:t>
      </w:r>
      <w:proofErr w:type="spellStart"/>
      <w:r>
        <w:t>Aujac</w:t>
      </w:r>
      <w:proofErr w:type="spellEnd"/>
      <w:r>
        <w:t xml:space="preserve"> as ‘les </w:t>
      </w:r>
      <w:proofErr w:type="spellStart"/>
      <w:r>
        <w:t>signes</w:t>
      </w:r>
      <w:proofErr w:type="spellEnd"/>
      <w:r>
        <w:t xml:space="preserve">-constellations’ (p.1), and later by Evans and Berggren as ‘constellation-signs’ (p.113), </w:t>
      </w:r>
      <w:proofErr w:type="spellStart"/>
      <w:r>
        <w:t>Geminos</w:t>
      </w:r>
      <w:proofErr w:type="spellEnd"/>
      <w:r>
        <w:t xml:space="preserve"> refers here to the signs of the Zodiac. </w:t>
      </w:r>
      <w:proofErr w:type="spellStart"/>
      <w:r w:rsidR="00A23D60">
        <w:t>Aujac</w:t>
      </w:r>
      <w:proofErr w:type="spellEnd"/>
      <w:r w:rsidR="00A23D60">
        <w:t xml:space="preserve"> notes that manuscripts two of the oldest manuscripts extant (A and B), both dated to the first decades of the fourteenth century, preserved at the </w:t>
      </w:r>
      <w:proofErr w:type="spellStart"/>
      <w:r w:rsidR="00A23D60">
        <w:t>Topkapi</w:t>
      </w:r>
      <w:proofErr w:type="spellEnd"/>
      <w:r w:rsidR="00A23D60">
        <w:t xml:space="preserve"> Palace Museum, Istanbul and the Vatican Library respectively, have </w:t>
      </w:r>
      <w:r w:rsidR="00A23D60" w:rsidRPr="0029653E">
        <w:t>κα</w:t>
      </w:r>
      <w:proofErr w:type="spellStart"/>
      <w:r w:rsidR="00A23D60" w:rsidRPr="0029653E">
        <w:t>τεστηριγμεν</w:t>
      </w:r>
      <w:proofErr w:type="spellEnd"/>
      <w:r w:rsidR="00A23D60" w:rsidRPr="0029653E">
        <w:t>α</w:t>
      </w:r>
      <w:r w:rsidR="00A23D60">
        <w:t xml:space="preserve">. A later witness (M), however, preserved at the Biblioteca Marciana and dated to around 1380, has </w:t>
      </w:r>
      <w:r w:rsidR="00A23D60" w:rsidRPr="00E11234">
        <w:t>κα</w:t>
      </w:r>
      <w:proofErr w:type="spellStart"/>
      <w:r w:rsidR="00A23D60" w:rsidRPr="00E11234">
        <w:t>τηστερισμεν</w:t>
      </w:r>
      <w:proofErr w:type="spellEnd"/>
      <w:r w:rsidR="00A23D60" w:rsidRPr="00E11234">
        <w:t>α</w:t>
      </w:r>
      <w:r w:rsidR="00A23D60">
        <w:t>, as Savile gives here.</w:t>
      </w:r>
      <w:r w:rsidR="00A23D60">
        <w:rPr>
          <w:rStyle w:val="FootnoteReference"/>
        </w:rPr>
        <w:footnoteReference w:id="56"/>
      </w:r>
      <w:r w:rsidR="00A23D60">
        <w:t xml:space="preserve"> </w:t>
      </w:r>
      <w:r w:rsidR="00355526">
        <w:t>Although not replaced</w:t>
      </w:r>
      <w:r>
        <w:t xml:space="preserve"> entirely</w:t>
      </w:r>
      <w:r w:rsidR="00355526">
        <w:t>, ‘</w:t>
      </w:r>
      <w:r w:rsidR="00355526" w:rsidRPr="0029653E">
        <w:t>κα</w:t>
      </w:r>
      <w:proofErr w:type="spellStart"/>
      <w:r w:rsidR="00355526" w:rsidRPr="0029653E">
        <w:t>τεστηριγμεν</w:t>
      </w:r>
      <w:proofErr w:type="spellEnd"/>
      <w:r w:rsidR="00355526" w:rsidRPr="0029653E">
        <w:t>α</w:t>
      </w:r>
      <w:r w:rsidR="00355526">
        <w:t>’ has been underlined in both black and red</w:t>
      </w:r>
      <w:r>
        <w:t xml:space="preserve"> ink</w:t>
      </w:r>
      <w:r w:rsidR="00355526">
        <w:t xml:space="preserve"> in the Viennese copy of the </w:t>
      </w:r>
      <w:r w:rsidR="00355526" w:rsidRPr="007B63E2">
        <w:rPr>
          <w:i/>
          <w:iCs/>
        </w:rPr>
        <w:t>Phaenomena</w:t>
      </w:r>
      <w:r w:rsidR="00355526">
        <w:t xml:space="preserve"> now preserved in Bodleian Savile MS 10. Again, it does not seem unreasonable to imagine that Thomas made this annotation following his consultation of the de Balmes translation at Padua. This </w:t>
      </w:r>
      <w:proofErr w:type="gramStart"/>
      <w:r w:rsidR="00355526">
        <w:t>particular emendation</w:t>
      </w:r>
      <w:proofErr w:type="gramEnd"/>
      <w:r w:rsidR="00355526">
        <w:t xml:space="preserve"> would in fact become Savile’s first note in the commentary accompanying his own translation: ‘Ac </w:t>
      </w:r>
      <w:proofErr w:type="spellStart"/>
      <w:r w:rsidR="00355526">
        <w:t>stellis</w:t>
      </w:r>
      <w:proofErr w:type="spellEnd"/>
      <w:r w:rsidR="00355526">
        <w:t xml:space="preserve"> </w:t>
      </w:r>
      <w:proofErr w:type="spellStart"/>
      <w:r w:rsidR="00355526">
        <w:t>formata</w:t>
      </w:r>
      <w:proofErr w:type="spellEnd"/>
      <w:r w:rsidR="00355526">
        <w:t xml:space="preserve">] </w:t>
      </w:r>
      <w:r w:rsidR="00355526" w:rsidRPr="0029653E">
        <w:t>κα</w:t>
      </w:r>
      <w:proofErr w:type="spellStart"/>
      <w:r w:rsidR="00355526" w:rsidRPr="0029653E">
        <w:t>τεστηριγμεν</w:t>
      </w:r>
      <w:proofErr w:type="spellEnd"/>
      <w:r w:rsidR="00355526" w:rsidRPr="0029653E">
        <w:t>α</w:t>
      </w:r>
      <w:r w:rsidR="00355526">
        <w:t xml:space="preserve">. </w:t>
      </w:r>
      <w:proofErr w:type="spellStart"/>
      <w:r w:rsidR="00355526">
        <w:t>sed</w:t>
      </w:r>
      <w:proofErr w:type="spellEnd"/>
      <w:r w:rsidR="00355526">
        <w:t xml:space="preserve"> legendum, </w:t>
      </w:r>
      <w:proofErr w:type="spellStart"/>
      <w:r w:rsidR="00355526">
        <w:t>ut</w:t>
      </w:r>
      <w:proofErr w:type="spellEnd"/>
      <w:r w:rsidR="00355526">
        <w:t xml:space="preserve"> puto, et hic et ubique </w:t>
      </w:r>
      <w:r w:rsidR="00355526" w:rsidRPr="00E11234">
        <w:t>κα</w:t>
      </w:r>
      <w:proofErr w:type="spellStart"/>
      <w:r w:rsidR="00355526" w:rsidRPr="00E11234">
        <w:t>τηστερισμεν</w:t>
      </w:r>
      <w:proofErr w:type="spellEnd"/>
      <w:r w:rsidR="00355526" w:rsidRPr="00E11234">
        <w:t>α</w:t>
      </w:r>
      <w:r w:rsidR="00A23D60">
        <w:t>’</w:t>
      </w:r>
      <w:r w:rsidR="002923FE">
        <w:t xml:space="preserve"> (‘formations of stars’: </w:t>
      </w:r>
      <w:proofErr w:type="spellStart"/>
      <w:r w:rsidR="002923FE">
        <w:t>katestērigma</w:t>
      </w:r>
      <w:proofErr w:type="spellEnd"/>
      <w:r w:rsidR="002923FE">
        <w:t xml:space="preserve">. But here and throughout we should read, as I think, </w:t>
      </w:r>
      <w:proofErr w:type="spellStart"/>
      <w:r w:rsidR="002923FE">
        <w:t>katēsterismena</w:t>
      </w:r>
      <w:proofErr w:type="spellEnd"/>
      <w:r w:rsidR="002923FE">
        <w:t>’)</w:t>
      </w:r>
      <w:r w:rsidR="00355526">
        <w:t>.</w:t>
      </w:r>
      <w:r w:rsidR="00355526">
        <w:rPr>
          <w:rStyle w:val="FootnoteReference"/>
        </w:rPr>
        <w:footnoteReference w:id="57"/>
      </w:r>
      <w:r w:rsidR="00355526">
        <w:t xml:space="preserve"> </w:t>
      </w:r>
    </w:p>
    <w:p w14:paraId="0A9491DA" w14:textId="4A5952ED" w:rsidR="00121555" w:rsidRDefault="000A7A57" w:rsidP="00D55A7C">
      <w:pPr>
        <w:spacing w:line="480" w:lineRule="auto"/>
        <w:ind w:firstLine="720"/>
        <w:jc w:val="both"/>
      </w:pPr>
      <w:r>
        <w:t xml:space="preserve">Thomas refers to </w:t>
      </w:r>
      <w:r w:rsidR="007F1E35">
        <w:t>the Arabic tradition again in his commentary when he explains two additions made towards the end of the text:</w:t>
      </w:r>
      <w:r w:rsidR="00153E7F">
        <w:t xml:space="preserve"> ‘</w:t>
      </w:r>
      <w:proofErr w:type="spellStart"/>
      <w:r>
        <w:t>Euctemoni</w:t>
      </w:r>
      <w:proofErr w:type="spellEnd"/>
      <w:r>
        <w:t xml:space="preserve"> Auriga] Auriga, </w:t>
      </w:r>
      <w:proofErr w:type="spellStart"/>
      <w:r>
        <w:t>addidimus</w:t>
      </w:r>
      <w:proofErr w:type="spellEnd"/>
      <w:r>
        <w:t xml:space="preserve"> ex Arabica </w:t>
      </w:r>
      <w:proofErr w:type="spellStart"/>
      <w:r>
        <w:t>uersione</w:t>
      </w:r>
      <w:proofErr w:type="spellEnd"/>
      <w:r>
        <w:t xml:space="preserve">, </w:t>
      </w:r>
      <w:proofErr w:type="spellStart"/>
      <w:r>
        <w:t>nam</w:t>
      </w:r>
      <w:proofErr w:type="spellEnd"/>
      <w:r>
        <w:t xml:space="preserve"> in </w:t>
      </w:r>
      <w:proofErr w:type="spellStart"/>
      <w:r>
        <w:t>Graeco</w:t>
      </w:r>
      <w:proofErr w:type="spellEnd"/>
      <w:r>
        <w:t xml:space="preserve"> </w:t>
      </w:r>
      <w:proofErr w:type="spellStart"/>
      <w:r>
        <w:t>deest</w:t>
      </w:r>
      <w:proofErr w:type="spellEnd"/>
      <w:r w:rsidR="00153E7F">
        <w:t>’ (</w:t>
      </w:r>
      <w:proofErr w:type="spellStart"/>
      <w:r w:rsidR="00153E7F">
        <w:t>Euctemon’s</w:t>
      </w:r>
      <w:proofErr w:type="spellEnd"/>
      <w:r w:rsidR="00153E7F">
        <w:t xml:space="preserve"> Auriga: we have added ‘Auriga’ from the Arabic translation); ‘</w:t>
      </w:r>
      <w:r>
        <w:t xml:space="preserve">Sagitta] et </w:t>
      </w:r>
      <w:proofErr w:type="spellStart"/>
      <w:r>
        <w:t>hanc</w:t>
      </w:r>
      <w:proofErr w:type="spellEnd"/>
      <w:r>
        <w:t xml:space="preserve"> </w:t>
      </w:r>
      <w:proofErr w:type="spellStart"/>
      <w:r>
        <w:t>vocem</w:t>
      </w:r>
      <w:proofErr w:type="spellEnd"/>
      <w:r>
        <w:t xml:space="preserve"> ex Arabica </w:t>
      </w:r>
      <w:proofErr w:type="spellStart"/>
      <w:r>
        <w:t>versione</w:t>
      </w:r>
      <w:proofErr w:type="spellEnd"/>
      <w:r>
        <w:t xml:space="preserve"> </w:t>
      </w:r>
      <w:proofErr w:type="spellStart"/>
      <w:r>
        <w:t>addidimus</w:t>
      </w:r>
      <w:proofErr w:type="spellEnd"/>
      <w:r w:rsidR="00153E7F">
        <w:t>’ (</w:t>
      </w:r>
      <w:r w:rsidR="00F7447F">
        <w:t>‘</w:t>
      </w:r>
      <w:r w:rsidR="00153E7F">
        <w:t>Arrow: we have also added this word from the Arabic translation</w:t>
      </w:r>
      <w:r w:rsidR="00F7447F">
        <w:t>’)</w:t>
      </w:r>
      <w:r w:rsidR="00153E7F">
        <w:t>.</w:t>
      </w:r>
      <w:r w:rsidR="001054E4">
        <w:t xml:space="preserve"> </w:t>
      </w:r>
      <w:r w:rsidR="000D78FF">
        <w:t xml:space="preserve">Once again, Thomas was able to conjecture </w:t>
      </w:r>
      <w:r w:rsidR="001054E4">
        <w:t>how</w:t>
      </w:r>
      <w:r w:rsidR="000D78FF">
        <w:t xml:space="preserve"> </w:t>
      </w:r>
      <w:r w:rsidR="000D78FF">
        <w:lastRenderedPageBreak/>
        <w:t>the Greek text may once have read through his simultaneous reading of the de Balmes translation.</w:t>
      </w:r>
      <w:r w:rsidR="00153E7F">
        <w:rPr>
          <w:rStyle w:val="FootnoteReference"/>
        </w:rPr>
        <w:footnoteReference w:id="58"/>
      </w:r>
      <w:r w:rsidR="000D78FF">
        <w:t xml:space="preserve"> </w:t>
      </w:r>
    </w:p>
    <w:p w14:paraId="4532845D" w14:textId="5BADBC98" w:rsidR="00D5664E" w:rsidRDefault="00D5664E" w:rsidP="00D55A7C">
      <w:pPr>
        <w:spacing w:line="480" w:lineRule="auto"/>
        <w:ind w:firstLine="720"/>
        <w:jc w:val="both"/>
      </w:pPr>
      <w:r>
        <w:t xml:space="preserve">In </w:t>
      </w:r>
      <w:r w:rsidR="00153E7F">
        <w:t xml:space="preserve">consulting the Arabic </w:t>
      </w:r>
      <w:r w:rsidR="002923FE">
        <w:t>reception of Greek scholarship</w:t>
      </w:r>
      <w:r>
        <w:t>, Thomas</w:t>
      </w:r>
      <w:r w:rsidR="00F15D70">
        <w:t xml:space="preserve"> again</w:t>
      </w:r>
      <w:r>
        <w:t xml:space="preserve"> followed in his brother’s footsteps. Ambrosiana MS D243 inf. includes copies of Henry Savile’s </w:t>
      </w:r>
      <w:r w:rsidRPr="0064608E">
        <w:rPr>
          <w:i/>
        </w:rPr>
        <w:t xml:space="preserve">De </w:t>
      </w:r>
      <w:proofErr w:type="spellStart"/>
      <w:r w:rsidRPr="0064608E">
        <w:rPr>
          <w:i/>
        </w:rPr>
        <w:t>Aequiangulis</w:t>
      </w:r>
      <w:proofErr w:type="spellEnd"/>
      <w:r>
        <w:t xml:space="preserve"> and the </w:t>
      </w:r>
      <w:proofErr w:type="spellStart"/>
      <w:r w:rsidRPr="005B4EDA">
        <w:rPr>
          <w:i/>
        </w:rPr>
        <w:t>Examinatio</w:t>
      </w:r>
      <w:proofErr w:type="spellEnd"/>
      <w:r w:rsidRPr="005B4EDA">
        <w:rPr>
          <w:i/>
        </w:rPr>
        <w:t xml:space="preserve"> </w:t>
      </w:r>
      <w:proofErr w:type="spellStart"/>
      <w:r w:rsidRPr="005B4EDA">
        <w:rPr>
          <w:i/>
        </w:rPr>
        <w:t>Quorundam</w:t>
      </w:r>
      <w:proofErr w:type="spellEnd"/>
      <w:r w:rsidRPr="005B4EDA">
        <w:rPr>
          <w:i/>
        </w:rPr>
        <w:t xml:space="preserve"> </w:t>
      </w:r>
      <w:proofErr w:type="spellStart"/>
      <w:r w:rsidRPr="005B4EDA">
        <w:rPr>
          <w:i/>
        </w:rPr>
        <w:t>Aliorum</w:t>
      </w:r>
      <w:proofErr w:type="spellEnd"/>
      <w:r w:rsidRPr="005B4EDA">
        <w:rPr>
          <w:i/>
        </w:rPr>
        <w:t xml:space="preserve"> </w:t>
      </w:r>
      <w:proofErr w:type="spellStart"/>
      <w:r w:rsidRPr="005B4EDA">
        <w:rPr>
          <w:i/>
        </w:rPr>
        <w:t>Locarum</w:t>
      </w:r>
      <w:proofErr w:type="spellEnd"/>
      <w:r>
        <w:rPr>
          <w:i/>
        </w:rPr>
        <w:t xml:space="preserve">, </w:t>
      </w:r>
      <w:r>
        <w:t xml:space="preserve">in which he provides commentary on works by Theon, Eutocius, and </w:t>
      </w:r>
      <w:proofErr w:type="spellStart"/>
      <w:r>
        <w:t>Vitellio</w:t>
      </w:r>
      <w:proofErr w:type="spellEnd"/>
      <w:r>
        <w:t>. These are rough copies and include scribal slips</w:t>
      </w:r>
      <w:r w:rsidR="001054E4">
        <w:t xml:space="preserve"> and </w:t>
      </w:r>
      <w:r>
        <w:t>corrections</w:t>
      </w:r>
      <w:r w:rsidR="000D78FF">
        <w:t>, while</w:t>
      </w:r>
      <w:r>
        <w:t xml:space="preserve"> fair copies of both these works are found in Ambrosiana MS Q122 sup. Henry Savile appealed to a variety of sources when reading Euclid, both ancient and modern, including Arabic commentary in Latin translation. As he explains towards the beginning of the </w:t>
      </w:r>
      <w:r w:rsidRPr="0064608E">
        <w:rPr>
          <w:i/>
        </w:rPr>
        <w:t xml:space="preserve">De </w:t>
      </w:r>
      <w:proofErr w:type="spellStart"/>
      <w:r w:rsidRPr="0064608E">
        <w:rPr>
          <w:i/>
        </w:rPr>
        <w:t>Aequiangulis</w:t>
      </w:r>
      <w:proofErr w:type="spellEnd"/>
      <w:r>
        <w:t xml:space="preserve">, </w:t>
      </w:r>
    </w:p>
    <w:p w14:paraId="3E0CC0EC" w14:textId="77777777" w:rsidR="00D5664E" w:rsidRDefault="00D5664E" w:rsidP="00D55A7C">
      <w:pPr>
        <w:spacing w:line="480" w:lineRule="auto"/>
        <w:jc w:val="both"/>
      </w:pPr>
    </w:p>
    <w:p w14:paraId="0A51EF1C" w14:textId="38555014" w:rsidR="00D5664E" w:rsidRDefault="00D5664E" w:rsidP="00D55A7C">
      <w:pPr>
        <w:spacing w:line="480" w:lineRule="auto"/>
        <w:ind w:left="720"/>
        <w:jc w:val="both"/>
      </w:pPr>
      <w:r>
        <w:t xml:space="preserve">In hoc </w:t>
      </w:r>
      <w:proofErr w:type="spellStart"/>
      <w:r>
        <w:t>igitur</w:t>
      </w:r>
      <w:proofErr w:type="spellEnd"/>
      <w:r>
        <w:t xml:space="preserve"> </w:t>
      </w:r>
      <w:proofErr w:type="spellStart"/>
      <w:r>
        <w:t>postulato</w:t>
      </w:r>
      <w:proofErr w:type="spellEnd"/>
      <w:r>
        <w:t xml:space="preserve"> </w:t>
      </w:r>
      <w:proofErr w:type="spellStart"/>
      <w:r>
        <w:t>uel</w:t>
      </w:r>
      <w:proofErr w:type="spellEnd"/>
      <w:r>
        <w:t xml:space="preserve"> </w:t>
      </w:r>
      <w:proofErr w:type="spellStart"/>
      <w:r>
        <w:t>demonstrando</w:t>
      </w:r>
      <w:proofErr w:type="spellEnd"/>
      <w:r>
        <w:t xml:space="preserve"> </w:t>
      </w:r>
      <w:proofErr w:type="spellStart"/>
      <w:r>
        <w:t>uel</w:t>
      </w:r>
      <w:proofErr w:type="spellEnd"/>
      <w:r>
        <w:t xml:space="preserve"> </w:t>
      </w:r>
      <w:proofErr w:type="spellStart"/>
      <w:r>
        <w:t>declarando</w:t>
      </w:r>
      <w:proofErr w:type="spellEnd"/>
      <w:r>
        <w:t xml:space="preserve"> </w:t>
      </w:r>
      <w:proofErr w:type="spellStart"/>
      <w:r>
        <w:t>elaborant</w:t>
      </w:r>
      <w:proofErr w:type="spellEnd"/>
      <w:r>
        <w:t xml:space="preserve"> </w:t>
      </w:r>
      <w:proofErr w:type="spellStart"/>
      <w:r>
        <w:t>ueteru</w:t>
      </w:r>
      <w:r w:rsidRPr="00E25F01">
        <w:rPr>
          <w:i/>
        </w:rPr>
        <w:t>m</w:t>
      </w:r>
      <w:proofErr w:type="spellEnd"/>
      <w:r>
        <w:t xml:space="preserve"> et </w:t>
      </w:r>
      <w:proofErr w:type="spellStart"/>
      <w:r>
        <w:t>recentiorum</w:t>
      </w:r>
      <w:proofErr w:type="spellEnd"/>
      <w:r>
        <w:t xml:space="preserve"> </w:t>
      </w:r>
      <w:proofErr w:type="spellStart"/>
      <w:r>
        <w:t>plerique</w:t>
      </w:r>
      <w:proofErr w:type="spellEnd"/>
      <w:r>
        <w:t xml:space="preserve">: non </w:t>
      </w:r>
      <w:proofErr w:type="spellStart"/>
      <w:r>
        <w:t>immerito</w:t>
      </w:r>
      <w:proofErr w:type="spellEnd"/>
      <w:r>
        <w:t xml:space="preserve"> […] Proclus </w:t>
      </w:r>
      <w:proofErr w:type="spellStart"/>
      <w:r>
        <w:t>etiam</w:t>
      </w:r>
      <w:proofErr w:type="spellEnd"/>
      <w:r>
        <w:t xml:space="preserve">, et Arabs </w:t>
      </w:r>
      <w:proofErr w:type="spellStart"/>
      <w:r>
        <w:t>quidam</w:t>
      </w:r>
      <w:proofErr w:type="spellEnd"/>
      <w:r>
        <w:t xml:space="preserve">, </w:t>
      </w:r>
      <w:proofErr w:type="spellStart"/>
      <w:r>
        <w:t>cuius</w:t>
      </w:r>
      <w:proofErr w:type="spellEnd"/>
      <w:r>
        <w:t xml:space="preserve"> </w:t>
      </w:r>
      <w:proofErr w:type="spellStart"/>
      <w:r>
        <w:t>com</w:t>
      </w:r>
      <w:r w:rsidRPr="00E25F01">
        <w:rPr>
          <w:i/>
        </w:rPr>
        <w:t>mentarios</w:t>
      </w:r>
      <w:proofErr w:type="spellEnd"/>
      <w:r>
        <w:t xml:space="preserve"> </w:t>
      </w:r>
      <w:proofErr w:type="spellStart"/>
      <w:r>
        <w:t>latine</w:t>
      </w:r>
      <w:proofErr w:type="spellEnd"/>
      <w:r>
        <w:t xml:space="preserve"> </w:t>
      </w:r>
      <w:proofErr w:type="spellStart"/>
      <w:r>
        <w:t>uersos</w:t>
      </w:r>
      <w:proofErr w:type="spellEnd"/>
      <w:r>
        <w:t xml:space="preserve"> in X. </w:t>
      </w:r>
      <w:proofErr w:type="spellStart"/>
      <w:r>
        <w:t>priores</w:t>
      </w:r>
      <w:proofErr w:type="spellEnd"/>
      <w:r>
        <w:t xml:space="preserve"> </w:t>
      </w:r>
      <w:proofErr w:type="spellStart"/>
      <w:r>
        <w:t>libros</w:t>
      </w:r>
      <w:proofErr w:type="spellEnd"/>
      <w:r>
        <w:t xml:space="preserve"> </w:t>
      </w:r>
      <w:proofErr w:type="spellStart"/>
      <w:r>
        <w:t>uidi</w:t>
      </w:r>
      <w:proofErr w:type="spellEnd"/>
      <w:r>
        <w:t xml:space="preserve"> in Germania, </w:t>
      </w:r>
      <w:proofErr w:type="spellStart"/>
      <w:r>
        <w:t>bonam</w:t>
      </w:r>
      <w:proofErr w:type="spellEnd"/>
      <w:r>
        <w:t xml:space="preserve"> in </w:t>
      </w:r>
      <w:proofErr w:type="spellStart"/>
      <w:r>
        <w:t>eodem</w:t>
      </w:r>
      <w:proofErr w:type="spellEnd"/>
      <w:r>
        <w:t xml:space="preserve"> </w:t>
      </w:r>
      <w:proofErr w:type="spellStart"/>
      <w:r>
        <w:t>explicando</w:t>
      </w:r>
      <w:proofErr w:type="spellEnd"/>
      <w:r>
        <w:t xml:space="preserve"> </w:t>
      </w:r>
      <w:proofErr w:type="spellStart"/>
      <w:r>
        <w:t>operam</w:t>
      </w:r>
      <w:proofErr w:type="spellEnd"/>
      <w:r>
        <w:t xml:space="preserve"> </w:t>
      </w:r>
      <w:proofErr w:type="spellStart"/>
      <w:r>
        <w:t>posuerunt</w:t>
      </w:r>
      <w:proofErr w:type="spellEnd"/>
      <w:r>
        <w:t>.</w:t>
      </w:r>
      <w:r>
        <w:rPr>
          <w:rStyle w:val="FootnoteReference"/>
        </w:rPr>
        <w:footnoteReference w:id="59"/>
      </w:r>
    </w:p>
    <w:p w14:paraId="3BEDF2EC" w14:textId="328D118A" w:rsidR="000D78FF" w:rsidRDefault="000D78FF" w:rsidP="00D55A7C">
      <w:pPr>
        <w:spacing w:line="480" w:lineRule="auto"/>
        <w:ind w:left="720"/>
        <w:jc w:val="both"/>
      </w:pPr>
    </w:p>
    <w:p w14:paraId="68E6B1BF" w14:textId="5FB32D47" w:rsidR="000D78FF" w:rsidRDefault="00AE5E9F" w:rsidP="00D55A7C">
      <w:pPr>
        <w:spacing w:line="480" w:lineRule="auto"/>
        <w:ind w:left="720"/>
        <w:jc w:val="both"/>
      </w:pPr>
      <w:r>
        <w:t>(I</w:t>
      </w:r>
      <w:r w:rsidR="007528DE">
        <w:t>n proving or demonstrating this claim</w:t>
      </w:r>
      <w:r>
        <w:t xml:space="preserve"> then</w:t>
      </w:r>
      <w:r w:rsidR="007528DE">
        <w:t xml:space="preserve">, many of the ancients and more recent authors have taken great pains…Proclus too, and a certain Arab author, whose </w:t>
      </w:r>
      <w:r>
        <w:t>commentaries on the first 10 books, translated into Latin, I saw in Germany, have made good effort in explaining the same)</w:t>
      </w:r>
    </w:p>
    <w:p w14:paraId="044EC2B1" w14:textId="77777777" w:rsidR="00D5664E" w:rsidRDefault="00D5664E" w:rsidP="00D55A7C">
      <w:pPr>
        <w:spacing w:line="480" w:lineRule="auto"/>
        <w:jc w:val="both"/>
      </w:pPr>
    </w:p>
    <w:p w14:paraId="5C8FB8A5" w14:textId="1F9AE1E8" w:rsidR="00D5664E" w:rsidRDefault="00D5664E" w:rsidP="00D55A7C">
      <w:pPr>
        <w:spacing w:line="480" w:lineRule="auto"/>
        <w:jc w:val="both"/>
      </w:pPr>
      <w:r>
        <w:lastRenderedPageBreak/>
        <w:t xml:space="preserve">Here, Savile cites Proclus of Byzantium, who composed a commentary on Euclid’s </w:t>
      </w:r>
      <w:r w:rsidRPr="00F77CE6">
        <w:rPr>
          <w:i/>
          <w:iCs/>
        </w:rPr>
        <w:t>Elements</w:t>
      </w:r>
      <w:r>
        <w:t xml:space="preserve"> in the 5</w:t>
      </w:r>
      <w:r w:rsidRPr="00F77CE6">
        <w:rPr>
          <w:vertAlign w:val="superscript"/>
        </w:rPr>
        <w:t>th</w:t>
      </w:r>
      <w:r>
        <w:t xml:space="preserve"> century CE. ‘A certain Arab’ most probably refers to Al-</w:t>
      </w:r>
      <w:proofErr w:type="spellStart"/>
      <w:r>
        <w:t>Nayrizi</w:t>
      </w:r>
      <w:proofErr w:type="spellEnd"/>
      <w:r>
        <w:t xml:space="preserve">, a Persian mathematician whose commentary on the first ten books of the </w:t>
      </w:r>
      <w:r w:rsidRPr="00037B9F">
        <w:rPr>
          <w:i/>
          <w:iCs/>
        </w:rPr>
        <w:t>Elements</w:t>
      </w:r>
      <w:r>
        <w:t xml:space="preserve"> was translated into Latin by Gerard of Cremona. As Savile indicates, he accessed this translation in Germany, not Padua, although Pinelli owned at least on</w:t>
      </w:r>
      <w:r w:rsidR="00252A65">
        <w:t>e</w:t>
      </w:r>
      <w:r>
        <w:t xml:space="preserve"> other of Cremona’s Arabic-to-Latin translations.</w:t>
      </w:r>
      <w:r>
        <w:rPr>
          <w:rStyle w:val="FootnoteReference"/>
        </w:rPr>
        <w:footnoteReference w:id="60"/>
      </w:r>
      <w:r w:rsidR="001054E4">
        <w:t xml:space="preserve"> In his embracing of Arabic scholarship in Latin translation, Thomas echoed his brother’s approach on the Continent almost a decade before. </w:t>
      </w:r>
    </w:p>
    <w:p w14:paraId="6FABCA2D" w14:textId="7DDE00B5" w:rsidR="008441BE" w:rsidRDefault="001054E4" w:rsidP="00D55A7C">
      <w:pPr>
        <w:spacing w:line="480" w:lineRule="auto"/>
        <w:ind w:firstLine="720"/>
        <w:jc w:val="both"/>
      </w:pPr>
      <w:r>
        <w:t xml:space="preserve">Beyond the de Balmes translation, </w:t>
      </w:r>
      <w:r w:rsidR="00062AEA">
        <w:t>Thomas was</w:t>
      </w:r>
      <w:r w:rsidR="00E2292F">
        <w:t xml:space="preserve"> also</w:t>
      </w:r>
      <w:r w:rsidR="00C668AF">
        <w:t xml:space="preserve"> </w:t>
      </w:r>
      <w:r w:rsidR="00062AEA">
        <w:t xml:space="preserve">translating Geminus </w:t>
      </w:r>
      <w:r w:rsidR="0000080D">
        <w:t>with reference to multiple</w:t>
      </w:r>
      <w:r w:rsidR="00062AEA">
        <w:t xml:space="preserve"> Greek and Latin works</w:t>
      </w:r>
      <w:r w:rsidR="0000080D">
        <w:t xml:space="preserve">, </w:t>
      </w:r>
      <w:r w:rsidR="00062AEA">
        <w:t xml:space="preserve">as evinced by the </w:t>
      </w:r>
      <w:r w:rsidR="00D15329">
        <w:t>commentary</w:t>
      </w:r>
      <w:r w:rsidR="00062AEA">
        <w:t xml:space="preserve"> with which he supplemented his translation</w:t>
      </w:r>
      <w:r w:rsidR="00D15329">
        <w:t>.</w:t>
      </w:r>
      <w:r w:rsidR="00062AEA">
        <w:t xml:space="preserve"> </w:t>
      </w:r>
      <w:r w:rsidR="00D15329">
        <w:t>Across a total of 66 notes,</w:t>
      </w:r>
      <w:r w:rsidR="00110BC7">
        <w:t xml:space="preserve"> </w:t>
      </w:r>
      <w:r w:rsidR="00D15329">
        <w:t xml:space="preserve">he </w:t>
      </w:r>
      <w:r w:rsidR="00110BC7">
        <w:t xml:space="preserve">cites </w:t>
      </w:r>
      <w:r w:rsidR="00062AEA">
        <w:t xml:space="preserve">Callimachus, </w:t>
      </w:r>
      <w:r w:rsidR="005C2DAA">
        <w:t>Aristotle</w:t>
      </w:r>
      <w:r w:rsidR="00062AEA">
        <w:t xml:space="preserve">, </w:t>
      </w:r>
      <w:r w:rsidR="00084EF9">
        <w:t xml:space="preserve">Cicero, Ptolemy, </w:t>
      </w:r>
      <w:r w:rsidR="00110BC7">
        <w:t xml:space="preserve">and Dionysius, </w:t>
      </w:r>
      <w:r w:rsidR="008441BE">
        <w:t xml:space="preserve">as well as contemporary authorities, including </w:t>
      </w:r>
      <w:r w:rsidR="00062AEA">
        <w:t>Scaliger</w:t>
      </w:r>
      <w:r w:rsidR="00465E73">
        <w:t xml:space="preserve"> and Casaubon</w:t>
      </w:r>
      <w:r w:rsidR="00062AEA">
        <w:t xml:space="preserve">. </w:t>
      </w:r>
      <w:r w:rsidR="00007464">
        <w:t xml:space="preserve">The commentary is thus also testament to the rich range of comparative texts which Thomas had available to him through private libraries on the Continent, and most especially at </w:t>
      </w:r>
      <w:r w:rsidR="00E2292F">
        <w:t xml:space="preserve">Pinelli’s enormous collection. </w:t>
      </w:r>
      <w:r w:rsidR="00252A65">
        <w:t xml:space="preserve">The section that follows explores how he brought these competing voices to bear in his own </w:t>
      </w:r>
      <w:proofErr w:type="gramStart"/>
      <w:r w:rsidR="00252A65">
        <w:t>translation, and</w:t>
      </w:r>
      <w:proofErr w:type="gramEnd"/>
      <w:r w:rsidR="00252A65">
        <w:t xml:space="preserve"> compares his own style and approach of translation </w:t>
      </w:r>
      <w:r w:rsidR="00E9394E">
        <w:t xml:space="preserve">to that of Edo </w:t>
      </w:r>
      <w:proofErr w:type="spellStart"/>
      <w:r w:rsidR="00E9394E">
        <w:t>Hilderich</w:t>
      </w:r>
      <w:proofErr w:type="spellEnd"/>
      <w:r w:rsidR="00E9394E">
        <w:t xml:space="preserve"> in his Latin version of 1590. </w:t>
      </w:r>
    </w:p>
    <w:p w14:paraId="55B4CA2A" w14:textId="17B71B48" w:rsidR="007B6608" w:rsidRDefault="007B6608" w:rsidP="00D55A7C">
      <w:pPr>
        <w:spacing w:line="480" w:lineRule="auto"/>
        <w:jc w:val="both"/>
      </w:pPr>
    </w:p>
    <w:p w14:paraId="669E5459" w14:textId="6316C733" w:rsidR="00FB3B99" w:rsidRDefault="00FB3B99" w:rsidP="00D55A7C">
      <w:pPr>
        <w:spacing w:line="480" w:lineRule="auto"/>
        <w:jc w:val="both"/>
      </w:pPr>
    </w:p>
    <w:p w14:paraId="7BE4ECCE" w14:textId="1E97D2BA" w:rsidR="00FB3B99" w:rsidRDefault="00FB3B99" w:rsidP="00D55A7C">
      <w:pPr>
        <w:spacing w:line="480" w:lineRule="auto"/>
        <w:jc w:val="both"/>
      </w:pPr>
    </w:p>
    <w:p w14:paraId="417BE18B" w14:textId="77777777" w:rsidR="00FB3B99" w:rsidRDefault="00FB3B99" w:rsidP="00D55A7C">
      <w:pPr>
        <w:spacing w:line="480" w:lineRule="auto"/>
        <w:jc w:val="both"/>
      </w:pPr>
    </w:p>
    <w:p w14:paraId="2DD1B0D7" w14:textId="77777777" w:rsidR="00D7147D" w:rsidRDefault="00D7147D" w:rsidP="00D55A7C">
      <w:pPr>
        <w:spacing w:line="480" w:lineRule="auto"/>
        <w:jc w:val="both"/>
        <w:rPr>
          <w:b/>
          <w:bCs/>
          <w:sz w:val="28"/>
          <w:szCs w:val="28"/>
        </w:rPr>
      </w:pPr>
    </w:p>
    <w:p w14:paraId="4175E757" w14:textId="60977789" w:rsidR="00450FC3" w:rsidRPr="001054E4" w:rsidRDefault="00450FC3" w:rsidP="00D55A7C">
      <w:pPr>
        <w:spacing w:line="480" w:lineRule="auto"/>
        <w:jc w:val="both"/>
        <w:rPr>
          <w:b/>
          <w:bCs/>
          <w:sz w:val="28"/>
          <w:szCs w:val="28"/>
        </w:rPr>
      </w:pPr>
      <w:r w:rsidRPr="001054E4">
        <w:rPr>
          <w:b/>
          <w:bCs/>
          <w:sz w:val="28"/>
          <w:szCs w:val="28"/>
        </w:rPr>
        <w:lastRenderedPageBreak/>
        <w:t xml:space="preserve">Style of Translation </w:t>
      </w:r>
    </w:p>
    <w:p w14:paraId="1196C8EB" w14:textId="3A2F4C91" w:rsidR="00066075" w:rsidRDefault="00066075" w:rsidP="00D55A7C">
      <w:pPr>
        <w:spacing w:line="480" w:lineRule="auto"/>
        <w:jc w:val="both"/>
      </w:pPr>
    </w:p>
    <w:p w14:paraId="30827686" w14:textId="549607EB" w:rsidR="00E401EB" w:rsidRDefault="00E401EB" w:rsidP="00D55A7C">
      <w:pPr>
        <w:spacing w:line="480" w:lineRule="auto"/>
        <w:jc w:val="both"/>
      </w:pPr>
      <w:r>
        <w:t xml:space="preserve">This section considers Savile’s method of translation. It first compares Savile’s own translation with that of Edo </w:t>
      </w:r>
      <w:proofErr w:type="spellStart"/>
      <w:r>
        <w:t>Hilderich</w:t>
      </w:r>
      <w:proofErr w:type="spellEnd"/>
      <w:r>
        <w:t xml:space="preserve">, published in 1590 as part of his parallel text edition of the </w:t>
      </w:r>
      <w:r w:rsidRPr="004C4D7D">
        <w:rPr>
          <w:i/>
          <w:iCs/>
        </w:rPr>
        <w:t>Phenomena</w:t>
      </w:r>
      <w:r w:rsidR="00DA27A6">
        <w:t>, highlighting points of contrast and synergy.</w:t>
      </w:r>
      <w:r>
        <w:t xml:space="preserve"> It then turns to the ways in which Savile’s Geminus anticipates</w:t>
      </w:r>
      <w:r w:rsidR="00DA27A6">
        <w:t xml:space="preserve"> </w:t>
      </w:r>
      <w:r w:rsidR="00E231DD">
        <w:t xml:space="preserve">the </w:t>
      </w:r>
      <w:r>
        <w:t xml:space="preserve">methods put to work in the Savile brothers’ 1591 English translation </w:t>
      </w:r>
      <w:r w:rsidR="00E231DD">
        <w:t xml:space="preserve">of </w:t>
      </w:r>
      <w:r>
        <w:t xml:space="preserve">and commentary on Tacitus. </w:t>
      </w:r>
      <w:r w:rsidR="00E231DD">
        <w:t>As this section explores, b</w:t>
      </w:r>
      <w:r>
        <w:t>oth the Tacitus and the Geminus projects were, for Thomas and Henry alike, an opportunity to amend the text as they found i</w:t>
      </w:r>
      <w:r w:rsidR="00E231DD">
        <w:t xml:space="preserve">t. For both brothers, translation and editorial intervention went hand in hand. </w:t>
      </w:r>
    </w:p>
    <w:p w14:paraId="201CC2B9" w14:textId="2268493F" w:rsidR="00066075" w:rsidRDefault="003F361E" w:rsidP="00D55A7C">
      <w:pPr>
        <w:spacing w:line="480" w:lineRule="auto"/>
        <w:ind w:firstLine="720"/>
        <w:jc w:val="both"/>
      </w:pPr>
      <w:r>
        <w:t xml:space="preserve">The sample taken below is taken </w:t>
      </w:r>
      <w:proofErr w:type="gramStart"/>
      <w:r>
        <w:t xml:space="preserve">from  </w:t>
      </w:r>
      <w:r w:rsidR="00066075">
        <w:t>Chapter</w:t>
      </w:r>
      <w:proofErr w:type="gramEnd"/>
      <w:r w:rsidR="00066075">
        <w:t xml:space="preserve"> XIV, ‘De </w:t>
      </w:r>
      <w:proofErr w:type="spellStart"/>
      <w:r w:rsidR="00066075">
        <w:t>Tempestatib</w:t>
      </w:r>
      <w:r w:rsidR="00066075" w:rsidRPr="002A7B32">
        <w:rPr>
          <w:i/>
          <w:iCs/>
        </w:rPr>
        <w:t>us</w:t>
      </w:r>
      <w:proofErr w:type="spellEnd"/>
      <w:r w:rsidR="00066075">
        <w:t>’</w:t>
      </w:r>
      <w:r>
        <w:t xml:space="preserve"> (‘On Weather’)</w:t>
      </w:r>
      <w:r w:rsidR="00066075">
        <w:t xml:space="preserve"> (</w:t>
      </w:r>
      <w:proofErr w:type="spellStart"/>
      <w:r w:rsidR="00066075" w:rsidRPr="00A1503D">
        <w:t>Περι</w:t>
      </w:r>
      <w:proofErr w:type="spellEnd"/>
      <w:r w:rsidR="00066075" w:rsidRPr="00A1503D">
        <w:t xml:space="preserve"> Ἐπ</w:t>
      </w:r>
      <w:proofErr w:type="spellStart"/>
      <w:r w:rsidR="00066075" w:rsidRPr="00A1503D">
        <w:t>ισημ</w:t>
      </w:r>
      <w:proofErr w:type="spellEnd"/>
      <w:r w:rsidR="00066075" w:rsidRPr="00A1503D">
        <w:t xml:space="preserve">ασιων </w:t>
      </w:r>
      <w:proofErr w:type="spellStart"/>
      <w:r w:rsidR="00066075" w:rsidRPr="00A1503D">
        <w:t>Των</w:t>
      </w:r>
      <w:proofErr w:type="spellEnd"/>
      <w:r w:rsidR="00066075" w:rsidRPr="00A1503D">
        <w:t xml:space="preserve"> </w:t>
      </w:r>
      <w:proofErr w:type="spellStart"/>
      <w:r w:rsidR="00066075" w:rsidRPr="00A1503D">
        <w:t>Ἀστρων</w:t>
      </w:r>
      <w:proofErr w:type="spellEnd"/>
      <w:r w:rsidR="00066075">
        <w:t xml:space="preserve">, </w:t>
      </w:r>
      <w:proofErr w:type="spellStart"/>
      <w:r w:rsidR="00066075">
        <w:t>ch.</w:t>
      </w:r>
      <w:proofErr w:type="spellEnd"/>
      <w:r w:rsidR="00066075">
        <w:t xml:space="preserve"> XVII in modern edition</w:t>
      </w:r>
      <w:r>
        <w:t>s</w:t>
      </w:r>
      <w:r w:rsidR="00066075">
        <w:t>)</w:t>
      </w:r>
      <w:r>
        <w:t xml:space="preserve">, in which Geminus </w:t>
      </w:r>
      <w:r w:rsidR="00D359A0">
        <w:t>explains</w:t>
      </w:r>
      <w:r>
        <w:t xml:space="preserve">, against the popular grain, that the motions of the stars bear no relation to meteorological phenomena. </w:t>
      </w:r>
      <w:r w:rsidR="00066075">
        <w:t>As Evans and Berggren</w:t>
      </w:r>
      <w:r w:rsidR="000659B8">
        <w:t xml:space="preserve"> note</w:t>
      </w:r>
      <w:r>
        <w:t xml:space="preserve"> in their edition</w:t>
      </w:r>
      <w:r w:rsidR="00066075">
        <w:t xml:space="preserve">, the counter argument that Geminus presents </w:t>
      </w:r>
      <w:r>
        <w:t xml:space="preserve">contrary to </w:t>
      </w:r>
      <w:r w:rsidR="00066075">
        <w:t xml:space="preserve">‘the then-common view’, </w:t>
      </w:r>
      <w:r w:rsidR="00DD380E">
        <w:t xml:space="preserve">namely </w:t>
      </w:r>
      <w:r w:rsidR="00066075">
        <w:t>that the rising and setting of the stars produced variations in the weather, ‘is the most patient and detailed such argument that has come down to us’.</w:t>
      </w:r>
      <w:r w:rsidR="00066075">
        <w:rPr>
          <w:rStyle w:val="FootnoteReference"/>
        </w:rPr>
        <w:footnoteReference w:id="61"/>
      </w:r>
      <w:r w:rsidR="00066075">
        <w:t xml:space="preserve"> </w:t>
      </w:r>
      <w:r w:rsidR="00DD380E">
        <w:t xml:space="preserve">The extracts below include the Greek text and modern English translation by </w:t>
      </w:r>
      <w:r w:rsidR="000659B8">
        <w:t>Evans and Berggren</w:t>
      </w:r>
      <w:r w:rsidR="00DD380E">
        <w:t xml:space="preserve">, followed by the Latin translations by Savile and </w:t>
      </w:r>
      <w:proofErr w:type="spellStart"/>
      <w:r w:rsidR="00DD380E">
        <w:t>Hilderich</w:t>
      </w:r>
      <w:proofErr w:type="spellEnd"/>
      <w:r w:rsidR="00DD380E">
        <w:t xml:space="preserve">: </w:t>
      </w:r>
    </w:p>
    <w:p w14:paraId="0A66F18D" w14:textId="77777777" w:rsidR="00066075" w:rsidRDefault="00066075" w:rsidP="00D55A7C">
      <w:pPr>
        <w:spacing w:line="480" w:lineRule="auto"/>
        <w:jc w:val="both"/>
      </w:pPr>
    </w:p>
    <w:p w14:paraId="2A4D667F" w14:textId="77777777" w:rsidR="00066075" w:rsidRDefault="00066075" w:rsidP="00D55A7C">
      <w:pPr>
        <w:spacing w:line="480" w:lineRule="auto"/>
        <w:ind w:left="720"/>
        <w:jc w:val="both"/>
      </w:pPr>
      <w:r w:rsidRPr="00A1254B">
        <w:t>Ὁ π</w:t>
      </w:r>
      <w:proofErr w:type="spellStart"/>
      <w:r w:rsidRPr="00A1254B">
        <w:t>ερι</w:t>
      </w:r>
      <w:proofErr w:type="spellEnd"/>
      <w:r w:rsidRPr="00A1254B">
        <w:t xml:space="preserve"> ἐπ</w:t>
      </w:r>
      <w:proofErr w:type="spellStart"/>
      <w:r w:rsidRPr="00A1254B">
        <w:t>ισημ</w:t>
      </w:r>
      <w:proofErr w:type="spellEnd"/>
      <w:r w:rsidRPr="00A1254B">
        <w:t xml:space="preserve">ασιων </w:t>
      </w:r>
      <w:proofErr w:type="spellStart"/>
      <w:r w:rsidRPr="00A1254B">
        <w:t>λογος</w:t>
      </w:r>
      <w:proofErr w:type="spellEnd"/>
      <w:r w:rsidRPr="00A1254B">
        <w:t xml:space="preserve"> παρα </w:t>
      </w:r>
      <w:proofErr w:type="spellStart"/>
      <w:r w:rsidRPr="00A1254B">
        <w:t>μεν</w:t>
      </w:r>
      <w:proofErr w:type="spellEnd"/>
      <w:r w:rsidRPr="00A1254B">
        <w:t xml:space="preserve"> </w:t>
      </w:r>
      <w:proofErr w:type="spellStart"/>
      <w:r w:rsidRPr="00A1254B">
        <w:t>τοις</w:t>
      </w:r>
      <w:proofErr w:type="spellEnd"/>
      <w:r w:rsidRPr="00A1254B">
        <w:t xml:space="preserve"> </w:t>
      </w:r>
      <w:proofErr w:type="spellStart"/>
      <w:r w:rsidRPr="00A1254B">
        <w:t>ἰδιωτ</w:t>
      </w:r>
      <w:proofErr w:type="spellEnd"/>
      <w:r w:rsidRPr="00A1254B">
        <w:t xml:space="preserve">αις </w:t>
      </w:r>
      <w:proofErr w:type="spellStart"/>
      <w:r w:rsidRPr="00A1254B">
        <w:t>ἀλλοι</w:t>
      </w:r>
      <w:proofErr w:type="spellEnd"/>
      <w:r w:rsidRPr="00A1254B">
        <w:t xml:space="preserve">αν </w:t>
      </w:r>
      <w:proofErr w:type="spellStart"/>
      <w:r w:rsidRPr="00A1254B">
        <w:t>ἐχει</w:t>
      </w:r>
      <w:proofErr w:type="spellEnd"/>
      <w:r w:rsidRPr="00A1254B">
        <w:t xml:space="preserve"> </w:t>
      </w:r>
      <w:proofErr w:type="spellStart"/>
      <w:r w:rsidRPr="00A1254B">
        <w:t>δι</w:t>
      </w:r>
      <w:proofErr w:type="spellEnd"/>
      <w:r w:rsidRPr="00A1254B">
        <w:t xml:space="preserve">αληψιν </w:t>
      </w:r>
      <w:proofErr w:type="spellStart"/>
      <w:r w:rsidRPr="00A1254B">
        <w:t>ὡς</w:t>
      </w:r>
      <w:proofErr w:type="spellEnd"/>
      <w:r w:rsidRPr="00A1254B">
        <w:t xml:space="preserve"> ἐπι </w:t>
      </w:r>
      <w:proofErr w:type="spellStart"/>
      <w:r w:rsidRPr="00A1254B">
        <w:t>των</w:t>
      </w:r>
      <w:proofErr w:type="spellEnd"/>
      <w:r w:rsidRPr="00A1254B">
        <w:t xml:space="preserve"> </w:t>
      </w:r>
      <w:proofErr w:type="spellStart"/>
      <w:r w:rsidRPr="00A1254B">
        <w:t>ἀστρων</w:t>
      </w:r>
      <w:proofErr w:type="spellEnd"/>
      <w:r w:rsidRPr="00A1254B">
        <w:t xml:space="preserve"> ἐπ</w:t>
      </w:r>
      <w:proofErr w:type="spellStart"/>
      <w:r w:rsidRPr="00A1254B">
        <w:t>ιτολ</w:t>
      </w:r>
      <w:proofErr w:type="spellEnd"/>
      <w:r w:rsidRPr="00A1254B">
        <w:t xml:space="preserve">αις και </w:t>
      </w:r>
      <w:proofErr w:type="spellStart"/>
      <w:r w:rsidRPr="00A1254B">
        <w:t>δυσεσι</w:t>
      </w:r>
      <w:proofErr w:type="spellEnd"/>
      <w:r w:rsidRPr="00A1254B">
        <w:t xml:space="preserve"> </w:t>
      </w:r>
      <w:proofErr w:type="spellStart"/>
      <w:r w:rsidRPr="00A1254B">
        <w:t>των</w:t>
      </w:r>
      <w:proofErr w:type="spellEnd"/>
      <w:r w:rsidRPr="00A1254B">
        <w:t xml:space="preserve"> π</w:t>
      </w:r>
      <w:proofErr w:type="spellStart"/>
      <w:r w:rsidRPr="00A1254B">
        <w:t>ερι</w:t>
      </w:r>
      <w:proofErr w:type="spellEnd"/>
      <w:r w:rsidRPr="00A1254B">
        <w:t xml:space="preserve"> </w:t>
      </w:r>
      <w:proofErr w:type="spellStart"/>
      <w:r w:rsidRPr="00A1254B">
        <w:t>το</w:t>
      </w:r>
      <w:r w:rsidRPr="00F63F6A">
        <w:t>ν</w:t>
      </w:r>
      <w:proofErr w:type="spellEnd"/>
      <w:r w:rsidRPr="00A1254B">
        <w:t xml:space="preserve"> </w:t>
      </w:r>
      <w:proofErr w:type="spellStart"/>
      <w:r w:rsidRPr="00A1254B">
        <w:t>ἀερ</w:t>
      </w:r>
      <w:proofErr w:type="spellEnd"/>
      <w:r w:rsidRPr="00A1254B">
        <w:t xml:space="preserve">α </w:t>
      </w:r>
      <w:proofErr w:type="spellStart"/>
      <w:r w:rsidRPr="00A1254B">
        <w:t>μετ</w:t>
      </w:r>
      <w:proofErr w:type="spellEnd"/>
      <w:r w:rsidRPr="00A1254B">
        <w:t xml:space="preserve">αβολων </w:t>
      </w:r>
      <w:proofErr w:type="spellStart"/>
      <w:r w:rsidRPr="00A1254B">
        <w:t>γινομενων</w:t>
      </w:r>
      <w:proofErr w:type="spellEnd"/>
      <w:r w:rsidRPr="00A1254B">
        <w:t xml:space="preserve">. Ὁ </w:t>
      </w:r>
      <w:proofErr w:type="spellStart"/>
      <w:r w:rsidRPr="00A1254B">
        <w:t>δε</w:t>
      </w:r>
      <w:proofErr w:type="spellEnd"/>
      <w:r w:rsidRPr="00A1254B">
        <w:t xml:space="preserve"> μα</w:t>
      </w:r>
      <w:proofErr w:type="spellStart"/>
      <w:r w:rsidRPr="00A1254B">
        <w:t>θημ</w:t>
      </w:r>
      <w:proofErr w:type="spellEnd"/>
      <w:r w:rsidRPr="00A1254B">
        <w:t xml:space="preserve">ατικος και </w:t>
      </w:r>
      <w:proofErr w:type="spellStart"/>
      <w:r w:rsidRPr="00A1254B">
        <w:t>φυσικος</w:t>
      </w:r>
      <w:proofErr w:type="spellEnd"/>
      <w:r w:rsidRPr="00A1254B">
        <w:t xml:space="preserve"> </w:t>
      </w:r>
      <w:proofErr w:type="spellStart"/>
      <w:r w:rsidRPr="00A1254B">
        <w:t>ἑτερ</w:t>
      </w:r>
      <w:proofErr w:type="spellEnd"/>
      <w:r w:rsidRPr="00A1254B">
        <w:t xml:space="preserve">αν </w:t>
      </w:r>
      <w:proofErr w:type="spellStart"/>
      <w:r w:rsidRPr="00A1254B">
        <w:t>ἐχει</w:t>
      </w:r>
      <w:proofErr w:type="spellEnd"/>
      <w:r w:rsidRPr="00A1254B">
        <w:t xml:space="preserve"> </w:t>
      </w:r>
      <w:proofErr w:type="spellStart"/>
      <w:r w:rsidRPr="00A1254B">
        <w:t>δοξ</w:t>
      </w:r>
      <w:proofErr w:type="spellEnd"/>
      <w:r w:rsidRPr="00A1254B">
        <w:t xml:space="preserve">αν.  </w:t>
      </w:r>
    </w:p>
    <w:p w14:paraId="7661D96B" w14:textId="77777777" w:rsidR="00066075" w:rsidRDefault="00066075" w:rsidP="00D55A7C">
      <w:pPr>
        <w:spacing w:line="480" w:lineRule="auto"/>
        <w:jc w:val="both"/>
      </w:pPr>
    </w:p>
    <w:p w14:paraId="22DEE26C" w14:textId="77777777" w:rsidR="00066075" w:rsidRDefault="00066075" w:rsidP="00D55A7C">
      <w:pPr>
        <w:spacing w:line="480" w:lineRule="auto"/>
        <w:ind w:left="720"/>
        <w:jc w:val="both"/>
      </w:pPr>
      <w:r w:rsidRPr="00D5736A">
        <w:t>Και π</w:t>
      </w:r>
      <w:proofErr w:type="spellStart"/>
      <w:r w:rsidRPr="00D5736A">
        <w:t>ρωτον</w:t>
      </w:r>
      <w:proofErr w:type="spellEnd"/>
      <w:r w:rsidRPr="00D5736A">
        <w:t xml:space="preserve"> </w:t>
      </w:r>
      <w:proofErr w:type="spellStart"/>
      <w:r w:rsidRPr="00D5736A">
        <w:t>μεν</w:t>
      </w:r>
      <w:proofErr w:type="spellEnd"/>
      <w:r w:rsidRPr="00D5736A">
        <w:t xml:space="preserve"> </w:t>
      </w:r>
      <w:proofErr w:type="spellStart"/>
      <w:r w:rsidRPr="00D5736A">
        <w:t>δι</w:t>
      </w:r>
      <w:proofErr w:type="spellEnd"/>
      <w:r w:rsidRPr="00D5736A">
        <w:t xml:space="preserve">αλεπτεον, </w:t>
      </w:r>
      <w:proofErr w:type="spellStart"/>
      <w:r w:rsidRPr="00D5736A">
        <w:t>ὁτι</w:t>
      </w:r>
      <w:proofErr w:type="spellEnd"/>
      <w:r w:rsidRPr="00D5736A">
        <w:t xml:space="preserve"> αἱ </w:t>
      </w:r>
      <w:proofErr w:type="spellStart"/>
      <w:r w:rsidRPr="00D5736A">
        <w:t>γινομεν</w:t>
      </w:r>
      <w:proofErr w:type="spellEnd"/>
      <w:r w:rsidRPr="00D5736A">
        <w:t>αι ἐπ</w:t>
      </w:r>
      <w:proofErr w:type="spellStart"/>
      <w:r w:rsidRPr="00D5736A">
        <w:t>ισημ</w:t>
      </w:r>
      <w:proofErr w:type="spellEnd"/>
      <w:r w:rsidRPr="00D5736A">
        <w:t xml:space="preserve">ασιαι </w:t>
      </w:r>
      <w:proofErr w:type="spellStart"/>
      <w:r w:rsidRPr="00D5736A">
        <w:t>ὀμ</w:t>
      </w:r>
      <w:proofErr w:type="spellEnd"/>
      <w:r w:rsidRPr="00D5736A">
        <w:t>βρων και π</w:t>
      </w:r>
      <w:proofErr w:type="spellStart"/>
      <w:r w:rsidRPr="00D5736A">
        <w:t>νευμ</w:t>
      </w:r>
      <w:proofErr w:type="spellEnd"/>
      <w:r w:rsidRPr="00D5736A">
        <w:t xml:space="preserve">ατων </w:t>
      </w:r>
      <w:r>
        <w:t xml:space="preserve">   </w:t>
      </w:r>
      <w:r w:rsidRPr="00D5736A">
        <w:t>π</w:t>
      </w:r>
      <w:proofErr w:type="spellStart"/>
      <w:r w:rsidRPr="00D5736A">
        <w:t>ερι</w:t>
      </w:r>
      <w:proofErr w:type="spellEnd"/>
      <w:r w:rsidRPr="00D5736A">
        <w:t xml:space="preserve"> </w:t>
      </w:r>
      <w:proofErr w:type="spellStart"/>
      <w:r w:rsidRPr="00D5736A">
        <w:t>την</w:t>
      </w:r>
      <w:proofErr w:type="spellEnd"/>
      <w:r w:rsidRPr="00D5736A">
        <w:t xml:space="preserve"> </w:t>
      </w:r>
      <w:proofErr w:type="spellStart"/>
      <w:r w:rsidRPr="00D5736A">
        <w:t>γην</w:t>
      </w:r>
      <w:proofErr w:type="spellEnd"/>
      <w:r w:rsidRPr="00D5736A">
        <w:t xml:space="preserve"> </w:t>
      </w:r>
      <w:proofErr w:type="spellStart"/>
      <w:r w:rsidRPr="00D5736A">
        <w:t>γινοντ</w:t>
      </w:r>
      <w:proofErr w:type="spellEnd"/>
      <w:r w:rsidRPr="00D5736A">
        <w:t xml:space="preserve">αι, </w:t>
      </w:r>
      <w:proofErr w:type="spellStart"/>
      <w:r w:rsidRPr="00D5736A">
        <w:t>εἰς</w:t>
      </w:r>
      <w:proofErr w:type="spellEnd"/>
      <w:r w:rsidRPr="00D5736A">
        <w:t xml:space="preserve"> </w:t>
      </w:r>
      <w:proofErr w:type="spellStart"/>
      <w:r w:rsidRPr="00D5736A">
        <w:t>δε</w:t>
      </w:r>
      <w:proofErr w:type="spellEnd"/>
      <w:r w:rsidRPr="00D5736A">
        <w:t xml:space="preserve"> π</w:t>
      </w:r>
      <w:proofErr w:type="spellStart"/>
      <w:r w:rsidRPr="00D5736A">
        <w:t>λειον</w:t>
      </w:r>
      <w:proofErr w:type="spellEnd"/>
      <w:r w:rsidRPr="00D5736A">
        <w:t xml:space="preserve"> </w:t>
      </w:r>
      <w:proofErr w:type="spellStart"/>
      <w:r w:rsidRPr="00D5736A">
        <w:t>ὑψος</w:t>
      </w:r>
      <w:proofErr w:type="spellEnd"/>
      <w:r w:rsidRPr="00D5736A">
        <w:t xml:space="preserve"> </w:t>
      </w:r>
      <w:proofErr w:type="spellStart"/>
      <w:r w:rsidRPr="00D5736A">
        <w:t>οὐ</w:t>
      </w:r>
      <w:proofErr w:type="spellEnd"/>
      <w:r w:rsidRPr="00D5736A">
        <w:t xml:space="preserve"> </w:t>
      </w:r>
      <w:proofErr w:type="spellStart"/>
      <w:r w:rsidRPr="00D5736A">
        <w:t>δι</w:t>
      </w:r>
      <w:proofErr w:type="spellEnd"/>
      <w:r w:rsidRPr="00D5736A">
        <w:t>ατεινουσιν·</w:t>
      </w:r>
      <w:r w:rsidRPr="00FC5930">
        <w:t xml:space="preserve">ἀναθυμιασεις γαρ </w:t>
      </w:r>
      <w:proofErr w:type="spellStart"/>
      <w:r w:rsidRPr="00FC5930">
        <w:t>εἰσιν</w:t>
      </w:r>
      <w:proofErr w:type="spellEnd"/>
      <w:r w:rsidRPr="00FC5930">
        <w:t xml:space="preserve"> </w:t>
      </w:r>
      <w:proofErr w:type="spellStart"/>
      <w:r w:rsidRPr="00FC5930">
        <w:t>ἐκ</w:t>
      </w:r>
      <w:proofErr w:type="spellEnd"/>
      <w:r w:rsidRPr="00FC5930">
        <w:t xml:space="preserve"> </w:t>
      </w:r>
      <w:proofErr w:type="spellStart"/>
      <w:r w:rsidRPr="00FC5930">
        <w:t>γης</w:t>
      </w:r>
      <w:proofErr w:type="spellEnd"/>
      <w:r w:rsidRPr="00FC5930">
        <w:t xml:space="preserve"> πα</w:t>
      </w:r>
      <w:proofErr w:type="spellStart"/>
      <w:r w:rsidRPr="00FC5930">
        <w:t>ντοδ</w:t>
      </w:r>
      <w:proofErr w:type="spellEnd"/>
      <w:r w:rsidRPr="00FC5930">
        <w:t xml:space="preserve">απαι και </w:t>
      </w:r>
      <w:proofErr w:type="spellStart"/>
      <w:r w:rsidRPr="00FC5930">
        <w:t>ἀτ</w:t>
      </w:r>
      <w:proofErr w:type="spellEnd"/>
      <w:r w:rsidRPr="00FC5930">
        <w:t xml:space="preserve">ακτοι· </w:t>
      </w:r>
      <w:proofErr w:type="spellStart"/>
      <w:r w:rsidRPr="00FC5930">
        <w:t>ὡστε</w:t>
      </w:r>
      <w:proofErr w:type="spellEnd"/>
      <w:r w:rsidRPr="00FC5930">
        <w:t xml:space="preserve"> </w:t>
      </w:r>
      <w:proofErr w:type="spellStart"/>
      <w:r w:rsidRPr="00FC5930">
        <w:t>μη</w:t>
      </w:r>
      <w:proofErr w:type="spellEnd"/>
      <w:r w:rsidRPr="00FC5930">
        <w:t xml:space="preserve"> </w:t>
      </w:r>
      <w:proofErr w:type="spellStart"/>
      <w:r w:rsidRPr="00FC5930">
        <w:t>οἱον</w:t>
      </w:r>
      <w:proofErr w:type="spellEnd"/>
      <w:r w:rsidRPr="00FC5930">
        <w:t xml:space="preserve"> </w:t>
      </w:r>
      <w:proofErr w:type="spellStart"/>
      <w:r w:rsidRPr="00FC5930">
        <w:t>τε</w:t>
      </w:r>
      <w:proofErr w:type="spellEnd"/>
      <w:r w:rsidRPr="00FC5930">
        <w:t xml:space="preserve"> </w:t>
      </w:r>
      <w:proofErr w:type="spellStart"/>
      <w:r w:rsidRPr="00FC5930">
        <w:t>εἰν</w:t>
      </w:r>
      <w:proofErr w:type="spellEnd"/>
      <w:r w:rsidRPr="00FC5930">
        <w:t xml:space="preserve">αι </w:t>
      </w:r>
      <w:proofErr w:type="spellStart"/>
      <w:r w:rsidRPr="00FC5930">
        <w:t>μεχρι</w:t>
      </w:r>
      <w:proofErr w:type="spellEnd"/>
      <w:r w:rsidRPr="00FC5930">
        <w:t xml:space="preserve"> </w:t>
      </w:r>
      <w:proofErr w:type="spellStart"/>
      <w:r w:rsidRPr="00FC5930">
        <w:t>της</w:t>
      </w:r>
      <w:proofErr w:type="spellEnd"/>
      <w:r w:rsidRPr="00FC5930">
        <w:t xml:space="preserve"> </w:t>
      </w:r>
      <w:proofErr w:type="spellStart"/>
      <w:r w:rsidRPr="00FC5930">
        <w:t>των</w:t>
      </w:r>
      <w:proofErr w:type="spellEnd"/>
      <w:r w:rsidRPr="00FC5930">
        <w:t xml:space="preserve"> ἀπλα</w:t>
      </w:r>
      <w:proofErr w:type="spellStart"/>
      <w:r w:rsidRPr="00FC5930">
        <w:t>νων</w:t>
      </w:r>
      <w:proofErr w:type="spellEnd"/>
      <w:r w:rsidRPr="00FC5930">
        <w:t xml:space="preserve"> </w:t>
      </w:r>
      <w:proofErr w:type="spellStart"/>
      <w:r w:rsidRPr="00FC5930">
        <w:t>ἀστερων</w:t>
      </w:r>
      <w:proofErr w:type="spellEnd"/>
      <w:r w:rsidRPr="00FC5930">
        <w:t xml:space="preserve"> </w:t>
      </w:r>
      <w:proofErr w:type="spellStart"/>
      <w:r w:rsidRPr="00FC5930">
        <w:t>σφ</w:t>
      </w:r>
      <w:proofErr w:type="spellEnd"/>
      <w:r w:rsidRPr="00FC5930">
        <w:t xml:space="preserve">αιρας </w:t>
      </w:r>
      <w:proofErr w:type="spellStart"/>
      <w:r w:rsidRPr="00FC5930">
        <w:t>δι</w:t>
      </w:r>
      <w:proofErr w:type="spellEnd"/>
      <w:r w:rsidRPr="00FC5930">
        <w:t xml:space="preserve">ατεινειν, </w:t>
      </w:r>
      <w:proofErr w:type="spellStart"/>
      <w:r w:rsidRPr="00FC5930">
        <w:t>ἀλλ</w:t>
      </w:r>
      <w:proofErr w:type="spellEnd"/>
      <w:r w:rsidRPr="00FC5930">
        <w:t xml:space="preserve">α </w:t>
      </w:r>
      <w:proofErr w:type="spellStart"/>
      <w:r w:rsidRPr="00FC5930">
        <w:t>μη</w:t>
      </w:r>
      <w:proofErr w:type="spellEnd"/>
      <w:r w:rsidRPr="00FC5930">
        <w:t xml:space="preserve"> </w:t>
      </w:r>
      <w:proofErr w:type="spellStart"/>
      <w:r w:rsidRPr="00FC5930">
        <w:t>δεκ</w:t>
      </w:r>
      <w:proofErr w:type="spellEnd"/>
      <w:r w:rsidRPr="00FC5930">
        <w:t xml:space="preserve">α </w:t>
      </w:r>
      <w:proofErr w:type="spellStart"/>
      <w:r w:rsidRPr="00FC5930">
        <w:t>στ</w:t>
      </w:r>
      <w:proofErr w:type="spellEnd"/>
      <w:r w:rsidRPr="00FC5930">
        <w:t xml:space="preserve">αδια </w:t>
      </w:r>
      <w:proofErr w:type="spellStart"/>
      <w:r w:rsidRPr="00FC5930">
        <w:t>το</w:t>
      </w:r>
      <w:proofErr w:type="spellEnd"/>
      <w:r w:rsidRPr="00FC5930">
        <w:t xml:space="preserve"> </w:t>
      </w:r>
      <w:proofErr w:type="spellStart"/>
      <w:r w:rsidRPr="00FC5930">
        <w:t>ὑψος</w:t>
      </w:r>
      <w:proofErr w:type="spellEnd"/>
      <w:r w:rsidRPr="00FC5930">
        <w:t xml:space="preserve"> </w:t>
      </w:r>
      <w:proofErr w:type="spellStart"/>
      <w:r w:rsidRPr="00FC5930">
        <w:t>ἀν</w:t>
      </w:r>
      <w:proofErr w:type="spellEnd"/>
      <w:r w:rsidRPr="00FC5930">
        <w:t xml:space="preserve">ατεινειν τα </w:t>
      </w:r>
      <w:proofErr w:type="spellStart"/>
      <w:r w:rsidRPr="00FC5930">
        <w:t>νεφη</w:t>
      </w:r>
      <w:proofErr w:type="spellEnd"/>
      <w:r w:rsidRPr="00FC5930">
        <w:t>.</w:t>
      </w:r>
    </w:p>
    <w:p w14:paraId="5BA10926" w14:textId="77777777" w:rsidR="00066075" w:rsidRDefault="00066075" w:rsidP="00D55A7C">
      <w:pPr>
        <w:spacing w:line="480" w:lineRule="auto"/>
        <w:ind w:left="720"/>
        <w:jc w:val="both"/>
      </w:pPr>
    </w:p>
    <w:p w14:paraId="4BE8CE52" w14:textId="77777777" w:rsidR="00066075" w:rsidRDefault="00066075" w:rsidP="00D55A7C">
      <w:pPr>
        <w:spacing w:line="480" w:lineRule="auto"/>
        <w:ind w:left="720"/>
        <w:jc w:val="both"/>
      </w:pPr>
      <w:proofErr w:type="spellStart"/>
      <w:r w:rsidRPr="00506B77">
        <w:t>Οἱ</w:t>
      </w:r>
      <w:proofErr w:type="spellEnd"/>
      <w:r w:rsidRPr="00506B77">
        <w:t xml:space="preserve"> </w:t>
      </w:r>
      <w:proofErr w:type="spellStart"/>
      <w:r w:rsidRPr="00506B77">
        <w:t>γουν</w:t>
      </w:r>
      <w:proofErr w:type="spellEnd"/>
      <w:r w:rsidRPr="00506B77">
        <w:t xml:space="preserve"> ἐπι </w:t>
      </w:r>
      <w:proofErr w:type="spellStart"/>
      <w:r w:rsidRPr="00506B77">
        <w:t>την</w:t>
      </w:r>
      <w:proofErr w:type="spellEnd"/>
      <w:r w:rsidRPr="00506B77">
        <w:t xml:space="preserve"> </w:t>
      </w:r>
      <w:proofErr w:type="spellStart"/>
      <w:r w:rsidRPr="00506B77">
        <w:t>Κυλληνην</w:t>
      </w:r>
      <w:proofErr w:type="spellEnd"/>
      <w:r w:rsidRPr="00506B77">
        <w:t xml:space="preserve"> </w:t>
      </w:r>
      <w:proofErr w:type="spellStart"/>
      <w:r w:rsidRPr="00506B77">
        <w:t>ἀν</w:t>
      </w:r>
      <w:proofErr w:type="spellEnd"/>
      <w:r w:rsidRPr="00506B77">
        <w:t xml:space="preserve">αβαινοντες, </w:t>
      </w:r>
      <w:proofErr w:type="spellStart"/>
      <w:r w:rsidRPr="00506B77">
        <w:t>ὀρος</w:t>
      </w:r>
      <w:proofErr w:type="spellEnd"/>
      <w:r w:rsidRPr="00506B77">
        <w:t xml:space="preserve"> </w:t>
      </w:r>
      <w:proofErr w:type="spellStart"/>
      <w:r w:rsidRPr="00506B77">
        <w:t>δε</w:t>
      </w:r>
      <w:proofErr w:type="spellEnd"/>
      <w:r w:rsidRPr="00506B77">
        <w:t xml:space="preserve"> </w:t>
      </w:r>
      <w:proofErr w:type="spellStart"/>
      <w:r w:rsidRPr="00506B77">
        <w:t>ἐν</w:t>
      </w:r>
      <w:proofErr w:type="spellEnd"/>
      <w:r w:rsidRPr="00506B77">
        <w:t xml:space="preserve"> </w:t>
      </w:r>
      <w:proofErr w:type="spellStart"/>
      <w:r w:rsidRPr="00506B77">
        <w:t>τῃ</w:t>
      </w:r>
      <w:proofErr w:type="spellEnd"/>
      <w:r w:rsidRPr="00506B77">
        <w:t xml:space="preserve"> </w:t>
      </w:r>
      <w:proofErr w:type="spellStart"/>
      <w:r w:rsidRPr="00506B77">
        <w:t>Πελο</w:t>
      </w:r>
      <w:proofErr w:type="spellEnd"/>
      <w:r w:rsidRPr="00506B77">
        <w:t xml:space="preserve">ποννησῳ </w:t>
      </w:r>
      <w:proofErr w:type="spellStart"/>
      <w:r w:rsidRPr="00506B77">
        <w:t>ὑψηλοτ</w:t>
      </w:r>
      <w:proofErr w:type="spellEnd"/>
      <w:r w:rsidRPr="00506B77">
        <w:t xml:space="preserve">ατον, και </w:t>
      </w:r>
      <w:proofErr w:type="spellStart"/>
      <w:r w:rsidRPr="00506B77">
        <w:t>θυοντες</w:t>
      </w:r>
      <w:proofErr w:type="spellEnd"/>
      <w:r w:rsidRPr="00506B77">
        <w:t xml:space="preserve"> </w:t>
      </w:r>
      <w:proofErr w:type="spellStart"/>
      <w:r w:rsidRPr="00506B77">
        <w:t>τῳ</w:t>
      </w:r>
      <w:proofErr w:type="spellEnd"/>
      <w:r w:rsidRPr="00506B77">
        <w:t xml:space="preserve"> κα</w:t>
      </w:r>
      <w:proofErr w:type="spellStart"/>
      <w:r w:rsidRPr="00506B77">
        <w:t>θωσιωμενῳ</w:t>
      </w:r>
      <w:proofErr w:type="spellEnd"/>
      <w:r w:rsidRPr="00506B77">
        <w:t xml:space="preserve"> ἐπι</w:t>
      </w:r>
      <w:r>
        <w:t xml:space="preserve"> </w:t>
      </w:r>
      <w:proofErr w:type="spellStart"/>
      <w:r w:rsidRPr="00FD7E5A">
        <w:t>της</w:t>
      </w:r>
      <w:proofErr w:type="spellEnd"/>
      <w:r w:rsidRPr="00FD7E5A">
        <w:t xml:space="preserve"> </w:t>
      </w:r>
      <w:proofErr w:type="spellStart"/>
      <w:r w:rsidRPr="00FD7E5A">
        <w:t>κορυφης</w:t>
      </w:r>
      <w:proofErr w:type="spellEnd"/>
      <w:r w:rsidRPr="00FD7E5A">
        <w:t xml:space="preserve"> </w:t>
      </w:r>
      <w:proofErr w:type="spellStart"/>
      <w:r w:rsidRPr="00FD7E5A">
        <w:t>του</w:t>
      </w:r>
      <w:proofErr w:type="spellEnd"/>
      <w:r w:rsidRPr="00FD7E5A">
        <w:t xml:space="preserve"> </w:t>
      </w:r>
      <w:proofErr w:type="spellStart"/>
      <w:r w:rsidRPr="00FD7E5A">
        <w:t>ὀρους</w:t>
      </w:r>
      <w:proofErr w:type="spellEnd"/>
      <w:r w:rsidRPr="00FD7E5A">
        <w:t xml:space="preserve"> Ἑρμῃ, </w:t>
      </w:r>
      <w:proofErr w:type="spellStart"/>
      <w:r w:rsidRPr="00FD7E5A">
        <w:t>ὁτ</w:t>
      </w:r>
      <w:proofErr w:type="spellEnd"/>
      <w:r w:rsidRPr="00FD7E5A">
        <w:t>αν πα</w:t>
      </w:r>
      <w:proofErr w:type="spellStart"/>
      <w:r w:rsidRPr="00FD7E5A">
        <w:t>λιν</w:t>
      </w:r>
      <w:proofErr w:type="spellEnd"/>
      <w:r w:rsidRPr="00FD7E5A">
        <w:t xml:space="preserve"> </w:t>
      </w:r>
      <w:proofErr w:type="spellStart"/>
      <w:r w:rsidRPr="00FD7E5A">
        <w:t>δι</w:t>
      </w:r>
      <w:proofErr w:type="spellEnd"/>
      <w:r w:rsidRPr="00FD7E5A">
        <w:t xml:space="preserve">' </w:t>
      </w:r>
      <w:proofErr w:type="spellStart"/>
      <w:r w:rsidRPr="00FD7E5A">
        <w:t>ἐνι</w:t>
      </w:r>
      <w:proofErr w:type="spellEnd"/>
      <w:r w:rsidRPr="00FD7E5A">
        <w:t xml:space="preserve">αυτου </w:t>
      </w:r>
      <w:proofErr w:type="spellStart"/>
      <w:r w:rsidRPr="00FD7E5A">
        <w:t>ἀν</w:t>
      </w:r>
      <w:proofErr w:type="spellEnd"/>
      <w:r w:rsidRPr="00FD7E5A">
        <w:t xml:space="preserve">αβοινοντες τας </w:t>
      </w:r>
      <w:proofErr w:type="spellStart"/>
      <w:r w:rsidRPr="00FD7E5A">
        <w:t>θυσι</w:t>
      </w:r>
      <w:proofErr w:type="spellEnd"/>
      <w:r w:rsidRPr="00FD7E5A">
        <w:t>ας ἐπ</w:t>
      </w:r>
      <w:proofErr w:type="spellStart"/>
      <w:r w:rsidRPr="00FD7E5A">
        <w:t>ιτελωσιν</w:t>
      </w:r>
      <w:proofErr w:type="spellEnd"/>
      <w:r w:rsidRPr="00FD7E5A">
        <w:t xml:space="preserve">, </w:t>
      </w:r>
      <w:proofErr w:type="spellStart"/>
      <w:r w:rsidRPr="00FD7E5A">
        <w:t>εὑρισκουσι</w:t>
      </w:r>
      <w:proofErr w:type="spellEnd"/>
      <w:r w:rsidRPr="00FD7E5A">
        <w:t xml:space="preserve"> και τα </w:t>
      </w:r>
      <w:proofErr w:type="spellStart"/>
      <w:r w:rsidRPr="00FD7E5A">
        <w:t>μηρι</w:t>
      </w:r>
      <w:proofErr w:type="spellEnd"/>
      <w:r w:rsidRPr="00FD7E5A">
        <w:t xml:space="preserve">α και </w:t>
      </w:r>
      <w:proofErr w:type="spellStart"/>
      <w:r w:rsidRPr="00FD7E5A">
        <w:t>την</w:t>
      </w:r>
      <w:proofErr w:type="spellEnd"/>
      <w:r w:rsidRPr="00FD7E5A">
        <w:t xml:space="preserve"> </w:t>
      </w:r>
      <w:proofErr w:type="spellStart"/>
      <w:r w:rsidRPr="00FD7E5A">
        <w:t>τεφρ</w:t>
      </w:r>
      <w:proofErr w:type="spellEnd"/>
      <w:r w:rsidRPr="00FD7E5A">
        <w:t xml:space="preserve">αν </w:t>
      </w:r>
      <w:proofErr w:type="spellStart"/>
      <w:r w:rsidRPr="00FD7E5A">
        <w:t>την</w:t>
      </w:r>
      <w:proofErr w:type="spellEnd"/>
      <w:r w:rsidRPr="00FD7E5A">
        <w:t xml:space="preserve"> ἀπο </w:t>
      </w:r>
      <w:proofErr w:type="spellStart"/>
      <w:r w:rsidRPr="00FD7E5A">
        <w:t>του</w:t>
      </w:r>
      <w:proofErr w:type="spellEnd"/>
      <w:r w:rsidRPr="00FD7E5A">
        <w:t xml:space="preserve"> π</w:t>
      </w:r>
      <w:proofErr w:type="spellStart"/>
      <w:r w:rsidRPr="00FD7E5A">
        <w:t>υρος</w:t>
      </w:r>
      <w:proofErr w:type="spellEnd"/>
      <w:r w:rsidRPr="00FD7E5A">
        <w:t xml:space="preserve"> </w:t>
      </w:r>
      <w:proofErr w:type="spellStart"/>
      <w:r w:rsidRPr="00FD7E5A">
        <w:t>ἐν</w:t>
      </w:r>
      <w:proofErr w:type="spellEnd"/>
      <w:r w:rsidRPr="00FD7E5A">
        <w:t xml:space="preserve"> </w:t>
      </w:r>
      <w:proofErr w:type="spellStart"/>
      <w:r w:rsidRPr="00FD7E5A">
        <w:t>τῃ</w:t>
      </w:r>
      <w:proofErr w:type="spellEnd"/>
      <w:r w:rsidRPr="00FD7E5A">
        <w:t xml:space="preserve"> α</w:t>
      </w:r>
      <w:proofErr w:type="spellStart"/>
      <w:r w:rsidRPr="00FD7E5A">
        <w:t>ὐτῃ</w:t>
      </w:r>
      <w:proofErr w:type="spellEnd"/>
      <w:r w:rsidRPr="00FD7E5A">
        <w:t xml:space="preserve"> τα</w:t>
      </w:r>
      <w:proofErr w:type="spellStart"/>
      <w:r w:rsidRPr="00FD7E5A">
        <w:t>ξει</w:t>
      </w:r>
      <w:proofErr w:type="spellEnd"/>
      <w:r w:rsidRPr="00FD7E5A">
        <w:t xml:space="preserve"> </w:t>
      </w:r>
      <w:proofErr w:type="spellStart"/>
      <w:r w:rsidRPr="00FD7E5A">
        <w:t>μενουσ</w:t>
      </w:r>
      <w:proofErr w:type="spellEnd"/>
      <w:r w:rsidRPr="00FD7E5A">
        <w:t xml:space="preserve">αν, </w:t>
      </w:r>
      <w:proofErr w:type="spellStart"/>
      <w:r w:rsidRPr="00FD7E5A">
        <w:t>ἐν</w:t>
      </w:r>
      <w:proofErr w:type="spellEnd"/>
      <w:r w:rsidRPr="00FD7E5A">
        <w:t xml:space="preserve"> ᾑ και κα</w:t>
      </w:r>
      <w:proofErr w:type="spellStart"/>
      <w:r w:rsidRPr="00FD7E5A">
        <w:t>τελι</w:t>
      </w:r>
      <w:proofErr w:type="spellEnd"/>
      <w:r w:rsidRPr="00FD7E5A">
        <w:t xml:space="preserve">πον, και </w:t>
      </w:r>
      <w:proofErr w:type="spellStart"/>
      <w:r w:rsidRPr="00FD7E5A">
        <w:t>μηθ</w:t>
      </w:r>
      <w:proofErr w:type="spellEnd"/>
      <w:r w:rsidRPr="00FD7E5A">
        <w:t>' ὑπο π</w:t>
      </w:r>
      <w:proofErr w:type="spellStart"/>
      <w:r w:rsidRPr="00FD7E5A">
        <w:t>νευμ</w:t>
      </w:r>
      <w:proofErr w:type="spellEnd"/>
      <w:r w:rsidRPr="00FD7E5A">
        <w:t xml:space="preserve">ατων </w:t>
      </w:r>
      <w:proofErr w:type="spellStart"/>
      <w:r w:rsidRPr="00FD7E5A">
        <w:t>μηθ</w:t>
      </w:r>
      <w:proofErr w:type="spellEnd"/>
      <w:r w:rsidRPr="00FD7E5A">
        <w:t xml:space="preserve">' ὑπο </w:t>
      </w:r>
      <w:proofErr w:type="spellStart"/>
      <w:r w:rsidRPr="00FD7E5A">
        <w:t>ὀμ</w:t>
      </w:r>
      <w:proofErr w:type="spellEnd"/>
      <w:r w:rsidRPr="00FD7E5A">
        <w:t xml:space="preserve">βρων </w:t>
      </w:r>
      <w:proofErr w:type="spellStart"/>
      <w:r w:rsidRPr="00FD7E5A">
        <w:t>ἠλλοιωμεν</w:t>
      </w:r>
      <w:proofErr w:type="spellEnd"/>
      <w:r w:rsidRPr="00FD7E5A">
        <w:t xml:space="preserve">α </w:t>
      </w:r>
      <w:proofErr w:type="spellStart"/>
      <w:r w:rsidRPr="00FD7E5A">
        <w:t>δι</w:t>
      </w:r>
      <w:proofErr w:type="spellEnd"/>
      <w:r w:rsidRPr="00FD7E5A">
        <w:t xml:space="preserve">α </w:t>
      </w:r>
      <w:proofErr w:type="spellStart"/>
      <w:r w:rsidRPr="00FD7E5A">
        <w:t>το</w:t>
      </w:r>
      <w:proofErr w:type="spellEnd"/>
      <w:r w:rsidRPr="00FD7E5A">
        <w:t xml:space="preserve"> πα</w:t>
      </w:r>
      <w:proofErr w:type="spellStart"/>
      <w:r w:rsidRPr="00FD7E5A">
        <w:t>ντ</w:t>
      </w:r>
      <w:proofErr w:type="spellEnd"/>
      <w:r w:rsidRPr="00FD7E5A">
        <w:t xml:space="preserve">α τα </w:t>
      </w:r>
      <w:proofErr w:type="spellStart"/>
      <w:r w:rsidRPr="00FD7E5A">
        <w:t>νεφη</w:t>
      </w:r>
      <w:proofErr w:type="spellEnd"/>
      <w:r w:rsidRPr="00FD7E5A">
        <w:t xml:space="preserve"> και τας </w:t>
      </w:r>
      <w:proofErr w:type="spellStart"/>
      <w:r w:rsidRPr="00FD7E5A">
        <w:t>των</w:t>
      </w:r>
      <w:proofErr w:type="spellEnd"/>
      <w:r w:rsidRPr="00FD7E5A">
        <w:t xml:space="preserve"> </w:t>
      </w:r>
      <w:proofErr w:type="spellStart"/>
      <w:r w:rsidRPr="00FD7E5A">
        <w:t>ἀνεμων</w:t>
      </w:r>
      <w:proofErr w:type="spellEnd"/>
      <w:r w:rsidRPr="00FD7E5A">
        <w:t xml:space="preserve"> </w:t>
      </w:r>
      <w:proofErr w:type="spellStart"/>
      <w:r w:rsidRPr="00FD7E5A">
        <w:t>συστ</w:t>
      </w:r>
      <w:proofErr w:type="spellEnd"/>
      <w:r w:rsidRPr="00FD7E5A">
        <w:t>ασεις ὑπ</w:t>
      </w:r>
      <w:proofErr w:type="spellStart"/>
      <w:r w:rsidRPr="00FD7E5A">
        <w:t>οκ</w:t>
      </w:r>
      <w:proofErr w:type="spellEnd"/>
      <w:r w:rsidRPr="00FD7E5A">
        <w:t xml:space="preserve">ατω </w:t>
      </w:r>
      <w:proofErr w:type="spellStart"/>
      <w:r w:rsidRPr="00FD7E5A">
        <w:t>της</w:t>
      </w:r>
      <w:proofErr w:type="spellEnd"/>
      <w:r w:rsidRPr="00FD7E5A">
        <w:t xml:space="preserve"> </w:t>
      </w:r>
      <w:proofErr w:type="spellStart"/>
      <w:r w:rsidRPr="00FD7E5A">
        <w:t>του</w:t>
      </w:r>
      <w:proofErr w:type="spellEnd"/>
      <w:r w:rsidRPr="00FD7E5A">
        <w:t xml:space="preserve"> </w:t>
      </w:r>
      <w:proofErr w:type="spellStart"/>
      <w:r w:rsidRPr="00FD7E5A">
        <w:t>ὀρους</w:t>
      </w:r>
      <w:proofErr w:type="spellEnd"/>
      <w:r w:rsidRPr="00FD7E5A">
        <w:t xml:space="preserve"> </w:t>
      </w:r>
      <w:proofErr w:type="spellStart"/>
      <w:r w:rsidRPr="00FD7E5A">
        <w:t>κορυφης</w:t>
      </w:r>
      <w:proofErr w:type="spellEnd"/>
      <w:r w:rsidRPr="00FD7E5A">
        <w:t xml:space="preserve"> </w:t>
      </w:r>
      <w:proofErr w:type="spellStart"/>
      <w:r w:rsidRPr="00FD7E5A">
        <w:t>συνιστ</w:t>
      </w:r>
      <w:proofErr w:type="spellEnd"/>
      <w:r w:rsidRPr="00FD7E5A">
        <w:t>ασθαι.</w:t>
      </w:r>
      <w:r>
        <w:rPr>
          <w:rStyle w:val="FootnoteReference"/>
        </w:rPr>
        <w:footnoteReference w:id="62"/>
      </w:r>
    </w:p>
    <w:p w14:paraId="3D3FFF9F" w14:textId="77777777" w:rsidR="00066075" w:rsidRDefault="00066075" w:rsidP="00D55A7C">
      <w:pPr>
        <w:spacing w:line="480" w:lineRule="auto"/>
        <w:ind w:left="720"/>
        <w:jc w:val="both"/>
      </w:pPr>
    </w:p>
    <w:p w14:paraId="5B3E5CD0" w14:textId="77777777" w:rsidR="00066075" w:rsidRDefault="00066075" w:rsidP="00D55A7C">
      <w:pPr>
        <w:spacing w:line="480" w:lineRule="auto"/>
        <w:jc w:val="both"/>
      </w:pPr>
    </w:p>
    <w:p w14:paraId="027B808B" w14:textId="77777777" w:rsidR="00066075" w:rsidRDefault="00066075" w:rsidP="00D55A7C">
      <w:pPr>
        <w:spacing w:line="480" w:lineRule="auto"/>
        <w:ind w:left="720"/>
        <w:jc w:val="both"/>
      </w:pPr>
      <w:r>
        <w:t xml:space="preserve">The opinion concerning weather signs current among laymen involves a spurious belief, that the changes in the air occur because of the [heliacal] risings and settings of the stars. But mathematical and physical opinion has it otherwise. </w:t>
      </w:r>
    </w:p>
    <w:p w14:paraId="56FEF3F7" w14:textId="77777777" w:rsidR="00066075" w:rsidRDefault="00066075" w:rsidP="00D55A7C">
      <w:pPr>
        <w:spacing w:line="480" w:lineRule="auto"/>
        <w:ind w:left="720" w:firstLine="720"/>
        <w:jc w:val="both"/>
      </w:pPr>
      <w:r>
        <w:t xml:space="preserve">And first it must be mentioned that what signs there are of rainstorms and wind occur near the Earth, and do not extend to a greater height. For exhalations from the Earth are varied and </w:t>
      </w:r>
      <w:proofErr w:type="gramStart"/>
      <w:r>
        <w:t>irregular, and</w:t>
      </w:r>
      <w:proofErr w:type="gramEnd"/>
      <w:r>
        <w:t xml:space="preserve"> therefore cannot extend to the sphere of the fixed stars; rather, the clouds do not [even] reach up to ten </w:t>
      </w:r>
      <w:proofErr w:type="spellStart"/>
      <w:r>
        <w:t>stades</w:t>
      </w:r>
      <w:proofErr w:type="spellEnd"/>
      <w:r>
        <w:t xml:space="preserve"> in height. </w:t>
      </w:r>
    </w:p>
    <w:p w14:paraId="0DE22FAA" w14:textId="77777777" w:rsidR="00066075" w:rsidRDefault="00066075" w:rsidP="00D55A7C">
      <w:pPr>
        <w:spacing w:line="480" w:lineRule="auto"/>
        <w:ind w:left="720" w:firstLine="720"/>
        <w:jc w:val="both"/>
      </w:pPr>
      <w:r>
        <w:t xml:space="preserve">In any case, those who climb Kyllēnē, the highest mountain in the </w:t>
      </w:r>
      <w:proofErr w:type="spellStart"/>
      <w:r>
        <w:t>Peloponnesos</w:t>
      </w:r>
      <w:proofErr w:type="spellEnd"/>
      <w:r>
        <w:t xml:space="preserve">, and sacrifice to Hermēs, to whom offerings are made on the summit of </w:t>
      </w:r>
      <w:r>
        <w:lastRenderedPageBreak/>
        <w:t>the mountain, find, when they climb again and perform the sacrifices a year later, that the thigh bones and the ashes from the fire remain in the same condition in which they had left them, and that they have not been changed by winds or by rainstorms, because all the clouds and the formation of the winds occur below the summit of the mountain.</w:t>
      </w:r>
      <w:r>
        <w:rPr>
          <w:rStyle w:val="FootnoteReference"/>
        </w:rPr>
        <w:footnoteReference w:id="63"/>
      </w:r>
      <w:r>
        <w:t xml:space="preserve"> </w:t>
      </w:r>
    </w:p>
    <w:p w14:paraId="1878BDA0" w14:textId="77777777" w:rsidR="00066075" w:rsidRDefault="00066075" w:rsidP="00D55A7C">
      <w:pPr>
        <w:spacing w:line="480" w:lineRule="auto"/>
        <w:jc w:val="both"/>
      </w:pPr>
    </w:p>
    <w:p w14:paraId="476B98C1" w14:textId="48885F45" w:rsidR="00066075" w:rsidRDefault="00066075" w:rsidP="00D55A7C">
      <w:pPr>
        <w:spacing w:line="480" w:lineRule="auto"/>
        <w:jc w:val="both"/>
      </w:pPr>
      <w:r>
        <w:t>For which Thomas Savile gives:</w:t>
      </w:r>
      <w:r>
        <w:tab/>
      </w:r>
    </w:p>
    <w:p w14:paraId="05CFFCC2" w14:textId="77777777" w:rsidR="00066075" w:rsidRDefault="00066075" w:rsidP="00D55A7C">
      <w:pPr>
        <w:spacing w:line="480" w:lineRule="auto"/>
        <w:jc w:val="both"/>
      </w:pPr>
      <w:r>
        <w:tab/>
      </w:r>
    </w:p>
    <w:p w14:paraId="17204D62" w14:textId="77777777" w:rsidR="00066075" w:rsidRDefault="00066075" w:rsidP="00D55A7C">
      <w:pPr>
        <w:spacing w:line="480" w:lineRule="auto"/>
        <w:ind w:left="720"/>
        <w:jc w:val="both"/>
      </w:pPr>
      <w:r>
        <w:t xml:space="preserve">De </w:t>
      </w:r>
      <w:proofErr w:type="spellStart"/>
      <w:r>
        <w:t>tempestatibus</w:t>
      </w:r>
      <w:proofErr w:type="spellEnd"/>
      <w:r>
        <w:t xml:space="preserve"> </w:t>
      </w:r>
      <w:proofErr w:type="spellStart"/>
      <w:r>
        <w:t>uulgus</w:t>
      </w:r>
      <w:proofErr w:type="spellEnd"/>
      <w:r>
        <w:t xml:space="preserve"> </w:t>
      </w:r>
      <w:proofErr w:type="spellStart"/>
      <w:r>
        <w:t>sinistre</w:t>
      </w:r>
      <w:proofErr w:type="spellEnd"/>
      <w:r>
        <w:t xml:space="preserve"> </w:t>
      </w:r>
      <w:proofErr w:type="spellStart"/>
      <w:r>
        <w:t>omnino</w:t>
      </w:r>
      <w:proofErr w:type="spellEnd"/>
      <w:r>
        <w:t xml:space="preserve">, ac </w:t>
      </w:r>
      <w:proofErr w:type="spellStart"/>
      <w:r>
        <w:t>peruerse</w:t>
      </w:r>
      <w:proofErr w:type="spellEnd"/>
      <w:r>
        <w:t xml:space="preserve"> </w:t>
      </w:r>
      <w:proofErr w:type="spellStart"/>
      <w:r>
        <w:t>iudicat</w:t>
      </w:r>
      <w:proofErr w:type="spellEnd"/>
      <w:r>
        <w:t xml:space="preserve">, </w:t>
      </w:r>
      <w:proofErr w:type="spellStart"/>
      <w:r>
        <w:t>tamquam</w:t>
      </w:r>
      <w:proofErr w:type="spellEnd"/>
      <w:r>
        <w:t xml:space="preserve"> </w:t>
      </w:r>
      <w:proofErr w:type="spellStart"/>
      <w:r>
        <w:t>stellarum</w:t>
      </w:r>
      <w:proofErr w:type="spellEnd"/>
      <w:r>
        <w:t xml:space="preserve"> </w:t>
      </w:r>
      <w:proofErr w:type="spellStart"/>
      <w:r>
        <w:t>ortus</w:t>
      </w:r>
      <w:proofErr w:type="spellEnd"/>
      <w:r>
        <w:t xml:space="preserve"> et </w:t>
      </w:r>
      <w:proofErr w:type="spellStart"/>
      <w:r>
        <w:t>occasus</w:t>
      </w:r>
      <w:proofErr w:type="spellEnd"/>
      <w:r>
        <w:t xml:space="preserve"> </w:t>
      </w:r>
      <w:proofErr w:type="spellStart"/>
      <w:r>
        <w:t>aëris</w:t>
      </w:r>
      <w:proofErr w:type="spellEnd"/>
      <w:r>
        <w:t xml:space="preserve"> </w:t>
      </w:r>
      <w:proofErr w:type="spellStart"/>
      <w:r>
        <w:t>mutationes</w:t>
      </w:r>
      <w:proofErr w:type="spellEnd"/>
      <w:r>
        <w:t xml:space="preserve"> </w:t>
      </w:r>
      <w:proofErr w:type="spellStart"/>
      <w:r>
        <w:t>efficerent</w:t>
      </w:r>
      <w:proofErr w:type="spellEnd"/>
      <w:r>
        <w:t xml:space="preserve">. </w:t>
      </w:r>
      <w:proofErr w:type="spellStart"/>
      <w:r>
        <w:t>sed</w:t>
      </w:r>
      <w:proofErr w:type="spellEnd"/>
      <w:r>
        <w:t xml:space="preserve"> qui </w:t>
      </w:r>
      <w:proofErr w:type="spellStart"/>
      <w:r>
        <w:t>mathematicis</w:t>
      </w:r>
      <w:proofErr w:type="spellEnd"/>
      <w:r>
        <w:t xml:space="preserve"> ac </w:t>
      </w:r>
      <w:proofErr w:type="spellStart"/>
      <w:r>
        <w:t>physicis</w:t>
      </w:r>
      <w:proofErr w:type="spellEnd"/>
      <w:r>
        <w:t xml:space="preserve"> </w:t>
      </w:r>
      <w:proofErr w:type="spellStart"/>
      <w:r>
        <w:t>disciplinis</w:t>
      </w:r>
      <w:proofErr w:type="spellEnd"/>
      <w:r>
        <w:t xml:space="preserve"> </w:t>
      </w:r>
      <w:proofErr w:type="spellStart"/>
      <w:r>
        <w:t>imbuti</w:t>
      </w:r>
      <w:proofErr w:type="spellEnd"/>
      <w:r>
        <w:t xml:space="preserve"> sunt longe </w:t>
      </w:r>
      <w:proofErr w:type="spellStart"/>
      <w:r>
        <w:t>aliam</w:t>
      </w:r>
      <w:proofErr w:type="spellEnd"/>
      <w:r>
        <w:t xml:space="preserve"> hac de re </w:t>
      </w:r>
      <w:proofErr w:type="spellStart"/>
      <w:r>
        <w:t>sententiam</w:t>
      </w:r>
      <w:proofErr w:type="spellEnd"/>
      <w:r>
        <w:t xml:space="preserve"> </w:t>
      </w:r>
      <w:proofErr w:type="spellStart"/>
      <w:r>
        <w:t>habent</w:t>
      </w:r>
      <w:proofErr w:type="spellEnd"/>
      <w:r>
        <w:t xml:space="preserve">. </w:t>
      </w:r>
      <w:proofErr w:type="spellStart"/>
      <w:r>
        <w:t>atque</w:t>
      </w:r>
      <w:proofErr w:type="spellEnd"/>
      <w:r>
        <w:t xml:space="preserve"> </w:t>
      </w:r>
      <w:proofErr w:type="spellStart"/>
      <w:r>
        <w:t>illud</w:t>
      </w:r>
      <w:proofErr w:type="spellEnd"/>
      <w:r>
        <w:t xml:space="preserve"> </w:t>
      </w:r>
      <w:proofErr w:type="spellStart"/>
      <w:r>
        <w:t>omnino</w:t>
      </w:r>
      <w:proofErr w:type="spellEnd"/>
      <w:r>
        <w:t xml:space="preserve"> primum est </w:t>
      </w:r>
      <w:proofErr w:type="spellStart"/>
      <w:r>
        <w:t>existimandum</w:t>
      </w:r>
      <w:proofErr w:type="spellEnd"/>
      <w:r>
        <w:t xml:space="preserve">, </w:t>
      </w:r>
      <w:proofErr w:type="spellStart"/>
      <w:r>
        <w:t>imbrium</w:t>
      </w:r>
      <w:proofErr w:type="spellEnd"/>
      <w:r>
        <w:t xml:space="preserve"> ac </w:t>
      </w:r>
      <w:proofErr w:type="spellStart"/>
      <w:r>
        <w:t>uentorum</w:t>
      </w:r>
      <w:proofErr w:type="spellEnd"/>
      <w:r>
        <w:t xml:space="preserve"> </w:t>
      </w:r>
      <w:proofErr w:type="spellStart"/>
      <w:r>
        <w:t>tempestates</w:t>
      </w:r>
      <w:proofErr w:type="spellEnd"/>
      <w:r>
        <w:t xml:space="preserve">, </w:t>
      </w:r>
      <w:proofErr w:type="spellStart"/>
      <w:r>
        <w:t>nubesque</w:t>
      </w:r>
      <w:proofErr w:type="spellEnd"/>
      <w:r>
        <w:t xml:space="preserve"> non lo</w:t>
      </w:r>
      <w:r w:rsidRPr="00697113">
        <w:rPr>
          <w:i/>
          <w:iCs/>
        </w:rPr>
        <w:t>n</w:t>
      </w:r>
      <w:r>
        <w:t xml:space="preserve">ge a terra fieri, </w:t>
      </w:r>
      <w:proofErr w:type="spellStart"/>
      <w:r>
        <w:t>neque</w:t>
      </w:r>
      <w:proofErr w:type="spellEnd"/>
      <w:r>
        <w:t xml:space="preserve"> in </w:t>
      </w:r>
      <w:proofErr w:type="spellStart"/>
      <w:r>
        <w:t>magnam</w:t>
      </w:r>
      <w:proofErr w:type="spellEnd"/>
      <w:r>
        <w:t xml:space="preserve"> </w:t>
      </w:r>
      <w:proofErr w:type="spellStart"/>
      <w:r>
        <w:t>adeo</w:t>
      </w:r>
      <w:proofErr w:type="spellEnd"/>
      <w:r>
        <w:t xml:space="preserve"> </w:t>
      </w:r>
      <w:proofErr w:type="spellStart"/>
      <w:r>
        <w:t>altitudinem</w:t>
      </w:r>
      <w:proofErr w:type="spellEnd"/>
      <w:r>
        <w:t xml:space="preserve"> </w:t>
      </w:r>
      <w:proofErr w:type="spellStart"/>
      <w:r>
        <w:t>ascendere</w:t>
      </w:r>
      <w:proofErr w:type="spellEnd"/>
      <w:r>
        <w:t xml:space="preserve">. </w:t>
      </w:r>
      <w:proofErr w:type="spellStart"/>
      <w:r>
        <w:t>etenim</w:t>
      </w:r>
      <w:proofErr w:type="spellEnd"/>
      <w:r>
        <w:t xml:space="preserve"> </w:t>
      </w:r>
      <w:proofErr w:type="spellStart"/>
      <w:r w:rsidRPr="003D7F29">
        <w:rPr>
          <w:u w:val="single"/>
        </w:rPr>
        <w:t>anhelitus</w:t>
      </w:r>
      <w:proofErr w:type="spellEnd"/>
      <w:r>
        <w:t xml:space="preserve"> sunt ex terra </w:t>
      </w:r>
      <w:proofErr w:type="spellStart"/>
      <w:r>
        <w:t>multiplices</w:t>
      </w:r>
      <w:proofErr w:type="spellEnd"/>
      <w:r>
        <w:t xml:space="preserve"> </w:t>
      </w:r>
      <w:proofErr w:type="spellStart"/>
      <w:r>
        <w:t>atque</w:t>
      </w:r>
      <w:proofErr w:type="spellEnd"/>
      <w:r>
        <w:t xml:space="preserve"> </w:t>
      </w:r>
      <w:proofErr w:type="spellStart"/>
      <w:r>
        <w:t>inaequabiles</w:t>
      </w:r>
      <w:proofErr w:type="spellEnd"/>
      <w:r>
        <w:t xml:space="preserve">, </w:t>
      </w:r>
      <w:proofErr w:type="spellStart"/>
      <w:r>
        <w:t>ut</w:t>
      </w:r>
      <w:proofErr w:type="spellEnd"/>
      <w:r>
        <w:t xml:space="preserve"> non modo non ad </w:t>
      </w:r>
      <w:proofErr w:type="spellStart"/>
      <w:r>
        <w:t>inerrantium</w:t>
      </w:r>
      <w:proofErr w:type="spellEnd"/>
      <w:r>
        <w:t xml:space="preserve"> </w:t>
      </w:r>
      <w:proofErr w:type="spellStart"/>
      <w:r>
        <w:t>stellarum</w:t>
      </w:r>
      <w:proofErr w:type="spellEnd"/>
      <w:r>
        <w:t xml:space="preserve"> </w:t>
      </w:r>
      <w:proofErr w:type="spellStart"/>
      <w:r>
        <w:t>sphaeram</w:t>
      </w:r>
      <w:proofErr w:type="spellEnd"/>
      <w:r>
        <w:t xml:space="preserve">, </w:t>
      </w:r>
      <w:proofErr w:type="spellStart"/>
      <w:r>
        <w:t>sed</w:t>
      </w:r>
      <w:proofErr w:type="spellEnd"/>
      <w:r>
        <w:t xml:space="preserve"> ne ad </w:t>
      </w:r>
      <w:proofErr w:type="spellStart"/>
      <w:r>
        <w:t>montium</w:t>
      </w:r>
      <w:proofErr w:type="spellEnd"/>
      <w:r>
        <w:t xml:space="preserve"> </w:t>
      </w:r>
      <w:proofErr w:type="spellStart"/>
      <w:r>
        <w:t>quidem</w:t>
      </w:r>
      <w:proofErr w:type="spellEnd"/>
      <w:r>
        <w:t xml:space="preserve"> </w:t>
      </w:r>
      <w:proofErr w:type="spellStart"/>
      <w:r>
        <w:t>paullo</w:t>
      </w:r>
      <w:proofErr w:type="spellEnd"/>
      <w:r>
        <w:t xml:space="preserve"> </w:t>
      </w:r>
      <w:proofErr w:type="spellStart"/>
      <w:r>
        <w:t>altiorum</w:t>
      </w:r>
      <w:proofErr w:type="spellEnd"/>
      <w:r>
        <w:t xml:space="preserve"> </w:t>
      </w:r>
      <w:proofErr w:type="spellStart"/>
      <w:r>
        <w:t>cacumina</w:t>
      </w:r>
      <w:proofErr w:type="spellEnd"/>
      <w:r>
        <w:t xml:space="preserve"> </w:t>
      </w:r>
      <w:proofErr w:type="spellStart"/>
      <w:r>
        <w:t>possint</w:t>
      </w:r>
      <w:proofErr w:type="spellEnd"/>
      <w:r>
        <w:t xml:space="preserve"> </w:t>
      </w:r>
      <w:proofErr w:type="spellStart"/>
      <w:r>
        <w:t>peruenire</w:t>
      </w:r>
      <w:proofErr w:type="spellEnd"/>
      <w:r>
        <w:t xml:space="preserve">. qui </w:t>
      </w:r>
      <w:proofErr w:type="spellStart"/>
      <w:r>
        <w:t>etenim</w:t>
      </w:r>
      <w:proofErr w:type="spellEnd"/>
      <w:r>
        <w:t xml:space="preserve"> </w:t>
      </w:r>
      <w:proofErr w:type="spellStart"/>
      <w:r>
        <w:t>Cyllenen</w:t>
      </w:r>
      <w:proofErr w:type="spellEnd"/>
      <w:r>
        <w:t xml:space="preserve">, qui mons est </w:t>
      </w:r>
      <w:proofErr w:type="spellStart"/>
      <w:r>
        <w:t>Peleponesi</w:t>
      </w:r>
      <w:proofErr w:type="spellEnd"/>
      <w:r>
        <w:t xml:space="preserve"> latissimus, </w:t>
      </w:r>
      <w:proofErr w:type="spellStart"/>
      <w:r>
        <w:t>scandunt</w:t>
      </w:r>
      <w:proofErr w:type="spellEnd"/>
      <w:r>
        <w:t xml:space="preserve">, et Mercurio in </w:t>
      </w:r>
      <w:proofErr w:type="spellStart"/>
      <w:r>
        <w:t>montis</w:t>
      </w:r>
      <w:proofErr w:type="spellEnd"/>
      <w:r>
        <w:t xml:space="preserve"> </w:t>
      </w:r>
      <w:proofErr w:type="spellStart"/>
      <w:r>
        <w:t>uertice</w:t>
      </w:r>
      <w:proofErr w:type="spellEnd"/>
      <w:r>
        <w:t xml:space="preserve"> </w:t>
      </w:r>
      <w:proofErr w:type="spellStart"/>
      <w:r>
        <w:t>sacrato</w:t>
      </w:r>
      <w:proofErr w:type="spellEnd"/>
      <w:r>
        <w:t xml:space="preserve"> </w:t>
      </w:r>
      <w:proofErr w:type="spellStart"/>
      <w:r>
        <w:t>operantur</w:t>
      </w:r>
      <w:proofErr w:type="spellEnd"/>
      <w:r>
        <w:t xml:space="preserve">, </w:t>
      </w:r>
      <w:proofErr w:type="spellStart"/>
      <w:r>
        <w:t>ij</w:t>
      </w:r>
      <w:proofErr w:type="spellEnd"/>
      <w:r>
        <w:t xml:space="preserve"> anno </w:t>
      </w:r>
      <w:proofErr w:type="spellStart"/>
      <w:r>
        <w:t>uertente</w:t>
      </w:r>
      <w:proofErr w:type="spellEnd"/>
      <w:r>
        <w:t xml:space="preserve"> </w:t>
      </w:r>
      <w:proofErr w:type="spellStart"/>
      <w:r>
        <w:t>redeuntes</w:t>
      </w:r>
      <w:proofErr w:type="spellEnd"/>
      <w:r>
        <w:t xml:space="preserve"> </w:t>
      </w:r>
      <w:proofErr w:type="spellStart"/>
      <w:r>
        <w:t>ut</w:t>
      </w:r>
      <w:proofErr w:type="spellEnd"/>
      <w:r>
        <w:t xml:space="preserve"> </w:t>
      </w:r>
      <w:proofErr w:type="spellStart"/>
      <w:r>
        <w:t>sacrificium</w:t>
      </w:r>
      <w:proofErr w:type="spellEnd"/>
      <w:r>
        <w:t xml:space="preserve"> </w:t>
      </w:r>
      <w:proofErr w:type="spellStart"/>
      <w:r>
        <w:t>rursus</w:t>
      </w:r>
      <w:proofErr w:type="spellEnd"/>
      <w:r>
        <w:t xml:space="preserve"> </w:t>
      </w:r>
      <w:proofErr w:type="spellStart"/>
      <w:r>
        <w:t>peragant</w:t>
      </w:r>
      <w:proofErr w:type="spellEnd"/>
      <w:r>
        <w:t xml:space="preserve"> ossa ac </w:t>
      </w:r>
      <w:proofErr w:type="spellStart"/>
      <w:r>
        <w:t>cineres</w:t>
      </w:r>
      <w:proofErr w:type="spellEnd"/>
      <w:r>
        <w:t xml:space="preserve"> </w:t>
      </w:r>
      <w:proofErr w:type="spellStart"/>
      <w:r>
        <w:t>eodem</w:t>
      </w:r>
      <w:proofErr w:type="spellEnd"/>
      <w:r>
        <w:t xml:space="preserve"> plane modo </w:t>
      </w:r>
      <w:proofErr w:type="spellStart"/>
      <w:r>
        <w:t>reperiunt</w:t>
      </w:r>
      <w:proofErr w:type="spellEnd"/>
      <w:r>
        <w:t xml:space="preserve">, quo </w:t>
      </w:r>
      <w:proofErr w:type="spellStart"/>
      <w:r>
        <w:t>reliquerunt</w:t>
      </w:r>
      <w:proofErr w:type="spellEnd"/>
      <w:r>
        <w:t xml:space="preserve">, nec a </w:t>
      </w:r>
      <w:proofErr w:type="spellStart"/>
      <w:r>
        <w:t>uentis</w:t>
      </w:r>
      <w:proofErr w:type="spellEnd"/>
      <w:r>
        <w:t xml:space="preserve">, nec ab </w:t>
      </w:r>
      <w:proofErr w:type="spellStart"/>
      <w:r>
        <w:t>imbrib</w:t>
      </w:r>
      <w:r w:rsidRPr="00955683">
        <w:rPr>
          <w:i/>
          <w:iCs/>
        </w:rPr>
        <w:t>us</w:t>
      </w:r>
      <w:proofErr w:type="spellEnd"/>
      <w:r>
        <w:t xml:space="preserve"> </w:t>
      </w:r>
      <w:proofErr w:type="spellStart"/>
      <w:r>
        <w:t>perturbata</w:t>
      </w:r>
      <w:proofErr w:type="spellEnd"/>
      <w:r>
        <w:t xml:space="preserve">; </w:t>
      </w:r>
      <w:proofErr w:type="spellStart"/>
      <w:r>
        <w:t>propterea</w:t>
      </w:r>
      <w:proofErr w:type="spellEnd"/>
      <w:r>
        <w:t xml:space="preserve"> quod </w:t>
      </w:r>
      <w:proofErr w:type="spellStart"/>
      <w:r>
        <w:t>nubes</w:t>
      </w:r>
      <w:proofErr w:type="spellEnd"/>
      <w:r>
        <w:t xml:space="preserve"> ac </w:t>
      </w:r>
      <w:proofErr w:type="spellStart"/>
      <w:r>
        <w:t>uenti</w:t>
      </w:r>
      <w:proofErr w:type="spellEnd"/>
      <w:r>
        <w:t xml:space="preserve"> omnes infra </w:t>
      </w:r>
      <w:proofErr w:type="spellStart"/>
      <w:r>
        <w:t>montis</w:t>
      </w:r>
      <w:proofErr w:type="spellEnd"/>
      <w:r>
        <w:t xml:space="preserve"> </w:t>
      </w:r>
      <w:proofErr w:type="spellStart"/>
      <w:r>
        <w:t>uerticem</w:t>
      </w:r>
      <w:proofErr w:type="spellEnd"/>
      <w:r>
        <w:t xml:space="preserve"> </w:t>
      </w:r>
      <w:proofErr w:type="spellStart"/>
      <w:r>
        <w:t>gignantur</w:t>
      </w:r>
      <w:proofErr w:type="spellEnd"/>
      <w:r>
        <w:rPr>
          <w:rStyle w:val="FootnoteReference"/>
        </w:rPr>
        <w:footnoteReference w:id="64"/>
      </w:r>
    </w:p>
    <w:p w14:paraId="4D457733" w14:textId="77777777" w:rsidR="00066075" w:rsidRDefault="00066075" w:rsidP="00D55A7C">
      <w:pPr>
        <w:spacing w:line="480" w:lineRule="auto"/>
        <w:ind w:left="720"/>
        <w:jc w:val="both"/>
      </w:pPr>
    </w:p>
    <w:p w14:paraId="7CFACE1E" w14:textId="77777777" w:rsidR="00066075" w:rsidRDefault="00066075" w:rsidP="00D55A7C">
      <w:pPr>
        <w:spacing w:line="480" w:lineRule="auto"/>
        <w:jc w:val="both"/>
      </w:pPr>
    </w:p>
    <w:p w14:paraId="3CC258FF" w14:textId="77777777" w:rsidR="00066075" w:rsidRDefault="00066075" w:rsidP="00D55A7C">
      <w:pPr>
        <w:spacing w:line="480" w:lineRule="auto"/>
        <w:jc w:val="both"/>
      </w:pPr>
      <w:r>
        <w:t xml:space="preserve">And </w:t>
      </w:r>
      <w:proofErr w:type="spellStart"/>
      <w:r>
        <w:t>Hilderich</w:t>
      </w:r>
      <w:proofErr w:type="spellEnd"/>
      <w:r>
        <w:t xml:space="preserve">: </w:t>
      </w:r>
    </w:p>
    <w:p w14:paraId="06DD1179" w14:textId="77777777" w:rsidR="00066075" w:rsidRDefault="00066075" w:rsidP="00D55A7C">
      <w:pPr>
        <w:spacing w:line="480" w:lineRule="auto"/>
        <w:jc w:val="both"/>
      </w:pPr>
    </w:p>
    <w:p w14:paraId="69F3F279" w14:textId="0BA393A5" w:rsidR="00066075" w:rsidRDefault="00066075" w:rsidP="00D55A7C">
      <w:pPr>
        <w:spacing w:line="480" w:lineRule="auto"/>
        <w:ind w:left="720"/>
        <w:jc w:val="both"/>
      </w:pPr>
      <w:proofErr w:type="spellStart"/>
      <w:r>
        <w:lastRenderedPageBreak/>
        <w:t>Sermo</w:t>
      </w:r>
      <w:proofErr w:type="spellEnd"/>
      <w:r>
        <w:t xml:space="preserve"> de </w:t>
      </w:r>
      <w:proofErr w:type="spellStart"/>
      <w:r>
        <w:t>significationibus</w:t>
      </w:r>
      <w:proofErr w:type="spellEnd"/>
      <w:r>
        <w:t xml:space="preserve"> apud idiotas </w:t>
      </w:r>
      <w:proofErr w:type="spellStart"/>
      <w:r>
        <w:t>aliam</w:t>
      </w:r>
      <w:proofErr w:type="spellEnd"/>
      <w:r>
        <w:t xml:space="preserve"> </w:t>
      </w:r>
      <w:proofErr w:type="spellStart"/>
      <w:r>
        <w:t>habet</w:t>
      </w:r>
      <w:proofErr w:type="spellEnd"/>
      <w:r>
        <w:t xml:space="preserve"> </w:t>
      </w:r>
      <w:proofErr w:type="spellStart"/>
      <w:r>
        <w:t>opinionem</w:t>
      </w:r>
      <w:proofErr w:type="spellEnd"/>
      <w:r>
        <w:t xml:space="preserve">, quasi propter </w:t>
      </w:r>
      <w:proofErr w:type="spellStart"/>
      <w:r>
        <w:t>astrorum</w:t>
      </w:r>
      <w:proofErr w:type="spellEnd"/>
      <w:r>
        <w:t xml:space="preserve"> </w:t>
      </w:r>
      <w:proofErr w:type="spellStart"/>
      <w:r>
        <w:t>ortus</w:t>
      </w:r>
      <w:proofErr w:type="spellEnd"/>
      <w:r>
        <w:t xml:space="preserve">, &amp; </w:t>
      </w:r>
      <w:proofErr w:type="spellStart"/>
      <w:r>
        <w:t>occasus</w:t>
      </w:r>
      <w:proofErr w:type="spellEnd"/>
      <w:r>
        <w:t xml:space="preserve">, </w:t>
      </w:r>
      <w:proofErr w:type="spellStart"/>
      <w:r>
        <w:t>fiant</w:t>
      </w:r>
      <w:proofErr w:type="spellEnd"/>
      <w:r>
        <w:t xml:space="preserve"> </w:t>
      </w:r>
      <w:proofErr w:type="spellStart"/>
      <w:r>
        <w:t>aëris</w:t>
      </w:r>
      <w:proofErr w:type="spellEnd"/>
      <w:r>
        <w:t xml:space="preserve"> </w:t>
      </w:r>
      <w:proofErr w:type="spellStart"/>
      <w:r>
        <w:t>mutationes</w:t>
      </w:r>
      <w:proofErr w:type="spellEnd"/>
      <w:r>
        <w:t xml:space="preserve">. </w:t>
      </w:r>
      <w:proofErr w:type="spellStart"/>
      <w:r>
        <w:t>Mathematicus</w:t>
      </w:r>
      <w:proofErr w:type="spellEnd"/>
      <w:r>
        <w:t xml:space="preserve"> </w:t>
      </w:r>
      <w:proofErr w:type="spellStart"/>
      <w:r>
        <w:t>vero</w:t>
      </w:r>
      <w:proofErr w:type="spellEnd"/>
      <w:r>
        <w:t xml:space="preserve">, &amp; </w:t>
      </w:r>
      <w:proofErr w:type="spellStart"/>
      <w:r>
        <w:t>Physicus</w:t>
      </w:r>
      <w:proofErr w:type="spellEnd"/>
      <w:r>
        <w:t xml:space="preserve"> </w:t>
      </w:r>
      <w:proofErr w:type="spellStart"/>
      <w:r>
        <w:t>aliam</w:t>
      </w:r>
      <w:proofErr w:type="spellEnd"/>
      <w:r>
        <w:t xml:space="preserve"> </w:t>
      </w:r>
      <w:proofErr w:type="spellStart"/>
      <w:r>
        <w:t>habet</w:t>
      </w:r>
      <w:proofErr w:type="spellEnd"/>
      <w:r>
        <w:t xml:space="preserve"> </w:t>
      </w:r>
      <w:proofErr w:type="spellStart"/>
      <w:r>
        <w:t>opinionem</w:t>
      </w:r>
      <w:proofErr w:type="spellEnd"/>
      <w:r>
        <w:t xml:space="preserve">. Ac primo </w:t>
      </w:r>
      <w:proofErr w:type="spellStart"/>
      <w:r>
        <w:t>quidem</w:t>
      </w:r>
      <w:proofErr w:type="spellEnd"/>
      <w:r>
        <w:t xml:space="preserve"> </w:t>
      </w:r>
      <w:proofErr w:type="spellStart"/>
      <w:r>
        <w:t>statuendum</w:t>
      </w:r>
      <w:proofErr w:type="spellEnd"/>
      <w:r>
        <w:t xml:space="preserve"> est, quod </w:t>
      </w:r>
      <w:proofErr w:type="spellStart"/>
      <w:r>
        <w:t>hae</w:t>
      </w:r>
      <w:proofErr w:type="spellEnd"/>
      <w:r>
        <w:t xml:space="preserve"> </w:t>
      </w:r>
      <w:proofErr w:type="spellStart"/>
      <w:r>
        <w:t>significationes</w:t>
      </w:r>
      <w:proofErr w:type="spellEnd"/>
      <w:r>
        <w:t xml:space="preserve"> </w:t>
      </w:r>
      <w:proofErr w:type="spellStart"/>
      <w:r>
        <w:t>imbrium</w:t>
      </w:r>
      <w:proofErr w:type="spellEnd"/>
      <w:r>
        <w:t xml:space="preserve">, &amp; </w:t>
      </w:r>
      <w:proofErr w:type="spellStart"/>
      <w:r>
        <w:t>ventorum</w:t>
      </w:r>
      <w:proofErr w:type="spellEnd"/>
      <w:r>
        <w:t xml:space="preserve">, </w:t>
      </w:r>
      <w:proofErr w:type="spellStart"/>
      <w:r>
        <w:t>quæ</w:t>
      </w:r>
      <w:proofErr w:type="spellEnd"/>
      <w:r>
        <w:t xml:space="preserve"> </w:t>
      </w:r>
      <w:proofErr w:type="spellStart"/>
      <w:r>
        <w:t>fiunt</w:t>
      </w:r>
      <w:proofErr w:type="spellEnd"/>
      <w:r>
        <w:t xml:space="preserve">, circa </w:t>
      </w:r>
      <w:proofErr w:type="spellStart"/>
      <w:r>
        <w:t>terram</w:t>
      </w:r>
      <w:proofErr w:type="spellEnd"/>
      <w:r>
        <w:t xml:space="preserve"> </w:t>
      </w:r>
      <w:proofErr w:type="spellStart"/>
      <w:r>
        <w:t>fiant</w:t>
      </w:r>
      <w:proofErr w:type="spellEnd"/>
      <w:r>
        <w:t xml:space="preserve">, &amp; ad </w:t>
      </w:r>
      <w:proofErr w:type="spellStart"/>
      <w:r>
        <w:t>maiorem</w:t>
      </w:r>
      <w:proofErr w:type="spellEnd"/>
      <w:r>
        <w:t xml:space="preserve"> </w:t>
      </w:r>
      <w:proofErr w:type="spellStart"/>
      <w:r>
        <w:t>alititudinem</w:t>
      </w:r>
      <w:proofErr w:type="spellEnd"/>
      <w:r>
        <w:t xml:space="preserve"> non </w:t>
      </w:r>
      <w:proofErr w:type="spellStart"/>
      <w:r>
        <w:t>tendant</w:t>
      </w:r>
      <w:proofErr w:type="spellEnd"/>
      <w:r>
        <w:t xml:space="preserve">. </w:t>
      </w:r>
      <w:proofErr w:type="spellStart"/>
      <w:r>
        <w:t>Exhalationes</w:t>
      </w:r>
      <w:proofErr w:type="spellEnd"/>
      <w:r>
        <w:t xml:space="preserve"> </w:t>
      </w:r>
      <w:proofErr w:type="spellStart"/>
      <w:r>
        <w:t>enim</w:t>
      </w:r>
      <w:proofErr w:type="spellEnd"/>
      <w:r>
        <w:t xml:space="preserve"> sunt ex terra </w:t>
      </w:r>
      <w:proofErr w:type="spellStart"/>
      <w:r>
        <w:t>variae</w:t>
      </w:r>
      <w:proofErr w:type="spellEnd"/>
      <w:r>
        <w:t xml:space="preserve">, et </w:t>
      </w:r>
      <w:proofErr w:type="spellStart"/>
      <w:r>
        <w:t>expertes</w:t>
      </w:r>
      <w:proofErr w:type="spellEnd"/>
      <w:r>
        <w:t xml:space="preserve"> </w:t>
      </w:r>
      <w:proofErr w:type="spellStart"/>
      <w:r>
        <w:t>ordinis</w:t>
      </w:r>
      <w:proofErr w:type="spellEnd"/>
      <w:r>
        <w:t xml:space="preserve">, </w:t>
      </w:r>
      <w:proofErr w:type="spellStart"/>
      <w:r>
        <w:t>ut</w:t>
      </w:r>
      <w:proofErr w:type="spellEnd"/>
      <w:r>
        <w:t xml:space="preserve"> sit </w:t>
      </w:r>
      <w:proofErr w:type="spellStart"/>
      <w:r>
        <w:t>imposibile</w:t>
      </w:r>
      <w:proofErr w:type="spellEnd"/>
      <w:r>
        <w:t xml:space="preserve"> [sic], </w:t>
      </w:r>
      <w:proofErr w:type="spellStart"/>
      <w:r>
        <w:t>eas</w:t>
      </w:r>
      <w:proofErr w:type="spellEnd"/>
      <w:r>
        <w:t xml:space="preserve"> </w:t>
      </w:r>
      <w:proofErr w:type="spellStart"/>
      <w:r>
        <w:t>usq</w:t>
      </w:r>
      <w:r w:rsidRPr="00CD7EA6">
        <w:rPr>
          <w:i/>
          <w:iCs/>
        </w:rPr>
        <w:t>ue</w:t>
      </w:r>
      <w:proofErr w:type="spellEnd"/>
      <w:r w:rsidRPr="00CD7EA6">
        <w:rPr>
          <w:i/>
          <w:iCs/>
        </w:rPr>
        <w:t xml:space="preserve"> </w:t>
      </w:r>
      <w:proofErr w:type="spellStart"/>
      <w:r>
        <w:t>ad</w:t>
      </w:r>
      <w:proofErr w:type="spellEnd"/>
      <w:r>
        <w:t xml:space="preserve"> </w:t>
      </w:r>
      <w:proofErr w:type="spellStart"/>
      <w:r>
        <w:t>inerrantium</w:t>
      </w:r>
      <w:proofErr w:type="spellEnd"/>
      <w:r>
        <w:t xml:space="preserve"> </w:t>
      </w:r>
      <w:proofErr w:type="spellStart"/>
      <w:r>
        <w:t>stellarum</w:t>
      </w:r>
      <w:proofErr w:type="spellEnd"/>
      <w:r>
        <w:t xml:space="preserve"> </w:t>
      </w:r>
      <w:proofErr w:type="spellStart"/>
      <w:r>
        <w:t>sphæram</w:t>
      </w:r>
      <w:proofErr w:type="spellEnd"/>
      <w:r>
        <w:t xml:space="preserve"> </w:t>
      </w:r>
      <w:proofErr w:type="spellStart"/>
      <w:r>
        <w:t>tendere</w:t>
      </w:r>
      <w:proofErr w:type="spellEnd"/>
      <w:r>
        <w:t xml:space="preserve">, </w:t>
      </w:r>
      <w:proofErr w:type="spellStart"/>
      <w:r>
        <w:t>sed</w:t>
      </w:r>
      <w:proofErr w:type="spellEnd"/>
      <w:r>
        <w:t xml:space="preserve"> </w:t>
      </w:r>
      <w:proofErr w:type="spellStart"/>
      <w:r>
        <w:t>neq</w:t>
      </w:r>
      <w:r w:rsidRPr="00B721E7">
        <w:rPr>
          <w:i/>
          <w:iCs/>
        </w:rPr>
        <w:t>ue</w:t>
      </w:r>
      <w:proofErr w:type="spellEnd"/>
      <w:r>
        <w:t xml:space="preserve"> </w:t>
      </w:r>
      <w:proofErr w:type="spellStart"/>
      <w:r>
        <w:t>singulae</w:t>
      </w:r>
      <w:proofErr w:type="spellEnd"/>
      <w:r>
        <w:t xml:space="preserve"> </w:t>
      </w:r>
      <w:proofErr w:type="spellStart"/>
      <w:r>
        <w:t>nubes</w:t>
      </w:r>
      <w:proofErr w:type="spellEnd"/>
      <w:r>
        <w:t xml:space="preserve"> propter </w:t>
      </w:r>
      <w:proofErr w:type="spellStart"/>
      <w:r>
        <w:t>altitudinem</w:t>
      </w:r>
      <w:proofErr w:type="spellEnd"/>
      <w:r>
        <w:t xml:space="preserve"> </w:t>
      </w:r>
      <w:proofErr w:type="spellStart"/>
      <w:r>
        <w:t>eo</w:t>
      </w:r>
      <w:proofErr w:type="spellEnd"/>
      <w:r>
        <w:t xml:space="preserve"> </w:t>
      </w:r>
      <w:proofErr w:type="spellStart"/>
      <w:r>
        <w:t>tendunt</w:t>
      </w:r>
      <w:proofErr w:type="spellEnd"/>
      <w:r>
        <w:t xml:space="preserve">. Qui </w:t>
      </w:r>
      <w:proofErr w:type="spellStart"/>
      <w:r>
        <w:t>igitur</w:t>
      </w:r>
      <w:proofErr w:type="spellEnd"/>
      <w:r>
        <w:t xml:space="preserve"> </w:t>
      </w:r>
      <w:proofErr w:type="spellStart"/>
      <w:r>
        <w:t>asce</w:t>
      </w:r>
      <w:r w:rsidRPr="001143F5">
        <w:rPr>
          <w:i/>
          <w:iCs/>
        </w:rPr>
        <w:t>n</w:t>
      </w:r>
      <w:r>
        <w:t>dunt</w:t>
      </w:r>
      <w:proofErr w:type="spellEnd"/>
      <w:r>
        <w:t xml:space="preserve"> </w:t>
      </w:r>
      <w:proofErr w:type="spellStart"/>
      <w:r>
        <w:t>Cyllenen</w:t>
      </w:r>
      <w:proofErr w:type="spellEnd"/>
      <w:r>
        <w:t xml:space="preserve">, </w:t>
      </w:r>
      <w:proofErr w:type="spellStart"/>
      <w:r>
        <w:t>altissimum</w:t>
      </w:r>
      <w:proofErr w:type="spellEnd"/>
      <w:r>
        <w:t xml:space="preserve"> in </w:t>
      </w:r>
      <w:proofErr w:type="spellStart"/>
      <w:r>
        <w:t>Peloponeso</w:t>
      </w:r>
      <w:proofErr w:type="spellEnd"/>
      <w:r>
        <w:t xml:space="preserve"> </w:t>
      </w:r>
      <w:proofErr w:type="spellStart"/>
      <w:r>
        <w:t>montem</w:t>
      </w:r>
      <w:proofErr w:type="spellEnd"/>
      <w:r>
        <w:t xml:space="preserve">, &amp; </w:t>
      </w:r>
      <w:proofErr w:type="spellStart"/>
      <w:r>
        <w:t>consecrato</w:t>
      </w:r>
      <w:proofErr w:type="spellEnd"/>
      <w:r>
        <w:t xml:space="preserve"> Mercurio in </w:t>
      </w:r>
      <w:proofErr w:type="spellStart"/>
      <w:r>
        <w:t>vertice</w:t>
      </w:r>
      <w:proofErr w:type="spellEnd"/>
      <w:r>
        <w:t xml:space="preserve"> </w:t>
      </w:r>
      <w:proofErr w:type="spellStart"/>
      <w:r>
        <w:t>montis</w:t>
      </w:r>
      <w:proofErr w:type="spellEnd"/>
      <w:r>
        <w:t xml:space="preserve"> </w:t>
      </w:r>
      <w:proofErr w:type="spellStart"/>
      <w:r>
        <w:t>sacrificiant</w:t>
      </w:r>
      <w:proofErr w:type="spellEnd"/>
      <w:r>
        <w:t xml:space="preserve">, hi cum </w:t>
      </w:r>
      <w:proofErr w:type="spellStart"/>
      <w:r>
        <w:t>rursus</w:t>
      </w:r>
      <w:proofErr w:type="spellEnd"/>
      <w:r>
        <w:t xml:space="preserve"> per annum </w:t>
      </w:r>
      <w:proofErr w:type="spellStart"/>
      <w:r>
        <w:t>ascendentes</w:t>
      </w:r>
      <w:proofErr w:type="spellEnd"/>
      <w:r>
        <w:t xml:space="preserve"> </w:t>
      </w:r>
      <w:proofErr w:type="spellStart"/>
      <w:r>
        <w:t>sacrificia</w:t>
      </w:r>
      <w:proofErr w:type="spellEnd"/>
      <w:r>
        <w:t xml:space="preserve"> </w:t>
      </w:r>
      <w:proofErr w:type="spellStart"/>
      <w:r>
        <w:t>perficiunt</w:t>
      </w:r>
      <w:proofErr w:type="spellEnd"/>
      <w:r>
        <w:t xml:space="preserve">, </w:t>
      </w:r>
      <w:proofErr w:type="spellStart"/>
      <w:r>
        <w:t>inveniu</w:t>
      </w:r>
      <w:r w:rsidRPr="00D24E85">
        <w:rPr>
          <w:i/>
          <w:iCs/>
        </w:rPr>
        <w:t>n</w:t>
      </w:r>
      <w:r>
        <w:t>t</w:t>
      </w:r>
      <w:proofErr w:type="spellEnd"/>
      <w:r>
        <w:t xml:space="preserve"> &amp; femora, &amp; </w:t>
      </w:r>
      <w:proofErr w:type="spellStart"/>
      <w:r>
        <w:t>cinerem</w:t>
      </w:r>
      <w:proofErr w:type="spellEnd"/>
      <w:r>
        <w:t xml:space="preserve"> ab </w:t>
      </w:r>
      <w:proofErr w:type="spellStart"/>
      <w:r>
        <w:t>igne</w:t>
      </w:r>
      <w:proofErr w:type="spellEnd"/>
      <w:r>
        <w:t xml:space="preserve"> </w:t>
      </w:r>
      <w:proofErr w:type="spellStart"/>
      <w:r>
        <w:t>relictum</w:t>
      </w:r>
      <w:proofErr w:type="spellEnd"/>
      <w:r>
        <w:t xml:space="preserve"> in </w:t>
      </w:r>
      <w:proofErr w:type="spellStart"/>
      <w:r>
        <w:t>eodem</w:t>
      </w:r>
      <w:proofErr w:type="spellEnd"/>
      <w:r>
        <w:t xml:space="preserve"> loco </w:t>
      </w:r>
      <w:proofErr w:type="spellStart"/>
      <w:r>
        <w:t>manentia</w:t>
      </w:r>
      <w:proofErr w:type="spellEnd"/>
      <w:r>
        <w:t xml:space="preserve">, in quo </w:t>
      </w:r>
      <w:proofErr w:type="spellStart"/>
      <w:r>
        <w:t>reliquerant</w:t>
      </w:r>
      <w:proofErr w:type="spellEnd"/>
      <w:r>
        <w:t xml:space="preserve">; &amp; </w:t>
      </w:r>
      <w:proofErr w:type="spellStart"/>
      <w:r>
        <w:t>neq</w:t>
      </w:r>
      <w:r w:rsidRPr="007C0A8E">
        <w:rPr>
          <w:i/>
          <w:iCs/>
        </w:rPr>
        <w:t>ue</w:t>
      </w:r>
      <w:proofErr w:type="spellEnd"/>
      <w:r>
        <w:t xml:space="preserve"> a </w:t>
      </w:r>
      <w:proofErr w:type="spellStart"/>
      <w:r>
        <w:t>ventis</w:t>
      </w:r>
      <w:proofErr w:type="spellEnd"/>
      <w:r>
        <w:t xml:space="preserve">, </w:t>
      </w:r>
      <w:proofErr w:type="spellStart"/>
      <w:r>
        <w:t>neq</w:t>
      </w:r>
      <w:r w:rsidRPr="007C0A8E">
        <w:rPr>
          <w:i/>
          <w:iCs/>
        </w:rPr>
        <w:t>ue</w:t>
      </w:r>
      <w:proofErr w:type="spellEnd"/>
      <w:r>
        <w:t xml:space="preserve"> ab </w:t>
      </w:r>
      <w:proofErr w:type="spellStart"/>
      <w:r>
        <w:t>imbribus</w:t>
      </w:r>
      <w:proofErr w:type="spellEnd"/>
      <w:r>
        <w:t xml:space="preserve"> </w:t>
      </w:r>
      <w:proofErr w:type="spellStart"/>
      <w:r>
        <w:t>immutata</w:t>
      </w:r>
      <w:proofErr w:type="spellEnd"/>
      <w:r>
        <w:t xml:space="preserve">, </w:t>
      </w:r>
      <w:proofErr w:type="spellStart"/>
      <w:r>
        <w:t>eo</w:t>
      </w:r>
      <w:proofErr w:type="spellEnd"/>
      <w:r>
        <w:t xml:space="preserve"> quod omnes </w:t>
      </w:r>
      <w:proofErr w:type="spellStart"/>
      <w:r>
        <w:t>nubes</w:t>
      </w:r>
      <w:proofErr w:type="spellEnd"/>
      <w:r>
        <w:t xml:space="preserve">, &amp; </w:t>
      </w:r>
      <w:proofErr w:type="spellStart"/>
      <w:r>
        <w:t>ventorum</w:t>
      </w:r>
      <w:proofErr w:type="spellEnd"/>
      <w:r>
        <w:t xml:space="preserve"> </w:t>
      </w:r>
      <w:proofErr w:type="spellStart"/>
      <w:r>
        <w:t>constitutiones</w:t>
      </w:r>
      <w:proofErr w:type="spellEnd"/>
      <w:r>
        <w:t xml:space="preserve"> infra </w:t>
      </w:r>
      <w:proofErr w:type="spellStart"/>
      <w:r>
        <w:t>verticem</w:t>
      </w:r>
      <w:proofErr w:type="spellEnd"/>
      <w:r>
        <w:t xml:space="preserve"> </w:t>
      </w:r>
      <w:proofErr w:type="spellStart"/>
      <w:r>
        <w:t>montis</w:t>
      </w:r>
      <w:proofErr w:type="spellEnd"/>
      <w:r>
        <w:t xml:space="preserve"> </w:t>
      </w:r>
      <w:proofErr w:type="spellStart"/>
      <w:r>
        <w:t>constituantur</w:t>
      </w:r>
      <w:proofErr w:type="spellEnd"/>
      <w:r>
        <w:t>.</w:t>
      </w:r>
      <w:r>
        <w:rPr>
          <w:rStyle w:val="FootnoteReference"/>
        </w:rPr>
        <w:footnoteReference w:id="65"/>
      </w:r>
    </w:p>
    <w:p w14:paraId="67714E50" w14:textId="77777777" w:rsidR="00066075" w:rsidRDefault="00066075" w:rsidP="00D55A7C">
      <w:pPr>
        <w:spacing w:line="480" w:lineRule="auto"/>
        <w:jc w:val="both"/>
      </w:pPr>
    </w:p>
    <w:p w14:paraId="63E18D1A" w14:textId="70165198" w:rsidR="00066075" w:rsidRDefault="00066075" w:rsidP="00D55A7C">
      <w:pPr>
        <w:spacing w:line="480" w:lineRule="auto"/>
        <w:jc w:val="both"/>
      </w:pPr>
      <w:r>
        <w:t xml:space="preserve">Savile includes </w:t>
      </w:r>
      <w:r w:rsidR="005B43EB">
        <w:t>his own</w:t>
      </w:r>
      <w:r>
        <w:t xml:space="preserve"> notes for this passage, each of which involve questions of meaning in the original Greek. Of his own phras</w:t>
      </w:r>
      <w:r w:rsidR="000659B8">
        <w:t>ing</w:t>
      </w:r>
      <w:r>
        <w:t xml:space="preserve">, ‘de </w:t>
      </w:r>
      <w:proofErr w:type="spellStart"/>
      <w:r>
        <w:t>tempestatibus</w:t>
      </w:r>
      <w:proofErr w:type="spellEnd"/>
      <w:r>
        <w:t>’ (‘on weather), he remarks: ‘</w:t>
      </w:r>
      <w:r w:rsidRPr="00BC5ACC">
        <w:t>ἐπ</w:t>
      </w:r>
      <w:proofErr w:type="spellStart"/>
      <w:r w:rsidRPr="00BC5ACC">
        <w:t>ισημ</w:t>
      </w:r>
      <w:proofErr w:type="spellEnd"/>
      <w:r w:rsidRPr="00BC5ACC">
        <w:t>ασιας</w:t>
      </w:r>
      <w:r>
        <w:t xml:space="preserve">, id est, </w:t>
      </w:r>
      <w:proofErr w:type="spellStart"/>
      <w:r>
        <w:t>ut</w:t>
      </w:r>
      <w:proofErr w:type="spellEnd"/>
      <w:r>
        <w:t xml:space="preserve"> puto, </w:t>
      </w:r>
      <w:proofErr w:type="spellStart"/>
      <w:r w:rsidRPr="00861322">
        <w:t>δι</w:t>
      </w:r>
      <w:proofErr w:type="spellEnd"/>
      <w:r w:rsidRPr="00861322">
        <w:t>ασημασίας</w:t>
      </w:r>
      <w:r>
        <w:t xml:space="preserve">. Plinius lib. 18. c. 18 et Vitruvius lib. IX. </w:t>
      </w:r>
      <w:proofErr w:type="spellStart"/>
      <w:r>
        <w:t>uidentur</w:t>
      </w:r>
      <w:proofErr w:type="spellEnd"/>
      <w:r>
        <w:t xml:space="preserve"> </w:t>
      </w:r>
      <w:r w:rsidRPr="00BC5ACC">
        <w:t>ἐπ</w:t>
      </w:r>
      <w:proofErr w:type="spellStart"/>
      <w:r w:rsidRPr="00BC5ACC">
        <w:t>ισημ</w:t>
      </w:r>
      <w:proofErr w:type="spellEnd"/>
      <w:r w:rsidRPr="00BC5ACC">
        <w:t>ασιας</w:t>
      </w:r>
      <w:r>
        <w:t xml:space="preserve"> </w:t>
      </w:r>
      <w:proofErr w:type="spellStart"/>
      <w:r>
        <w:t>tempestatum</w:t>
      </w:r>
      <w:proofErr w:type="spellEnd"/>
      <w:r>
        <w:t xml:space="preserve"> </w:t>
      </w:r>
      <w:proofErr w:type="spellStart"/>
      <w:r>
        <w:t>significatus</w:t>
      </w:r>
      <w:proofErr w:type="spellEnd"/>
      <w:r>
        <w:t xml:space="preserve"> </w:t>
      </w:r>
      <w:proofErr w:type="spellStart"/>
      <w:r>
        <w:t>uertere</w:t>
      </w:r>
      <w:proofErr w:type="spellEnd"/>
      <w:proofErr w:type="gramStart"/>
      <w:r>
        <w:t>’</w:t>
      </w:r>
      <w:r w:rsidR="008E48D9">
        <w:t>(</w:t>
      </w:r>
      <w:proofErr w:type="gramEnd"/>
      <w:r w:rsidR="0093788D">
        <w:t>“</w:t>
      </w:r>
      <w:r w:rsidR="008E48D9">
        <w:t>indications’, that is, as I think, methods of marking. Pliny in book 10, chapter 18 and Vitruvius in Book 9, Chapter 3, seem</w:t>
      </w:r>
      <w:r w:rsidR="0093788D">
        <w:t xml:space="preserve"> to</w:t>
      </w:r>
      <w:r w:rsidR="008E48D9">
        <w:t xml:space="preserve"> translate </w:t>
      </w:r>
      <w:r w:rsidR="008E48D9" w:rsidRPr="00BC5ACC">
        <w:t>ἐπ</w:t>
      </w:r>
      <w:proofErr w:type="spellStart"/>
      <w:r w:rsidR="008E48D9" w:rsidRPr="00BC5ACC">
        <w:t>ισημ</w:t>
      </w:r>
      <w:proofErr w:type="spellEnd"/>
      <w:r w:rsidR="008E48D9" w:rsidRPr="00BC5ACC">
        <w:t>ασιας</w:t>
      </w:r>
      <w:r w:rsidR="008E48D9">
        <w:t xml:space="preserve"> as ‘signs of the weather</w:t>
      </w:r>
      <w:r w:rsidR="0093788D">
        <w:t>”</w:t>
      </w:r>
      <w:r w:rsidR="008E48D9">
        <w:t>)</w:t>
      </w:r>
      <w:r>
        <w:t>.</w:t>
      </w:r>
      <w:r>
        <w:rPr>
          <w:rStyle w:val="FootnoteReference"/>
        </w:rPr>
        <w:footnoteReference w:id="66"/>
      </w:r>
      <w:r w:rsidR="00CC1FBA">
        <w:t xml:space="preserve"> </w:t>
      </w:r>
      <w:r>
        <w:t xml:space="preserve">In the main text of the translation, however, Savile conveys this simply as </w:t>
      </w:r>
      <w:proofErr w:type="spellStart"/>
      <w:r w:rsidRPr="004A0701">
        <w:rPr>
          <w:i/>
          <w:iCs/>
        </w:rPr>
        <w:t>tempestas</w:t>
      </w:r>
      <w:proofErr w:type="spellEnd"/>
      <w:r>
        <w:t xml:space="preserve"> (‘weather’), whereas </w:t>
      </w:r>
      <w:proofErr w:type="spellStart"/>
      <w:r>
        <w:t>Hilderich</w:t>
      </w:r>
      <w:proofErr w:type="spellEnd"/>
      <w:r>
        <w:t xml:space="preserve"> stays closer to the original sense with ‘</w:t>
      </w:r>
      <w:proofErr w:type="spellStart"/>
      <w:r>
        <w:t>significationibus</w:t>
      </w:r>
      <w:proofErr w:type="spellEnd"/>
      <w:r>
        <w:t xml:space="preserve">’ (‘signs’). In another note, Savile explains that ‘ossa’ </w:t>
      </w:r>
      <w:r w:rsidR="008E48D9">
        <w:t xml:space="preserve">in his </w:t>
      </w:r>
      <w:r w:rsidR="008E48D9">
        <w:lastRenderedPageBreak/>
        <w:t xml:space="preserve">version </w:t>
      </w:r>
      <w:r>
        <w:t>translates ‘</w:t>
      </w:r>
      <w:proofErr w:type="spellStart"/>
      <w:r w:rsidRPr="005A15AD">
        <w:t>μηρι</w:t>
      </w:r>
      <w:proofErr w:type="spellEnd"/>
      <w:r w:rsidRPr="005A15AD">
        <w:t>α</w:t>
      </w:r>
      <w:r>
        <w:t xml:space="preserve">, id est, </w:t>
      </w:r>
      <w:proofErr w:type="spellStart"/>
      <w:r>
        <w:t>ut</w:t>
      </w:r>
      <w:proofErr w:type="spellEnd"/>
      <w:r>
        <w:t xml:space="preserve"> puto, ossa </w:t>
      </w:r>
      <w:proofErr w:type="spellStart"/>
      <w:r w:rsidRPr="005A15AD">
        <w:t>μηρι</w:t>
      </w:r>
      <w:proofErr w:type="spellEnd"/>
      <w:r w:rsidRPr="005A15AD">
        <w:t>αια</w:t>
      </w:r>
      <w:r>
        <w:t>’ [‘</w:t>
      </w:r>
      <w:proofErr w:type="spellStart"/>
      <w:r w:rsidRPr="005A15AD">
        <w:t>μηρι</w:t>
      </w:r>
      <w:proofErr w:type="spellEnd"/>
      <w:r w:rsidRPr="005A15AD">
        <w:t>α</w:t>
      </w:r>
      <w:r>
        <w:t xml:space="preserve">, that is, as I think, thigh bones’]. </w:t>
      </w:r>
      <w:proofErr w:type="spellStart"/>
      <w:r>
        <w:t>Hilderich</w:t>
      </w:r>
      <w:proofErr w:type="spellEnd"/>
      <w:r>
        <w:t xml:space="preserve"> appears to miss the sense of the bone </w:t>
      </w:r>
      <w:r w:rsidR="0093788D">
        <w:t xml:space="preserve">that remains </w:t>
      </w:r>
      <w:r>
        <w:t>among the ash</w:t>
      </w:r>
      <w:r w:rsidR="0093788D">
        <w:t xml:space="preserve"> even a year later</w:t>
      </w:r>
      <w:r>
        <w:t>,</w:t>
      </w:r>
      <w:r w:rsidR="0093788D">
        <w:t xml:space="preserve"> however,</w:t>
      </w:r>
      <w:r>
        <w:t xml:space="preserve"> giving ‘femora’ (‘thighs’). </w:t>
      </w:r>
      <w:proofErr w:type="spellStart"/>
      <w:r w:rsidR="00CE0169">
        <w:t>Hilderich</w:t>
      </w:r>
      <w:proofErr w:type="spellEnd"/>
      <w:r w:rsidR="00CE0169">
        <w:t xml:space="preserve"> mirrors the etymological link between ‘</w:t>
      </w:r>
      <w:proofErr w:type="spellStart"/>
      <w:r w:rsidR="00CE0169" w:rsidRPr="00FD7E5A">
        <w:t>συστ</w:t>
      </w:r>
      <w:proofErr w:type="spellEnd"/>
      <w:r w:rsidR="00CE0169" w:rsidRPr="00FD7E5A">
        <w:t>ασεις</w:t>
      </w:r>
      <w:r w:rsidR="00CE0169">
        <w:t>’ and ‘</w:t>
      </w:r>
      <w:proofErr w:type="spellStart"/>
      <w:r w:rsidR="00CE0169" w:rsidRPr="00FD7E5A">
        <w:t>συνιστ</w:t>
      </w:r>
      <w:proofErr w:type="spellEnd"/>
      <w:r w:rsidR="00CE0169" w:rsidRPr="00FD7E5A">
        <w:t>ασθαι</w:t>
      </w:r>
      <w:r w:rsidR="00CE0169">
        <w:t xml:space="preserve">’ (from </w:t>
      </w:r>
      <w:proofErr w:type="spellStart"/>
      <w:r w:rsidR="00CE0169" w:rsidRPr="00855DE6">
        <w:t>συνιστημι</w:t>
      </w:r>
      <w:proofErr w:type="spellEnd"/>
      <w:r w:rsidR="00CE0169">
        <w:t>) with ‘</w:t>
      </w:r>
      <w:proofErr w:type="spellStart"/>
      <w:r w:rsidR="00CE0169">
        <w:t>constitutiones</w:t>
      </w:r>
      <w:proofErr w:type="spellEnd"/>
      <w:r w:rsidR="00CE0169">
        <w:t>’ and ‘</w:t>
      </w:r>
      <w:proofErr w:type="spellStart"/>
      <w:r w:rsidR="00CE0169">
        <w:t>constituantur</w:t>
      </w:r>
      <w:proofErr w:type="spellEnd"/>
      <w:r w:rsidR="00CE0169">
        <w:t>’, while Savile omits the abstract noun completely, giving ‘</w:t>
      </w:r>
      <w:proofErr w:type="spellStart"/>
      <w:r w:rsidR="00CE0169">
        <w:t>gignantur</w:t>
      </w:r>
      <w:proofErr w:type="spellEnd"/>
      <w:r w:rsidR="00CE0169">
        <w:t>’.</w:t>
      </w:r>
    </w:p>
    <w:p w14:paraId="5D0E5F87" w14:textId="7704F0EC" w:rsidR="00C83769" w:rsidRDefault="00066075" w:rsidP="00D55A7C">
      <w:pPr>
        <w:spacing w:line="480" w:lineRule="auto"/>
        <w:ind w:firstLine="720"/>
        <w:jc w:val="both"/>
      </w:pPr>
      <w:r>
        <w:t>There are also</w:t>
      </w:r>
      <w:r w:rsidR="00CE0169">
        <w:t xml:space="preserve"> some</w:t>
      </w:r>
      <w:r>
        <w:t xml:space="preserve"> similarities in their approach</w:t>
      </w:r>
      <w:r w:rsidR="00CE0169">
        <w:t>, however</w:t>
      </w:r>
      <w:r>
        <w:t>. To convey the force of the verbal adjective ‘</w:t>
      </w:r>
      <w:proofErr w:type="spellStart"/>
      <w:r w:rsidRPr="00D5736A">
        <w:t>δι</w:t>
      </w:r>
      <w:proofErr w:type="spellEnd"/>
      <w:r w:rsidRPr="00D5736A">
        <w:t>αλεπτεον</w:t>
      </w:r>
      <w:r>
        <w:t xml:space="preserve">’, here suggesting necessity, both translators make use of the </w:t>
      </w:r>
      <w:r w:rsidR="008E48D9">
        <w:t xml:space="preserve">Latin </w:t>
      </w:r>
      <w:r>
        <w:t>gerundive, ‘</w:t>
      </w:r>
      <w:proofErr w:type="spellStart"/>
      <w:r>
        <w:t>existimandum</w:t>
      </w:r>
      <w:proofErr w:type="spellEnd"/>
      <w:r>
        <w:t>’ and ‘</w:t>
      </w:r>
      <w:proofErr w:type="spellStart"/>
      <w:r>
        <w:t>statuendum</w:t>
      </w:r>
      <w:proofErr w:type="spellEnd"/>
      <w:r>
        <w:t>’</w:t>
      </w:r>
      <w:r w:rsidR="008E48D9">
        <w:t xml:space="preserve"> respectively</w:t>
      </w:r>
      <w:r>
        <w:t>. Both translators reproduce something of the alpha privatum in ‘</w:t>
      </w:r>
      <w:r w:rsidRPr="00FC5930">
        <w:t>ἀπλα</w:t>
      </w:r>
      <w:proofErr w:type="spellStart"/>
      <w:r w:rsidRPr="00FC5930">
        <w:t>νων</w:t>
      </w:r>
      <w:proofErr w:type="spellEnd"/>
      <w:r>
        <w:t>’ (literally ‘not wandering’</w:t>
      </w:r>
      <w:r w:rsidR="00CE0169">
        <w:t xml:space="preserve">, </w:t>
      </w:r>
      <w:r>
        <w:t>i.e. fixed) with the Latin ‘</w:t>
      </w:r>
      <w:proofErr w:type="spellStart"/>
      <w:r>
        <w:t>inerrantium</w:t>
      </w:r>
      <w:proofErr w:type="spellEnd"/>
      <w:r>
        <w:t>’ (‘not wandering’)</w:t>
      </w:r>
      <w:r w:rsidR="008E48D9">
        <w:t xml:space="preserve">; </w:t>
      </w:r>
      <w:r>
        <w:t xml:space="preserve">both rework the present participle, </w:t>
      </w:r>
      <w:proofErr w:type="spellStart"/>
      <w:r w:rsidRPr="0009003B">
        <w:t>ἀν</w:t>
      </w:r>
      <w:proofErr w:type="spellEnd"/>
      <w:r w:rsidRPr="0009003B">
        <w:t>αβαίνοντες</w:t>
      </w:r>
      <w:r>
        <w:t xml:space="preserve">, with a relative clause (‘qui </w:t>
      </w:r>
      <w:proofErr w:type="spellStart"/>
      <w:r>
        <w:t>etenim</w:t>
      </w:r>
      <w:proofErr w:type="spellEnd"/>
      <w:r>
        <w:t xml:space="preserve"> </w:t>
      </w:r>
      <w:proofErr w:type="spellStart"/>
      <w:r>
        <w:t>Cyllenen</w:t>
      </w:r>
      <w:proofErr w:type="spellEnd"/>
      <w:r>
        <w:t>…</w:t>
      </w:r>
      <w:proofErr w:type="spellStart"/>
      <w:r>
        <w:t>scandunt</w:t>
      </w:r>
      <w:proofErr w:type="spellEnd"/>
      <w:r>
        <w:t>’, ‘q</w:t>
      </w:r>
      <w:r w:rsidRPr="00BF4C7E">
        <w:t xml:space="preserve">ui </w:t>
      </w:r>
      <w:proofErr w:type="spellStart"/>
      <w:r w:rsidRPr="00BF4C7E">
        <w:t>igitur</w:t>
      </w:r>
      <w:proofErr w:type="spellEnd"/>
      <w:r w:rsidRPr="00BF4C7E">
        <w:t xml:space="preserve"> </w:t>
      </w:r>
      <w:proofErr w:type="spellStart"/>
      <w:r w:rsidRPr="00BF4C7E">
        <w:t>ascendunt</w:t>
      </w:r>
      <w:proofErr w:type="spellEnd"/>
      <w:r w:rsidRPr="00BF4C7E">
        <w:t xml:space="preserve"> </w:t>
      </w:r>
      <w:proofErr w:type="spellStart"/>
      <w:r w:rsidRPr="00BF4C7E">
        <w:t>Cyllenen</w:t>
      </w:r>
      <w:proofErr w:type="spellEnd"/>
      <w:r>
        <w:t xml:space="preserve">’). </w:t>
      </w:r>
      <w:r w:rsidR="00CE0169">
        <w:t xml:space="preserve">As we might expect of a translation of a scientific work, both Savile and </w:t>
      </w:r>
      <w:proofErr w:type="spellStart"/>
      <w:r w:rsidR="00CE0169">
        <w:t>Hilderich</w:t>
      </w:r>
      <w:proofErr w:type="spellEnd"/>
      <w:r w:rsidR="00CE0169">
        <w:t xml:space="preserve"> alike reproduce Geminus with as simple and clear a phrasing as possible. </w:t>
      </w:r>
    </w:p>
    <w:p w14:paraId="1819A794" w14:textId="0E159D3D" w:rsidR="005B43EB" w:rsidRDefault="005A3D12" w:rsidP="00D55A7C">
      <w:pPr>
        <w:spacing w:line="480" w:lineRule="auto"/>
        <w:ind w:firstLine="720"/>
        <w:jc w:val="both"/>
      </w:pPr>
      <w:r>
        <w:t xml:space="preserve">As Thomas’s </w:t>
      </w:r>
      <w:r w:rsidR="00D7147D">
        <w:t>use</w:t>
      </w:r>
      <w:r>
        <w:t xml:space="preserve"> of the de Balmes </w:t>
      </w:r>
      <w:r w:rsidR="00D7147D">
        <w:t>version</w:t>
      </w:r>
      <w:r>
        <w:t xml:space="preserve"> suggests, translating Geminus into Latin was also an opportunity</w:t>
      </w:r>
      <w:r w:rsidR="0037322E">
        <w:t xml:space="preserve"> to</w:t>
      </w:r>
      <w:r>
        <w:t xml:space="preserve"> amend the Greek </w:t>
      </w:r>
      <w:r w:rsidR="00E854CF">
        <w:t>original</w:t>
      </w:r>
      <w:r>
        <w:t xml:space="preserve">. In a note accompanying Chapter V, ‘De Die et Nocte’, </w:t>
      </w:r>
      <w:r w:rsidR="00576CDC">
        <w:t xml:space="preserve">for example, </w:t>
      </w:r>
      <w:r>
        <w:t>Savile explains that he has not translated the Greek as he found it, but rather</w:t>
      </w:r>
      <w:r w:rsidR="0037322E">
        <w:t>,</w:t>
      </w:r>
      <w:r>
        <w:t xml:space="preserve"> according to what Geminus </w:t>
      </w:r>
      <w:r w:rsidRPr="00E854CF">
        <w:rPr>
          <w:i/>
          <w:iCs/>
        </w:rPr>
        <w:t>wanted</w:t>
      </w:r>
      <w:r>
        <w:t xml:space="preserve"> or </w:t>
      </w:r>
      <w:r w:rsidR="0017230C" w:rsidRPr="00E854CF">
        <w:rPr>
          <w:i/>
          <w:iCs/>
        </w:rPr>
        <w:t>intended</w:t>
      </w:r>
      <w:r>
        <w:rPr>
          <w:i/>
          <w:iCs/>
        </w:rPr>
        <w:t xml:space="preserve"> </w:t>
      </w:r>
      <w:r>
        <w:t xml:space="preserve">to say: </w:t>
      </w:r>
    </w:p>
    <w:p w14:paraId="18ED5FD4" w14:textId="77777777" w:rsidR="005B43EB" w:rsidRDefault="005B43EB" w:rsidP="00D55A7C">
      <w:pPr>
        <w:spacing w:line="480" w:lineRule="auto"/>
        <w:ind w:firstLine="720"/>
        <w:jc w:val="both"/>
      </w:pPr>
    </w:p>
    <w:p w14:paraId="4879ECD9" w14:textId="76F58317" w:rsidR="005B43EB" w:rsidRDefault="005A3D12" w:rsidP="00D55A7C">
      <w:pPr>
        <w:spacing w:line="480" w:lineRule="auto"/>
        <w:ind w:left="720"/>
        <w:jc w:val="both"/>
      </w:pPr>
      <w:r>
        <w:t>‘</w:t>
      </w:r>
      <w:proofErr w:type="spellStart"/>
      <w:r>
        <w:t>Tangentesq</w:t>
      </w:r>
      <w:r w:rsidRPr="00252BAF">
        <w:rPr>
          <w:i/>
          <w:iCs/>
        </w:rPr>
        <w:t>ue</w:t>
      </w:r>
      <w:proofErr w:type="spellEnd"/>
      <w:r>
        <w:t xml:space="preserve"> </w:t>
      </w:r>
      <w:proofErr w:type="spellStart"/>
      <w:r>
        <w:t>circuli</w:t>
      </w:r>
      <w:proofErr w:type="spellEnd"/>
      <w:r>
        <w:t xml:space="preserve">’: </w:t>
      </w:r>
      <w:r w:rsidR="00AC2FB1" w:rsidRPr="006F279C">
        <w:t>και ἐπι π</w:t>
      </w:r>
      <w:proofErr w:type="spellStart"/>
      <w:r w:rsidR="00AC2FB1" w:rsidRPr="006F279C">
        <w:t>ολυ</w:t>
      </w:r>
      <w:proofErr w:type="spellEnd"/>
      <w:r w:rsidR="00AC2FB1" w:rsidRPr="006F279C">
        <w:t xml:space="preserve"> </w:t>
      </w:r>
      <w:proofErr w:type="spellStart"/>
      <w:r w:rsidR="00AC2FB1" w:rsidRPr="006F279C">
        <w:t>μη</w:t>
      </w:r>
      <w:r w:rsidR="002D305A" w:rsidRPr="002D305A">
        <w:t>κ</w:t>
      </w:r>
      <w:r w:rsidR="00AC2FB1" w:rsidRPr="006F279C">
        <w:t>ος</w:t>
      </w:r>
      <w:proofErr w:type="spellEnd"/>
      <w:r w:rsidR="00AC2FB1" w:rsidRPr="006F279C">
        <w:t xml:space="preserve"> ἡ ἐπα</w:t>
      </w:r>
      <w:proofErr w:type="spellStart"/>
      <w:r w:rsidR="00AC2FB1" w:rsidRPr="006F279C">
        <w:t>φη</w:t>
      </w:r>
      <w:proofErr w:type="spellEnd"/>
      <w:r w:rsidR="00AC2FB1" w:rsidRPr="006F279C">
        <w:t xml:space="preserve"> </w:t>
      </w:r>
      <w:proofErr w:type="spellStart"/>
      <w:r w:rsidR="00AC2FB1" w:rsidRPr="006F279C">
        <w:t>στ</w:t>
      </w:r>
      <w:proofErr w:type="spellEnd"/>
      <w:r w:rsidR="00AC2FB1" w:rsidRPr="006F279C">
        <w:t>ατεινος</w:t>
      </w:r>
      <w:r w:rsidR="002D305A">
        <w:t xml:space="preserve"> </w:t>
      </w:r>
      <w:r>
        <w:t xml:space="preserve">quod </w:t>
      </w:r>
      <w:proofErr w:type="spellStart"/>
      <w:r>
        <w:t>ferri</w:t>
      </w:r>
      <w:proofErr w:type="spellEnd"/>
      <w:r>
        <w:t xml:space="preserve"> non </w:t>
      </w:r>
      <w:proofErr w:type="spellStart"/>
      <w:r>
        <w:t>potest</w:t>
      </w:r>
      <w:proofErr w:type="spellEnd"/>
      <w:r>
        <w:t xml:space="preserve">. circulus </w:t>
      </w:r>
      <w:proofErr w:type="spellStart"/>
      <w:r>
        <w:t>enim</w:t>
      </w:r>
      <w:proofErr w:type="spellEnd"/>
      <w:r>
        <w:t xml:space="preserve"> </w:t>
      </w:r>
      <w:proofErr w:type="spellStart"/>
      <w:r>
        <w:t>tangit</w:t>
      </w:r>
      <w:proofErr w:type="spellEnd"/>
      <w:r>
        <w:t xml:space="preserve"> in uno tantum </w:t>
      </w:r>
      <w:proofErr w:type="spellStart"/>
      <w:r>
        <w:t>puncto</w:t>
      </w:r>
      <w:proofErr w:type="spellEnd"/>
      <w:r>
        <w:t xml:space="preserve"> 13. III. Elem. Verti quod </w:t>
      </w:r>
      <w:proofErr w:type="spellStart"/>
      <w:r>
        <w:t>uoluisse</w:t>
      </w:r>
      <w:proofErr w:type="spellEnd"/>
      <w:r>
        <w:t xml:space="preserve"> </w:t>
      </w:r>
      <w:proofErr w:type="spellStart"/>
      <w:r>
        <w:t>eum</w:t>
      </w:r>
      <w:proofErr w:type="spellEnd"/>
      <w:r>
        <w:t xml:space="preserve"> </w:t>
      </w:r>
      <w:proofErr w:type="spellStart"/>
      <w:r>
        <w:t>dicere</w:t>
      </w:r>
      <w:proofErr w:type="spellEnd"/>
      <w:r>
        <w:t xml:space="preserve"> </w:t>
      </w:r>
      <w:proofErr w:type="spellStart"/>
      <w:r>
        <w:t>suspicor</w:t>
      </w:r>
      <w:proofErr w:type="spellEnd"/>
    </w:p>
    <w:p w14:paraId="35D3E6ED" w14:textId="77777777" w:rsidR="005B43EB" w:rsidRDefault="005B43EB" w:rsidP="00D55A7C">
      <w:pPr>
        <w:spacing w:line="480" w:lineRule="auto"/>
        <w:ind w:left="720"/>
        <w:jc w:val="both"/>
      </w:pPr>
    </w:p>
    <w:p w14:paraId="367DCFBD" w14:textId="10A3308A" w:rsidR="005B43EB" w:rsidRDefault="005B43EB" w:rsidP="00D55A7C">
      <w:pPr>
        <w:spacing w:line="480" w:lineRule="auto"/>
        <w:ind w:left="720"/>
        <w:jc w:val="both"/>
      </w:pPr>
      <w:r>
        <w:lastRenderedPageBreak/>
        <w:t>‘</w:t>
      </w:r>
      <w:proofErr w:type="gramStart"/>
      <w:r w:rsidR="00874D06">
        <w:t>touching</w:t>
      </w:r>
      <w:proofErr w:type="gramEnd"/>
      <w:r w:rsidR="00874D06">
        <w:t xml:space="preserve"> circles: and for a great length the contact extends</w:t>
      </w:r>
      <w:r>
        <w:t>’</w:t>
      </w:r>
      <w:r w:rsidR="00874D06">
        <w:t>, which cannot be born. Indeed, a circle touches at o</w:t>
      </w:r>
      <w:r w:rsidR="006211DD">
        <w:t xml:space="preserve">ne point alone. See [Euclid], </w:t>
      </w:r>
      <w:r w:rsidR="006211DD" w:rsidRPr="006211DD">
        <w:rPr>
          <w:i/>
          <w:iCs/>
        </w:rPr>
        <w:t>Elements</w:t>
      </w:r>
      <w:r w:rsidR="006211DD">
        <w:t>. I have translated what I suspect he meant to say’.</w:t>
      </w:r>
      <w:r w:rsidR="005A3D12">
        <w:rPr>
          <w:rStyle w:val="FootnoteReference"/>
        </w:rPr>
        <w:footnoteReference w:id="67"/>
      </w:r>
      <w:r w:rsidR="005A3D12">
        <w:t xml:space="preserve"> </w:t>
      </w:r>
    </w:p>
    <w:p w14:paraId="07C9AEF2" w14:textId="77777777" w:rsidR="005B43EB" w:rsidRDefault="005B43EB" w:rsidP="00D55A7C">
      <w:pPr>
        <w:spacing w:line="480" w:lineRule="auto"/>
        <w:jc w:val="both"/>
      </w:pPr>
    </w:p>
    <w:p w14:paraId="699332F9" w14:textId="2834AC7B" w:rsidR="005A3D12" w:rsidRDefault="005A3D12" w:rsidP="00D55A7C">
      <w:pPr>
        <w:spacing w:line="480" w:lineRule="auto"/>
        <w:jc w:val="both"/>
      </w:pPr>
      <w:r>
        <w:t xml:space="preserve">Here Savile refers to the third book of Euclid’s </w:t>
      </w:r>
      <w:r w:rsidRPr="007A54E0">
        <w:rPr>
          <w:i/>
          <w:iCs/>
        </w:rPr>
        <w:t>Elements</w:t>
      </w:r>
      <w:r>
        <w:t>, where Proposition 13 states that: ‘</w:t>
      </w:r>
      <w:r w:rsidRPr="00FE688B">
        <w:t>A circle does not touch a circle at more points than one, whether it touch it internally or externally</w:t>
      </w:r>
      <w:r>
        <w:t>’.</w:t>
      </w:r>
      <w:r>
        <w:rPr>
          <w:rStyle w:val="FootnoteReference"/>
        </w:rPr>
        <w:footnoteReference w:id="68"/>
      </w:r>
      <w:r>
        <w:t xml:space="preserve">And thus in the main text, we find </w:t>
      </w:r>
      <w:r w:rsidR="0037322E">
        <w:t xml:space="preserve">that </w:t>
      </w:r>
      <w:r>
        <w:t>Savile’s</w:t>
      </w:r>
      <w:r w:rsidR="00AC2FB1">
        <w:t xml:space="preserve"> Latin</w:t>
      </w:r>
      <w:r w:rsidR="0037322E">
        <w:t xml:space="preserve"> version</w:t>
      </w:r>
      <w:r w:rsidR="00AC2FB1">
        <w:t xml:space="preserve"> </w:t>
      </w:r>
      <w:r w:rsidR="0037322E">
        <w:t>follows</w:t>
      </w:r>
      <w:r w:rsidR="00AC2FB1">
        <w:t xml:space="preserve"> not </w:t>
      </w:r>
      <w:r w:rsidR="002D305A">
        <w:t>the text as he found it, but rather his own</w:t>
      </w:r>
      <w:r>
        <w:t xml:space="preserve"> amended version of the Greek:</w:t>
      </w:r>
    </w:p>
    <w:p w14:paraId="4F17648E" w14:textId="77777777" w:rsidR="005A3D12" w:rsidRDefault="005A3D12" w:rsidP="00D55A7C">
      <w:pPr>
        <w:spacing w:line="480" w:lineRule="auto"/>
        <w:jc w:val="both"/>
      </w:pPr>
    </w:p>
    <w:p w14:paraId="4F797D38" w14:textId="2461C731" w:rsidR="005A3D12" w:rsidRDefault="005A3D12" w:rsidP="00D55A7C">
      <w:pPr>
        <w:spacing w:line="480" w:lineRule="auto"/>
        <w:ind w:left="720"/>
        <w:jc w:val="both"/>
      </w:pPr>
      <w:proofErr w:type="spellStart"/>
      <w:r>
        <w:t>huius</w:t>
      </w:r>
      <w:proofErr w:type="spellEnd"/>
      <w:r>
        <w:t xml:space="preserve"> autem </w:t>
      </w:r>
      <w:proofErr w:type="spellStart"/>
      <w:r>
        <w:t>incrementorum</w:t>
      </w:r>
      <w:proofErr w:type="spellEnd"/>
      <w:r>
        <w:t xml:space="preserve"> </w:t>
      </w:r>
      <w:proofErr w:type="spellStart"/>
      <w:r>
        <w:t>inaequalitatis</w:t>
      </w:r>
      <w:proofErr w:type="spellEnd"/>
      <w:r>
        <w:t xml:space="preserve"> causa est </w:t>
      </w:r>
      <w:proofErr w:type="spellStart"/>
      <w:r>
        <w:t>circuli</w:t>
      </w:r>
      <w:proofErr w:type="spellEnd"/>
      <w:r>
        <w:t xml:space="preserve"> </w:t>
      </w:r>
      <w:proofErr w:type="spellStart"/>
      <w:r>
        <w:t>zodiaci</w:t>
      </w:r>
      <w:proofErr w:type="spellEnd"/>
      <w:r>
        <w:t xml:space="preserve"> </w:t>
      </w:r>
      <w:proofErr w:type="spellStart"/>
      <w:r>
        <w:t>obliquitas</w:t>
      </w:r>
      <w:proofErr w:type="spellEnd"/>
      <w:r>
        <w:t xml:space="preserve">. </w:t>
      </w:r>
      <w:proofErr w:type="spellStart"/>
      <w:r>
        <w:t>tropicos</w:t>
      </w:r>
      <w:proofErr w:type="spellEnd"/>
      <w:r>
        <w:t xml:space="preserve"> </w:t>
      </w:r>
      <w:proofErr w:type="spellStart"/>
      <w:r>
        <w:t>etenim</w:t>
      </w:r>
      <w:proofErr w:type="spellEnd"/>
      <w:r>
        <w:t xml:space="preserve"> </w:t>
      </w:r>
      <w:proofErr w:type="spellStart"/>
      <w:r>
        <w:t>circulos</w:t>
      </w:r>
      <w:proofErr w:type="spellEnd"/>
      <w:r>
        <w:t xml:space="preserve"> </w:t>
      </w:r>
      <w:proofErr w:type="spellStart"/>
      <w:r>
        <w:t>zodiacos</w:t>
      </w:r>
      <w:proofErr w:type="spellEnd"/>
      <w:r>
        <w:t xml:space="preserve"> </w:t>
      </w:r>
      <w:proofErr w:type="spellStart"/>
      <w:r>
        <w:t>tangit</w:t>
      </w:r>
      <w:proofErr w:type="spellEnd"/>
      <w:r>
        <w:t xml:space="preserve">: </w:t>
      </w:r>
      <w:proofErr w:type="spellStart"/>
      <w:r>
        <w:t>tangentesque</w:t>
      </w:r>
      <w:proofErr w:type="spellEnd"/>
      <w:r>
        <w:t xml:space="preserve"> </w:t>
      </w:r>
      <w:proofErr w:type="spellStart"/>
      <w:r>
        <w:t>circuli</w:t>
      </w:r>
      <w:proofErr w:type="spellEnd"/>
      <w:r>
        <w:t xml:space="preserve"> a se </w:t>
      </w:r>
      <w:proofErr w:type="spellStart"/>
      <w:r>
        <w:t>inuicem</w:t>
      </w:r>
      <w:proofErr w:type="spellEnd"/>
      <w:r>
        <w:t xml:space="preserve"> per </w:t>
      </w:r>
      <w:proofErr w:type="spellStart"/>
      <w:r>
        <w:t>aliquod</w:t>
      </w:r>
      <w:proofErr w:type="spellEnd"/>
      <w:r>
        <w:t xml:space="preserve"> </w:t>
      </w:r>
      <w:proofErr w:type="spellStart"/>
      <w:r>
        <w:t>spatium</w:t>
      </w:r>
      <w:proofErr w:type="spellEnd"/>
      <w:r>
        <w:t xml:space="preserve"> non longe </w:t>
      </w:r>
      <w:proofErr w:type="spellStart"/>
      <w:r>
        <w:t>discedunt</w:t>
      </w:r>
      <w:proofErr w:type="spellEnd"/>
      <w:r>
        <w:t xml:space="preserve">, </w:t>
      </w:r>
      <w:proofErr w:type="spellStart"/>
      <w:r>
        <w:t>ita</w:t>
      </w:r>
      <w:proofErr w:type="spellEnd"/>
      <w:r>
        <w:t xml:space="preserve"> </w:t>
      </w:r>
      <w:proofErr w:type="spellStart"/>
      <w:r>
        <w:t>ut</w:t>
      </w:r>
      <w:proofErr w:type="spellEnd"/>
      <w:r>
        <w:t xml:space="preserve"> in </w:t>
      </w:r>
      <w:proofErr w:type="spellStart"/>
      <w:r>
        <w:t>spatio</w:t>
      </w:r>
      <w:proofErr w:type="spellEnd"/>
      <w:r>
        <w:t xml:space="preserve"> </w:t>
      </w:r>
      <w:proofErr w:type="spellStart"/>
      <w:r>
        <w:t>zodiaci</w:t>
      </w:r>
      <w:proofErr w:type="spellEnd"/>
      <w:r>
        <w:t xml:space="preserve"> </w:t>
      </w:r>
      <w:proofErr w:type="spellStart"/>
      <w:r>
        <w:t>magno</w:t>
      </w:r>
      <w:proofErr w:type="spellEnd"/>
      <w:r>
        <w:t xml:space="preserve"> ab </w:t>
      </w:r>
      <w:proofErr w:type="spellStart"/>
      <w:r>
        <w:t>aestiuo</w:t>
      </w:r>
      <w:proofErr w:type="spellEnd"/>
      <w:r>
        <w:t xml:space="preserve"> </w:t>
      </w:r>
      <w:proofErr w:type="spellStart"/>
      <w:r>
        <w:t>tropico</w:t>
      </w:r>
      <w:proofErr w:type="spellEnd"/>
      <w:r>
        <w:t xml:space="preserve"> non multum </w:t>
      </w:r>
      <w:proofErr w:type="spellStart"/>
      <w:r>
        <w:t>discedat</w:t>
      </w:r>
      <w:proofErr w:type="spellEnd"/>
      <w:r>
        <w:t>.</w:t>
      </w:r>
      <w:r>
        <w:rPr>
          <w:rStyle w:val="FootnoteReference"/>
        </w:rPr>
        <w:footnoteReference w:id="69"/>
      </w:r>
    </w:p>
    <w:p w14:paraId="562369E8" w14:textId="27A2D195" w:rsidR="006211DD" w:rsidRDefault="006211DD" w:rsidP="00D55A7C">
      <w:pPr>
        <w:spacing w:line="480" w:lineRule="auto"/>
        <w:ind w:left="720"/>
        <w:jc w:val="both"/>
      </w:pPr>
    </w:p>
    <w:p w14:paraId="4CA4F06F" w14:textId="0A2FFF9F" w:rsidR="009653E2" w:rsidRDefault="00C73CF6" w:rsidP="00D55A7C">
      <w:pPr>
        <w:spacing w:line="480" w:lineRule="auto"/>
        <w:ind w:left="720"/>
        <w:jc w:val="both"/>
      </w:pPr>
      <w:r>
        <w:t xml:space="preserve">The cause of the inequality of the </w:t>
      </w:r>
      <w:r w:rsidR="00BC7141">
        <w:t xml:space="preserve">increase is the obliquity of the zodiac circle. </w:t>
      </w:r>
      <w:r w:rsidR="00B44A34">
        <w:t xml:space="preserve">It touches the tropic and the zodiac circles: </w:t>
      </w:r>
      <w:r w:rsidR="00811879">
        <w:t>t</w:t>
      </w:r>
      <w:r w:rsidR="009653E2">
        <w:t>he touching circles</w:t>
      </w:r>
      <w:r w:rsidR="00B44A34">
        <w:t xml:space="preserve"> </w:t>
      </w:r>
      <w:r w:rsidR="003A72C8">
        <w:t xml:space="preserve">divide from themselves in turn for a </w:t>
      </w:r>
      <w:r w:rsidR="00016637">
        <w:t>small</w:t>
      </w:r>
      <w:r w:rsidR="003A72C8">
        <w:t xml:space="preserve"> </w:t>
      </w:r>
      <w:r w:rsidR="00016637">
        <w:t>length</w:t>
      </w:r>
      <w:r w:rsidR="003A72C8">
        <w:t xml:space="preserve">, but not far, </w:t>
      </w:r>
      <w:r w:rsidR="00016637">
        <w:t>s</w:t>
      </w:r>
      <w:r w:rsidR="00B44A34">
        <w:t xml:space="preserve">o that in the great space of </w:t>
      </w:r>
      <w:r w:rsidR="003A72C8">
        <w:t xml:space="preserve">the zodiac </w:t>
      </w:r>
      <w:r w:rsidR="00431823">
        <w:t>there is no division</w:t>
      </w:r>
      <w:r w:rsidR="003A72C8">
        <w:t xml:space="preserve"> from the summer tropic</w:t>
      </w:r>
      <w:r w:rsidR="00B44A34">
        <w:t xml:space="preserve"> </w:t>
      </w:r>
    </w:p>
    <w:p w14:paraId="2E339D24" w14:textId="77777777" w:rsidR="005A3D12" w:rsidRDefault="005A3D12" w:rsidP="00D55A7C">
      <w:pPr>
        <w:spacing w:line="480" w:lineRule="auto"/>
        <w:jc w:val="both"/>
      </w:pPr>
    </w:p>
    <w:p w14:paraId="66D3CA5C" w14:textId="77777777" w:rsidR="00811879" w:rsidRDefault="005A3D12" w:rsidP="00D55A7C">
      <w:pPr>
        <w:spacing w:line="480" w:lineRule="auto"/>
        <w:jc w:val="both"/>
      </w:pPr>
      <w:r>
        <w:lastRenderedPageBreak/>
        <w:t xml:space="preserve">So too in a note on Chapter XI, ‘De Ortu et </w:t>
      </w:r>
      <w:proofErr w:type="spellStart"/>
      <w:r>
        <w:t>Occasu</w:t>
      </w:r>
      <w:proofErr w:type="spellEnd"/>
      <w:r>
        <w:t>’</w:t>
      </w:r>
      <w:r w:rsidR="00C10544">
        <w:t xml:space="preserve"> (chapter XIII in modern editions)</w:t>
      </w:r>
      <w:r>
        <w:t xml:space="preserve">, </w:t>
      </w:r>
      <w:r w:rsidR="00811879">
        <w:t>Savile</w:t>
      </w:r>
      <w:r>
        <w:t xml:space="preserve"> explains that he has translated what Geminus may, or </w:t>
      </w:r>
      <w:r w:rsidRPr="00252BAF">
        <w:rPr>
          <w:i/>
          <w:iCs/>
        </w:rPr>
        <w:t>should</w:t>
      </w:r>
      <w:r>
        <w:t xml:space="preserve">, have written: </w:t>
      </w:r>
    </w:p>
    <w:p w14:paraId="3AD12565" w14:textId="77777777" w:rsidR="00811879" w:rsidRDefault="00811879" w:rsidP="00D55A7C">
      <w:pPr>
        <w:spacing w:line="480" w:lineRule="auto"/>
        <w:jc w:val="both"/>
      </w:pPr>
    </w:p>
    <w:p w14:paraId="0D203D5C" w14:textId="2576853F" w:rsidR="005A3D12" w:rsidRDefault="005A3D12" w:rsidP="00D55A7C">
      <w:pPr>
        <w:spacing w:line="480" w:lineRule="auto"/>
        <w:ind w:left="720"/>
        <w:jc w:val="both"/>
      </w:pPr>
      <w:r>
        <w:t xml:space="preserve">Codex est hoc loco </w:t>
      </w:r>
      <w:proofErr w:type="spellStart"/>
      <w:r>
        <w:t>ualde</w:t>
      </w:r>
      <w:proofErr w:type="spellEnd"/>
      <w:r>
        <w:t xml:space="preserve"> </w:t>
      </w:r>
      <w:proofErr w:type="spellStart"/>
      <w:r>
        <w:t>corruptus</w:t>
      </w:r>
      <w:proofErr w:type="spellEnd"/>
      <w:r>
        <w:t xml:space="preserve">. </w:t>
      </w:r>
      <w:proofErr w:type="spellStart"/>
      <w:r>
        <w:t>illud</w:t>
      </w:r>
      <w:proofErr w:type="spellEnd"/>
      <w:r>
        <w:t xml:space="preserve"> </w:t>
      </w:r>
      <w:proofErr w:type="spellStart"/>
      <w:r>
        <w:t>verti</w:t>
      </w:r>
      <w:proofErr w:type="spellEnd"/>
      <w:r>
        <w:t xml:space="preserve"> quod </w:t>
      </w:r>
      <w:proofErr w:type="spellStart"/>
      <w:r>
        <w:t>potuit</w:t>
      </w:r>
      <w:proofErr w:type="spellEnd"/>
      <w:r>
        <w:t xml:space="preserve">, </w:t>
      </w:r>
      <w:proofErr w:type="spellStart"/>
      <w:r>
        <w:t>uel</w:t>
      </w:r>
      <w:proofErr w:type="spellEnd"/>
      <w:r>
        <w:t xml:space="preserve"> </w:t>
      </w:r>
      <w:proofErr w:type="spellStart"/>
      <w:r>
        <w:t>certe</w:t>
      </w:r>
      <w:proofErr w:type="spellEnd"/>
      <w:r>
        <w:t xml:space="preserve"> quod </w:t>
      </w:r>
      <w:proofErr w:type="spellStart"/>
      <w:r>
        <w:t>debuit</w:t>
      </w:r>
      <w:proofErr w:type="spellEnd"/>
      <w:r>
        <w:t xml:space="preserve"> Geminus </w:t>
      </w:r>
      <w:proofErr w:type="spellStart"/>
      <w:r>
        <w:t>scribere</w:t>
      </w:r>
      <w:proofErr w:type="spellEnd"/>
      <w:r>
        <w:t xml:space="preserve">. </w:t>
      </w:r>
      <w:proofErr w:type="spellStart"/>
      <w:r>
        <w:t>si</w:t>
      </w:r>
      <w:proofErr w:type="spellEnd"/>
      <w:r>
        <w:t xml:space="preserve"> </w:t>
      </w:r>
      <w:proofErr w:type="spellStart"/>
      <w:r>
        <w:t>quidem</w:t>
      </w:r>
      <w:proofErr w:type="spellEnd"/>
      <w:r>
        <w:t xml:space="preserve"> </w:t>
      </w:r>
      <w:proofErr w:type="spellStart"/>
      <w:r>
        <w:t>enim</w:t>
      </w:r>
      <w:proofErr w:type="spellEnd"/>
      <w:r>
        <w:t xml:space="preserve"> </w:t>
      </w:r>
      <w:proofErr w:type="spellStart"/>
      <w:r>
        <w:t>hunc</w:t>
      </w:r>
      <w:proofErr w:type="spellEnd"/>
      <w:r>
        <w:t xml:space="preserve"> locum </w:t>
      </w:r>
      <w:proofErr w:type="spellStart"/>
      <w:r>
        <w:t>ita</w:t>
      </w:r>
      <w:proofErr w:type="spellEnd"/>
      <w:r>
        <w:t xml:space="preserve">, </w:t>
      </w:r>
      <w:proofErr w:type="spellStart"/>
      <w:r>
        <w:t>uti</w:t>
      </w:r>
      <w:proofErr w:type="spellEnd"/>
      <w:r>
        <w:t xml:space="preserve"> </w:t>
      </w:r>
      <w:proofErr w:type="spellStart"/>
      <w:r>
        <w:t>hodie</w:t>
      </w:r>
      <w:proofErr w:type="spellEnd"/>
      <w:r>
        <w:t xml:space="preserve"> </w:t>
      </w:r>
      <w:proofErr w:type="spellStart"/>
      <w:r>
        <w:t>legimus</w:t>
      </w:r>
      <w:proofErr w:type="spellEnd"/>
      <w:r>
        <w:t xml:space="preserve">, scriptum </w:t>
      </w:r>
      <w:proofErr w:type="spellStart"/>
      <w:r>
        <w:t>reliquit</w:t>
      </w:r>
      <w:proofErr w:type="spellEnd"/>
      <w:r>
        <w:t xml:space="preserve">, </w:t>
      </w:r>
      <w:proofErr w:type="spellStart"/>
      <w:r>
        <w:t>harum</w:t>
      </w:r>
      <w:proofErr w:type="spellEnd"/>
      <w:r>
        <w:t xml:space="preserve"> rerum </w:t>
      </w:r>
      <w:proofErr w:type="spellStart"/>
      <w:r>
        <w:t>ualde</w:t>
      </w:r>
      <w:proofErr w:type="spellEnd"/>
      <w:r>
        <w:t xml:space="preserve"> </w:t>
      </w:r>
      <w:proofErr w:type="spellStart"/>
      <w:r>
        <w:t>imperitus</w:t>
      </w:r>
      <w:proofErr w:type="spellEnd"/>
      <w:r>
        <w:t xml:space="preserve"> </w:t>
      </w:r>
      <w:proofErr w:type="spellStart"/>
      <w:r>
        <w:t>fuit</w:t>
      </w:r>
      <w:proofErr w:type="spellEnd"/>
      <w:r>
        <w:t>.</w:t>
      </w:r>
      <w:r>
        <w:rPr>
          <w:rStyle w:val="FootnoteReference"/>
        </w:rPr>
        <w:footnoteReference w:id="70"/>
      </w:r>
      <w:r>
        <w:t xml:space="preserve"> </w:t>
      </w:r>
    </w:p>
    <w:p w14:paraId="5ABEB1AB" w14:textId="5869A217" w:rsidR="00480C68" w:rsidRDefault="00480C68" w:rsidP="00D55A7C">
      <w:pPr>
        <w:spacing w:line="480" w:lineRule="auto"/>
        <w:jc w:val="both"/>
      </w:pPr>
    </w:p>
    <w:p w14:paraId="40354C15" w14:textId="248F4EE6" w:rsidR="0092597F" w:rsidRDefault="00811879" w:rsidP="00D55A7C">
      <w:pPr>
        <w:spacing w:line="480" w:lineRule="auto"/>
        <w:ind w:left="720"/>
        <w:jc w:val="both"/>
      </w:pPr>
      <w:r>
        <w:t>(</w:t>
      </w:r>
      <w:r w:rsidR="00480C68">
        <w:t xml:space="preserve">The manuscript </w:t>
      </w:r>
      <w:r w:rsidR="00093E06">
        <w:t>is very corrupt in this place. I have translated what Geminus could have, or certainly what he should have</w:t>
      </w:r>
      <w:r w:rsidR="005C095B">
        <w:t>,</w:t>
      </w:r>
      <w:r w:rsidR="00093E06">
        <w:t xml:space="preserve"> written. </w:t>
      </w:r>
      <w:r w:rsidR="005E436C">
        <w:t>If indeed he left this moment written as we read it today, then truly he was very ignorant of these matters</w:t>
      </w:r>
      <w:r>
        <w:t>)</w:t>
      </w:r>
    </w:p>
    <w:p w14:paraId="760023A6" w14:textId="77777777" w:rsidR="000659B8" w:rsidRDefault="000659B8" w:rsidP="00D55A7C">
      <w:pPr>
        <w:spacing w:line="480" w:lineRule="auto"/>
        <w:jc w:val="both"/>
      </w:pPr>
    </w:p>
    <w:p w14:paraId="58D2E7B4" w14:textId="31FD120B" w:rsidR="005A3D12" w:rsidRDefault="000659B8" w:rsidP="00D55A7C">
      <w:pPr>
        <w:spacing w:line="480" w:lineRule="auto"/>
        <w:jc w:val="both"/>
      </w:pPr>
      <w:r>
        <w:t xml:space="preserve">We might note that a </w:t>
      </w:r>
      <w:r w:rsidR="0092597F">
        <w:t>similar caution is echoed by Gemin</w:t>
      </w:r>
      <w:r w:rsidR="005C095B">
        <w:t>u</w:t>
      </w:r>
      <w:r w:rsidR="0092597F">
        <w:t xml:space="preserve">s’s modern translators, and Evans and Berggren remark of the same section, ‘The text of chapter </w:t>
      </w:r>
      <w:r w:rsidR="001F5321">
        <w:t>xiii</w:t>
      </w:r>
      <w:r w:rsidR="0092597F">
        <w:t xml:space="preserve"> contains a large number of elementary errors, and is the most defective of </w:t>
      </w:r>
      <w:proofErr w:type="spellStart"/>
      <w:r w:rsidR="0092597F">
        <w:t>Geminos’s</w:t>
      </w:r>
      <w:proofErr w:type="spellEnd"/>
      <w:r w:rsidR="0092597F">
        <w:t xml:space="preserve"> work</w:t>
      </w:r>
      <w:r w:rsidR="001F5321">
        <w:t>’.</w:t>
      </w:r>
      <w:r w:rsidR="001F5321">
        <w:rPr>
          <w:rStyle w:val="FootnoteReference"/>
        </w:rPr>
        <w:footnoteReference w:id="71"/>
      </w:r>
      <w:r w:rsidR="0092597F">
        <w:t xml:space="preserve"> </w:t>
      </w:r>
      <w:r w:rsidR="005A3D12">
        <w:t>Thomas again appeal</w:t>
      </w:r>
      <w:r w:rsidR="001D61E2">
        <w:t>s</w:t>
      </w:r>
      <w:r w:rsidR="005A3D12">
        <w:t xml:space="preserve"> to what Geminus ‘must’ or ‘could have written’ in note 26: ‘Quoniam </w:t>
      </w:r>
      <w:proofErr w:type="spellStart"/>
      <w:r w:rsidR="005A3D12">
        <w:t>uero</w:t>
      </w:r>
      <w:proofErr w:type="spellEnd"/>
      <w:r w:rsidR="005A3D12">
        <w:t xml:space="preserve">, etc.] Haec </w:t>
      </w:r>
      <w:proofErr w:type="spellStart"/>
      <w:r w:rsidR="005A3D12">
        <w:t>uerti</w:t>
      </w:r>
      <w:proofErr w:type="spellEnd"/>
      <w:r w:rsidR="005A3D12">
        <w:t xml:space="preserve"> </w:t>
      </w:r>
      <w:proofErr w:type="spellStart"/>
      <w:r w:rsidR="005A3D12">
        <w:t>ut</w:t>
      </w:r>
      <w:proofErr w:type="spellEnd"/>
      <w:r w:rsidR="005A3D12">
        <w:t xml:space="preserve"> </w:t>
      </w:r>
      <w:proofErr w:type="spellStart"/>
      <w:r w:rsidR="005A3D12">
        <w:t>poterant</w:t>
      </w:r>
      <w:proofErr w:type="spellEnd"/>
      <w:r w:rsidR="005A3D12">
        <w:t xml:space="preserve"> a Gemino </w:t>
      </w:r>
      <w:proofErr w:type="spellStart"/>
      <w:r w:rsidR="005A3D12">
        <w:t>scribi</w:t>
      </w:r>
      <w:proofErr w:type="spellEnd"/>
      <w:r w:rsidR="005A3D12">
        <w:t xml:space="preserve">, </w:t>
      </w:r>
      <w:proofErr w:type="spellStart"/>
      <w:r w:rsidR="005A3D12">
        <w:t>non ut</w:t>
      </w:r>
      <w:proofErr w:type="spellEnd"/>
      <w:r w:rsidR="005A3D12">
        <w:t xml:space="preserve"> scripta sunt, in hoc </w:t>
      </w:r>
      <w:proofErr w:type="spellStart"/>
      <w:r w:rsidR="005A3D12">
        <w:t>saltem</w:t>
      </w:r>
      <w:proofErr w:type="spellEnd"/>
      <w:r w:rsidR="005A3D12">
        <w:t xml:space="preserve"> </w:t>
      </w:r>
      <w:proofErr w:type="spellStart"/>
      <w:r w:rsidR="005A3D12">
        <w:t>m</w:t>
      </w:r>
      <w:r w:rsidR="005A3D12" w:rsidRPr="000D0983">
        <w:rPr>
          <w:i/>
        </w:rPr>
        <w:t>anu</w:t>
      </w:r>
      <w:proofErr w:type="spellEnd"/>
      <w:r w:rsidR="005A3D12">
        <w:t xml:space="preserve"> </w:t>
      </w:r>
      <w:proofErr w:type="spellStart"/>
      <w:r w:rsidR="005A3D12">
        <w:t>s</w:t>
      </w:r>
      <w:r w:rsidR="005A3D12" w:rsidRPr="000D0983">
        <w:rPr>
          <w:i/>
        </w:rPr>
        <w:t>crip</w:t>
      </w:r>
      <w:r w:rsidR="005A3D12">
        <w:t>to</w:t>
      </w:r>
      <w:proofErr w:type="spellEnd"/>
      <w:r w:rsidR="005A3D12">
        <w:t>’.</w:t>
      </w:r>
      <w:r w:rsidR="005A3D12">
        <w:rPr>
          <w:rStyle w:val="FootnoteReference"/>
        </w:rPr>
        <w:footnoteReference w:id="72"/>
      </w:r>
      <w:r w:rsidR="005A3D12">
        <w:t xml:space="preserve"> </w:t>
      </w:r>
      <w:r w:rsidR="00B9636D">
        <w:t>(“</w:t>
      </w:r>
      <w:r w:rsidR="008E41C0">
        <w:t>‘</w:t>
      </w:r>
      <w:r w:rsidR="00B9636D">
        <w:t xml:space="preserve">Because indeed, etc.” I have translated </w:t>
      </w:r>
      <w:r w:rsidR="008E41C0">
        <w:t>this as it may have been written by Geminus, not as it is written, or at least in this manuscript’).</w:t>
      </w:r>
      <w:r w:rsidR="005C095B">
        <w:t xml:space="preserve"> </w:t>
      </w:r>
      <w:r w:rsidR="00854D12">
        <w:t>Intriguingly, t</w:t>
      </w:r>
      <w:r w:rsidR="005A3D12">
        <w:t xml:space="preserve">his anticipates the method which the </w:t>
      </w:r>
      <w:r w:rsidR="005C095B">
        <w:t xml:space="preserve">Savile </w:t>
      </w:r>
      <w:r w:rsidR="005A3D12">
        <w:t xml:space="preserve">brothers would adopt when preparing the commentary for </w:t>
      </w:r>
      <w:r w:rsidR="00A813DA">
        <w:t>the</w:t>
      </w:r>
      <w:r w:rsidR="005A3D12">
        <w:t xml:space="preserve"> </w:t>
      </w:r>
      <w:r w:rsidR="00A813DA">
        <w:t>English</w:t>
      </w:r>
      <w:r w:rsidR="005A3D12">
        <w:t xml:space="preserve"> translation of Tacitus</w:t>
      </w:r>
      <w:r w:rsidR="00A813DA">
        <w:t>, published</w:t>
      </w:r>
      <w:r w:rsidR="005A3D12">
        <w:t xml:space="preserve"> </w:t>
      </w:r>
      <w:r w:rsidR="00A813DA">
        <w:t xml:space="preserve">in </w:t>
      </w:r>
      <w:r w:rsidR="00854D12">
        <w:t>1591.</w:t>
      </w:r>
      <w:r w:rsidR="00A813DA">
        <w:t xml:space="preserve"> Consider, for example, the note </w:t>
      </w:r>
      <w:r w:rsidR="00981052">
        <w:t>which accompanies</w:t>
      </w:r>
      <w:r w:rsidR="00A813DA">
        <w:t xml:space="preserve"> the phrase ‘Petrin wing’</w:t>
      </w:r>
      <w:r w:rsidR="00981052">
        <w:t xml:space="preserve"> in the main body of the translation,</w:t>
      </w:r>
      <w:r w:rsidR="003E0F99">
        <w:t xml:space="preserve"> where the commentary explains that</w:t>
      </w:r>
      <w:r w:rsidR="00A813DA">
        <w:t xml:space="preserve"> ‘</w:t>
      </w:r>
      <w:r w:rsidR="00A813DA" w:rsidRPr="00A813DA">
        <w:t xml:space="preserve">our printed </w:t>
      </w:r>
      <w:proofErr w:type="spellStart"/>
      <w:r w:rsidR="00A813DA" w:rsidRPr="00A813DA">
        <w:t>bookes</w:t>
      </w:r>
      <w:proofErr w:type="spellEnd"/>
      <w:r w:rsidR="00A813DA" w:rsidRPr="00A813DA">
        <w:t xml:space="preserve"> </w:t>
      </w:r>
      <w:proofErr w:type="spellStart"/>
      <w:r w:rsidR="00A813DA" w:rsidRPr="00A813DA">
        <w:t>haue</w:t>
      </w:r>
      <w:proofErr w:type="spellEnd"/>
      <w:r w:rsidR="00A813DA" w:rsidRPr="00A813DA">
        <w:t xml:space="preserve"> </w:t>
      </w:r>
      <w:r w:rsidR="00A813DA" w:rsidRPr="00A813DA">
        <w:rPr>
          <w:i/>
          <w:iCs/>
        </w:rPr>
        <w:t xml:space="preserve">in </w:t>
      </w:r>
      <w:r w:rsidR="00A813DA" w:rsidRPr="00A813DA">
        <w:rPr>
          <w:i/>
          <w:iCs/>
        </w:rPr>
        <w:lastRenderedPageBreak/>
        <w:t xml:space="preserve">Alpe </w:t>
      </w:r>
      <w:proofErr w:type="spellStart"/>
      <w:r w:rsidR="00A813DA" w:rsidRPr="00A813DA">
        <w:rPr>
          <w:i/>
          <w:iCs/>
        </w:rPr>
        <w:t>Graia</w:t>
      </w:r>
      <w:proofErr w:type="spellEnd"/>
      <w:r w:rsidR="00A813DA" w:rsidRPr="00A813DA">
        <w:rPr>
          <w:i/>
          <w:iCs/>
        </w:rPr>
        <w:t>,</w:t>
      </w:r>
      <w:r w:rsidR="00A813DA" w:rsidRPr="00A813DA">
        <w:t xml:space="preserve"> corruptly no question</w:t>
      </w:r>
      <w:r w:rsidR="00A813DA">
        <w:t>’</w:t>
      </w:r>
      <w:r w:rsidR="003E0F99">
        <w:t xml:space="preserve"> and ‘</w:t>
      </w:r>
      <w:proofErr w:type="spellStart"/>
      <w:r w:rsidR="003E0F99">
        <w:t>wee</w:t>
      </w:r>
      <w:proofErr w:type="spellEnd"/>
      <w:r w:rsidR="003E0F99">
        <w:t xml:space="preserve"> may rather imagine should have bene, cum ala Petrina’.</w:t>
      </w:r>
      <w:r w:rsidR="003E0F99">
        <w:rPr>
          <w:rStyle w:val="FootnoteReference"/>
        </w:rPr>
        <w:footnoteReference w:id="73"/>
      </w:r>
      <w:r w:rsidR="00854D12">
        <w:t xml:space="preserve"> For both b</w:t>
      </w:r>
      <w:r w:rsidR="005C095B">
        <w:t>r</w:t>
      </w:r>
      <w:r w:rsidR="00854D12">
        <w:t xml:space="preserve">others, translation and textual emendation </w:t>
      </w:r>
      <w:r w:rsidR="005C095B">
        <w:t xml:space="preserve">were two sides of the same coin. </w:t>
      </w:r>
    </w:p>
    <w:p w14:paraId="454BFED9" w14:textId="5799AA9B" w:rsidR="005A3D12" w:rsidRDefault="005A3D12" w:rsidP="00D55A7C">
      <w:pPr>
        <w:spacing w:line="480" w:lineRule="auto"/>
        <w:ind w:firstLine="720"/>
        <w:jc w:val="both"/>
      </w:pPr>
      <w:r>
        <w:t>Thomas’s withering comments</w:t>
      </w:r>
      <w:r w:rsidR="0037322E">
        <w:t xml:space="preserve"> </w:t>
      </w:r>
      <w:r w:rsidR="000659B8">
        <w:t>on</w:t>
      </w:r>
      <w:r>
        <w:t xml:space="preserve"> his author – ‘</w:t>
      </w:r>
      <w:proofErr w:type="spellStart"/>
      <w:r>
        <w:t>inanis</w:t>
      </w:r>
      <w:proofErr w:type="spellEnd"/>
      <w:r>
        <w:t xml:space="preserve"> </w:t>
      </w:r>
      <w:proofErr w:type="spellStart"/>
      <w:r>
        <w:t>admodum</w:t>
      </w:r>
      <w:proofErr w:type="spellEnd"/>
      <w:r>
        <w:t xml:space="preserve"> </w:t>
      </w:r>
      <w:proofErr w:type="spellStart"/>
      <w:r>
        <w:t>theoria</w:t>
      </w:r>
      <w:proofErr w:type="spellEnd"/>
      <w:r>
        <w:t xml:space="preserve">, et </w:t>
      </w:r>
      <w:proofErr w:type="spellStart"/>
      <w:r>
        <w:t>manca</w:t>
      </w:r>
      <w:proofErr w:type="spellEnd"/>
      <w:r>
        <w:t xml:space="preserve"> </w:t>
      </w:r>
      <w:proofErr w:type="spellStart"/>
      <w:r>
        <w:t>etiam</w:t>
      </w:r>
      <w:proofErr w:type="spellEnd"/>
      <w:r>
        <w:t xml:space="preserve"> </w:t>
      </w:r>
      <w:proofErr w:type="spellStart"/>
      <w:r>
        <w:t>atque</w:t>
      </w:r>
      <w:proofErr w:type="spellEnd"/>
      <w:r>
        <w:t xml:space="preserve"> imperfecta’</w:t>
      </w:r>
      <w:r w:rsidR="000659B8">
        <w:t xml:space="preserve"> (</w:t>
      </w:r>
      <w:r w:rsidR="00483A11">
        <w:t>‘an entirely worthless theory, not to mention defective and imperfect too’)</w:t>
      </w:r>
      <w:r>
        <w:t>; ‘quasi non semper, bone vir?’</w:t>
      </w:r>
      <w:r w:rsidR="00483A11">
        <w:t xml:space="preserve"> (‘</w:t>
      </w:r>
      <w:r w:rsidR="00C81282">
        <w:t>as opposed to</w:t>
      </w:r>
      <w:r w:rsidR="00483A11">
        <w:t xml:space="preserve"> usual, my good man?’)</w:t>
      </w:r>
      <w:r>
        <w:t xml:space="preserve"> – </w:t>
      </w:r>
      <w:r w:rsidR="0086311F">
        <w:t xml:space="preserve">also </w:t>
      </w:r>
      <w:r>
        <w:t>anticipate</w:t>
      </w:r>
      <w:r w:rsidR="0086311F">
        <w:t>s</w:t>
      </w:r>
      <w:r>
        <w:t xml:space="preserve"> the frustration which the Savile brothers would show for Tacitus</w:t>
      </w:r>
      <w:r w:rsidR="0037322E">
        <w:t xml:space="preserve"> </w:t>
      </w:r>
      <w:r>
        <w:t>in the</w:t>
      </w:r>
      <w:r w:rsidR="008C536B">
        <w:t>ir</w:t>
      </w:r>
      <w:r>
        <w:t xml:space="preserve"> commentary of 1591.</w:t>
      </w:r>
      <w:r>
        <w:rPr>
          <w:rStyle w:val="FootnoteReference"/>
        </w:rPr>
        <w:footnoteReference w:id="74"/>
      </w:r>
      <w:r>
        <w:t xml:space="preserve"> </w:t>
      </w:r>
      <w:r w:rsidR="00FC2088">
        <w:t xml:space="preserve">Consider, for example, the sarcastic critique of Tacitus’s style which we find in the commentary </w:t>
      </w:r>
      <w:r w:rsidR="00C90449">
        <w:t xml:space="preserve">accompanying </w:t>
      </w:r>
      <w:r w:rsidR="00240C9D">
        <w:t xml:space="preserve">the translation of the </w:t>
      </w:r>
      <w:r w:rsidR="00240C9D" w:rsidRPr="00240C9D">
        <w:rPr>
          <w:i/>
          <w:iCs/>
        </w:rPr>
        <w:t>Agricola</w:t>
      </w:r>
      <w:r w:rsidR="00240C9D">
        <w:t xml:space="preserve">: </w:t>
      </w:r>
    </w:p>
    <w:p w14:paraId="0CB70791" w14:textId="64AA048A" w:rsidR="00240C9D" w:rsidRDefault="00240C9D" w:rsidP="00D55A7C">
      <w:pPr>
        <w:spacing w:line="480" w:lineRule="auto"/>
        <w:jc w:val="both"/>
      </w:pPr>
    </w:p>
    <w:p w14:paraId="739369EB" w14:textId="77777777" w:rsidR="00240C9D" w:rsidRDefault="00240C9D" w:rsidP="00D55A7C">
      <w:pPr>
        <w:spacing w:line="480" w:lineRule="auto"/>
        <w:jc w:val="both"/>
        <w:rPr>
          <w:rFonts w:ascii="Times" w:hAnsi="Times"/>
          <w:i/>
        </w:rPr>
      </w:pPr>
      <w:r>
        <w:tab/>
      </w:r>
      <w:r>
        <w:rPr>
          <w:rFonts w:ascii="Times" w:hAnsi="Times"/>
        </w:rPr>
        <w:t xml:space="preserve">A good man you would easily </w:t>
      </w:r>
      <w:proofErr w:type="spellStart"/>
      <w:r>
        <w:rPr>
          <w:rFonts w:ascii="Times" w:hAnsi="Times"/>
        </w:rPr>
        <w:t>thinke</w:t>
      </w:r>
      <w:proofErr w:type="spellEnd"/>
      <w:r>
        <w:rPr>
          <w:rFonts w:ascii="Times" w:hAnsi="Times"/>
        </w:rPr>
        <w:t xml:space="preserve"> him: &amp;c </w:t>
      </w:r>
      <w:r w:rsidRPr="00FF6433">
        <w:rPr>
          <w:rFonts w:ascii="Times" w:hAnsi="Times"/>
          <w:i/>
        </w:rPr>
        <w:t xml:space="preserve">Bonum </w:t>
      </w:r>
      <w:proofErr w:type="spellStart"/>
      <w:r w:rsidRPr="00FF6433">
        <w:rPr>
          <w:rFonts w:ascii="Times" w:hAnsi="Times"/>
          <w:i/>
        </w:rPr>
        <w:t>virum</w:t>
      </w:r>
      <w:proofErr w:type="spellEnd"/>
      <w:r w:rsidRPr="00FF6433">
        <w:rPr>
          <w:rFonts w:ascii="Times" w:hAnsi="Times"/>
          <w:i/>
        </w:rPr>
        <w:t xml:space="preserve"> facile </w:t>
      </w:r>
      <w:proofErr w:type="spellStart"/>
      <w:r w:rsidRPr="00FF6433">
        <w:rPr>
          <w:rFonts w:ascii="Times" w:hAnsi="Times"/>
          <w:i/>
        </w:rPr>
        <w:t>crederes</w:t>
      </w:r>
      <w:proofErr w:type="spellEnd"/>
      <w:r w:rsidRPr="00FF6433">
        <w:rPr>
          <w:rFonts w:ascii="Times" w:hAnsi="Times"/>
          <w:i/>
        </w:rPr>
        <w:t xml:space="preserve">, magnum </w:t>
      </w:r>
    </w:p>
    <w:p w14:paraId="0AEB8991" w14:textId="77777777" w:rsidR="00240C9D" w:rsidRDefault="00240C9D" w:rsidP="00D55A7C">
      <w:pPr>
        <w:spacing w:line="480" w:lineRule="auto"/>
        <w:ind w:firstLine="720"/>
        <w:jc w:val="both"/>
        <w:rPr>
          <w:rFonts w:ascii="Times" w:hAnsi="Times"/>
          <w:i/>
        </w:rPr>
      </w:pPr>
      <w:proofErr w:type="spellStart"/>
      <w:r w:rsidRPr="00FF6433">
        <w:rPr>
          <w:rFonts w:ascii="Times" w:hAnsi="Times"/>
          <w:i/>
        </w:rPr>
        <w:t>libenter</w:t>
      </w:r>
      <w:proofErr w:type="spellEnd"/>
      <w:r w:rsidRPr="00FF6433">
        <w:rPr>
          <w:rFonts w:ascii="Times" w:hAnsi="Times"/>
          <w:i/>
        </w:rPr>
        <w:t xml:space="preserve">.) Et </w:t>
      </w:r>
      <w:proofErr w:type="spellStart"/>
      <w:r w:rsidRPr="00FF6433">
        <w:rPr>
          <w:rFonts w:ascii="Times" w:hAnsi="Times"/>
          <w:i/>
        </w:rPr>
        <w:t>te</w:t>
      </w:r>
      <w:proofErr w:type="spellEnd"/>
      <w:r w:rsidRPr="00FF6433">
        <w:rPr>
          <w:rFonts w:ascii="Times" w:hAnsi="Times"/>
          <w:i/>
        </w:rPr>
        <w:t xml:space="preserve"> Corneli </w:t>
      </w:r>
      <w:proofErr w:type="spellStart"/>
      <w:r w:rsidRPr="00FF6433">
        <w:rPr>
          <w:rFonts w:ascii="Times" w:hAnsi="Times"/>
          <w:i/>
        </w:rPr>
        <w:t>Tacite</w:t>
      </w:r>
      <w:proofErr w:type="spellEnd"/>
      <w:r w:rsidRPr="00FF6433">
        <w:rPr>
          <w:rFonts w:ascii="Times" w:hAnsi="Times"/>
          <w:i/>
        </w:rPr>
        <w:t xml:space="preserve"> bonum </w:t>
      </w:r>
      <w:proofErr w:type="spellStart"/>
      <w:r w:rsidRPr="00FF6433">
        <w:rPr>
          <w:rFonts w:ascii="Times" w:hAnsi="Times"/>
          <w:i/>
        </w:rPr>
        <w:t>historicum</w:t>
      </w:r>
      <w:proofErr w:type="spellEnd"/>
      <w:r w:rsidRPr="00FF6433">
        <w:rPr>
          <w:rFonts w:ascii="Times" w:hAnsi="Times"/>
          <w:i/>
        </w:rPr>
        <w:t xml:space="preserve"> </w:t>
      </w:r>
      <w:proofErr w:type="spellStart"/>
      <w:r w:rsidRPr="00FF6433">
        <w:rPr>
          <w:rFonts w:ascii="Times" w:hAnsi="Times"/>
          <w:i/>
        </w:rPr>
        <w:t>facilè</w:t>
      </w:r>
      <w:proofErr w:type="spellEnd"/>
      <w:r w:rsidRPr="00FF6433">
        <w:rPr>
          <w:rFonts w:ascii="Times" w:hAnsi="Times"/>
          <w:i/>
        </w:rPr>
        <w:t xml:space="preserve"> </w:t>
      </w:r>
      <w:proofErr w:type="spellStart"/>
      <w:r w:rsidRPr="00FF6433">
        <w:rPr>
          <w:rFonts w:ascii="Times" w:hAnsi="Times"/>
          <w:i/>
        </w:rPr>
        <w:t>credimus</w:t>
      </w:r>
      <w:proofErr w:type="spellEnd"/>
      <w:r w:rsidRPr="00FF6433">
        <w:rPr>
          <w:rFonts w:ascii="Times" w:hAnsi="Times"/>
          <w:i/>
        </w:rPr>
        <w:t xml:space="preserve">, bonum </w:t>
      </w:r>
      <w:proofErr w:type="spellStart"/>
      <w:r w:rsidRPr="00FF6433">
        <w:rPr>
          <w:rFonts w:ascii="Times" w:hAnsi="Times"/>
          <w:i/>
        </w:rPr>
        <w:t>oratorem</w:t>
      </w:r>
      <w:proofErr w:type="spellEnd"/>
      <w:r w:rsidRPr="00FF6433">
        <w:rPr>
          <w:rFonts w:ascii="Times" w:hAnsi="Times"/>
          <w:i/>
        </w:rPr>
        <w:t xml:space="preserve"> </w:t>
      </w:r>
    </w:p>
    <w:p w14:paraId="130518B1" w14:textId="272C457E" w:rsidR="00517354" w:rsidRDefault="00240C9D" w:rsidP="00D55A7C">
      <w:pPr>
        <w:spacing w:line="480" w:lineRule="auto"/>
        <w:ind w:left="720"/>
        <w:jc w:val="both"/>
      </w:pPr>
      <w:proofErr w:type="spellStart"/>
      <w:r w:rsidRPr="00FF6433">
        <w:rPr>
          <w:rFonts w:ascii="Times" w:hAnsi="Times"/>
          <w:i/>
        </w:rPr>
        <w:t>crederemus</w:t>
      </w:r>
      <w:proofErr w:type="spellEnd"/>
      <w:r w:rsidRPr="00FF6433">
        <w:rPr>
          <w:rFonts w:ascii="Times" w:hAnsi="Times"/>
          <w:i/>
        </w:rPr>
        <w:t xml:space="preserve"> </w:t>
      </w:r>
      <w:proofErr w:type="spellStart"/>
      <w:r w:rsidRPr="00FF6433">
        <w:rPr>
          <w:rFonts w:ascii="Times" w:hAnsi="Times"/>
          <w:i/>
        </w:rPr>
        <w:t>libenter</w:t>
      </w:r>
      <w:proofErr w:type="spellEnd"/>
      <w:r>
        <w:rPr>
          <w:rFonts w:ascii="Times" w:hAnsi="Times"/>
        </w:rPr>
        <w:t xml:space="preserve"> [and you, Cornelius Tacitus, we would easily believe to be a good historian, and freely a good orator], were it not for this and some other sayings of the like making</w:t>
      </w:r>
      <w:r>
        <w:rPr>
          <w:rStyle w:val="FootnoteReference"/>
          <w:rFonts w:ascii="Times" w:hAnsi="Times"/>
        </w:rPr>
        <w:footnoteReference w:id="75"/>
      </w:r>
    </w:p>
    <w:p w14:paraId="6872AA4B" w14:textId="7B0411E5" w:rsidR="008C536B" w:rsidRDefault="008C536B" w:rsidP="00D55A7C">
      <w:pPr>
        <w:spacing w:line="480" w:lineRule="auto"/>
        <w:jc w:val="both"/>
      </w:pPr>
    </w:p>
    <w:p w14:paraId="2DDEE0D1" w14:textId="430A5F28" w:rsidR="006B4332" w:rsidRDefault="00FA248A" w:rsidP="00D55A7C">
      <w:pPr>
        <w:spacing w:line="480" w:lineRule="auto"/>
        <w:jc w:val="both"/>
      </w:pPr>
      <w:r>
        <w:t xml:space="preserve">In both textual </w:t>
      </w:r>
      <w:r w:rsidR="00A76B2E">
        <w:t xml:space="preserve">intervention and enthusiastic </w:t>
      </w:r>
      <w:r w:rsidR="006921B8">
        <w:t>chastising</w:t>
      </w:r>
      <w:r w:rsidR="00A76B2E">
        <w:t xml:space="preserve"> of the target author</w:t>
      </w:r>
      <w:r w:rsidR="00D22825">
        <w:t xml:space="preserve"> then,</w:t>
      </w:r>
      <w:r w:rsidR="00A76B2E">
        <w:t xml:space="preserve"> the Tacitus and Geminus translations share some common critical ground</w:t>
      </w:r>
      <w:r w:rsidR="00D22825">
        <w:t>. T</w:t>
      </w:r>
      <w:r w:rsidR="006921B8">
        <w:t xml:space="preserve">he skills which </w:t>
      </w:r>
      <w:r w:rsidR="00027F9E">
        <w:t xml:space="preserve">Thomas honed at Padua he was able to put to work in the preparation of </w:t>
      </w:r>
      <w:proofErr w:type="gramStart"/>
      <w:r w:rsidR="00027F9E">
        <w:t>the his</w:t>
      </w:r>
      <w:proofErr w:type="gramEnd"/>
      <w:r w:rsidR="00027F9E">
        <w:t xml:space="preserve"> brother’s translation of the </w:t>
      </w:r>
      <w:r w:rsidR="00027F9E" w:rsidRPr="00027F9E">
        <w:rPr>
          <w:i/>
          <w:iCs/>
        </w:rPr>
        <w:t>Historiae</w:t>
      </w:r>
      <w:r w:rsidR="00027F9E">
        <w:t xml:space="preserve"> and </w:t>
      </w:r>
      <w:r w:rsidR="00027F9E" w:rsidRPr="00027F9E">
        <w:rPr>
          <w:i/>
          <w:iCs/>
        </w:rPr>
        <w:t>Agricola</w:t>
      </w:r>
      <w:r w:rsidR="00D22825">
        <w:t xml:space="preserve">, carrying the same sarcasm into both editorial projects. </w:t>
      </w:r>
      <w:r w:rsidR="00027F9E">
        <w:t xml:space="preserve"> </w:t>
      </w:r>
    </w:p>
    <w:p w14:paraId="139B9561" w14:textId="729BD17D" w:rsidR="000E4754" w:rsidRDefault="00113951" w:rsidP="00D55A7C">
      <w:pPr>
        <w:spacing w:line="480" w:lineRule="auto"/>
        <w:ind w:firstLine="720"/>
        <w:jc w:val="both"/>
      </w:pPr>
      <w:r>
        <w:lastRenderedPageBreak/>
        <w:t xml:space="preserve">Geminus peppers his </w:t>
      </w:r>
      <w:r w:rsidR="00EB7442">
        <w:t>work</w:t>
      </w:r>
      <w:r>
        <w:t xml:space="preserve"> with Greek verse. To reproduce </w:t>
      </w:r>
      <w:r w:rsidR="00EB7442">
        <w:t xml:space="preserve">this </w:t>
      </w:r>
      <w:r>
        <w:t xml:space="preserve">in Latin, Savile employs several distinct approaches. </w:t>
      </w:r>
      <w:r w:rsidR="00A1704F">
        <w:t xml:space="preserve">In a chapter concerning </w:t>
      </w:r>
      <w:r w:rsidR="00F41FEB">
        <w:t xml:space="preserve">the rising of the 12 signs, </w:t>
      </w:r>
      <w:r w:rsidR="00A1704F">
        <w:t xml:space="preserve">Geminus quotes from the </w:t>
      </w:r>
      <w:r w:rsidR="00A1704F" w:rsidRPr="00A1704F">
        <w:rPr>
          <w:i/>
          <w:iCs/>
        </w:rPr>
        <w:t>Phaenomena</w:t>
      </w:r>
      <w:r w:rsidR="00A1704F">
        <w:t xml:space="preserve"> of Aratus of Soli (c.310</w:t>
      </w:r>
      <w:r w:rsidR="00A1704F" w:rsidRPr="00A1704F">
        <w:rPr>
          <w:sz w:val="22"/>
          <w:szCs w:val="22"/>
        </w:rPr>
        <w:t>BCE</w:t>
      </w:r>
      <w:r w:rsidR="00A1704F">
        <w:t>–240</w:t>
      </w:r>
      <w:r w:rsidR="000E4754" w:rsidRPr="000E4754">
        <w:rPr>
          <w:sz w:val="22"/>
          <w:szCs w:val="22"/>
        </w:rPr>
        <w:t>B</w:t>
      </w:r>
      <w:r w:rsidR="00A1704F" w:rsidRPr="00A1704F">
        <w:rPr>
          <w:sz w:val="22"/>
          <w:szCs w:val="22"/>
        </w:rPr>
        <w:t>CE</w:t>
      </w:r>
      <w:r w:rsidR="00A1704F">
        <w:t>)</w:t>
      </w:r>
      <w:r w:rsidR="00122D7F">
        <w:t xml:space="preserve">. Aratus’s work was </w:t>
      </w:r>
      <w:r w:rsidR="00A1704F">
        <w:t>composed in Greek hexameter</w:t>
      </w:r>
      <w:r w:rsidR="009B3CFE">
        <w:t>, the first 757 lines of which</w:t>
      </w:r>
      <w:r w:rsidR="00122D7F">
        <w:t xml:space="preserve"> were themselves a</w:t>
      </w:r>
      <w:r w:rsidR="009B3CFE">
        <w:t xml:space="preserve"> rework</w:t>
      </w:r>
      <w:r w:rsidR="00122D7F">
        <w:t>ing of</w:t>
      </w:r>
      <w:r w:rsidR="009B3CFE">
        <w:t xml:space="preserve"> the prose of </w:t>
      </w:r>
      <w:r w:rsidR="009B3CFE" w:rsidRPr="000E4754">
        <w:t>Eudoxus of Cnidus (c. 390–c. 340)</w:t>
      </w:r>
      <w:r w:rsidR="009B3CFE">
        <w:t xml:space="preserve">. </w:t>
      </w:r>
      <w:r w:rsidR="00BF57BB">
        <w:t>The</w:t>
      </w:r>
      <w:r w:rsidR="009B3CFE">
        <w:t xml:space="preserve"> </w:t>
      </w:r>
      <w:r>
        <w:t>poem</w:t>
      </w:r>
      <w:r w:rsidR="009B3CFE">
        <w:t xml:space="preserve"> was subsequently translated into </w:t>
      </w:r>
      <w:r w:rsidR="00C549FC">
        <w:t>Latin by Cicero, Avenius, and Caesar Germanicus</w:t>
      </w:r>
      <w:r w:rsidR="009B3CFE">
        <w:t>,</w:t>
      </w:r>
      <w:r w:rsidR="00122D7F">
        <w:t xml:space="preserve"> with</w:t>
      </w:r>
      <w:r w:rsidR="009B3CFE">
        <w:t xml:space="preserve"> </w:t>
      </w:r>
      <w:r w:rsidR="00122D7F">
        <w:t>all three of</w:t>
      </w:r>
      <w:r w:rsidR="009B3CFE">
        <w:t xml:space="preserve"> which versions Savile was familiar. </w:t>
      </w:r>
      <w:r w:rsidR="000E4754">
        <w:t>As</w:t>
      </w:r>
      <w:r w:rsidR="009B3CFE">
        <w:t xml:space="preserve"> Aratus’s verse</w:t>
      </w:r>
      <w:r w:rsidR="000E4754">
        <w:t xml:space="preserve"> appears in Savile’s translation, </w:t>
      </w:r>
    </w:p>
    <w:p w14:paraId="2FE3F6F8" w14:textId="578644EF" w:rsidR="000E4754" w:rsidRDefault="000E4754" w:rsidP="00D55A7C">
      <w:pPr>
        <w:spacing w:line="480" w:lineRule="auto"/>
        <w:jc w:val="both"/>
      </w:pPr>
    </w:p>
    <w:p w14:paraId="550F718B" w14:textId="42ED2600" w:rsidR="000E4754" w:rsidRDefault="000E4754" w:rsidP="00D55A7C">
      <w:pPr>
        <w:spacing w:line="480" w:lineRule="auto"/>
        <w:jc w:val="both"/>
      </w:pPr>
      <w:r>
        <w:tab/>
      </w:r>
      <w:r>
        <w:tab/>
      </w:r>
      <w:r>
        <w:tab/>
      </w:r>
      <w:r w:rsidR="00C549FC">
        <w:t xml:space="preserve">Sed tantum supra </w:t>
      </w:r>
      <w:proofErr w:type="spellStart"/>
      <w:r w:rsidR="00C549FC">
        <w:t>terras</w:t>
      </w:r>
      <w:proofErr w:type="spellEnd"/>
      <w:r w:rsidR="00C549FC">
        <w:t xml:space="preserve"> semper tenet </w:t>
      </w:r>
      <w:proofErr w:type="spellStart"/>
      <w:r w:rsidR="00C549FC">
        <w:t>ille</w:t>
      </w:r>
      <w:proofErr w:type="spellEnd"/>
    </w:p>
    <w:p w14:paraId="1ED7A66B" w14:textId="3E72CC33" w:rsidR="00C549FC" w:rsidRDefault="00C549FC" w:rsidP="00D55A7C">
      <w:pPr>
        <w:spacing w:line="480" w:lineRule="auto"/>
        <w:jc w:val="both"/>
      </w:pPr>
      <w:r>
        <w:tab/>
      </w:r>
      <w:r>
        <w:tab/>
      </w:r>
      <w:r>
        <w:tab/>
        <w:t xml:space="preserve">Curriculum oblique </w:t>
      </w:r>
      <w:proofErr w:type="spellStart"/>
      <w:r>
        <w:t>inflexus</w:t>
      </w:r>
      <w:proofErr w:type="spellEnd"/>
      <w:r>
        <w:t xml:space="preserve">, </w:t>
      </w:r>
    </w:p>
    <w:p w14:paraId="4BA4907A" w14:textId="2CC192F5" w:rsidR="00C549FC" w:rsidRDefault="00C549FC" w:rsidP="00D55A7C">
      <w:pPr>
        <w:spacing w:line="480" w:lineRule="auto"/>
        <w:jc w:val="both"/>
      </w:pPr>
      <w:r>
        <w:tab/>
      </w:r>
      <w:r>
        <w:tab/>
      </w:r>
      <w:r>
        <w:tab/>
        <w:t xml:space="preserve">Quanto est </w:t>
      </w:r>
      <w:proofErr w:type="spellStart"/>
      <w:r>
        <w:t>divisus</w:t>
      </w:r>
      <w:proofErr w:type="spellEnd"/>
      <w:r>
        <w:t xml:space="preserve"> Cancer </w:t>
      </w:r>
      <w:proofErr w:type="spellStart"/>
      <w:r>
        <w:t>spatio</w:t>
      </w:r>
      <w:proofErr w:type="spellEnd"/>
      <w:r>
        <w:t xml:space="preserve"> a </w:t>
      </w:r>
      <w:proofErr w:type="spellStart"/>
      <w:r>
        <w:t>Capricorno</w:t>
      </w:r>
      <w:proofErr w:type="spellEnd"/>
      <w:r>
        <w:t>.</w:t>
      </w:r>
      <w:r>
        <w:rPr>
          <w:rStyle w:val="FootnoteReference"/>
        </w:rPr>
        <w:footnoteReference w:id="76"/>
      </w:r>
    </w:p>
    <w:p w14:paraId="5F0E08B9" w14:textId="3871913A" w:rsidR="002514C3" w:rsidRDefault="002514C3" w:rsidP="00D55A7C">
      <w:pPr>
        <w:spacing w:line="480" w:lineRule="auto"/>
        <w:jc w:val="both"/>
      </w:pPr>
    </w:p>
    <w:p w14:paraId="18009E60" w14:textId="23D3075C" w:rsidR="006B2482" w:rsidRDefault="002514C3" w:rsidP="00D55A7C">
      <w:pPr>
        <w:spacing w:line="480" w:lineRule="auto"/>
        <w:jc w:val="both"/>
      </w:pPr>
      <w:r>
        <w:tab/>
      </w:r>
      <w:r>
        <w:tab/>
      </w:r>
      <w:r>
        <w:tab/>
        <w:t xml:space="preserve">But </w:t>
      </w:r>
      <w:r w:rsidR="006B2482">
        <w:t>by as</w:t>
      </w:r>
      <w:r>
        <w:t xml:space="preserve"> </w:t>
      </w:r>
      <w:r w:rsidR="006B2482">
        <w:t xml:space="preserve">much distance as </w:t>
      </w:r>
      <w:r w:rsidR="00320E38">
        <w:t>it always</w:t>
      </w:r>
      <w:r w:rsidR="006B2482">
        <w:t xml:space="preserve"> holds</w:t>
      </w:r>
    </w:p>
    <w:p w14:paraId="3B40D4A1" w14:textId="143CFE1E" w:rsidR="006B2482" w:rsidRDefault="006B2482" w:rsidP="00D55A7C">
      <w:pPr>
        <w:spacing w:line="480" w:lineRule="auto"/>
        <w:jc w:val="both"/>
      </w:pPr>
      <w:r>
        <w:tab/>
      </w:r>
      <w:r>
        <w:tab/>
      </w:r>
      <w:r>
        <w:tab/>
      </w:r>
      <w:r w:rsidR="00320E38">
        <w:t>its</w:t>
      </w:r>
      <w:r>
        <w:t xml:space="preserve"> course</w:t>
      </w:r>
      <w:r w:rsidR="0098261D">
        <w:t xml:space="preserve"> above the earth</w:t>
      </w:r>
      <w:r>
        <w:t>, bending at a slant,</w:t>
      </w:r>
    </w:p>
    <w:p w14:paraId="0E5A7652" w14:textId="0D1C4978" w:rsidR="006B2482" w:rsidRDefault="006B2482" w:rsidP="00D55A7C">
      <w:pPr>
        <w:spacing w:line="480" w:lineRule="auto"/>
        <w:jc w:val="both"/>
      </w:pPr>
      <w:r>
        <w:tab/>
      </w:r>
      <w:r>
        <w:tab/>
      </w:r>
      <w:r>
        <w:tab/>
      </w:r>
      <w:proofErr w:type="gramStart"/>
      <w:r>
        <w:t>So</w:t>
      </w:r>
      <w:proofErr w:type="gramEnd"/>
      <w:r>
        <w:t xml:space="preserve"> Cancer is divided from Capricorn</w:t>
      </w:r>
    </w:p>
    <w:p w14:paraId="6D2F1ADD" w14:textId="48E50089" w:rsidR="000E4754" w:rsidRDefault="005F6680" w:rsidP="00D55A7C">
      <w:pPr>
        <w:spacing w:line="480" w:lineRule="auto"/>
        <w:jc w:val="both"/>
      </w:pPr>
      <w:r>
        <w:tab/>
      </w:r>
      <w:r>
        <w:tab/>
      </w:r>
      <w:r>
        <w:tab/>
      </w:r>
      <w:r w:rsidR="006B2482">
        <w:tab/>
      </w:r>
      <w:r w:rsidR="006B2482">
        <w:tab/>
      </w:r>
      <w:r w:rsidR="006B2482">
        <w:tab/>
      </w:r>
    </w:p>
    <w:p w14:paraId="20895C2E" w14:textId="53658AA3" w:rsidR="00083F49" w:rsidRDefault="00C549FC" w:rsidP="00D55A7C">
      <w:pPr>
        <w:spacing w:line="480" w:lineRule="auto"/>
        <w:jc w:val="both"/>
      </w:pPr>
      <w:r>
        <w:t>Savile has taken these lines from Cicero’s translation</w:t>
      </w:r>
      <w:r w:rsidR="007B01D2">
        <w:t xml:space="preserve"> of Aratus, which in the sixteenth century was </w:t>
      </w:r>
      <w:r w:rsidR="00D31C39">
        <w:t>reproduced in at least some editions of Cicero’s works, including, for example, that printed at London in 1584 by Thomas Vau</w:t>
      </w:r>
      <w:r w:rsidR="00320E38">
        <w:t>trollier.</w:t>
      </w:r>
      <w:r w:rsidR="00320E38">
        <w:rPr>
          <w:rStyle w:val="FootnoteReference"/>
        </w:rPr>
        <w:footnoteReference w:id="77"/>
      </w:r>
      <w:r w:rsidR="00113951">
        <w:t xml:space="preserve"> </w:t>
      </w:r>
      <w:r w:rsidR="00665DC8">
        <w:t>There are then four voices present in this page of Savile’s translation: two Greek,</w:t>
      </w:r>
      <w:r w:rsidR="00113951">
        <w:t xml:space="preserve"> namely those of</w:t>
      </w:r>
      <w:r w:rsidR="00665DC8">
        <w:t xml:space="preserve"> </w:t>
      </w:r>
      <w:r w:rsidR="00122D7F">
        <w:t xml:space="preserve">Geminus and Aratus, </w:t>
      </w:r>
      <w:r w:rsidR="00665DC8">
        <w:t xml:space="preserve">working in verse and prose respectively, and </w:t>
      </w:r>
      <w:r w:rsidR="00113951">
        <w:t xml:space="preserve">of </w:t>
      </w:r>
      <w:r w:rsidR="00665DC8">
        <w:t>two translators,</w:t>
      </w:r>
      <w:r w:rsidR="00122D7F">
        <w:t xml:space="preserve"> Cicero and Savile,</w:t>
      </w:r>
      <w:r w:rsidR="00665DC8">
        <w:t xml:space="preserve"> refashioning the Greek originals </w:t>
      </w:r>
      <w:r w:rsidR="00665DC8">
        <w:lastRenderedPageBreak/>
        <w:t xml:space="preserve">into Latin over 1600 years apart. </w:t>
      </w:r>
      <w:r w:rsidR="00DB2A7F">
        <w:t xml:space="preserve">Savile acknowledges his debt to Cicero in the accompanying notes: </w:t>
      </w:r>
      <w:r w:rsidR="006A3843">
        <w:t>‘</w:t>
      </w:r>
      <w:proofErr w:type="spellStart"/>
      <w:r w:rsidR="00665DC8">
        <w:t>Ciceronis</w:t>
      </w:r>
      <w:proofErr w:type="spellEnd"/>
      <w:r w:rsidR="00665DC8">
        <w:t xml:space="preserve">: </w:t>
      </w:r>
      <w:proofErr w:type="spellStart"/>
      <w:r w:rsidR="00665DC8">
        <w:t>cuius</w:t>
      </w:r>
      <w:proofErr w:type="spellEnd"/>
      <w:r w:rsidR="00665DC8">
        <w:t xml:space="preserve"> [versus] hoc </w:t>
      </w:r>
      <w:proofErr w:type="spellStart"/>
      <w:r w:rsidR="00665DC8">
        <w:t>habent</w:t>
      </w:r>
      <w:proofErr w:type="spellEnd"/>
      <w:r w:rsidR="00665DC8">
        <w:t xml:space="preserve"> </w:t>
      </w:r>
      <w:proofErr w:type="spellStart"/>
      <w:r w:rsidR="00665DC8">
        <w:t>etiam</w:t>
      </w:r>
      <w:proofErr w:type="spellEnd"/>
      <w:r w:rsidR="00665DC8">
        <w:t xml:space="preserve">, </w:t>
      </w:r>
      <w:proofErr w:type="spellStart"/>
      <w:r w:rsidR="00665DC8">
        <w:t>ut</w:t>
      </w:r>
      <w:proofErr w:type="spellEnd"/>
      <w:r w:rsidR="00665DC8">
        <w:t xml:space="preserve"> </w:t>
      </w:r>
      <w:proofErr w:type="spellStart"/>
      <w:r w:rsidR="00665DC8">
        <w:t>mali</w:t>
      </w:r>
      <w:proofErr w:type="spellEnd"/>
      <w:r w:rsidR="00665DC8">
        <w:t xml:space="preserve"> </w:t>
      </w:r>
      <w:proofErr w:type="spellStart"/>
      <w:r w:rsidR="00665DC8">
        <w:t>sint</w:t>
      </w:r>
      <w:proofErr w:type="spellEnd"/>
      <w:r w:rsidR="00665DC8">
        <w:t xml:space="preserve">, et </w:t>
      </w:r>
      <w:proofErr w:type="spellStart"/>
      <w:r w:rsidR="00665DC8">
        <w:t>Graeca</w:t>
      </w:r>
      <w:proofErr w:type="spellEnd"/>
      <w:r w:rsidR="00665DC8">
        <w:t xml:space="preserve"> </w:t>
      </w:r>
      <w:r w:rsidR="00794F9F">
        <w:t>n</w:t>
      </w:r>
      <w:r w:rsidR="00665DC8">
        <w:t xml:space="preserve">on </w:t>
      </w:r>
      <w:proofErr w:type="spellStart"/>
      <w:r w:rsidR="00665DC8">
        <w:t>exprimant</w:t>
      </w:r>
      <w:proofErr w:type="spellEnd"/>
      <w:r w:rsidR="00665DC8">
        <w:t>’</w:t>
      </w:r>
      <w:r w:rsidR="00122D7F">
        <w:t xml:space="preserve"> (‘Cicero’s </w:t>
      </w:r>
      <w:r w:rsidR="00BF5566">
        <w:t>words, whose verse has this phrasing, though they are poor, and do not express the Greek’)</w:t>
      </w:r>
      <w:r w:rsidR="00665DC8">
        <w:t>.</w:t>
      </w:r>
      <w:r w:rsidR="00665DC8">
        <w:rPr>
          <w:rStyle w:val="FootnoteReference"/>
        </w:rPr>
        <w:footnoteReference w:id="78"/>
      </w:r>
      <w:r w:rsidR="00665DC8">
        <w:t xml:space="preserve"> It is not immediately clear why Savile has included verse which was in his view </w:t>
      </w:r>
      <w:r w:rsidR="00BF57BB">
        <w:t>of poor quality</w:t>
      </w:r>
      <w:r w:rsidR="00665DC8">
        <w:t xml:space="preserve"> and which insufficiently conveyed the sense of the original. It was perhaps for convenience</w:t>
      </w:r>
      <w:r w:rsidR="00BF5566">
        <w:t xml:space="preserve"> alone</w:t>
      </w:r>
      <w:r w:rsidR="00541764">
        <w:t xml:space="preserve"> </w:t>
      </w:r>
      <w:r w:rsidR="00665DC8">
        <w:t>that he drew from Cicero here and on the following page</w:t>
      </w:r>
      <w:r w:rsidR="009B3CFE">
        <w:t>.</w:t>
      </w:r>
      <w:r w:rsidR="009B3CFE">
        <w:rPr>
          <w:rStyle w:val="FootnoteReference"/>
        </w:rPr>
        <w:footnoteReference w:id="79"/>
      </w:r>
      <w:r w:rsidR="001F12EA">
        <w:t xml:space="preserve"> </w:t>
      </w:r>
      <w:r w:rsidR="00154CC7">
        <w:t xml:space="preserve">In the chapter ‘De Ortu et </w:t>
      </w:r>
      <w:proofErr w:type="spellStart"/>
      <w:r w:rsidR="00154CC7">
        <w:t>Occasu</w:t>
      </w:r>
      <w:proofErr w:type="spellEnd"/>
      <w:r w:rsidR="00154CC7">
        <w:t>’</w:t>
      </w:r>
      <w:r w:rsidR="00083F49">
        <w:t xml:space="preserve">, he </w:t>
      </w:r>
      <w:r w:rsidR="00154CC7">
        <w:t xml:space="preserve">also </w:t>
      </w:r>
      <w:r w:rsidR="00083F49">
        <w:t xml:space="preserve">flags up his debt to </w:t>
      </w:r>
      <w:r w:rsidR="00FD72F0">
        <w:t xml:space="preserve">another Latin translation of Aratus, namely that </w:t>
      </w:r>
      <w:r w:rsidR="00154CC7">
        <w:t>of</w:t>
      </w:r>
      <w:r w:rsidR="00FD72F0">
        <w:t xml:space="preserve"> </w:t>
      </w:r>
      <w:r w:rsidR="00154CC7">
        <w:t xml:space="preserve">Caesar </w:t>
      </w:r>
      <w:r w:rsidR="00FD72F0">
        <w:t xml:space="preserve">Germanicus, </w:t>
      </w:r>
      <w:r w:rsidR="00154CC7">
        <w:t xml:space="preserve">though again </w:t>
      </w:r>
      <w:r w:rsidR="001F12EA">
        <w:t xml:space="preserve">he </w:t>
      </w:r>
      <w:r w:rsidR="00154CC7">
        <w:t>expresses his misgivings: ‘</w:t>
      </w:r>
      <w:proofErr w:type="spellStart"/>
      <w:r w:rsidR="00154CC7">
        <w:t>Germanici</w:t>
      </w:r>
      <w:proofErr w:type="spellEnd"/>
      <w:r w:rsidR="00154CC7">
        <w:t xml:space="preserve">, </w:t>
      </w:r>
      <w:proofErr w:type="spellStart"/>
      <w:r w:rsidR="00154CC7">
        <w:t>sed</w:t>
      </w:r>
      <w:proofErr w:type="spellEnd"/>
      <w:r w:rsidR="00154CC7">
        <w:t xml:space="preserve"> not </w:t>
      </w:r>
      <w:proofErr w:type="spellStart"/>
      <w:r w:rsidR="00154CC7">
        <w:t>satis</w:t>
      </w:r>
      <w:proofErr w:type="spellEnd"/>
      <w:r w:rsidR="00154CC7">
        <w:t xml:space="preserve"> </w:t>
      </w:r>
      <w:proofErr w:type="spellStart"/>
      <w:r w:rsidR="00154CC7">
        <w:t>explicant</w:t>
      </w:r>
      <w:proofErr w:type="spellEnd"/>
      <w:r w:rsidR="00154CC7">
        <w:t xml:space="preserve"> </w:t>
      </w:r>
      <w:proofErr w:type="spellStart"/>
      <w:r w:rsidR="00154CC7">
        <w:t>Græca</w:t>
      </w:r>
      <w:proofErr w:type="spellEnd"/>
      <w:r w:rsidR="00154CC7">
        <w:t>’ (</w:t>
      </w:r>
      <w:r w:rsidR="003A7809">
        <w:t>‘</w:t>
      </w:r>
      <w:r w:rsidR="00154CC7">
        <w:t>Germanicus’s [words], but they do not adequately express the Greek</w:t>
      </w:r>
      <w:r w:rsidR="003A7809">
        <w:t>’</w:t>
      </w:r>
      <w:r w:rsidR="00154CC7">
        <w:t>).</w:t>
      </w:r>
      <w:r w:rsidR="00154CC7">
        <w:rPr>
          <w:rStyle w:val="FootnoteReference"/>
        </w:rPr>
        <w:footnoteReference w:id="80"/>
      </w:r>
    </w:p>
    <w:p w14:paraId="44473DF2" w14:textId="4CCB177E" w:rsidR="004E0A66" w:rsidRDefault="004E0A66" w:rsidP="00D55A7C">
      <w:pPr>
        <w:spacing w:line="480" w:lineRule="auto"/>
        <w:ind w:firstLine="720"/>
        <w:jc w:val="both"/>
      </w:pPr>
      <w:r>
        <w:t>On at least one occasion, however, Savile appears to have furnished his own</w:t>
      </w:r>
      <w:r w:rsidR="006B5777">
        <w:t xml:space="preserve"> translation of Greek</w:t>
      </w:r>
      <w:r>
        <w:t xml:space="preserve"> verse. In Chapter VI, ‘De </w:t>
      </w:r>
      <w:proofErr w:type="spellStart"/>
      <w:r>
        <w:t>Mensibus</w:t>
      </w:r>
      <w:proofErr w:type="spellEnd"/>
      <w:r>
        <w:t>’, Geminus discusses the division of the years and months according to the cycles of the sun and moon respectively</w:t>
      </w:r>
      <w:r w:rsidR="00007464">
        <w:t>.</w:t>
      </w:r>
    </w:p>
    <w:p w14:paraId="3C536577" w14:textId="66686683" w:rsidR="004E0A66" w:rsidRDefault="004E0A66" w:rsidP="00D55A7C">
      <w:pPr>
        <w:spacing w:line="480" w:lineRule="auto"/>
        <w:jc w:val="both"/>
      </w:pPr>
    </w:p>
    <w:p w14:paraId="4E319917" w14:textId="53E6B986" w:rsidR="004E0A66" w:rsidRDefault="004E0A66" w:rsidP="00D55A7C">
      <w:pPr>
        <w:spacing w:line="480" w:lineRule="auto"/>
        <w:ind w:left="720"/>
        <w:jc w:val="both"/>
      </w:pPr>
      <w:proofErr w:type="spellStart"/>
      <w:r>
        <w:t>Atque</w:t>
      </w:r>
      <w:proofErr w:type="spellEnd"/>
      <w:r>
        <w:t xml:space="preserve"> </w:t>
      </w:r>
      <w:proofErr w:type="spellStart"/>
      <w:r>
        <w:t>hisce</w:t>
      </w:r>
      <w:proofErr w:type="spellEnd"/>
      <w:r>
        <w:t xml:space="preserve"> similia sunt </w:t>
      </w:r>
      <w:proofErr w:type="spellStart"/>
      <w:r>
        <w:t>quæ</w:t>
      </w:r>
      <w:proofErr w:type="spellEnd"/>
      <w:r>
        <w:t xml:space="preserve"> ab Arato de </w:t>
      </w:r>
      <w:proofErr w:type="spellStart"/>
      <w:r>
        <w:t>dierum</w:t>
      </w:r>
      <w:proofErr w:type="spellEnd"/>
      <w:r>
        <w:t xml:space="preserve"> </w:t>
      </w:r>
      <w:proofErr w:type="spellStart"/>
      <w:r>
        <w:t>ap</w:t>
      </w:r>
      <w:r w:rsidR="003760CD">
        <w:t>p</w:t>
      </w:r>
      <w:r>
        <w:t>ellationibus</w:t>
      </w:r>
      <w:proofErr w:type="spellEnd"/>
      <w:r>
        <w:t xml:space="preserve"> </w:t>
      </w:r>
      <w:proofErr w:type="spellStart"/>
      <w:r>
        <w:t>scribuntur</w:t>
      </w:r>
      <w:proofErr w:type="spellEnd"/>
      <w:r>
        <w:t>, hoc modo:</w:t>
      </w:r>
    </w:p>
    <w:p w14:paraId="10182B72" w14:textId="3D3F741B" w:rsidR="004E0A66" w:rsidRDefault="004E0A66" w:rsidP="00D55A7C">
      <w:pPr>
        <w:spacing w:line="480" w:lineRule="auto"/>
        <w:jc w:val="both"/>
      </w:pPr>
    </w:p>
    <w:p w14:paraId="4655FCFC" w14:textId="5CBA522F" w:rsidR="004E0A66" w:rsidRDefault="004E0A66" w:rsidP="00D55A7C">
      <w:pPr>
        <w:spacing w:line="480" w:lineRule="auto"/>
        <w:jc w:val="both"/>
      </w:pPr>
      <w:r>
        <w:tab/>
      </w:r>
      <w:r>
        <w:tab/>
      </w:r>
      <w:proofErr w:type="spellStart"/>
      <w:r>
        <w:t>Nonne</w:t>
      </w:r>
      <w:proofErr w:type="spellEnd"/>
      <w:r>
        <w:t xml:space="preserve"> </w:t>
      </w:r>
      <w:proofErr w:type="spellStart"/>
      <w:r>
        <w:t>uides</w:t>
      </w:r>
      <w:proofErr w:type="spellEnd"/>
      <w:r>
        <w:t xml:space="preserve"> </w:t>
      </w:r>
      <w:r w:rsidR="00007464">
        <w:t xml:space="preserve">primo cum </w:t>
      </w:r>
      <w:r w:rsidR="00151232">
        <w:t>Phoeb</w:t>
      </w:r>
      <w:r w:rsidR="00411790">
        <w:t>e</w:t>
      </w:r>
      <w:r w:rsidR="00151232">
        <w:t xml:space="preserve"> in cornua </w:t>
      </w:r>
      <w:proofErr w:type="spellStart"/>
      <w:r w:rsidR="00151232">
        <w:t>surgit</w:t>
      </w:r>
      <w:proofErr w:type="spellEnd"/>
    </w:p>
    <w:p w14:paraId="04672E7F" w14:textId="4DFA7B25" w:rsidR="00151232" w:rsidRDefault="00151232" w:rsidP="00D55A7C">
      <w:pPr>
        <w:spacing w:line="480" w:lineRule="auto"/>
        <w:jc w:val="both"/>
      </w:pPr>
      <w:r>
        <w:tab/>
      </w:r>
      <w:r>
        <w:tab/>
      </w:r>
      <w:r w:rsidR="005B65E3">
        <w:t xml:space="preserve">Tenuia, et </w:t>
      </w:r>
      <w:proofErr w:type="spellStart"/>
      <w:r w:rsidR="005B65E3">
        <w:t>angusto</w:t>
      </w:r>
      <w:proofErr w:type="spellEnd"/>
      <w:r w:rsidR="005B65E3">
        <w:t xml:space="preserve"> lumen </w:t>
      </w:r>
      <w:proofErr w:type="spellStart"/>
      <w:r w:rsidR="005B65E3">
        <w:t>iacit</w:t>
      </w:r>
      <w:proofErr w:type="spellEnd"/>
      <w:r w:rsidR="005B65E3">
        <w:t xml:space="preserve"> ore per </w:t>
      </w:r>
      <w:proofErr w:type="spellStart"/>
      <w:r w:rsidR="005B65E3">
        <w:t>aetheram</w:t>
      </w:r>
      <w:proofErr w:type="spellEnd"/>
    </w:p>
    <w:p w14:paraId="1D5317F4" w14:textId="0B762C52" w:rsidR="005B65E3" w:rsidRDefault="005B65E3" w:rsidP="00D55A7C">
      <w:pPr>
        <w:spacing w:line="480" w:lineRule="auto"/>
        <w:jc w:val="both"/>
      </w:pPr>
      <w:r>
        <w:tab/>
      </w:r>
      <w:r>
        <w:tab/>
      </w:r>
      <w:proofErr w:type="spellStart"/>
      <w:r>
        <w:t>Decedente</w:t>
      </w:r>
      <w:proofErr w:type="spellEnd"/>
      <w:r>
        <w:t xml:space="preserve"> die, </w:t>
      </w:r>
      <w:proofErr w:type="spellStart"/>
      <w:r>
        <w:t>pronoque</w:t>
      </w:r>
      <w:proofErr w:type="spellEnd"/>
      <w:r>
        <w:t xml:space="preserve"> ab </w:t>
      </w:r>
      <w:proofErr w:type="spellStart"/>
      <w:r>
        <w:t>tramite</w:t>
      </w:r>
      <w:proofErr w:type="spellEnd"/>
      <w:r>
        <w:t xml:space="preserve"> </w:t>
      </w:r>
      <w:proofErr w:type="spellStart"/>
      <w:r>
        <w:t>solis</w:t>
      </w:r>
      <w:proofErr w:type="spellEnd"/>
      <w:r>
        <w:t>,</w:t>
      </w:r>
    </w:p>
    <w:p w14:paraId="4F8F0D92" w14:textId="2EE9AB40" w:rsidR="005B65E3" w:rsidRDefault="005B65E3" w:rsidP="00D55A7C">
      <w:pPr>
        <w:spacing w:line="480" w:lineRule="auto"/>
        <w:jc w:val="both"/>
      </w:pPr>
      <w:r>
        <w:tab/>
      </w:r>
      <w:r>
        <w:tab/>
        <w:t xml:space="preserve">Promat </w:t>
      </w:r>
      <w:proofErr w:type="spellStart"/>
      <w:r>
        <w:t>ut</w:t>
      </w:r>
      <w:proofErr w:type="spellEnd"/>
      <w:r>
        <w:t xml:space="preserve"> </w:t>
      </w:r>
      <w:proofErr w:type="spellStart"/>
      <w:r>
        <w:t>ingress</w:t>
      </w:r>
      <w:r w:rsidR="00B64D98">
        <w:t>i</w:t>
      </w:r>
      <w:proofErr w:type="spellEnd"/>
      <w:r>
        <w:t xml:space="preserve"> </w:t>
      </w:r>
      <w:r w:rsidR="00083F49">
        <w:t>[indecipherable]</w:t>
      </w:r>
      <w:r>
        <w:t xml:space="preserve"> </w:t>
      </w:r>
      <w:proofErr w:type="spellStart"/>
      <w:r>
        <w:t>tibi</w:t>
      </w:r>
      <w:proofErr w:type="spellEnd"/>
      <w:r>
        <w:t xml:space="preserve"> </w:t>
      </w:r>
      <w:proofErr w:type="spellStart"/>
      <w:r>
        <w:t>mensis</w:t>
      </w:r>
      <w:proofErr w:type="spellEnd"/>
      <w:r>
        <w:t>?</w:t>
      </w:r>
    </w:p>
    <w:p w14:paraId="4BBC52E2" w14:textId="1BCC4B9A" w:rsidR="005B65E3" w:rsidRDefault="005B65E3" w:rsidP="00D55A7C">
      <w:pPr>
        <w:spacing w:line="480" w:lineRule="auto"/>
        <w:jc w:val="both"/>
      </w:pPr>
      <w:r>
        <w:tab/>
      </w:r>
      <w:r>
        <w:tab/>
        <w:t xml:space="preserve">luce </w:t>
      </w:r>
      <w:proofErr w:type="spellStart"/>
      <w:r>
        <w:t>etenim</w:t>
      </w:r>
      <w:proofErr w:type="spellEnd"/>
      <w:r>
        <w:t xml:space="preserve"> </w:t>
      </w:r>
      <w:proofErr w:type="spellStart"/>
      <w:r>
        <w:t>quarta</w:t>
      </w:r>
      <w:proofErr w:type="spellEnd"/>
      <w:r>
        <w:t xml:space="preserve"> </w:t>
      </w:r>
      <w:proofErr w:type="spellStart"/>
      <w:r>
        <w:t>languentes</w:t>
      </w:r>
      <w:proofErr w:type="spellEnd"/>
      <w:r>
        <w:t xml:space="preserve"> </w:t>
      </w:r>
      <w:proofErr w:type="spellStart"/>
      <w:r>
        <w:t>proijict</w:t>
      </w:r>
      <w:proofErr w:type="spellEnd"/>
      <w:r>
        <w:t xml:space="preserve"> </w:t>
      </w:r>
      <w:proofErr w:type="spellStart"/>
      <w:r>
        <w:t>umbras</w:t>
      </w:r>
      <w:proofErr w:type="spellEnd"/>
      <w:r>
        <w:t xml:space="preserve">, </w:t>
      </w:r>
    </w:p>
    <w:p w14:paraId="077D1BDB" w14:textId="47038959" w:rsidR="005B65E3" w:rsidRDefault="005B65E3" w:rsidP="00D55A7C">
      <w:pPr>
        <w:spacing w:line="480" w:lineRule="auto"/>
        <w:jc w:val="both"/>
      </w:pPr>
      <w:r>
        <w:lastRenderedPageBreak/>
        <w:tab/>
      </w:r>
      <w:r>
        <w:tab/>
        <w:t xml:space="preserve">Circulus </w:t>
      </w:r>
      <w:proofErr w:type="spellStart"/>
      <w:r>
        <w:t>octaua</w:t>
      </w:r>
      <w:proofErr w:type="spellEnd"/>
      <w:r>
        <w:t xml:space="preserve"> medius </w:t>
      </w:r>
      <w:proofErr w:type="spellStart"/>
      <w:r>
        <w:t>splendere</w:t>
      </w:r>
      <w:proofErr w:type="spellEnd"/>
      <w:r>
        <w:t xml:space="preserve"> </w:t>
      </w:r>
      <w:proofErr w:type="spellStart"/>
      <w:proofErr w:type="gramStart"/>
      <w:r>
        <w:t>uidetur</w:t>
      </w:r>
      <w:proofErr w:type="spellEnd"/>
      <w:r>
        <w:t>;</w:t>
      </w:r>
      <w:proofErr w:type="gramEnd"/>
    </w:p>
    <w:p w14:paraId="6DB90008" w14:textId="29EA9D8F" w:rsidR="005B65E3" w:rsidRDefault="005B65E3" w:rsidP="00D55A7C">
      <w:pPr>
        <w:spacing w:line="480" w:lineRule="auto"/>
        <w:jc w:val="both"/>
      </w:pPr>
      <w:r>
        <w:tab/>
      </w:r>
      <w:r>
        <w:tab/>
        <w:t xml:space="preserve">At </w:t>
      </w:r>
      <w:proofErr w:type="spellStart"/>
      <w:r>
        <w:t>quintadecima</w:t>
      </w:r>
      <w:proofErr w:type="spellEnd"/>
      <w:r>
        <w:t xml:space="preserve"> pleno </w:t>
      </w:r>
      <w:proofErr w:type="spellStart"/>
      <w:r>
        <w:t>nitet</w:t>
      </w:r>
      <w:proofErr w:type="spellEnd"/>
      <w:r>
        <w:t xml:space="preserve"> integer ore,</w:t>
      </w:r>
    </w:p>
    <w:p w14:paraId="28AB4B18" w14:textId="72EFCE61" w:rsidR="005B65E3" w:rsidRDefault="005B65E3" w:rsidP="00D55A7C">
      <w:pPr>
        <w:spacing w:line="480" w:lineRule="auto"/>
        <w:jc w:val="both"/>
      </w:pPr>
      <w:r>
        <w:tab/>
      </w:r>
      <w:r>
        <w:tab/>
      </w:r>
      <w:proofErr w:type="spellStart"/>
      <w:r>
        <w:t>Atque</w:t>
      </w:r>
      <w:proofErr w:type="spellEnd"/>
      <w:r>
        <w:t xml:space="preserve"> alias </w:t>
      </w:r>
      <w:proofErr w:type="spellStart"/>
      <w:r>
        <w:t>alijs</w:t>
      </w:r>
      <w:proofErr w:type="spellEnd"/>
      <w:r>
        <w:t xml:space="preserve"> </w:t>
      </w:r>
      <w:proofErr w:type="spellStart"/>
      <w:r>
        <w:t>mutatur</w:t>
      </w:r>
      <w:proofErr w:type="spellEnd"/>
      <w:r>
        <w:t xml:space="preserve"> forma </w:t>
      </w:r>
      <w:proofErr w:type="spellStart"/>
      <w:r>
        <w:t>diebus</w:t>
      </w:r>
      <w:proofErr w:type="spellEnd"/>
      <w:r>
        <w:rPr>
          <w:rStyle w:val="FootnoteReference"/>
        </w:rPr>
        <w:footnoteReference w:id="81"/>
      </w:r>
    </w:p>
    <w:p w14:paraId="26271546" w14:textId="25A66FB9" w:rsidR="00147018" w:rsidRDefault="005B65E3" w:rsidP="00D55A7C">
      <w:pPr>
        <w:spacing w:line="480" w:lineRule="auto"/>
        <w:jc w:val="both"/>
      </w:pPr>
      <w:r>
        <w:tab/>
      </w:r>
    </w:p>
    <w:p w14:paraId="56ADC7A6" w14:textId="71C69E99" w:rsidR="00147018" w:rsidRDefault="00147018" w:rsidP="00D55A7C">
      <w:pPr>
        <w:spacing w:line="480" w:lineRule="auto"/>
        <w:jc w:val="both"/>
      </w:pPr>
    </w:p>
    <w:p w14:paraId="6BBF3AE8" w14:textId="32C75815" w:rsidR="00147018" w:rsidRDefault="00147018" w:rsidP="00D55A7C">
      <w:pPr>
        <w:spacing w:line="480" w:lineRule="auto"/>
        <w:ind w:left="720"/>
        <w:jc w:val="both"/>
      </w:pPr>
      <w:r>
        <w:t xml:space="preserve">And similar things to these are written by Aratus on the </w:t>
      </w:r>
      <w:r w:rsidR="003760CD">
        <w:t xml:space="preserve">names of the days, in this way: </w:t>
      </w:r>
    </w:p>
    <w:p w14:paraId="1C9146F0" w14:textId="248AE291" w:rsidR="00147018" w:rsidRDefault="00147018" w:rsidP="00D55A7C">
      <w:pPr>
        <w:spacing w:line="480" w:lineRule="auto"/>
        <w:jc w:val="both"/>
      </w:pPr>
    </w:p>
    <w:p w14:paraId="7897B0B9" w14:textId="4CEE0C1B" w:rsidR="003760CD" w:rsidRDefault="003760CD" w:rsidP="00D55A7C">
      <w:pPr>
        <w:spacing w:line="480" w:lineRule="auto"/>
        <w:jc w:val="both"/>
      </w:pPr>
      <w:r>
        <w:tab/>
      </w:r>
      <w:r>
        <w:tab/>
        <w:t>Do you not see? W</w:t>
      </w:r>
      <w:r w:rsidR="00EB7442">
        <w:t>hen</w:t>
      </w:r>
      <w:r>
        <w:t xml:space="preserve"> first </w:t>
      </w:r>
      <w:r w:rsidR="00E06CBA">
        <w:t xml:space="preserve">the moon </w:t>
      </w:r>
      <w:r>
        <w:t>rises into</w:t>
      </w:r>
      <w:r w:rsidR="00EB7442">
        <w:t xml:space="preserve"> slender</w:t>
      </w:r>
    </w:p>
    <w:p w14:paraId="7F228C58" w14:textId="266078C0" w:rsidR="003760CD" w:rsidRDefault="003760CD" w:rsidP="00D55A7C">
      <w:pPr>
        <w:spacing w:line="480" w:lineRule="auto"/>
        <w:jc w:val="both"/>
      </w:pPr>
      <w:r>
        <w:tab/>
      </w:r>
      <w:r>
        <w:tab/>
        <w:t xml:space="preserve">horns, and from a </w:t>
      </w:r>
      <w:r w:rsidR="00A8043E">
        <w:t>narrow face it casts its light</w:t>
      </w:r>
      <w:r w:rsidR="00EB7442">
        <w:t xml:space="preserve"> through </w:t>
      </w:r>
    </w:p>
    <w:p w14:paraId="6AF919C4" w14:textId="0977EC4C" w:rsidR="00E535F3" w:rsidRDefault="00A8043E" w:rsidP="00D55A7C">
      <w:pPr>
        <w:spacing w:line="480" w:lineRule="auto"/>
        <w:jc w:val="both"/>
      </w:pPr>
      <w:r>
        <w:tab/>
      </w:r>
      <w:r w:rsidR="00E535F3">
        <w:tab/>
      </w:r>
      <w:r>
        <w:t xml:space="preserve">the aether as the day falls back, </w:t>
      </w:r>
      <w:r w:rsidR="00E06CBA">
        <w:t xml:space="preserve">and </w:t>
      </w:r>
      <w:r w:rsidR="00EB7442">
        <w:t xml:space="preserve">from the sun’s </w:t>
      </w:r>
      <w:r w:rsidR="002E5772">
        <w:t>bending</w:t>
      </w:r>
    </w:p>
    <w:p w14:paraId="58B0E6CA" w14:textId="62E5FF26" w:rsidR="002E5772" w:rsidRDefault="002E5772" w:rsidP="00D55A7C">
      <w:pPr>
        <w:spacing w:line="480" w:lineRule="auto"/>
        <w:jc w:val="both"/>
      </w:pPr>
      <w:r>
        <w:tab/>
      </w:r>
      <w:r>
        <w:tab/>
        <w:t xml:space="preserve">track, brings forth the beginning month’s [indecipherable] to </w:t>
      </w:r>
      <w:proofErr w:type="gramStart"/>
      <w:r>
        <w:t>you?</w:t>
      </w:r>
      <w:proofErr w:type="gramEnd"/>
    </w:p>
    <w:p w14:paraId="2C7A3593" w14:textId="540D0251" w:rsidR="002E5772" w:rsidRDefault="002E5772" w:rsidP="00D55A7C">
      <w:pPr>
        <w:spacing w:line="480" w:lineRule="auto"/>
        <w:jc w:val="both"/>
      </w:pPr>
      <w:r>
        <w:tab/>
      </w:r>
      <w:r>
        <w:tab/>
      </w:r>
    </w:p>
    <w:p w14:paraId="6BBD852E" w14:textId="5DFDB816" w:rsidR="007A18A3" w:rsidRDefault="007A18A3" w:rsidP="00D55A7C">
      <w:pPr>
        <w:spacing w:line="480" w:lineRule="auto"/>
        <w:jc w:val="both"/>
      </w:pPr>
      <w:r>
        <w:tab/>
      </w:r>
      <w:r>
        <w:tab/>
        <w:t xml:space="preserve">On the fourth day, the middle of the circle casts </w:t>
      </w:r>
    </w:p>
    <w:p w14:paraId="5F4B8AC0" w14:textId="6539AD15" w:rsidR="007A18A3" w:rsidRDefault="007A18A3" w:rsidP="00D55A7C">
      <w:pPr>
        <w:spacing w:line="480" w:lineRule="auto"/>
        <w:ind w:left="720" w:firstLine="720"/>
        <w:jc w:val="both"/>
      </w:pPr>
      <w:r>
        <w:t xml:space="preserve">feint shadows, </w:t>
      </w:r>
      <w:r w:rsidR="00E612DE">
        <w:t>and on the eight, seems to glisten,</w:t>
      </w:r>
    </w:p>
    <w:p w14:paraId="70B1DFA9" w14:textId="0728687F" w:rsidR="00E612DE" w:rsidRDefault="00E612DE" w:rsidP="00D55A7C">
      <w:pPr>
        <w:spacing w:line="480" w:lineRule="auto"/>
        <w:ind w:left="720" w:firstLine="720"/>
        <w:jc w:val="both"/>
      </w:pPr>
      <w:r>
        <w:t xml:space="preserve">and on the fifteenth it shines, complete with a full face, </w:t>
      </w:r>
    </w:p>
    <w:p w14:paraId="2E248383" w14:textId="2DAF5BC6" w:rsidR="007A18A3" w:rsidRDefault="007A18A3" w:rsidP="00D55A7C">
      <w:pPr>
        <w:spacing w:line="480" w:lineRule="auto"/>
        <w:jc w:val="both"/>
      </w:pPr>
      <w:r>
        <w:tab/>
      </w:r>
      <w:r>
        <w:tab/>
      </w:r>
      <w:r w:rsidR="00E612DE">
        <w:t>and at other times its form is changed by other days</w:t>
      </w:r>
    </w:p>
    <w:p w14:paraId="2F29A3E5" w14:textId="5BFC1007" w:rsidR="000C1063" w:rsidRDefault="000C1063" w:rsidP="00D55A7C">
      <w:pPr>
        <w:spacing w:line="480" w:lineRule="auto"/>
        <w:jc w:val="both"/>
      </w:pPr>
    </w:p>
    <w:p w14:paraId="6FFFBF85" w14:textId="49A1F33A" w:rsidR="00DD1D5E" w:rsidRDefault="00F47081" w:rsidP="00D55A7C">
      <w:pPr>
        <w:spacing w:line="480" w:lineRule="auto"/>
        <w:jc w:val="both"/>
      </w:pPr>
      <w:r>
        <w:t>This is the exception, however, and for the most part Savile preferred to draw on Cicero and Germanicus when he could.</w:t>
      </w:r>
      <w:r w:rsidR="00B65160">
        <w:rPr>
          <w:rStyle w:val="FootnoteReference"/>
        </w:rPr>
        <w:footnoteReference w:id="82"/>
      </w:r>
      <w:r>
        <w:t xml:space="preserve"> </w:t>
      </w:r>
    </w:p>
    <w:p w14:paraId="091D11F8" w14:textId="49904B96" w:rsidR="00731571" w:rsidRDefault="001A3A69" w:rsidP="00D55A7C">
      <w:pPr>
        <w:spacing w:line="480" w:lineRule="auto"/>
        <w:ind w:firstLine="720"/>
        <w:jc w:val="both"/>
      </w:pPr>
      <w:r>
        <w:lastRenderedPageBreak/>
        <w:t xml:space="preserve">Savile appears to have been translating Geminus’s </w:t>
      </w:r>
      <w:r w:rsidR="008D58EE">
        <w:t>quotations from Greek prose as he</w:t>
      </w:r>
      <w:r w:rsidR="00EC4F9E">
        <w:t xml:space="preserve"> </w:t>
      </w:r>
      <w:proofErr w:type="gramStart"/>
      <w:r w:rsidR="00EC4F9E">
        <w:t>proceeded</w:t>
      </w:r>
      <w:r w:rsidR="008D58EE">
        <w:t>, but</w:t>
      </w:r>
      <w:proofErr w:type="gramEnd"/>
      <w:r w:rsidR="008D58EE">
        <w:t xml:space="preserve"> was more cautious with the translation of verse. We might </w:t>
      </w:r>
      <w:r w:rsidR="003C373C">
        <w:t>consider</w:t>
      </w:r>
      <w:r w:rsidR="008D58EE">
        <w:t xml:space="preserve">, for example, his treatment of Homer in Chapter V, </w:t>
      </w:r>
      <w:r w:rsidR="00D754A6">
        <w:t xml:space="preserve">‘De Die et Nocte’. </w:t>
      </w:r>
      <w:r w:rsidR="00B10C79">
        <w:t>Having noted the variation in day length between cities in the northern hemisphere and those further south, Geminus</w:t>
      </w:r>
      <w:r w:rsidR="00586809">
        <w:t xml:space="preserve"> cites</w:t>
      </w:r>
      <w:r w:rsidR="000647E8">
        <w:t xml:space="preserve"> </w:t>
      </w:r>
      <w:r w:rsidR="00586809">
        <w:t xml:space="preserve">first </w:t>
      </w:r>
      <w:r w:rsidR="000647E8">
        <w:t xml:space="preserve">the account </w:t>
      </w:r>
      <w:r w:rsidR="00586809">
        <w:t xml:space="preserve">provided by Pytheas of Massalia, and second, Crates’s own citation of the Odyssey: </w:t>
      </w:r>
    </w:p>
    <w:p w14:paraId="6620ED07" w14:textId="183206CD" w:rsidR="00B10C79" w:rsidRDefault="00B10C79" w:rsidP="00D55A7C">
      <w:pPr>
        <w:spacing w:line="480" w:lineRule="auto"/>
        <w:jc w:val="both"/>
      </w:pPr>
    </w:p>
    <w:p w14:paraId="523BB778" w14:textId="45BA7110" w:rsidR="00B10C79" w:rsidRDefault="00B10C79" w:rsidP="00D55A7C">
      <w:pPr>
        <w:spacing w:line="480" w:lineRule="auto"/>
        <w:ind w:left="720"/>
        <w:jc w:val="both"/>
      </w:pPr>
      <w:proofErr w:type="spellStart"/>
      <w:r>
        <w:t>Etenim</w:t>
      </w:r>
      <w:proofErr w:type="spellEnd"/>
      <w:r>
        <w:t xml:space="preserve"> </w:t>
      </w:r>
      <w:proofErr w:type="spellStart"/>
      <w:r>
        <w:t>ijs</w:t>
      </w:r>
      <w:proofErr w:type="spellEnd"/>
      <w:r>
        <w:t xml:space="preserve"> in </w:t>
      </w:r>
      <w:proofErr w:type="spellStart"/>
      <w:r>
        <w:t>commentarijs</w:t>
      </w:r>
      <w:proofErr w:type="spellEnd"/>
      <w:r>
        <w:t xml:space="preserve">, quos de Oceano </w:t>
      </w:r>
      <w:proofErr w:type="spellStart"/>
      <w:r>
        <w:t>scriptor</w:t>
      </w:r>
      <w:proofErr w:type="spellEnd"/>
      <w:r>
        <w:t xml:space="preserve"> </w:t>
      </w:r>
      <w:proofErr w:type="spellStart"/>
      <w:r>
        <w:t>reliquit</w:t>
      </w:r>
      <w:proofErr w:type="spellEnd"/>
      <w:r>
        <w:t xml:space="preserve">, sic ait: </w:t>
      </w:r>
      <w:r w:rsidR="00B90FF5">
        <w:t>‘</w:t>
      </w:r>
      <w:r>
        <w:t>Monstrab</w:t>
      </w:r>
      <w:r w:rsidR="006371E4">
        <w:t>a</w:t>
      </w:r>
      <w:r>
        <w:t xml:space="preserve">nt nobis </w:t>
      </w:r>
      <w:proofErr w:type="spellStart"/>
      <w:r>
        <w:t>barbari</w:t>
      </w:r>
      <w:proofErr w:type="spellEnd"/>
      <w:r>
        <w:t xml:space="preserve"> </w:t>
      </w:r>
      <w:proofErr w:type="spellStart"/>
      <w:r>
        <w:t>solis</w:t>
      </w:r>
      <w:proofErr w:type="spellEnd"/>
      <w:r>
        <w:t xml:space="preserve"> </w:t>
      </w:r>
      <w:proofErr w:type="spellStart"/>
      <w:r>
        <w:t>cubile</w:t>
      </w:r>
      <w:proofErr w:type="spellEnd"/>
      <w:r>
        <w:t xml:space="preserve"> </w:t>
      </w:r>
      <w:r w:rsidR="00EA5B1C">
        <w:t xml:space="preserve">in quo </w:t>
      </w:r>
      <w:proofErr w:type="spellStart"/>
      <w:r w:rsidR="00EA5B1C">
        <w:t>quiesceret</w:t>
      </w:r>
      <w:proofErr w:type="spellEnd"/>
      <w:r w:rsidR="00EA5B1C">
        <w:t xml:space="preserve">. </w:t>
      </w:r>
      <w:proofErr w:type="spellStart"/>
      <w:r w:rsidR="00EA5B1C">
        <w:t>Etenim</w:t>
      </w:r>
      <w:proofErr w:type="spellEnd"/>
      <w:r w:rsidR="00EA5B1C">
        <w:t xml:space="preserve"> </w:t>
      </w:r>
      <w:proofErr w:type="spellStart"/>
      <w:r w:rsidR="00EA5B1C">
        <w:t>ijs</w:t>
      </w:r>
      <w:proofErr w:type="spellEnd"/>
      <w:r w:rsidR="00EA5B1C">
        <w:t xml:space="preserve"> in </w:t>
      </w:r>
      <w:proofErr w:type="spellStart"/>
      <w:r w:rsidR="00EA5B1C">
        <w:t>locis</w:t>
      </w:r>
      <w:proofErr w:type="spellEnd"/>
      <w:r w:rsidR="00EA5B1C">
        <w:t xml:space="preserve"> </w:t>
      </w:r>
      <w:proofErr w:type="spellStart"/>
      <w:r w:rsidR="00EA5B1C">
        <w:t>nox</w:t>
      </w:r>
      <w:proofErr w:type="spellEnd"/>
      <w:r w:rsidR="00EA5B1C">
        <w:t xml:space="preserve"> </w:t>
      </w:r>
      <w:proofErr w:type="spellStart"/>
      <w:r w:rsidR="00EA5B1C">
        <w:t>omnino</w:t>
      </w:r>
      <w:proofErr w:type="spellEnd"/>
      <w:r w:rsidR="00EA5B1C">
        <w:t xml:space="preserve"> </w:t>
      </w:r>
      <w:proofErr w:type="spellStart"/>
      <w:r w:rsidR="00EA5B1C">
        <w:t>erat</w:t>
      </w:r>
      <w:proofErr w:type="spellEnd"/>
      <w:r w:rsidR="00EA5B1C">
        <w:t xml:space="preserve"> </w:t>
      </w:r>
      <w:proofErr w:type="spellStart"/>
      <w:r w:rsidR="00EA5B1C">
        <w:t>breuissima</w:t>
      </w:r>
      <w:proofErr w:type="spellEnd"/>
      <w:r w:rsidR="00EA5B1C">
        <w:t xml:space="preserve"> </w:t>
      </w:r>
      <w:proofErr w:type="spellStart"/>
      <w:r w:rsidR="00EA5B1C">
        <w:t>horarum</w:t>
      </w:r>
      <w:proofErr w:type="spellEnd"/>
      <w:r w:rsidR="00EA5B1C">
        <w:t xml:space="preserve"> </w:t>
      </w:r>
      <w:proofErr w:type="spellStart"/>
      <w:r w:rsidR="00EA5B1C">
        <w:t>alicubi</w:t>
      </w:r>
      <w:proofErr w:type="spellEnd"/>
      <w:r w:rsidR="00EA5B1C">
        <w:t xml:space="preserve"> </w:t>
      </w:r>
      <w:proofErr w:type="spellStart"/>
      <w:r w:rsidR="00EA5B1C">
        <w:t>trium</w:t>
      </w:r>
      <w:proofErr w:type="spellEnd"/>
      <w:r w:rsidR="00EA5B1C">
        <w:t xml:space="preserve">, </w:t>
      </w:r>
      <w:proofErr w:type="spellStart"/>
      <w:r w:rsidR="00EA5B1C">
        <w:t>alicubi</w:t>
      </w:r>
      <w:proofErr w:type="spellEnd"/>
      <w:r w:rsidR="00EA5B1C">
        <w:t xml:space="preserve"> </w:t>
      </w:r>
      <w:proofErr w:type="spellStart"/>
      <w:r w:rsidR="00EA5B1C">
        <w:t>duar</w:t>
      </w:r>
      <w:r w:rsidR="00EA5B1C" w:rsidRPr="00EA5B1C">
        <w:rPr>
          <w:i/>
          <w:iCs/>
        </w:rPr>
        <w:t>um</w:t>
      </w:r>
      <w:proofErr w:type="spellEnd"/>
      <w:r w:rsidR="00EA5B1C">
        <w:t xml:space="preserve"> </w:t>
      </w:r>
      <w:proofErr w:type="spellStart"/>
      <w:r w:rsidR="00EA5B1C">
        <w:t>ita</w:t>
      </w:r>
      <w:proofErr w:type="spellEnd"/>
      <w:r w:rsidR="00EA5B1C">
        <w:t xml:space="preserve"> it </w:t>
      </w:r>
      <w:proofErr w:type="gramStart"/>
      <w:r w:rsidR="00545921">
        <w:t>post</w:t>
      </w:r>
      <w:proofErr w:type="gramEnd"/>
      <w:r w:rsidR="00545921">
        <w:t xml:space="preserve"> </w:t>
      </w:r>
      <w:proofErr w:type="spellStart"/>
      <w:r w:rsidR="00545921">
        <w:t>occasum</w:t>
      </w:r>
      <w:proofErr w:type="spellEnd"/>
      <w:r w:rsidR="00545921">
        <w:t xml:space="preserve"> </w:t>
      </w:r>
      <w:proofErr w:type="spellStart"/>
      <w:r w:rsidR="00545921">
        <w:t>solis</w:t>
      </w:r>
      <w:proofErr w:type="spellEnd"/>
      <w:r w:rsidR="00545921">
        <w:t xml:space="preserve"> non </w:t>
      </w:r>
      <w:proofErr w:type="spellStart"/>
      <w:r w:rsidR="00545921">
        <w:t>magno</w:t>
      </w:r>
      <w:proofErr w:type="spellEnd"/>
      <w:r w:rsidR="00545921">
        <w:t xml:space="preserve"> intervallo sol </w:t>
      </w:r>
      <w:proofErr w:type="spellStart"/>
      <w:r w:rsidR="00545921">
        <w:t>rursus</w:t>
      </w:r>
      <w:proofErr w:type="spellEnd"/>
      <w:r w:rsidR="00545921">
        <w:t xml:space="preserve"> </w:t>
      </w:r>
      <w:proofErr w:type="spellStart"/>
      <w:r w:rsidR="00545921">
        <w:t>oriretur</w:t>
      </w:r>
      <w:proofErr w:type="spellEnd"/>
      <w:r w:rsidR="00B90FF5">
        <w:t>’</w:t>
      </w:r>
      <w:r w:rsidR="00545921">
        <w:t xml:space="preserve">. </w:t>
      </w:r>
      <w:proofErr w:type="spellStart"/>
      <w:r w:rsidR="00545921">
        <w:t>Quae</w:t>
      </w:r>
      <w:proofErr w:type="spellEnd"/>
      <w:r w:rsidR="00545921">
        <w:t xml:space="preserve"> </w:t>
      </w:r>
      <w:proofErr w:type="spellStart"/>
      <w:r w:rsidR="00545921">
        <w:t>loca</w:t>
      </w:r>
      <w:proofErr w:type="spellEnd"/>
      <w:r w:rsidR="00545921">
        <w:t xml:space="preserve"> Crates Grammaticus ab Homero </w:t>
      </w:r>
      <w:proofErr w:type="spellStart"/>
      <w:r w:rsidR="00545921">
        <w:t>etiam</w:t>
      </w:r>
      <w:proofErr w:type="spellEnd"/>
      <w:r w:rsidR="00545921">
        <w:t xml:space="preserve"> </w:t>
      </w:r>
      <w:proofErr w:type="spellStart"/>
      <w:r w:rsidR="00545921">
        <w:t>commemorari</w:t>
      </w:r>
      <w:proofErr w:type="spellEnd"/>
      <w:r w:rsidR="00545921">
        <w:t xml:space="preserve"> </w:t>
      </w:r>
      <w:proofErr w:type="spellStart"/>
      <w:r w:rsidR="00545921">
        <w:t>putat</w:t>
      </w:r>
      <w:proofErr w:type="spellEnd"/>
      <w:r w:rsidR="00545921">
        <w:t>, apud quem Ulisses sic loquitur</w:t>
      </w:r>
      <w:r w:rsidR="00A02D9F">
        <w:t>…</w:t>
      </w:r>
      <w:r w:rsidR="00545921">
        <w:rPr>
          <w:rStyle w:val="FootnoteReference"/>
        </w:rPr>
        <w:footnoteReference w:id="83"/>
      </w:r>
    </w:p>
    <w:p w14:paraId="2A199070" w14:textId="43EC12E1" w:rsidR="00545921" w:rsidRDefault="00545921" w:rsidP="00D55A7C">
      <w:pPr>
        <w:spacing w:line="480" w:lineRule="auto"/>
        <w:jc w:val="both"/>
      </w:pPr>
    </w:p>
    <w:p w14:paraId="529D2398" w14:textId="22597E81" w:rsidR="00586809" w:rsidRDefault="00586809" w:rsidP="00D55A7C">
      <w:pPr>
        <w:spacing w:line="480" w:lineRule="auto"/>
        <w:ind w:left="720"/>
        <w:jc w:val="both"/>
      </w:pPr>
      <w:r>
        <w:t xml:space="preserve">And </w:t>
      </w:r>
      <w:proofErr w:type="gramStart"/>
      <w:r>
        <w:t>indee</w:t>
      </w:r>
      <w:r w:rsidR="00B96771">
        <w:t>d</w:t>
      </w:r>
      <w:proofErr w:type="gramEnd"/>
      <w:r w:rsidR="00B96771">
        <w:t xml:space="preserve"> in the same commentaries</w:t>
      </w:r>
      <w:r w:rsidR="001E0EFD">
        <w:t xml:space="preserve"> on the Ocean, which the author [Pytheas] left</w:t>
      </w:r>
      <w:r w:rsidR="006371E4">
        <w:t xml:space="preserve">, he speaks thus: </w:t>
      </w:r>
      <w:r w:rsidR="00B90FF5">
        <w:t xml:space="preserve">‘the barbarians </w:t>
      </w:r>
      <w:r w:rsidR="000A6E3A">
        <w:t xml:space="preserve">showed us the sun’s </w:t>
      </w:r>
      <w:r w:rsidR="00C806B9">
        <w:t>bed in which it rested. And in these places the night altogether very short, in one place three hours, in another,</w:t>
      </w:r>
      <w:r w:rsidR="005E73BC">
        <w:t xml:space="preserve"> two hours, so that </w:t>
      </w:r>
      <w:r w:rsidR="00DE16A4">
        <w:t xml:space="preserve">after sunset, the sun rises again with only a small interval’. Crates the Grammarian thinks that </w:t>
      </w:r>
      <w:r w:rsidR="003C373C">
        <w:t>these places are also mentioned by Homer, in whose works Ulysses thus speaks…</w:t>
      </w:r>
    </w:p>
    <w:p w14:paraId="3F65BA61" w14:textId="5E56D109" w:rsidR="00586809" w:rsidRDefault="00586809" w:rsidP="00D55A7C">
      <w:pPr>
        <w:spacing w:line="480" w:lineRule="auto"/>
        <w:jc w:val="both"/>
      </w:pPr>
    </w:p>
    <w:p w14:paraId="2302A469" w14:textId="705E2417" w:rsidR="000C1063" w:rsidRDefault="003C373C" w:rsidP="00D55A7C">
      <w:pPr>
        <w:spacing w:line="480" w:lineRule="auto"/>
        <w:jc w:val="both"/>
      </w:pPr>
      <w:r>
        <w:lastRenderedPageBreak/>
        <w:t>Savile has thus translated the prose of Pytheas, taken from his account of his navigation around the north Atlantic coast of Europe in the 4</w:t>
      </w:r>
      <w:r w:rsidRPr="003C373C">
        <w:rPr>
          <w:vertAlign w:val="superscript"/>
        </w:rPr>
        <w:t>th</w:t>
      </w:r>
      <w:r>
        <w:t xml:space="preserve"> c. BCE. </w:t>
      </w:r>
      <w:r w:rsidR="00545921">
        <w:t>The five lines of verse</w:t>
      </w:r>
      <w:r w:rsidR="00B06353">
        <w:t xml:space="preserve"> which Geminus quotes from the </w:t>
      </w:r>
      <w:r w:rsidR="00B06353" w:rsidRPr="00B06353">
        <w:rPr>
          <w:i/>
          <w:iCs/>
        </w:rPr>
        <w:t>Odyssey</w:t>
      </w:r>
      <w:r w:rsidR="005716D7">
        <w:t xml:space="preserve"> Book 10 </w:t>
      </w:r>
      <w:r w:rsidR="00B06353">
        <w:t>are</w:t>
      </w:r>
      <w:r w:rsidR="00545921">
        <w:t xml:space="preserve">, </w:t>
      </w:r>
      <w:r w:rsidR="00B06353">
        <w:t xml:space="preserve">however, </w:t>
      </w:r>
      <w:r w:rsidR="00545921">
        <w:t>missin</w:t>
      </w:r>
      <w:r w:rsidR="00B06353">
        <w:t xml:space="preserve">g in Savile’s translation. </w:t>
      </w:r>
      <w:r w:rsidR="00544B84">
        <w:t>This anticipates a similar practice in the preparation of Henry Savile’s Tacitus. In an early fair copy of the translation and commentary preserved at the Folger Library, Washington, the quotations from Greek have been consistently left blank, ready to be completed at a later date.</w:t>
      </w:r>
      <w:r w:rsidR="00544B84">
        <w:rPr>
          <w:rStyle w:val="FootnoteReference"/>
        </w:rPr>
        <w:footnoteReference w:id="84"/>
      </w:r>
      <w:r w:rsidR="00544B84">
        <w:t xml:space="preserve"> </w:t>
      </w:r>
      <w:r w:rsidR="005716D7">
        <w:t>Curiously, in the paraphrase and discussion of these lines that follow, in which Crates</w:t>
      </w:r>
      <w:r w:rsidR="002C448C">
        <w:t>, the Stoic philosopher and grammarian responsible for a now lost commentary on Homer,</w:t>
      </w:r>
      <w:r w:rsidR="005716D7">
        <w:t xml:space="preserve"> posits Homer’s appreciation of mathematics, Savile retains </w:t>
      </w:r>
      <w:r w:rsidR="00D61938">
        <w:t>a</w:t>
      </w:r>
      <w:r w:rsidR="005716D7">
        <w:t xml:space="preserve"> line of verse</w:t>
      </w:r>
      <w:r w:rsidR="00D61938">
        <w:t xml:space="preserve"> in Greek</w:t>
      </w:r>
      <w:r w:rsidR="005716D7">
        <w:t xml:space="preserve">: </w:t>
      </w:r>
      <w:r w:rsidR="001D0A28">
        <w:t>‘</w:t>
      </w:r>
      <w:proofErr w:type="spellStart"/>
      <w:r w:rsidR="001D0A28" w:rsidRPr="001D0A28">
        <w:t>causam</w:t>
      </w:r>
      <w:proofErr w:type="spellEnd"/>
      <w:r w:rsidR="001D0A28" w:rsidRPr="001D0A28">
        <w:t xml:space="preserve"> </w:t>
      </w:r>
      <w:proofErr w:type="spellStart"/>
      <w:r w:rsidR="001D0A28" w:rsidRPr="001D0A28">
        <w:t>deinde</w:t>
      </w:r>
      <w:proofErr w:type="spellEnd"/>
      <w:r w:rsidR="001D0A28" w:rsidRPr="001D0A28">
        <w:t xml:space="preserve"> </w:t>
      </w:r>
      <w:proofErr w:type="spellStart"/>
      <w:r w:rsidR="001D0A28" w:rsidRPr="001D0A28">
        <w:t>affert</w:t>
      </w:r>
      <w:proofErr w:type="spellEnd"/>
      <w:r w:rsidR="001D0A28" w:rsidRPr="001D0A28">
        <w:t xml:space="preserve"> </w:t>
      </w:r>
      <w:proofErr w:type="spellStart"/>
      <w:r w:rsidR="001D0A28" w:rsidRPr="001D0A28">
        <w:t>mathematicam</w:t>
      </w:r>
      <w:proofErr w:type="spellEnd"/>
      <w:r w:rsidR="001D0A28" w:rsidRPr="001D0A28">
        <w:t xml:space="preserve"> </w:t>
      </w:r>
      <w:proofErr w:type="spellStart"/>
      <w:r w:rsidR="001D0A28" w:rsidRPr="001D0A28">
        <w:t>ualde</w:t>
      </w:r>
      <w:proofErr w:type="spellEnd"/>
      <w:r w:rsidR="001D0A28" w:rsidRPr="001D0A28">
        <w:t xml:space="preserve">, et </w:t>
      </w:r>
      <w:proofErr w:type="spellStart"/>
      <w:r w:rsidR="001D0A28" w:rsidRPr="001D0A28">
        <w:t>sphaericis</w:t>
      </w:r>
      <w:proofErr w:type="spellEnd"/>
      <w:r w:rsidR="001D0A28" w:rsidRPr="001D0A28">
        <w:t xml:space="preserve"> </w:t>
      </w:r>
      <w:proofErr w:type="spellStart"/>
      <w:r w:rsidR="001D0A28" w:rsidRPr="001D0A28">
        <w:t>praeceptis</w:t>
      </w:r>
      <w:proofErr w:type="spellEnd"/>
      <w:r w:rsidR="001D0A28" w:rsidRPr="001D0A28">
        <w:t xml:space="preserve"> </w:t>
      </w:r>
      <w:proofErr w:type="spellStart"/>
      <w:r w:rsidR="001D0A28" w:rsidRPr="001D0A28">
        <w:t>congruentem</w:t>
      </w:r>
      <w:proofErr w:type="spellEnd"/>
      <w:r w:rsidR="001D0A28" w:rsidRPr="001D0A28">
        <w:t xml:space="preserve">, </w:t>
      </w:r>
      <w:proofErr w:type="spellStart"/>
      <w:r w:rsidR="001D0A28" w:rsidRPr="001D0A28">
        <w:t>ἐγγὺς</w:t>
      </w:r>
      <w:proofErr w:type="spellEnd"/>
      <w:r w:rsidR="001D0A28" w:rsidRPr="001D0A28">
        <w:t xml:space="preserve"> </w:t>
      </w:r>
      <w:proofErr w:type="spellStart"/>
      <w:r w:rsidR="001D0A28" w:rsidRPr="001D0A28">
        <w:t>γὰρ</w:t>
      </w:r>
      <w:proofErr w:type="spellEnd"/>
      <w:r w:rsidR="001D0A28" w:rsidRPr="001D0A28">
        <w:t xml:space="preserve"> </w:t>
      </w:r>
      <w:proofErr w:type="spellStart"/>
      <w:r w:rsidR="001D0A28" w:rsidRPr="001D0A28">
        <w:t>νυκτός</w:t>
      </w:r>
      <w:proofErr w:type="spellEnd"/>
      <w:r w:rsidR="001D0A28" w:rsidRPr="001D0A28">
        <w:t xml:space="preserve"> </w:t>
      </w:r>
      <w:proofErr w:type="spellStart"/>
      <w:r w:rsidR="001D0A28" w:rsidRPr="001D0A28">
        <w:t>τε</w:t>
      </w:r>
      <w:proofErr w:type="spellEnd"/>
      <w:r w:rsidR="001D0A28" w:rsidRPr="001D0A28">
        <w:t xml:space="preserve"> καὶ </w:t>
      </w:r>
      <w:proofErr w:type="spellStart"/>
      <w:r w:rsidR="001D0A28" w:rsidRPr="001D0A28">
        <w:t>ἤμ</w:t>
      </w:r>
      <w:proofErr w:type="spellEnd"/>
      <w:r w:rsidR="001D0A28" w:rsidRPr="001D0A28">
        <w:t xml:space="preserve">ατός </w:t>
      </w:r>
      <w:proofErr w:type="spellStart"/>
      <w:r w:rsidR="001D0A28" w:rsidRPr="001D0A28">
        <w:t>εἰσι</w:t>
      </w:r>
      <w:proofErr w:type="spellEnd"/>
      <w:r w:rsidR="001D0A28" w:rsidRPr="001D0A28">
        <w:t xml:space="preserve"> </w:t>
      </w:r>
      <w:proofErr w:type="spellStart"/>
      <w:r w:rsidR="001D0A28" w:rsidRPr="001D0A28">
        <w:t>κέλευθοι</w:t>
      </w:r>
      <w:proofErr w:type="spellEnd"/>
      <w:r w:rsidR="001D0A28" w:rsidRPr="001D0A28">
        <w:t xml:space="preserve">: hoc est </w:t>
      </w:r>
      <w:proofErr w:type="spellStart"/>
      <w:r w:rsidR="001D0A28" w:rsidRPr="001D0A28">
        <w:t>occasum</w:t>
      </w:r>
      <w:proofErr w:type="spellEnd"/>
      <w:r w:rsidR="001D0A28" w:rsidRPr="001D0A28">
        <w:t xml:space="preserve"> </w:t>
      </w:r>
      <w:proofErr w:type="spellStart"/>
      <w:r w:rsidR="001D0A28" w:rsidRPr="001D0A28">
        <w:t>ortui</w:t>
      </w:r>
      <w:proofErr w:type="spellEnd"/>
      <w:r w:rsidR="001D0A28" w:rsidRPr="001D0A28">
        <w:t xml:space="preserve"> </w:t>
      </w:r>
      <w:proofErr w:type="spellStart"/>
      <w:r w:rsidR="001D0A28" w:rsidRPr="001D0A28">
        <w:t>proximum</w:t>
      </w:r>
      <w:proofErr w:type="spellEnd"/>
      <w:r w:rsidR="001D0A28" w:rsidRPr="001D0A28">
        <w:t xml:space="preserve">, ac </w:t>
      </w:r>
      <w:proofErr w:type="spellStart"/>
      <w:r w:rsidR="001D0A28" w:rsidRPr="001D0A28">
        <w:t>prope</w:t>
      </w:r>
      <w:proofErr w:type="spellEnd"/>
      <w:r w:rsidR="001D0A28" w:rsidRPr="001D0A28">
        <w:t xml:space="preserve"> </w:t>
      </w:r>
      <w:proofErr w:type="spellStart"/>
      <w:r w:rsidR="001D0A28" w:rsidRPr="001D0A28">
        <w:t>contiguum</w:t>
      </w:r>
      <w:proofErr w:type="spellEnd"/>
      <w:r w:rsidR="001D0A28" w:rsidRPr="001D0A28">
        <w:t xml:space="preserve"> esse</w:t>
      </w:r>
      <w:r w:rsidR="00EC4F9E">
        <w:t>’</w:t>
      </w:r>
      <w:r w:rsidR="001D0A28" w:rsidRPr="001D0A28">
        <w:t xml:space="preserve"> </w:t>
      </w:r>
      <w:r w:rsidR="001D0A28">
        <w:t xml:space="preserve">(‘Homer then produces a very mathematical reason, </w:t>
      </w:r>
      <w:r w:rsidR="003B2EAD">
        <w:t>one which complements the laws of the sphere: “</w:t>
      </w:r>
      <w:r w:rsidR="001D0A28">
        <w:t>the paths of night and day are close</w:t>
      </w:r>
      <w:r w:rsidR="003B2EAD">
        <w:t>”</w:t>
      </w:r>
      <w:r w:rsidR="001D0A28">
        <w:t>: that is, sunset is very close to sunrise, and almost side by side’</w:t>
      </w:r>
      <w:r w:rsidR="003B2EAD">
        <w:t>).</w:t>
      </w:r>
      <w:r w:rsidR="00EC4F9E">
        <w:rPr>
          <w:rStyle w:val="FootnoteReference"/>
        </w:rPr>
        <w:footnoteReference w:id="85"/>
      </w:r>
      <w:r w:rsidR="003B2EAD">
        <w:t xml:space="preserve"> </w:t>
      </w:r>
    </w:p>
    <w:p w14:paraId="0F9D72D7" w14:textId="4E0F1B03" w:rsidR="00493706" w:rsidRDefault="005F5A8B" w:rsidP="00D55A7C">
      <w:pPr>
        <w:spacing w:line="480" w:lineRule="auto"/>
        <w:ind w:firstLine="720"/>
        <w:jc w:val="both"/>
      </w:pPr>
      <w:r>
        <w:t>At other moments,</w:t>
      </w:r>
      <w:r w:rsidR="00D74198">
        <w:t xml:space="preserve"> </w:t>
      </w:r>
      <w:r w:rsidR="00493706">
        <w:t>individual words</w:t>
      </w:r>
      <w:r w:rsidR="00D74198">
        <w:t xml:space="preserve"> </w:t>
      </w:r>
      <w:r w:rsidR="00493706">
        <w:t xml:space="preserve">in Greek are </w:t>
      </w:r>
      <w:r w:rsidR="00D74198">
        <w:t>ret</w:t>
      </w:r>
      <w:r w:rsidR="00493706">
        <w:t xml:space="preserve">ained in the main text of the translation. Thus, for example, in Chapter II, ‘De </w:t>
      </w:r>
      <w:proofErr w:type="spellStart"/>
      <w:r w:rsidR="00493706">
        <w:t>Asterismis</w:t>
      </w:r>
      <w:proofErr w:type="spellEnd"/>
      <w:r w:rsidR="00493706">
        <w:t>’</w:t>
      </w:r>
      <w:r w:rsidR="007707A9">
        <w:t xml:space="preserve"> (‘On the Constellations’)</w:t>
      </w:r>
      <w:r w:rsidR="00493706">
        <w:t>, Geminus catalogues the various</w:t>
      </w:r>
      <w:r w:rsidR="00EC4F9E">
        <w:t xml:space="preserve"> star</w:t>
      </w:r>
      <w:r w:rsidR="00493706">
        <w:t xml:space="preserve"> </w:t>
      </w:r>
      <w:r w:rsidR="007707A9">
        <w:t>formations</w:t>
      </w:r>
      <w:r w:rsidR="002714CD">
        <w:t>: ‘</w:t>
      </w:r>
      <w:proofErr w:type="spellStart"/>
      <w:r w:rsidR="002714CD">
        <w:t>quae</w:t>
      </w:r>
      <w:proofErr w:type="spellEnd"/>
      <w:r w:rsidR="002714CD">
        <w:t xml:space="preserve"> in extrema sinistra </w:t>
      </w:r>
      <w:proofErr w:type="spellStart"/>
      <w:r w:rsidR="002714CD">
        <w:t>manu</w:t>
      </w:r>
      <w:proofErr w:type="spellEnd"/>
      <w:r w:rsidR="002714CD">
        <w:t xml:space="preserve"> Virginis est stella lucida, spica; </w:t>
      </w:r>
      <w:proofErr w:type="spellStart"/>
      <w:r w:rsidR="002714CD">
        <w:t>stellula</w:t>
      </w:r>
      <w:proofErr w:type="spellEnd"/>
      <w:r w:rsidR="002714CD">
        <w:t xml:space="preserve"> autem in </w:t>
      </w:r>
      <w:proofErr w:type="spellStart"/>
      <w:r w:rsidR="002714CD">
        <w:t>dextra</w:t>
      </w:r>
      <w:proofErr w:type="spellEnd"/>
      <w:r w:rsidR="00F10904">
        <w:t xml:space="preserve"> </w:t>
      </w:r>
      <w:proofErr w:type="spellStart"/>
      <w:r w:rsidR="00F10904">
        <w:t>eiusdem</w:t>
      </w:r>
      <w:proofErr w:type="spellEnd"/>
      <w:r w:rsidR="00F10904">
        <w:t xml:space="preserve"> ala, </w:t>
      </w:r>
      <w:r w:rsidR="00F10904" w:rsidRPr="00F10904">
        <w:t>π</w:t>
      </w:r>
      <w:proofErr w:type="spellStart"/>
      <w:r w:rsidR="00F10904" w:rsidRPr="00F10904">
        <w:t>ροτρυγητηρ</w:t>
      </w:r>
      <w:proofErr w:type="spellEnd"/>
      <w:r w:rsidR="00F10904" w:rsidRPr="00F10904">
        <w:t xml:space="preserve"> </w:t>
      </w:r>
      <w:proofErr w:type="spellStart"/>
      <w:r w:rsidR="00F10904">
        <w:t>uocatur</w:t>
      </w:r>
      <w:proofErr w:type="spellEnd"/>
      <w:r w:rsidR="00F10904">
        <w:t>’.</w:t>
      </w:r>
      <w:r w:rsidR="00F10904">
        <w:rPr>
          <w:rStyle w:val="FootnoteReference"/>
        </w:rPr>
        <w:footnoteReference w:id="86"/>
      </w:r>
      <w:r w:rsidR="00905E6E">
        <w:t xml:space="preserve"> </w:t>
      </w:r>
      <w:r w:rsidR="00AB3B66">
        <w:t>(‘in the far left hand of Virgo there is a bright star, Spica;</w:t>
      </w:r>
      <w:r w:rsidR="00053CEB">
        <w:t xml:space="preserve"> </w:t>
      </w:r>
      <w:r w:rsidR="005630C7">
        <w:t xml:space="preserve">there is a little star </w:t>
      </w:r>
      <w:r w:rsidR="00315B96">
        <w:t xml:space="preserve">on the upper arm </w:t>
      </w:r>
      <w:r w:rsidR="005630C7">
        <w:t xml:space="preserve">of </w:t>
      </w:r>
      <w:r w:rsidR="00AB0C70">
        <w:t>V</w:t>
      </w:r>
      <w:r w:rsidR="005630C7">
        <w:t xml:space="preserve">irgo, called </w:t>
      </w:r>
      <w:proofErr w:type="spellStart"/>
      <w:r w:rsidR="005630C7" w:rsidRPr="005630C7">
        <w:rPr>
          <w:i/>
          <w:iCs/>
        </w:rPr>
        <w:t>protrugētēr</w:t>
      </w:r>
      <w:proofErr w:type="spellEnd"/>
      <w:r w:rsidR="005630C7">
        <w:t xml:space="preserve">’). </w:t>
      </w:r>
      <w:r w:rsidR="00154DB1">
        <w:t xml:space="preserve">The </w:t>
      </w:r>
      <w:r w:rsidR="00AB0C70">
        <w:t>name</w:t>
      </w:r>
      <w:r w:rsidR="00154DB1">
        <w:t xml:space="preserve"> inspires an entry in the commentary: ‘</w:t>
      </w:r>
      <w:r w:rsidR="00154DB1" w:rsidRPr="00F10904">
        <w:t>π</w:t>
      </w:r>
      <w:proofErr w:type="spellStart"/>
      <w:r w:rsidR="00154DB1" w:rsidRPr="00F10904">
        <w:t>ροτρυγητηρ</w:t>
      </w:r>
      <w:proofErr w:type="spellEnd"/>
      <w:r w:rsidR="00154DB1">
        <w:t xml:space="preserve">] </w:t>
      </w:r>
      <w:proofErr w:type="spellStart"/>
      <w:r w:rsidR="00154DB1">
        <w:t>Prouindemiam</w:t>
      </w:r>
      <w:proofErr w:type="spellEnd"/>
      <w:r w:rsidR="00154DB1">
        <w:t xml:space="preserve"> </w:t>
      </w:r>
      <w:proofErr w:type="spellStart"/>
      <w:r w:rsidR="00DE2D7A">
        <w:t>uertit</w:t>
      </w:r>
      <w:proofErr w:type="spellEnd"/>
      <w:r w:rsidR="00DE2D7A">
        <w:t xml:space="preserve"> </w:t>
      </w:r>
      <w:r w:rsidR="005D3EB0">
        <w:t>Vitruvius</w:t>
      </w:r>
      <w:r w:rsidR="00DE2D7A">
        <w:t xml:space="preserve">. </w:t>
      </w:r>
      <w:proofErr w:type="spellStart"/>
      <w:r w:rsidR="00DE2D7A">
        <w:t>aliter</w:t>
      </w:r>
      <w:proofErr w:type="spellEnd"/>
      <w:r w:rsidR="00DE2D7A">
        <w:t xml:space="preserve"> </w:t>
      </w:r>
      <w:proofErr w:type="spellStart"/>
      <w:r w:rsidR="00DE2D7A">
        <w:t>l</w:t>
      </w:r>
      <w:r w:rsidR="00DE2D7A" w:rsidRPr="00DE2D7A">
        <w:rPr>
          <w:i/>
          <w:iCs/>
        </w:rPr>
        <w:t>egitur</w:t>
      </w:r>
      <w:proofErr w:type="spellEnd"/>
      <w:r w:rsidR="00DE2D7A">
        <w:t xml:space="preserve"> </w:t>
      </w:r>
      <w:r w:rsidR="00DE2D7A" w:rsidRPr="00DE2D7A">
        <w:t>π</w:t>
      </w:r>
      <w:proofErr w:type="spellStart"/>
      <w:r w:rsidR="00DE2D7A" w:rsidRPr="00DE2D7A">
        <w:t>ροτρυγητης</w:t>
      </w:r>
      <w:proofErr w:type="spellEnd"/>
      <w:r w:rsidR="00DE2D7A">
        <w:t xml:space="preserve">, et </w:t>
      </w:r>
      <w:r w:rsidR="00DE2D7A" w:rsidRPr="00DE2D7A">
        <w:t>π</w:t>
      </w:r>
      <w:proofErr w:type="spellStart"/>
      <w:r w:rsidR="00DE2D7A" w:rsidRPr="00DE2D7A">
        <w:t>ροτρυγητος</w:t>
      </w:r>
      <w:proofErr w:type="spellEnd"/>
      <w:r w:rsidR="00DE2D7A">
        <w:t xml:space="preserve">: mine </w:t>
      </w:r>
      <w:proofErr w:type="spellStart"/>
      <w:r w:rsidR="00DE2D7A">
        <w:t>recte</w:t>
      </w:r>
      <w:proofErr w:type="spellEnd"/>
      <w:r w:rsidR="00DE2D7A">
        <w:t xml:space="preserve">, </w:t>
      </w:r>
      <w:proofErr w:type="spellStart"/>
      <w:r w:rsidR="00DE2D7A">
        <w:t>ut</w:t>
      </w:r>
      <w:proofErr w:type="spellEnd"/>
      <w:r w:rsidR="00DE2D7A">
        <w:t xml:space="preserve"> puto. </w:t>
      </w:r>
      <w:proofErr w:type="spellStart"/>
      <w:r w:rsidR="00DE2D7A">
        <w:lastRenderedPageBreak/>
        <w:t>Ouidio</w:t>
      </w:r>
      <w:proofErr w:type="spellEnd"/>
      <w:r w:rsidR="00DE2D7A">
        <w:t xml:space="preserve"> </w:t>
      </w:r>
      <w:proofErr w:type="spellStart"/>
      <w:r w:rsidR="00DE2D7A">
        <w:t>Vindemitor</w:t>
      </w:r>
      <w:proofErr w:type="spellEnd"/>
      <w:r w:rsidR="00DE2D7A">
        <w:t xml:space="preserve">, </w:t>
      </w:r>
      <w:proofErr w:type="spellStart"/>
      <w:r w:rsidR="00DE2D7A">
        <w:t>alijs</w:t>
      </w:r>
      <w:proofErr w:type="spellEnd"/>
      <w:r w:rsidR="00DE2D7A">
        <w:t xml:space="preserve"> </w:t>
      </w:r>
      <w:proofErr w:type="spellStart"/>
      <w:r w:rsidR="00DE2D7A">
        <w:t>Vindemiator</w:t>
      </w:r>
      <w:proofErr w:type="spellEnd"/>
      <w:r w:rsidR="00C76CF6">
        <w:t>’ (Vitruvius translates it as “</w:t>
      </w:r>
      <w:proofErr w:type="spellStart"/>
      <w:r w:rsidR="00C76CF6">
        <w:t>Prouindemia</w:t>
      </w:r>
      <w:proofErr w:type="spellEnd"/>
      <w:r w:rsidR="00C76CF6">
        <w:t xml:space="preserve">”. It is otherwise written </w:t>
      </w:r>
      <w:proofErr w:type="spellStart"/>
      <w:r w:rsidR="00C76CF6" w:rsidRPr="00315B96">
        <w:rPr>
          <w:i/>
          <w:iCs/>
        </w:rPr>
        <w:t>protrugētē</w:t>
      </w:r>
      <w:r w:rsidR="00C76CF6">
        <w:rPr>
          <w:i/>
          <w:iCs/>
        </w:rPr>
        <w:t>s</w:t>
      </w:r>
      <w:proofErr w:type="spellEnd"/>
      <w:r w:rsidR="00C76CF6">
        <w:t xml:space="preserve">, and </w:t>
      </w:r>
      <w:proofErr w:type="spellStart"/>
      <w:r w:rsidR="00C76CF6" w:rsidRPr="00315B96">
        <w:rPr>
          <w:i/>
          <w:iCs/>
        </w:rPr>
        <w:t>protrugēt</w:t>
      </w:r>
      <w:r w:rsidR="00C76CF6">
        <w:rPr>
          <w:i/>
          <w:iCs/>
        </w:rPr>
        <w:t>os</w:t>
      </w:r>
      <w:proofErr w:type="spellEnd"/>
      <w:r w:rsidR="00C76CF6">
        <w:t>: less correctly, as I reckon. Ovid has “</w:t>
      </w:r>
      <w:proofErr w:type="spellStart"/>
      <w:r w:rsidR="00C76CF6">
        <w:t>Vindemitor</w:t>
      </w:r>
      <w:proofErr w:type="spellEnd"/>
      <w:r w:rsidR="00C76CF6">
        <w:t>” [“the Grape Gatherer”], others “</w:t>
      </w:r>
      <w:proofErr w:type="spellStart"/>
      <w:r w:rsidR="00C76CF6">
        <w:t>Vindemiator</w:t>
      </w:r>
      <w:proofErr w:type="spellEnd"/>
      <w:r w:rsidR="00C76CF6">
        <w:t>”)</w:t>
      </w:r>
      <w:r w:rsidR="00DE2D7A">
        <w:t>.</w:t>
      </w:r>
      <w:r w:rsidR="00DE2D7A">
        <w:rPr>
          <w:rStyle w:val="FootnoteReference"/>
        </w:rPr>
        <w:footnoteReference w:id="87"/>
      </w:r>
      <w:r w:rsidR="00195841">
        <w:t xml:space="preserve"> </w:t>
      </w:r>
      <w:r w:rsidR="00DE2D7A">
        <w:t xml:space="preserve">It was perhaps because there lacked consensus around the </w:t>
      </w:r>
      <w:r w:rsidR="005D3EB0">
        <w:t>star’s</w:t>
      </w:r>
      <w:r w:rsidR="00DE2D7A">
        <w:t xml:space="preserve"> Greek name and </w:t>
      </w:r>
      <w:proofErr w:type="gramStart"/>
      <w:r w:rsidR="00EC4F9E">
        <w:t>its</w:t>
      </w:r>
      <w:proofErr w:type="gramEnd"/>
      <w:r w:rsidR="00EC4F9E">
        <w:t xml:space="preserve"> </w:t>
      </w:r>
      <w:r w:rsidR="00DE2D7A">
        <w:t xml:space="preserve">Latin equivalent that Savile </w:t>
      </w:r>
      <w:r w:rsidR="005D3EB0">
        <w:t>considered it</w:t>
      </w:r>
      <w:r w:rsidR="00DE2D7A">
        <w:t xml:space="preserve"> </w:t>
      </w:r>
      <w:r w:rsidR="005D3EB0">
        <w:t>most prudent</w:t>
      </w:r>
      <w:r w:rsidR="00DE2D7A">
        <w:t xml:space="preserve"> to leave the word as he found it</w:t>
      </w:r>
      <w:r w:rsidR="005D3EB0">
        <w:t xml:space="preserve"> in the Greek</w:t>
      </w:r>
      <w:r w:rsidR="00C76CF6">
        <w:t xml:space="preserve">. </w:t>
      </w:r>
      <w:r w:rsidR="00764AE9">
        <w:t xml:space="preserve">In a </w:t>
      </w:r>
      <w:r w:rsidR="00C76CF6">
        <w:t>comparable</w:t>
      </w:r>
      <w:r w:rsidR="00764AE9">
        <w:t xml:space="preserve"> vein, Savile </w:t>
      </w:r>
      <w:r w:rsidR="00E811AA">
        <w:t>retains the alternative Greek term for the Corona Australis</w:t>
      </w:r>
      <w:r w:rsidR="004528B3">
        <w:t xml:space="preserve"> or </w:t>
      </w:r>
      <w:proofErr w:type="spellStart"/>
      <w:r w:rsidR="004528B3" w:rsidRPr="004528B3">
        <w:rPr>
          <w:i/>
          <w:iCs/>
        </w:rPr>
        <w:t>Sertus</w:t>
      </w:r>
      <w:proofErr w:type="spellEnd"/>
      <w:r w:rsidR="00E811AA">
        <w:t>, the southern complement to the Corona Borealis, namely ‘</w:t>
      </w:r>
      <w:proofErr w:type="spellStart"/>
      <w:r w:rsidR="00E811AA" w:rsidRPr="00E811AA">
        <w:t>οὐρ</w:t>
      </w:r>
      <w:proofErr w:type="spellEnd"/>
      <w:r w:rsidR="00E811AA" w:rsidRPr="00E811AA">
        <w:t>ανισκος</w:t>
      </w:r>
      <w:r w:rsidR="00E811AA">
        <w:t xml:space="preserve">’, which he accompanies with a detailed note, in this instance quoting from </w:t>
      </w:r>
      <w:proofErr w:type="spellStart"/>
      <w:r w:rsidR="004528B3">
        <w:t>Dianarchus’s</w:t>
      </w:r>
      <w:proofErr w:type="spellEnd"/>
      <w:r w:rsidR="004528B3">
        <w:t xml:space="preserve"> </w:t>
      </w:r>
      <w:r w:rsidR="00C76CF6">
        <w:t xml:space="preserve">speech </w:t>
      </w:r>
      <w:r w:rsidR="004528B3" w:rsidRPr="004528B3">
        <w:rPr>
          <w:i/>
          <w:iCs/>
        </w:rPr>
        <w:t xml:space="preserve">In </w:t>
      </w:r>
      <w:proofErr w:type="spellStart"/>
      <w:r w:rsidR="004528B3" w:rsidRPr="004528B3">
        <w:rPr>
          <w:i/>
          <w:iCs/>
        </w:rPr>
        <w:t>Demosthenem</w:t>
      </w:r>
      <w:proofErr w:type="spellEnd"/>
      <w:r w:rsidR="004528B3">
        <w:t>.</w:t>
      </w:r>
      <w:r w:rsidR="004528B3">
        <w:rPr>
          <w:rStyle w:val="FootnoteReference"/>
        </w:rPr>
        <w:footnoteReference w:id="88"/>
      </w:r>
      <w:r w:rsidR="00C76CF6">
        <w:t xml:space="preserve"> </w:t>
      </w:r>
      <w:r w:rsidR="00493706">
        <w:t>In the same chapter</w:t>
      </w:r>
      <w:r w:rsidR="00601B17">
        <w:t xml:space="preserve">, describing the star system </w:t>
      </w:r>
      <w:proofErr w:type="spellStart"/>
      <w:r w:rsidR="00601B17">
        <w:t>Propus</w:t>
      </w:r>
      <w:proofErr w:type="spellEnd"/>
      <w:r w:rsidR="00601B17">
        <w:t xml:space="preserve">, now known as </w:t>
      </w:r>
      <w:r>
        <w:t>‘</w:t>
      </w:r>
      <w:r w:rsidR="00601B17" w:rsidRPr="00601B17">
        <w:t>η Geminorum</w:t>
      </w:r>
      <w:r>
        <w:t>’</w:t>
      </w:r>
      <w:r w:rsidR="00601B17">
        <w:t xml:space="preserve">, Savile appears to retain the original to emphasise the significance of its etymology (literally ‘forefoot’): ‘et </w:t>
      </w:r>
      <w:proofErr w:type="spellStart"/>
      <w:r w:rsidR="00601B17">
        <w:t>quae</w:t>
      </w:r>
      <w:proofErr w:type="spellEnd"/>
      <w:r w:rsidR="00601B17">
        <w:t xml:space="preserve"> Geminorum pedes </w:t>
      </w:r>
      <w:proofErr w:type="spellStart"/>
      <w:r w:rsidR="00601B17">
        <w:t>praecedit</w:t>
      </w:r>
      <w:proofErr w:type="spellEnd"/>
      <w:r w:rsidR="00601B17">
        <w:t xml:space="preserve">, </w:t>
      </w:r>
      <w:proofErr w:type="spellStart"/>
      <w:r w:rsidR="00601B17">
        <w:t>ea</w:t>
      </w:r>
      <w:proofErr w:type="spellEnd"/>
      <w:r w:rsidR="00601B17">
        <w:t xml:space="preserve"> </w:t>
      </w:r>
      <w:r w:rsidR="003C22A8" w:rsidRPr="003C22A8">
        <w:t>π</w:t>
      </w:r>
      <w:proofErr w:type="spellStart"/>
      <w:r w:rsidR="003C22A8" w:rsidRPr="003C22A8">
        <w:t>ρο</w:t>
      </w:r>
      <w:proofErr w:type="spellEnd"/>
      <w:r w:rsidR="003C22A8" w:rsidRPr="003C22A8">
        <w:t>πυς</w:t>
      </w:r>
      <w:r w:rsidR="003C22A8">
        <w:t xml:space="preserve"> </w:t>
      </w:r>
      <w:proofErr w:type="spellStart"/>
      <w:r w:rsidR="003C22A8">
        <w:t>dicitur</w:t>
      </w:r>
      <w:proofErr w:type="spellEnd"/>
      <w:r w:rsidR="003C22A8">
        <w:t>’</w:t>
      </w:r>
      <w:r w:rsidR="0033739B">
        <w:t xml:space="preserve"> (</w:t>
      </w:r>
      <w:r w:rsidR="00473945">
        <w:t xml:space="preserve">‘and that which precedes the feet of the Gemini, is called </w:t>
      </w:r>
      <w:r w:rsidR="00EC4F9E">
        <w:rPr>
          <w:i/>
          <w:iCs/>
        </w:rPr>
        <w:t>forefoot</w:t>
      </w:r>
      <w:r w:rsidR="00473945">
        <w:t>’)</w:t>
      </w:r>
      <w:r w:rsidR="003C22A8">
        <w:t>.</w:t>
      </w:r>
      <w:r w:rsidR="003C22A8">
        <w:rPr>
          <w:rStyle w:val="FootnoteReference"/>
        </w:rPr>
        <w:footnoteReference w:id="89"/>
      </w:r>
    </w:p>
    <w:p w14:paraId="7B909DC3" w14:textId="03E8021D" w:rsidR="00473945" w:rsidRDefault="00473945" w:rsidP="00D55A7C">
      <w:pPr>
        <w:spacing w:line="480" w:lineRule="auto"/>
        <w:ind w:firstLine="720"/>
        <w:jc w:val="both"/>
      </w:pPr>
      <w:r>
        <w:t xml:space="preserve">In translating, and </w:t>
      </w:r>
      <w:r w:rsidR="00BD6D91">
        <w:t>occasionally</w:t>
      </w:r>
      <w:r w:rsidR="005B43EB">
        <w:t xml:space="preserve"> refraining from translating</w:t>
      </w:r>
      <w:r>
        <w:t xml:space="preserve">, Geminus’s Greek, Savile adopted several approaches. For the quotations from Aratus, he relied on the Latin verse translations by Cicero and Caesar Germanicus, </w:t>
      </w:r>
      <w:r w:rsidR="00EC4F9E">
        <w:t>albeit that</w:t>
      </w:r>
      <w:r>
        <w:t xml:space="preserve"> he appears not to have rated them highly.</w:t>
      </w:r>
      <w:r w:rsidR="00E1078B">
        <w:t xml:space="preserve"> Some specific terms he retained in the original Greek.</w:t>
      </w:r>
      <w:r>
        <w:t xml:space="preserve"> At other moments, including quotations from Homer, he left space in the fair copy presumably to return to these </w:t>
      </w:r>
      <w:proofErr w:type="gramStart"/>
      <w:r>
        <w:t>at a later date</w:t>
      </w:r>
      <w:proofErr w:type="gramEnd"/>
      <w:r>
        <w:t xml:space="preserve">, as he would with his brother’s English edition of Tacitus. </w:t>
      </w:r>
      <w:r w:rsidR="00E1078B">
        <w:t xml:space="preserve">Once again, the approach he adopted with </w:t>
      </w:r>
      <w:r w:rsidR="00E1078B" w:rsidRPr="00E1078B">
        <w:rPr>
          <w:i/>
          <w:iCs/>
        </w:rPr>
        <w:t>Phaenomena</w:t>
      </w:r>
      <w:r w:rsidR="00E1078B">
        <w:t xml:space="preserve"> anticipate</w:t>
      </w:r>
      <w:r w:rsidR="00EC4F9E">
        <w:t>s</w:t>
      </w:r>
      <w:r w:rsidR="00E1078B">
        <w:t xml:space="preserve"> his later engagement with the </w:t>
      </w:r>
      <w:r w:rsidR="00E1078B" w:rsidRPr="00E1078B">
        <w:rPr>
          <w:i/>
          <w:iCs/>
        </w:rPr>
        <w:t>Historia</w:t>
      </w:r>
      <w:r w:rsidR="00E1078B">
        <w:t xml:space="preserve"> and </w:t>
      </w:r>
      <w:r w:rsidR="00E1078B" w:rsidRPr="00E1078B">
        <w:rPr>
          <w:i/>
          <w:iCs/>
        </w:rPr>
        <w:t>Agricola</w:t>
      </w:r>
      <w:r w:rsidR="00E1078B">
        <w:t xml:space="preserve">. </w:t>
      </w:r>
    </w:p>
    <w:p w14:paraId="623C56F4" w14:textId="5A47F2D0" w:rsidR="001F5321" w:rsidRPr="00122D7F" w:rsidRDefault="001F5321" w:rsidP="00D55A7C">
      <w:pPr>
        <w:spacing w:line="480" w:lineRule="auto"/>
        <w:ind w:firstLine="720"/>
        <w:jc w:val="both"/>
      </w:pPr>
      <w:r>
        <w:lastRenderedPageBreak/>
        <w:t xml:space="preserve">‘Des </w:t>
      </w:r>
      <w:proofErr w:type="spellStart"/>
      <w:r>
        <w:t>traductions</w:t>
      </w:r>
      <w:proofErr w:type="spellEnd"/>
      <w:r>
        <w:t xml:space="preserve"> </w:t>
      </w:r>
      <w:proofErr w:type="spellStart"/>
      <w:r>
        <w:t>latines</w:t>
      </w:r>
      <w:proofErr w:type="spellEnd"/>
      <w:r>
        <w:t xml:space="preserve"> </w:t>
      </w:r>
      <w:proofErr w:type="spellStart"/>
      <w:r>
        <w:t>tardives</w:t>
      </w:r>
      <w:proofErr w:type="spellEnd"/>
      <w:r>
        <w:t xml:space="preserve">’, </w:t>
      </w:r>
      <w:proofErr w:type="spellStart"/>
      <w:r>
        <w:t>Aujac</w:t>
      </w:r>
      <w:proofErr w:type="spellEnd"/>
      <w:r>
        <w:t xml:space="preserve"> explains, ‘</w:t>
      </w:r>
      <w:proofErr w:type="spellStart"/>
      <w:r>
        <w:t>faites</w:t>
      </w:r>
      <w:proofErr w:type="spellEnd"/>
      <w:r>
        <w:t xml:space="preserve"> sur le </w:t>
      </w:r>
      <w:proofErr w:type="spellStart"/>
      <w:r>
        <w:t>grec</w:t>
      </w:r>
      <w:proofErr w:type="spellEnd"/>
      <w:r>
        <w:t xml:space="preserve"> au </w:t>
      </w:r>
      <w:proofErr w:type="spellStart"/>
      <w:r>
        <w:t>XVIe</w:t>
      </w:r>
      <w:proofErr w:type="spellEnd"/>
      <w:r>
        <w:t xml:space="preserve"> siècle, </w:t>
      </w:r>
      <w:proofErr w:type="spellStart"/>
      <w:r>
        <w:t>n’ont</w:t>
      </w:r>
      <w:proofErr w:type="spellEnd"/>
      <w:r>
        <w:t xml:space="preserve"> </w:t>
      </w:r>
      <w:proofErr w:type="spellStart"/>
      <w:r>
        <w:t>guère</w:t>
      </w:r>
      <w:proofErr w:type="spellEnd"/>
      <w:r>
        <w:t xml:space="preserve"> </w:t>
      </w:r>
      <w:proofErr w:type="spellStart"/>
      <w:r>
        <w:t>d’intérêt</w:t>
      </w:r>
      <w:proofErr w:type="spellEnd"/>
      <w:r>
        <w:t xml:space="preserve"> pour </w:t>
      </w:r>
      <w:proofErr w:type="spellStart"/>
      <w:r>
        <w:t>l’établissement</w:t>
      </w:r>
      <w:proofErr w:type="spellEnd"/>
      <w:r>
        <w:t xml:space="preserve"> </w:t>
      </w:r>
      <w:proofErr w:type="spellStart"/>
      <w:r>
        <w:t>ou</w:t>
      </w:r>
      <w:proofErr w:type="spellEnd"/>
      <w:r>
        <w:t xml:space="preserve"> </w:t>
      </w:r>
      <w:proofErr w:type="spellStart"/>
      <w:r>
        <w:t>l’histoire</w:t>
      </w:r>
      <w:proofErr w:type="spellEnd"/>
      <w:r>
        <w:t xml:space="preserve"> du </w:t>
      </w:r>
      <w:proofErr w:type="spellStart"/>
      <w:r>
        <w:t>texte</w:t>
      </w:r>
      <w:proofErr w:type="spellEnd"/>
      <w:r>
        <w:t>’.</w:t>
      </w:r>
      <w:r>
        <w:rPr>
          <w:rStyle w:val="FootnoteReference"/>
        </w:rPr>
        <w:footnoteReference w:id="90"/>
      </w:r>
      <w:r>
        <w:t xml:space="preserve"> Even if the impact of Savile’s editing was restricted to his immediate scholarly circle, however, he nevertheless anticipated textual interventions which would become standard in modern editions of the </w:t>
      </w:r>
      <w:r w:rsidRPr="000E7653">
        <w:rPr>
          <w:i/>
          <w:iCs/>
        </w:rPr>
        <w:t>Phaenomena</w:t>
      </w:r>
      <w:r>
        <w:t xml:space="preserve">. His close attention to the source text, as well as to the Arabic transmission of Geminus, reveal a scholarly acumen and ingenuity shared by his elder brother. Indeed, the skills that he honed </w:t>
      </w:r>
      <w:r w:rsidR="00EC4F9E">
        <w:t xml:space="preserve">while </w:t>
      </w:r>
      <w:r>
        <w:t xml:space="preserve">translating the </w:t>
      </w:r>
      <w:r w:rsidRPr="00122D7F">
        <w:rPr>
          <w:i/>
          <w:iCs/>
        </w:rPr>
        <w:t>Phaenomena</w:t>
      </w:r>
      <w:r>
        <w:t xml:space="preserve"> he would later </w:t>
      </w:r>
      <w:proofErr w:type="gramStart"/>
      <w:r>
        <w:t>put to use</w:t>
      </w:r>
      <w:proofErr w:type="gramEnd"/>
      <w:r>
        <w:t xml:space="preserve"> in preparing </w:t>
      </w:r>
      <w:r w:rsidR="00EC4F9E">
        <w:t>the 1591</w:t>
      </w:r>
      <w:r>
        <w:t xml:space="preserve"> Tacitus, and the vast commentary that accompanied it, for publication. </w:t>
      </w:r>
    </w:p>
    <w:p w14:paraId="130D1C6D" w14:textId="77777777" w:rsidR="00EC4F9E" w:rsidRDefault="00EC4F9E" w:rsidP="00D55A7C">
      <w:pPr>
        <w:spacing w:line="480" w:lineRule="auto"/>
        <w:jc w:val="both"/>
      </w:pPr>
    </w:p>
    <w:p w14:paraId="0D4C89C9" w14:textId="77777777" w:rsidR="00DD1D5E" w:rsidRDefault="00DD1D5E" w:rsidP="00D55A7C">
      <w:pPr>
        <w:spacing w:line="480" w:lineRule="auto"/>
        <w:jc w:val="both"/>
      </w:pPr>
    </w:p>
    <w:p w14:paraId="39009B97" w14:textId="3ABA0487" w:rsidR="005F2833" w:rsidRPr="0082540E" w:rsidRDefault="005F2833" w:rsidP="00D55A7C">
      <w:pPr>
        <w:spacing w:line="480" w:lineRule="auto"/>
        <w:jc w:val="both"/>
        <w:rPr>
          <w:b/>
          <w:bCs/>
          <w:sz w:val="28"/>
          <w:szCs w:val="28"/>
        </w:rPr>
      </w:pPr>
      <w:r w:rsidRPr="0082540E">
        <w:rPr>
          <w:b/>
          <w:bCs/>
          <w:sz w:val="28"/>
          <w:szCs w:val="28"/>
        </w:rPr>
        <w:t xml:space="preserve">Conclusion </w:t>
      </w:r>
    </w:p>
    <w:p w14:paraId="675DD4A2" w14:textId="77777777" w:rsidR="005F2833" w:rsidRDefault="005F2833" w:rsidP="00D55A7C">
      <w:pPr>
        <w:spacing w:line="480" w:lineRule="auto"/>
        <w:jc w:val="both"/>
      </w:pPr>
    </w:p>
    <w:p w14:paraId="3C0AC7BB" w14:textId="67FAA0C7" w:rsidR="0082540E" w:rsidRDefault="0082540E" w:rsidP="00D55A7C">
      <w:pPr>
        <w:spacing w:line="480" w:lineRule="auto"/>
        <w:jc w:val="both"/>
      </w:pPr>
      <w:r>
        <w:t>Thoma</w:t>
      </w:r>
      <w:r w:rsidR="00D55A7C">
        <w:t>s</w:t>
      </w:r>
      <w:r>
        <w:t xml:space="preserve"> </w:t>
      </w:r>
      <w:r w:rsidR="005F2833">
        <w:t>Savile’s translation of Geminus was a product of his travels</w:t>
      </w:r>
      <w:r>
        <w:t xml:space="preserve"> </w:t>
      </w:r>
      <w:r w:rsidR="00D63C30">
        <w:t>across Europe</w:t>
      </w:r>
      <w:r w:rsidR="00443960">
        <w:t xml:space="preserve"> and his study at the private libraries of his international hosts. </w:t>
      </w:r>
      <w:r w:rsidR="005F2833">
        <w:t xml:space="preserve">Having completed a first version in the company of the </w:t>
      </w:r>
      <w:r w:rsidR="00E61D53">
        <w:t>celebrated</w:t>
      </w:r>
      <w:r w:rsidR="005F2833">
        <w:t xml:space="preserve"> </w:t>
      </w:r>
      <w:r w:rsidR="0004048A">
        <w:t xml:space="preserve">scholar, </w:t>
      </w:r>
      <w:r w:rsidR="005F2833">
        <w:t>Andr</w:t>
      </w:r>
      <w:r w:rsidR="004F07A1">
        <w:t>eas</w:t>
      </w:r>
      <w:r w:rsidR="005F2833">
        <w:t xml:space="preserve"> Dudith</w:t>
      </w:r>
      <w:r>
        <w:t xml:space="preserve">, at Breslau, </w:t>
      </w:r>
      <w:r w:rsidR="005F2833">
        <w:t xml:space="preserve">he continued to polish the translation and commentary at the vast </w:t>
      </w:r>
      <w:r w:rsidR="00E200F7">
        <w:t>library collection</w:t>
      </w:r>
      <w:r w:rsidR="005F2833">
        <w:t xml:space="preserve"> of Gian Vincenzo Pinelli</w:t>
      </w:r>
      <w:r w:rsidR="0004048A">
        <w:t xml:space="preserve"> at Padua</w:t>
      </w:r>
      <w:r w:rsidR="005F2833">
        <w:t xml:space="preserve">. Here he </w:t>
      </w:r>
      <w:r w:rsidR="00E200F7">
        <w:t>accessed</w:t>
      </w:r>
      <w:r w:rsidR="005F2833">
        <w:t xml:space="preserve"> de Balmes’ translation of the Hebrew version, itself a translation from the Arabic, which </w:t>
      </w:r>
      <w:r w:rsidR="00E61D53">
        <w:t>shed</w:t>
      </w:r>
      <w:r w:rsidR="005F2833">
        <w:t xml:space="preserve"> new light on the</w:t>
      </w:r>
      <w:r w:rsidR="00BF630C">
        <w:t xml:space="preserve"> original</w:t>
      </w:r>
      <w:r w:rsidR="005F2833">
        <w:t xml:space="preserve"> Greek. These readings informed not only his own translation, but also his emendation of the Greek </w:t>
      </w:r>
      <w:r w:rsidR="0004048A">
        <w:t xml:space="preserve">manuscript </w:t>
      </w:r>
      <w:r w:rsidR="005F2833">
        <w:t xml:space="preserve">copied by his elder brother and now preserved at the Bodleian Library. </w:t>
      </w:r>
      <w:r w:rsidR="0004048A">
        <w:t>Upon his return to Oxford, Thomas was able to amend this version with the insights he had gleaned at Padua</w:t>
      </w:r>
      <w:r w:rsidR="00E61D53">
        <w:t xml:space="preserve">, adding new textual notes informed by the Arabic reception of Geminus. </w:t>
      </w:r>
      <w:r>
        <w:t xml:space="preserve">The methods which he employed during his sojourns at Breslau and Padua anticipated the techniques which he would apply to the Tacitus project at </w:t>
      </w:r>
      <w:r>
        <w:lastRenderedPageBreak/>
        <w:t xml:space="preserve">the beginning of the 1590s. For both Thomas and Henry Savile, translation </w:t>
      </w:r>
      <w:r w:rsidR="00287032">
        <w:t>was</w:t>
      </w:r>
      <w:r>
        <w:t xml:space="preserve"> an opportunity for textual emendation. They translate</w:t>
      </w:r>
      <w:r w:rsidR="00287032">
        <w:t>d</w:t>
      </w:r>
      <w:r>
        <w:t xml:space="preserve"> not so much the text as they receive</w:t>
      </w:r>
      <w:r w:rsidR="00287032">
        <w:t>d</w:t>
      </w:r>
      <w:r>
        <w:t xml:space="preserve"> it, but rather as they </w:t>
      </w:r>
      <w:r w:rsidRPr="002270C7">
        <w:rPr>
          <w:i/>
          <w:iCs/>
        </w:rPr>
        <w:t>ought</w:t>
      </w:r>
      <w:r>
        <w:t xml:space="preserve"> to have received it, an ideal text established through their own conjecture and correction</w:t>
      </w:r>
      <w:r w:rsidR="00287032">
        <w:t xml:space="preserve">, </w:t>
      </w:r>
      <w:r>
        <w:t xml:space="preserve">which ultimately exists only in their own translations.   </w:t>
      </w:r>
    </w:p>
    <w:p w14:paraId="1656B7AC" w14:textId="1211D08D" w:rsidR="005F2833" w:rsidRDefault="009B3D23" w:rsidP="00D55A7C">
      <w:pPr>
        <w:spacing w:line="480" w:lineRule="auto"/>
        <w:ind w:firstLine="720"/>
        <w:jc w:val="both"/>
      </w:pPr>
      <w:r>
        <w:t>While at</w:t>
      </w:r>
      <w:r w:rsidR="005F2833">
        <w:t xml:space="preserve"> Pinelli’s library, Savile</w:t>
      </w:r>
      <w:r w:rsidR="00F0590D">
        <w:t xml:space="preserve"> engaged in further</w:t>
      </w:r>
      <w:r w:rsidR="005F2833">
        <w:t xml:space="preserve"> </w:t>
      </w:r>
      <w:r>
        <w:t xml:space="preserve">scholarship </w:t>
      </w:r>
      <w:r w:rsidR="005F2833">
        <w:t xml:space="preserve">which he shared with his Italian host, including </w:t>
      </w:r>
      <w:r w:rsidR="003B4DAF">
        <w:t>his readings</w:t>
      </w:r>
      <w:r w:rsidR="005F2833">
        <w:t xml:space="preserve"> o</w:t>
      </w:r>
      <w:r w:rsidR="003B4DAF">
        <w:t>f</w:t>
      </w:r>
      <w:r w:rsidR="005F2833">
        <w:t xml:space="preserve"> Euclid and Strabo (with a particular emphasis on the latter’s engagement with Italy), </w:t>
      </w:r>
      <w:r w:rsidR="00F0590D">
        <w:t>as well as</w:t>
      </w:r>
      <w:r w:rsidR="005F2833">
        <w:t xml:space="preserve"> a treatise on mathematics. </w:t>
      </w:r>
      <w:r w:rsidR="00287032">
        <w:t xml:space="preserve">These works, along with the Geminus translation, illustrate the kinds of scholarship that travel between sites of learning and libraries </w:t>
      </w:r>
      <w:r w:rsidR="003B4DAF">
        <w:t>enabled</w:t>
      </w:r>
      <w:r w:rsidR="00287032">
        <w:t xml:space="preserve"> in the early-modern period</w:t>
      </w:r>
      <w:r w:rsidR="003B4DAF">
        <w:t xml:space="preserve">, </w:t>
      </w:r>
      <w:r w:rsidR="00E200F7">
        <w:t xml:space="preserve">bearing </w:t>
      </w:r>
      <w:r w:rsidR="003B4DAF">
        <w:t xml:space="preserve">witness to </w:t>
      </w:r>
      <w:r w:rsidR="005F2833">
        <w:t xml:space="preserve">the </w:t>
      </w:r>
      <w:r w:rsidR="00BF630C">
        <w:t xml:space="preserve">complex </w:t>
      </w:r>
      <w:r w:rsidR="005F2833">
        <w:t xml:space="preserve">traffic of ideas and of texts across continental Europe at the turn of the sixteenth century. </w:t>
      </w:r>
    </w:p>
    <w:p w14:paraId="6548C830" w14:textId="77777777" w:rsidR="0082540E" w:rsidRDefault="0082540E" w:rsidP="00D55A7C">
      <w:pPr>
        <w:spacing w:line="480" w:lineRule="auto"/>
        <w:jc w:val="both"/>
      </w:pPr>
    </w:p>
    <w:p w14:paraId="08005B36" w14:textId="10B7E496" w:rsidR="00275FCA" w:rsidRDefault="00275FCA" w:rsidP="00D55A7C">
      <w:pPr>
        <w:spacing w:line="480" w:lineRule="auto"/>
        <w:jc w:val="both"/>
      </w:pPr>
    </w:p>
    <w:p w14:paraId="3BF261F0" w14:textId="77777777" w:rsidR="000647E8" w:rsidRDefault="000647E8" w:rsidP="00D55A7C">
      <w:pPr>
        <w:spacing w:line="480" w:lineRule="auto"/>
        <w:jc w:val="both"/>
      </w:pPr>
    </w:p>
    <w:sectPr w:rsidR="000647E8" w:rsidSect="00AC580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13C2" w14:textId="77777777" w:rsidR="000B6345" w:rsidRDefault="000B6345" w:rsidP="009E7CE5">
      <w:r>
        <w:separator/>
      </w:r>
    </w:p>
  </w:endnote>
  <w:endnote w:type="continuationSeparator" w:id="0">
    <w:p w14:paraId="7AFD9A17" w14:textId="77777777" w:rsidR="000B6345" w:rsidRDefault="000B6345" w:rsidP="009E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BC89" w14:textId="77777777" w:rsidR="000B6345" w:rsidRDefault="000B6345" w:rsidP="009E7CE5">
      <w:r>
        <w:separator/>
      </w:r>
    </w:p>
  </w:footnote>
  <w:footnote w:type="continuationSeparator" w:id="0">
    <w:p w14:paraId="5200BA5C" w14:textId="77777777" w:rsidR="000B6345" w:rsidRDefault="000B6345" w:rsidP="009E7CE5">
      <w:r>
        <w:continuationSeparator/>
      </w:r>
    </w:p>
  </w:footnote>
  <w:footnote w:id="1">
    <w:p w14:paraId="74F47215" w14:textId="237944AF" w:rsidR="005C1D7E" w:rsidRPr="008471BD" w:rsidRDefault="005C1D7E" w:rsidP="00D55A7C">
      <w:pPr>
        <w:pStyle w:val="FootnoteText"/>
        <w:spacing w:line="480" w:lineRule="auto"/>
      </w:pPr>
      <w:r>
        <w:rPr>
          <w:rStyle w:val="FootnoteReference"/>
        </w:rPr>
        <w:footnoteRef/>
      </w:r>
      <w:r>
        <w:t xml:space="preserve"> </w:t>
      </w:r>
      <w:r w:rsidR="00061CFF" w:rsidRPr="003E1B73">
        <w:rPr>
          <w:sz w:val="20"/>
          <w:szCs w:val="20"/>
        </w:rPr>
        <w:t>‘</w:t>
      </w:r>
      <w:r w:rsidRPr="003E1B73">
        <w:rPr>
          <w:sz w:val="20"/>
          <w:szCs w:val="20"/>
        </w:rPr>
        <w:t>Andrew Melville to Thomas Savile and George Car</w:t>
      </w:r>
      <w:r w:rsidR="002F458F" w:rsidRPr="003E1B73">
        <w:rPr>
          <w:sz w:val="20"/>
          <w:szCs w:val="20"/>
        </w:rPr>
        <w:t>le</w:t>
      </w:r>
      <w:r w:rsidRPr="003E1B73">
        <w:rPr>
          <w:sz w:val="20"/>
          <w:szCs w:val="20"/>
        </w:rPr>
        <w:t>ton</w:t>
      </w:r>
      <w:r w:rsidR="00061CFF" w:rsidRPr="003E1B73">
        <w:rPr>
          <w:sz w:val="20"/>
          <w:szCs w:val="20"/>
        </w:rPr>
        <w:t>’</w:t>
      </w:r>
      <w:r w:rsidRPr="003E1B73">
        <w:rPr>
          <w:sz w:val="20"/>
          <w:szCs w:val="20"/>
        </w:rPr>
        <w:t>,</w:t>
      </w:r>
      <w:r w:rsidR="00BB44B0" w:rsidRPr="003E1B73">
        <w:rPr>
          <w:sz w:val="20"/>
          <w:szCs w:val="20"/>
        </w:rPr>
        <w:t xml:space="preserve"> reproduced</w:t>
      </w:r>
      <w:r w:rsidRPr="003E1B73">
        <w:rPr>
          <w:sz w:val="20"/>
          <w:szCs w:val="20"/>
        </w:rPr>
        <w:t xml:space="preserve"> </w:t>
      </w:r>
      <w:r w:rsidR="00160A1A" w:rsidRPr="003E1B73">
        <w:rPr>
          <w:sz w:val="20"/>
          <w:szCs w:val="20"/>
        </w:rPr>
        <w:t xml:space="preserve">in </w:t>
      </w:r>
      <w:r w:rsidR="00BB44B0" w:rsidRPr="003E1B73">
        <w:rPr>
          <w:sz w:val="20"/>
          <w:szCs w:val="20"/>
        </w:rPr>
        <w:t xml:space="preserve">Thomas M’Crie, </w:t>
      </w:r>
      <w:r w:rsidR="00BB44B0" w:rsidRPr="003E1B73">
        <w:rPr>
          <w:i/>
          <w:iCs/>
          <w:sz w:val="20"/>
          <w:szCs w:val="20"/>
        </w:rPr>
        <w:t>Life of Andrew Melville</w:t>
      </w:r>
      <w:r w:rsidR="00BB44B0" w:rsidRPr="003E1B73">
        <w:rPr>
          <w:sz w:val="20"/>
          <w:szCs w:val="20"/>
        </w:rPr>
        <w:t xml:space="preserve"> (Edinburgh and London: William Blackwood and Sons, 1899) 480. Cf. British Library, Harley Manuscript 7004, </w:t>
      </w:r>
      <w:r w:rsidR="00125FC0" w:rsidRPr="003E1B73">
        <w:rPr>
          <w:sz w:val="20"/>
          <w:szCs w:val="20"/>
        </w:rPr>
        <w:t>fol. 5</w:t>
      </w:r>
      <w:r w:rsidR="00125FC0" w:rsidRPr="003E1B73">
        <w:rPr>
          <w:sz w:val="20"/>
          <w:szCs w:val="20"/>
          <w:vertAlign w:val="superscript"/>
        </w:rPr>
        <w:t>r-v</w:t>
      </w:r>
      <w:r w:rsidR="008471BD" w:rsidRPr="003E1B73">
        <w:rPr>
          <w:sz w:val="20"/>
          <w:szCs w:val="20"/>
        </w:rPr>
        <w:t xml:space="preserve">. The translation of the Greek has been taken from: </w:t>
      </w:r>
      <w:r w:rsidR="00251FE5" w:rsidRPr="003E1B73">
        <w:rPr>
          <w:sz w:val="20"/>
          <w:szCs w:val="20"/>
        </w:rPr>
        <w:t xml:space="preserve">Pindar, </w:t>
      </w:r>
      <w:r w:rsidR="00251FE5" w:rsidRPr="003E1B73">
        <w:rPr>
          <w:i/>
          <w:iCs/>
          <w:sz w:val="20"/>
          <w:szCs w:val="20"/>
        </w:rPr>
        <w:t>Olympian Odes</w:t>
      </w:r>
      <w:r w:rsidR="00251FE5" w:rsidRPr="003E1B73">
        <w:rPr>
          <w:sz w:val="20"/>
          <w:szCs w:val="20"/>
        </w:rPr>
        <w:t>, trans. William H. Race</w:t>
      </w:r>
      <w:r w:rsidR="000B4651" w:rsidRPr="003E1B73">
        <w:rPr>
          <w:sz w:val="20"/>
          <w:szCs w:val="20"/>
        </w:rPr>
        <w:t xml:space="preserve"> (Cambridge, Massachusetts: Harvard University Press, 1997) 47</w:t>
      </w:r>
    </w:p>
  </w:footnote>
  <w:footnote w:id="2">
    <w:p w14:paraId="52B60EDE" w14:textId="11B7E2C1" w:rsidR="00160A1A" w:rsidRDefault="00160A1A" w:rsidP="00D55A7C">
      <w:pPr>
        <w:pStyle w:val="FootnoteText"/>
        <w:spacing w:line="480" w:lineRule="auto"/>
      </w:pPr>
      <w:r>
        <w:rPr>
          <w:rStyle w:val="FootnoteReference"/>
        </w:rPr>
        <w:footnoteRef/>
      </w:r>
      <w:r>
        <w:t xml:space="preserve"> </w:t>
      </w:r>
      <w:r w:rsidRPr="003E1B73">
        <w:rPr>
          <w:sz w:val="20"/>
          <w:szCs w:val="20"/>
        </w:rPr>
        <w:t>‘</w:t>
      </w:r>
      <w:proofErr w:type="spellStart"/>
      <w:r w:rsidRPr="003E1B73">
        <w:rPr>
          <w:sz w:val="20"/>
          <w:szCs w:val="20"/>
        </w:rPr>
        <w:t>Maniliana</w:t>
      </w:r>
      <w:proofErr w:type="spellEnd"/>
      <w:r w:rsidRPr="003E1B73">
        <w:rPr>
          <w:sz w:val="20"/>
          <w:szCs w:val="20"/>
        </w:rPr>
        <w:t xml:space="preserve"> </w:t>
      </w:r>
      <w:proofErr w:type="spellStart"/>
      <w:r w:rsidRPr="003E1B73">
        <w:rPr>
          <w:sz w:val="20"/>
          <w:szCs w:val="20"/>
        </w:rPr>
        <w:t>tua</w:t>
      </w:r>
      <w:proofErr w:type="spellEnd"/>
      <w:r w:rsidRPr="003E1B73">
        <w:rPr>
          <w:sz w:val="20"/>
          <w:szCs w:val="20"/>
        </w:rPr>
        <w:t xml:space="preserve">, </w:t>
      </w:r>
      <w:proofErr w:type="spellStart"/>
      <w:r w:rsidRPr="003E1B73">
        <w:rPr>
          <w:sz w:val="20"/>
          <w:szCs w:val="20"/>
        </w:rPr>
        <w:t>vel</w:t>
      </w:r>
      <w:proofErr w:type="spellEnd"/>
      <w:r w:rsidR="000B4651" w:rsidRPr="003E1B73">
        <w:rPr>
          <w:sz w:val="20"/>
          <w:szCs w:val="20"/>
        </w:rPr>
        <w:t xml:space="preserve">, </w:t>
      </w:r>
      <w:proofErr w:type="spellStart"/>
      <w:r w:rsidR="000B4651" w:rsidRPr="003E1B73">
        <w:rPr>
          <w:sz w:val="20"/>
          <w:szCs w:val="20"/>
        </w:rPr>
        <w:t>si</w:t>
      </w:r>
      <w:proofErr w:type="spellEnd"/>
      <w:r w:rsidR="000B4651" w:rsidRPr="003E1B73">
        <w:rPr>
          <w:sz w:val="20"/>
          <w:szCs w:val="20"/>
        </w:rPr>
        <w:t xml:space="preserve"> </w:t>
      </w:r>
      <w:proofErr w:type="spellStart"/>
      <w:r w:rsidR="000B4651" w:rsidRPr="003E1B73">
        <w:rPr>
          <w:sz w:val="20"/>
          <w:szCs w:val="20"/>
        </w:rPr>
        <w:t>mauis</w:t>
      </w:r>
      <w:proofErr w:type="spellEnd"/>
      <w:r w:rsidR="000B4651" w:rsidRPr="003E1B73">
        <w:rPr>
          <w:sz w:val="20"/>
          <w:szCs w:val="20"/>
        </w:rPr>
        <w:t xml:space="preserve">, </w:t>
      </w:r>
      <w:proofErr w:type="spellStart"/>
      <w:r w:rsidR="000B4651" w:rsidRPr="003E1B73">
        <w:rPr>
          <w:sz w:val="20"/>
          <w:szCs w:val="20"/>
        </w:rPr>
        <w:t>Scaligerana</w:t>
      </w:r>
      <w:proofErr w:type="spellEnd"/>
      <w:r w:rsidR="000B4651" w:rsidRPr="003E1B73">
        <w:rPr>
          <w:sz w:val="20"/>
          <w:szCs w:val="20"/>
        </w:rPr>
        <w:t xml:space="preserve">, </w:t>
      </w:r>
      <w:proofErr w:type="spellStart"/>
      <w:r w:rsidR="000B4651" w:rsidRPr="003E1B73">
        <w:rPr>
          <w:sz w:val="20"/>
          <w:szCs w:val="20"/>
        </w:rPr>
        <w:t>liceat</w:t>
      </w:r>
      <w:proofErr w:type="spellEnd"/>
      <w:r w:rsidR="000B4651" w:rsidRPr="003E1B73">
        <w:rPr>
          <w:sz w:val="20"/>
          <w:szCs w:val="20"/>
        </w:rPr>
        <w:t xml:space="preserve"> mihi per </w:t>
      </w:r>
      <w:proofErr w:type="spellStart"/>
      <w:r w:rsidR="000B4651" w:rsidRPr="003E1B73">
        <w:rPr>
          <w:sz w:val="20"/>
          <w:szCs w:val="20"/>
        </w:rPr>
        <w:t>te</w:t>
      </w:r>
      <w:proofErr w:type="spellEnd"/>
      <w:r w:rsidR="000B4651" w:rsidRPr="003E1B73">
        <w:rPr>
          <w:sz w:val="20"/>
          <w:szCs w:val="20"/>
        </w:rPr>
        <w:t xml:space="preserve"> (</w:t>
      </w:r>
      <w:proofErr w:type="spellStart"/>
      <w:r w:rsidR="000B4651" w:rsidRPr="003E1B73">
        <w:rPr>
          <w:sz w:val="20"/>
          <w:szCs w:val="20"/>
        </w:rPr>
        <w:t>vel</w:t>
      </w:r>
      <w:proofErr w:type="spellEnd"/>
      <w:r w:rsidR="000B4651" w:rsidRPr="003E1B73">
        <w:rPr>
          <w:sz w:val="20"/>
          <w:szCs w:val="20"/>
        </w:rPr>
        <w:t xml:space="preserve"> </w:t>
      </w:r>
      <w:proofErr w:type="spellStart"/>
      <w:r w:rsidR="000B4651" w:rsidRPr="003E1B73">
        <w:rPr>
          <w:sz w:val="20"/>
          <w:szCs w:val="20"/>
        </w:rPr>
        <w:t>tuo</w:t>
      </w:r>
      <w:proofErr w:type="spellEnd"/>
      <w:r w:rsidR="000B4651" w:rsidRPr="003E1B73">
        <w:rPr>
          <w:sz w:val="20"/>
          <w:szCs w:val="20"/>
        </w:rPr>
        <w:t xml:space="preserve"> </w:t>
      </w:r>
      <w:proofErr w:type="spellStart"/>
      <w:r w:rsidR="000B4651" w:rsidRPr="003E1B73">
        <w:rPr>
          <w:sz w:val="20"/>
          <w:szCs w:val="20"/>
        </w:rPr>
        <w:t>potius</w:t>
      </w:r>
      <w:proofErr w:type="spellEnd"/>
      <w:r w:rsidR="000B4651" w:rsidRPr="003E1B73">
        <w:rPr>
          <w:sz w:val="20"/>
          <w:szCs w:val="20"/>
        </w:rPr>
        <w:t xml:space="preserve"> </w:t>
      </w:r>
      <w:proofErr w:type="spellStart"/>
      <w:proofErr w:type="gramStart"/>
      <w:r w:rsidR="000B4651" w:rsidRPr="003E1B73">
        <w:rPr>
          <w:sz w:val="20"/>
          <w:szCs w:val="20"/>
        </w:rPr>
        <w:t>beneficio</w:t>
      </w:r>
      <w:proofErr w:type="spellEnd"/>
      <w:r w:rsidR="000B4651" w:rsidRPr="003E1B73">
        <w:rPr>
          <w:sz w:val="20"/>
          <w:szCs w:val="20"/>
        </w:rPr>
        <w:t xml:space="preserve">  </w:t>
      </w:r>
      <w:proofErr w:type="spellStart"/>
      <w:r w:rsidR="000B4651" w:rsidRPr="003E1B73">
        <w:rPr>
          <w:sz w:val="20"/>
          <w:szCs w:val="20"/>
        </w:rPr>
        <w:t>concedatur</w:t>
      </w:r>
      <w:proofErr w:type="spellEnd"/>
      <w:proofErr w:type="gramEnd"/>
      <w:r w:rsidR="00B9449D" w:rsidRPr="003E1B73">
        <w:rPr>
          <w:sz w:val="20"/>
          <w:szCs w:val="20"/>
        </w:rPr>
        <w:t xml:space="preserve">) ex intervallo </w:t>
      </w:r>
      <w:proofErr w:type="spellStart"/>
      <w:r w:rsidR="00B9449D" w:rsidRPr="003E1B73">
        <w:rPr>
          <w:sz w:val="20"/>
          <w:szCs w:val="20"/>
        </w:rPr>
        <w:t>regustata</w:t>
      </w:r>
      <w:proofErr w:type="spellEnd"/>
      <w:r w:rsidR="00B9449D" w:rsidRPr="003E1B73">
        <w:rPr>
          <w:sz w:val="20"/>
          <w:szCs w:val="20"/>
        </w:rPr>
        <w:t>’. M’Crie, 480</w:t>
      </w:r>
    </w:p>
  </w:footnote>
  <w:footnote w:id="3">
    <w:p w14:paraId="0D441377" w14:textId="5ABDA7FC" w:rsidR="00E73277" w:rsidRDefault="00E73277" w:rsidP="00D55A7C">
      <w:pPr>
        <w:pStyle w:val="FootnoteText"/>
        <w:spacing w:line="480" w:lineRule="auto"/>
      </w:pPr>
      <w:r>
        <w:rPr>
          <w:rStyle w:val="FootnoteReference"/>
        </w:rPr>
        <w:footnoteRef/>
      </w:r>
      <w:r>
        <w:t xml:space="preserve"> </w:t>
      </w:r>
      <w:r w:rsidR="007D6C6B" w:rsidRPr="003E1B73">
        <w:rPr>
          <w:sz w:val="20"/>
          <w:szCs w:val="20"/>
        </w:rPr>
        <w:t xml:space="preserve">Mordechai Feingold, </w:t>
      </w:r>
      <w:r w:rsidR="00C87BAE" w:rsidRPr="003E1B73">
        <w:rPr>
          <w:i/>
          <w:iCs/>
          <w:sz w:val="20"/>
          <w:szCs w:val="20"/>
        </w:rPr>
        <w:t xml:space="preserve">The Mathematician’s Apprenticeship: Science, Universities </w:t>
      </w:r>
      <w:r w:rsidR="00261338" w:rsidRPr="003E1B73">
        <w:rPr>
          <w:i/>
          <w:iCs/>
          <w:sz w:val="20"/>
          <w:szCs w:val="20"/>
        </w:rPr>
        <w:t>and Society in England, 1560–1640</w:t>
      </w:r>
      <w:r w:rsidR="00261338" w:rsidRPr="003E1B73">
        <w:rPr>
          <w:sz w:val="20"/>
          <w:szCs w:val="20"/>
        </w:rPr>
        <w:t xml:space="preserve"> (Cambridge: Cambridge University Press, 1984) </w:t>
      </w:r>
      <w:r w:rsidR="00BC1E04" w:rsidRPr="003E1B73">
        <w:rPr>
          <w:sz w:val="20"/>
          <w:szCs w:val="20"/>
        </w:rPr>
        <w:t xml:space="preserve">131. See F. J. Levy, ‘The Making of Camden’s Britannia’, </w:t>
      </w:r>
      <w:r w:rsidR="00BC1E04" w:rsidRPr="003E1B73">
        <w:rPr>
          <w:i/>
          <w:iCs/>
          <w:sz w:val="20"/>
          <w:szCs w:val="20"/>
        </w:rPr>
        <w:t xml:space="preserve">Bibliothèque </w:t>
      </w:r>
      <w:proofErr w:type="spellStart"/>
      <w:r w:rsidR="00BC1E04" w:rsidRPr="003E1B73">
        <w:rPr>
          <w:i/>
          <w:iCs/>
          <w:sz w:val="20"/>
          <w:szCs w:val="20"/>
        </w:rPr>
        <w:t>d’Humanisme</w:t>
      </w:r>
      <w:proofErr w:type="spellEnd"/>
      <w:r w:rsidR="00BC1E04" w:rsidRPr="003E1B73">
        <w:rPr>
          <w:i/>
          <w:iCs/>
          <w:sz w:val="20"/>
          <w:szCs w:val="20"/>
        </w:rPr>
        <w:t xml:space="preserve"> et Renaissance</w:t>
      </w:r>
      <w:r w:rsidR="00BC1E04" w:rsidRPr="003E1B73">
        <w:rPr>
          <w:sz w:val="20"/>
          <w:szCs w:val="20"/>
        </w:rPr>
        <w:t xml:space="preserve"> 26.1 (1964), 70–97 (85).</w:t>
      </w:r>
    </w:p>
  </w:footnote>
  <w:footnote w:id="4">
    <w:p w14:paraId="33367B45" w14:textId="77777777" w:rsidR="00984386" w:rsidRDefault="00984386" w:rsidP="00D55A7C">
      <w:pPr>
        <w:pStyle w:val="FootnoteText"/>
        <w:spacing w:line="480" w:lineRule="auto"/>
      </w:pPr>
      <w:r>
        <w:rPr>
          <w:rStyle w:val="FootnoteReference"/>
        </w:rPr>
        <w:footnoteRef/>
      </w:r>
      <w:r>
        <w:t xml:space="preserve"> </w:t>
      </w:r>
      <w:r w:rsidRPr="003E1B73">
        <w:rPr>
          <w:sz w:val="20"/>
          <w:szCs w:val="20"/>
        </w:rPr>
        <w:t>‘</w:t>
      </w:r>
      <w:proofErr w:type="spellStart"/>
      <w:r w:rsidRPr="003E1B73">
        <w:rPr>
          <w:sz w:val="20"/>
          <w:szCs w:val="20"/>
        </w:rPr>
        <w:t>Theodosium</w:t>
      </w:r>
      <w:proofErr w:type="spellEnd"/>
      <w:r w:rsidRPr="003E1B73">
        <w:rPr>
          <w:sz w:val="20"/>
          <w:szCs w:val="20"/>
        </w:rPr>
        <w:t xml:space="preserve"> </w:t>
      </w:r>
      <w:proofErr w:type="spellStart"/>
      <w:r w:rsidRPr="003E1B73">
        <w:rPr>
          <w:sz w:val="20"/>
          <w:szCs w:val="20"/>
        </w:rPr>
        <w:t>enim</w:t>
      </w:r>
      <w:proofErr w:type="spellEnd"/>
      <w:r w:rsidRPr="003E1B73">
        <w:rPr>
          <w:sz w:val="20"/>
          <w:szCs w:val="20"/>
        </w:rPr>
        <w:t xml:space="preserve"> π</w:t>
      </w:r>
      <w:proofErr w:type="spellStart"/>
      <w:r w:rsidRPr="003E1B73">
        <w:rPr>
          <w:sz w:val="20"/>
          <w:szCs w:val="20"/>
        </w:rPr>
        <w:t>ερι</w:t>
      </w:r>
      <w:proofErr w:type="spellEnd"/>
      <w:r w:rsidRPr="003E1B73">
        <w:rPr>
          <w:sz w:val="20"/>
          <w:szCs w:val="20"/>
        </w:rPr>
        <w:t xml:space="preserve"> </w:t>
      </w:r>
      <w:proofErr w:type="spellStart"/>
      <w:r w:rsidRPr="003E1B73">
        <w:rPr>
          <w:sz w:val="20"/>
          <w:szCs w:val="20"/>
        </w:rPr>
        <w:t>νυκτων</w:t>
      </w:r>
      <w:proofErr w:type="spellEnd"/>
      <w:r w:rsidRPr="003E1B73">
        <w:rPr>
          <w:sz w:val="20"/>
          <w:szCs w:val="20"/>
        </w:rPr>
        <w:t xml:space="preserve"> και </w:t>
      </w:r>
      <w:proofErr w:type="spellStart"/>
      <w:r w:rsidRPr="003E1B73">
        <w:rPr>
          <w:sz w:val="20"/>
          <w:szCs w:val="20"/>
        </w:rPr>
        <w:t>ἡμερων</w:t>
      </w:r>
      <w:proofErr w:type="spellEnd"/>
      <w:r w:rsidRPr="003E1B73">
        <w:rPr>
          <w:sz w:val="20"/>
          <w:szCs w:val="20"/>
        </w:rPr>
        <w:t xml:space="preserve"> </w:t>
      </w:r>
      <w:proofErr w:type="spellStart"/>
      <w:r w:rsidRPr="003E1B73">
        <w:rPr>
          <w:sz w:val="20"/>
          <w:szCs w:val="20"/>
        </w:rPr>
        <w:t>nactus</w:t>
      </w:r>
      <w:proofErr w:type="spellEnd"/>
      <w:r w:rsidRPr="003E1B73">
        <w:rPr>
          <w:sz w:val="20"/>
          <w:szCs w:val="20"/>
        </w:rPr>
        <w:t xml:space="preserve"> </w:t>
      </w:r>
      <w:proofErr w:type="spellStart"/>
      <w:r w:rsidRPr="003E1B73">
        <w:rPr>
          <w:sz w:val="20"/>
          <w:szCs w:val="20"/>
        </w:rPr>
        <w:t>Manuscriptum</w:t>
      </w:r>
      <w:proofErr w:type="spellEnd"/>
      <w:r w:rsidRPr="003E1B73">
        <w:rPr>
          <w:sz w:val="20"/>
          <w:szCs w:val="20"/>
        </w:rPr>
        <w:t xml:space="preserve"> Latine </w:t>
      </w:r>
      <w:proofErr w:type="spellStart"/>
      <w:r w:rsidRPr="003E1B73">
        <w:rPr>
          <w:sz w:val="20"/>
          <w:szCs w:val="20"/>
        </w:rPr>
        <w:t>verti</w:t>
      </w:r>
      <w:proofErr w:type="spellEnd"/>
      <w:r w:rsidRPr="003E1B73">
        <w:rPr>
          <w:sz w:val="20"/>
          <w:szCs w:val="20"/>
        </w:rPr>
        <w:t xml:space="preserve">’. William Camden, </w:t>
      </w:r>
      <w:r w:rsidRPr="003E1B73">
        <w:rPr>
          <w:i/>
          <w:iCs/>
          <w:sz w:val="20"/>
          <w:szCs w:val="20"/>
        </w:rPr>
        <w:t xml:space="preserve">V. Cl. </w:t>
      </w:r>
      <w:proofErr w:type="spellStart"/>
      <w:r w:rsidRPr="003E1B73">
        <w:rPr>
          <w:i/>
          <w:iCs/>
          <w:sz w:val="20"/>
          <w:szCs w:val="20"/>
        </w:rPr>
        <w:t>Guilielmi</w:t>
      </w:r>
      <w:proofErr w:type="spellEnd"/>
      <w:r w:rsidRPr="003E1B73">
        <w:rPr>
          <w:i/>
          <w:iCs/>
          <w:sz w:val="20"/>
          <w:szCs w:val="20"/>
        </w:rPr>
        <w:t xml:space="preserve"> </w:t>
      </w:r>
      <w:proofErr w:type="spellStart"/>
      <w:r w:rsidRPr="003E1B73">
        <w:rPr>
          <w:i/>
          <w:iCs/>
          <w:sz w:val="20"/>
          <w:szCs w:val="20"/>
        </w:rPr>
        <w:t>Camdeni</w:t>
      </w:r>
      <w:proofErr w:type="spellEnd"/>
      <w:r w:rsidRPr="003E1B73">
        <w:rPr>
          <w:i/>
          <w:iCs/>
          <w:sz w:val="20"/>
          <w:szCs w:val="20"/>
        </w:rPr>
        <w:t xml:space="preserve"> et </w:t>
      </w:r>
      <w:proofErr w:type="spellStart"/>
      <w:r w:rsidRPr="003E1B73">
        <w:rPr>
          <w:i/>
          <w:iCs/>
          <w:sz w:val="20"/>
          <w:szCs w:val="20"/>
        </w:rPr>
        <w:t>Illustrium</w:t>
      </w:r>
      <w:proofErr w:type="spellEnd"/>
      <w:r w:rsidRPr="003E1B73">
        <w:rPr>
          <w:i/>
          <w:iCs/>
          <w:sz w:val="20"/>
          <w:szCs w:val="20"/>
        </w:rPr>
        <w:t xml:space="preserve"> </w:t>
      </w:r>
      <w:proofErr w:type="spellStart"/>
      <w:r w:rsidRPr="003E1B73">
        <w:rPr>
          <w:i/>
          <w:iCs/>
          <w:sz w:val="20"/>
          <w:szCs w:val="20"/>
        </w:rPr>
        <w:t>Virorum</w:t>
      </w:r>
      <w:proofErr w:type="spellEnd"/>
      <w:r w:rsidRPr="003E1B73">
        <w:rPr>
          <w:i/>
          <w:iCs/>
          <w:sz w:val="20"/>
          <w:szCs w:val="20"/>
        </w:rPr>
        <w:t xml:space="preserve"> ad G. Camden</w:t>
      </w:r>
      <w:r w:rsidRPr="003E1B73">
        <w:rPr>
          <w:sz w:val="20"/>
          <w:szCs w:val="20"/>
        </w:rPr>
        <w:t xml:space="preserve"> </w:t>
      </w:r>
      <w:r w:rsidRPr="003E1B73">
        <w:rPr>
          <w:i/>
          <w:iCs/>
          <w:sz w:val="20"/>
          <w:szCs w:val="20"/>
        </w:rPr>
        <w:t>Epistolae</w:t>
      </w:r>
      <w:r w:rsidRPr="003E1B73">
        <w:rPr>
          <w:sz w:val="20"/>
          <w:szCs w:val="20"/>
        </w:rPr>
        <w:t xml:space="preserve"> (London: Richard Chiswell, 1691) 12, </w:t>
      </w:r>
      <w:proofErr w:type="spellStart"/>
      <w:r w:rsidRPr="003E1B73">
        <w:rPr>
          <w:sz w:val="20"/>
          <w:szCs w:val="20"/>
        </w:rPr>
        <w:t>Epistola</w:t>
      </w:r>
      <w:proofErr w:type="spellEnd"/>
      <w:r w:rsidRPr="003E1B73">
        <w:rPr>
          <w:sz w:val="20"/>
          <w:szCs w:val="20"/>
        </w:rPr>
        <w:t xml:space="preserve"> VIII</w:t>
      </w:r>
    </w:p>
  </w:footnote>
  <w:footnote w:id="5">
    <w:p w14:paraId="2F027236" w14:textId="61B8B57F" w:rsidR="00E863E0" w:rsidRDefault="00E863E0" w:rsidP="00D55A7C">
      <w:pPr>
        <w:pStyle w:val="FootnoteText"/>
        <w:spacing w:line="480" w:lineRule="auto"/>
      </w:pPr>
      <w:r>
        <w:rPr>
          <w:rStyle w:val="FootnoteReference"/>
        </w:rPr>
        <w:footnoteRef/>
      </w:r>
      <w:r>
        <w:t xml:space="preserve"> </w:t>
      </w:r>
      <w:r w:rsidR="003553D1" w:rsidRPr="003E1B73">
        <w:rPr>
          <w:sz w:val="20"/>
          <w:szCs w:val="20"/>
        </w:rPr>
        <w:t xml:space="preserve">Ernest R. Holloway III, </w:t>
      </w:r>
      <w:r w:rsidR="003553D1" w:rsidRPr="003E1B73">
        <w:rPr>
          <w:i/>
          <w:iCs/>
          <w:sz w:val="20"/>
          <w:szCs w:val="20"/>
        </w:rPr>
        <w:t>Andrew Melville and Humanism in Renaissance Scotland 1545–1622</w:t>
      </w:r>
      <w:r w:rsidR="003553D1" w:rsidRPr="003E1B73">
        <w:rPr>
          <w:sz w:val="20"/>
          <w:szCs w:val="20"/>
        </w:rPr>
        <w:t xml:space="preserve"> (Leiden: Brill, 2011) 217</w:t>
      </w:r>
      <w:r w:rsidR="004F42E8" w:rsidRPr="003E1B73">
        <w:rPr>
          <w:sz w:val="20"/>
          <w:szCs w:val="20"/>
        </w:rPr>
        <w:t>; Feingold, 131.</w:t>
      </w:r>
      <w:r w:rsidR="004F42E8">
        <w:t xml:space="preserve"> </w:t>
      </w:r>
    </w:p>
  </w:footnote>
  <w:footnote w:id="6">
    <w:p w14:paraId="3A9CC269" w14:textId="0E3FCF16" w:rsidR="007C2380" w:rsidRDefault="007C2380" w:rsidP="00D55A7C">
      <w:pPr>
        <w:pStyle w:val="FootnoteText"/>
        <w:spacing w:line="480" w:lineRule="auto"/>
      </w:pPr>
      <w:r>
        <w:rPr>
          <w:rStyle w:val="FootnoteReference"/>
        </w:rPr>
        <w:footnoteRef/>
      </w:r>
      <w:r>
        <w:t xml:space="preserve"> </w:t>
      </w:r>
      <w:r w:rsidRPr="003E1B73">
        <w:rPr>
          <w:sz w:val="20"/>
          <w:szCs w:val="20"/>
        </w:rPr>
        <w:t xml:space="preserve">Tycho Brahe to Thomas Savile, </w:t>
      </w:r>
      <w:r w:rsidRPr="003E1B73">
        <w:rPr>
          <w:i/>
          <w:iCs/>
          <w:sz w:val="20"/>
          <w:szCs w:val="20"/>
        </w:rPr>
        <w:t>A Collection of Letters Illustrative of the Progress of Science in England</w:t>
      </w:r>
      <w:r w:rsidRPr="003E1B73">
        <w:rPr>
          <w:sz w:val="20"/>
          <w:szCs w:val="20"/>
        </w:rPr>
        <w:t>, James Orchard Halliwell-Phillipps (London: R. and J. E. Taylor, 1846) 32–3. Cf British Library Harley MS 6995, 21</w:t>
      </w:r>
      <w:r w:rsidRPr="003E1B73">
        <w:rPr>
          <w:sz w:val="20"/>
          <w:szCs w:val="20"/>
          <w:vertAlign w:val="superscript"/>
        </w:rPr>
        <w:t>r</w:t>
      </w:r>
      <w:r w:rsidRPr="003E1B73">
        <w:rPr>
          <w:sz w:val="20"/>
          <w:szCs w:val="20"/>
        </w:rPr>
        <w:t>.</w:t>
      </w:r>
    </w:p>
  </w:footnote>
  <w:footnote w:id="7">
    <w:p w14:paraId="0CC76718" w14:textId="77777777" w:rsidR="007C2380" w:rsidRDefault="007C2380" w:rsidP="00D55A7C">
      <w:pPr>
        <w:pStyle w:val="FootnoteText"/>
        <w:spacing w:line="480" w:lineRule="auto"/>
      </w:pPr>
      <w:r>
        <w:rPr>
          <w:rStyle w:val="FootnoteReference"/>
        </w:rPr>
        <w:footnoteRef/>
      </w:r>
      <w:r>
        <w:t xml:space="preserve"> </w:t>
      </w:r>
      <w:r w:rsidRPr="003E1B73">
        <w:rPr>
          <w:sz w:val="20"/>
          <w:szCs w:val="20"/>
        </w:rPr>
        <w:t>Feingold, 129</w:t>
      </w:r>
    </w:p>
  </w:footnote>
  <w:footnote w:id="8">
    <w:p w14:paraId="2775DA68" w14:textId="0D025581" w:rsidR="00E56DC8" w:rsidRDefault="00E56DC8" w:rsidP="00D55A7C">
      <w:pPr>
        <w:pStyle w:val="FootnoteText"/>
        <w:spacing w:line="480" w:lineRule="auto"/>
      </w:pPr>
      <w:r>
        <w:rPr>
          <w:rStyle w:val="FootnoteReference"/>
        </w:rPr>
        <w:footnoteRef/>
      </w:r>
      <w:r>
        <w:t xml:space="preserve"> </w:t>
      </w:r>
      <w:r w:rsidRPr="003E1B73">
        <w:rPr>
          <w:sz w:val="20"/>
          <w:szCs w:val="20"/>
        </w:rPr>
        <w:t xml:space="preserve">Bayerische </w:t>
      </w:r>
      <w:proofErr w:type="spellStart"/>
      <w:r w:rsidRPr="003E1B73">
        <w:rPr>
          <w:sz w:val="20"/>
          <w:szCs w:val="20"/>
        </w:rPr>
        <w:t>Staatsbibliothek</w:t>
      </w:r>
      <w:proofErr w:type="spellEnd"/>
      <w:r w:rsidRPr="003E1B73">
        <w:rPr>
          <w:sz w:val="20"/>
          <w:szCs w:val="20"/>
        </w:rPr>
        <w:t xml:space="preserve">, MS </w:t>
      </w:r>
      <w:proofErr w:type="spellStart"/>
      <w:r w:rsidRPr="003E1B73">
        <w:rPr>
          <w:sz w:val="20"/>
          <w:szCs w:val="20"/>
        </w:rPr>
        <w:t>Clm</w:t>
      </w:r>
      <w:proofErr w:type="spellEnd"/>
      <w:r w:rsidRPr="003E1B73">
        <w:rPr>
          <w:sz w:val="20"/>
          <w:szCs w:val="20"/>
        </w:rPr>
        <w:t xml:space="preserve"> 719, </w:t>
      </w:r>
      <w:proofErr w:type="spellStart"/>
      <w:r w:rsidR="00F330F3" w:rsidRPr="003E1B73">
        <w:rPr>
          <w:sz w:val="20"/>
          <w:szCs w:val="20"/>
        </w:rPr>
        <w:t>fols</w:t>
      </w:r>
      <w:proofErr w:type="spellEnd"/>
      <w:r w:rsidR="00F330F3" w:rsidRPr="003E1B73">
        <w:rPr>
          <w:sz w:val="20"/>
          <w:szCs w:val="20"/>
        </w:rPr>
        <w:t xml:space="preserve">. 71–4. The manuscript has been digitised and can be accessed </w:t>
      </w:r>
      <w:hyperlink r:id="rId1" w:history="1">
        <w:r w:rsidR="00F330F3" w:rsidRPr="003E1B73">
          <w:rPr>
            <w:rStyle w:val="Hyperlink"/>
            <w:sz w:val="20"/>
            <w:szCs w:val="20"/>
          </w:rPr>
          <w:t>online</w:t>
        </w:r>
      </w:hyperlink>
      <w:r w:rsidR="00F330F3" w:rsidRPr="003E1B73">
        <w:rPr>
          <w:sz w:val="20"/>
          <w:szCs w:val="20"/>
        </w:rPr>
        <w:t>.</w:t>
      </w:r>
      <w:r w:rsidR="00F330F3">
        <w:t xml:space="preserve"> </w:t>
      </w:r>
    </w:p>
  </w:footnote>
  <w:footnote w:id="9">
    <w:p w14:paraId="6ACF1B46" w14:textId="77777777" w:rsidR="00C33AAE" w:rsidRDefault="00C33AAE" w:rsidP="00D55A7C">
      <w:pPr>
        <w:pStyle w:val="FootnoteText"/>
        <w:spacing w:line="480" w:lineRule="auto"/>
      </w:pPr>
      <w:r>
        <w:rPr>
          <w:rStyle w:val="FootnoteReference"/>
        </w:rPr>
        <w:footnoteRef/>
      </w:r>
      <w:r>
        <w:t xml:space="preserve"> </w:t>
      </w:r>
      <w:r w:rsidRPr="003E1B73">
        <w:rPr>
          <w:sz w:val="20"/>
          <w:szCs w:val="20"/>
        </w:rPr>
        <w:t xml:space="preserve">R124 sup., </w:t>
      </w:r>
      <w:proofErr w:type="spellStart"/>
      <w:r w:rsidRPr="003E1B73">
        <w:rPr>
          <w:sz w:val="20"/>
          <w:szCs w:val="20"/>
        </w:rPr>
        <w:t>unità</w:t>
      </w:r>
      <w:proofErr w:type="spellEnd"/>
      <w:r w:rsidRPr="003E1B73">
        <w:rPr>
          <w:sz w:val="20"/>
          <w:szCs w:val="20"/>
        </w:rPr>
        <w:t xml:space="preserve"> </w:t>
      </w:r>
      <w:proofErr w:type="spellStart"/>
      <w:r w:rsidRPr="003E1B73">
        <w:rPr>
          <w:sz w:val="20"/>
          <w:szCs w:val="20"/>
        </w:rPr>
        <w:t>codicologica</w:t>
      </w:r>
      <w:proofErr w:type="spellEnd"/>
      <w:r w:rsidRPr="003E1B73">
        <w:rPr>
          <w:sz w:val="20"/>
          <w:szCs w:val="20"/>
        </w:rPr>
        <w:t xml:space="preserve"> 17, </w:t>
      </w:r>
      <w:proofErr w:type="spellStart"/>
      <w:r w:rsidRPr="003E1B73">
        <w:rPr>
          <w:sz w:val="20"/>
          <w:szCs w:val="20"/>
        </w:rPr>
        <w:t>fols</w:t>
      </w:r>
      <w:proofErr w:type="spellEnd"/>
      <w:r w:rsidRPr="003E1B73">
        <w:rPr>
          <w:sz w:val="20"/>
          <w:szCs w:val="20"/>
        </w:rPr>
        <w:t xml:space="preserve"> 15</w:t>
      </w:r>
      <w:r w:rsidRPr="003E1B73">
        <w:rPr>
          <w:sz w:val="20"/>
          <w:szCs w:val="20"/>
          <w:vertAlign w:val="superscript"/>
        </w:rPr>
        <w:t>v</w:t>
      </w:r>
      <w:r w:rsidRPr="003E1B73">
        <w:rPr>
          <w:sz w:val="20"/>
          <w:szCs w:val="20"/>
        </w:rPr>
        <w:t>; 16</w:t>
      </w:r>
      <w:r w:rsidRPr="003E1B73">
        <w:rPr>
          <w:sz w:val="20"/>
          <w:szCs w:val="20"/>
          <w:vertAlign w:val="superscript"/>
        </w:rPr>
        <w:t>r</w:t>
      </w:r>
    </w:p>
  </w:footnote>
  <w:footnote w:id="10">
    <w:p w14:paraId="1768D188" w14:textId="39DD93BF" w:rsidR="001168CE" w:rsidRDefault="001168CE" w:rsidP="00D55A7C">
      <w:pPr>
        <w:pStyle w:val="FootnoteText"/>
        <w:spacing w:line="480" w:lineRule="auto"/>
      </w:pPr>
      <w:r>
        <w:rPr>
          <w:rStyle w:val="FootnoteReference"/>
        </w:rPr>
        <w:footnoteRef/>
      </w:r>
      <w:r>
        <w:t xml:space="preserve"> </w:t>
      </w:r>
      <w:r w:rsidRPr="003E1B73">
        <w:rPr>
          <w:sz w:val="20"/>
          <w:szCs w:val="20"/>
        </w:rPr>
        <w:t xml:space="preserve">Geminus, </w:t>
      </w:r>
      <w:r w:rsidR="00145650" w:rsidRPr="003E1B73">
        <w:rPr>
          <w:i/>
          <w:iCs/>
          <w:sz w:val="20"/>
          <w:szCs w:val="20"/>
        </w:rPr>
        <w:t xml:space="preserve">Gemini Elementa </w:t>
      </w:r>
      <w:proofErr w:type="spellStart"/>
      <w:r w:rsidR="00145650" w:rsidRPr="003E1B73">
        <w:rPr>
          <w:i/>
          <w:iCs/>
          <w:sz w:val="20"/>
          <w:szCs w:val="20"/>
        </w:rPr>
        <w:t>Astronomiae</w:t>
      </w:r>
      <w:proofErr w:type="spellEnd"/>
      <w:r w:rsidR="00145650" w:rsidRPr="003E1B73">
        <w:rPr>
          <w:sz w:val="20"/>
          <w:szCs w:val="20"/>
        </w:rPr>
        <w:t xml:space="preserve"> (Leipzig: B. G. Teubner, 1898) p. XXII </w:t>
      </w:r>
    </w:p>
  </w:footnote>
  <w:footnote w:id="11">
    <w:p w14:paraId="3F187298" w14:textId="6A640FF8" w:rsidR="00145650" w:rsidRDefault="00145650" w:rsidP="00D55A7C">
      <w:pPr>
        <w:pStyle w:val="FootnoteText"/>
        <w:spacing w:line="480" w:lineRule="auto"/>
      </w:pPr>
      <w:r>
        <w:rPr>
          <w:rStyle w:val="FootnoteReference"/>
        </w:rPr>
        <w:footnoteRef/>
      </w:r>
      <w:r>
        <w:t xml:space="preserve"> </w:t>
      </w:r>
      <w:r w:rsidRPr="003E1B73">
        <w:rPr>
          <w:sz w:val="20"/>
          <w:szCs w:val="20"/>
        </w:rPr>
        <w:t>Geminus (1898) p. XXIII</w:t>
      </w:r>
    </w:p>
  </w:footnote>
  <w:footnote w:id="12">
    <w:p w14:paraId="1C318E9B" w14:textId="18B13839" w:rsidR="00651E01" w:rsidRDefault="00651E01" w:rsidP="00D55A7C">
      <w:pPr>
        <w:pStyle w:val="FootnoteText"/>
        <w:spacing w:line="480" w:lineRule="auto"/>
      </w:pPr>
      <w:r>
        <w:rPr>
          <w:rStyle w:val="FootnoteReference"/>
        </w:rPr>
        <w:footnoteRef/>
      </w:r>
      <w:r>
        <w:t xml:space="preserve"> </w:t>
      </w:r>
      <w:r w:rsidRPr="003E1B73">
        <w:rPr>
          <w:sz w:val="20"/>
          <w:szCs w:val="20"/>
        </w:rPr>
        <w:t>Geminus (1898) p. XXIII</w:t>
      </w:r>
    </w:p>
  </w:footnote>
  <w:footnote w:id="13">
    <w:p w14:paraId="5B78204A" w14:textId="40A9998D" w:rsidR="000A3F0E" w:rsidRDefault="000A3F0E" w:rsidP="00D55A7C">
      <w:pPr>
        <w:pStyle w:val="FootnoteText"/>
        <w:spacing w:line="480" w:lineRule="auto"/>
      </w:pPr>
      <w:r>
        <w:rPr>
          <w:rStyle w:val="FootnoteReference"/>
        </w:rPr>
        <w:footnoteRef/>
      </w:r>
      <w:r>
        <w:t xml:space="preserve"> </w:t>
      </w:r>
      <w:proofErr w:type="spellStart"/>
      <w:r w:rsidR="005D2287" w:rsidRPr="003E1B73">
        <w:rPr>
          <w:sz w:val="20"/>
          <w:szCs w:val="20"/>
        </w:rPr>
        <w:t>Géminos</w:t>
      </w:r>
      <w:proofErr w:type="spellEnd"/>
      <w:r w:rsidR="006424BF" w:rsidRPr="003E1B73">
        <w:rPr>
          <w:sz w:val="20"/>
          <w:szCs w:val="20"/>
        </w:rPr>
        <w:t xml:space="preserve">, </w:t>
      </w:r>
      <w:r w:rsidR="006424BF" w:rsidRPr="003E1B73">
        <w:rPr>
          <w:i/>
          <w:iCs/>
          <w:sz w:val="20"/>
          <w:szCs w:val="20"/>
        </w:rPr>
        <w:t xml:space="preserve">Introduction aux </w:t>
      </w:r>
      <w:proofErr w:type="spellStart"/>
      <w:r w:rsidR="006424BF" w:rsidRPr="003E1B73">
        <w:rPr>
          <w:i/>
          <w:iCs/>
          <w:sz w:val="20"/>
          <w:szCs w:val="20"/>
        </w:rPr>
        <w:t>Phénomènes</w:t>
      </w:r>
      <w:proofErr w:type="spellEnd"/>
      <w:r w:rsidR="006424BF" w:rsidRPr="003E1B73">
        <w:rPr>
          <w:sz w:val="20"/>
          <w:szCs w:val="20"/>
        </w:rPr>
        <w:t xml:space="preserve">, ed. and trans. Germaine </w:t>
      </w:r>
      <w:proofErr w:type="spellStart"/>
      <w:r w:rsidR="006424BF" w:rsidRPr="003E1B73">
        <w:rPr>
          <w:sz w:val="20"/>
          <w:szCs w:val="20"/>
        </w:rPr>
        <w:t>Aujac</w:t>
      </w:r>
      <w:proofErr w:type="spellEnd"/>
      <w:r w:rsidR="006424BF" w:rsidRPr="003E1B73">
        <w:rPr>
          <w:sz w:val="20"/>
          <w:szCs w:val="20"/>
        </w:rPr>
        <w:t xml:space="preserve"> (Paris: Les Belles Lettres, 1975) p. XCI</w:t>
      </w:r>
    </w:p>
  </w:footnote>
  <w:footnote w:id="14">
    <w:p w14:paraId="57742FEF" w14:textId="38D04CF9" w:rsidR="009E6912" w:rsidRDefault="009E6912" w:rsidP="00D55A7C">
      <w:pPr>
        <w:pStyle w:val="FootnoteText"/>
        <w:spacing w:line="480" w:lineRule="auto"/>
      </w:pPr>
      <w:r>
        <w:rPr>
          <w:rStyle w:val="FootnoteReference"/>
        </w:rPr>
        <w:footnoteRef/>
      </w:r>
      <w:r>
        <w:t xml:space="preserve"> </w:t>
      </w:r>
      <w:r w:rsidRPr="003E1B73">
        <w:rPr>
          <w:sz w:val="20"/>
          <w:szCs w:val="20"/>
        </w:rPr>
        <w:t xml:space="preserve">Geminus, </w:t>
      </w:r>
      <w:proofErr w:type="spellStart"/>
      <w:r w:rsidRPr="003E1B73">
        <w:rPr>
          <w:i/>
          <w:iCs/>
          <w:sz w:val="20"/>
          <w:szCs w:val="20"/>
        </w:rPr>
        <w:t>Geminos’s</w:t>
      </w:r>
      <w:proofErr w:type="spellEnd"/>
      <w:r w:rsidRPr="003E1B73">
        <w:rPr>
          <w:i/>
          <w:iCs/>
          <w:sz w:val="20"/>
          <w:szCs w:val="20"/>
        </w:rPr>
        <w:t xml:space="preserve"> Introduction to the Phenomena: A Translation and Study of a Hellenistic Survey of Astronomy</w:t>
      </w:r>
      <w:r w:rsidRPr="003E1B73">
        <w:rPr>
          <w:sz w:val="20"/>
          <w:szCs w:val="20"/>
        </w:rPr>
        <w:t>, ed. and trans. James Evans and Lennart Berggren (Princeton and Oxford: Princeton University Press, 2006) 2</w:t>
      </w:r>
    </w:p>
  </w:footnote>
  <w:footnote w:id="15">
    <w:p w14:paraId="0F081298" w14:textId="77777777" w:rsidR="00090A6A" w:rsidRDefault="00090A6A" w:rsidP="00D55A7C">
      <w:pPr>
        <w:pStyle w:val="FootnoteText"/>
        <w:spacing w:line="480" w:lineRule="auto"/>
      </w:pPr>
      <w:r>
        <w:rPr>
          <w:rStyle w:val="FootnoteReference"/>
        </w:rPr>
        <w:footnoteRef/>
      </w:r>
      <w:r>
        <w:t xml:space="preserve"> </w:t>
      </w:r>
      <w:r w:rsidRPr="00EE345F">
        <w:rPr>
          <w:sz w:val="20"/>
          <w:szCs w:val="20"/>
        </w:rPr>
        <w:t>Robert B. Todd, ‘Geminus and the Ps.-</w:t>
      </w:r>
      <w:proofErr w:type="spellStart"/>
      <w:r w:rsidRPr="00EE345F">
        <w:rPr>
          <w:sz w:val="20"/>
          <w:szCs w:val="20"/>
        </w:rPr>
        <w:t>Proclan</w:t>
      </w:r>
      <w:proofErr w:type="spellEnd"/>
      <w:r w:rsidRPr="00EE345F">
        <w:rPr>
          <w:sz w:val="20"/>
          <w:szCs w:val="20"/>
        </w:rPr>
        <w:t xml:space="preserve"> </w:t>
      </w:r>
      <w:proofErr w:type="spellStart"/>
      <w:r w:rsidRPr="00EE345F">
        <w:rPr>
          <w:sz w:val="20"/>
          <w:szCs w:val="20"/>
        </w:rPr>
        <w:t>Sphaera</w:t>
      </w:r>
      <w:proofErr w:type="spellEnd"/>
      <w:r w:rsidRPr="00EE345F">
        <w:rPr>
          <w:sz w:val="20"/>
          <w:szCs w:val="20"/>
        </w:rPr>
        <w:t xml:space="preserve">’, </w:t>
      </w:r>
      <w:proofErr w:type="spellStart"/>
      <w:r w:rsidRPr="00EE345F">
        <w:rPr>
          <w:i/>
          <w:iCs/>
          <w:sz w:val="20"/>
          <w:szCs w:val="20"/>
        </w:rPr>
        <w:t>Catalogus</w:t>
      </w:r>
      <w:proofErr w:type="spellEnd"/>
      <w:r w:rsidRPr="00EE345F">
        <w:rPr>
          <w:i/>
          <w:iCs/>
          <w:sz w:val="20"/>
          <w:szCs w:val="20"/>
        </w:rPr>
        <w:t xml:space="preserve"> </w:t>
      </w:r>
      <w:proofErr w:type="spellStart"/>
      <w:r w:rsidRPr="00EE345F">
        <w:rPr>
          <w:i/>
          <w:iCs/>
          <w:sz w:val="20"/>
          <w:szCs w:val="20"/>
        </w:rPr>
        <w:t>Translationum</w:t>
      </w:r>
      <w:proofErr w:type="spellEnd"/>
      <w:r w:rsidRPr="00EE345F">
        <w:rPr>
          <w:i/>
          <w:iCs/>
          <w:sz w:val="20"/>
          <w:szCs w:val="20"/>
        </w:rPr>
        <w:t xml:space="preserve"> et </w:t>
      </w:r>
      <w:proofErr w:type="spellStart"/>
      <w:r w:rsidRPr="00EE345F">
        <w:rPr>
          <w:i/>
          <w:iCs/>
          <w:sz w:val="20"/>
          <w:szCs w:val="20"/>
        </w:rPr>
        <w:t>Commentatiorum</w:t>
      </w:r>
      <w:proofErr w:type="spellEnd"/>
      <w:r w:rsidRPr="00EE345F">
        <w:rPr>
          <w:sz w:val="20"/>
          <w:szCs w:val="20"/>
        </w:rPr>
        <w:t>, vol. 8, ed. Virginia Brown, James Hankins and Robert A. Kaster (Washington, D.C.: The Catholic University of America Press, 2003) 7–48</w:t>
      </w:r>
    </w:p>
  </w:footnote>
  <w:footnote w:id="16">
    <w:p w14:paraId="14BB468D" w14:textId="5950A675" w:rsidR="00D85541" w:rsidRDefault="00D85541" w:rsidP="00D55A7C">
      <w:pPr>
        <w:pStyle w:val="FootnoteText"/>
        <w:spacing w:line="480" w:lineRule="auto"/>
      </w:pPr>
      <w:r>
        <w:rPr>
          <w:rStyle w:val="FootnoteReference"/>
        </w:rPr>
        <w:footnoteRef/>
      </w:r>
      <w:r>
        <w:t xml:space="preserve"> </w:t>
      </w:r>
      <w:r w:rsidRPr="00EE345F">
        <w:rPr>
          <w:sz w:val="20"/>
          <w:szCs w:val="20"/>
        </w:rPr>
        <w:t xml:space="preserve">Robert B. Todd, ‘Henry and Thomas Savile in Italy’, </w:t>
      </w:r>
      <w:r w:rsidRPr="00EE345F">
        <w:rPr>
          <w:i/>
          <w:iCs/>
          <w:sz w:val="20"/>
          <w:szCs w:val="20"/>
        </w:rPr>
        <w:t xml:space="preserve">Bibliothèque </w:t>
      </w:r>
      <w:proofErr w:type="spellStart"/>
      <w:r w:rsidRPr="00EE345F">
        <w:rPr>
          <w:i/>
          <w:iCs/>
          <w:sz w:val="20"/>
          <w:szCs w:val="20"/>
        </w:rPr>
        <w:t>d'Humanisme</w:t>
      </w:r>
      <w:proofErr w:type="spellEnd"/>
      <w:r w:rsidRPr="00EE345F">
        <w:rPr>
          <w:i/>
          <w:iCs/>
          <w:sz w:val="20"/>
          <w:szCs w:val="20"/>
        </w:rPr>
        <w:t xml:space="preserve"> et Renaissance</w:t>
      </w:r>
      <w:r w:rsidRPr="00EE345F">
        <w:rPr>
          <w:sz w:val="20"/>
          <w:szCs w:val="20"/>
        </w:rPr>
        <w:t xml:space="preserve">, T. 58, No. 2 (1996), pp. 439-444. </w:t>
      </w:r>
      <w:r w:rsidR="00CC37DF" w:rsidRPr="00EE345F">
        <w:rPr>
          <w:sz w:val="20"/>
          <w:szCs w:val="20"/>
        </w:rPr>
        <w:t xml:space="preserve">A </w:t>
      </w:r>
      <w:r w:rsidRPr="00EE345F">
        <w:rPr>
          <w:sz w:val="20"/>
          <w:szCs w:val="20"/>
        </w:rPr>
        <w:t xml:space="preserve">small </w:t>
      </w:r>
      <w:r w:rsidR="00CC37DF" w:rsidRPr="00EE345F">
        <w:rPr>
          <w:sz w:val="20"/>
          <w:szCs w:val="20"/>
        </w:rPr>
        <w:t>point</w:t>
      </w:r>
      <w:r w:rsidRPr="00EE345F">
        <w:rPr>
          <w:sz w:val="20"/>
          <w:szCs w:val="20"/>
        </w:rPr>
        <w:t xml:space="preserve"> to add </w:t>
      </w:r>
      <w:r w:rsidR="00D4057C" w:rsidRPr="00EE345F">
        <w:rPr>
          <w:sz w:val="20"/>
          <w:szCs w:val="20"/>
        </w:rPr>
        <w:t>to Todd’s analysis</w:t>
      </w:r>
      <w:r w:rsidRPr="00EE345F">
        <w:rPr>
          <w:sz w:val="20"/>
          <w:szCs w:val="20"/>
        </w:rPr>
        <w:t xml:space="preserve"> is that </w:t>
      </w:r>
      <w:r w:rsidR="00CC37DF" w:rsidRPr="00EE345F">
        <w:rPr>
          <w:sz w:val="20"/>
          <w:szCs w:val="20"/>
        </w:rPr>
        <w:t>the</w:t>
      </w:r>
      <w:r w:rsidRPr="00EE345F">
        <w:rPr>
          <w:sz w:val="20"/>
          <w:szCs w:val="20"/>
        </w:rPr>
        <w:t xml:space="preserve"> notes on Tacitus</w:t>
      </w:r>
      <w:r w:rsidR="00CC37DF" w:rsidRPr="00EE345F">
        <w:rPr>
          <w:sz w:val="20"/>
          <w:szCs w:val="20"/>
        </w:rPr>
        <w:t xml:space="preserve"> by Henry Savile</w:t>
      </w:r>
      <w:r w:rsidRPr="00EE345F">
        <w:rPr>
          <w:sz w:val="20"/>
          <w:szCs w:val="20"/>
        </w:rPr>
        <w:t xml:space="preserve"> at the </w:t>
      </w:r>
      <w:r w:rsidR="00CC37DF" w:rsidRPr="00EE345F">
        <w:rPr>
          <w:sz w:val="20"/>
          <w:szCs w:val="20"/>
        </w:rPr>
        <w:t xml:space="preserve">Biblioteca </w:t>
      </w:r>
      <w:r w:rsidRPr="00EE345F">
        <w:rPr>
          <w:sz w:val="20"/>
          <w:szCs w:val="20"/>
        </w:rPr>
        <w:t xml:space="preserve">Ambrosiana </w:t>
      </w:r>
      <w:r w:rsidR="00CC37DF" w:rsidRPr="00EE345F">
        <w:rPr>
          <w:sz w:val="20"/>
          <w:szCs w:val="20"/>
        </w:rPr>
        <w:t xml:space="preserve">in fact post-date the brothers’ sojourns in Italy: they have been </w:t>
      </w:r>
      <w:r w:rsidRPr="00EE345F">
        <w:rPr>
          <w:sz w:val="20"/>
          <w:szCs w:val="20"/>
        </w:rPr>
        <w:t xml:space="preserve">translated </w:t>
      </w:r>
      <w:r w:rsidR="00CC37DF" w:rsidRPr="00EE345F">
        <w:rPr>
          <w:sz w:val="20"/>
          <w:szCs w:val="20"/>
        </w:rPr>
        <w:t xml:space="preserve">into Latin and Italian </w:t>
      </w:r>
      <w:r w:rsidRPr="00EE345F">
        <w:rPr>
          <w:sz w:val="20"/>
          <w:szCs w:val="20"/>
        </w:rPr>
        <w:t>from the English commentary of Savile’s translatio</w:t>
      </w:r>
      <w:r w:rsidR="00CC37DF" w:rsidRPr="00EE345F">
        <w:rPr>
          <w:sz w:val="20"/>
          <w:szCs w:val="20"/>
        </w:rPr>
        <w:t>n of 1591 (see Todd, 442).</w:t>
      </w:r>
      <w:r w:rsidR="00CC37DF">
        <w:t xml:space="preserve"> </w:t>
      </w:r>
    </w:p>
  </w:footnote>
  <w:footnote w:id="17">
    <w:p w14:paraId="4A1F61A1" w14:textId="3814142A" w:rsidR="00D4057C" w:rsidRDefault="00D4057C" w:rsidP="00D55A7C">
      <w:pPr>
        <w:pStyle w:val="FootnoteText"/>
        <w:spacing w:line="480" w:lineRule="auto"/>
      </w:pPr>
      <w:r>
        <w:rPr>
          <w:rStyle w:val="FootnoteReference"/>
        </w:rPr>
        <w:footnoteRef/>
      </w:r>
      <w:r>
        <w:t xml:space="preserve"> </w:t>
      </w:r>
      <w:r w:rsidRPr="00EE345F">
        <w:rPr>
          <w:sz w:val="20"/>
          <w:szCs w:val="20"/>
        </w:rPr>
        <w:t xml:space="preserve">Mordechai Feingold, </w:t>
      </w:r>
      <w:r w:rsidRPr="00EE345F">
        <w:rPr>
          <w:i/>
          <w:iCs/>
          <w:sz w:val="20"/>
          <w:szCs w:val="20"/>
        </w:rPr>
        <w:t>The Mathematicians’ Apprenticeship: Science, Universities and Society in England, 1560–1640</w:t>
      </w:r>
      <w:r w:rsidRPr="00EE345F">
        <w:rPr>
          <w:sz w:val="20"/>
          <w:szCs w:val="20"/>
        </w:rPr>
        <w:t xml:space="preserve"> (Cambridge: C.U.P., 1984) 124–33</w:t>
      </w:r>
    </w:p>
  </w:footnote>
  <w:footnote w:id="18">
    <w:p w14:paraId="7D7A7CF9" w14:textId="77777777" w:rsidR="007C53E6" w:rsidRPr="001F0C1B" w:rsidRDefault="007C53E6" w:rsidP="00D55A7C">
      <w:pPr>
        <w:pStyle w:val="FootnoteText"/>
        <w:spacing w:line="480" w:lineRule="auto"/>
      </w:pPr>
      <w:r>
        <w:rPr>
          <w:rStyle w:val="FootnoteReference"/>
        </w:rPr>
        <w:footnoteRef/>
      </w:r>
      <w:r>
        <w:t xml:space="preserve"> </w:t>
      </w:r>
      <w:r w:rsidRPr="00EE345F">
        <w:rPr>
          <w:sz w:val="20"/>
          <w:szCs w:val="20"/>
        </w:rPr>
        <w:t xml:space="preserve">Mark L. </w:t>
      </w:r>
      <w:proofErr w:type="spellStart"/>
      <w:r w:rsidRPr="00EE345F">
        <w:rPr>
          <w:sz w:val="20"/>
          <w:szCs w:val="20"/>
        </w:rPr>
        <w:t>Sosower</w:t>
      </w:r>
      <w:proofErr w:type="spellEnd"/>
      <w:r w:rsidRPr="00EE345F">
        <w:rPr>
          <w:sz w:val="20"/>
          <w:szCs w:val="20"/>
        </w:rPr>
        <w:t xml:space="preserve">, ‘Greek Manuscripts Acquired by Henry and Thomas Savile in Padua’, </w:t>
      </w:r>
      <w:r w:rsidRPr="00EE345F">
        <w:rPr>
          <w:i/>
          <w:sz w:val="20"/>
          <w:szCs w:val="20"/>
        </w:rPr>
        <w:t>The Bodleian Library Record</w:t>
      </w:r>
      <w:r w:rsidRPr="00EE345F">
        <w:rPr>
          <w:sz w:val="20"/>
          <w:szCs w:val="20"/>
        </w:rPr>
        <w:t>, 19.2 (2006) 157–184.</w:t>
      </w:r>
      <w:r>
        <w:t xml:space="preserve"> </w:t>
      </w:r>
    </w:p>
  </w:footnote>
  <w:footnote w:id="19">
    <w:p w14:paraId="327C7CFC" w14:textId="5674F041" w:rsidR="00FF6F34" w:rsidRDefault="00FF6F34" w:rsidP="00D55A7C">
      <w:pPr>
        <w:pStyle w:val="FootnoteText"/>
        <w:spacing w:line="480" w:lineRule="auto"/>
      </w:pPr>
      <w:r>
        <w:rPr>
          <w:rStyle w:val="FootnoteReference"/>
        </w:rPr>
        <w:footnoteRef/>
      </w:r>
      <w:r>
        <w:t xml:space="preserve"> </w:t>
      </w:r>
      <w:r w:rsidRPr="00EE345F">
        <w:rPr>
          <w:sz w:val="20"/>
          <w:szCs w:val="20"/>
        </w:rPr>
        <w:t>Bodleian Library, Savile Manuscript 10,</w:t>
      </w:r>
      <w:r w:rsidR="0047324E" w:rsidRPr="00EE345F">
        <w:rPr>
          <w:sz w:val="20"/>
          <w:szCs w:val="20"/>
        </w:rPr>
        <w:t xml:space="preserve"> fol. 117</w:t>
      </w:r>
      <w:r w:rsidR="0047324E" w:rsidRPr="00EE345F">
        <w:rPr>
          <w:sz w:val="20"/>
          <w:szCs w:val="20"/>
          <w:vertAlign w:val="superscript"/>
        </w:rPr>
        <w:t>v</w:t>
      </w:r>
    </w:p>
  </w:footnote>
  <w:footnote w:id="20">
    <w:p w14:paraId="6EC2B5E1" w14:textId="4FC0B6FE" w:rsidR="00B312E1" w:rsidRDefault="00B312E1" w:rsidP="00D55A7C">
      <w:pPr>
        <w:pStyle w:val="FootnoteText"/>
        <w:spacing w:line="480" w:lineRule="auto"/>
      </w:pPr>
      <w:r>
        <w:rPr>
          <w:rStyle w:val="FootnoteReference"/>
        </w:rPr>
        <w:footnoteRef/>
      </w:r>
      <w:r>
        <w:t xml:space="preserve"> </w:t>
      </w:r>
      <w:r w:rsidRPr="00EE345F">
        <w:rPr>
          <w:sz w:val="20"/>
          <w:szCs w:val="20"/>
        </w:rPr>
        <w:t>Bodleian Library, Savile Manuscript 10,</w:t>
      </w:r>
      <w:r w:rsidR="0047324E" w:rsidRPr="00EE345F">
        <w:rPr>
          <w:sz w:val="20"/>
          <w:szCs w:val="20"/>
        </w:rPr>
        <w:t xml:space="preserve"> f</w:t>
      </w:r>
      <w:r w:rsidRPr="00EE345F">
        <w:rPr>
          <w:sz w:val="20"/>
          <w:szCs w:val="20"/>
        </w:rPr>
        <w:t>ol. 43</w:t>
      </w:r>
      <w:r w:rsidRPr="00EE345F">
        <w:rPr>
          <w:sz w:val="20"/>
          <w:szCs w:val="20"/>
          <w:vertAlign w:val="superscript"/>
        </w:rPr>
        <w:t>r</w:t>
      </w:r>
    </w:p>
  </w:footnote>
  <w:footnote w:id="21">
    <w:p w14:paraId="303EDF08" w14:textId="707D983D" w:rsidR="00EC2E73" w:rsidRDefault="00EC2E73" w:rsidP="00D55A7C">
      <w:pPr>
        <w:pStyle w:val="FootnoteText"/>
        <w:spacing w:line="480" w:lineRule="auto"/>
      </w:pPr>
      <w:r>
        <w:rPr>
          <w:rStyle w:val="FootnoteReference"/>
        </w:rPr>
        <w:footnoteRef/>
      </w:r>
      <w:r>
        <w:t xml:space="preserve"> </w:t>
      </w:r>
      <w:r w:rsidRPr="00EE345F">
        <w:rPr>
          <w:sz w:val="20"/>
          <w:szCs w:val="20"/>
        </w:rPr>
        <w:t xml:space="preserve">Geminus, </w:t>
      </w:r>
      <w:proofErr w:type="spellStart"/>
      <w:r w:rsidRPr="00EE345F">
        <w:rPr>
          <w:sz w:val="20"/>
          <w:szCs w:val="20"/>
        </w:rPr>
        <w:t>Γεμινου</w:t>
      </w:r>
      <w:proofErr w:type="spellEnd"/>
      <w:r w:rsidRPr="00EE345F">
        <w:rPr>
          <w:sz w:val="20"/>
          <w:szCs w:val="20"/>
        </w:rPr>
        <w:t xml:space="preserve"> </w:t>
      </w:r>
      <w:proofErr w:type="spellStart"/>
      <w:r w:rsidRPr="00EE345F">
        <w:rPr>
          <w:sz w:val="20"/>
          <w:szCs w:val="20"/>
        </w:rPr>
        <w:t>Εἰσ</w:t>
      </w:r>
      <w:proofErr w:type="spellEnd"/>
      <w:r w:rsidRPr="00EE345F">
        <w:rPr>
          <w:sz w:val="20"/>
          <w:szCs w:val="20"/>
        </w:rPr>
        <w:t xml:space="preserve">αγωγη </w:t>
      </w:r>
      <w:proofErr w:type="spellStart"/>
      <w:r w:rsidRPr="00EE345F">
        <w:rPr>
          <w:sz w:val="20"/>
          <w:szCs w:val="20"/>
        </w:rPr>
        <w:t>Εἰς</w:t>
      </w:r>
      <w:proofErr w:type="spellEnd"/>
      <w:r w:rsidRPr="00EE345F">
        <w:rPr>
          <w:sz w:val="20"/>
          <w:szCs w:val="20"/>
        </w:rPr>
        <w:t xml:space="preserve"> Τα Φα</w:t>
      </w:r>
      <w:proofErr w:type="spellStart"/>
      <w:r w:rsidRPr="00EE345F">
        <w:rPr>
          <w:sz w:val="20"/>
          <w:szCs w:val="20"/>
        </w:rPr>
        <w:t>ινομεν</w:t>
      </w:r>
      <w:proofErr w:type="spellEnd"/>
      <w:r w:rsidRPr="00EE345F">
        <w:rPr>
          <w:sz w:val="20"/>
          <w:szCs w:val="20"/>
        </w:rPr>
        <w:t xml:space="preserve">α. </w:t>
      </w:r>
      <w:r w:rsidRPr="00EE345F">
        <w:rPr>
          <w:i/>
          <w:iCs/>
          <w:sz w:val="20"/>
          <w:szCs w:val="20"/>
        </w:rPr>
        <w:t xml:space="preserve">Gemini </w:t>
      </w:r>
      <w:proofErr w:type="spellStart"/>
      <w:r w:rsidRPr="00EE345F">
        <w:rPr>
          <w:i/>
          <w:iCs/>
          <w:sz w:val="20"/>
          <w:szCs w:val="20"/>
        </w:rPr>
        <w:t>Probatissimi</w:t>
      </w:r>
      <w:proofErr w:type="spellEnd"/>
      <w:r w:rsidRPr="00EE345F">
        <w:rPr>
          <w:i/>
          <w:iCs/>
          <w:sz w:val="20"/>
          <w:szCs w:val="20"/>
        </w:rPr>
        <w:t xml:space="preserve"> </w:t>
      </w:r>
      <w:proofErr w:type="spellStart"/>
      <w:r w:rsidRPr="00EE345F">
        <w:rPr>
          <w:i/>
          <w:iCs/>
          <w:sz w:val="20"/>
          <w:szCs w:val="20"/>
        </w:rPr>
        <w:t>Philosophi</w:t>
      </w:r>
      <w:proofErr w:type="spellEnd"/>
      <w:r w:rsidRPr="00EE345F">
        <w:rPr>
          <w:i/>
          <w:iCs/>
          <w:sz w:val="20"/>
          <w:szCs w:val="20"/>
        </w:rPr>
        <w:t xml:space="preserve">, ac </w:t>
      </w:r>
      <w:proofErr w:type="spellStart"/>
      <w:r w:rsidRPr="00EE345F">
        <w:rPr>
          <w:i/>
          <w:iCs/>
          <w:sz w:val="20"/>
          <w:szCs w:val="20"/>
        </w:rPr>
        <w:t>Mathematici</w:t>
      </w:r>
      <w:proofErr w:type="spellEnd"/>
      <w:r w:rsidRPr="00EE345F">
        <w:rPr>
          <w:i/>
          <w:iCs/>
          <w:sz w:val="20"/>
          <w:szCs w:val="20"/>
        </w:rPr>
        <w:t xml:space="preserve"> Elementa </w:t>
      </w:r>
      <w:proofErr w:type="spellStart"/>
      <w:r w:rsidRPr="00EE345F">
        <w:rPr>
          <w:i/>
          <w:iCs/>
          <w:sz w:val="20"/>
          <w:szCs w:val="20"/>
        </w:rPr>
        <w:t>Astronomiæ</w:t>
      </w:r>
      <w:proofErr w:type="spellEnd"/>
      <w:r w:rsidRPr="00EE345F">
        <w:rPr>
          <w:sz w:val="20"/>
          <w:szCs w:val="20"/>
        </w:rPr>
        <w:t xml:space="preserve"> (Altdorf: Christopher Lochnar and Johannes Hofmann, 1590) sig. Avi</w:t>
      </w:r>
      <w:r w:rsidRPr="00EE345F">
        <w:rPr>
          <w:sz w:val="20"/>
          <w:szCs w:val="20"/>
          <w:vertAlign w:val="superscript"/>
        </w:rPr>
        <w:t>r</w:t>
      </w:r>
    </w:p>
  </w:footnote>
  <w:footnote w:id="22">
    <w:p w14:paraId="165F4A07" w14:textId="354FDDE0" w:rsidR="00EC2E73" w:rsidRPr="00EE345F" w:rsidRDefault="00EC2E73" w:rsidP="00D55A7C">
      <w:pPr>
        <w:pStyle w:val="FootnoteText"/>
        <w:spacing w:line="480" w:lineRule="auto"/>
        <w:rPr>
          <w:sz w:val="20"/>
          <w:szCs w:val="20"/>
        </w:rPr>
      </w:pPr>
      <w:r>
        <w:rPr>
          <w:rStyle w:val="FootnoteReference"/>
        </w:rPr>
        <w:footnoteRef/>
      </w:r>
      <w:r>
        <w:t xml:space="preserve"> </w:t>
      </w:r>
      <w:r w:rsidRPr="00EE345F">
        <w:rPr>
          <w:sz w:val="20"/>
          <w:szCs w:val="20"/>
        </w:rPr>
        <w:t>Geminus (1590) sig. Avi</w:t>
      </w:r>
      <w:r w:rsidRPr="00EE345F">
        <w:rPr>
          <w:sz w:val="20"/>
          <w:szCs w:val="20"/>
          <w:vertAlign w:val="superscript"/>
        </w:rPr>
        <w:t>r-v</w:t>
      </w:r>
    </w:p>
  </w:footnote>
  <w:footnote w:id="23">
    <w:p w14:paraId="5BD732B9" w14:textId="77777777" w:rsidR="00DD3154" w:rsidRDefault="00DD3154" w:rsidP="00D55A7C">
      <w:pPr>
        <w:pStyle w:val="FootnoteText"/>
        <w:spacing w:line="480" w:lineRule="auto"/>
      </w:pPr>
      <w:r>
        <w:rPr>
          <w:rStyle w:val="FootnoteReference"/>
        </w:rPr>
        <w:footnoteRef/>
      </w:r>
      <w:r>
        <w:t xml:space="preserve"> </w:t>
      </w:r>
      <w:r w:rsidRPr="00EE345F">
        <w:rPr>
          <w:sz w:val="20"/>
          <w:szCs w:val="20"/>
        </w:rPr>
        <w:t xml:space="preserve">James Ussher, </w:t>
      </w:r>
      <w:r w:rsidRPr="00EE345F">
        <w:rPr>
          <w:i/>
          <w:iCs/>
          <w:sz w:val="20"/>
          <w:szCs w:val="20"/>
        </w:rPr>
        <w:t xml:space="preserve">Jacobi </w:t>
      </w:r>
      <w:proofErr w:type="spellStart"/>
      <w:r w:rsidRPr="00EE345F">
        <w:rPr>
          <w:i/>
          <w:iCs/>
          <w:sz w:val="20"/>
          <w:szCs w:val="20"/>
        </w:rPr>
        <w:t>Usserii</w:t>
      </w:r>
      <w:proofErr w:type="spellEnd"/>
      <w:r w:rsidRPr="00EE345F">
        <w:rPr>
          <w:i/>
          <w:iCs/>
          <w:sz w:val="20"/>
          <w:szCs w:val="20"/>
        </w:rPr>
        <w:t xml:space="preserve"> </w:t>
      </w:r>
      <w:proofErr w:type="spellStart"/>
      <w:r w:rsidRPr="00EE345F">
        <w:rPr>
          <w:i/>
          <w:iCs/>
          <w:sz w:val="20"/>
          <w:szCs w:val="20"/>
        </w:rPr>
        <w:t>Armachani</w:t>
      </w:r>
      <w:proofErr w:type="spellEnd"/>
      <w:r w:rsidRPr="00EE345F">
        <w:rPr>
          <w:i/>
          <w:iCs/>
          <w:sz w:val="20"/>
          <w:szCs w:val="20"/>
        </w:rPr>
        <w:t xml:space="preserve"> De </w:t>
      </w:r>
      <w:proofErr w:type="spellStart"/>
      <w:r w:rsidRPr="00EE345F">
        <w:rPr>
          <w:i/>
          <w:iCs/>
          <w:sz w:val="20"/>
          <w:szCs w:val="20"/>
        </w:rPr>
        <w:t>Macedonum</w:t>
      </w:r>
      <w:proofErr w:type="spellEnd"/>
      <w:r w:rsidRPr="00EE345F">
        <w:rPr>
          <w:i/>
          <w:iCs/>
          <w:sz w:val="20"/>
          <w:szCs w:val="20"/>
        </w:rPr>
        <w:t xml:space="preserve"> et </w:t>
      </w:r>
      <w:proofErr w:type="spellStart"/>
      <w:r w:rsidRPr="00EE345F">
        <w:rPr>
          <w:i/>
          <w:iCs/>
          <w:sz w:val="20"/>
          <w:szCs w:val="20"/>
        </w:rPr>
        <w:t>Assianorum</w:t>
      </w:r>
      <w:proofErr w:type="spellEnd"/>
      <w:r w:rsidRPr="00EE345F">
        <w:rPr>
          <w:i/>
          <w:iCs/>
          <w:sz w:val="20"/>
          <w:szCs w:val="20"/>
        </w:rPr>
        <w:t xml:space="preserve"> anno </w:t>
      </w:r>
      <w:proofErr w:type="spellStart"/>
      <w:r w:rsidRPr="00EE345F">
        <w:rPr>
          <w:i/>
          <w:iCs/>
          <w:sz w:val="20"/>
          <w:szCs w:val="20"/>
        </w:rPr>
        <w:t>solari</w:t>
      </w:r>
      <w:proofErr w:type="spellEnd"/>
      <w:r w:rsidRPr="00EE345F">
        <w:rPr>
          <w:i/>
          <w:iCs/>
          <w:sz w:val="20"/>
          <w:szCs w:val="20"/>
        </w:rPr>
        <w:t xml:space="preserve"> </w:t>
      </w:r>
      <w:proofErr w:type="spellStart"/>
      <w:r w:rsidRPr="00EE345F">
        <w:rPr>
          <w:i/>
          <w:iCs/>
          <w:sz w:val="20"/>
          <w:szCs w:val="20"/>
        </w:rPr>
        <w:t>Dissertatio</w:t>
      </w:r>
      <w:proofErr w:type="spellEnd"/>
      <w:r w:rsidRPr="00EE345F">
        <w:rPr>
          <w:sz w:val="20"/>
          <w:szCs w:val="20"/>
        </w:rPr>
        <w:t xml:space="preserve"> (London: M. Flesher, 1648) 63</w:t>
      </w:r>
    </w:p>
  </w:footnote>
  <w:footnote w:id="24">
    <w:p w14:paraId="16E0728F" w14:textId="77777777" w:rsidR="00826409" w:rsidRDefault="00826409" w:rsidP="00D55A7C">
      <w:pPr>
        <w:pStyle w:val="FootnoteText"/>
        <w:spacing w:line="480" w:lineRule="auto"/>
      </w:pPr>
      <w:r>
        <w:rPr>
          <w:rStyle w:val="FootnoteReference"/>
        </w:rPr>
        <w:footnoteRef/>
      </w:r>
      <w:r>
        <w:t xml:space="preserve"> </w:t>
      </w:r>
      <w:r w:rsidRPr="00EE345F">
        <w:rPr>
          <w:sz w:val="20"/>
          <w:szCs w:val="20"/>
        </w:rPr>
        <w:t xml:space="preserve">Biblioteca </w:t>
      </w:r>
      <w:proofErr w:type="spellStart"/>
      <w:r w:rsidRPr="00EE345F">
        <w:rPr>
          <w:sz w:val="20"/>
          <w:szCs w:val="20"/>
        </w:rPr>
        <w:t>Apostolica</w:t>
      </w:r>
      <w:proofErr w:type="spellEnd"/>
      <w:r w:rsidRPr="00EE345F">
        <w:rPr>
          <w:sz w:val="20"/>
          <w:szCs w:val="20"/>
        </w:rPr>
        <w:t xml:space="preserve"> Vaticana, Vat. gr. 318</w:t>
      </w:r>
    </w:p>
  </w:footnote>
  <w:footnote w:id="25">
    <w:p w14:paraId="3B978462" w14:textId="77777777" w:rsidR="00826409" w:rsidRDefault="00826409" w:rsidP="00D55A7C">
      <w:pPr>
        <w:pStyle w:val="FootnoteText"/>
        <w:spacing w:line="480" w:lineRule="auto"/>
      </w:pPr>
      <w:r>
        <w:rPr>
          <w:rStyle w:val="FootnoteReference"/>
        </w:rPr>
        <w:footnoteRef/>
      </w:r>
      <w:r>
        <w:t xml:space="preserve"> </w:t>
      </w:r>
      <w:r w:rsidRPr="00EE345F">
        <w:rPr>
          <w:sz w:val="20"/>
          <w:szCs w:val="20"/>
        </w:rPr>
        <w:t xml:space="preserve">In a letter of </w:t>
      </w:r>
      <w:proofErr w:type="gramStart"/>
      <w:r w:rsidRPr="00EE345F">
        <w:rPr>
          <w:sz w:val="20"/>
          <w:szCs w:val="20"/>
        </w:rPr>
        <w:t>November,</w:t>
      </w:r>
      <w:proofErr w:type="gramEnd"/>
      <w:r w:rsidRPr="00EE345F">
        <w:rPr>
          <w:sz w:val="20"/>
          <w:szCs w:val="20"/>
        </w:rPr>
        <w:t xml:space="preserve"> 1624, Holste wrote to Partick Young, Royal Librarian to James I and Charles I, with details of </w:t>
      </w:r>
      <w:proofErr w:type="spellStart"/>
      <w:r w:rsidRPr="00EE345F">
        <w:rPr>
          <w:sz w:val="20"/>
          <w:szCs w:val="20"/>
        </w:rPr>
        <w:t>Petau’s</w:t>
      </w:r>
      <w:proofErr w:type="spellEnd"/>
      <w:r w:rsidRPr="00EE345F">
        <w:rPr>
          <w:sz w:val="20"/>
          <w:szCs w:val="20"/>
        </w:rPr>
        <w:t xml:space="preserve"> plans for an edition: ‘Gemini </w:t>
      </w:r>
      <w:proofErr w:type="spellStart"/>
      <w:r w:rsidRPr="00EE345F">
        <w:rPr>
          <w:sz w:val="20"/>
          <w:szCs w:val="20"/>
        </w:rPr>
        <w:t>εἰσ</w:t>
      </w:r>
      <w:proofErr w:type="spellEnd"/>
      <w:r w:rsidRPr="00EE345F">
        <w:rPr>
          <w:sz w:val="20"/>
          <w:szCs w:val="20"/>
        </w:rPr>
        <w:t xml:space="preserve">αγωγην </w:t>
      </w:r>
      <w:proofErr w:type="spellStart"/>
      <w:r w:rsidRPr="00EE345F">
        <w:rPr>
          <w:sz w:val="20"/>
          <w:szCs w:val="20"/>
        </w:rPr>
        <w:t>illam</w:t>
      </w:r>
      <w:proofErr w:type="spellEnd"/>
      <w:r w:rsidRPr="00EE345F">
        <w:rPr>
          <w:sz w:val="20"/>
          <w:szCs w:val="20"/>
        </w:rPr>
        <w:t xml:space="preserve"> </w:t>
      </w:r>
      <w:proofErr w:type="spellStart"/>
      <w:r w:rsidRPr="00EE345F">
        <w:rPr>
          <w:sz w:val="20"/>
          <w:szCs w:val="20"/>
        </w:rPr>
        <w:t>eruditissimam</w:t>
      </w:r>
      <w:proofErr w:type="spellEnd"/>
      <w:r w:rsidRPr="00EE345F">
        <w:rPr>
          <w:sz w:val="20"/>
          <w:szCs w:val="20"/>
        </w:rPr>
        <w:t xml:space="preserve"> D. </w:t>
      </w:r>
      <w:proofErr w:type="spellStart"/>
      <w:r w:rsidRPr="00EE345F">
        <w:rPr>
          <w:sz w:val="20"/>
          <w:szCs w:val="20"/>
        </w:rPr>
        <w:t>Petavius</w:t>
      </w:r>
      <w:proofErr w:type="spellEnd"/>
      <w:r w:rsidRPr="00EE345F">
        <w:rPr>
          <w:sz w:val="20"/>
          <w:szCs w:val="20"/>
        </w:rPr>
        <w:t xml:space="preserve"> </w:t>
      </w:r>
      <w:proofErr w:type="spellStart"/>
      <w:r w:rsidRPr="00EE345F">
        <w:rPr>
          <w:sz w:val="20"/>
          <w:szCs w:val="20"/>
        </w:rPr>
        <w:t>suo</w:t>
      </w:r>
      <w:proofErr w:type="spellEnd"/>
      <w:r w:rsidRPr="00EE345F">
        <w:rPr>
          <w:sz w:val="20"/>
          <w:szCs w:val="20"/>
        </w:rPr>
        <w:t xml:space="preserve"> </w:t>
      </w:r>
      <w:proofErr w:type="spellStart"/>
      <w:r w:rsidRPr="00EE345F">
        <w:rPr>
          <w:sz w:val="20"/>
          <w:szCs w:val="20"/>
        </w:rPr>
        <w:t>Χρωνιχων</w:t>
      </w:r>
      <w:proofErr w:type="spellEnd"/>
      <w:r w:rsidRPr="00EE345F">
        <w:rPr>
          <w:sz w:val="20"/>
          <w:szCs w:val="20"/>
        </w:rPr>
        <w:t xml:space="preserve"> </w:t>
      </w:r>
      <w:proofErr w:type="spellStart"/>
      <w:r w:rsidRPr="00EE345F">
        <w:rPr>
          <w:sz w:val="20"/>
          <w:szCs w:val="20"/>
        </w:rPr>
        <w:t>operi</w:t>
      </w:r>
      <w:proofErr w:type="spellEnd"/>
      <w:r w:rsidRPr="00EE345F">
        <w:rPr>
          <w:sz w:val="20"/>
          <w:szCs w:val="20"/>
        </w:rPr>
        <w:t xml:space="preserve"> </w:t>
      </w:r>
      <w:proofErr w:type="spellStart"/>
      <w:r w:rsidRPr="00EE345F">
        <w:rPr>
          <w:sz w:val="20"/>
          <w:szCs w:val="20"/>
        </w:rPr>
        <w:t>subjunget</w:t>
      </w:r>
      <w:proofErr w:type="spellEnd"/>
      <w:r w:rsidRPr="00EE345F">
        <w:rPr>
          <w:sz w:val="20"/>
          <w:szCs w:val="20"/>
        </w:rPr>
        <w:t xml:space="preserve">, </w:t>
      </w:r>
      <w:proofErr w:type="spellStart"/>
      <w:r w:rsidRPr="00EE345F">
        <w:rPr>
          <w:sz w:val="20"/>
          <w:szCs w:val="20"/>
        </w:rPr>
        <w:t>extatque</w:t>
      </w:r>
      <w:proofErr w:type="spellEnd"/>
      <w:r w:rsidRPr="00EE345F">
        <w:rPr>
          <w:sz w:val="20"/>
          <w:szCs w:val="20"/>
        </w:rPr>
        <w:t xml:space="preserve"> in </w:t>
      </w:r>
      <w:proofErr w:type="spellStart"/>
      <w:r w:rsidRPr="00EE345F">
        <w:rPr>
          <w:sz w:val="20"/>
          <w:szCs w:val="20"/>
        </w:rPr>
        <w:t>Oxoniensi</w:t>
      </w:r>
      <w:proofErr w:type="spellEnd"/>
      <w:r w:rsidRPr="00EE345F">
        <w:rPr>
          <w:sz w:val="20"/>
          <w:szCs w:val="20"/>
        </w:rPr>
        <w:t xml:space="preserve"> Mathematicorum </w:t>
      </w:r>
      <w:proofErr w:type="spellStart"/>
      <w:r w:rsidRPr="00EE345F">
        <w:rPr>
          <w:sz w:val="20"/>
          <w:szCs w:val="20"/>
        </w:rPr>
        <w:t>Bibliotecha</w:t>
      </w:r>
      <w:proofErr w:type="spellEnd"/>
      <w:r w:rsidRPr="00EE345F">
        <w:rPr>
          <w:sz w:val="20"/>
          <w:szCs w:val="20"/>
        </w:rPr>
        <w:t xml:space="preserve"> exemplar </w:t>
      </w:r>
      <w:proofErr w:type="spellStart"/>
      <w:r w:rsidRPr="00EE345F">
        <w:rPr>
          <w:sz w:val="20"/>
          <w:szCs w:val="20"/>
        </w:rPr>
        <w:t>sedulo</w:t>
      </w:r>
      <w:proofErr w:type="spellEnd"/>
      <w:r w:rsidRPr="00EE345F">
        <w:rPr>
          <w:sz w:val="20"/>
          <w:szCs w:val="20"/>
        </w:rPr>
        <w:t xml:space="preserve"> a D. </w:t>
      </w:r>
      <w:proofErr w:type="spellStart"/>
      <w:r w:rsidRPr="00EE345F">
        <w:rPr>
          <w:sz w:val="20"/>
          <w:szCs w:val="20"/>
        </w:rPr>
        <w:t>Savilio</w:t>
      </w:r>
      <w:proofErr w:type="spellEnd"/>
      <w:r w:rsidRPr="00EE345F">
        <w:rPr>
          <w:sz w:val="20"/>
          <w:szCs w:val="20"/>
        </w:rPr>
        <w:t xml:space="preserve"> ad MSS. codices </w:t>
      </w:r>
      <w:proofErr w:type="spellStart"/>
      <w:r w:rsidRPr="00EE345F">
        <w:rPr>
          <w:sz w:val="20"/>
          <w:szCs w:val="20"/>
        </w:rPr>
        <w:t>emendatum</w:t>
      </w:r>
      <w:proofErr w:type="spellEnd"/>
      <w:r w:rsidRPr="00EE345F">
        <w:rPr>
          <w:sz w:val="20"/>
          <w:szCs w:val="20"/>
        </w:rPr>
        <w:t>, in</w:t>
      </w:r>
      <w:r>
        <w:t xml:space="preserve"> </w:t>
      </w:r>
      <w:r w:rsidRPr="00EE345F">
        <w:rPr>
          <w:sz w:val="20"/>
          <w:szCs w:val="20"/>
        </w:rPr>
        <w:t xml:space="preserve">quo </w:t>
      </w:r>
      <w:proofErr w:type="spellStart"/>
      <w:r w:rsidRPr="00EE345F">
        <w:rPr>
          <w:sz w:val="20"/>
          <w:szCs w:val="20"/>
        </w:rPr>
        <w:t>multae</w:t>
      </w:r>
      <w:proofErr w:type="spellEnd"/>
      <w:r w:rsidRPr="00EE345F">
        <w:rPr>
          <w:sz w:val="20"/>
          <w:szCs w:val="20"/>
        </w:rPr>
        <w:t xml:space="preserve"> lacunae </w:t>
      </w:r>
      <w:proofErr w:type="spellStart"/>
      <w:r w:rsidRPr="00EE345F">
        <w:rPr>
          <w:sz w:val="20"/>
          <w:szCs w:val="20"/>
        </w:rPr>
        <w:t>supplentur</w:t>
      </w:r>
      <w:proofErr w:type="spellEnd"/>
      <w:r w:rsidRPr="00EE345F">
        <w:rPr>
          <w:sz w:val="20"/>
          <w:szCs w:val="20"/>
        </w:rPr>
        <w:t xml:space="preserve">. Foret id longe </w:t>
      </w:r>
      <w:proofErr w:type="spellStart"/>
      <w:r w:rsidRPr="00EE345F">
        <w:rPr>
          <w:sz w:val="20"/>
          <w:szCs w:val="20"/>
        </w:rPr>
        <w:t>gratissimum</w:t>
      </w:r>
      <w:proofErr w:type="spellEnd"/>
      <w:r w:rsidRPr="00EE345F">
        <w:rPr>
          <w:sz w:val="20"/>
          <w:szCs w:val="20"/>
        </w:rPr>
        <w:t xml:space="preserve"> D. Petavio, </w:t>
      </w:r>
      <w:proofErr w:type="spellStart"/>
      <w:r w:rsidRPr="00EE345F">
        <w:rPr>
          <w:sz w:val="20"/>
          <w:szCs w:val="20"/>
        </w:rPr>
        <w:t>si</w:t>
      </w:r>
      <w:proofErr w:type="spellEnd"/>
      <w:r w:rsidRPr="00EE345F">
        <w:rPr>
          <w:sz w:val="20"/>
          <w:szCs w:val="20"/>
        </w:rPr>
        <w:t xml:space="preserve"> a </w:t>
      </w:r>
      <w:proofErr w:type="spellStart"/>
      <w:r w:rsidRPr="00EE345F">
        <w:rPr>
          <w:sz w:val="20"/>
          <w:szCs w:val="20"/>
        </w:rPr>
        <w:t>Professoribus</w:t>
      </w:r>
      <w:proofErr w:type="spellEnd"/>
      <w:r w:rsidRPr="00EE345F">
        <w:rPr>
          <w:sz w:val="20"/>
          <w:szCs w:val="20"/>
        </w:rPr>
        <w:t xml:space="preserve"> </w:t>
      </w:r>
      <w:proofErr w:type="spellStart"/>
      <w:r w:rsidRPr="00EE345F">
        <w:rPr>
          <w:sz w:val="20"/>
          <w:szCs w:val="20"/>
        </w:rPr>
        <w:t>ejus</w:t>
      </w:r>
      <w:proofErr w:type="spellEnd"/>
      <w:r w:rsidRPr="00EE345F">
        <w:rPr>
          <w:sz w:val="20"/>
          <w:szCs w:val="20"/>
        </w:rPr>
        <w:t xml:space="preserve"> libri </w:t>
      </w:r>
      <w:proofErr w:type="spellStart"/>
      <w:r w:rsidRPr="00EE345F">
        <w:rPr>
          <w:sz w:val="20"/>
          <w:szCs w:val="20"/>
        </w:rPr>
        <w:t>impetrare</w:t>
      </w:r>
      <w:proofErr w:type="spellEnd"/>
      <w:r w:rsidRPr="00EE345F">
        <w:rPr>
          <w:sz w:val="20"/>
          <w:szCs w:val="20"/>
        </w:rPr>
        <w:t xml:space="preserve"> </w:t>
      </w:r>
      <w:proofErr w:type="spellStart"/>
      <w:r w:rsidRPr="00EE345F">
        <w:rPr>
          <w:sz w:val="20"/>
          <w:szCs w:val="20"/>
        </w:rPr>
        <w:t>liceret</w:t>
      </w:r>
      <w:proofErr w:type="spellEnd"/>
      <w:r w:rsidRPr="00EE345F">
        <w:rPr>
          <w:sz w:val="20"/>
          <w:szCs w:val="20"/>
        </w:rPr>
        <w:t>’. In his reply to Holste of May 1625, Young confirmed that he had sent enclosed</w:t>
      </w:r>
      <w:r>
        <w:t xml:space="preserve"> </w:t>
      </w:r>
      <w:r w:rsidRPr="00EE345F">
        <w:rPr>
          <w:sz w:val="20"/>
          <w:szCs w:val="20"/>
        </w:rPr>
        <w:t>the ‘</w:t>
      </w:r>
      <w:proofErr w:type="spellStart"/>
      <w:r w:rsidRPr="00EE345F">
        <w:rPr>
          <w:sz w:val="20"/>
          <w:szCs w:val="20"/>
        </w:rPr>
        <w:t>variantes</w:t>
      </w:r>
      <w:proofErr w:type="spellEnd"/>
      <w:r w:rsidRPr="00EE345F">
        <w:rPr>
          <w:sz w:val="20"/>
          <w:szCs w:val="20"/>
        </w:rPr>
        <w:t xml:space="preserve"> </w:t>
      </w:r>
      <w:proofErr w:type="spellStart"/>
      <w:r w:rsidRPr="00EE345F">
        <w:rPr>
          <w:sz w:val="20"/>
          <w:szCs w:val="20"/>
        </w:rPr>
        <w:t>lectiones</w:t>
      </w:r>
      <w:proofErr w:type="spellEnd"/>
      <w:r w:rsidRPr="00EE345F">
        <w:rPr>
          <w:sz w:val="20"/>
          <w:szCs w:val="20"/>
        </w:rPr>
        <w:t xml:space="preserve"> in </w:t>
      </w:r>
      <w:proofErr w:type="spellStart"/>
      <w:r w:rsidRPr="00EE345F">
        <w:rPr>
          <w:sz w:val="20"/>
          <w:szCs w:val="20"/>
        </w:rPr>
        <w:t>Geminum</w:t>
      </w:r>
      <w:proofErr w:type="spellEnd"/>
      <w:r w:rsidRPr="00EE345F">
        <w:rPr>
          <w:sz w:val="20"/>
          <w:szCs w:val="20"/>
        </w:rPr>
        <w:t>’ through a certain ‘</w:t>
      </w:r>
      <w:proofErr w:type="spellStart"/>
      <w:r w:rsidRPr="00EE345F">
        <w:rPr>
          <w:sz w:val="20"/>
          <w:szCs w:val="20"/>
        </w:rPr>
        <w:t>mercatorem</w:t>
      </w:r>
      <w:proofErr w:type="spellEnd"/>
      <w:r w:rsidRPr="00EE345F">
        <w:rPr>
          <w:sz w:val="20"/>
          <w:szCs w:val="20"/>
        </w:rPr>
        <w:t xml:space="preserve"> </w:t>
      </w:r>
      <w:proofErr w:type="spellStart"/>
      <w:r w:rsidRPr="00EE345F">
        <w:rPr>
          <w:sz w:val="20"/>
          <w:szCs w:val="20"/>
        </w:rPr>
        <w:t>Scotum</w:t>
      </w:r>
      <w:proofErr w:type="spellEnd"/>
      <w:r w:rsidRPr="00EE345F">
        <w:rPr>
          <w:sz w:val="20"/>
          <w:szCs w:val="20"/>
        </w:rPr>
        <w:t xml:space="preserve">’ Patrick Young, </w:t>
      </w:r>
      <w:r w:rsidRPr="00EE345F">
        <w:rPr>
          <w:i/>
          <w:iCs/>
          <w:sz w:val="20"/>
          <w:szCs w:val="20"/>
        </w:rPr>
        <w:t xml:space="preserve">Patricius Junius (Patrick Young): </w:t>
      </w:r>
      <w:proofErr w:type="spellStart"/>
      <w:r w:rsidRPr="00EE345F">
        <w:rPr>
          <w:i/>
          <w:iCs/>
          <w:sz w:val="20"/>
          <w:szCs w:val="20"/>
        </w:rPr>
        <w:t>Bibliothekar</w:t>
      </w:r>
      <w:proofErr w:type="spellEnd"/>
      <w:r w:rsidRPr="00EE345F">
        <w:rPr>
          <w:i/>
          <w:iCs/>
          <w:sz w:val="20"/>
          <w:szCs w:val="20"/>
        </w:rPr>
        <w:t xml:space="preserve"> der </w:t>
      </w:r>
      <w:proofErr w:type="spellStart"/>
      <w:r w:rsidRPr="00EE345F">
        <w:rPr>
          <w:i/>
          <w:iCs/>
          <w:sz w:val="20"/>
          <w:szCs w:val="20"/>
        </w:rPr>
        <w:t>Könige</w:t>
      </w:r>
      <w:proofErr w:type="spellEnd"/>
      <w:r w:rsidRPr="00EE345F">
        <w:rPr>
          <w:i/>
          <w:iCs/>
          <w:sz w:val="20"/>
          <w:szCs w:val="20"/>
        </w:rPr>
        <w:t xml:space="preserve"> Jacob I und Carl I von England</w:t>
      </w:r>
      <w:r w:rsidRPr="00EE345F">
        <w:rPr>
          <w:sz w:val="20"/>
          <w:szCs w:val="20"/>
        </w:rPr>
        <w:t xml:space="preserve"> (Leipzig: M. </w:t>
      </w:r>
      <w:proofErr w:type="spellStart"/>
      <w:r w:rsidRPr="00EE345F">
        <w:rPr>
          <w:sz w:val="20"/>
          <w:szCs w:val="20"/>
        </w:rPr>
        <w:t>Spirgatis</w:t>
      </w:r>
      <w:proofErr w:type="spellEnd"/>
      <w:r w:rsidRPr="00EE345F">
        <w:rPr>
          <w:sz w:val="20"/>
          <w:szCs w:val="20"/>
        </w:rPr>
        <w:t>, 1898) 53; 55.</w:t>
      </w:r>
    </w:p>
  </w:footnote>
  <w:footnote w:id="26">
    <w:p w14:paraId="3EBE726D" w14:textId="77777777" w:rsidR="00826409" w:rsidRDefault="00826409" w:rsidP="00D55A7C">
      <w:pPr>
        <w:pStyle w:val="FootnoteText"/>
        <w:spacing w:line="480" w:lineRule="auto"/>
      </w:pPr>
      <w:r>
        <w:rPr>
          <w:rStyle w:val="FootnoteReference"/>
        </w:rPr>
        <w:footnoteRef/>
      </w:r>
      <w:r>
        <w:t xml:space="preserve"> </w:t>
      </w:r>
      <w:r w:rsidRPr="00EE345F">
        <w:rPr>
          <w:sz w:val="20"/>
          <w:szCs w:val="20"/>
        </w:rPr>
        <w:t>Todd (2003) 11</w:t>
      </w:r>
    </w:p>
  </w:footnote>
  <w:footnote w:id="27">
    <w:p w14:paraId="08E222F7" w14:textId="40B2AC85" w:rsidR="00DE544D" w:rsidRDefault="00DE544D" w:rsidP="00D55A7C">
      <w:pPr>
        <w:pStyle w:val="FootnoteText"/>
        <w:spacing w:line="480" w:lineRule="auto"/>
      </w:pPr>
      <w:r>
        <w:rPr>
          <w:rStyle w:val="FootnoteReference"/>
        </w:rPr>
        <w:footnoteRef/>
      </w:r>
      <w:r>
        <w:t xml:space="preserve"> </w:t>
      </w:r>
      <w:r w:rsidRPr="00EE345F">
        <w:rPr>
          <w:sz w:val="20"/>
          <w:szCs w:val="20"/>
        </w:rPr>
        <w:t xml:space="preserve">Apollonius Dyscolus, </w:t>
      </w:r>
      <w:r w:rsidRPr="00EE345F">
        <w:rPr>
          <w:i/>
          <w:iCs/>
          <w:sz w:val="20"/>
          <w:szCs w:val="20"/>
        </w:rPr>
        <w:t xml:space="preserve">De </w:t>
      </w:r>
      <w:proofErr w:type="spellStart"/>
      <w:r w:rsidRPr="00EE345F">
        <w:rPr>
          <w:i/>
          <w:iCs/>
          <w:sz w:val="20"/>
          <w:szCs w:val="20"/>
        </w:rPr>
        <w:t>Constructione</w:t>
      </w:r>
      <w:proofErr w:type="spellEnd"/>
      <w:r w:rsidRPr="00EE345F">
        <w:rPr>
          <w:i/>
          <w:iCs/>
          <w:sz w:val="20"/>
          <w:szCs w:val="20"/>
        </w:rPr>
        <w:t xml:space="preserve"> Verborum</w:t>
      </w:r>
      <w:r w:rsidRPr="00EE345F">
        <w:rPr>
          <w:sz w:val="20"/>
          <w:szCs w:val="20"/>
        </w:rPr>
        <w:t xml:space="preserve"> (Frankfurt: ‘Apud Andreæ </w:t>
      </w:r>
      <w:proofErr w:type="spellStart"/>
      <w:r w:rsidRPr="00EE345F">
        <w:rPr>
          <w:sz w:val="20"/>
          <w:szCs w:val="20"/>
        </w:rPr>
        <w:t>Wecheli</w:t>
      </w:r>
      <w:proofErr w:type="spellEnd"/>
      <w:r w:rsidRPr="00EE345F">
        <w:rPr>
          <w:sz w:val="20"/>
          <w:szCs w:val="20"/>
        </w:rPr>
        <w:t xml:space="preserve"> Heredes’, 1590) </w:t>
      </w:r>
      <w:proofErr w:type="gramStart"/>
      <w:r w:rsidRPr="00EE345F">
        <w:rPr>
          <w:sz w:val="20"/>
          <w:szCs w:val="20"/>
        </w:rPr>
        <w:t>sig. )</w:t>
      </w:r>
      <w:proofErr w:type="gramEnd"/>
      <w:r w:rsidRPr="00EE345F">
        <w:rPr>
          <w:sz w:val="20"/>
          <w:szCs w:val="20"/>
        </w:rPr>
        <w:t>(2</w:t>
      </w:r>
      <w:r w:rsidRPr="00EE345F">
        <w:rPr>
          <w:sz w:val="20"/>
          <w:szCs w:val="20"/>
          <w:vertAlign w:val="superscript"/>
        </w:rPr>
        <w:t>r</w:t>
      </w:r>
    </w:p>
  </w:footnote>
  <w:footnote w:id="28">
    <w:p w14:paraId="10EB7795" w14:textId="5FF97AAB" w:rsidR="00972879" w:rsidRDefault="00972879" w:rsidP="00D55A7C">
      <w:pPr>
        <w:pStyle w:val="FootnoteText"/>
        <w:spacing w:line="480" w:lineRule="auto"/>
      </w:pPr>
      <w:r>
        <w:rPr>
          <w:rStyle w:val="FootnoteReference"/>
        </w:rPr>
        <w:footnoteRef/>
      </w:r>
      <w:r>
        <w:t xml:space="preserve"> </w:t>
      </w:r>
      <w:proofErr w:type="spellStart"/>
      <w:r w:rsidRPr="00EE345F">
        <w:rPr>
          <w:sz w:val="20"/>
          <w:szCs w:val="20"/>
        </w:rPr>
        <w:t>Bibliotèque</w:t>
      </w:r>
      <w:proofErr w:type="spellEnd"/>
      <w:r w:rsidRPr="00EE345F">
        <w:rPr>
          <w:sz w:val="20"/>
          <w:szCs w:val="20"/>
        </w:rPr>
        <w:t xml:space="preserve"> Nationale de France, MS </w:t>
      </w:r>
      <w:proofErr w:type="spellStart"/>
      <w:r w:rsidRPr="00EE345F">
        <w:rPr>
          <w:sz w:val="20"/>
          <w:szCs w:val="20"/>
        </w:rPr>
        <w:t>Dupoy</w:t>
      </w:r>
      <w:proofErr w:type="spellEnd"/>
      <w:r w:rsidRPr="00EE345F">
        <w:rPr>
          <w:sz w:val="20"/>
          <w:szCs w:val="20"/>
        </w:rPr>
        <w:t xml:space="preserve"> 348, fol. 155</w:t>
      </w:r>
      <w:r w:rsidRPr="00EE345F">
        <w:rPr>
          <w:sz w:val="20"/>
          <w:szCs w:val="20"/>
          <w:vertAlign w:val="superscript"/>
        </w:rPr>
        <w:t>v</w:t>
      </w:r>
    </w:p>
  </w:footnote>
  <w:footnote w:id="29">
    <w:p w14:paraId="13BDEF0F" w14:textId="7EE504A6" w:rsidR="00411EC1" w:rsidRPr="00411EC1" w:rsidRDefault="00411EC1" w:rsidP="00D55A7C">
      <w:pPr>
        <w:pStyle w:val="FootnoteText"/>
        <w:spacing w:line="480" w:lineRule="auto"/>
      </w:pPr>
      <w:r>
        <w:rPr>
          <w:rStyle w:val="FootnoteReference"/>
        </w:rPr>
        <w:footnoteRef/>
      </w:r>
      <w:r>
        <w:t xml:space="preserve"> </w:t>
      </w:r>
      <w:r w:rsidRPr="00EE345F">
        <w:rPr>
          <w:sz w:val="20"/>
          <w:szCs w:val="20"/>
        </w:rPr>
        <w:t xml:space="preserve">Vienna, </w:t>
      </w:r>
      <w:proofErr w:type="spellStart"/>
      <w:r w:rsidRPr="00EE345F">
        <w:rPr>
          <w:sz w:val="20"/>
          <w:szCs w:val="20"/>
        </w:rPr>
        <w:t>Österreichische</w:t>
      </w:r>
      <w:proofErr w:type="spellEnd"/>
      <w:r w:rsidRPr="00EE345F">
        <w:rPr>
          <w:sz w:val="20"/>
          <w:szCs w:val="20"/>
        </w:rPr>
        <w:t xml:space="preserve"> </w:t>
      </w:r>
      <w:proofErr w:type="spellStart"/>
      <w:r w:rsidRPr="00EE345F">
        <w:rPr>
          <w:sz w:val="20"/>
          <w:szCs w:val="20"/>
        </w:rPr>
        <w:t>Nationalbibliothek</w:t>
      </w:r>
      <w:proofErr w:type="spellEnd"/>
      <w:r w:rsidRPr="00EE345F">
        <w:rPr>
          <w:sz w:val="20"/>
          <w:szCs w:val="20"/>
        </w:rPr>
        <w:t xml:space="preserve">, 9737, vol. 17, </w:t>
      </w:r>
      <w:proofErr w:type="spellStart"/>
      <w:r w:rsidRPr="00EE345F">
        <w:rPr>
          <w:sz w:val="20"/>
          <w:szCs w:val="20"/>
        </w:rPr>
        <w:t>fols</w:t>
      </w:r>
      <w:proofErr w:type="spellEnd"/>
      <w:r w:rsidRPr="00EE345F">
        <w:rPr>
          <w:sz w:val="20"/>
          <w:szCs w:val="20"/>
        </w:rPr>
        <w:t xml:space="preserve"> 55</w:t>
      </w:r>
      <w:r w:rsidRPr="00EE345F">
        <w:rPr>
          <w:sz w:val="20"/>
          <w:szCs w:val="20"/>
          <w:vertAlign w:val="superscript"/>
        </w:rPr>
        <w:t>r</w:t>
      </w:r>
      <w:r w:rsidRPr="00EE345F">
        <w:rPr>
          <w:sz w:val="20"/>
          <w:szCs w:val="20"/>
        </w:rPr>
        <w:t xml:space="preserve"> and 85</w:t>
      </w:r>
      <w:r w:rsidRPr="00EE345F">
        <w:rPr>
          <w:sz w:val="20"/>
          <w:szCs w:val="20"/>
          <w:vertAlign w:val="superscript"/>
        </w:rPr>
        <w:t>r</w:t>
      </w:r>
      <w:r w:rsidRPr="00EE345F">
        <w:rPr>
          <w:sz w:val="20"/>
          <w:szCs w:val="20"/>
        </w:rPr>
        <w:t>.</w:t>
      </w:r>
    </w:p>
  </w:footnote>
  <w:footnote w:id="30">
    <w:p w14:paraId="6FEE787A" w14:textId="2742F82E" w:rsidR="00D57E4F" w:rsidRDefault="00D57E4F" w:rsidP="00D55A7C">
      <w:pPr>
        <w:pStyle w:val="FootnoteText"/>
        <w:spacing w:line="480" w:lineRule="auto"/>
      </w:pPr>
      <w:r>
        <w:rPr>
          <w:rStyle w:val="FootnoteReference"/>
        </w:rPr>
        <w:footnoteRef/>
      </w:r>
      <w:r>
        <w:t xml:space="preserve"> </w:t>
      </w:r>
      <w:r w:rsidRPr="00EE345F">
        <w:rPr>
          <w:sz w:val="20"/>
          <w:szCs w:val="20"/>
        </w:rPr>
        <w:t xml:space="preserve">His elder brother, Henry, had visited Padua in 1581, and subsequently sustained </w:t>
      </w:r>
      <w:proofErr w:type="gramStart"/>
      <w:r w:rsidRPr="00EE345F">
        <w:rPr>
          <w:sz w:val="20"/>
          <w:szCs w:val="20"/>
        </w:rPr>
        <w:t>a</w:t>
      </w:r>
      <w:proofErr w:type="gramEnd"/>
      <w:r w:rsidRPr="00EE345F">
        <w:rPr>
          <w:sz w:val="20"/>
          <w:szCs w:val="20"/>
        </w:rPr>
        <w:t xml:space="preserve"> correspondence with Pinelli. See Biblioteca Ambrosiana, MS D243 inf., </w:t>
      </w:r>
      <w:proofErr w:type="spellStart"/>
      <w:r w:rsidRPr="00EE345F">
        <w:rPr>
          <w:sz w:val="20"/>
          <w:szCs w:val="20"/>
        </w:rPr>
        <w:t>unità</w:t>
      </w:r>
      <w:proofErr w:type="spellEnd"/>
      <w:r w:rsidRPr="00EE345F">
        <w:rPr>
          <w:sz w:val="20"/>
          <w:szCs w:val="20"/>
        </w:rPr>
        <w:t xml:space="preserve"> </w:t>
      </w:r>
      <w:proofErr w:type="spellStart"/>
      <w:r w:rsidRPr="00EE345F">
        <w:rPr>
          <w:sz w:val="20"/>
          <w:szCs w:val="20"/>
        </w:rPr>
        <w:t>codicologiche</w:t>
      </w:r>
      <w:proofErr w:type="spellEnd"/>
      <w:r w:rsidRPr="00EE345F">
        <w:rPr>
          <w:sz w:val="20"/>
          <w:szCs w:val="20"/>
        </w:rPr>
        <w:t xml:space="preserve"> 2–22.</w:t>
      </w:r>
    </w:p>
  </w:footnote>
  <w:footnote w:id="31">
    <w:p w14:paraId="7D98D394" w14:textId="4F7937BA" w:rsidR="00730D09" w:rsidRPr="00BC04B1" w:rsidRDefault="00DE2C45" w:rsidP="00D55A7C">
      <w:pPr>
        <w:pStyle w:val="FootnoteText"/>
        <w:spacing w:line="480" w:lineRule="auto"/>
      </w:pPr>
      <w:r>
        <w:rPr>
          <w:rStyle w:val="FootnoteReference"/>
        </w:rPr>
        <w:footnoteRef/>
      </w:r>
      <w:r>
        <w:t xml:space="preserve"> </w:t>
      </w:r>
      <w:r w:rsidRPr="006C75AD">
        <w:rPr>
          <w:sz w:val="20"/>
          <w:szCs w:val="20"/>
        </w:rPr>
        <w:t xml:space="preserve">Angela Nuovo, ‘The Creation and Dispersal of the Library of Gian Vincenzo Pinelli’, </w:t>
      </w:r>
      <w:r w:rsidRPr="006C75AD">
        <w:rPr>
          <w:i/>
          <w:sz w:val="20"/>
          <w:szCs w:val="20"/>
        </w:rPr>
        <w:t>Books on the Move</w:t>
      </w:r>
      <w:r w:rsidRPr="006C75AD">
        <w:rPr>
          <w:sz w:val="20"/>
          <w:szCs w:val="20"/>
        </w:rPr>
        <w:t xml:space="preserve"> (London: Oak Knoll Press and the British Library, 2007) 39–67 (39). </w:t>
      </w:r>
      <w:r w:rsidR="00730D09" w:rsidRPr="006C75AD">
        <w:rPr>
          <w:sz w:val="20"/>
          <w:szCs w:val="20"/>
        </w:rPr>
        <w:t>For an introduction to Pinelli</w:t>
      </w:r>
      <w:r w:rsidR="00EF3D11" w:rsidRPr="006C75AD">
        <w:rPr>
          <w:sz w:val="20"/>
          <w:szCs w:val="20"/>
        </w:rPr>
        <w:t>’s collection, see Marcella Grendler, ‘</w:t>
      </w:r>
      <w:r w:rsidR="00EF3D11" w:rsidRPr="004F406C">
        <w:rPr>
          <w:sz w:val="20"/>
          <w:szCs w:val="20"/>
        </w:rPr>
        <w:t>A Greek Collection in Padua: The Library of Gian Vincenzo Pinelli (1535–1601)</w:t>
      </w:r>
      <w:r w:rsidR="00EF3D11">
        <w:rPr>
          <w:sz w:val="20"/>
          <w:szCs w:val="20"/>
        </w:rPr>
        <w:t>’,</w:t>
      </w:r>
      <w:r w:rsidR="00EF3D11" w:rsidRPr="004F406C">
        <w:rPr>
          <w:sz w:val="20"/>
          <w:szCs w:val="20"/>
        </w:rPr>
        <w:t xml:space="preserve"> </w:t>
      </w:r>
      <w:r w:rsidR="00EF3D11" w:rsidRPr="004F406C">
        <w:rPr>
          <w:i/>
          <w:sz w:val="20"/>
          <w:szCs w:val="20"/>
        </w:rPr>
        <w:t>Renaissance Quarterly</w:t>
      </w:r>
      <w:r w:rsidR="00EF3D11" w:rsidRPr="004F406C">
        <w:rPr>
          <w:sz w:val="20"/>
          <w:szCs w:val="20"/>
        </w:rPr>
        <w:t xml:space="preserve"> </w:t>
      </w:r>
      <w:r w:rsidR="00EF3D11">
        <w:rPr>
          <w:sz w:val="20"/>
          <w:szCs w:val="20"/>
        </w:rPr>
        <w:t>33.3 (1980) 386–416 (386).</w:t>
      </w:r>
    </w:p>
  </w:footnote>
  <w:footnote w:id="32">
    <w:p w14:paraId="1D1F84F3" w14:textId="59C1C274" w:rsidR="00D16547" w:rsidRPr="00493CB5" w:rsidRDefault="00D16547" w:rsidP="00D55A7C">
      <w:pPr>
        <w:spacing w:line="480" w:lineRule="auto"/>
        <w:jc w:val="both"/>
      </w:pPr>
      <w:r w:rsidRPr="00493CB5">
        <w:rPr>
          <w:rStyle w:val="FootnoteReference"/>
        </w:rPr>
        <w:footnoteRef/>
      </w:r>
      <w:r w:rsidRPr="00493CB5">
        <w:t xml:space="preserve"> </w:t>
      </w:r>
      <w:r w:rsidRPr="000E17DC">
        <w:rPr>
          <w:sz w:val="20"/>
          <w:szCs w:val="20"/>
        </w:rPr>
        <w:t xml:space="preserve">Paolo Manuzio, ‘A Gio. Vincenzo Pinelli’, </w:t>
      </w:r>
      <w:proofErr w:type="spellStart"/>
      <w:r w:rsidRPr="000E17DC">
        <w:rPr>
          <w:i/>
          <w:sz w:val="20"/>
          <w:szCs w:val="20"/>
        </w:rPr>
        <w:t>Lettere</w:t>
      </w:r>
      <w:proofErr w:type="spellEnd"/>
      <w:r w:rsidRPr="000E17DC">
        <w:rPr>
          <w:i/>
          <w:sz w:val="20"/>
          <w:szCs w:val="20"/>
        </w:rPr>
        <w:t xml:space="preserve"> </w:t>
      </w:r>
      <w:proofErr w:type="spellStart"/>
      <w:r w:rsidRPr="000E17DC">
        <w:rPr>
          <w:i/>
          <w:sz w:val="20"/>
          <w:szCs w:val="20"/>
        </w:rPr>
        <w:t>Inedite</w:t>
      </w:r>
      <w:proofErr w:type="spellEnd"/>
      <w:r w:rsidRPr="000E17DC">
        <w:rPr>
          <w:i/>
          <w:sz w:val="20"/>
          <w:szCs w:val="20"/>
        </w:rPr>
        <w:t xml:space="preserve"> di Dotti Italiani del </w:t>
      </w:r>
      <w:proofErr w:type="spellStart"/>
      <w:r w:rsidRPr="000E17DC">
        <w:rPr>
          <w:i/>
          <w:sz w:val="20"/>
          <w:szCs w:val="20"/>
        </w:rPr>
        <w:t>Secolo</w:t>
      </w:r>
      <w:proofErr w:type="spellEnd"/>
      <w:r w:rsidRPr="000E17DC">
        <w:rPr>
          <w:i/>
          <w:sz w:val="20"/>
          <w:szCs w:val="20"/>
        </w:rPr>
        <w:t xml:space="preserve"> XVI</w:t>
      </w:r>
      <w:r w:rsidRPr="000E17DC">
        <w:rPr>
          <w:sz w:val="20"/>
          <w:szCs w:val="20"/>
        </w:rPr>
        <w:t xml:space="preserve">, ed. Antonio Ceruti (Milan: </w:t>
      </w:r>
      <w:proofErr w:type="spellStart"/>
      <w:r w:rsidRPr="000E17DC">
        <w:rPr>
          <w:sz w:val="20"/>
          <w:szCs w:val="20"/>
        </w:rPr>
        <w:t>Tipographia</w:t>
      </w:r>
      <w:proofErr w:type="spellEnd"/>
      <w:r w:rsidRPr="000E17DC">
        <w:rPr>
          <w:sz w:val="20"/>
          <w:szCs w:val="20"/>
        </w:rPr>
        <w:t xml:space="preserve"> &amp; </w:t>
      </w:r>
      <w:proofErr w:type="spellStart"/>
      <w:r w:rsidRPr="000E17DC">
        <w:rPr>
          <w:sz w:val="20"/>
          <w:szCs w:val="20"/>
        </w:rPr>
        <w:t>Libreria</w:t>
      </w:r>
      <w:proofErr w:type="spellEnd"/>
      <w:r w:rsidRPr="000E17DC">
        <w:rPr>
          <w:sz w:val="20"/>
          <w:szCs w:val="20"/>
        </w:rPr>
        <w:t xml:space="preserve"> </w:t>
      </w:r>
      <w:proofErr w:type="spellStart"/>
      <w:r w:rsidRPr="000E17DC">
        <w:rPr>
          <w:sz w:val="20"/>
          <w:szCs w:val="20"/>
        </w:rPr>
        <w:t>Arcivescovile</w:t>
      </w:r>
      <w:proofErr w:type="spellEnd"/>
      <w:r w:rsidRPr="000E17DC">
        <w:rPr>
          <w:sz w:val="20"/>
          <w:szCs w:val="20"/>
        </w:rPr>
        <w:t>, 1867) 2</w:t>
      </w:r>
      <w:r w:rsidR="00865DE3">
        <w:rPr>
          <w:sz w:val="20"/>
          <w:szCs w:val="20"/>
        </w:rPr>
        <w:t xml:space="preserve">5. </w:t>
      </w:r>
    </w:p>
  </w:footnote>
  <w:footnote w:id="33">
    <w:p w14:paraId="26527EF7" w14:textId="77777777" w:rsidR="0039083B" w:rsidRPr="0051574C" w:rsidRDefault="0039083B" w:rsidP="00D55A7C">
      <w:pPr>
        <w:pStyle w:val="FootnoteText"/>
        <w:spacing w:line="480" w:lineRule="auto"/>
      </w:pPr>
      <w:r>
        <w:rPr>
          <w:rStyle w:val="FootnoteReference"/>
        </w:rPr>
        <w:footnoteRef/>
      </w:r>
      <w:r>
        <w:t xml:space="preserve"> </w:t>
      </w:r>
      <w:proofErr w:type="spellStart"/>
      <w:r w:rsidRPr="003A765E">
        <w:rPr>
          <w:sz w:val="20"/>
          <w:szCs w:val="20"/>
        </w:rPr>
        <w:t>Sosower</w:t>
      </w:r>
      <w:proofErr w:type="spellEnd"/>
      <w:r w:rsidRPr="003A765E">
        <w:rPr>
          <w:sz w:val="20"/>
          <w:szCs w:val="20"/>
        </w:rPr>
        <w:t>, 158.</w:t>
      </w:r>
      <w:r>
        <w:t xml:space="preserve"> </w:t>
      </w:r>
    </w:p>
  </w:footnote>
  <w:footnote w:id="34">
    <w:p w14:paraId="1C24D87D" w14:textId="77777777" w:rsidR="00181390" w:rsidRDefault="00181390" w:rsidP="00D55A7C">
      <w:pPr>
        <w:pStyle w:val="FootnoteText"/>
        <w:spacing w:line="480" w:lineRule="auto"/>
      </w:pPr>
      <w:r>
        <w:rPr>
          <w:rStyle w:val="FootnoteReference"/>
        </w:rPr>
        <w:footnoteRef/>
      </w:r>
      <w:r>
        <w:t xml:space="preserve"> </w:t>
      </w:r>
      <w:r w:rsidRPr="001514C0">
        <w:rPr>
          <w:sz w:val="20"/>
          <w:szCs w:val="20"/>
        </w:rPr>
        <w:t xml:space="preserve">Index, Biblioteca Ambrosiana, C263 Inf., fol. </w:t>
      </w:r>
      <w:proofErr w:type="spellStart"/>
      <w:r w:rsidRPr="001514C0">
        <w:rPr>
          <w:sz w:val="20"/>
          <w:szCs w:val="20"/>
        </w:rPr>
        <w:t>III</w:t>
      </w:r>
      <w:r w:rsidRPr="001514C0">
        <w:rPr>
          <w:sz w:val="20"/>
          <w:szCs w:val="20"/>
          <w:vertAlign w:val="superscript"/>
        </w:rPr>
        <w:t>r</w:t>
      </w:r>
      <w:proofErr w:type="spellEnd"/>
    </w:p>
  </w:footnote>
  <w:footnote w:id="35">
    <w:p w14:paraId="4C9204DB" w14:textId="77777777" w:rsidR="00181390" w:rsidRDefault="00181390" w:rsidP="00D55A7C">
      <w:pPr>
        <w:pStyle w:val="FootnoteText"/>
        <w:spacing w:line="480" w:lineRule="auto"/>
      </w:pPr>
      <w:r>
        <w:rPr>
          <w:rStyle w:val="FootnoteReference"/>
        </w:rPr>
        <w:footnoteRef/>
      </w:r>
      <w:r>
        <w:t xml:space="preserve"> </w:t>
      </w:r>
      <w:r w:rsidRPr="001514C0">
        <w:rPr>
          <w:sz w:val="20"/>
          <w:szCs w:val="20"/>
        </w:rPr>
        <w:t xml:space="preserve">‘ΓΕΜΙΝΟΥ ΤΑ ΦΑΙΝΟΜΕΝΑ’, Biblioteca Ambrosiana, C263 Inf., </w:t>
      </w:r>
      <w:proofErr w:type="spellStart"/>
      <w:r w:rsidRPr="001514C0">
        <w:rPr>
          <w:sz w:val="20"/>
          <w:szCs w:val="20"/>
        </w:rPr>
        <w:t>fols</w:t>
      </w:r>
      <w:proofErr w:type="spellEnd"/>
      <w:r w:rsidRPr="001514C0">
        <w:rPr>
          <w:sz w:val="20"/>
          <w:szCs w:val="20"/>
        </w:rPr>
        <w:t xml:space="preserve"> 71</w:t>
      </w:r>
      <w:r w:rsidRPr="001514C0">
        <w:rPr>
          <w:sz w:val="20"/>
          <w:szCs w:val="20"/>
          <w:vertAlign w:val="superscript"/>
        </w:rPr>
        <w:t>r</w:t>
      </w:r>
      <w:r w:rsidRPr="001514C0">
        <w:rPr>
          <w:sz w:val="20"/>
          <w:szCs w:val="20"/>
        </w:rPr>
        <w:t>–111</w:t>
      </w:r>
      <w:r w:rsidRPr="001514C0">
        <w:rPr>
          <w:sz w:val="20"/>
          <w:szCs w:val="20"/>
          <w:vertAlign w:val="superscript"/>
        </w:rPr>
        <w:t>r</w:t>
      </w:r>
    </w:p>
  </w:footnote>
  <w:footnote w:id="36">
    <w:p w14:paraId="0B5003B7" w14:textId="7D04E109" w:rsidR="004361D2" w:rsidRPr="004361D2" w:rsidRDefault="004361D2" w:rsidP="00D55A7C">
      <w:pPr>
        <w:pStyle w:val="FootnoteText"/>
        <w:spacing w:line="480" w:lineRule="auto"/>
      </w:pPr>
      <w:r>
        <w:rPr>
          <w:rStyle w:val="FootnoteReference"/>
        </w:rPr>
        <w:footnoteRef/>
      </w:r>
      <w:r>
        <w:t xml:space="preserve"> </w:t>
      </w:r>
      <w:r w:rsidRPr="001514C0">
        <w:rPr>
          <w:sz w:val="20"/>
          <w:szCs w:val="20"/>
        </w:rPr>
        <w:t>Biblioteca Ambrosiana, MS D251 inf., fol. 1</w:t>
      </w:r>
      <w:r w:rsidRPr="001514C0">
        <w:rPr>
          <w:sz w:val="20"/>
          <w:szCs w:val="20"/>
          <w:vertAlign w:val="superscript"/>
        </w:rPr>
        <w:t>r</w:t>
      </w:r>
    </w:p>
  </w:footnote>
  <w:footnote w:id="37">
    <w:p w14:paraId="3A943E38" w14:textId="431AFA66" w:rsidR="00EE5745" w:rsidRPr="00EE5745" w:rsidRDefault="00EE5745" w:rsidP="00D55A7C">
      <w:pPr>
        <w:pStyle w:val="FootnoteText"/>
        <w:spacing w:line="480" w:lineRule="auto"/>
      </w:pPr>
      <w:r>
        <w:rPr>
          <w:rStyle w:val="FootnoteReference"/>
        </w:rPr>
        <w:footnoteRef/>
      </w:r>
      <w:r>
        <w:t xml:space="preserve"> </w:t>
      </w:r>
      <w:r w:rsidRPr="001514C0">
        <w:rPr>
          <w:sz w:val="20"/>
          <w:szCs w:val="20"/>
        </w:rPr>
        <w:t>Ibid., fol. 1</w:t>
      </w:r>
      <w:r w:rsidRPr="001514C0">
        <w:rPr>
          <w:sz w:val="20"/>
          <w:szCs w:val="20"/>
          <w:vertAlign w:val="superscript"/>
        </w:rPr>
        <w:t>r</w:t>
      </w:r>
    </w:p>
  </w:footnote>
  <w:footnote w:id="38">
    <w:p w14:paraId="2A5F48E6" w14:textId="79F54308" w:rsidR="008A2DBF" w:rsidRDefault="008A2DBF" w:rsidP="00D55A7C">
      <w:pPr>
        <w:pStyle w:val="FootnoteText"/>
        <w:spacing w:line="480" w:lineRule="auto"/>
      </w:pPr>
      <w:r>
        <w:rPr>
          <w:rStyle w:val="FootnoteReference"/>
        </w:rPr>
        <w:footnoteRef/>
      </w:r>
      <w:r>
        <w:t xml:space="preserve"> </w:t>
      </w:r>
      <w:r w:rsidRPr="001514C0">
        <w:rPr>
          <w:sz w:val="20"/>
          <w:szCs w:val="20"/>
        </w:rPr>
        <w:t xml:space="preserve">Isaac Casaubon, </w:t>
      </w:r>
      <w:proofErr w:type="spellStart"/>
      <w:r w:rsidR="005C5028" w:rsidRPr="001514C0">
        <w:rPr>
          <w:i/>
          <w:iCs/>
          <w:sz w:val="20"/>
          <w:szCs w:val="20"/>
        </w:rPr>
        <w:t>Isaaci</w:t>
      </w:r>
      <w:proofErr w:type="spellEnd"/>
      <w:r w:rsidR="005C5028" w:rsidRPr="001514C0">
        <w:rPr>
          <w:i/>
          <w:iCs/>
          <w:sz w:val="20"/>
          <w:szCs w:val="20"/>
        </w:rPr>
        <w:t xml:space="preserve"> Casauboni Epistolae,</w:t>
      </w:r>
      <w:r w:rsidR="005C5028" w:rsidRPr="001514C0">
        <w:rPr>
          <w:sz w:val="20"/>
          <w:szCs w:val="20"/>
        </w:rPr>
        <w:t xml:space="preserve"> </w:t>
      </w:r>
      <w:proofErr w:type="spellStart"/>
      <w:r w:rsidR="005C5028" w:rsidRPr="001514C0">
        <w:rPr>
          <w:i/>
          <w:iCs/>
          <w:sz w:val="20"/>
          <w:szCs w:val="20"/>
        </w:rPr>
        <w:t>Insertis</w:t>
      </w:r>
      <w:proofErr w:type="spellEnd"/>
      <w:r w:rsidR="005C5028" w:rsidRPr="001514C0">
        <w:rPr>
          <w:i/>
          <w:iCs/>
          <w:sz w:val="20"/>
          <w:szCs w:val="20"/>
        </w:rPr>
        <w:t xml:space="preserve"> </w:t>
      </w:r>
      <w:proofErr w:type="spellStart"/>
      <w:r w:rsidR="005C5028" w:rsidRPr="001514C0">
        <w:rPr>
          <w:i/>
          <w:iCs/>
          <w:sz w:val="20"/>
          <w:szCs w:val="20"/>
        </w:rPr>
        <w:t>ad</w:t>
      </w:r>
      <w:proofErr w:type="spellEnd"/>
      <w:r w:rsidR="005C5028" w:rsidRPr="001514C0">
        <w:rPr>
          <w:i/>
          <w:iCs/>
          <w:sz w:val="20"/>
          <w:szCs w:val="20"/>
        </w:rPr>
        <w:t xml:space="preserve"> </w:t>
      </w:r>
      <w:proofErr w:type="spellStart"/>
      <w:r w:rsidR="005C5028" w:rsidRPr="001514C0">
        <w:rPr>
          <w:i/>
          <w:iCs/>
          <w:sz w:val="20"/>
          <w:szCs w:val="20"/>
        </w:rPr>
        <w:t>Easdem</w:t>
      </w:r>
      <w:proofErr w:type="spellEnd"/>
      <w:r w:rsidR="005C5028" w:rsidRPr="001514C0">
        <w:rPr>
          <w:i/>
          <w:iCs/>
          <w:sz w:val="20"/>
          <w:szCs w:val="20"/>
        </w:rPr>
        <w:t xml:space="preserve"> </w:t>
      </w:r>
      <w:proofErr w:type="spellStart"/>
      <w:r w:rsidR="005C5028" w:rsidRPr="001514C0">
        <w:rPr>
          <w:i/>
          <w:iCs/>
          <w:sz w:val="20"/>
          <w:szCs w:val="20"/>
        </w:rPr>
        <w:t>Responsionibus</w:t>
      </w:r>
      <w:proofErr w:type="spellEnd"/>
      <w:r w:rsidR="005C5028" w:rsidRPr="001514C0">
        <w:rPr>
          <w:sz w:val="20"/>
          <w:szCs w:val="20"/>
        </w:rPr>
        <w:t xml:space="preserve"> (</w:t>
      </w:r>
      <w:proofErr w:type="spellStart"/>
      <w:r w:rsidR="005C5028" w:rsidRPr="001514C0">
        <w:rPr>
          <w:sz w:val="20"/>
          <w:szCs w:val="20"/>
        </w:rPr>
        <w:t>Roterdam</w:t>
      </w:r>
      <w:proofErr w:type="spellEnd"/>
      <w:r w:rsidR="005C5028" w:rsidRPr="001514C0">
        <w:rPr>
          <w:sz w:val="20"/>
          <w:szCs w:val="20"/>
        </w:rPr>
        <w:t xml:space="preserve">: Caspar Fritsch &amp; Michael Böhm, 1709) 568, </w:t>
      </w:r>
      <w:proofErr w:type="spellStart"/>
      <w:r w:rsidR="005C5028" w:rsidRPr="001514C0">
        <w:rPr>
          <w:sz w:val="20"/>
          <w:szCs w:val="20"/>
        </w:rPr>
        <w:t>epistola</w:t>
      </w:r>
      <w:proofErr w:type="spellEnd"/>
      <w:r w:rsidR="005C5028" w:rsidRPr="001514C0">
        <w:rPr>
          <w:sz w:val="20"/>
          <w:szCs w:val="20"/>
        </w:rPr>
        <w:t xml:space="preserve"> DCCCCLXXI</w:t>
      </w:r>
    </w:p>
  </w:footnote>
  <w:footnote w:id="39">
    <w:p w14:paraId="0381ED91" w14:textId="742AF84F" w:rsidR="005141DC" w:rsidRPr="006C68E0" w:rsidRDefault="005141DC" w:rsidP="00D55A7C">
      <w:pPr>
        <w:pStyle w:val="FootnoteText"/>
        <w:spacing w:line="480" w:lineRule="auto"/>
        <w:rPr>
          <w:sz w:val="20"/>
          <w:szCs w:val="20"/>
        </w:rPr>
      </w:pPr>
      <w:r>
        <w:rPr>
          <w:rStyle w:val="FootnoteReference"/>
        </w:rPr>
        <w:footnoteRef/>
      </w:r>
      <w:r>
        <w:t xml:space="preserve"> </w:t>
      </w:r>
      <w:r w:rsidR="001F25A4" w:rsidRPr="006C68E0">
        <w:rPr>
          <w:sz w:val="20"/>
          <w:szCs w:val="20"/>
        </w:rPr>
        <w:t>Casaubon (1709) 568</w:t>
      </w:r>
    </w:p>
  </w:footnote>
  <w:footnote w:id="40">
    <w:p w14:paraId="0CE408A5" w14:textId="0D7EAF78" w:rsidR="005327AA" w:rsidRPr="005327AA" w:rsidRDefault="005327AA" w:rsidP="00D55A7C">
      <w:pPr>
        <w:pStyle w:val="FootnoteText"/>
        <w:spacing w:line="480" w:lineRule="auto"/>
      </w:pPr>
      <w:r>
        <w:rPr>
          <w:rStyle w:val="FootnoteReference"/>
        </w:rPr>
        <w:footnoteRef/>
      </w:r>
      <w:r>
        <w:t xml:space="preserve"> </w:t>
      </w:r>
      <w:r w:rsidRPr="006C68E0">
        <w:rPr>
          <w:sz w:val="20"/>
          <w:szCs w:val="20"/>
        </w:rPr>
        <w:t>‘</w:t>
      </w:r>
      <w:proofErr w:type="spellStart"/>
      <w:r w:rsidRPr="006C68E0">
        <w:rPr>
          <w:sz w:val="20"/>
          <w:szCs w:val="20"/>
        </w:rPr>
        <w:t>Adnotationes</w:t>
      </w:r>
      <w:proofErr w:type="spellEnd"/>
      <w:r w:rsidRPr="006C68E0">
        <w:rPr>
          <w:sz w:val="20"/>
          <w:szCs w:val="20"/>
        </w:rPr>
        <w:t xml:space="preserve"> </w:t>
      </w:r>
      <w:proofErr w:type="spellStart"/>
      <w:r w:rsidRPr="006C68E0">
        <w:rPr>
          <w:sz w:val="20"/>
          <w:szCs w:val="20"/>
        </w:rPr>
        <w:t>ad</w:t>
      </w:r>
      <w:proofErr w:type="spellEnd"/>
      <w:r w:rsidRPr="006C68E0">
        <w:rPr>
          <w:sz w:val="20"/>
          <w:szCs w:val="20"/>
        </w:rPr>
        <w:t xml:space="preserve"> </w:t>
      </w:r>
      <w:proofErr w:type="spellStart"/>
      <w:r w:rsidRPr="006C68E0">
        <w:rPr>
          <w:sz w:val="20"/>
          <w:szCs w:val="20"/>
        </w:rPr>
        <w:t>definitiones</w:t>
      </w:r>
      <w:proofErr w:type="spellEnd"/>
      <w:r w:rsidRPr="006C68E0">
        <w:rPr>
          <w:sz w:val="20"/>
          <w:szCs w:val="20"/>
        </w:rPr>
        <w:t xml:space="preserve"> quinti libri </w:t>
      </w:r>
      <w:proofErr w:type="spellStart"/>
      <w:r w:rsidRPr="006C68E0">
        <w:rPr>
          <w:sz w:val="20"/>
          <w:szCs w:val="20"/>
        </w:rPr>
        <w:t>Elementorum</w:t>
      </w:r>
      <w:proofErr w:type="spellEnd"/>
      <w:r w:rsidRPr="006C68E0">
        <w:rPr>
          <w:sz w:val="20"/>
          <w:szCs w:val="20"/>
        </w:rPr>
        <w:t xml:space="preserve"> </w:t>
      </w:r>
      <w:proofErr w:type="spellStart"/>
      <w:r w:rsidRPr="006C68E0">
        <w:rPr>
          <w:sz w:val="20"/>
          <w:szCs w:val="20"/>
        </w:rPr>
        <w:t>Euclidis</w:t>
      </w:r>
      <w:proofErr w:type="spellEnd"/>
      <w:r w:rsidRPr="006C68E0">
        <w:rPr>
          <w:sz w:val="20"/>
          <w:szCs w:val="20"/>
        </w:rPr>
        <w:t xml:space="preserve">’, Biblioteca Ambrosiana, </w:t>
      </w:r>
      <w:proofErr w:type="gramStart"/>
      <w:r w:rsidRPr="006C68E0">
        <w:rPr>
          <w:sz w:val="20"/>
          <w:szCs w:val="20"/>
        </w:rPr>
        <w:t>MS  P</w:t>
      </w:r>
      <w:proofErr w:type="gramEnd"/>
      <w:r w:rsidRPr="006C68E0">
        <w:rPr>
          <w:sz w:val="20"/>
          <w:szCs w:val="20"/>
        </w:rPr>
        <w:t xml:space="preserve"> 227 sup. </w:t>
      </w:r>
      <w:proofErr w:type="spellStart"/>
      <w:r w:rsidR="00305CC0" w:rsidRPr="006C68E0">
        <w:rPr>
          <w:sz w:val="20"/>
          <w:szCs w:val="20"/>
        </w:rPr>
        <w:t>fols</w:t>
      </w:r>
      <w:proofErr w:type="spellEnd"/>
      <w:r w:rsidR="00305CC0" w:rsidRPr="006C68E0">
        <w:rPr>
          <w:sz w:val="20"/>
          <w:szCs w:val="20"/>
        </w:rPr>
        <w:t xml:space="preserve"> </w:t>
      </w:r>
      <w:r w:rsidRPr="006C68E0">
        <w:rPr>
          <w:sz w:val="20"/>
          <w:szCs w:val="20"/>
        </w:rPr>
        <w:t>57</w:t>
      </w:r>
      <w:r w:rsidRPr="006C68E0">
        <w:rPr>
          <w:sz w:val="20"/>
          <w:szCs w:val="20"/>
          <w:vertAlign w:val="superscript"/>
        </w:rPr>
        <w:t>r</w:t>
      </w:r>
      <w:r w:rsidRPr="006C68E0">
        <w:rPr>
          <w:sz w:val="20"/>
          <w:szCs w:val="20"/>
        </w:rPr>
        <w:t>–67</w:t>
      </w:r>
      <w:r w:rsidRPr="006C68E0">
        <w:rPr>
          <w:sz w:val="20"/>
          <w:szCs w:val="20"/>
          <w:vertAlign w:val="superscript"/>
        </w:rPr>
        <w:t>r</w:t>
      </w:r>
      <w:r w:rsidRPr="006C68E0">
        <w:rPr>
          <w:sz w:val="20"/>
          <w:szCs w:val="20"/>
        </w:rPr>
        <w:t xml:space="preserve">; ‘De </w:t>
      </w:r>
      <w:proofErr w:type="spellStart"/>
      <w:r w:rsidRPr="006C68E0">
        <w:rPr>
          <w:sz w:val="20"/>
          <w:szCs w:val="20"/>
        </w:rPr>
        <w:t>rationum</w:t>
      </w:r>
      <w:proofErr w:type="spellEnd"/>
      <w:r w:rsidRPr="006C68E0">
        <w:rPr>
          <w:sz w:val="20"/>
          <w:szCs w:val="20"/>
        </w:rPr>
        <w:t xml:space="preserve"> </w:t>
      </w:r>
      <w:proofErr w:type="spellStart"/>
      <w:r w:rsidRPr="006C68E0">
        <w:rPr>
          <w:sz w:val="20"/>
          <w:szCs w:val="20"/>
        </w:rPr>
        <w:t>additione</w:t>
      </w:r>
      <w:proofErr w:type="spellEnd"/>
      <w:r w:rsidRPr="006C68E0">
        <w:rPr>
          <w:sz w:val="20"/>
          <w:szCs w:val="20"/>
        </w:rPr>
        <w:t xml:space="preserve"> et </w:t>
      </w:r>
      <w:proofErr w:type="spellStart"/>
      <w:r w:rsidRPr="006C68E0">
        <w:rPr>
          <w:sz w:val="20"/>
          <w:szCs w:val="20"/>
        </w:rPr>
        <w:t>subtractione</w:t>
      </w:r>
      <w:proofErr w:type="spellEnd"/>
      <w:r w:rsidRPr="006C68E0">
        <w:rPr>
          <w:sz w:val="20"/>
          <w:szCs w:val="20"/>
        </w:rPr>
        <w:t xml:space="preserve">’, Biblioteca Ambrosiana, MS </w:t>
      </w:r>
      <w:r w:rsidR="00305CC0" w:rsidRPr="006C68E0">
        <w:rPr>
          <w:sz w:val="20"/>
          <w:szCs w:val="20"/>
        </w:rPr>
        <w:t xml:space="preserve">P 227 sup. </w:t>
      </w:r>
      <w:proofErr w:type="spellStart"/>
      <w:r w:rsidR="00305CC0" w:rsidRPr="006C68E0">
        <w:rPr>
          <w:sz w:val="20"/>
          <w:szCs w:val="20"/>
        </w:rPr>
        <w:t>fols</w:t>
      </w:r>
      <w:proofErr w:type="spellEnd"/>
      <w:r w:rsidR="00305CC0" w:rsidRPr="006C68E0">
        <w:rPr>
          <w:sz w:val="20"/>
          <w:szCs w:val="20"/>
        </w:rPr>
        <w:t xml:space="preserve"> 69</w:t>
      </w:r>
      <w:r w:rsidR="00305CC0" w:rsidRPr="006C68E0">
        <w:rPr>
          <w:sz w:val="20"/>
          <w:szCs w:val="20"/>
          <w:vertAlign w:val="superscript"/>
        </w:rPr>
        <w:t>r</w:t>
      </w:r>
      <w:r w:rsidR="00305CC0" w:rsidRPr="006C68E0">
        <w:rPr>
          <w:sz w:val="20"/>
          <w:szCs w:val="20"/>
        </w:rPr>
        <w:t>–80</w:t>
      </w:r>
      <w:r w:rsidR="00305CC0" w:rsidRPr="006C68E0">
        <w:rPr>
          <w:sz w:val="20"/>
          <w:szCs w:val="20"/>
          <w:vertAlign w:val="superscript"/>
        </w:rPr>
        <w:t>v</w:t>
      </w:r>
      <w:r w:rsidR="00305CC0" w:rsidRPr="006C68E0">
        <w:rPr>
          <w:sz w:val="20"/>
          <w:szCs w:val="20"/>
        </w:rPr>
        <w:t xml:space="preserve">; </w:t>
      </w:r>
      <w:r w:rsidR="00C54EFD" w:rsidRPr="006C68E0">
        <w:rPr>
          <w:sz w:val="20"/>
          <w:szCs w:val="20"/>
        </w:rPr>
        <w:t xml:space="preserve">‘De </w:t>
      </w:r>
      <w:proofErr w:type="spellStart"/>
      <w:r w:rsidR="00C54EFD" w:rsidRPr="006C68E0">
        <w:rPr>
          <w:sz w:val="20"/>
          <w:szCs w:val="20"/>
        </w:rPr>
        <w:t>Rationibus</w:t>
      </w:r>
      <w:proofErr w:type="spellEnd"/>
      <w:r w:rsidR="00C54EFD" w:rsidRPr="006C68E0">
        <w:rPr>
          <w:sz w:val="20"/>
          <w:szCs w:val="20"/>
        </w:rPr>
        <w:t xml:space="preserve">’, Biblioteca Ambrosiana, MS S 83 sup. </w:t>
      </w:r>
      <w:proofErr w:type="spellStart"/>
      <w:r w:rsidR="00C54EFD" w:rsidRPr="006C68E0">
        <w:rPr>
          <w:sz w:val="20"/>
          <w:szCs w:val="20"/>
        </w:rPr>
        <w:t>fols</w:t>
      </w:r>
      <w:proofErr w:type="spellEnd"/>
      <w:r w:rsidR="00C54EFD" w:rsidRPr="006C68E0">
        <w:rPr>
          <w:sz w:val="20"/>
          <w:szCs w:val="20"/>
        </w:rPr>
        <w:t xml:space="preserve"> 3</w:t>
      </w:r>
      <w:r w:rsidR="00C54EFD" w:rsidRPr="006C68E0">
        <w:rPr>
          <w:sz w:val="20"/>
          <w:szCs w:val="20"/>
          <w:vertAlign w:val="superscript"/>
        </w:rPr>
        <w:t>r</w:t>
      </w:r>
      <w:r w:rsidR="00C54EFD" w:rsidRPr="006C68E0">
        <w:rPr>
          <w:sz w:val="20"/>
          <w:szCs w:val="20"/>
        </w:rPr>
        <w:t>–13</w:t>
      </w:r>
      <w:r w:rsidR="00C54EFD" w:rsidRPr="006C68E0">
        <w:rPr>
          <w:sz w:val="20"/>
          <w:szCs w:val="20"/>
          <w:vertAlign w:val="superscript"/>
        </w:rPr>
        <w:t xml:space="preserve">r </w:t>
      </w:r>
    </w:p>
  </w:footnote>
  <w:footnote w:id="41">
    <w:p w14:paraId="6ADC634E" w14:textId="612E77EE" w:rsidR="001D7E33" w:rsidRDefault="001D7E33" w:rsidP="00D55A7C">
      <w:pPr>
        <w:spacing w:line="480" w:lineRule="auto"/>
      </w:pPr>
      <w:r>
        <w:rPr>
          <w:rStyle w:val="FootnoteReference"/>
        </w:rPr>
        <w:footnoteRef/>
      </w:r>
      <w:r>
        <w:t xml:space="preserve"> </w:t>
      </w:r>
      <w:r w:rsidRPr="006C68E0">
        <w:rPr>
          <w:sz w:val="20"/>
          <w:szCs w:val="20"/>
        </w:rPr>
        <w:t>Biblioteca Ambrosiana, MS D 243 inf.</w:t>
      </w:r>
      <w:r>
        <w:t xml:space="preserve"> </w:t>
      </w:r>
    </w:p>
  </w:footnote>
  <w:footnote w:id="42">
    <w:p w14:paraId="6CB389F9" w14:textId="75588D37" w:rsidR="00D762E4" w:rsidRPr="006C68E0" w:rsidRDefault="00D762E4" w:rsidP="00D55A7C">
      <w:pPr>
        <w:pStyle w:val="FootnoteText"/>
        <w:spacing w:line="480" w:lineRule="auto"/>
        <w:rPr>
          <w:rFonts w:ascii="Times" w:hAnsi="Times"/>
        </w:rPr>
      </w:pPr>
      <w:r>
        <w:rPr>
          <w:rStyle w:val="FootnoteReference"/>
        </w:rPr>
        <w:footnoteRef/>
      </w:r>
      <w:r>
        <w:t xml:space="preserve"> </w:t>
      </w:r>
      <w:r w:rsidRPr="006C68E0">
        <w:rPr>
          <w:rFonts w:ascii="Times" w:hAnsi="Times"/>
          <w:sz w:val="20"/>
          <w:szCs w:val="20"/>
        </w:rPr>
        <w:t xml:space="preserve">‘Bonum </w:t>
      </w:r>
      <w:proofErr w:type="spellStart"/>
      <w:r w:rsidRPr="006C68E0">
        <w:rPr>
          <w:rFonts w:ascii="Times" w:hAnsi="Times"/>
          <w:sz w:val="20"/>
          <w:szCs w:val="20"/>
        </w:rPr>
        <w:t>virum</w:t>
      </w:r>
      <w:proofErr w:type="spellEnd"/>
      <w:r w:rsidRPr="006C68E0">
        <w:rPr>
          <w:rFonts w:ascii="Times" w:hAnsi="Times"/>
          <w:sz w:val="20"/>
          <w:szCs w:val="20"/>
        </w:rPr>
        <w:t xml:space="preserve"> facile </w:t>
      </w:r>
      <w:proofErr w:type="spellStart"/>
      <w:r w:rsidRPr="006C68E0">
        <w:rPr>
          <w:rFonts w:ascii="Times" w:hAnsi="Times"/>
          <w:sz w:val="20"/>
          <w:szCs w:val="20"/>
        </w:rPr>
        <w:t>crederes</w:t>
      </w:r>
      <w:proofErr w:type="spellEnd"/>
      <w:r w:rsidRPr="006C68E0">
        <w:rPr>
          <w:rFonts w:ascii="Times" w:hAnsi="Times"/>
          <w:sz w:val="20"/>
          <w:szCs w:val="20"/>
        </w:rPr>
        <w:t xml:space="preserve">’, an Italian translation of Savile’s note on Tacitus’s style, Biblioteca Ambrosiana, P167 sup. </w:t>
      </w:r>
      <w:proofErr w:type="spellStart"/>
      <w:r w:rsidRPr="006C68E0">
        <w:rPr>
          <w:rFonts w:ascii="Times" w:hAnsi="Times"/>
          <w:sz w:val="20"/>
          <w:szCs w:val="20"/>
        </w:rPr>
        <w:t>unità</w:t>
      </w:r>
      <w:proofErr w:type="spellEnd"/>
      <w:r w:rsidRPr="006C68E0">
        <w:rPr>
          <w:rFonts w:ascii="Times" w:hAnsi="Times"/>
          <w:sz w:val="20"/>
          <w:szCs w:val="20"/>
        </w:rPr>
        <w:t xml:space="preserve"> </w:t>
      </w:r>
      <w:proofErr w:type="spellStart"/>
      <w:r w:rsidRPr="006C68E0">
        <w:rPr>
          <w:rFonts w:ascii="Times" w:hAnsi="Times"/>
          <w:sz w:val="20"/>
          <w:szCs w:val="20"/>
        </w:rPr>
        <w:t>codicologica</w:t>
      </w:r>
      <w:proofErr w:type="spellEnd"/>
      <w:r w:rsidRPr="006C68E0">
        <w:rPr>
          <w:rFonts w:ascii="Times" w:hAnsi="Times"/>
          <w:sz w:val="20"/>
          <w:szCs w:val="20"/>
        </w:rPr>
        <w:t xml:space="preserve"> 6; D246 inf. </w:t>
      </w:r>
      <w:proofErr w:type="spellStart"/>
      <w:r w:rsidRPr="006C68E0">
        <w:rPr>
          <w:rFonts w:ascii="Times" w:hAnsi="Times"/>
          <w:sz w:val="20"/>
          <w:szCs w:val="20"/>
        </w:rPr>
        <w:t>unità</w:t>
      </w:r>
      <w:proofErr w:type="spellEnd"/>
      <w:r w:rsidRPr="006C68E0">
        <w:rPr>
          <w:rFonts w:ascii="Times" w:hAnsi="Times"/>
          <w:sz w:val="20"/>
          <w:szCs w:val="20"/>
        </w:rPr>
        <w:t xml:space="preserve"> </w:t>
      </w:r>
      <w:proofErr w:type="spellStart"/>
      <w:r w:rsidRPr="006C68E0">
        <w:rPr>
          <w:rFonts w:ascii="Times" w:hAnsi="Times"/>
          <w:sz w:val="20"/>
          <w:szCs w:val="20"/>
        </w:rPr>
        <w:t>codicologica</w:t>
      </w:r>
      <w:proofErr w:type="spellEnd"/>
      <w:r w:rsidRPr="006C68E0">
        <w:rPr>
          <w:rFonts w:ascii="Times" w:hAnsi="Times"/>
          <w:sz w:val="20"/>
          <w:szCs w:val="20"/>
        </w:rPr>
        <w:t xml:space="preserve"> 9; D246 inf. </w:t>
      </w:r>
      <w:proofErr w:type="spellStart"/>
      <w:r w:rsidRPr="006C68E0">
        <w:rPr>
          <w:rFonts w:ascii="Times" w:hAnsi="Times"/>
          <w:sz w:val="20"/>
          <w:szCs w:val="20"/>
        </w:rPr>
        <w:t>unità</w:t>
      </w:r>
      <w:proofErr w:type="spellEnd"/>
      <w:r w:rsidRPr="006C68E0">
        <w:rPr>
          <w:rFonts w:ascii="Times" w:hAnsi="Times"/>
          <w:sz w:val="20"/>
          <w:szCs w:val="20"/>
        </w:rPr>
        <w:t xml:space="preserve"> </w:t>
      </w:r>
      <w:proofErr w:type="spellStart"/>
      <w:r w:rsidRPr="006C68E0">
        <w:rPr>
          <w:rFonts w:ascii="Times" w:hAnsi="Times"/>
          <w:sz w:val="20"/>
          <w:szCs w:val="20"/>
        </w:rPr>
        <w:t>codicologica</w:t>
      </w:r>
      <w:proofErr w:type="spellEnd"/>
      <w:r w:rsidRPr="006C68E0">
        <w:rPr>
          <w:rFonts w:ascii="Times" w:hAnsi="Times"/>
          <w:sz w:val="20"/>
          <w:szCs w:val="20"/>
        </w:rPr>
        <w:t xml:space="preserve"> 10; ‘</w:t>
      </w:r>
      <w:proofErr w:type="spellStart"/>
      <w:r w:rsidRPr="006C68E0">
        <w:rPr>
          <w:rFonts w:ascii="Times" w:hAnsi="Times"/>
          <w:sz w:val="20"/>
          <w:szCs w:val="20"/>
        </w:rPr>
        <w:t>Seguita</w:t>
      </w:r>
      <w:proofErr w:type="spellEnd"/>
      <w:r w:rsidRPr="006C68E0">
        <w:rPr>
          <w:rFonts w:ascii="Times" w:hAnsi="Times"/>
          <w:sz w:val="20"/>
          <w:szCs w:val="20"/>
        </w:rPr>
        <w:t xml:space="preserve"> </w:t>
      </w:r>
      <w:proofErr w:type="spellStart"/>
      <w:r w:rsidRPr="006C68E0">
        <w:rPr>
          <w:rFonts w:ascii="Times" w:hAnsi="Times"/>
          <w:sz w:val="20"/>
          <w:szCs w:val="20"/>
        </w:rPr>
        <w:t>una</w:t>
      </w:r>
      <w:proofErr w:type="spellEnd"/>
      <w:r w:rsidRPr="006C68E0">
        <w:rPr>
          <w:rFonts w:ascii="Times" w:hAnsi="Times"/>
          <w:sz w:val="20"/>
          <w:szCs w:val="20"/>
        </w:rPr>
        <w:t xml:space="preserve"> </w:t>
      </w:r>
      <w:proofErr w:type="spellStart"/>
      <w:r w:rsidRPr="006C68E0">
        <w:rPr>
          <w:rFonts w:ascii="Times" w:hAnsi="Times"/>
          <w:sz w:val="20"/>
          <w:szCs w:val="20"/>
        </w:rPr>
        <w:t>mostra</w:t>
      </w:r>
      <w:proofErr w:type="spellEnd"/>
      <w:r w:rsidRPr="006C68E0">
        <w:rPr>
          <w:rFonts w:ascii="Times" w:hAnsi="Times"/>
          <w:sz w:val="20"/>
          <w:szCs w:val="20"/>
        </w:rPr>
        <w:t xml:space="preserve"> di </w:t>
      </w:r>
      <w:proofErr w:type="spellStart"/>
      <w:r w:rsidRPr="006C68E0">
        <w:rPr>
          <w:rFonts w:ascii="Times" w:hAnsi="Times"/>
          <w:sz w:val="20"/>
          <w:szCs w:val="20"/>
        </w:rPr>
        <w:t>certe</w:t>
      </w:r>
      <w:proofErr w:type="spellEnd"/>
      <w:r w:rsidRPr="006C68E0">
        <w:rPr>
          <w:rFonts w:ascii="Times" w:hAnsi="Times"/>
          <w:sz w:val="20"/>
          <w:szCs w:val="20"/>
        </w:rPr>
        <w:t xml:space="preserve"> </w:t>
      </w:r>
      <w:proofErr w:type="spellStart"/>
      <w:r w:rsidRPr="006C68E0">
        <w:rPr>
          <w:rFonts w:ascii="Times" w:hAnsi="Times"/>
          <w:sz w:val="20"/>
          <w:szCs w:val="20"/>
        </w:rPr>
        <w:t>cose</w:t>
      </w:r>
      <w:proofErr w:type="spellEnd"/>
      <w:r w:rsidRPr="006C68E0">
        <w:rPr>
          <w:rFonts w:ascii="Times" w:hAnsi="Times"/>
          <w:sz w:val="20"/>
          <w:szCs w:val="20"/>
        </w:rPr>
        <w:t xml:space="preserve"> </w:t>
      </w:r>
      <w:proofErr w:type="spellStart"/>
      <w:r w:rsidRPr="006C68E0">
        <w:rPr>
          <w:rFonts w:ascii="Times" w:hAnsi="Times"/>
          <w:sz w:val="20"/>
          <w:szCs w:val="20"/>
        </w:rPr>
        <w:t>militari</w:t>
      </w:r>
      <w:proofErr w:type="spellEnd"/>
      <w:r w:rsidRPr="006C68E0">
        <w:rPr>
          <w:rFonts w:ascii="Times" w:hAnsi="Times"/>
          <w:sz w:val="20"/>
          <w:szCs w:val="20"/>
        </w:rPr>
        <w:t xml:space="preserve">’, </w:t>
      </w:r>
      <w:r w:rsidRPr="006C68E0">
        <w:rPr>
          <w:sz w:val="20"/>
          <w:szCs w:val="20"/>
        </w:rPr>
        <w:t xml:space="preserve">an abridged Italian translation of Savile’s treatise on the Roman military, BA </w:t>
      </w:r>
      <w:r w:rsidRPr="006C68E0">
        <w:rPr>
          <w:rFonts w:ascii="Times" w:hAnsi="Times"/>
          <w:sz w:val="20"/>
          <w:szCs w:val="20"/>
        </w:rPr>
        <w:t xml:space="preserve">D246 inf. </w:t>
      </w:r>
      <w:proofErr w:type="spellStart"/>
      <w:r w:rsidRPr="006C68E0">
        <w:rPr>
          <w:rFonts w:ascii="Times" w:hAnsi="Times"/>
          <w:sz w:val="20"/>
          <w:szCs w:val="20"/>
        </w:rPr>
        <w:t>unità</w:t>
      </w:r>
      <w:proofErr w:type="spellEnd"/>
      <w:r w:rsidRPr="006C68E0">
        <w:rPr>
          <w:rFonts w:ascii="Times" w:hAnsi="Times"/>
          <w:sz w:val="20"/>
          <w:szCs w:val="20"/>
        </w:rPr>
        <w:t xml:space="preserve"> </w:t>
      </w:r>
      <w:proofErr w:type="spellStart"/>
      <w:r w:rsidRPr="006C68E0">
        <w:rPr>
          <w:rFonts w:ascii="Times" w:hAnsi="Times"/>
          <w:sz w:val="20"/>
          <w:szCs w:val="20"/>
        </w:rPr>
        <w:t>codicologica</w:t>
      </w:r>
      <w:proofErr w:type="spellEnd"/>
      <w:r w:rsidRPr="006C68E0">
        <w:rPr>
          <w:rFonts w:ascii="Times" w:hAnsi="Times"/>
          <w:sz w:val="20"/>
          <w:szCs w:val="20"/>
        </w:rPr>
        <w:t xml:space="preserve"> 6; D246 inf. </w:t>
      </w:r>
      <w:proofErr w:type="spellStart"/>
      <w:r w:rsidRPr="006C68E0">
        <w:rPr>
          <w:rFonts w:ascii="Times" w:hAnsi="Times"/>
          <w:sz w:val="20"/>
          <w:szCs w:val="20"/>
        </w:rPr>
        <w:t>unità</w:t>
      </w:r>
      <w:proofErr w:type="spellEnd"/>
      <w:r w:rsidRPr="006C68E0">
        <w:rPr>
          <w:rFonts w:ascii="Times" w:hAnsi="Times"/>
          <w:sz w:val="20"/>
          <w:szCs w:val="20"/>
        </w:rPr>
        <w:t xml:space="preserve"> </w:t>
      </w:r>
      <w:proofErr w:type="spellStart"/>
      <w:r w:rsidRPr="006C68E0">
        <w:rPr>
          <w:rFonts w:ascii="Times" w:hAnsi="Times"/>
          <w:sz w:val="20"/>
          <w:szCs w:val="20"/>
        </w:rPr>
        <w:t>codicologica</w:t>
      </w:r>
      <w:proofErr w:type="spellEnd"/>
      <w:r w:rsidRPr="006C68E0">
        <w:rPr>
          <w:rFonts w:ascii="Times" w:hAnsi="Times"/>
          <w:sz w:val="20"/>
          <w:szCs w:val="20"/>
        </w:rPr>
        <w:t xml:space="preserve"> 7; </w:t>
      </w:r>
      <w:r w:rsidR="00E770B5" w:rsidRPr="006C68E0">
        <w:rPr>
          <w:rFonts w:ascii="Times" w:hAnsi="Times"/>
          <w:sz w:val="20"/>
          <w:szCs w:val="20"/>
        </w:rPr>
        <w:t>‘</w:t>
      </w:r>
      <w:r w:rsidR="0020527A" w:rsidRPr="006C68E0">
        <w:rPr>
          <w:rFonts w:ascii="Times" w:hAnsi="Times"/>
          <w:sz w:val="20"/>
          <w:szCs w:val="20"/>
        </w:rPr>
        <w:t xml:space="preserve">Sacrae </w:t>
      </w:r>
      <w:proofErr w:type="spellStart"/>
      <w:r w:rsidR="0020527A" w:rsidRPr="006C68E0">
        <w:rPr>
          <w:rFonts w:ascii="Times" w:hAnsi="Times"/>
          <w:sz w:val="20"/>
          <w:szCs w:val="20"/>
        </w:rPr>
        <w:t>Suæ</w:t>
      </w:r>
      <w:proofErr w:type="spellEnd"/>
      <w:r w:rsidR="0020527A" w:rsidRPr="006C68E0">
        <w:rPr>
          <w:rFonts w:ascii="Times" w:hAnsi="Times"/>
          <w:sz w:val="20"/>
          <w:szCs w:val="20"/>
        </w:rPr>
        <w:t xml:space="preserve"> </w:t>
      </w:r>
      <w:proofErr w:type="spellStart"/>
      <w:r w:rsidR="0020527A" w:rsidRPr="006C68E0">
        <w:rPr>
          <w:rFonts w:ascii="Times" w:hAnsi="Times"/>
          <w:sz w:val="20"/>
          <w:szCs w:val="20"/>
        </w:rPr>
        <w:t>Maiestate</w:t>
      </w:r>
      <w:proofErr w:type="spellEnd"/>
      <w:r w:rsidR="00E770B5" w:rsidRPr="006C68E0">
        <w:rPr>
          <w:rFonts w:ascii="Times" w:hAnsi="Times"/>
          <w:sz w:val="20"/>
          <w:szCs w:val="20"/>
        </w:rPr>
        <w:t>’,</w:t>
      </w:r>
      <w:r w:rsidR="0020527A" w:rsidRPr="006C68E0">
        <w:rPr>
          <w:rFonts w:ascii="Times" w:hAnsi="Times"/>
          <w:sz w:val="20"/>
          <w:szCs w:val="20"/>
        </w:rPr>
        <w:t xml:space="preserve"> a Latin translation of the prefa</w:t>
      </w:r>
      <w:r w:rsidR="00E770B5" w:rsidRPr="006C68E0">
        <w:rPr>
          <w:rFonts w:ascii="Times" w:hAnsi="Times"/>
          <w:sz w:val="20"/>
          <w:szCs w:val="20"/>
        </w:rPr>
        <w:t xml:space="preserve">tory material, including dedication to Elizabeth, BA Q. 122 sup. </w:t>
      </w:r>
      <w:proofErr w:type="spellStart"/>
      <w:r w:rsidR="00E770B5" w:rsidRPr="006C68E0">
        <w:rPr>
          <w:rFonts w:ascii="Times" w:hAnsi="Times"/>
          <w:sz w:val="20"/>
          <w:szCs w:val="20"/>
        </w:rPr>
        <w:t>unità</w:t>
      </w:r>
      <w:proofErr w:type="spellEnd"/>
      <w:r w:rsidR="00E770B5" w:rsidRPr="006C68E0">
        <w:rPr>
          <w:rFonts w:ascii="Times" w:hAnsi="Times"/>
          <w:sz w:val="20"/>
          <w:szCs w:val="20"/>
        </w:rPr>
        <w:t xml:space="preserve"> </w:t>
      </w:r>
      <w:proofErr w:type="spellStart"/>
      <w:r w:rsidR="00E770B5" w:rsidRPr="006C68E0">
        <w:rPr>
          <w:rFonts w:ascii="Times" w:hAnsi="Times"/>
          <w:sz w:val="20"/>
          <w:szCs w:val="20"/>
        </w:rPr>
        <w:t>codicologica</w:t>
      </w:r>
      <w:proofErr w:type="spellEnd"/>
      <w:r w:rsidR="00E770B5" w:rsidRPr="006C68E0">
        <w:rPr>
          <w:rFonts w:ascii="Times" w:hAnsi="Times"/>
          <w:sz w:val="20"/>
          <w:szCs w:val="20"/>
        </w:rPr>
        <w:t xml:space="preserve"> 2; ‘</w:t>
      </w:r>
      <w:proofErr w:type="spellStart"/>
      <w:r w:rsidR="00E770B5" w:rsidRPr="006C68E0">
        <w:rPr>
          <w:rFonts w:ascii="Times" w:hAnsi="Times"/>
          <w:sz w:val="20"/>
          <w:szCs w:val="20"/>
        </w:rPr>
        <w:t>Explicatio</w:t>
      </w:r>
      <w:proofErr w:type="spellEnd"/>
      <w:r w:rsidR="00E770B5" w:rsidRPr="006C68E0">
        <w:rPr>
          <w:rFonts w:ascii="Times" w:hAnsi="Times"/>
          <w:sz w:val="20"/>
          <w:szCs w:val="20"/>
        </w:rPr>
        <w:t xml:space="preserve"> loci apud </w:t>
      </w:r>
      <w:proofErr w:type="spellStart"/>
      <w:r w:rsidR="00E770B5" w:rsidRPr="006C68E0">
        <w:rPr>
          <w:rFonts w:ascii="Times" w:hAnsi="Times"/>
          <w:sz w:val="20"/>
          <w:szCs w:val="20"/>
        </w:rPr>
        <w:t>Polibiu</w:t>
      </w:r>
      <w:r w:rsidR="00E770B5" w:rsidRPr="006C68E0">
        <w:rPr>
          <w:rFonts w:ascii="Times" w:hAnsi="Times"/>
          <w:i/>
          <w:sz w:val="20"/>
          <w:szCs w:val="20"/>
        </w:rPr>
        <w:t>m</w:t>
      </w:r>
      <w:proofErr w:type="spellEnd"/>
      <w:r w:rsidR="00E770B5" w:rsidRPr="006C68E0">
        <w:rPr>
          <w:rFonts w:ascii="Times" w:hAnsi="Times"/>
          <w:sz w:val="20"/>
          <w:szCs w:val="20"/>
        </w:rPr>
        <w:t xml:space="preserve">’, a Latin translation of </w:t>
      </w:r>
      <w:proofErr w:type="spellStart"/>
      <w:r w:rsidR="00E770B5" w:rsidRPr="006C68E0">
        <w:rPr>
          <w:rFonts w:ascii="Times" w:hAnsi="Times"/>
          <w:sz w:val="20"/>
          <w:szCs w:val="20"/>
        </w:rPr>
        <w:t>of</w:t>
      </w:r>
      <w:proofErr w:type="spellEnd"/>
      <w:r w:rsidR="00E770B5" w:rsidRPr="006C68E0">
        <w:rPr>
          <w:rFonts w:ascii="Times" w:hAnsi="Times"/>
          <w:sz w:val="20"/>
          <w:szCs w:val="20"/>
        </w:rPr>
        <w:t xml:space="preserve"> Savile’s note on Polybius, BA Q. 122 sup. </w:t>
      </w:r>
      <w:proofErr w:type="spellStart"/>
      <w:r w:rsidR="00E770B5" w:rsidRPr="006C68E0">
        <w:rPr>
          <w:rFonts w:ascii="Times" w:hAnsi="Times"/>
          <w:sz w:val="20"/>
          <w:szCs w:val="20"/>
        </w:rPr>
        <w:t>unità</w:t>
      </w:r>
      <w:proofErr w:type="spellEnd"/>
      <w:r w:rsidR="00E770B5" w:rsidRPr="006C68E0">
        <w:rPr>
          <w:rFonts w:ascii="Times" w:hAnsi="Times"/>
          <w:sz w:val="20"/>
          <w:szCs w:val="20"/>
        </w:rPr>
        <w:t xml:space="preserve"> </w:t>
      </w:r>
      <w:proofErr w:type="spellStart"/>
      <w:r w:rsidR="00E770B5" w:rsidRPr="006C68E0">
        <w:rPr>
          <w:rFonts w:ascii="Times" w:hAnsi="Times"/>
          <w:sz w:val="20"/>
          <w:szCs w:val="20"/>
        </w:rPr>
        <w:t>codicologica</w:t>
      </w:r>
      <w:proofErr w:type="spellEnd"/>
      <w:r w:rsidR="00E770B5" w:rsidRPr="006C68E0">
        <w:rPr>
          <w:rFonts w:ascii="Times" w:hAnsi="Times"/>
          <w:sz w:val="20"/>
          <w:szCs w:val="20"/>
        </w:rPr>
        <w:t xml:space="preserve"> 21.</w:t>
      </w:r>
    </w:p>
  </w:footnote>
  <w:footnote w:id="43">
    <w:p w14:paraId="6490E64A" w14:textId="30E37E96" w:rsidR="00316190" w:rsidRPr="00646A4D" w:rsidRDefault="00316190" w:rsidP="00D55A7C">
      <w:pPr>
        <w:pStyle w:val="FootnoteText"/>
        <w:spacing w:line="480" w:lineRule="auto"/>
      </w:pPr>
      <w:r>
        <w:rPr>
          <w:rStyle w:val="FootnoteReference"/>
        </w:rPr>
        <w:footnoteRef/>
      </w:r>
      <w:r>
        <w:t xml:space="preserve"> </w:t>
      </w:r>
      <w:r w:rsidR="00450814" w:rsidRPr="006C68E0">
        <w:rPr>
          <w:sz w:val="20"/>
          <w:szCs w:val="20"/>
        </w:rPr>
        <w:t>‘</w:t>
      </w:r>
      <w:r w:rsidRPr="006C68E0">
        <w:rPr>
          <w:sz w:val="20"/>
          <w:szCs w:val="20"/>
        </w:rPr>
        <w:t xml:space="preserve">Henr. </w:t>
      </w:r>
      <w:proofErr w:type="spellStart"/>
      <w:r w:rsidRPr="006C68E0">
        <w:rPr>
          <w:sz w:val="20"/>
          <w:szCs w:val="20"/>
        </w:rPr>
        <w:t>Cuffii</w:t>
      </w:r>
      <w:proofErr w:type="spellEnd"/>
      <w:r w:rsidRPr="006C68E0">
        <w:rPr>
          <w:sz w:val="20"/>
          <w:szCs w:val="20"/>
        </w:rPr>
        <w:t>. Nota</w:t>
      </w:r>
      <w:r w:rsidRPr="006C68E0">
        <w:rPr>
          <w:i/>
          <w:sz w:val="20"/>
          <w:szCs w:val="20"/>
        </w:rPr>
        <w:t>e</w:t>
      </w:r>
      <w:r w:rsidRPr="006C68E0">
        <w:rPr>
          <w:sz w:val="20"/>
          <w:szCs w:val="20"/>
        </w:rPr>
        <w:t xml:space="preserve"> i</w:t>
      </w:r>
      <w:r w:rsidRPr="006C68E0">
        <w:rPr>
          <w:i/>
          <w:sz w:val="20"/>
          <w:szCs w:val="20"/>
        </w:rPr>
        <w:t>n</w:t>
      </w:r>
      <w:r w:rsidRPr="006C68E0">
        <w:rPr>
          <w:sz w:val="20"/>
          <w:szCs w:val="20"/>
        </w:rPr>
        <w:t xml:space="preserve"> </w:t>
      </w:r>
      <w:proofErr w:type="spellStart"/>
      <w:r w:rsidRPr="006C68E0">
        <w:rPr>
          <w:sz w:val="20"/>
          <w:szCs w:val="20"/>
        </w:rPr>
        <w:t>Photi</w:t>
      </w:r>
      <w:proofErr w:type="spellEnd"/>
      <w:r w:rsidRPr="006C68E0">
        <w:rPr>
          <w:sz w:val="20"/>
          <w:szCs w:val="20"/>
        </w:rPr>
        <w:t xml:space="preserve"> fol.</w:t>
      </w:r>
      <w:r w:rsidR="00450814" w:rsidRPr="006C68E0">
        <w:rPr>
          <w:sz w:val="20"/>
          <w:szCs w:val="20"/>
        </w:rPr>
        <w:t>’;</w:t>
      </w:r>
      <w:r w:rsidRPr="006C68E0">
        <w:rPr>
          <w:sz w:val="20"/>
          <w:szCs w:val="20"/>
        </w:rPr>
        <w:t xml:space="preserve"> </w:t>
      </w:r>
      <w:r w:rsidR="00450814" w:rsidRPr="006C68E0">
        <w:rPr>
          <w:sz w:val="20"/>
          <w:szCs w:val="20"/>
        </w:rPr>
        <w:t>‘</w:t>
      </w:r>
      <w:proofErr w:type="spellStart"/>
      <w:r w:rsidRPr="006C68E0">
        <w:rPr>
          <w:sz w:val="20"/>
          <w:szCs w:val="20"/>
        </w:rPr>
        <w:t>Osservazioni</w:t>
      </w:r>
      <w:proofErr w:type="spellEnd"/>
      <w:r w:rsidRPr="006C68E0">
        <w:rPr>
          <w:sz w:val="20"/>
          <w:szCs w:val="20"/>
        </w:rPr>
        <w:t xml:space="preserve"> in Greco </w:t>
      </w:r>
      <w:proofErr w:type="spellStart"/>
      <w:r w:rsidRPr="006C68E0">
        <w:rPr>
          <w:sz w:val="20"/>
          <w:szCs w:val="20"/>
        </w:rPr>
        <w:t>su</w:t>
      </w:r>
      <w:proofErr w:type="spellEnd"/>
      <w:r w:rsidRPr="006C68E0">
        <w:rPr>
          <w:sz w:val="20"/>
          <w:szCs w:val="20"/>
        </w:rPr>
        <w:t xml:space="preserve"> Fozio a Enrico Cuffio</w:t>
      </w:r>
      <w:r w:rsidR="00450814" w:rsidRPr="006C68E0">
        <w:rPr>
          <w:sz w:val="20"/>
          <w:szCs w:val="20"/>
        </w:rPr>
        <w:t>’,</w:t>
      </w:r>
      <w:r w:rsidRPr="006C68E0">
        <w:rPr>
          <w:sz w:val="20"/>
          <w:szCs w:val="20"/>
        </w:rPr>
        <w:t xml:space="preserve"> Ambrosiana MS Q. 122 sup.: </w:t>
      </w:r>
      <w:proofErr w:type="spellStart"/>
      <w:r w:rsidRPr="006C68E0">
        <w:rPr>
          <w:sz w:val="20"/>
          <w:szCs w:val="20"/>
        </w:rPr>
        <w:t>unità</w:t>
      </w:r>
      <w:proofErr w:type="spellEnd"/>
      <w:r w:rsidRPr="006C68E0">
        <w:rPr>
          <w:sz w:val="20"/>
          <w:szCs w:val="20"/>
        </w:rPr>
        <w:t xml:space="preserve"> </w:t>
      </w:r>
      <w:proofErr w:type="spellStart"/>
      <w:r w:rsidRPr="006C68E0">
        <w:rPr>
          <w:sz w:val="20"/>
          <w:szCs w:val="20"/>
        </w:rPr>
        <w:t>codicologica</w:t>
      </w:r>
      <w:proofErr w:type="spellEnd"/>
      <w:r w:rsidRPr="006C68E0">
        <w:rPr>
          <w:sz w:val="20"/>
          <w:szCs w:val="20"/>
        </w:rPr>
        <w:t xml:space="preserve"> 48, 244</w:t>
      </w:r>
      <w:r w:rsidRPr="006C68E0">
        <w:rPr>
          <w:sz w:val="20"/>
          <w:szCs w:val="20"/>
          <w:vertAlign w:val="superscript"/>
        </w:rPr>
        <w:t>r.</w:t>
      </w:r>
      <w:r w:rsidRPr="006C68E0">
        <w:rPr>
          <w:sz w:val="20"/>
          <w:szCs w:val="20"/>
        </w:rPr>
        <w:t xml:space="preserve"> </w:t>
      </w:r>
    </w:p>
  </w:footnote>
  <w:footnote w:id="44">
    <w:p w14:paraId="618AFDAD" w14:textId="00FD89B0" w:rsidR="00DD1DB7" w:rsidRDefault="00DD1DB7" w:rsidP="00D55A7C">
      <w:pPr>
        <w:pStyle w:val="FootnoteText"/>
        <w:spacing w:line="480" w:lineRule="auto"/>
      </w:pPr>
      <w:r>
        <w:rPr>
          <w:rStyle w:val="FootnoteReference"/>
        </w:rPr>
        <w:footnoteRef/>
      </w:r>
      <w:r>
        <w:t xml:space="preserve"> </w:t>
      </w:r>
      <w:r w:rsidRPr="006C68E0">
        <w:rPr>
          <w:sz w:val="20"/>
          <w:szCs w:val="20"/>
        </w:rPr>
        <w:t xml:space="preserve">‘Arabica </w:t>
      </w:r>
      <w:proofErr w:type="spellStart"/>
      <w:r w:rsidRPr="006C68E0">
        <w:rPr>
          <w:sz w:val="20"/>
          <w:szCs w:val="20"/>
        </w:rPr>
        <w:t>versione</w:t>
      </w:r>
      <w:proofErr w:type="spellEnd"/>
      <w:r w:rsidRPr="006C68E0">
        <w:rPr>
          <w:sz w:val="20"/>
          <w:szCs w:val="20"/>
        </w:rPr>
        <w:t>’ BA MS P. 227 sup., 54</w:t>
      </w:r>
      <w:r w:rsidRPr="006C68E0">
        <w:rPr>
          <w:sz w:val="20"/>
          <w:szCs w:val="20"/>
          <w:vertAlign w:val="superscript"/>
        </w:rPr>
        <w:t>r</w:t>
      </w:r>
    </w:p>
  </w:footnote>
  <w:footnote w:id="45">
    <w:p w14:paraId="7C367FF6" w14:textId="2C118E16" w:rsidR="00F7607E" w:rsidRPr="006C68E0" w:rsidRDefault="00F7607E" w:rsidP="00D55A7C">
      <w:pPr>
        <w:pStyle w:val="FootnoteText"/>
        <w:spacing w:line="480" w:lineRule="auto"/>
        <w:rPr>
          <w:sz w:val="20"/>
          <w:szCs w:val="20"/>
        </w:rPr>
      </w:pPr>
      <w:r>
        <w:rPr>
          <w:rStyle w:val="FootnoteReference"/>
        </w:rPr>
        <w:footnoteRef/>
      </w:r>
      <w:r>
        <w:t xml:space="preserve"> </w:t>
      </w:r>
      <w:r w:rsidRPr="006C68E0">
        <w:rPr>
          <w:sz w:val="20"/>
          <w:szCs w:val="20"/>
        </w:rPr>
        <w:t xml:space="preserve">Geminus, </w:t>
      </w:r>
      <w:r w:rsidRPr="006C68E0">
        <w:rPr>
          <w:i/>
          <w:iCs/>
          <w:sz w:val="20"/>
          <w:szCs w:val="20"/>
        </w:rPr>
        <w:t xml:space="preserve">Introduction aux </w:t>
      </w:r>
      <w:proofErr w:type="spellStart"/>
      <w:r w:rsidRPr="006C68E0">
        <w:rPr>
          <w:i/>
          <w:iCs/>
          <w:sz w:val="20"/>
          <w:szCs w:val="20"/>
        </w:rPr>
        <w:t>Phénomènes</w:t>
      </w:r>
      <w:proofErr w:type="spellEnd"/>
      <w:r w:rsidRPr="006C68E0">
        <w:rPr>
          <w:sz w:val="20"/>
          <w:szCs w:val="20"/>
        </w:rPr>
        <w:t xml:space="preserve">, ed. and trans. Germaine </w:t>
      </w:r>
      <w:proofErr w:type="spellStart"/>
      <w:r w:rsidRPr="006C68E0">
        <w:rPr>
          <w:sz w:val="20"/>
          <w:szCs w:val="20"/>
        </w:rPr>
        <w:t>Aujac</w:t>
      </w:r>
      <w:proofErr w:type="spellEnd"/>
      <w:r w:rsidRPr="006C68E0">
        <w:rPr>
          <w:sz w:val="20"/>
          <w:szCs w:val="20"/>
        </w:rPr>
        <w:t xml:space="preserve"> (Paris:</w:t>
      </w:r>
      <w:r w:rsidR="008A68E3" w:rsidRPr="006C68E0">
        <w:rPr>
          <w:sz w:val="20"/>
          <w:szCs w:val="20"/>
        </w:rPr>
        <w:t xml:space="preserve"> Les Belles Lettres, 1975) p. civ</w:t>
      </w:r>
    </w:p>
  </w:footnote>
  <w:footnote w:id="46">
    <w:p w14:paraId="0B88C836" w14:textId="5D727FDC" w:rsidR="00914DFC" w:rsidRDefault="00914DFC" w:rsidP="00D55A7C">
      <w:pPr>
        <w:pStyle w:val="FootnoteText"/>
        <w:spacing w:line="480" w:lineRule="auto"/>
      </w:pPr>
      <w:r>
        <w:rPr>
          <w:rStyle w:val="FootnoteReference"/>
        </w:rPr>
        <w:footnoteRef/>
      </w:r>
      <w:r>
        <w:t xml:space="preserve"> </w:t>
      </w:r>
      <w:r w:rsidRPr="006C68E0">
        <w:rPr>
          <w:sz w:val="20"/>
          <w:szCs w:val="20"/>
        </w:rPr>
        <w:t>Todd (2003) 9</w:t>
      </w:r>
    </w:p>
  </w:footnote>
  <w:footnote w:id="47">
    <w:p w14:paraId="2B21762C" w14:textId="59228DDB" w:rsidR="00956465" w:rsidRPr="003C57FB" w:rsidRDefault="00956465" w:rsidP="00D55A7C">
      <w:pPr>
        <w:pStyle w:val="FootnoteText"/>
        <w:spacing w:line="480" w:lineRule="auto"/>
      </w:pPr>
      <w:r>
        <w:rPr>
          <w:rStyle w:val="FootnoteReference"/>
        </w:rPr>
        <w:footnoteRef/>
      </w:r>
      <w:r>
        <w:t xml:space="preserve"> </w:t>
      </w:r>
      <w:r w:rsidRPr="006C68E0">
        <w:rPr>
          <w:sz w:val="20"/>
          <w:szCs w:val="20"/>
        </w:rPr>
        <w:t xml:space="preserve">Biblioteca Ambrosiana MS P167 sup., </w:t>
      </w:r>
      <w:r w:rsidR="00FA3877" w:rsidRPr="006C68E0">
        <w:rPr>
          <w:sz w:val="20"/>
          <w:szCs w:val="20"/>
        </w:rPr>
        <w:t>45</w:t>
      </w:r>
      <w:r w:rsidR="00FA3877" w:rsidRPr="006C68E0">
        <w:rPr>
          <w:sz w:val="20"/>
          <w:szCs w:val="20"/>
          <w:vertAlign w:val="superscript"/>
        </w:rPr>
        <w:t>r</w:t>
      </w:r>
      <w:r w:rsidR="003C57FB" w:rsidRPr="006C68E0">
        <w:rPr>
          <w:sz w:val="20"/>
          <w:szCs w:val="20"/>
        </w:rPr>
        <w:t>. That there was originally more of the de Balmes translation is suggested by the catchword on fol. 47</w:t>
      </w:r>
      <w:r w:rsidR="003C57FB" w:rsidRPr="006C68E0">
        <w:rPr>
          <w:sz w:val="20"/>
          <w:szCs w:val="20"/>
          <w:vertAlign w:val="superscript"/>
        </w:rPr>
        <w:t>v</w:t>
      </w:r>
      <w:r w:rsidR="003C57FB" w:rsidRPr="006C68E0">
        <w:rPr>
          <w:sz w:val="20"/>
          <w:szCs w:val="20"/>
        </w:rPr>
        <w:t xml:space="preserve">: </w:t>
      </w:r>
      <w:r w:rsidR="006C3611" w:rsidRPr="006C68E0">
        <w:rPr>
          <w:sz w:val="20"/>
          <w:szCs w:val="20"/>
        </w:rPr>
        <w:t>‘</w:t>
      </w:r>
      <w:proofErr w:type="spellStart"/>
      <w:r w:rsidR="006C3611" w:rsidRPr="006C68E0">
        <w:rPr>
          <w:sz w:val="20"/>
          <w:szCs w:val="20"/>
        </w:rPr>
        <w:t>aequinoctiorum</w:t>
      </w:r>
      <w:proofErr w:type="spellEnd"/>
      <w:r w:rsidR="006C3611" w:rsidRPr="006C68E0">
        <w:rPr>
          <w:sz w:val="20"/>
          <w:szCs w:val="20"/>
        </w:rPr>
        <w:t>’.</w:t>
      </w:r>
      <w:r w:rsidR="006C3611">
        <w:t xml:space="preserve"> </w:t>
      </w:r>
    </w:p>
  </w:footnote>
  <w:footnote w:id="48">
    <w:p w14:paraId="702B4A47" w14:textId="7294E143" w:rsidR="00956465" w:rsidRPr="00EF4E48" w:rsidRDefault="00956465" w:rsidP="00D55A7C">
      <w:pPr>
        <w:pStyle w:val="FootnoteText"/>
        <w:spacing w:line="480" w:lineRule="auto"/>
      </w:pPr>
      <w:r>
        <w:rPr>
          <w:rStyle w:val="FootnoteReference"/>
        </w:rPr>
        <w:footnoteRef/>
      </w:r>
      <w:r>
        <w:t xml:space="preserve"> </w:t>
      </w:r>
      <w:r w:rsidRPr="006C68E0">
        <w:rPr>
          <w:sz w:val="20"/>
          <w:szCs w:val="20"/>
        </w:rPr>
        <w:t xml:space="preserve">Biblioteca Ambrosiana MS P167 sup., </w:t>
      </w:r>
      <w:r w:rsidR="00EF4E48" w:rsidRPr="006C68E0">
        <w:rPr>
          <w:sz w:val="20"/>
          <w:szCs w:val="20"/>
        </w:rPr>
        <w:t xml:space="preserve">‘Bonum </w:t>
      </w:r>
      <w:proofErr w:type="spellStart"/>
      <w:r w:rsidR="00EF4E48" w:rsidRPr="006C68E0">
        <w:rPr>
          <w:sz w:val="20"/>
          <w:szCs w:val="20"/>
        </w:rPr>
        <w:t>virum</w:t>
      </w:r>
      <w:proofErr w:type="spellEnd"/>
      <w:r w:rsidR="00EF4E48" w:rsidRPr="006C68E0">
        <w:rPr>
          <w:sz w:val="20"/>
          <w:szCs w:val="20"/>
        </w:rPr>
        <w:t xml:space="preserve"> facile </w:t>
      </w:r>
      <w:proofErr w:type="spellStart"/>
      <w:r w:rsidR="00EF4E48" w:rsidRPr="006C68E0">
        <w:rPr>
          <w:sz w:val="20"/>
          <w:szCs w:val="20"/>
        </w:rPr>
        <w:t>crederes</w:t>
      </w:r>
      <w:proofErr w:type="spellEnd"/>
      <w:r w:rsidR="00EF4E48" w:rsidRPr="006C68E0">
        <w:rPr>
          <w:sz w:val="20"/>
          <w:szCs w:val="20"/>
        </w:rPr>
        <w:t xml:space="preserve">, magnum </w:t>
      </w:r>
      <w:proofErr w:type="spellStart"/>
      <w:r w:rsidR="00EF4E48" w:rsidRPr="006C68E0">
        <w:rPr>
          <w:sz w:val="20"/>
          <w:szCs w:val="20"/>
        </w:rPr>
        <w:t>libenter</w:t>
      </w:r>
      <w:proofErr w:type="spellEnd"/>
      <w:r w:rsidR="00EF4E48" w:rsidRPr="006C68E0">
        <w:rPr>
          <w:sz w:val="20"/>
          <w:szCs w:val="20"/>
        </w:rPr>
        <w:t>…’ fol. 10</w:t>
      </w:r>
      <w:r w:rsidR="00EF4E48" w:rsidRPr="006C68E0">
        <w:rPr>
          <w:sz w:val="20"/>
          <w:szCs w:val="20"/>
          <w:vertAlign w:val="superscript"/>
        </w:rPr>
        <w:t>r</w:t>
      </w:r>
      <w:r w:rsidR="00EF4E48" w:rsidRPr="006C68E0">
        <w:rPr>
          <w:sz w:val="20"/>
          <w:szCs w:val="20"/>
        </w:rPr>
        <w:t>–11</w:t>
      </w:r>
      <w:r w:rsidR="00EF4E48" w:rsidRPr="006C68E0">
        <w:rPr>
          <w:sz w:val="20"/>
          <w:szCs w:val="20"/>
          <w:vertAlign w:val="superscript"/>
        </w:rPr>
        <w:t>r</w:t>
      </w:r>
      <w:r w:rsidR="00EF4E48" w:rsidRPr="006C68E0">
        <w:rPr>
          <w:sz w:val="20"/>
          <w:szCs w:val="20"/>
        </w:rPr>
        <w:t xml:space="preserve">; ‘La piu </w:t>
      </w:r>
      <w:proofErr w:type="spellStart"/>
      <w:r w:rsidR="00EF4E48" w:rsidRPr="006C68E0">
        <w:rPr>
          <w:sz w:val="20"/>
          <w:szCs w:val="20"/>
        </w:rPr>
        <w:t>capitale</w:t>
      </w:r>
      <w:proofErr w:type="spellEnd"/>
      <w:r w:rsidR="00EF4E48" w:rsidRPr="006C68E0">
        <w:rPr>
          <w:sz w:val="20"/>
          <w:szCs w:val="20"/>
        </w:rPr>
        <w:t xml:space="preserve"> </w:t>
      </w:r>
      <w:proofErr w:type="spellStart"/>
      <w:r w:rsidR="00EF4E48" w:rsidRPr="006C68E0">
        <w:rPr>
          <w:sz w:val="20"/>
          <w:szCs w:val="20"/>
        </w:rPr>
        <w:t>sorte</w:t>
      </w:r>
      <w:proofErr w:type="spellEnd"/>
      <w:r w:rsidR="00EF4E48" w:rsidRPr="006C68E0">
        <w:rPr>
          <w:sz w:val="20"/>
          <w:szCs w:val="20"/>
        </w:rPr>
        <w:t xml:space="preserve"> de’ </w:t>
      </w:r>
      <w:proofErr w:type="spellStart"/>
      <w:r w:rsidR="00EF4E48" w:rsidRPr="006C68E0">
        <w:rPr>
          <w:sz w:val="20"/>
          <w:szCs w:val="20"/>
        </w:rPr>
        <w:t>nemici</w:t>
      </w:r>
      <w:proofErr w:type="spellEnd"/>
      <w:r w:rsidR="00EF4E48" w:rsidRPr="006C68E0">
        <w:rPr>
          <w:sz w:val="20"/>
          <w:szCs w:val="20"/>
        </w:rPr>
        <w:t xml:space="preserve">, </w:t>
      </w:r>
      <w:proofErr w:type="spellStart"/>
      <w:r w:rsidR="00EF4E48" w:rsidRPr="006C68E0">
        <w:rPr>
          <w:sz w:val="20"/>
          <w:szCs w:val="20"/>
        </w:rPr>
        <w:t>i</w:t>
      </w:r>
      <w:proofErr w:type="spellEnd"/>
      <w:r w:rsidR="00EF4E48" w:rsidRPr="006C68E0">
        <w:rPr>
          <w:sz w:val="20"/>
          <w:szCs w:val="20"/>
        </w:rPr>
        <w:t xml:space="preserve"> </w:t>
      </w:r>
      <w:proofErr w:type="spellStart"/>
      <w:r w:rsidR="00EF4E48" w:rsidRPr="006C68E0">
        <w:rPr>
          <w:sz w:val="20"/>
          <w:szCs w:val="20"/>
        </w:rPr>
        <w:t>laudatori</w:t>
      </w:r>
      <w:proofErr w:type="spellEnd"/>
      <w:r w:rsidR="00EF4E48" w:rsidRPr="006C68E0">
        <w:rPr>
          <w:sz w:val="20"/>
          <w:szCs w:val="20"/>
        </w:rPr>
        <w:t>’, fol. 14</w:t>
      </w:r>
      <w:r w:rsidR="00EF4E48" w:rsidRPr="006C68E0">
        <w:rPr>
          <w:sz w:val="20"/>
          <w:szCs w:val="20"/>
          <w:vertAlign w:val="superscript"/>
        </w:rPr>
        <w:t>r</w:t>
      </w:r>
      <w:r w:rsidR="00EF4E48" w:rsidRPr="006C68E0">
        <w:rPr>
          <w:sz w:val="20"/>
          <w:szCs w:val="20"/>
        </w:rPr>
        <w:t>–16</w:t>
      </w:r>
      <w:r w:rsidR="00EF4E48" w:rsidRPr="006C68E0">
        <w:rPr>
          <w:sz w:val="20"/>
          <w:szCs w:val="20"/>
          <w:vertAlign w:val="superscript"/>
        </w:rPr>
        <w:t>v</w:t>
      </w:r>
      <w:r w:rsidR="00EF4E48" w:rsidRPr="006C68E0">
        <w:rPr>
          <w:sz w:val="20"/>
          <w:szCs w:val="20"/>
        </w:rPr>
        <w:t>.</w:t>
      </w:r>
      <w:r w:rsidR="00EF4E48">
        <w:t xml:space="preserve"> </w:t>
      </w:r>
    </w:p>
  </w:footnote>
  <w:footnote w:id="49">
    <w:p w14:paraId="1A64E215" w14:textId="7D07F5B1" w:rsidR="002B15B1" w:rsidRDefault="002B15B1" w:rsidP="00D55A7C">
      <w:pPr>
        <w:pStyle w:val="FootnoteText"/>
        <w:spacing w:line="480" w:lineRule="auto"/>
      </w:pPr>
      <w:r>
        <w:rPr>
          <w:rStyle w:val="FootnoteReference"/>
        </w:rPr>
        <w:footnoteRef/>
      </w:r>
      <w:r>
        <w:t xml:space="preserve"> </w:t>
      </w:r>
      <w:r w:rsidRPr="006C68E0">
        <w:rPr>
          <w:sz w:val="20"/>
          <w:szCs w:val="20"/>
        </w:rPr>
        <w:t>Oxford, Bodleian Library, Savile Manuscript 10, fol. 51</w:t>
      </w:r>
      <w:r w:rsidRPr="006C68E0">
        <w:rPr>
          <w:sz w:val="20"/>
          <w:szCs w:val="20"/>
          <w:vertAlign w:val="superscript"/>
        </w:rPr>
        <w:t>r</w:t>
      </w:r>
    </w:p>
  </w:footnote>
  <w:footnote w:id="50">
    <w:p w14:paraId="71EADB32" w14:textId="13E297BD" w:rsidR="00E46BEC" w:rsidRDefault="00E46BEC" w:rsidP="00D55A7C">
      <w:pPr>
        <w:pStyle w:val="FootnoteText"/>
        <w:spacing w:line="480" w:lineRule="auto"/>
      </w:pPr>
      <w:r>
        <w:rPr>
          <w:rStyle w:val="FootnoteReference"/>
        </w:rPr>
        <w:footnoteRef/>
      </w:r>
      <w:r>
        <w:t xml:space="preserve"> </w:t>
      </w:r>
      <w:r w:rsidRPr="006C68E0">
        <w:rPr>
          <w:sz w:val="20"/>
          <w:szCs w:val="20"/>
        </w:rPr>
        <w:t>Biblioteca Ambrosiana MS P167 sup., fol. 46</w:t>
      </w:r>
      <w:r w:rsidRPr="006C68E0">
        <w:rPr>
          <w:sz w:val="20"/>
          <w:szCs w:val="20"/>
          <w:vertAlign w:val="superscript"/>
        </w:rPr>
        <w:t>r–v</w:t>
      </w:r>
    </w:p>
  </w:footnote>
  <w:footnote w:id="51">
    <w:p w14:paraId="674DBDBA" w14:textId="352370A9" w:rsidR="001434DE" w:rsidRDefault="001434DE" w:rsidP="00D55A7C">
      <w:pPr>
        <w:pStyle w:val="FootnoteText"/>
        <w:spacing w:line="480" w:lineRule="auto"/>
      </w:pPr>
      <w:r>
        <w:rPr>
          <w:rStyle w:val="FootnoteReference"/>
        </w:rPr>
        <w:footnoteRef/>
      </w:r>
      <w:r>
        <w:t xml:space="preserve"> </w:t>
      </w:r>
      <w:r w:rsidRPr="006C68E0">
        <w:rPr>
          <w:sz w:val="20"/>
          <w:szCs w:val="20"/>
        </w:rPr>
        <w:t>The translation of the Greek is taken from Evans and Berggren, 113</w:t>
      </w:r>
    </w:p>
  </w:footnote>
  <w:footnote w:id="52">
    <w:p w14:paraId="6D1EC61A" w14:textId="64C78933" w:rsidR="00DE6255" w:rsidRDefault="00DE6255" w:rsidP="00D55A7C">
      <w:pPr>
        <w:pStyle w:val="FootnoteText"/>
        <w:spacing w:line="480" w:lineRule="auto"/>
      </w:pPr>
      <w:r>
        <w:rPr>
          <w:rStyle w:val="FootnoteReference"/>
        </w:rPr>
        <w:footnoteRef/>
      </w:r>
      <w:r>
        <w:t xml:space="preserve"> </w:t>
      </w:r>
      <w:r w:rsidRPr="006C68E0">
        <w:rPr>
          <w:sz w:val="20"/>
          <w:szCs w:val="20"/>
        </w:rPr>
        <w:t>Evans and Berggren, 38</w:t>
      </w:r>
    </w:p>
  </w:footnote>
  <w:footnote w:id="53">
    <w:p w14:paraId="7124411D" w14:textId="5CA781DC" w:rsidR="00270DA5" w:rsidRDefault="00270DA5" w:rsidP="00D55A7C">
      <w:pPr>
        <w:pStyle w:val="FootnoteText"/>
        <w:spacing w:line="480" w:lineRule="auto"/>
      </w:pPr>
      <w:r>
        <w:rPr>
          <w:rStyle w:val="FootnoteReference"/>
        </w:rPr>
        <w:footnoteRef/>
      </w:r>
      <w:r>
        <w:t xml:space="preserve"> </w:t>
      </w:r>
      <w:r w:rsidRPr="006C68E0">
        <w:rPr>
          <w:sz w:val="20"/>
          <w:szCs w:val="20"/>
        </w:rPr>
        <w:t>Oxford, Bodleian Library, Savile Manuscript 10, fol. 51</w:t>
      </w:r>
      <w:r w:rsidRPr="006C68E0">
        <w:rPr>
          <w:sz w:val="20"/>
          <w:szCs w:val="20"/>
          <w:vertAlign w:val="superscript"/>
        </w:rPr>
        <w:t>r</w:t>
      </w:r>
    </w:p>
  </w:footnote>
  <w:footnote w:id="54">
    <w:p w14:paraId="554CE384" w14:textId="73032493" w:rsidR="0079527B" w:rsidRPr="00304F3F" w:rsidRDefault="0079527B" w:rsidP="00D55A7C">
      <w:pPr>
        <w:pStyle w:val="FootnoteText"/>
        <w:spacing w:line="480" w:lineRule="auto"/>
      </w:pPr>
      <w:r>
        <w:rPr>
          <w:rStyle w:val="FootnoteReference"/>
        </w:rPr>
        <w:footnoteRef/>
      </w:r>
      <w:r>
        <w:t xml:space="preserve"> </w:t>
      </w:r>
      <w:r w:rsidRPr="006C68E0">
        <w:rPr>
          <w:sz w:val="20"/>
          <w:szCs w:val="20"/>
        </w:rPr>
        <w:t>Oxford, Bodleian Library, Savile Manuscript 10, fol. 51</w:t>
      </w:r>
      <w:r w:rsidRPr="006C68E0">
        <w:rPr>
          <w:sz w:val="20"/>
          <w:szCs w:val="20"/>
          <w:vertAlign w:val="superscript"/>
        </w:rPr>
        <w:t>r</w:t>
      </w:r>
      <w:r w:rsidRPr="006C68E0">
        <w:rPr>
          <w:sz w:val="20"/>
          <w:szCs w:val="20"/>
        </w:rPr>
        <w:t xml:space="preserve"> </w:t>
      </w:r>
    </w:p>
  </w:footnote>
  <w:footnote w:id="55">
    <w:p w14:paraId="03627F02" w14:textId="4477FCC3" w:rsidR="00822F98" w:rsidRDefault="00822F98" w:rsidP="00D55A7C">
      <w:pPr>
        <w:pStyle w:val="FootnoteText"/>
        <w:spacing w:line="480" w:lineRule="auto"/>
      </w:pPr>
      <w:r>
        <w:rPr>
          <w:rStyle w:val="FootnoteReference"/>
        </w:rPr>
        <w:footnoteRef/>
      </w:r>
      <w:r>
        <w:t xml:space="preserve"> </w:t>
      </w:r>
      <w:r w:rsidRPr="006C68E0">
        <w:rPr>
          <w:sz w:val="20"/>
          <w:szCs w:val="20"/>
        </w:rPr>
        <w:t>Biblioteca Ambrosiana MS P167 sup., fol. 46</w:t>
      </w:r>
      <w:r w:rsidRPr="006C68E0">
        <w:rPr>
          <w:sz w:val="20"/>
          <w:szCs w:val="20"/>
          <w:vertAlign w:val="superscript"/>
        </w:rPr>
        <w:t>v</w:t>
      </w:r>
    </w:p>
  </w:footnote>
  <w:footnote w:id="56">
    <w:p w14:paraId="1367ED7F" w14:textId="77777777" w:rsidR="00A23D60" w:rsidRDefault="00A23D60" w:rsidP="00D55A7C">
      <w:pPr>
        <w:spacing w:line="480" w:lineRule="auto"/>
      </w:pPr>
      <w:r>
        <w:rPr>
          <w:rStyle w:val="FootnoteReference"/>
        </w:rPr>
        <w:footnoteRef/>
      </w:r>
      <w:r>
        <w:t xml:space="preserve"> </w:t>
      </w:r>
      <w:r w:rsidRPr="006C68E0">
        <w:rPr>
          <w:sz w:val="20"/>
          <w:szCs w:val="20"/>
        </w:rPr>
        <w:t xml:space="preserve">A = </w:t>
      </w:r>
      <w:proofErr w:type="spellStart"/>
      <w:r w:rsidRPr="006C68E0">
        <w:rPr>
          <w:sz w:val="20"/>
          <w:szCs w:val="20"/>
        </w:rPr>
        <w:t>Constantinopolitanus</w:t>
      </w:r>
      <w:proofErr w:type="spellEnd"/>
      <w:r w:rsidRPr="006C68E0">
        <w:rPr>
          <w:sz w:val="20"/>
          <w:szCs w:val="20"/>
        </w:rPr>
        <w:t xml:space="preserve"> </w:t>
      </w:r>
      <w:proofErr w:type="spellStart"/>
      <w:r w:rsidRPr="006C68E0">
        <w:rPr>
          <w:sz w:val="20"/>
          <w:szCs w:val="20"/>
        </w:rPr>
        <w:t>Palatii</w:t>
      </w:r>
      <w:proofErr w:type="spellEnd"/>
      <w:r w:rsidRPr="006C68E0">
        <w:rPr>
          <w:sz w:val="20"/>
          <w:szCs w:val="20"/>
        </w:rPr>
        <w:t xml:space="preserve"> </w:t>
      </w:r>
      <w:proofErr w:type="spellStart"/>
      <w:r w:rsidRPr="006C68E0">
        <w:rPr>
          <w:sz w:val="20"/>
          <w:szCs w:val="20"/>
        </w:rPr>
        <w:t>veteris</w:t>
      </w:r>
      <w:proofErr w:type="spellEnd"/>
      <w:r w:rsidRPr="006C68E0">
        <w:rPr>
          <w:sz w:val="20"/>
          <w:szCs w:val="20"/>
        </w:rPr>
        <w:t xml:space="preserve"> </w:t>
      </w:r>
      <w:proofErr w:type="spellStart"/>
      <w:r w:rsidRPr="006C68E0">
        <w:rPr>
          <w:sz w:val="20"/>
          <w:szCs w:val="20"/>
        </w:rPr>
        <w:t>Graecus</w:t>
      </w:r>
      <w:proofErr w:type="spellEnd"/>
      <w:r w:rsidRPr="006C68E0">
        <w:rPr>
          <w:sz w:val="20"/>
          <w:szCs w:val="20"/>
        </w:rPr>
        <w:t xml:space="preserve"> 40, preserved at the </w:t>
      </w:r>
      <w:proofErr w:type="spellStart"/>
      <w:r w:rsidRPr="006C68E0">
        <w:rPr>
          <w:sz w:val="20"/>
          <w:szCs w:val="20"/>
        </w:rPr>
        <w:t>Topkapi</w:t>
      </w:r>
      <w:proofErr w:type="spellEnd"/>
      <w:r w:rsidRPr="006C68E0">
        <w:rPr>
          <w:sz w:val="20"/>
          <w:szCs w:val="20"/>
        </w:rPr>
        <w:t xml:space="preserve"> Palace Museum, Istanbul (first decades of 14</w:t>
      </w:r>
      <w:r w:rsidRPr="006C68E0">
        <w:rPr>
          <w:sz w:val="20"/>
          <w:szCs w:val="20"/>
          <w:vertAlign w:val="superscript"/>
        </w:rPr>
        <w:t>th</w:t>
      </w:r>
      <w:r w:rsidRPr="006C68E0">
        <w:rPr>
          <w:sz w:val="20"/>
          <w:szCs w:val="20"/>
        </w:rPr>
        <w:t xml:space="preserve"> c.) B = </w:t>
      </w:r>
      <w:proofErr w:type="spellStart"/>
      <w:r w:rsidRPr="006C68E0">
        <w:rPr>
          <w:sz w:val="20"/>
          <w:szCs w:val="20"/>
        </w:rPr>
        <w:t>Vaticanus</w:t>
      </w:r>
      <w:proofErr w:type="spellEnd"/>
      <w:r w:rsidRPr="006C68E0">
        <w:rPr>
          <w:sz w:val="20"/>
          <w:szCs w:val="20"/>
        </w:rPr>
        <w:t xml:space="preserve"> </w:t>
      </w:r>
      <w:proofErr w:type="spellStart"/>
      <w:r w:rsidRPr="006C68E0">
        <w:rPr>
          <w:sz w:val="20"/>
          <w:szCs w:val="20"/>
        </w:rPr>
        <w:t>Graecus</w:t>
      </w:r>
      <w:proofErr w:type="spellEnd"/>
      <w:r w:rsidRPr="006C68E0">
        <w:rPr>
          <w:sz w:val="20"/>
          <w:szCs w:val="20"/>
        </w:rPr>
        <w:t xml:space="preserve"> 381, Biblioteca </w:t>
      </w:r>
      <w:proofErr w:type="spellStart"/>
      <w:r w:rsidRPr="006C68E0">
        <w:rPr>
          <w:sz w:val="20"/>
          <w:szCs w:val="20"/>
        </w:rPr>
        <w:t>Apostolica</w:t>
      </w:r>
      <w:proofErr w:type="spellEnd"/>
      <w:r w:rsidRPr="006C68E0">
        <w:rPr>
          <w:sz w:val="20"/>
          <w:szCs w:val="20"/>
        </w:rPr>
        <w:t xml:space="preserve"> Vaticana (first decades of 14</w:t>
      </w:r>
      <w:r w:rsidRPr="006C68E0">
        <w:rPr>
          <w:sz w:val="20"/>
          <w:szCs w:val="20"/>
          <w:vertAlign w:val="superscript"/>
        </w:rPr>
        <w:t>th</w:t>
      </w:r>
      <w:r w:rsidRPr="006C68E0">
        <w:rPr>
          <w:sz w:val="20"/>
          <w:szCs w:val="20"/>
        </w:rPr>
        <w:t xml:space="preserve"> c.) M = Marcianus Gr. 323, c. 1380, Biblioteca Marciana (c.1380). </w:t>
      </w:r>
      <w:proofErr w:type="spellStart"/>
      <w:r w:rsidRPr="006C68E0">
        <w:rPr>
          <w:sz w:val="20"/>
          <w:szCs w:val="20"/>
        </w:rPr>
        <w:t>Géminos</w:t>
      </w:r>
      <w:proofErr w:type="spellEnd"/>
      <w:r w:rsidRPr="006C68E0">
        <w:rPr>
          <w:sz w:val="20"/>
          <w:szCs w:val="20"/>
        </w:rPr>
        <w:t xml:space="preserve"> (1975) 1, textual apparatus 4</w:t>
      </w:r>
    </w:p>
  </w:footnote>
  <w:footnote w:id="57">
    <w:p w14:paraId="4CCD68BC" w14:textId="77777777" w:rsidR="00355526" w:rsidRDefault="00355526" w:rsidP="00D55A7C">
      <w:pPr>
        <w:pStyle w:val="FootnoteText"/>
        <w:spacing w:line="480" w:lineRule="auto"/>
      </w:pPr>
      <w:r>
        <w:rPr>
          <w:rStyle w:val="FootnoteReference"/>
        </w:rPr>
        <w:footnoteRef/>
      </w:r>
      <w:r>
        <w:t xml:space="preserve"> </w:t>
      </w:r>
      <w:r w:rsidRPr="006C68E0">
        <w:rPr>
          <w:sz w:val="20"/>
          <w:szCs w:val="20"/>
        </w:rPr>
        <w:t>Biblioteca Ambrosiana MS P167 sup., fol. 51</w:t>
      </w:r>
      <w:r w:rsidRPr="006C68E0">
        <w:rPr>
          <w:sz w:val="20"/>
          <w:szCs w:val="20"/>
          <w:vertAlign w:val="superscript"/>
        </w:rPr>
        <w:t>r</w:t>
      </w:r>
    </w:p>
  </w:footnote>
  <w:footnote w:id="58">
    <w:p w14:paraId="79613AC4" w14:textId="5035E00D" w:rsidR="00153E7F" w:rsidRDefault="00153E7F" w:rsidP="00D55A7C">
      <w:pPr>
        <w:pStyle w:val="FootnoteText"/>
        <w:spacing w:line="480" w:lineRule="auto"/>
      </w:pPr>
      <w:r>
        <w:rPr>
          <w:rStyle w:val="FootnoteReference"/>
        </w:rPr>
        <w:footnoteRef/>
      </w:r>
      <w:r>
        <w:t xml:space="preserve"> </w:t>
      </w:r>
      <w:r w:rsidR="00F7447F" w:rsidRPr="006C68E0">
        <w:rPr>
          <w:sz w:val="20"/>
          <w:szCs w:val="20"/>
        </w:rPr>
        <w:t xml:space="preserve">Biblioteca Ambrosiana MS P167 sup., </w:t>
      </w:r>
      <w:r w:rsidR="006C68E0" w:rsidRPr="006C68E0">
        <w:rPr>
          <w:sz w:val="20"/>
          <w:szCs w:val="20"/>
        </w:rPr>
        <w:t xml:space="preserve">fol. </w:t>
      </w:r>
      <w:r w:rsidRPr="006C68E0">
        <w:rPr>
          <w:sz w:val="20"/>
          <w:szCs w:val="20"/>
        </w:rPr>
        <w:t>54</w:t>
      </w:r>
      <w:r w:rsidRPr="006C68E0">
        <w:rPr>
          <w:sz w:val="20"/>
          <w:szCs w:val="20"/>
          <w:vertAlign w:val="superscript"/>
        </w:rPr>
        <w:t>r</w:t>
      </w:r>
    </w:p>
  </w:footnote>
  <w:footnote w:id="59">
    <w:p w14:paraId="10AB8290" w14:textId="380D67EC" w:rsidR="00D5664E" w:rsidRPr="00BE2157" w:rsidRDefault="00D5664E" w:rsidP="00D55A7C">
      <w:pPr>
        <w:pStyle w:val="FootnoteText"/>
        <w:spacing w:line="480" w:lineRule="auto"/>
      </w:pPr>
      <w:r>
        <w:rPr>
          <w:rStyle w:val="FootnoteReference"/>
        </w:rPr>
        <w:footnoteRef/>
      </w:r>
      <w:r>
        <w:t xml:space="preserve"> </w:t>
      </w:r>
      <w:r w:rsidRPr="006C68E0">
        <w:rPr>
          <w:sz w:val="20"/>
          <w:szCs w:val="20"/>
        </w:rPr>
        <w:t xml:space="preserve">Biblioteca Ambrosiana, MS D243 inf., </w:t>
      </w:r>
      <w:r w:rsidR="006C68E0">
        <w:rPr>
          <w:sz w:val="20"/>
          <w:szCs w:val="20"/>
        </w:rPr>
        <w:t xml:space="preserve">fol. </w:t>
      </w:r>
      <w:r w:rsidRPr="006C68E0">
        <w:rPr>
          <w:sz w:val="20"/>
          <w:szCs w:val="20"/>
        </w:rPr>
        <w:t>1</w:t>
      </w:r>
      <w:r w:rsidRPr="006C68E0">
        <w:rPr>
          <w:sz w:val="20"/>
          <w:szCs w:val="20"/>
          <w:vertAlign w:val="superscript"/>
        </w:rPr>
        <w:t>r–v.</w:t>
      </w:r>
    </w:p>
  </w:footnote>
  <w:footnote w:id="60">
    <w:p w14:paraId="40D493AB" w14:textId="6CF7341E" w:rsidR="00D5664E" w:rsidRDefault="00D5664E" w:rsidP="00D55A7C">
      <w:pPr>
        <w:spacing w:line="480" w:lineRule="auto"/>
      </w:pPr>
      <w:r>
        <w:rPr>
          <w:rStyle w:val="FootnoteReference"/>
        </w:rPr>
        <w:footnoteRef/>
      </w:r>
      <w:r>
        <w:t xml:space="preserve"> </w:t>
      </w:r>
      <w:r w:rsidRPr="006C68E0">
        <w:rPr>
          <w:sz w:val="20"/>
          <w:szCs w:val="20"/>
        </w:rPr>
        <w:t xml:space="preserve">Al-Kindi, ‘De </w:t>
      </w:r>
      <w:proofErr w:type="spellStart"/>
      <w:r w:rsidRPr="006C68E0">
        <w:rPr>
          <w:sz w:val="20"/>
          <w:szCs w:val="20"/>
        </w:rPr>
        <w:t>aspectibus</w:t>
      </w:r>
      <w:proofErr w:type="spellEnd"/>
      <w:r w:rsidRPr="006C68E0">
        <w:rPr>
          <w:sz w:val="20"/>
          <w:szCs w:val="20"/>
        </w:rPr>
        <w:t xml:space="preserve">. </w:t>
      </w:r>
      <w:proofErr w:type="spellStart"/>
      <w:r w:rsidRPr="006C68E0">
        <w:rPr>
          <w:sz w:val="20"/>
          <w:szCs w:val="20"/>
        </w:rPr>
        <w:t>Versio</w:t>
      </w:r>
      <w:proofErr w:type="spellEnd"/>
      <w:r w:rsidRPr="006C68E0">
        <w:rPr>
          <w:sz w:val="20"/>
          <w:szCs w:val="20"/>
        </w:rPr>
        <w:t xml:space="preserve"> </w:t>
      </w:r>
      <w:proofErr w:type="spellStart"/>
      <w:r w:rsidRPr="006C68E0">
        <w:rPr>
          <w:sz w:val="20"/>
          <w:szCs w:val="20"/>
        </w:rPr>
        <w:t>latina</w:t>
      </w:r>
      <w:proofErr w:type="spellEnd"/>
      <w:r w:rsidRPr="006C68E0">
        <w:rPr>
          <w:sz w:val="20"/>
          <w:szCs w:val="20"/>
        </w:rPr>
        <w:t xml:space="preserve"> Gerardi </w:t>
      </w:r>
      <w:proofErr w:type="spellStart"/>
      <w:r w:rsidRPr="006C68E0">
        <w:rPr>
          <w:sz w:val="20"/>
          <w:szCs w:val="20"/>
        </w:rPr>
        <w:t>Cremonensis</w:t>
      </w:r>
      <w:proofErr w:type="spellEnd"/>
      <w:r w:rsidRPr="006C68E0">
        <w:rPr>
          <w:sz w:val="20"/>
          <w:szCs w:val="20"/>
        </w:rPr>
        <w:t xml:space="preserve">’, Biblioteca Ambrosiana, MS P 21, sup., </w:t>
      </w:r>
      <w:proofErr w:type="spellStart"/>
      <w:r w:rsidRPr="006C68E0">
        <w:rPr>
          <w:sz w:val="20"/>
          <w:szCs w:val="20"/>
        </w:rPr>
        <w:t>fols</w:t>
      </w:r>
      <w:proofErr w:type="spellEnd"/>
      <w:r w:rsidRPr="006C68E0">
        <w:rPr>
          <w:sz w:val="20"/>
          <w:szCs w:val="20"/>
        </w:rPr>
        <w:t xml:space="preserve"> 135</w:t>
      </w:r>
      <w:r w:rsidRPr="006C68E0">
        <w:rPr>
          <w:sz w:val="20"/>
          <w:szCs w:val="20"/>
          <w:vertAlign w:val="superscript"/>
        </w:rPr>
        <w:t>r</w:t>
      </w:r>
      <w:r w:rsidRPr="006C68E0">
        <w:rPr>
          <w:sz w:val="20"/>
          <w:szCs w:val="20"/>
        </w:rPr>
        <w:t>–162</w:t>
      </w:r>
      <w:r w:rsidRPr="006C68E0">
        <w:rPr>
          <w:sz w:val="20"/>
          <w:szCs w:val="20"/>
          <w:vertAlign w:val="superscript"/>
        </w:rPr>
        <w:t>r</w:t>
      </w:r>
      <w:r w:rsidRPr="006C68E0">
        <w:rPr>
          <w:sz w:val="20"/>
          <w:szCs w:val="20"/>
        </w:rPr>
        <w:t xml:space="preserve">; idem, ‘Optics </w:t>
      </w:r>
      <w:proofErr w:type="spellStart"/>
      <w:r w:rsidRPr="006C68E0">
        <w:rPr>
          <w:sz w:val="20"/>
          <w:szCs w:val="20"/>
        </w:rPr>
        <w:t>sive</w:t>
      </w:r>
      <w:proofErr w:type="spellEnd"/>
      <w:r w:rsidRPr="006C68E0">
        <w:rPr>
          <w:sz w:val="20"/>
          <w:szCs w:val="20"/>
        </w:rPr>
        <w:t xml:space="preserve"> de </w:t>
      </w:r>
      <w:proofErr w:type="spellStart"/>
      <w:r w:rsidRPr="006C68E0">
        <w:rPr>
          <w:sz w:val="20"/>
          <w:szCs w:val="20"/>
        </w:rPr>
        <w:t>aspectibus</w:t>
      </w:r>
      <w:proofErr w:type="spellEnd"/>
      <w:r w:rsidRPr="006C68E0">
        <w:rPr>
          <w:sz w:val="20"/>
          <w:szCs w:val="20"/>
        </w:rPr>
        <w:t xml:space="preserve">. </w:t>
      </w:r>
      <w:proofErr w:type="spellStart"/>
      <w:r w:rsidRPr="006C68E0">
        <w:rPr>
          <w:sz w:val="20"/>
          <w:szCs w:val="20"/>
        </w:rPr>
        <w:t>Versio</w:t>
      </w:r>
      <w:proofErr w:type="spellEnd"/>
      <w:r w:rsidRPr="006C68E0">
        <w:rPr>
          <w:sz w:val="20"/>
          <w:szCs w:val="20"/>
        </w:rPr>
        <w:t xml:space="preserve"> </w:t>
      </w:r>
      <w:proofErr w:type="spellStart"/>
      <w:r w:rsidRPr="006C68E0">
        <w:rPr>
          <w:sz w:val="20"/>
          <w:szCs w:val="20"/>
        </w:rPr>
        <w:t>latina</w:t>
      </w:r>
      <w:proofErr w:type="spellEnd"/>
      <w:r w:rsidRPr="006C68E0">
        <w:rPr>
          <w:sz w:val="20"/>
          <w:szCs w:val="20"/>
        </w:rPr>
        <w:t xml:space="preserve"> Gerardi </w:t>
      </w:r>
      <w:proofErr w:type="spellStart"/>
      <w:r w:rsidRPr="006C68E0">
        <w:rPr>
          <w:sz w:val="20"/>
          <w:szCs w:val="20"/>
        </w:rPr>
        <w:t>Cremonensis</w:t>
      </w:r>
      <w:proofErr w:type="spellEnd"/>
      <w:r w:rsidRPr="006C68E0">
        <w:rPr>
          <w:sz w:val="20"/>
          <w:szCs w:val="20"/>
        </w:rPr>
        <w:t xml:space="preserve">’, BA, MS S 83 sup.: </w:t>
      </w:r>
      <w:proofErr w:type="spellStart"/>
      <w:r w:rsidRPr="006C68E0">
        <w:rPr>
          <w:sz w:val="20"/>
          <w:szCs w:val="20"/>
        </w:rPr>
        <w:t>unità</w:t>
      </w:r>
      <w:proofErr w:type="spellEnd"/>
      <w:r w:rsidRPr="006C68E0">
        <w:rPr>
          <w:sz w:val="20"/>
          <w:szCs w:val="20"/>
        </w:rPr>
        <w:t xml:space="preserve"> </w:t>
      </w:r>
      <w:proofErr w:type="spellStart"/>
      <w:r w:rsidRPr="006C68E0">
        <w:rPr>
          <w:sz w:val="20"/>
          <w:szCs w:val="20"/>
        </w:rPr>
        <w:t>codicologica</w:t>
      </w:r>
      <w:proofErr w:type="spellEnd"/>
      <w:r w:rsidRPr="006C68E0">
        <w:rPr>
          <w:sz w:val="20"/>
          <w:szCs w:val="20"/>
        </w:rPr>
        <w:t xml:space="preserve"> 8. The latter copy is bound alongside Thomas Savile’s ‘De </w:t>
      </w:r>
      <w:proofErr w:type="spellStart"/>
      <w:r w:rsidRPr="006C68E0">
        <w:rPr>
          <w:sz w:val="20"/>
          <w:szCs w:val="20"/>
        </w:rPr>
        <w:t>Rationibus</w:t>
      </w:r>
      <w:proofErr w:type="spellEnd"/>
      <w:r w:rsidRPr="006C68E0">
        <w:rPr>
          <w:sz w:val="20"/>
          <w:szCs w:val="20"/>
        </w:rPr>
        <w:t>’.</w:t>
      </w:r>
      <w:r>
        <w:t xml:space="preserve">  </w:t>
      </w:r>
    </w:p>
  </w:footnote>
  <w:footnote w:id="61">
    <w:p w14:paraId="1498BD11" w14:textId="77777777" w:rsidR="00066075" w:rsidRDefault="00066075" w:rsidP="00D55A7C">
      <w:pPr>
        <w:pStyle w:val="FootnoteText"/>
        <w:spacing w:line="480" w:lineRule="auto"/>
      </w:pPr>
      <w:r>
        <w:rPr>
          <w:rStyle w:val="FootnoteReference"/>
        </w:rPr>
        <w:footnoteRef/>
      </w:r>
      <w:r>
        <w:t xml:space="preserve"> </w:t>
      </w:r>
      <w:r w:rsidRPr="00C97758">
        <w:rPr>
          <w:sz w:val="20"/>
          <w:szCs w:val="20"/>
        </w:rPr>
        <w:t xml:space="preserve">Geminus, </w:t>
      </w:r>
      <w:proofErr w:type="spellStart"/>
      <w:r w:rsidRPr="00C97758">
        <w:rPr>
          <w:i/>
          <w:iCs/>
          <w:sz w:val="20"/>
          <w:szCs w:val="20"/>
        </w:rPr>
        <w:t>Geminos’s</w:t>
      </w:r>
      <w:proofErr w:type="spellEnd"/>
      <w:r w:rsidRPr="00C97758">
        <w:rPr>
          <w:i/>
          <w:iCs/>
          <w:sz w:val="20"/>
          <w:szCs w:val="20"/>
        </w:rPr>
        <w:t xml:space="preserve"> Introduction to the Phenomena: A Translation and Study of a Hellenistic Survey of Astronomy</w:t>
      </w:r>
      <w:r w:rsidRPr="00C97758">
        <w:rPr>
          <w:sz w:val="20"/>
          <w:szCs w:val="20"/>
        </w:rPr>
        <w:t>, ed. and trans. James Evans and Lennart Berggren (Princeton and Oxford: Princeton University Press, 2006) 2</w:t>
      </w:r>
    </w:p>
  </w:footnote>
  <w:footnote w:id="62">
    <w:p w14:paraId="4299E3A2" w14:textId="7B4FE258" w:rsidR="00066075" w:rsidRDefault="00066075" w:rsidP="00D55A7C">
      <w:pPr>
        <w:pStyle w:val="FootnoteText"/>
        <w:spacing w:line="480" w:lineRule="auto"/>
      </w:pPr>
      <w:r>
        <w:rPr>
          <w:rStyle w:val="FootnoteReference"/>
        </w:rPr>
        <w:footnoteRef/>
      </w:r>
      <w:r>
        <w:t xml:space="preserve"> </w:t>
      </w:r>
      <w:proofErr w:type="spellStart"/>
      <w:r w:rsidRPr="00C97758">
        <w:rPr>
          <w:sz w:val="20"/>
          <w:szCs w:val="20"/>
        </w:rPr>
        <w:t>G</w:t>
      </w:r>
      <w:r w:rsidR="005D2287" w:rsidRPr="00C97758">
        <w:rPr>
          <w:sz w:val="20"/>
          <w:szCs w:val="20"/>
        </w:rPr>
        <w:t>é</w:t>
      </w:r>
      <w:r w:rsidRPr="00C97758">
        <w:rPr>
          <w:sz w:val="20"/>
          <w:szCs w:val="20"/>
        </w:rPr>
        <w:t>min</w:t>
      </w:r>
      <w:r w:rsidR="005D2287" w:rsidRPr="00C97758">
        <w:rPr>
          <w:sz w:val="20"/>
          <w:szCs w:val="20"/>
        </w:rPr>
        <w:t>os</w:t>
      </w:r>
      <w:proofErr w:type="spellEnd"/>
      <w:r w:rsidRPr="00C97758">
        <w:rPr>
          <w:sz w:val="20"/>
          <w:szCs w:val="20"/>
        </w:rPr>
        <w:t xml:space="preserve"> (1975) 83–84, chapter XVII</w:t>
      </w:r>
    </w:p>
  </w:footnote>
  <w:footnote w:id="63">
    <w:p w14:paraId="24BE8902" w14:textId="77777777" w:rsidR="00066075" w:rsidRDefault="00066075" w:rsidP="00D55A7C">
      <w:pPr>
        <w:pStyle w:val="FootnoteText"/>
        <w:spacing w:line="480" w:lineRule="auto"/>
      </w:pPr>
      <w:r>
        <w:rPr>
          <w:rStyle w:val="FootnoteReference"/>
        </w:rPr>
        <w:footnoteRef/>
      </w:r>
      <w:r>
        <w:t xml:space="preserve"> </w:t>
      </w:r>
      <w:r w:rsidRPr="00A421CE">
        <w:rPr>
          <w:sz w:val="20"/>
          <w:szCs w:val="20"/>
        </w:rPr>
        <w:t>Geminus (2006) 217</w:t>
      </w:r>
    </w:p>
  </w:footnote>
  <w:footnote w:id="64">
    <w:p w14:paraId="3C9ACC52" w14:textId="77777777" w:rsidR="00066075" w:rsidRDefault="00066075" w:rsidP="00D55A7C">
      <w:pPr>
        <w:pStyle w:val="FootnoteText"/>
        <w:spacing w:line="480" w:lineRule="auto"/>
      </w:pPr>
      <w:r>
        <w:rPr>
          <w:rStyle w:val="FootnoteReference"/>
        </w:rPr>
        <w:footnoteRef/>
      </w:r>
      <w:r>
        <w:t xml:space="preserve"> </w:t>
      </w:r>
      <w:r w:rsidRPr="00A421CE">
        <w:rPr>
          <w:sz w:val="20"/>
          <w:szCs w:val="20"/>
        </w:rPr>
        <w:t>BA MS P. 227 sup., 40</w:t>
      </w:r>
      <w:r w:rsidRPr="00A421CE">
        <w:rPr>
          <w:sz w:val="20"/>
          <w:szCs w:val="20"/>
          <w:vertAlign w:val="superscript"/>
        </w:rPr>
        <w:t>r</w:t>
      </w:r>
    </w:p>
  </w:footnote>
  <w:footnote w:id="65">
    <w:p w14:paraId="199D4147" w14:textId="77777777" w:rsidR="00066075" w:rsidRDefault="00066075" w:rsidP="00D55A7C">
      <w:pPr>
        <w:pStyle w:val="FootnoteText"/>
        <w:spacing w:line="480" w:lineRule="auto"/>
      </w:pPr>
      <w:r>
        <w:rPr>
          <w:rStyle w:val="FootnoteReference"/>
        </w:rPr>
        <w:footnoteRef/>
      </w:r>
      <w:r>
        <w:t xml:space="preserve"> </w:t>
      </w:r>
      <w:r w:rsidRPr="00A421CE">
        <w:rPr>
          <w:sz w:val="20"/>
          <w:szCs w:val="20"/>
        </w:rPr>
        <w:t>Geminus (1590) 210–12</w:t>
      </w:r>
    </w:p>
  </w:footnote>
  <w:footnote w:id="66">
    <w:p w14:paraId="40DE1251" w14:textId="1A2A02E2" w:rsidR="00066075" w:rsidRPr="00CC1FBA" w:rsidRDefault="00066075" w:rsidP="00D55A7C">
      <w:pPr>
        <w:pStyle w:val="FootnoteText"/>
        <w:spacing w:line="480" w:lineRule="auto"/>
      </w:pPr>
      <w:r>
        <w:rPr>
          <w:rStyle w:val="FootnoteReference"/>
        </w:rPr>
        <w:footnoteRef/>
      </w:r>
      <w:r>
        <w:t xml:space="preserve"> </w:t>
      </w:r>
      <w:r w:rsidRPr="00C97758">
        <w:rPr>
          <w:sz w:val="20"/>
          <w:szCs w:val="20"/>
        </w:rPr>
        <w:t>BA MS P. 227 sup., 54</w:t>
      </w:r>
      <w:r w:rsidRPr="00C97758">
        <w:rPr>
          <w:sz w:val="20"/>
          <w:szCs w:val="20"/>
          <w:vertAlign w:val="superscript"/>
        </w:rPr>
        <w:t>v</w:t>
      </w:r>
      <w:r w:rsidR="00CC1FBA" w:rsidRPr="00C97758">
        <w:rPr>
          <w:sz w:val="20"/>
          <w:szCs w:val="20"/>
        </w:rPr>
        <w:t xml:space="preserve">. In Book 9 of the </w:t>
      </w:r>
      <w:r w:rsidR="00CC1FBA" w:rsidRPr="00C97758">
        <w:rPr>
          <w:i/>
          <w:iCs/>
          <w:sz w:val="20"/>
          <w:szCs w:val="20"/>
        </w:rPr>
        <w:t xml:space="preserve">De </w:t>
      </w:r>
      <w:proofErr w:type="spellStart"/>
      <w:r w:rsidR="00CC1FBA" w:rsidRPr="00C97758">
        <w:rPr>
          <w:i/>
          <w:iCs/>
          <w:sz w:val="20"/>
          <w:szCs w:val="20"/>
        </w:rPr>
        <w:t>Architectura</w:t>
      </w:r>
      <w:proofErr w:type="spellEnd"/>
      <w:r w:rsidR="00CC1FBA" w:rsidRPr="00C97758">
        <w:rPr>
          <w:sz w:val="20"/>
          <w:szCs w:val="20"/>
        </w:rPr>
        <w:t>, Vitruvius refers to ‘</w:t>
      </w:r>
      <w:proofErr w:type="spellStart"/>
      <w:r w:rsidR="00CC1FBA" w:rsidRPr="00C97758">
        <w:rPr>
          <w:sz w:val="20"/>
          <w:szCs w:val="20"/>
        </w:rPr>
        <w:t>tempestatumque</w:t>
      </w:r>
      <w:proofErr w:type="spellEnd"/>
      <w:r w:rsidR="00CC1FBA" w:rsidRPr="00C97758">
        <w:rPr>
          <w:sz w:val="20"/>
          <w:szCs w:val="20"/>
        </w:rPr>
        <w:t xml:space="preserve"> </w:t>
      </w:r>
      <w:proofErr w:type="spellStart"/>
      <w:r w:rsidR="00CC1FBA" w:rsidRPr="00C97758">
        <w:rPr>
          <w:sz w:val="20"/>
          <w:szCs w:val="20"/>
        </w:rPr>
        <w:t>significatus</w:t>
      </w:r>
      <w:proofErr w:type="spellEnd"/>
      <w:r w:rsidR="00CC1FBA" w:rsidRPr="00C97758">
        <w:rPr>
          <w:sz w:val="20"/>
          <w:szCs w:val="20"/>
        </w:rPr>
        <w:t>’ in relation to the work of Greek astronomers. Savile’s nod to Pliny, however, is less clear.</w:t>
      </w:r>
    </w:p>
  </w:footnote>
  <w:footnote w:id="67">
    <w:p w14:paraId="0F7CB5FC" w14:textId="77777777" w:rsidR="005A3D12" w:rsidRPr="007A54E0" w:rsidRDefault="005A3D12" w:rsidP="00D55A7C">
      <w:pPr>
        <w:pStyle w:val="FootnoteText"/>
        <w:spacing w:line="480" w:lineRule="auto"/>
      </w:pPr>
      <w:r>
        <w:rPr>
          <w:rStyle w:val="FootnoteReference"/>
        </w:rPr>
        <w:footnoteRef/>
      </w:r>
      <w:r>
        <w:t xml:space="preserve"> </w:t>
      </w:r>
      <w:r w:rsidRPr="00C97758">
        <w:rPr>
          <w:sz w:val="20"/>
          <w:szCs w:val="20"/>
        </w:rPr>
        <w:t>BA MS P. 227 sup., 52</w:t>
      </w:r>
      <w:r w:rsidRPr="00C97758">
        <w:rPr>
          <w:sz w:val="20"/>
          <w:szCs w:val="20"/>
          <w:vertAlign w:val="superscript"/>
        </w:rPr>
        <w:t>r</w:t>
      </w:r>
    </w:p>
  </w:footnote>
  <w:footnote w:id="68">
    <w:p w14:paraId="3E5E2E48" w14:textId="77777777" w:rsidR="005A3D12" w:rsidRPr="00C97758" w:rsidRDefault="005A3D12" w:rsidP="00D55A7C">
      <w:pPr>
        <w:spacing w:line="480" w:lineRule="auto"/>
        <w:rPr>
          <w:sz w:val="20"/>
          <w:szCs w:val="20"/>
        </w:rPr>
      </w:pPr>
      <w:r>
        <w:rPr>
          <w:rStyle w:val="FootnoteReference"/>
        </w:rPr>
        <w:footnoteRef/>
      </w:r>
      <w:r>
        <w:t xml:space="preserve"> </w:t>
      </w:r>
      <w:r w:rsidRPr="00C97758">
        <w:rPr>
          <w:sz w:val="20"/>
          <w:szCs w:val="20"/>
        </w:rPr>
        <w:t xml:space="preserve">Euclid, </w:t>
      </w:r>
      <w:r w:rsidRPr="00C97758">
        <w:rPr>
          <w:i/>
          <w:iCs/>
          <w:sz w:val="20"/>
          <w:szCs w:val="20"/>
        </w:rPr>
        <w:t>Euclid's Elements</w:t>
      </w:r>
      <w:r w:rsidRPr="00C97758">
        <w:rPr>
          <w:sz w:val="20"/>
          <w:szCs w:val="20"/>
        </w:rPr>
        <w:t xml:space="preserve">, trans. Sir Thomas Little Heath (New York, Dover: 1956) III.13 </w:t>
      </w:r>
    </w:p>
    <w:p w14:paraId="3E2260AA" w14:textId="77777777" w:rsidR="005A3D12" w:rsidRDefault="005A3D12" w:rsidP="00D55A7C">
      <w:pPr>
        <w:pStyle w:val="FootnoteText"/>
        <w:spacing w:line="480" w:lineRule="auto"/>
      </w:pPr>
      <w:r w:rsidRPr="00C97758">
        <w:rPr>
          <w:sz w:val="20"/>
          <w:szCs w:val="20"/>
        </w:rPr>
        <w:t xml:space="preserve">accessed </w:t>
      </w:r>
      <w:hyperlink r:id="rId2" w:history="1">
        <w:r w:rsidRPr="00C97758">
          <w:rPr>
            <w:rStyle w:val="Hyperlink"/>
            <w:sz w:val="20"/>
            <w:szCs w:val="20"/>
          </w:rPr>
          <w:t>online</w:t>
        </w:r>
      </w:hyperlink>
    </w:p>
  </w:footnote>
  <w:footnote w:id="69">
    <w:p w14:paraId="47E331CC" w14:textId="77777777" w:rsidR="005A3D12" w:rsidRDefault="005A3D12" w:rsidP="00D55A7C">
      <w:pPr>
        <w:pStyle w:val="FootnoteText"/>
        <w:spacing w:line="480" w:lineRule="auto"/>
      </w:pPr>
      <w:r>
        <w:rPr>
          <w:rStyle w:val="FootnoteReference"/>
        </w:rPr>
        <w:footnoteRef/>
      </w:r>
      <w:r>
        <w:t xml:space="preserve"> </w:t>
      </w:r>
      <w:r w:rsidRPr="00C97758">
        <w:rPr>
          <w:sz w:val="20"/>
          <w:szCs w:val="20"/>
        </w:rPr>
        <w:t>BA MS P. 227 sup., 21</w:t>
      </w:r>
      <w:r w:rsidRPr="00C97758">
        <w:rPr>
          <w:sz w:val="20"/>
          <w:szCs w:val="20"/>
          <w:vertAlign w:val="superscript"/>
        </w:rPr>
        <w:t>v</w:t>
      </w:r>
    </w:p>
  </w:footnote>
  <w:footnote w:id="70">
    <w:p w14:paraId="71FA495B" w14:textId="77777777" w:rsidR="005A3D12" w:rsidRPr="0077271E" w:rsidRDefault="005A3D12" w:rsidP="00D55A7C">
      <w:pPr>
        <w:pStyle w:val="FootnoteText"/>
        <w:spacing w:line="480" w:lineRule="auto"/>
      </w:pPr>
      <w:r>
        <w:rPr>
          <w:rStyle w:val="FootnoteReference"/>
        </w:rPr>
        <w:footnoteRef/>
      </w:r>
      <w:r>
        <w:t xml:space="preserve"> </w:t>
      </w:r>
      <w:r w:rsidRPr="0093788D">
        <w:rPr>
          <w:sz w:val="20"/>
          <w:szCs w:val="20"/>
        </w:rPr>
        <w:t>BA MS P. 227 sup., 52</w:t>
      </w:r>
      <w:r w:rsidRPr="0093788D">
        <w:rPr>
          <w:sz w:val="20"/>
          <w:szCs w:val="20"/>
          <w:vertAlign w:val="superscript"/>
        </w:rPr>
        <w:t>v</w:t>
      </w:r>
      <w:r w:rsidRPr="0093788D">
        <w:rPr>
          <w:sz w:val="20"/>
          <w:szCs w:val="20"/>
        </w:rPr>
        <w:t>.</w:t>
      </w:r>
      <w:r>
        <w:t xml:space="preserve"> </w:t>
      </w:r>
    </w:p>
  </w:footnote>
  <w:footnote w:id="71">
    <w:p w14:paraId="754993D4" w14:textId="27D322B7" w:rsidR="001F5321" w:rsidRDefault="001F5321" w:rsidP="00D55A7C">
      <w:pPr>
        <w:pStyle w:val="FootnoteText"/>
        <w:spacing w:line="480" w:lineRule="auto"/>
      </w:pPr>
      <w:r>
        <w:rPr>
          <w:rStyle w:val="FootnoteReference"/>
        </w:rPr>
        <w:footnoteRef/>
      </w:r>
      <w:r>
        <w:t xml:space="preserve"> </w:t>
      </w:r>
      <w:proofErr w:type="spellStart"/>
      <w:r w:rsidRPr="0093788D">
        <w:rPr>
          <w:sz w:val="20"/>
          <w:szCs w:val="20"/>
        </w:rPr>
        <w:t>Geminos</w:t>
      </w:r>
      <w:proofErr w:type="spellEnd"/>
      <w:r w:rsidRPr="0093788D">
        <w:rPr>
          <w:sz w:val="20"/>
          <w:szCs w:val="20"/>
        </w:rPr>
        <w:t xml:space="preserve"> (2006) 200, </w:t>
      </w:r>
      <w:proofErr w:type="spellStart"/>
      <w:r w:rsidRPr="0093788D">
        <w:rPr>
          <w:sz w:val="20"/>
          <w:szCs w:val="20"/>
        </w:rPr>
        <w:t>f.n.</w:t>
      </w:r>
      <w:proofErr w:type="spellEnd"/>
      <w:r w:rsidRPr="0093788D">
        <w:rPr>
          <w:sz w:val="20"/>
          <w:szCs w:val="20"/>
        </w:rPr>
        <w:t xml:space="preserve"> 1</w:t>
      </w:r>
    </w:p>
  </w:footnote>
  <w:footnote w:id="72">
    <w:p w14:paraId="21E040CD" w14:textId="77777777" w:rsidR="005A3D12" w:rsidRPr="000D0983" w:rsidRDefault="005A3D12" w:rsidP="00D55A7C">
      <w:pPr>
        <w:pStyle w:val="FootnoteText"/>
        <w:spacing w:line="480" w:lineRule="auto"/>
      </w:pPr>
      <w:r>
        <w:rPr>
          <w:rStyle w:val="FootnoteReference"/>
        </w:rPr>
        <w:footnoteRef/>
      </w:r>
      <w:r>
        <w:t xml:space="preserve"> </w:t>
      </w:r>
      <w:r w:rsidRPr="0093788D">
        <w:rPr>
          <w:sz w:val="20"/>
          <w:szCs w:val="20"/>
        </w:rPr>
        <w:t>BA MS P. 227 sup. 52</w:t>
      </w:r>
      <w:r w:rsidRPr="0093788D">
        <w:rPr>
          <w:sz w:val="20"/>
          <w:szCs w:val="20"/>
          <w:vertAlign w:val="superscript"/>
        </w:rPr>
        <w:t>r</w:t>
      </w:r>
      <w:r w:rsidRPr="0093788D">
        <w:rPr>
          <w:sz w:val="20"/>
          <w:szCs w:val="20"/>
        </w:rPr>
        <w:t>.</w:t>
      </w:r>
    </w:p>
  </w:footnote>
  <w:footnote w:id="73">
    <w:p w14:paraId="0EFD27EA" w14:textId="1D077278" w:rsidR="003E0F99" w:rsidRDefault="003E0F99" w:rsidP="00D55A7C">
      <w:pPr>
        <w:pStyle w:val="FootnoteText"/>
        <w:spacing w:line="480" w:lineRule="auto"/>
      </w:pPr>
      <w:r>
        <w:rPr>
          <w:rStyle w:val="FootnoteReference"/>
        </w:rPr>
        <w:footnoteRef/>
      </w:r>
      <w:r>
        <w:t xml:space="preserve"> </w:t>
      </w:r>
      <w:r>
        <w:rPr>
          <w:sz w:val="20"/>
          <w:szCs w:val="20"/>
        </w:rPr>
        <w:t xml:space="preserve">Savile, </w:t>
      </w:r>
      <w:r>
        <w:rPr>
          <w:i/>
          <w:sz w:val="20"/>
          <w:szCs w:val="20"/>
        </w:rPr>
        <w:t>The Histories of Cornelius Tacitus</w:t>
      </w:r>
      <w:r>
        <w:rPr>
          <w:iCs/>
          <w:sz w:val="20"/>
          <w:szCs w:val="20"/>
        </w:rPr>
        <w:t xml:space="preserve"> (Oxford and London: Joseph Barnes, 1591) </w:t>
      </w:r>
      <w:r>
        <w:rPr>
          <w:sz w:val="20"/>
          <w:szCs w:val="20"/>
        </w:rPr>
        <w:t xml:space="preserve">Commentary, 20. Cf. </w:t>
      </w:r>
      <w:r w:rsidR="00576CDC">
        <w:rPr>
          <w:sz w:val="20"/>
          <w:szCs w:val="20"/>
        </w:rPr>
        <w:t xml:space="preserve">Tacitus, </w:t>
      </w:r>
      <w:r w:rsidR="00576CDC" w:rsidRPr="00576CDC">
        <w:rPr>
          <w:i/>
          <w:iCs/>
          <w:sz w:val="20"/>
          <w:szCs w:val="20"/>
        </w:rPr>
        <w:t>Historiae</w:t>
      </w:r>
      <w:r w:rsidR="00576CDC">
        <w:rPr>
          <w:sz w:val="20"/>
          <w:szCs w:val="20"/>
        </w:rPr>
        <w:t>, 1.70</w:t>
      </w:r>
    </w:p>
  </w:footnote>
  <w:footnote w:id="74">
    <w:p w14:paraId="4E59077B" w14:textId="5143EF15" w:rsidR="005A3D12" w:rsidRPr="0069738F" w:rsidRDefault="005A3D12" w:rsidP="00D55A7C">
      <w:pPr>
        <w:spacing w:line="480" w:lineRule="auto"/>
      </w:pPr>
      <w:r>
        <w:rPr>
          <w:rStyle w:val="FootnoteReference"/>
        </w:rPr>
        <w:footnoteRef/>
      </w:r>
      <w:r>
        <w:t xml:space="preserve"> </w:t>
      </w:r>
      <w:r w:rsidRPr="0093788D">
        <w:rPr>
          <w:sz w:val="20"/>
          <w:szCs w:val="20"/>
        </w:rPr>
        <w:t>Biblioteca Ambrosiana, MS P. 227 sup., 53</w:t>
      </w:r>
      <w:r w:rsidRPr="0093788D">
        <w:rPr>
          <w:sz w:val="20"/>
          <w:szCs w:val="20"/>
          <w:vertAlign w:val="superscript"/>
        </w:rPr>
        <w:t>r</w:t>
      </w:r>
      <w:r w:rsidRPr="0093788D">
        <w:rPr>
          <w:sz w:val="20"/>
          <w:szCs w:val="20"/>
        </w:rPr>
        <w:t>; 52</w:t>
      </w:r>
      <w:r w:rsidRPr="0093788D">
        <w:rPr>
          <w:sz w:val="20"/>
          <w:szCs w:val="20"/>
          <w:vertAlign w:val="superscript"/>
        </w:rPr>
        <w:t>v</w:t>
      </w:r>
      <w:r w:rsidRPr="0093788D">
        <w:rPr>
          <w:sz w:val="20"/>
          <w:szCs w:val="20"/>
        </w:rPr>
        <w:t>.</w:t>
      </w:r>
      <w:r w:rsidR="00885D00" w:rsidRPr="0093788D">
        <w:rPr>
          <w:sz w:val="20"/>
          <w:szCs w:val="20"/>
        </w:rPr>
        <w:t xml:space="preserve"> At another moment, he dismisses a passage in the chapter XIII, ‘De </w:t>
      </w:r>
      <w:proofErr w:type="spellStart"/>
      <w:r w:rsidR="00885D00" w:rsidRPr="0093788D">
        <w:rPr>
          <w:sz w:val="20"/>
          <w:szCs w:val="20"/>
        </w:rPr>
        <w:t>Habitationibus</w:t>
      </w:r>
      <w:proofErr w:type="spellEnd"/>
      <w:r w:rsidR="00885D00" w:rsidRPr="0093788D">
        <w:rPr>
          <w:sz w:val="20"/>
          <w:szCs w:val="20"/>
        </w:rPr>
        <w:t xml:space="preserve">’, as </w:t>
      </w:r>
      <w:proofErr w:type="spellStart"/>
      <w:r w:rsidR="00885D00" w:rsidRPr="0093788D">
        <w:rPr>
          <w:sz w:val="20"/>
          <w:szCs w:val="20"/>
        </w:rPr>
        <w:t>οὐδεν</w:t>
      </w:r>
      <w:proofErr w:type="spellEnd"/>
      <w:r w:rsidR="00885D00" w:rsidRPr="0093788D">
        <w:rPr>
          <w:sz w:val="20"/>
          <w:szCs w:val="20"/>
        </w:rPr>
        <w:t xml:space="preserve"> π</w:t>
      </w:r>
      <w:proofErr w:type="spellStart"/>
      <w:r w:rsidR="00885D00" w:rsidRPr="0093788D">
        <w:rPr>
          <w:sz w:val="20"/>
          <w:szCs w:val="20"/>
        </w:rPr>
        <w:t>ρος</w:t>
      </w:r>
      <w:proofErr w:type="spellEnd"/>
      <w:r w:rsidR="00885D00" w:rsidRPr="0093788D">
        <w:rPr>
          <w:sz w:val="20"/>
          <w:szCs w:val="20"/>
        </w:rPr>
        <w:t xml:space="preserve"> ἐπ</w:t>
      </w:r>
      <w:proofErr w:type="spellStart"/>
      <w:r w:rsidR="00885D00" w:rsidRPr="0093788D">
        <w:rPr>
          <w:sz w:val="20"/>
          <w:szCs w:val="20"/>
        </w:rPr>
        <w:t>ος</w:t>
      </w:r>
      <w:proofErr w:type="spellEnd"/>
      <w:r w:rsidR="00885D00" w:rsidRPr="0093788D">
        <w:rPr>
          <w:sz w:val="20"/>
          <w:szCs w:val="20"/>
        </w:rPr>
        <w:t>, that is, ‘completely irrelevant’. BA MS P. 227 sup. 53</w:t>
      </w:r>
      <w:r w:rsidR="00885D00" w:rsidRPr="0093788D">
        <w:rPr>
          <w:sz w:val="20"/>
          <w:szCs w:val="20"/>
          <w:vertAlign w:val="superscript"/>
        </w:rPr>
        <w:t>r</w:t>
      </w:r>
    </w:p>
  </w:footnote>
  <w:footnote w:id="75">
    <w:p w14:paraId="6E72FC54" w14:textId="16A6363D" w:rsidR="00240C9D" w:rsidRPr="00BE19A7" w:rsidRDefault="00240C9D" w:rsidP="00D55A7C">
      <w:pPr>
        <w:pStyle w:val="FootnoteText"/>
        <w:spacing w:line="480" w:lineRule="auto"/>
      </w:pPr>
      <w:r>
        <w:rPr>
          <w:rStyle w:val="FootnoteReference"/>
        </w:rPr>
        <w:footnoteRef/>
      </w:r>
      <w:r>
        <w:t xml:space="preserve"> </w:t>
      </w:r>
      <w:r w:rsidRPr="0093788D">
        <w:rPr>
          <w:sz w:val="20"/>
          <w:szCs w:val="20"/>
        </w:rPr>
        <w:t xml:space="preserve">Savile (1591) 48. Cf. Tacitus, </w:t>
      </w:r>
      <w:r w:rsidRPr="0093788D">
        <w:rPr>
          <w:i/>
          <w:iCs/>
          <w:sz w:val="20"/>
          <w:szCs w:val="20"/>
        </w:rPr>
        <w:t>Agricola</w:t>
      </w:r>
      <w:r w:rsidRPr="0093788D">
        <w:rPr>
          <w:sz w:val="20"/>
          <w:szCs w:val="20"/>
        </w:rPr>
        <w:t>, 44.2</w:t>
      </w:r>
    </w:p>
  </w:footnote>
  <w:footnote w:id="76">
    <w:p w14:paraId="3F8B0DA5" w14:textId="2D73D03F" w:rsidR="00C549FC" w:rsidRPr="000B33EC" w:rsidRDefault="00C549FC" w:rsidP="00D55A7C">
      <w:pPr>
        <w:pStyle w:val="FootnoteText"/>
        <w:spacing w:line="480" w:lineRule="auto"/>
      </w:pPr>
      <w:r>
        <w:rPr>
          <w:rStyle w:val="FootnoteReference"/>
        </w:rPr>
        <w:footnoteRef/>
      </w:r>
      <w:r>
        <w:t xml:space="preserve"> </w:t>
      </w:r>
      <w:r w:rsidRPr="0093788D">
        <w:rPr>
          <w:sz w:val="20"/>
          <w:szCs w:val="20"/>
        </w:rPr>
        <w:t>Biblioteca Ambrosiana, MS P. 227 sup., 22</w:t>
      </w:r>
      <w:r w:rsidRPr="0093788D">
        <w:rPr>
          <w:sz w:val="20"/>
          <w:szCs w:val="20"/>
          <w:vertAlign w:val="superscript"/>
        </w:rPr>
        <w:t>v</w:t>
      </w:r>
      <w:r w:rsidRPr="0093788D">
        <w:rPr>
          <w:sz w:val="20"/>
          <w:szCs w:val="20"/>
        </w:rPr>
        <w:t>–23</w:t>
      </w:r>
      <w:r w:rsidRPr="0093788D">
        <w:rPr>
          <w:sz w:val="20"/>
          <w:szCs w:val="20"/>
          <w:vertAlign w:val="superscript"/>
        </w:rPr>
        <w:t>v</w:t>
      </w:r>
      <w:r w:rsidR="000B33EC" w:rsidRPr="0093788D">
        <w:rPr>
          <w:sz w:val="20"/>
          <w:szCs w:val="20"/>
        </w:rPr>
        <w:t xml:space="preserve">. Cf. </w:t>
      </w:r>
      <w:r w:rsidR="00736DEB" w:rsidRPr="0093788D">
        <w:rPr>
          <w:sz w:val="20"/>
          <w:szCs w:val="20"/>
        </w:rPr>
        <w:t xml:space="preserve">Cicero, </w:t>
      </w:r>
      <w:proofErr w:type="spellStart"/>
      <w:r w:rsidR="00736DEB" w:rsidRPr="0093788D">
        <w:rPr>
          <w:i/>
          <w:iCs/>
          <w:sz w:val="20"/>
          <w:szCs w:val="20"/>
        </w:rPr>
        <w:t>Aratea</w:t>
      </w:r>
      <w:proofErr w:type="spellEnd"/>
      <w:r w:rsidR="00736DEB" w:rsidRPr="0093788D">
        <w:rPr>
          <w:i/>
          <w:iCs/>
          <w:sz w:val="20"/>
          <w:szCs w:val="20"/>
        </w:rPr>
        <w:t xml:space="preserve">, Phaenomenon </w:t>
      </w:r>
      <w:proofErr w:type="spellStart"/>
      <w:r w:rsidR="00736DEB" w:rsidRPr="0093788D">
        <w:rPr>
          <w:i/>
          <w:iCs/>
          <w:sz w:val="20"/>
          <w:szCs w:val="20"/>
        </w:rPr>
        <w:t>Fragmenta</w:t>
      </w:r>
      <w:proofErr w:type="spellEnd"/>
      <w:r w:rsidR="00736DEB" w:rsidRPr="0093788D">
        <w:rPr>
          <w:sz w:val="20"/>
          <w:szCs w:val="20"/>
        </w:rPr>
        <w:t xml:space="preserve">, </w:t>
      </w:r>
      <w:proofErr w:type="spellStart"/>
      <w:r w:rsidR="00736DEB" w:rsidRPr="0093788D">
        <w:rPr>
          <w:sz w:val="20"/>
          <w:szCs w:val="20"/>
        </w:rPr>
        <w:t>Musisque</w:t>
      </w:r>
      <w:proofErr w:type="spellEnd"/>
      <w:r w:rsidR="00736DEB" w:rsidRPr="0093788D">
        <w:rPr>
          <w:sz w:val="20"/>
          <w:szCs w:val="20"/>
        </w:rPr>
        <w:t xml:space="preserve"> </w:t>
      </w:r>
      <w:proofErr w:type="spellStart"/>
      <w:r w:rsidR="00736DEB" w:rsidRPr="0093788D">
        <w:rPr>
          <w:sz w:val="20"/>
          <w:szCs w:val="20"/>
        </w:rPr>
        <w:t>Deoque</w:t>
      </w:r>
      <w:proofErr w:type="spellEnd"/>
      <w:r w:rsidR="00736DEB" w:rsidRPr="0093788D">
        <w:rPr>
          <w:sz w:val="20"/>
          <w:szCs w:val="20"/>
        </w:rPr>
        <w:t xml:space="preserve">: A Digital Archive of Latin Poetry, accessible </w:t>
      </w:r>
      <w:hyperlink r:id="rId3" w:history="1">
        <w:r w:rsidR="00736DEB" w:rsidRPr="0093788D">
          <w:rPr>
            <w:rStyle w:val="Hyperlink"/>
            <w:sz w:val="20"/>
            <w:szCs w:val="20"/>
          </w:rPr>
          <w:t>online</w:t>
        </w:r>
      </w:hyperlink>
      <w:r w:rsidR="00736DEB">
        <w:t xml:space="preserve"> </w:t>
      </w:r>
    </w:p>
  </w:footnote>
  <w:footnote w:id="77">
    <w:p w14:paraId="55BDFAC4" w14:textId="613FDDF5" w:rsidR="00320E38" w:rsidRPr="00320E38" w:rsidRDefault="00320E38" w:rsidP="00D55A7C">
      <w:pPr>
        <w:pStyle w:val="FootnoteText"/>
        <w:spacing w:line="480" w:lineRule="auto"/>
      </w:pPr>
      <w:r>
        <w:rPr>
          <w:rStyle w:val="FootnoteReference"/>
        </w:rPr>
        <w:footnoteRef/>
      </w:r>
      <w:r>
        <w:t xml:space="preserve"> </w:t>
      </w:r>
      <w:r w:rsidRPr="0093788D">
        <w:rPr>
          <w:sz w:val="20"/>
          <w:szCs w:val="20"/>
        </w:rPr>
        <w:t xml:space="preserve">Cicero, </w:t>
      </w:r>
      <w:r w:rsidRPr="0093788D">
        <w:rPr>
          <w:i/>
          <w:iCs/>
          <w:sz w:val="20"/>
          <w:szCs w:val="20"/>
        </w:rPr>
        <w:t xml:space="preserve">M. T. </w:t>
      </w:r>
      <w:proofErr w:type="spellStart"/>
      <w:r w:rsidRPr="0093788D">
        <w:rPr>
          <w:i/>
          <w:iCs/>
          <w:sz w:val="20"/>
          <w:szCs w:val="20"/>
        </w:rPr>
        <w:t>Ciceronis</w:t>
      </w:r>
      <w:proofErr w:type="spellEnd"/>
      <w:r w:rsidRPr="0093788D">
        <w:rPr>
          <w:i/>
          <w:iCs/>
          <w:sz w:val="20"/>
          <w:szCs w:val="20"/>
        </w:rPr>
        <w:t xml:space="preserve"> De </w:t>
      </w:r>
      <w:proofErr w:type="spellStart"/>
      <w:r w:rsidRPr="0093788D">
        <w:rPr>
          <w:i/>
          <w:iCs/>
          <w:sz w:val="20"/>
          <w:szCs w:val="20"/>
        </w:rPr>
        <w:t>Officiis</w:t>
      </w:r>
      <w:proofErr w:type="spellEnd"/>
      <w:r w:rsidRPr="0093788D">
        <w:rPr>
          <w:i/>
          <w:iCs/>
          <w:sz w:val="20"/>
          <w:szCs w:val="20"/>
        </w:rPr>
        <w:t xml:space="preserve"> Libri Tres</w:t>
      </w:r>
      <w:r w:rsidRPr="0093788D">
        <w:rPr>
          <w:sz w:val="20"/>
          <w:szCs w:val="20"/>
        </w:rPr>
        <w:t xml:space="preserve"> […]</w:t>
      </w:r>
      <w:r w:rsidRPr="0093788D">
        <w:rPr>
          <w:i/>
          <w:iCs/>
          <w:sz w:val="20"/>
          <w:szCs w:val="20"/>
        </w:rPr>
        <w:t xml:space="preserve"> </w:t>
      </w:r>
      <w:proofErr w:type="spellStart"/>
      <w:r w:rsidRPr="0093788D">
        <w:rPr>
          <w:i/>
          <w:iCs/>
          <w:sz w:val="20"/>
          <w:szCs w:val="20"/>
        </w:rPr>
        <w:t>Poëmatum</w:t>
      </w:r>
      <w:proofErr w:type="spellEnd"/>
      <w:r w:rsidRPr="0093788D">
        <w:rPr>
          <w:i/>
          <w:iCs/>
          <w:sz w:val="20"/>
          <w:szCs w:val="20"/>
        </w:rPr>
        <w:t xml:space="preserve">, in </w:t>
      </w:r>
      <w:proofErr w:type="spellStart"/>
      <w:r w:rsidRPr="0093788D">
        <w:rPr>
          <w:i/>
          <w:iCs/>
          <w:sz w:val="20"/>
          <w:szCs w:val="20"/>
        </w:rPr>
        <w:t>quibus</w:t>
      </w:r>
      <w:proofErr w:type="spellEnd"/>
      <w:r w:rsidRPr="0093788D">
        <w:rPr>
          <w:i/>
          <w:iCs/>
          <w:sz w:val="20"/>
          <w:szCs w:val="20"/>
        </w:rPr>
        <w:t xml:space="preserve"> </w:t>
      </w:r>
      <w:proofErr w:type="spellStart"/>
      <w:r w:rsidRPr="0093788D">
        <w:rPr>
          <w:i/>
          <w:iCs/>
          <w:sz w:val="20"/>
          <w:szCs w:val="20"/>
        </w:rPr>
        <w:t>continentur</w:t>
      </w:r>
      <w:proofErr w:type="spellEnd"/>
      <w:r w:rsidRPr="0093788D">
        <w:rPr>
          <w:i/>
          <w:iCs/>
          <w:sz w:val="20"/>
          <w:szCs w:val="20"/>
        </w:rPr>
        <w:t xml:space="preserve"> </w:t>
      </w:r>
      <w:proofErr w:type="spellStart"/>
      <w:r w:rsidRPr="0093788D">
        <w:rPr>
          <w:i/>
          <w:iCs/>
          <w:sz w:val="20"/>
          <w:szCs w:val="20"/>
        </w:rPr>
        <w:t>Aratea</w:t>
      </w:r>
      <w:proofErr w:type="spellEnd"/>
      <w:r w:rsidRPr="0093788D">
        <w:rPr>
          <w:i/>
          <w:iCs/>
          <w:sz w:val="20"/>
          <w:szCs w:val="20"/>
        </w:rPr>
        <w:t xml:space="preserve"> </w:t>
      </w:r>
      <w:r w:rsidRPr="0093788D">
        <w:rPr>
          <w:sz w:val="20"/>
          <w:szCs w:val="20"/>
        </w:rPr>
        <w:t>(London: Thomas Vautrollier, 1584) 238</w:t>
      </w:r>
    </w:p>
  </w:footnote>
  <w:footnote w:id="78">
    <w:p w14:paraId="3A0B949E" w14:textId="32C17D41" w:rsidR="00665DC8" w:rsidRPr="00665DC8" w:rsidRDefault="00665DC8" w:rsidP="00D55A7C">
      <w:pPr>
        <w:pStyle w:val="FootnoteText"/>
        <w:spacing w:line="480" w:lineRule="auto"/>
      </w:pPr>
      <w:r>
        <w:rPr>
          <w:rStyle w:val="FootnoteReference"/>
        </w:rPr>
        <w:footnoteRef/>
      </w:r>
      <w:r>
        <w:t xml:space="preserve"> </w:t>
      </w:r>
      <w:r w:rsidRPr="0093788D">
        <w:rPr>
          <w:sz w:val="20"/>
          <w:szCs w:val="20"/>
        </w:rPr>
        <w:t>BA MS P. 227 sup., 52</w:t>
      </w:r>
      <w:r w:rsidRPr="0093788D">
        <w:rPr>
          <w:sz w:val="20"/>
          <w:szCs w:val="20"/>
          <w:vertAlign w:val="superscript"/>
        </w:rPr>
        <w:t>r</w:t>
      </w:r>
    </w:p>
  </w:footnote>
  <w:footnote w:id="79">
    <w:p w14:paraId="6E6C4D0B" w14:textId="77777777" w:rsidR="009B3CFE" w:rsidRPr="00665DC8" w:rsidRDefault="009B3CFE" w:rsidP="00D55A7C">
      <w:pPr>
        <w:pStyle w:val="FootnoteText"/>
        <w:spacing w:line="480" w:lineRule="auto"/>
      </w:pPr>
      <w:r>
        <w:rPr>
          <w:rStyle w:val="FootnoteReference"/>
        </w:rPr>
        <w:footnoteRef/>
      </w:r>
      <w:r>
        <w:t xml:space="preserve"> </w:t>
      </w:r>
      <w:r w:rsidRPr="0093788D">
        <w:rPr>
          <w:sz w:val="20"/>
          <w:szCs w:val="20"/>
        </w:rPr>
        <w:t>BA MS P. 227 sup., 23</w:t>
      </w:r>
      <w:r w:rsidRPr="0093788D">
        <w:rPr>
          <w:sz w:val="20"/>
          <w:szCs w:val="20"/>
          <w:vertAlign w:val="superscript"/>
        </w:rPr>
        <w:t>r</w:t>
      </w:r>
    </w:p>
  </w:footnote>
  <w:footnote w:id="80">
    <w:p w14:paraId="1A51F05D" w14:textId="418C1B33" w:rsidR="00154CC7" w:rsidRPr="00D7147D" w:rsidRDefault="00154CC7" w:rsidP="00D55A7C">
      <w:pPr>
        <w:pStyle w:val="FootnoteText"/>
        <w:spacing w:line="480" w:lineRule="auto"/>
      </w:pPr>
      <w:r>
        <w:rPr>
          <w:rStyle w:val="FootnoteReference"/>
        </w:rPr>
        <w:footnoteRef/>
      </w:r>
      <w:r>
        <w:t xml:space="preserve"> </w:t>
      </w:r>
      <w:r w:rsidRPr="00BF57BB">
        <w:rPr>
          <w:sz w:val="20"/>
          <w:szCs w:val="20"/>
        </w:rPr>
        <w:t>BA MS P. 227 sup., 53</w:t>
      </w:r>
      <w:r w:rsidRPr="00BF57BB">
        <w:rPr>
          <w:sz w:val="20"/>
          <w:szCs w:val="20"/>
          <w:vertAlign w:val="superscript"/>
        </w:rPr>
        <w:t>r</w:t>
      </w:r>
      <w:r w:rsidR="00D7147D" w:rsidRPr="00BF57BB">
        <w:rPr>
          <w:sz w:val="20"/>
          <w:szCs w:val="20"/>
        </w:rPr>
        <w:t xml:space="preserve">. For Germanicus’s version, see D Mark Possanza, </w:t>
      </w:r>
      <w:r w:rsidR="00D7147D" w:rsidRPr="00BF57BB">
        <w:rPr>
          <w:i/>
          <w:iCs/>
          <w:sz w:val="20"/>
          <w:szCs w:val="20"/>
        </w:rPr>
        <w:t xml:space="preserve">Translating the Heavens: Aratus, Germanicus, and the Poetics of Latin Translation </w:t>
      </w:r>
      <w:r w:rsidR="00D7147D" w:rsidRPr="00BF57BB">
        <w:rPr>
          <w:sz w:val="20"/>
          <w:szCs w:val="20"/>
        </w:rPr>
        <w:t>(New York: Peter Lang, 2004)</w:t>
      </w:r>
    </w:p>
  </w:footnote>
  <w:footnote w:id="81">
    <w:p w14:paraId="28BD972B" w14:textId="708F2F08" w:rsidR="005B65E3" w:rsidRPr="005B65E3" w:rsidRDefault="005B65E3" w:rsidP="00D55A7C">
      <w:pPr>
        <w:pStyle w:val="FootnoteText"/>
        <w:spacing w:line="480" w:lineRule="auto"/>
      </w:pPr>
      <w:r>
        <w:rPr>
          <w:rStyle w:val="FootnoteReference"/>
        </w:rPr>
        <w:footnoteRef/>
      </w:r>
      <w:r>
        <w:t xml:space="preserve"> </w:t>
      </w:r>
      <w:r w:rsidRPr="006C68E0">
        <w:rPr>
          <w:sz w:val="20"/>
          <w:szCs w:val="20"/>
        </w:rPr>
        <w:t>BA MS P. 227 sup., 25</w:t>
      </w:r>
      <w:r w:rsidRPr="006C68E0">
        <w:rPr>
          <w:sz w:val="20"/>
          <w:szCs w:val="20"/>
          <w:vertAlign w:val="superscript"/>
        </w:rPr>
        <w:t>v</w:t>
      </w:r>
    </w:p>
  </w:footnote>
  <w:footnote w:id="82">
    <w:p w14:paraId="64FCD37B" w14:textId="4B55C29E" w:rsidR="00B65160" w:rsidRPr="00B65160" w:rsidRDefault="00B65160" w:rsidP="00D55A7C">
      <w:pPr>
        <w:spacing w:line="480" w:lineRule="auto"/>
        <w:rPr>
          <w:sz w:val="20"/>
          <w:szCs w:val="20"/>
        </w:rPr>
      </w:pPr>
      <w:r>
        <w:rPr>
          <w:rStyle w:val="FootnoteReference"/>
        </w:rPr>
        <w:footnoteRef/>
      </w:r>
      <w:r>
        <w:t xml:space="preserve"> </w:t>
      </w:r>
      <w:r w:rsidRPr="00B65160">
        <w:rPr>
          <w:sz w:val="20"/>
          <w:szCs w:val="20"/>
        </w:rPr>
        <w:t xml:space="preserve">Savile appeals to Cicero in the accompanying notes as well. In his refutation of the supposed link between the stars and the weather, Geminus refers to </w:t>
      </w:r>
      <w:proofErr w:type="spellStart"/>
      <w:r w:rsidRPr="00B65160">
        <w:rPr>
          <w:sz w:val="20"/>
          <w:szCs w:val="20"/>
        </w:rPr>
        <w:t>Boethus</w:t>
      </w:r>
      <w:proofErr w:type="spellEnd"/>
      <w:r w:rsidRPr="00B65160">
        <w:rPr>
          <w:sz w:val="20"/>
          <w:szCs w:val="20"/>
        </w:rPr>
        <w:t xml:space="preserve"> of Sidon, of whose works none now remain extant: ‘quare </w:t>
      </w:r>
      <w:proofErr w:type="spellStart"/>
      <w:r w:rsidRPr="00B65160">
        <w:rPr>
          <w:sz w:val="20"/>
          <w:szCs w:val="20"/>
        </w:rPr>
        <w:t>Boëthus</w:t>
      </w:r>
      <w:proofErr w:type="spellEnd"/>
      <w:r w:rsidRPr="00B65160">
        <w:rPr>
          <w:sz w:val="20"/>
          <w:szCs w:val="20"/>
        </w:rPr>
        <w:t xml:space="preserve"> </w:t>
      </w:r>
      <w:proofErr w:type="spellStart"/>
      <w:r w:rsidRPr="00B65160">
        <w:rPr>
          <w:sz w:val="20"/>
          <w:szCs w:val="20"/>
        </w:rPr>
        <w:t>philosophus</w:t>
      </w:r>
      <w:proofErr w:type="spellEnd"/>
      <w:r w:rsidRPr="00B65160">
        <w:rPr>
          <w:sz w:val="20"/>
          <w:szCs w:val="20"/>
        </w:rPr>
        <w:t xml:space="preserve"> </w:t>
      </w:r>
      <w:proofErr w:type="spellStart"/>
      <w:r w:rsidRPr="00B65160">
        <w:rPr>
          <w:sz w:val="20"/>
          <w:szCs w:val="20"/>
        </w:rPr>
        <w:t>commentariorum</w:t>
      </w:r>
      <w:proofErr w:type="spellEnd"/>
      <w:r w:rsidRPr="00B65160">
        <w:rPr>
          <w:sz w:val="20"/>
          <w:szCs w:val="20"/>
        </w:rPr>
        <w:t xml:space="preserve"> in </w:t>
      </w:r>
      <w:proofErr w:type="spellStart"/>
      <w:r w:rsidRPr="00B65160">
        <w:rPr>
          <w:sz w:val="20"/>
          <w:szCs w:val="20"/>
        </w:rPr>
        <w:t>Aratum</w:t>
      </w:r>
      <w:proofErr w:type="spellEnd"/>
      <w:r w:rsidRPr="00B65160">
        <w:rPr>
          <w:sz w:val="20"/>
          <w:szCs w:val="20"/>
        </w:rPr>
        <w:t xml:space="preserve"> </w:t>
      </w:r>
      <w:proofErr w:type="spellStart"/>
      <w:r w:rsidRPr="00B65160">
        <w:rPr>
          <w:sz w:val="20"/>
          <w:szCs w:val="20"/>
        </w:rPr>
        <w:t>libro</w:t>
      </w:r>
      <w:proofErr w:type="spellEnd"/>
      <w:r w:rsidRPr="00B65160">
        <w:rPr>
          <w:sz w:val="20"/>
          <w:szCs w:val="20"/>
        </w:rPr>
        <w:t xml:space="preserve"> quarto cum </w:t>
      </w:r>
      <w:proofErr w:type="spellStart"/>
      <w:r w:rsidRPr="00B65160">
        <w:rPr>
          <w:sz w:val="20"/>
          <w:szCs w:val="20"/>
        </w:rPr>
        <w:t>huius</w:t>
      </w:r>
      <w:proofErr w:type="spellEnd"/>
      <w:r w:rsidRPr="00B65160">
        <w:rPr>
          <w:sz w:val="20"/>
          <w:szCs w:val="20"/>
        </w:rPr>
        <w:t xml:space="preserve"> </w:t>
      </w:r>
      <w:proofErr w:type="spellStart"/>
      <w:r w:rsidRPr="00B65160">
        <w:rPr>
          <w:sz w:val="20"/>
          <w:szCs w:val="20"/>
        </w:rPr>
        <w:t>modi</w:t>
      </w:r>
      <w:proofErr w:type="spellEnd"/>
      <w:r w:rsidRPr="00B65160">
        <w:rPr>
          <w:sz w:val="20"/>
          <w:szCs w:val="20"/>
        </w:rPr>
        <w:t xml:space="preserve"> </w:t>
      </w:r>
      <w:proofErr w:type="spellStart"/>
      <w:r w:rsidRPr="00B65160">
        <w:rPr>
          <w:sz w:val="20"/>
          <w:szCs w:val="20"/>
        </w:rPr>
        <w:t>prognosticis</w:t>
      </w:r>
      <w:proofErr w:type="spellEnd"/>
      <w:r w:rsidRPr="00B65160">
        <w:rPr>
          <w:sz w:val="20"/>
          <w:szCs w:val="20"/>
        </w:rPr>
        <w:t xml:space="preserve"> </w:t>
      </w:r>
      <w:proofErr w:type="spellStart"/>
      <w:r w:rsidRPr="00B65160">
        <w:rPr>
          <w:sz w:val="20"/>
          <w:szCs w:val="20"/>
        </w:rPr>
        <w:t>uteretur</w:t>
      </w:r>
      <w:proofErr w:type="spellEnd"/>
      <w:r w:rsidRPr="00B65160">
        <w:rPr>
          <w:sz w:val="20"/>
          <w:szCs w:val="20"/>
        </w:rPr>
        <w:t xml:space="preserve">, </w:t>
      </w:r>
      <w:proofErr w:type="spellStart"/>
      <w:r w:rsidRPr="00B65160">
        <w:rPr>
          <w:sz w:val="20"/>
          <w:szCs w:val="20"/>
        </w:rPr>
        <w:t>imbrium</w:t>
      </w:r>
      <w:proofErr w:type="spellEnd"/>
      <w:r w:rsidRPr="00B65160">
        <w:rPr>
          <w:sz w:val="20"/>
          <w:szCs w:val="20"/>
        </w:rPr>
        <w:t xml:space="preserve"> ac </w:t>
      </w:r>
      <w:proofErr w:type="spellStart"/>
      <w:r w:rsidRPr="00B65160">
        <w:rPr>
          <w:sz w:val="20"/>
          <w:szCs w:val="20"/>
        </w:rPr>
        <w:t>uentorum</w:t>
      </w:r>
      <w:proofErr w:type="spellEnd"/>
      <w:r w:rsidRPr="00B65160">
        <w:rPr>
          <w:sz w:val="20"/>
          <w:szCs w:val="20"/>
        </w:rPr>
        <w:t xml:space="preserve"> </w:t>
      </w:r>
      <w:proofErr w:type="spellStart"/>
      <w:r w:rsidRPr="00B65160">
        <w:rPr>
          <w:sz w:val="20"/>
          <w:szCs w:val="20"/>
        </w:rPr>
        <w:t>causas</w:t>
      </w:r>
      <w:proofErr w:type="spellEnd"/>
      <w:r w:rsidRPr="00B65160">
        <w:rPr>
          <w:sz w:val="20"/>
          <w:szCs w:val="20"/>
        </w:rPr>
        <w:t xml:space="preserve"> </w:t>
      </w:r>
      <w:proofErr w:type="spellStart"/>
      <w:r w:rsidRPr="00B65160">
        <w:rPr>
          <w:sz w:val="20"/>
          <w:szCs w:val="20"/>
        </w:rPr>
        <w:t>reddidit</w:t>
      </w:r>
      <w:proofErr w:type="spellEnd"/>
      <w:r w:rsidRPr="00B65160">
        <w:rPr>
          <w:sz w:val="20"/>
          <w:szCs w:val="20"/>
        </w:rPr>
        <w:t>’ (‘the philosopher Boethus, when he treats these kinds of signs in the fourth book of his commentaries on Aratus, rehearses them as the cause of rain and winds’).</w:t>
      </w:r>
      <w:r w:rsidRPr="00B65160">
        <w:rPr>
          <w:rStyle w:val="FootnoteReference"/>
          <w:sz w:val="20"/>
          <w:szCs w:val="20"/>
        </w:rPr>
        <w:footnoteRef/>
      </w:r>
      <w:r w:rsidRPr="00B65160">
        <w:rPr>
          <w:sz w:val="20"/>
          <w:szCs w:val="20"/>
        </w:rPr>
        <w:t xml:space="preserve"> For an introduction to </w:t>
      </w:r>
      <w:proofErr w:type="spellStart"/>
      <w:r w:rsidRPr="00B65160">
        <w:rPr>
          <w:sz w:val="20"/>
          <w:szCs w:val="20"/>
        </w:rPr>
        <w:t>Boethus</w:t>
      </w:r>
      <w:proofErr w:type="spellEnd"/>
      <w:r w:rsidRPr="00B65160">
        <w:rPr>
          <w:sz w:val="20"/>
          <w:szCs w:val="20"/>
        </w:rPr>
        <w:t xml:space="preserve">, Savile directs the reader to the first book of Cicero’s </w:t>
      </w:r>
      <w:r w:rsidRPr="00B65160">
        <w:rPr>
          <w:i/>
          <w:iCs/>
          <w:sz w:val="20"/>
          <w:szCs w:val="20"/>
        </w:rPr>
        <w:t xml:space="preserve">De </w:t>
      </w:r>
      <w:proofErr w:type="spellStart"/>
      <w:r w:rsidRPr="00B65160">
        <w:rPr>
          <w:i/>
          <w:iCs/>
          <w:sz w:val="20"/>
          <w:szCs w:val="20"/>
        </w:rPr>
        <w:t>Divinatione</w:t>
      </w:r>
      <w:proofErr w:type="spellEnd"/>
      <w:r w:rsidRPr="00B65160">
        <w:rPr>
          <w:sz w:val="20"/>
          <w:szCs w:val="20"/>
        </w:rPr>
        <w:t xml:space="preserve">, from which he quotes the following: ‘Quis </w:t>
      </w:r>
      <w:proofErr w:type="spellStart"/>
      <w:r w:rsidRPr="00B65160">
        <w:rPr>
          <w:sz w:val="20"/>
          <w:szCs w:val="20"/>
        </w:rPr>
        <w:t>igitur</w:t>
      </w:r>
      <w:proofErr w:type="spellEnd"/>
      <w:r w:rsidRPr="00B65160">
        <w:rPr>
          <w:sz w:val="20"/>
          <w:szCs w:val="20"/>
        </w:rPr>
        <w:t xml:space="preserve"> </w:t>
      </w:r>
      <w:proofErr w:type="spellStart"/>
      <w:r w:rsidRPr="00B65160">
        <w:rPr>
          <w:sz w:val="20"/>
          <w:szCs w:val="20"/>
        </w:rPr>
        <w:t>elicere</w:t>
      </w:r>
      <w:proofErr w:type="spellEnd"/>
      <w:r w:rsidRPr="00B65160">
        <w:rPr>
          <w:sz w:val="20"/>
          <w:szCs w:val="20"/>
        </w:rPr>
        <w:t xml:space="preserve"> </w:t>
      </w:r>
      <w:proofErr w:type="spellStart"/>
      <w:r w:rsidRPr="00B65160">
        <w:rPr>
          <w:sz w:val="20"/>
          <w:szCs w:val="20"/>
        </w:rPr>
        <w:t>causas</w:t>
      </w:r>
      <w:proofErr w:type="spellEnd"/>
      <w:r w:rsidRPr="00B65160">
        <w:rPr>
          <w:sz w:val="20"/>
          <w:szCs w:val="20"/>
        </w:rPr>
        <w:t xml:space="preserve"> </w:t>
      </w:r>
      <w:proofErr w:type="spellStart"/>
      <w:r w:rsidRPr="00B65160">
        <w:rPr>
          <w:sz w:val="20"/>
          <w:szCs w:val="20"/>
        </w:rPr>
        <w:t>praesensionum</w:t>
      </w:r>
      <w:proofErr w:type="spellEnd"/>
      <w:r w:rsidRPr="00B65160">
        <w:rPr>
          <w:sz w:val="20"/>
          <w:szCs w:val="20"/>
        </w:rPr>
        <w:t xml:space="preserve"> </w:t>
      </w:r>
      <w:proofErr w:type="spellStart"/>
      <w:r w:rsidRPr="00B65160">
        <w:rPr>
          <w:sz w:val="20"/>
          <w:szCs w:val="20"/>
        </w:rPr>
        <w:t>potest</w:t>
      </w:r>
      <w:proofErr w:type="spellEnd"/>
      <w:r w:rsidRPr="00B65160">
        <w:rPr>
          <w:sz w:val="20"/>
          <w:szCs w:val="20"/>
        </w:rPr>
        <w:t xml:space="preserve">? </w:t>
      </w:r>
      <w:proofErr w:type="spellStart"/>
      <w:r w:rsidRPr="00B65160">
        <w:rPr>
          <w:sz w:val="20"/>
          <w:szCs w:val="20"/>
        </w:rPr>
        <w:t>etsi</w:t>
      </w:r>
      <w:proofErr w:type="spellEnd"/>
      <w:r w:rsidRPr="00B65160">
        <w:rPr>
          <w:sz w:val="20"/>
          <w:szCs w:val="20"/>
        </w:rPr>
        <w:t xml:space="preserve"> [video] </w:t>
      </w:r>
      <w:proofErr w:type="spellStart"/>
      <w:r w:rsidRPr="00B65160">
        <w:rPr>
          <w:sz w:val="20"/>
          <w:szCs w:val="20"/>
        </w:rPr>
        <w:t>Boëthum</w:t>
      </w:r>
      <w:proofErr w:type="spellEnd"/>
      <w:r w:rsidRPr="00B65160">
        <w:rPr>
          <w:sz w:val="20"/>
          <w:szCs w:val="20"/>
        </w:rPr>
        <w:t xml:space="preserve"> </w:t>
      </w:r>
      <w:proofErr w:type="spellStart"/>
      <w:r w:rsidRPr="00B65160">
        <w:rPr>
          <w:sz w:val="20"/>
          <w:szCs w:val="20"/>
        </w:rPr>
        <w:t>Stoicum</w:t>
      </w:r>
      <w:proofErr w:type="spellEnd"/>
      <w:r w:rsidRPr="00B65160">
        <w:rPr>
          <w:sz w:val="20"/>
          <w:szCs w:val="20"/>
        </w:rPr>
        <w:t xml:space="preserve"> esse </w:t>
      </w:r>
      <w:proofErr w:type="spellStart"/>
      <w:r w:rsidRPr="00B65160">
        <w:rPr>
          <w:sz w:val="20"/>
          <w:szCs w:val="20"/>
        </w:rPr>
        <w:t>conatum</w:t>
      </w:r>
      <w:proofErr w:type="spellEnd"/>
      <w:r w:rsidRPr="00B65160">
        <w:rPr>
          <w:sz w:val="20"/>
          <w:szCs w:val="20"/>
        </w:rPr>
        <w:t xml:space="preserve">. Qui </w:t>
      </w:r>
      <w:proofErr w:type="spellStart"/>
      <w:r w:rsidRPr="00B65160">
        <w:rPr>
          <w:sz w:val="20"/>
          <w:szCs w:val="20"/>
        </w:rPr>
        <w:t>hactenus</w:t>
      </w:r>
      <w:proofErr w:type="spellEnd"/>
      <w:r w:rsidRPr="00B65160">
        <w:rPr>
          <w:sz w:val="20"/>
          <w:szCs w:val="20"/>
        </w:rPr>
        <w:t xml:space="preserve"> etc’ (‘Who then can tease out the causes of foreboding? Even if </w:t>
      </w:r>
      <w:proofErr w:type="spellStart"/>
      <w:r w:rsidRPr="00B65160">
        <w:rPr>
          <w:sz w:val="20"/>
          <w:szCs w:val="20"/>
        </w:rPr>
        <w:t>Boethus</w:t>
      </w:r>
      <w:proofErr w:type="spellEnd"/>
      <w:r w:rsidRPr="00B65160">
        <w:rPr>
          <w:sz w:val="20"/>
          <w:szCs w:val="20"/>
        </w:rPr>
        <w:t xml:space="preserve"> the Stoic has tried, who up to this point etc’). BA MS P. 227 sup., 53</w:t>
      </w:r>
      <w:r w:rsidRPr="00B65160">
        <w:rPr>
          <w:sz w:val="20"/>
          <w:szCs w:val="20"/>
          <w:vertAlign w:val="superscript"/>
        </w:rPr>
        <w:t>v</w:t>
      </w:r>
      <w:r w:rsidRPr="00B65160">
        <w:rPr>
          <w:sz w:val="20"/>
          <w:szCs w:val="20"/>
        </w:rPr>
        <w:t xml:space="preserve">. Cf. Cicero, </w:t>
      </w:r>
      <w:r w:rsidRPr="00B65160">
        <w:rPr>
          <w:i/>
          <w:iCs/>
          <w:sz w:val="20"/>
          <w:szCs w:val="20"/>
        </w:rPr>
        <w:t xml:space="preserve">De </w:t>
      </w:r>
      <w:proofErr w:type="spellStart"/>
      <w:r w:rsidRPr="00B65160">
        <w:rPr>
          <w:i/>
          <w:iCs/>
          <w:sz w:val="20"/>
          <w:szCs w:val="20"/>
        </w:rPr>
        <w:t>Divinatione</w:t>
      </w:r>
      <w:proofErr w:type="spellEnd"/>
      <w:r w:rsidRPr="00B65160">
        <w:rPr>
          <w:sz w:val="20"/>
          <w:szCs w:val="20"/>
        </w:rPr>
        <w:t>, I.8</w:t>
      </w:r>
    </w:p>
  </w:footnote>
  <w:footnote w:id="83">
    <w:p w14:paraId="7840A33B" w14:textId="1C35F175" w:rsidR="00545921" w:rsidRDefault="00545921" w:rsidP="00D55A7C">
      <w:pPr>
        <w:pStyle w:val="FootnoteText"/>
        <w:spacing w:line="480" w:lineRule="auto"/>
      </w:pPr>
      <w:r>
        <w:rPr>
          <w:rStyle w:val="FootnoteReference"/>
        </w:rPr>
        <w:footnoteRef/>
      </w:r>
      <w:r>
        <w:t xml:space="preserve"> </w:t>
      </w:r>
      <w:r w:rsidRPr="006C68E0">
        <w:rPr>
          <w:sz w:val="20"/>
          <w:szCs w:val="20"/>
        </w:rPr>
        <w:t>BA MS P. 227 sup., 19</w:t>
      </w:r>
      <w:r w:rsidRPr="006C68E0">
        <w:rPr>
          <w:sz w:val="20"/>
          <w:szCs w:val="20"/>
          <w:vertAlign w:val="superscript"/>
        </w:rPr>
        <w:t>v</w:t>
      </w:r>
    </w:p>
  </w:footnote>
  <w:footnote w:id="84">
    <w:p w14:paraId="048507FC" w14:textId="77777777" w:rsidR="00544B84" w:rsidRDefault="00544B84" w:rsidP="00D55A7C">
      <w:pPr>
        <w:pStyle w:val="FootnoteText"/>
        <w:spacing w:line="480" w:lineRule="auto"/>
      </w:pPr>
      <w:r>
        <w:rPr>
          <w:rStyle w:val="FootnoteReference"/>
        </w:rPr>
        <w:footnoteRef/>
      </w:r>
      <w:r>
        <w:t xml:space="preserve"> </w:t>
      </w:r>
      <w:r w:rsidRPr="006C68E0">
        <w:rPr>
          <w:sz w:val="20"/>
          <w:szCs w:val="20"/>
        </w:rPr>
        <w:t xml:space="preserve">Folger Library, MS V.b.143. This manuscript has been digitised and can be accessed </w:t>
      </w:r>
      <w:hyperlink r:id="rId4" w:history="1">
        <w:r w:rsidRPr="006C68E0">
          <w:rPr>
            <w:rStyle w:val="Hyperlink"/>
            <w:sz w:val="20"/>
            <w:szCs w:val="20"/>
          </w:rPr>
          <w:t>online</w:t>
        </w:r>
      </w:hyperlink>
      <w:r w:rsidRPr="006C68E0">
        <w:rPr>
          <w:sz w:val="20"/>
          <w:szCs w:val="20"/>
        </w:rPr>
        <w:t>.</w:t>
      </w:r>
      <w:r>
        <w:t xml:space="preserve"> </w:t>
      </w:r>
    </w:p>
  </w:footnote>
  <w:footnote w:id="85">
    <w:p w14:paraId="3E129C64" w14:textId="77777777" w:rsidR="00EC4F9E" w:rsidRDefault="00EC4F9E" w:rsidP="00D55A7C">
      <w:pPr>
        <w:pStyle w:val="FootnoteText"/>
        <w:spacing w:line="480" w:lineRule="auto"/>
      </w:pPr>
      <w:r>
        <w:rPr>
          <w:rStyle w:val="FootnoteReference"/>
        </w:rPr>
        <w:footnoteRef/>
      </w:r>
      <w:r>
        <w:t xml:space="preserve"> </w:t>
      </w:r>
      <w:r w:rsidRPr="006C68E0">
        <w:rPr>
          <w:sz w:val="20"/>
          <w:szCs w:val="20"/>
        </w:rPr>
        <w:t>BA MS P. 227 sup., 19</w:t>
      </w:r>
      <w:r w:rsidRPr="006C68E0">
        <w:rPr>
          <w:sz w:val="20"/>
          <w:szCs w:val="20"/>
          <w:vertAlign w:val="superscript"/>
        </w:rPr>
        <w:t>v</w:t>
      </w:r>
    </w:p>
  </w:footnote>
  <w:footnote w:id="86">
    <w:p w14:paraId="2CD3B966" w14:textId="55C52E39" w:rsidR="00F10904" w:rsidRDefault="00F10904" w:rsidP="00D55A7C">
      <w:pPr>
        <w:pStyle w:val="FootnoteText"/>
        <w:spacing w:line="480" w:lineRule="auto"/>
      </w:pPr>
      <w:r>
        <w:rPr>
          <w:rStyle w:val="FootnoteReference"/>
        </w:rPr>
        <w:footnoteRef/>
      </w:r>
      <w:r>
        <w:t xml:space="preserve"> </w:t>
      </w:r>
      <w:r w:rsidRPr="006C68E0">
        <w:rPr>
          <w:sz w:val="20"/>
          <w:szCs w:val="20"/>
        </w:rPr>
        <w:t>BA MS P. 227 sup., 13</w:t>
      </w:r>
      <w:r w:rsidRPr="006C68E0">
        <w:rPr>
          <w:sz w:val="20"/>
          <w:szCs w:val="20"/>
          <w:vertAlign w:val="superscript"/>
        </w:rPr>
        <w:t>r</w:t>
      </w:r>
    </w:p>
  </w:footnote>
  <w:footnote w:id="87">
    <w:p w14:paraId="3D3C05A6" w14:textId="44EB2EB0" w:rsidR="00DE2D7A" w:rsidRPr="005941E4" w:rsidRDefault="00DE2D7A" w:rsidP="00D55A7C">
      <w:pPr>
        <w:spacing w:line="480" w:lineRule="auto"/>
      </w:pPr>
      <w:r>
        <w:rPr>
          <w:rStyle w:val="FootnoteReference"/>
        </w:rPr>
        <w:footnoteRef/>
      </w:r>
      <w:r>
        <w:t xml:space="preserve"> </w:t>
      </w:r>
      <w:r w:rsidRPr="006C68E0">
        <w:rPr>
          <w:sz w:val="20"/>
          <w:szCs w:val="20"/>
        </w:rPr>
        <w:t>BA MS P. 227 sup., 51</w:t>
      </w:r>
      <w:r w:rsidRPr="006C68E0">
        <w:rPr>
          <w:sz w:val="20"/>
          <w:szCs w:val="20"/>
          <w:vertAlign w:val="superscript"/>
        </w:rPr>
        <w:t>r</w:t>
      </w:r>
      <w:r w:rsidR="005941E4" w:rsidRPr="006C68E0">
        <w:rPr>
          <w:sz w:val="20"/>
          <w:szCs w:val="20"/>
        </w:rPr>
        <w:t xml:space="preserve">. In Book 9 of the </w:t>
      </w:r>
      <w:r w:rsidR="005941E4" w:rsidRPr="006C68E0">
        <w:rPr>
          <w:i/>
          <w:iCs/>
          <w:sz w:val="20"/>
          <w:szCs w:val="20"/>
        </w:rPr>
        <w:t xml:space="preserve">De </w:t>
      </w:r>
      <w:proofErr w:type="spellStart"/>
      <w:r w:rsidR="005941E4" w:rsidRPr="006C68E0">
        <w:rPr>
          <w:i/>
          <w:iCs/>
          <w:sz w:val="20"/>
          <w:szCs w:val="20"/>
        </w:rPr>
        <w:t>Architectura</w:t>
      </w:r>
      <w:proofErr w:type="spellEnd"/>
      <w:r w:rsidR="005941E4" w:rsidRPr="006C68E0">
        <w:rPr>
          <w:sz w:val="20"/>
          <w:szCs w:val="20"/>
        </w:rPr>
        <w:t>, Vitruvius juxtaposes the Latin and Greek terms: ‘</w:t>
      </w:r>
      <w:proofErr w:type="spellStart"/>
      <w:r w:rsidR="005941E4" w:rsidRPr="006C68E0">
        <w:rPr>
          <w:sz w:val="20"/>
          <w:szCs w:val="20"/>
        </w:rPr>
        <w:t>virgo</w:t>
      </w:r>
      <w:proofErr w:type="spellEnd"/>
      <w:r w:rsidR="005941E4" w:rsidRPr="006C68E0">
        <w:rPr>
          <w:sz w:val="20"/>
          <w:szCs w:val="20"/>
        </w:rPr>
        <w:t xml:space="preserve">, </w:t>
      </w:r>
      <w:proofErr w:type="spellStart"/>
      <w:r w:rsidR="005941E4" w:rsidRPr="006C68E0">
        <w:rPr>
          <w:sz w:val="20"/>
          <w:szCs w:val="20"/>
        </w:rPr>
        <w:t>cuius</w:t>
      </w:r>
      <w:proofErr w:type="spellEnd"/>
      <w:r w:rsidR="005941E4" w:rsidRPr="006C68E0">
        <w:rPr>
          <w:sz w:val="20"/>
          <w:szCs w:val="20"/>
        </w:rPr>
        <w:t xml:space="preserve"> supra </w:t>
      </w:r>
      <w:proofErr w:type="spellStart"/>
      <w:r w:rsidR="005941E4" w:rsidRPr="006C68E0">
        <w:rPr>
          <w:sz w:val="20"/>
          <w:szCs w:val="20"/>
        </w:rPr>
        <w:t>umerum</w:t>
      </w:r>
      <w:proofErr w:type="spellEnd"/>
      <w:r w:rsidR="005941E4" w:rsidRPr="006C68E0">
        <w:rPr>
          <w:sz w:val="20"/>
          <w:szCs w:val="20"/>
        </w:rPr>
        <w:t xml:space="preserve"> dextrum </w:t>
      </w:r>
      <w:proofErr w:type="spellStart"/>
      <w:r w:rsidR="005941E4" w:rsidRPr="006C68E0">
        <w:rPr>
          <w:sz w:val="20"/>
          <w:szCs w:val="20"/>
        </w:rPr>
        <w:t>lucidissima</w:t>
      </w:r>
      <w:proofErr w:type="spellEnd"/>
      <w:r w:rsidR="005941E4" w:rsidRPr="006C68E0">
        <w:rPr>
          <w:sz w:val="20"/>
          <w:szCs w:val="20"/>
        </w:rPr>
        <w:t xml:space="preserve"> stella </w:t>
      </w:r>
      <w:proofErr w:type="spellStart"/>
      <w:r w:rsidR="005941E4" w:rsidRPr="006C68E0">
        <w:rPr>
          <w:sz w:val="20"/>
          <w:szCs w:val="20"/>
        </w:rPr>
        <w:t>nititur</w:t>
      </w:r>
      <w:proofErr w:type="spellEnd"/>
      <w:r w:rsidR="005941E4" w:rsidRPr="006C68E0">
        <w:rPr>
          <w:sz w:val="20"/>
          <w:szCs w:val="20"/>
        </w:rPr>
        <w:t xml:space="preserve">, </w:t>
      </w:r>
      <w:proofErr w:type="spellStart"/>
      <w:r w:rsidR="005941E4" w:rsidRPr="006C68E0">
        <w:rPr>
          <w:sz w:val="20"/>
          <w:szCs w:val="20"/>
        </w:rPr>
        <w:t>quam</w:t>
      </w:r>
      <w:proofErr w:type="spellEnd"/>
      <w:r w:rsidR="005941E4" w:rsidRPr="006C68E0">
        <w:rPr>
          <w:sz w:val="20"/>
          <w:szCs w:val="20"/>
        </w:rPr>
        <w:t xml:space="preserve"> </w:t>
      </w:r>
      <w:proofErr w:type="spellStart"/>
      <w:r w:rsidR="005941E4" w:rsidRPr="006C68E0">
        <w:rPr>
          <w:sz w:val="20"/>
          <w:szCs w:val="20"/>
        </w:rPr>
        <w:t>nostri</w:t>
      </w:r>
      <w:proofErr w:type="spellEnd"/>
      <w:r w:rsidR="005941E4" w:rsidRPr="006C68E0">
        <w:rPr>
          <w:sz w:val="20"/>
          <w:szCs w:val="20"/>
        </w:rPr>
        <w:t xml:space="preserve"> </w:t>
      </w:r>
      <w:proofErr w:type="spellStart"/>
      <w:r w:rsidR="005941E4" w:rsidRPr="006C68E0">
        <w:rPr>
          <w:sz w:val="20"/>
          <w:szCs w:val="20"/>
        </w:rPr>
        <w:t>provindemiatorem</w:t>
      </w:r>
      <w:proofErr w:type="spellEnd"/>
      <w:r w:rsidR="005941E4" w:rsidRPr="006C68E0">
        <w:rPr>
          <w:sz w:val="20"/>
          <w:szCs w:val="20"/>
        </w:rPr>
        <w:t xml:space="preserve">, </w:t>
      </w:r>
      <w:proofErr w:type="spellStart"/>
      <w:r w:rsidR="005941E4" w:rsidRPr="006C68E0">
        <w:rPr>
          <w:sz w:val="20"/>
          <w:szCs w:val="20"/>
        </w:rPr>
        <w:t>Graeci</w:t>
      </w:r>
      <w:proofErr w:type="spellEnd"/>
      <w:r w:rsidR="005941E4" w:rsidRPr="006C68E0">
        <w:rPr>
          <w:sz w:val="20"/>
          <w:szCs w:val="20"/>
        </w:rPr>
        <w:t xml:space="preserve"> </w:t>
      </w:r>
      <w:proofErr w:type="spellStart"/>
      <w:r w:rsidR="005941E4" w:rsidRPr="006C68E0">
        <w:rPr>
          <w:i/>
          <w:iCs/>
          <w:sz w:val="20"/>
          <w:szCs w:val="20"/>
        </w:rPr>
        <w:t>protrugeten</w:t>
      </w:r>
      <w:proofErr w:type="spellEnd"/>
      <w:r w:rsidR="005941E4" w:rsidRPr="006C68E0">
        <w:rPr>
          <w:sz w:val="20"/>
          <w:szCs w:val="20"/>
        </w:rPr>
        <w:t xml:space="preserve"> </w:t>
      </w:r>
      <w:proofErr w:type="spellStart"/>
      <w:r w:rsidR="005941E4" w:rsidRPr="006C68E0">
        <w:rPr>
          <w:sz w:val="20"/>
          <w:szCs w:val="20"/>
        </w:rPr>
        <w:t>vocant</w:t>
      </w:r>
      <w:proofErr w:type="spellEnd"/>
      <w:r w:rsidR="005941E4" w:rsidRPr="006C68E0">
        <w:rPr>
          <w:sz w:val="20"/>
          <w:szCs w:val="20"/>
        </w:rPr>
        <w:t xml:space="preserve">’. Vitruvius, </w:t>
      </w:r>
      <w:r w:rsidR="005941E4" w:rsidRPr="006C68E0">
        <w:rPr>
          <w:i/>
          <w:iCs/>
          <w:sz w:val="20"/>
          <w:szCs w:val="20"/>
        </w:rPr>
        <w:t xml:space="preserve">De </w:t>
      </w:r>
      <w:proofErr w:type="spellStart"/>
      <w:r w:rsidR="005941E4" w:rsidRPr="006C68E0">
        <w:rPr>
          <w:i/>
          <w:iCs/>
          <w:sz w:val="20"/>
          <w:szCs w:val="20"/>
        </w:rPr>
        <w:t>Architectura</w:t>
      </w:r>
      <w:proofErr w:type="spellEnd"/>
      <w:r w:rsidR="005941E4" w:rsidRPr="006C68E0">
        <w:rPr>
          <w:sz w:val="20"/>
          <w:szCs w:val="20"/>
        </w:rPr>
        <w:t>, 9.4</w:t>
      </w:r>
      <w:r w:rsidR="003A3EF4" w:rsidRPr="006C68E0">
        <w:rPr>
          <w:sz w:val="20"/>
          <w:szCs w:val="20"/>
        </w:rPr>
        <w:t xml:space="preserve">. </w:t>
      </w:r>
      <w:r w:rsidR="00C76CF6" w:rsidRPr="006C68E0">
        <w:rPr>
          <w:sz w:val="20"/>
          <w:szCs w:val="20"/>
        </w:rPr>
        <w:t>For Ovid’s brief reference to ‘</w:t>
      </w:r>
      <w:proofErr w:type="spellStart"/>
      <w:r w:rsidR="00C76CF6" w:rsidRPr="006C68E0">
        <w:rPr>
          <w:sz w:val="20"/>
          <w:szCs w:val="20"/>
        </w:rPr>
        <w:t>Vindemitor</w:t>
      </w:r>
      <w:proofErr w:type="spellEnd"/>
      <w:r w:rsidR="00C76CF6" w:rsidRPr="006C68E0">
        <w:rPr>
          <w:sz w:val="20"/>
          <w:szCs w:val="20"/>
        </w:rPr>
        <w:t xml:space="preserve">’ (‘the Grape Gatherer’), see Ovid, </w:t>
      </w:r>
      <w:r w:rsidR="00C76CF6" w:rsidRPr="006C68E0">
        <w:rPr>
          <w:i/>
          <w:iCs/>
          <w:sz w:val="20"/>
          <w:szCs w:val="20"/>
        </w:rPr>
        <w:t>Fasti</w:t>
      </w:r>
      <w:r w:rsidR="00C76CF6" w:rsidRPr="006C68E0">
        <w:rPr>
          <w:sz w:val="20"/>
          <w:szCs w:val="20"/>
        </w:rPr>
        <w:t>, III.407</w:t>
      </w:r>
    </w:p>
  </w:footnote>
  <w:footnote w:id="88">
    <w:p w14:paraId="1869EFEA" w14:textId="3298C486" w:rsidR="004528B3" w:rsidRPr="004528B3" w:rsidRDefault="004528B3" w:rsidP="00D55A7C">
      <w:pPr>
        <w:pStyle w:val="FootnoteText"/>
        <w:spacing w:line="480" w:lineRule="auto"/>
      </w:pPr>
      <w:r>
        <w:rPr>
          <w:rStyle w:val="FootnoteReference"/>
        </w:rPr>
        <w:footnoteRef/>
      </w:r>
      <w:r>
        <w:t xml:space="preserve"> </w:t>
      </w:r>
      <w:r w:rsidRPr="006C68E0">
        <w:rPr>
          <w:sz w:val="20"/>
          <w:szCs w:val="20"/>
        </w:rPr>
        <w:t>BA MS P. 227 sup., 13</w:t>
      </w:r>
      <w:r w:rsidRPr="006C68E0">
        <w:rPr>
          <w:sz w:val="20"/>
          <w:szCs w:val="20"/>
          <w:vertAlign w:val="superscript"/>
        </w:rPr>
        <w:t>r</w:t>
      </w:r>
      <w:r w:rsidRPr="006C68E0">
        <w:rPr>
          <w:sz w:val="20"/>
          <w:szCs w:val="20"/>
        </w:rPr>
        <w:t>, 51</w:t>
      </w:r>
      <w:r w:rsidRPr="006C68E0">
        <w:rPr>
          <w:sz w:val="20"/>
          <w:szCs w:val="20"/>
          <w:vertAlign w:val="superscript"/>
        </w:rPr>
        <w:t>r–v</w:t>
      </w:r>
      <w:r w:rsidRPr="006C68E0">
        <w:rPr>
          <w:sz w:val="20"/>
          <w:szCs w:val="20"/>
        </w:rPr>
        <w:t xml:space="preserve">; cf. </w:t>
      </w:r>
      <w:proofErr w:type="spellStart"/>
      <w:r w:rsidRPr="006C68E0">
        <w:rPr>
          <w:sz w:val="20"/>
          <w:szCs w:val="20"/>
        </w:rPr>
        <w:t>Dianarchus’s</w:t>
      </w:r>
      <w:proofErr w:type="spellEnd"/>
      <w:r w:rsidRPr="006C68E0">
        <w:rPr>
          <w:sz w:val="20"/>
          <w:szCs w:val="20"/>
        </w:rPr>
        <w:t xml:space="preserve"> </w:t>
      </w:r>
      <w:proofErr w:type="gramStart"/>
      <w:r w:rsidRPr="006C68E0">
        <w:rPr>
          <w:i/>
          <w:iCs/>
          <w:sz w:val="20"/>
          <w:szCs w:val="20"/>
        </w:rPr>
        <w:t>In</w:t>
      </w:r>
      <w:proofErr w:type="gramEnd"/>
      <w:r w:rsidRPr="006C68E0">
        <w:rPr>
          <w:i/>
          <w:iCs/>
          <w:sz w:val="20"/>
          <w:szCs w:val="20"/>
        </w:rPr>
        <w:t xml:space="preserve"> </w:t>
      </w:r>
      <w:proofErr w:type="spellStart"/>
      <w:r w:rsidRPr="006C68E0">
        <w:rPr>
          <w:i/>
          <w:iCs/>
          <w:sz w:val="20"/>
          <w:szCs w:val="20"/>
        </w:rPr>
        <w:t>Demosthenem</w:t>
      </w:r>
      <w:proofErr w:type="spellEnd"/>
      <w:r w:rsidRPr="006C68E0">
        <w:rPr>
          <w:sz w:val="20"/>
          <w:szCs w:val="20"/>
        </w:rPr>
        <w:t>.</w:t>
      </w:r>
      <w:r>
        <w:t xml:space="preserve"> </w:t>
      </w:r>
    </w:p>
  </w:footnote>
  <w:footnote w:id="89">
    <w:p w14:paraId="63F3EA41" w14:textId="498521AC" w:rsidR="003C22A8" w:rsidRDefault="003C22A8" w:rsidP="00D55A7C">
      <w:pPr>
        <w:pStyle w:val="FootnoteText"/>
        <w:spacing w:line="480" w:lineRule="auto"/>
      </w:pPr>
      <w:r>
        <w:rPr>
          <w:rStyle w:val="FootnoteReference"/>
        </w:rPr>
        <w:footnoteRef/>
      </w:r>
      <w:r>
        <w:t xml:space="preserve"> </w:t>
      </w:r>
      <w:r w:rsidRPr="006C68E0">
        <w:rPr>
          <w:sz w:val="20"/>
          <w:szCs w:val="20"/>
        </w:rPr>
        <w:t>BA MS P. 227 sup., 12</w:t>
      </w:r>
      <w:r w:rsidRPr="006C68E0">
        <w:rPr>
          <w:sz w:val="20"/>
          <w:szCs w:val="20"/>
          <w:vertAlign w:val="superscript"/>
        </w:rPr>
        <w:t>v</w:t>
      </w:r>
    </w:p>
  </w:footnote>
  <w:footnote w:id="90">
    <w:p w14:paraId="3FE0CBFF" w14:textId="77777777" w:rsidR="001F5321" w:rsidRDefault="001F5321" w:rsidP="00D55A7C">
      <w:pPr>
        <w:pStyle w:val="FootnoteText"/>
        <w:spacing w:line="480" w:lineRule="auto"/>
      </w:pPr>
      <w:r>
        <w:rPr>
          <w:rStyle w:val="FootnoteReference"/>
        </w:rPr>
        <w:footnoteRef/>
      </w:r>
      <w:r>
        <w:t xml:space="preserve"> </w:t>
      </w:r>
      <w:proofErr w:type="spellStart"/>
      <w:r w:rsidRPr="006C68E0">
        <w:rPr>
          <w:sz w:val="20"/>
          <w:szCs w:val="20"/>
        </w:rPr>
        <w:t>Géminos</w:t>
      </w:r>
      <w:proofErr w:type="spellEnd"/>
      <w:r w:rsidRPr="006C68E0">
        <w:rPr>
          <w:sz w:val="20"/>
          <w:szCs w:val="20"/>
        </w:rPr>
        <w:t xml:space="preserve"> (1975) xci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3A9E"/>
    <w:multiLevelType w:val="hybridMultilevel"/>
    <w:tmpl w:val="8F7ACC6C"/>
    <w:lvl w:ilvl="0" w:tplc="81CA972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C6331"/>
    <w:multiLevelType w:val="hybridMultilevel"/>
    <w:tmpl w:val="E3CCC7B8"/>
    <w:lvl w:ilvl="0" w:tplc="1C36C14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11757"/>
    <w:multiLevelType w:val="hybridMultilevel"/>
    <w:tmpl w:val="85E07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023368">
    <w:abstractNumId w:val="2"/>
  </w:num>
  <w:num w:numId="2" w16cid:durableId="916743641">
    <w:abstractNumId w:val="0"/>
  </w:num>
  <w:num w:numId="3" w16cid:durableId="107088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95"/>
    <w:rsid w:val="0000080D"/>
    <w:rsid w:val="00001297"/>
    <w:rsid w:val="0000407F"/>
    <w:rsid w:val="000064BD"/>
    <w:rsid w:val="00007464"/>
    <w:rsid w:val="00010851"/>
    <w:rsid w:val="000116EB"/>
    <w:rsid w:val="00012619"/>
    <w:rsid w:val="00014ED8"/>
    <w:rsid w:val="00015966"/>
    <w:rsid w:val="00015CEA"/>
    <w:rsid w:val="00016207"/>
    <w:rsid w:val="00016637"/>
    <w:rsid w:val="00027F9E"/>
    <w:rsid w:val="000361F9"/>
    <w:rsid w:val="00037B9F"/>
    <w:rsid w:val="00037E95"/>
    <w:rsid w:val="0004048A"/>
    <w:rsid w:val="0004445E"/>
    <w:rsid w:val="000459FF"/>
    <w:rsid w:val="0004752B"/>
    <w:rsid w:val="00052A53"/>
    <w:rsid w:val="0005369B"/>
    <w:rsid w:val="00053CEB"/>
    <w:rsid w:val="0005729C"/>
    <w:rsid w:val="00060762"/>
    <w:rsid w:val="000616FE"/>
    <w:rsid w:val="00061CFF"/>
    <w:rsid w:val="00061DE0"/>
    <w:rsid w:val="00061EA0"/>
    <w:rsid w:val="000620F0"/>
    <w:rsid w:val="00062AEA"/>
    <w:rsid w:val="000647E8"/>
    <w:rsid w:val="000659B8"/>
    <w:rsid w:val="00066075"/>
    <w:rsid w:val="00070AB1"/>
    <w:rsid w:val="00072A46"/>
    <w:rsid w:val="00073B0D"/>
    <w:rsid w:val="00080742"/>
    <w:rsid w:val="00082C27"/>
    <w:rsid w:val="00083F49"/>
    <w:rsid w:val="00084EF9"/>
    <w:rsid w:val="0009003B"/>
    <w:rsid w:val="00090A6A"/>
    <w:rsid w:val="00093E06"/>
    <w:rsid w:val="00095554"/>
    <w:rsid w:val="000977E4"/>
    <w:rsid w:val="000978F4"/>
    <w:rsid w:val="000A0FC4"/>
    <w:rsid w:val="000A1B80"/>
    <w:rsid w:val="000A3C1C"/>
    <w:rsid w:val="000A3F0E"/>
    <w:rsid w:val="000A4CE1"/>
    <w:rsid w:val="000A6E3A"/>
    <w:rsid w:val="000A7A57"/>
    <w:rsid w:val="000B11DB"/>
    <w:rsid w:val="000B1318"/>
    <w:rsid w:val="000B33EC"/>
    <w:rsid w:val="000B4651"/>
    <w:rsid w:val="000B4965"/>
    <w:rsid w:val="000B52F0"/>
    <w:rsid w:val="000B56C3"/>
    <w:rsid w:val="000B6345"/>
    <w:rsid w:val="000C05C9"/>
    <w:rsid w:val="000C0D17"/>
    <w:rsid w:val="000C1063"/>
    <w:rsid w:val="000C780A"/>
    <w:rsid w:val="000D0983"/>
    <w:rsid w:val="000D1886"/>
    <w:rsid w:val="000D5CC2"/>
    <w:rsid w:val="000D5D97"/>
    <w:rsid w:val="000D5DF5"/>
    <w:rsid w:val="000D78FF"/>
    <w:rsid w:val="000E17DC"/>
    <w:rsid w:val="000E1F5B"/>
    <w:rsid w:val="000E3050"/>
    <w:rsid w:val="000E4754"/>
    <w:rsid w:val="000E48E5"/>
    <w:rsid w:val="000E4A27"/>
    <w:rsid w:val="000E7653"/>
    <w:rsid w:val="000F253D"/>
    <w:rsid w:val="000F3393"/>
    <w:rsid w:val="000F78F4"/>
    <w:rsid w:val="001006AF"/>
    <w:rsid w:val="00100B85"/>
    <w:rsid w:val="0010263C"/>
    <w:rsid w:val="0010338A"/>
    <w:rsid w:val="00103CAD"/>
    <w:rsid w:val="00104BD5"/>
    <w:rsid w:val="001054E4"/>
    <w:rsid w:val="0010593B"/>
    <w:rsid w:val="0010642E"/>
    <w:rsid w:val="00106EC1"/>
    <w:rsid w:val="00110828"/>
    <w:rsid w:val="00110BC7"/>
    <w:rsid w:val="001111A9"/>
    <w:rsid w:val="00112E43"/>
    <w:rsid w:val="00113002"/>
    <w:rsid w:val="001135C8"/>
    <w:rsid w:val="00113951"/>
    <w:rsid w:val="00114059"/>
    <w:rsid w:val="001143F5"/>
    <w:rsid w:val="001168CE"/>
    <w:rsid w:val="00116EA0"/>
    <w:rsid w:val="00121555"/>
    <w:rsid w:val="0012292F"/>
    <w:rsid w:val="00122D7F"/>
    <w:rsid w:val="00124D79"/>
    <w:rsid w:val="00125FC0"/>
    <w:rsid w:val="00137F96"/>
    <w:rsid w:val="001434DE"/>
    <w:rsid w:val="00143684"/>
    <w:rsid w:val="00145650"/>
    <w:rsid w:val="00146109"/>
    <w:rsid w:val="00147018"/>
    <w:rsid w:val="00151232"/>
    <w:rsid w:val="00151332"/>
    <w:rsid w:val="001514C0"/>
    <w:rsid w:val="001525C4"/>
    <w:rsid w:val="00153E7F"/>
    <w:rsid w:val="00154CC7"/>
    <w:rsid w:val="00154DB1"/>
    <w:rsid w:val="00160A1A"/>
    <w:rsid w:val="00162919"/>
    <w:rsid w:val="00164244"/>
    <w:rsid w:val="0017230C"/>
    <w:rsid w:val="00173DFE"/>
    <w:rsid w:val="0017414E"/>
    <w:rsid w:val="00180328"/>
    <w:rsid w:val="00180EAF"/>
    <w:rsid w:val="001811AA"/>
    <w:rsid w:val="00181390"/>
    <w:rsid w:val="00183175"/>
    <w:rsid w:val="00183FB7"/>
    <w:rsid w:val="0018513E"/>
    <w:rsid w:val="00193B2F"/>
    <w:rsid w:val="00195841"/>
    <w:rsid w:val="00196F8B"/>
    <w:rsid w:val="001975DD"/>
    <w:rsid w:val="00197C2B"/>
    <w:rsid w:val="00197F95"/>
    <w:rsid w:val="001A0D20"/>
    <w:rsid w:val="001A38F3"/>
    <w:rsid w:val="001A3A69"/>
    <w:rsid w:val="001A5F50"/>
    <w:rsid w:val="001A6DE2"/>
    <w:rsid w:val="001B0D2A"/>
    <w:rsid w:val="001B255A"/>
    <w:rsid w:val="001B328D"/>
    <w:rsid w:val="001B3556"/>
    <w:rsid w:val="001B696A"/>
    <w:rsid w:val="001C3C48"/>
    <w:rsid w:val="001C604F"/>
    <w:rsid w:val="001D0A28"/>
    <w:rsid w:val="001D3A1C"/>
    <w:rsid w:val="001D61E2"/>
    <w:rsid w:val="001D7E33"/>
    <w:rsid w:val="001E0EFD"/>
    <w:rsid w:val="001E3A9C"/>
    <w:rsid w:val="001E3C75"/>
    <w:rsid w:val="001E6D54"/>
    <w:rsid w:val="001E751E"/>
    <w:rsid w:val="001E7BB7"/>
    <w:rsid w:val="001F0C1B"/>
    <w:rsid w:val="001F12EA"/>
    <w:rsid w:val="001F15D7"/>
    <w:rsid w:val="001F25A4"/>
    <w:rsid w:val="001F436A"/>
    <w:rsid w:val="001F4FD5"/>
    <w:rsid w:val="001F5321"/>
    <w:rsid w:val="001F72A4"/>
    <w:rsid w:val="001F75B4"/>
    <w:rsid w:val="001F7B61"/>
    <w:rsid w:val="00201B21"/>
    <w:rsid w:val="00202805"/>
    <w:rsid w:val="00204962"/>
    <w:rsid w:val="00204E54"/>
    <w:rsid w:val="0020527A"/>
    <w:rsid w:val="00206D93"/>
    <w:rsid w:val="00206EED"/>
    <w:rsid w:val="00215B7E"/>
    <w:rsid w:val="00226F33"/>
    <w:rsid w:val="002270C7"/>
    <w:rsid w:val="00231646"/>
    <w:rsid w:val="00231735"/>
    <w:rsid w:val="00231D1F"/>
    <w:rsid w:val="00234B2C"/>
    <w:rsid w:val="00236603"/>
    <w:rsid w:val="00240C9D"/>
    <w:rsid w:val="0024309B"/>
    <w:rsid w:val="0024372C"/>
    <w:rsid w:val="00244CCB"/>
    <w:rsid w:val="002507A5"/>
    <w:rsid w:val="00250DA6"/>
    <w:rsid w:val="002514C3"/>
    <w:rsid w:val="00251FE5"/>
    <w:rsid w:val="00252A65"/>
    <w:rsid w:val="00252BAF"/>
    <w:rsid w:val="0025690A"/>
    <w:rsid w:val="00261338"/>
    <w:rsid w:val="00263CF6"/>
    <w:rsid w:val="00270DA5"/>
    <w:rsid w:val="002714CD"/>
    <w:rsid w:val="00271758"/>
    <w:rsid w:val="00271BB5"/>
    <w:rsid w:val="00272E50"/>
    <w:rsid w:val="002730AC"/>
    <w:rsid w:val="00275FCA"/>
    <w:rsid w:val="00276919"/>
    <w:rsid w:val="00276E25"/>
    <w:rsid w:val="00280485"/>
    <w:rsid w:val="00281F56"/>
    <w:rsid w:val="00287032"/>
    <w:rsid w:val="00291FB6"/>
    <w:rsid w:val="00292183"/>
    <w:rsid w:val="002923FE"/>
    <w:rsid w:val="00292B34"/>
    <w:rsid w:val="0029653E"/>
    <w:rsid w:val="0029684E"/>
    <w:rsid w:val="002A259C"/>
    <w:rsid w:val="002A6AAE"/>
    <w:rsid w:val="002A7B32"/>
    <w:rsid w:val="002A7DBA"/>
    <w:rsid w:val="002B0458"/>
    <w:rsid w:val="002B15B1"/>
    <w:rsid w:val="002B167A"/>
    <w:rsid w:val="002B196A"/>
    <w:rsid w:val="002B2148"/>
    <w:rsid w:val="002B220B"/>
    <w:rsid w:val="002C0D53"/>
    <w:rsid w:val="002C1AF5"/>
    <w:rsid w:val="002C1DE5"/>
    <w:rsid w:val="002C448C"/>
    <w:rsid w:val="002C53E8"/>
    <w:rsid w:val="002D2FF5"/>
    <w:rsid w:val="002D305A"/>
    <w:rsid w:val="002D57C9"/>
    <w:rsid w:val="002D7ADC"/>
    <w:rsid w:val="002D7FCF"/>
    <w:rsid w:val="002E5772"/>
    <w:rsid w:val="002E6AD2"/>
    <w:rsid w:val="002F458F"/>
    <w:rsid w:val="002F5519"/>
    <w:rsid w:val="002F6405"/>
    <w:rsid w:val="002F729B"/>
    <w:rsid w:val="00302EF7"/>
    <w:rsid w:val="00303751"/>
    <w:rsid w:val="00303944"/>
    <w:rsid w:val="00304F3F"/>
    <w:rsid w:val="003051FB"/>
    <w:rsid w:val="00305CC0"/>
    <w:rsid w:val="0030710A"/>
    <w:rsid w:val="00307302"/>
    <w:rsid w:val="00315B96"/>
    <w:rsid w:val="00316190"/>
    <w:rsid w:val="003161B9"/>
    <w:rsid w:val="00316384"/>
    <w:rsid w:val="00317EEA"/>
    <w:rsid w:val="00320E38"/>
    <w:rsid w:val="00322A6A"/>
    <w:rsid w:val="00323EC2"/>
    <w:rsid w:val="00324F7E"/>
    <w:rsid w:val="00330833"/>
    <w:rsid w:val="00332572"/>
    <w:rsid w:val="00332A18"/>
    <w:rsid w:val="0033657B"/>
    <w:rsid w:val="0033723D"/>
    <w:rsid w:val="0033739B"/>
    <w:rsid w:val="00337A8F"/>
    <w:rsid w:val="003410D2"/>
    <w:rsid w:val="0034462F"/>
    <w:rsid w:val="00344A8D"/>
    <w:rsid w:val="00347FDB"/>
    <w:rsid w:val="00351CCD"/>
    <w:rsid w:val="00352AD8"/>
    <w:rsid w:val="00353D71"/>
    <w:rsid w:val="00354A5D"/>
    <w:rsid w:val="003553D1"/>
    <w:rsid w:val="00355526"/>
    <w:rsid w:val="003571EB"/>
    <w:rsid w:val="00357830"/>
    <w:rsid w:val="00364704"/>
    <w:rsid w:val="0036778F"/>
    <w:rsid w:val="003717A3"/>
    <w:rsid w:val="00371CC3"/>
    <w:rsid w:val="00372569"/>
    <w:rsid w:val="0037322E"/>
    <w:rsid w:val="003760CD"/>
    <w:rsid w:val="00376C09"/>
    <w:rsid w:val="00376FD1"/>
    <w:rsid w:val="00377E68"/>
    <w:rsid w:val="0038232F"/>
    <w:rsid w:val="0038267A"/>
    <w:rsid w:val="00382F86"/>
    <w:rsid w:val="003851C8"/>
    <w:rsid w:val="0039083B"/>
    <w:rsid w:val="00392A16"/>
    <w:rsid w:val="0039570C"/>
    <w:rsid w:val="00397442"/>
    <w:rsid w:val="003975AC"/>
    <w:rsid w:val="003A1689"/>
    <w:rsid w:val="003A3EF4"/>
    <w:rsid w:val="003A59DE"/>
    <w:rsid w:val="003A72C8"/>
    <w:rsid w:val="003A765E"/>
    <w:rsid w:val="003A7809"/>
    <w:rsid w:val="003B117D"/>
    <w:rsid w:val="003B14CC"/>
    <w:rsid w:val="003B2EAD"/>
    <w:rsid w:val="003B3D0F"/>
    <w:rsid w:val="003B4DAF"/>
    <w:rsid w:val="003C0000"/>
    <w:rsid w:val="003C0FFE"/>
    <w:rsid w:val="003C22A8"/>
    <w:rsid w:val="003C3350"/>
    <w:rsid w:val="003C373C"/>
    <w:rsid w:val="003C3C4B"/>
    <w:rsid w:val="003C57FB"/>
    <w:rsid w:val="003D26DF"/>
    <w:rsid w:val="003D2892"/>
    <w:rsid w:val="003D2D7A"/>
    <w:rsid w:val="003D69D7"/>
    <w:rsid w:val="003D6F13"/>
    <w:rsid w:val="003D7F29"/>
    <w:rsid w:val="003E0F99"/>
    <w:rsid w:val="003E156B"/>
    <w:rsid w:val="003E1B73"/>
    <w:rsid w:val="003E1B8F"/>
    <w:rsid w:val="003E2E70"/>
    <w:rsid w:val="003E3663"/>
    <w:rsid w:val="003E4516"/>
    <w:rsid w:val="003F0C32"/>
    <w:rsid w:val="003F361E"/>
    <w:rsid w:val="0040011F"/>
    <w:rsid w:val="00401C8C"/>
    <w:rsid w:val="00405F4B"/>
    <w:rsid w:val="00406324"/>
    <w:rsid w:val="00411790"/>
    <w:rsid w:val="00411EC1"/>
    <w:rsid w:val="00412E29"/>
    <w:rsid w:val="0041346A"/>
    <w:rsid w:val="0041398F"/>
    <w:rsid w:val="00413EBD"/>
    <w:rsid w:val="00416F76"/>
    <w:rsid w:val="0041725D"/>
    <w:rsid w:val="004215F8"/>
    <w:rsid w:val="00422949"/>
    <w:rsid w:val="004242AD"/>
    <w:rsid w:val="00424C74"/>
    <w:rsid w:val="00426748"/>
    <w:rsid w:val="00427CFB"/>
    <w:rsid w:val="00427E41"/>
    <w:rsid w:val="00431823"/>
    <w:rsid w:val="00432D00"/>
    <w:rsid w:val="00432F0D"/>
    <w:rsid w:val="00433593"/>
    <w:rsid w:val="004361D2"/>
    <w:rsid w:val="00437E5A"/>
    <w:rsid w:val="00442425"/>
    <w:rsid w:val="00442937"/>
    <w:rsid w:val="00443960"/>
    <w:rsid w:val="004460FF"/>
    <w:rsid w:val="00446A94"/>
    <w:rsid w:val="00447122"/>
    <w:rsid w:val="00450814"/>
    <w:rsid w:val="00450FC3"/>
    <w:rsid w:val="004528B3"/>
    <w:rsid w:val="0045293B"/>
    <w:rsid w:val="004533AE"/>
    <w:rsid w:val="00454ACA"/>
    <w:rsid w:val="0045726B"/>
    <w:rsid w:val="004609CA"/>
    <w:rsid w:val="00461688"/>
    <w:rsid w:val="00461977"/>
    <w:rsid w:val="0046241B"/>
    <w:rsid w:val="0046430D"/>
    <w:rsid w:val="00464FBB"/>
    <w:rsid w:val="00465E73"/>
    <w:rsid w:val="0047324E"/>
    <w:rsid w:val="00473945"/>
    <w:rsid w:val="00480C68"/>
    <w:rsid w:val="00483A11"/>
    <w:rsid w:val="004856C9"/>
    <w:rsid w:val="00485749"/>
    <w:rsid w:val="0048734A"/>
    <w:rsid w:val="00487F00"/>
    <w:rsid w:val="00490FB8"/>
    <w:rsid w:val="00492AF7"/>
    <w:rsid w:val="004933EA"/>
    <w:rsid w:val="00493606"/>
    <w:rsid w:val="00493706"/>
    <w:rsid w:val="004A0006"/>
    <w:rsid w:val="004A0517"/>
    <w:rsid w:val="004A0701"/>
    <w:rsid w:val="004A0FAC"/>
    <w:rsid w:val="004B4958"/>
    <w:rsid w:val="004B7069"/>
    <w:rsid w:val="004C109D"/>
    <w:rsid w:val="004C4D7D"/>
    <w:rsid w:val="004C5CFB"/>
    <w:rsid w:val="004C65CB"/>
    <w:rsid w:val="004C7275"/>
    <w:rsid w:val="004D54A7"/>
    <w:rsid w:val="004E0A66"/>
    <w:rsid w:val="004E6FB2"/>
    <w:rsid w:val="004E7D23"/>
    <w:rsid w:val="004F07A1"/>
    <w:rsid w:val="004F39DE"/>
    <w:rsid w:val="004F42E8"/>
    <w:rsid w:val="004F4FB2"/>
    <w:rsid w:val="00500694"/>
    <w:rsid w:val="00505B5C"/>
    <w:rsid w:val="00506B77"/>
    <w:rsid w:val="005132E2"/>
    <w:rsid w:val="005141DC"/>
    <w:rsid w:val="0051574C"/>
    <w:rsid w:val="00515E38"/>
    <w:rsid w:val="00517354"/>
    <w:rsid w:val="00521933"/>
    <w:rsid w:val="0052594F"/>
    <w:rsid w:val="00526D0B"/>
    <w:rsid w:val="00530732"/>
    <w:rsid w:val="00530C9A"/>
    <w:rsid w:val="0053148C"/>
    <w:rsid w:val="00531DBB"/>
    <w:rsid w:val="00532630"/>
    <w:rsid w:val="005327AA"/>
    <w:rsid w:val="005355A1"/>
    <w:rsid w:val="005376A0"/>
    <w:rsid w:val="00541764"/>
    <w:rsid w:val="00542521"/>
    <w:rsid w:val="00544B84"/>
    <w:rsid w:val="00545921"/>
    <w:rsid w:val="00546953"/>
    <w:rsid w:val="005469B6"/>
    <w:rsid w:val="005474E3"/>
    <w:rsid w:val="005478C3"/>
    <w:rsid w:val="00551D1F"/>
    <w:rsid w:val="005555BA"/>
    <w:rsid w:val="00556DC0"/>
    <w:rsid w:val="00556E41"/>
    <w:rsid w:val="00557FE5"/>
    <w:rsid w:val="00561F0A"/>
    <w:rsid w:val="005630C7"/>
    <w:rsid w:val="00563A05"/>
    <w:rsid w:val="00564395"/>
    <w:rsid w:val="00567639"/>
    <w:rsid w:val="005716D7"/>
    <w:rsid w:val="005721BE"/>
    <w:rsid w:val="00576CDC"/>
    <w:rsid w:val="00583461"/>
    <w:rsid w:val="0058364E"/>
    <w:rsid w:val="0058557C"/>
    <w:rsid w:val="00586809"/>
    <w:rsid w:val="005932CE"/>
    <w:rsid w:val="0059416C"/>
    <w:rsid w:val="005941E4"/>
    <w:rsid w:val="005A1109"/>
    <w:rsid w:val="005A15AD"/>
    <w:rsid w:val="005A3D12"/>
    <w:rsid w:val="005B0E68"/>
    <w:rsid w:val="005B1956"/>
    <w:rsid w:val="005B1A04"/>
    <w:rsid w:val="005B4296"/>
    <w:rsid w:val="005B43EB"/>
    <w:rsid w:val="005B474E"/>
    <w:rsid w:val="005B4EDA"/>
    <w:rsid w:val="005B5326"/>
    <w:rsid w:val="005B5457"/>
    <w:rsid w:val="005B65E3"/>
    <w:rsid w:val="005C095B"/>
    <w:rsid w:val="005C1D7E"/>
    <w:rsid w:val="005C2DAA"/>
    <w:rsid w:val="005C2DFD"/>
    <w:rsid w:val="005C5028"/>
    <w:rsid w:val="005C5AC1"/>
    <w:rsid w:val="005D2287"/>
    <w:rsid w:val="005D3EB0"/>
    <w:rsid w:val="005D4A0A"/>
    <w:rsid w:val="005D5523"/>
    <w:rsid w:val="005D5F8E"/>
    <w:rsid w:val="005E0C29"/>
    <w:rsid w:val="005E3625"/>
    <w:rsid w:val="005E436C"/>
    <w:rsid w:val="005E73BC"/>
    <w:rsid w:val="005F1171"/>
    <w:rsid w:val="005F1A11"/>
    <w:rsid w:val="005F2833"/>
    <w:rsid w:val="005F2EE3"/>
    <w:rsid w:val="005F5A8B"/>
    <w:rsid w:val="005F6680"/>
    <w:rsid w:val="005F66AD"/>
    <w:rsid w:val="00601823"/>
    <w:rsid w:val="00601B17"/>
    <w:rsid w:val="00606867"/>
    <w:rsid w:val="00607EC9"/>
    <w:rsid w:val="00607FE0"/>
    <w:rsid w:val="00614718"/>
    <w:rsid w:val="006163F6"/>
    <w:rsid w:val="00616C8F"/>
    <w:rsid w:val="00617A45"/>
    <w:rsid w:val="00620074"/>
    <w:rsid w:val="00620B6D"/>
    <w:rsid w:val="006211DD"/>
    <w:rsid w:val="00624016"/>
    <w:rsid w:val="00626B18"/>
    <w:rsid w:val="00627639"/>
    <w:rsid w:val="00631326"/>
    <w:rsid w:val="006319D3"/>
    <w:rsid w:val="00631A7B"/>
    <w:rsid w:val="006371E4"/>
    <w:rsid w:val="0064213C"/>
    <w:rsid w:val="006424BF"/>
    <w:rsid w:val="0064608E"/>
    <w:rsid w:val="00647DE4"/>
    <w:rsid w:val="00651335"/>
    <w:rsid w:val="00651356"/>
    <w:rsid w:val="00651E01"/>
    <w:rsid w:val="00652497"/>
    <w:rsid w:val="00652863"/>
    <w:rsid w:val="00661454"/>
    <w:rsid w:val="00665DC8"/>
    <w:rsid w:val="0067158C"/>
    <w:rsid w:val="00675567"/>
    <w:rsid w:val="00675D17"/>
    <w:rsid w:val="006777EE"/>
    <w:rsid w:val="00681E62"/>
    <w:rsid w:val="006839CE"/>
    <w:rsid w:val="00684A8C"/>
    <w:rsid w:val="00685C41"/>
    <w:rsid w:val="00686FDC"/>
    <w:rsid w:val="006921B8"/>
    <w:rsid w:val="00692ADD"/>
    <w:rsid w:val="0069333A"/>
    <w:rsid w:val="0069594F"/>
    <w:rsid w:val="00696308"/>
    <w:rsid w:val="00696963"/>
    <w:rsid w:val="00697113"/>
    <w:rsid w:val="0069738F"/>
    <w:rsid w:val="006A2242"/>
    <w:rsid w:val="006A3219"/>
    <w:rsid w:val="006A3843"/>
    <w:rsid w:val="006A4C5F"/>
    <w:rsid w:val="006A6193"/>
    <w:rsid w:val="006A7268"/>
    <w:rsid w:val="006A7E3C"/>
    <w:rsid w:val="006B2482"/>
    <w:rsid w:val="006B305E"/>
    <w:rsid w:val="006B4332"/>
    <w:rsid w:val="006B5270"/>
    <w:rsid w:val="006B55BF"/>
    <w:rsid w:val="006B5777"/>
    <w:rsid w:val="006C2883"/>
    <w:rsid w:val="006C3611"/>
    <w:rsid w:val="006C5E5D"/>
    <w:rsid w:val="006C68E0"/>
    <w:rsid w:val="006C75AD"/>
    <w:rsid w:val="006D1165"/>
    <w:rsid w:val="006D2F9B"/>
    <w:rsid w:val="006D71D0"/>
    <w:rsid w:val="006E32A7"/>
    <w:rsid w:val="006F1CE5"/>
    <w:rsid w:val="006F279C"/>
    <w:rsid w:val="006F7FA5"/>
    <w:rsid w:val="0070162D"/>
    <w:rsid w:val="0070194E"/>
    <w:rsid w:val="00702B76"/>
    <w:rsid w:val="00703172"/>
    <w:rsid w:val="0071020A"/>
    <w:rsid w:val="00711194"/>
    <w:rsid w:val="007129E9"/>
    <w:rsid w:val="00713A7D"/>
    <w:rsid w:val="0071552E"/>
    <w:rsid w:val="00717015"/>
    <w:rsid w:val="0072104D"/>
    <w:rsid w:val="00721118"/>
    <w:rsid w:val="00721129"/>
    <w:rsid w:val="00722C9A"/>
    <w:rsid w:val="00727012"/>
    <w:rsid w:val="00730D09"/>
    <w:rsid w:val="00731571"/>
    <w:rsid w:val="00736DEB"/>
    <w:rsid w:val="007405F0"/>
    <w:rsid w:val="0074289A"/>
    <w:rsid w:val="0074410B"/>
    <w:rsid w:val="00745C31"/>
    <w:rsid w:val="007476CC"/>
    <w:rsid w:val="00747C55"/>
    <w:rsid w:val="00747E1A"/>
    <w:rsid w:val="0075025A"/>
    <w:rsid w:val="0075041B"/>
    <w:rsid w:val="00751992"/>
    <w:rsid w:val="007528DE"/>
    <w:rsid w:val="007544ED"/>
    <w:rsid w:val="00756688"/>
    <w:rsid w:val="007611D9"/>
    <w:rsid w:val="0076365E"/>
    <w:rsid w:val="00764AE9"/>
    <w:rsid w:val="00764C89"/>
    <w:rsid w:val="00764D6F"/>
    <w:rsid w:val="00765DEC"/>
    <w:rsid w:val="007667AF"/>
    <w:rsid w:val="007703B2"/>
    <w:rsid w:val="007707A9"/>
    <w:rsid w:val="00770BEB"/>
    <w:rsid w:val="00771B83"/>
    <w:rsid w:val="0077271E"/>
    <w:rsid w:val="00772CEF"/>
    <w:rsid w:val="0078064E"/>
    <w:rsid w:val="00781F1A"/>
    <w:rsid w:val="00782811"/>
    <w:rsid w:val="00784D9E"/>
    <w:rsid w:val="00787BD9"/>
    <w:rsid w:val="0079063A"/>
    <w:rsid w:val="00790C36"/>
    <w:rsid w:val="007926D8"/>
    <w:rsid w:val="007928C1"/>
    <w:rsid w:val="00792B18"/>
    <w:rsid w:val="007937E3"/>
    <w:rsid w:val="00793C8C"/>
    <w:rsid w:val="00794F9F"/>
    <w:rsid w:val="0079527B"/>
    <w:rsid w:val="00795E62"/>
    <w:rsid w:val="00796A8F"/>
    <w:rsid w:val="00796BC0"/>
    <w:rsid w:val="00797303"/>
    <w:rsid w:val="007A18A3"/>
    <w:rsid w:val="007A1F96"/>
    <w:rsid w:val="007A53E4"/>
    <w:rsid w:val="007A54E0"/>
    <w:rsid w:val="007B01D2"/>
    <w:rsid w:val="007B06DC"/>
    <w:rsid w:val="007B1625"/>
    <w:rsid w:val="007B2A15"/>
    <w:rsid w:val="007B2C77"/>
    <w:rsid w:val="007B63E2"/>
    <w:rsid w:val="007B6608"/>
    <w:rsid w:val="007B6BDA"/>
    <w:rsid w:val="007B6EAD"/>
    <w:rsid w:val="007C0A8E"/>
    <w:rsid w:val="007C2380"/>
    <w:rsid w:val="007C39EA"/>
    <w:rsid w:val="007C53E6"/>
    <w:rsid w:val="007C60F9"/>
    <w:rsid w:val="007C7B77"/>
    <w:rsid w:val="007D288F"/>
    <w:rsid w:val="007D47EE"/>
    <w:rsid w:val="007D6C6B"/>
    <w:rsid w:val="007D7283"/>
    <w:rsid w:val="007E0164"/>
    <w:rsid w:val="007E6501"/>
    <w:rsid w:val="007E6D04"/>
    <w:rsid w:val="007E751D"/>
    <w:rsid w:val="007F1E35"/>
    <w:rsid w:val="00801444"/>
    <w:rsid w:val="0080236C"/>
    <w:rsid w:val="00802BAC"/>
    <w:rsid w:val="008060B8"/>
    <w:rsid w:val="008077D0"/>
    <w:rsid w:val="0081077D"/>
    <w:rsid w:val="00811311"/>
    <w:rsid w:val="00811879"/>
    <w:rsid w:val="00811BAB"/>
    <w:rsid w:val="00813541"/>
    <w:rsid w:val="008146B5"/>
    <w:rsid w:val="008152DB"/>
    <w:rsid w:val="008164B7"/>
    <w:rsid w:val="00816BD7"/>
    <w:rsid w:val="00822F98"/>
    <w:rsid w:val="0082409C"/>
    <w:rsid w:val="00824802"/>
    <w:rsid w:val="00824D4F"/>
    <w:rsid w:val="0082540E"/>
    <w:rsid w:val="008261BE"/>
    <w:rsid w:val="00826409"/>
    <w:rsid w:val="00831AB3"/>
    <w:rsid w:val="008354C1"/>
    <w:rsid w:val="008441BE"/>
    <w:rsid w:val="00844433"/>
    <w:rsid w:val="00844D59"/>
    <w:rsid w:val="00845510"/>
    <w:rsid w:val="008457FB"/>
    <w:rsid w:val="008471BD"/>
    <w:rsid w:val="00850B65"/>
    <w:rsid w:val="008511E2"/>
    <w:rsid w:val="00851F63"/>
    <w:rsid w:val="00852A8B"/>
    <w:rsid w:val="00852AF8"/>
    <w:rsid w:val="00854D12"/>
    <w:rsid w:val="00854F8F"/>
    <w:rsid w:val="00854FA2"/>
    <w:rsid w:val="00855DE6"/>
    <w:rsid w:val="00857C78"/>
    <w:rsid w:val="00861322"/>
    <w:rsid w:val="00862A8C"/>
    <w:rsid w:val="0086311F"/>
    <w:rsid w:val="00865AA7"/>
    <w:rsid w:val="00865DE3"/>
    <w:rsid w:val="0087152E"/>
    <w:rsid w:val="00871A5A"/>
    <w:rsid w:val="00874D06"/>
    <w:rsid w:val="008771DC"/>
    <w:rsid w:val="00883B8A"/>
    <w:rsid w:val="00885D00"/>
    <w:rsid w:val="00891BA0"/>
    <w:rsid w:val="008922C2"/>
    <w:rsid w:val="00892E89"/>
    <w:rsid w:val="00893C51"/>
    <w:rsid w:val="008971E1"/>
    <w:rsid w:val="00897EFD"/>
    <w:rsid w:val="008A208B"/>
    <w:rsid w:val="008A2DBF"/>
    <w:rsid w:val="008A6255"/>
    <w:rsid w:val="008A68E3"/>
    <w:rsid w:val="008A7C5C"/>
    <w:rsid w:val="008B0376"/>
    <w:rsid w:val="008B4688"/>
    <w:rsid w:val="008B5650"/>
    <w:rsid w:val="008B6A3F"/>
    <w:rsid w:val="008C441D"/>
    <w:rsid w:val="008C536B"/>
    <w:rsid w:val="008C7574"/>
    <w:rsid w:val="008C7BAA"/>
    <w:rsid w:val="008D1AC4"/>
    <w:rsid w:val="008D2452"/>
    <w:rsid w:val="008D3ED4"/>
    <w:rsid w:val="008D4708"/>
    <w:rsid w:val="008D4CC0"/>
    <w:rsid w:val="008D5884"/>
    <w:rsid w:val="008D58EE"/>
    <w:rsid w:val="008D77F5"/>
    <w:rsid w:val="008E28AC"/>
    <w:rsid w:val="008E41C0"/>
    <w:rsid w:val="008E48D9"/>
    <w:rsid w:val="008E7AE4"/>
    <w:rsid w:val="008F0A51"/>
    <w:rsid w:val="008F1F30"/>
    <w:rsid w:val="008F2770"/>
    <w:rsid w:val="008F7F4D"/>
    <w:rsid w:val="00902233"/>
    <w:rsid w:val="009030FB"/>
    <w:rsid w:val="00903D19"/>
    <w:rsid w:val="00905E6E"/>
    <w:rsid w:val="00910209"/>
    <w:rsid w:val="00910622"/>
    <w:rsid w:val="00914DFC"/>
    <w:rsid w:val="00914F7A"/>
    <w:rsid w:val="00916269"/>
    <w:rsid w:val="00916D20"/>
    <w:rsid w:val="00917EA0"/>
    <w:rsid w:val="00923965"/>
    <w:rsid w:val="0092597F"/>
    <w:rsid w:val="00930577"/>
    <w:rsid w:val="00930A5D"/>
    <w:rsid w:val="00931288"/>
    <w:rsid w:val="00933A5A"/>
    <w:rsid w:val="0093788D"/>
    <w:rsid w:val="009414B6"/>
    <w:rsid w:val="00943E5E"/>
    <w:rsid w:val="009456F0"/>
    <w:rsid w:val="009474EF"/>
    <w:rsid w:val="00947571"/>
    <w:rsid w:val="00947C5D"/>
    <w:rsid w:val="00955683"/>
    <w:rsid w:val="009556CB"/>
    <w:rsid w:val="00956465"/>
    <w:rsid w:val="00961F28"/>
    <w:rsid w:val="0096343B"/>
    <w:rsid w:val="009653E2"/>
    <w:rsid w:val="00965BB8"/>
    <w:rsid w:val="009662D5"/>
    <w:rsid w:val="00972879"/>
    <w:rsid w:val="009733DE"/>
    <w:rsid w:val="0097382B"/>
    <w:rsid w:val="0097631F"/>
    <w:rsid w:val="00981052"/>
    <w:rsid w:val="0098261D"/>
    <w:rsid w:val="00984043"/>
    <w:rsid w:val="00984386"/>
    <w:rsid w:val="0098495D"/>
    <w:rsid w:val="00987088"/>
    <w:rsid w:val="00995A87"/>
    <w:rsid w:val="0099613D"/>
    <w:rsid w:val="009A3389"/>
    <w:rsid w:val="009A356A"/>
    <w:rsid w:val="009B1517"/>
    <w:rsid w:val="009B1E0C"/>
    <w:rsid w:val="009B3CFE"/>
    <w:rsid w:val="009B3D23"/>
    <w:rsid w:val="009B5CF8"/>
    <w:rsid w:val="009C3831"/>
    <w:rsid w:val="009C58DC"/>
    <w:rsid w:val="009C676F"/>
    <w:rsid w:val="009D15C3"/>
    <w:rsid w:val="009D1F30"/>
    <w:rsid w:val="009D2BE0"/>
    <w:rsid w:val="009D54DA"/>
    <w:rsid w:val="009D70B3"/>
    <w:rsid w:val="009E3EAD"/>
    <w:rsid w:val="009E4F03"/>
    <w:rsid w:val="009E6912"/>
    <w:rsid w:val="009E7CE5"/>
    <w:rsid w:val="009F2E12"/>
    <w:rsid w:val="009F6CBB"/>
    <w:rsid w:val="00A01748"/>
    <w:rsid w:val="00A02D9F"/>
    <w:rsid w:val="00A05807"/>
    <w:rsid w:val="00A1254B"/>
    <w:rsid w:val="00A14E5C"/>
    <w:rsid w:val="00A1503D"/>
    <w:rsid w:val="00A155D2"/>
    <w:rsid w:val="00A1704F"/>
    <w:rsid w:val="00A17A1B"/>
    <w:rsid w:val="00A20CA3"/>
    <w:rsid w:val="00A22446"/>
    <w:rsid w:val="00A23D60"/>
    <w:rsid w:val="00A23FDF"/>
    <w:rsid w:val="00A25939"/>
    <w:rsid w:val="00A31E72"/>
    <w:rsid w:val="00A34CBC"/>
    <w:rsid w:val="00A34D34"/>
    <w:rsid w:val="00A34F26"/>
    <w:rsid w:val="00A421CE"/>
    <w:rsid w:val="00A454E9"/>
    <w:rsid w:val="00A47B51"/>
    <w:rsid w:val="00A5006F"/>
    <w:rsid w:val="00A500F1"/>
    <w:rsid w:val="00A51BEE"/>
    <w:rsid w:val="00A55037"/>
    <w:rsid w:val="00A622AB"/>
    <w:rsid w:val="00A64056"/>
    <w:rsid w:val="00A6418C"/>
    <w:rsid w:val="00A70A01"/>
    <w:rsid w:val="00A71D86"/>
    <w:rsid w:val="00A71F68"/>
    <w:rsid w:val="00A734D9"/>
    <w:rsid w:val="00A7575E"/>
    <w:rsid w:val="00A75CA2"/>
    <w:rsid w:val="00A76B2E"/>
    <w:rsid w:val="00A7748D"/>
    <w:rsid w:val="00A77E9C"/>
    <w:rsid w:val="00A8043E"/>
    <w:rsid w:val="00A813DA"/>
    <w:rsid w:val="00A82E7A"/>
    <w:rsid w:val="00A82E87"/>
    <w:rsid w:val="00A87F5D"/>
    <w:rsid w:val="00A932AA"/>
    <w:rsid w:val="00A93C9B"/>
    <w:rsid w:val="00A9421D"/>
    <w:rsid w:val="00AA21CB"/>
    <w:rsid w:val="00AA27ED"/>
    <w:rsid w:val="00AB0740"/>
    <w:rsid w:val="00AB0C70"/>
    <w:rsid w:val="00AB3B66"/>
    <w:rsid w:val="00AB4196"/>
    <w:rsid w:val="00AB4AF4"/>
    <w:rsid w:val="00AB4E21"/>
    <w:rsid w:val="00AB56BC"/>
    <w:rsid w:val="00AB6812"/>
    <w:rsid w:val="00AB7F6A"/>
    <w:rsid w:val="00AC0FCB"/>
    <w:rsid w:val="00AC2626"/>
    <w:rsid w:val="00AC2FB1"/>
    <w:rsid w:val="00AC37A9"/>
    <w:rsid w:val="00AC5808"/>
    <w:rsid w:val="00AC633D"/>
    <w:rsid w:val="00AC6B3F"/>
    <w:rsid w:val="00AC6E6A"/>
    <w:rsid w:val="00AD27AA"/>
    <w:rsid w:val="00AD6021"/>
    <w:rsid w:val="00AD6C3D"/>
    <w:rsid w:val="00AD7C73"/>
    <w:rsid w:val="00AE084E"/>
    <w:rsid w:val="00AE18CA"/>
    <w:rsid w:val="00AE566F"/>
    <w:rsid w:val="00AE5E9F"/>
    <w:rsid w:val="00AE6957"/>
    <w:rsid w:val="00AF086F"/>
    <w:rsid w:val="00B00E76"/>
    <w:rsid w:val="00B0354A"/>
    <w:rsid w:val="00B03EC4"/>
    <w:rsid w:val="00B05B69"/>
    <w:rsid w:val="00B06353"/>
    <w:rsid w:val="00B10C79"/>
    <w:rsid w:val="00B11951"/>
    <w:rsid w:val="00B121BA"/>
    <w:rsid w:val="00B12BAF"/>
    <w:rsid w:val="00B174A7"/>
    <w:rsid w:val="00B17FD6"/>
    <w:rsid w:val="00B205FD"/>
    <w:rsid w:val="00B217F6"/>
    <w:rsid w:val="00B22AB9"/>
    <w:rsid w:val="00B25300"/>
    <w:rsid w:val="00B2581F"/>
    <w:rsid w:val="00B270C2"/>
    <w:rsid w:val="00B312E1"/>
    <w:rsid w:val="00B35110"/>
    <w:rsid w:val="00B4247C"/>
    <w:rsid w:val="00B44A34"/>
    <w:rsid w:val="00B4633B"/>
    <w:rsid w:val="00B46DF8"/>
    <w:rsid w:val="00B508D5"/>
    <w:rsid w:val="00B52300"/>
    <w:rsid w:val="00B54138"/>
    <w:rsid w:val="00B55B23"/>
    <w:rsid w:val="00B600B6"/>
    <w:rsid w:val="00B6136A"/>
    <w:rsid w:val="00B621EC"/>
    <w:rsid w:val="00B630C4"/>
    <w:rsid w:val="00B64D98"/>
    <w:rsid w:val="00B650EA"/>
    <w:rsid w:val="00B65160"/>
    <w:rsid w:val="00B7014E"/>
    <w:rsid w:val="00B70C2C"/>
    <w:rsid w:val="00B71420"/>
    <w:rsid w:val="00B721E7"/>
    <w:rsid w:val="00B74684"/>
    <w:rsid w:val="00B756EB"/>
    <w:rsid w:val="00B764DD"/>
    <w:rsid w:val="00B766B5"/>
    <w:rsid w:val="00B8081E"/>
    <w:rsid w:val="00B8265B"/>
    <w:rsid w:val="00B83044"/>
    <w:rsid w:val="00B86A6A"/>
    <w:rsid w:val="00B90FF5"/>
    <w:rsid w:val="00B91716"/>
    <w:rsid w:val="00B92500"/>
    <w:rsid w:val="00B9449D"/>
    <w:rsid w:val="00B9636D"/>
    <w:rsid w:val="00B96771"/>
    <w:rsid w:val="00B96D9B"/>
    <w:rsid w:val="00BA16FC"/>
    <w:rsid w:val="00BA697B"/>
    <w:rsid w:val="00BB06EA"/>
    <w:rsid w:val="00BB44B0"/>
    <w:rsid w:val="00BB6116"/>
    <w:rsid w:val="00BB6E82"/>
    <w:rsid w:val="00BB7E50"/>
    <w:rsid w:val="00BC04B1"/>
    <w:rsid w:val="00BC0BB3"/>
    <w:rsid w:val="00BC1E04"/>
    <w:rsid w:val="00BC2900"/>
    <w:rsid w:val="00BC5ACC"/>
    <w:rsid w:val="00BC5AF9"/>
    <w:rsid w:val="00BC5D3C"/>
    <w:rsid w:val="00BC7141"/>
    <w:rsid w:val="00BD2118"/>
    <w:rsid w:val="00BD2A0F"/>
    <w:rsid w:val="00BD6D91"/>
    <w:rsid w:val="00BD7AD9"/>
    <w:rsid w:val="00BE1DCC"/>
    <w:rsid w:val="00BE2157"/>
    <w:rsid w:val="00BE2BC8"/>
    <w:rsid w:val="00BF041C"/>
    <w:rsid w:val="00BF23CF"/>
    <w:rsid w:val="00BF267B"/>
    <w:rsid w:val="00BF32D5"/>
    <w:rsid w:val="00BF4881"/>
    <w:rsid w:val="00BF4C7E"/>
    <w:rsid w:val="00BF4D29"/>
    <w:rsid w:val="00BF4DF4"/>
    <w:rsid w:val="00BF4FBF"/>
    <w:rsid w:val="00BF5566"/>
    <w:rsid w:val="00BF57BB"/>
    <w:rsid w:val="00BF630C"/>
    <w:rsid w:val="00C0059E"/>
    <w:rsid w:val="00C03D18"/>
    <w:rsid w:val="00C05C86"/>
    <w:rsid w:val="00C10544"/>
    <w:rsid w:val="00C10B44"/>
    <w:rsid w:val="00C112BB"/>
    <w:rsid w:val="00C1420C"/>
    <w:rsid w:val="00C152D4"/>
    <w:rsid w:val="00C16E1E"/>
    <w:rsid w:val="00C20EA0"/>
    <w:rsid w:val="00C2128A"/>
    <w:rsid w:val="00C2276C"/>
    <w:rsid w:val="00C234EE"/>
    <w:rsid w:val="00C23CBD"/>
    <w:rsid w:val="00C27973"/>
    <w:rsid w:val="00C308FA"/>
    <w:rsid w:val="00C30CCF"/>
    <w:rsid w:val="00C32123"/>
    <w:rsid w:val="00C33AAE"/>
    <w:rsid w:val="00C3688A"/>
    <w:rsid w:val="00C378B4"/>
    <w:rsid w:val="00C37933"/>
    <w:rsid w:val="00C40847"/>
    <w:rsid w:val="00C42923"/>
    <w:rsid w:val="00C449C4"/>
    <w:rsid w:val="00C47A9B"/>
    <w:rsid w:val="00C50D0D"/>
    <w:rsid w:val="00C523A7"/>
    <w:rsid w:val="00C53E9E"/>
    <w:rsid w:val="00C545D4"/>
    <w:rsid w:val="00C548EB"/>
    <w:rsid w:val="00C549FC"/>
    <w:rsid w:val="00C54D82"/>
    <w:rsid w:val="00C54EFD"/>
    <w:rsid w:val="00C55AD4"/>
    <w:rsid w:val="00C60659"/>
    <w:rsid w:val="00C61CBF"/>
    <w:rsid w:val="00C63008"/>
    <w:rsid w:val="00C63C16"/>
    <w:rsid w:val="00C668AF"/>
    <w:rsid w:val="00C700AB"/>
    <w:rsid w:val="00C73CF6"/>
    <w:rsid w:val="00C74380"/>
    <w:rsid w:val="00C75444"/>
    <w:rsid w:val="00C767BE"/>
    <w:rsid w:val="00C76CF6"/>
    <w:rsid w:val="00C806B9"/>
    <w:rsid w:val="00C81282"/>
    <w:rsid w:val="00C83769"/>
    <w:rsid w:val="00C839A1"/>
    <w:rsid w:val="00C84F55"/>
    <w:rsid w:val="00C87BAE"/>
    <w:rsid w:val="00C90449"/>
    <w:rsid w:val="00C9403F"/>
    <w:rsid w:val="00C94313"/>
    <w:rsid w:val="00C964DB"/>
    <w:rsid w:val="00C97758"/>
    <w:rsid w:val="00CA13F3"/>
    <w:rsid w:val="00CA14D6"/>
    <w:rsid w:val="00CA19D0"/>
    <w:rsid w:val="00CA37C5"/>
    <w:rsid w:val="00CA536D"/>
    <w:rsid w:val="00CB196A"/>
    <w:rsid w:val="00CB39D1"/>
    <w:rsid w:val="00CB582E"/>
    <w:rsid w:val="00CB6485"/>
    <w:rsid w:val="00CB705E"/>
    <w:rsid w:val="00CC10DD"/>
    <w:rsid w:val="00CC1FBA"/>
    <w:rsid w:val="00CC3410"/>
    <w:rsid w:val="00CC37DF"/>
    <w:rsid w:val="00CC7BEC"/>
    <w:rsid w:val="00CD136C"/>
    <w:rsid w:val="00CD32FD"/>
    <w:rsid w:val="00CD4DCF"/>
    <w:rsid w:val="00CD61C0"/>
    <w:rsid w:val="00CD7CD2"/>
    <w:rsid w:val="00CD7EA6"/>
    <w:rsid w:val="00CE006B"/>
    <w:rsid w:val="00CE0169"/>
    <w:rsid w:val="00CE1C5E"/>
    <w:rsid w:val="00CE1EFE"/>
    <w:rsid w:val="00CE2586"/>
    <w:rsid w:val="00CE4F9D"/>
    <w:rsid w:val="00CE55FF"/>
    <w:rsid w:val="00CE5AB8"/>
    <w:rsid w:val="00CF1E97"/>
    <w:rsid w:val="00CF2AEF"/>
    <w:rsid w:val="00CF419E"/>
    <w:rsid w:val="00CF5A9C"/>
    <w:rsid w:val="00CF7354"/>
    <w:rsid w:val="00CF7749"/>
    <w:rsid w:val="00D00769"/>
    <w:rsid w:val="00D04DD8"/>
    <w:rsid w:val="00D059CE"/>
    <w:rsid w:val="00D05E47"/>
    <w:rsid w:val="00D1092D"/>
    <w:rsid w:val="00D116A9"/>
    <w:rsid w:val="00D136D0"/>
    <w:rsid w:val="00D15329"/>
    <w:rsid w:val="00D15EC0"/>
    <w:rsid w:val="00D16547"/>
    <w:rsid w:val="00D22825"/>
    <w:rsid w:val="00D23435"/>
    <w:rsid w:val="00D24E85"/>
    <w:rsid w:val="00D2659A"/>
    <w:rsid w:val="00D31C39"/>
    <w:rsid w:val="00D33C37"/>
    <w:rsid w:val="00D359A0"/>
    <w:rsid w:val="00D365BD"/>
    <w:rsid w:val="00D4057C"/>
    <w:rsid w:val="00D41DDB"/>
    <w:rsid w:val="00D43DA8"/>
    <w:rsid w:val="00D4655A"/>
    <w:rsid w:val="00D5124A"/>
    <w:rsid w:val="00D55A7C"/>
    <w:rsid w:val="00D55C24"/>
    <w:rsid w:val="00D55F09"/>
    <w:rsid w:val="00D561C4"/>
    <w:rsid w:val="00D5664E"/>
    <w:rsid w:val="00D56656"/>
    <w:rsid w:val="00D5736A"/>
    <w:rsid w:val="00D57E4F"/>
    <w:rsid w:val="00D60302"/>
    <w:rsid w:val="00D60638"/>
    <w:rsid w:val="00D61938"/>
    <w:rsid w:val="00D6339F"/>
    <w:rsid w:val="00D63820"/>
    <w:rsid w:val="00D63C30"/>
    <w:rsid w:val="00D64F9A"/>
    <w:rsid w:val="00D71029"/>
    <w:rsid w:val="00D7147D"/>
    <w:rsid w:val="00D74198"/>
    <w:rsid w:val="00D754A6"/>
    <w:rsid w:val="00D762E4"/>
    <w:rsid w:val="00D81331"/>
    <w:rsid w:val="00D81C12"/>
    <w:rsid w:val="00D81E49"/>
    <w:rsid w:val="00D834B3"/>
    <w:rsid w:val="00D84437"/>
    <w:rsid w:val="00D84FFC"/>
    <w:rsid w:val="00D85541"/>
    <w:rsid w:val="00D91876"/>
    <w:rsid w:val="00D9258F"/>
    <w:rsid w:val="00D97BAC"/>
    <w:rsid w:val="00DA035A"/>
    <w:rsid w:val="00DA045C"/>
    <w:rsid w:val="00DA27A6"/>
    <w:rsid w:val="00DA2918"/>
    <w:rsid w:val="00DA292F"/>
    <w:rsid w:val="00DA29FB"/>
    <w:rsid w:val="00DA4752"/>
    <w:rsid w:val="00DA4D85"/>
    <w:rsid w:val="00DA7D03"/>
    <w:rsid w:val="00DA7D9C"/>
    <w:rsid w:val="00DB00A2"/>
    <w:rsid w:val="00DB0D16"/>
    <w:rsid w:val="00DB2A7F"/>
    <w:rsid w:val="00DB4EA7"/>
    <w:rsid w:val="00DB6948"/>
    <w:rsid w:val="00DC460D"/>
    <w:rsid w:val="00DC62CF"/>
    <w:rsid w:val="00DC64EB"/>
    <w:rsid w:val="00DC6CD1"/>
    <w:rsid w:val="00DD1D5E"/>
    <w:rsid w:val="00DD1DB7"/>
    <w:rsid w:val="00DD3022"/>
    <w:rsid w:val="00DD3154"/>
    <w:rsid w:val="00DD380E"/>
    <w:rsid w:val="00DD3E30"/>
    <w:rsid w:val="00DD5D6F"/>
    <w:rsid w:val="00DD7DA3"/>
    <w:rsid w:val="00DE16A4"/>
    <w:rsid w:val="00DE2C45"/>
    <w:rsid w:val="00DE2D7A"/>
    <w:rsid w:val="00DE544D"/>
    <w:rsid w:val="00DE6255"/>
    <w:rsid w:val="00DF5B50"/>
    <w:rsid w:val="00DF6014"/>
    <w:rsid w:val="00E01E48"/>
    <w:rsid w:val="00E06959"/>
    <w:rsid w:val="00E06CBA"/>
    <w:rsid w:val="00E106D7"/>
    <w:rsid w:val="00E1078B"/>
    <w:rsid w:val="00E11234"/>
    <w:rsid w:val="00E13D67"/>
    <w:rsid w:val="00E1584F"/>
    <w:rsid w:val="00E2003B"/>
    <w:rsid w:val="00E200F7"/>
    <w:rsid w:val="00E20621"/>
    <w:rsid w:val="00E2292F"/>
    <w:rsid w:val="00E22CA7"/>
    <w:rsid w:val="00E231DD"/>
    <w:rsid w:val="00E24475"/>
    <w:rsid w:val="00E246F6"/>
    <w:rsid w:val="00E24E77"/>
    <w:rsid w:val="00E25F01"/>
    <w:rsid w:val="00E311A5"/>
    <w:rsid w:val="00E312EC"/>
    <w:rsid w:val="00E401EB"/>
    <w:rsid w:val="00E40460"/>
    <w:rsid w:val="00E41C03"/>
    <w:rsid w:val="00E448CD"/>
    <w:rsid w:val="00E46A96"/>
    <w:rsid w:val="00E46BEC"/>
    <w:rsid w:val="00E47BF4"/>
    <w:rsid w:val="00E52C51"/>
    <w:rsid w:val="00E535F3"/>
    <w:rsid w:val="00E54A48"/>
    <w:rsid w:val="00E56DC8"/>
    <w:rsid w:val="00E612DE"/>
    <w:rsid w:val="00E61D53"/>
    <w:rsid w:val="00E63D92"/>
    <w:rsid w:val="00E731BD"/>
    <w:rsid w:val="00E73277"/>
    <w:rsid w:val="00E770B5"/>
    <w:rsid w:val="00E811AA"/>
    <w:rsid w:val="00E82598"/>
    <w:rsid w:val="00E854CF"/>
    <w:rsid w:val="00E863E0"/>
    <w:rsid w:val="00E8653D"/>
    <w:rsid w:val="00E877FC"/>
    <w:rsid w:val="00E919E4"/>
    <w:rsid w:val="00E9394E"/>
    <w:rsid w:val="00E97FDD"/>
    <w:rsid w:val="00EA4CAC"/>
    <w:rsid w:val="00EA5B1C"/>
    <w:rsid w:val="00EA7C4F"/>
    <w:rsid w:val="00EB0C51"/>
    <w:rsid w:val="00EB2C8E"/>
    <w:rsid w:val="00EB7442"/>
    <w:rsid w:val="00EC2E73"/>
    <w:rsid w:val="00EC4F9E"/>
    <w:rsid w:val="00EC5F52"/>
    <w:rsid w:val="00EC6AA2"/>
    <w:rsid w:val="00EC6B97"/>
    <w:rsid w:val="00ED01E5"/>
    <w:rsid w:val="00ED0906"/>
    <w:rsid w:val="00ED183F"/>
    <w:rsid w:val="00ED3172"/>
    <w:rsid w:val="00ED4A09"/>
    <w:rsid w:val="00ED7219"/>
    <w:rsid w:val="00ED7595"/>
    <w:rsid w:val="00ED7FF8"/>
    <w:rsid w:val="00EE100E"/>
    <w:rsid w:val="00EE161D"/>
    <w:rsid w:val="00EE345F"/>
    <w:rsid w:val="00EE4828"/>
    <w:rsid w:val="00EE5745"/>
    <w:rsid w:val="00EF0253"/>
    <w:rsid w:val="00EF061C"/>
    <w:rsid w:val="00EF110D"/>
    <w:rsid w:val="00EF3734"/>
    <w:rsid w:val="00EF3D11"/>
    <w:rsid w:val="00EF4E48"/>
    <w:rsid w:val="00EF56E6"/>
    <w:rsid w:val="00EF60E3"/>
    <w:rsid w:val="00EF625A"/>
    <w:rsid w:val="00F014D2"/>
    <w:rsid w:val="00F01A30"/>
    <w:rsid w:val="00F0590D"/>
    <w:rsid w:val="00F0699B"/>
    <w:rsid w:val="00F10904"/>
    <w:rsid w:val="00F1095E"/>
    <w:rsid w:val="00F14AA9"/>
    <w:rsid w:val="00F15D70"/>
    <w:rsid w:val="00F15E2C"/>
    <w:rsid w:val="00F2554E"/>
    <w:rsid w:val="00F31C3D"/>
    <w:rsid w:val="00F330F3"/>
    <w:rsid w:val="00F3680B"/>
    <w:rsid w:val="00F37901"/>
    <w:rsid w:val="00F41C29"/>
    <w:rsid w:val="00F41FEB"/>
    <w:rsid w:val="00F41FF9"/>
    <w:rsid w:val="00F47081"/>
    <w:rsid w:val="00F47EA5"/>
    <w:rsid w:val="00F51B44"/>
    <w:rsid w:val="00F537B1"/>
    <w:rsid w:val="00F54630"/>
    <w:rsid w:val="00F552A7"/>
    <w:rsid w:val="00F57583"/>
    <w:rsid w:val="00F6084F"/>
    <w:rsid w:val="00F63F6A"/>
    <w:rsid w:val="00F67565"/>
    <w:rsid w:val="00F717AC"/>
    <w:rsid w:val="00F7447F"/>
    <w:rsid w:val="00F7607E"/>
    <w:rsid w:val="00F77518"/>
    <w:rsid w:val="00F77CE6"/>
    <w:rsid w:val="00F77F8F"/>
    <w:rsid w:val="00F82E09"/>
    <w:rsid w:val="00F94BB1"/>
    <w:rsid w:val="00F951AF"/>
    <w:rsid w:val="00F9670C"/>
    <w:rsid w:val="00FA14FD"/>
    <w:rsid w:val="00FA1E11"/>
    <w:rsid w:val="00FA248A"/>
    <w:rsid w:val="00FA2576"/>
    <w:rsid w:val="00FA3877"/>
    <w:rsid w:val="00FB2521"/>
    <w:rsid w:val="00FB3B99"/>
    <w:rsid w:val="00FC12E4"/>
    <w:rsid w:val="00FC18D3"/>
    <w:rsid w:val="00FC2088"/>
    <w:rsid w:val="00FC24BD"/>
    <w:rsid w:val="00FC4338"/>
    <w:rsid w:val="00FC5930"/>
    <w:rsid w:val="00FC6B7A"/>
    <w:rsid w:val="00FC7445"/>
    <w:rsid w:val="00FD1882"/>
    <w:rsid w:val="00FD2559"/>
    <w:rsid w:val="00FD65C0"/>
    <w:rsid w:val="00FD6FC3"/>
    <w:rsid w:val="00FD72F0"/>
    <w:rsid w:val="00FD7E5A"/>
    <w:rsid w:val="00FE23B1"/>
    <w:rsid w:val="00FE37BC"/>
    <w:rsid w:val="00FE45D9"/>
    <w:rsid w:val="00FE688B"/>
    <w:rsid w:val="00FE72EC"/>
    <w:rsid w:val="00FE76E2"/>
    <w:rsid w:val="00FF0728"/>
    <w:rsid w:val="00FF3133"/>
    <w:rsid w:val="00FF3743"/>
    <w:rsid w:val="00FF4B40"/>
    <w:rsid w:val="00FF6729"/>
    <w:rsid w:val="00FF6A7F"/>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56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FD"/>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8014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3263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7B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446A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95"/>
    <w:pPr>
      <w:ind w:left="720"/>
      <w:contextualSpacing/>
    </w:pPr>
  </w:style>
  <w:style w:type="paragraph" w:styleId="FootnoteText">
    <w:name w:val="footnote text"/>
    <w:basedOn w:val="Normal"/>
    <w:link w:val="FootnoteTextChar"/>
    <w:uiPriority w:val="99"/>
    <w:unhideWhenUsed/>
    <w:rsid w:val="009E7CE5"/>
  </w:style>
  <w:style w:type="character" w:customStyle="1" w:styleId="FootnoteTextChar">
    <w:name w:val="Footnote Text Char"/>
    <w:basedOn w:val="DefaultParagraphFont"/>
    <w:link w:val="FootnoteText"/>
    <w:uiPriority w:val="99"/>
    <w:rsid w:val="009E7CE5"/>
  </w:style>
  <w:style w:type="character" w:styleId="FootnoteReference">
    <w:name w:val="footnote reference"/>
    <w:basedOn w:val="DefaultParagraphFont"/>
    <w:uiPriority w:val="99"/>
    <w:unhideWhenUsed/>
    <w:rsid w:val="009E7CE5"/>
    <w:rPr>
      <w:vertAlign w:val="superscript"/>
    </w:rPr>
  </w:style>
  <w:style w:type="character" w:customStyle="1" w:styleId="addmd">
    <w:name w:val="addmd"/>
    <w:basedOn w:val="DefaultParagraphFont"/>
    <w:rsid w:val="00801444"/>
  </w:style>
  <w:style w:type="character" w:customStyle="1" w:styleId="Heading1Char">
    <w:name w:val="Heading 1 Char"/>
    <w:basedOn w:val="DefaultParagraphFont"/>
    <w:link w:val="Heading1"/>
    <w:uiPriority w:val="9"/>
    <w:rsid w:val="00801444"/>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unhideWhenUsed/>
    <w:rsid w:val="00ED7595"/>
  </w:style>
  <w:style w:type="character" w:customStyle="1" w:styleId="EndnoteTextChar">
    <w:name w:val="Endnote Text Char"/>
    <w:basedOn w:val="DefaultParagraphFont"/>
    <w:link w:val="EndnoteText"/>
    <w:uiPriority w:val="99"/>
    <w:rsid w:val="00ED7595"/>
    <w:rPr>
      <w:rFonts w:ascii="Times New Roman" w:hAnsi="Times New Roman" w:cs="Times New Roman"/>
    </w:rPr>
  </w:style>
  <w:style w:type="character" w:styleId="EndnoteReference">
    <w:name w:val="endnote reference"/>
    <w:basedOn w:val="DefaultParagraphFont"/>
    <w:uiPriority w:val="99"/>
    <w:unhideWhenUsed/>
    <w:rsid w:val="00ED7595"/>
    <w:rPr>
      <w:vertAlign w:val="superscript"/>
    </w:rPr>
  </w:style>
  <w:style w:type="character" w:styleId="Hyperlink">
    <w:name w:val="Hyperlink"/>
    <w:basedOn w:val="DefaultParagraphFont"/>
    <w:uiPriority w:val="99"/>
    <w:unhideWhenUsed/>
    <w:rsid w:val="004C7275"/>
    <w:rPr>
      <w:color w:val="0563C1" w:themeColor="hyperlink"/>
      <w:u w:val="single"/>
    </w:rPr>
  </w:style>
  <w:style w:type="character" w:styleId="UnresolvedMention">
    <w:name w:val="Unresolved Mention"/>
    <w:basedOn w:val="DefaultParagraphFont"/>
    <w:uiPriority w:val="99"/>
    <w:rsid w:val="004C7275"/>
    <w:rPr>
      <w:color w:val="605E5C"/>
      <w:shd w:val="clear" w:color="auto" w:fill="E1DFDD"/>
    </w:rPr>
  </w:style>
  <w:style w:type="character" w:styleId="CommentReference">
    <w:name w:val="annotation reference"/>
    <w:basedOn w:val="DefaultParagraphFont"/>
    <w:uiPriority w:val="99"/>
    <w:semiHidden/>
    <w:unhideWhenUsed/>
    <w:rsid w:val="007A54E0"/>
    <w:rPr>
      <w:sz w:val="16"/>
      <w:szCs w:val="16"/>
    </w:rPr>
  </w:style>
  <w:style w:type="paragraph" w:styleId="CommentText">
    <w:name w:val="annotation text"/>
    <w:basedOn w:val="Normal"/>
    <w:link w:val="CommentTextChar"/>
    <w:uiPriority w:val="99"/>
    <w:semiHidden/>
    <w:unhideWhenUsed/>
    <w:rsid w:val="007A54E0"/>
    <w:rPr>
      <w:sz w:val="20"/>
      <w:szCs w:val="20"/>
    </w:rPr>
  </w:style>
  <w:style w:type="character" w:customStyle="1" w:styleId="CommentTextChar">
    <w:name w:val="Comment Text Char"/>
    <w:basedOn w:val="DefaultParagraphFont"/>
    <w:link w:val="CommentText"/>
    <w:uiPriority w:val="99"/>
    <w:semiHidden/>
    <w:rsid w:val="007A54E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A54E0"/>
    <w:rPr>
      <w:b/>
      <w:bCs/>
    </w:rPr>
  </w:style>
  <w:style w:type="character" w:customStyle="1" w:styleId="CommentSubjectChar">
    <w:name w:val="Comment Subject Char"/>
    <w:basedOn w:val="CommentTextChar"/>
    <w:link w:val="CommentSubject"/>
    <w:uiPriority w:val="99"/>
    <w:semiHidden/>
    <w:rsid w:val="007A54E0"/>
    <w:rPr>
      <w:rFonts w:ascii="Times New Roman" w:eastAsia="Times New Roman" w:hAnsi="Times New Roman" w:cs="Times New Roman"/>
      <w:b/>
      <w:bCs/>
      <w:sz w:val="20"/>
      <w:szCs w:val="20"/>
      <w:lang w:val="en-GB" w:eastAsia="en-GB"/>
    </w:rPr>
  </w:style>
  <w:style w:type="character" w:customStyle="1" w:styleId="Heading3Char">
    <w:name w:val="Heading 3 Char"/>
    <w:basedOn w:val="DefaultParagraphFont"/>
    <w:link w:val="Heading3"/>
    <w:uiPriority w:val="9"/>
    <w:rsid w:val="001E7BB7"/>
    <w:rPr>
      <w:rFonts w:asciiTheme="majorHAnsi" w:eastAsiaTheme="majorEastAsia" w:hAnsiTheme="majorHAnsi" w:cstheme="majorBidi"/>
      <w:color w:val="1F4D78" w:themeColor="accent1" w:themeShade="7F"/>
      <w:lang w:val="en-GB" w:eastAsia="en-GB"/>
    </w:rPr>
  </w:style>
  <w:style w:type="character" w:customStyle="1" w:styleId="Heading2Char">
    <w:name w:val="Heading 2 Char"/>
    <w:basedOn w:val="DefaultParagraphFont"/>
    <w:link w:val="Heading2"/>
    <w:uiPriority w:val="9"/>
    <w:semiHidden/>
    <w:rsid w:val="00532630"/>
    <w:rPr>
      <w:rFonts w:asciiTheme="majorHAnsi" w:eastAsiaTheme="majorEastAsia" w:hAnsiTheme="majorHAnsi" w:cstheme="majorBidi"/>
      <w:color w:val="2E74B5" w:themeColor="accent1" w:themeShade="BF"/>
      <w:sz w:val="26"/>
      <w:szCs w:val="26"/>
      <w:lang w:val="en-GB" w:eastAsia="en-GB"/>
    </w:rPr>
  </w:style>
  <w:style w:type="character" w:customStyle="1" w:styleId="note-content">
    <w:name w:val="note-content"/>
    <w:basedOn w:val="DefaultParagraphFont"/>
    <w:rsid w:val="00530732"/>
  </w:style>
  <w:style w:type="character" w:customStyle="1" w:styleId="Heading4Char">
    <w:name w:val="Heading 4 Char"/>
    <w:basedOn w:val="DefaultParagraphFont"/>
    <w:link w:val="Heading4"/>
    <w:uiPriority w:val="9"/>
    <w:semiHidden/>
    <w:rsid w:val="00446A94"/>
    <w:rPr>
      <w:rFonts w:asciiTheme="majorHAnsi" w:eastAsiaTheme="majorEastAsia" w:hAnsiTheme="majorHAnsi" w:cstheme="majorBidi"/>
      <w:i/>
      <w:iCs/>
      <w:color w:val="2E74B5" w:themeColor="accent1" w:themeShade="BF"/>
      <w:lang w:val="en-GB" w:eastAsia="en-GB"/>
    </w:rPr>
  </w:style>
  <w:style w:type="character" w:customStyle="1" w:styleId="ency">
    <w:name w:val="ency"/>
    <w:basedOn w:val="DefaultParagraphFont"/>
    <w:rsid w:val="00413EBD"/>
  </w:style>
  <w:style w:type="character" w:customStyle="1" w:styleId="Date1">
    <w:name w:val="Date1"/>
    <w:basedOn w:val="DefaultParagraphFont"/>
    <w:rsid w:val="00413EBD"/>
  </w:style>
  <w:style w:type="character" w:customStyle="1" w:styleId="Date2">
    <w:name w:val="Date2"/>
    <w:basedOn w:val="DefaultParagraphFont"/>
    <w:rsid w:val="007B6BDA"/>
  </w:style>
  <w:style w:type="character" w:styleId="Emphasis">
    <w:name w:val="Emphasis"/>
    <w:basedOn w:val="DefaultParagraphFont"/>
    <w:uiPriority w:val="20"/>
    <w:qFormat/>
    <w:rsid w:val="00E40460"/>
    <w:rPr>
      <w:i/>
      <w:iCs/>
    </w:rPr>
  </w:style>
  <w:style w:type="character" w:customStyle="1" w:styleId="name">
    <w:name w:val="name"/>
    <w:basedOn w:val="DefaultParagraphFont"/>
    <w:rsid w:val="00BD2A0F"/>
  </w:style>
  <w:style w:type="character" w:customStyle="1" w:styleId="Date3">
    <w:name w:val="Date3"/>
    <w:basedOn w:val="DefaultParagraphFont"/>
    <w:rsid w:val="00D1092D"/>
  </w:style>
  <w:style w:type="paragraph" w:styleId="Header">
    <w:name w:val="header"/>
    <w:basedOn w:val="Normal"/>
    <w:link w:val="HeaderChar"/>
    <w:uiPriority w:val="99"/>
    <w:unhideWhenUsed/>
    <w:rsid w:val="00F9670C"/>
    <w:pPr>
      <w:tabs>
        <w:tab w:val="center" w:pos="4513"/>
        <w:tab w:val="right" w:pos="9026"/>
      </w:tabs>
    </w:pPr>
  </w:style>
  <w:style w:type="character" w:customStyle="1" w:styleId="HeaderChar">
    <w:name w:val="Header Char"/>
    <w:basedOn w:val="DefaultParagraphFont"/>
    <w:link w:val="Header"/>
    <w:uiPriority w:val="99"/>
    <w:rsid w:val="00F9670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F9670C"/>
    <w:pPr>
      <w:tabs>
        <w:tab w:val="center" w:pos="4513"/>
        <w:tab w:val="right" w:pos="9026"/>
      </w:tabs>
    </w:pPr>
  </w:style>
  <w:style w:type="character" w:customStyle="1" w:styleId="FooterChar">
    <w:name w:val="Footer Char"/>
    <w:basedOn w:val="DefaultParagraphFont"/>
    <w:link w:val="Footer"/>
    <w:uiPriority w:val="99"/>
    <w:rsid w:val="00F9670C"/>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812">
      <w:bodyDiv w:val="1"/>
      <w:marLeft w:val="0"/>
      <w:marRight w:val="0"/>
      <w:marTop w:val="0"/>
      <w:marBottom w:val="0"/>
      <w:divBdr>
        <w:top w:val="none" w:sz="0" w:space="0" w:color="auto"/>
        <w:left w:val="none" w:sz="0" w:space="0" w:color="auto"/>
        <w:bottom w:val="none" w:sz="0" w:space="0" w:color="auto"/>
        <w:right w:val="none" w:sz="0" w:space="0" w:color="auto"/>
      </w:divBdr>
    </w:div>
    <w:div w:id="137454798">
      <w:bodyDiv w:val="1"/>
      <w:marLeft w:val="0"/>
      <w:marRight w:val="0"/>
      <w:marTop w:val="0"/>
      <w:marBottom w:val="0"/>
      <w:divBdr>
        <w:top w:val="none" w:sz="0" w:space="0" w:color="auto"/>
        <w:left w:val="none" w:sz="0" w:space="0" w:color="auto"/>
        <w:bottom w:val="none" w:sz="0" w:space="0" w:color="auto"/>
        <w:right w:val="none" w:sz="0" w:space="0" w:color="auto"/>
      </w:divBdr>
    </w:div>
    <w:div w:id="147207911">
      <w:bodyDiv w:val="1"/>
      <w:marLeft w:val="0"/>
      <w:marRight w:val="0"/>
      <w:marTop w:val="0"/>
      <w:marBottom w:val="0"/>
      <w:divBdr>
        <w:top w:val="none" w:sz="0" w:space="0" w:color="auto"/>
        <w:left w:val="none" w:sz="0" w:space="0" w:color="auto"/>
        <w:bottom w:val="none" w:sz="0" w:space="0" w:color="auto"/>
        <w:right w:val="none" w:sz="0" w:space="0" w:color="auto"/>
      </w:divBdr>
      <w:divsChild>
        <w:div w:id="1186484090">
          <w:marLeft w:val="0"/>
          <w:marRight w:val="0"/>
          <w:marTop w:val="0"/>
          <w:marBottom w:val="0"/>
          <w:divBdr>
            <w:top w:val="none" w:sz="0" w:space="0" w:color="auto"/>
            <w:left w:val="none" w:sz="0" w:space="0" w:color="auto"/>
            <w:bottom w:val="none" w:sz="0" w:space="0" w:color="auto"/>
            <w:right w:val="none" w:sz="0" w:space="0" w:color="auto"/>
          </w:divBdr>
        </w:div>
      </w:divsChild>
    </w:div>
    <w:div w:id="183369999">
      <w:bodyDiv w:val="1"/>
      <w:marLeft w:val="0"/>
      <w:marRight w:val="0"/>
      <w:marTop w:val="0"/>
      <w:marBottom w:val="0"/>
      <w:divBdr>
        <w:top w:val="none" w:sz="0" w:space="0" w:color="auto"/>
        <w:left w:val="none" w:sz="0" w:space="0" w:color="auto"/>
        <w:bottom w:val="none" w:sz="0" w:space="0" w:color="auto"/>
        <w:right w:val="none" w:sz="0" w:space="0" w:color="auto"/>
      </w:divBdr>
    </w:div>
    <w:div w:id="199635763">
      <w:bodyDiv w:val="1"/>
      <w:marLeft w:val="0"/>
      <w:marRight w:val="0"/>
      <w:marTop w:val="0"/>
      <w:marBottom w:val="0"/>
      <w:divBdr>
        <w:top w:val="none" w:sz="0" w:space="0" w:color="auto"/>
        <w:left w:val="none" w:sz="0" w:space="0" w:color="auto"/>
        <w:bottom w:val="none" w:sz="0" w:space="0" w:color="auto"/>
        <w:right w:val="none" w:sz="0" w:space="0" w:color="auto"/>
      </w:divBdr>
    </w:div>
    <w:div w:id="242760294">
      <w:bodyDiv w:val="1"/>
      <w:marLeft w:val="0"/>
      <w:marRight w:val="0"/>
      <w:marTop w:val="0"/>
      <w:marBottom w:val="0"/>
      <w:divBdr>
        <w:top w:val="none" w:sz="0" w:space="0" w:color="auto"/>
        <w:left w:val="none" w:sz="0" w:space="0" w:color="auto"/>
        <w:bottom w:val="none" w:sz="0" w:space="0" w:color="auto"/>
        <w:right w:val="none" w:sz="0" w:space="0" w:color="auto"/>
      </w:divBdr>
    </w:div>
    <w:div w:id="246227537">
      <w:bodyDiv w:val="1"/>
      <w:marLeft w:val="0"/>
      <w:marRight w:val="0"/>
      <w:marTop w:val="0"/>
      <w:marBottom w:val="0"/>
      <w:divBdr>
        <w:top w:val="none" w:sz="0" w:space="0" w:color="auto"/>
        <w:left w:val="none" w:sz="0" w:space="0" w:color="auto"/>
        <w:bottom w:val="none" w:sz="0" w:space="0" w:color="auto"/>
        <w:right w:val="none" w:sz="0" w:space="0" w:color="auto"/>
      </w:divBdr>
    </w:div>
    <w:div w:id="261957435">
      <w:bodyDiv w:val="1"/>
      <w:marLeft w:val="0"/>
      <w:marRight w:val="0"/>
      <w:marTop w:val="0"/>
      <w:marBottom w:val="0"/>
      <w:divBdr>
        <w:top w:val="none" w:sz="0" w:space="0" w:color="auto"/>
        <w:left w:val="none" w:sz="0" w:space="0" w:color="auto"/>
        <w:bottom w:val="none" w:sz="0" w:space="0" w:color="auto"/>
        <w:right w:val="none" w:sz="0" w:space="0" w:color="auto"/>
      </w:divBdr>
    </w:div>
    <w:div w:id="263155896">
      <w:bodyDiv w:val="1"/>
      <w:marLeft w:val="0"/>
      <w:marRight w:val="0"/>
      <w:marTop w:val="0"/>
      <w:marBottom w:val="0"/>
      <w:divBdr>
        <w:top w:val="none" w:sz="0" w:space="0" w:color="auto"/>
        <w:left w:val="none" w:sz="0" w:space="0" w:color="auto"/>
        <w:bottom w:val="none" w:sz="0" w:space="0" w:color="auto"/>
        <w:right w:val="none" w:sz="0" w:space="0" w:color="auto"/>
      </w:divBdr>
    </w:div>
    <w:div w:id="264076829">
      <w:bodyDiv w:val="1"/>
      <w:marLeft w:val="0"/>
      <w:marRight w:val="0"/>
      <w:marTop w:val="0"/>
      <w:marBottom w:val="0"/>
      <w:divBdr>
        <w:top w:val="none" w:sz="0" w:space="0" w:color="auto"/>
        <w:left w:val="none" w:sz="0" w:space="0" w:color="auto"/>
        <w:bottom w:val="none" w:sz="0" w:space="0" w:color="auto"/>
        <w:right w:val="none" w:sz="0" w:space="0" w:color="auto"/>
      </w:divBdr>
    </w:div>
    <w:div w:id="326829334">
      <w:bodyDiv w:val="1"/>
      <w:marLeft w:val="0"/>
      <w:marRight w:val="0"/>
      <w:marTop w:val="0"/>
      <w:marBottom w:val="0"/>
      <w:divBdr>
        <w:top w:val="none" w:sz="0" w:space="0" w:color="auto"/>
        <w:left w:val="none" w:sz="0" w:space="0" w:color="auto"/>
        <w:bottom w:val="none" w:sz="0" w:space="0" w:color="auto"/>
        <w:right w:val="none" w:sz="0" w:space="0" w:color="auto"/>
      </w:divBdr>
    </w:div>
    <w:div w:id="330564755">
      <w:bodyDiv w:val="1"/>
      <w:marLeft w:val="0"/>
      <w:marRight w:val="0"/>
      <w:marTop w:val="0"/>
      <w:marBottom w:val="0"/>
      <w:divBdr>
        <w:top w:val="none" w:sz="0" w:space="0" w:color="auto"/>
        <w:left w:val="none" w:sz="0" w:space="0" w:color="auto"/>
        <w:bottom w:val="none" w:sz="0" w:space="0" w:color="auto"/>
        <w:right w:val="none" w:sz="0" w:space="0" w:color="auto"/>
      </w:divBdr>
    </w:div>
    <w:div w:id="338050320">
      <w:bodyDiv w:val="1"/>
      <w:marLeft w:val="0"/>
      <w:marRight w:val="0"/>
      <w:marTop w:val="0"/>
      <w:marBottom w:val="0"/>
      <w:divBdr>
        <w:top w:val="none" w:sz="0" w:space="0" w:color="auto"/>
        <w:left w:val="none" w:sz="0" w:space="0" w:color="auto"/>
        <w:bottom w:val="none" w:sz="0" w:space="0" w:color="auto"/>
        <w:right w:val="none" w:sz="0" w:space="0" w:color="auto"/>
      </w:divBdr>
    </w:div>
    <w:div w:id="342703706">
      <w:bodyDiv w:val="1"/>
      <w:marLeft w:val="0"/>
      <w:marRight w:val="0"/>
      <w:marTop w:val="0"/>
      <w:marBottom w:val="0"/>
      <w:divBdr>
        <w:top w:val="none" w:sz="0" w:space="0" w:color="auto"/>
        <w:left w:val="none" w:sz="0" w:space="0" w:color="auto"/>
        <w:bottom w:val="none" w:sz="0" w:space="0" w:color="auto"/>
        <w:right w:val="none" w:sz="0" w:space="0" w:color="auto"/>
      </w:divBdr>
    </w:div>
    <w:div w:id="390621066">
      <w:bodyDiv w:val="1"/>
      <w:marLeft w:val="0"/>
      <w:marRight w:val="0"/>
      <w:marTop w:val="0"/>
      <w:marBottom w:val="0"/>
      <w:divBdr>
        <w:top w:val="none" w:sz="0" w:space="0" w:color="auto"/>
        <w:left w:val="none" w:sz="0" w:space="0" w:color="auto"/>
        <w:bottom w:val="none" w:sz="0" w:space="0" w:color="auto"/>
        <w:right w:val="none" w:sz="0" w:space="0" w:color="auto"/>
      </w:divBdr>
    </w:div>
    <w:div w:id="407115051">
      <w:bodyDiv w:val="1"/>
      <w:marLeft w:val="0"/>
      <w:marRight w:val="0"/>
      <w:marTop w:val="0"/>
      <w:marBottom w:val="0"/>
      <w:divBdr>
        <w:top w:val="none" w:sz="0" w:space="0" w:color="auto"/>
        <w:left w:val="none" w:sz="0" w:space="0" w:color="auto"/>
        <w:bottom w:val="none" w:sz="0" w:space="0" w:color="auto"/>
        <w:right w:val="none" w:sz="0" w:space="0" w:color="auto"/>
      </w:divBdr>
    </w:div>
    <w:div w:id="479158328">
      <w:bodyDiv w:val="1"/>
      <w:marLeft w:val="0"/>
      <w:marRight w:val="0"/>
      <w:marTop w:val="0"/>
      <w:marBottom w:val="0"/>
      <w:divBdr>
        <w:top w:val="none" w:sz="0" w:space="0" w:color="auto"/>
        <w:left w:val="none" w:sz="0" w:space="0" w:color="auto"/>
        <w:bottom w:val="none" w:sz="0" w:space="0" w:color="auto"/>
        <w:right w:val="none" w:sz="0" w:space="0" w:color="auto"/>
      </w:divBdr>
    </w:div>
    <w:div w:id="502741460">
      <w:bodyDiv w:val="1"/>
      <w:marLeft w:val="0"/>
      <w:marRight w:val="0"/>
      <w:marTop w:val="0"/>
      <w:marBottom w:val="0"/>
      <w:divBdr>
        <w:top w:val="none" w:sz="0" w:space="0" w:color="auto"/>
        <w:left w:val="none" w:sz="0" w:space="0" w:color="auto"/>
        <w:bottom w:val="none" w:sz="0" w:space="0" w:color="auto"/>
        <w:right w:val="none" w:sz="0" w:space="0" w:color="auto"/>
      </w:divBdr>
    </w:div>
    <w:div w:id="528958899">
      <w:bodyDiv w:val="1"/>
      <w:marLeft w:val="0"/>
      <w:marRight w:val="0"/>
      <w:marTop w:val="0"/>
      <w:marBottom w:val="0"/>
      <w:divBdr>
        <w:top w:val="none" w:sz="0" w:space="0" w:color="auto"/>
        <w:left w:val="none" w:sz="0" w:space="0" w:color="auto"/>
        <w:bottom w:val="none" w:sz="0" w:space="0" w:color="auto"/>
        <w:right w:val="none" w:sz="0" w:space="0" w:color="auto"/>
      </w:divBdr>
      <w:divsChild>
        <w:div w:id="390999584">
          <w:marLeft w:val="0"/>
          <w:marRight w:val="0"/>
          <w:marTop w:val="0"/>
          <w:marBottom w:val="0"/>
          <w:divBdr>
            <w:top w:val="none" w:sz="0" w:space="0" w:color="auto"/>
            <w:left w:val="none" w:sz="0" w:space="0" w:color="auto"/>
            <w:bottom w:val="none" w:sz="0" w:space="0" w:color="auto"/>
            <w:right w:val="none" w:sz="0" w:space="0" w:color="auto"/>
          </w:divBdr>
        </w:div>
      </w:divsChild>
    </w:div>
    <w:div w:id="585500645">
      <w:bodyDiv w:val="1"/>
      <w:marLeft w:val="0"/>
      <w:marRight w:val="0"/>
      <w:marTop w:val="0"/>
      <w:marBottom w:val="0"/>
      <w:divBdr>
        <w:top w:val="none" w:sz="0" w:space="0" w:color="auto"/>
        <w:left w:val="none" w:sz="0" w:space="0" w:color="auto"/>
        <w:bottom w:val="none" w:sz="0" w:space="0" w:color="auto"/>
        <w:right w:val="none" w:sz="0" w:space="0" w:color="auto"/>
      </w:divBdr>
    </w:div>
    <w:div w:id="589118281">
      <w:bodyDiv w:val="1"/>
      <w:marLeft w:val="0"/>
      <w:marRight w:val="0"/>
      <w:marTop w:val="0"/>
      <w:marBottom w:val="0"/>
      <w:divBdr>
        <w:top w:val="none" w:sz="0" w:space="0" w:color="auto"/>
        <w:left w:val="none" w:sz="0" w:space="0" w:color="auto"/>
        <w:bottom w:val="none" w:sz="0" w:space="0" w:color="auto"/>
        <w:right w:val="none" w:sz="0" w:space="0" w:color="auto"/>
      </w:divBdr>
    </w:div>
    <w:div w:id="608582724">
      <w:bodyDiv w:val="1"/>
      <w:marLeft w:val="0"/>
      <w:marRight w:val="0"/>
      <w:marTop w:val="0"/>
      <w:marBottom w:val="0"/>
      <w:divBdr>
        <w:top w:val="none" w:sz="0" w:space="0" w:color="auto"/>
        <w:left w:val="none" w:sz="0" w:space="0" w:color="auto"/>
        <w:bottom w:val="none" w:sz="0" w:space="0" w:color="auto"/>
        <w:right w:val="none" w:sz="0" w:space="0" w:color="auto"/>
      </w:divBdr>
    </w:div>
    <w:div w:id="617562026">
      <w:bodyDiv w:val="1"/>
      <w:marLeft w:val="0"/>
      <w:marRight w:val="0"/>
      <w:marTop w:val="0"/>
      <w:marBottom w:val="0"/>
      <w:divBdr>
        <w:top w:val="none" w:sz="0" w:space="0" w:color="auto"/>
        <w:left w:val="none" w:sz="0" w:space="0" w:color="auto"/>
        <w:bottom w:val="none" w:sz="0" w:space="0" w:color="auto"/>
        <w:right w:val="none" w:sz="0" w:space="0" w:color="auto"/>
      </w:divBdr>
    </w:div>
    <w:div w:id="719137092">
      <w:bodyDiv w:val="1"/>
      <w:marLeft w:val="0"/>
      <w:marRight w:val="0"/>
      <w:marTop w:val="0"/>
      <w:marBottom w:val="0"/>
      <w:divBdr>
        <w:top w:val="none" w:sz="0" w:space="0" w:color="auto"/>
        <w:left w:val="none" w:sz="0" w:space="0" w:color="auto"/>
        <w:bottom w:val="none" w:sz="0" w:space="0" w:color="auto"/>
        <w:right w:val="none" w:sz="0" w:space="0" w:color="auto"/>
      </w:divBdr>
    </w:div>
    <w:div w:id="729423395">
      <w:bodyDiv w:val="1"/>
      <w:marLeft w:val="0"/>
      <w:marRight w:val="0"/>
      <w:marTop w:val="0"/>
      <w:marBottom w:val="0"/>
      <w:divBdr>
        <w:top w:val="none" w:sz="0" w:space="0" w:color="auto"/>
        <w:left w:val="none" w:sz="0" w:space="0" w:color="auto"/>
        <w:bottom w:val="none" w:sz="0" w:space="0" w:color="auto"/>
        <w:right w:val="none" w:sz="0" w:space="0" w:color="auto"/>
      </w:divBdr>
    </w:div>
    <w:div w:id="739868344">
      <w:bodyDiv w:val="1"/>
      <w:marLeft w:val="0"/>
      <w:marRight w:val="0"/>
      <w:marTop w:val="0"/>
      <w:marBottom w:val="0"/>
      <w:divBdr>
        <w:top w:val="none" w:sz="0" w:space="0" w:color="auto"/>
        <w:left w:val="none" w:sz="0" w:space="0" w:color="auto"/>
        <w:bottom w:val="none" w:sz="0" w:space="0" w:color="auto"/>
        <w:right w:val="none" w:sz="0" w:space="0" w:color="auto"/>
      </w:divBdr>
    </w:div>
    <w:div w:id="805396419">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96472402">
      <w:bodyDiv w:val="1"/>
      <w:marLeft w:val="0"/>
      <w:marRight w:val="0"/>
      <w:marTop w:val="0"/>
      <w:marBottom w:val="0"/>
      <w:divBdr>
        <w:top w:val="none" w:sz="0" w:space="0" w:color="auto"/>
        <w:left w:val="none" w:sz="0" w:space="0" w:color="auto"/>
        <w:bottom w:val="none" w:sz="0" w:space="0" w:color="auto"/>
        <w:right w:val="none" w:sz="0" w:space="0" w:color="auto"/>
      </w:divBdr>
    </w:div>
    <w:div w:id="908491743">
      <w:bodyDiv w:val="1"/>
      <w:marLeft w:val="0"/>
      <w:marRight w:val="0"/>
      <w:marTop w:val="0"/>
      <w:marBottom w:val="0"/>
      <w:divBdr>
        <w:top w:val="none" w:sz="0" w:space="0" w:color="auto"/>
        <w:left w:val="none" w:sz="0" w:space="0" w:color="auto"/>
        <w:bottom w:val="none" w:sz="0" w:space="0" w:color="auto"/>
        <w:right w:val="none" w:sz="0" w:space="0" w:color="auto"/>
      </w:divBdr>
    </w:div>
    <w:div w:id="932975527">
      <w:bodyDiv w:val="1"/>
      <w:marLeft w:val="0"/>
      <w:marRight w:val="0"/>
      <w:marTop w:val="0"/>
      <w:marBottom w:val="0"/>
      <w:divBdr>
        <w:top w:val="none" w:sz="0" w:space="0" w:color="auto"/>
        <w:left w:val="none" w:sz="0" w:space="0" w:color="auto"/>
        <w:bottom w:val="none" w:sz="0" w:space="0" w:color="auto"/>
        <w:right w:val="none" w:sz="0" w:space="0" w:color="auto"/>
      </w:divBdr>
    </w:div>
    <w:div w:id="1029262288">
      <w:bodyDiv w:val="1"/>
      <w:marLeft w:val="0"/>
      <w:marRight w:val="0"/>
      <w:marTop w:val="0"/>
      <w:marBottom w:val="0"/>
      <w:divBdr>
        <w:top w:val="none" w:sz="0" w:space="0" w:color="auto"/>
        <w:left w:val="none" w:sz="0" w:space="0" w:color="auto"/>
        <w:bottom w:val="none" w:sz="0" w:space="0" w:color="auto"/>
        <w:right w:val="none" w:sz="0" w:space="0" w:color="auto"/>
      </w:divBdr>
    </w:div>
    <w:div w:id="1039932477">
      <w:bodyDiv w:val="1"/>
      <w:marLeft w:val="0"/>
      <w:marRight w:val="0"/>
      <w:marTop w:val="0"/>
      <w:marBottom w:val="0"/>
      <w:divBdr>
        <w:top w:val="none" w:sz="0" w:space="0" w:color="auto"/>
        <w:left w:val="none" w:sz="0" w:space="0" w:color="auto"/>
        <w:bottom w:val="none" w:sz="0" w:space="0" w:color="auto"/>
        <w:right w:val="none" w:sz="0" w:space="0" w:color="auto"/>
      </w:divBdr>
    </w:div>
    <w:div w:id="1064138573">
      <w:bodyDiv w:val="1"/>
      <w:marLeft w:val="0"/>
      <w:marRight w:val="0"/>
      <w:marTop w:val="0"/>
      <w:marBottom w:val="0"/>
      <w:divBdr>
        <w:top w:val="none" w:sz="0" w:space="0" w:color="auto"/>
        <w:left w:val="none" w:sz="0" w:space="0" w:color="auto"/>
        <w:bottom w:val="none" w:sz="0" w:space="0" w:color="auto"/>
        <w:right w:val="none" w:sz="0" w:space="0" w:color="auto"/>
      </w:divBdr>
    </w:div>
    <w:div w:id="1132677745">
      <w:bodyDiv w:val="1"/>
      <w:marLeft w:val="0"/>
      <w:marRight w:val="0"/>
      <w:marTop w:val="0"/>
      <w:marBottom w:val="0"/>
      <w:divBdr>
        <w:top w:val="none" w:sz="0" w:space="0" w:color="auto"/>
        <w:left w:val="none" w:sz="0" w:space="0" w:color="auto"/>
        <w:bottom w:val="none" w:sz="0" w:space="0" w:color="auto"/>
        <w:right w:val="none" w:sz="0" w:space="0" w:color="auto"/>
      </w:divBdr>
    </w:div>
    <w:div w:id="1175457140">
      <w:bodyDiv w:val="1"/>
      <w:marLeft w:val="0"/>
      <w:marRight w:val="0"/>
      <w:marTop w:val="0"/>
      <w:marBottom w:val="0"/>
      <w:divBdr>
        <w:top w:val="none" w:sz="0" w:space="0" w:color="auto"/>
        <w:left w:val="none" w:sz="0" w:space="0" w:color="auto"/>
        <w:bottom w:val="none" w:sz="0" w:space="0" w:color="auto"/>
        <w:right w:val="none" w:sz="0" w:space="0" w:color="auto"/>
      </w:divBdr>
      <w:divsChild>
        <w:div w:id="1355420971">
          <w:marLeft w:val="0"/>
          <w:marRight w:val="0"/>
          <w:marTop w:val="0"/>
          <w:marBottom w:val="0"/>
          <w:divBdr>
            <w:top w:val="none" w:sz="0" w:space="0" w:color="auto"/>
            <w:left w:val="none" w:sz="0" w:space="0" w:color="auto"/>
            <w:bottom w:val="none" w:sz="0" w:space="0" w:color="auto"/>
            <w:right w:val="none" w:sz="0" w:space="0" w:color="auto"/>
          </w:divBdr>
        </w:div>
        <w:div w:id="459567591">
          <w:marLeft w:val="0"/>
          <w:marRight w:val="0"/>
          <w:marTop w:val="0"/>
          <w:marBottom w:val="0"/>
          <w:divBdr>
            <w:top w:val="none" w:sz="0" w:space="0" w:color="auto"/>
            <w:left w:val="none" w:sz="0" w:space="0" w:color="auto"/>
            <w:bottom w:val="none" w:sz="0" w:space="0" w:color="auto"/>
            <w:right w:val="none" w:sz="0" w:space="0" w:color="auto"/>
          </w:divBdr>
        </w:div>
      </w:divsChild>
    </w:div>
    <w:div w:id="1238176789">
      <w:bodyDiv w:val="1"/>
      <w:marLeft w:val="0"/>
      <w:marRight w:val="0"/>
      <w:marTop w:val="0"/>
      <w:marBottom w:val="0"/>
      <w:divBdr>
        <w:top w:val="none" w:sz="0" w:space="0" w:color="auto"/>
        <w:left w:val="none" w:sz="0" w:space="0" w:color="auto"/>
        <w:bottom w:val="none" w:sz="0" w:space="0" w:color="auto"/>
        <w:right w:val="none" w:sz="0" w:space="0" w:color="auto"/>
      </w:divBdr>
    </w:div>
    <w:div w:id="1242568936">
      <w:bodyDiv w:val="1"/>
      <w:marLeft w:val="0"/>
      <w:marRight w:val="0"/>
      <w:marTop w:val="0"/>
      <w:marBottom w:val="0"/>
      <w:divBdr>
        <w:top w:val="none" w:sz="0" w:space="0" w:color="auto"/>
        <w:left w:val="none" w:sz="0" w:space="0" w:color="auto"/>
        <w:bottom w:val="none" w:sz="0" w:space="0" w:color="auto"/>
        <w:right w:val="none" w:sz="0" w:space="0" w:color="auto"/>
      </w:divBdr>
    </w:div>
    <w:div w:id="1266384211">
      <w:bodyDiv w:val="1"/>
      <w:marLeft w:val="0"/>
      <w:marRight w:val="0"/>
      <w:marTop w:val="0"/>
      <w:marBottom w:val="0"/>
      <w:divBdr>
        <w:top w:val="none" w:sz="0" w:space="0" w:color="auto"/>
        <w:left w:val="none" w:sz="0" w:space="0" w:color="auto"/>
        <w:bottom w:val="none" w:sz="0" w:space="0" w:color="auto"/>
        <w:right w:val="none" w:sz="0" w:space="0" w:color="auto"/>
      </w:divBdr>
    </w:div>
    <w:div w:id="1292051506">
      <w:bodyDiv w:val="1"/>
      <w:marLeft w:val="0"/>
      <w:marRight w:val="0"/>
      <w:marTop w:val="0"/>
      <w:marBottom w:val="0"/>
      <w:divBdr>
        <w:top w:val="none" w:sz="0" w:space="0" w:color="auto"/>
        <w:left w:val="none" w:sz="0" w:space="0" w:color="auto"/>
        <w:bottom w:val="none" w:sz="0" w:space="0" w:color="auto"/>
        <w:right w:val="none" w:sz="0" w:space="0" w:color="auto"/>
      </w:divBdr>
    </w:div>
    <w:div w:id="1323773764">
      <w:bodyDiv w:val="1"/>
      <w:marLeft w:val="0"/>
      <w:marRight w:val="0"/>
      <w:marTop w:val="0"/>
      <w:marBottom w:val="0"/>
      <w:divBdr>
        <w:top w:val="none" w:sz="0" w:space="0" w:color="auto"/>
        <w:left w:val="none" w:sz="0" w:space="0" w:color="auto"/>
        <w:bottom w:val="none" w:sz="0" w:space="0" w:color="auto"/>
        <w:right w:val="none" w:sz="0" w:space="0" w:color="auto"/>
      </w:divBdr>
    </w:div>
    <w:div w:id="1341853830">
      <w:bodyDiv w:val="1"/>
      <w:marLeft w:val="0"/>
      <w:marRight w:val="0"/>
      <w:marTop w:val="0"/>
      <w:marBottom w:val="0"/>
      <w:divBdr>
        <w:top w:val="none" w:sz="0" w:space="0" w:color="auto"/>
        <w:left w:val="none" w:sz="0" w:space="0" w:color="auto"/>
        <w:bottom w:val="none" w:sz="0" w:space="0" w:color="auto"/>
        <w:right w:val="none" w:sz="0" w:space="0" w:color="auto"/>
      </w:divBdr>
    </w:div>
    <w:div w:id="1413816767">
      <w:bodyDiv w:val="1"/>
      <w:marLeft w:val="0"/>
      <w:marRight w:val="0"/>
      <w:marTop w:val="0"/>
      <w:marBottom w:val="0"/>
      <w:divBdr>
        <w:top w:val="none" w:sz="0" w:space="0" w:color="auto"/>
        <w:left w:val="none" w:sz="0" w:space="0" w:color="auto"/>
        <w:bottom w:val="none" w:sz="0" w:space="0" w:color="auto"/>
        <w:right w:val="none" w:sz="0" w:space="0" w:color="auto"/>
      </w:divBdr>
    </w:div>
    <w:div w:id="1420759357">
      <w:bodyDiv w:val="1"/>
      <w:marLeft w:val="0"/>
      <w:marRight w:val="0"/>
      <w:marTop w:val="0"/>
      <w:marBottom w:val="0"/>
      <w:divBdr>
        <w:top w:val="none" w:sz="0" w:space="0" w:color="auto"/>
        <w:left w:val="none" w:sz="0" w:space="0" w:color="auto"/>
        <w:bottom w:val="none" w:sz="0" w:space="0" w:color="auto"/>
        <w:right w:val="none" w:sz="0" w:space="0" w:color="auto"/>
      </w:divBdr>
    </w:div>
    <w:div w:id="1448423549">
      <w:bodyDiv w:val="1"/>
      <w:marLeft w:val="0"/>
      <w:marRight w:val="0"/>
      <w:marTop w:val="0"/>
      <w:marBottom w:val="0"/>
      <w:divBdr>
        <w:top w:val="none" w:sz="0" w:space="0" w:color="auto"/>
        <w:left w:val="none" w:sz="0" w:space="0" w:color="auto"/>
        <w:bottom w:val="none" w:sz="0" w:space="0" w:color="auto"/>
        <w:right w:val="none" w:sz="0" w:space="0" w:color="auto"/>
      </w:divBdr>
    </w:div>
    <w:div w:id="1478379997">
      <w:bodyDiv w:val="1"/>
      <w:marLeft w:val="0"/>
      <w:marRight w:val="0"/>
      <w:marTop w:val="0"/>
      <w:marBottom w:val="0"/>
      <w:divBdr>
        <w:top w:val="none" w:sz="0" w:space="0" w:color="auto"/>
        <w:left w:val="none" w:sz="0" w:space="0" w:color="auto"/>
        <w:bottom w:val="none" w:sz="0" w:space="0" w:color="auto"/>
        <w:right w:val="none" w:sz="0" w:space="0" w:color="auto"/>
      </w:divBdr>
    </w:div>
    <w:div w:id="1501967801">
      <w:bodyDiv w:val="1"/>
      <w:marLeft w:val="0"/>
      <w:marRight w:val="0"/>
      <w:marTop w:val="0"/>
      <w:marBottom w:val="0"/>
      <w:divBdr>
        <w:top w:val="none" w:sz="0" w:space="0" w:color="auto"/>
        <w:left w:val="none" w:sz="0" w:space="0" w:color="auto"/>
        <w:bottom w:val="none" w:sz="0" w:space="0" w:color="auto"/>
        <w:right w:val="none" w:sz="0" w:space="0" w:color="auto"/>
      </w:divBdr>
      <w:divsChild>
        <w:div w:id="1910455726">
          <w:marLeft w:val="0"/>
          <w:marRight w:val="0"/>
          <w:marTop w:val="0"/>
          <w:marBottom w:val="0"/>
          <w:divBdr>
            <w:top w:val="none" w:sz="0" w:space="0" w:color="auto"/>
            <w:left w:val="none" w:sz="0" w:space="0" w:color="auto"/>
            <w:bottom w:val="none" w:sz="0" w:space="0" w:color="auto"/>
            <w:right w:val="none" w:sz="0" w:space="0" w:color="auto"/>
          </w:divBdr>
        </w:div>
      </w:divsChild>
    </w:div>
    <w:div w:id="1522402325">
      <w:bodyDiv w:val="1"/>
      <w:marLeft w:val="0"/>
      <w:marRight w:val="0"/>
      <w:marTop w:val="0"/>
      <w:marBottom w:val="0"/>
      <w:divBdr>
        <w:top w:val="none" w:sz="0" w:space="0" w:color="auto"/>
        <w:left w:val="none" w:sz="0" w:space="0" w:color="auto"/>
        <w:bottom w:val="none" w:sz="0" w:space="0" w:color="auto"/>
        <w:right w:val="none" w:sz="0" w:space="0" w:color="auto"/>
      </w:divBdr>
    </w:div>
    <w:div w:id="1553688069">
      <w:bodyDiv w:val="1"/>
      <w:marLeft w:val="0"/>
      <w:marRight w:val="0"/>
      <w:marTop w:val="0"/>
      <w:marBottom w:val="0"/>
      <w:divBdr>
        <w:top w:val="none" w:sz="0" w:space="0" w:color="auto"/>
        <w:left w:val="none" w:sz="0" w:space="0" w:color="auto"/>
        <w:bottom w:val="none" w:sz="0" w:space="0" w:color="auto"/>
        <w:right w:val="none" w:sz="0" w:space="0" w:color="auto"/>
      </w:divBdr>
    </w:div>
    <w:div w:id="1559973722">
      <w:bodyDiv w:val="1"/>
      <w:marLeft w:val="0"/>
      <w:marRight w:val="0"/>
      <w:marTop w:val="0"/>
      <w:marBottom w:val="0"/>
      <w:divBdr>
        <w:top w:val="none" w:sz="0" w:space="0" w:color="auto"/>
        <w:left w:val="none" w:sz="0" w:space="0" w:color="auto"/>
        <w:bottom w:val="none" w:sz="0" w:space="0" w:color="auto"/>
        <w:right w:val="none" w:sz="0" w:space="0" w:color="auto"/>
      </w:divBdr>
    </w:div>
    <w:div w:id="1575049578">
      <w:bodyDiv w:val="1"/>
      <w:marLeft w:val="0"/>
      <w:marRight w:val="0"/>
      <w:marTop w:val="0"/>
      <w:marBottom w:val="0"/>
      <w:divBdr>
        <w:top w:val="none" w:sz="0" w:space="0" w:color="auto"/>
        <w:left w:val="none" w:sz="0" w:space="0" w:color="auto"/>
        <w:bottom w:val="none" w:sz="0" w:space="0" w:color="auto"/>
        <w:right w:val="none" w:sz="0" w:space="0" w:color="auto"/>
      </w:divBdr>
    </w:div>
    <w:div w:id="1618833034">
      <w:bodyDiv w:val="1"/>
      <w:marLeft w:val="0"/>
      <w:marRight w:val="0"/>
      <w:marTop w:val="0"/>
      <w:marBottom w:val="0"/>
      <w:divBdr>
        <w:top w:val="none" w:sz="0" w:space="0" w:color="auto"/>
        <w:left w:val="none" w:sz="0" w:space="0" w:color="auto"/>
        <w:bottom w:val="none" w:sz="0" w:space="0" w:color="auto"/>
        <w:right w:val="none" w:sz="0" w:space="0" w:color="auto"/>
      </w:divBdr>
    </w:div>
    <w:div w:id="1629817065">
      <w:bodyDiv w:val="1"/>
      <w:marLeft w:val="0"/>
      <w:marRight w:val="0"/>
      <w:marTop w:val="0"/>
      <w:marBottom w:val="0"/>
      <w:divBdr>
        <w:top w:val="none" w:sz="0" w:space="0" w:color="auto"/>
        <w:left w:val="none" w:sz="0" w:space="0" w:color="auto"/>
        <w:bottom w:val="none" w:sz="0" w:space="0" w:color="auto"/>
        <w:right w:val="none" w:sz="0" w:space="0" w:color="auto"/>
      </w:divBdr>
    </w:div>
    <w:div w:id="1644500110">
      <w:bodyDiv w:val="1"/>
      <w:marLeft w:val="0"/>
      <w:marRight w:val="0"/>
      <w:marTop w:val="0"/>
      <w:marBottom w:val="0"/>
      <w:divBdr>
        <w:top w:val="none" w:sz="0" w:space="0" w:color="auto"/>
        <w:left w:val="none" w:sz="0" w:space="0" w:color="auto"/>
        <w:bottom w:val="none" w:sz="0" w:space="0" w:color="auto"/>
        <w:right w:val="none" w:sz="0" w:space="0" w:color="auto"/>
      </w:divBdr>
    </w:div>
    <w:div w:id="1722170554">
      <w:bodyDiv w:val="1"/>
      <w:marLeft w:val="0"/>
      <w:marRight w:val="0"/>
      <w:marTop w:val="0"/>
      <w:marBottom w:val="0"/>
      <w:divBdr>
        <w:top w:val="none" w:sz="0" w:space="0" w:color="auto"/>
        <w:left w:val="none" w:sz="0" w:space="0" w:color="auto"/>
        <w:bottom w:val="none" w:sz="0" w:space="0" w:color="auto"/>
        <w:right w:val="none" w:sz="0" w:space="0" w:color="auto"/>
      </w:divBdr>
    </w:div>
    <w:div w:id="1742633174">
      <w:bodyDiv w:val="1"/>
      <w:marLeft w:val="0"/>
      <w:marRight w:val="0"/>
      <w:marTop w:val="0"/>
      <w:marBottom w:val="0"/>
      <w:divBdr>
        <w:top w:val="none" w:sz="0" w:space="0" w:color="auto"/>
        <w:left w:val="none" w:sz="0" w:space="0" w:color="auto"/>
        <w:bottom w:val="none" w:sz="0" w:space="0" w:color="auto"/>
        <w:right w:val="none" w:sz="0" w:space="0" w:color="auto"/>
      </w:divBdr>
    </w:div>
    <w:div w:id="1746873697">
      <w:bodyDiv w:val="1"/>
      <w:marLeft w:val="0"/>
      <w:marRight w:val="0"/>
      <w:marTop w:val="0"/>
      <w:marBottom w:val="0"/>
      <w:divBdr>
        <w:top w:val="none" w:sz="0" w:space="0" w:color="auto"/>
        <w:left w:val="none" w:sz="0" w:space="0" w:color="auto"/>
        <w:bottom w:val="none" w:sz="0" w:space="0" w:color="auto"/>
        <w:right w:val="none" w:sz="0" w:space="0" w:color="auto"/>
      </w:divBdr>
    </w:div>
    <w:div w:id="1781799506">
      <w:bodyDiv w:val="1"/>
      <w:marLeft w:val="0"/>
      <w:marRight w:val="0"/>
      <w:marTop w:val="0"/>
      <w:marBottom w:val="0"/>
      <w:divBdr>
        <w:top w:val="none" w:sz="0" w:space="0" w:color="auto"/>
        <w:left w:val="none" w:sz="0" w:space="0" w:color="auto"/>
        <w:bottom w:val="none" w:sz="0" w:space="0" w:color="auto"/>
        <w:right w:val="none" w:sz="0" w:space="0" w:color="auto"/>
      </w:divBdr>
    </w:div>
    <w:div w:id="1790274540">
      <w:bodyDiv w:val="1"/>
      <w:marLeft w:val="0"/>
      <w:marRight w:val="0"/>
      <w:marTop w:val="0"/>
      <w:marBottom w:val="0"/>
      <w:divBdr>
        <w:top w:val="none" w:sz="0" w:space="0" w:color="auto"/>
        <w:left w:val="none" w:sz="0" w:space="0" w:color="auto"/>
        <w:bottom w:val="none" w:sz="0" w:space="0" w:color="auto"/>
        <w:right w:val="none" w:sz="0" w:space="0" w:color="auto"/>
      </w:divBdr>
    </w:div>
    <w:div w:id="1825047808">
      <w:bodyDiv w:val="1"/>
      <w:marLeft w:val="0"/>
      <w:marRight w:val="0"/>
      <w:marTop w:val="0"/>
      <w:marBottom w:val="0"/>
      <w:divBdr>
        <w:top w:val="none" w:sz="0" w:space="0" w:color="auto"/>
        <w:left w:val="none" w:sz="0" w:space="0" w:color="auto"/>
        <w:bottom w:val="none" w:sz="0" w:space="0" w:color="auto"/>
        <w:right w:val="none" w:sz="0" w:space="0" w:color="auto"/>
      </w:divBdr>
    </w:div>
    <w:div w:id="1825506422">
      <w:bodyDiv w:val="1"/>
      <w:marLeft w:val="0"/>
      <w:marRight w:val="0"/>
      <w:marTop w:val="0"/>
      <w:marBottom w:val="0"/>
      <w:divBdr>
        <w:top w:val="none" w:sz="0" w:space="0" w:color="auto"/>
        <w:left w:val="none" w:sz="0" w:space="0" w:color="auto"/>
        <w:bottom w:val="none" w:sz="0" w:space="0" w:color="auto"/>
        <w:right w:val="none" w:sz="0" w:space="0" w:color="auto"/>
      </w:divBdr>
    </w:div>
    <w:div w:id="1827041159">
      <w:bodyDiv w:val="1"/>
      <w:marLeft w:val="0"/>
      <w:marRight w:val="0"/>
      <w:marTop w:val="0"/>
      <w:marBottom w:val="0"/>
      <w:divBdr>
        <w:top w:val="none" w:sz="0" w:space="0" w:color="auto"/>
        <w:left w:val="none" w:sz="0" w:space="0" w:color="auto"/>
        <w:bottom w:val="none" w:sz="0" w:space="0" w:color="auto"/>
        <w:right w:val="none" w:sz="0" w:space="0" w:color="auto"/>
      </w:divBdr>
    </w:div>
    <w:div w:id="1887064573">
      <w:bodyDiv w:val="1"/>
      <w:marLeft w:val="0"/>
      <w:marRight w:val="0"/>
      <w:marTop w:val="0"/>
      <w:marBottom w:val="0"/>
      <w:divBdr>
        <w:top w:val="none" w:sz="0" w:space="0" w:color="auto"/>
        <w:left w:val="none" w:sz="0" w:space="0" w:color="auto"/>
        <w:bottom w:val="none" w:sz="0" w:space="0" w:color="auto"/>
        <w:right w:val="none" w:sz="0" w:space="0" w:color="auto"/>
      </w:divBdr>
    </w:div>
    <w:div w:id="1896696555">
      <w:bodyDiv w:val="1"/>
      <w:marLeft w:val="0"/>
      <w:marRight w:val="0"/>
      <w:marTop w:val="0"/>
      <w:marBottom w:val="0"/>
      <w:divBdr>
        <w:top w:val="none" w:sz="0" w:space="0" w:color="auto"/>
        <w:left w:val="none" w:sz="0" w:space="0" w:color="auto"/>
        <w:bottom w:val="none" w:sz="0" w:space="0" w:color="auto"/>
        <w:right w:val="none" w:sz="0" w:space="0" w:color="auto"/>
      </w:divBdr>
    </w:div>
    <w:div w:id="1902323376">
      <w:bodyDiv w:val="1"/>
      <w:marLeft w:val="0"/>
      <w:marRight w:val="0"/>
      <w:marTop w:val="0"/>
      <w:marBottom w:val="0"/>
      <w:divBdr>
        <w:top w:val="none" w:sz="0" w:space="0" w:color="auto"/>
        <w:left w:val="none" w:sz="0" w:space="0" w:color="auto"/>
        <w:bottom w:val="none" w:sz="0" w:space="0" w:color="auto"/>
        <w:right w:val="none" w:sz="0" w:space="0" w:color="auto"/>
      </w:divBdr>
    </w:div>
    <w:div w:id="1903637383">
      <w:bodyDiv w:val="1"/>
      <w:marLeft w:val="0"/>
      <w:marRight w:val="0"/>
      <w:marTop w:val="0"/>
      <w:marBottom w:val="0"/>
      <w:divBdr>
        <w:top w:val="none" w:sz="0" w:space="0" w:color="auto"/>
        <w:left w:val="none" w:sz="0" w:space="0" w:color="auto"/>
        <w:bottom w:val="none" w:sz="0" w:space="0" w:color="auto"/>
        <w:right w:val="none" w:sz="0" w:space="0" w:color="auto"/>
      </w:divBdr>
    </w:div>
    <w:div w:id="1914119577">
      <w:bodyDiv w:val="1"/>
      <w:marLeft w:val="0"/>
      <w:marRight w:val="0"/>
      <w:marTop w:val="0"/>
      <w:marBottom w:val="0"/>
      <w:divBdr>
        <w:top w:val="none" w:sz="0" w:space="0" w:color="auto"/>
        <w:left w:val="none" w:sz="0" w:space="0" w:color="auto"/>
        <w:bottom w:val="none" w:sz="0" w:space="0" w:color="auto"/>
        <w:right w:val="none" w:sz="0" w:space="0" w:color="auto"/>
      </w:divBdr>
    </w:div>
    <w:div w:id="1938712165">
      <w:bodyDiv w:val="1"/>
      <w:marLeft w:val="0"/>
      <w:marRight w:val="0"/>
      <w:marTop w:val="0"/>
      <w:marBottom w:val="0"/>
      <w:divBdr>
        <w:top w:val="none" w:sz="0" w:space="0" w:color="auto"/>
        <w:left w:val="none" w:sz="0" w:space="0" w:color="auto"/>
        <w:bottom w:val="none" w:sz="0" w:space="0" w:color="auto"/>
        <w:right w:val="none" w:sz="0" w:space="0" w:color="auto"/>
      </w:divBdr>
    </w:div>
    <w:div w:id="2024357381">
      <w:bodyDiv w:val="1"/>
      <w:marLeft w:val="0"/>
      <w:marRight w:val="0"/>
      <w:marTop w:val="0"/>
      <w:marBottom w:val="0"/>
      <w:divBdr>
        <w:top w:val="none" w:sz="0" w:space="0" w:color="auto"/>
        <w:left w:val="none" w:sz="0" w:space="0" w:color="auto"/>
        <w:bottom w:val="none" w:sz="0" w:space="0" w:color="auto"/>
        <w:right w:val="none" w:sz="0" w:space="0" w:color="auto"/>
      </w:divBdr>
    </w:div>
    <w:div w:id="2066947857">
      <w:bodyDiv w:val="1"/>
      <w:marLeft w:val="0"/>
      <w:marRight w:val="0"/>
      <w:marTop w:val="0"/>
      <w:marBottom w:val="0"/>
      <w:divBdr>
        <w:top w:val="none" w:sz="0" w:space="0" w:color="auto"/>
        <w:left w:val="none" w:sz="0" w:space="0" w:color="auto"/>
        <w:bottom w:val="none" w:sz="0" w:space="0" w:color="auto"/>
        <w:right w:val="none" w:sz="0" w:space="0" w:color="auto"/>
      </w:divBdr>
    </w:div>
    <w:div w:id="2068917157">
      <w:bodyDiv w:val="1"/>
      <w:marLeft w:val="0"/>
      <w:marRight w:val="0"/>
      <w:marTop w:val="0"/>
      <w:marBottom w:val="0"/>
      <w:divBdr>
        <w:top w:val="none" w:sz="0" w:space="0" w:color="auto"/>
        <w:left w:val="none" w:sz="0" w:space="0" w:color="auto"/>
        <w:bottom w:val="none" w:sz="0" w:space="0" w:color="auto"/>
        <w:right w:val="none" w:sz="0" w:space="0" w:color="auto"/>
      </w:divBdr>
    </w:div>
    <w:div w:id="2109888369">
      <w:bodyDiv w:val="1"/>
      <w:marLeft w:val="0"/>
      <w:marRight w:val="0"/>
      <w:marTop w:val="0"/>
      <w:marBottom w:val="0"/>
      <w:divBdr>
        <w:top w:val="none" w:sz="0" w:space="0" w:color="auto"/>
        <w:left w:val="none" w:sz="0" w:space="0" w:color="auto"/>
        <w:bottom w:val="none" w:sz="0" w:space="0" w:color="auto"/>
        <w:right w:val="none" w:sz="0" w:space="0" w:color="auto"/>
      </w:divBdr>
    </w:div>
    <w:div w:id="2129080951">
      <w:bodyDiv w:val="1"/>
      <w:marLeft w:val="0"/>
      <w:marRight w:val="0"/>
      <w:marTop w:val="0"/>
      <w:marBottom w:val="0"/>
      <w:divBdr>
        <w:top w:val="none" w:sz="0" w:space="0" w:color="auto"/>
        <w:left w:val="none" w:sz="0" w:space="0" w:color="auto"/>
        <w:bottom w:val="none" w:sz="0" w:space="0" w:color="auto"/>
        <w:right w:val="none" w:sz="0" w:space="0" w:color="auto"/>
      </w:divBdr>
    </w:div>
    <w:div w:id="2143421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mqdq.it/texts/CIC|phae|034" TargetMode="External"/><Relationship Id="rId2" Type="http://schemas.openxmlformats.org/officeDocument/2006/relationships/hyperlink" Target="http://data.perseus.org/citations/urn:cts:greekLit:tlg1799.tlg001.perseus-eng1:3" TargetMode="External"/><Relationship Id="rId1" Type="http://schemas.openxmlformats.org/officeDocument/2006/relationships/hyperlink" Target="https://www.digitale-sammlungen.de/en/view/bsb00108555?page=148,149" TargetMode="External"/><Relationship Id="rId4" Type="http://schemas.openxmlformats.org/officeDocument/2006/relationships/hyperlink" Target="https://luna.folger.edu/luna/servlet/detail/FOLGERCM1~6~6~1239601~259813:-Historiae--Liber-1-4--English--Fou%3Fsort%3Dcall_number%252Cmpsortorder1%252Ccd_title%252Cimprint?qvq=w4s:/who%2FSavile%2C%2BHenry%2C%2BSir%2C%2B1549-1622.%2Fwhat%2F%255BHistoriae.%2BLiber%2B1-4.%2BEnglish%255D%2BFour%2Bbooks%2Bof%2Bthe%2Bhistories%2Band%2BAgricola%2B%255Bmanuscript%255D%2C;q:tacitus;sort:call_number%2Cmpsortorder1%2Ccd_title%2Cimprint;lc:FOLGERCM1~6~6&amp;mi=0&amp;trs=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8094</Words>
  <Characters>46138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John-Mark Philo</dc:creator>
  <cp:keywords/>
  <dc:description/>
  <cp:lastModifiedBy>Jeff Davison (LLE - Staff)</cp:lastModifiedBy>
  <cp:revision>2</cp:revision>
  <dcterms:created xsi:type="dcterms:W3CDTF">2026-03-17T13:31:00Z</dcterms:created>
  <dcterms:modified xsi:type="dcterms:W3CDTF">2026-03-17T13:31:00Z</dcterms:modified>
</cp:coreProperties>
</file>