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F1D8" w14:textId="485B78FA" w:rsidR="003F45FD" w:rsidRPr="00A31721" w:rsidRDefault="003F45FD" w:rsidP="003F45FD">
      <w:pPr>
        <w:pStyle w:val="NoSpacing"/>
        <w:spacing w:line="240" w:lineRule="auto"/>
        <w:jc w:val="left"/>
        <w:rPr>
          <w:rFonts w:cs="Times New Roman"/>
          <w:b/>
          <w:bCs/>
          <w:color w:val="000000" w:themeColor="text1"/>
          <w:szCs w:val="24"/>
          <w:lang w:val="en-US"/>
        </w:rPr>
      </w:pPr>
      <w:r w:rsidRPr="00A31721">
        <w:rPr>
          <w:rFonts w:cs="Times New Roman"/>
          <w:b/>
          <w:bCs/>
          <w:color w:val="000000" w:themeColor="text1"/>
          <w:szCs w:val="24"/>
          <w:lang w:val="en-US"/>
        </w:rPr>
        <w:t xml:space="preserve">Environmental Sustainability in Wineries: How Contingency Factors and Environmental Management Accounting Tools Influence </w:t>
      </w:r>
      <w:r w:rsidR="00A56374" w:rsidRPr="00A31721">
        <w:rPr>
          <w:rFonts w:cs="Times New Roman"/>
          <w:b/>
          <w:bCs/>
          <w:color w:val="000000" w:themeColor="text1"/>
          <w:szCs w:val="24"/>
          <w:lang w:val="en-US"/>
        </w:rPr>
        <w:t xml:space="preserve">Environmental </w:t>
      </w:r>
      <w:r w:rsidRPr="00A31721">
        <w:rPr>
          <w:rFonts w:cs="Times New Roman"/>
          <w:b/>
          <w:bCs/>
          <w:color w:val="000000" w:themeColor="text1"/>
          <w:szCs w:val="24"/>
          <w:lang w:val="en-US"/>
        </w:rPr>
        <w:t>Performance?</w:t>
      </w:r>
    </w:p>
    <w:p w14:paraId="45E9E1EF" w14:textId="77777777" w:rsidR="004170C1" w:rsidRPr="00A31721" w:rsidRDefault="004170C1" w:rsidP="005E7EB0">
      <w:pPr>
        <w:spacing w:after="0"/>
        <w:jc w:val="both"/>
        <w:rPr>
          <w:rFonts w:ascii="Times New Roman" w:eastAsia="Times New Roman" w:hAnsi="Times New Roman" w:cs="Times New Roman"/>
          <w:b/>
          <w:color w:val="000000" w:themeColor="text1"/>
          <w:sz w:val="24"/>
          <w:szCs w:val="24"/>
        </w:rPr>
      </w:pPr>
    </w:p>
    <w:p w14:paraId="2469EF73" w14:textId="77777777" w:rsidR="004170C1" w:rsidRPr="00A31721" w:rsidRDefault="004170C1" w:rsidP="005E7EB0">
      <w:pPr>
        <w:spacing w:after="0"/>
        <w:jc w:val="both"/>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Abstract:  </w:t>
      </w:r>
    </w:p>
    <w:p w14:paraId="0F13C973" w14:textId="57F6980D" w:rsidR="004170C1" w:rsidRPr="00A31721" w:rsidRDefault="004170C1" w:rsidP="005E7EB0">
      <w:pPr>
        <w:spacing w:after="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b/>
          <w:color w:val="000000" w:themeColor="text1"/>
          <w:sz w:val="24"/>
          <w:szCs w:val="24"/>
        </w:rPr>
        <w:t>Purpose</w:t>
      </w:r>
      <w:r w:rsidRPr="00A31721">
        <w:rPr>
          <w:rFonts w:ascii="Times New Roman" w:eastAsia="Times New Roman" w:hAnsi="Times New Roman" w:cs="Times New Roman"/>
          <w:color w:val="000000" w:themeColor="text1"/>
          <w:sz w:val="24"/>
          <w:szCs w:val="24"/>
        </w:rPr>
        <w:t xml:space="preserve">: </w:t>
      </w:r>
      <w:r w:rsidR="00A96D26" w:rsidRPr="00A31721">
        <w:rPr>
          <w:rFonts w:ascii="Times New Roman" w:eastAsia="Times New Roman" w:hAnsi="Times New Roman" w:cs="Times New Roman"/>
          <w:color w:val="000000" w:themeColor="text1"/>
          <w:sz w:val="24"/>
          <w:szCs w:val="24"/>
        </w:rPr>
        <w:t>How do wineries design sustainability practices and use Environmental Management Accounting (EMA)? This study addresses that question by analyzing the influence of contingency factors on the adoption of sustainability practices and the use of EMA tools to improve the environmental performance of wineries.</w:t>
      </w:r>
    </w:p>
    <w:p w14:paraId="0523FCE0" w14:textId="77777777" w:rsidR="004170C1" w:rsidRPr="00A31721" w:rsidRDefault="004170C1" w:rsidP="005E7EB0">
      <w:pPr>
        <w:spacing w:after="0"/>
        <w:jc w:val="both"/>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Materials and Methods</w:t>
      </w:r>
      <w:r w:rsidRPr="00A31721">
        <w:rPr>
          <w:rFonts w:ascii="Times New Roman" w:eastAsia="Times New Roman" w:hAnsi="Times New Roman" w:cs="Times New Roman"/>
          <w:color w:val="000000" w:themeColor="text1"/>
          <w:sz w:val="24"/>
          <w:szCs w:val="24"/>
        </w:rPr>
        <w:t>: The research was carried out through a survey with 171 Brazilian wineries, and structural equation modeling regression was used to test the hypothesis.</w:t>
      </w:r>
    </w:p>
    <w:p w14:paraId="50A8C469" w14:textId="12C892F8" w:rsidR="004170C1" w:rsidRPr="00A31721" w:rsidRDefault="004170C1" w:rsidP="005E7EB0">
      <w:pPr>
        <w:spacing w:after="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b/>
          <w:color w:val="000000" w:themeColor="text1"/>
          <w:sz w:val="24"/>
          <w:szCs w:val="24"/>
        </w:rPr>
        <w:t>Results</w:t>
      </w:r>
      <w:r w:rsidRPr="00A31721">
        <w:rPr>
          <w:rFonts w:ascii="Times New Roman" w:eastAsia="Times New Roman" w:hAnsi="Times New Roman" w:cs="Times New Roman"/>
          <w:color w:val="000000" w:themeColor="text1"/>
          <w:sz w:val="24"/>
          <w:szCs w:val="24"/>
        </w:rPr>
        <w:t xml:space="preserve">: The results suggest that contingency factors, such as environmental uncertainties, environmental strategy, and technology influence the adoption sustainability practices and the use of EMA tools and have a positive impact on the environmental performance of Brazilian wineries. The study also shows that there is no direct effect between the use of EMA tools and environmental performance, but there is positive impact on financial and non-financial performance, indicating that in </w:t>
      </w:r>
      <w:r w:rsidR="0029399C" w:rsidRPr="00A31721">
        <w:rPr>
          <w:rFonts w:ascii="Times New Roman" w:eastAsia="Times New Roman" w:hAnsi="Times New Roman" w:cs="Times New Roman"/>
          <w:color w:val="000000" w:themeColor="text1"/>
          <w:sz w:val="24"/>
          <w:szCs w:val="24"/>
        </w:rPr>
        <w:t xml:space="preserve">winery </w:t>
      </w:r>
      <w:r w:rsidRPr="00A31721">
        <w:rPr>
          <w:rFonts w:ascii="Times New Roman" w:eastAsia="Times New Roman" w:hAnsi="Times New Roman" w:cs="Times New Roman"/>
          <w:color w:val="000000" w:themeColor="text1"/>
          <w:sz w:val="24"/>
          <w:szCs w:val="24"/>
        </w:rPr>
        <w:t>setting EMA tools</w:t>
      </w:r>
      <w:r w:rsidR="003763A1"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are mainly used for cost saving and economic purpose rather than environmental impact.  </w:t>
      </w:r>
    </w:p>
    <w:p w14:paraId="7583E255" w14:textId="498BDF0E" w:rsidR="004170C1" w:rsidRPr="00A31721" w:rsidRDefault="004170C1" w:rsidP="004170C1">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b/>
          <w:color w:val="000000" w:themeColor="text1"/>
          <w:sz w:val="24"/>
          <w:szCs w:val="24"/>
        </w:rPr>
        <w:t>Conclusion:</w:t>
      </w:r>
      <w:r w:rsidRPr="00A31721">
        <w:rPr>
          <w:rFonts w:ascii="Times New Roman" w:eastAsia="Times New Roman" w:hAnsi="Times New Roman" w:cs="Times New Roman"/>
          <w:color w:val="000000" w:themeColor="text1"/>
          <w:sz w:val="24"/>
          <w:szCs w:val="24"/>
        </w:rPr>
        <w:t xml:space="preserve"> </w:t>
      </w:r>
      <w:r w:rsidR="000F50BD" w:rsidRPr="00A31721">
        <w:rPr>
          <w:rFonts w:ascii="Times New Roman" w:eastAsia="Times New Roman" w:hAnsi="Times New Roman" w:cs="Times New Roman"/>
          <w:color w:val="000000" w:themeColor="text1"/>
          <w:sz w:val="24"/>
          <w:szCs w:val="24"/>
        </w:rPr>
        <w:t>This study extends our understanding of how wineries design sustainability practices and deploy Environmental Management Accounting (EMA) tools in response to contextual contingencies. Drawing on Contingency Theory, we highlight the role of environmental uncertainty, strategy, and technology in shaping sustainability behavior. Our findings further show that the use of EMA tools by Brazilian wineries often leads to economic benefits</w:t>
      </w:r>
      <w:r w:rsidR="007540DB" w:rsidRPr="00A31721">
        <w:rPr>
          <w:rFonts w:ascii="Times New Roman" w:eastAsia="Times New Roman" w:hAnsi="Times New Roman" w:cs="Times New Roman"/>
          <w:color w:val="000000" w:themeColor="text1"/>
          <w:sz w:val="24"/>
          <w:szCs w:val="24"/>
        </w:rPr>
        <w:t>.</w:t>
      </w:r>
    </w:p>
    <w:p w14:paraId="5F8ED030" w14:textId="77777777" w:rsidR="004170C1" w:rsidRPr="00A31721" w:rsidRDefault="004170C1" w:rsidP="004170C1">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p>
    <w:p w14:paraId="04D59E47" w14:textId="006A8DF3" w:rsidR="004170C1" w:rsidRPr="00A31721" w:rsidRDefault="004170C1" w:rsidP="004170C1">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b/>
          <w:color w:val="000000" w:themeColor="text1"/>
          <w:sz w:val="24"/>
          <w:szCs w:val="24"/>
        </w:rPr>
        <w:t>Keywords</w:t>
      </w:r>
      <w:r w:rsidRPr="00A31721">
        <w:rPr>
          <w:rFonts w:ascii="Times New Roman" w:eastAsia="Times New Roman" w:hAnsi="Times New Roman" w:cs="Times New Roman"/>
          <w:color w:val="000000" w:themeColor="text1"/>
          <w:sz w:val="24"/>
          <w:szCs w:val="24"/>
        </w:rPr>
        <w:t>: Contingency Theory. Environmental Management Accounting. Sustainability Practices. Wine</w:t>
      </w:r>
      <w:r w:rsidR="00796AF5" w:rsidRPr="00A31721">
        <w:rPr>
          <w:rFonts w:ascii="Times New Roman" w:eastAsia="Times New Roman" w:hAnsi="Times New Roman" w:cs="Times New Roman"/>
          <w:color w:val="000000" w:themeColor="text1"/>
          <w:sz w:val="24"/>
          <w:szCs w:val="24"/>
        </w:rPr>
        <w:t xml:space="preserve"> sector.</w:t>
      </w:r>
    </w:p>
    <w:p w14:paraId="1225BF4B" w14:textId="77777777" w:rsidR="004170C1" w:rsidRPr="00A31721" w:rsidRDefault="004170C1" w:rsidP="004170C1">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4D286E3F" w14:textId="77777777" w:rsidR="004170C1" w:rsidRPr="00A31721" w:rsidRDefault="004170C1" w:rsidP="004170C1">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1 Introduction </w:t>
      </w:r>
    </w:p>
    <w:p w14:paraId="231A4419" w14:textId="77777777" w:rsidR="004170C1" w:rsidRPr="00A31721" w:rsidRDefault="004170C1" w:rsidP="004170C1">
      <w:pPr>
        <w:pBdr>
          <w:top w:val="nil"/>
          <w:left w:val="nil"/>
          <w:bottom w:val="nil"/>
          <w:right w:val="nil"/>
          <w:between w:val="nil"/>
        </w:pBdr>
        <w:spacing w:after="0" w:line="240" w:lineRule="auto"/>
        <w:ind w:firstLine="709"/>
        <w:contextualSpacing/>
        <w:jc w:val="both"/>
        <w:rPr>
          <w:rFonts w:ascii="Times New Roman" w:hAnsi="Times New Roman" w:cs="Times New Roman"/>
          <w:color w:val="000000" w:themeColor="text1"/>
          <w:sz w:val="24"/>
          <w:szCs w:val="24"/>
        </w:rPr>
      </w:pPr>
    </w:p>
    <w:p w14:paraId="7C22D617" w14:textId="6B3A9278" w:rsidR="004E71B0" w:rsidRPr="00A31721" w:rsidRDefault="00026359" w:rsidP="00AD3972">
      <w:pPr>
        <w:spacing w:after="0" w:line="240" w:lineRule="auto"/>
        <w:ind w:firstLine="709"/>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Environmental sustainability has become an urgent priority for firms worldwide, driven by escalating ecological challenges such as global warming and the increasing scarcity of water and energy resources (Marco-Lajara et al., 2023; Martínez-Falcó et al., 2023). In this context, firms face growing pressure from stakeholders to integrate environmentally responsible strategies (</w:t>
      </w:r>
      <w:proofErr w:type="spellStart"/>
      <w:r w:rsidRPr="00A31721">
        <w:rPr>
          <w:rFonts w:ascii="Times New Roman" w:hAnsi="Times New Roman" w:cs="Times New Roman"/>
          <w:color w:val="000000" w:themeColor="text1"/>
          <w:sz w:val="24"/>
          <w:szCs w:val="24"/>
        </w:rPr>
        <w:t>Afum</w:t>
      </w:r>
      <w:proofErr w:type="spellEnd"/>
      <w:r w:rsidRPr="00A31721">
        <w:rPr>
          <w:rFonts w:ascii="Times New Roman" w:hAnsi="Times New Roman" w:cs="Times New Roman"/>
          <w:color w:val="000000" w:themeColor="text1"/>
          <w:sz w:val="24"/>
          <w:szCs w:val="24"/>
        </w:rPr>
        <w:t xml:space="preserve"> et al., 2020) and to embed environmental accounting practices into their core management systems (Burritt et al., 2020). This pressure is particularly acute in environmentally sensitive sectors such as wine production, where environmental impacts are closely scrutinized (Christ, 2014). </w:t>
      </w:r>
      <w:r w:rsidR="00E84473" w:rsidRPr="00A31721">
        <w:rPr>
          <w:rFonts w:ascii="Times New Roman" w:eastAsia="Times New Roman" w:hAnsi="Times New Roman" w:cs="Times New Roman"/>
          <w:color w:val="000000" w:themeColor="text1"/>
          <w:sz w:val="24"/>
          <w:szCs w:val="24"/>
        </w:rPr>
        <w:t xml:space="preserve">As a resource-intensive </w:t>
      </w:r>
      <w:r w:rsidR="001C247D" w:rsidRPr="00A31721">
        <w:rPr>
          <w:rFonts w:ascii="Times New Roman" w:eastAsia="Times New Roman" w:hAnsi="Times New Roman" w:cs="Times New Roman"/>
          <w:color w:val="000000" w:themeColor="text1"/>
          <w:sz w:val="24"/>
          <w:szCs w:val="24"/>
        </w:rPr>
        <w:t>setting</w:t>
      </w:r>
      <w:r w:rsidR="00E84473" w:rsidRPr="00A31721">
        <w:rPr>
          <w:rFonts w:ascii="Times New Roman" w:eastAsia="Times New Roman" w:hAnsi="Times New Roman" w:cs="Times New Roman"/>
          <w:color w:val="000000" w:themeColor="text1"/>
          <w:sz w:val="24"/>
          <w:szCs w:val="24"/>
        </w:rPr>
        <w:t xml:space="preserve"> anchored in agricultural inputs (most notably grapes), wine production entails extensive land use and involves a sequence of processing stages that generate both organic and inorganic waste streams (</w:t>
      </w:r>
      <w:proofErr w:type="spellStart"/>
      <w:r w:rsidR="00E84473" w:rsidRPr="00A31721">
        <w:rPr>
          <w:rFonts w:ascii="Times New Roman" w:eastAsia="Times New Roman" w:hAnsi="Times New Roman" w:cs="Times New Roman"/>
          <w:color w:val="000000" w:themeColor="text1"/>
          <w:sz w:val="24"/>
          <w:szCs w:val="24"/>
        </w:rPr>
        <w:t>Zacharof</w:t>
      </w:r>
      <w:proofErr w:type="spellEnd"/>
      <w:r w:rsidR="00E84473" w:rsidRPr="00A31721">
        <w:rPr>
          <w:rFonts w:ascii="Times New Roman" w:eastAsia="Times New Roman" w:hAnsi="Times New Roman" w:cs="Times New Roman"/>
          <w:color w:val="000000" w:themeColor="text1"/>
          <w:sz w:val="24"/>
          <w:szCs w:val="24"/>
        </w:rPr>
        <w:t xml:space="preserve">, 2017). </w:t>
      </w:r>
      <w:r w:rsidR="00E84247" w:rsidRPr="00A31721">
        <w:rPr>
          <w:rFonts w:ascii="Times New Roman" w:eastAsia="Times New Roman" w:hAnsi="Times New Roman" w:cs="Times New Roman"/>
          <w:color w:val="000000" w:themeColor="text1"/>
          <w:sz w:val="24"/>
          <w:szCs w:val="24"/>
        </w:rPr>
        <w:t>Furthermore</w:t>
      </w:r>
      <w:r w:rsidR="00DD4292" w:rsidRPr="00A31721">
        <w:rPr>
          <w:rFonts w:ascii="Times New Roman" w:eastAsia="Times New Roman" w:hAnsi="Times New Roman" w:cs="Times New Roman"/>
          <w:color w:val="000000" w:themeColor="text1"/>
          <w:sz w:val="24"/>
          <w:szCs w:val="24"/>
        </w:rPr>
        <w:t>, t</w:t>
      </w:r>
      <w:r w:rsidR="00E84473" w:rsidRPr="00A31721">
        <w:rPr>
          <w:rFonts w:ascii="Times New Roman" w:eastAsia="Times New Roman" w:hAnsi="Times New Roman" w:cs="Times New Roman"/>
          <w:color w:val="000000" w:themeColor="text1"/>
          <w:sz w:val="24"/>
          <w:szCs w:val="24"/>
        </w:rPr>
        <w:t>he sector’s substantial consumption of water and energy introduces critical sustainability challenges with broad environmental repercussions (</w:t>
      </w:r>
      <w:proofErr w:type="spellStart"/>
      <w:r w:rsidR="00E84473" w:rsidRPr="00A31721">
        <w:rPr>
          <w:rFonts w:ascii="Times New Roman" w:eastAsia="Times New Roman" w:hAnsi="Times New Roman" w:cs="Times New Roman"/>
          <w:color w:val="000000" w:themeColor="text1"/>
          <w:sz w:val="24"/>
          <w:szCs w:val="24"/>
        </w:rPr>
        <w:t>Gabzdylova</w:t>
      </w:r>
      <w:proofErr w:type="spellEnd"/>
      <w:r w:rsidR="00E84473" w:rsidRPr="00A31721">
        <w:rPr>
          <w:rFonts w:ascii="Times New Roman" w:eastAsia="Times New Roman" w:hAnsi="Times New Roman" w:cs="Times New Roman"/>
          <w:color w:val="000000" w:themeColor="text1"/>
          <w:sz w:val="24"/>
          <w:szCs w:val="24"/>
        </w:rPr>
        <w:t xml:space="preserve"> et al., 2009; Trigo &amp; Silva, 2022; Martínez-Falcó et al., 2025).</w:t>
      </w:r>
      <w:r w:rsidR="00D94C24" w:rsidRPr="00A31721">
        <w:rPr>
          <w:rFonts w:ascii="Times New Roman" w:hAnsi="Times New Roman" w:cs="Times New Roman"/>
          <w:color w:val="000000" w:themeColor="text1"/>
          <w:sz w:val="24"/>
          <w:szCs w:val="24"/>
        </w:rPr>
        <w:t xml:space="preserve"> </w:t>
      </w:r>
      <w:r w:rsidR="004E71B0" w:rsidRPr="00A31721">
        <w:rPr>
          <w:rFonts w:ascii="Times New Roman" w:hAnsi="Times New Roman" w:cs="Times New Roman"/>
          <w:color w:val="000000" w:themeColor="text1"/>
          <w:sz w:val="24"/>
          <w:szCs w:val="24"/>
        </w:rPr>
        <w:t xml:space="preserve"> </w:t>
      </w:r>
      <w:r w:rsidR="00164A1A" w:rsidRPr="00A31721">
        <w:rPr>
          <w:rFonts w:ascii="Times New Roman" w:hAnsi="Times New Roman" w:cs="Times New Roman"/>
          <w:color w:val="000000" w:themeColor="text1"/>
          <w:sz w:val="24"/>
          <w:szCs w:val="24"/>
        </w:rPr>
        <w:t>These concerns span the entire value chain, from viticulture and fermentation to packaging and distribution. As such, context-sensitive approaches to sustainability are required.</w:t>
      </w:r>
    </w:p>
    <w:p w14:paraId="3827D81E" w14:textId="05FB0388" w:rsidR="005263B1" w:rsidRPr="00A31721" w:rsidRDefault="00026359" w:rsidP="00E53E9B">
      <w:pPr>
        <w:spacing w:after="0" w:line="240" w:lineRule="auto"/>
        <w:ind w:firstLine="720"/>
        <w:contextualSpacing/>
        <w:jc w:val="both"/>
        <w:rPr>
          <w:rFonts w:ascii="Times New Roman" w:hAnsi="Times New Roman" w:cs="Times New Roman"/>
          <w:color w:val="000000" w:themeColor="text1"/>
          <w:sz w:val="24"/>
          <w:szCs w:val="24"/>
        </w:rPr>
      </w:pPr>
      <w:bookmarkStart w:id="0" w:name="_Hlk204604757"/>
      <w:r w:rsidRPr="00A31721">
        <w:rPr>
          <w:rFonts w:ascii="Times New Roman" w:hAnsi="Times New Roman" w:cs="Times New Roman"/>
          <w:color w:val="000000" w:themeColor="text1"/>
          <w:sz w:val="24"/>
          <w:szCs w:val="24"/>
        </w:rPr>
        <w:t xml:space="preserve">Evidence from previous literature suggests that the adoption of environmental information metrics is more likely when </w:t>
      </w:r>
      <w:r w:rsidR="00AE1AD1" w:rsidRPr="00A31721">
        <w:rPr>
          <w:rFonts w:ascii="Times New Roman" w:hAnsi="Times New Roman" w:cs="Times New Roman"/>
          <w:color w:val="000000" w:themeColor="text1"/>
          <w:sz w:val="24"/>
          <w:szCs w:val="24"/>
        </w:rPr>
        <w:t xml:space="preserve">winery </w:t>
      </w:r>
      <w:r w:rsidRPr="00A31721">
        <w:rPr>
          <w:rFonts w:ascii="Times New Roman" w:hAnsi="Times New Roman" w:cs="Times New Roman"/>
          <w:color w:val="000000" w:themeColor="text1"/>
          <w:sz w:val="24"/>
          <w:szCs w:val="24"/>
        </w:rPr>
        <w:t xml:space="preserve">pursue </w:t>
      </w:r>
      <w:r w:rsidR="00EC730E" w:rsidRPr="00A31721">
        <w:rPr>
          <w:rFonts w:ascii="Times New Roman" w:hAnsi="Times New Roman" w:cs="Times New Roman"/>
          <w:color w:val="000000" w:themeColor="text1"/>
          <w:sz w:val="24"/>
          <w:szCs w:val="24"/>
        </w:rPr>
        <w:t>clear</w:t>
      </w:r>
      <w:r w:rsidRPr="00A31721">
        <w:rPr>
          <w:rFonts w:ascii="Times New Roman" w:hAnsi="Times New Roman" w:cs="Times New Roman"/>
          <w:color w:val="000000" w:themeColor="text1"/>
          <w:sz w:val="24"/>
          <w:szCs w:val="24"/>
        </w:rPr>
        <w:t xml:space="preserve"> environmental strategies and comply with </w:t>
      </w:r>
      <w:r w:rsidRPr="00A31721">
        <w:rPr>
          <w:rFonts w:ascii="Times New Roman" w:hAnsi="Times New Roman" w:cs="Times New Roman"/>
          <w:color w:val="000000" w:themeColor="text1"/>
          <w:sz w:val="24"/>
          <w:szCs w:val="24"/>
        </w:rPr>
        <w:lastRenderedPageBreak/>
        <w:t>regulatory requirements (Christ, 2014)</w:t>
      </w:r>
      <w:r w:rsidR="00AE1B1C"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However, the lack of reliable environmental information on operational processes and products remains a key challenge in explaining the environmental performance of wineries (Marco-</w:t>
      </w:r>
      <w:proofErr w:type="spellStart"/>
      <w:r w:rsidRPr="00A31721">
        <w:rPr>
          <w:rFonts w:ascii="Times New Roman" w:hAnsi="Times New Roman" w:cs="Times New Roman"/>
          <w:color w:val="000000" w:themeColor="text1"/>
          <w:sz w:val="24"/>
          <w:szCs w:val="24"/>
        </w:rPr>
        <w:t>Fondevila</w:t>
      </w:r>
      <w:proofErr w:type="spellEnd"/>
      <w:r w:rsidRPr="00A31721">
        <w:rPr>
          <w:rFonts w:ascii="Times New Roman" w:hAnsi="Times New Roman" w:cs="Times New Roman"/>
          <w:color w:val="000000" w:themeColor="text1"/>
          <w:sz w:val="24"/>
          <w:szCs w:val="24"/>
        </w:rPr>
        <w:t xml:space="preserve"> et al., 2020). </w:t>
      </w:r>
      <w:r w:rsidR="00BD4E9C" w:rsidRPr="00A31721">
        <w:rPr>
          <w:rFonts w:ascii="Times New Roman" w:hAnsi="Times New Roman" w:cs="Times New Roman"/>
          <w:color w:val="000000" w:themeColor="text1"/>
          <w:sz w:val="24"/>
          <w:szCs w:val="24"/>
        </w:rPr>
        <w:t>Acknowledging this issue</w:t>
      </w:r>
      <w:r w:rsidR="00D96EBE" w:rsidRPr="00A31721">
        <w:rPr>
          <w:rFonts w:ascii="Times New Roman" w:hAnsi="Times New Roman" w:cs="Times New Roman"/>
          <w:color w:val="000000" w:themeColor="text1"/>
          <w:sz w:val="24"/>
          <w:szCs w:val="24"/>
        </w:rPr>
        <w:t>, Martínez-Falcó et al. (2025) call for further research, emphasizing the importance of Environmental Management Accounting (EMA) in promoting long-term sustainability by helping wineries reduce operational costs</w:t>
      </w:r>
      <w:r w:rsidR="00984975" w:rsidRPr="00A31721">
        <w:rPr>
          <w:rFonts w:ascii="Times New Roman" w:hAnsi="Times New Roman" w:cs="Times New Roman"/>
          <w:color w:val="000000" w:themeColor="text1"/>
          <w:sz w:val="24"/>
          <w:szCs w:val="24"/>
        </w:rPr>
        <w:t>, water</w:t>
      </w:r>
      <w:r w:rsidR="00D96EBE" w:rsidRPr="00A31721">
        <w:rPr>
          <w:rFonts w:ascii="Times New Roman" w:hAnsi="Times New Roman" w:cs="Times New Roman"/>
          <w:color w:val="000000" w:themeColor="text1"/>
          <w:sz w:val="24"/>
          <w:szCs w:val="24"/>
        </w:rPr>
        <w:t xml:space="preserve"> </w:t>
      </w:r>
      <w:r w:rsidR="00A80AE3" w:rsidRPr="00A31721">
        <w:rPr>
          <w:rFonts w:ascii="Times New Roman" w:hAnsi="Times New Roman" w:cs="Times New Roman"/>
          <w:color w:val="000000" w:themeColor="text1"/>
          <w:sz w:val="24"/>
          <w:szCs w:val="24"/>
        </w:rPr>
        <w:t xml:space="preserve">waste </w:t>
      </w:r>
      <w:r w:rsidR="00D96EBE" w:rsidRPr="00A31721">
        <w:rPr>
          <w:rFonts w:ascii="Times New Roman" w:hAnsi="Times New Roman" w:cs="Times New Roman"/>
          <w:color w:val="000000" w:themeColor="text1"/>
          <w:sz w:val="24"/>
          <w:szCs w:val="24"/>
        </w:rPr>
        <w:t>and energy consumption.</w:t>
      </w:r>
      <w:bookmarkEnd w:id="0"/>
      <w:r w:rsidR="00D96EBE" w:rsidRPr="00A31721">
        <w:rPr>
          <w:rFonts w:ascii="Times New Roman" w:hAnsi="Times New Roman" w:cs="Times New Roman"/>
          <w:color w:val="000000" w:themeColor="text1"/>
          <w:sz w:val="24"/>
          <w:szCs w:val="24"/>
        </w:rPr>
        <w:t xml:space="preserve"> </w:t>
      </w:r>
      <w:r w:rsidR="00CA477C" w:rsidRPr="00A31721">
        <w:rPr>
          <w:rFonts w:ascii="Times New Roman" w:hAnsi="Times New Roman" w:cs="Times New Roman"/>
          <w:color w:val="000000" w:themeColor="text1"/>
          <w:sz w:val="24"/>
          <w:szCs w:val="24"/>
        </w:rPr>
        <w:t xml:space="preserve">EMA has been increasingly recognized as a vital tool for embedding environmental considerations into core management processes (Burritt, 2004; Gunarathne &amp; Lee, 2021; Sari et al., 2021; </w:t>
      </w:r>
      <w:proofErr w:type="spellStart"/>
      <w:r w:rsidR="00CA477C" w:rsidRPr="00A31721">
        <w:rPr>
          <w:rFonts w:ascii="Times New Roman" w:hAnsi="Times New Roman" w:cs="Times New Roman"/>
          <w:color w:val="000000" w:themeColor="text1"/>
          <w:sz w:val="24"/>
          <w:szCs w:val="24"/>
        </w:rPr>
        <w:t>Appannan</w:t>
      </w:r>
      <w:proofErr w:type="spellEnd"/>
      <w:r w:rsidR="00CA477C" w:rsidRPr="00A31721">
        <w:rPr>
          <w:rFonts w:ascii="Times New Roman" w:hAnsi="Times New Roman" w:cs="Times New Roman"/>
          <w:color w:val="000000" w:themeColor="text1"/>
          <w:sz w:val="24"/>
          <w:szCs w:val="24"/>
        </w:rPr>
        <w:t xml:space="preserve"> et al., 2023; Gunarathne &amp; Lee, 2023). It enables organizations to systematically monitor, quantify, and report both financial and physical aspects of environmental performance (Gunarathne et al., 2023; Xu et al., 2025), thereby supporting evidence-based decision-making through structured sustainability metrics (</w:t>
      </w:r>
      <w:proofErr w:type="spellStart"/>
      <w:r w:rsidR="00CA477C" w:rsidRPr="00A31721">
        <w:rPr>
          <w:rFonts w:ascii="Times New Roman" w:hAnsi="Times New Roman" w:cs="Times New Roman"/>
          <w:color w:val="000000" w:themeColor="text1"/>
          <w:sz w:val="24"/>
          <w:szCs w:val="24"/>
        </w:rPr>
        <w:t>Schaltegger</w:t>
      </w:r>
      <w:proofErr w:type="spellEnd"/>
      <w:r w:rsidR="00CA477C" w:rsidRPr="00A31721">
        <w:rPr>
          <w:rFonts w:ascii="Times New Roman" w:hAnsi="Times New Roman" w:cs="Times New Roman"/>
          <w:color w:val="000000" w:themeColor="text1"/>
          <w:sz w:val="24"/>
          <w:szCs w:val="24"/>
        </w:rPr>
        <w:t xml:space="preserve"> et al., 2022). </w:t>
      </w:r>
      <w:r w:rsidR="00543EBA" w:rsidRPr="00A31721">
        <w:rPr>
          <w:rFonts w:ascii="Times New Roman" w:hAnsi="Times New Roman" w:cs="Times New Roman"/>
          <w:color w:val="000000" w:themeColor="text1"/>
          <w:sz w:val="24"/>
          <w:szCs w:val="24"/>
        </w:rPr>
        <w:t>These</w:t>
      </w:r>
      <w:r w:rsidR="00CA477C" w:rsidRPr="00A31721">
        <w:rPr>
          <w:rFonts w:ascii="Times New Roman" w:hAnsi="Times New Roman" w:cs="Times New Roman"/>
          <w:color w:val="000000" w:themeColor="text1"/>
          <w:sz w:val="24"/>
          <w:szCs w:val="24"/>
        </w:rPr>
        <w:t xml:space="preserve"> actions include material reuse (Rugani et al., 2013), resource optimization</w:t>
      </w:r>
      <w:r w:rsidR="00E83C79" w:rsidRPr="00A31721">
        <w:rPr>
          <w:rFonts w:ascii="Times New Roman" w:hAnsi="Times New Roman" w:cs="Times New Roman"/>
          <w:color w:val="000000" w:themeColor="text1"/>
          <w:sz w:val="24"/>
          <w:szCs w:val="24"/>
        </w:rPr>
        <w:t xml:space="preserve">, </w:t>
      </w:r>
      <w:r w:rsidR="00CA477C" w:rsidRPr="00A31721">
        <w:rPr>
          <w:rFonts w:ascii="Times New Roman" w:hAnsi="Times New Roman" w:cs="Times New Roman"/>
          <w:color w:val="000000" w:themeColor="text1"/>
          <w:sz w:val="24"/>
          <w:szCs w:val="24"/>
        </w:rPr>
        <w:t>especially in water and energy use (Marshall et al., 2005; Trigo &amp; Silva, 2022)</w:t>
      </w:r>
      <w:r w:rsidR="00E83C79" w:rsidRPr="00A31721">
        <w:rPr>
          <w:rFonts w:ascii="Times New Roman" w:hAnsi="Times New Roman" w:cs="Times New Roman"/>
          <w:color w:val="000000" w:themeColor="text1"/>
          <w:sz w:val="24"/>
          <w:szCs w:val="24"/>
        </w:rPr>
        <w:t xml:space="preserve">, </w:t>
      </w:r>
      <w:r w:rsidR="00CA477C" w:rsidRPr="00A31721">
        <w:rPr>
          <w:rFonts w:ascii="Times New Roman" w:hAnsi="Times New Roman" w:cs="Times New Roman"/>
          <w:color w:val="000000" w:themeColor="text1"/>
          <w:sz w:val="24"/>
          <w:szCs w:val="24"/>
        </w:rPr>
        <w:t>and the institutionalization of recycling practices (</w:t>
      </w:r>
      <w:proofErr w:type="spellStart"/>
      <w:r w:rsidR="00CA477C" w:rsidRPr="00A31721">
        <w:rPr>
          <w:rFonts w:ascii="Times New Roman" w:hAnsi="Times New Roman" w:cs="Times New Roman"/>
          <w:color w:val="000000" w:themeColor="text1"/>
          <w:sz w:val="24"/>
          <w:szCs w:val="24"/>
        </w:rPr>
        <w:t>Pomarici</w:t>
      </w:r>
      <w:proofErr w:type="spellEnd"/>
      <w:r w:rsidR="00CA477C" w:rsidRPr="00A31721">
        <w:rPr>
          <w:rFonts w:ascii="Times New Roman" w:hAnsi="Times New Roman" w:cs="Times New Roman"/>
          <w:color w:val="000000" w:themeColor="text1"/>
          <w:sz w:val="24"/>
          <w:szCs w:val="24"/>
        </w:rPr>
        <w:t xml:space="preserve"> &amp; Vecchio, 2019). </w:t>
      </w:r>
      <w:r w:rsidR="0085271F" w:rsidRPr="00A31721">
        <w:rPr>
          <w:rFonts w:ascii="Times New Roman" w:hAnsi="Times New Roman" w:cs="Times New Roman"/>
          <w:color w:val="000000" w:themeColor="text1"/>
          <w:sz w:val="24"/>
          <w:szCs w:val="24"/>
        </w:rPr>
        <w:t xml:space="preserve">Such </w:t>
      </w:r>
      <w:r w:rsidR="00CA477C" w:rsidRPr="00A31721">
        <w:rPr>
          <w:rFonts w:ascii="Times New Roman" w:hAnsi="Times New Roman" w:cs="Times New Roman"/>
          <w:color w:val="000000" w:themeColor="text1"/>
          <w:sz w:val="24"/>
          <w:szCs w:val="24"/>
        </w:rPr>
        <w:t>initiatives are not merely exercises in compliance</w:t>
      </w:r>
      <w:r w:rsidR="00F64154" w:rsidRPr="00A31721">
        <w:rPr>
          <w:rFonts w:ascii="Times New Roman" w:hAnsi="Times New Roman" w:cs="Times New Roman"/>
          <w:color w:val="000000" w:themeColor="text1"/>
          <w:sz w:val="24"/>
          <w:szCs w:val="24"/>
        </w:rPr>
        <w:t xml:space="preserve">, rather </w:t>
      </w:r>
      <w:r w:rsidR="00CA477C" w:rsidRPr="00A31721">
        <w:rPr>
          <w:rFonts w:ascii="Times New Roman" w:hAnsi="Times New Roman" w:cs="Times New Roman"/>
          <w:color w:val="000000" w:themeColor="text1"/>
          <w:sz w:val="24"/>
          <w:szCs w:val="24"/>
        </w:rPr>
        <w:t>they reflect evolving organizational capabilities designed to align environmental responsibility with performance goals.</w:t>
      </w:r>
      <w:r w:rsidR="001C247D" w:rsidRPr="00A31721">
        <w:rPr>
          <w:rFonts w:ascii="Times New Roman" w:hAnsi="Times New Roman" w:cs="Times New Roman"/>
          <w:color w:val="000000" w:themeColor="text1"/>
          <w:sz w:val="24"/>
          <w:szCs w:val="24"/>
        </w:rPr>
        <w:t xml:space="preserve"> </w:t>
      </w:r>
      <w:bookmarkStart w:id="1" w:name="_Hlk204604770"/>
      <w:r w:rsidRPr="00A31721">
        <w:rPr>
          <w:rFonts w:ascii="Times New Roman" w:hAnsi="Times New Roman" w:cs="Times New Roman"/>
          <w:color w:val="000000" w:themeColor="text1"/>
          <w:sz w:val="24"/>
          <w:szCs w:val="24"/>
        </w:rPr>
        <w:t xml:space="preserve">Despite these insights, our understanding of how wineries design and use </w:t>
      </w:r>
      <w:r w:rsidR="0015752C" w:rsidRPr="00A31721">
        <w:rPr>
          <w:rFonts w:ascii="Times New Roman" w:hAnsi="Times New Roman" w:cs="Times New Roman"/>
          <w:color w:val="000000" w:themeColor="text1"/>
          <w:sz w:val="24"/>
          <w:szCs w:val="24"/>
        </w:rPr>
        <w:t>sustainability practices</w:t>
      </w:r>
      <w:r w:rsidR="008D4B2A"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to assess </w:t>
      </w:r>
      <w:r w:rsidR="00337BAD" w:rsidRPr="00A31721">
        <w:rPr>
          <w:rFonts w:ascii="Times New Roman" w:hAnsi="Times New Roman" w:cs="Times New Roman"/>
          <w:color w:val="000000" w:themeColor="text1"/>
          <w:sz w:val="24"/>
          <w:szCs w:val="24"/>
        </w:rPr>
        <w:t xml:space="preserve">organizational </w:t>
      </w:r>
      <w:r w:rsidR="0015752C" w:rsidRPr="00A31721">
        <w:rPr>
          <w:rFonts w:ascii="Times New Roman" w:hAnsi="Times New Roman" w:cs="Times New Roman"/>
          <w:color w:val="000000" w:themeColor="text1"/>
          <w:sz w:val="24"/>
          <w:szCs w:val="24"/>
        </w:rPr>
        <w:t>outcomes</w:t>
      </w:r>
      <w:r w:rsidRPr="00A31721">
        <w:rPr>
          <w:rFonts w:ascii="Times New Roman" w:hAnsi="Times New Roman" w:cs="Times New Roman"/>
          <w:color w:val="000000" w:themeColor="text1"/>
          <w:sz w:val="24"/>
          <w:szCs w:val="24"/>
        </w:rPr>
        <w:t xml:space="preserve"> remains limited. </w:t>
      </w:r>
    </w:p>
    <w:bookmarkEnd w:id="1"/>
    <w:p w14:paraId="1C175C72" w14:textId="3D6B8DC9" w:rsidR="00C127ED" w:rsidRPr="00A31721" w:rsidRDefault="00405018" w:rsidP="005A7FBD">
      <w:pPr>
        <w:spacing w:after="0" w:line="240" w:lineRule="auto"/>
        <w:ind w:firstLine="720"/>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We argue that this gap stems from insufficient knowledge of how winery context factors shape the </w:t>
      </w:r>
      <w:r w:rsidR="00E67CAB" w:rsidRPr="00A31721">
        <w:rPr>
          <w:rFonts w:ascii="Times New Roman" w:hAnsi="Times New Roman" w:cs="Times New Roman"/>
          <w:color w:val="000000" w:themeColor="text1"/>
          <w:sz w:val="24"/>
          <w:szCs w:val="24"/>
        </w:rPr>
        <w:t>adoption of susta</w:t>
      </w:r>
      <w:r w:rsidR="00413BE5" w:rsidRPr="00A31721">
        <w:rPr>
          <w:rFonts w:ascii="Times New Roman" w:hAnsi="Times New Roman" w:cs="Times New Roman"/>
          <w:color w:val="000000" w:themeColor="text1"/>
          <w:sz w:val="24"/>
          <w:szCs w:val="24"/>
        </w:rPr>
        <w:t xml:space="preserve">inability practices </w:t>
      </w:r>
      <w:r w:rsidRPr="00A31721">
        <w:rPr>
          <w:rFonts w:ascii="Times New Roman" w:hAnsi="Times New Roman" w:cs="Times New Roman"/>
          <w:color w:val="000000" w:themeColor="text1"/>
          <w:sz w:val="24"/>
          <w:szCs w:val="24"/>
        </w:rPr>
        <w:t xml:space="preserve">and use of EMA tools. </w:t>
      </w:r>
      <w:r w:rsidR="00C57AE0" w:rsidRPr="00A31721">
        <w:rPr>
          <w:rFonts w:ascii="Times New Roman" w:hAnsi="Times New Roman" w:cs="Times New Roman"/>
          <w:color w:val="000000" w:themeColor="text1"/>
          <w:sz w:val="24"/>
          <w:szCs w:val="24"/>
        </w:rPr>
        <w:t xml:space="preserve">These contextual factors, such as </w:t>
      </w:r>
      <w:r w:rsidRPr="00A31721">
        <w:rPr>
          <w:rFonts w:ascii="Times New Roman" w:hAnsi="Times New Roman" w:cs="Times New Roman"/>
          <w:color w:val="000000" w:themeColor="text1"/>
          <w:sz w:val="24"/>
          <w:szCs w:val="24"/>
        </w:rPr>
        <w:t xml:space="preserve">climate change and natural disasters (Latan et al., 2018), stakeholder pressure, regulatory compliance, and consumer demand (Baird et al., 2018; </w:t>
      </w:r>
      <w:proofErr w:type="spellStart"/>
      <w:r w:rsidRPr="00A31721">
        <w:rPr>
          <w:rFonts w:ascii="Times New Roman" w:hAnsi="Times New Roman" w:cs="Times New Roman"/>
          <w:color w:val="000000" w:themeColor="text1"/>
          <w:sz w:val="24"/>
          <w:szCs w:val="24"/>
        </w:rPr>
        <w:t>Gabzdylova</w:t>
      </w:r>
      <w:proofErr w:type="spellEnd"/>
      <w:r w:rsidRPr="00A31721">
        <w:rPr>
          <w:rFonts w:ascii="Times New Roman" w:hAnsi="Times New Roman" w:cs="Times New Roman"/>
          <w:color w:val="000000" w:themeColor="text1"/>
          <w:sz w:val="24"/>
          <w:szCs w:val="24"/>
        </w:rPr>
        <w:t xml:space="preserve"> et al., 2009), differentiation strategies (Trigo &amp; Silva, 2022), and technological advancements (Agi &amp; Nishant, 2017; Sharma et al., 2017)</w:t>
      </w:r>
      <w:r w:rsidR="00A15118" w:rsidRPr="00A31721">
        <w:rPr>
          <w:rFonts w:ascii="Times New Roman" w:hAnsi="Times New Roman" w:cs="Times New Roman"/>
          <w:color w:val="000000" w:themeColor="text1"/>
          <w:sz w:val="24"/>
          <w:szCs w:val="24"/>
        </w:rPr>
        <w:t xml:space="preserve"> affect the magnitude of </w:t>
      </w:r>
      <w:r w:rsidR="00C57AE0" w:rsidRPr="00A31721">
        <w:rPr>
          <w:rFonts w:ascii="Times New Roman" w:hAnsi="Times New Roman" w:cs="Times New Roman"/>
          <w:color w:val="000000" w:themeColor="text1"/>
          <w:sz w:val="24"/>
          <w:szCs w:val="24"/>
        </w:rPr>
        <w:t>firm’s</w:t>
      </w:r>
      <w:r w:rsidR="006B38CE" w:rsidRPr="00A31721">
        <w:rPr>
          <w:rFonts w:ascii="Times New Roman" w:hAnsi="Times New Roman" w:cs="Times New Roman"/>
          <w:color w:val="000000" w:themeColor="text1"/>
          <w:sz w:val="24"/>
          <w:szCs w:val="24"/>
        </w:rPr>
        <w:t xml:space="preserve"> action</w:t>
      </w:r>
      <w:r w:rsidRPr="00A31721">
        <w:rPr>
          <w:rFonts w:ascii="Times New Roman" w:hAnsi="Times New Roman" w:cs="Times New Roman"/>
          <w:color w:val="000000" w:themeColor="text1"/>
          <w:sz w:val="24"/>
          <w:szCs w:val="24"/>
        </w:rPr>
        <w:t xml:space="preserve">. </w:t>
      </w:r>
      <w:proofErr w:type="gramStart"/>
      <w:r w:rsidR="004C3A4A" w:rsidRPr="00A31721">
        <w:rPr>
          <w:rFonts w:ascii="Times New Roman" w:hAnsi="Times New Roman" w:cs="Times New Roman"/>
          <w:color w:val="000000" w:themeColor="text1"/>
          <w:sz w:val="24"/>
          <w:szCs w:val="24"/>
        </w:rPr>
        <w:t>Specially</w:t>
      </w:r>
      <w:proofErr w:type="gramEnd"/>
      <w:r w:rsidRPr="00A31721">
        <w:rPr>
          <w:rFonts w:ascii="Times New Roman" w:hAnsi="Times New Roman" w:cs="Times New Roman"/>
          <w:color w:val="000000" w:themeColor="text1"/>
          <w:sz w:val="24"/>
          <w:szCs w:val="24"/>
        </w:rPr>
        <w:t>, it has been argued that factors such as environmental uncertainty, environmental strategy, and technology play a</w:t>
      </w:r>
      <w:r w:rsidR="0007036A" w:rsidRPr="00A31721">
        <w:rPr>
          <w:rFonts w:ascii="Times New Roman" w:hAnsi="Times New Roman" w:cs="Times New Roman"/>
          <w:color w:val="000000" w:themeColor="text1"/>
          <w:sz w:val="24"/>
          <w:szCs w:val="24"/>
        </w:rPr>
        <w:t xml:space="preserve"> particular role</w:t>
      </w:r>
      <w:r w:rsidRPr="00A31721">
        <w:rPr>
          <w:rFonts w:ascii="Times New Roman" w:hAnsi="Times New Roman" w:cs="Times New Roman"/>
          <w:color w:val="000000" w:themeColor="text1"/>
          <w:sz w:val="24"/>
          <w:szCs w:val="24"/>
        </w:rPr>
        <w:t xml:space="preserve"> in shaping organizational practices (Maas et al., 2016; Latan et al., 2018; Sharma et al., 2017), encouraging managers to engage more proactively in sustainability initiatives. To explore this nuance, we draw on Contingency Theory, which offers a useful lens for understanding how these factors influence sustainability management in the winery context. These dynamics compel managers to incorporate a wide range of considerations into their sustainability-related</w:t>
      </w:r>
      <w:r w:rsidR="00AA1C7E"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decisions (Christ, 2014), not only to meet stakeholder expectations and strengthen organizational legitimacy, but also to reduce environmental impact and reinforce corporate responsibility (Jun et al., 2024). From this perspective, we draw on the limited existing evidence on the intersection between these elements (Gond et al., 2012; Christ, 2014; </w:t>
      </w:r>
      <w:proofErr w:type="spellStart"/>
      <w:r w:rsidRPr="00A31721">
        <w:rPr>
          <w:rFonts w:ascii="Times New Roman" w:hAnsi="Times New Roman" w:cs="Times New Roman"/>
          <w:color w:val="000000" w:themeColor="text1"/>
          <w:sz w:val="24"/>
          <w:szCs w:val="24"/>
        </w:rPr>
        <w:t>Gerged</w:t>
      </w:r>
      <w:proofErr w:type="spellEnd"/>
      <w:r w:rsidRPr="00A31721">
        <w:rPr>
          <w:rFonts w:ascii="Times New Roman" w:hAnsi="Times New Roman" w:cs="Times New Roman"/>
          <w:color w:val="000000" w:themeColor="text1"/>
          <w:sz w:val="24"/>
          <w:szCs w:val="24"/>
        </w:rPr>
        <w:t xml:space="preserve"> et al., 2024) to suggest that a winery’s adoption </w:t>
      </w:r>
      <w:r w:rsidR="00DB4060" w:rsidRPr="00A31721">
        <w:rPr>
          <w:rFonts w:ascii="Times New Roman" w:hAnsi="Times New Roman" w:cs="Times New Roman"/>
          <w:color w:val="000000" w:themeColor="text1"/>
          <w:sz w:val="24"/>
          <w:szCs w:val="24"/>
        </w:rPr>
        <w:t xml:space="preserve">of </w:t>
      </w:r>
      <w:r w:rsidRPr="00A31721">
        <w:rPr>
          <w:rFonts w:ascii="Times New Roman" w:hAnsi="Times New Roman" w:cs="Times New Roman"/>
          <w:color w:val="000000" w:themeColor="text1"/>
          <w:sz w:val="24"/>
          <w:szCs w:val="24"/>
        </w:rPr>
        <w:t>sustainability practices and use of EMA tools do not occur in isolation but are influenced by contingency factors.</w:t>
      </w:r>
      <w:r w:rsidR="00147D6B" w:rsidRPr="00A31721">
        <w:rPr>
          <w:rFonts w:ascii="Times New Roman" w:hAnsi="Times New Roman" w:cs="Times New Roman"/>
          <w:color w:val="000000" w:themeColor="text1"/>
          <w:sz w:val="24"/>
          <w:szCs w:val="24"/>
        </w:rPr>
        <w:t xml:space="preserve"> </w:t>
      </w:r>
      <w:r w:rsidR="007E0F8A" w:rsidRPr="00A31721">
        <w:rPr>
          <w:rFonts w:ascii="Times New Roman" w:hAnsi="Times New Roman" w:cs="Times New Roman"/>
          <w:color w:val="000000" w:themeColor="text1"/>
          <w:sz w:val="24"/>
          <w:szCs w:val="24"/>
        </w:rPr>
        <w:t>Hence, this study seeks to answer the following research question</w:t>
      </w:r>
      <w:r w:rsidR="00E46D5E" w:rsidRPr="00A31721">
        <w:rPr>
          <w:rFonts w:ascii="Times New Roman" w:hAnsi="Times New Roman" w:cs="Times New Roman"/>
          <w:b/>
          <w:bCs/>
          <w:color w:val="000000" w:themeColor="text1"/>
          <w:sz w:val="24"/>
          <w:szCs w:val="24"/>
        </w:rPr>
        <w:t>: How do contingency factors influence the adoption of sustaina</w:t>
      </w:r>
      <w:r w:rsidR="0012214C" w:rsidRPr="00A31721">
        <w:rPr>
          <w:rFonts w:ascii="Times New Roman" w:hAnsi="Times New Roman" w:cs="Times New Roman"/>
          <w:b/>
          <w:bCs/>
          <w:color w:val="000000" w:themeColor="text1"/>
          <w:sz w:val="24"/>
          <w:szCs w:val="24"/>
        </w:rPr>
        <w:t>bility</w:t>
      </w:r>
      <w:r w:rsidR="00E46D5E" w:rsidRPr="00A31721">
        <w:rPr>
          <w:rFonts w:ascii="Times New Roman" w:hAnsi="Times New Roman" w:cs="Times New Roman"/>
          <w:b/>
          <w:bCs/>
          <w:color w:val="000000" w:themeColor="text1"/>
          <w:sz w:val="24"/>
          <w:szCs w:val="24"/>
        </w:rPr>
        <w:t xml:space="preserve"> practices and the use of EMA tools, contributing to environmental performance in wineries?</w:t>
      </w:r>
      <w:r w:rsidR="00E46D5E" w:rsidRPr="00A31721">
        <w:rPr>
          <w:rFonts w:ascii="Times New Roman" w:hAnsi="Times New Roman" w:cs="Times New Roman"/>
          <w:color w:val="000000" w:themeColor="text1"/>
          <w:sz w:val="24"/>
          <w:szCs w:val="24"/>
        </w:rPr>
        <w:t xml:space="preserve"> </w:t>
      </w:r>
    </w:p>
    <w:p w14:paraId="53647335" w14:textId="344EC497" w:rsidR="001B4128" w:rsidRPr="00A31721" w:rsidRDefault="001B4128" w:rsidP="001B4128">
      <w:pPr>
        <w:spacing w:after="0" w:line="240" w:lineRule="auto"/>
        <w:ind w:firstLine="709"/>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Our research contributes </w:t>
      </w:r>
      <w:r w:rsidR="0099290D" w:rsidRPr="00A31721">
        <w:rPr>
          <w:rFonts w:ascii="Times New Roman" w:hAnsi="Times New Roman" w:cs="Times New Roman"/>
          <w:color w:val="000000" w:themeColor="text1"/>
          <w:sz w:val="24"/>
          <w:szCs w:val="24"/>
        </w:rPr>
        <w:t xml:space="preserve">to the business literature </w:t>
      </w:r>
      <w:r w:rsidRPr="00A31721">
        <w:rPr>
          <w:rFonts w:ascii="Times New Roman" w:hAnsi="Times New Roman" w:cs="Times New Roman"/>
          <w:color w:val="000000" w:themeColor="text1"/>
          <w:sz w:val="24"/>
          <w:szCs w:val="24"/>
        </w:rPr>
        <w:t xml:space="preserve">by addressing how firms in the </w:t>
      </w:r>
      <w:proofErr w:type="gramStart"/>
      <w:r w:rsidRPr="00A31721">
        <w:rPr>
          <w:rFonts w:ascii="Times New Roman" w:hAnsi="Times New Roman" w:cs="Times New Roman"/>
          <w:color w:val="000000" w:themeColor="text1"/>
          <w:sz w:val="24"/>
          <w:szCs w:val="24"/>
        </w:rPr>
        <w:t>winery setting</w:t>
      </w:r>
      <w:proofErr w:type="gramEnd"/>
      <w:r w:rsidRPr="00A31721">
        <w:rPr>
          <w:rFonts w:ascii="Times New Roman" w:hAnsi="Times New Roman" w:cs="Times New Roman"/>
          <w:color w:val="000000" w:themeColor="text1"/>
          <w:sz w:val="24"/>
          <w:szCs w:val="24"/>
        </w:rPr>
        <w:t xml:space="preserve"> design sustainability practices and use EMA tools to ensure that strategic and operational objectives are </w:t>
      </w:r>
      <w:proofErr w:type="gramStart"/>
      <w:r w:rsidRPr="00A31721">
        <w:rPr>
          <w:rFonts w:ascii="Times New Roman" w:hAnsi="Times New Roman" w:cs="Times New Roman"/>
          <w:color w:val="000000" w:themeColor="text1"/>
          <w:sz w:val="24"/>
          <w:szCs w:val="24"/>
        </w:rPr>
        <w:t>taken into account</w:t>
      </w:r>
      <w:proofErr w:type="gramEnd"/>
      <w:r w:rsidRPr="00A31721">
        <w:rPr>
          <w:rFonts w:ascii="Times New Roman" w:hAnsi="Times New Roman" w:cs="Times New Roman"/>
          <w:color w:val="000000" w:themeColor="text1"/>
          <w:sz w:val="24"/>
          <w:szCs w:val="24"/>
        </w:rPr>
        <w:t>. Our study responds to calls for more research exploring how decision-making on sustainability matters is conducted in less explored settings (e.g., the winery setting) (</w:t>
      </w:r>
      <w:proofErr w:type="spellStart"/>
      <w:r w:rsidRPr="00A31721">
        <w:rPr>
          <w:rFonts w:ascii="Times New Roman" w:hAnsi="Times New Roman" w:cs="Times New Roman"/>
          <w:color w:val="000000" w:themeColor="text1"/>
          <w:sz w:val="24"/>
          <w:szCs w:val="24"/>
        </w:rPr>
        <w:t>Elhossade</w:t>
      </w:r>
      <w:proofErr w:type="spellEnd"/>
      <w:r w:rsidRPr="00A31721">
        <w:rPr>
          <w:rFonts w:ascii="Times New Roman" w:hAnsi="Times New Roman" w:cs="Times New Roman"/>
          <w:color w:val="000000" w:themeColor="text1"/>
          <w:sz w:val="24"/>
          <w:szCs w:val="24"/>
        </w:rPr>
        <w:t xml:space="preserve"> et al., 2021; </w:t>
      </w:r>
      <w:proofErr w:type="spellStart"/>
      <w:r w:rsidRPr="00A31721">
        <w:rPr>
          <w:rFonts w:ascii="Times New Roman" w:hAnsi="Times New Roman" w:cs="Times New Roman"/>
          <w:color w:val="000000" w:themeColor="text1"/>
          <w:sz w:val="24"/>
          <w:szCs w:val="24"/>
        </w:rPr>
        <w:t>Schaltegger</w:t>
      </w:r>
      <w:proofErr w:type="spellEnd"/>
      <w:r w:rsidRPr="00A31721">
        <w:rPr>
          <w:rFonts w:ascii="Times New Roman" w:hAnsi="Times New Roman" w:cs="Times New Roman"/>
          <w:color w:val="000000" w:themeColor="text1"/>
          <w:sz w:val="24"/>
          <w:szCs w:val="24"/>
        </w:rPr>
        <w:t xml:space="preserve"> et al., 2022). We also advance the literature by </w:t>
      </w:r>
      <w:r w:rsidR="009A5DE9" w:rsidRPr="00A31721">
        <w:rPr>
          <w:rFonts w:ascii="Times New Roman" w:hAnsi="Times New Roman" w:cs="Times New Roman"/>
          <w:color w:val="000000" w:themeColor="text1"/>
          <w:sz w:val="24"/>
          <w:szCs w:val="24"/>
        </w:rPr>
        <w:t>highlighting Contingency Theory as a critical lens for understanding how wineries engage in sustainability practices</w:t>
      </w:r>
      <w:r w:rsidRPr="00A31721">
        <w:rPr>
          <w:rFonts w:ascii="Times New Roman" w:hAnsi="Times New Roman" w:cs="Times New Roman"/>
          <w:color w:val="000000" w:themeColor="text1"/>
          <w:sz w:val="24"/>
          <w:szCs w:val="24"/>
        </w:rPr>
        <w:t xml:space="preserve">, particularly in designing and using sustainability practices. </w:t>
      </w:r>
      <w:r w:rsidR="00302293" w:rsidRPr="00A31721">
        <w:rPr>
          <w:rFonts w:ascii="Times New Roman" w:hAnsi="Times New Roman" w:cs="Times New Roman"/>
          <w:color w:val="000000" w:themeColor="text1"/>
          <w:sz w:val="24"/>
          <w:szCs w:val="24"/>
        </w:rPr>
        <w:t>Thus, w</w:t>
      </w:r>
      <w:r w:rsidRPr="00A31721">
        <w:rPr>
          <w:rFonts w:ascii="Times New Roman" w:hAnsi="Times New Roman" w:cs="Times New Roman"/>
          <w:color w:val="000000" w:themeColor="text1"/>
          <w:sz w:val="24"/>
          <w:szCs w:val="24"/>
        </w:rPr>
        <w:t xml:space="preserve">e add to the literature that illustrates how contingency factors lead to positive sustainable outcomes </w:t>
      </w:r>
      <w:r w:rsidRPr="00A31721">
        <w:rPr>
          <w:rFonts w:ascii="Times New Roman" w:hAnsi="Times New Roman" w:cs="Times New Roman"/>
          <w:color w:val="000000" w:themeColor="text1"/>
          <w:sz w:val="24"/>
          <w:szCs w:val="24"/>
        </w:rPr>
        <w:lastRenderedPageBreak/>
        <w:t xml:space="preserve">(Christ et al., 2014; Hsiao et al., 2022; </w:t>
      </w:r>
      <w:proofErr w:type="spellStart"/>
      <w:r w:rsidRPr="00A31721">
        <w:rPr>
          <w:rFonts w:ascii="Times New Roman" w:hAnsi="Times New Roman" w:cs="Times New Roman"/>
          <w:color w:val="000000" w:themeColor="text1"/>
          <w:sz w:val="24"/>
          <w:szCs w:val="24"/>
        </w:rPr>
        <w:t>Steur</w:t>
      </w:r>
      <w:proofErr w:type="spellEnd"/>
      <w:r w:rsidRPr="00A31721">
        <w:rPr>
          <w:rFonts w:ascii="Times New Roman" w:hAnsi="Times New Roman" w:cs="Times New Roman"/>
          <w:color w:val="000000" w:themeColor="text1"/>
          <w:sz w:val="24"/>
          <w:szCs w:val="24"/>
        </w:rPr>
        <w:t xml:space="preserve"> et al., </w:t>
      </w:r>
      <w:r w:rsidR="006D4E29" w:rsidRPr="00A31721">
        <w:rPr>
          <w:rFonts w:ascii="Times New Roman" w:hAnsi="Times New Roman" w:cs="Times New Roman"/>
          <w:color w:val="000000" w:themeColor="text1"/>
          <w:sz w:val="24"/>
          <w:szCs w:val="24"/>
        </w:rPr>
        <w:t>2020</w:t>
      </w:r>
      <w:r w:rsidRPr="00A31721">
        <w:rPr>
          <w:rFonts w:ascii="Times New Roman" w:hAnsi="Times New Roman" w:cs="Times New Roman"/>
          <w:color w:val="000000" w:themeColor="text1"/>
          <w:sz w:val="24"/>
          <w:szCs w:val="24"/>
        </w:rPr>
        <w:t xml:space="preserve">; Karagiannis </w:t>
      </w:r>
      <w:r w:rsidR="008B6929"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Metaxas, 2020)</w:t>
      </w:r>
      <w:r w:rsidR="00953FDD" w:rsidRPr="00A31721">
        <w:rPr>
          <w:rFonts w:ascii="Times New Roman" w:hAnsi="Times New Roman" w:cs="Times New Roman"/>
          <w:color w:val="000000" w:themeColor="text1"/>
          <w:sz w:val="24"/>
          <w:szCs w:val="24"/>
        </w:rPr>
        <w:t xml:space="preserve">, by </w:t>
      </w:r>
      <w:r w:rsidRPr="00A31721">
        <w:rPr>
          <w:rFonts w:ascii="Times New Roman" w:hAnsi="Times New Roman" w:cs="Times New Roman"/>
          <w:color w:val="000000" w:themeColor="text1"/>
          <w:sz w:val="24"/>
          <w:szCs w:val="24"/>
        </w:rPr>
        <w:t>show</w:t>
      </w:r>
      <w:r w:rsidR="00953FDD" w:rsidRPr="00A31721">
        <w:rPr>
          <w:rFonts w:ascii="Times New Roman" w:hAnsi="Times New Roman" w:cs="Times New Roman"/>
          <w:color w:val="000000" w:themeColor="text1"/>
          <w:sz w:val="24"/>
          <w:szCs w:val="24"/>
        </w:rPr>
        <w:t>ing</w:t>
      </w:r>
      <w:r w:rsidRPr="00A31721">
        <w:rPr>
          <w:rFonts w:ascii="Times New Roman" w:hAnsi="Times New Roman" w:cs="Times New Roman"/>
          <w:color w:val="000000" w:themeColor="text1"/>
          <w:sz w:val="24"/>
          <w:szCs w:val="24"/>
        </w:rPr>
        <w:t xml:space="preserve"> that environmental uncertainties, environmental strategy, and technology are core elements that influence wineries to adopt sustainability practices and use EMA tools.</w:t>
      </w:r>
    </w:p>
    <w:p w14:paraId="3667CFD7" w14:textId="0FEBCF78" w:rsidR="001B4128" w:rsidRPr="00A31721" w:rsidRDefault="007F4A7B" w:rsidP="00484495">
      <w:pPr>
        <w:spacing w:after="0" w:line="240" w:lineRule="auto"/>
        <w:ind w:firstLine="709"/>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Second, this study shows that, in the Brazilian winery context, the use of EMA tools does not directly influence environmental performance but is positively associated with financial performance. This finding suggests that firms may adopt EMA primarily for its economic utility</w:t>
      </w:r>
      <w:r w:rsidR="002C1ED1" w:rsidRPr="00A31721">
        <w:rPr>
          <w:rFonts w:ascii="Times New Roman" w:hAnsi="Times New Roman" w:cs="Times New Roman"/>
          <w:color w:val="000000" w:themeColor="text1"/>
          <w:sz w:val="24"/>
          <w:szCs w:val="24"/>
        </w:rPr>
        <w:t xml:space="preserve"> </w:t>
      </w:r>
      <w:r w:rsidR="00B80CB5" w:rsidRPr="00A31721">
        <w:rPr>
          <w:rFonts w:ascii="Times New Roman" w:hAnsi="Times New Roman" w:cs="Times New Roman"/>
          <w:color w:val="000000" w:themeColor="text1"/>
          <w:sz w:val="24"/>
          <w:szCs w:val="24"/>
        </w:rPr>
        <w:t>(for</w:t>
      </w:r>
      <w:r w:rsidRPr="00A31721">
        <w:rPr>
          <w:rFonts w:ascii="Times New Roman" w:hAnsi="Times New Roman" w:cs="Times New Roman"/>
          <w:color w:val="000000" w:themeColor="text1"/>
          <w:sz w:val="24"/>
          <w:szCs w:val="24"/>
        </w:rPr>
        <w:t xml:space="preserve"> cost savings and operational efficiency</w:t>
      </w:r>
      <w:r w:rsidR="00B80CB5"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rather than as a comprehensive tool for environmental </w:t>
      </w:r>
      <w:r w:rsidR="00BD3CA9" w:rsidRPr="00A31721">
        <w:rPr>
          <w:rFonts w:ascii="Times New Roman" w:hAnsi="Times New Roman" w:cs="Times New Roman"/>
          <w:color w:val="000000" w:themeColor="text1"/>
          <w:sz w:val="24"/>
          <w:szCs w:val="24"/>
        </w:rPr>
        <w:t>change</w:t>
      </w:r>
      <w:r w:rsidRPr="00A31721">
        <w:rPr>
          <w:rFonts w:ascii="Times New Roman" w:hAnsi="Times New Roman" w:cs="Times New Roman"/>
          <w:color w:val="000000" w:themeColor="text1"/>
          <w:sz w:val="24"/>
          <w:szCs w:val="24"/>
        </w:rPr>
        <w:t xml:space="preserve">. </w:t>
      </w:r>
      <w:r w:rsidR="00E04601" w:rsidRPr="00A31721">
        <w:rPr>
          <w:rFonts w:ascii="Times New Roman" w:hAnsi="Times New Roman" w:cs="Times New Roman"/>
          <w:color w:val="000000" w:themeColor="text1"/>
          <w:sz w:val="24"/>
          <w:szCs w:val="24"/>
        </w:rPr>
        <w:t>In line with</w:t>
      </w:r>
      <w:r w:rsidR="00E04601" w:rsidRPr="00A31721" w:rsidDel="00E0460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Monteiro et al. (2025), who emphasize that the juxtaposition of </w:t>
      </w:r>
      <w:r w:rsidR="004157D7" w:rsidRPr="00A31721">
        <w:rPr>
          <w:rFonts w:ascii="Times New Roman" w:hAnsi="Times New Roman" w:cs="Times New Roman"/>
          <w:color w:val="000000" w:themeColor="text1"/>
          <w:sz w:val="24"/>
          <w:szCs w:val="24"/>
        </w:rPr>
        <w:t>such</w:t>
      </w:r>
      <w:r w:rsidRPr="00A31721">
        <w:rPr>
          <w:rFonts w:ascii="Times New Roman" w:hAnsi="Times New Roman" w:cs="Times New Roman"/>
          <w:color w:val="000000" w:themeColor="text1"/>
          <w:sz w:val="24"/>
          <w:szCs w:val="24"/>
        </w:rPr>
        <w:t xml:space="preserve"> orientations can enhance the effectiveness of environmental management </w:t>
      </w:r>
      <w:r w:rsidR="00BD3CA9" w:rsidRPr="00A31721">
        <w:rPr>
          <w:rFonts w:ascii="Times New Roman" w:hAnsi="Times New Roman" w:cs="Times New Roman"/>
          <w:color w:val="000000" w:themeColor="text1"/>
          <w:sz w:val="24"/>
          <w:szCs w:val="24"/>
        </w:rPr>
        <w:t>practices</w:t>
      </w:r>
      <w:r w:rsidRPr="00A31721">
        <w:rPr>
          <w:rFonts w:ascii="Times New Roman" w:hAnsi="Times New Roman" w:cs="Times New Roman"/>
          <w:color w:val="000000" w:themeColor="text1"/>
          <w:sz w:val="24"/>
          <w:szCs w:val="24"/>
        </w:rPr>
        <w:t>, our findings prompt managers to reconsider how economic goals can be strategically aligned with environmental objectives, given the broader organizational context and underlying motivations.</w:t>
      </w:r>
      <w:r w:rsidRPr="00A31721" w:rsidDel="007F4A7B">
        <w:rPr>
          <w:rFonts w:ascii="Times New Roman" w:hAnsi="Times New Roman" w:cs="Times New Roman"/>
          <w:color w:val="000000" w:themeColor="text1"/>
          <w:sz w:val="24"/>
          <w:szCs w:val="24"/>
        </w:rPr>
        <w:t xml:space="preserve"> </w:t>
      </w:r>
      <w:r w:rsidR="00484495" w:rsidRPr="00A31721">
        <w:rPr>
          <w:rFonts w:ascii="Times New Roman" w:hAnsi="Times New Roman" w:cs="Times New Roman"/>
          <w:color w:val="000000" w:themeColor="text1"/>
          <w:sz w:val="24"/>
          <w:szCs w:val="24"/>
        </w:rPr>
        <w:t>Finally, our study also offers practical contributions by providing insights that can help policymakers design more effective environmental incentives and regulations, as well as assist managers in implementing sustainable strategies tailored to the unique characteristics of the wine sector. These efforts have the potential to reduce environmental impacts while simultaneously enhancing organizational performance.</w:t>
      </w:r>
    </w:p>
    <w:p w14:paraId="479D4ACA" w14:textId="77777777" w:rsidR="001B4128" w:rsidRPr="00A31721" w:rsidRDefault="001B4128" w:rsidP="001B4128">
      <w:pPr>
        <w:spacing w:after="0" w:line="240" w:lineRule="auto"/>
        <w:ind w:firstLine="709"/>
        <w:contextualSpacing/>
        <w:jc w:val="both"/>
        <w:rPr>
          <w:rFonts w:ascii="Times New Roman" w:hAnsi="Times New Roman" w:cs="Times New Roman"/>
          <w:color w:val="000000" w:themeColor="text1"/>
          <w:sz w:val="24"/>
          <w:szCs w:val="24"/>
        </w:rPr>
      </w:pPr>
    </w:p>
    <w:p w14:paraId="01F3936E" w14:textId="3642A608" w:rsidR="006749A4" w:rsidRPr="00A31721" w:rsidRDefault="0007550D">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2 Theoretical </w:t>
      </w:r>
      <w:r w:rsidR="00DB30A9" w:rsidRPr="00A31721">
        <w:rPr>
          <w:rFonts w:ascii="Times New Roman" w:eastAsia="Times New Roman" w:hAnsi="Times New Roman" w:cs="Times New Roman"/>
          <w:b/>
          <w:color w:val="000000" w:themeColor="text1"/>
          <w:sz w:val="24"/>
          <w:szCs w:val="24"/>
        </w:rPr>
        <w:t>foundation and hypothesis development</w:t>
      </w:r>
    </w:p>
    <w:p w14:paraId="6ABDF4F9" w14:textId="2CDA2F7A" w:rsidR="00A730A7" w:rsidRPr="00A31721" w:rsidRDefault="00A730A7" w:rsidP="00B37126">
      <w:pPr>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2.1</w:t>
      </w:r>
      <w:r w:rsidR="00B04192" w:rsidRPr="00A31721">
        <w:rPr>
          <w:rFonts w:ascii="Times New Roman" w:eastAsia="Times New Roman" w:hAnsi="Times New Roman" w:cs="Times New Roman"/>
          <w:b/>
          <w:color w:val="000000" w:themeColor="text1"/>
          <w:sz w:val="24"/>
          <w:szCs w:val="24"/>
        </w:rPr>
        <w:t xml:space="preserve">Exploring </w:t>
      </w:r>
      <w:r w:rsidRPr="00A31721">
        <w:rPr>
          <w:rFonts w:ascii="Times New Roman" w:eastAsia="Times New Roman" w:hAnsi="Times New Roman" w:cs="Times New Roman"/>
          <w:b/>
          <w:color w:val="000000" w:themeColor="text1"/>
          <w:sz w:val="24"/>
          <w:szCs w:val="24"/>
        </w:rPr>
        <w:t>Contingency theory</w:t>
      </w:r>
      <w:r w:rsidR="00136ABB" w:rsidRPr="00A31721">
        <w:rPr>
          <w:rFonts w:ascii="Times New Roman" w:eastAsia="Times New Roman" w:hAnsi="Times New Roman" w:cs="Times New Roman"/>
          <w:b/>
          <w:color w:val="000000" w:themeColor="text1"/>
          <w:sz w:val="24"/>
          <w:szCs w:val="24"/>
        </w:rPr>
        <w:t xml:space="preserve"> </w:t>
      </w:r>
      <w:r w:rsidR="00B04192" w:rsidRPr="00A31721">
        <w:rPr>
          <w:rFonts w:ascii="Times New Roman" w:eastAsia="Times New Roman" w:hAnsi="Times New Roman" w:cs="Times New Roman"/>
          <w:b/>
          <w:color w:val="000000" w:themeColor="text1"/>
          <w:sz w:val="24"/>
          <w:szCs w:val="24"/>
        </w:rPr>
        <w:t xml:space="preserve">in </w:t>
      </w:r>
      <w:r w:rsidR="00520B25" w:rsidRPr="00A31721">
        <w:rPr>
          <w:rFonts w:ascii="Times New Roman" w:eastAsia="Times New Roman" w:hAnsi="Times New Roman" w:cs="Times New Roman"/>
          <w:b/>
          <w:color w:val="000000" w:themeColor="text1"/>
          <w:sz w:val="24"/>
          <w:szCs w:val="24"/>
        </w:rPr>
        <w:t>sustainability</w:t>
      </w:r>
      <w:r w:rsidR="00B04192" w:rsidRPr="00A31721">
        <w:rPr>
          <w:rFonts w:ascii="Times New Roman" w:eastAsia="Times New Roman" w:hAnsi="Times New Roman" w:cs="Times New Roman"/>
          <w:b/>
          <w:color w:val="000000" w:themeColor="text1"/>
          <w:sz w:val="24"/>
          <w:szCs w:val="24"/>
        </w:rPr>
        <w:t xml:space="preserve"> </w:t>
      </w:r>
      <w:r w:rsidR="003C2C1A" w:rsidRPr="00A31721">
        <w:rPr>
          <w:rFonts w:ascii="Times New Roman" w:eastAsia="Times New Roman" w:hAnsi="Times New Roman" w:cs="Times New Roman"/>
          <w:b/>
          <w:color w:val="000000" w:themeColor="text1"/>
          <w:sz w:val="24"/>
          <w:szCs w:val="24"/>
        </w:rPr>
        <w:t>context</w:t>
      </w:r>
    </w:p>
    <w:p w14:paraId="06B87FD5" w14:textId="27B03D87" w:rsidR="0072636F" w:rsidRPr="00A31721" w:rsidRDefault="0072636F" w:rsidP="00B37126">
      <w:pPr>
        <w:spacing w:after="0" w:line="240" w:lineRule="auto"/>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Contingency theory remains one of the most prominent theoretical lenses in management accounting research</w:t>
      </w:r>
      <w:r w:rsidR="00801EDB" w:rsidRPr="00A31721">
        <w:rPr>
          <w:rFonts w:ascii="Times New Roman" w:hAnsi="Times New Roman" w:cs="Times New Roman"/>
          <w:color w:val="000000" w:themeColor="text1"/>
          <w:sz w:val="24"/>
          <w:szCs w:val="24"/>
        </w:rPr>
        <w:t xml:space="preserve"> (</w:t>
      </w:r>
      <w:proofErr w:type="spellStart"/>
      <w:r w:rsidR="00801EDB" w:rsidRPr="00A31721">
        <w:rPr>
          <w:rFonts w:ascii="Times New Roman" w:hAnsi="Times New Roman" w:cs="Times New Roman"/>
          <w:color w:val="000000" w:themeColor="text1"/>
          <w:sz w:val="24"/>
          <w:szCs w:val="24"/>
        </w:rPr>
        <w:t>Chenhall</w:t>
      </w:r>
      <w:proofErr w:type="spellEnd"/>
      <w:r w:rsidR="00801EDB" w:rsidRPr="00A31721">
        <w:rPr>
          <w:rFonts w:ascii="Times New Roman" w:hAnsi="Times New Roman" w:cs="Times New Roman"/>
          <w:color w:val="000000" w:themeColor="text1"/>
          <w:sz w:val="24"/>
          <w:szCs w:val="24"/>
        </w:rPr>
        <w:t>, 2003)</w:t>
      </w:r>
      <w:r w:rsidRPr="00A31721">
        <w:rPr>
          <w:rFonts w:ascii="Times New Roman" w:hAnsi="Times New Roman" w:cs="Times New Roman"/>
          <w:color w:val="000000" w:themeColor="text1"/>
          <w:sz w:val="24"/>
          <w:szCs w:val="24"/>
        </w:rPr>
        <w:t xml:space="preserve"> and has provided a foundation for understanding the emergence and application of Environmental Management Accounting (EMA) (Christ </w:t>
      </w:r>
      <w:r w:rsidR="00182043" w:rsidRPr="00A31721">
        <w:rPr>
          <w:rFonts w:ascii="Times New Roman" w:eastAsia="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Burritt, 2013b; Christ, 2014). Its central premise</w:t>
      </w:r>
      <w:r w:rsidR="00801EDB"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that the effectiveness of organizational systems is conditional on internal and external contextual factors</w:t>
      </w:r>
      <w:r w:rsidR="00801EDB"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offers explanatory power for the variation observed in EMA adoption across firms. In this view, contingency theory helps account for how particular contextual configurations may either facilitate or inhibit the integration of sustainable practices, contributing to resource efficiency and improved organizational performance (Agi </w:t>
      </w:r>
      <w:r w:rsidR="005324B0" w:rsidRPr="00A31721">
        <w:rPr>
          <w:rFonts w:ascii="Times New Roman" w:hAnsi="Times New Roman" w:cs="Times New Roman"/>
          <w:color w:val="000000" w:themeColor="text1"/>
          <w:sz w:val="24"/>
          <w:szCs w:val="24"/>
        </w:rPr>
        <w:t xml:space="preserve">and </w:t>
      </w:r>
      <w:r w:rsidRPr="00A31721">
        <w:rPr>
          <w:rFonts w:ascii="Times New Roman" w:hAnsi="Times New Roman" w:cs="Times New Roman"/>
          <w:color w:val="000000" w:themeColor="text1"/>
          <w:sz w:val="24"/>
          <w:szCs w:val="24"/>
        </w:rPr>
        <w:t xml:space="preserve">Nishant, 2017; </w:t>
      </w:r>
      <w:proofErr w:type="spellStart"/>
      <w:r w:rsidRPr="00A31721">
        <w:rPr>
          <w:rFonts w:ascii="Times New Roman" w:hAnsi="Times New Roman" w:cs="Times New Roman"/>
          <w:color w:val="000000" w:themeColor="text1"/>
          <w:sz w:val="24"/>
          <w:szCs w:val="24"/>
        </w:rPr>
        <w:t>Maletič</w:t>
      </w:r>
      <w:proofErr w:type="spellEnd"/>
      <w:r w:rsidRPr="00A31721">
        <w:rPr>
          <w:rFonts w:ascii="Times New Roman" w:hAnsi="Times New Roman" w:cs="Times New Roman"/>
          <w:color w:val="000000" w:themeColor="text1"/>
          <w:sz w:val="24"/>
          <w:szCs w:val="24"/>
        </w:rPr>
        <w:t xml:space="preserve"> et al., 2018; Christ, 2014).</w:t>
      </w:r>
    </w:p>
    <w:p w14:paraId="5A21E173" w14:textId="1D3A238B" w:rsidR="0072636F" w:rsidRPr="00A31721" w:rsidRDefault="0072636F" w:rsidP="00B37126">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A central contribution of contingency theory lies in its capacity to elucidate how diverse management practice designs emerge in response to contextual conditions (</w:t>
      </w:r>
      <w:proofErr w:type="spellStart"/>
      <w:r w:rsidRPr="00A31721">
        <w:rPr>
          <w:rFonts w:ascii="Times New Roman" w:hAnsi="Times New Roman" w:cs="Times New Roman"/>
          <w:color w:val="000000" w:themeColor="text1"/>
          <w:sz w:val="24"/>
          <w:szCs w:val="24"/>
        </w:rPr>
        <w:t>Hutahayan</w:t>
      </w:r>
      <w:proofErr w:type="spellEnd"/>
      <w:r w:rsidRPr="00A31721">
        <w:rPr>
          <w:rFonts w:ascii="Times New Roman" w:hAnsi="Times New Roman" w:cs="Times New Roman"/>
          <w:color w:val="000000" w:themeColor="text1"/>
          <w:sz w:val="24"/>
          <w:szCs w:val="24"/>
        </w:rPr>
        <w:t xml:space="preserve">, 2020). Rather than assuming </w:t>
      </w:r>
      <w:proofErr w:type="gramStart"/>
      <w:r w:rsidRPr="00A31721">
        <w:rPr>
          <w:rFonts w:ascii="Times New Roman" w:hAnsi="Times New Roman" w:cs="Times New Roman"/>
          <w:color w:val="000000" w:themeColor="text1"/>
          <w:sz w:val="24"/>
          <w:szCs w:val="24"/>
        </w:rPr>
        <w:t>a universally</w:t>
      </w:r>
      <w:proofErr w:type="gramEnd"/>
      <w:r w:rsidRPr="00A31721">
        <w:rPr>
          <w:rFonts w:ascii="Times New Roman" w:hAnsi="Times New Roman" w:cs="Times New Roman"/>
          <w:color w:val="000000" w:themeColor="text1"/>
          <w:sz w:val="24"/>
          <w:szCs w:val="24"/>
        </w:rPr>
        <w:t xml:space="preserve"> optimal </w:t>
      </w:r>
      <w:r w:rsidR="00136ABB" w:rsidRPr="00A31721">
        <w:rPr>
          <w:rFonts w:ascii="Times New Roman" w:hAnsi="Times New Roman" w:cs="Times New Roman"/>
          <w:color w:val="000000" w:themeColor="text1"/>
          <w:sz w:val="24"/>
          <w:szCs w:val="24"/>
        </w:rPr>
        <w:t>management practices</w:t>
      </w:r>
      <w:r w:rsidRPr="00A31721">
        <w:rPr>
          <w:rFonts w:ascii="Times New Roman" w:hAnsi="Times New Roman" w:cs="Times New Roman"/>
          <w:color w:val="000000" w:themeColor="text1"/>
          <w:sz w:val="24"/>
          <w:szCs w:val="24"/>
        </w:rPr>
        <w:t xml:space="preserve">, the theory emphasizes fit between system characteristics and organizational context, thereby explaining observed inter-firm variation in </w:t>
      </w:r>
      <w:r w:rsidR="00136ABB" w:rsidRPr="00A31721">
        <w:rPr>
          <w:rFonts w:ascii="Times New Roman" w:hAnsi="Times New Roman" w:cs="Times New Roman"/>
          <w:color w:val="000000" w:themeColor="text1"/>
          <w:sz w:val="24"/>
          <w:szCs w:val="24"/>
        </w:rPr>
        <w:t xml:space="preserve">organizational </w:t>
      </w:r>
      <w:r w:rsidRPr="00A31721">
        <w:rPr>
          <w:rFonts w:ascii="Times New Roman" w:hAnsi="Times New Roman" w:cs="Times New Roman"/>
          <w:color w:val="000000" w:themeColor="text1"/>
          <w:sz w:val="24"/>
          <w:szCs w:val="24"/>
        </w:rPr>
        <w:t>structures and processes (</w:t>
      </w:r>
      <w:proofErr w:type="spellStart"/>
      <w:r w:rsidRPr="00A31721">
        <w:rPr>
          <w:rFonts w:ascii="Times New Roman" w:hAnsi="Times New Roman" w:cs="Times New Roman"/>
          <w:color w:val="000000" w:themeColor="text1"/>
          <w:sz w:val="24"/>
          <w:szCs w:val="24"/>
        </w:rPr>
        <w:t>Elhossade</w:t>
      </w:r>
      <w:proofErr w:type="spellEnd"/>
      <w:r w:rsidRPr="00A31721">
        <w:rPr>
          <w:rFonts w:ascii="Times New Roman" w:hAnsi="Times New Roman" w:cs="Times New Roman"/>
          <w:color w:val="000000" w:themeColor="text1"/>
          <w:sz w:val="24"/>
          <w:szCs w:val="24"/>
        </w:rPr>
        <w:t xml:space="preserve"> et al., 2021). Among the contingent </w:t>
      </w:r>
      <w:r w:rsidR="00136ABB" w:rsidRPr="00A31721">
        <w:rPr>
          <w:rFonts w:ascii="Times New Roman" w:hAnsi="Times New Roman" w:cs="Times New Roman"/>
          <w:color w:val="000000" w:themeColor="text1"/>
          <w:sz w:val="24"/>
          <w:szCs w:val="24"/>
        </w:rPr>
        <w:t>factors that have been explored</w:t>
      </w:r>
      <w:r w:rsidRPr="00A31721">
        <w:rPr>
          <w:rFonts w:ascii="Times New Roman" w:hAnsi="Times New Roman" w:cs="Times New Roman"/>
          <w:color w:val="000000" w:themeColor="text1"/>
          <w:sz w:val="24"/>
          <w:szCs w:val="24"/>
        </w:rPr>
        <w:t xml:space="preserve">, </w:t>
      </w:r>
      <w:r w:rsidR="00136ABB" w:rsidRPr="00A31721">
        <w:rPr>
          <w:rFonts w:ascii="Times New Roman" w:hAnsi="Times New Roman" w:cs="Times New Roman"/>
          <w:color w:val="000000" w:themeColor="text1"/>
          <w:sz w:val="24"/>
          <w:szCs w:val="24"/>
        </w:rPr>
        <w:t xml:space="preserve">we focus on </w:t>
      </w:r>
      <w:r w:rsidRPr="00A31721">
        <w:rPr>
          <w:rFonts w:ascii="Times New Roman" w:hAnsi="Times New Roman" w:cs="Times New Roman"/>
          <w:color w:val="000000" w:themeColor="text1"/>
          <w:sz w:val="24"/>
          <w:szCs w:val="24"/>
        </w:rPr>
        <w:t>environmental uncertainty, environmental strategy, and technology</w:t>
      </w:r>
      <w:r w:rsidR="00136ABB" w:rsidRPr="00A31721">
        <w:rPr>
          <w:rFonts w:ascii="Times New Roman" w:hAnsi="Times New Roman" w:cs="Times New Roman"/>
          <w:color w:val="000000" w:themeColor="text1"/>
          <w:sz w:val="24"/>
          <w:szCs w:val="24"/>
        </w:rPr>
        <w:t>, due to its relevance for environmental sustainability studies in the winery context.</w:t>
      </w:r>
    </w:p>
    <w:p w14:paraId="45F8CBE8" w14:textId="5A0953FF" w:rsidR="00CC1CF0" w:rsidRPr="00A31721" w:rsidRDefault="00CC1CF0" w:rsidP="00CC1CF0">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Environmental uncertainty refers to the unpredictability of market demands, regulatory shifts, competitor actions, and broader environmental changes (</w:t>
      </w:r>
      <w:proofErr w:type="spellStart"/>
      <w:r w:rsidRPr="00A31721">
        <w:rPr>
          <w:rFonts w:ascii="Times New Roman" w:hAnsi="Times New Roman" w:cs="Times New Roman"/>
          <w:color w:val="000000" w:themeColor="text1"/>
          <w:sz w:val="24"/>
          <w:szCs w:val="24"/>
        </w:rPr>
        <w:t>Maletič</w:t>
      </w:r>
      <w:proofErr w:type="spellEnd"/>
      <w:r w:rsidRPr="00A31721">
        <w:rPr>
          <w:rFonts w:ascii="Times New Roman" w:hAnsi="Times New Roman" w:cs="Times New Roman"/>
          <w:color w:val="000000" w:themeColor="text1"/>
          <w:sz w:val="24"/>
          <w:szCs w:val="24"/>
        </w:rPr>
        <w:t xml:space="preserve"> et al., 2018; Sharma et al., 2017; Wang et al., 2018) and emerges as a critical trigger for sustainability-related organizational change. Firms experiencing such uncertainty are more likely to adopt EMA </w:t>
      </w:r>
      <w:proofErr w:type="gramStart"/>
      <w:r w:rsidRPr="00A31721">
        <w:rPr>
          <w:rFonts w:ascii="Times New Roman" w:hAnsi="Times New Roman" w:cs="Times New Roman"/>
          <w:color w:val="000000" w:themeColor="text1"/>
          <w:sz w:val="24"/>
          <w:szCs w:val="24"/>
        </w:rPr>
        <w:t>as a means to</w:t>
      </w:r>
      <w:proofErr w:type="gramEnd"/>
      <w:r w:rsidRPr="00A31721">
        <w:rPr>
          <w:rFonts w:ascii="Times New Roman" w:hAnsi="Times New Roman" w:cs="Times New Roman"/>
          <w:color w:val="000000" w:themeColor="text1"/>
          <w:sz w:val="24"/>
          <w:szCs w:val="24"/>
        </w:rPr>
        <w:t xml:space="preserve"> enhance decision-making under volatile conditions (Latan et al., 2018; </w:t>
      </w:r>
      <w:proofErr w:type="spellStart"/>
      <w:r w:rsidRPr="00A31721">
        <w:rPr>
          <w:rFonts w:ascii="Times New Roman" w:hAnsi="Times New Roman" w:cs="Times New Roman"/>
          <w:color w:val="000000" w:themeColor="text1"/>
          <w:sz w:val="24"/>
          <w:szCs w:val="24"/>
        </w:rPr>
        <w:t>Elhossade</w:t>
      </w:r>
      <w:proofErr w:type="spellEnd"/>
      <w:r w:rsidRPr="00A31721">
        <w:rPr>
          <w:rFonts w:ascii="Times New Roman" w:hAnsi="Times New Roman" w:cs="Times New Roman"/>
          <w:color w:val="000000" w:themeColor="text1"/>
          <w:sz w:val="24"/>
          <w:szCs w:val="24"/>
        </w:rPr>
        <w:t xml:space="preserve"> et al., 2021). Another factor, environmental strategy, plays a fundamental role in contingency theory, allowing integration with other contingency factors (</w:t>
      </w:r>
      <w:proofErr w:type="spellStart"/>
      <w:r w:rsidRPr="00A31721">
        <w:rPr>
          <w:rFonts w:ascii="Times New Roman" w:hAnsi="Times New Roman" w:cs="Times New Roman"/>
          <w:color w:val="000000" w:themeColor="text1"/>
          <w:sz w:val="24"/>
          <w:szCs w:val="24"/>
        </w:rPr>
        <w:t>Chenhall</w:t>
      </w:r>
      <w:proofErr w:type="spellEnd"/>
      <w:r w:rsidRPr="00A31721">
        <w:rPr>
          <w:rFonts w:ascii="Times New Roman" w:hAnsi="Times New Roman" w:cs="Times New Roman"/>
          <w:color w:val="000000" w:themeColor="text1"/>
          <w:sz w:val="24"/>
          <w:szCs w:val="24"/>
        </w:rPr>
        <w:t xml:space="preserve">, 2003). Defined as a proactive commitment to environmental goals beyond mere compliance, environmental strategy has been positively associated with the </w:t>
      </w:r>
      <w:r w:rsidR="00400D02" w:rsidRPr="00A31721">
        <w:rPr>
          <w:rFonts w:ascii="Times New Roman" w:hAnsi="Times New Roman" w:cs="Times New Roman"/>
          <w:color w:val="000000" w:themeColor="text1"/>
          <w:sz w:val="24"/>
          <w:szCs w:val="24"/>
        </w:rPr>
        <w:t>use</w:t>
      </w:r>
      <w:r w:rsidRPr="00A31721">
        <w:rPr>
          <w:rFonts w:ascii="Times New Roman" w:hAnsi="Times New Roman" w:cs="Times New Roman"/>
          <w:color w:val="000000" w:themeColor="text1"/>
          <w:sz w:val="24"/>
          <w:szCs w:val="24"/>
        </w:rPr>
        <w:t xml:space="preserve"> of EMA practices (Christ </w:t>
      </w:r>
      <w:r w:rsidR="00182043"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Burritt, 2013b; Gunarathne </w:t>
      </w:r>
      <w:r w:rsidR="008B6929"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Lee, 2021, 2023). These strategies not only shape EMA use but also have both direct and indirect effects on environmental performance (Latan et al., 2018; </w:t>
      </w:r>
      <w:proofErr w:type="spellStart"/>
      <w:r w:rsidRPr="00A31721">
        <w:rPr>
          <w:rFonts w:ascii="Times New Roman" w:hAnsi="Times New Roman" w:cs="Times New Roman"/>
          <w:color w:val="000000" w:themeColor="text1"/>
          <w:sz w:val="24"/>
          <w:szCs w:val="24"/>
        </w:rPr>
        <w:t>Pondeville</w:t>
      </w:r>
      <w:proofErr w:type="spellEnd"/>
      <w:r w:rsidRPr="00A31721">
        <w:rPr>
          <w:rFonts w:ascii="Times New Roman" w:hAnsi="Times New Roman" w:cs="Times New Roman"/>
          <w:color w:val="000000" w:themeColor="text1"/>
          <w:sz w:val="24"/>
          <w:szCs w:val="24"/>
        </w:rPr>
        <w:t xml:space="preserve"> et al., 2013).</w:t>
      </w:r>
    </w:p>
    <w:p w14:paraId="1D423FE1" w14:textId="73A1761E" w:rsidR="00CC1CF0" w:rsidRPr="00A31721" w:rsidRDefault="00566039" w:rsidP="00CC1CF0">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lastRenderedPageBreak/>
        <w:t>T</w:t>
      </w:r>
      <w:r w:rsidR="00CC1CF0" w:rsidRPr="00A31721">
        <w:rPr>
          <w:rFonts w:ascii="Times New Roman" w:hAnsi="Times New Roman" w:cs="Times New Roman"/>
          <w:color w:val="000000" w:themeColor="text1"/>
          <w:sz w:val="24"/>
          <w:szCs w:val="24"/>
        </w:rPr>
        <w:t>echnology</w:t>
      </w:r>
      <w:r w:rsidRPr="00A31721">
        <w:rPr>
          <w:rFonts w:ascii="Times New Roman" w:hAnsi="Times New Roman" w:cs="Times New Roman"/>
          <w:color w:val="000000" w:themeColor="text1"/>
          <w:sz w:val="24"/>
          <w:szCs w:val="24"/>
        </w:rPr>
        <w:t xml:space="preserve"> </w:t>
      </w:r>
      <w:r w:rsidR="00CC1CF0" w:rsidRPr="00A31721">
        <w:rPr>
          <w:rFonts w:ascii="Times New Roman" w:hAnsi="Times New Roman" w:cs="Times New Roman"/>
          <w:color w:val="000000" w:themeColor="text1"/>
          <w:sz w:val="24"/>
          <w:szCs w:val="24"/>
        </w:rPr>
        <w:t xml:space="preserve">constitutes another core contingency </w:t>
      </w:r>
      <w:r w:rsidR="00E86CD1" w:rsidRPr="00A31721">
        <w:rPr>
          <w:rFonts w:ascii="Times New Roman" w:hAnsi="Times New Roman" w:cs="Times New Roman"/>
          <w:color w:val="000000" w:themeColor="text1"/>
          <w:sz w:val="24"/>
          <w:szCs w:val="24"/>
        </w:rPr>
        <w:t>factor</w:t>
      </w:r>
      <w:r w:rsidR="00CC1CF0" w:rsidRPr="00A31721">
        <w:rPr>
          <w:rFonts w:ascii="Times New Roman" w:hAnsi="Times New Roman" w:cs="Times New Roman"/>
          <w:color w:val="000000" w:themeColor="text1"/>
          <w:sz w:val="24"/>
          <w:szCs w:val="24"/>
        </w:rPr>
        <w:t xml:space="preserve">, seen as a structural determinant of organizational functioning and control systems (Waterhouse and Tiessen, 1978; Abdel-Kader and Luther, 2008). In sustainability contexts, technological adoption serves as a mechanism through which firms can align environmental goals with operational capabilities (Hofmann et al., 2012). Information technology enables enhanced integration between performance measurement and strategic objectives (Hyvönen, 2007) by providing timely, relevant information necessary for navigating environmental complexities (Gordon </w:t>
      </w:r>
      <w:r w:rsidR="00065BA8" w:rsidRPr="00A31721">
        <w:rPr>
          <w:rFonts w:ascii="Times New Roman" w:eastAsia="Times New Roman" w:hAnsi="Times New Roman" w:cs="Times New Roman"/>
          <w:color w:val="000000" w:themeColor="text1"/>
          <w:sz w:val="24"/>
          <w:szCs w:val="24"/>
        </w:rPr>
        <w:t>&amp;</w:t>
      </w:r>
      <w:r w:rsidR="00CC1CF0" w:rsidRPr="00A31721">
        <w:rPr>
          <w:rFonts w:ascii="Times New Roman" w:hAnsi="Times New Roman" w:cs="Times New Roman"/>
          <w:color w:val="000000" w:themeColor="text1"/>
          <w:sz w:val="24"/>
          <w:szCs w:val="24"/>
        </w:rPr>
        <w:t xml:space="preserve"> Miller, 1976).</w:t>
      </w:r>
    </w:p>
    <w:p w14:paraId="3F265583" w14:textId="7456FE2D" w:rsidR="00CC1CF0" w:rsidRPr="00A31721" w:rsidRDefault="00CC1CF0" w:rsidP="00CC1CF0">
      <w:pPr>
        <w:pStyle w:val="ListParagraph"/>
        <w:spacing w:after="0" w:line="240" w:lineRule="auto"/>
        <w:ind w:left="0"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The co-evolution of these contingency factors is particularly salient in environmentally sensitive sectors such as the wine industry, where external pressures from stakeholders, customers, regulators, communities, and industry associations serve as catalysts for environmental responsiveness (</w:t>
      </w:r>
      <w:proofErr w:type="spellStart"/>
      <w:r w:rsidRPr="00A31721">
        <w:rPr>
          <w:rFonts w:ascii="Times New Roman" w:hAnsi="Times New Roman" w:cs="Times New Roman"/>
          <w:color w:val="000000" w:themeColor="text1"/>
          <w:sz w:val="24"/>
          <w:szCs w:val="24"/>
        </w:rPr>
        <w:t>Gabzdylova</w:t>
      </w:r>
      <w:proofErr w:type="spellEnd"/>
      <w:r w:rsidRPr="00A31721">
        <w:rPr>
          <w:rFonts w:ascii="Times New Roman" w:hAnsi="Times New Roman" w:cs="Times New Roman"/>
          <w:color w:val="000000" w:themeColor="text1"/>
          <w:sz w:val="24"/>
          <w:szCs w:val="24"/>
        </w:rPr>
        <w:t xml:space="preserve"> et al., 2009; Karagiannis </w:t>
      </w:r>
      <w:r w:rsidR="00065BA8"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Metaxas, 2020; Nave et al., 2021; </w:t>
      </w:r>
      <w:proofErr w:type="spellStart"/>
      <w:r w:rsidRPr="00A31721">
        <w:rPr>
          <w:rFonts w:ascii="Times New Roman" w:hAnsi="Times New Roman" w:cs="Times New Roman"/>
          <w:color w:val="000000" w:themeColor="text1"/>
          <w:sz w:val="24"/>
          <w:szCs w:val="24"/>
        </w:rPr>
        <w:t>Steur</w:t>
      </w:r>
      <w:proofErr w:type="spellEnd"/>
      <w:r w:rsidRPr="00A31721">
        <w:rPr>
          <w:rFonts w:ascii="Times New Roman" w:hAnsi="Times New Roman" w:cs="Times New Roman"/>
          <w:color w:val="000000" w:themeColor="text1"/>
          <w:sz w:val="24"/>
          <w:szCs w:val="24"/>
        </w:rPr>
        <w:t xml:space="preserve"> et al., </w:t>
      </w:r>
      <w:r w:rsidR="006D4E29" w:rsidRPr="00A31721">
        <w:rPr>
          <w:rFonts w:ascii="Times New Roman" w:hAnsi="Times New Roman" w:cs="Times New Roman"/>
          <w:color w:val="000000" w:themeColor="text1"/>
          <w:sz w:val="24"/>
          <w:szCs w:val="24"/>
        </w:rPr>
        <w:t>2020</w:t>
      </w:r>
      <w:r w:rsidRPr="00A31721">
        <w:rPr>
          <w:rFonts w:ascii="Times New Roman" w:hAnsi="Times New Roman" w:cs="Times New Roman"/>
          <w:color w:val="000000" w:themeColor="text1"/>
          <w:sz w:val="24"/>
          <w:szCs w:val="24"/>
        </w:rPr>
        <w:t>). In this domain, stakeholder pressure not only reinforces regulatory compliance but often necessitates strategic environmental action (Ateş et al., 2012). Environmental strategy, in turn, requires firms to prioritize among competing sustainability concerns (Morioka and Carvalho, 2016) and to develop long-term orientations that meet evolving stakeholder expectations (</w:t>
      </w:r>
      <w:proofErr w:type="spellStart"/>
      <w:r w:rsidRPr="00A31721">
        <w:rPr>
          <w:rFonts w:ascii="Times New Roman" w:hAnsi="Times New Roman" w:cs="Times New Roman"/>
          <w:color w:val="000000" w:themeColor="text1"/>
          <w:sz w:val="24"/>
          <w:szCs w:val="24"/>
        </w:rPr>
        <w:t>Maletič</w:t>
      </w:r>
      <w:proofErr w:type="spellEnd"/>
      <w:r w:rsidRPr="00A31721">
        <w:rPr>
          <w:rFonts w:ascii="Times New Roman" w:hAnsi="Times New Roman" w:cs="Times New Roman"/>
          <w:color w:val="000000" w:themeColor="text1"/>
          <w:sz w:val="24"/>
          <w:szCs w:val="24"/>
        </w:rPr>
        <w:t xml:space="preserve"> et al., 2018).</w:t>
      </w:r>
    </w:p>
    <w:p w14:paraId="0BB87F01" w14:textId="1FB8FA72" w:rsidR="0072636F" w:rsidRPr="00A31721" w:rsidRDefault="0072636F" w:rsidP="00CC1CF0">
      <w:pPr>
        <w:pStyle w:val="ListParagraph"/>
        <w:spacing w:after="0" w:line="240" w:lineRule="auto"/>
        <w:ind w:left="0"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This strategic orientation frequently entails product and process innovation, enabled by new technologies such as advanced machinery, software, and employee training systems (Rosa et al., 2020; Hofmann et al., 2012). Within the wine sector specifically, the mitigation of environmental impacts</w:t>
      </w:r>
      <w:r w:rsidR="00681E12"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such as those arising from solid waste</w:t>
      </w:r>
      <w:r w:rsidR="00681E12"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often hinges on such technological investments (</w:t>
      </w:r>
      <w:proofErr w:type="spellStart"/>
      <w:r w:rsidRPr="00A31721">
        <w:rPr>
          <w:rFonts w:ascii="Times New Roman" w:hAnsi="Times New Roman" w:cs="Times New Roman"/>
          <w:color w:val="000000" w:themeColor="text1"/>
          <w:sz w:val="24"/>
          <w:szCs w:val="24"/>
        </w:rPr>
        <w:t>Devesa</w:t>
      </w:r>
      <w:proofErr w:type="spellEnd"/>
      <w:r w:rsidRPr="00A31721">
        <w:rPr>
          <w:rFonts w:ascii="Times New Roman" w:hAnsi="Times New Roman" w:cs="Times New Roman"/>
          <w:color w:val="000000" w:themeColor="text1"/>
          <w:sz w:val="24"/>
          <w:szCs w:val="24"/>
        </w:rPr>
        <w:t xml:space="preserve">-Rey et al., 2011). Thus, the interplay </w:t>
      </w:r>
      <w:r w:rsidR="00DD20FD" w:rsidRPr="00A31721">
        <w:rPr>
          <w:rFonts w:ascii="Times New Roman" w:hAnsi="Times New Roman" w:cs="Times New Roman"/>
          <w:color w:val="000000" w:themeColor="text1"/>
          <w:sz w:val="24"/>
          <w:szCs w:val="24"/>
        </w:rPr>
        <w:t xml:space="preserve">between </w:t>
      </w:r>
      <w:r w:rsidR="00AC6EF6" w:rsidRPr="00A31721">
        <w:rPr>
          <w:rFonts w:ascii="Times New Roman" w:hAnsi="Times New Roman" w:cs="Times New Roman"/>
          <w:color w:val="000000" w:themeColor="text1"/>
          <w:sz w:val="24"/>
          <w:szCs w:val="24"/>
        </w:rPr>
        <w:t>contingent factors (</w:t>
      </w:r>
      <w:r w:rsidRPr="00A31721">
        <w:rPr>
          <w:rFonts w:ascii="Times New Roman" w:hAnsi="Times New Roman" w:cs="Times New Roman"/>
          <w:color w:val="000000" w:themeColor="text1"/>
          <w:sz w:val="24"/>
          <w:szCs w:val="24"/>
        </w:rPr>
        <w:t>uncertainty, strategy, and technology</w:t>
      </w:r>
      <w:r w:rsidR="00AC6EF6"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 xml:space="preserve"> shapes </w:t>
      </w:r>
      <w:r w:rsidR="00AC6EF6" w:rsidRPr="00A31721">
        <w:rPr>
          <w:rFonts w:ascii="Times New Roman" w:hAnsi="Times New Roman" w:cs="Times New Roman"/>
          <w:color w:val="000000" w:themeColor="text1"/>
          <w:sz w:val="24"/>
          <w:szCs w:val="24"/>
        </w:rPr>
        <w:t xml:space="preserve">the adoption of </w:t>
      </w:r>
      <w:r w:rsidRPr="00A31721">
        <w:rPr>
          <w:rFonts w:ascii="Times New Roman" w:hAnsi="Times New Roman" w:cs="Times New Roman"/>
          <w:color w:val="000000" w:themeColor="text1"/>
          <w:sz w:val="24"/>
          <w:szCs w:val="24"/>
        </w:rPr>
        <w:t xml:space="preserve">sustainable practice </w:t>
      </w:r>
      <w:r w:rsidR="00AC6EF6" w:rsidRPr="00A31721">
        <w:rPr>
          <w:rFonts w:ascii="Times New Roman" w:hAnsi="Times New Roman" w:cs="Times New Roman"/>
          <w:color w:val="000000" w:themeColor="text1"/>
          <w:sz w:val="24"/>
          <w:szCs w:val="24"/>
        </w:rPr>
        <w:t xml:space="preserve">and use of </w:t>
      </w:r>
      <w:r w:rsidRPr="00A31721">
        <w:rPr>
          <w:rFonts w:ascii="Times New Roman" w:hAnsi="Times New Roman" w:cs="Times New Roman"/>
          <w:color w:val="000000" w:themeColor="text1"/>
          <w:sz w:val="24"/>
          <w:szCs w:val="24"/>
        </w:rPr>
        <w:t>EMA</w:t>
      </w:r>
      <w:r w:rsidR="00AC6EF6" w:rsidRPr="00A31721">
        <w:rPr>
          <w:rFonts w:ascii="Times New Roman" w:hAnsi="Times New Roman" w:cs="Times New Roman"/>
          <w:color w:val="000000" w:themeColor="text1"/>
          <w:sz w:val="24"/>
          <w:szCs w:val="24"/>
        </w:rPr>
        <w:t>.</w:t>
      </w:r>
    </w:p>
    <w:p w14:paraId="6B0B163C" w14:textId="77777777" w:rsidR="00A730A7" w:rsidRPr="00A31721" w:rsidRDefault="00A730A7">
      <w:pPr>
        <w:spacing w:after="0" w:line="240" w:lineRule="auto"/>
        <w:rPr>
          <w:rFonts w:ascii="Times New Roman" w:eastAsia="Times New Roman" w:hAnsi="Times New Roman" w:cs="Times New Roman"/>
          <w:b/>
          <w:color w:val="000000" w:themeColor="text1"/>
          <w:sz w:val="24"/>
          <w:szCs w:val="24"/>
        </w:rPr>
      </w:pPr>
    </w:p>
    <w:p w14:paraId="4054CF23" w14:textId="5AB8B2B2" w:rsidR="00A730A7" w:rsidRPr="00A31721" w:rsidRDefault="00A730A7">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2.2 </w:t>
      </w:r>
      <w:r w:rsidR="00B37126" w:rsidRPr="00A31721">
        <w:rPr>
          <w:rFonts w:ascii="Times New Roman" w:eastAsia="Times New Roman" w:hAnsi="Times New Roman" w:cs="Times New Roman"/>
          <w:b/>
          <w:color w:val="000000" w:themeColor="text1"/>
          <w:sz w:val="24"/>
          <w:szCs w:val="24"/>
        </w:rPr>
        <w:t>Contingency</w:t>
      </w:r>
      <w:r w:rsidRPr="00A31721">
        <w:rPr>
          <w:rFonts w:ascii="Times New Roman" w:eastAsia="Times New Roman" w:hAnsi="Times New Roman" w:cs="Times New Roman"/>
          <w:b/>
          <w:color w:val="000000" w:themeColor="text1"/>
          <w:sz w:val="24"/>
          <w:szCs w:val="24"/>
        </w:rPr>
        <w:t xml:space="preserve"> factors</w:t>
      </w:r>
      <w:r w:rsidR="00CA1E8E" w:rsidRPr="00A31721">
        <w:rPr>
          <w:rFonts w:ascii="Times New Roman" w:eastAsia="Times New Roman" w:hAnsi="Times New Roman" w:cs="Times New Roman"/>
          <w:b/>
          <w:color w:val="000000" w:themeColor="text1"/>
          <w:sz w:val="24"/>
          <w:szCs w:val="24"/>
        </w:rPr>
        <w:t xml:space="preserve">, </w:t>
      </w:r>
      <w:r w:rsidRPr="00A31721">
        <w:rPr>
          <w:rFonts w:ascii="Times New Roman" w:eastAsia="Times New Roman" w:hAnsi="Times New Roman" w:cs="Times New Roman"/>
          <w:b/>
          <w:color w:val="000000" w:themeColor="text1"/>
          <w:sz w:val="24"/>
          <w:szCs w:val="24"/>
        </w:rPr>
        <w:t>adoption of sustainability practices and use of EMA tools</w:t>
      </w:r>
    </w:p>
    <w:p w14:paraId="152989ED" w14:textId="35D520DF" w:rsidR="00A006D3" w:rsidRPr="00A31721" w:rsidRDefault="00A006D3" w:rsidP="00B37126">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The literature on </w:t>
      </w:r>
      <w:r w:rsidR="00E97CA5" w:rsidRPr="00A31721">
        <w:rPr>
          <w:rFonts w:ascii="Times New Roman" w:hAnsi="Times New Roman" w:cs="Times New Roman"/>
          <w:color w:val="000000" w:themeColor="text1"/>
          <w:sz w:val="24"/>
          <w:szCs w:val="24"/>
        </w:rPr>
        <w:t xml:space="preserve">contingency </w:t>
      </w:r>
      <w:r w:rsidRPr="00A31721">
        <w:rPr>
          <w:rFonts w:ascii="Times New Roman" w:hAnsi="Times New Roman" w:cs="Times New Roman"/>
          <w:color w:val="000000" w:themeColor="text1"/>
          <w:sz w:val="24"/>
          <w:szCs w:val="24"/>
        </w:rPr>
        <w:t xml:space="preserve">factors has </w:t>
      </w:r>
      <w:r w:rsidR="00E97CA5" w:rsidRPr="00A31721">
        <w:rPr>
          <w:rFonts w:ascii="Times New Roman" w:hAnsi="Times New Roman" w:cs="Times New Roman"/>
          <w:color w:val="000000" w:themeColor="text1"/>
          <w:sz w:val="24"/>
          <w:szCs w:val="24"/>
        </w:rPr>
        <w:t>signalize</w:t>
      </w:r>
      <w:r w:rsidRPr="00A31721">
        <w:rPr>
          <w:rFonts w:ascii="Times New Roman" w:hAnsi="Times New Roman" w:cs="Times New Roman"/>
          <w:color w:val="000000" w:themeColor="text1"/>
          <w:sz w:val="24"/>
          <w:szCs w:val="24"/>
        </w:rPr>
        <w:t xml:space="preserve"> the importance of firms </w:t>
      </w:r>
      <w:r w:rsidR="00E97CA5" w:rsidRPr="00A31721">
        <w:rPr>
          <w:rFonts w:ascii="Times New Roman" w:hAnsi="Times New Roman" w:cs="Times New Roman"/>
          <w:color w:val="000000" w:themeColor="text1"/>
          <w:sz w:val="24"/>
          <w:szCs w:val="24"/>
        </w:rPr>
        <w:t>accounting</w:t>
      </w:r>
      <w:r w:rsidRPr="00A31721">
        <w:rPr>
          <w:rFonts w:ascii="Times New Roman" w:hAnsi="Times New Roman" w:cs="Times New Roman"/>
          <w:color w:val="000000" w:themeColor="text1"/>
          <w:sz w:val="24"/>
          <w:szCs w:val="24"/>
        </w:rPr>
        <w:t xml:space="preserve"> for uncertainty in the </w:t>
      </w:r>
      <w:r w:rsidR="00E97CA5" w:rsidRPr="00A31721">
        <w:rPr>
          <w:rFonts w:ascii="Times New Roman" w:hAnsi="Times New Roman" w:cs="Times New Roman"/>
          <w:color w:val="000000" w:themeColor="text1"/>
          <w:sz w:val="24"/>
          <w:szCs w:val="24"/>
        </w:rPr>
        <w:t>environment</w:t>
      </w:r>
      <w:r w:rsidRPr="00A31721">
        <w:rPr>
          <w:rFonts w:ascii="Times New Roman" w:hAnsi="Times New Roman" w:cs="Times New Roman"/>
          <w:color w:val="000000" w:themeColor="text1"/>
          <w:sz w:val="24"/>
          <w:szCs w:val="24"/>
        </w:rPr>
        <w:t xml:space="preserve"> they operate, the strategy that reflect firms value and mission as well as technology adopted to </w:t>
      </w:r>
      <w:r w:rsidR="00E97CA5" w:rsidRPr="00A31721">
        <w:rPr>
          <w:rFonts w:ascii="Times New Roman" w:hAnsi="Times New Roman" w:cs="Times New Roman"/>
          <w:color w:val="000000" w:themeColor="text1"/>
          <w:sz w:val="24"/>
          <w:szCs w:val="24"/>
        </w:rPr>
        <w:t>maintain</w:t>
      </w:r>
      <w:r w:rsidRPr="00A31721">
        <w:rPr>
          <w:rFonts w:ascii="Times New Roman" w:hAnsi="Times New Roman" w:cs="Times New Roman"/>
          <w:color w:val="000000" w:themeColor="text1"/>
          <w:sz w:val="24"/>
          <w:szCs w:val="24"/>
        </w:rPr>
        <w:t xml:space="preserve"> </w:t>
      </w:r>
      <w:proofErr w:type="gramStart"/>
      <w:r w:rsidRPr="00A31721">
        <w:rPr>
          <w:rFonts w:ascii="Times New Roman" w:hAnsi="Times New Roman" w:cs="Times New Roman"/>
          <w:color w:val="000000" w:themeColor="text1"/>
          <w:sz w:val="24"/>
          <w:szCs w:val="24"/>
        </w:rPr>
        <w:t>the competitiveness</w:t>
      </w:r>
      <w:proofErr w:type="gramEnd"/>
      <w:r w:rsidRPr="00A31721">
        <w:rPr>
          <w:rFonts w:ascii="Times New Roman" w:hAnsi="Times New Roman" w:cs="Times New Roman"/>
          <w:color w:val="000000" w:themeColor="text1"/>
          <w:sz w:val="24"/>
          <w:szCs w:val="24"/>
        </w:rPr>
        <w:t xml:space="preserve"> in the market (</w:t>
      </w:r>
      <w:r w:rsidR="001E1BF2" w:rsidRPr="00A31721">
        <w:rPr>
          <w:rFonts w:ascii="Times New Roman" w:hAnsi="Times New Roman" w:cs="Times New Roman"/>
          <w:color w:val="000000" w:themeColor="text1"/>
          <w:sz w:val="24"/>
          <w:szCs w:val="24"/>
        </w:rPr>
        <w:t xml:space="preserve">Khanh </w:t>
      </w:r>
      <w:r w:rsidR="009E66A0" w:rsidRPr="00A31721">
        <w:rPr>
          <w:rFonts w:ascii="Times New Roman" w:hAnsi="Times New Roman" w:cs="Times New Roman"/>
          <w:color w:val="000000" w:themeColor="text1"/>
          <w:sz w:val="24"/>
          <w:szCs w:val="24"/>
        </w:rPr>
        <w:t>et al., 2024</w:t>
      </w:r>
      <w:r w:rsidRPr="00A31721">
        <w:rPr>
          <w:rFonts w:ascii="Times New Roman" w:hAnsi="Times New Roman" w:cs="Times New Roman"/>
          <w:color w:val="000000" w:themeColor="text1"/>
          <w:sz w:val="24"/>
          <w:szCs w:val="24"/>
        </w:rPr>
        <w:t xml:space="preserve">). While a </w:t>
      </w:r>
      <w:r w:rsidR="00C77818" w:rsidRPr="00A31721">
        <w:rPr>
          <w:rFonts w:ascii="Times New Roman" w:hAnsi="Times New Roman" w:cs="Times New Roman"/>
          <w:color w:val="000000" w:themeColor="text1"/>
          <w:sz w:val="24"/>
          <w:szCs w:val="24"/>
        </w:rPr>
        <w:t>considerable contribution</w:t>
      </w:r>
      <w:r w:rsidRPr="00A31721">
        <w:rPr>
          <w:rFonts w:ascii="Times New Roman" w:hAnsi="Times New Roman" w:cs="Times New Roman"/>
          <w:color w:val="000000" w:themeColor="text1"/>
          <w:sz w:val="24"/>
          <w:szCs w:val="24"/>
        </w:rPr>
        <w:t xml:space="preserve"> </w:t>
      </w:r>
      <w:r w:rsidR="001611C2" w:rsidRPr="00A31721">
        <w:rPr>
          <w:rFonts w:ascii="Times New Roman" w:hAnsi="Times New Roman" w:cs="Times New Roman"/>
          <w:color w:val="000000" w:themeColor="text1"/>
          <w:sz w:val="24"/>
          <w:szCs w:val="24"/>
        </w:rPr>
        <w:t>has</w:t>
      </w:r>
      <w:r w:rsidRPr="00A31721">
        <w:rPr>
          <w:rFonts w:ascii="Times New Roman" w:hAnsi="Times New Roman" w:cs="Times New Roman"/>
          <w:color w:val="000000" w:themeColor="text1"/>
          <w:sz w:val="24"/>
          <w:szCs w:val="24"/>
        </w:rPr>
        <w:t xml:space="preserve"> been added to th</w:t>
      </w:r>
      <w:r w:rsidR="004C4894" w:rsidRPr="00A31721">
        <w:rPr>
          <w:rFonts w:ascii="Times New Roman" w:hAnsi="Times New Roman" w:cs="Times New Roman"/>
          <w:color w:val="000000" w:themeColor="text1"/>
          <w:sz w:val="24"/>
          <w:szCs w:val="24"/>
        </w:rPr>
        <w:t xml:space="preserve">e </w:t>
      </w:r>
      <w:r w:rsidR="007C60BA" w:rsidRPr="00A31721">
        <w:rPr>
          <w:rFonts w:ascii="Times New Roman" w:hAnsi="Times New Roman" w:cs="Times New Roman"/>
          <w:color w:val="000000" w:themeColor="text1"/>
          <w:sz w:val="24"/>
          <w:szCs w:val="24"/>
        </w:rPr>
        <w:t xml:space="preserve">environmental </w:t>
      </w:r>
      <w:r w:rsidR="008A3BBD" w:rsidRPr="00A31721">
        <w:rPr>
          <w:rFonts w:ascii="Times New Roman" w:hAnsi="Times New Roman" w:cs="Times New Roman"/>
          <w:color w:val="000000" w:themeColor="text1"/>
          <w:sz w:val="24"/>
          <w:szCs w:val="24"/>
        </w:rPr>
        <w:t>strategy</w:t>
      </w:r>
      <w:r w:rsidRPr="00A31721">
        <w:rPr>
          <w:rFonts w:ascii="Times New Roman" w:hAnsi="Times New Roman" w:cs="Times New Roman"/>
          <w:color w:val="000000" w:themeColor="text1"/>
          <w:sz w:val="24"/>
          <w:szCs w:val="24"/>
        </w:rPr>
        <w:t xml:space="preserve"> (</w:t>
      </w:r>
      <w:r w:rsidR="009E66A0" w:rsidRPr="00A31721">
        <w:rPr>
          <w:rFonts w:ascii="Times New Roman" w:hAnsi="Times New Roman" w:cs="Times New Roman"/>
          <w:color w:val="000000" w:themeColor="text1"/>
          <w:sz w:val="24"/>
          <w:szCs w:val="24"/>
        </w:rPr>
        <w:t>Gunarathne et al., 2023</w:t>
      </w:r>
      <w:r w:rsidRPr="00A31721">
        <w:rPr>
          <w:rFonts w:ascii="Times New Roman" w:hAnsi="Times New Roman" w:cs="Times New Roman"/>
          <w:color w:val="000000" w:themeColor="text1"/>
          <w:sz w:val="24"/>
          <w:szCs w:val="24"/>
        </w:rPr>
        <w:t xml:space="preserve">), there is still </w:t>
      </w:r>
      <w:r w:rsidR="00981D64" w:rsidRPr="00A31721">
        <w:rPr>
          <w:rFonts w:ascii="Times New Roman" w:hAnsi="Times New Roman" w:cs="Times New Roman"/>
          <w:color w:val="000000" w:themeColor="text1"/>
          <w:sz w:val="24"/>
          <w:szCs w:val="24"/>
        </w:rPr>
        <w:t>demand</w:t>
      </w:r>
      <w:r w:rsidRPr="00A31721">
        <w:rPr>
          <w:rFonts w:ascii="Times New Roman" w:hAnsi="Times New Roman" w:cs="Times New Roman"/>
          <w:color w:val="000000" w:themeColor="text1"/>
          <w:sz w:val="24"/>
          <w:szCs w:val="24"/>
        </w:rPr>
        <w:t xml:space="preserve"> for more studies </w:t>
      </w:r>
      <w:r w:rsidR="00E97CA5" w:rsidRPr="00A31721">
        <w:rPr>
          <w:rFonts w:ascii="Times New Roman" w:hAnsi="Times New Roman" w:cs="Times New Roman"/>
          <w:color w:val="000000" w:themeColor="text1"/>
          <w:sz w:val="24"/>
          <w:szCs w:val="24"/>
        </w:rPr>
        <w:t>understanding</w:t>
      </w:r>
      <w:r w:rsidRPr="00A31721">
        <w:rPr>
          <w:rFonts w:ascii="Times New Roman" w:hAnsi="Times New Roman" w:cs="Times New Roman"/>
          <w:color w:val="000000" w:themeColor="text1"/>
          <w:sz w:val="24"/>
          <w:szCs w:val="24"/>
        </w:rPr>
        <w:t xml:space="preserve"> the implication </w:t>
      </w:r>
      <w:r w:rsidR="00943474" w:rsidRPr="00A31721">
        <w:rPr>
          <w:rFonts w:ascii="Times New Roman" w:hAnsi="Times New Roman" w:cs="Times New Roman"/>
          <w:color w:val="000000" w:themeColor="text1"/>
          <w:sz w:val="24"/>
          <w:szCs w:val="24"/>
        </w:rPr>
        <w:t xml:space="preserve">of </w:t>
      </w:r>
      <w:r w:rsidRPr="00A31721">
        <w:rPr>
          <w:rFonts w:ascii="Times New Roman" w:hAnsi="Times New Roman" w:cs="Times New Roman"/>
          <w:color w:val="000000" w:themeColor="text1"/>
          <w:sz w:val="24"/>
          <w:szCs w:val="24"/>
        </w:rPr>
        <w:t xml:space="preserve">this factor in the winery context. </w:t>
      </w:r>
    </w:p>
    <w:p w14:paraId="499F932E" w14:textId="3328CAB5" w:rsidR="00184904" w:rsidRPr="00A31721" w:rsidRDefault="00A006D3" w:rsidP="00B37126">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Previous literature has shown that </w:t>
      </w:r>
      <w:r w:rsidR="00184904" w:rsidRPr="00A31721">
        <w:rPr>
          <w:rFonts w:ascii="Times New Roman" w:hAnsi="Times New Roman" w:cs="Times New Roman"/>
          <w:color w:val="000000" w:themeColor="text1"/>
          <w:sz w:val="24"/>
          <w:szCs w:val="24"/>
        </w:rPr>
        <w:t xml:space="preserve">sustainability practices </w:t>
      </w:r>
      <w:r w:rsidR="00365270" w:rsidRPr="00A31721">
        <w:rPr>
          <w:rFonts w:ascii="Times New Roman" w:hAnsi="Times New Roman" w:cs="Times New Roman"/>
          <w:color w:val="000000" w:themeColor="text1"/>
          <w:sz w:val="24"/>
          <w:szCs w:val="24"/>
        </w:rPr>
        <w:t>consist</w:t>
      </w:r>
      <w:r w:rsidRPr="00A31721">
        <w:rPr>
          <w:rFonts w:ascii="Times New Roman" w:hAnsi="Times New Roman" w:cs="Times New Roman"/>
          <w:color w:val="000000" w:themeColor="text1"/>
          <w:sz w:val="24"/>
          <w:szCs w:val="24"/>
        </w:rPr>
        <w:t xml:space="preserve"> of </w:t>
      </w:r>
      <w:proofErr w:type="gramStart"/>
      <w:r w:rsidRPr="00A31721">
        <w:rPr>
          <w:rFonts w:ascii="Times New Roman" w:hAnsi="Times New Roman" w:cs="Times New Roman"/>
          <w:color w:val="000000" w:themeColor="text1"/>
          <w:sz w:val="24"/>
          <w:szCs w:val="24"/>
        </w:rPr>
        <w:t>firms</w:t>
      </w:r>
      <w:proofErr w:type="gramEnd"/>
      <w:r w:rsidR="00184904" w:rsidRPr="00A31721">
        <w:rPr>
          <w:rFonts w:ascii="Times New Roman" w:hAnsi="Times New Roman" w:cs="Times New Roman"/>
          <w:color w:val="000000" w:themeColor="text1"/>
          <w:sz w:val="24"/>
          <w:szCs w:val="24"/>
        </w:rPr>
        <w:t xml:space="preserve"> actions adopted to minimize environmental impacts and promote more balanced development (Raut et al., 2019; Silva et al., 2022). The adoption of such practices is particularly important as wineries face an increasingly uncertain environment, including challenges such as potable water scarcity, high levels of waste generation, and extreme weather events (Trigo </w:t>
      </w:r>
      <w:r w:rsidR="00065BA8" w:rsidRPr="00A31721">
        <w:rPr>
          <w:rFonts w:ascii="Times New Roman" w:eastAsia="Times New Roman" w:hAnsi="Times New Roman" w:cs="Times New Roman"/>
          <w:color w:val="000000" w:themeColor="text1"/>
          <w:sz w:val="24"/>
          <w:szCs w:val="24"/>
        </w:rPr>
        <w:t>&amp;</w:t>
      </w:r>
      <w:r w:rsidR="00184904" w:rsidRPr="00A31721">
        <w:rPr>
          <w:rFonts w:ascii="Times New Roman" w:hAnsi="Times New Roman" w:cs="Times New Roman"/>
          <w:color w:val="000000" w:themeColor="text1"/>
          <w:sz w:val="24"/>
          <w:szCs w:val="24"/>
        </w:rPr>
        <w:t xml:space="preserve"> Silva, 2022). Ignoring these events and their associated environmental risks is </w:t>
      </w:r>
      <w:r w:rsidR="00216C64" w:rsidRPr="00A31721">
        <w:rPr>
          <w:rFonts w:ascii="Times New Roman" w:hAnsi="Times New Roman" w:cs="Times New Roman"/>
          <w:color w:val="000000" w:themeColor="text1"/>
          <w:sz w:val="24"/>
          <w:szCs w:val="24"/>
        </w:rPr>
        <w:t>detrimental</w:t>
      </w:r>
      <w:r w:rsidR="00184904" w:rsidRPr="00A31721">
        <w:rPr>
          <w:rFonts w:ascii="Times New Roman" w:hAnsi="Times New Roman" w:cs="Times New Roman"/>
          <w:color w:val="000000" w:themeColor="text1"/>
          <w:sz w:val="24"/>
          <w:szCs w:val="24"/>
        </w:rPr>
        <w:t xml:space="preserve">, as the potential for financial loss and severe environmental damage is undeniable (Christ, 2014; </w:t>
      </w:r>
      <w:proofErr w:type="spellStart"/>
      <w:r w:rsidR="00184904" w:rsidRPr="00A31721">
        <w:rPr>
          <w:rFonts w:ascii="Times New Roman" w:hAnsi="Times New Roman" w:cs="Times New Roman"/>
          <w:color w:val="000000" w:themeColor="text1"/>
          <w:sz w:val="24"/>
          <w:szCs w:val="24"/>
        </w:rPr>
        <w:t>Steur</w:t>
      </w:r>
      <w:proofErr w:type="spellEnd"/>
      <w:r w:rsidR="00184904" w:rsidRPr="00A31721">
        <w:rPr>
          <w:rFonts w:ascii="Times New Roman" w:hAnsi="Times New Roman" w:cs="Times New Roman"/>
          <w:color w:val="000000" w:themeColor="text1"/>
          <w:sz w:val="24"/>
          <w:szCs w:val="24"/>
        </w:rPr>
        <w:t xml:space="preserve"> et al., 20</w:t>
      </w:r>
      <w:r w:rsidR="006D4E29" w:rsidRPr="00A31721">
        <w:rPr>
          <w:rFonts w:ascii="Times New Roman" w:hAnsi="Times New Roman" w:cs="Times New Roman"/>
          <w:color w:val="000000" w:themeColor="text1"/>
          <w:sz w:val="24"/>
          <w:szCs w:val="24"/>
        </w:rPr>
        <w:t>20</w:t>
      </w:r>
      <w:r w:rsidR="00184904" w:rsidRPr="00A31721">
        <w:rPr>
          <w:rFonts w:ascii="Times New Roman" w:hAnsi="Times New Roman" w:cs="Times New Roman"/>
          <w:color w:val="000000" w:themeColor="text1"/>
          <w:sz w:val="24"/>
          <w:szCs w:val="24"/>
        </w:rPr>
        <w:t>; Karagiannis and Metaxas, 2020).</w:t>
      </w:r>
    </w:p>
    <w:p w14:paraId="355A20F1" w14:textId="1C066A94" w:rsidR="00184904" w:rsidRPr="00A31721" w:rsidRDefault="00A006D3" w:rsidP="00B37126">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In addition, demands from </w:t>
      </w:r>
      <w:r w:rsidR="00184904" w:rsidRPr="00A31721">
        <w:rPr>
          <w:rFonts w:ascii="Times New Roman" w:hAnsi="Times New Roman" w:cs="Times New Roman"/>
          <w:color w:val="000000" w:themeColor="text1"/>
          <w:sz w:val="24"/>
          <w:szCs w:val="24"/>
        </w:rPr>
        <w:t xml:space="preserve">customers, local communities, industry associations, and government </w:t>
      </w:r>
      <w:proofErr w:type="gramStart"/>
      <w:r w:rsidR="00184904" w:rsidRPr="00A31721">
        <w:rPr>
          <w:rFonts w:ascii="Times New Roman" w:hAnsi="Times New Roman" w:cs="Times New Roman"/>
          <w:color w:val="000000" w:themeColor="text1"/>
          <w:sz w:val="24"/>
          <w:szCs w:val="24"/>
        </w:rPr>
        <w:t>agencie</w:t>
      </w:r>
      <w:r w:rsidRPr="00A31721">
        <w:rPr>
          <w:rFonts w:ascii="Times New Roman" w:hAnsi="Times New Roman" w:cs="Times New Roman"/>
          <w:color w:val="000000" w:themeColor="text1"/>
          <w:sz w:val="24"/>
          <w:szCs w:val="24"/>
        </w:rPr>
        <w:t>s,</w:t>
      </w:r>
      <w:proofErr w:type="gramEnd"/>
      <w:r w:rsidRPr="00A31721">
        <w:rPr>
          <w:rFonts w:ascii="Times New Roman" w:hAnsi="Times New Roman" w:cs="Times New Roman"/>
          <w:color w:val="000000" w:themeColor="text1"/>
          <w:sz w:val="24"/>
          <w:szCs w:val="24"/>
        </w:rPr>
        <w:t xml:space="preserve"> has been a </w:t>
      </w:r>
      <w:r w:rsidR="00184904" w:rsidRPr="00A31721">
        <w:rPr>
          <w:rFonts w:ascii="Times New Roman" w:hAnsi="Times New Roman" w:cs="Times New Roman"/>
          <w:color w:val="000000" w:themeColor="text1"/>
          <w:sz w:val="24"/>
          <w:szCs w:val="24"/>
        </w:rPr>
        <w:t xml:space="preserve">key driver </w:t>
      </w:r>
      <w:r w:rsidRPr="00A31721">
        <w:rPr>
          <w:rFonts w:ascii="Times New Roman" w:hAnsi="Times New Roman" w:cs="Times New Roman"/>
          <w:color w:val="000000" w:themeColor="text1"/>
          <w:sz w:val="24"/>
          <w:szCs w:val="24"/>
        </w:rPr>
        <w:t xml:space="preserve">for the </w:t>
      </w:r>
      <w:r w:rsidR="00184904" w:rsidRPr="00A31721">
        <w:rPr>
          <w:rFonts w:ascii="Times New Roman" w:hAnsi="Times New Roman" w:cs="Times New Roman"/>
          <w:color w:val="000000" w:themeColor="text1"/>
          <w:sz w:val="24"/>
          <w:szCs w:val="24"/>
        </w:rPr>
        <w:t>adoption of sustainability practices (</w:t>
      </w:r>
      <w:proofErr w:type="spellStart"/>
      <w:r w:rsidR="00184904" w:rsidRPr="00A31721">
        <w:rPr>
          <w:rFonts w:ascii="Times New Roman" w:hAnsi="Times New Roman" w:cs="Times New Roman"/>
          <w:color w:val="000000" w:themeColor="text1"/>
          <w:sz w:val="24"/>
          <w:szCs w:val="24"/>
        </w:rPr>
        <w:t>Gabzdylova</w:t>
      </w:r>
      <w:proofErr w:type="spellEnd"/>
      <w:r w:rsidR="00184904" w:rsidRPr="00A31721">
        <w:rPr>
          <w:rFonts w:ascii="Times New Roman" w:hAnsi="Times New Roman" w:cs="Times New Roman"/>
          <w:color w:val="000000" w:themeColor="text1"/>
          <w:sz w:val="24"/>
          <w:szCs w:val="24"/>
        </w:rPr>
        <w:t xml:space="preserve"> et al., 2009; </w:t>
      </w:r>
      <w:proofErr w:type="spellStart"/>
      <w:r w:rsidR="00184904" w:rsidRPr="00A31721">
        <w:rPr>
          <w:rFonts w:ascii="Times New Roman" w:hAnsi="Times New Roman" w:cs="Times New Roman"/>
          <w:color w:val="000000" w:themeColor="text1"/>
          <w:sz w:val="24"/>
          <w:szCs w:val="24"/>
        </w:rPr>
        <w:t>Steur</w:t>
      </w:r>
      <w:proofErr w:type="spellEnd"/>
      <w:r w:rsidR="00184904" w:rsidRPr="00A31721">
        <w:rPr>
          <w:rFonts w:ascii="Times New Roman" w:hAnsi="Times New Roman" w:cs="Times New Roman"/>
          <w:color w:val="000000" w:themeColor="text1"/>
          <w:sz w:val="24"/>
          <w:szCs w:val="24"/>
        </w:rPr>
        <w:t xml:space="preserve"> et al., 20</w:t>
      </w:r>
      <w:r w:rsidR="006D4E29" w:rsidRPr="00A31721">
        <w:rPr>
          <w:rFonts w:ascii="Times New Roman" w:hAnsi="Times New Roman" w:cs="Times New Roman"/>
          <w:color w:val="000000" w:themeColor="text1"/>
          <w:sz w:val="24"/>
          <w:szCs w:val="24"/>
        </w:rPr>
        <w:t>20</w:t>
      </w:r>
      <w:r w:rsidR="00184904" w:rsidRPr="00A31721">
        <w:rPr>
          <w:rFonts w:ascii="Times New Roman" w:hAnsi="Times New Roman" w:cs="Times New Roman"/>
          <w:color w:val="000000" w:themeColor="text1"/>
          <w:sz w:val="24"/>
          <w:szCs w:val="24"/>
        </w:rPr>
        <w:t xml:space="preserve">; Karagiannis </w:t>
      </w:r>
      <w:r w:rsidR="00065BA8" w:rsidRPr="00A31721">
        <w:rPr>
          <w:rFonts w:ascii="Times New Roman" w:eastAsia="Times New Roman" w:hAnsi="Times New Roman" w:cs="Times New Roman"/>
          <w:color w:val="000000" w:themeColor="text1"/>
          <w:sz w:val="24"/>
          <w:szCs w:val="24"/>
        </w:rPr>
        <w:t>&amp;</w:t>
      </w:r>
      <w:r w:rsidR="00184904" w:rsidRPr="00A31721">
        <w:rPr>
          <w:rFonts w:ascii="Times New Roman" w:hAnsi="Times New Roman" w:cs="Times New Roman"/>
          <w:color w:val="000000" w:themeColor="text1"/>
          <w:sz w:val="24"/>
          <w:szCs w:val="24"/>
        </w:rPr>
        <w:t xml:space="preserve"> Metaxas, 2020; Nave et al., 2021).</w:t>
      </w:r>
      <w:r w:rsidRPr="00A31721">
        <w:rPr>
          <w:rFonts w:ascii="Times New Roman" w:hAnsi="Times New Roman" w:cs="Times New Roman"/>
          <w:color w:val="000000" w:themeColor="text1"/>
          <w:sz w:val="24"/>
          <w:szCs w:val="24"/>
        </w:rPr>
        <w:t xml:space="preserve"> </w:t>
      </w:r>
      <w:r w:rsidR="00184904" w:rsidRPr="00A31721">
        <w:rPr>
          <w:rFonts w:ascii="Times New Roman" w:hAnsi="Times New Roman" w:cs="Times New Roman"/>
          <w:color w:val="000000" w:themeColor="text1"/>
          <w:sz w:val="24"/>
          <w:szCs w:val="24"/>
        </w:rPr>
        <w:t>Such pressure can lead companies to adopt environmental strategies that go beyond regulatory compliance (Ateş et al., 2012) and to invest in technologies that enable cleaner and more sustainable production (</w:t>
      </w:r>
      <w:proofErr w:type="spellStart"/>
      <w:r w:rsidR="00184904" w:rsidRPr="00A31721">
        <w:rPr>
          <w:rFonts w:ascii="Times New Roman" w:hAnsi="Times New Roman" w:cs="Times New Roman"/>
          <w:color w:val="000000" w:themeColor="text1"/>
          <w:sz w:val="24"/>
          <w:szCs w:val="24"/>
        </w:rPr>
        <w:t>Devesa</w:t>
      </w:r>
      <w:proofErr w:type="spellEnd"/>
      <w:r w:rsidR="00184904" w:rsidRPr="00A31721">
        <w:rPr>
          <w:rFonts w:ascii="Times New Roman" w:hAnsi="Times New Roman" w:cs="Times New Roman"/>
          <w:color w:val="000000" w:themeColor="text1"/>
          <w:sz w:val="24"/>
          <w:szCs w:val="24"/>
        </w:rPr>
        <w:t>-Rey et al., 2011).</w:t>
      </w:r>
      <w:r w:rsidR="008C639D" w:rsidRPr="00A31721">
        <w:rPr>
          <w:rFonts w:ascii="Times New Roman" w:hAnsi="Times New Roman" w:cs="Times New Roman"/>
          <w:color w:val="000000" w:themeColor="text1"/>
          <w:sz w:val="24"/>
          <w:szCs w:val="24"/>
        </w:rPr>
        <w:t xml:space="preserve"> Previous literature devised from </w:t>
      </w:r>
      <w:r w:rsidR="00184904" w:rsidRPr="00A31721">
        <w:rPr>
          <w:rFonts w:ascii="Times New Roman" w:hAnsi="Times New Roman" w:cs="Times New Roman"/>
          <w:color w:val="000000" w:themeColor="text1"/>
          <w:sz w:val="24"/>
          <w:szCs w:val="24"/>
        </w:rPr>
        <w:t xml:space="preserve">Contingency </w:t>
      </w:r>
      <w:r w:rsidR="008C639D" w:rsidRPr="00A31721">
        <w:rPr>
          <w:rFonts w:ascii="Times New Roman" w:hAnsi="Times New Roman" w:cs="Times New Roman"/>
          <w:color w:val="000000" w:themeColor="text1"/>
          <w:sz w:val="24"/>
          <w:szCs w:val="24"/>
        </w:rPr>
        <w:t>T</w:t>
      </w:r>
      <w:r w:rsidR="00184904" w:rsidRPr="00A31721">
        <w:rPr>
          <w:rFonts w:ascii="Times New Roman" w:hAnsi="Times New Roman" w:cs="Times New Roman"/>
          <w:color w:val="000000" w:themeColor="text1"/>
          <w:sz w:val="24"/>
          <w:szCs w:val="24"/>
        </w:rPr>
        <w:t xml:space="preserve">heory to explain how these factors </w:t>
      </w:r>
      <w:r w:rsidR="008C639D" w:rsidRPr="00A31721">
        <w:rPr>
          <w:rFonts w:ascii="Times New Roman" w:hAnsi="Times New Roman" w:cs="Times New Roman"/>
          <w:color w:val="000000" w:themeColor="text1"/>
          <w:sz w:val="24"/>
          <w:szCs w:val="24"/>
        </w:rPr>
        <w:t xml:space="preserve">can </w:t>
      </w:r>
      <w:r w:rsidR="00184904" w:rsidRPr="00A31721">
        <w:rPr>
          <w:rFonts w:ascii="Times New Roman" w:hAnsi="Times New Roman" w:cs="Times New Roman"/>
          <w:color w:val="000000" w:themeColor="text1"/>
          <w:sz w:val="24"/>
          <w:szCs w:val="24"/>
        </w:rPr>
        <w:t xml:space="preserve">facilitate or hinder the adoption of sustainable practices, </w:t>
      </w:r>
      <w:r w:rsidR="008C639D" w:rsidRPr="00A31721">
        <w:rPr>
          <w:rFonts w:ascii="Times New Roman" w:hAnsi="Times New Roman" w:cs="Times New Roman"/>
          <w:color w:val="000000" w:themeColor="text1"/>
          <w:sz w:val="24"/>
          <w:szCs w:val="24"/>
        </w:rPr>
        <w:t xml:space="preserve">influencing on more </w:t>
      </w:r>
      <w:r w:rsidR="00184904" w:rsidRPr="00A31721">
        <w:rPr>
          <w:rFonts w:ascii="Times New Roman" w:hAnsi="Times New Roman" w:cs="Times New Roman"/>
          <w:color w:val="000000" w:themeColor="text1"/>
          <w:sz w:val="24"/>
          <w:szCs w:val="24"/>
        </w:rPr>
        <w:t xml:space="preserve">efficient resource allocation and improved performance (Agi </w:t>
      </w:r>
      <w:r w:rsidR="00065BA8" w:rsidRPr="00A31721">
        <w:rPr>
          <w:rFonts w:ascii="Times New Roman" w:eastAsia="Times New Roman" w:hAnsi="Times New Roman" w:cs="Times New Roman"/>
          <w:color w:val="000000" w:themeColor="text1"/>
          <w:sz w:val="24"/>
          <w:szCs w:val="24"/>
        </w:rPr>
        <w:t>&amp;</w:t>
      </w:r>
      <w:r w:rsidR="00184904" w:rsidRPr="00A31721">
        <w:rPr>
          <w:rFonts w:ascii="Times New Roman" w:hAnsi="Times New Roman" w:cs="Times New Roman"/>
          <w:color w:val="000000" w:themeColor="text1"/>
          <w:sz w:val="24"/>
          <w:szCs w:val="24"/>
        </w:rPr>
        <w:t xml:space="preserve"> Nishant, </w:t>
      </w:r>
      <w:r w:rsidR="00184904" w:rsidRPr="00A31721">
        <w:rPr>
          <w:rFonts w:ascii="Times New Roman" w:hAnsi="Times New Roman" w:cs="Times New Roman"/>
          <w:color w:val="000000" w:themeColor="text1"/>
          <w:sz w:val="24"/>
          <w:szCs w:val="24"/>
        </w:rPr>
        <w:lastRenderedPageBreak/>
        <w:t xml:space="preserve">2017; </w:t>
      </w:r>
      <w:proofErr w:type="spellStart"/>
      <w:r w:rsidR="00184904" w:rsidRPr="00A31721">
        <w:rPr>
          <w:rFonts w:ascii="Times New Roman" w:hAnsi="Times New Roman" w:cs="Times New Roman"/>
          <w:color w:val="000000" w:themeColor="text1"/>
          <w:sz w:val="24"/>
          <w:szCs w:val="24"/>
        </w:rPr>
        <w:t>Maletič</w:t>
      </w:r>
      <w:proofErr w:type="spellEnd"/>
      <w:r w:rsidR="00184904" w:rsidRPr="00A31721">
        <w:rPr>
          <w:rFonts w:ascii="Times New Roman" w:hAnsi="Times New Roman" w:cs="Times New Roman"/>
          <w:color w:val="000000" w:themeColor="text1"/>
          <w:sz w:val="24"/>
          <w:szCs w:val="24"/>
        </w:rPr>
        <w:t xml:space="preserve"> et al., 2018; Christ, 2014). </w:t>
      </w:r>
      <w:r w:rsidR="008C639D" w:rsidRPr="00A31721">
        <w:rPr>
          <w:rFonts w:ascii="Times New Roman" w:hAnsi="Times New Roman" w:cs="Times New Roman"/>
          <w:color w:val="000000" w:themeColor="text1"/>
          <w:sz w:val="24"/>
          <w:szCs w:val="24"/>
        </w:rPr>
        <w:t xml:space="preserve">Specifically, the level of consideration given to </w:t>
      </w:r>
      <w:r w:rsidR="00184904" w:rsidRPr="00A31721">
        <w:rPr>
          <w:rFonts w:ascii="Times New Roman" w:hAnsi="Times New Roman" w:cs="Times New Roman"/>
          <w:color w:val="000000" w:themeColor="text1"/>
          <w:sz w:val="24"/>
          <w:szCs w:val="24"/>
        </w:rPr>
        <w:t>environmental uncertainties, strategies, and technology</w:t>
      </w:r>
      <w:r w:rsidR="008C639D" w:rsidRPr="00A31721">
        <w:rPr>
          <w:rFonts w:ascii="Times New Roman" w:hAnsi="Times New Roman" w:cs="Times New Roman"/>
          <w:color w:val="000000" w:themeColor="text1"/>
          <w:sz w:val="24"/>
          <w:szCs w:val="24"/>
        </w:rPr>
        <w:t xml:space="preserve">, may </w:t>
      </w:r>
      <w:r w:rsidR="00184904" w:rsidRPr="00A31721">
        <w:rPr>
          <w:rFonts w:ascii="Times New Roman" w:hAnsi="Times New Roman" w:cs="Times New Roman"/>
          <w:color w:val="000000" w:themeColor="text1"/>
          <w:sz w:val="24"/>
          <w:szCs w:val="24"/>
        </w:rPr>
        <w:t xml:space="preserve">either facilitate or </w:t>
      </w:r>
      <w:r w:rsidR="008C639D" w:rsidRPr="00A31721">
        <w:rPr>
          <w:rFonts w:ascii="Times New Roman" w:hAnsi="Times New Roman" w:cs="Times New Roman"/>
          <w:color w:val="000000" w:themeColor="text1"/>
          <w:sz w:val="24"/>
          <w:szCs w:val="24"/>
        </w:rPr>
        <w:t xml:space="preserve">undermine </w:t>
      </w:r>
      <w:r w:rsidR="00184904" w:rsidRPr="00A31721">
        <w:rPr>
          <w:rFonts w:ascii="Times New Roman" w:hAnsi="Times New Roman" w:cs="Times New Roman"/>
          <w:color w:val="000000" w:themeColor="text1"/>
          <w:sz w:val="24"/>
          <w:szCs w:val="24"/>
        </w:rPr>
        <w:t xml:space="preserve">the adoption of sustainable practices, </w:t>
      </w:r>
      <w:r w:rsidR="008C639D" w:rsidRPr="00A31721">
        <w:rPr>
          <w:rFonts w:ascii="Times New Roman" w:hAnsi="Times New Roman" w:cs="Times New Roman"/>
          <w:color w:val="000000" w:themeColor="text1"/>
          <w:sz w:val="24"/>
          <w:szCs w:val="24"/>
        </w:rPr>
        <w:t>eventually i</w:t>
      </w:r>
      <w:r w:rsidR="00184904" w:rsidRPr="00A31721">
        <w:rPr>
          <w:rFonts w:ascii="Times New Roman" w:hAnsi="Times New Roman" w:cs="Times New Roman"/>
          <w:color w:val="000000" w:themeColor="text1"/>
          <w:sz w:val="24"/>
          <w:szCs w:val="24"/>
        </w:rPr>
        <w:t xml:space="preserve">mpacting environmental performance (Agi and Nishant, 2017; Latan et al., 2018; </w:t>
      </w:r>
      <w:proofErr w:type="spellStart"/>
      <w:r w:rsidR="00184904" w:rsidRPr="00A31721">
        <w:rPr>
          <w:rFonts w:ascii="Times New Roman" w:hAnsi="Times New Roman" w:cs="Times New Roman"/>
          <w:color w:val="000000" w:themeColor="text1"/>
          <w:sz w:val="24"/>
          <w:szCs w:val="24"/>
        </w:rPr>
        <w:t>Maletič</w:t>
      </w:r>
      <w:proofErr w:type="spellEnd"/>
      <w:r w:rsidR="00184904" w:rsidRPr="00A31721">
        <w:rPr>
          <w:rFonts w:ascii="Times New Roman" w:hAnsi="Times New Roman" w:cs="Times New Roman"/>
          <w:color w:val="000000" w:themeColor="text1"/>
          <w:sz w:val="24"/>
          <w:szCs w:val="24"/>
        </w:rPr>
        <w:t xml:space="preserve"> et al., 2018).</w:t>
      </w:r>
    </w:p>
    <w:p w14:paraId="2132E847" w14:textId="54ED681B" w:rsidR="0049033D" w:rsidRPr="00A31721" w:rsidRDefault="00184904" w:rsidP="00B37126">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Environmental uncertainties</w:t>
      </w:r>
      <w:r w:rsidR="000A5819"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pose challenges that demand practices aimed at minimizing their impact and ensuring business continuity. Examples include the use of alternative energy sources and waste treatment equipment (</w:t>
      </w:r>
      <w:proofErr w:type="spellStart"/>
      <w:r w:rsidRPr="00A31721">
        <w:rPr>
          <w:rFonts w:ascii="Times New Roman" w:hAnsi="Times New Roman" w:cs="Times New Roman"/>
          <w:color w:val="000000" w:themeColor="text1"/>
          <w:sz w:val="24"/>
          <w:szCs w:val="24"/>
        </w:rPr>
        <w:t>Maletič</w:t>
      </w:r>
      <w:proofErr w:type="spellEnd"/>
      <w:r w:rsidRPr="00A31721">
        <w:rPr>
          <w:rFonts w:ascii="Times New Roman" w:hAnsi="Times New Roman" w:cs="Times New Roman"/>
          <w:color w:val="000000" w:themeColor="text1"/>
          <w:sz w:val="24"/>
          <w:szCs w:val="24"/>
        </w:rPr>
        <w:t xml:space="preserve"> et al., 2018; Sharma et al., 2017; Wang et al., 2018). Technology, in turn, plays a crucial role in this process, being associated with cleaner production processes and the enhancement of environmental practices (Hofmann et al., 2012). Additionally, strategy enables companies to integrate environmental concerns into their management </w:t>
      </w:r>
      <w:r w:rsidR="001358E9" w:rsidRPr="00A31721">
        <w:rPr>
          <w:rFonts w:ascii="Times New Roman" w:hAnsi="Times New Roman" w:cs="Times New Roman"/>
          <w:color w:val="000000" w:themeColor="text1"/>
          <w:sz w:val="24"/>
          <w:szCs w:val="24"/>
        </w:rPr>
        <w:t>practices</w:t>
      </w:r>
      <w:r w:rsidRPr="00A31721">
        <w:rPr>
          <w:rFonts w:ascii="Times New Roman" w:hAnsi="Times New Roman" w:cs="Times New Roman"/>
          <w:color w:val="000000" w:themeColor="text1"/>
          <w:sz w:val="24"/>
          <w:szCs w:val="24"/>
        </w:rPr>
        <w:t xml:space="preserve">, through strategies focused on the development of sustainable products and processes (Morioka </w:t>
      </w:r>
      <w:r w:rsidR="009D2AAE"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Carvalho, 2016; </w:t>
      </w:r>
      <w:proofErr w:type="spellStart"/>
      <w:r w:rsidRPr="00A31721">
        <w:rPr>
          <w:rFonts w:ascii="Times New Roman" w:hAnsi="Times New Roman" w:cs="Times New Roman"/>
          <w:color w:val="000000" w:themeColor="text1"/>
          <w:sz w:val="24"/>
          <w:szCs w:val="24"/>
        </w:rPr>
        <w:t>Pondeville</w:t>
      </w:r>
      <w:proofErr w:type="spellEnd"/>
      <w:r w:rsidRPr="00A31721">
        <w:rPr>
          <w:rFonts w:ascii="Times New Roman" w:hAnsi="Times New Roman" w:cs="Times New Roman"/>
          <w:color w:val="000000" w:themeColor="text1"/>
          <w:sz w:val="24"/>
          <w:szCs w:val="24"/>
        </w:rPr>
        <w:t xml:space="preserve"> et al., 2013).</w:t>
      </w:r>
      <w:r w:rsidR="008D5C7E" w:rsidRPr="00A31721">
        <w:rPr>
          <w:rFonts w:ascii="Times New Roman" w:hAnsi="Times New Roman" w:cs="Times New Roman"/>
          <w:color w:val="000000" w:themeColor="text1"/>
          <w:sz w:val="24"/>
          <w:szCs w:val="24"/>
        </w:rPr>
        <w:t xml:space="preserve"> Proactive environmental strategies can be understood as opportunities to improve energy efficiency, environmental performance, and economic efficiency (</w:t>
      </w:r>
      <w:proofErr w:type="spellStart"/>
      <w:r w:rsidR="008D5C7E" w:rsidRPr="00A31721">
        <w:rPr>
          <w:rFonts w:ascii="Times New Roman" w:hAnsi="Times New Roman" w:cs="Times New Roman"/>
          <w:color w:val="000000" w:themeColor="text1"/>
          <w:sz w:val="24"/>
          <w:szCs w:val="24"/>
        </w:rPr>
        <w:t>Sangle</w:t>
      </w:r>
      <w:proofErr w:type="spellEnd"/>
      <w:r w:rsidR="008D5C7E" w:rsidRPr="00A31721">
        <w:rPr>
          <w:rFonts w:ascii="Times New Roman" w:hAnsi="Times New Roman" w:cs="Times New Roman"/>
          <w:color w:val="000000" w:themeColor="text1"/>
          <w:sz w:val="24"/>
          <w:szCs w:val="24"/>
        </w:rPr>
        <w:t>, 2010). The environmental strategy positively and simultaneously impacts the economic and environmental performance of organizations (Latan et al., 2018; Gunarathne et al., 2021</w:t>
      </w:r>
      <w:r w:rsidR="00907D2D" w:rsidRPr="00A31721">
        <w:rPr>
          <w:rFonts w:ascii="Times New Roman" w:hAnsi="Times New Roman" w:cs="Times New Roman"/>
          <w:color w:val="000000" w:themeColor="text1"/>
          <w:sz w:val="24"/>
          <w:szCs w:val="24"/>
        </w:rPr>
        <w:t>). Based</w:t>
      </w:r>
      <w:r w:rsidRPr="00A31721">
        <w:rPr>
          <w:rFonts w:ascii="Times New Roman" w:hAnsi="Times New Roman" w:cs="Times New Roman"/>
          <w:color w:val="000000" w:themeColor="text1"/>
          <w:sz w:val="24"/>
          <w:szCs w:val="24"/>
        </w:rPr>
        <w:t xml:space="preserve"> on these findings, there appears to be a growing tendency to consider </w:t>
      </w:r>
      <w:proofErr w:type="gramStart"/>
      <w:r w:rsidRPr="00A31721">
        <w:rPr>
          <w:rFonts w:ascii="Times New Roman" w:hAnsi="Times New Roman" w:cs="Times New Roman"/>
          <w:color w:val="000000" w:themeColor="text1"/>
          <w:sz w:val="24"/>
          <w:szCs w:val="24"/>
        </w:rPr>
        <w:t>a positive</w:t>
      </w:r>
      <w:proofErr w:type="gramEnd"/>
      <w:r w:rsidRPr="00A31721">
        <w:rPr>
          <w:rFonts w:ascii="Times New Roman" w:hAnsi="Times New Roman" w:cs="Times New Roman"/>
          <w:color w:val="000000" w:themeColor="text1"/>
          <w:sz w:val="24"/>
          <w:szCs w:val="24"/>
        </w:rPr>
        <w:t xml:space="preserve"> effect of contingency factors on the adoption of sustainability practices in wineries.</w:t>
      </w:r>
      <w:r w:rsidR="00B37126" w:rsidRPr="00A31721">
        <w:rPr>
          <w:rFonts w:ascii="Times New Roman" w:hAnsi="Times New Roman" w:cs="Times New Roman"/>
          <w:color w:val="000000" w:themeColor="text1"/>
          <w:sz w:val="24"/>
          <w:szCs w:val="24"/>
        </w:rPr>
        <w:t xml:space="preserve"> </w:t>
      </w:r>
      <w:r w:rsidR="0049033D" w:rsidRPr="00A31721">
        <w:rPr>
          <w:rFonts w:ascii="Times New Roman" w:hAnsi="Times New Roman" w:cs="Times New Roman"/>
          <w:color w:val="000000" w:themeColor="text1"/>
          <w:sz w:val="24"/>
          <w:szCs w:val="24"/>
        </w:rPr>
        <w:t>Based on the above, the following hypothesis is proposed:</w:t>
      </w:r>
    </w:p>
    <w:p w14:paraId="2501A3EB" w14:textId="77777777" w:rsidR="00074A60" w:rsidRPr="00A31721" w:rsidRDefault="00074A60" w:rsidP="00B37126">
      <w:pPr>
        <w:spacing w:after="0" w:line="240" w:lineRule="auto"/>
        <w:ind w:firstLine="720"/>
        <w:rPr>
          <w:rFonts w:ascii="Times New Roman" w:eastAsia="Times New Roman" w:hAnsi="Times New Roman" w:cs="Times New Roman"/>
          <w:color w:val="000000" w:themeColor="text1"/>
          <w:sz w:val="24"/>
          <w:szCs w:val="24"/>
        </w:rPr>
      </w:pPr>
    </w:p>
    <w:p w14:paraId="7ED4A1DE" w14:textId="3326EB04" w:rsidR="00AA5A8C" w:rsidRPr="00A31721" w:rsidRDefault="0049033D" w:rsidP="00373012">
      <w:pPr>
        <w:pBdr>
          <w:top w:val="nil"/>
          <w:left w:val="nil"/>
          <w:bottom w:val="nil"/>
          <w:right w:val="nil"/>
          <w:between w:val="nil"/>
        </w:pBdr>
        <w:spacing w:line="240" w:lineRule="auto"/>
        <w:jc w:val="both"/>
        <w:rPr>
          <w:rFonts w:ascii="Times New Roman" w:hAnsi="Times New Roman" w:cs="Times New Roman"/>
          <w:bCs/>
          <w:i/>
          <w:iCs/>
          <w:color w:val="000000" w:themeColor="text1"/>
          <w:sz w:val="24"/>
          <w:szCs w:val="24"/>
        </w:rPr>
      </w:pPr>
      <w:r w:rsidRPr="00A31721">
        <w:rPr>
          <w:rFonts w:ascii="Times New Roman" w:eastAsia="Times New Roman" w:hAnsi="Times New Roman" w:cs="Times New Roman"/>
          <w:bCs/>
          <w:i/>
          <w:iCs/>
          <w:color w:val="000000" w:themeColor="text1"/>
          <w:sz w:val="24"/>
          <w:szCs w:val="24"/>
        </w:rPr>
        <w:t xml:space="preserve">H1. </w:t>
      </w:r>
      <w:r w:rsidR="00192207" w:rsidRPr="00A31721">
        <w:rPr>
          <w:rFonts w:ascii="Times New Roman" w:eastAsia="Times New Roman" w:hAnsi="Times New Roman" w:cs="Times New Roman"/>
          <w:bCs/>
          <w:i/>
          <w:iCs/>
          <w:color w:val="000000" w:themeColor="text1"/>
          <w:sz w:val="24"/>
          <w:szCs w:val="24"/>
        </w:rPr>
        <w:t>In the winery context, c</w:t>
      </w:r>
      <w:r w:rsidRPr="00A31721">
        <w:rPr>
          <w:rFonts w:ascii="Times New Roman" w:eastAsia="Times New Roman" w:hAnsi="Times New Roman" w:cs="Times New Roman"/>
          <w:bCs/>
          <w:i/>
          <w:iCs/>
          <w:color w:val="000000" w:themeColor="text1"/>
          <w:sz w:val="24"/>
          <w:szCs w:val="24"/>
        </w:rPr>
        <w:t>ontingency factors</w:t>
      </w:r>
      <w:r w:rsidR="008D1D35" w:rsidRPr="00A31721">
        <w:rPr>
          <w:rFonts w:ascii="Times New Roman" w:eastAsia="Times New Roman" w:hAnsi="Times New Roman" w:cs="Times New Roman"/>
          <w:bCs/>
          <w:i/>
          <w:iCs/>
          <w:color w:val="000000" w:themeColor="text1"/>
          <w:sz w:val="24"/>
          <w:szCs w:val="24"/>
        </w:rPr>
        <w:t>, such as</w:t>
      </w:r>
      <w:r w:rsidRPr="00A31721">
        <w:rPr>
          <w:rFonts w:ascii="Times New Roman" w:eastAsia="Times New Roman" w:hAnsi="Times New Roman" w:cs="Times New Roman"/>
          <w:bCs/>
          <w:i/>
          <w:iCs/>
          <w:color w:val="000000" w:themeColor="text1"/>
          <w:sz w:val="24"/>
          <w:szCs w:val="24"/>
        </w:rPr>
        <w:t xml:space="preserve"> environmental uncertainties (a), environmental strategy (b), and technology (c), </w:t>
      </w:r>
      <w:proofErr w:type="gramStart"/>
      <w:r w:rsidR="00192207" w:rsidRPr="00A31721">
        <w:rPr>
          <w:rFonts w:ascii="Times New Roman" w:eastAsia="Times New Roman" w:hAnsi="Times New Roman" w:cs="Times New Roman"/>
          <w:bCs/>
          <w:i/>
          <w:iCs/>
          <w:color w:val="000000" w:themeColor="text1"/>
          <w:sz w:val="24"/>
          <w:szCs w:val="24"/>
        </w:rPr>
        <w:t>is</w:t>
      </w:r>
      <w:proofErr w:type="gramEnd"/>
      <w:r w:rsidR="00192207" w:rsidRPr="00A31721">
        <w:rPr>
          <w:rFonts w:ascii="Times New Roman" w:eastAsia="Times New Roman" w:hAnsi="Times New Roman" w:cs="Times New Roman"/>
          <w:bCs/>
          <w:i/>
          <w:iCs/>
          <w:color w:val="000000" w:themeColor="text1"/>
          <w:sz w:val="24"/>
          <w:szCs w:val="24"/>
        </w:rPr>
        <w:t xml:space="preserve"> positively associated with </w:t>
      </w:r>
      <w:r w:rsidRPr="00A31721">
        <w:rPr>
          <w:rFonts w:ascii="Times New Roman" w:eastAsia="Times New Roman" w:hAnsi="Times New Roman" w:cs="Times New Roman"/>
          <w:bCs/>
          <w:i/>
          <w:iCs/>
          <w:color w:val="000000" w:themeColor="text1"/>
          <w:sz w:val="24"/>
          <w:szCs w:val="24"/>
        </w:rPr>
        <w:t>the adoption of environmental sustainability practices.</w:t>
      </w:r>
    </w:p>
    <w:p w14:paraId="63258F31" w14:textId="2797FAAB" w:rsidR="002844FD" w:rsidRPr="00A31721" w:rsidRDefault="002844FD" w:rsidP="002844FD">
      <w:pPr>
        <w:spacing w:after="0" w:line="240" w:lineRule="auto"/>
        <w:ind w:firstLine="720"/>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In addition to sustainability practices, the literature highlights that management tools provide relevant information on the use of environmental resources and promote a culture of sustainability in wineries (Martínez-Falcó et al., 2025). In this regard, Environmental Management Accounting (EMA) is identified as a key set of management tools for sustainability, as it supports internal decision-making and enables the identification, assessment, and integration of various types of information (Burritt, 2004; Bresciani et al., 2023), such as environmental costs, material flows, energy use, and physical environmental resources (Burritt et al., 2002; Jasch, 2003; </w:t>
      </w:r>
      <w:proofErr w:type="spellStart"/>
      <w:r w:rsidRPr="00A31721">
        <w:rPr>
          <w:rFonts w:ascii="Times New Roman" w:hAnsi="Times New Roman" w:cs="Times New Roman"/>
          <w:color w:val="000000" w:themeColor="text1"/>
          <w:sz w:val="24"/>
          <w:szCs w:val="24"/>
        </w:rPr>
        <w:t>Schaltegger</w:t>
      </w:r>
      <w:proofErr w:type="spellEnd"/>
      <w:r w:rsidRPr="00A31721">
        <w:rPr>
          <w:rFonts w:ascii="Times New Roman" w:hAnsi="Times New Roman" w:cs="Times New Roman"/>
          <w:color w:val="000000" w:themeColor="text1"/>
          <w:sz w:val="24"/>
          <w:szCs w:val="24"/>
        </w:rPr>
        <w:t xml:space="preserve"> et al., 2008; Martínez-Falcó et al., 2025). As a result, EMA enables the simultaneous reduction of environmental impacts and costs (</w:t>
      </w:r>
      <w:proofErr w:type="spellStart"/>
      <w:r w:rsidRPr="00A31721">
        <w:rPr>
          <w:rFonts w:ascii="Times New Roman" w:hAnsi="Times New Roman" w:cs="Times New Roman"/>
          <w:color w:val="000000" w:themeColor="text1"/>
          <w:sz w:val="24"/>
          <w:szCs w:val="24"/>
        </w:rPr>
        <w:t>Doorasamy</w:t>
      </w:r>
      <w:proofErr w:type="spellEnd"/>
      <w:r w:rsidRPr="00A31721">
        <w:rPr>
          <w:rFonts w:ascii="Times New Roman" w:hAnsi="Times New Roman" w:cs="Times New Roman"/>
          <w:color w:val="000000" w:themeColor="text1"/>
          <w:sz w:val="24"/>
          <w:szCs w:val="24"/>
        </w:rPr>
        <w:t xml:space="preserve">, 2015), strengthens corporate reputation (Zandi </w:t>
      </w:r>
      <w:r w:rsidR="008B6929"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Lee, 2019; Gunarathne et al., 2021; </w:t>
      </w:r>
      <w:proofErr w:type="spellStart"/>
      <w:r w:rsidRPr="00A31721">
        <w:rPr>
          <w:rFonts w:ascii="Times New Roman" w:hAnsi="Times New Roman" w:cs="Times New Roman"/>
          <w:color w:val="000000" w:themeColor="text1"/>
          <w:sz w:val="24"/>
          <w:szCs w:val="24"/>
        </w:rPr>
        <w:t>Appannan</w:t>
      </w:r>
      <w:proofErr w:type="spellEnd"/>
      <w:r w:rsidRPr="00A31721">
        <w:rPr>
          <w:rFonts w:ascii="Times New Roman" w:hAnsi="Times New Roman" w:cs="Times New Roman"/>
          <w:color w:val="000000" w:themeColor="text1"/>
          <w:sz w:val="24"/>
          <w:szCs w:val="24"/>
        </w:rPr>
        <w:t xml:space="preserve"> et al., 2023), and improves organizational performance (Burritt et al., 2023).</w:t>
      </w:r>
      <w:r w:rsidR="00F414E9" w:rsidRPr="00A31721">
        <w:rPr>
          <w:rFonts w:ascii="Times New Roman" w:hAnsi="Times New Roman" w:cs="Times New Roman"/>
          <w:color w:val="000000" w:themeColor="text1"/>
          <w:sz w:val="24"/>
          <w:szCs w:val="24"/>
        </w:rPr>
        <w:t xml:space="preserve"> The literature illustrated that f</w:t>
      </w:r>
      <w:r w:rsidR="00BA2AA9" w:rsidRPr="00A31721">
        <w:rPr>
          <w:rFonts w:ascii="Times New Roman" w:hAnsi="Times New Roman" w:cs="Times New Roman"/>
          <w:color w:val="000000" w:themeColor="text1"/>
          <w:sz w:val="24"/>
          <w:szCs w:val="24"/>
        </w:rPr>
        <w:t xml:space="preserve">irms in high-impact sectors, such as manufacturing, derive </w:t>
      </w:r>
      <w:proofErr w:type="gramStart"/>
      <w:r w:rsidR="00BA2AA9" w:rsidRPr="00A31721">
        <w:rPr>
          <w:rFonts w:ascii="Times New Roman" w:hAnsi="Times New Roman" w:cs="Times New Roman"/>
          <w:color w:val="000000" w:themeColor="text1"/>
          <w:sz w:val="24"/>
          <w:szCs w:val="24"/>
        </w:rPr>
        <w:t>particular benefits</w:t>
      </w:r>
      <w:proofErr w:type="gramEnd"/>
      <w:r w:rsidR="00BA2AA9" w:rsidRPr="00A31721">
        <w:rPr>
          <w:rFonts w:ascii="Times New Roman" w:hAnsi="Times New Roman" w:cs="Times New Roman"/>
          <w:color w:val="000000" w:themeColor="text1"/>
          <w:sz w:val="24"/>
          <w:szCs w:val="24"/>
        </w:rPr>
        <w:t xml:space="preserve"> from environmental management accounting (EMA) as a means of improving environmental efficiency (Zhen &amp; Rahman, 2024). Yet across manufacturing, energy, mining, and service industries, EMA remains fragmented and non-standardized, with adoption shaped by organizational contingencies and external pressures (Christ &amp; Burritt, 2013b). </w:t>
      </w:r>
      <w:r w:rsidR="00C7104A" w:rsidRPr="00A31721">
        <w:rPr>
          <w:rFonts w:ascii="Times New Roman" w:hAnsi="Times New Roman" w:cs="Times New Roman"/>
          <w:color w:val="000000" w:themeColor="text1"/>
          <w:sz w:val="24"/>
          <w:szCs w:val="24"/>
        </w:rPr>
        <w:t>Previous e</w:t>
      </w:r>
      <w:r w:rsidR="00BA2AA9" w:rsidRPr="00A31721">
        <w:rPr>
          <w:rFonts w:ascii="Times New Roman" w:hAnsi="Times New Roman" w:cs="Times New Roman"/>
          <w:color w:val="000000" w:themeColor="text1"/>
          <w:sz w:val="24"/>
          <w:szCs w:val="24"/>
        </w:rPr>
        <w:t xml:space="preserve">vidence shows that EMA </w:t>
      </w:r>
      <w:r w:rsidR="00C7104A" w:rsidRPr="00A31721">
        <w:rPr>
          <w:rFonts w:ascii="Times New Roman" w:hAnsi="Times New Roman" w:cs="Times New Roman"/>
          <w:color w:val="000000" w:themeColor="text1"/>
          <w:sz w:val="24"/>
          <w:szCs w:val="24"/>
        </w:rPr>
        <w:t>effectiveness</w:t>
      </w:r>
      <w:r w:rsidR="00BA2AA9" w:rsidRPr="00A31721">
        <w:rPr>
          <w:rFonts w:ascii="Times New Roman" w:hAnsi="Times New Roman" w:cs="Times New Roman"/>
          <w:color w:val="000000" w:themeColor="text1"/>
          <w:sz w:val="24"/>
          <w:szCs w:val="24"/>
        </w:rPr>
        <w:t xml:space="preserve"> depends on interfirm and stakeholder collaboration, which is critical for advancing cleaner production (Burritt et al., 2019). In agribusiness, where ecological pressures directly threaten business viability, EMA controls serve as essential mechanisms for detecting inefficiencies and capturing cost savings. By reducing waste and conserving energy, these controls simultaneously enhance competitiveness and lower the sector’s environmental footprint (Rodrigues et al., 2025).</w:t>
      </w:r>
    </w:p>
    <w:p w14:paraId="32F33D24" w14:textId="3223AE59" w:rsidR="002844FD" w:rsidRPr="00A31721" w:rsidRDefault="002844FD" w:rsidP="002844FD">
      <w:pPr>
        <w:spacing w:after="0" w:line="240" w:lineRule="auto"/>
        <w:ind w:firstLine="720"/>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In the wine </w:t>
      </w:r>
      <w:r w:rsidR="00BE2BB6" w:rsidRPr="00A31721">
        <w:rPr>
          <w:rFonts w:ascii="Times New Roman" w:hAnsi="Times New Roman" w:cs="Times New Roman"/>
          <w:color w:val="000000" w:themeColor="text1"/>
          <w:sz w:val="24"/>
          <w:szCs w:val="24"/>
        </w:rPr>
        <w:t>sector</w:t>
      </w:r>
      <w:r w:rsidRPr="00A31721">
        <w:rPr>
          <w:rFonts w:ascii="Times New Roman" w:hAnsi="Times New Roman" w:cs="Times New Roman"/>
          <w:color w:val="000000" w:themeColor="text1"/>
          <w:sz w:val="24"/>
          <w:szCs w:val="24"/>
        </w:rPr>
        <w:t xml:space="preserve">, EMA facilitates the evaluation of the long-term implications of winery activities (Christ, 2014) and the identification of inefficiencies and opportunities for sustainability improvements (Martínez-Falcó et al., 2025). This involves key measures that reflect resource use, </w:t>
      </w:r>
      <w:r w:rsidRPr="00A31721">
        <w:rPr>
          <w:rFonts w:ascii="Times New Roman" w:hAnsi="Times New Roman" w:cs="Times New Roman"/>
          <w:color w:val="000000" w:themeColor="text1"/>
          <w:sz w:val="24"/>
          <w:szCs w:val="24"/>
        </w:rPr>
        <w:lastRenderedPageBreak/>
        <w:t>emissions, and ecological impact. Commonly applied EMA indicators include water use efficiency, measured as liters per liter of wine produced,</w:t>
      </w:r>
      <w:r w:rsidR="00D46164"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and carbon emissions per bottle, which quantify the environmental cost of production (Christ, 2014). The percentage of renewable energy used and the share of vineyard area under organic or biodynamic certification are also critical indicators of environmental commitment (Fragoso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Figueira, 2021; Trigo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Silva, 2022). Additionally, the use of recycled materials helps monitor the lifecycle impacts of wine distribution (Fragoso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Figueira, 2021). As sustainability becomes integral to competitive advantage in the wine industry, EMA emerges as an essential tool. Its consistent application enhances transparency, operational efficiency, and stakeholder engagement. Wineries that embed these metrics into their core strategy are better positioned to adapt to environmental risks and regulatory changes (Trigo and Silva, 2022).</w:t>
      </w:r>
    </w:p>
    <w:p w14:paraId="3F16A7E3" w14:textId="78CA7BD3" w:rsidR="002844FD" w:rsidRPr="00A31721" w:rsidRDefault="002844FD" w:rsidP="002844FD">
      <w:pPr>
        <w:spacing w:after="0" w:line="240" w:lineRule="auto"/>
        <w:ind w:firstLine="720"/>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Despite the potential benefits of Environmental Management Accounting (EMA), wineries may face several challenges in implementing these tools. Prior research highlights that contingency factors can significantly influence the adoption and use of management practices (Christ, 2014; Latan et al., 2018; Zhen and Rahman, 2024). We argue that, particularly in the context of the wine industry</w:t>
      </w:r>
      <w:r w:rsidR="0064559F"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a sector highly exposed to environmental volatility and reputational scrutiny</w:t>
      </w:r>
      <w:r w:rsidR="0064559F"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understanding how such contingency factors shape EMA usage is critical. In this setting, environmental uncertainties, such as water scarcity (Christ, 2014) and energy shortages (Gunarathne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Lee, 2021), may require wineries to exercise tighter control over the consumption of these natural resources. These uncertainties may also reinforce the need to monitor environmental impacts to avoid penalties (Zhen </w:t>
      </w:r>
      <w:r w:rsidR="009D2AAE"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Rahman, 2024).</w:t>
      </w:r>
    </w:p>
    <w:p w14:paraId="2719A9CD" w14:textId="27EDA3FB" w:rsidR="002844FD" w:rsidRPr="00A31721" w:rsidRDefault="002844FD" w:rsidP="002844FD">
      <w:pPr>
        <w:spacing w:after="0" w:line="240" w:lineRule="auto"/>
        <w:ind w:firstLine="720"/>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Drawing on Contingency Theory, which posits that organizational effectiveness depends on the fit between internal systems and external conditions (Donaldson, 2001), we argue that the </w:t>
      </w:r>
      <w:r w:rsidR="00631F2F" w:rsidRPr="00A31721">
        <w:rPr>
          <w:rFonts w:ascii="Times New Roman" w:hAnsi="Times New Roman" w:cs="Times New Roman"/>
          <w:color w:val="000000" w:themeColor="text1"/>
          <w:sz w:val="24"/>
          <w:szCs w:val="24"/>
        </w:rPr>
        <w:t xml:space="preserve">use </w:t>
      </w:r>
      <w:r w:rsidRPr="00A31721">
        <w:rPr>
          <w:rFonts w:ascii="Times New Roman" w:hAnsi="Times New Roman" w:cs="Times New Roman"/>
          <w:color w:val="000000" w:themeColor="text1"/>
          <w:sz w:val="24"/>
          <w:szCs w:val="24"/>
        </w:rPr>
        <w:t xml:space="preserve">of environmental management accounting (EMA) </w:t>
      </w:r>
      <w:r w:rsidR="00631F2F" w:rsidRPr="00A31721">
        <w:rPr>
          <w:rFonts w:ascii="Times New Roman" w:hAnsi="Times New Roman" w:cs="Times New Roman"/>
          <w:color w:val="000000" w:themeColor="text1"/>
          <w:sz w:val="24"/>
          <w:szCs w:val="24"/>
        </w:rPr>
        <w:t xml:space="preserve">tools </w:t>
      </w:r>
      <w:proofErr w:type="gramStart"/>
      <w:r w:rsidRPr="00A31721">
        <w:rPr>
          <w:rFonts w:ascii="Times New Roman" w:hAnsi="Times New Roman" w:cs="Times New Roman"/>
          <w:color w:val="000000" w:themeColor="text1"/>
          <w:sz w:val="24"/>
          <w:szCs w:val="24"/>
        </w:rPr>
        <w:t>are</w:t>
      </w:r>
      <w:proofErr w:type="gramEnd"/>
      <w:r w:rsidRPr="00A31721">
        <w:rPr>
          <w:rFonts w:ascii="Times New Roman" w:hAnsi="Times New Roman" w:cs="Times New Roman"/>
          <w:color w:val="000000" w:themeColor="text1"/>
          <w:sz w:val="24"/>
          <w:szCs w:val="24"/>
        </w:rPr>
        <w:t xml:space="preserve"> contingent on key contextual </w:t>
      </w:r>
      <w:r w:rsidR="00CA26F0" w:rsidRPr="00A31721">
        <w:rPr>
          <w:rFonts w:ascii="Times New Roman" w:hAnsi="Times New Roman" w:cs="Times New Roman"/>
          <w:color w:val="000000" w:themeColor="text1"/>
          <w:sz w:val="24"/>
          <w:szCs w:val="24"/>
        </w:rPr>
        <w:t>conditions</w:t>
      </w:r>
      <w:r w:rsidRPr="00A31721">
        <w:rPr>
          <w:rFonts w:ascii="Times New Roman" w:hAnsi="Times New Roman" w:cs="Times New Roman"/>
          <w:color w:val="000000" w:themeColor="text1"/>
          <w:sz w:val="24"/>
          <w:szCs w:val="24"/>
        </w:rPr>
        <w:t>.</w:t>
      </w:r>
      <w:r w:rsidR="00631F2F"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First, environmental uncertainty heightens informational demands, prompting organizations to adopt more sophisticated control systems. EMA, in this regard, functions as an adaptive response to volatile environmental conditions, enabling firms to gather relevant data and support environmentally oriented decision-making under uncertainty (</w:t>
      </w:r>
      <w:proofErr w:type="spellStart"/>
      <w:r w:rsidRPr="00A31721">
        <w:rPr>
          <w:rFonts w:ascii="Times New Roman" w:hAnsi="Times New Roman" w:cs="Times New Roman"/>
          <w:color w:val="000000" w:themeColor="text1"/>
          <w:sz w:val="24"/>
          <w:szCs w:val="24"/>
        </w:rPr>
        <w:t>Pondeville</w:t>
      </w:r>
      <w:proofErr w:type="spellEnd"/>
      <w:r w:rsidRPr="00A31721">
        <w:rPr>
          <w:rFonts w:ascii="Times New Roman" w:hAnsi="Times New Roman" w:cs="Times New Roman"/>
          <w:color w:val="000000" w:themeColor="text1"/>
          <w:sz w:val="24"/>
          <w:szCs w:val="24"/>
        </w:rPr>
        <w:t xml:space="preserve"> et al., 2013; Latan et al., 2018; </w:t>
      </w:r>
      <w:proofErr w:type="spellStart"/>
      <w:r w:rsidRPr="00A31721">
        <w:rPr>
          <w:rFonts w:ascii="Times New Roman" w:hAnsi="Times New Roman" w:cs="Times New Roman"/>
          <w:color w:val="000000" w:themeColor="text1"/>
          <w:sz w:val="24"/>
          <w:szCs w:val="24"/>
        </w:rPr>
        <w:t>Swalih</w:t>
      </w:r>
      <w:proofErr w:type="spellEnd"/>
      <w:r w:rsidRPr="00A31721">
        <w:rPr>
          <w:rFonts w:ascii="Times New Roman" w:hAnsi="Times New Roman" w:cs="Times New Roman"/>
          <w:color w:val="000000" w:themeColor="text1"/>
          <w:sz w:val="24"/>
          <w:szCs w:val="24"/>
        </w:rPr>
        <w:t xml:space="preserve"> et al., 2024).</w:t>
      </w:r>
      <w:r w:rsidR="00D8065F"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Second, strategic orientation conditions how EMA is utilized. Firms pursuing environmental strategies, such as those adopting ISO 14001, require systems that support detailed tracking of environmental performance and continuous improvement (Christ, 2014; </w:t>
      </w:r>
      <w:proofErr w:type="spellStart"/>
      <w:r w:rsidRPr="00A31721">
        <w:rPr>
          <w:rFonts w:ascii="Times New Roman" w:hAnsi="Times New Roman" w:cs="Times New Roman"/>
          <w:color w:val="000000" w:themeColor="text1"/>
          <w:sz w:val="24"/>
          <w:szCs w:val="24"/>
        </w:rPr>
        <w:t>Appannan</w:t>
      </w:r>
      <w:proofErr w:type="spellEnd"/>
      <w:r w:rsidRPr="00A31721">
        <w:rPr>
          <w:rFonts w:ascii="Times New Roman" w:hAnsi="Times New Roman" w:cs="Times New Roman"/>
          <w:color w:val="000000" w:themeColor="text1"/>
          <w:sz w:val="24"/>
          <w:szCs w:val="24"/>
        </w:rPr>
        <w:t xml:space="preserve"> et al., 2023). In these cases, EMA serves not merely as a reporting tool but as a mechanism for achieving strategic alignment. Prior research links both reactive and proactive strategies with increased adoption of carbon accounting and green investments, practices often embedded within EMA frameworks (Christ, 2014; Ferreira et al., 2010; Gunarathne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Lee, 2021; </w:t>
      </w:r>
      <w:proofErr w:type="spellStart"/>
      <w:r w:rsidRPr="00A31721">
        <w:rPr>
          <w:rFonts w:ascii="Times New Roman" w:hAnsi="Times New Roman" w:cs="Times New Roman"/>
          <w:color w:val="000000" w:themeColor="text1"/>
          <w:sz w:val="24"/>
          <w:szCs w:val="24"/>
        </w:rPr>
        <w:t>Swalih</w:t>
      </w:r>
      <w:proofErr w:type="spellEnd"/>
      <w:r w:rsidRPr="00A31721">
        <w:rPr>
          <w:rFonts w:ascii="Times New Roman" w:hAnsi="Times New Roman" w:cs="Times New Roman"/>
          <w:color w:val="000000" w:themeColor="text1"/>
          <w:sz w:val="24"/>
          <w:szCs w:val="24"/>
        </w:rPr>
        <w:t xml:space="preserve"> et al., 2024; Bui </w:t>
      </w:r>
      <w:r w:rsidR="00175BC7"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de Villers, 2017).</w:t>
      </w:r>
      <w:r w:rsidR="00A95C1A"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Third, the technological context shapes the feasibility and sophistication of EMA implementation. Digital technologies</w:t>
      </w:r>
      <w:r w:rsidR="00A95C1A"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such as real-time monitoring and integrated information systems</w:t>
      </w:r>
      <w:r w:rsidR="00A95C1A"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enhance the accuracy, timeliness, and usability of environmental data (</w:t>
      </w:r>
      <w:proofErr w:type="spellStart"/>
      <w:r w:rsidRPr="00A31721">
        <w:rPr>
          <w:rFonts w:ascii="Times New Roman" w:hAnsi="Times New Roman" w:cs="Times New Roman"/>
          <w:color w:val="000000" w:themeColor="text1"/>
          <w:sz w:val="24"/>
          <w:szCs w:val="24"/>
        </w:rPr>
        <w:t>Elhossade</w:t>
      </w:r>
      <w:proofErr w:type="spellEnd"/>
      <w:r w:rsidRPr="00A31721">
        <w:rPr>
          <w:rFonts w:ascii="Times New Roman" w:hAnsi="Times New Roman" w:cs="Times New Roman"/>
          <w:color w:val="000000" w:themeColor="text1"/>
          <w:sz w:val="24"/>
          <w:szCs w:val="24"/>
        </w:rPr>
        <w:t xml:space="preserve"> et al., 2021; Zhen </w:t>
      </w:r>
      <w:r w:rsidR="00175BC7"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Rahman, 2024). As technological complexity increases, so does the need for data-rich accounting tools, reinforcing the contingency-based view that organizational structures and systems must evolve in response to contextual shifts (Gunarathne et al., 2023).</w:t>
      </w:r>
    </w:p>
    <w:p w14:paraId="1E93F524" w14:textId="71814507" w:rsidR="002844FD" w:rsidRPr="00A31721" w:rsidRDefault="002844FD" w:rsidP="002844FD">
      <w:pPr>
        <w:spacing w:after="0" w:line="240" w:lineRule="auto"/>
        <w:ind w:firstLine="720"/>
        <w:contextualSpacing/>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Together, these contingencies</w:t>
      </w:r>
      <w:r w:rsidR="00A95C1A"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environmental uncertainty</w:t>
      </w:r>
      <w:r w:rsidR="00ED5000" w:rsidRPr="00A31721">
        <w:rPr>
          <w:rFonts w:ascii="Times New Roman" w:hAnsi="Times New Roman" w:cs="Times New Roman"/>
          <w:color w:val="000000" w:themeColor="text1"/>
          <w:sz w:val="24"/>
          <w:szCs w:val="24"/>
        </w:rPr>
        <w:t xml:space="preserve"> and strategy</w:t>
      </w:r>
      <w:r w:rsidRPr="00A31721">
        <w:rPr>
          <w:rFonts w:ascii="Times New Roman" w:hAnsi="Times New Roman" w:cs="Times New Roman"/>
          <w:color w:val="000000" w:themeColor="text1"/>
          <w:sz w:val="24"/>
          <w:szCs w:val="24"/>
        </w:rPr>
        <w:t>, and technological infrastructure</w:t>
      </w:r>
      <w:r w:rsidR="00ED5000"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shape the extent to which EMA becomes a valuable and effective organizational tool. Therefore, we expect that contingency factors </w:t>
      </w:r>
      <w:r w:rsidR="00D8065F" w:rsidRPr="00A31721">
        <w:rPr>
          <w:rFonts w:ascii="Times New Roman" w:hAnsi="Times New Roman" w:cs="Times New Roman"/>
          <w:color w:val="000000" w:themeColor="text1"/>
          <w:sz w:val="24"/>
          <w:szCs w:val="24"/>
        </w:rPr>
        <w:t xml:space="preserve">influence </w:t>
      </w:r>
      <w:r w:rsidRPr="00A31721">
        <w:rPr>
          <w:rFonts w:ascii="Times New Roman" w:hAnsi="Times New Roman" w:cs="Times New Roman"/>
          <w:color w:val="000000" w:themeColor="text1"/>
          <w:sz w:val="24"/>
          <w:szCs w:val="24"/>
        </w:rPr>
        <w:t xml:space="preserve">how firms implement EMA tools </w:t>
      </w:r>
      <w:r w:rsidRPr="00A31721">
        <w:rPr>
          <w:rFonts w:ascii="Times New Roman" w:hAnsi="Times New Roman" w:cs="Times New Roman"/>
          <w:color w:val="000000" w:themeColor="text1"/>
          <w:sz w:val="24"/>
          <w:szCs w:val="24"/>
        </w:rPr>
        <w:lastRenderedPageBreak/>
        <w:t xml:space="preserve">(Christ </w:t>
      </w:r>
      <w:r w:rsidR="001D3C0C"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Burritt, 2013b; Chaudhry </w:t>
      </w:r>
      <w:r w:rsidR="001D3C0C"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Amir, 2020), particularly in sensitive sectors such as the wine </w:t>
      </w:r>
      <w:r w:rsidR="00CD777A" w:rsidRPr="00A31721">
        <w:rPr>
          <w:rFonts w:ascii="Times New Roman" w:hAnsi="Times New Roman" w:cs="Times New Roman"/>
          <w:color w:val="000000" w:themeColor="text1"/>
          <w:sz w:val="24"/>
          <w:szCs w:val="24"/>
        </w:rPr>
        <w:t>sector</w:t>
      </w:r>
      <w:r w:rsidRPr="00A31721">
        <w:rPr>
          <w:rFonts w:ascii="Times New Roman" w:hAnsi="Times New Roman" w:cs="Times New Roman"/>
          <w:color w:val="000000" w:themeColor="text1"/>
          <w:sz w:val="24"/>
          <w:szCs w:val="24"/>
        </w:rPr>
        <w:t>. Thus, the following hypothesis arises:</w:t>
      </w:r>
    </w:p>
    <w:p w14:paraId="0B678D36" w14:textId="77777777" w:rsidR="00DB30A9" w:rsidRPr="00A31721" w:rsidRDefault="00DB30A9" w:rsidP="00D33B29">
      <w:pPr>
        <w:spacing w:after="0" w:line="240" w:lineRule="auto"/>
        <w:ind w:firstLine="720"/>
        <w:contextualSpacing/>
        <w:jc w:val="both"/>
        <w:rPr>
          <w:rFonts w:ascii="Times New Roman" w:eastAsia="Times New Roman" w:hAnsi="Times New Roman" w:cs="Times New Roman"/>
          <w:color w:val="000000" w:themeColor="text1"/>
          <w:sz w:val="24"/>
          <w:szCs w:val="24"/>
        </w:rPr>
      </w:pPr>
    </w:p>
    <w:p w14:paraId="721AF332" w14:textId="51438A34" w:rsidR="007351FA" w:rsidRPr="00A31721" w:rsidRDefault="007351FA" w:rsidP="007351FA">
      <w:pPr>
        <w:spacing w:line="240" w:lineRule="auto"/>
        <w:jc w:val="both"/>
        <w:rPr>
          <w:rFonts w:ascii="Times New Roman" w:eastAsia="Times New Roman" w:hAnsi="Times New Roman" w:cs="Times New Roman"/>
          <w:bCs/>
          <w:i/>
          <w:iCs/>
          <w:color w:val="000000" w:themeColor="text1"/>
          <w:sz w:val="24"/>
          <w:szCs w:val="24"/>
        </w:rPr>
      </w:pPr>
      <w:r w:rsidRPr="00A31721">
        <w:rPr>
          <w:rFonts w:ascii="Times New Roman" w:eastAsia="Times New Roman" w:hAnsi="Times New Roman" w:cs="Times New Roman"/>
          <w:bCs/>
          <w:i/>
          <w:iCs/>
          <w:color w:val="000000" w:themeColor="text1"/>
          <w:sz w:val="24"/>
          <w:szCs w:val="24"/>
        </w:rPr>
        <w:t xml:space="preserve">H2. </w:t>
      </w:r>
      <w:r w:rsidR="001678CD" w:rsidRPr="00A31721">
        <w:rPr>
          <w:rFonts w:ascii="Times New Roman" w:eastAsia="Times New Roman" w:hAnsi="Times New Roman" w:cs="Times New Roman"/>
          <w:bCs/>
          <w:i/>
          <w:iCs/>
          <w:color w:val="000000" w:themeColor="text1"/>
          <w:sz w:val="24"/>
          <w:szCs w:val="24"/>
        </w:rPr>
        <w:t xml:space="preserve">In the winery context, </w:t>
      </w:r>
      <w:proofErr w:type="gramStart"/>
      <w:r w:rsidR="001678CD" w:rsidRPr="00A31721">
        <w:rPr>
          <w:rFonts w:ascii="Times New Roman" w:eastAsia="Times New Roman" w:hAnsi="Times New Roman" w:cs="Times New Roman"/>
          <w:bCs/>
          <w:i/>
          <w:iCs/>
          <w:color w:val="000000" w:themeColor="text1"/>
          <w:sz w:val="24"/>
          <w:szCs w:val="24"/>
        </w:rPr>
        <w:t>t</w:t>
      </w:r>
      <w:r w:rsidRPr="00A31721">
        <w:rPr>
          <w:rFonts w:ascii="Times New Roman" w:eastAsia="Times New Roman" w:hAnsi="Times New Roman" w:cs="Times New Roman"/>
          <w:bCs/>
          <w:i/>
          <w:iCs/>
          <w:color w:val="000000" w:themeColor="text1"/>
          <w:sz w:val="24"/>
          <w:szCs w:val="24"/>
        </w:rPr>
        <w:t>he contingency</w:t>
      </w:r>
      <w:proofErr w:type="gramEnd"/>
      <w:r w:rsidRPr="00A31721">
        <w:rPr>
          <w:rFonts w:ascii="Times New Roman" w:eastAsia="Times New Roman" w:hAnsi="Times New Roman" w:cs="Times New Roman"/>
          <w:bCs/>
          <w:i/>
          <w:iCs/>
          <w:color w:val="000000" w:themeColor="text1"/>
          <w:sz w:val="24"/>
          <w:szCs w:val="24"/>
        </w:rPr>
        <w:t xml:space="preserve"> factors,</w:t>
      </w:r>
      <w:r w:rsidR="00DB30A9" w:rsidRPr="00A31721">
        <w:rPr>
          <w:rFonts w:ascii="Times New Roman" w:eastAsia="Times New Roman" w:hAnsi="Times New Roman" w:cs="Times New Roman"/>
          <w:bCs/>
          <w:i/>
          <w:iCs/>
          <w:color w:val="000000" w:themeColor="text1"/>
          <w:sz w:val="24"/>
          <w:szCs w:val="24"/>
        </w:rPr>
        <w:t xml:space="preserve"> such as </w:t>
      </w:r>
      <w:r w:rsidRPr="00A31721">
        <w:rPr>
          <w:rFonts w:ascii="Times New Roman" w:eastAsia="Times New Roman" w:hAnsi="Times New Roman" w:cs="Times New Roman"/>
          <w:bCs/>
          <w:i/>
          <w:iCs/>
          <w:color w:val="000000" w:themeColor="text1"/>
          <w:sz w:val="24"/>
          <w:szCs w:val="24"/>
        </w:rPr>
        <w:t xml:space="preserve">environmental uncertainties (a), environmental strategy (b), and technology (c), </w:t>
      </w:r>
      <w:r w:rsidR="001678CD" w:rsidRPr="00A31721">
        <w:rPr>
          <w:rFonts w:ascii="Times New Roman" w:eastAsia="Times New Roman" w:hAnsi="Times New Roman" w:cs="Times New Roman"/>
          <w:bCs/>
          <w:i/>
          <w:iCs/>
          <w:color w:val="000000" w:themeColor="text1"/>
          <w:sz w:val="24"/>
          <w:szCs w:val="24"/>
        </w:rPr>
        <w:t xml:space="preserve">is positively associated with </w:t>
      </w:r>
      <w:r w:rsidRPr="00A31721">
        <w:rPr>
          <w:rFonts w:ascii="Times New Roman" w:eastAsia="Times New Roman" w:hAnsi="Times New Roman" w:cs="Times New Roman"/>
          <w:bCs/>
          <w:i/>
          <w:iCs/>
          <w:color w:val="000000" w:themeColor="text1"/>
          <w:sz w:val="24"/>
          <w:szCs w:val="24"/>
        </w:rPr>
        <w:t>the use of EMA tools.</w:t>
      </w:r>
    </w:p>
    <w:p w14:paraId="3DDDD7AB" w14:textId="77777777" w:rsidR="00DB30A9" w:rsidRPr="00A31721" w:rsidRDefault="00DB30A9" w:rsidP="00DB30A9">
      <w:pPr>
        <w:pBdr>
          <w:top w:val="nil"/>
          <w:left w:val="nil"/>
          <w:bottom w:val="nil"/>
          <w:right w:val="nil"/>
          <w:between w:val="nil"/>
        </w:pBdr>
        <w:spacing w:after="0" w:line="240" w:lineRule="auto"/>
        <w:jc w:val="both"/>
        <w:rPr>
          <w:rFonts w:ascii="Times New Roman" w:eastAsia="Times New Roman" w:hAnsi="Times New Roman" w:cs="Times New Roman"/>
          <w:strike/>
          <w:color w:val="000000" w:themeColor="text1"/>
          <w:sz w:val="24"/>
          <w:szCs w:val="24"/>
        </w:rPr>
      </w:pPr>
    </w:p>
    <w:p w14:paraId="02A78322" w14:textId="31209C10" w:rsidR="00DB30A9" w:rsidRPr="00A31721" w:rsidRDefault="00DB30A9" w:rsidP="00DB30A9">
      <w:p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2.3 </w:t>
      </w:r>
      <w:r w:rsidR="00937BCD" w:rsidRPr="00A31721">
        <w:rPr>
          <w:rFonts w:ascii="Times New Roman" w:eastAsia="Times New Roman" w:hAnsi="Times New Roman" w:cs="Times New Roman"/>
          <w:b/>
          <w:color w:val="000000" w:themeColor="text1"/>
          <w:sz w:val="24"/>
          <w:szCs w:val="24"/>
        </w:rPr>
        <w:t xml:space="preserve">Adoption of </w:t>
      </w:r>
      <w:r w:rsidRPr="00A31721">
        <w:rPr>
          <w:rFonts w:ascii="Times New Roman" w:eastAsia="Times New Roman" w:hAnsi="Times New Roman" w:cs="Times New Roman"/>
          <w:b/>
          <w:color w:val="000000" w:themeColor="text1"/>
          <w:sz w:val="24"/>
          <w:szCs w:val="24"/>
        </w:rPr>
        <w:t xml:space="preserve">sustainability practices, </w:t>
      </w:r>
      <w:r w:rsidR="00937BCD" w:rsidRPr="00A31721">
        <w:rPr>
          <w:rFonts w:ascii="Times New Roman" w:eastAsia="Times New Roman" w:hAnsi="Times New Roman" w:cs="Times New Roman"/>
          <w:b/>
          <w:color w:val="000000" w:themeColor="text1"/>
          <w:sz w:val="24"/>
          <w:szCs w:val="24"/>
        </w:rPr>
        <w:t xml:space="preserve">use of </w:t>
      </w:r>
      <w:r w:rsidRPr="00A31721">
        <w:rPr>
          <w:rFonts w:ascii="Times New Roman" w:eastAsia="Times New Roman" w:hAnsi="Times New Roman" w:cs="Times New Roman"/>
          <w:b/>
          <w:color w:val="000000" w:themeColor="text1"/>
          <w:sz w:val="24"/>
          <w:szCs w:val="24"/>
        </w:rPr>
        <w:t>EMA tools and environmental performance</w:t>
      </w:r>
    </w:p>
    <w:p w14:paraId="11CF0278" w14:textId="58639AF6" w:rsidR="00E42521" w:rsidRPr="00A31721" w:rsidRDefault="00E42521" w:rsidP="00E42521">
      <w:pPr>
        <w:pStyle w:val="NoSpacing"/>
        <w:spacing w:line="240" w:lineRule="auto"/>
        <w:ind w:firstLine="720"/>
        <w:contextualSpacing/>
        <w:rPr>
          <w:rFonts w:hAnsi="Times New Roman" w:cs="Times New Roman"/>
          <w:color w:val="000000" w:themeColor="text1"/>
          <w:szCs w:val="24"/>
          <w:lang w:val="en-US"/>
        </w:rPr>
      </w:pPr>
      <w:r w:rsidRPr="00A31721">
        <w:rPr>
          <w:rFonts w:hAnsi="Times New Roman" w:cs="Times New Roman"/>
          <w:color w:val="000000" w:themeColor="text1"/>
          <w:szCs w:val="24"/>
          <w:lang w:val="en-US"/>
        </w:rPr>
        <w:t xml:space="preserve">The level of design and adoption of sustainability practices has become a central topic in contemporary debates on how firms can embrace more responsible behaviors, </w:t>
      </w:r>
      <w:r w:rsidR="0037249B" w:rsidRPr="00A31721">
        <w:rPr>
          <w:rFonts w:hAnsi="Times New Roman" w:cs="Times New Roman"/>
          <w:color w:val="000000" w:themeColor="text1"/>
          <w:szCs w:val="24"/>
          <w:lang w:val="en-US"/>
        </w:rPr>
        <w:t>reducing</w:t>
      </w:r>
      <w:r w:rsidRPr="00A31721">
        <w:rPr>
          <w:rFonts w:hAnsi="Times New Roman" w:cs="Times New Roman"/>
          <w:color w:val="000000" w:themeColor="text1"/>
          <w:szCs w:val="24"/>
          <w:lang w:val="en-US"/>
        </w:rPr>
        <w:t xml:space="preserve"> social inequalities and environmental impact (Bui </w:t>
      </w:r>
      <w:r w:rsidR="001D3C0C" w:rsidRPr="00A31721">
        <w:rPr>
          <w:rFonts w:eastAsia="Times New Roman" w:hAnsi="Times New Roman" w:cs="Times New Roman"/>
          <w:color w:val="000000" w:themeColor="text1"/>
          <w:szCs w:val="24"/>
          <w:lang w:val="en-US"/>
        </w:rPr>
        <w:t>&amp;</w:t>
      </w:r>
      <w:r w:rsidRPr="00A31721">
        <w:rPr>
          <w:rFonts w:hAnsi="Times New Roman" w:cs="Times New Roman"/>
          <w:color w:val="000000" w:themeColor="text1"/>
          <w:szCs w:val="24"/>
          <w:lang w:val="en-US"/>
        </w:rPr>
        <w:t xml:space="preserve"> De Villers, 2017; Bandinelli et al., 2020). These practices are often aligned with the Sustainable Development Goals (SDGs) and aim to foster awareness across the entire organization, ensuring a holistic approach to sustainability that permeates all organizational levels, from top management to operational staff (Gunarathne et al., 2021; </w:t>
      </w:r>
      <w:proofErr w:type="spellStart"/>
      <w:r w:rsidRPr="00A31721">
        <w:rPr>
          <w:rFonts w:hAnsi="Times New Roman" w:cs="Times New Roman"/>
          <w:color w:val="000000" w:themeColor="text1"/>
          <w:szCs w:val="24"/>
          <w:lang w:val="en-US"/>
        </w:rPr>
        <w:t>Appannan</w:t>
      </w:r>
      <w:proofErr w:type="spellEnd"/>
      <w:r w:rsidRPr="00A31721">
        <w:rPr>
          <w:rFonts w:hAnsi="Times New Roman" w:cs="Times New Roman"/>
          <w:color w:val="000000" w:themeColor="text1"/>
          <w:szCs w:val="24"/>
          <w:lang w:val="en-US"/>
        </w:rPr>
        <w:t xml:space="preserve"> et al., 2023). SDGs such as Clean Water and Sanitation (Goal 6), Affordable and Clean Energy (Goal 7), Responsible Consumption and Production (Goal 12), and Climate Action (Goal 13) have been identified as particularly relevant in the business discourse on sustainability, especially for sectors with high resource dependency, such as wineries. Within the wine sector, environmental performance metrics</w:t>
      </w:r>
      <w:r w:rsidR="00996D8E" w:rsidRPr="00A31721">
        <w:rPr>
          <w:rFonts w:hAnsi="Times New Roman" w:cs="Times New Roman"/>
          <w:color w:val="000000" w:themeColor="text1"/>
          <w:szCs w:val="24"/>
          <w:lang w:val="en-US"/>
        </w:rPr>
        <w:t xml:space="preserve"> </w:t>
      </w:r>
      <w:r w:rsidRPr="00A31721">
        <w:rPr>
          <w:rFonts w:hAnsi="Times New Roman" w:cs="Times New Roman"/>
          <w:color w:val="000000" w:themeColor="text1"/>
          <w:szCs w:val="24"/>
          <w:lang w:val="en-US"/>
        </w:rPr>
        <w:t>have been highlighted as instrumental in translating sustainability values into concrete practices (</w:t>
      </w:r>
      <w:proofErr w:type="spellStart"/>
      <w:r w:rsidRPr="00A31721">
        <w:rPr>
          <w:rFonts w:hAnsi="Times New Roman" w:cs="Times New Roman"/>
          <w:color w:val="000000" w:themeColor="text1"/>
          <w:szCs w:val="24"/>
          <w:lang w:val="en-US"/>
        </w:rPr>
        <w:t>Devesa</w:t>
      </w:r>
      <w:proofErr w:type="spellEnd"/>
      <w:r w:rsidRPr="00A31721">
        <w:rPr>
          <w:rFonts w:hAnsi="Times New Roman" w:cs="Times New Roman"/>
          <w:color w:val="000000" w:themeColor="text1"/>
          <w:szCs w:val="24"/>
          <w:lang w:val="en-US"/>
        </w:rPr>
        <w:t>-Rey et al., 2011; Bandinelli et al., 2020; Trigo and Silva, 2022).</w:t>
      </w:r>
    </w:p>
    <w:p w14:paraId="545C44BD" w14:textId="7D07A54C" w:rsidR="00E42521" w:rsidRPr="00A31721" w:rsidRDefault="00E42521" w:rsidP="00E42521">
      <w:pPr>
        <w:pStyle w:val="NoSpacing"/>
        <w:spacing w:line="240" w:lineRule="auto"/>
        <w:ind w:firstLine="720"/>
        <w:contextualSpacing/>
        <w:rPr>
          <w:rFonts w:hAnsi="Times New Roman" w:cs="Times New Roman"/>
          <w:color w:val="000000" w:themeColor="text1"/>
          <w:szCs w:val="24"/>
          <w:lang w:val="en-US"/>
        </w:rPr>
      </w:pPr>
      <w:r w:rsidRPr="00A31721">
        <w:rPr>
          <w:rFonts w:hAnsi="Times New Roman" w:cs="Times New Roman"/>
          <w:color w:val="000000" w:themeColor="text1"/>
          <w:szCs w:val="24"/>
          <w:lang w:val="en-US"/>
        </w:rPr>
        <w:t xml:space="preserve">The adoption of sustainability practices not only enables firms to innovate and improve processes but also contributes to reducing natural resource consumption and mitigating environmental harm (Ferreira et al., 2010). Prior </w:t>
      </w:r>
      <w:r w:rsidR="005D426B" w:rsidRPr="00A31721">
        <w:rPr>
          <w:rFonts w:hAnsi="Times New Roman" w:cs="Times New Roman"/>
          <w:color w:val="000000" w:themeColor="text1"/>
          <w:szCs w:val="24"/>
          <w:lang w:val="en-US"/>
        </w:rPr>
        <w:t>studies</w:t>
      </w:r>
      <w:r w:rsidRPr="00A31721">
        <w:rPr>
          <w:rFonts w:hAnsi="Times New Roman" w:cs="Times New Roman"/>
          <w:color w:val="000000" w:themeColor="text1"/>
          <w:szCs w:val="24"/>
          <w:lang w:val="en-US"/>
        </w:rPr>
        <w:t xml:space="preserve"> </w:t>
      </w:r>
      <w:r w:rsidR="008F2B09" w:rsidRPr="00A31721">
        <w:rPr>
          <w:rFonts w:hAnsi="Times New Roman" w:cs="Times New Roman"/>
          <w:color w:val="000000" w:themeColor="text1"/>
          <w:szCs w:val="24"/>
          <w:lang w:val="en-US"/>
        </w:rPr>
        <w:t xml:space="preserve">have </w:t>
      </w:r>
      <w:r w:rsidR="00570256" w:rsidRPr="00A31721">
        <w:rPr>
          <w:rFonts w:hAnsi="Times New Roman" w:cs="Times New Roman"/>
          <w:color w:val="000000" w:themeColor="text1"/>
          <w:szCs w:val="24"/>
          <w:lang w:val="en-US"/>
        </w:rPr>
        <w:t xml:space="preserve">predicted the association </w:t>
      </w:r>
      <w:r w:rsidR="00EA1F32" w:rsidRPr="00A31721">
        <w:rPr>
          <w:rFonts w:hAnsi="Times New Roman" w:cs="Times New Roman"/>
          <w:color w:val="000000" w:themeColor="text1"/>
          <w:szCs w:val="24"/>
          <w:lang w:val="en-US"/>
        </w:rPr>
        <w:t>between these</w:t>
      </w:r>
      <w:r w:rsidR="00947DE9" w:rsidRPr="00A31721">
        <w:rPr>
          <w:rFonts w:hAnsi="Times New Roman" w:cs="Times New Roman"/>
          <w:color w:val="000000" w:themeColor="text1"/>
          <w:szCs w:val="24"/>
          <w:lang w:val="en-US"/>
        </w:rPr>
        <w:t xml:space="preserve"> </w:t>
      </w:r>
      <w:r w:rsidRPr="00A31721">
        <w:rPr>
          <w:rFonts w:hAnsi="Times New Roman" w:cs="Times New Roman"/>
          <w:color w:val="000000" w:themeColor="text1"/>
          <w:szCs w:val="24"/>
          <w:lang w:val="en-US"/>
        </w:rPr>
        <w:t xml:space="preserve">practices </w:t>
      </w:r>
      <w:r w:rsidR="0017440C" w:rsidRPr="00A31721">
        <w:rPr>
          <w:rFonts w:hAnsi="Times New Roman" w:cs="Times New Roman"/>
          <w:color w:val="000000" w:themeColor="text1"/>
          <w:szCs w:val="24"/>
          <w:lang w:val="en-US"/>
        </w:rPr>
        <w:t>with</w:t>
      </w:r>
      <w:r w:rsidRPr="00A31721">
        <w:rPr>
          <w:rFonts w:hAnsi="Times New Roman" w:cs="Times New Roman"/>
          <w:color w:val="000000" w:themeColor="text1"/>
          <w:szCs w:val="24"/>
          <w:lang w:val="en-US"/>
        </w:rPr>
        <w:t xml:space="preserve"> improvements in financial and market performance, product quality, innovation, and both environmental and social outcomes (</w:t>
      </w:r>
      <w:proofErr w:type="spellStart"/>
      <w:r w:rsidRPr="00A31721">
        <w:rPr>
          <w:rFonts w:hAnsi="Times New Roman" w:cs="Times New Roman"/>
          <w:color w:val="000000" w:themeColor="text1"/>
          <w:szCs w:val="24"/>
          <w:lang w:val="en-US"/>
        </w:rPr>
        <w:t>Maletič</w:t>
      </w:r>
      <w:proofErr w:type="spellEnd"/>
      <w:r w:rsidRPr="00A31721">
        <w:rPr>
          <w:rFonts w:hAnsi="Times New Roman" w:cs="Times New Roman"/>
          <w:color w:val="000000" w:themeColor="text1"/>
          <w:szCs w:val="24"/>
          <w:lang w:val="en-US"/>
        </w:rPr>
        <w:t xml:space="preserve"> et al., 2018), while also </w:t>
      </w:r>
      <w:r w:rsidR="0017440C" w:rsidRPr="00A31721">
        <w:rPr>
          <w:rFonts w:hAnsi="Times New Roman" w:cs="Times New Roman"/>
          <w:color w:val="000000" w:themeColor="text1"/>
          <w:szCs w:val="24"/>
          <w:lang w:val="en-US"/>
        </w:rPr>
        <w:t xml:space="preserve">suggesting that such organizational practices </w:t>
      </w:r>
      <w:r w:rsidRPr="00A31721">
        <w:rPr>
          <w:rFonts w:hAnsi="Times New Roman" w:cs="Times New Roman"/>
          <w:color w:val="000000" w:themeColor="text1"/>
          <w:szCs w:val="24"/>
          <w:lang w:val="en-US"/>
        </w:rPr>
        <w:t>hel</w:t>
      </w:r>
      <w:r w:rsidR="0017440C" w:rsidRPr="00A31721">
        <w:rPr>
          <w:rFonts w:hAnsi="Times New Roman" w:cs="Times New Roman"/>
          <w:color w:val="000000" w:themeColor="text1"/>
          <w:szCs w:val="24"/>
          <w:lang w:val="en-US"/>
        </w:rPr>
        <w:t>p</w:t>
      </w:r>
      <w:r w:rsidRPr="00A31721">
        <w:rPr>
          <w:rFonts w:hAnsi="Times New Roman" w:cs="Times New Roman"/>
          <w:color w:val="000000" w:themeColor="text1"/>
          <w:szCs w:val="24"/>
          <w:lang w:val="en-US"/>
        </w:rPr>
        <w:t xml:space="preserve"> firms prevent penalties and regulatory </w:t>
      </w:r>
      <w:r w:rsidR="006E274D" w:rsidRPr="00A31721">
        <w:rPr>
          <w:rFonts w:hAnsi="Times New Roman" w:cs="Times New Roman"/>
          <w:color w:val="000000" w:themeColor="text1"/>
          <w:szCs w:val="24"/>
          <w:lang w:val="en-US"/>
        </w:rPr>
        <w:t xml:space="preserve">fines </w:t>
      </w:r>
      <w:r w:rsidRPr="00A31721">
        <w:rPr>
          <w:rFonts w:hAnsi="Times New Roman" w:cs="Times New Roman"/>
          <w:color w:val="000000" w:themeColor="text1"/>
          <w:szCs w:val="24"/>
          <w:lang w:val="en-US"/>
        </w:rPr>
        <w:t>(Abdallah and Al-</w:t>
      </w:r>
      <w:proofErr w:type="spellStart"/>
      <w:r w:rsidRPr="00A31721">
        <w:rPr>
          <w:rFonts w:hAnsi="Times New Roman" w:cs="Times New Roman"/>
          <w:color w:val="000000" w:themeColor="text1"/>
          <w:szCs w:val="24"/>
          <w:lang w:val="en-US"/>
        </w:rPr>
        <w:t>Ghwayeen</w:t>
      </w:r>
      <w:proofErr w:type="spellEnd"/>
      <w:r w:rsidRPr="00A31721">
        <w:rPr>
          <w:rFonts w:hAnsi="Times New Roman" w:cs="Times New Roman"/>
          <w:color w:val="000000" w:themeColor="text1"/>
          <w:szCs w:val="24"/>
          <w:lang w:val="en-US"/>
        </w:rPr>
        <w:t>, 2020). Technological interventions, such as solar energy systems that reduce electricity consumption, also enhance firms' environmental and financial performance (Bandinelli et al., 2020). Furthermore, the alignment of sustainability practices with waste reduction policies</w:t>
      </w:r>
      <w:r w:rsidR="009A513F" w:rsidRPr="00A31721">
        <w:rPr>
          <w:rFonts w:hAnsi="Times New Roman" w:cs="Times New Roman"/>
          <w:color w:val="000000" w:themeColor="text1"/>
          <w:szCs w:val="24"/>
          <w:lang w:val="en-US"/>
        </w:rPr>
        <w:t xml:space="preserve">, </w:t>
      </w:r>
      <w:r w:rsidRPr="00A31721">
        <w:rPr>
          <w:rFonts w:hAnsi="Times New Roman" w:cs="Times New Roman"/>
          <w:color w:val="000000" w:themeColor="text1"/>
          <w:szCs w:val="24"/>
          <w:lang w:val="en-US"/>
        </w:rPr>
        <w:t>particularly at the operational level, where products and services are delivered</w:t>
      </w:r>
      <w:r w:rsidR="009A513F" w:rsidRPr="00A31721">
        <w:rPr>
          <w:rFonts w:hAnsi="Times New Roman" w:cs="Times New Roman"/>
          <w:color w:val="000000" w:themeColor="text1"/>
          <w:szCs w:val="24"/>
          <w:lang w:val="en-US"/>
        </w:rPr>
        <w:t xml:space="preserve">, </w:t>
      </w:r>
      <w:r w:rsidRPr="00A31721">
        <w:rPr>
          <w:rFonts w:hAnsi="Times New Roman" w:cs="Times New Roman"/>
          <w:color w:val="000000" w:themeColor="text1"/>
          <w:szCs w:val="24"/>
          <w:lang w:val="en-US"/>
        </w:rPr>
        <w:t>is critical. In the winery context, empirical evidence supports the benefits of wastewater treatment, composting organic waste, recycling inorganic materials (</w:t>
      </w:r>
      <w:proofErr w:type="spellStart"/>
      <w:r w:rsidRPr="00A31721">
        <w:rPr>
          <w:rFonts w:hAnsi="Times New Roman" w:cs="Times New Roman"/>
          <w:color w:val="000000" w:themeColor="text1"/>
          <w:szCs w:val="24"/>
          <w:lang w:val="en-US"/>
        </w:rPr>
        <w:t>Devesa</w:t>
      </w:r>
      <w:proofErr w:type="spellEnd"/>
      <w:r w:rsidRPr="00A31721">
        <w:rPr>
          <w:rFonts w:hAnsi="Times New Roman" w:cs="Times New Roman"/>
          <w:color w:val="000000" w:themeColor="text1"/>
          <w:szCs w:val="24"/>
          <w:lang w:val="en-US"/>
        </w:rPr>
        <w:t xml:space="preserve">-Rey et al., 2011; Fragoso </w:t>
      </w:r>
      <w:r w:rsidR="005136F3" w:rsidRPr="00A31721">
        <w:rPr>
          <w:rFonts w:eastAsia="Times New Roman" w:hAnsi="Times New Roman" w:cs="Times New Roman"/>
          <w:color w:val="000000" w:themeColor="text1"/>
          <w:szCs w:val="24"/>
          <w:lang w:val="en-US"/>
        </w:rPr>
        <w:t>&amp;</w:t>
      </w:r>
      <w:r w:rsidRPr="00A31721">
        <w:rPr>
          <w:rFonts w:hAnsi="Times New Roman" w:cs="Times New Roman"/>
          <w:color w:val="000000" w:themeColor="text1"/>
          <w:szCs w:val="24"/>
          <w:lang w:val="en-US"/>
        </w:rPr>
        <w:t xml:space="preserve"> Figueira, 2021; Trigo </w:t>
      </w:r>
      <w:r w:rsidR="005136F3" w:rsidRPr="00A31721">
        <w:rPr>
          <w:rFonts w:eastAsia="Times New Roman" w:hAnsi="Times New Roman" w:cs="Times New Roman"/>
          <w:color w:val="000000" w:themeColor="text1"/>
          <w:szCs w:val="24"/>
          <w:lang w:val="en-US"/>
        </w:rPr>
        <w:t>&amp;</w:t>
      </w:r>
      <w:r w:rsidRPr="00A31721">
        <w:rPr>
          <w:rFonts w:hAnsi="Times New Roman" w:cs="Times New Roman"/>
          <w:color w:val="000000" w:themeColor="text1"/>
          <w:szCs w:val="24"/>
          <w:lang w:val="en-US"/>
        </w:rPr>
        <w:t xml:space="preserve"> Silva, 2022), and reducing glass bottle thickness (Forbes </w:t>
      </w:r>
      <w:r w:rsidR="005136F3" w:rsidRPr="00A31721">
        <w:rPr>
          <w:rFonts w:eastAsia="Times New Roman" w:hAnsi="Times New Roman" w:cs="Times New Roman"/>
          <w:color w:val="000000" w:themeColor="text1"/>
          <w:szCs w:val="24"/>
          <w:lang w:val="en-US"/>
        </w:rPr>
        <w:t>&amp;</w:t>
      </w:r>
      <w:r w:rsidRPr="00A31721">
        <w:rPr>
          <w:rFonts w:hAnsi="Times New Roman" w:cs="Times New Roman"/>
          <w:color w:val="000000" w:themeColor="text1"/>
          <w:szCs w:val="24"/>
          <w:lang w:val="en-US"/>
        </w:rPr>
        <w:t xml:space="preserve"> Silva, 2012; Bandinelli et al., 2020) as strategies for lowering greenhouse gas emissions (Trigo </w:t>
      </w:r>
      <w:r w:rsidR="005136F3" w:rsidRPr="00A31721">
        <w:rPr>
          <w:rFonts w:eastAsia="Times New Roman" w:hAnsi="Times New Roman" w:cs="Times New Roman"/>
          <w:color w:val="000000" w:themeColor="text1"/>
          <w:szCs w:val="24"/>
          <w:lang w:val="en-US"/>
        </w:rPr>
        <w:t>&amp;</w:t>
      </w:r>
      <w:r w:rsidRPr="00A31721">
        <w:rPr>
          <w:rFonts w:hAnsi="Times New Roman" w:cs="Times New Roman"/>
          <w:color w:val="000000" w:themeColor="text1"/>
          <w:szCs w:val="24"/>
          <w:lang w:val="en-US"/>
        </w:rPr>
        <w:t xml:space="preserve"> Silva, 2022).</w:t>
      </w:r>
    </w:p>
    <w:p w14:paraId="2CDC3344" w14:textId="1755CAFF" w:rsidR="00C96422" w:rsidRPr="00A31721" w:rsidRDefault="00E42521" w:rsidP="00E42521">
      <w:pPr>
        <w:pStyle w:val="NoSpacing"/>
        <w:spacing w:line="240" w:lineRule="auto"/>
        <w:ind w:firstLine="720"/>
        <w:contextualSpacing/>
        <w:rPr>
          <w:rFonts w:hAnsi="Times New Roman" w:cs="Times New Roman"/>
          <w:color w:val="000000" w:themeColor="text1"/>
          <w:szCs w:val="24"/>
          <w:lang w:val="en-US"/>
        </w:rPr>
      </w:pPr>
      <w:r w:rsidRPr="00A31721">
        <w:rPr>
          <w:rFonts w:hAnsi="Times New Roman" w:cs="Times New Roman"/>
          <w:color w:val="000000" w:themeColor="text1"/>
          <w:szCs w:val="24"/>
          <w:lang w:val="en-US"/>
        </w:rPr>
        <w:t>While evidence on the organizational outcomes of designing such sustainability practices within the winery sector remains limited, recent studies (e.g., Martínez-Falcó et al., 2023) suggest that adopting environmental practices across the wine production chain</w:t>
      </w:r>
      <w:r w:rsidR="003D7B81" w:rsidRPr="00A31721">
        <w:rPr>
          <w:rFonts w:hAnsi="Times New Roman" w:cs="Times New Roman"/>
          <w:color w:val="000000" w:themeColor="text1"/>
          <w:szCs w:val="24"/>
          <w:lang w:val="en-US"/>
        </w:rPr>
        <w:t xml:space="preserve">, </w:t>
      </w:r>
      <w:r w:rsidRPr="00A31721">
        <w:rPr>
          <w:rFonts w:hAnsi="Times New Roman" w:cs="Times New Roman"/>
          <w:color w:val="000000" w:themeColor="text1"/>
          <w:szCs w:val="24"/>
          <w:lang w:val="en-US"/>
        </w:rPr>
        <w:t>from grape cultivation to distribution</w:t>
      </w:r>
      <w:r w:rsidR="003D7B81" w:rsidRPr="00A31721">
        <w:rPr>
          <w:rFonts w:hAnsi="Times New Roman" w:cs="Times New Roman"/>
          <w:color w:val="000000" w:themeColor="text1"/>
          <w:szCs w:val="24"/>
          <w:lang w:val="en-US"/>
        </w:rPr>
        <w:t xml:space="preserve">, </w:t>
      </w:r>
      <w:r w:rsidRPr="00A31721">
        <w:rPr>
          <w:rFonts w:hAnsi="Times New Roman" w:cs="Times New Roman"/>
          <w:color w:val="000000" w:themeColor="text1"/>
          <w:szCs w:val="24"/>
          <w:lang w:val="en-US"/>
        </w:rPr>
        <w:t>can promote cultural change, reduce GHG emissions and operational costs, and foster a long-term strategic orientation. These outcomes are ultimately associated with enhanced environmental performance.</w:t>
      </w:r>
    </w:p>
    <w:p w14:paraId="23D11034" w14:textId="77777777" w:rsidR="006169F3" w:rsidRPr="00A31721" w:rsidRDefault="006169F3" w:rsidP="00E42521">
      <w:pPr>
        <w:pStyle w:val="NoSpacing"/>
        <w:spacing w:line="240" w:lineRule="auto"/>
        <w:ind w:firstLine="720"/>
        <w:contextualSpacing/>
        <w:rPr>
          <w:rFonts w:hAnsi="Times New Roman" w:cs="Times New Roman"/>
          <w:color w:val="000000" w:themeColor="text1"/>
          <w:szCs w:val="24"/>
          <w:lang w:val="en-US"/>
        </w:rPr>
      </w:pPr>
    </w:p>
    <w:p w14:paraId="01F3937C" w14:textId="2AF0ED66" w:rsidR="006749A4" w:rsidRPr="00A31721" w:rsidRDefault="0007550D">
      <w:pPr>
        <w:pBdr>
          <w:top w:val="nil"/>
          <w:left w:val="nil"/>
          <w:bottom w:val="nil"/>
          <w:right w:val="nil"/>
          <w:between w:val="nil"/>
        </w:pBdr>
        <w:spacing w:line="240" w:lineRule="auto"/>
        <w:jc w:val="both"/>
        <w:rPr>
          <w:rFonts w:ascii="Times New Roman" w:eastAsia="Times New Roman" w:hAnsi="Times New Roman" w:cs="Times New Roman"/>
          <w:bCs/>
          <w:i/>
          <w:iCs/>
          <w:color w:val="000000" w:themeColor="text1"/>
          <w:sz w:val="24"/>
          <w:szCs w:val="24"/>
        </w:rPr>
      </w:pPr>
      <w:r w:rsidRPr="00A31721">
        <w:rPr>
          <w:rFonts w:ascii="Times New Roman" w:eastAsia="Times New Roman" w:hAnsi="Times New Roman" w:cs="Times New Roman"/>
          <w:bCs/>
          <w:i/>
          <w:iCs/>
          <w:color w:val="000000" w:themeColor="text1"/>
          <w:sz w:val="24"/>
          <w:szCs w:val="24"/>
        </w:rPr>
        <w:t>H3.</w:t>
      </w:r>
      <w:r w:rsidR="005916D1" w:rsidRPr="00A31721">
        <w:rPr>
          <w:rFonts w:ascii="Times New Roman" w:eastAsia="Times New Roman" w:hAnsi="Times New Roman" w:cs="Times New Roman"/>
          <w:bCs/>
          <w:i/>
          <w:iCs/>
          <w:color w:val="000000" w:themeColor="text1"/>
          <w:sz w:val="24"/>
          <w:szCs w:val="24"/>
        </w:rPr>
        <w:t xml:space="preserve"> In the winery context, t</w:t>
      </w:r>
      <w:r w:rsidRPr="00A31721">
        <w:rPr>
          <w:rFonts w:ascii="Times New Roman" w:eastAsia="Times New Roman" w:hAnsi="Times New Roman" w:cs="Times New Roman"/>
          <w:bCs/>
          <w:i/>
          <w:iCs/>
          <w:color w:val="000000" w:themeColor="text1"/>
          <w:sz w:val="24"/>
          <w:szCs w:val="24"/>
        </w:rPr>
        <w:t xml:space="preserve">he adoption of sustainability practices </w:t>
      </w:r>
      <w:r w:rsidR="005916D1" w:rsidRPr="00A31721">
        <w:rPr>
          <w:rFonts w:ascii="Times New Roman" w:eastAsia="Times New Roman" w:hAnsi="Times New Roman" w:cs="Times New Roman"/>
          <w:bCs/>
          <w:i/>
          <w:iCs/>
          <w:color w:val="000000" w:themeColor="text1"/>
          <w:sz w:val="24"/>
          <w:szCs w:val="24"/>
        </w:rPr>
        <w:t xml:space="preserve">is positively associated with </w:t>
      </w:r>
      <w:r w:rsidRPr="00A31721">
        <w:rPr>
          <w:rFonts w:ascii="Times New Roman" w:eastAsia="Times New Roman" w:hAnsi="Times New Roman" w:cs="Times New Roman"/>
          <w:bCs/>
          <w:i/>
          <w:iCs/>
          <w:color w:val="000000" w:themeColor="text1"/>
          <w:sz w:val="24"/>
          <w:szCs w:val="24"/>
        </w:rPr>
        <w:t>environmental performance.</w:t>
      </w:r>
    </w:p>
    <w:p w14:paraId="471E5C1E" w14:textId="4585F918" w:rsidR="00EA677C" w:rsidRPr="00A31721" w:rsidRDefault="00EA677C" w:rsidP="00EA677C">
      <w:pPr>
        <w:spacing w:after="0" w:line="240" w:lineRule="auto"/>
        <w:ind w:firstLine="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lastRenderedPageBreak/>
        <w:t xml:space="preserve">The level of use of organizational practices has been suggested as imperative for business success and competitive advantage. Particularly, the literature at the intersection of management accounting and sustainability argues that the use of EMA tools, widely recognized as a means to enhance both environmental and organizational performance (Burritt et al., 2019; Sari et al., 2021), integrates environmental metrics, regulatory compliance, and operational efficiency, which enables continuous monitoring and provides essential data for planning and decision-making (Gunarathne et al., 2021; </w:t>
      </w:r>
      <w:proofErr w:type="spellStart"/>
      <w:r w:rsidRPr="00A31721">
        <w:rPr>
          <w:rFonts w:ascii="Times New Roman" w:hAnsi="Times New Roman" w:cs="Times New Roman"/>
          <w:color w:val="000000" w:themeColor="text1"/>
          <w:sz w:val="24"/>
          <w:szCs w:val="24"/>
        </w:rPr>
        <w:t>Schaltegger</w:t>
      </w:r>
      <w:proofErr w:type="spellEnd"/>
      <w:r w:rsidRPr="00A31721">
        <w:rPr>
          <w:rFonts w:ascii="Times New Roman" w:hAnsi="Times New Roman" w:cs="Times New Roman"/>
          <w:color w:val="000000" w:themeColor="text1"/>
          <w:sz w:val="24"/>
          <w:szCs w:val="24"/>
        </w:rPr>
        <w:t xml:space="preserve"> et al., 2022). Although its benefits are well documented, the literature still highlights challenges and inconsistencies that limit the generalization of its effects on organizational performance. What is known is that EMA tools can provide complementary information on costs and non-financial performance indicators, assisting firms in identifying strategic uncertainties, measuring deviations, and implementing corrective actions to improve environmental performance. However, responses to these tools vary across sectors, and factors such as a lack of specialized knowledge and rigidity in implementation can compromise their effectiveness (Xu et al., 2025).</w:t>
      </w:r>
    </w:p>
    <w:p w14:paraId="3CEE5328" w14:textId="78CB8AE1" w:rsidR="00D90C4A" w:rsidRPr="00A31721" w:rsidRDefault="00EA677C" w:rsidP="00EA677C">
      <w:pPr>
        <w:spacing w:after="0" w:line="240" w:lineRule="auto"/>
        <w:ind w:firstLine="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One of the main tensions in EMA research lies in its excessive focus on measurement, which is often disconnected from tangible improvements in environmental and economic performance (Abdel-Maksoud et al., 2021; </w:t>
      </w:r>
      <w:proofErr w:type="spellStart"/>
      <w:r w:rsidRPr="00A31721">
        <w:rPr>
          <w:rFonts w:ascii="Times New Roman" w:hAnsi="Times New Roman" w:cs="Times New Roman"/>
          <w:color w:val="000000" w:themeColor="text1"/>
          <w:sz w:val="24"/>
          <w:szCs w:val="24"/>
        </w:rPr>
        <w:t>Schaltegger</w:t>
      </w:r>
      <w:proofErr w:type="spellEnd"/>
      <w:r w:rsidRPr="00A31721">
        <w:rPr>
          <w:rFonts w:ascii="Times New Roman" w:hAnsi="Times New Roman" w:cs="Times New Roman"/>
          <w:color w:val="000000" w:themeColor="text1"/>
          <w:sz w:val="24"/>
          <w:szCs w:val="24"/>
        </w:rPr>
        <w:t xml:space="preserve"> et al., 2022; </w:t>
      </w:r>
      <w:proofErr w:type="spellStart"/>
      <w:r w:rsidRPr="00A31721">
        <w:rPr>
          <w:rFonts w:ascii="Times New Roman" w:hAnsi="Times New Roman" w:cs="Times New Roman"/>
          <w:color w:val="000000" w:themeColor="text1"/>
          <w:sz w:val="24"/>
          <w:szCs w:val="24"/>
        </w:rPr>
        <w:t>Asiaei</w:t>
      </w:r>
      <w:proofErr w:type="spellEnd"/>
      <w:r w:rsidRPr="00A31721">
        <w:rPr>
          <w:rFonts w:ascii="Times New Roman" w:hAnsi="Times New Roman" w:cs="Times New Roman"/>
          <w:color w:val="000000" w:themeColor="text1"/>
          <w:sz w:val="24"/>
          <w:szCs w:val="24"/>
        </w:rPr>
        <w:t xml:space="preserve"> et al., 2023; Bresciani et al., 2023; Gunarathne et al., 2023; </w:t>
      </w:r>
      <w:proofErr w:type="spellStart"/>
      <w:r w:rsidRPr="00A31721">
        <w:rPr>
          <w:rFonts w:ascii="Times New Roman" w:hAnsi="Times New Roman" w:cs="Times New Roman"/>
          <w:color w:val="000000" w:themeColor="text1"/>
          <w:sz w:val="24"/>
          <w:szCs w:val="24"/>
        </w:rPr>
        <w:t>Gerged</w:t>
      </w:r>
      <w:proofErr w:type="spellEnd"/>
      <w:r w:rsidRPr="00A31721">
        <w:rPr>
          <w:rFonts w:ascii="Times New Roman" w:hAnsi="Times New Roman" w:cs="Times New Roman"/>
          <w:color w:val="000000" w:themeColor="text1"/>
          <w:sz w:val="24"/>
          <w:szCs w:val="24"/>
        </w:rPr>
        <w:t xml:space="preserve"> et al., 2024). While studies show that EMA supports the traceability of physical flows and environmental costs, its effects on operational efficiency and sustainability still lack robust empirical evidence (</w:t>
      </w:r>
      <w:proofErr w:type="spellStart"/>
      <w:r w:rsidRPr="00A31721">
        <w:rPr>
          <w:rFonts w:ascii="Times New Roman" w:hAnsi="Times New Roman" w:cs="Times New Roman"/>
          <w:color w:val="000000" w:themeColor="text1"/>
          <w:sz w:val="24"/>
          <w:szCs w:val="24"/>
        </w:rPr>
        <w:t>Schaltegger</w:t>
      </w:r>
      <w:proofErr w:type="spellEnd"/>
      <w:r w:rsidRPr="00A31721">
        <w:rPr>
          <w:rFonts w:ascii="Times New Roman" w:hAnsi="Times New Roman" w:cs="Times New Roman"/>
          <w:color w:val="000000" w:themeColor="text1"/>
          <w:sz w:val="24"/>
          <w:szCs w:val="24"/>
        </w:rPr>
        <w:t xml:space="preserve"> et al., 2022). Another critical issue is the concentration of EMA research in a limited number of sectors and geographic regions (Hsiao et al., 2022; </w:t>
      </w:r>
      <w:proofErr w:type="spellStart"/>
      <w:r w:rsidRPr="00A31721">
        <w:rPr>
          <w:rFonts w:ascii="Times New Roman" w:hAnsi="Times New Roman" w:cs="Times New Roman"/>
          <w:color w:val="000000" w:themeColor="text1"/>
          <w:sz w:val="24"/>
          <w:szCs w:val="24"/>
        </w:rPr>
        <w:t>Gerged</w:t>
      </w:r>
      <w:proofErr w:type="spellEnd"/>
      <w:r w:rsidRPr="00A31721">
        <w:rPr>
          <w:rFonts w:ascii="Times New Roman" w:hAnsi="Times New Roman" w:cs="Times New Roman"/>
          <w:color w:val="000000" w:themeColor="text1"/>
          <w:sz w:val="24"/>
          <w:szCs w:val="24"/>
        </w:rPr>
        <w:t xml:space="preserve"> et al., 2024), overlooking industries such as Brazil’s wine sector, where sustainability faces specific challenges due to high water and energy consumption, as well as the need for effective waste management (Bandinelli et al., 2020; Fragoso </w:t>
      </w:r>
      <w:r w:rsidR="0083671D" w:rsidRPr="00A31721">
        <w:rPr>
          <w:rFonts w:ascii="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 xml:space="preserve">Figueira, 2021; Trigo </w:t>
      </w:r>
      <w:r w:rsidR="0083671D" w:rsidRPr="00A31721">
        <w:rPr>
          <w:rFonts w:ascii="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Silva, 2022). Given these gaps, exploring how the use of EMA in the winery setting contributes to improved environmental performance </w:t>
      </w:r>
      <w:proofErr w:type="gramStart"/>
      <w:r w:rsidRPr="00A31721">
        <w:rPr>
          <w:rFonts w:ascii="Times New Roman" w:hAnsi="Times New Roman" w:cs="Times New Roman"/>
          <w:color w:val="000000" w:themeColor="text1"/>
          <w:sz w:val="24"/>
          <w:szCs w:val="24"/>
        </w:rPr>
        <w:t>becomes</w:t>
      </w:r>
      <w:proofErr w:type="gramEnd"/>
      <w:r w:rsidRPr="00A31721">
        <w:rPr>
          <w:rFonts w:ascii="Times New Roman" w:hAnsi="Times New Roman" w:cs="Times New Roman"/>
          <w:color w:val="000000" w:themeColor="text1"/>
          <w:sz w:val="24"/>
          <w:szCs w:val="24"/>
        </w:rPr>
        <w:t xml:space="preserve"> relevant for the literature, expanding knowledge about the use of EMA tools in an underexplored context. Based on the arguments presented, the following hypothes</w:t>
      </w:r>
      <w:r w:rsidR="00207EE7" w:rsidRPr="00A31721">
        <w:rPr>
          <w:rFonts w:ascii="Times New Roman" w:hAnsi="Times New Roman" w:cs="Times New Roman"/>
          <w:color w:val="000000" w:themeColor="text1"/>
          <w:sz w:val="24"/>
          <w:szCs w:val="24"/>
        </w:rPr>
        <w:t>i</w:t>
      </w:r>
      <w:r w:rsidRPr="00A31721">
        <w:rPr>
          <w:rFonts w:ascii="Times New Roman" w:hAnsi="Times New Roman" w:cs="Times New Roman"/>
          <w:color w:val="000000" w:themeColor="text1"/>
          <w:sz w:val="24"/>
          <w:szCs w:val="24"/>
        </w:rPr>
        <w:t xml:space="preserve">s </w:t>
      </w:r>
      <w:r w:rsidR="00207EE7" w:rsidRPr="00A31721">
        <w:rPr>
          <w:rFonts w:ascii="Times New Roman" w:hAnsi="Times New Roman" w:cs="Times New Roman"/>
          <w:color w:val="000000" w:themeColor="text1"/>
          <w:sz w:val="24"/>
          <w:szCs w:val="24"/>
        </w:rPr>
        <w:t>is</w:t>
      </w:r>
      <w:r w:rsidRPr="00A31721">
        <w:rPr>
          <w:rFonts w:ascii="Times New Roman" w:hAnsi="Times New Roman" w:cs="Times New Roman"/>
          <w:color w:val="000000" w:themeColor="text1"/>
          <w:sz w:val="24"/>
          <w:szCs w:val="24"/>
        </w:rPr>
        <w:t xml:space="preserve"> proposed:</w:t>
      </w:r>
    </w:p>
    <w:p w14:paraId="76C039A2" w14:textId="77777777" w:rsidR="00EA677C" w:rsidRPr="00A31721" w:rsidRDefault="00EA677C" w:rsidP="00EA677C">
      <w:pPr>
        <w:spacing w:after="0" w:line="240" w:lineRule="auto"/>
        <w:ind w:firstLine="720"/>
        <w:jc w:val="both"/>
        <w:rPr>
          <w:rFonts w:ascii="Times New Roman" w:eastAsia="Times New Roman" w:hAnsi="Times New Roman" w:cs="Times New Roman"/>
          <w:bCs/>
          <w:i/>
          <w:iCs/>
          <w:color w:val="000000" w:themeColor="text1"/>
          <w:sz w:val="24"/>
          <w:szCs w:val="24"/>
        </w:rPr>
      </w:pPr>
    </w:p>
    <w:p w14:paraId="22FE8D7B" w14:textId="23FA8696" w:rsidR="00DB30A9" w:rsidRPr="00A31721" w:rsidRDefault="00DB30A9" w:rsidP="00DB30A9">
      <w:pPr>
        <w:spacing w:after="0" w:line="240" w:lineRule="auto"/>
        <w:jc w:val="both"/>
        <w:rPr>
          <w:rFonts w:ascii="Times New Roman" w:eastAsia="Times New Roman" w:hAnsi="Times New Roman" w:cs="Times New Roman"/>
          <w:bCs/>
          <w:i/>
          <w:iCs/>
          <w:color w:val="000000" w:themeColor="text1"/>
          <w:sz w:val="24"/>
          <w:szCs w:val="24"/>
        </w:rPr>
      </w:pPr>
      <w:r w:rsidRPr="00A31721">
        <w:rPr>
          <w:rFonts w:ascii="Times New Roman" w:eastAsia="Times New Roman" w:hAnsi="Times New Roman" w:cs="Times New Roman"/>
          <w:bCs/>
          <w:i/>
          <w:iCs/>
          <w:color w:val="000000" w:themeColor="text1"/>
          <w:sz w:val="24"/>
          <w:szCs w:val="24"/>
        </w:rPr>
        <w:t>H</w:t>
      </w:r>
      <w:r w:rsidR="009B18D5" w:rsidRPr="00A31721">
        <w:rPr>
          <w:rFonts w:ascii="Times New Roman" w:eastAsia="Times New Roman" w:hAnsi="Times New Roman" w:cs="Times New Roman"/>
          <w:bCs/>
          <w:i/>
          <w:iCs/>
          <w:color w:val="000000" w:themeColor="text1"/>
          <w:sz w:val="24"/>
          <w:szCs w:val="24"/>
        </w:rPr>
        <w:t>4</w:t>
      </w:r>
      <w:r w:rsidRPr="00A31721">
        <w:rPr>
          <w:rFonts w:ascii="Times New Roman" w:eastAsia="Times New Roman" w:hAnsi="Times New Roman" w:cs="Times New Roman"/>
          <w:bCs/>
          <w:i/>
          <w:iCs/>
          <w:color w:val="000000" w:themeColor="text1"/>
          <w:sz w:val="24"/>
          <w:szCs w:val="24"/>
        </w:rPr>
        <w:t xml:space="preserve">. </w:t>
      </w:r>
      <w:r w:rsidR="005B1608" w:rsidRPr="00A31721">
        <w:rPr>
          <w:rFonts w:ascii="Times New Roman" w:eastAsia="Times New Roman" w:hAnsi="Times New Roman" w:cs="Times New Roman"/>
          <w:bCs/>
          <w:i/>
          <w:iCs/>
          <w:color w:val="000000" w:themeColor="text1"/>
          <w:sz w:val="24"/>
          <w:szCs w:val="24"/>
        </w:rPr>
        <w:t>In the winery context, t</w:t>
      </w:r>
      <w:r w:rsidRPr="00A31721">
        <w:rPr>
          <w:rFonts w:ascii="Times New Roman" w:eastAsia="Times New Roman" w:hAnsi="Times New Roman" w:cs="Times New Roman"/>
          <w:bCs/>
          <w:i/>
          <w:iCs/>
          <w:color w:val="000000" w:themeColor="text1"/>
          <w:sz w:val="24"/>
          <w:szCs w:val="24"/>
        </w:rPr>
        <w:t xml:space="preserve">he use of EMA tools </w:t>
      </w:r>
      <w:r w:rsidR="005B1608" w:rsidRPr="00A31721">
        <w:rPr>
          <w:rFonts w:ascii="Times New Roman" w:eastAsia="Times New Roman" w:hAnsi="Times New Roman" w:cs="Times New Roman"/>
          <w:bCs/>
          <w:i/>
          <w:iCs/>
          <w:color w:val="000000" w:themeColor="text1"/>
          <w:sz w:val="24"/>
          <w:szCs w:val="24"/>
        </w:rPr>
        <w:t xml:space="preserve">is </w:t>
      </w:r>
      <w:r w:rsidRPr="00A31721">
        <w:rPr>
          <w:rFonts w:ascii="Times New Roman" w:eastAsia="Times New Roman" w:hAnsi="Times New Roman" w:cs="Times New Roman"/>
          <w:bCs/>
          <w:i/>
          <w:iCs/>
          <w:color w:val="000000" w:themeColor="text1"/>
          <w:sz w:val="24"/>
          <w:szCs w:val="24"/>
        </w:rPr>
        <w:t xml:space="preserve">positively </w:t>
      </w:r>
      <w:r w:rsidR="00B404EC" w:rsidRPr="00A31721">
        <w:rPr>
          <w:rFonts w:ascii="Times New Roman" w:eastAsia="Times New Roman" w:hAnsi="Times New Roman" w:cs="Times New Roman"/>
          <w:bCs/>
          <w:i/>
          <w:iCs/>
          <w:color w:val="000000" w:themeColor="text1"/>
          <w:sz w:val="24"/>
          <w:szCs w:val="24"/>
        </w:rPr>
        <w:t xml:space="preserve">associated </w:t>
      </w:r>
      <w:r w:rsidR="005916D1" w:rsidRPr="00A31721">
        <w:rPr>
          <w:rFonts w:ascii="Times New Roman" w:eastAsia="Times New Roman" w:hAnsi="Times New Roman" w:cs="Times New Roman"/>
          <w:bCs/>
          <w:i/>
          <w:iCs/>
          <w:color w:val="000000" w:themeColor="text1"/>
          <w:sz w:val="24"/>
          <w:szCs w:val="24"/>
        </w:rPr>
        <w:t>with</w:t>
      </w:r>
      <w:r w:rsidRPr="00A31721">
        <w:rPr>
          <w:rFonts w:ascii="Times New Roman" w:eastAsia="Times New Roman" w:hAnsi="Times New Roman" w:cs="Times New Roman"/>
          <w:bCs/>
          <w:i/>
          <w:iCs/>
          <w:color w:val="000000" w:themeColor="text1"/>
          <w:sz w:val="24"/>
          <w:szCs w:val="24"/>
        </w:rPr>
        <w:t xml:space="preserve"> environmental performance.</w:t>
      </w:r>
    </w:p>
    <w:p w14:paraId="2ED24DCF" w14:textId="77777777" w:rsidR="00DB30A9" w:rsidRPr="00A31721" w:rsidRDefault="00DB30A9" w:rsidP="00184904">
      <w:pPr>
        <w:spacing w:after="0" w:line="240" w:lineRule="auto"/>
        <w:ind w:firstLine="720"/>
        <w:jc w:val="both"/>
        <w:rPr>
          <w:rFonts w:ascii="Times New Roman" w:hAnsi="Times New Roman" w:cs="Times New Roman"/>
          <w:color w:val="000000" w:themeColor="text1"/>
          <w:sz w:val="24"/>
          <w:szCs w:val="24"/>
        </w:rPr>
      </w:pPr>
    </w:p>
    <w:p w14:paraId="1B9B6462" w14:textId="601C48D1" w:rsidR="00DB30A9" w:rsidRPr="00A31721" w:rsidRDefault="00B86230" w:rsidP="006008F6">
      <w:pPr>
        <w:spacing w:after="0" w:line="240" w:lineRule="auto"/>
        <w:jc w:val="both"/>
        <w:rPr>
          <w:rFonts w:ascii="Times New Roman" w:hAnsi="Times New Roman" w:cs="Times New Roman"/>
          <w:b/>
          <w:bCs/>
          <w:color w:val="000000" w:themeColor="text1"/>
          <w:sz w:val="24"/>
          <w:szCs w:val="24"/>
        </w:rPr>
      </w:pPr>
      <w:r w:rsidRPr="00A31721">
        <w:rPr>
          <w:rFonts w:ascii="Times New Roman" w:hAnsi="Times New Roman" w:cs="Times New Roman"/>
          <w:b/>
          <w:bCs/>
          <w:color w:val="000000" w:themeColor="text1"/>
          <w:sz w:val="24"/>
          <w:szCs w:val="24"/>
        </w:rPr>
        <w:t xml:space="preserve">2.4 </w:t>
      </w:r>
      <w:r w:rsidR="00DB30A9" w:rsidRPr="00A31721">
        <w:rPr>
          <w:rFonts w:ascii="Times New Roman" w:hAnsi="Times New Roman" w:cs="Times New Roman"/>
          <w:b/>
          <w:bCs/>
          <w:color w:val="000000" w:themeColor="text1"/>
          <w:sz w:val="24"/>
          <w:szCs w:val="24"/>
        </w:rPr>
        <w:t xml:space="preserve">Mediation role of </w:t>
      </w:r>
      <w:r w:rsidR="00C96422" w:rsidRPr="00A31721">
        <w:rPr>
          <w:rFonts w:ascii="Times New Roman" w:hAnsi="Times New Roman" w:cs="Times New Roman"/>
          <w:b/>
          <w:bCs/>
          <w:color w:val="000000" w:themeColor="text1"/>
          <w:sz w:val="24"/>
          <w:szCs w:val="24"/>
        </w:rPr>
        <w:t xml:space="preserve">adoption of </w:t>
      </w:r>
      <w:r w:rsidRPr="00A31721">
        <w:rPr>
          <w:rFonts w:ascii="Times New Roman" w:hAnsi="Times New Roman" w:cs="Times New Roman"/>
          <w:b/>
          <w:bCs/>
          <w:color w:val="000000" w:themeColor="text1"/>
          <w:sz w:val="24"/>
          <w:szCs w:val="24"/>
        </w:rPr>
        <w:t xml:space="preserve">sustainability practices and </w:t>
      </w:r>
      <w:r w:rsidR="005D08BE" w:rsidRPr="00A31721">
        <w:rPr>
          <w:rFonts w:ascii="Times New Roman" w:hAnsi="Times New Roman" w:cs="Times New Roman"/>
          <w:b/>
          <w:bCs/>
          <w:color w:val="000000" w:themeColor="text1"/>
          <w:sz w:val="24"/>
          <w:szCs w:val="24"/>
        </w:rPr>
        <w:t xml:space="preserve">use of </w:t>
      </w:r>
      <w:r w:rsidRPr="00A31721">
        <w:rPr>
          <w:rFonts w:ascii="Times New Roman" w:hAnsi="Times New Roman" w:cs="Times New Roman"/>
          <w:b/>
          <w:bCs/>
          <w:color w:val="000000" w:themeColor="text1"/>
          <w:sz w:val="24"/>
          <w:szCs w:val="24"/>
        </w:rPr>
        <w:t>EMA tools</w:t>
      </w:r>
    </w:p>
    <w:p w14:paraId="5888186D" w14:textId="77777777" w:rsidR="00D90C4A" w:rsidRPr="00A31721" w:rsidRDefault="00D90C4A" w:rsidP="006008F6">
      <w:pPr>
        <w:spacing w:after="0" w:line="240" w:lineRule="auto"/>
        <w:jc w:val="both"/>
        <w:rPr>
          <w:rFonts w:ascii="Times New Roman" w:hAnsi="Times New Roman" w:cs="Times New Roman"/>
          <w:b/>
          <w:bCs/>
          <w:color w:val="000000" w:themeColor="text1"/>
          <w:sz w:val="24"/>
          <w:szCs w:val="24"/>
        </w:rPr>
      </w:pPr>
    </w:p>
    <w:p w14:paraId="6A94DFAD" w14:textId="6C00BCEF" w:rsidR="00184904" w:rsidRPr="00A31721" w:rsidRDefault="00184904" w:rsidP="00184904">
      <w:pPr>
        <w:tabs>
          <w:tab w:val="num" w:pos="720"/>
        </w:tabs>
        <w:spacing w:after="0" w:line="240" w:lineRule="auto"/>
        <w:ind w:firstLine="567"/>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The wine sector is highly sensitive to and dependent on ecological aspects (such as climate, soil, and water), </w:t>
      </w:r>
      <w:r w:rsidR="00756C24" w:rsidRPr="00A31721">
        <w:rPr>
          <w:rFonts w:ascii="Times New Roman" w:hAnsi="Times New Roman" w:cs="Times New Roman"/>
          <w:color w:val="000000" w:themeColor="text1"/>
          <w:sz w:val="24"/>
          <w:szCs w:val="24"/>
        </w:rPr>
        <w:t xml:space="preserve">as a result, </w:t>
      </w:r>
      <w:r w:rsidRPr="00A31721">
        <w:rPr>
          <w:rFonts w:ascii="Times New Roman" w:hAnsi="Times New Roman" w:cs="Times New Roman"/>
          <w:color w:val="000000" w:themeColor="text1"/>
          <w:sz w:val="24"/>
          <w:szCs w:val="24"/>
        </w:rPr>
        <w:t xml:space="preserve">managers </w:t>
      </w:r>
      <w:r w:rsidR="00594A2D" w:rsidRPr="00A31721">
        <w:rPr>
          <w:rFonts w:ascii="Times New Roman" w:hAnsi="Times New Roman" w:cs="Times New Roman"/>
          <w:color w:val="000000" w:themeColor="text1"/>
          <w:sz w:val="24"/>
          <w:szCs w:val="24"/>
        </w:rPr>
        <w:t xml:space="preserve">actively </w:t>
      </w:r>
      <w:r w:rsidRPr="00A31721">
        <w:rPr>
          <w:rFonts w:ascii="Times New Roman" w:hAnsi="Times New Roman" w:cs="Times New Roman"/>
          <w:color w:val="000000" w:themeColor="text1"/>
          <w:sz w:val="24"/>
          <w:szCs w:val="24"/>
        </w:rPr>
        <w:t>monitor</w:t>
      </w:r>
      <w:r w:rsidR="00F822BC"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environmental uncertainties, strategies, and new technologies to ensure that </w:t>
      </w:r>
      <w:r w:rsidR="00C97748" w:rsidRPr="00A31721">
        <w:rPr>
          <w:rFonts w:ascii="Times New Roman" w:hAnsi="Times New Roman" w:cs="Times New Roman"/>
          <w:color w:val="000000" w:themeColor="text1"/>
          <w:sz w:val="24"/>
          <w:szCs w:val="24"/>
        </w:rPr>
        <w:t>org</w:t>
      </w:r>
      <w:r w:rsidR="00BE1BA6" w:rsidRPr="00A31721">
        <w:rPr>
          <w:rFonts w:ascii="Times New Roman" w:hAnsi="Times New Roman" w:cs="Times New Roman"/>
          <w:color w:val="000000" w:themeColor="text1"/>
          <w:sz w:val="24"/>
          <w:szCs w:val="24"/>
        </w:rPr>
        <w:t xml:space="preserve">anizational </w:t>
      </w:r>
      <w:r w:rsidRPr="00A31721">
        <w:rPr>
          <w:rFonts w:ascii="Times New Roman" w:hAnsi="Times New Roman" w:cs="Times New Roman"/>
          <w:color w:val="000000" w:themeColor="text1"/>
          <w:sz w:val="24"/>
          <w:szCs w:val="24"/>
        </w:rPr>
        <w:t>performance is maintained. When environmental uncertainties arise</w:t>
      </w:r>
      <w:r w:rsidR="00FE0096"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such as global warming caused by excessive greenhouse gas emissions</w:t>
      </w:r>
      <w:r w:rsidR="00FE0096"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actions like the use of alternative energy sources and waste treatment can be crucial for improving environmental performance and reducing the environmental pressure of viticulture activities (</w:t>
      </w:r>
      <w:proofErr w:type="spellStart"/>
      <w:r w:rsidRPr="00A31721">
        <w:rPr>
          <w:rFonts w:ascii="Times New Roman" w:hAnsi="Times New Roman" w:cs="Times New Roman"/>
          <w:color w:val="000000" w:themeColor="text1"/>
          <w:sz w:val="24"/>
          <w:szCs w:val="24"/>
        </w:rPr>
        <w:t>Maletič</w:t>
      </w:r>
      <w:proofErr w:type="spellEnd"/>
      <w:r w:rsidRPr="00A31721">
        <w:rPr>
          <w:rFonts w:ascii="Times New Roman" w:hAnsi="Times New Roman" w:cs="Times New Roman"/>
          <w:color w:val="000000" w:themeColor="text1"/>
          <w:sz w:val="24"/>
          <w:szCs w:val="24"/>
        </w:rPr>
        <w:t xml:space="preserve"> et al., 2018; Sharma et al., 2017; Wang et al., 2018). Similarly, the development of sustainable products and processes can help operationalize sustainability-oriented strategies (</w:t>
      </w:r>
      <w:proofErr w:type="spellStart"/>
      <w:r w:rsidRPr="00A31721">
        <w:rPr>
          <w:rFonts w:ascii="Times New Roman" w:hAnsi="Times New Roman" w:cs="Times New Roman"/>
          <w:color w:val="000000" w:themeColor="text1"/>
          <w:sz w:val="24"/>
          <w:szCs w:val="24"/>
        </w:rPr>
        <w:t>Pondeville</w:t>
      </w:r>
      <w:proofErr w:type="spellEnd"/>
      <w:r w:rsidRPr="00A31721">
        <w:rPr>
          <w:rFonts w:ascii="Times New Roman" w:hAnsi="Times New Roman" w:cs="Times New Roman"/>
          <w:color w:val="000000" w:themeColor="text1"/>
          <w:sz w:val="24"/>
          <w:szCs w:val="24"/>
        </w:rPr>
        <w:t xml:space="preserve"> et al., 2013), and cleaner production practices are often the result of adopting technologies aimed at improving environmental performance (Hofmann et al., 2012; Morioka </w:t>
      </w:r>
      <w:r w:rsidR="00446CC9" w:rsidRPr="00A31721">
        <w:rPr>
          <w:rFonts w:ascii="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Carvalho, 2016).Therefore, when practices are implemented in alignment with managers’ perceptions of contingent factors, the positive effect of these factors is amplified, and </w:t>
      </w:r>
      <w:r w:rsidRPr="00A31721">
        <w:rPr>
          <w:rFonts w:ascii="Times New Roman" w:hAnsi="Times New Roman" w:cs="Times New Roman"/>
          <w:color w:val="000000" w:themeColor="text1"/>
          <w:sz w:val="24"/>
          <w:szCs w:val="24"/>
        </w:rPr>
        <w:lastRenderedPageBreak/>
        <w:t>environmental performance is improved. This is because the practices are executed in accordance with the most strategic needs to address the threats or opportunities posed by the context</w:t>
      </w:r>
      <w:r w:rsidR="004C7344" w:rsidRPr="00A31721">
        <w:rPr>
          <w:rFonts w:ascii="Times New Roman" w:hAnsi="Times New Roman" w:cs="Times New Roman"/>
          <w:color w:val="000000" w:themeColor="text1"/>
          <w:sz w:val="24"/>
          <w:szCs w:val="24"/>
        </w:rPr>
        <w:t>ual factors</w:t>
      </w:r>
      <w:r w:rsidRPr="00A31721">
        <w:rPr>
          <w:rFonts w:ascii="Times New Roman" w:hAnsi="Times New Roman" w:cs="Times New Roman"/>
          <w:color w:val="000000" w:themeColor="text1"/>
          <w:sz w:val="24"/>
          <w:szCs w:val="24"/>
        </w:rPr>
        <w:t>. Based on this, the following research hypothesis is proposed:</w:t>
      </w:r>
    </w:p>
    <w:p w14:paraId="4174ACA2" w14:textId="77777777" w:rsidR="00D90C4A" w:rsidRPr="00A31721" w:rsidRDefault="00D90C4A">
      <w:pPr>
        <w:spacing w:after="0" w:line="240" w:lineRule="auto"/>
        <w:jc w:val="both"/>
        <w:rPr>
          <w:rFonts w:ascii="Times New Roman" w:eastAsia="Times New Roman" w:hAnsi="Times New Roman" w:cs="Times New Roman"/>
          <w:i/>
          <w:iCs/>
          <w:color w:val="000000" w:themeColor="text1"/>
          <w:sz w:val="24"/>
          <w:szCs w:val="24"/>
        </w:rPr>
      </w:pPr>
    </w:p>
    <w:p w14:paraId="01F3937E" w14:textId="6AEB0B73" w:rsidR="006749A4" w:rsidRPr="00A31721" w:rsidRDefault="0007550D">
      <w:pPr>
        <w:spacing w:after="0" w:line="240" w:lineRule="auto"/>
        <w:jc w:val="both"/>
        <w:rPr>
          <w:rFonts w:ascii="Times New Roman" w:eastAsia="Times New Roman" w:hAnsi="Times New Roman" w:cs="Times New Roman"/>
          <w:i/>
          <w:iCs/>
          <w:color w:val="000000" w:themeColor="text1"/>
          <w:sz w:val="24"/>
          <w:szCs w:val="24"/>
        </w:rPr>
      </w:pPr>
      <w:r w:rsidRPr="00A31721">
        <w:rPr>
          <w:rFonts w:ascii="Times New Roman" w:eastAsia="Times New Roman" w:hAnsi="Times New Roman" w:cs="Times New Roman"/>
          <w:i/>
          <w:iCs/>
          <w:color w:val="000000" w:themeColor="text1"/>
          <w:sz w:val="24"/>
          <w:szCs w:val="24"/>
        </w:rPr>
        <w:t>H</w:t>
      </w:r>
      <w:r w:rsidR="00D90C4A" w:rsidRPr="00A31721">
        <w:rPr>
          <w:rFonts w:ascii="Times New Roman" w:eastAsia="Times New Roman" w:hAnsi="Times New Roman" w:cs="Times New Roman"/>
          <w:i/>
          <w:iCs/>
          <w:color w:val="000000" w:themeColor="text1"/>
          <w:sz w:val="24"/>
          <w:szCs w:val="24"/>
        </w:rPr>
        <w:t>5</w:t>
      </w:r>
      <w:r w:rsidRPr="00A31721">
        <w:rPr>
          <w:rFonts w:ascii="Times New Roman" w:eastAsia="Times New Roman" w:hAnsi="Times New Roman" w:cs="Times New Roman"/>
          <w:i/>
          <w:iCs/>
          <w:color w:val="000000" w:themeColor="text1"/>
          <w:sz w:val="24"/>
          <w:szCs w:val="24"/>
        </w:rPr>
        <w:t xml:space="preserve">. </w:t>
      </w:r>
      <w:r w:rsidR="00BD71A6" w:rsidRPr="00A31721">
        <w:rPr>
          <w:rFonts w:ascii="Times New Roman" w:eastAsia="Times New Roman" w:hAnsi="Times New Roman" w:cs="Times New Roman"/>
          <w:bCs/>
          <w:i/>
          <w:iCs/>
          <w:color w:val="000000" w:themeColor="text1"/>
          <w:sz w:val="24"/>
          <w:szCs w:val="24"/>
        </w:rPr>
        <w:t>In the winery context, the associations between contingency factors, environmental uncertainties (a), environmental strategy (b), and technology (c) and environmental performance are positively mediated by the adoption of sustainability practices.</w:t>
      </w:r>
    </w:p>
    <w:p w14:paraId="01F3937F" w14:textId="77777777" w:rsidR="006749A4" w:rsidRPr="00A31721" w:rsidRDefault="006749A4">
      <w:pPr>
        <w:spacing w:after="0" w:line="240" w:lineRule="auto"/>
        <w:ind w:firstLine="720"/>
        <w:jc w:val="both"/>
        <w:rPr>
          <w:rFonts w:ascii="Times New Roman" w:eastAsia="Times New Roman" w:hAnsi="Times New Roman" w:cs="Times New Roman"/>
          <w:color w:val="000000" w:themeColor="text1"/>
          <w:sz w:val="24"/>
          <w:szCs w:val="24"/>
        </w:rPr>
      </w:pPr>
    </w:p>
    <w:p w14:paraId="4F163C21" w14:textId="7AAB593A" w:rsidR="00184904" w:rsidRPr="00A31721" w:rsidRDefault="00184904" w:rsidP="00184904">
      <w:pPr>
        <w:spacing w:after="0" w:line="240" w:lineRule="auto"/>
        <w:ind w:firstLine="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The relationship between contingent factors and environmental performance has been widely discussed in the literature, highlighting that </w:t>
      </w:r>
      <w:r w:rsidR="004256E5" w:rsidRPr="00A31721">
        <w:rPr>
          <w:rFonts w:ascii="Times New Roman" w:hAnsi="Times New Roman" w:cs="Times New Roman"/>
          <w:color w:val="000000" w:themeColor="text1"/>
          <w:sz w:val="24"/>
          <w:szCs w:val="24"/>
        </w:rPr>
        <w:t>elements</w:t>
      </w:r>
      <w:r w:rsidRPr="00A31721">
        <w:rPr>
          <w:rFonts w:ascii="Times New Roman" w:hAnsi="Times New Roman" w:cs="Times New Roman"/>
          <w:color w:val="000000" w:themeColor="text1"/>
          <w:sz w:val="24"/>
          <w:szCs w:val="24"/>
        </w:rPr>
        <w:t xml:space="preserve"> such as environmental uncertainties, environmental strategy, and technological advancements can either drive or limit the </w:t>
      </w:r>
      <w:r w:rsidR="00E14C3A" w:rsidRPr="00A31721">
        <w:rPr>
          <w:rFonts w:ascii="Times New Roman" w:hAnsi="Times New Roman" w:cs="Times New Roman"/>
          <w:color w:val="000000" w:themeColor="text1"/>
          <w:sz w:val="24"/>
          <w:szCs w:val="24"/>
        </w:rPr>
        <w:t>effectiveness of</w:t>
      </w:r>
      <w:r w:rsidRPr="00A31721">
        <w:rPr>
          <w:rFonts w:ascii="Times New Roman" w:hAnsi="Times New Roman" w:cs="Times New Roman"/>
          <w:color w:val="000000" w:themeColor="text1"/>
          <w:sz w:val="24"/>
          <w:szCs w:val="24"/>
        </w:rPr>
        <w:t xml:space="preserve"> sustainab</w:t>
      </w:r>
      <w:r w:rsidR="00E14C3A" w:rsidRPr="00A31721">
        <w:rPr>
          <w:rFonts w:ascii="Times New Roman" w:hAnsi="Times New Roman" w:cs="Times New Roman"/>
          <w:color w:val="000000" w:themeColor="text1"/>
          <w:sz w:val="24"/>
          <w:szCs w:val="24"/>
        </w:rPr>
        <w:t>ility</w:t>
      </w:r>
      <w:r w:rsidRPr="00A31721">
        <w:rPr>
          <w:rFonts w:ascii="Times New Roman" w:hAnsi="Times New Roman" w:cs="Times New Roman"/>
          <w:color w:val="000000" w:themeColor="text1"/>
          <w:sz w:val="24"/>
          <w:szCs w:val="24"/>
        </w:rPr>
        <w:t xml:space="preserve"> practices (Christ, 2014; Latan et al., 2018; Zhen </w:t>
      </w:r>
      <w:r w:rsidR="00446CC9" w:rsidRPr="00A31721">
        <w:rPr>
          <w:rFonts w:ascii="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Rahman, 2024). In the wine sector, the scarcity of natural resources, such as water and energy, requires stricter controls over consumption and environmental impacts (Gunarathne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Lee, 2021), while proactive strategies, such as environmental certifications, demand tools for monitoring and continuous improvement (Christ, 2014; </w:t>
      </w:r>
      <w:proofErr w:type="spellStart"/>
      <w:r w:rsidRPr="00A31721">
        <w:rPr>
          <w:rFonts w:ascii="Times New Roman" w:hAnsi="Times New Roman" w:cs="Times New Roman"/>
          <w:color w:val="000000" w:themeColor="text1"/>
          <w:sz w:val="24"/>
          <w:szCs w:val="24"/>
        </w:rPr>
        <w:t>Appannan</w:t>
      </w:r>
      <w:proofErr w:type="spellEnd"/>
      <w:r w:rsidRPr="00A31721">
        <w:rPr>
          <w:rFonts w:ascii="Times New Roman" w:hAnsi="Times New Roman" w:cs="Times New Roman"/>
          <w:color w:val="000000" w:themeColor="text1"/>
          <w:sz w:val="24"/>
          <w:szCs w:val="24"/>
        </w:rPr>
        <w:t xml:space="preserve"> et al., 2023). Furthermore, digitalization and the use of integrated systems enhance the traceability of emissions and waste, improving sustainable management (</w:t>
      </w:r>
      <w:proofErr w:type="spellStart"/>
      <w:r w:rsidRPr="00A31721">
        <w:rPr>
          <w:rFonts w:ascii="Times New Roman" w:hAnsi="Times New Roman" w:cs="Times New Roman"/>
          <w:color w:val="000000" w:themeColor="text1"/>
          <w:sz w:val="24"/>
          <w:szCs w:val="24"/>
        </w:rPr>
        <w:t>Elhossade</w:t>
      </w:r>
      <w:proofErr w:type="spellEnd"/>
      <w:r w:rsidRPr="00A31721">
        <w:rPr>
          <w:rFonts w:ascii="Times New Roman" w:hAnsi="Times New Roman" w:cs="Times New Roman"/>
          <w:color w:val="000000" w:themeColor="text1"/>
          <w:sz w:val="24"/>
          <w:szCs w:val="24"/>
        </w:rPr>
        <w:t xml:space="preserve"> et al., 2021; Zhen </w:t>
      </w:r>
      <w:r w:rsidR="00446CC9" w:rsidRPr="00A31721">
        <w:rPr>
          <w:rFonts w:ascii="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Rahman, 2024).</w:t>
      </w:r>
    </w:p>
    <w:p w14:paraId="5C32E9ED" w14:textId="4FC4BF5C" w:rsidR="00184904" w:rsidRPr="00A31721" w:rsidRDefault="00184904" w:rsidP="00184904">
      <w:pPr>
        <w:spacing w:after="0" w:line="240" w:lineRule="auto"/>
        <w:ind w:firstLine="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Environmental Management Accounting (EMA) tools, in turn, play a central role in this context by providing essential environmental and financial metrics to assess and improve environmental performance (Christ </w:t>
      </w:r>
      <w:r w:rsidR="005E7334" w:rsidRPr="00A31721">
        <w:rPr>
          <w:rFonts w:ascii="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Burritt, 2013; Burritt et al., 2019). The adoption of EMA allows wineries to integrate environmental data into decision-making, assisting in regulatory compliance and optimizing resource use (Gunarathne et al., </w:t>
      </w:r>
      <w:r w:rsidR="00E65440" w:rsidRPr="00A31721">
        <w:rPr>
          <w:rFonts w:ascii="Times New Roman" w:hAnsi="Times New Roman" w:cs="Times New Roman"/>
          <w:color w:val="000000" w:themeColor="text1"/>
          <w:sz w:val="24"/>
          <w:szCs w:val="24"/>
        </w:rPr>
        <w:t>2023</w:t>
      </w:r>
      <w:r w:rsidRPr="00A31721">
        <w:rPr>
          <w:rFonts w:ascii="Times New Roman" w:hAnsi="Times New Roman" w:cs="Times New Roman"/>
          <w:color w:val="000000" w:themeColor="text1"/>
          <w:sz w:val="24"/>
          <w:szCs w:val="24"/>
        </w:rPr>
        <w:t xml:space="preserve">; </w:t>
      </w:r>
      <w:proofErr w:type="spellStart"/>
      <w:r w:rsidRPr="00A31721">
        <w:rPr>
          <w:rFonts w:ascii="Times New Roman" w:hAnsi="Times New Roman" w:cs="Times New Roman"/>
          <w:color w:val="000000" w:themeColor="text1"/>
          <w:sz w:val="24"/>
          <w:szCs w:val="24"/>
        </w:rPr>
        <w:t>Schaltegger</w:t>
      </w:r>
      <w:proofErr w:type="spellEnd"/>
      <w:r w:rsidRPr="00A31721">
        <w:rPr>
          <w:rFonts w:ascii="Times New Roman" w:hAnsi="Times New Roman" w:cs="Times New Roman"/>
          <w:color w:val="000000" w:themeColor="text1"/>
          <w:sz w:val="24"/>
          <w:szCs w:val="24"/>
        </w:rPr>
        <w:t xml:space="preserve"> et al., 2022). However, although EMA is recognized for its ability to enhance organizational sustainability, its impact on environmental performance still depends on organizational and sectoral factors that condition its applicability and effectiveness (Gunarathne et al., 2023; </w:t>
      </w:r>
      <w:proofErr w:type="spellStart"/>
      <w:r w:rsidRPr="00A31721">
        <w:rPr>
          <w:rFonts w:ascii="Times New Roman" w:hAnsi="Times New Roman" w:cs="Times New Roman"/>
          <w:color w:val="000000" w:themeColor="text1"/>
          <w:sz w:val="24"/>
          <w:szCs w:val="24"/>
        </w:rPr>
        <w:t>Gerged</w:t>
      </w:r>
      <w:proofErr w:type="spellEnd"/>
      <w:r w:rsidRPr="00A31721">
        <w:rPr>
          <w:rFonts w:ascii="Times New Roman" w:hAnsi="Times New Roman" w:cs="Times New Roman"/>
          <w:color w:val="000000" w:themeColor="text1"/>
          <w:sz w:val="24"/>
          <w:szCs w:val="24"/>
        </w:rPr>
        <w:t xml:space="preserve"> et al., 2024).</w:t>
      </w:r>
    </w:p>
    <w:p w14:paraId="21B63E6A" w14:textId="5CEB03A3" w:rsidR="00C53FFF" w:rsidRPr="00A31721" w:rsidRDefault="00184904" w:rsidP="00AA5A8C">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Therefore, it is expected that contingent factors, such as environmental uncertainties, environmental strategy, and technology, will positively influence the environmental performance of wineries, with the use of EMA tools reinforcing the effect of these contingent factors on performance. This </w:t>
      </w:r>
      <w:r w:rsidR="000650E9" w:rsidRPr="00A31721">
        <w:rPr>
          <w:rFonts w:ascii="Times New Roman" w:hAnsi="Times New Roman" w:cs="Times New Roman"/>
          <w:color w:val="000000" w:themeColor="text1"/>
          <w:sz w:val="24"/>
          <w:szCs w:val="24"/>
        </w:rPr>
        <w:t xml:space="preserve">may </w:t>
      </w:r>
      <w:r w:rsidRPr="00A31721">
        <w:rPr>
          <w:rFonts w:ascii="Times New Roman" w:hAnsi="Times New Roman" w:cs="Times New Roman"/>
          <w:color w:val="000000" w:themeColor="text1"/>
          <w:sz w:val="24"/>
          <w:szCs w:val="24"/>
        </w:rPr>
        <w:t xml:space="preserve">occur because EMA provides </w:t>
      </w:r>
      <w:r w:rsidR="0019507D" w:rsidRPr="00A31721">
        <w:rPr>
          <w:rFonts w:ascii="Times New Roman" w:hAnsi="Times New Roman" w:cs="Times New Roman"/>
          <w:color w:val="000000" w:themeColor="text1"/>
          <w:sz w:val="24"/>
          <w:szCs w:val="24"/>
        </w:rPr>
        <w:t xml:space="preserve">firms with the </w:t>
      </w:r>
      <w:r w:rsidRPr="00A31721">
        <w:rPr>
          <w:rFonts w:ascii="Times New Roman" w:hAnsi="Times New Roman" w:cs="Times New Roman"/>
          <w:color w:val="000000" w:themeColor="text1"/>
          <w:sz w:val="24"/>
          <w:szCs w:val="24"/>
        </w:rPr>
        <w:t>necessary information to respond more efficiently to environmental and strategic pressures, ensuring better control over resource consumption and reducing environmental impacts.</w:t>
      </w:r>
      <w:r w:rsidR="00AA5A8C" w:rsidRPr="00A31721">
        <w:rPr>
          <w:rFonts w:ascii="Times New Roman" w:hAnsi="Times New Roman" w:cs="Times New Roman"/>
          <w:color w:val="000000" w:themeColor="text1"/>
          <w:sz w:val="24"/>
          <w:szCs w:val="24"/>
        </w:rPr>
        <w:t xml:space="preserve"> </w:t>
      </w:r>
      <w:r w:rsidR="00C53FFF" w:rsidRPr="00A31721">
        <w:rPr>
          <w:rFonts w:ascii="Times New Roman" w:eastAsia="Times New Roman" w:hAnsi="Times New Roman" w:cs="Times New Roman"/>
          <w:color w:val="000000" w:themeColor="text1"/>
          <w:sz w:val="24"/>
          <w:szCs w:val="24"/>
        </w:rPr>
        <w:t>Therefore, the following hypothesis was developed:</w:t>
      </w:r>
    </w:p>
    <w:p w14:paraId="67AFC2C1" w14:textId="77777777" w:rsidR="00872948" w:rsidRPr="00A31721" w:rsidRDefault="00872948" w:rsidP="00AA5A8C">
      <w:pPr>
        <w:spacing w:after="0" w:line="240" w:lineRule="auto"/>
        <w:ind w:firstLine="720"/>
        <w:jc w:val="both"/>
        <w:rPr>
          <w:rFonts w:ascii="Times New Roman" w:eastAsia="Times New Roman" w:hAnsi="Times New Roman" w:cs="Times New Roman"/>
          <w:color w:val="000000" w:themeColor="text1"/>
          <w:sz w:val="24"/>
          <w:szCs w:val="24"/>
        </w:rPr>
      </w:pPr>
    </w:p>
    <w:p w14:paraId="01F39384" w14:textId="5551A2E9" w:rsidR="006749A4" w:rsidRPr="00A31721" w:rsidRDefault="0007550D">
      <w:pPr>
        <w:spacing w:line="240" w:lineRule="auto"/>
        <w:jc w:val="both"/>
        <w:rPr>
          <w:rFonts w:ascii="Times New Roman" w:eastAsia="Times New Roman" w:hAnsi="Times New Roman" w:cs="Times New Roman"/>
          <w:bCs/>
          <w:i/>
          <w:iCs/>
          <w:color w:val="000000" w:themeColor="text1"/>
          <w:sz w:val="24"/>
          <w:szCs w:val="24"/>
        </w:rPr>
      </w:pPr>
      <w:r w:rsidRPr="00A31721">
        <w:rPr>
          <w:rFonts w:ascii="Times New Roman" w:eastAsia="Times New Roman" w:hAnsi="Times New Roman" w:cs="Times New Roman"/>
          <w:bCs/>
          <w:i/>
          <w:iCs/>
          <w:color w:val="000000" w:themeColor="text1"/>
          <w:sz w:val="24"/>
          <w:szCs w:val="24"/>
        </w:rPr>
        <w:t xml:space="preserve">H6. </w:t>
      </w:r>
      <w:r w:rsidR="007E2223" w:rsidRPr="00A31721">
        <w:rPr>
          <w:rFonts w:ascii="Times New Roman" w:eastAsia="Times New Roman" w:hAnsi="Times New Roman" w:cs="Times New Roman"/>
          <w:bCs/>
          <w:i/>
          <w:iCs/>
          <w:color w:val="000000" w:themeColor="text1"/>
          <w:sz w:val="24"/>
          <w:szCs w:val="24"/>
        </w:rPr>
        <w:t xml:space="preserve">In the winery context, the associations between contingency factors, environmental uncertainties (a), environmental strategy (b), and technology (c) and environmental performance are positively mediated </w:t>
      </w:r>
      <w:proofErr w:type="gramStart"/>
      <w:r w:rsidR="007E2223" w:rsidRPr="00A31721">
        <w:rPr>
          <w:rFonts w:ascii="Times New Roman" w:eastAsia="Times New Roman" w:hAnsi="Times New Roman" w:cs="Times New Roman"/>
          <w:bCs/>
          <w:i/>
          <w:iCs/>
          <w:color w:val="000000" w:themeColor="text1"/>
          <w:sz w:val="24"/>
          <w:szCs w:val="24"/>
        </w:rPr>
        <w:t>by the use of</w:t>
      </w:r>
      <w:proofErr w:type="gramEnd"/>
      <w:r w:rsidR="007E2223" w:rsidRPr="00A31721">
        <w:rPr>
          <w:rFonts w:ascii="Times New Roman" w:eastAsia="Times New Roman" w:hAnsi="Times New Roman" w:cs="Times New Roman"/>
          <w:bCs/>
          <w:i/>
          <w:iCs/>
          <w:color w:val="000000" w:themeColor="text1"/>
          <w:sz w:val="24"/>
          <w:szCs w:val="24"/>
        </w:rPr>
        <w:t xml:space="preserve"> EMA tools</w:t>
      </w:r>
      <w:r w:rsidRPr="00A31721">
        <w:rPr>
          <w:rFonts w:ascii="Times New Roman" w:eastAsia="Times New Roman" w:hAnsi="Times New Roman" w:cs="Times New Roman"/>
          <w:bCs/>
          <w:i/>
          <w:iCs/>
          <w:color w:val="000000" w:themeColor="text1"/>
          <w:sz w:val="24"/>
          <w:szCs w:val="24"/>
        </w:rPr>
        <w:t>.</w:t>
      </w:r>
    </w:p>
    <w:p w14:paraId="47407330" w14:textId="611C517D" w:rsidR="003040FF" w:rsidRPr="00A31721" w:rsidRDefault="005A1DFC" w:rsidP="008758CA">
      <w:pPr>
        <w:spacing w:after="0" w:line="240" w:lineRule="auto"/>
        <w:ind w:firstLine="709"/>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Figure 1 presents the research conceptual model and the outlined hypotheses, which </w:t>
      </w:r>
      <w:r w:rsidR="00DD406F" w:rsidRPr="00A31721">
        <w:rPr>
          <w:rFonts w:ascii="Times New Roman" w:eastAsia="Times New Roman" w:hAnsi="Times New Roman" w:cs="Times New Roman"/>
          <w:color w:val="000000" w:themeColor="text1"/>
          <w:sz w:val="24"/>
          <w:szCs w:val="24"/>
        </w:rPr>
        <w:t xml:space="preserve">is underpinned by the literature on the intersection between </w:t>
      </w:r>
      <w:r w:rsidRPr="00A31721">
        <w:rPr>
          <w:rFonts w:ascii="Times New Roman" w:eastAsia="Times New Roman" w:hAnsi="Times New Roman" w:cs="Times New Roman"/>
          <w:color w:val="000000" w:themeColor="text1"/>
          <w:sz w:val="24"/>
          <w:szCs w:val="24"/>
        </w:rPr>
        <w:t xml:space="preserve">contingency factors, </w:t>
      </w:r>
      <w:r w:rsidR="00F44484" w:rsidRPr="00A31721">
        <w:rPr>
          <w:rFonts w:ascii="Times New Roman" w:eastAsia="Times New Roman" w:hAnsi="Times New Roman" w:cs="Times New Roman"/>
          <w:color w:val="000000" w:themeColor="text1"/>
          <w:sz w:val="24"/>
          <w:szCs w:val="24"/>
        </w:rPr>
        <w:t xml:space="preserve">design </w:t>
      </w:r>
      <w:r w:rsidR="00DD406F" w:rsidRPr="00A31721">
        <w:rPr>
          <w:rFonts w:ascii="Times New Roman" w:eastAsia="Times New Roman" w:hAnsi="Times New Roman" w:cs="Times New Roman"/>
          <w:color w:val="000000" w:themeColor="text1"/>
          <w:sz w:val="24"/>
          <w:szCs w:val="24"/>
        </w:rPr>
        <w:t xml:space="preserve">and use </w:t>
      </w:r>
      <w:r w:rsidR="00F44484" w:rsidRPr="00A31721">
        <w:rPr>
          <w:rFonts w:ascii="Times New Roman" w:eastAsia="Times New Roman" w:hAnsi="Times New Roman" w:cs="Times New Roman"/>
          <w:color w:val="000000" w:themeColor="text1"/>
          <w:sz w:val="24"/>
          <w:szCs w:val="24"/>
        </w:rPr>
        <w:t>of</w:t>
      </w:r>
      <w:r w:rsidR="008758CA"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sustainability practices </w:t>
      </w:r>
      <w:r w:rsidR="00DD406F" w:rsidRPr="00A31721">
        <w:rPr>
          <w:rFonts w:ascii="Times New Roman" w:eastAsia="Times New Roman" w:hAnsi="Times New Roman" w:cs="Times New Roman"/>
          <w:color w:val="000000" w:themeColor="text1"/>
          <w:sz w:val="24"/>
          <w:szCs w:val="24"/>
        </w:rPr>
        <w:t xml:space="preserve">and </w:t>
      </w:r>
      <w:r w:rsidRPr="00A31721">
        <w:rPr>
          <w:rFonts w:ascii="Times New Roman" w:eastAsia="Times New Roman" w:hAnsi="Times New Roman" w:cs="Times New Roman"/>
          <w:color w:val="000000" w:themeColor="text1"/>
          <w:sz w:val="24"/>
          <w:szCs w:val="24"/>
        </w:rPr>
        <w:t>environmental performance</w:t>
      </w:r>
      <w:r w:rsidR="00B377E7" w:rsidRPr="00A31721">
        <w:rPr>
          <w:rFonts w:ascii="Times New Roman" w:eastAsia="Times New Roman" w:hAnsi="Times New Roman" w:cs="Times New Roman"/>
          <w:color w:val="000000" w:themeColor="text1"/>
          <w:sz w:val="24"/>
          <w:szCs w:val="24"/>
        </w:rPr>
        <w:t xml:space="preserve">. </w:t>
      </w:r>
    </w:p>
    <w:p w14:paraId="5E991D44" w14:textId="77777777" w:rsidR="003040FF" w:rsidRPr="00A31721" w:rsidRDefault="003040FF" w:rsidP="00680D71">
      <w:pPr>
        <w:pStyle w:val="ListParagraph"/>
        <w:spacing w:after="0" w:line="240" w:lineRule="auto"/>
        <w:ind w:left="0" w:firstLine="709"/>
        <w:jc w:val="both"/>
        <w:rPr>
          <w:rFonts w:ascii="Times New Roman" w:hAnsi="Times New Roman" w:cs="Times New Roman"/>
          <w:color w:val="000000" w:themeColor="text1"/>
          <w:sz w:val="24"/>
          <w:szCs w:val="24"/>
        </w:rPr>
      </w:pPr>
    </w:p>
    <w:p w14:paraId="692B6004" w14:textId="3DD488A9" w:rsidR="00336C33" w:rsidRPr="00A31721" w:rsidRDefault="00336C33" w:rsidP="00336C33">
      <w:pPr>
        <w:spacing w:after="0" w:line="240" w:lineRule="auto"/>
        <w:jc w:val="center"/>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[Figure 1]</w:t>
      </w:r>
    </w:p>
    <w:p w14:paraId="1050404E" w14:textId="77777777" w:rsidR="00336C33" w:rsidRPr="00A31721" w:rsidRDefault="00336C33" w:rsidP="00336C33">
      <w:pPr>
        <w:spacing w:after="0" w:line="240" w:lineRule="auto"/>
        <w:jc w:val="center"/>
        <w:rPr>
          <w:rFonts w:ascii="Times New Roman" w:eastAsia="Times New Roman" w:hAnsi="Times New Roman" w:cs="Times New Roman"/>
          <w:b/>
          <w:color w:val="000000" w:themeColor="text1"/>
          <w:sz w:val="24"/>
          <w:szCs w:val="24"/>
        </w:rPr>
      </w:pPr>
    </w:p>
    <w:p w14:paraId="01F3938D" w14:textId="0D742308" w:rsidR="006749A4" w:rsidRPr="00A31721" w:rsidRDefault="0007550D">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3 </w:t>
      </w:r>
      <w:r w:rsidR="00C16BCC" w:rsidRPr="00A31721">
        <w:rPr>
          <w:rFonts w:ascii="Times New Roman" w:eastAsia="Times New Roman" w:hAnsi="Times New Roman" w:cs="Times New Roman"/>
          <w:b/>
          <w:color w:val="000000" w:themeColor="text1"/>
          <w:sz w:val="24"/>
          <w:szCs w:val="24"/>
        </w:rPr>
        <w:t xml:space="preserve">Research design </w:t>
      </w:r>
      <w:r w:rsidRPr="00A31721">
        <w:rPr>
          <w:rFonts w:ascii="Times New Roman" w:eastAsia="Times New Roman" w:hAnsi="Times New Roman" w:cs="Times New Roman"/>
          <w:b/>
          <w:color w:val="000000" w:themeColor="text1"/>
          <w:sz w:val="24"/>
          <w:szCs w:val="24"/>
        </w:rPr>
        <w:t xml:space="preserve">and </w:t>
      </w:r>
      <w:r w:rsidR="005C5701" w:rsidRPr="00A31721">
        <w:rPr>
          <w:rFonts w:ascii="Times New Roman" w:eastAsia="Times New Roman" w:hAnsi="Times New Roman" w:cs="Times New Roman"/>
          <w:b/>
          <w:color w:val="000000" w:themeColor="text1"/>
          <w:sz w:val="24"/>
          <w:szCs w:val="24"/>
        </w:rPr>
        <w:t>m</w:t>
      </w:r>
      <w:r w:rsidRPr="00A31721">
        <w:rPr>
          <w:rFonts w:ascii="Times New Roman" w:eastAsia="Times New Roman" w:hAnsi="Times New Roman" w:cs="Times New Roman"/>
          <w:b/>
          <w:color w:val="000000" w:themeColor="text1"/>
          <w:sz w:val="24"/>
          <w:szCs w:val="24"/>
        </w:rPr>
        <w:t xml:space="preserve">ethods </w:t>
      </w:r>
    </w:p>
    <w:p w14:paraId="21A64B25" w14:textId="22D9DB4C" w:rsidR="00C241A2" w:rsidRPr="00A31721" w:rsidRDefault="00C241A2" w:rsidP="00C241A2">
      <w:pPr>
        <w:spacing w:after="0" w:line="240" w:lineRule="auto"/>
        <w:jc w:val="both"/>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3.1 Population and sample</w:t>
      </w:r>
    </w:p>
    <w:p w14:paraId="4CC913AA" w14:textId="5A741B37" w:rsidR="005E7556" w:rsidRPr="00A31721" w:rsidRDefault="00FB26C8" w:rsidP="005E7556">
      <w:pPr>
        <w:spacing w:after="0" w:line="240" w:lineRule="auto"/>
        <w:ind w:firstLine="720"/>
        <w:jc w:val="both"/>
        <w:rPr>
          <w:rFonts w:ascii="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lastRenderedPageBreak/>
        <w:t>Brazil is recognized as a country with a strong wine tradition (</w:t>
      </w:r>
      <w:proofErr w:type="spellStart"/>
      <w:r w:rsidRPr="00A31721">
        <w:rPr>
          <w:rFonts w:ascii="Times New Roman" w:eastAsia="Times New Roman" w:hAnsi="Times New Roman" w:cs="Times New Roman"/>
          <w:color w:val="000000" w:themeColor="text1"/>
          <w:sz w:val="24"/>
          <w:szCs w:val="24"/>
        </w:rPr>
        <w:t>Devesa</w:t>
      </w:r>
      <w:proofErr w:type="spellEnd"/>
      <w:r w:rsidRPr="00A31721">
        <w:rPr>
          <w:rFonts w:ascii="Times New Roman" w:eastAsia="Times New Roman" w:hAnsi="Times New Roman" w:cs="Times New Roman"/>
          <w:color w:val="000000" w:themeColor="text1"/>
          <w:sz w:val="24"/>
          <w:szCs w:val="24"/>
        </w:rPr>
        <w:t>-Rey et al., 2011; Mello &amp; Machado, 2021). Globally, it ranks 17th in wine production and holds 3rd position in South America, accounting for approximately 1.2% of global production, with an average annual output of 330 million liters (</w:t>
      </w:r>
      <w:proofErr w:type="spellStart"/>
      <w:r w:rsidRPr="00A31721">
        <w:rPr>
          <w:rFonts w:ascii="Times New Roman" w:eastAsia="Times New Roman" w:hAnsi="Times New Roman" w:cs="Times New Roman"/>
          <w:color w:val="000000" w:themeColor="text1"/>
          <w:sz w:val="24"/>
          <w:szCs w:val="24"/>
        </w:rPr>
        <w:t>Fensterseifer</w:t>
      </w:r>
      <w:proofErr w:type="spellEnd"/>
      <w:r w:rsidRPr="00A31721">
        <w:rPr>
          <w:rFonts w:ascii="Times New Roman" w:eastAsia="Times New Roman" w:hAnsi="Times New Roman" w:cs="Times New Roman"/>
          <w:color w:val="000000" w:themeColor="text1"/>
          <w:sz w:val="24"/>
          <w:szCs w:val="24"/>
        </w:rPr>
        <w:t xml:space="preserve">, 2007). In 2013, Brazil was ranked 14th globally, shifting to 15th in 2022 (OIV, 2023). </w:t>
      </w:r>
      <w:r w:rsidR="00B77CA7" w:rsidRPr="00A31721">
        <w:rPr>
          <w:rFonts w:ascii="Times New Roman" w:eastAsia="Times New Roman" w:hAnsi="Times New Roman" w:cs="Times New Roman"/>
          <w:color w:val="000000" w:themeColor="text1"/>
          <w:sz w:val="24"/>
          <w:szCs w:val="24"/>
        </w:rPr>
        <w:t>To define the research population, we began with 24,322 establishments registered under the wine and beverage category. Of these, 6,257 were identified as producers of wine and grape-based derivatives. Narrowing further, 1,213 were classified specifically as wineries and wine producers, with 1,167 holding active registrations according to the Integrated System of Agricultural Products and Establishments (SIPEAGRO, 2023).</w:t>
      </w:r>
      <w:r w:rsidR="009A7121"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The sample was selected through a non-probabilistic and purposive sampling approach, targeting managers with decision-making responsibilities in sustainability and environmental practices. This ensured that the respondents possessed the necessary knowledge to provide reliable and relevant insights for the study. An overview of the sample selection process is provided in Figure 2.</w:t>
      </w:r>
      <w:r w:rsidR="000C332A" w:rsidRPr="00A31721">
        <w:rPr>
          <w:rFonts w:ascii="Times New Roman" w:hAnsi="Times New Roman" w:cs="Times New Roman"/>
          <w:color w:val="000000" w:themeColor="text1"/>
          <w:sz w:val="24"/>
          <w:szCs w:val="24"/>
        </w:rPr>
        <w:t xml:space="preserve"> </w:t>
      </w:r>
    </w:p>
    <w:p w14:paraId="71C181EA" w14:textId="2DB717B0" w:rsidR="00EC7FED" w:rsidRPr="00A31721" w:rsidRDefault="00B965F3" w:rsidP="00336C33">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The </w:t>
      </w:r>
      <w:r w:rsidR="005E7556" w:rsidRPr="00A31721">
        <w:rPr>
          <w:rFonts w:ascii="Times New Roman" w:eastAsia="Times New Roman" w:hAnsi="Times New Roman" w:cs="Times New Roman"/>
          <w:color w:val="000000" w:themeColor="text1"/>
          <w:sz w:val="24"/>
          <w:szCs w:val="24"/>
        </w:rPr>
        <w:t xml:space="preserve">details of </w:t>
      </w:r>
      <w:r w:rsidRPr="00A31721">
        <w:rPr>
          <w:rFonts w:ascii="Times New Roman" w:eastAsia="Times New Roman" w:hAnsi="Times New Roman" w:cs="Times New Roman"/>
          <w:color w:val="000000" w:themeColor="text1"/>
          <w:sz w:val="24"/>
          <w:szCs w:val="24"/>
        </w:rPr>
        <w:t>wineries</w:t>
      </w:r>
      <w:r w:rsidR="005E7556"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including email addresses and telephone numbers</w:t>
      </w:r>
      <w:r w:rsidR="005E7556" w:rsidRPr="00A31721">
        <w:rPr>
          <w:rFonts w:ascii="Times New Roman" w:eastAsia="Times New Roman" w:hAnsi="Times New Roman" w:cs="Times New Roman"/>
          <w:color w:val="000000" w:themeColor="text1"/>
          <w:sz w:val="24"/>
          <w:szCs w:val="24"/>
        </w:rPr>
        <w:t xml:space="preserve">, </w:t>
      </w:r>
      <w:proofErr w:type="gramStart"/>
      <w:r w:rsidRPr="00A31721">
        <w:rPr>
          <w:rFonts w:ascii="Times New Roman" w:eastAsia="Times New Roman" w:hAnsi="Times New Roman" w:cs="Times New Roman"/>
          <w:color w:val="000000" w:themeColor="text1"/>
          <w:sz w:val="24"/>
          <w:szCs w:val="24"/>
        </w:rPr>
        <w:t>was</w:t>
      </w:r>
      <w:proofErr w:type="gramEnd"/>
      <w:r w:rsidRPr="00A31721">
        <w:rPr>
          <w:rFonts w:ascii="Times New Roman" w:eastAsia="Times New Roman" w:hAnsi="Times New Roman" w:cs="Times New Roman"/>
          <w:color w:val="000000" w:themeColor="text1"/>
          <w:sz w:val="24"/>
          <w:szCs w:val="24"/>
        </w:rPr>
        <w:t xml:space="preserve"> collected from websites associated with wine tourism, the wine industry, and producer associations. This process yielded 264 contacts. </w:t>
      </w:r>
      <w:r w:rsidR="002A4080" w:rsidRPr="00A31721">
        <w:rPr>
          <w:rFonts w:ascii="Times New Roman" w:eastAsia="Times New Roman" w:hAnsi="Times New Roman" w:cs="Times New Roman"/>
          <w:color w:val="000000" w:themeColor="text1"/>
          <w:sz w:val="24"/>
          <w:szCs w:val="24"/>
        </w:rPr>
        <w:t xml:space="preserve">To validate the research instrument, two </w:t>
      </w:r>
      <w:r w:rsidR="00110472" w:rsidRPr="00A31721">
        <w:rPr>
          <w:rFonts w:ascii="Times New Roman" w:eastAsia="Times New Roman" w:hAnsi="Times New Roman" w:cs="Times New Roman"/>
          <w:color w:val="000000" w:themeColor="text1"/>
          <w:sz w:val="24"/>
          <w:szCs w:val="24"/>
        </w:rPr>
        <w:t xml:space="preserve">stage </w:t>
      </w:r>
      <w:r w:rsidR="002A4080" w:rsidRPr="00A31721">
        <w:rPr>
          <w:rFonts w:ascii="Times New Roman" w:eastAsia="Times New Roman" w:hAnsi="Times New Roman" w:cs="Times New Roman"/>
          <w:color w:val="000000" w:themeColor="text1"/>
          <w:sz w:val="24"/>
          <w:szCs w:val="24"/>
        </w:rPr>
        <w:t xml:space="preserve">pre-tests were conducted. The first involved three academics specializing in the subject. After incorporating their suggested adjustments, the instrument was pre-tested with a winemaker to verify its clarity and suitability for interpretation by winery managers, for whom it was designed. Once the questionnaire </w:t>
      </w:r>
      <w:r w:rsidR="00DB0500" w:rsidRPr="00A31721">
        <w:rPr>
          <w:rFonts w:ascii="Times New Roman" w:eastAsia="Times New Roman" w:hAnsi="Times New Roman" w:cs="Times New Roman"/>
          <w:color w:val="000000" w:themeColor="text1"/>
          <w:sz w:val="24"/>
          <w:szCs w:val="24"/>
        </w:rPr>
        <w:t>was completed, a</w:t>
      </w:r>
      <w:r w:rsidRPr="00A31721">
        <w:rPr>
          <w:rFonts w:ascii="Times New Roman" w:eastAsia="Times New Roman" w:hAnsi="Times New Roman" w:cs="Times New Roman"/>
          <w:color w:val="000000" w:themeColor="text1"/>
          <w:sz w:val="24"/>
          <w:szCs w:val="24"/>
        </w:rPr>
        <w:t xml:space="preserve"> presentation letter introducing the research and a link to the online survey were sent to all available email addresses. In addition, a professional survey firm was hired to conduct follow-up calls and reinforce participation. </w:t>
      </w:r>
      <w:r w:rsidR="00564A10" w:rsidRPr="00A31721">
        <w:rPr>
          <w:rFonts w:ascii="Times New Roman" w:eastAsia="Times New Roman" w:hAnsi="Times New Roman" w:cs="Times New Roman"/>
          <w:color w:val="000000" w:themeColor="text1"/>
          <w:sz w:val="24"/>
          <w:szCs w:val="24"/>
        </w:rPr>
        <w:t xml:space="preserve">The data collection occurred from May 2023 to July 2023, resulting in 179 responses, of which </w:t>
      </w:r>
      <w:r w:rsidR="00642143" w:rsidRPr="00A31721">
        <w:rPr>
          <w:rFonts w:ascii="Times New Roman" w:eastAsia="Times New Roman" w:hAnsi="Times New Roman" w:cs="Times New Roman"/>
          <w:color w:val="000000" w:themeColor="text1"/>
          <w:sz w:val="24"/>
          <w:szCs w:val="24"/>
        </w:rPr>
        <w:t>8</w:t>
      </w:r>
      <w:r w:rsidR="00564A10" w:rsidRPr="00A31721">
        <w:rPr>
          <w:rFonts w:ascii="Times New Roman" w:eastAsia="Times New Roman" w:hAnsi="Times New Roman" w:cs="Times New Roman"/>
          <w:color w:val="000000" w:themeColor="text1"/>
          <w:sz w:val="24"/>
          <w:szCs w:val="24"/>
        </w:rPr>
        <w:t xml:space="preserve"> were excluded</w:t>
      </w:r>
      <w:r w:rsidR="00642143" w:rsidRPr="00A31721">
        <w:rPr>
          <w:rFonts w:ascii="Times New Roman" w:eastAsia="Times New Roman" w:hAnsi="Times New Roman" w:cs="Times New Roman"/>
          <w:color w:val="000000" w:themeColor="text1"/>
          <w:sz w:val="24"/>
          <w:szCs w:val="24"/>
        </w:rPr>
        <w:t>, in which 6</w:t>
      </w:r>
      <w:r w:rsidR="00564A10" w:rsidRPr="00A31721">
        <w:rPr>
          <w:rFonts w:ascii="Times New Roman" w:eastAsia="Times New Roman" w:hAnsi="Times New Roman" w:cs="Times New Roman"/>
          <w:color w:val="000000" w:themeColor="text1"/>
          <w:sz w:val="24"/>
          <w:szCs w:val="24"/>
        </w:rPr>
        <w:t xml:space="preserve"> due to duplicate responses and missing information</w:t>
      </w:r>
      <w:r w:rsidR="00642143" w:rsidRPr="00A31721">
        <w:rPr>
          <w:rFonts w:ascii="Times New Roman" w:eastAsia="Times New Roman" w:hAnsi="Times New Roman" w:cs="Times New Roman"/>
          <w:color w:val="000000" w:themeColor="text1"/>
          <w:sz w:val="24"/>
          <w:szCs w:val="24"/>
        </w:rPr>
        <w:t xml:space="preserve"> and 2 because the firms were </w:t>
      </w:r>
      <w:r w:rsidR="00D52D65" w:rsidRPr="00A31721">
        <w:rPr>
          <w:rFonts w:ascii="Times New Roman" w:eastAsia="Times New Roman" w:hAnsi="Times New Roman" w:cs="Times New Roman"/>
          <w:color w:val="000000" w:themeColor="text1"/>
          <w:sz w:val="24"/>
          <w:szCs w:val="24"/>
        </w:rPr>
        <w:t>only grape juice producers.</w:t>
      </w:r>
    </w:p>
    <w:p w14:paraId="7AC3EE08" w14:textId="77777777" w:rsidR="00336C33" w:rsidRPr="00A31721" w:rsidRDefault="00336C33" w:rsidP="00336C33">
      <w:pPr>
        <w:spacing w:after="0" w:line="240" w:lineRule="auto"/>
        <w:ind w:firstLine="720"/>
        <w:jc w:val="both"/>
        <w:rPr>
          <w:rFonts w:ascii="Times New Roman" w:eastAsia="Times New Roman" w:hAnsi="Times New Roman" w:cs="Times New Roman"/>
          <w:color w:val="000000" w:themeColor="text1"/>
          <w:sz w:val="24"/>
          <w:szCs w:val="24"/>
        </w:rPr>
      </w:pPr>
    </w:p>
    <w:p w14:paraId="677D8B0A" w14:textId="77777777" w:rsidR="00336C33" w:rsidRPr="00A31721" w:rsidRDefault="00336C33" w:rsidP="00336C33">
      <w:pPr>
        <w:spacing w:after="0" w:line="240" w:lineRule="auto"/>
        <w:ind w:firstLine="720"/>
        <w:jc w:val="both"/>
        <w:rPr>
          <w:rFonts w:ascii="Times New Roman" w:eastAsia="Times New Roman" w:hAnsi="Times New Roman" w:cs="Times New Roman"/>
          <w:color w:val="000000" w:themeColor="text1"/>
          <w:sz w:val="24"/>
          <w:szCs w:val="24"/>
        </w:rPr>
      </w:pPr>
    </w:p>
    <w:p w14:paraId="39181079" w14:textId="59FD1663" w:rsidR="00336C33" w:rsidRPr="00A31721" w:rsidRDefault="00336C33" w:rsidP="00336C33">
      <w:pPr>
        <w:spacing w:after="0" w:line="240" w:lineRule="auto"/>
        <w:ind w:firstLine="720"/>
        <w:jc w:val="center"/>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[Figure 2]</w:t>
      </w:r>
    </w:p>
    <w:p w14:paraId="25E499AE" w14:textId="77777777" w:rsidR="00336C33" w:rsidRPr="00A31721" w:rsidRDefault="00336C33" w:rsidP="00336C33">
      <w:pPr>
        <w:spacing w:after="0" w:line="240" w:lineRule="auto"/>
        <w:ind w:firstLine="720"/>
        <w:jc w:val="center"/>
        <w:rPr>
          <w:rFonts w:ascii="Times New Roman" w:hAnsi="Times New Roman" w:cs="Times New Roman"/>
          <w:b/>
          <w:bCs/>
          <w:color w:val="000000" w:themeColor="text1"/>
          <w:sz w:val="20"/>
          <w:szCs w:val="20"/>
        </w:rPr>
      </w:pPr>
    </w:p>
    <w:p w14:paraId="182C7013" w14:textId="77777777" w:rsidR="00EC7FED" w:rsidRPr="00A31721" w:rsidRDefault="00EC7FE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p>
    <w:p w14:paraId="01F39398" w14:textId="77777777" w:rsidR="006749A4" w:rsidRPr="00A31721" w:rsidRDefault="006749A4">
      <w:pPr>
        <w:spacing w:after="0" w:line="240" w:lineRule="auto"/>
        <w:jc w:val="both"/>
        <w:rPr>
          <w:rFonts w:ascii="Times New Roman" w:eastAsia="Times New Roman" w:hAnsi="Times New Roman" w:cs="Times New Roman"/>
          <w:b/>
          <w:color w:val="000000" w:themeColor="text1"/>
          <w:sz w:val="24"/>
          <w:szCs w:val="24"/>
        </w:rPr>
      </w:pPr>
      <w:bookmarkStart w:id="2" w:name="_heading=h.30j0zll" w:colFirst="0" w:colLast="0"/>
      <w:bookmarkEnd w:id="2"/>
    </w:p>
    <w:p w14:paraId="745FE36B" w14:textId="439F6A32" w:rsidR="005A20B9" w:rsidRPr="00A31721" w:rsidRDefault="0007550D">
      <w:pPr>
        <w:spacing w:after="0" w:line="240" w:lineRule="auto"/>
        <w:jc w:val="both"/>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3.</w:t>
      </w:r>
      <w:r w:rsidR="00FB5DCB" w:rsidRPr="00A31721">
        <w:rPr>
          <w:rFonts w:ascii="Times New Roman" w:eastAsia="Times New Roman" w:hAnsi="Times New Roman" w:cs="Times New Roman"/>
          <w:b/>
          <w:color w:val="000000" w:themeColor="text1"/>
          <w:sz w:val="24"/>
          <w:szCs w:val="24"/>
        </w:rPr>
        <w:t>2</w:t>
      </w:r>
      <w:r w:rsidRPr="00A31721">
        <w:rPr>
          <w:rFonts w:ascii="Times New Roman" w:eastAsia="Times New Roman" w:hAnsi="Times New Roman" w:cs="Times New Roman"/>
          <w:b/>
          <w:color w:val="000000" w:themeColor="text1"/>
          <w:sz w:val="24"/>
          <w:szCs w:val="24"/>
        </w:rPr>
        <w:t xml:space="preserve"> </w:t>
      </w:r>
      <w:r w:rsidR="005A20B9" w:rsidRPr="00A31721">
        <w:rPr>
          <w:rFonts w:ascii="Times New Roman" w:eastAsia="Times New Roman" w:hAnsi="Times New Roman" w:cs="Times New Roman"/>
          <w:b/>
          <w:color w:val="000000" w:themeColor="text1"/>
          <w:sz w:val="24"/>
          <w:szCs w:val="24"/>
        </w:rPr>
        <w:t>Measurement of variables</w:t>
      </w:r>
    </w:p>
    <w:p w14:paraId="73BB7D7B" w14:textId="71D798D4" w:rsidR="00737D13" w:rsidRPr="00A31721" w:rsidRDefault="00737D13" w:rsidP="00E169A0">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This study examined four key constructs</w:t>
      </w:r>
      <w:r w:rsidR="004E0B5D" w:rsidRPr="00A31721">
        <w:rPr>
          <w:rFonts w:ascii="Times New Roman" w:eastAsia="Times New Roman" w:hAnsi="Times New Roman" w:cs="Times New Roman"/>
          <w:color w:val="000000" w:themeColor="text1"/>
          <w:sz w:val="24"/>
          <w:szCs w:val="24"/>
        </w:rPr>
        <w:t>, which are</w:t>
      </w:r>
      <w:r w:rsidRPr="00A31721">
        <w:rPr>
          <w:rFonts w:ascii="Times New Roman" w:eastAsia="Times New Roman" w:hAnsi="Times New Roman" w:cs="Times New Roman"/>
          <w:color w:val="000000" w:themeColor="text1"/>
          <w:sz w:val="24"/>
          <w:szCs w:val="24"/>
        </w:rPr>
        <w:t xml:space="preserve"> (</w:t>
      </w:r>
      <w:proofErr w:type="spellStart"/>
      <w:r w:rsidRPr="00A31721">
        <w:rPr>
          <w:rFonts w:ascii="Times New Roman" w:eastAsia="Times New Roman" w:hAnsi="Times New Roman" w:cs="Times New Roman"/>
          <w:color w:val="000000" w:themeColor="text1"/>
          <w:sz w:val="24"/>
          <w:szCs w:val="24"/>
        </w:rPr>
        <w:t>i</w:t>
      </w:r>
      <w:proofErr w:type="spellEnd"/>
      <w:r w:rsidRPr="00A31721">
        <w:rPr>
          <w:rFonts w:ascii="Times New Roman" w:eastAsia="Times New Roman" w:hAnsi="Times New Roman" w:cs="Times New Roman"/>
          <w:color w:val="000000" w:themeColor="text1"/>
          <w:sz w:val="24"/>
          <w:szCs w:val="24"/>
        </w:rPr>
        <w:t xml:space="preserve">) contingency factors, (ii) </w:t>
      </w:r>
      <w:r w:rsidR="004E0B5D" w:rsidRPr="00A31721">
        <w:rPr>
          <w:rFonts w:ascii="Times New Roman" w:eastAsia="Times New Roman" w:hAnsi="Times New Roman" w:cs="Times New Roman"/>
          <w:color w:val="000000" w:themeColor="text1"/>
          <w:sz w:val="24"/>
          <w:szCs w:val="24"/>
        </w:rPr>
        <w:t xml:space="preserve">adoption of </w:t>
      </w:r>
      <w:r w:rsidRPr="00A31721">
        <w:rPr>
          <w:rFonts w:ascii="Times New Roman" w:eastAsia="Times New Roman" w:hAnsi="Times New Roman" w:cs="Times New Roman"/>
          <w:color w:val="000000" w:themeColor="text1"/>
          <w:sz w:val="24"/>
          <w:szCs w:val="24"/>
        </w:rPr>
        <w:t>sustainability practices, (iii) the use of environmental management accounting (EMA) tools, and (iv) environmental performance</w:t>
      </w:r>
      <w:r w:rsidR="00094CE9" w:rsidRPr="00A31721">
        <w:rPr>
          <w:rFonts w:ascii="Times New Roman" w:eastAsia="Times New Roman" w:hAnsi="Times New Roman" w:cs="Times New Roman"/>
          <w:color w:val="000000" w:themeColor="text1"/>
          <w:sz w:val="24"/>
          <w:szCs w:val="24"/>
        </w:rPr>
        <w:t xml:space="preserve">. Additionally, </w:t>
      </w:r>
      <w:r w:rsidR="004E0B5D" w:rsidRPr="00A31721">
        <w:rPr>
          <w:rFonts w:ascii="Times New Roman" w:eastAsia="Times New Roman" w:hAnsi="Times New Roman" w:cs="Times New Roman"/>
          <w:color w:val="000000" w:themeColor="text1"/>
          <w:sz w:val="24"/>
          <w:szCs w:val="24"/>
        </w:rPr>
        <w:t xml:space="preserve">managers and </w:t>
      </w:r>
      <w:r w:rsidR="000C43E1" w:rsidRPr="00A31721">
        <w:rPr>
          <w:rFonts w:ascii="Times New Roman" w:eastAsia="Times New Roman" w:hAnsi="Times New Roman" w:cs="Times New Roman"/>
          <w:color w:val="000000" w:themeColor="text1"/>
          <w:sz w:val="24"/>
          <w:szCs w:val="24"/>
        </w:rPr>
        <w:t>firms’ characteristics were also collected</w:t>
      </w:r>
      <w:r w:rsidR="00094CE9" w:rsidRPr="00A31721">
        <w:rPr>
          <w:rFonts w:ascii="Times New Roman" w:eastAsia="Times New Roman" w:hAnsi="Times New Roman" w:cs="Times New Roman"/>
          <w:color w:val="000000" w:themeColor="text1"/>
          <w:sz w:val="24"/>
          <w:szCs w:val="24"/>
        </w:rPr>
        <w:t>.</w:t>
      </w:r>
    </w:p>
    <w:p w14:paraId="2D072A3B" w14:textId="0D20F98E" w:rsidR="00737D13" w:rsidRPr="00A31721" w:rsidRDefault="00737D13" w:rsidP="00737D13">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Contingency factors were operationalized through three </w:t>
      </w:r>
      <w:r w:rsidR="007927D7" w:rsidRPr="00A31721">
        <w:rPr>
          <w:rFonts w:ascii="Times New Roman" w:eastAsia="Times New Roman" w:hAnsi="Times New Roman" w:cs="Times New Roman"/>
          <w:color w:val="000000" w:themeColor="text1"/>
          <w:sz w:val="24"/>
          <w:szCs w:val="24"/>
        </w:rPr>
        <w:t>factors</w:t>
      </w:r>
      <w:r w:rsidRPr="00A31721">
        <w:rPr>
          <w:rFonts w:ascii="Times New Roman" w:eastAsia="Times New Roman" w:hAnsi="Times New Roman" w:cs="Times New Roman"/>
          <w:color w:val="000000" w:themeColor="text1"/>
          <w:sz w:val="24"/>
          <w:szCs w:val="24"/>
        </w:rPr>
        <w:t xml:space="preserve">. Environmental uncertainty was measured by seven items assessing its influence on sustainability initiatives (Latan et al., 2018; </w:t>
      </w:r>
      <w:proofErr w:type="spellStart"/>
      <w:r w:rsidRPr="00A31721">
        <w:rPr>
          <w:rFonts w:ascii="Times New Roman" w:eastAsia="Times New Roman" w:hAnsi="Times New Roman" w:cs="Times New Roman"/>
          <w:color w:val="000000" w:themeColor="text1"/>
          <w:sz w:val="24"/>
          <w:szCs w:val="24"/>
        </w:rPr>
        <w:t>Pondeville</w:t>
      </w:r>
      <w:proofErr w:type="spellEnd"/>
      <w:r w:rsidRPr="00A31721">
        <w:rPr>
          <w:rFonts w:ascii="Times New Roman" w:eastAsia="Times New Roman" w:hAnsi="Times New Roman" w:cs="Times New Roman"/>
          <w:color w:val="000000" w:themeColor="text1"/>
          <w:sz w:val="24"/>
          <w:szCs w:val="24"/>
        </w:rPr>
        <w:t xml:space="preserve"> et al., 2013), using a 5-point Likert scale (1 = no influence </w:t>
      </w:r>
      <w:proofErr w:type="gramStart"/>
      <w:r w:rsidRPr="00A31721">
        <w:rPr>
          <w:rFonts w:ascii="Times New Roman" w:eastAsia="Times New Roman" w:hAnsi="Times New Roman" w:cs="Times New Roman"/>
          <w:color w:val="000000" w:themeColor="text1"/>
          <w:sz w:val="24"/>
          <w:szCs w:val="24"/>
        </w:rPr>
        <w:t>to</w:t>
      </w:r>
      <w:proofErr w:type="gramEnd"/>
      <w:r w:rsidRPr="00A31721">
        <w:rPr>
          <w:rFonts w:ascii="Times New Roman" w:eastAsia="Times New Roman" w:hAnsi="Times New Roman" w:cs="Times New Roman"/>
          <w:color w:val="000000" w:themeColor="text1"/>
          <w:sz w:val="24"/>
          <w:szCs w:val="24"/>
        </w:rPr>
        <w:t xml:space="preserve"> 5 = very strong influence). Environmental strategy was captured by six items reflecting strategic orientations toward sustainability (Christ &amp; Burritt, 2013b; </w:t>
      </w:r>
      <w:proofErr w:type="spellStart"/>
      <w:r w:rsidRPr="00A31721">
        <w:rPr>
          <w:rFonts w:ascii="Times New Roman" w:eastAsia="Times New Roman" w:hAnsi="Times New Roman" w:cs="Times New Roman"/>
          <w:color w:val="000000" w:themeColor="text1"/>
          <w:sz w:val="24"/>
          <w:szCs w:val="24"/>
        </w:rPr>
        <w:t>Pondeville</w:t>
      </w:r>
      <w:proofErr w:type="spellEnd"/>
      <w:r w:rsidRPr="00A31721">
        <w:rPr>
          <w:rFonts w:ascii="Times New Roman" w:eastAsia="Times New Roman" w:hAnsi="Times New Roman" w:cs="Times New Roman"/>
          <w:color w:val="000000" w:themeColor="text1"/>
          <w:sz w:val="24"/>
          <w:szCs w:val="24"/>
        </w:rPr>
        <w:t xml:space="preserve"> et al., 2013), measured on a 5-point Likert scale (1 = completely disagree to 5 = completely agree). Technology adoption as a contingency factor was assessed with four items, evaluating its role in shaping internal decision-making processes (Agi &amp; Nishant, 2017; Hofmann et al., 2012; Sharma et al., 2017), also on a 5-point Likert scale (1 = completely disagree to 5 = completely agree).</w:t>
      </w:r>
    </w:p>
    <w:p w14:paraId="2142FFBF" w14:textId="3943ABD6" w:rsidR="00737D13" w:rsidRPr="00A31721" w:rsidRDefault="00726AAA" w:rsidP="00060DEF">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Adoption </w:t>
      </w:r>
      <w:r w:rsidR="00737D13" w:rsidRPr="00A31721">
        <w:rPr>
          <w:rFonts w:ascii="Times New Roman" w:eastAsia="Times New Roman" w:hAnsi="Times New Roman" w:cs="Times New Roman"/>
          <w:color w:val="000000" w:themeColor="text1"/>
          <w:sz w:val="24"/>
          <w:szCs w:val="24"/>
        </w:rPr>
        <w:t>of sustainability practices were measured following Sharma et al. (2017), comprising 28 items that capture the design and implementation of environmental initiatives, rated on a 5-point Likert scale (1 = completely disagree to 5 = completely agree).</w:t>
      </w:r>
      <w:r w:rsidR="00060DEF" w:rsidRPr="00A31721">
        <w:rPr>
          <w:rFonts w:ascii="Times New Roman" w:eastAsia="Times New Roman" w:hAnsi="Times New Roman" w:cs="Times New Roman"/>
          <w:color w:val="000000" w:themeColor="text1"/>
          <w:sz w:val="24"/>
          <w:szCs w:val="24"/>
        </w:rPr>
        <w:t xml:space="preserve"> Furthermore, </w:t>
      </w:r>
      <w:r w:rsidR="00737D13" w:rsidRPr="00A31721">
        <w:rPr>
          <w:rFonts w:ascii="Times New Roman" w:eastAsia="Times New Roman" w:hAnsi="Times New Roman" w:cs="Times New Roman"/>
          <w:color w:val="000000" w:themeColor="text1"/>
          <w:sz w:val="24"/>
          <w:szCs w:val="24"/>
        </w:rPr>
        <w:t xml:space="preserve">EMA </w:t>
      </w:r>
      <w:r w:rsidR="00737D13" w:rsidRPr="00A31721">
        <w:rPr>
          <w:rFonts w:ascii="Times New Roman" w:eastAsia="Times New Roman" w:hAnsi="Times New Roman" w:cs="Times New Roman"/>
          <w:color w:val="000000" w:themeColor="text1"/>
          <w:sz w:val="24"/>
          <w:szCs w:val="24"/>
        </w:rPr>
        <w:lastRenderedPageBreak/>
        <w:t>tool was assessed with eight items adapted from Christ and Burritt (2013b) and Qian et al. (2018), measuring the extent of u</w:t>
      </w:r>
      <w:r w:rsidR="00C2268A" w:rsidRPr="00A31721">
        <w:rPr>
          <w:rFonts w:ascii="Times New Roman" w:eastAsia="Times New Roman" w:hAnsi="Times New Roman" w:cs="Times New Roman"/>
          <w:color w:val="000000" w:themeColor="text1"/>
          <w:sz w:val="24"/>
          <w:szCs w:val="24"/>
        </w:rPr>
        <w:t>se</w:t>
      </w:r>
      <w:r w:rsidR="00737D13" w:rsidRPr="00A31721">
        <w:rPr>
          <w:rFonts w:ascii="Times New Roman" w:eastAsia="Times New Roman" w:hAnsi="Times New Roman" w:cs="Times New Roman"/>
          <w:color w:val="000000" w:themeColor="text1"/>
          <w:sz w:val="24"/>
          <w:szCs w:val="24"/>
        </w:rPr>
        <w:t xml:space="preserve"> </w:t>
      </w:r>
      <w:r w:rsidR="00E327E3" w:rsidRPr="00A31721">
        <w:rPr>
          <w:rFonts w:ascii="Times New Roman" w:eastAsia="Times New Roman" w:hAnsi="Times New Roman" w:cs="Times New Roman"/>
          <w:color w:val="000000" w:themeColor="text1"/>
          <w:sz w:val="24"/>
          <w:szCs w:val="24"/>
        </w:rPr>
        <w:t xml:space="preserve">this organizational practice, </w:t>
      </w:r>
      <w:r w:rsidR="00737D13" w:rsidRPr="00A31721">
        <w:rPr>
          <w:rFonts w:ascii="Times New Roman" w:eastAsia="Times New Roman" w:hAnsi="Times New Roman" w:cs="Times New Roman"/>
          <w:color w:val="000000" w:themeColor="text1"/>
          <w:sz w:val="24"/>
          <w:szCs w:val="24"/>
        </w:rPr>
        <w:t>on a 5-point Likert scale (1 = not used at all to 5 = used extensively).</w:t>
      </w:r>
    </w:p>
    <w:p w14:paraId="738CCAAC" w14:textId="3B58F853" w:rsidR="00737D13" w:rsidRPr="00A31721" w:rsidRDefault="00737D13" w:rsidP="00737D13">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Environmental performance was evaluated through 11 items reflecting respondents’ perceptions of outcomes related to emissions reduction, waste management, regulatory compliance, crisis mitigation, reputational improvements and resource efficiency (Abdallah &amp; Al-</w:t>
      </w:r>
      <w:proofErr w:type="spellStart"/>
      <w:r w:rsidRPr="00A31721">
        <w:rPr>
          <w:rFonts w:ascii="Times New Roman" w:eastAsia="Times New Roman" w:hAnsi="Times New Roman" w:cs="Times New Roman"/>
          <w:color w:val="000000" w:themeColor="text1"/>
          <w:sz w:val="24"/>
          <w:szCs w:val="24"/>
        </w:rPr>
        <w:t>Ghwayeen</w:t>
      </w:r>
      <w:proofErr w:type="spellEnd"/>
      <w:r w:rsidRPr="00A31721">
        <w:rPr>
          <w:rFonts w:ascii="Times New Roman" w:eastAsia="Times New Roman" w:hAnsi="Times New Roman" w:cs="Times New Roman"/>
          <w:color w:val="000000" w:themeColor="text1"/>
          <w:sz w:val="24"/>
          <w:szCs w:val="24"/>
        </w:rPr>
        <w:t xml:space="preserve">, 2020; Latan et al., 2018; </w:t>
      </w:r>
      <w:proofErr w:type="spellStart"/>
      <w:r w:rsidRPr="00A31721">
        <w:rPr>
          <w:rFonts w:ascii="Times New Roman" w:eastAsia="Times New Roman" w:hAnsi="Times New Roman" w:cs="Times New Roman"/>
          <w:color w:val="000000" w:themeColor="text1"/>
          <w:sz w:val="24"/>
          <w:szCs w:val="24"/>
        </w:rPr>
        <w:t>Maletič</w:t>
      </w:r>
      <w:proofErr w:type="spellEnd"/>
      <w:r w:rsidRPr="00A31721">
        <w:rPr>
          <w:rFonts w:ascii="Times New Roman" w:eastAsia="Times New Roman" w:hAnsi="Times New Roman" w:cs="Times New Roman"/>
          <w:color w:val="000000" w:themeColor="text1"/>
          <w:sz w:val="24"/>
          <w:szCs w:val="24"/>
        </w:rPr>
        <w:t xml:space="preserve"> et al., 2018; Wang, 2018). Items were rated on a 5-point Likert scale (1 = low to 5 = high).</w:t>
      </w:r>
    </w:p>
    <w:p w14:paraId="210DCF72" w14:textId="0ABED46A" w:rsidR="00863F51" w:rsidRPr="00A31721" w:rsidRDefault="004973CA" w:rsidP="00737D13">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Additional variables, including financial and non-financial performance, were measured based on prior sustainability and management research</w:t>
      </w:r>
      <w:r w:rsidR="00D14436" w:rsidRPr="00A31721">
        <w:rPr>
          <w:rFonts w:ascii="Times New Roman" w:eastAsia="Times New Roman" w:hAnsi="Times New Roman" w:cs="Times New Roman"/>
          <w:color w:val="000000" w:themeColor="text1"/>
          <w:sz w:val="24"/>
          <w:szCs w:val="24"/>
        </w:rPr>
        <w:t xml:space="preserve"> </w:t>
      </w:r>
      <w:r w:rsidR="00737D13" w:rsidRPr="00A31721">
        <w:rPr>
          <w:rFonts w:ascii="Times New Roman" w:eastAsia="Times New Roman" w:hAnsi="Times New Roman" w:cs="Times New Roman"/>
          <w:color w:val="000000" w:themeColor="text1"/>
          <w:sz w:val="24"/>
          <w:szCs w:val="24"/>
          <w:lang w:val="en-GB"/>
        </w:rPr>
        <w:t>(Abdallah &amp; Al-</w:t>
      </w:r>
      <w:proofErr w:type="spellStart"/>
      <w:r w:rsidR="00737D13" w:rsidRPr="00A31721">
        <w:rPr>
          <w:rFonts w:ascii="Times New Roman" w:eastAsia="Times New Roman" w:hAnsi="Times New Roman" w:cs="Times New Roman"/>
          <w:color w:val="000000" w:themeColor="text1"/>
          <w:sz w:val="24"/>
          <w:szCs w:val="24"/>
          <w:lang w:val="en-GB"/>
        </w:rPr>
        <w:t>Ghwayeen</w:t>
      </w:r>
      <w:proofErr w:type="spellEnd"/>
      <w:r w:rsidR="00737D13" w:rsidRPr="00A31721">
        <w:rPr>
          <w:rFonts w:ascii="Times New Roman" w:eastAsia="Times New Roman" w:hAnsi="Times New Roman" w:cs="Times New Roman"/>
          <w:color w:val="000000" w:themeColor="text1"/>
          <w:sz w:val="24"/>
          <w:szCs w:val="24"/>
          <w:lang w:val="en-GB"/>
        </w:rPr>
        <w:t xml:space="preserve">, 2020; Latan et al., 2018; </w:t>
      </w:r>
      <w:proofErr w:type="spellStart"/>
      <w:r w:rsidR="00737D13" w:rsidRPr="00A31721">
        <w:rPr>
          <w:rFonts w:ascii="Times New Roman" w:eastAsia="Times New Roman" w:hAnsi="Times New Roman" w:cs="Times New Roman"/>
          <w:color w:val="000000" w:themeColor="text1"/>
          <w:sz w:val="24"/>
          <w:szCs w:val="24"/>
          <w:lang w:val="en-GB"/>
        </w:rPr>
        <w:t>Maletič</w:t>
      </w:r>
      <w:proofErr w:type="spellEnd"/>
      <w:r w:rsidR="00737D13" w:rsidRPr="00A31721">
        <w:rPr>
          <w:rFonts w:ascii="Times New Roman" w:eastAsia="Times New Roman" w:hAnsi="Times New Roman" w:cs="Times New Roman"/>
          <w:color w:val="000000" w:themeColor="text1"/>
          <w:sz w:val="24"/>
          <w:szCs w:val="24"/>
          <w:lang w:val="en-GB"/>
        </w:rPr>
        <w:t xml:space="preserve"> et al., 2018; Sharma et al., 2017). </w:t>
      </w:r>
      <w:r w:rsidR="00393C99" w:rsidRPr="00A31721">
        <w:rPr>
          <w:rFonts w:ascii="Times New Roman" w:eastAsia="Times New Roman" w:hAnsi="Times New Roman" w:cs="Times New Roman"/>
          <w:color w:val="000000" w:themeColor="text1"/>
          <w:sz w:val="24"/>
          <w:szCs w:val="24"/>
        </w:rPr>
        <w:t>Furthermore</w:t>
      </w:r>
      <w:r w:rsidR="00737D13" w:rsidRPr="00A31721">
        <w:rPr>
          <w:rFonts w:ascii="Times New Roman" w:eastAsia="Times New Roman" w:hAnsi="Times New Roman" w:cs="Times New Roman"/>
          <w:color w:val="000000" w:themeColor="text1"/>
          <w:sz w:val="24"/>
          <w:szCs w:val="24"/>
        </w:rPr>
        <w:t>, five items captured respondent demographic profiles, and eight items assessed organizational characteristics.</w:t>
      </w:r>
      <w:r w:rsidR="00CD1691" w:rsidRPr="00A31721">
        <w:rPr>
          <w:rFonts w:ascii="Times New Roman" w:eastAsia="Times New Roman" w:hAnsi="Times New Roman" w:cs="Times New Roman"/>
          <w:color w:val="000000" w:themeColor="text1"/>
          <w:sz w:val="24"/>
          <w:szCs w:val="24"/>
        </w:rPr>
        <w:t xml:space="preserve"> </w:t>
      </w:r>
    </w:p>
    <w:p w14:paraId="01F393A0" w14:textId="7B57E61D" w:rsidR="006749A4" w:rsidRPr="00A31721" w:rsidRDefault="006749A4">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7E325D4" w14:textId="6B18CAFC" w:rsidR="00F434EA" w:rsidRPr="00A31721" w:rsidRDefault="00F434E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b/>
          <w:bCs/>
          <w:color w:val="000000" w:themeColor="text1"/>
          <w:sz w:val="24"/>
          <w:szCs w:val="24"/>
        </w:rPr>
        <w:t>3.3</w:t>
      </w:r>
      <w:r w:rsidRPr="00A31721">
        <w:rPr>
          <w:rFonts w:ascii="Times New Roman" w:eastAsia="Times New Roman" w:hAnsi="Times New Roman" w:cs="Times New Roman"/>
          <w:color w:val="000000" w:themeColor="text1"/>
          <w:sz w:val="24"/>
          <w:szCs w:val="24"/>
        </w:rPr>
        <w:t xml:space="preserve"> </w:t>
      </w:r>
      <w:r w:rsidRPr="00A31721">
        <w:rPr>
          <w:rStyle w:val="Strong"/>
          <w:rFonts w:ascii="Times New Roman" w:hAnsi="Times New Roman" w:cs="Times New Roman"/>
          <w:color w:val="000000" w:themeColor="text1"/>
        </w:rPr>
        <w:t>Data Analysis Procedures</w:t>
      </w:r>
    </w:p>
    <w:p w14:paraId="166CF158" w14:textId="4D8E6BD2" w:rsidR="00105D25" w:rsidRPr="00A31721" w:rsidRDefault="00105D25" w:rsidP="00105D2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For data analysis</w:t>
      </w:r>
      <w:r w:rsidR="004616A0"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structural equation modeling based on partial least squares (PLS) was </w:t>
      </w:r>
      <w:r w:rsidR="000B7462" w:rsidRPr="00A31721">
        <w:rPr>
          <w:rFonts w:ascii="Times New Roman" w:eastAsia="Times New Roman" w:hAnsi="Times New Roman" w:cs="Times New Roman"/>
          <w:color w:val="000000" w:themeColor="text1"/>
          <w:sz w:val="24"/>
          <w:szCs w:val="24"/>
        </w:rPr>
        <w:t>applied</w:t>
      </w:r>
      <w:r w:rsidRPr="00A31721">
        <w:rPr>
          <w:rFonts w:ascii="Times New Roman" w:eastAsia="Times New Roman" w:hAnsi="Times New Roman" w:cs="Times New Roman"/>
          <w:color w:val="000000" w:themeColor="text1"/>
          <w:sz w:val="24"/>
          <w:szCs w:val="24"/>
        </w:rPr>
        <w:t xml:space="preserve">. This analysis technique enables the examination of relationships between predictor and outcome variables through path analysis, which establishes multiple regressions (Hair et al., 2016). The </w:t>
      </w:r>
      <w:proofErr w:type="gramStart"/>
      <w:r w:rsidRPr="00A31721">
        <w:rPr>
          <w:rFonts w:ascii="Times New Roman" w:eastAsia="Times New Roman" w:hAnsi="Times New Roman" w:cs="Times New Roman"/>
          <w:color w:val="000000" w:themeColor="text1"/>
          <w:sz w:val="24"/>
          <w:szCs w:val="24"/>
        </w:rPr>
        <w:t>constructs</w:t>
      </w:r>
      <w:proofErr w:type="gramEnd"/>
      <w:r w:rsidRPr="00A31721">
        <w:rPr>
          <w:rFonts w:ascii="Times New Roman" w:eastAsia="Times New Roman" w:hAnsi="Times New Roman" w:cs="Times New Roman"/>
          <w:color w:val="000000" w:themeColor="text1"/>
          <w:sz w:val="24"/>
          <w:szCs w:val="24"/>
        </w:rPr>
        <w:t xml:space="preserve"> were subjected to rigorous evaluation to verify the validity and reliability of their respective items. The first stage involved the measurement model, where the PLS algorithm was applied using 300 iterations. At this stage, three key criteria were thoroughly assessed: (</w:t>
      </w:r>
      <w:proofErr w:type="spellStart"/>
      <w:r w:rsidRPr="00A31721">
        <w:rPr>
          <w:rFonts w:ascii="Times New Roman" w:eastAsia="Times New Roman" w:hAnsi="Times New Roman" w:cs="Times New Roman"/>
          <w:color w:val="000000" w:themeColor="text1"/>
          <w:sz w:val="24"/>
          <w:szCs w:val="24"/>
        </w:rPr>
        <w:t>i</w:t>
      </w:r>
      <w:proofErr w:type="spellEnd"/>
      <w:r w:rsidRPr="00A31721">
        <w:rPr>
          <w:rFonts w:ascii="Times New Roman" w:eastAsia="Times New Roman" w:hAnsi="Times New Roman" w:cs="Times New Roman"/>
          <w:color w:val="000000" w:themeColor="text1"/>
          <w:sz w:val="24"/>
          <w:szCs w:val="24"/>
        </w:rPr>
        <w:t>) reliability, (ii) convergent validity, and (iii) discriminant validity (Hair et al., 2016), as outlined in Table 1.</w:t>
      </w:r>
    </w:p>
    <w:p w14:paraId="24ECA8BC" w14:textId="70A4F70C" w:rsidR="00105D25" w:rsidRPr="00A31721" w:rsidRDefault="00105D25" w:rsidP="00105D2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The second stage focused on the structural model, using 5,000 resamples with the bootstrapping technique, which is essential for assessing the strength of hypothesized relationships through path analysis. Path analysis accounts for error terms and accommodates relatively small sample sizes</w:t>
      </w:r>
      <w:r w:rsidR="003C14C0"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for PLS estimation (Hair et al., 2016). The </w:t>
      </w:r>
      <w:proofErr w:type="gramStart"/>
      <w:r w:rsidRPr="00A31721">
        <w:rPr>
          <w:rFonts w:ascii="Times New Roman" w:eastAsia="Times New Roman" w:hAnsi="Times New Roman" w:cs="Times New Roman"/>
          <w:color w:val="000000" w:themeColor="text1"/>
          <w:sz w:val="24"/>
          <w:szCs w:val="24"/>
        </w:rPr>
        <w:t>constructs</w:t>
      </w:r>
      <w:proofErr w:type="gramEnd"/>
      <w:r w:rsidRPr="00A31721">
        <w:rPr>
          <w:rFonts w:ascii="Times New Roman" w:eastAsia="Times New Roman" w:hAnsi="Times New Roman" w:cs="Times New Roman"/>
          <w:color w:val="000000" w:themeColor="text1"/>
          <w:sz w:val="24"/>
          <w:szCs w:val="24"/>
        </w:rPr>
        <w:t xml:space="preserve"> were modeled as reflective, assuming a certain degree of correlation among the items within each construct.</w:t>
      </w:r>
    </w:p>
    <w:p w14:paraId="18572435" w14:textId="56CE2556" w:rsidR="00105D25" w:rsidRPr="00A31721" w:rsidRDefault="00105D25" w:rsidP="00105D2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Regarding the</w:t>
      </w:r>
      <w:r w:rsidR="00BB65B2" w:rsidRPr="00A31721">
        <w:rPr>
          <w:rFonts w:ascii="Times New Roman" w:eastAsia="Times New Roman" w:hAnsi="Times New Roman" w:cs="Times New Roman"/>
          <w:color w:val="000000" w:themeColor="text1"/>
          <w:sz w:val="24"/>
          <w:szCs w:val="24"/>
        </w:rPr>
        <w:t xml:space="preserve"> descriptive statistics, </w:t>
      </w:r>
      <w:proofErr w:type="gramStart"/>
      <w:r w:rsidRPr="00A31721">
        <w:rPr>
          <w:rFonts w:ascii="Times New Roman" w:eastAsia="Times New Roman" w:hAnsi="Times New Roman" w:cs="Times New Roman"/>
          <w:color w:val="000000" w:themeColor="text1"/>
          <w:sz w:val="24"/>
          <w:szCs w:val="24"/>
        </w:rPr>
        <w:t>the majority of</w:t>
      </w:r>
      <w:proofErr w:type="gramEnd"/>
      <w:r w:rsidRPr="00A31721">
        <w:rPr>
          <w:rFonts w:ascii="Times New Roman" w:eastAsia="Times New Roman" w:hAnsi="Times New Roman" w:cs="Times New Roman"/>
          <w:color w:val="000000" w:themeColor="text1"/>
          <w:sz w:val="24"/>
          <w:szCs w:val="24"/>
        </w:rPr>
        <w:t xml:space="preserve"> respondents were male (64%), aged between 41 and 60 years (68%), and had completed higher education (90%), with 34% holding graduate degrees. The most common roles were partner-owner (32%), winemaker (24%), and manager (15%), suggesting that many wineries are family-owned. Over half of the respondents (53%) reported working in their organization for more than ten years.</w:t>
      </w:r>
    </w:p>
    <w:p w14:paraId="11EEF894" w14:textId="0C2EEADA" w:rsidR="00EB30E5" w:rsidRPr="00A31721" w:rsidRDefault="00105D25" w:rsidP="001B374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Most wineries </w:t>
      </w:r>
      <w:proofErr w:type="gramStart"/>
      <w:r w:rsidRPr="00A31721">
        <w:rPr>
          <w:rFonts w:ascii="Times New Roman" w:eastAsia="Times New Roman" w:hAnsi="Times New Roman" w:cs="Times New Roman"/>
          <w:color w:val="000000" w:themeColor="text1"/>
          <w:sz w:val="24"/>
          <w:szCs w:val="24"/>
        </w:rPr>
        <w:t>are located in</w:t>
      </w:r>
      <w:proofErr w:type="gramEnd"/>
      <w:r w:rsidRPr="00A31721">
        <w:rPr>
          <w:rFonts w:ascii="Times New Roman" w:eastAsia="Times New Roman" w:hAnsi="Times New Roman" w:cs="Times New Roman"/>
          <w:color w:val="000000" w:themeColor="text1"/>
          <w:sz w:val="24"/>
          <w:szCs w:val="24"/>
        </w:rPr>
        <w:t xml:space="preserve"> the southern region of Brazil (79%), with 88% cultivating grapes and 72% producing wine primarily from conventional grapes. This contrasts with the European wine market, which is more advanced in organic and biodynamic production</w:t>
      </w:r>
      <w:r w:rsidR="000763D9" w:rsidRPr="00A31721">
        <w:rPr>
          <w:rFonts w:ascii="Times New Roman" w:eastAsia="Times New Roman" w:hAnsi="Times New Roman" w:cs="Times New Roman"/>
          <w:color w:val="000000" w:themeColor="text1"/>
          <w:sz w:val="24"/>
          <w:szCs w:val="24"/>
        </w:rPr>
        <w:t>. F</w:t>
      </w:r>
      <w:r w:rsidRPr="00A31721">
        <w:rPr>
          <w:rFonts w:ascii="Times New Roman" w:eastAsia="Times New Roman" w:hAnsi="Times New Roman" w:cs="Times New Roman"/>
          <w:color w:val="000000" w:themeColor="text1"/>
          <w:sz w:val="24"/>
          <w:szCs w:val="24"/>
        </w:rPr>
        <w:t xml:space="preserve">or example, </w:t>
      </w:r>
      <w:r w:rsidR="00FE169C" w:rsidRPr="00A31721">
        <w:rPr>
          <w:rFonts w:ascii="Times New Roman" w:eastAsia="Times New Roman" w:hAnsi="Times New Roman" w:cs="Times New Roman"/>
          <w:color w:val="000000" w:themeColor="text1"/>
          <w:sz w:val="24"/>
          <w:szCs w:val="24"/>
        </w:rPr>
        <w:t xml:space="preserve">studies suggested that </w:t>
      </w:r>
      <w:r w:rsidRPr="00A31721">
        <w:rPr>
          <w:rFonts w:ascii="Times New Roman" w:eastAsia="Times New Roman" w:hAnsi="Times New Roman" w:cs="Times New Roman"/>
          <w:color w:val="000000" w:themeColor="text1"/>
          <w:sz w:val="24"/>
          <w:szCs w:val="24"/>
        </w:rPr>
        <w:t>48.4% of Italian wineries hold organic production labels and 12.5% biodynamic certifications (</w:t>
      </w:r>
      <w:proofErr w:type="spellStart"/>
      <w:r w:rsidRPr="00A31721">
        <w:rPr>
          <w:rFonts w:ascii="Times New Roman" w:eastAsia="Times New Roman" w:hAnsi="Times New Roman" w:cs="Times New Roman"/>
          <w:color w:val="000000" w:themeColor="text1"/>
          <w:sz w:val="24"/>
          <w:szCs w:val="24"/>
        </w:rPr>
        <w:t>Steur</w:t>
      </w:r>
      <w:proofErr w:type="spellEnd"/>
      <w:r w:rsidRPr="00A31721">
        <w:rPr>
          <w:rFonts w:ascii="Times New Roman" w:eastAsia="Times New Roman" w:hAnsi="Times New Roman" w:cs="Times New Roman"/>
          <w:color w:val="000000" w:themeColor="text1"/>
          <w:sz w:val="24"/>
          <w:szCs w:val="24"/>
        </w:rPr>
        <w:t xml:space="preserve"> et al., 20</w:t>
      </w:r>
      <w:r w:rsidR="006D4E29" w:rsidRPr="00A31721">
        <w:rPr>
          <w:rFonts w:ascii="Times New Roman" w:eastAsia="Times New Roman" w:hAnsi="Times New Roman" w:cs="Times New Roman"/>
          <w:color w:val="000000" w:themeColor="text1"/>
          <w:sz w:val="24"/>
          <w:szCs w:val="24"/>
        </w:rPr>
        <w:t>20</w:t>
      </w:r>
      <w:r w:rsidRPr="00A31721">
        <w:rPr>
          <w:rFonts w:ascii="Times New Roman" w:eastAsia="Times New Roman" w:hAnsi="Times New Roman" w:cs="Times New Roman"/>
          <w:color w:val="000000" w:themeColor="text1"/>
          <w:sz w:val="24"/>
          <w:szCs w:val="24"/>
        </w:rPr>
        <w:t>); 48% of Greek wineries use organic grape-growing methods and 15% produce both organic and natural wines (Karagiannis &amp; Metaxas, 2020); and 45% of Spanish wineries offer organic, biodynamic, or natural wines (Fuentes-Fernández et al., 2022).</w:t>
      </w:r>
      <w:r w:rsidR="001B374A"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These</w:t>
      </w:r>
      <w:r w:rsidR="0093575F"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indicate the need for sector-specific strategies and public policy incentives to promote agricultural techniques that support organic and biodynamic grape cultivation. Such initiatives would contribute to the preservation of water, soil, animal, and plant resources, respond to consumer demand for environmentally and food safety-conscious products, and foster competitive differentiation in both national and international markets.</w:t>
      </w:r>
    </w:p>
    <w:p w14:paraId="2E2D4ACC" w14:textId="77777777" w:rsidR="00315562" w:rsidRPr="00A31721" w:rsidRDefault="00315562" w:rsidP="00105D2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p>
    <w:p w14:paraId="33CC9151" w14:textId="77777777" w:rsidR="00336C33" w:rsidRPr="00A31721" w:rsidRDefault="00336C33" w:rsidP="00336C33">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themeColor="text1"/>
          <w:sz w:val="24"/>
          <w:szCs w:val="24"/>
        </w:rPr>
      </w:pPr>
    </w:p>
    <w:p w14:paraId="01F393A4" w14:textId="77777777" w:rsidR="006749A4" w:rsidRPr="00A31721" w:rsidRDefault="0007550D">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lastRenderedPageBreak/>
        <w:t xml:space="preserve">4 Results </w:t>
      </w:r>
    </w:p>
    <w:p w14:paraId="01F393A6" w14:textId="77777777" w:rsidR="006749A4" w:rsidRPr="00A31721" w:rsidRDefault="0007550D">
      <w:pPr>
        <w:spacing w:after="0" w:line="240" w:lineRule="auto"/>
        <w:jc w:val="both"/>
        <w:rPr>
          <w:rFonts w:ascii="Times New Roman" w:eastAsia="Times New Roman" w:hAnsi="Times New Roman" w:cs="Times New Roman"/>
          <w:b/>
          <w:color w:val="000000" w:themeColor="text1"/>
          <w:sz w:val="24"/>
          <w:szCs w:val="24"/>
        </w:rPr>
      </w:pPr>
      <w:bookmarkStart w:id="3" w:name="_heading=h.1fob9te" w:colFirst="0" w:colLast="0"/>
      <w:bookmarkEnd w:id="3"/>
      <w:r w:rsidRPr="00A31721">
        <w:rPr>
          <w:rFonts w:ascii="Times New Roman" w:eastAsia="Times New Roman" w:hAnsi="Times New Roman" w:cs="Times New Roman"/>
          <w:b/>
          <w:color w:val="000000" w:themeColor="text1"/>
          <w:sz w:val="24"/>
          <w:szCs w:val="24"/>
        </w:rPr>
        <w:t>4.1 Measurement model</w:t>
      </w:r>
    </w:p>
    <w:p w14:paraId="589CC0F6" w14:textId="0256FDEE" w:rsidR="00416451" w:rsidRPr="00A31721" w:rsidRDefault="00416451" w:rsidP="00D30777">
      <w:pPr>
        <w:spacing w:after="0" w:line="240" w:lineRule="auto"/>
        <w:ind w:firstLine="720"/>
        <w:jc w:val="both"/>
        <w:rPr>
          <w:rFonts w:ascii="Times New Roman" w:eastAsia="Times New Roman" w:hAnsi="Times New Roman" w:cs="Times New Roman"/>
          <w:color w:val="000000" w:themeColor="text1"/>
          <w:sz w:val="24"/>
          <w:szCs w:val="24"/>
        </w:rPr>
      </w:pPr>
      <w:bookmarkStart w:id="4" w:name="_heading=h.3znysh7" w:colFirst="0" w:colLast="0"/>
      <w:bookmarkEnd w:id="4"/>
      <w:r w:rsidRPr="00A31721">
        <w:rPr>
          <w:rFonts w:ascii="Times New Roman" w:eastAsia="Times New Roman" w:hAnsi="Times New Roman" w:cs="Times New Roman"/>
          <w:color w:val="000000" w:themeColor="text1"/>
          <w:sz w:val="24"/>
          <w:szCs w:val="24"/>
        </w:rPr>
        <w:t xml:space="preserve">We assessed construct validity and reliability using the partial least squares (PLS) algorithm, following the guidelines of Hair et al. (2016). The measurement model tests whether items validly and reliably capture their underlying constructs by examining three criteria: (1) item </w:t>
      </w:r>
      <w:r w:rsidR="006917E2" w:rsidRPr="00A31721">
        <w:rPr>
          <w:rFonts w:ascii="Times New Roman" w:eastAsia="Times New Roman" w:hAnsi="Times New Roman" w:cs="Times New Roman"/>
          <w:color w:val="000000" w:themeColor="text1"/>
          <w:sz w:val="24"/>
          <w:szCs w:val="24"/>
        </w:rPr>
        <w:t xml:space="preserve">consistency </w:t>
      </w:r>
      <w:r w:rsidRPr="00A31721">
        <w:rPr>
          <w:rFonts w:ascii="Times New Roman" w:eastAsia="Times New Roman" w:hAnsi="Times New Roman" w:cs="Times New Roman"/>
          <w:color w:val="000000" w:themeColor="text1"/>
          <w:sz w:val="24"/>
          <w:szCs w:val="24"/>
        </w:rPr>
        <w:t xml:space="preserve">via factor loadings (threshold </w:t>
      </w:r>
      <w:r w:rsidR="00611B61"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0.40); (2) convergent validity via average variance extracted (AVE ≥ 0.50); and (3) </w:t>
      </w:r>
      <w:r w:rsidR="006917E2" w:rsidRPr="00A31721">
        <w:rPr>
          <w:rFonts w:ascii="Times New Roman" w:eastAsia="Times New Roman" w:hAnsi="Times New Roman" w:cs="Times New Roman"/>
          <w:color w:val="000000" w:themeColor="text1"/>
          <w:sz w:val="24"/>
          <w:szCs w:val="24"/>
        </w:rPr>
        <w:t xml:space="preserve">reliability </w:t>
      </w:r>
      <w:r w:rsidRPr="00A31721">
        <w:rPr>
          <w:rFonts w:ascii="Times New Roman" w:eastAsia="Times New Roman" w:hAnsi="Times New Roman" w:cs="Times New Roman"/>
          <w:color w:val="000000" w:themeColor="text1"/>
          <w:sz w:val="24"/>
          <w:szCs w:val="24"/>
        </w:rPr>
        <w:t xml:space="preserve">through Cronbach’s alpha, composite reliability, and </w:t>
      </w:r>
      <w:proofErr w:type="spellStart"/>
      <w:r w:rsidRPr="00A31721">
        <w:rPr>
          <w:rFonts w:ascii="Times New Roman" w:eastAsia="Times New Roman" w:hAnsi="Times New Roman" w:cs="Times New Roman"/>
          <w:color w:val="000000" w:themeColor="text1"/>
          <w:sz w:val="24"/>
          <w:szCs w:val="24"/>
        </w:rPr>
        <w:t>rho_A</w:t>
      </w:r>
      <w:proofErr w:type="spellEnd"/>
      <w:r w:rsidRPr="00A31721">
        <w:rPr>
          <w:rFonts w:ascii="Times New Roman" w:eastAsia="Times New Roman" w:hAnsi="Times New Roman" w:cs="Times New Roman"/>
          <w:color w:val="000000" w:themeColor="text1"/>
          <w:sz w:val="24"/>
          <w:szCs w:val="24"/>
        </w:rPr>
        <w:t>.</w:t>
      </w:r>
      <w:r w:rsidR="00D30777"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To improve model fit, we excluded </w:t>
      </w:r>
      <w:r w:rsidR="006917E2" w:rsidRPr="00A31721">
        <w:rPr>
          <w:rFonts w:ascii="Times New Roman" w:eastAsia="Times New Roman" w:hAnsi="Times New Roman" w:cs="Times New Roman"/>
          <w:color w:val="000000" w:themeColor="text1"/>
          <w:sz w:val="24"/>
          <w:szCs w:val="24"/>
        </w:rPr>
        <w:t>a few</w:t>
      </w:r>
      <w:r w:rsidRPr="00A31721">
        <w:rPr>
          <w:rFonts w:ascii="Times New Roman" w:eastAsia="Times New Roman" w:hAnsi="Times New Roman" w:cs="Times New Roman"/>
          <w:color w:val="000000" w:themeColor="text1"/>
          <w:sz w:val="24"/>
          <w:szCs w:val="24"/>
        </w:rPr>
        <w:t xml:space="preserve"> items with loadings below the recommended cutoff, consistent with established practice. All remaining constructs demonstrated acceptable reliability, with Cronbach’s alpha values exceeding 0.70</w:t>
      </w:r>
      <w:r w:rsidR="000A082E" w:rsidRPr="00A31721">
        <w:rPr>
          <w:rFonts w:ascii="Times New Roman" w:eastAsia="Times New Roman" w:hAnsi="Times New Roman" w:cs="Times New Roman"/>
          <w:color w:val="000000" w:themeColor="text1"/>
          <w:sz w:val="24"/>
          <w:szCs w:val="24"/>
        </w:rPr>
        <w:t xml:space="preserve"> (See table 1)</w:t>
      </w:r>
      <w:r w:rsidRPr="00A31721">
        <w:rPr>
          <w:rFonts w:ascii="Times New Roman" w:eastAsia="Times New Roman" w:hAnsi="Times New Roman" w:cs="Times New Roman"/>
          <w:color w:val="000000" w:themeColor="text1"/>
          <w:sz w:val="24"/>
          <w:szCs w:val="24"/>
        </w:rPr>
        <w:t xml:space="preserve">. Notably, Environmental Sustainability Practices, Use of EMA, and Environmental Uncertainty showed high internal consistency (α &gt; 0.90). Composite reliability and </w:t>
      </w:r>
      <w:proofErr w:type="spellStart"/>
      <w:r w:rsidRPr="00A31721">
        <w:rPr>
          <w:rFonts w:ascii="Times New Roman" w:eastAsia="Times New Roman" w:hAnsi="Times New Roman" w:cs="Times New Roman"/>
          <w:color w:val="000000" w:themeColor="text1"/>
          <w:sz w:val="24"/>
          <w:szCs w:val="24"/>
        </w:rPr>
        <w:t>rho_A</w:t>
      </w:r>
      <w:proofErr w:type="spellEnd"/>
      <w:r w:rsidRPr="00A31721">
        <w:rPr>
          <w:rFonts w:ascii="Times New Roman" w:eastAsia="Times New Roman" w:hAnsi="Times New Roman" w:cs="Times New Roman"/>
          <w:color w:val="000000" w:themeColor="text1"/>
          <w:sz w:val="24"/>
          <w:szCs w:val="24"/>
        </w:rPr>
        <w:t xml:space="preserve"> coefficients </w:t>
      </w:r>
      <w:proofErr w:type="gramStart"/>
      <w:r w:rsidRPr="00A31721">
        <w:rPr>
          <w:rFonts w:ascii="Times New Roman" w:eastAsia="Times New Roman" w:hAnsi="Times New Roman" w:cs="Times New Roman"/>
          <w:color w:val="000000" w:themeColor="text1"/>
          <w:sz w:val="24"/>
          <w:szCs w:val="24"/>
        </w:rPr>
        <w:t>further</w:t>
      </w:r>
      <w:proofErr w:type="gramEnd"/>
      <w:r w:rsidRPr="00A31721">
        <w:rPr>
          <w:rFonts w:ascii="Times New Roman" w:eastAsia="Times New Roman" w:hAnsi="Times New Roman" w:cs="Times New Roman"/>
          <w:color w:val="000000" w:themeColor="text1"/>
          <w:sz w:val="24"/>
          <w:szCs w:val="24"/>
        </w:rPr>
        <w:t xml:space="preserve"> confirmed construct reliability.</w:t>
      </w:r>
    </w:p>
    <w:p w14:paraId="01F393AE" w14:textId="2487429A" w:rsidR="006749A4" w:rsidRPr="00A31721" w:rsidRDefault="00D30777" w:rsidP="00F8762D">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Regarding the validity, c</w:t>
      </w:r>
      <w:r w:rsidR="00416451" w:rsidRPr="00A31721">
        <w:rPr>
          <w:rFonts w:ascii="Times New Roman" w:eastAsia="Times New Roman" w:hAnsi="Times New Roman" w:cs="Times New Roman"/>
          <w:color w:val="000000" w:themeColor="text1"/>
          <w:sz w:val="24"/>
          <w:szCs w:val="24"/>
        </w:rPr>
        <w:t xml:space="preserve">onvergent validity was supported, as all AVEs surpassed the 0.50 threshold. Overall, these indicators confirm that the </w:t>
      </w:r>
      <w:proofErr w:type="gramStart"/>
      <w:r w:rsidR="00416451" w:rsidRPr="00A31721">
        <w:rPr>
          <w:rFonts w:ascii="Times New Roman" w:eastAsia="Times New Roman" w:hAnsi="Times New Roman" w:cs="Times New Roman"/>
          <w:color w:val="000000" w:themeColor="text1"/>
          <w:sz w:val="24"/>
          <w:szCs w:val="24"/>
        </w:rPr>
        <w:t>constructs</w:t>
      </w:r>
      <w:proofErr w:type="gramEnd"/>
      <w:r w:rsidR="00416451" w:rsidRPr="00A31721">
        <w:rPr>
          <w:rFonts w:ascii="Times New Roman" w:eastAsia="Times New Roman" w:hAnsi="Times New Roman" w:cs="Times New Roman"/>
          <w:color w:val="000000" w:themeColor="text1"/>
          <w:sz w:val="24"/>
          <w:szCs w:val="24"/>
        </w:rPr>
        <w:t xml:space="preserve"> are both theoretically grounded and empirically robust.</w:t>
      </w:r>
      <w:r w:rsidR="00AD73A4" w:rsidRPr="00A31721">
        <w:rPr>
          <w:rFonts w:ascii="Times New Roman" w:eastAsia="Times New Roman" w:hAnsi="Times New Roman" w:cs="Times New Roman"/>
          <w:color w:val="000000" w:themeColor="text1"/>
          <w:sz w:val="24"/>
          <w:szCs w:val="24"/>
        </w:rPr>
        <w:t xml:space="preserve"> </w:t>
      </w:r>
      <w:r w:rsidR="00416451" w:rsidRPr="00A31721">
        <w:rPr>
          <w:rFonts w:ascii="Times New Roman" w:eastAsia="Times New Roman" w:hAnsi="Times New Roman" w:cs="Times New Roman"/>
          <w:color w:val="000000" w:themeColor="text1"/>
          <w:sz w:val="24"/>
          <w:szCs w:val="24"/>
        </w:rPr>
        <w:t xml:space="preserve">Discriminant validity was evaluated using the Fornell-Larcker criterion. </w:t>
      </w:r>
      <w:r w:rsidR="0053384B" w:rsidRPr="00A31721">
        <w:rPr>
          <w:rFonts w:ascii="Times New Roman" w:eastAsia="Times New Roman" w:hAnsi="Times New Roman" w:cs="Times New Roman"/>
          <w:color w:val="000000" w:themeColor="text1"/>
          <w:sz w:val="24"/>
          <w:szCs w:val="24"/>
        </w:rPr>
        <w:t>T</w:t>
      </w:r>
      <w:r w:rsidR="00416451" w:rsidRPr="00A31721">
        <w:rPr>
          <w:rFonts w:ascii="Times New Roman" w:eastAsia="Times New Roman" w:hAnsi="Times New Roman" w:cs="Times New Roman"/>
          <w:color w:val="000000" w:themeColor="text1"/>
          <w:sz w:val="24"/>
          <w:szCs w:val="24"/>
        </w:rPr>
        <w:t>h</w:t>
      </w:r>
      <w:r w:rsidR="00D2603D" w:rsidRPr="00A31721">
        <w:rPr>
          <w:rFonts w:ascii="Times New Roman" w:eastAsia="Times New Roman" w:hAnsi="Times New Roman" w:cs="Times New Roman"/>
          <w:color w:val="000000" w:themeColor="text1"/>
          <w:sz w:val="24"/>
          <w:szCs w:val="24"/>
        </w:rPr>
        <w:t>is</w:t>
      </w:r>
      <w:r w:rsidR="00416451" w:rsidRPr="00A31721">
        <w:rPr>
          <w:rFonts w:ascii="Times New Roman" w:eastAsia="Times New Roman" w:hAnsi="Times New Roman" w:cs="Times New Roman"/>
          <w:color w:val="000000" w:themeColor="text1"/>
          <w:sz w:val="24"/>
          <w:szCs w:val="24"/>
        </w:rPr>
        <w:t xml:space="preserve"> </w:t>
      </w:r>
      <w:proofErr w:type="gramStart"/>
      <w:r w:rsidR="00F8762D" w:rsidRPr="00A31721">
        <w:rPr>
          <w:rFonts w:ascii="Times New Roman" w:eastAsia="Times New Roman" w:hAnsi="Times New Roman" w:cs="Times New Roman"/>
          <w:color w:val="000000" w:themeColor="text1"/>
          <w:sz w:val="24"/>
          <w:szCs w:val="24"/>
        </w:rPr>
        <w:t>indicate</w:t>
      </w:r>
      <w:proofErr w:type="gramEnd"/>
      <w:r w:rsidR="00416451" w:rsidRPr="00A31721">
        <w:rPr>
          <w:rFonts w:ascii="Times New Roman" w:eastAsia="Times New Roman" w:hAnsi="Times New Roman" w:cs="Times New Roman"/>
          <w:color w:val="000000" w:themeColor="text1"/>
          <w:sz w:val="24"/>
          <w:szCs w:val="24"/>
        </w:rPr>
        <w:t xml:space="preserve"> that each construct is empirically distinct from the others. </w:t>
      </w:r>
      <w:r w:rsidR="0007550D" w:rsidRPr="00A31721">
        <w:rPr>
          <w:rFonts w:ascii="Times New Roman" w:eastAsia="Times New Roman" w:hAnsi="Times New Roman" w:cs="Times New Roman"/>
          <w:color w:val="000000" w:themeColor="text1"/>
          <w:sz w:val="24"/>
          <w:szCs w:val="24"/>
        </w:rPr>
        <w:t>The proposed model is robust, as the independent variables explain more than 50% of the consequent variables. The “Environmental performance” construct, which is the dependent variable, presents an adjusted R</w:t>
      </w:r>
      <w:r w:rsidR="0007550D" w:rsidRPr="00A31721">
        <w:rPr>
          <w:rFonts w:ascii="Times New Roman" w:eastAsia="Times New Roman" w:hAnsi="Times New Roman" w:cs="Times New Roman"/>
          <w:color w:val="000000" w:themeColor="text1"/>
          <w:sz w:val="24"/>
          <w:szCs w:val="24"/>
          <w:vertAlign w:val="superscript"/>
        </w:rPr>
        <w:t xml:space="preserve">2 </w:t>
      </w:r>
      <w:r w:rsidR="0007550D" w:rsidRPr="00A31721">
        <w:rPr>
          <w:rFonts w:ascii="Times New Roman" w:eastAsia="Times New Roman" w:hAnsi="Times New Roman" w:cs="Times New Roman"/>
          <w:color w:val="000000" w:themeColor="text1"/>
          <w:sz w:val="24"/>
          <w:szCs w:val="24"/>
        </w:rPr>
        <w:t xml:space="preserve">greater than 60%, as well as the EMA use construct, while the construct </w:t>
      </w:r>
      <w:r w:rsidR="00E50A84" w:rsidRPr="00A31721">
        <w:rPr>
          <w:rFonts w:ascii="Times New Roman" w:eastAsia="Times New Roman" w:hAnsi="Times New Roman" w:cs="Times New Roman"/>
          <w:color w:val="000000" w:themeColor="text1"/>
          <w:sz w:val="24"/>
          <w:szCs w:val="24"/>
        </w:rPr>
        <w:t xml:space="preserve">adoption of </w:t>
      </w:r>
      <w:r w:rsidR="0007550D" w:rsidRPr="00A31721">
        <w:rPr>
          <w:rFonts w:ascii="Times New Roman" w:eastAsia="Times New Roman" w:hAnsi="Times New Roman" w:cs="Times New Roman"/>
          <w:color w:val="000000" w:themeColor="text1"/>
          <w:sz w:val="24"/>
          <w:szCs w:val="24"/>
        </w:rPr>
        <w:t>sustainability practices presents an adjusted R</w:t>
      </w:r>
      <w:r w:rsidR="0007550D" w:rsidRPr="00A31721">
        <w:rPr>
          <w:rFonts w:ascii="Times New Roman" w:eastAsia="Times New Roman" w:hAnsi="Times New Roman" w:cs="Times New Roman"/>
          <w:color w:val="000000" w:themeColor="text1"/>
          <w:sz w:val="24"/>
          <w:szCs w:val="24"/>
          <w:vertAlign w:val="superscript"/>
        </w:rPr>
        <w:t>2</w:t>
      </w:r>
      <w:r w:rsidR="0007550D" w:rsidRPr="00A31721">
        <w:rPr>
          <w:rFonts w:ascii="Times New Roman" w:eastAsia="Times New Roman" w:hAnsi="Times New Roman" w:cs="Times New Roman"/>
          <w:color w:val="000000" w:themeColor="text1"/>
          <w:sz w:val="24"/>
          <w:szCs w:val="24"/>
        </w:rPr>
        <w:t xml:space="preserve"> greater than 70%. This data demonstrates that the proposed model is not only supported by the </w:t>
      </w:r>
      <w:r w:rsidR="00071BD4" w:rsidRPr="00A31721">
        <w:rPr>
          <w:rFonts w:ascii="Times New Roman" w:eastAsia="Times New Roman" w:hAnsi="Times New Roman" w:cs="Times New Roman"/>
          <w:color w:val="000000" w:themeColor="text1"/>
          <w:sz w:val="24"/>
          <w:szCs w:val="24"/>
        </w:rPr>
        <w:t>literature but</w:t>
      </w:r>
      <w:r w:rsidR="0007550D" w:rsidRPr="00A31721">
        <w:rPr>
          <w:rFonts w:ascii="Times New Roman" w:eastAsia="Times New Roman" w:hAnsi="Times New Roman" w:cs="Times New Roman"/>
          <w:color w:val="000000" w:themeColor="text1"/>
          <w:sz w:val="24"/>
          <w:szCs w:val="24"/>
        </w:rPr>
        <w:t xml:space="preserve"> also supports the empirical evidence previously highlighted.</w:t>
      </w:r>
    </w:p>
    <w:p w14:paraId="64D9700E" w14:textId="77777777" w:rsidR="00A878DB" w:rsidRPr="00A31721" w:rsidRDefault="00A878DB" w:rsidP="00C53FFF">
      <w:pPr>
        <w:spacing w:line="240" w:lineRule="auto"/>
        <w:ind w:firstLine="720"/>
        <w:jc w:val="both"/>
        <w:rPr>
          <w:rFonts w:ascii="Times New Roman" w:eastAsia="Times New Roman" w:hAnsi="Times New Roman" w:cs="Times New Roman"/>
          <w:color w:val="000000" w:themeColor="text1"/>
          <w:sz w:val="24"/>
          <w:szCs w:val="24"/>
        </w:rPr>
      </w:pPr>
    </w:p>
    <w:p w14:paraId="66F2F3F3" w14:textId="609328A6" w:rsidR="00A878DB" w:rsidRPr="00A31721" w:rsidRDefault="00A878DB" w:rsidP="00A878DB">
      <w:pPr>
        <w:spacing w:line="240" w:lineRule="auto"/>
        <w:ind w:firstLine="720"/>
        <w:jc w:val="center"/>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[Table 1]</w:t>
      </w:r>
    </w:p>
    <w:p w14:paraId="0DBD9AF1" w14:textId="2D500F73" w:rsidR="00C53FFF" w:rsidRPr="00A31721" w:rsidRDefault="00F434EA" w:rsidP="003B230C">
      <w:pPr>
        <w:spacing w:line="240" w:lineRule="auto"/>
        <w:jc w:val="both"/>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4.2</w:t>
      </w:r>
      <w:r w:rsidR="003B230C" w:rsidRPr="00A31721">
        <w:rPr>
          <w:rFonts w:ascii="Times New Roman" w:hAnsi="Times New Roman" w:cs="Times New Roman"/>
          <w:b/>
          <w:bCs/>
          <w:color w:val="000000" w:themeColor="text1"/>
          <w:sz w:val="24"/>
          <w:szCs w:val="24"/>
        </w:rPr>
        <w:t xml:space="preserve"> Structural Model</w:t>
      </w:r>
    </w:p>
    <w:p w14:paraId="6A21C781" w14:textId="31AE3E83" w:rsidR="00530565" w:rsidRPr="00A31721" w:rsidRDefault="00530565" w:rsidP="005305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bookmarkStart w:id="5" w:name="_heading=h.2et92p0" w:colFirst="0" w:colLast="0"/>
      <w:bookmarkEnd w:id="5"/>
      <w:r w:rsidRPr="00A31721">
        <w:rPr>
          <w:rFonts w:ascii="Times New Roman" w:eastAsia="Times New Roman" w:hAnsi="Times New Roman" w:cs="Times New Roman"/>
          <w:color w:val="000000" w:themeColor="text1"/>
          <w:sz w:val="24"/>
          <w:szCs w:val="24"/>
        </w:rPr>
        <w:t xml:space="preserve">The bootstrapping technique was used with 5,000 sub-samples and a confidence interval at the 10% level. The results of the structural model are presented in Table </w:t>
      </w:r>
      <w:r w:rsidR="000A082E" w:rsidRPr="00A31721">
        <w:rPr>
          <w:rFonts w:ascii="Times New Roman" w:eastAsia="Times New Roman" w:hAnsi="Times New Roman" w:cs="Times New Roman"/>
          <w:color w:val="000000" w:themeColor="text1"/>
          <w:sz w:val="24"/>
          <w:szCs w:val="24"/>
        </w:rPr>
        <w:t>2</w:t>
      </w:r>
      <w:r w:rsidRPr="00A31721">
        <w:rPr>
          <w:rFonts w:ascii="Times New Roman" w:eastAsia="Times New Roman" w:hAnsi="Times New Roman" w:cs="Times New Roman"/>
          <w:color w:val="000000" w:themeColor="text1"/>
          <w:sz w:val="24"/>
          <w:szCs w:val="24"/>
        </w:rPr>
        <w:t>.</w:t>
      </w:r>
      <w:r w:rsidR="00D8579D" w:rsidRPr="00A31721">
        <w:rPr>
          <w:rFonts w:ascii="Times New Roman" w:eastAsia="Times New Roman" w:hAnsi="Times New Roman" w:cs="Times New Roman"/>
          <w:color w:val="000000" w:themeColor="text1"/>
          <w:sz w:val="24"/>
          <w:szCs w:val="24"/>
        </w:rPr>
        <w:t xml:space="preserve"> </w:t>
      </w:r>
      <w:r w:rsidR="00A7268A" w:rsidRPr="00A31721">
        <w:rPr>
          <w:rFonts w:ascii="Times New Roman" w:eastAsia="Times New Roman" w:hAnsi="Times New Roman" w:cs="Times New Roman"/>
          <w:color w:val="000000" w:themeColor="text1"/>
          <w:sz w:val="24"/>
          <w:szCs w:val="24"/>
        </w:rPr>
        <w:t>In this study we pre</w:t>
      </w:r>
      <w:r w:rsidR="006B3039" w:rsidRPr="00A31721">
        <w:rPr>
          <w:rFonts w:ascii="Times New Roman" w:eastAsia="Times New Roman" w:hAnsi="Times New Roman" w:cs="Times New Roman"/>
          <w:color w:val="000000" w:themeColor="text1"/>
          <w:sz w:val="24"/>
          <w:szCs w:val="24"/>
        </w:rPr>
        <w:t>dict the association between</w:t>
      </w:r>
      <w:r w:rsidRPr="00A31721">
        <w:rPr>
          <w:rFonts w:ascii="Times New Roman" w:eastAsia="Times New Roman" w:hAnsi="Times New Roman" w:cs="Times New Roman"/>
          <w:color w:val="000000" w:themeColor="text1"/>
          <w:sz w:val="24"/>
          <w:szCs w:val="24"/>
        </w:rPr>
        <w:t xml:space="preserve"> </w:t>
      </w:r>
      <w:r w:rsidR="00DA4A19" w:rsidRPr="00A31721">
        <w:rPr>
          <w:rFonts w:ascii="Times New Roman" w:eastAsia="Times New Roman" w:hAnsi="Times New Roman" w:cs="Times New Roman"/>
          <w:color w:val="000000" w:themeColor="text1"/>
          <w:sz w:val="24"/>
          <w:szCs w:val="24"/>
        </w:rPr>
        <w:t>c</w:t>
      </w:r>
      <w:r w:rsidRPr="00A31721">
        <w:rPr>
          <w:rFonts w:ascii="Times New Roman" w:eastAsia="Times New Roman" w:hAnsi="Times New Roman" w:cs="Times New Roman"/>
          <w:color w:val="000000" w:themeColor="text1"/>
          <w:sz w:val="24"/>
          <w:szCs w:val="24"/>
        </w:rPr>
        <w:t xml:space="preserve">ontingency </w:t>
      </w:r>
      <w:r w:rsidR="00DA4A19" w:rsidRPr="00A31721">
        <w:rPr>
          <w:rFonts w:ascii="Times New Roman" w:eastAsia="Times New Roman" w:hAnsi="Times New Roman" w:cs="Times New Roman"/>
          <w:color w:val="000000" w:themeColor="text1"/>
          <w:sz w:val="24"/>
          <w:szCs w:val="24"/>
        </w:rPr>
        <w:t>factor</w:t>
      </w:r>
      <w:r w:rsidR="006B3039" w:rsidRPr="00A31721">
        <w:rPr>
          <w:rFonts w:ascii="Times New Roman" w:eastAsia="Times New Roman" w:hAnsi="Times New Roman" w:cs="Times New Roman"/>
          <w:color w:val="000000" w:themeColor="text1"/>
          <w:sz w:val="24"/>
          <w:szCs w:val="24"/>
        </w:rPr>
        <w:t>s</w:t>
      </w:r>
      <w:r w:rsidRPr="00A31721">
        <w:rPr>
          <w:rFonts w:ascii="Times New Roman" w:eastAsia="Times New Roman" w:hAnsi="Times New Roman" w:cs="Times New Roman"/>
          <w:color w:val="000000" w:themeColor="text1"/>
          <w:sz w:val="24"/>
          <w:szCs w:val="24"/>
        </w:rPr>
        <w:t xml:space="preserve"> </w:t>
      </w:r>
      <w:r w:rsidR="006B3039" w:rsidRPr="00A31721">
        <w:rPr>
          <w:rFonts w:ascii="Times New Roman" w:eastAsia="Times New Roman" w:hAnsi="Times New Roman" w:cs="Times New Roman"/>
          <w:color w:val="000000" w:themeColor="text1"/>
          <w:sz w:val="24"/>
          <w:szCs w:val="24"/>
        </w:rPr>
        <w:t>and</w:t>
      </w:r>
      <w:r w:rsidRPr="00A31721">
        <w:rPr>
          <w:rFonts w:ascii="Times New Roman" w:eastAsia="Times New Roman" w:hAnsi="Times New Roman" w:cs="Times New Roman"/>
          <w:color w:val="000000" w:themeColor="text1"/>
          <w:sz w:val="24"/>
          <w:szCs w:val="24"/>
        </w:rPr>
        <w:t xml:space="preserve"> adoption of sustainability practices and the use of EMA tools. The results support the study’s first hypothesis, which posited a positive relationship between </w:t>
      </w:r>
      <w:r w:rsidR="00EB6E50" w:rsidRPr="00A31721">
        <w:rPr>
          <w:rFonts w:ascii="Times New Roman" w:eastAsia="Times New Roman" w:hAnsi="Times New Roman" w:cs="Times New Roman"/>
          <w:color w:val="000000" w:themeColor="text1"/>
          <w:sz w:val="24"/>
          <w:szCs w:val="24"/>
        </w:rPr>
        <w:t>c</w:t>
      </w:r>
      <w:r w:rsidRPr="00A31721">
        <w:rPr>
          <w:rFonts w:ascii="Times New Roman" w:eastAsia="Times New Roman" w:hAnsi="Times New Roman" w:cs="Times New Roman"/>
          <w:color w:val="000000" w:themeColor="text1"/>
          <w:sz w:val="24"/>
          <w:szCs w:val="24"/>
        </w:rPr>
        <w:t>ontingency</w:t>
      </w:r>
      <w:r w:rsidR="00EB6E50" w:rsidRPr="00A31721">
        <w:rPr>
          <w:rFonts w:ascii="Times New Roman" w:eastAsia="Times New Roman" w:hAnsi="Times New Roman" w:cs="Times New Roman"/>
          <w:color w:val="000000" w:themeColor="text1"/>
          <w:sz w:val="24"/>
          <w:szCs w:val="24"/>
        </w:rPr>
        <w:t xml:space="preserve"> factors</w:t>
      </w:r>
      <w:r w:rsidRPr="00A31721">
        <w:rPr>
          <w:rFonts w:ascii="Times New Roman" w:eastAsia="Times New Roman" w:hAnsi="Times New Roman" w:cs="Times New Roman"/>
          <w:color w:val="000000" w:themeColor="text1"/>
          <w:sz w:val="24"/>
          <w:szCs w:val="24"/>
        </w:rPr>
        <w:t xml:space="preserve"> and the adoption of sustainability practices in wineries. Specifically, (H1a) environmental uncertainty positively influences the adoption of sustainability practices (B = 0.587; p &lt; 0.01); (H1b) environmental strategy positively influences the adoption of sustainability practices (B = 0.130; p &lt; 0.05); and (H1c) technology positively influences the adoption of sustainability practices (B = 0.255; p &lt; 0.01). These effects confirm H1 and are consistent with literature suggesting that contingency factors influence organizational structures (</w:t>
      </w:r>
      <w:proofErr w:type="spellStart"/>
      <w:r w:rsidRPr="00A31721">
        <w:rPr>
          <w:rFonts w:ascii="Times New Roman" w:eastAsia="Times New Roman" w:hAnsi="Times New Roman" w:cs="Times New Roman"/>
          <w:color w:val="000000" w:themeColor="text1"/>
          <w:sz w:val="24"/>
          <w:szCs w:val="24"/>
        </w:rPr>
        <w:t>Chenhall</w:t>
      </w:r>
      <w:proofErr w:type="spellEnd"/>
      <w:r w:rsidRPr="00A31721">
        <w:rPr>
          <w:rFonts w:ascii="Times New Roman" w:eastAsia="Times New Roman" w:hAnsi="Times New Roman" w:cs="Times New Roman"/>
          <w:color w:val="000000" w:themeColor="text1"/>
          <w:sz w:val="24"/>
          <w:szCs w:val="24"/>
        </w:rPr>
        <w:t xml:space="preserve">, 2003) and that </w:t>
      </w:r>
      <w:r w:rsidR="00BC7D3E" w:rsidRPr="00A31721">
        <w:rPr>
          <w:rFonts w:ascii="Times New Roman" w:eastAsia="Times New Roman" w:hAnsi="Times New Roman" w:cs="Times New Roman"/>
          <w:color w:val="000000" w:themeColor="text1"/>
          <w:sz w:val="24"/>
          <w:szCs w:val="24"/>
        </w:rPr>
        <w:t>organizational</w:t>
      </w:r>
      <w:r w:rsidRPr="00A31721">
        <w:rPr>
          <w:rFonts w:ascii="Times New Roman" w:eastAsia="Times New Roman" w:hAnsi="Times New Roman" w:cs="Times New Roman"/>
          <w:color w:val="000000" w:themeColor="text1"/>
          <w:sz w:val="24"/>
          <w:szCs w:val="24"/>
        </w:rPr>
        <w:t xml:space="preserve"> practices are shaped by the context in which firms operate (Christ and Burritt, 2013b). This reinforces the view that contingency factors affect the adoption of sustainability practices (Abdel-Maksoud et al., 2016; Agi </w:t>
      </w:r>
      <w:r w:rsidR="00C421CF" w:rsidRPr="00A31721">
        <w:rPr>
          <w:rFonts w:ascii="Times New Roman" w:eastAsia="Times New Roman" w:hAnsi="Times New Roman" w:cs="Times New Roman"/>
          <w:color w:val="000000" w:themeColor="text1"/>
          <w:sz w:val="24"/>
          <w:szCs w:val="24"/>
        </w:rPr>
        <w:t>&amp;</w:t>
      </w:r>
      <w:r w:rsidRPr="00A31721">
        <w:rPr>
          <w:rFonts w:ascii="Times New Roman" w:eastAsia="Times New Roman" w:hAnsi="Times New Roman" w:cs="Times New Roman"/>
          <w:color w:val="000000" w:themeColor="text1"/>
          <w:sz w:val="24"/>
          <w:szCs w:val="24"/>
        </w:rPr>
        <w:t xml:space="preserve"> Nishant, 2017; </w:t>
      </w:r>
      <w:proofErr w:type="spellStart"/>
      <w:r w:rsidRPr="00A31721">
        <w:rPr>
          <w:rFonts w:ascii="Times New Roman" w:eastAsia="Times New Roman" w:hAnsi="Times New Roman" w:cs="Times New Roman"/>
          <w:color w:val="000000" w:themeColor="text1"/>
          <w:sz w:val="24"/>
          <w:szCs w:val="24"/>
        </w:rPr>
        <w:t>Maletič</w:t>
      </w:r>
      <w:proofErr w:type="spellEnd"/>
      <w:r w:rsidRPr="00A31721">
        <w:rPr>
          <w:rFonts w:ascii="Times New Roman" w:eastAsia="Times New Roman" w:hAnsi="Times New Roman" w:cs="Times New Roman"/>
          <w:color w:val="000000" w:themeColor="text1"/>
          <w:sz w:val="24"/>
          <w:szCs w:val="24"/>
        </w:rPr>
        <w:t xml:space="preserve"> et al., 2018).</w:t>
      </w:r>
    </w:p>
    <w:p w14:paraId="7FB43FA8" w14:textId="627ABC46" w:rsidR="00530565" w:rsidRPr="00A31721" w:rsidRDefault="00530565" w:rsidP="005305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The results also show that contingency factors influence the use of EMA tools. Specifically, (H2a) environmental uncertainty leads to greater use of EMA tools in wineries (B = 0.373; p &lt; 0.01); (H2b) environmental strategy positively impacts the use of EMA tools (B = 0.307; p &lt; 0.01); and (H2c) technology positively influences the use of EMA tools (B = 0.258; p &lt; 0.01). These findings largely support H2 and align with prior management accounting literature that links </w:t>
      </w:r>
      <w:r w:rsidRPr="00A31721">
        <w:rPr>
          <w:rFonts w:ascii="Times New Roman" w:eastAsia="Times New Roman" w:hAnsi="Times New Roman" w:cs="Times New Roman"/>
          <w:color w:val="000000" w:themeColor="text1"/>
          <w:sz w:val="24"/>
          <w:szCs w:val="24"/>
        </w:rPr>
        <w:lastRenderedPageBreak/>
        <w:t>contingency factors to the use of management control systems (</w:t>
      </w:r>
      <w:proofErr w:type="spellStart"/>
      <w:r w:rsidRPr="00A31721">
        <w:rPr>
          <w:rFonts w:ascii="Times New Roman" w:eastAsia="Times New Roman" w:hAnsi="Times New Roman" w:cs="Times New Roman"/>
          <w:color w:val="000000" w:themeColor="text1"/>
          <w:sz w:val="24"/>
          <w:szCs w:val="24"/>
        </w:rPr>
        <w:t>Chenhall</w:t>
      </w:r>
      <w:proofErr w:type="spellEnd"/>
      <w:r w:rsidRPr="00A31721">
        <w:rPr>
          <w:rFonts w:ascii="Times New Roman" w:eastAsia="Times New Roman" w:hAnsi="Times New Roman" w:cs="Times New Roman"/>
          <w:color w:val="000000" w:themeColor="text1"/>
          <w:sz w:val="24"/>
          <w:szCs w:val="24"/>
        </w:rPr>
        <w:t xml:space="preserve">, 2003; </w:t>
      </w:r>
      <w:proofErr w:type="spellStart"/>
      <w:r w:rsidRPr="00A31721">
        <w:rPr>
          <w:rFonts w:ascii="Times New Roman" w:eastAsia="Times New Roman" w:hAnsi="Times New Roman" w:cs="Times New Roman"/>
          <w:color w:val="000000" w:themeColor="text1"/>
          <w:sz w:val="24"/>
          <w:szCs w:val="24"/>
        </w:rPr>
        <w:t>Chenhall</w:t>
      </w:r>
      <w:proofErr w:type="spellEnd"/>
      <w:r w:rsidRPr="00A31721">
        <w:rPr>
          <w:rFonts w:ascii="Times New Roman" w:eastAsia="Times New Roman" w:hAnsi="Times New Roman" w:cs="Times New Roman"/>
          <w:color w:val="000000" w:themeColor="text1"/>
          <w:sz w:val="24"/>
          <w:szCs w:val="24"/>
        </w:rPr>
        <w:t xml:space="preserve">, 2006), as well as to the adoption of environmental management accounting tools. In high-uncertainty environments, access to information helps managers improve decision-making and seek solutions to reduce environmental impact (Latan et al., 2018). Moreover, as organizations adopt proactive environmental strategies in response to environmental challenges, they tend to utilize EMA tools that support sustainability-related objectives (Christ </w:t>
      </w:r>
      <w:r w:rsidR="00AD1B81" w:rsidRPr="00A31721">
        <w:rPr>
          <w:rFonts w:ascii="Times New Roman" w:eastAsia="Times New Roman" w:hAnsi="Times New Roman" w:cs="Times New Roman"/>
          <w:color w:val="000000" w:themeColor="text1"/>
          <w:sz w:val="24"/>
          <w:szCs w:val="24"/>
        </w:rPr>
        <w:t>&amp;</w:t>
      </w:r>
      <w:r w:rsidRPr="00A31721">
        <w:rPr>
          <w:rFonts w:ascii="Times New Roman" w:eastAsia="Times New Roman" w:hAnsi="Times New Roman" w:cs="Times New Roman"/>
          <w:color w:val="000000" w:themeColor="text1"/>
          <w:sz w:val="24"/>
          <w:szCs w:val="24"/>
        </w:rPr>
        <w:t xml:space="preserve"> Burritt, 2013b; Christ, 2014; Latan et al., 2018; Gunarathne et al., 2023).</w:t>
      </w:r>
    </w:p>
    <w:p w14:paraId="77BF412A" w14:textId="24759FA0" w:rsidR="00530565" w:rsidRPr="00A31721" w:rsidRDefault="00530565" w:rsidP="005305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To examine how </w:t>
      </w:r>
      <w:r w:rsidR="005269D9" w:rsidRPr="00A31721">
        <w:rPr>
          <w:rFonts w:ascii="Times New Roman" w:eastAsia="Times New Roman" w:hAnsi="Times New Roman" w:cs="Times New Roman"/>
          <w:color w:val="000000" w:themeColor="text1"/>
          <w:sz w:val="24"/>
          <w:szCs w:val="24"/>
        </w:rPr>
        <w:t xml:space="preserve">adoption of </w:t>
      </w:r>
      <w:r w:rsidRPr="00A31721">
        <w:rPr>
          <w:rFonts w:ascii="Times New Roman" w:eastAsia="Times New Roman" w:hAnsi="Times New Roman" w:cs="Times New Roman"/>
          <w:color w:val="000000" w:themeColor="text1"/>
          <w:sz w:val="24"/>
          <w:szCs w:val="24"/>
        </w:rPr>
        <w:t>sustainability practices and the use of EMA tools translate organizational intentions into effective sustainability outcomes</w:t>
      </w:r>
      <w:r w:rsidR="00184D08" w:rsidRPr="00A31721">
        <w:rPr>
          <w:rFonts w:ascii="Times New Roman" w:eastAsia="Times New Roman" w:hAnsi="Times New Roman" w:cs="Times New Roman"/>
          <w:color w:val="000000" w:themeColor="text1"/>
          <w:sz w:val="24"/>
          <w:szCs w:val="24"/>
        </w:rPr>
        <w:t xml:space="preserve">, </w:t>
      </w:r>
      <w:r w:rsidR="00F51392" w:rsidRPr="00A31721">
        <w:rPr>
          <w:rFonts w:ascii="Times New Roman" w:eastAsia="Times New Roman" w:hAnsi="Times New Roman" w:cs="Times New Roman"/>
          <w:color w:val="000000" w:themeColor="text1"/>
          <w:sz w:val="24"/>
          <w:szCs w:val="24"/>
        </w:rPr>
        <w:t>leading to</w:t>
      </w:r>
      <w:r w:rsidRPr="00A31721">
        <w:rPr>
          <w:rFonts w:ascii="Times New Roman" w:eastAsia="Times New Roman" w:hAnsi="Times New Roman" w:cs="Times New Roman"/>
          <w:color w:val="000000" w:themeColor="text1"/>
          <w:sz w:val="24"/>
          <w:szCs w:val="24"/>
        </w:rPr>
        <w:t xml:space="preserve"> rational use of natural resources</w:t>
      </w:r>
      <w:r w:rsidR="00184D08"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the third hypothesis (H3) was tested. It posited that the adoption of sustainability practices positively influences environmental performance in wineries. This hypothesis was supported (B = 0.692; p &lt; 0.01). However, H4, which proposed that the use of EMA tools positively influences environmental performance (B = 0.108; p &gt; 0.10), was not </w:t>
      </w:r>
      <w:r w:rsidR="00896318" w:rsidRPr="00A31721">
        <w:rPr>
          <w:rFonts w:ascii="Times New Roman" w:eastAsia="Times New Roman" w:hAnsi="Times New Roman" w:cs="Times New Roman"/>
          <w:color w:val="000000" w:themeColor="text1"/>
          <w:sz w:val="24"/>
          <w:szCs w:val="24"/>
        </w:rPr>
        <w:t>supported.</w:t>
      </w:r>
    </w:p>
    <w:p w14:paraId="01F393B6" w14:textId="05FC6219" w:rsidR="006749A4" w:rsidRPr="00A31721" w:rsidRDefault="00530565" w:rsidP="005305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To further the analysis, mediation effects were tested to evaluate whether the adoption of sustainability practices mediates the relationship between contingency factors and environmental performance. The results confirm that (H5a) environmental uncertainty (B = 0.406; p &lt; 0.01), (H5b) environmental strategy (B = 0.090; p &lt; 0.05), and (H5c) technology (B = 0.177; p &lt; 0.01) positively influence environmental performance through the adoption of sustainability practices. In contrast, H6 was not supported, as there was no significant mediation effect in the relationship between contingency factors and environmental performance via the use of EMA tools.</w:t>
      </w:r>
    </w:p>
    <w:p w14:paraId="74A97F51" w14:textId="77777777" w:rsidR="000A082E" w:rsidRPr="00A31721" w:rsidRDefault="000A082E" w:rsidP="005305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p>
    <w:p w14:paraId="4234D6F3" w14:textId="4974EDEC" w:rsidR="000A082E" w:rsidRPr="00A31721" w:rsidRDefault="000A082E" w:rsidP="000A082E">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[Table 2]</w:t>
      </w:r>
    </w:p>
    <w:p w14:paraId="207EE94C" w14:textId="77777777" w:rsidR="00530565" w:rsidRPr="00A31721" w:rsidRDefault="00530565" w:rsidP="0053056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2C78C670" w14:textId="2233C49C" w:rsidR="0057506C" w:rsidRPr="00A31721" w:rsidRDefault="0057506C" w:rsidP="00530565">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4.3</w:t>
      </w:r>
      <w:r w:rsidRPr="00A31721">
        <w:rPr>
          <w:b/>
          <w:bCs/>
          <w:color w:val="000000" w:themeColor="text1"/>
        </w:rPr>
        <w:t xml:space="preserve"> </w:t>
      </w:r>
      <w:r w:rsidRPr="00A31721">
        <w:rPr>
          <w:rFonts w:ascii="Times New Roman" w:eastAsia="Times New Roman" w:hAnsi="Times New Roman" w:cs="Times New Roman"/>
          <w:b/>
          <w:bCs/>
          <w:color w:val="000000" w:themeColor="text1"/>
          <w:sz w:val="24"/>
          <w:szCs w:val="24"/>
        </w:rPr>
        <w:t>Robustness Analysis</w:t>
      </w:r>
    </w:p>
    <w:p w14:paraId="504CE917" w14:textId="51B0C8A0" w:rsidR="008B3957" w:rsidRPr="00A31721" w:rsidRDefault="008B3957" w:rsidP="00C53900">
      <w:pPr>
        <w:spacing w:after="0" w:line="240" w:lineRule="auto"/>
        <w:ind w:firstLine="720"/>
        <w:jc w:val="both"/>
        <w:rPr>
          <w:rFonts w:ascii="Times New Roman" w:eastAsia="Times New Roman" w:hAnsi="Times New Roman" w:cs="Times New Roman"/>
          <w:color w:val="000000" w:themeColor="text1"/>
          <w:sz w:val="24"/>
          <w:szCs w:val="24"/>
        </w:rPr>
      </w:pPr>
      <w:bookmarkStart w:id="6" w:name="_heading=h.tyjcwt" w:colFirst="0" w:colLast="0"/>
      <w:bookmarkEnd w:id="6"/>
      <w:r w:rsidRPr="00A31721">
        <w:rPr>
          <w:rFonts w:ascii="Times New Roman" w:eastAsia="Times New Roman" w:hAnsi="Times New Roman" w:cs="Times New Roman"/>
          <w:color w:val="000000" w:themeColor="text1"/>
          <w:sz w:val="24"/>
          <w:szCs w:val="24"/>
        </w:rPr>
        <w:t xml:space="preserve">For an additional analysis, the effects of contingency factors, the adoption of sustainability practices, and the use of EMA tools on financial and non-financial performance were explored. Regarding financial performance, the results </w:t>
      </w:r>
      <w:r w:rsidR="00D012E8" w:rsidRPr="00A31721">
        <w:rPr>
          <w:rFonts w:ascii="Times New Roman" w:eastAsia="Times New Roman" w:hAnsi="Times New Roman" w:cs="Times New Roman"/>
          <w:color w:val="000000" w:themeColor="text1"/>
          <w:sz w:val="24"/>
          <w:szCs w:val="24"/>
        </w:rPr>
        <w:t xml:space="preserve">shown in table 3 </w:t>
      </w:r>
      <w:r w:rsidRPr="00A31721">
        <w:rPr>
          <w:rFonts w:ascii="Times New Roman" w:eastAsia="Times New Roman" w:hAnsi="Times New Roman" w:cs="Times New Roman"/>
          <w:color w:val="000000" w:themeColor="text1"/>
          <w:sz w:val="24"/>
          <w:szCs w:val="24"/>
        </w:rPr>
        <w:t>are noteworthy, as they reveal that the adoption of sustainability practices positively influences financial performance in wineries (B = 0.587; p &lt; 0.01), and the use of EMA tools also positively impacts financial performance (B = 0.213; p &lt; 0.05).</w:t>
      </w:r>
      <w:r w:rsidR="00CB607D"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Concerning the analysis of contingency factors and their impact on organizational outcomes, the </w:t>
      </w:r>
      <w:proofErr w:type="gramStart"/>
      <w:r w:rsidRPr="00A31721">
        <w:rPr>
          <w:rFonts w:ascii="Times New Roman" w:eastAsia="Times New Roman" w:hAnsi="Times New Roman" w:cs="Times New Roman"/>
          <w:color w:val="000000" w:themeColor="text1"/>
          <w:sz w:val="24"/>
          <w:szCs w:val="24"/>
        </w:rPr>
        <w:t>robustness</w:t>
      </w:r>
      <w:proofErr w:type="gramEnd"/>
      <w:r w:rsidRPr="00A31721">
        <w:rPr>
          <w:rFonts w:ascii="Times New Roman" w:eastAsia="Times New Roman" w:hAnsi="Times New Roman" w:cs="Times New Roman"/>
          <w:color w:val="000000" w:themeColor="text1"/>
          <w:sz w:val="24"/>
          <w:szCs w:val="24"/>
        </w:rPr>
        <w:t xml:space="preserve"> analysis shows that environmental uncertainty (B = 0.348; p &lt; 0.01), environmental strategy (B = 0.074; p &lt; 0.05), and technology (B = 0.149; p &lt; 0.01) have positive effects on financial performance, when mediated by the adoption of sustainability practices. Additionally, we observed that the use of EMA tools positively mediates the effects of environmental uncertainty (B = 0.078; p &lt; 0.05), environmental strategy (B = 0.066; p &lt; 0.05), and technology (B = 0.055; p &lt; 0.05) on financial performance</w:t>
      </w:r>
      <w:r w:rsidR="000A082E"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unlike in the main analysis (Model 1), where the mediating role of EMA was not </w:t>
      </w:r>
      <w:r w:rsidR="00940B92" w:rsidRPr="00A31721">
        <w:rPr>
          <w:rFonts w:ascii="Times New Roman" w:eastAsia="Times New Roman" w:hAnsi="Times New Roman" w:cs="Times New Roman"/>
          <w:color w:val="000000" w:themeColor="text1"/>
          <w:sz w:val="24"/>
          <w:szCs w:val="24"/>
        </w:rPr>
        <w:t>supported</w:t>
      </w:r>
      <w:r w:rsidRPr="00A31721">
        <w:rPr>
          <w:rFonts w:ascii="Times New Roman" w:eastAsia="Times New Roman" w:hAnsi="Times New Roman" w:cs="Times New Roman"/>
          <w:color w:val="000000" w:themeColor="text1"/>
          <w:sz w:val="24"/>
          <w:szCs w:val="24"/>
        </w:rPr>
        <w:t xml:space="preserve">. Thus, we infer that when predicting financial performance, the use of EMA is essential and considered useful, as shown in Table </w:t>
      </w:r>
      <w:r w:rsidR="00937CAF" w:rsidRPr="00A31721">
        <w:rPr>
          <w:rFonts w:ascii="Times New Roman" w:eastAsia="Times New Roman" w:hAnsi="Times New Roman" w:cs="Times New Roman"/>
          <w:color w:val="000000" w:themeColor="text1"/>
          <w:sz w:val="24"/>
          <w:szCs w:val="24"/>
        </w:rPr>
        <w:t>3</w:t>
      </w:r>
      <w:r w:rsidRPr="00A31721">
        <w:rPr>
          <w:rFonts w:ascii="Times New Roman" w:eastAsia="Times New Roman" w:hAnsi="Times New Roman" w:cs="Times New Roman"/>
          <w:color w:val="000000" w:themeColor="text1"/>
          <w:sz w:val="24"/>
          <w:szCs w:val="24"/>
        </w:rPr>
        <w:t>.</w:t>
      </w:r>
    </w:p>
    <w:p w14:paraId="01F393BD" w14:textId="007D06E2" w:rsidR="006749A4" w:rsidRPr="00A31721" w:rsidRDefault="008B3957" w:rsidP="00C53900">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The results also demonstrate that the adoption of</w:t>
      </w:r>
      <w:r w:rsidR="00DE4DB1"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sustainability practices has a positive impact on non-financial performance (B = 0.370; p &lt; 0.01), and the use of EMA tools likewise positively influences non-financial performance in wineries (B = 0.433; p &lt; 0.01). Furthermore, the results show that environmental uncertainty (B = 0.216; p &lt; 0.01), environmental strategy (B = 0.048; p &lt; 0.05), and technology (B = 0.096; p &lt; 0.01) positively influence non-financial performance through </w:t>
      </w:r>
      <w:r w:rsidR="00DE4DB1" w:rsidRPr="00A31721">
        <w:rPr>
          <w:rFonts w:ascii="Times New Roman" w:eastAsia="Times New Roman" w:hAnsi="Times New Roman" w:cs="Times New Roman"/>
          <w:color w:val="000000" w:themeColor="text1"/>
          <w:sz w:val="24"/>
          <w:szCs w:val="24"/>
        </w:rPr>
        <w:t xml:space="preserve">adoption of </w:t>
      </w:r>
      <w:r w:rsidRPr="00A31721">
        <w:rPr>
          <w:rFonts w:ascii="Times New Roman" w:eastAsia="Times New Roman" w:hAnsi="Times New Roman" w:cs="Times New Roman"/>
          <w:color w:val="000000" w:themeColor="text1"/>
          <w:sz w:val="24"/>
          <w:szCs w:val="24"/>
        </w:rPr>
        <w:t>sustainability practices. The use of EMA tools also facilitates the impact of environmental uncertainty (B = 0.154; p &lt; 0.05), environmental strategy (B = 0.137; p &lt; 0.01), and technology (B = 0.114; p &lt; 0.05) on non-financial performance.</w:t>
      </w:r>
      <w:r w:rsidR="00C53900"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 xml:space="preserve">Overall, this research </w:t>
      </w:r>
      <w:r w:rsidR="005775BA" w:rsidRPr="00A31721">
        <w:rPr>
          <w:rFonts w:ascii="Times New Roman" w:eastAsia="Times New Roman" w:hAnsi="Times New Roman" w:cs="Times New Roman"/>
          <w:color w:val="000000" w:themeColor="text1"/>
          <w:sz w:val="24"/>
          <w:szCs w:val="24"/>
        </w:rPr>
        <w:lastRenderedPageBreak/>
        <w:t>supports</w:t>
      </w:r>
      <w:r w:rsidRPr="00A31721">
        <w:rPr>
          <w:rFonts w:ascii="Times New Roman" w:eastAsia="Times New Roman" w:hAnsi="Times New Roman" w:cs="Times New Roman"/>
          <w:color w:val="000000" w:themeColor="text1"/>
          <w:sz w:val="24"/>
          <w:szCs w:val="24"/>
        </w:rPr>
        <w:t xml:space="preserve"> the prediction of a positive impact of contingency factors on organizational outcomes</w:t>
      </w:r>
      <w:r w:rsidR="00C53900"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both financial and non-financial</w:t>
      </w:r>
      <w:r w:rsidR="00C53900" w:rsidRPr="00A31721">
        <w:rPr>
          <w:rFonts w:ascii="Times New Roman" w:eastAsia="Times New Roman" w:hAnsi="Times New Roman" w:cs="Times New Roman"/>
          <w:color w:val="000000" w:themeColor="text1"/>
          <w:sz w:val="24"/>
          <w:szCs w:val="24"/>
        </w:rPr>
        <w:t xml:space="preserve">) </w:t>
      </w:r>
      <w:r w:rsidRPr="00A31721">
        <w:rPr>
          <w:rFonts w:ascii="Times New Roman" w:eastAsia="Times New Roman" w:hAnsi="Times New Roman" w:cs="Times New Roman"/>
          <w:color w:val="000000" w:themeColor="text1"/>
          <w:sz w:val="24"/>
          <w:szCs w:val="24"/>
        </w:rPr>
        <w:t>through the adoption of sustainability practices and the use of EMA tools.</w:t>
      </w:r>
    </w:p>
    <w:p w14:paraId="4FB1C507" w14:textId="77777777" w:rsidR="000A082E" w:rsidRPr="00A31721" w:rsidRDefault="000A082E" w:rsidP="00C53900">
      <w:pPr>
        <w:spacing w:after="0" w:line="240" w:lineRule="auto"/>
        <w:ind w:firstLine="720"/>
        <w:jc w:val="both"/>
        <w:rPr>
          <w:rFonts w:ascii="Times New Roman" w:eastAsia="Times New Roman" w:hAnsi="Times New Roman" w:cs="Times New Roman"/>
          <w:color w:val="000000" w:themeColor="text1"/>
          <w:sz w:val="24"/>
          <w:szCs w:val="24"/>
        </w:rPr>
      </w:pPr>
    </w:p>
    <w:p w14:paraId="326030CA" w14:textId="3E8F0F10" w:rsidR="000A082E" w:rsidRPr="00A31721" w:rsidRDefault="000A082E" w:rsidP="000A082E">
      <w:pPr>
        <w:pBdr>
          <w:top w:val="nil"/>
          <w:left w:val="nil"/>
          <w:bottom w:val="nil"/>
          <w:right w:val="nil"/>
          <w:between w:val="nil"/>
        </w:pBdr>
        <w:spacing w:after="0" w:line="240" w:lineRule="auto"/>
        <w:ind w:firstLine="720"/>
        <w:jc w:val="center"/>
        <w:rPr>
          <w:rFonts w:ascii="Times New Roman" w:eastAsia="Times New Roman" w:hAnsi="Times New Roman" w:cs="Times New Roman"/>
          <w:b/>
          <w:bCs/>
          <w:color w:val="000000" w:themeColor="text1"/>
          <w:sz w:val="24"/>
          <w:szCs w:val="24"/>
        </w:rPr>
      </w:pPr>
      <w:r w:rsidRPr="00A31721">
        <w:rPr>
          <w:rFonts w:ascii="Times New Roman" w:eastAsia="Times New Roman" w:hAnsi="Times New Roman" w:cs="Times New Roman"/>
          <w:b/>
          <w:bCs/>
          <w:color w:val="000000" w:themeColor="text1"/>
          <w:sz w:val="24"/>
          <w:szCs w:val="24"/>
        </w:rPr>
        <w:t>[Table 3]</w:t>
      </w:r>
    </w:p>
    <w:p w14:paraId="4B1CFE9A" w14:textId="77777777" w:rsidR="000A082E" w:rsidRPr="00A31721" w:rsidRDefault="000A082E" w:rsidP="00C53900">
      <w:pPr>
        <w:spacing w:after="0" w:line="240" w:lineRule="auto"/>
        <w:ind w:firstLine="720"/>
        <w:jc w:val="both"/>
        <w:rPr>
          <w:rFonts w:ascii="Times New Roman" w:eastAsia="Times New Roman" w:hAnsi="Times New Roman" w:cs="Times New Roman"/>
          <w:color w:val="000000" w:themeColor="text1"/>
          <w:sz w:val="24"/>
          <w:szCs w:val="24"/>
        </w:rPr>
      </w:pPr>
    </w:p>
    <w:p w14:paraId="5A53353B" w14:textId="77777777" w:rsidR="00A239DC" w:rsidRPr="00A31721" w:rsidRDefault="00A239DC">
      <w:pPr>
        <w:spacing w:after="0" w:line="240" w:lineRule="auto"/>
        <w:jc w:val="both"/>
        <w:rPr>
          <w:rFonts w:ascii="Times New Roman" w:eastAsia="Times New Roman" w:hAnsi="Times New Roman" w:cs="Times New Roman"/>
          <w:color w:val="000000" w:themeColor="text1"/>
          <w:sz w:val="24"/>
          <w:szCs w:val="24"/>
        </w:rPr>
      </w:pPr>
    </w:p>
    <w:p w14:paraId="01F393BE" w14:textId="77777777" w:rsidR="006749A4" w:rsidRPr="00A31721" w:rsidRDefault="0007550D">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5 Discussion </w:t>
      </w:r>
    </w:p>
    <w:p w14:paraId="3C650D10" w14:textId="52B29BB9" w:rsidR="00840319" w:rsidRPr="00A31721" w:rsidRDefault="00840319" w:rsidP="00840319">
      <w:pPr>
        <w:spacing w:after="0" w:line="240" w:lineRule="auto"/>
        <w:rPr>
          <w:rFonts w:ascii="Times New Roman" w:hAnsi="Times New Roman" w:cs="Times New Roman"/>
          <w:b/>
          <w:bCs/>
          <w:color w:val="000000" w:themeColor="text1"/>
          <w:sz w:val="24"/>
          <w:szCs w:val="24"/>
          <w:lang w:bidi="hi-IN"/>
        </w:rPr>
      </w:pPr>
      <w:r w:rsidRPr="00A31721">
        <w:rPr>
          <w:rFonts w:ascii="Times New Roman" w:hAnsi="Times New Roman" w:cs="Times New Roman"/>
          <w:b/>
          <w:bCs/>
          <w:color w:val="000000" w:themeColor="text1"/>
          <w:sz w:val="24"/>
          <w:szCs w:val="24"/>
          <w:lang w:bidi="hi-IN"/>
        </w:rPr>
        <w:t>5.1. Contingent Factors</w:t>
      </w:r>
      <w:r w:rsidR="00B160F6" w:rsidRPr="00A31721">
        <w:rPr>
          <w:rFonts w:ascii="Times New Roman" w:hAnsi="Times New Roman" w:cs="Times New Roman"/>
          <w:b/>
          <w:bCs/>
          <w:color w:val="000000" w:themeColor="text1"/>
          <w:sz w:val="24"/>
          <w:szCs w:val="24"/>
          <w:lang w:bidi="hi-IN"/>
        </w:rPr>
        <w:t xml:space="preserve">, </w:t>
      </w:r>
      <w:r w:rsidR="004C71FB" w:rsidRPr="00A31721">
        <w:rPr>
          <w:rFonts w:ascii="Times New Roman" w:hAnsi="Times New Roman" w:cs="Times New Roman"/>
          <w:b/>
          <w:bCs/>
          <w:color w:val="000000" w:themeColor="text1"/>
          <w:sz w:val="24"/>
          <w:szCs w:val="24"/>
          <w:lang w:bidi="hi-IN"/>
        </w:rPr>
        <w:t xml:space="preserve">adoption of </w:t>
      </w:r>
      <w:r w:rsidRPr="00A31721">
        <w:rPr>
          <w:rFonts w:ascii="Times New Roman" w:hAnsi="Times New Roman" w:cs="Times New Roman"/>
          <w:b/>
          <w:bCs/>
          <w:color w:val="000000" w:themeColor="text1"/>
          <w:sz w:val="24"/>
          <w:szCs w:val="24"/>
          <w:lang w:bidi="hi-IN"/>
        </w:rPr>
        <w:t>Sustainability Practices</w:t>
      </w:r>
      <w:r w:rsidR="00B160F6" w:rsidRPr="00A31721">
        <w:rPr>
          <w:rFonts w:ascii="Times New Roman" w:hAnsi="Times New Roman" w:cs="Times New Roman"/>
          <w:b/>
          <w:bCs/>
          <w:color w:val="000000" w:themeColor="text1"/>
          <w:sz w:val="24"/>
          <w:szCs w:val="24"/>
          <w:lang w:bidi="hi-IN"/>
        </w:rPr>
        <w:t xml:space="preserve"> and Use of EMA tools</w:t>
      </w:r>
    </w:p>
    <w:p w14:paraId="15ADC825" w14:textId="2EB07AC9" w:rsidR="0036616A" w:rsidRPr="00A31721" w:rsidRDefault="0036616A" w:rsidP="00ED4237">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 xml:space="preserve">The existing literature has explored the relationship between contingent factors and the adoption of sustainability practices. Previous studies (e.g., Christ </w:t>
      </w:r>
      <w:r w:rsidR="000F1904"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lang w:bidi="hi-IN"/>
        </w:rPr>
        <w:t xml:space="preserve"> Burritt, 2013b; </w:t>
      </w:r>
      <w:proofErr w:type="spellStart"/>
      <w:r w:rsidRPr="00A31721">
        <w:rPr>
          <w:rFonts w:ascii="Times New Roman" w:hAnsi="Times New Roman" w:cs="Times New Roman"/>
          <w:color w:val="000000" w:themeColor="text1"/>
          <w:sz w:val="24"/>
          <w:szCs w:val="24"/>
          <w:lang w:bidi="hi-IN"/>
        </w:rPr>
        <w:t>Maletič</w:t>
      </w:r>
      <w:proofErr w:type="spellEnd"/>
      <w:r w:rsidRPr="00A31721">
        <w:rPr>
          <w:rFonts w:ascii="Times New Roman" w:hAnsi="Times New Roman" w:cs="Times New Roman"/>
          <w:color w:val="000000" w:themeColor="text1"/>
          <w:sz w:val="24"/>
          <w:szCs w:val="24"/>
          <w:lang w:bidi="hi-IN"/>
        </w:rPr>
        <w:t xml:space="preserve"> et al., 2018; </w:t>
      </w:r>
      <w:proofErr w:type="spellStart"/>
      <w:r w:rsidRPr="00A31721">
        <w:rPr>
          <w:rFonts w:ascii="Times New Roman" w:hAnsi="Times New Roman" w:cs="Times New Roman"/>
          <w:color w:val="000000" w:themeColor="text1"/>
          <w:sz w:val="24"/>
          <w:szCs w:val="24"/>
          <w:lang w:bidi="hi-IN"/>
        </w:rPr>
        <w:t>Elhossade</w:t>
      </w:r>
      <w:proofErr w:type="spellEnd"/>
      <w:r w:rsidRPr="00A31721">
        <w:rPr>
          <w:rFonts w:ascii="Times New Roman" w:hAnsi="Times New Roman" w:cs="Times New Roman"/>
          <w:color w:val="000000" w:themeColor="text1"/>
          <w:sz w:val="24"/>
          <w:szCs w:val="24"/>
          <w:lang w:bidi="hi-IN"/>
        </w:rPr>
        <w:t xml:space="preserve"> et al., 2021) have shown that stakeholder pressure, environmental uncertainties, and environmental strategy influence the implementation of sustainab</w:t>
      </w:r>
      <w:r w:rsidR="00C92A38" w:rsidRPr="00A31721">
        <w:rPr>
          <w:rFonts w:ascii="Times New Roman" w:hAnsi="Times New Roman" w:cs="Times New Roman"/>
          <w:color w:val="000000" w:themeColor="text1"/>
          <w:sz w:val="24"/>
          <w:szCs w:val="24"/>
          <w:lang w:bidi="hi-IN"/>
        </w:rPr>
        <w:t>ility</w:t>
      </w:r>
      <w:r w:rsidRPr="00A31721">
        <w:rPr>
          <w:rFonts w:ascii="Times New Roman" w:hAnsi="Times New Roman" w:cs="Times New Roman"/>
          <w:color w:val="000000" w:themeColor="text1"/>
          <w:sz w:val="24"/>
          <w:szCs w:val="24"/>
          <w:lang w:bidi="hi-IN"/>
        </w:rPr>
        <w:t xml:space="preserve"> practices. However, these studies have focused on purchasing strategies and difficulties in predicting demand and competition. Moreover, they examined other contexts</w:t>
      </w:r>
      <w:r w:rsidR="00A059A8"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such as the USA, New Zealand, Italy, and Portugal</w:t>
      </w:r>
      <w:r w:rsidR="00A059A8"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highlighting the influence of regulations, sector proactivity, and product quality as key drivers of sustainability practice adoption.</w:t>
      </w:r>
      <w:r w:rsidR="00DF1C91"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Our study advances this literature by showing that, in the wine sector, the association between contingent factors and the adoption of sustainability practices is essential to achieving sustainable objectives. Specifically, we demonstrate that environmental uncertainties</w:t>
      </w:r>
      <w:r w:rsidR="00090354"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 xml:space="preserve">promote the implementation of sustainability practices </w:t>
      </w:r>
      <w:r w:rsidR="009E4FB1" w:rsidRPr="00A31721">
        <w:rPr>
          <w:rFonts w:ascii="Times New Roman" w:hAnsi="Times New Roman" w:cs="Times New Roman"/>
          <w:color w:val="000000" w:themeColor="text1"/>
          <w:sz w:val="24"/>
          <w:szCs w:val="24"/>
          <w:lang w:bidi="hi-IN"/>
        </w:rPr>
        <w:t>involving</w:t>
      </w:r>
      <w:r w:rsidRPr="00A31721">
        <w:rPr>
          <w:rFonts w:ascii="Times New Roman" w:hAnsi="Times New Roman" w:cs="Times New Roman"/>
          <w:color w:val="000000" w:themeColor="text1"/>
          <w:sz w:val="24"/>
          <w:szCs w:val="24"/>
          <w:lang w:bidi="hi-IN"/>
        </w:rPr>
        <w:t xml:space="preserve"> product design, internal environmental management, and purchasing and supplier selection</w:t>
      </w:r>
      <w:r w:rsidR="009E4FB1" w:rsidRPr="00A31721">
        <w:rPr>
          <w:rFonts w:ascii="Times New Roman" w:hAnsi="Times New Roman" w:cs="Times New Roman"/>
          <w:color w:val="000000" w:themeColor="text1"/>
          <w:sz w:val="24"/>
          <w:szCs w:val="24"/>
          <w:lang w:bidi="hi-IN"/>
        </w:rPr>
        <w:t xml:space="preserve"> among </w:t>
      </w:r>
      <w:proofErr w:type="gramStart"/>
      <w:r w:rsidR="009E4FB1" w:rsidRPr="00A31721">
        <w:rPr>
          <w:rFonts w:ascii="Times New Roman" w:hAnsi="Times New Roman" w:cs="Times New Roman"/>
          <w:color w:val="000000" w:themeColor="text1"/>
          <w:sz w:val="24"/>
          <w:szCs w:val="24"/>
          <w:lang w:bidi="hi-IN"/>
        </w:rPr>
        <w:t>other</w:t>
      </w:r>
      <w:proofErr w:type="gramEnd"/>
      <w:r w:rsidRPr="00A31721">
        <w:rPr>
          <w:rFonts w:ascii="Times New Roman" w:hAnsi="Times New Roman" w:cs="Times New Roman"/>
          <w:color w:val="000000" w:themeColor="text1"/>
          <w:sz w:val="24"/>
          <w:szCs w:val="24"/>
          <w:lang w:bidi="hi-IN"/>
        </w:rPr>
        <w:t>, as managers may feel compelled to meet customer demands or adopt new practices that enable wineries to adapt to changes.</w:t>
      </w:r>
      <w:r w:rsidR="00ED4237"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 xml:space="preserve">We also show that environmental </w:t>
      </w:r>
      <w:proofErr w:type="gramStart"/>
      <w:r w:rsidRPr="00A31721">
        <w:rPr>
          <w:rFonts w:ascii="Times New Roman" w:hAnsi="Times New Roman" w:cs="Times New Roman"/>
          <w:color w:val="000000" w:themeColor="text1"/>
          <w:sz w:val="24"/>
          <w:szCs w:val="24"/>
          <w:lang w:bidi="hi-IN"/>
        </w:rPr>
        <w:t>strategy</w:t>
      </w:r>
      <w:proofErr w:type="gramEnd"/>
      <w:r w:rsidR="00424CB2"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such as integrating environmental issues into goals, reward systems focused on ecological matters, environmental investments, quality management, and new product development</w:t>
      </w:r>
      <w:r w:rsidR="00424CB2"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supports the adoption of more sustainable practices. Finally, we illustrate that technology plays a crucial role in designing sustaina</w:t>
      </w:r>
      <w:r w:rsidR="00C92A38" w:rsidRPr="00A31721">
        <w:rPr>
          <w:rFonts w:ascii="Times New Roman" w:hAnsi="Times New Roman" w:cs="Times New Roman"/>
          <w:color w:val="000000" w:themeColor="text1"/>
          <w:sz w:val="24"/>
          <w:szCs w:val="24"/>
          <w:lang w:bidi="hi-IN"/>
        </w:rPr>
        <w:t>bility</w:t>
      </w:r>
      <w:r w:rsidRPr="00A31721">
        <w:rPr>
          <w:rFonts w:ascii="Times New Roman" w:hAnsi="Times New Roman" w:cs="Times New Roman"/>
          <w:color w:val="000000" w:themeColor="text1"/>
          <w:sz w:val="24"/>
          <w:szCs w:val="24"/>
          <w:lang w:bidi="hi-IN"/>
        </w:rPr>
        <w:t xml:space="preserve"> practices, as it facilitates cleaner production processes, product traceability, and the development of information systems for environmental management.</w:t>
      </w:r>
    </w:p>
    <w:p w14:paraId="344486DB" w14:textId="0FF80CD1" w:rsidR="0036616A" w:rsidRPr="00A31721" w:rsidRDefault="00916053" w:rsidP="0056456F">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 xml:space="preserve">Our study contributes to the literature by expanding the understanding of these factors within the Brazilian wine sector. Managers reported that the low adoption of organic and biodynamic grape cultivation, along with other less sustainable practices, may undermine the sustainability behavior of Brazilian wineries. </w:t>
      </w:r>
      <w:r w:rsidR="0036616A" w:rsidRPr="00A31721">
        <w:rPr>
          <w:rFonts w:ascii="Times New Roman" w:hAnsi="Times New Roman" w:cs="Times New Roman"/>
          <w:color w:val="000000" w:themeColor="text1"/>
          <w:sz w:val="24"/>
          <w:szCs w:val="24"/>
          <w:lang w:bidi="hi-IN"/>
        </w:rPr>
        <w:t xml:space="preserve">These </w:t>
      </w:r>
      <w:r w:rsidR="00FF306E" w:rsidRPr="00A31721">
        <w:rPr>
          <w:rFonts w:ascii="Times New Roman" w:hAnsi="Times New Roman" w:cs="Times New Roman"/>
          <w:color w:val="000000" w:themeColor="text1"/>
          <w:sz w:val="24"/>
          <w:szCs w:val="24"/>
          <w:lang w:bidi="hi-IN"/>
        </w:rPr>
        <w:t xml:space="preserve">is </w:t>
      </w:r>
      <w:r w:rsidR="0036616A" w:rsidRPr="00A31721">
        <w:rPr>
          <w:rFonts w:ascii="Times New Roman" w:hAnsi="Times New Roman" w:cs="Times New Roman"/>
          <w:color w:val="000000" w:themeColor="text1"/>
          <w:sz w:val="24"/>
          <w:szCs w:val="24"/>
          <w:lang w:bidi="hi-IN"/>
        </w:rPr>
        <w:t>align</w:t>
      </w:r>
      <w:r w:rsidR="00FF306E" w:rsidRPr="00A31721">
        <w:rPr>
          <w:rFonts w:ascii="Times New Roman" w:hAnsi="Times New Roman" w:cs="Times New Roman"/>
          <w:color w:val="000000" w:themeColor="text1"/>
          <w:sz w:val="24"/>
          <w:szCs w:val="24"/>
          <w:lang w:bidi="hi-IN"/>
        </w:rPr>
        <w:t>ed</w:t>
      </w:r>
      <w:r w:rsidR="0036616A" w:rsidRPr="00A31721">
        <w:rPr>
          <w:rFonts w:ascii="Times New Roman" w:hAnsi="Times New Roman" w:cs="Times New Roman"/>
          <w:color w:val="000000" w:themeColor="text1"/>
          <w:sz w:val="24"/>
          <w:szCs w:val="24"/>
          <w:lang w:bidi="hi-IN"/>
        </w:rPr>
        <w:t xml:space="preserve"> with prior studies (Baird et al., 2018; </w:t>
      </w:r>
      <w:proofErr w:type="spellStart"/>
      <w:r w:rsidR="0036616A" w:rsidRPr="00A31721">
        <w:rPr>
          <w:rFonts w:ascii="Times New Roman" w:hAnsi="Times New Roman" w:cs="Times New Roman"/>
          <w:color w:val="000000" w:themeColor="text1"/>
          <w:sz w:val="24"/>
          <w:szCs w:val="24"/>
          <w:lang w:bidi="hi-IN"/>
        </w:rPr>
        <w:t>Gázquez</w:t>
      </w:r>
      <w:proofErr w:type="spellEnd"/>
      <w:r w:rsidR="0036616A" w:rsidRPr="00A31721">
        <w:rPr>
          <w:rFonts w:ascii="Times New Roman" w:hAnsi="Times New Roman" w:cs="Times New Roman"/>
          <w:color w:val="000000" w:themeColor="text1"/>
          <w:sz w:val="24"/>
          <w:szCs w:val="24"/>
          <w:lang w:bidi="hi-IN"/>
        </w:rPr>
        <w:t xml:space="preserve">-Abad et al., 2015; </w:t>
      </w:r>
      <w:proofErr w:type="spellStart"/>
      <w:r w:rsidR="0036616A" w:rsidRPr="00A31721">
        <w:rPr>
          <w:rFonts w:ascii="Times New Roman" w:hAnsi="Times New Roman" w:cs="Times New Roman"/>
          <w:color w:val="000000" w:themeColor="text1"/>
          <w:sz w:val="24"/>
          <w:szCs w:val="24"/>
          <w:lang w:bidi="hi-IN"/>
        </w:rPr>
        <w:t>Steur</w:t>
      </w:r>
      <w:proofErr w:type="spellEnd"/>
      <w:r w:rsidR="0036616A" w:rsidRPr="00A31721">
        <w:rPr>
          <w:rFonts w:ascii="Times New Roman" w:hAnsi="Times New Roman" w:cs="Times New Roman"/>
          <w:color w:val="000000" w:themeColor="text1"/>
          <w:sz w:val="24"/>
          <w:szCs w:val="24"/>
          <w:lang w:bidi="hi-IN"/>
        </w:rPr>
        <w:t xml:space="preserve"> et al., 20</w:t>
      </w:r>
      <w:r w:rsidR="006D4E29" w:rsidRPr="00A31721">
        <w:rPr>
          <w:rFonts w:ascii="Times New Roman" w:hAnsi="Times New Roman" w:cs="Times New Roman"/>
          <w:color w:val="000000" w:themeColor="text1"/>
          <w:sz w:val="24"/>
          <w:szCs w:val="24"/>
          <w:lang w:bidi="hi-IN"/>
        </w:rPr>
        <w:t>20</w:t>
      </w:r>
      <w:r w:rsidR="0036616A" w:rsidRPr="00A31721">
        <w:rPr>
          <w:rFonts w:ascii="Times New Roman" w:hAnsi="Times New Roman" w:cs="Times New Roman"/>
          <w:color w:val="000000" w:themeColor="text1"/>
          <w:sz w:val="24"/>
          <w:szCs w:val="24"/>
          <w:lang w:bidi="hi-IN"/>
        </w:rPr>
        <w:t xml:space="preserve">; Trigo </w:t>
      </w:r>
      <w:r w:rsidR="00371506" w:rsidRPr="00A31721">
        <w:rPr>
          <w:rFonts w:ascii="Times New Roman" w:eastAsia="Times New Roman" w:hAnsi="Times New Roman" w:cs="Times New Roman"/>
          <w:color w:val="000000" w:themeColor="text1"/>
          <w:sz w:val="24"/>
          <w:szCs w:val="24"/>
        </w:rPr>
        <w:t>&amp;</w:t>
      </w:r>
      <w:r w:rsidR="0036616A" w:rsidRPr="00A31721">
        <w:rPr>
          <w:rFonts w:ascii="Times New Roman" w:hAnsi="Times New Roman" w:cs="Times New Roman"/>
          <w:color w:val="000000" w:themeColor="text1"/>
          <w:sz w:val="24"/>
          <w:szCs w:val="24"/>
          <w:lang w:bidi="hi-IN"/>
        </w:rPr>
        <w:t xml:space="preserve"> Silva, 2022), which identify financial constraints, lack of government support, and low consumer willingness to pay more for ecological wines as recurring barriers.</w:t>
      </w:r>
      <w:r w:rsidR="0056456F" w:rsidRPr="00A31721">
        <w:rPr>
          <w:rFonts w:ascii="Times New Roman" w:hAnsi="Times New Roman" w:cs="Times New Roman"/>
          <w:color w:val="000000" w:themeColor="text1"/>
          <w:sz w:val="24"/>
          <w:szCs w:val="24"/>
          <w:lang w:bidi="hi-IN"/>
        </w:rPr>
        <w:t xml:space="preserve"> </w:t>
      </w:r>
      <w:r w:rsidR="0036616A" w:rsidRPr="00A31721">
        <w:rPr>
          <w:rFonts w:ascii="Times New Roman" w:hAnsi="Times New Roman" w:cs="Times New Roman"/>
          <w:color w:val="000000" w:themeColor="text1"/>
          <w:sz w:val="24"/>
          <w:szCs w:val="24"/>
          <w:lang w:bidi="hi-IN"/>
        </w:rPr>
        <w:t>Thus, this study broadens the discussion on sustainability by demonstrating that, to promote the adoption of sustainable practices in wineries, it is essential to integrate environmental strategies, leverage technology to improve environmental management, and remain mindful uncertainties</w:t>
      </w:r>
      <w:r w:rsidR="005A5B6E" w:rsidRPr="00A31721">
        <w:rPr>
          <w:rFonts w:ascii="Times New Roman" w:hAnsi="Times New Roman" w:cs="Times New Roman"/>
          <w:color w:val="000000" w:themeColor="text1"/>
          <w:sz w:val="24"/>
          <w:szCs w:val="24"/>
          <w:lang w:bidi="hi-IN"/>
        </w:rPr>
        <w:t xml:space="preserve"> in the industry</w:t>
      </w:r>
      <w:r w:rsidR="0036616A" w:rsidRPr="00A31721">
        <w:rPr>
          <w:rFonts w:ascii="Times New Roman" w:hAnsi="Times New Roman" w:cs="Times New Roman"/>
          <w:color w:val="000000" w:themeColor="text1"/>
          <w:sz w:val="24"/>
          <w:szCs w:val="24"/>
          <w:lang w:bidi="hi-IN"/>
        </w:rPr>
        <w:t xml:space="preserve">. </w:t>
      </w:r>
    </w:p>
    <w:p w14:paraId="6EFD82C5" w14:textId="5276670D" w:rsidR="00CF34D0" w:rsidRPr="00A31721" w:rsidRDefault="00CF34D0" w:rsidP="00CF34D0">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 xml:space="preserve">On the other hand, our results distinguish the design approach to sustainability practices from the use of environmental management accounting (EMA) tools. We show that contingent factors also positively impact the use of EMA tools in wineries. We contend that environmental uncertainties, such as the scarcity of natural resources, lead to greater use of EMA tools in wineries. This evidence aligns with previous studies suggesting that such uncertainties require greater control of resource consumption to mitigate risks and avoid penalties (Christ, 2014; Gunarathne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lang w:bidi="hi-IN"/>
        </w:rPr>
        <w:t xml:space="preserve"> Lee, 2021; Zhen and Rahman, 2024), as well as to meet stakeholder pressures (</w:t>
      </w:r>
      <w:proofErr w:type="spellStart"/>
      <w:r w:rsidRPr="00A31721">
        <w:rPr>
          <w:rFonts w:ascii="Times New Roman" w:hAnsi="Times New Roman" w:cs="Times New Roman"/>
          <w:color w:val="000000" w:themeColor="text1"/>
          <w:sz w:val="24"/>
          <w:szCs w:val="24"/>
          <w:lang w:bidi="hi-IN"/>
        </w:rPr>
        <w:t>Elhossade</w:t>
      </w:r>
      <w:proofErr w:type="spellEnd"/>
      <w:r w:rsidRPr="00A31721">
        <w:rPr>
          <w:rFonts w:ascii="Times New Roman" w:hAnsi="Times New Roman" w:cs="Times New Roman"/>
          <w:color w:val="000000" w:themeColor="text1"/>
          <w:sz w:val="24"/>
          <w:szCs w:val="24"/>
          <w:lang w:bidi="hi-IN"/>
        </w:rPr>
        <w:t xml:space="preserve"> et al., 2021). Thus, firms facing environmental challenges seek precise information to improve their </w:t>
      </w:r>
      <w:r w:rsidRPr="00A31721">
        <w:rPr>
          <w:rFonts w:ascii="Times New Roman" w:hAnsi="Times New Roman" w:cs="Times New Roman"/>
          <w:color w:val="000000" w:themeColor="text1"/>
          <w:sz w:val="24"/>
          <w:szCs w:val="24"/>
          <w:lang w:bidi="hi-IN"/>
        </w:rPr>
        <w:lastRenderedPageBreak/>
        <w:t xml:space="preserve">decisions and reduce negative impacts (Latan et al., 2018). Moreover, we illustrate that environmental strategy is essential for wineries to increase the extent of EMA tool use at both </w:t>
      </w:r>
      <w:proofErr w:type="gramStart"/>
      <w:r w:rsidRPr="00A31721">
        <w:rPr>
          <w:rFonts w:ascii="Times New Roman" w:hAnsi="Times New Roman" w:cs="Times New Roman"/>
          <w:color w:val="000000" w:themeColor="text1"/>
          <w:sz w:val="24"/>
          <w:szCs w:val="24"/>
          <w:lang w:bidi="hi-IN"/>
        </w:rPr>
        <w:t>the operational</w:t>
      </w:r>
      <w:proofErr w:type="gramEnd"/>
      <w:r w:rsidRPr="00A31721">
        <w:rPr>
          <w:rFonts w:ascii="Times New Roman" w:hAnsi="Times New Roman" w:cs="Times New Roman"/>
          <w:color w:val="000000" w:themeColor="text1"/>
          <w:sz w:val="24"/>
          <w:szCs w:val="24"/>
          <w:lang w:bidi="hi-IN"/>
        </w:rPr>
        <w:t xml:space="preserve"> and strategic levels. This is consistent with prior literature arguing that organizations with clear environmental strategies</w:t>
      </w:r>
      <w:r w:rsidR="000F7F10" w:rsidRPr="00A31721">
        <w:rPr>
          <w:rFonts w:ascii="Times New Roman" w:hAnsi="Times New Roman" w:cs="Times New Roman"/>
          <w:color w:val="000000" w:themeColor="text1"/>
          <w:sz w:val="24"/>
          <w:szCs w:val="24"/>
          <w:lang w:bidi="hi-IN"/>
        </w:rPr>
        <w:t xml:space="preserve"> </w:t>
      </w:r>
      <w:r w:rsidRPr="00A31721">
        <w:rPr>
          <w:rFonts w:ascii="Times New Roman" w:hAnsi="Times New Roman" w:cs="Times New Roman"/>
          <w:color w:val="000000" w:themeColor="text1"/>
          <w:sz w:val="24"/>
          <w:szCs w:val="24"/>
          <w:lang w:bidi="hi-IN"/>
        </w:rPr>
        <w:t xml:space="preserve">require tools to assist in sustainability management (Christ, 2014; </w:t>
      </w:r>
      <w:proofErr w:type="spellStart"/>
      <w:r w:rsidRPr="00A31721">
        <w:rPr>
          <w:rFonts w:ascii="Times New Roman" w:hAnsi="Times New Roman" w:cs="Times New Roman"/>
          <w:color w:val="000000" w:themeColor="text1"/>
          <w:sz w:val="24"/>
          <w:szCs w:val="24"/>
          <w:lang w:bidi="hi-IN"/>
        </w:rPr>
        <w:t>Appannan</w:t>
      </w:r>
      <w:proofErr w:type="spellEnd"/>
      <w:r w:rsidRPr="00A31721">
        <w:rPr>
          <w:rFonts w:ascii="Times New Roman" w:hAnsi="Times New Roman" w:cs="Times New Roman"/>
          <w:color w:val="000000" w:themeColor="text1"/>
          <w:sz w:val="24"/>
          <w:szCs w:val="24"/>
          <w:lang w:bidi="hi-IN"/>
        </w:rPr>
        <w:t xml:space="preserve"> et al., 2023; Gunarathne et al., 2023). This reinforces the argument that companies committed to sustainable strategies adopt management systems to monitor and optimize the use of natural resources (Christ </w:t>
      </w:r>
      <w:r w:rsidR="00371506"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lang w:bidi="hi-IN"/>
        </w:rPr>
        <w:t xml:space="preserve"> Burritt, 2013b; </w:t>
      </w:r>
      <w:proofErr w:type="spellStart"/>
      <w:r w:rsidRPr="00A31721">
        <w:rPr>
          <w:rFonts w:ascii="Times New Roman" w:hAnsi="Times New Roman" w:cs="Times New Roman"/>
          <w:color w:val="000000" w:themeColor="text1"/>
          <w:sz w:val="24"/>
          <w:szCs w:val="24"/>
          <w:lang w:bidi="hi-IN"/>
        </w:rPr>
        <w:t>Appannan</w:t>
      </w:r>
      <w:proofErr w:type="spellEnd"/>
      <w:r w:rsidRPr="00A31721">
        <w:rPr>
          <w:rFonts w:ascii="Times New Roman" w:hAnsi="Times New Roman" w:cs="Times New Roman"/>
          <w:color w:val="000000" w:themeColor="text1"/>
          <w:sz w:val="24"/>
          <w:szCs w:val="24"/>
          <w:lang w:bidi="hi-IN"/>
        </w:rPr>
        <w:t xml:space="preserve"> et al., 2023).</w:t>
      </w:r>
    </w:p>
    <w:p w14:paraId="5968225B" w14:textId="1BB354D8" w:rsidR="00CF34D0" w:rsidRPr="00A31721" w:rsidRDefault="00CF34D0" w:rsidP="00CF34D0">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Finally, we suggest that reliance on technology leads to greater use of EMA tools because technological advancements enable more efficient environmental management by providing real-time indicators that improve decision-making (</w:t>
      </w:r>
      <w:proofErr w:type="spellStart"/>
      <w:r w:rsidRPr="00A31721">
        <w:rPr>
          <w:rFonts w:ascii="Times New Roman" w:hAnsi="Times New Roman" w:cs="Times New Roman"/>
          <w:color w:val="000000" w:themeColor="text1"/>
          <w:sz w:val="24"/>
          <w:szCs w:val="24"/>
          <w:lang w:bidi="hi-IN"/>
        </w:rPr>
        <w:t>Elhossade</w:t>
      </w:r>
      <w:proofErr w:type="spellEnd"/>
      <w:r w:rsidRPr="00A31721">
        <w:rPr>
          <w:rFonts w:ascii="Times New Roman" w:hAnsi="Times New Roman" w:cs="Times New Roman"/>
          <w:color w:val="000000" w:themeColor="text1"/>
          <w:sz w:val="24"/>
          <w:szCs w:val="24"/>
          <w:lang w:bidi="hi-IN"/>
        </w:rPr>
        <w:t xml:space="preserve"> et al., 2021; Zhen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lang w:bidi="hi-IN"/>
        </w:rPr>
        <w:t xml:space="preserve"> Rahman, 2024). For example, digitalization and integrated systems facilitate emission traceability and resource consumption monitoring, promoting more accurate and effective environmental impact management. Despite these convergences, some studies suggest that the use of EMA tools may be limited in sectors with low regulatory pressure or where managers’ perceptions of environmental benefits remain underdeveloped (Zhen </w:t>
      </w:r>
      <w:r w:rsidR="00371506"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lang w:bidi="hi-IN"/>
        </w:rPr>
        <w:t xml:space="preserve"> Rahman, 2024). However, our findings reinforce that, in the wine sector, the use of EMA is driven by contingent factors.</w:t>
      </w:r>
    </w:p>
    <w:p w14:paraId="146B5179" w14:textId="5377CE36" w:rsidR="00840319" w:rsidRPr="00A31721" w:rsidRDefault="00CF34D0" w:rsidP="00CF34D0">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Thus, this study contributes to the EMA literature by highlighting specific factors that increase its use in the winery context. By addressing how environmental uncertainties, environmental strategies, and technological advancements impact environmental management in this sector, we expand the understanding of the mechanisms that drive sustainability in this setting and emphasize the relevance of EMA for continuous improvement in natural resource management.</w:t>
      </w:r>
    </w:p>
    <w:p w14:paraId="697AD255" w14:textId="77777777" w:rsidR="00361EEA" w:rsidRPr="00A31721" w:rsidRDefault="00361EEA" w:rsidP="0037334F">
      <w:pPr>
        <w:spacing w:after="0" w:line="240" w:lineRule="auto"/>
        <w:jc w:val="both"/>
        <w:rPr>
          <w:rFonts w:ascii="Times New Roman" w:hAnsi="Times New Roman" w:cs="Times New Roman"/>
          <w:color w:val="000000" w:themeColor="text1"/>
          <w:sz w:val="24"/>
          <w:szCs w:val="24"/>
          <w:lang w:bidi="hi-IN"/>
        </w:rPr>
      </w:pPr>
    </w:p>
    <w:p w14:paraId="74214B45" w14:textId="32AFB341" w:rsidR="00840319" w:rsidRPr="00A31721" w:rsidRDefault="00840319" w:rsidP="0037334F">
      <w:pPr>
        <w:spacing w:after="0" w:line="240" w:lineRule="auto"/>
        <w:jc w:val="both"/>
        <w:rPr>
          <w:rFonts w:ascii="Times New Roman" w:hAnsi="Times New Roman" w:cs="Times New Roman"/>
          <w:b/>
          <w:bCs/>
          <w:color w:val="000000" w:themeColor="text1"/>
          <w:sz w:val="24"/>
          <w:szCs w:val="24"/>
          <w:lang w:bidi="hi-IN"/>
        </w:rPr>
      </w:pPr>
      <w:r w:rsidRPr="00A31721">
        <w:rPr>
          <w:rFonts w:ascii="Times New Roman" w:hAnsi="Times New Roman" w:cs="Times New Roman"/>
          <w:b/>
          <w:bCs/>
          <w:color w:val="000000" w:themeColor="text1"/>
          <w:sz w:val="24"/>
          <w:szCs w:val="24"/>
          <w:lang w:bidi="hi-IN"/>
        </w:rPr>
        <w:t>5.</w:t>
      </w:r>
      <w:r w:rsidR="00796AF5" w:rsidRPr="00A31721">
        <w:rPr>
          <w:rFonts w:ascii="Times New Roman" w:hAnsi="Times New Roman" w:cs="Times New Roman"/>
          <w:b/>
          <w:bCs/>
          <w:color w:val="000000" w:themeColor="text1"/>
          <w:sz w:val="24"/>
          <w:szCs w:val="24"/>
          <w:lang w:bidi="hi-IN"/>
        </w:rPr>
        <w:t>2</w:t>
      </w:r>
      <w:r w:rsidRPr="00A31721">
        <w:rPr>
          <w:rFonts w:ascii="Times New Roman" w:hAnsi="Times New Roman" w:cs="Times New Roman"/>
          <w:b/>
          <w:bCs/>
          <w:color w:val="000000" w:themeColor="text1"/>
          <w:sz w:val="24"/>
          <w:szCs w:val="24"/>
          <w:lang w:bidi="hi-IN"/>
        </w:rPr>
        <w:t xml:space="preserve">. </w:t>
      </w:r>
      <w:r w:rsidR="00983829" w:rsidRPr="00A31721">
        <w:rPr>
          <w:rFonts w:ascii="Times New Roman" w:hAnsi="Times New Roman" w:cs="Times New Roman"/>
          <w:b/>
          <w:bCs/>
          <w:color w:val="000000" w:themeColor="text1"/>
          <w:sz w:val="24"/>
          <w:szCs w:val="24"/>
          <w:lang w:bidi="hi-IN"/>
        </w:rPr>
        <w:t>Adoption of S</w:t>
      </w:r>
      <w:r w:rsidRPr="00A31721">
        <w:rPr>
          <w:rFonts w:ascii="Times New Roman" w:hAnsi="Times New Roman" w:cs="Times New Roman"/>
          <w:b/>
          <w:bCs/>
          <w:color w:val="000000" w:themeColor="text1"/>
          <w:sz w:val="24"/>
          <w:szCs w:val="24"/>
          <w:lang w:bidi="hi-IN"/>
        </w:rPr>
        <w:t>ustainability Practices</w:t>
      </w:r>
      <w:r w:rsidR="00361EEA" w:rsidRPr="00A31721">
        <w:rPr>
          <w:rFonts w:ascii="Times New Roman" w:hAnsi="Times New Roman" w:cs="Times New Roman"/>
          <w:b/>
          <w:bCs/>
          <w:color w:val="000000" w:themeColor="text1"/>
          <w:sz w:val="24"/>
          <w:szCs w:val="24"/>
          <w:lang w:bidi="hi-IN"/>
        </w:rPr>
        <w:t xml:space="preserve">, use of EMA tools </w:t>
      </w:r>
      <w:r w:rsidRPr="00A31721">
        <w:rPr>
          <w:rFonts w:ascii="Times New Roman" w:hAnsi="Times New Roman" w:cs="Times New Roman"/>
          <w:b/>
          <w:bCs/>
          <w:color w:val="000000" w:themeColor="text1"/>
          <w:sz w:val="24"/>
          <w:szCs w:val="24"/>
          <w:lang w:bidi="hi-IN"/>
        </w:rPr>
        <w:t xml:space="preserve">and </w:t>
      </w:r>
      <w:r w:rsidR="00FB21EE" w:rsidRPr="00A31721">
        <w:rPr>
          <w:rFonts w:ascii="Times New Roman" w:hAnsi="Times New Roman" w:cs="Times New Roman"/>
          <w:b/>
          <w:bCs/>
          <w:color w:val="000000" w:themeColor="text1"/>
          <w:sz w:val="24"/>
          <w:szCs w:val="24"/>
          <w:lang w:bidi="hi-IN"/>
        </w:rPr>
        <w:t>E</w:t>
      </w:r>
      <w:r w:rsidR="00F436A6" w:rsidRPr="00A31721">
        <w:rPr>
          <w:rFonts w:ascii="Times New Roman" w:hAnsi="Times New Roman" w:cs="Times New Roman"/>
          <w:b/>
          <w:bCs/>
          <w:color w:val="000000" w:themeColor="text1"/>
          <w:sz w:val="24"/>
          <w:szCs w:val="24"/>
          <w:lang w:bidi="hi-IN"/>
        </w:rPr>
        <w:t>nvironmental performance</w:t>
      </w:r>
    </w:p>
    <w:p w14:paraId="0D02C39B" w14:textId="77777777" w:rsidR="006D0D03" w:rsidRPr="00A31721" w:rsidRDefault="006D0D03" w:rsidP="0037334F">
      <w:pPr>
        <w:spacing w:after="0" w:line="240" w:lineRule="auto"/>
        <w:jc w:val="both"/>
        <w:rPr>
          <w:rFonts w:ascii="Times New Roman" w:hAnsi="Times New Roman" w:cs="Times New Roman"/>
          <w:color w:val="000000" w:themeColor="text1"/>
          <w:sz w:val="24"/>
          <w:szCs w:val="24"/>
          <w:lang w:bidi="hi-IN"/>
        </w:rPr>
      </w:pPr>
    </w:p>
    <w:p w14:paraId="27C551E9" w14:textId="0B64B7DD" w:rsidR="00582604" w:rsidRPr="00A31721" w:rsidRDefault="00582604" w:rsidP="00582604">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Consistent with previous literature (</w:t>
      </w:r>
      <w:proofErr w:type="spellStart"/>
      <w:r w:rsidRPr="00A31721">
        <w:rPr>
          <w:rFonts w:ascii="Times New Roman" w:hAnsi="Times New Roman" w:cs="Times New Roman"/>
          <w:color w:val="000000" w:themeColor="text1"/>
          <w:sz w:val="24"/>
          <w:szCs w:val="24"/>
          <w:lang w:bidi="hi-IN"/>
        </w:rPr>
        <w:t>Maletič</w:t>
      </w:r>
      <w:proofErr w:type="spellEnd"/>
      <w:r w:rsidRPr="00A31721">
        <w:rPr>
          <w:rFonts w:ascii="Times New Roman" w:hAnsi="Times New Roman" w:cs="Times New Roman"/>
          <w:color w:val="000000" w:themeColor="text1"/>
          <w:sz w:val="24"/>
          <w:szCs w:val="24"/>
          <w:lang w:bidi="hi-IN"/>
        </w:rPr>
        <w:t xml:space="preserve"> et al., 2018; Abdallah </w:t>
      </w:r>
      <w:r w:rsidR="00371506"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lang w:bidi="hi-IN"/>
        </w:rPr>
        <w:t xml:space="preserve"> Al-</w:t>
      </w:r>
      <w:proofErr w:type="spellStart"/>
      <w:r w:rsidRPr="00A31721">
        <w:rPr>
          <w:rFonts w:ascii="Times New Roman" w:hAnsi="Times New Roman" w:cs="Times New Roman"/>
          <w:color w:val="000000" w:themeColor="text1"/>
          <w:sz w:val="24"/>
          <w:szCs w:val="24"/>
          <w:lang w:bidi="hi-IN"/>
        </w:rPr>
        <w:t>Ghwayeen</w:t>
      </w:r>
      <w:proofErr w:type="spellEnd"/>
      <w:r w:rsidRPr="00A31721">
        <w:rPr>
          <w:rFonts w:ascii="Times New Roman" w:hAnsi="Times New Roman" w:cs="Times New Roman"/>
          <w:color w:val="000000" w:themeColor="text1"/>
          <w:sz w:val="24"/>
          <w:szCs w:val="24"/>
          <w:lang w:bidi="hi-IN"/>
        </w:rPr>
        <w:t xml:space="preserve">, 2020), our study shows that sustainability practices lead to improvements in wineries’ environmental performance. We contend that the adoption of these practices contributes to the prevention and mitigation of environmental crises, reduced consumption of natural resources, waste minimization, and increased recycling rates. Additionally, our </w:t>
      </w:r>
      <w:proofErr w:type="gramStart"/>
      <w:r w:rsidRPr="00A31721">
        <w:rPr>
          <w:rFonts w:ascii="Times New Roman" w:hAnsi="Times New Roman" w:cs="Times New Roman"/>
          <w:color w:val="000000" w:themeColor="text1"/>
          <w:sz w:val="24"/>
          <w:szCs w:val="24"/>
          <w:lang w:bidi="hi-IN"/>
        </w:rPr>
        <w:t>robustness</w:t>
      </w:r>
      <w:proofErr w:type="gramEnd"/>
      <w:r w:rsidRPr="00A31721">
        <w:rPr>
          <w:rFonts w:ascii="Times New Roman" w:hAnsi="Times New Roman" w:cs="Times New Roman"/>
          <w:color w:val="000000" w:themeColor="text1"/>
          <w:sz w:val="24"/>
          <w:szCs w:val="24"/>
          <w:lang w:bidi="hi-IN"/>
        </w:rPr>
        <w:t xml:space="preserve"> analysis confirms that the implementation of sustainability practices also influences financial and non-financial performance, aligning with previous studies that highlight the impact of these practices on enhancing corporate image and consumer satisfaction (Raut et al., 2019; Sharma et al., 2017). Thus, our findings reinforce existing </w:t>
      </w:r>
      <w:r w:rsidR="00A90109" w:rsidRPr="00A31721">
        <w:rPr>
          <w:rFonts w:ascii="Times New Roman" w:hAnsi="Times New Roman" w:cs="Times New Roman"/>
          <w:color w:val="000000" w:themeColor="text1"/>
          <w:sz w:val="24"/>
          <w:szCs w:val="24"/>
          <w:lang w:bidi="hi-IN"/>
        </w:rPr>
        <w:t>findings</w:t>
      </w:r>
      <w:r w:rsidRPr="00A31721">
        <w:rPr>
          <w:rFonts w:ascii="Times New Roman" w:hAnsi="Times New Roman" w:cs="Times New Roman"/>
          <w:color w:val="000000" w:themeColor="text1"/>
          <w:sz w:val="24"/>
          <w:szCs w:val="24"/>
          <w:lang w:bidi="hi-IN"/>
        </w:rPr>
        <w:t xml:space="preserve"> and suggest that wineries adjust their practices according to the conditions they face. </w:t>
      </w:r>
    </w:p>
    <w:p w14:paraId="01F393D0" w14:textId="36C8F8AB" w:rsidR="006749A4" w:rsidRPr="00A31721" w:rsidRDefault="003C323E" w:rsidP="00C60B58">
      <w:pPr>
        <w:spacing w:after="0" w:line="240" w:lineRule="auto"/>
        <w:ind w:firstLine="720"/>
        <w:jc w:val="both"/>
        <w:rPr>
          <w:rFonts w:ascii="Times New Roman" w:hAnsi="Times New Roman" w:cs="Times New Roman"/>
          <w:color w:val="000000" w:themeColor="text1"/>
          <w:sz w:val="24"/>
          <w:szCs w:val="24"/>
          <w:lang w:bidi="hi-IN"/>
        </w:rPr>
      </w:pPr>
      <w:r w:rsidRPr="00A31721">
        <w:rPr>
          <w:rFonts w:ascii="Times New Roman" w:hAnsi="Times New Roman" w:cs="Times New Roman"/>
          <w:color w:val="000000" w:themeColor="text1"/>
          <w:sz w:val="24"/>
          <w:szCs w:val="24"/>
          <w:lang w:bidi="hi-IN"/>
        </w:rPr>
        <w:t xml:space="preserve">Contrary to our initial expectations, we were unable to demonstrate that EMA tools (e.g., product life cycle analysis, integrated performance panels, inventory analysis) have a positive impact on environmental performance in the wine sector. Moreover, this study did not find evidence that EMA mediates the relationship between contingency factors and environmental performance.  </w:t>
      </w:r>
      <w:r w:rsidR="007245B9" w:rsidRPr="00A31721">
        <w:rPr>
          <w:rFonts w:ascii="Times New Roman" w:hAnsi="Times New Roman" w:cs="Times New Roman"/>
          <w:color w:val="000000" w:themeColor="text1"/>
          <w:sz w:val="24"/>
          <w:szCs w:val="24"/>
          <w:lang w:bidi="hi-IN"/>
        </w:rPr>
        <w:t xml:space="preserve">Although prior studies have </w:t>
      </w:r>
      <w:r w:rsidR="00875251" w:rsidRPr="00A31721">
        <w:rPr>
          <w:rFonts w:ascii="Times New Roman" w:hAnsi="Times New Roman" w:cs="Times New Roman"/>
          <w:color w:val="000000" w:themeColor="text1"/>
          <w:sz w:val="24"/>
          <w:szCs w:val="24"/>
          <w:lang w:bidi="hi-IN"/>
        </w:rPr>
        <w:t>stated</w:t>
      </w:r>
      <w:r w:rsidR="007245B9" w:rsidRPr="00A31721">
        <w:rPr>
          <w:rFonts w:ascii="Times New Roman" w:hAnsi="Times New Roman" w:cs="Times New Roman"/>
          <w:color w:val="000000" w:themeColor="text1"/>
          <w:sz w:val="24"/>
          <w:szCs w:val="24"/>
          <w:lang w:bidi="hi-IN"/>
        </w:rPr>
        <w:t xml:space="preserve"> that EMA tools play a crucial role in promoting sustainability in the wine sector (Christ, 2014), supporting decision-making and control (Gunarathne et al., 2023), and assisting in regulatory compliance and environmental legitimacy (</w:t>
      </w:r>
      <w:proofErr w:type="spellStart"/>
      <w:r w:rsidR="007245B9" w:rsidRPr="00A31721">
        <w:rPr>
          <w:rFonts w:ascii="Times New Roman" w:hAnsi="Times New Roman" w:cs="Times New Roman"/>
          <w:color w:val="000000" w:themeColor="text1"/>
          <w:sz w:val="24"/>
          <w:szCs w:val="24"/>
          <w:lang w:bidi="hi-IN"/>
        </w:rPr>
        <w:t>Swalih</w:t>
      </w:r>
      <w:proofErr w:type="spellEnd"/>
      <w:r w:rsidR="007245B9" w:rsidRPr="00A31721">
        <w:rPr>
          <w:rFonts w:ascii="Times New Roman" w:hAnsi="Times New Roman" w:cs="Times New Roman"/>
          <w:color w:val="000000" w:themeColor="text1"/>
          <w:sz w:val="24"/>
          <w:szCs w:val="24"/>
          <w:lang w:bidi="hi-IN"/>
        </w:rPr>
        <w:t xml:space="preserve"> et al., 2024), factors such as the complexity and high cost of EMA tools (Hyvönen, 2007), as well as the tension between their long-term benefits and managers’ focus on immediate returns (</w:t>
      </w:r>
      <w:proofErr w:type="spellStart"/>
      <w:r w:rsidR="007245B9" w:rsidRPr="00A31721">
        <w:rPr>
          <w:rFonts w:ascii="Times New Roman" w:hAnsi="Times New Roman" w:cs="Times New Roman"/>
          <w:color w:val="000000" w:themeColor="text1"/>
          <w:sz w:val="24"/>
          <w:szCs w:val="24"/>
          <w:lang w:bidi="hi-IN"/>
        </w:rPr>
        <w:t>Elhossade</w:t>
      </w:r>
      <w:proofErr w:type="spellEnd"/>
      <w:r w:rsidR="007245B9" w:rsidRPr="00A31721">
        <w:rPr>
          <w:rFonts w:ascii="Times New Roman" w:hAnsi="Times New Roman" w:cs="Times New Roman"/>
          <w:color w:val="000000" w:themeColor="text1"/>
          <w:sz w:val="24"/>
          <w:szCs w:val="24"/>
          <w:lang w:bidi="hi-IN"/>
        </w:rPr>
        <w:t xml:space="preserve"> et al., 2021), may have led to the unexpected results.</w:t>
      </w:r>
      <w:r w:rsidR="00780419" w:rsidRPr="00A31721">
        <w:rPr>
          <w:rFonts w:ascii="Times New Roman" w:hAnsi="Times New Roman" w:cs="Times New Roman"/>
          <w:color w:val="000000" w:themeColor="text1"/>
          <w:sz w:val="24"/>
          <w:szCs w:val="24"/>
          <w:lang w:bidi="hi-IN"/>
        </w:rPr>
        <w:t xml:space="preserve"> </w:t>
      </w:r>
      <w:r w:rsidR="007A1F7F" w:rsidRPr="00A31721">
        <w:rPr>
          <w:rFonts w:ascii="Times New Roman" w:hAnsi="Times New Roman" w:cs="Times New Roman"/>
          <w:color w:val="000000" w:themeColor="text1"/>
          <w:sz w:val="24"/>
          <w:szCs w:val="24"/>
          <w:lang w:bidi="hi-IN"/>
        </w:rPr>
        <w:t>Our</w:t>
      </w:r>
      <w:r w:rsidR="003C7B8C" w:rsidRPr="00A31721">
        <w:rPr>
          <w:rFonts w:ascii="Times New Roman" w:hAnsi="Times New Roman" w:cs="Times New Roman"/>
          <w:color w:val="000000" w:themeColor="text1"/>
          <w:sz w:val="24"/>
          <w:szCs w:val="24"/>
          <w:lang w:bidi="hi-IN"/>
        </w:rPr>
        <w:t xml:space="preserve"> findings suggest that the Brazilian wine sector diverges from other industries in its use of EMA tools, which appears </w:t>
      </w:r>
      <w:r w:rsidR="006F54F1" w:rsidRPr="00A31721">
        <w:rPr>
          <w:rFonts w:ascii="Times New Roman" w:hAnsi="Times New Roman" w:cs="Times New Roman"/>
          <w:color w:val="000000" w:themeColor="text1"/>
          <w:sz w:val="24"/>
          <w:szCs w:val="24"/>
          <w:lang w:bidi="hi-IN"/>
        </w:rPr>
        <w:t xml:space="preserve">to lead </w:t>
      </w:r>
      <w:r w:rsidR="006F54F1" w:rsidRPr="00A31721">
        <w:rPr>
          <w:rFonts w:ascii="Times New Roman" w:hAnsi="Times New Roman" w:cs="Times New Roman"/>
          <w:color w:val="000000" w:themeColor="text1"/>
          <w:sz w:val="24"/>
          <w:szCs w:val="24"/>
          <w:lang w:bidi="hi-IN"/>
        </w:rPr>
        <w:lastRenderedPageBreak/>
        <w:t>more to</w:t>
      </w:r>
      <w:r w:rsidR="003C7B8C" w:rsidRPr="00A31721">
        <w:rPr>
          <w:rFonts w:ascii="Times New Roman" w:hAnsi="Times New Roman" w:cs="Times New Roman"/>
          <w:color w:val="000000" w:themeColor="text1"/>
          <w:sz w:val="24"/>
          <w:szCs w:val="24"/>
          <w:lang w:bidi="hi-IN"/>
        </w:rPr>
        <w:t xml:space="preserve"> economic</w:t>
      </w:r>
      <w:r w:rsidR="006F54F1" w:rsidRPr="00A31721">
        <w:rPr>
          <w:rFonts w:ascii="Times New Roman" w:hAnsi="Times New Roman" w:cs="Times New Roman"/>
          <w:color w:val="000000" w:themeColor="text1"/>
          <w:sz w:val="24"/>
          <w:szCs w:val="24"/>
          <w:lang w:bidi="hi-IN"/>
        </w:rPr>
        <w:t xml:space="preserve"> </w:t>
      </w:r>
      <w:r w:rsidR="00C86BBB" w:rsidRPr="00A31721">
        <w:rPr>
          <w:rFonts w:ascii="Times New Roman" w:hAnsi="Times New Roman" w:cs="Times New Roman"/>
          <w:color w:val="000000" w:themeColor="text1"/>
          <w:sz w:val="24"/>
          <w:szCs w:val="24"/>
          <w:lang w:bidi="hi-IN"/>
        </w:rPr>
        <w:t>results</w:t>
      </w:r>
      <w:r w:rsidR="006F54F1" w:rsidRPr="00A31721">
        <w:rPr>
          <w:rFonts w:ascii="Times New Roman" w:hAnsi="Times New Roman" w:cs="Times New Roman"/>
          <w:color w:val="000000" w:themeColor="text1"/>
          <w:sz w:val="24"/>
          <w:szCs w:val="24"/>
          <w:lang w:bidi="hi-IN"/>
        </w:rPr>
        <w:t xml:space="preserve"> </w:t>
      </w:r>
      <w:r w:rsidR="003C7B8C" w:rsidRPr="00A31721">
        <w:rPr>
          <w:rFonts w:ascii="Times New Roman" w:hAnsi="Times New Roman" w:cs="Times New Roman"/>
          <w:color w:val="000000" w:themeColor="text1"/>
          <w:sz w:val="24"/>
          <w:szCs w:val="24"/>
          <w:lang w:bidi="hi-IN"/>
        </w:rPr>
        <w:t xml:space="preserve">rather than environmental </w:t>
      </w:r>
      <w:r w:rsidR="00A609F0" w:rsidRPr="00A31721">
        <w:rPr>
          <w:rFonts w:ascii="Times New Roman" w:hAnsi="Times New Roman" w:cs="Times New Roman"/>
          <w:color w:val="000000" w:themeColor="text1"/>
          <w:sz w:val="24"/>
          <w:szCs w:val="24"/>
          <w:lang w:bidi="hi-IN"/>
        </w:rPr>
        <w:t>performance</w:t>
      </w:r>
      <w:r w:rsidR="003C7B8C" w:rsidRPr="00A31721">
        <w:rPr>
          <w:rFonts w:ascii="Times New Roman" w:hAnsi="Times New Roman" w:cs="Times New Roman"/>
          <w:color w:val="000000" w:themeColor="text1"/>
          <w:sz w:val="24"/>
          <w:szCs w:val="24"/>
          <w:lang w:bidi="hi-IN"/>
        </w:rPr>
        <w:t xml:space="preserve">. </w:t>
      </w:r>
      <w:r w:rsidR="00AA5ABF" w:rsidRPr="00A31721">
        <w:rPr>
          <w:rFonts w:ascii="Times New Roman" w:hAnsi="Times New Roman" w:cs="Times New Roman"/>
          <w:color w:val="000000" w:themeColor="text1"/>
          <w:sz w:val="24"/>
          <w:szCs w:val="24"/>
          <w:lang w:bidi="hi-IN"/>
        </w:rPr>
        <w:t>As argued by</w:t>
      </w:r>
      <w:r w:rsidR="003C7B8C" w:rsidRPr="00A31721">
        <w:rPr>
          <w:rFonts w:ascii="Times New Roman" w:hAnsi="Times New Roman" w:cs="Times New Roman"/>
          <w:color w:val="000000" w:themeColor="text1"/>
          <w:sz w:val="24"/>
          <w:szCs w:val="24"/>
          <w:lang w:bidi="hi-IN"/>
        </w:rPr>
        <w:t xml:space="preserve"> </w:t>
      </w:r>
      <w:proofErr w:type="spellStart"/>
      <w:r w:rsidR="003C7B8C" w:rsidRPr="00A31721">
        <w:rPr>
          <w:rFonts w:ascii="Times New Roman" w:hAnsi="Times New Roman" w:cs="Times New Roman"/>
          <w:color w:val="000000" w:themeColor="text1"/>
          <w:sz w:val="24"/>
          <w:szCs w:val="24"/>
          <w:lang w:bidi="hi-IN"/>
        </w:rPr>
        <w:t>Appannan</w:t>
      </w:r>
      <w:proofErr w:type="spellEnd"/>
      <w:r w:rsidR="003C7B8C" w:rsidRPr="00A31721">
        <w:rPr>
          <w:rFonts w:ascii="Times New Roman" w:hAnsi="Times New Roman" w:cs="Times New Roman"/>
          <w:color w:val="000000" w:themeColor="text1"/>
          <w:sz w:val="24"/>
          <w:szCs w:val="24"/>
          <w:lang w:bidi="hi-IN"/>
        </w:rPr>
        <w:t xml:space="preserve"> et al. (2023), EMA serves to mobilize strategic resources toward achieving organizational objectives, our analysis indicates that Brazilian wineries </w:t>
      </w:r>
      <w:r w:rsidR="006F54F1" w:rsidRPr="00A31721">
        <w:rPr>
          <w:rFonts w:ascii="Times New Roman" w:hAnsi="Times New Roman" w:cs="Times New Roman"/>
          <w:color w:val="000000" w:themeColor="text1"/>
          <w:sz w:val="24"/>
          <w:szCs w:val="24"/>
          <w:lang w:bidi="hi-IN"/>
        </w:rPr>
        <w:t xml:space="preserve">EMA </w:t>
      </w:r>
      <w:r w:rsidR="003C7B8C" w:rsidRPr="00A31721">
        <w:rPr>
          <w:rFonts w:ascii="Times New Roman" w:hAnsi="Times New Roman" w:cs="Times New Roman"/>
          <w:color w:val="000000" w:themeColor="text1"/>
          <w:sz w:val="24"/>
          <w:szCs w:val="24"/>
          <w:lang w:bidi="hi-IN"/>
        </w:rPr>
        <w:t>tend to prioritize financial and non-financial outcomes over environmental concerns. This pattern may reflect the dynamics observed by Gunarathne et al. (2023), who found that a focus on short-term gains often impedes investment in long-term environmental performance.</w:t>
      </w:r>
      <w:r w:rsidR="00E075AC" w:rsidRPr="00A31721">
        <w:rPr>
          <w:rFonts w:ascii="Times New Roman" w:hAnsi="Times New Roman" w:cs="Times New Roman"/>
          <w:color w:val="000000" w:themeColor="text1"/>
          <w:sz w:val="24"/>
          <w:szCs w:val="24"/>
          <w:lang w:bidi="hi-IN"/>
        </w:rPr>
        <w:t xml:space="preserve"> </w:t>
      </w:r>
      <w:r w:rsidR="009026F4" w:rsidRPr="00A31721">
        <w:rPr>
          <w:rFonts w:ascii="Times New Roman" w:hAnsi="Times New Roman" w:cs="Times New Roman"/>
          <w:color w:val="000000" w:themeColor="text1"/>
          <w:sz w:val="24"/>
          <w:szCs w:val="24"/>
          <w:lang w:bidi="hi-IN"/>
        </w:rPr>
        <w:t>The cost–benefit relationship of EMA typically unfolds over the long term (</w:t>
      </w:r>
      <w:proofErr w:type="spellStart"/>
      <w:r w:rsidR="009026F4" w:rsidRPr="00A31721">
        <w:rPr>
          <w:rFonts w:ascii="Times New Roman" w:hAnsi="Times New Roman" w:cs="Times New Roman"/>
          <w:color w:val="000000" w:themeColor="text1"/>
          <w:sz w:val="24"/>
          <w:szCs w:val="24"/>
          <w:lang w:bidi="hi-IN"/>
        </w:rPr>
        <w:t>Elhossade</w:t>
      </w:r>
      <w:proofErr w:type="spellEnd"/>
      <w:r w:rsidR="009026F4" w:rsidRPr="00A31721">
        <w:rPr>
          <w:rFonts w:ascii="Times New Roman" w:hAnsi="Times New Roman" w:cs="Times New Roman"/>
          <w:color w:val="000000" w:themeColor="text1"/>
          <w:sz w:val="24"/>
          <w:szCs w:val="24"/>
          <w:lang w:bidi="hi-IN"/>
        </w:rPr>
        <w:t xml:space="preserve"> et al., 2021), which may lead managers to favor tools that support short-term decision-making in </w:t>
      </w:r>
      <w:r w:rsidR="0046494F" w:rsidRPr="00A31721">
        <w:rPr>
          <w:rFonts w:ascii="Times New Roman" w:hAnsi="Times New Roman" w:cs="Times New Roman"/>
          <w:color w:val="000000" w:themeColor="text1"/>
          <w:sz w:val="24"/>
          <w:szCs w:val="24"/>
          <w:lang w:bidi="hi-IN"/>
        </w:rPr>
        <w:t xml:space="preserve">the </w:t>
      </w:r>
      <w:r w:rsidR="009026F4" w:rsidRPr="00A31721">
        <w:rPr>
          <w:rFonts w:ascii="Times New Roman" w:hAnsi="Times New Roman" w:cs="Times New Roman"/>
          <w:color w:val="000000" w:themeColor="text1"/>
          <w:sz w:val="24"/>
          <w:szCs w:val="24"/>
          <w:lang w:bidi="hi-IN"/>
        </w:rPr>
        <w:t>pursuit of social legitimacy (</w:t>
      </w:r>
      <w:proofErr w:type="spellStart"/>
      <w:r w:rsidR="009026F4" w:rsidRPr="00A31721">
        <w:rPr>
          <w:rFonts w:ascii="Times New Roman" w:hAnsi="Times New Roman" w:cs="Times New Roman"/>
          <w:color w:val="000000" w:themeColor="text1"/>
          <w:sz w:val="24"/>
          <w:szCs w:val="24"/>
          <w:lang w:bidi="hi-IN"/>
        </w:rPr>
        <w:t>Swalih</w:t>
      </w:r>
      <w:proofErr w:type="spellEnd"/>
      <w:r w:rsidR="009026F4" w:rsidRPr="00A31721">
        <w:rPr>
          <w:rFonts w:ascii="Times New Roman" w:hAnsi="Times New Roman" w:cs="Times New Roman"/>
          <w:color w:val="000000" w:themeColor="text1"/>
          <w:sz w:val="24"/>
          <w:szCs w:val="24"/>
          <w:lang w:bidi="hi-IN"/>
        </w:rPr>
        <w:t xml:space="preserve"> et al., 2024). Consequently, firms may prioritize short-term actions to meet immediate operational demands, such as delivery schedules, incremental improvements in product quality, or short-term financial performance (Gunarathne </w:t>
      </w:r>
      <w:r w:rsidR="008B6929" w:rsidRPr="00A31721">
        <w:rPr>
          <w:rFonts w:ascii="Times New Roman" w:eastAsia="Times New Roman" w:hAnsi="Times New Roman" w:cs="Times New Roman"/>
          <w:color w:val="000000" w:themeColor="text1"/>
          <w:sz w:val="24"/>
          <w:szCs w:val="24"/>
        </w:rPr>
        <w:t>&amp;</w:t>
      </w:r>
      <w:r w:rsidR="009026F4" w:rsidRPr="00A31721">
        <w:rPr>
          <w:rFonts w:ascii="Times New Roman" w:hAnsi="Times New Roman" w:cs="Times New Roman"/>
          <w:color w:val="000000" w:themeColor="text1"/>
          <w:sz w:val="24"/>
          <w:szCs w:val="24"/>
          <w:lang w:bidi="hi-IN"/>
        </w:rPr>
        <w:t xml:space="preserve"> Lee, 2021). When financial resources are limited, EMA tends to be used restrictively, focusing on immediate returns, suggesting that EMA is employed merely for compliance and at a preventive stage. Additionally, the lack of integration between accounting and other departments responsible for collecting environmental information hinders the full utilization of EMA tools. For example, environmental budgeting and performance evaluation may be underutilized, which could explain the reduced effectiveness of these tools (Gunarathne </w:t>
      </w:r>
      <w:r w:rsidR="00FC732A" w:rsidRPr="00A31721">
        <w:rPr>
          <w:rFonts w:ascii="Times New Roman" w:eastAsia="Times New Roman" w:hAnsi="Times New Roman" w:cs="Times New Roman"/>
          <w:color w:val="000000" w:themeColor="text1"/>
          <w:sz w:val="24"/>
          <w:szCs w:val="24"/>
        </w:rPr>
        <w:t>&amp;</w:t>
      </w:r>
      <w:r w:rsidR="009026F4" w:rsidRPr="00A31721">
        <w:rPr>
          <w:rFonts w:ascii="Times New Roman" w:hAnsi="Times New Roman" w:cs="Times New Roman"/>
          <w:color w:val="000000" w:themeColor="text1"/>
          <w:sz w:val="24"/>
          <w:szCs w:val="24"/>
          <w:lang w:bidi="hi-IN"/>
        </w:rPr>
        <w:t xml:space="preserve"> Lee, 2021).</w:t>
      </w:r>
      <w:r w:rsidR="007A1F7F" w:rsidRPr="00A31721">
        <w:rPr>
          <w:rFonts w:ascii="Times New Roman" w:hAnsi="Times New Roman" w:cs="Times New Roman"/>
          <w:color w:val="000000" w:themeColor="text1"/>
          <w:sz w:val="24"/>
          <w:szCs w:val="24"/>
          <w:lang w:bidi="hi-IN"/>
        </w:rPr>
        <w:t xml:space="preserve"> We </w:t>
      </w:r>
      <w:r w:rsidR="00A609F0" w:rsidRPr="00A31721">
        <w:rPr>
          <w:rFonts w:ascii="Times New Roman" w:hAnsi="Times New Roman" w:cs="Times New Roman"/>
          <w:color w:val="000000" w:themeColor="text1"/>
          <w:sz w:val="24"/>
          <w:szCs w:val="24"/>
          <w:lang w:bidi="hi-IN"/>
        </w:rPr>
        <w:t>recommend</w:t>
      </w:r>
      <w:r w:rsidR="007A1F7F" w:rsidRPr="00A31721">
        <w:rPr>
          <w:rFonts w:ascii="Times New Roman" w:hAnsi="Times New Roman" w:cs="Times New Roman"/>
          <w:color w:val="000000" w:themeColor="text1"/>
          <w:sz w:val="24"/>
          <w:szCs w:val="24"/>
          <w:lang w:bidi="hi-IN"/>
        </w:rPr>
        <w:t xml:space="preserve"> that managers use </w:t>
      </w:r>
      <w:r w:rsidR="00C60B58" w:rsidRPr="00A31721">
        <w:rPr>
          <w:rFonts w:ascii="Times New Roman" w:hAnsi="Times New Roman" w:cs="Times New Roman"/>
          <w:color w:val="000000" w:themeColor="text1"/>
          <w:sz w:val="24"/>
          <w:szCs w:val="24"/>
          <w:lang w:bidi="hi-IN"/>
        </w:rPr>
        <w:t xml:space="preserve">EMA </w:t>
      </w:r>
      <w:r w:rsidR="007A1F7F" w:rsidRPr="00A31721">
        <w:rPr>
          <w:rFonts w:ascii="Times New Roman" w:hAnsi="Times New Roman" w:cs="Times New Roman"/>
          <w:color w:val="000000" w:themeColor="text1"/>
          <w:sz w:val="24"/>
          <w:szCs w:val="24"/>
          <w:lang w:bidi="hi-IN"/>
        </w:rPr>
        <w:t xml:space="preserve">in a </w:t>
      </w:r>
      <w:r w:rsidR="00C60B58" w:rsidRPr="00A31721">
        <w:rPr>
          <w:rFonts w:ascii="Times New Roman" w:hAnsi="Times New Roman" w:cs="Times New Roman"/>
          <w:color w:val="000000" w:themeColor="text1"/>
          <w:sz w:val="24"/>
          <w:szCs w:val="24"/>
          <w:lang w:bidi="hi-IN"/>
        </w:rPr>
        <w:t>flexibl</w:t>
      </w:r>
      <w:r w:rsidR="007A1F7F" w:rsidRPr="00A31721">
        <w:rPr>
          <w:rFonts w:ascii="Times New Roman" w:hAnsi="Times New Roman" w:cs="Times New Roman"/>
          <w:color w:val="000000" w:themeColor="text1"/>
          <w:sz w:val="24"/>
          <w:szCs w:val="24"/>
          <w:lang w:bidi="hi-IN"/>
        </w:rPr>
        <w:t>e manner</w:t>
      </w:r>
      <w:r w:rsidR="00C60B58" w:rsidRPr="00A31721">
        <w:rPr>
          <w:rFonts w:ascii="Times New Roman" w:hAnsi="Times New Roman" w:cs="Times New Roman"/>
          <w:color w:val="000000" w:themeColor="text1"/>
          <w:sz w:val="24"/>
          <w:szCs w:val="24"/>
          <w:lang w:bidi="hi-IN"/>
        </w:rPr>
        <w:t>, avoiding an overly rigid approach that focuses solely on financial performance at the expense of environmental sustainability in the short term.</w:t>
      </w:r>
    </w:p>
    <w:p w14:paraId="7FBA1B59" w14:textId="77777777" w:rsidR="00C60B58" w:rsidRPr="00A31721" w:rsidRDefault="00C60B58" w:rsidP="00C60B58">
      <w:pPr>
        <w:spacing w:after="0" w:line="240" w:lineRule="auto"/>
        <w:ind w:firstLine="720"/>
        <w:jc w:val="both"/>
        <w:rPr>
          <w:rFonts w:ascii="Times New Roman" w:eastAsia="Times New Roman" w:hAnsi="Times New Roman" w:cs="Times New Roman"/>
          <w:color w:val="000000" w:themeColor="text1"/>
          <w:sz w:val="24"/>
          <w:szCs w:val="24"/>
        </w:rPr>
      </w:pPr>
    </w:p>
    <w:p w14:paraId="01F393D1" w14:textId="77777777" w:rsidR="006749A4" w:rsidRPr="00A31721" w:rsidRDefault="0007550D">
      <w:pPr>
        <w:spacing w:after="0" w:line="240" w:lineRule="auto"/>
        <w:rPr>
          <w:rFonts w:ascii="Times New Roman" w:eastAsia="Times New Roman" w:hAnsi="Times New Roman" w:cs="Times New Roman"/>
          <w:b/>
          <w:color w:val="000000" w:themeColor="text1"/>
          <w:sz w:val="24"/>
          <w:szCs w:val="24"/>
        </w:rPr>
      </w:pPr>
      <w:r w:rsidRPr="00A31721">
        <w:rPr>
          <w:rFonts w:ascii="Times New Roman" w:eastAsia="Times New Roman" w:hAnsi="Times New Roman" w:cs="Times New Roman"/>
          <w:b/>
          <w:color w:val="000000" w:themeColor="text1"/>
          <w:sz w:val="24"/>
          <w:szCs w:val="24"/>
        </w:rPr>
        <w:t xml:space="preserve">6 Conclusion </w:t>
      </w:r>
    </w:p>
    <w:p w14:paraId="4A7C1254" w14:textId="77777777" w:rsidR="009B7BD3" w:rsidRPr="00A31721" w:rsidRDefault="009B7BD3" w:rsidP="00AA5A8C">
      <w:pPr>
        <w:spacing w:after="0" w:line="240" w:lineRule="auto"/>
        <w:jc w:val="both"/>
        <w:rPr>
          <w:rFonts w:ascii="Times New Roman" w:eastAsia="Times New Roman" w:hAnsi="Times New Roman" w:cs="Times New Roman"/>
          <w:color w:val="000000" w:themeColor="text1"/>
          <w:sz w:val="24"/>
          <w:szCs w:val="24"/>
        </w:rPr>
      </w:pPr>
    </w:p>
    <w:p w14:paraId="6776213B" w14:textId="4EDA5A83" w:rsidR="009D0A03" w:rsidRPr="00A31721" w:rsidRDefault="009B7BD3" w:rsidP="009B7BD3">
      <w:pPr>
        <w:spacing w:after="0" w:line="240" w:lineRule="auto"/>
        <w:ind w:firstLine="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This </w:t>
      </w:r>
      <w:r w:rsidR="00E93B81" w:rsidRPr="00A31721">
        <w:rPr>
          <w:rFonts w:ascii="Times New Roman" w:eastAsia="Times New Roman" w:hAnsi="Times New Roman" w:cs="Times New Roman"/>
          <w:color w:val="000000" w:themeColor="text1"/>
          <w:sz w:val="24"/>
          <w:szCs w:val="24"/>
        </w:rPr>
        <w:t>research</w:t>
      </w:r>
      <w:r w:rsidRPr="00A31721">
        <w:rPr>
          <w:rFonts w:ascii="Times New Roman" w:eastAsia="Times New Roman" w:hAnsi="Times New Roman" w:cs="Times New Roman"/>
          <w:color w:val="000000" w:themeColor="text1"/>
          <w:sz w:val="24"/>
          <w:szCs w:val="24"/>
        </w:rPr>
        <w:t xml:space="preserve"> aimed to analyze the </w:t>
      </w:r>
      <w:r w:rsidR="009C754E" w:rsidRPr="00A31721">
        <w:rPr>
          <w:rFonts w:ascii="Times New Roman" w:eastAsia="Times New Roman" w:hAnsi="Times New Roman" w:cs="Times New Roman"/>
          <w:color w:val="000000" w:themeColor="text1"/>
          <w:sz w:val="24"/>
          <w:szCs w:val="24"/>
        </w:rPr>
        <w:t>influence of contingency factors on adoption of sustainability practices and the use of EMA tools to improve environmental performance in the context of wine sector</w:t>
      </w:r>
      <w:r w:rsidRPr="00A31721">
        <w:rPr>
          <w:rFonts w:ascii="Times New Roman" w:eastAsia="Times New Roman" w:hAnsi="Times New Roman" w:cs="Times New Roman"/>
          <w:color w:val="000000" w:themeColor="text1"/>
          <w:sz w:val="24"/>
          <w:szCs w:val="24"/>
        </w:rPr>
        <w:t>. Based on a survey of 171 wineries and the use of structural equation modeling, the results support the literature grounded in Contingency Theory, showing that external factors (environmental uncertainties) and internal factors (environmental strategy and technology) influence the adoption of sustainability practices and the use of EMA tools in wineries.</w:t>
      </w:r>
    </w:p>
    <w:p w14:paraId="5DC0BEC3" w14:textId="77777777" w:rsidR="009B7BD3" w:rsidRPr="00A31721" w:rsidRDefault="009B7BD3" w:rsidP="009B7BD3">
      <w:pPr>
        <w:spacing w:after="0" w:line="240" w:lineRule="auto"/>
        <w:ind w:firstLine="720"/>
        <w:jc w:val="both"/>
        <w:rPr>
          <w:rFonts w:ascii="Times New Roman" w:hAnsi="Times New Roman" w:cs="Times New Roman"/>
          <w:color w:val="000000" w:themeColor="text1"/>
          <w:sz w:val="24"/>
          <w:szCs w:val="24"/>
        </w:rPr>
      </w:pPr>
    </w:p>
    <w:p w14:paraId="4A255289" w14:textId="77777777" w:rsidR="00840319" w:rsidRPr="00A31721" w:rsidRDefault="00840319" w:rsidP="00840319">
      <w:pPr>
        <w:spacing w:after="0" w:line="240" w:lineRule="auto"/>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6.1. Theoretical Implications</w:t>
      </w:r>
    </w:p>
    <w:p w14:paraId="4839E1FA" w14:textId="02620AB5" w:rsidR="00AA0E42" w:rsidRPr="00A31721" w:rsidRDefault="00753136" w:rsidP="000F0737">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The results of our study </w:t>
      </w:r>
      <w:r w:rsidR="0090235A" w:rsidRPr="00A31721">
        <w:rPr>
          <w:rFonts w:ascii="Times New Roman" w:hAnsi="Times New Roman" w:cs="Times New Roman"/>
          <w:color w:val="000000" w:themeColor="text1"/>
          <w:sz w:val="24"/>
          <w:szCs w:val="24"/>
        </w:rPr>
        <w:t>add</w:t>
      </w:r>
      <w:r w:rsidR="003B1B1B" w:rsidRPr="00A31721">
        <w:rPr>
          <w:rFonts w:ascii="Times New Roman" w:hAnsi="Times New Roman" w:cs="Times New Roman"/>
          <w:color w:val="000000" w:themeColor="text1"/>
          <w:sz w:val="24"/>
          <w:szCs w:val="24"/>
        </w:rPr>
        <w:t xml:space="preserve"> to</w:t>
      </w:r>
      <w:r w:rsidR="0090235A"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previous literature (Christ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Burritt, 2013b; Gunarathne </w:t>
      </w:r>
      <w:r w:rsidR="00FC732A" w:rsidRPr="00A31721">
        <w:rPr>
          <w:rFonts w:ascii="Times New Roman" w:eastAsia="Times New Roman" w:hAnsi="Times New Roman" w:cs="Times New Roman"/>
          <w:color w:val="000000" w:themeColor="text1"/>
          <w:sz w:val="24"/>
          <w:szCs w:val="24"/>
        </w:rPr>
        <w:t>&amp;</w:t>
      </w:r>
      <w:r w:rsidRPr="00A31721">
        <w:rPr>
          <w:rFonts w:ascii="Times New Roman" w:hAnsi="Times New Roman" w:cs="Times New Roman"/>
          <w:color w:val="000000" w:themeColor="text1"/>
          <w:sz w:val="24"/>
          <w:szCs w:val="24"/>
        </w:rPr>
        <w:t xml:space="preserve"> Lee, 2021) by </w:t>
      </w:r>
      <w:r w:rsidR="00215D93" w:rsidRPr="00A31721">
        <w:rPr>
          <w:rFonts w:ascii="Times New Roman" w:hAnsi="Times New Roman" w:cs="Times New Roman"/>
          <w:color w:val="000000" w:themeColor="text1"/>
          <w:sz w:val="24"/>
          <w:szCs w:val="24"/>
        </w:rPr>
        <w:t xml:space="preserve">demonstrating </w:t>
      </w:r>
      <w:r w:rsidR="003B1B1B" w:rsidRPr="00A31721">
        <w:rPr>
          <w:rFonts w:ascii="Times New Roman" w:hAnsi="Times New Roman" w:cs="Times New Roman"/>
          <w:color w:val="000000" w:themeColor="text1"/>
          <w:sz w:val="24"/>
          <w:szCs w:val="24"/>
        </w:rPr>
        <w:t>the extent to which</w:t>
      </w:r>
      <w:r w:rsidRPr="00A31721">
        <w:rPr>
          <w:rFonts w:ascii="Times New Roman" w:hAnsi="Times New Roman" w:cs="Times New Roman"/>
          <w:color w:val="000000" w:themeColor="text1"/>
          <w:sz w:val="24"/>
          <w:szCs w:val="24"/>
        </w:rPr>
        <w:t xml:space="preserve"> contingent factors influence the adoption of sustainability practices in wineries. We specifically addressed three elements (uncertainties, technologies, and strategies) and illustrated that these factors drive winery managers to adopt sustainable practices. </w:t>
      </w:r>
      <w:r w:rsidR="00876193" w:rsidRPr="00A31721">
        <w:rPr>
          <w:rFonts w:ascii="Times New Roman" w:hAnsi="Times New Roman" w:cs="Times New Roman"/>
          <w:color w:val="000000" w:themeColor="text1"/>
          <w:sz w:val="24"/>
          <w:szCs w:val="24"/>
        </w:rPr>
        <w:t xml:space="preserve">Thus, we show that environmental uncertainties pose significant challenges to winery firms, requiring </w:t>
      </w:r>
      <w:r w:rsidR="00C64F46" w:rsidRPr="00A31721">
        <w:rPr>
          <w:rFonts w:ascii="Times New Roman" w:hAnsi="Times New Roman" w:cs="Times New Roman"/>
          <w:color w:val="000000" w:themeColor="text1"/>
          <w:sz w:val="24"/>
          <w:szCs w:val="24"/>
        </w:rPr>
        <w:t>responsible</w:t>
      </w:r>
      <w:r w:rsidR="00876193" w:rsidRPr="00A31721">
        <w:rPr>
          <w:rFonts w:ascii="Times New Roman" w:hAnsi="Times New Roman" w:cs="Times New Roman"/>
          <w:color w:val="000000" w:themeColor="text1"/>
          <w:sz w:val="24"/>
          <w:szCs w:val="24"/>
        </w:rPr>
        <w:t xml:space="preserve"> responses to mitigate environmental impacts. With respect to environmental strategy, we </w:t>
      </w:r>
      <w:r w:rsidR="00176277" w:rsidRPr="00A31721">
        <w:rPr>
          <w:rFonts w:ascii="Times New Roman" w:hAnsi="Times New Roman" w:cs="Times New Roman"/>
          <w:color w:val="000000" w:themeColor="text1"/>
          <w:sz w:val="24"/>
          <w:szCs w:val="24"/>
        </w:rPr>
        <w:t xml:space="preserve">highlight </w:t>
      </w:r>
      <w:r w:rsidR="00876193" w:rsidRPr="00A31721">
        <w:rPr>
          <w:rFonts w:ascii="Times New Roman" w:hAnsi="Times New Roman" w:cs="Times New Roman"/>
          <w:color w:val="000000" w:themeColor="text1"/>
          <w:sz w:val="24"/>
          <w:szCs w:val="24"/>
        </w:rPr>
        <w:t xml:space="preserve">the importance of this factor in translating </w:t>
      </w:r>
      <w:r w:rsidR="00C53F04" w:rsidRPr="00A31721">
        <w:rPr>
          <w:rFonts w:ascii="Times New Roman" w:hAnsi="Times New Roman" w:cs="Times New Roman"/>
          <w:color w:val="000000" w:themeColor="text1"/>
          <w:sz w:val="24"/>
          <w:szCs w:val="24"/>
        </w:rPr>
        <w:t>wineries’</w:t>
      </w:r>
      <w:r w:rsidR="00876193" w:rsidRPr="00A31721">
        <w:rPr>
          <w:rFonts w:ascii="Times New Roman" w:hAnsi="Times New Roman" w:cs="Times New Roman"/>
          <w:color w:val="000000" w:themeColor="text1"/>
          <w:sz w:val="24"/>
          <w:szCs w:val="24"/>
        </w:rPr>
        <w:t xml:space="preserve"> values and mission into concrete sustainability actions, thereby </w:t>
      </w:r>
      <w:r w:rsidR="000020B9" w:rsidRPr="00A31721">
        <w:rPr>
          <w:rFonts w:ascii="Times New Roman" w:hAnsi="Times New Roman" w:cs="Times New Roman"/>
          <w:color w:val="000000" w:themeColor="text1"/>
          <w:sz w:val="24"/>
          <w:szCs w:val="24"/>
        </w:rPr>
        <w:t>motivating</w:t>
      </w:r>
      <w:r w:rsidR="00876193" w:rsidRPr="00A31721">
        <w:rPr>
          <w:rFonts w:ascii="Times New Roman" w:hAnsi="Times New Roman" w:cs="Times New Roman"/>
          <w:color w:val="000000" w:themeColor="text1"/>
          <w:sz w:val="24"/>
          <w:szCs w:val="24"/>
        </w:rPr>
        <w:t xml:space="preserve"> investments in environmental improvements. This finding contributes to prior research on the role of strategy in the development of sustainability KPIs (</w:t>
      </w:r>
      <w:proofErr w:type="spellStart"/>
      <w:r w:rsidR="00876193" w:rsidRPr="00A31721">
        <w:rPr>
          <w:rFonts w:ascii="Times New Roman" w:hAnsi="Times New Roman" w:cs="Times New Roman"/>
          <w:color w:val="000000" w:themeColor="text1"/>
          <w:sz w:val="24"/>
          <w:szCs w:val="24"/>
        </w:rPr>
        <w:t>Pondeville</w:t>
      </w:r>
      <w:proofErr w:type="spellEnd"/>
      <w:r w:rsidR="00876193" w:rsidRPr="00A31721">
        <w:rPr>
          <w:rFonts w:ascii="Times New Roman" w:hAnsi="Times New Roman" w:cs="Times New Roman"/>
          <w:color w:val="000000" w:themeColor="text1"/>
          <w:sz w:val="24"/>
          <w:szCs w:val="24"/>
        </w:rPr>
        <w:t xml:space="preserve"> et al., 2013). Our evidence also demonstrates that technology, as a contingency factor, supports environmental management by enabling more efficient production processes and enhancing the control of resources and environmental information, aligning with prior discussions (Hofmann et al., 2012; Agi &amp; Nishant, 2017; Sharma et al., 2017). </w:t>
      </w:r>
      <w:r w:rsidR="00AA0E42" w:rsidRPr="00A31721">
        <w:rPr>
          <w:rFonts w:ascii="Times New Roman" w:hAnsi="Times New Roman" w:cs="Times New Roman"/>
          <w:color w:val="000000" w:themeColor="text1"/>
          <w:sz w:val="24"/>
          <w:szCs w:val="24"/>
        </w:rPr>
        <w:t xml:space="preserve">Together, these findings suggest that the adoption of sustainability practices is not an isolated managerial choice but rather a contingent response to internal and external factors that shape environmental management in the wine </w:t>
      </w:r>
      <w:r w:rsidR="0009151E" w:rsidRPr="00A31721">
        <w:rPr>
          <w:rFonts w:ascii="Times New Roman" w:hAnsi="Times New Roman" w:cs="Times New Roman"/>
          <w:color w:val="000000" w:themeColor="text1"/>
          <w:sz w:val="24"/>
          <w:szCs w:val="24"/>
        </w:rPr>
        <w:t>sector</w:t>
      </w:r>
      <w:r w:rsidR="00AA0E42" w:rsidRPr="00A31721">
        <w:rPr>
          <w:rFonts w:ascii="Times New Roman" w:hAnsi="Times New Roman" w:cs="Times New Roman"/>
          <w:color w:val="000000" w:themeColor="text1"/>
          <w:sz w:val="24"/>
          <w:szCs w:val="24"/>
        </w:rPr>
        <w:t>.</w:t>
      </w:r>
    </w:p>
    <w:p w14:paraId="754FF603" w14:textId="7C89DE81" w:rsidR="000F057C" w:rsidRPr="00A31721" w:rsidRDefault="00F34104" w:rsidP="000F057C">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lastRenderedPageBreak/>
        <w:t>Moreover, t</w:t>
      </w:r>
      <w:r w:rsidR="000F057C" w:rsidRPr="00A31721">
        <w:rPr>
          <w:rFonts w:ascii="Times New Roman" w:hAnsi="Times New Roman" w:cs="Times New Roman"/>
          <w:color w:val="000000" w:themeColor="text1"/>
          <w:sz w:val="24"/>
          <w:szCs w:val="24"/>
        </w:rPr>
        <w:t xml:space="preserve">his study </w:t>
      </w:r>
      <w:r w:rsidR="00F400AC" w:rsidRPr="00A31721">
        <w:rPr>
          <w:rFonts w:ascii="Times New Roman" w:hAnsi="Times New Roman" w:cs="Times New Roman"/>
          <w:color w:val="000000" w:themeColor="text1"/>
          <w:sz w:val="24"/>
          <w:szCs w:val="24"/>
        </w:rPr>
        <w:t>demonstrate that</w:t>
      </w:r>
      <w:r w:rsidR="000F057C" w:rsidRPr="00A31721">
        <w:rPr>
          <w:rFonts w:ascii="Times New Roman" w:hAnsi="Times New Roman" w:cs="Times New Roman"/>
          <w:color w:val="000000" w:themeColor="text1"/>
          <w:sz w:val="24"/>
          <w:szCs w:val="24"/>
        </w:rPr>
        <w:t xml:space="preserve"> contingency factors shape the use of Environmental Management Accounting (EMA) tools, aligning with prior research in management accounting (Christ &amp; Burritt, 2013a; Christ, 2014; </w:t>
      </w:r>
      <w:proofErr w:type="spellStart"/>
      <w:r w:rsidR="000F057C" w:rsidRPr="00A31721">
        <w:rPr>
          <w:rFonts w:ascii="Times New Roman" w:hAnsi="Times New Roman" w:cs="Times New Roman"/>
          <w:color w:val="000000" w:themeColor="text1"/>
          <w:sz w:val="24"/>
          <w:szCs w:val="24"/>
        </w:rPr>
        <w:t>Appannan</w:t>
      </w:r>
      <w:proofErr w:type="spellEnd"/>
      <w:r w:rsidR="000F057C" w:rsidRPr="00A31721">
        <w:rPr>
          <w:rFonts w:ascii="Times New Roman" w:hAnsi="Times New Roman" w:cs="Times New Roman"/>
          <w:color w:val="000000" w:themeColor="text1"/>
          <w:sz w:val="24"/>
          <w:szCs w:val="24"/>
        </w:rPr>
        <w:t xml:space="preserve">, 2022; Martínez-Falcó et al., 2025). We extend this literature by demonstrating that, </w:t>
      </w:r>
      <w:r w:rsidR="003415A8" w:rsidRPr="00A31721">
        <w:rPr>
          <w:rFonts w:ascii="Times New Roman" w:hAnsi="Times New Roman" w:cs="Times New Roman"/>
          <w:color w:val="000000" w:themeColor="text1"/>
          <w:sz w:val="24"/>
          <w:szCs w:val="24"/>
        </w:rPr>
        <w:t>beyond the alignment of EMA with winery strategies</w:t>
      </w:r>
      <w:r w:rsidR="000F057C" w:rsidRPr="00A31721">
        <w:rPr>
          <w:rFonts w:ascii="Times New Roman" w:hAnsi="Times New Roman" w:cs="Times New Roman"/>
          <w:color w:val="000000" w:themeColor="text1"/>
          <w:sz w:val="24"/>
          <w:szCs w:val="24"/>
        </w:rPr>
        <w:t xml:space="preserve">, the salience of environmental uncertainty and the adoption technologies significantly influence EMA </w:t>
      </w:r>
      <w:r w:rsidR="00D65296" w:rsidRPr="00A31721">
        <w:rPr>
          <w:rFonts w:ascii="Times New Roman" w:hAnsi="Times New Roman" w:cs="Times New Roman"/>
          <w:color w:val="000000" w:themeColor="text1"/>
          <w:sz w:val="24"/>
          <w:szCs w:val="24"/>
        </w:rPr>
        <w:t>use</w:t>
      </w:r>
      <w:r w:rsidR="000F057C" w:rsidRPr="00A31721">
        <w:rPr>
          <w:rFonts w:ascii="Times New Roman" w:hAnsi="Times New Roman" w:cs="Times New Roman"/>
          <w:color w:val="000000" w:themeColor="text1"/>
          <w:sz w:val="24"/>
          <w:szCs w:val="24"/>
        </w:rPr>
        <w:t xml:space="preserve"> in the wine sector. Our findings further reveal that Brazilian wineries often mobilize EMA primarily in pursuit of financial objectives, subordinating environmental targets. This selective use of EMA </w:t>
      </w:r>
      <w:r w:rsidR="0013231C" w:rsidRPr="00A31721">
        <w:rPr>
          <w:rFonts w:ascii="Times New Roman" w:hAnsi="Times New Roman" w:cs="Times New Roman"/>
          <w:color w:val="000000" w:themeColor="text1"/>
          <w:sz w:val="24"/>
          <w:szCs w:val="24"/>
        </w:rPr>
        <w:t>shows</w:t>
      </w:r>
      <w:r w:rsidR="000F057C" w:rsidRPr="00A31721">
        <w:rPr>
          <w:rFonts w:ascii="Times New Roman" w:hAnsi="Times New Roman" w:cs="Times New Roman"/>
          <w:color w:val="000000" w:themeColor="text1"/>
          <w:sz w:val="24"/>
          <w:szCs w:val="24"/>
        </w:rPr>
        <w:t xml:space="preserve"> its framing as a cost-saving device rather than as a comprehensive tool for environmental stewardship, thereby constraining its potential to short-term outcomes.</w:t>
      </w:r>
    </w:p>
    <w:p w14:paraId="5F58D2D8" w14:textId="4785ED87" w:rsidR="000A490F" w:rsidRPr="00A31721" w:rsidRDefault="000F057C" w:rsidP="000A490F">
      <w:pPr>
        <w:spacing w:after="0" w:line="240" w:lineRule="auto"/>
        <w:ind w:firstLine="709"/>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These insights contribute to the management accounting literature by problematizing the instrumental use of EMA and highlighting the tensions between economic rationality and environmental responsibility. We bring attention to the trade-offs managers </w:t>
      </w:r>
      <w:proofErr w:type="gramStart"/>
      <w:r w:rsidRPr="00A31721">
        <w:rPr>
          <w:rFonts w:ascii="Times New Roman" w:hAnsi="Times New Roman" w:cs="Times New Roman"/>
          <w:color w:val="000000" w:themeColor="text1"/>
          <w:sz w:val="24"/>
          <w:szCs w:val="24"/>
        </w:rPr>
        <w:t>navigate between</w:t>
      </w:r>
      <w:proofErr w:type="gramEnd"/>
      <w:r w:rsidRPr="00A31721">
        <w:rPr>
          <w:rFonts w:ascii="Times New Roman" w:hAnsi="Times New Roman" w:cs="Times New Roman"/>
          <w:color w:val="000000" w:themeColor="text1"/>
          <w:sz w:val="24"/>
          <w:szCs w:val="24"/>
        </w:rPr>
        <w:t xml:space="preserve"> short- and long-term sustainability </w:t>
      </w:r>
      <w:r w:rsidR="00971131" w:rsidRPr="00A31721">
        <w:rPr>
          <w:rFonts w:ascii="Times New Roman" w:hAnsi="Times New Roman" w:cs="Times New Roman"/>
          <w:color w:val="000000" w:themeColor="text1"/>
          <w:sz w:val="24"/>
          <w:szCs w:val="24"/>
        </w:rPr>
        <w:t>goals and</w:t>
      </w:r>
      <w:r w:rsidRPr="00A31721">
        <w:rPr>
          <w:rFonts w:ascii="Times New Roman" w:hAnsi="Times New Roman" w:cs="Times New Roman"/>
          <w:color w:val="000000" w:themeColor="text1"/>
          <w:sz w:val="24"/>
          <w:szCs w:val="24"/>
        </w:rPr>
        <w:t xml:space="preserve"> argue that reconciling these temporal orientations is critical to enhancing the design and effectiveness of environmental management controls (Monteiro et al., 2025). In doing so, this study deepens </w:t>
      </w:r>
      <w:r w:rsidR="00E35030" w:rsidRPr="00A31721">
        <w:rPr>
          <w:rFonts w:ascii="Times New Roman" w:hAnsi="Times New Roman" w:cs="Times New Roman"/>
          <w:color w:val="000000" w:themeColor="text1"/>
          <w:sz w:val="24"/>
          <w:szCs w:val="24"/>
        </w:rPr>
        <w:t xml:space="preserve">our </w:t>
      </w:r>
      <w:r w:rsidRPr="00A31721">
        <w:rPr>
          <w:rFonts w:ascii="Times New Roman" w:hAnsi="Times New Roman" w:cs="Times New Roman"/>
          <w:color w:val="000000" w:themeColor="text1"/>
          <w:sz w:val="24"/>
          <w:szCs w:val="24"/>
        </w:rPr>
        <w:t>understanding of how sustainability practices</w:t>
      </w:r>
      <w:r w:rsidR="00D65296" w:rsidRPr="00A31721">
        <w:rPr>
          <w:rFonts w:ascii="Times New Roman" w:hAnsi="Times New Roman" w:cs="Times New Roman"/>
          <w:color w:val="000000" w:themeColor="text1"/>
          <w:sz w:val="24"/>
          <w:szCs w:val="24"/>
        </w:rPr>
        <w:t>,</w:t>
      </w:r>
      <w:r w:rsidR="000C5C94"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shaped by contingency factors</w:t>
      </w:r>
      <w:r w:rsidR="000C5C94"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affect the environmental, financial, and non-financial performance of firms operating in </w:t>
      </w:r>
      <w:proofErr w:type="gramStart"/>
      <w:r w:rsidR="000C5C94" w:rsidRPr="00A31721">
        <w:rPr>
          <w:rFonts w:ascii="Times New Roman" w:hAnsi="Times New Roman" w:cs="Times New Roman"/>
          <w:color w:val="000000" w:themeColor="text1"/>
          <w:sz w:val="24"/>
          <w:szCs w:val="24"/>
        </w:rPr>
        <w:t>environmental</w:t>
      </w:r>
      <w:proofErr w:type="gramEnd"/>
      <w:r w:rsidR="000C5C94"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sensitive industries</w:t>
      </w:r>
      <w:r w:rsidR="000C5C94" w:rsidRPr="00A31721">
        <w:rPr>
          <w:rFonts w:ascii="Times New Roman" w:hAnsi="Times New Roman" w:cs="Times New Roman"/>
          <w:color w:val="000000" w:themeColor="text1"/>
          <w:sz w:val="24"/>
          <w:szCs w:val="24"/>
        </w:rPr>
        <w:t xml:space="preserve"> such as win</w:t>
      </w:r>
      <w:r w:rsidR="00971131" w:rsidRPr="00A31721">
        <w:rPr>
          <w:rFonts w:ascii="Times New Roman" w:hAnsi="Times New Roman" w:cs="Times New Roman"/>
          <w:color w:val="000000" w:themeColor="text1"/>
          <w:sz w:val="24"/>
          <w:szCs w:val="24"/>
        </w:rPr>
        <w:t>ery</w:t>
      </w:r>
      <w:r w:rsidRPr="00A31721">
        <w:rPr>
          <w:rFonts w:ascii="Times New Roman" w:hAnsi="Times New Roman" w:cs="Times New Roman"/>
          <w:color w:val="000000" w:themeColor="text1"/>
          <w:sz w:val="24"/>
          <w:szCs w:val="24"/>
        </w:rPr>
        <w:t>.</w:t>
      </w:r>
    </w:p>
    <w:p w14:paraId="479BA3C8" w14:textId="77777777" w:rsidR="000A490F" w:rsidRPr="00A31721" w:rsidRDefault="000A490F" w:rsidP="000F0737">
      <w:pPr>
        <w:spacing w:after="0" w:line="240" w:lineRule="auto"/>
        <w:ind w:firstLine="709"/>
        <w:jc w:val="both"/>
        <w:rPr>
          <w:rFonts w:ascii="Times New Roman" w:hAnsi="Times New Roman" w:cs="Times New Roman"/>
          <w:color w:val="000000" w:themeColor="text1"/>
          <w:sz w:val="24"/>
          <w:szCs w:val="24"/>
        </w:rPr>
      </w:pPr>
    </w:p>
    <w:p w14:paraId="73AB6444" w14:textId="77777777" w:rsidR="00840319" w:rsidRPr="00A31721" w:rsidRDefault="00840319" w:rsidP="00840319">
      <w:pPr>
        <w:spacing w:after="0" w:line="240" w:lineRule="auto"/>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6.2. Practical Implications</w:t>
      </w:r>
    </w:p>
    <w:p w14:paraId="19038C60" w14:textId="6DF80308" w:rsidR="00840319" w:rsidRPr="00A31721" w:rsidRDefault="00F92E2C" w:rsidP="00856FD9">
      <w:pPr>
        <w:spacing w:after="0" w:line="240" w:lineRule="auto"/>
        <w:ind w:firstLine="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This study offers several practical implications for practitioners, particularly winery managers. First, our findings </w:t>
      </w:r>
      <w:r w:rsidR="00AA30E1" w:rsidRPr="00A31721">
        <w:rPr>
          <w:rFonts w:ascii="Times New Roman" w:hAnsi="Times New Roman" w:cs="Times New Roman"/>
          <w:color w:val="000000" w:themeColor="text1"/>
          <w:sz w:val="24"/>
          <w:szCs w:val="24"/>
        </w:rPr>
        <w:t>highlight</w:t>
      </w:r>
      <w:r w:rsidRPr="00A31721">
        <w:rPr>
          <w:rFonts w:ascii="Times New Roman" w:hAnsi="Times New Roman" w:cs="Times New Roman"/>
          <w:color w:val="000000" w:themeColor="text1"/>
          <w:sz w:val="24"/>
          <w:szCs w:val="24"/>
        </w:rPr>
        <w:t xml:space="preserve"> the importance of proactively responding to stakeholder pressures (such as those exerted by customers, suppliers, competitors, communities, NGOs, and regulatory bodies)</w:t>
      </w:r>
      <w:r w:rsidR="00C05765"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as well as broader environmental uncertainties, including climate change and water scarcity. In this context, managers are encouraged to identify and leverage technological opportunities and to align sustainability efforts with organizational strategy. Practical actions might include reducing the use of chemical inputs (e.g., pesticides, fungicides, and herbicides) through ecological technologies, implementing water-efficient production processes, investing in alternative energy sources to lower consumption, and advancing waste management initiatives.</w:t>
      </w:r>
      <w:r w:rsidR="00856FD9"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Second, the findings suggest that managers may benefit from reframing environmental management accounting (EMA) tools as strategic enablers of both environmental and financial performance. Although sustainable practices are increasingly adopted, there is limited recognition of the potential for EMA tools to enhance decision quality and operational alignment. In many cases, the underutilization of EMA stems from a misfit between tool complexity and organizational capacity, particularly among small- and medium-sized wineries. This gap highlights the need for sector-specific adaptations that align tool design with managerial needs and resource constraints.</w:t>
      </w:r>
      <w:r w:rsidR="00856FD9"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Third, the study points to the broader necessity of fostering organizational awareness and dialogue </w:t>
      </w:r>
      <w:r w:rsidR="004608D8" w:rsidRPr="00A31721">
        <w:rPr>
          <w:rFonts w:ascii="Times New Roman" w:hAnsi="Times New Roman" w:cs="Times New Roman"/>
          <w:color w:val="000000" w:themeColor="text1"/>
          <w:sz w:val="24"/>
          <w:szCs w:val="24"/>
        </w:rPr>
        <w:t xml:space="preserve">about </w:t>
      </w:r>
      <w:proofErr w:type="gramStart"/>
      <w:r w:rsidR="004608D8" w:rsidRPr="00A31721">
        <w:rPr>
          <w:rFonts w:ascii="Times New Roman" w:hAnsi="Times New Roman" w:cs="Times New Roman"/>
          <w:color w:val="000000" w:themeColor="text1"/>
          <w:sz w:val="24"/>
          <w:szCs w:val="24"/>
        </w:rPr>
        <w:t xml:space="preserve">the </w:t>
      </w:r>
      <w:r w:rsidRPr="00A31721">
        <w:rPr>
          <w:rFonts w:ascii="Times New Roman" w:hAnsi="Times New Roman" w:cs="Times New Roman"/>
          <w:color w:val="000000" w:themeColor="text1"/>
          <w:sz w:val="24"/>
          <w:szCs w:val="24"/>
        </w:rPr>
        <w:t>climate</w:t>
      </w:r>
      <w:proofErr w:type="gramEnd"/>
      <w:r w:rsidRPr="00A31721">
        <w:rPr>
          <w:rFonts w:ascii="Times New Roman" w:hAnsi="Times New Roman" w:cs="Times New Roman"/>
          <w:color w:val="000000" w:themeColor="text1"/>
          <w:sz w:val="24"/>
          <w:szCs w:val="24"/>
        </w:rPr>
        <w:t xml:space="preserve"> change</w:t>
      </w:r>
      <w:r w:rsidR="00D23BCB"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and resource scarcity. These environmental pressures not only threaten viticultural viability but also have cascading effects on tourism, employment, income generation, and the long-term sustainability of firms in the wine sector. Creating spaces for such strategic </w:t>
      </w:r>
      <w:r w:rsidR="00856FD9" w:rsidRPr="00A31721">
        <w:rPr>
          <w:rFonts w:ascii="Times New Roman" w:hAnsi="Times New Roman" w:cs="Times New Roman"/>
          <w:color w:val="000000" w:themeColor="text1"/>
          <w:sz w:val="24"/>
          <w:szCs w:val="24"/>
        </w:rPr>
        <w:t xml:space="preserve">discussion </w:t>
      </w:r>
      <w:r w:rsidRPr="00A31721">
        <w:rPr>
          <w:rFonts w:ascii="Times New Roman" w:hAnsi="Times New Roman" w:cs="Times New Roman"/>
          <w:color w:val="000000" w:themeColor="text1"/>
          <w:sz w:val="24"/>
          <w:szCs w:val="24"/>
        </w:rPr>
        <w:t>may enable managers to anticipate disruptions and craft more resilient, future-oriented sustainability strategies.</w:t>
      </w:r>
    </w:p>
    <w:p w14:paraId="3A8A269C" w14:textId="77777777" w:rsidR="00856FD9" w:rsidRPr="00A31721" w:rsidRDefault="00856FD9" w:rsidP="00856FD9">
      <w:pPr>
        <w:spacing w:after="0" w:line="240" w:lineRule="auto"/>
        <w:ind w:firstLine="720"/>
        <w:jc w:val="both"/>
        <w:rPr>
          <w:rFonts w:ascii="Times New Roman" w:hAnsi="Times New Roman" w:cs="Times New Roman"/>
          <w:color w:val="000000" w:themeColor="text1"/>
          <w:sz w:val="24"/>
          <w:szCs w:val="24"/>
        </w:rPr>
      </w:pPr>
    </w:p>
    <w:p w14:paraId="382D0B74" w14:textId="77777777" w:rsidR="00840319" w:rsidRPr="00A31721" w:rsidRDefault="00840319" w:rsidP="00840319">
      <w:pPr>
        <w:spacing w:after="0" w:line="240" w:lineRule="auto"/>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6.3. Limitations and Future Research</w:t>
      </w:r>
    </w:p>
    <w:p w14:paraId="6E6C9706" w14:textId="6F9D27A8" w:rsidR="00B157CB" w:rsidRPr="00A31721" w:rsidRDefault="004A4EC2" w:rsidP="00707815">
      <w:pPr>
        <w:spacing w:after="0" w:line="240" w:lineRule="auto"/>
        <w:ind w:firstLine="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This paper has some limitations. First, although this study contributes to the existing literature by emphasizing the need for more empirical evidence regarding EMA and performance, our results reflect the perceptions of Brazilian winery managers. Brazil is a country with </w:t>
      </w:r>
      <w:r w:rsidR="00283A31" w:rsidRPr="00A31721">
        <w:rPr>
          <w:rFonts w:ascii="Times New Roman" w:hAnsi="Times New Roman" w:cs="Times New Roman"/>
          <w:color w:val="000000" w:themeColor="text1"/>
          <w:sz w:val="24"/>
          <w:szCs w:val="24"/>
        </w:rPr>
        <w:t xml:space="preserve">relatively </w:t>
      </w:r>
      <w:r w:rsidRPr="00A31721">
        <w:rPr>
          <w:rFonts w:ascii="Times New Roman" w:hAnsi="Times New Roman" w:cs="Times New Roman"/>
          <w:color w:val="000000" w:themeColor="text1"/>
          <w:sz w:val="24"/>
          <w:szCs w:val="24"/>
        </w:rPr>
        <w:lastRenderedPageBreak/>
        <w:t>low representation in the international wine market, specific local legislation</w:t>
      </w:r>
      <w:r w:rsidR="000B7ED4" w:rsidRPr="00A31721">
        <w:rPr>
          <w:rFonts w:ascii="Times New Roman" w:hAnsi="Times New Roman" w:cs="Times New Roman"/>
          <w:color w:val="000000" w:themeColor="text1"/>
          <w:sz w:val="24"/>
          <w:szCs w:val="24"/>
        </w:rPr>
        <w:t xml:space="preserve"> </w:t>
      </w:r>
      <w:r w:rsidR="00D901D3" w:rsidRPr="00A31721">
        <w:rPr>
          <w:rFonts w:ascii="Times New Roman" w:hAnsi="Times New Roman" w:cs="Times New Roman"/>
          <w:color w:val="000000" w:themeColor="text1"/>
          <w:sz w:val="24"/>
          <w:szCs w:val="24"/>
        </w:rPr>
        <w:t xml:space="preserve">and </w:t>
      </w:r>
      <w:r w:rsidRPr="00A31721">
        <w:rPr>
          <w:rFonts w:ascii="Times New Roman" w:hAnsi="Times New Roman" w:cs="Times New Roman"/>
          <w:color w:val="000000" w:themeColor="text1"/>
          <w:sz w:val="24"/>
          <w:szCs w:val="24"/>
        </w:rPr>
        <w:t xml:space="preserve">a relatively recent tradition of wine consumption. These factors suggest </w:t>
      </w:r>
      <w:r w:rsidR="00283A31" w:rsidRPr="00A31721">
        <w:rPr>
          <w:rFonts w:ascii="Times New Roman" w:hAnsi="Times New Roman" w:cs="Times New Roman"/>
          <w:color w:val="000000" w:themeColor="text1"/>
          <w:sz w:val="24"/>
          <w:szCs w:val="24"/>
        </w:rPr>
        <w:t>that the results</w:t>
      </w:r>
      <w:r w:rsidRPr="00A31721">
        <w:rPr>
          <w:rFonts w:ascii="Times New Roman" w:hAnsi="Times New Roman" w:cs="Times New Roman"/>
          <w:color w:val="000000" w:themeColor="text1"/>
          <w:sz w:val="24"/>
          <w:szCs w:val="24"/>
        </w:rPr>
        <w:t xml:space="preserve"> should be interpreted with caution when generalizing to other contexts. Future research could further investigate the use of EMA in countries where wine culture plays a more prominent role in economic development and where environmental challenges differ.</w:t>
      </w:r>
      <w:r w:rsidR="00283A31"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Second,</w:t>
      </w:r>
      <w:r w:rsidR="009F4EFE" w:rsidRPr="00A31721">
        <w:rPr>
          <w:rFonts w:ascii="Times New Roman" w:hAnsi="Times New Roman" w:cs="Times New Roman"/>
          <w:color w:val="000000" w:themeColor="text1"/>
          <w:sz w:val="24"/>
          <w:szCs w:val="24"/>
        </w:rPr>
        <w:t xml:space="preserve"> a</w:t>
      </w:r>
      <w:r w:rsidRPr="00A31721">
        <w:rPr>
          <w:rFonts w:ascii="Times New Roman" w:hAnsi="Times New Roman" w:cs="Times New Roman"/>
          <w:color w:val="000000" w:themeColor="text1"/>
          <w:sz w:val="24"/>
          <w:szCs w:val="24"/>
        </w:rPr>
        <w:t xml:space="preserve">lthough we demonstrated a strong relationship between </w:t>
      </w:r>
      <w:r w:rsidR="009F4EFE" w:rsidRPr="00A31721">
        <w:rPr>
          <w:rFonts w:ascii="Times New Roman" w:hAnsi="Times New Roman" w:cs="Times New Roman"/>
          <w:color w:val="000000" w:themeColor="text1"/>
          <w:sz w:val="24"/>
          <w:szCs w:val="24"/>
        </w:rPr>
        <w:t>contingent factors, management tools</w:t>
      </w:r>
      <w:r w:rsidR="008B228F" w:rsidRPr="00A31721">
        <w:rPr>
          <w:rFonts w:ascii="Times New Roman" w:hAnsi="Times New Roman" w:cs="Times New Roman"/>
          <w:color w:val="000000" w:themeColor="text1"/>
          <w:sz w:val="24"/>
          <w:szCs w:val="24"/>
        </w:rPr>
        <w:t xml:space="preserve"> and performance</w:t>
      </w:r>
      <w:r w:rsidRPr="00A31721">
        <w:rPr>
          <w:rFonts w:ascii="Times New Roman" w:hAnsi="Times New Roman" w:cs="Times New Roman"/>
          <w:color w:val="000000" w:themeColor="text1"/>
          <w:sz w:val="24"/>
          <w:szCs w:val="24"/>
        </w:rPr>
        <w:t>, there are specific nuances that could be more deeply explored within the complex and dynamic contexts of sustainability</w:t>
      </w:r>
      <w:r w:rsidR="00EB7998" w:rsidRPr="00A31721">
        <w:rPr>
          <w:rFonts w:ascii="Times New Roman" w:hAnsi="Times New Roman" w:cs="Times New Roman"/>
          <w:color w:val="000000" w:themeColor="text1"/>
          <w:sz w:val="24"/>
          <w:szCs w:val="24"/>
        </w:rPr>
        <w:t>, p</w:t>
      </w:r>
      <w:r w:rsidRPr="00A31721">
        <w:rPr>
          <w:rFonts w:ascii="Times New Roman" w:hAnsi="Times New Roman" w:cs="Times New Roman"/>
          <w:color w:val="000000" w:themeColor="text1"/>
          <w:sz w:val="24"/>
          <w:szCs w:val="24"/>
        </w:rPr>
        <w:t>articularly in times of uncertainty and rapid technological transformation.</w:t>
      </w:r>
      <w:r w:rsidR="0004161F" w:rsidRPr="00A31721">
        <w:rPr>
          <w:rFonts w:ascii="Times New Roman" w:hAnsi="Times New Roman" w:cs="Times New Roman"/>
          <w:color w:val="000000" w:themeColor="text1"/>
          <w:sz w:val="24"/>
          <w:szCs w:val="24"/>
        </w:rPr>
        <w:t xml:space="preserve"> Furthermore, </w:t>
      </w:r>
      <w:r w:rsidR="0004161F" w:rsidRPr="00A31721">
        <w:rPr>
          <w:rFonts w:ascii="Times New Roman" w:eastAsia="Times New Roman" w:hAnsi="Times New Roman" w:cs="Times New Roman"/>
          <w:color w:val="000000" w:themeColor="text1"/>
          <w:sz w:val="24"/>
          <w:szCs w:val="24"/>
        </w:rPr>
        <w:t>t</w:t>
      </w:r>
      <w:r w:rsidR="00D51EF2" w:rsidRPr="00A31721">
        <w:rPr>
          <w:rFonts w:ascii="Times New Roman" w:eastAsia="Times New Roman" w:hAnsi="Times New Roman" w:cs="Times New Roman"/>
          <w:color w:val="000000" w:themeColor="text1"/>
          <w:sz w:val="24"/>
          <w:szCs w:val="24"/>
        </w:rPr>
        <w:t xml:space="preserve">here is scope for future research to further </w:t>
      </w:r>
      <w:r w:rsidR="0004161F" w:rsidRPr="00A31721">
        <w:rPr>
          <w:rFonts w:ascii="Times New Roman" w:eastAsia="Times New Roman" w:hAnsi="Times New Roman" w:cs="Times New Roman"/>
          <w:color w:val="000000" w:themeColor="text1"/>
          <w:sz w:val="24"/>
          <w:szCs w:val="24"/>
        </w:rPr>
        <w:t>explore</w:t>
      </w:r>
      <w:r w:rsidR="00D51EF2" w:rsidRPr="00A31721">
        <w:rPr>
          <w:rFonts w:ascii="Times New Roman" w:eastAsia="Times New Roman" w:hAnsi="Times New Roman" w:cs="Times New Roman"/>
          <w:color w:val="000000" w:themeColor="text1"/>
          <w:sz w:val="24"/>
          <w:szCs w:val="24"/>
        </w:rPr>
        <w:t xml:space="preserve"> the </w:t>
      </w:r>
      <w:r w:rsidR="00BB5428" w:rsidRPr="00A31721">
        <w:rPr>
          <w:rFonts w:ascii="Times New Roman" w:eastAsia="Times New Roman" w:hAnsi="Times New Roman" w:cs="Times New Roman"/>
          <w:color w:val="000000" w:themeColor="text1"/>
          <w:sz w:val="24"/>
          <w:szCs w:val="24"/>
        </w:rPr>
        <w:t xml:space="preserve">impact of </w:t>
      </w:r>
      <w:r w:rsidR="00E30DD9" w:rsidRPr="00A31721">
        <w:rPr>
          <w:rFonts w:ascii="Times New Roman" w:eastAsia="Times New Roman" w:hAnsi="Times New Roman" w:cs="Times New Roman"/>
          <w:color w:val="000000" w:themeColor="text1"/>
          <w:sz w:val="24"/>
          <w:szCs w:val="24"/>
        </w:rPr>
        <w:t>digital transformation in the winery s</w:t>
      </w:r>
      <w:r w:rsidR="00BB5428" w:rsidRPr="00A31721">
        <w:rPr>
          <w:rFonts w:ascii="Times New Roman" w:eastAsia="Times New Roman" w:hAnsi="Times New Roman" w:cs="Times New Roman"/>
          <w:color w:val="000000" w:themeColor="text1"/>
          <w:sz w:val="24"/>
          <w:szCs w:val="24"/>
        </w:rPr>
        <w:t>ector</w:t>
      </w:r>
      <w:r w:rsidR="00CB06C6" w:rsidRPr="00A31721">
        <w:rPr>
          <w:rFonts w:ascii="Times New Roman" w:eastAsia="Times New Roman" w:hAnsi="Times New Roman" w:cs="Times New Roman"/>
          <w:color w:val="000000" w:themeColor="text1"/>
          <w:sz w:val="24"/>
          <w:szCs w:val="24"/>
        </w:rPr>
        <w:t xml:space="preserve">. </w:t>
      </w:r>
      <w:r w:rsidR="0004161F" w:rsidRPr="00A31721">
        <w:rPr>
          <w:rFonts w:ascii="Times New Roman" w:eastAsia="Times New Roman" w:hAnsi="Times New Roman" w:cs="Times New Roman"/>
          <w:color w:val="000000" w:themeColor="text1"/>
          <w:sz w:val="24"/>
          <w:szCs w:val="24"/>
        </w:rPr>
        <w:t>Also</w:t>
      </w:r>
      <w:r w:rsidR="00D51EF2" w:rsidRPr="00A31721">
        <w:rPr>
          <w:rFonts w:ascii="Times New Roman" w:eastAsia="Times New Roman" w:hAnsi="Times New Roman" w:cs="Times New Roman"/>
          <w:color w:val="000000" w:themeColor="text1"/>
          <w:sz w:val="24"/>
          <w:szCs w:val="24"/>
        </w:rPr>
        <w:t>, more empirical studies are needed to promote the use of EMA tools beyond transparency and accountability purposes, aiming to expand understanding in this area. EMA provides opportunities for measurement, control, and the provision of information that can improve environmental management.</w:t>
      </w:r>
    </w:p>
    <w:p w14:paraId="17E68D03" w14:textId="77777777" w:rsidR="00D51EF2" w:rsidRPr="00A31721" w:rsidRDefault="00D51EF2" w:rsidP="00D51EF2">
      <w:pPr>
        <w:spacing w:after="0" w:line="240" w:lineRule="auto"/>
        <w:ind w:firstLine="720"/>
        <w:jc w:val="both"/>
        <w:rPr>
          <w:rFonts w:ascii="Times New Roman" w:eastAsia="Times New Roman" w:hAnsi="Times New Roman" w:cs="Times New Roman"/>
          <w:color w:val="000000" w:themeColor="text1"/>
          <w:sz w:val="24"/>
          <w:szCs w:val="24"/>
        </w:rPr>
      </w:pPr>
    </w:p>
    <w:p w14:paraId="58D91E67" w14:textId="77777777" w:rsidR="00460AFB" w:rsidRPr="00A31721" w:rsidRDefault="00460AFB" w:rsidP="00460AFB">
      <w:pPr>
        <w:spacing w:after="0" w:line="240" w:lineRule="auto"/>
        <w:ind w:left="360" w:hanging="360"/>
        <w:rPr>
          <w:rFonts w:ascii="Times New Roman" w:hAnsi="Times New Roman" w:cs="Times New Roman"/>
          <w:color w:val="000000" w:themeColor="text1"/>
          <w:sz w:val="24"/>
          <w:szCs w:val="24"/>
        </w:rPr>
      </w:pPr>
      <w:r w:rsidRPr="00A31721">
        <w:rPr>
          <w:rFonts w:ascii="Times New Roman" w:eastAsia="Times New Roman" w:hAnsi="Times New Roman" w:cs="Times New Roman"/>
          <w:b/>
          <w:color w:val="000000" w:themeColor="text1"/>
          <w:sz w:val="24"/>
          <w:szCs w:val="24"/>
        </w:rPr>
        <w:t xml:space="preserve">References </w:t>
      </w:r>
    </w:p>
    <w:p w14:paraId="1C70448A" w14:textId="7E29B0F6"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Abdallah, A. B., &amp; Al-</w:t>
      </w:r>
      <w:proofErr w:type="spellStart"/>
      <w:r w:rsidRPr="00A31721">
        <w:rPr>
          <w:rFonts w:ascii="Times New Roman" w:eastAsia="Times New Roman" w:hAnsi="Times New Roman" w:cs="Times New Roman"/>
          <w:color w:val="000000" w:themeColor="text1"/>
          <w:sz w:val="24"/>
          <w:szCs w:val="24"/>
          <w:highlight w:val="white"/>
        </w:rPr>
        <w:t>Ghwayeen</w:t>
      </w:r>
      <w:proofErr w:type="spellEnd"/>
      <w:r w:rsidRPr="00A31721">
        <w:rPr>
          <w:rFonts w:ascii="Times New Roman" w:eastAsia="Times New Roman" w:hAnsi="Times New Roman" w:cs="Times New Roman"/>
          <w:color w:val="000000" w:themeColor="text1"/>
          <w:sz w:val="24"/>
          <w:szCs w:val="24"/>
          <w:highlight w:val="white"/>
        </w:rPr>
        <w:t xml:space="preserve">, W. S. (2020). Green supply chain management and business performance: The mediating roles of environmental and operational performances. </w:t>
      </w:r>
      <w:r w:rsidRPr="00A31721">
        <w:rPr>
          <w:rFonts w:ascii="Times New Roman" w:eastAsia="Times New Roman" w:hAnsi="Times New Roman" w:cs="Times New Roman"/>
          <w:i/>
          <w:color w:val="000000" w:themeColor="text1"/>
          <w:sz w:val="24"/>
          <w:szCs w:val="24"/>
          <w:highlight w:val="white"/>
        </w:rPr>
        <w:t>Business Process Management Journal</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26</w:t>
      </w:r>
      <w:r w:rsidRPr="00A31721">
        <w:rPr>
          <w:rFonts w:ascii="Times New Roman" w:eastAsia="Times New Roman" w:hAnsi="Times New Roman" w:cs="Times New Roman"/>
          <w:color w:val="000000" w:themeColor="text1"/>
          <w:sz w:val="24"/>
          <w:szCs w:val="24"/>
          <w:highlight w:val="white"/>
        </w:rPr>
        <w:t>(2), 489-512.</w:t>
      </w:r>
      <w:r w:rsidR="0066338F" w:rsidRPr="00A31721">
        <w:rPr>
          <w:rFonts w:ascii="Times New Roman" w:eastAsia="Times New Roman" w:hAnsi="Times New Roman" w:cs="Times New Roman"/>
          <w:color w:val="000000" w:themeColor="text1"/>
          <w:sz w:val="24"/>
          <w:szCs w:val="24"/>
        </w:rPr>
        <w:t xml:space="preserve"> </w:t>
      </w:r>
      <w:hyperlink r:id="rId7">
        <w:r w:rsidRPr="00A31721">
          <w:rPr>
            <w:rFonts w:ascii="Times New Roman" w:eastAsia="Times New Roman" w:hAnsi="Times New Roman" w:cs="Times New Roman"/>
            <w:color w:val="000000" w:themeColor="text1"/>
            <w:sz w:val="24"/>
            <w:szCs w:val="24"/>
            <w:highlight w:val="white"/>
            <w:u w:val="single"/>
          </w:rPr>
          <w:t>doi.org/10.1108/BPMJ-03-2018-0091</w:t>
        </w:r>
      </w:hyperlink>
    </w:p>
    <w:p w14:paraId="1A0223EC" w14:textId="7777777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yellow"/>
        </w:rPr>
      </w:pPr>
      <w:r w:rsidRPr="00A31721">
        <w:rPr>
          <w:rFonts w:ascii="Times New Roman" w:hAnsi="Times New Roman" w:cs="Times New Roman"/>
          <w:color w:val="000000" w:themeColor="text1"/>
          <w:sz w:val="24"/>
          <w:szCs w:val="24"/>
          <w:shd w:val="clear" w:color="auto" w:fill="FFFFFF"/>
        </w:rPr>
        <w:t>Abdel-Kader, M., &amp; Luther, R. (2008). The impact of firm characteristics on management accounting practices: A UK-based empirical analysis. </w:t>
      </w:r>
      <w:r w:rsidRPr="00A31721">
        <w:rPr>
          <w:rFonts w:ascii="Times New Roman" w:hAnsi="Times New Roman" w:cs="Times New Roman"/>
          <w:i/>
          <w:iCs/>
          <w:color w:val="000000" w:themeColor="text1"/>
          <w:sz w:val="24"/>
          <w:szCs w:val="24"/>
          <w:shd w:val="clear" w:color="auto" w:fill="FFFFFF"/>
        </w:rPr>
        <w:t>The British Accounting Review</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40</w:t>
      </w:r>
      <w:r w:rsidRPr="00A31721">
        <w:rPr>
          <w:rFonts w:ascii="Times New Roman" w:hAnsi="Times New Roman" w:cs="Times New Roman"/>
          <w:color w:val="000000" w:themeColor="text1"/>
          <w:sz w:val="24"/>
          <w:szCs w:val="24"/>
          <w:shd w:val="clear" w:color="auto" w:fill="FFFFFF"/>
        </w:rPr>
        <w:t xml:space="preserve">(1), 2-27. </w:t>
      </w:r>
      <w:hyperlink r:id="rId8" w:tgtFrame="_blank" w:tooltip="Persistent link using digital object identifier" w:history="1">
        <w:r w:rsidRPr="00A31721">
          <w:rPr>
            <w:rStyle w:val="anchor-text"/>
            <w:rFonts w:ascii="Times New Roman" w:hAnsi="Times New Roman" w:cs="Times New Roman"/>
            <w:color w:val="000000" w:themeColor="text1"/>
            <w:sz w:val="24"/>
            <w:szCs w:val="24"/>
          </w:rPr>
          <w:t>https://doi.org/10.1016/j.bar.2007.11.003</w:t>
        </w:r>
      </w:hyperlink>
      <w:r w:rsidRPr="00A31721">
        <w:rPr>
          <w:color w:val="000000" w:themeColor="text1"/>
        </w:rPr>
        <w:t xml:space="preserve"> </w:t>
      </w:r>
    </w:p>
    <w:p w14:paraId="5F28DAA4" w14:textId="6A06962A"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Abdel-Maksoud, A., Kamel, H., &amp; Elbanna, S. (2016). Investigating relationships between stakeholders’ pressure, eco-control systems and hotel performance. </w:t>
      </w:r>
      <w:r w:rsidRPr="00A31721">
        <w:rPr>
          <w:rFonts w:ascii="Times New Roman" w:eastAsia="Times New Roman" w:hAnsi="Times New Roman" w:cs="Times New Roman"/>
          <w:i/>
          <w:color w:val="000000" w:themeColor="text1"/>
          <w:sz w:val="24"/>
          <w:szCs w:val="24"/>
          <w:highlight w:val="white"/>
        </w:rPr>
        <w:t>International Journal of Hospitality Management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59</w:t>
      </w:r>
      <w:r w:rsidRPr="00A31721">
        <w:rPr>
          <w:rFonts w:ascii="Times New Roman" w:eastAsia="Times New Roman" w:hAnsi="Times New Roman" w:cs="Times New Roman"/>
          <w:color w:val="000000" w:themeColor="text1"/>
          <w:sz w:val="24"/>
          <w:szCs w:val="24"/>
          <w:highlight w:val="white"/>
        </w:rPr>
        <w:t>, 95-104.</w:t>
      </w:r>
      <w:r w:rsidR="00977E25" w:rsidRPr="00A31721">
        <w:rPr>
          <w:rFonts w:ascii="Times New Roman" w:eastAsia="Times New Roman" w:hAnsi="Times New Roman" w:cs="Times New Roman"/>
          <w:color w:val="000000" w:themeColor="text1"/>
          <w:sz w:val="24"/>
          <w:szCs w:val="24"/>
        </w:rPr>
        <w:t xml:space="preserve"> https://</w:t>
      </w:r>
      <w:hyperlink r:id="rId9">
        <w:r w:rsidRPr="00A31721">
          <w:rPr>
            <w:rFonts w:ascii="Times New Roman" w:eastAsia="Times New Roman" w:hAnsi="Times New Roman" w:cs="Times New Roman"/>
            <w:color w:val="000000" w:themeColor="text1"/>
            <w:sz w:val="24"/>
            <w:szCs w:val="24"/>
            <w:u w:val="single"/>
          </w:rPr>
          <w:t>doi.org/10.1016/j.ijhm.2016.09.006</w:t>
        </w:r>
      </w:hyperlink>
    </w:p>
    <w:p w14:paraId="3D58B17A" w14:textId="007DA575"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A31721">
        <w:rPr>
          <w:rFonts w:ascii="Times New Roman" w:eastAsia="Times New Roman" w:hAnsi="Times New Roman" w:cs="Times New Roman"/>
          <w:color w:val="000000" w:themeColor="text1"/>
          <w:sz w:val="24"/>
          <w:szCs w:val="24"/>
        </w:rPr>
        <w:t>Afum</w:t>
      </w:r>
      <w:proofErr w:type="spellEnd"/>
      <w:r w:rsidRPr="00A31721">
        <w:rPr>
          <w:rFonts w:ascii="Times New Roman" w:eastAsia="Times New Roman" w:hAnsi="Times New Roman" w:cs="Times New Roman"/>
          <w:color w:val="000000" w:themeColor="text1"/>
          <w:sz w:val="24"/>
          <w:szCs w:val="24"/>
        </w:rPr>
        <w:t>, E., Osei-</w:t>
      </w:r>
      <w:proofErr w:type="spellStart"/>
      <w:r w:rsidRPr="00A31721">
        <w:rPr>
          <w:rFonts w:ascii="Times New Roman" w:eastAsia="Times New Roman" w:hAnsi="Times New Roman" w:cs="Times New Roman"/>
          <w:color w:val="000000" w:themeColor="text1"/>
          <w:sz w:val="24"/>
          <w:szCs w:val="24"/>
        </w:rPr>
        <w:t>Ahenkan</w:t>
      </w:r>
      <w:proofErr w:type="spellEnd"/>
      <w:r w:rsidRPr="00A31721">
        <w:rPr>
          <w:rFonts w:ascii="Times New Roman" w:eastAsia="Times New Roman" w:hAnsi="Times New Roman" w:cs="Times New Roman"/>
          <w:color w:val="000000" w:themeColor="text1"/>
          <w:sz w:val="24"/>
          <w:szCs w:val="24"/>
        </w:rPr>
        <w:t xml:space="preserve">, V. Y., </w:t>
      </w:r>
      <w:proofErr w:type="spellStart"/>
      <w:r w:rsidRPr="00A31721">
        <w:rPr>
          <w:rFonts w:ascii="Times New Roman" w:eastAsia="Times New Roman" w:hAnsi="Times New Roman" w:cs="Times New Roman"/>
          <w:color w:val="000000" w:themeColor="text1"/>
          <w:sz w:val="24"/>
          <w:szCs w:val="24"/>
        </w:rPr>
        <w:t>Agyabeng</w:t>
      </w:r>
      <w:proofErr w:type="spellEnd"/>
      <w:r w:rsidRPr="00A31721">
        <w:rPr>
          <w:rFonts w:ascii="Times New Roman" w:eastAsia="Times New Roman" w:hAnsi="Times New Roman" w:cs="Times New Roman"/>
          <w:color w:val="000000" w:themeColor="text1"/>
          <w:sz w:val="24"/>
          <w:szCs w:val="24"/>
        </w:rPr>
        <w:t xml:space="preserve">-Mensah, Y., Owusu, J. A., Kusi, L. Y., &amp; Ankomah, J. (2020). Green manufacturing practices and sustainable performance among Ghanaian manufacturing SMEs: the explanatory link of green supply chain integration. </w:t>
      </w:r>
      <w:r w:rsidRPr="00A31721">
        <w:rPr>
          <w:rFonts w:ascii="Times New Roman" w:eastAsia="Times New Roman" w:hAnsi="Times New Roman" w:cs="Times New Roman"/>
          <w:i/>
          <w:iCs/>
          <w:color w:val="000000" w:themeColor="text1"/>
          <w:sz w:val="24"/>
          <w:szCs w:val="24"/>
        </w:rPr>
        <w:t>Management of Environmental Quality: An International Journal,</w:t>
      </w:r>
      <w:r w:rsidRPr="00A31721">
        <w:rPr>
          <w:rFonts w:ascii="Times New Roman" w:eastAsia="Times New Roman" w:hAnsi="Times New Roman" w:cs="Times New Roman"/>
          <w:color w:val="000000" w:themeColor="text1"/>
          <w:sz w:val="24"/>
          <w:szCs w:val="24"/>
        </w:rPr>
        <w:t xml:space="preserve"> 31(6), 1457-1475. </w:t>
      </w:r>
      <w:hyperlink r:id="rId10" w:history="1">
        <w:r w:rsidRPr="00A31721">
          <w:rPr>
            <w:rStyle w:val="Hyperlink"/>
            <w:rFonts w:ascii="Times New Roman" w:eastAsia="Times New Roman" w:hAnsi="Times New Roman" w:cs="Times New Roman"/>
            <w:color w:val="000000" w:themeColor="text1"/>
            <w:sz w:val="24"/>
            <w:szCs w:val="24"/>
          </w:rPr>
          <w:t>https://doi.org/10.1108/MEQ-01-2020-0019</w:t>
        </w:r>
      </w:hyperlink>
      <w:r w:rsidRPr="00A31721">
        <w:rPr>
          <w:rFonts w:ascii="Times New Roman" w:eastAsia="Times New Roman" w:hAnsi="Times New Roman" w:cs="Times New Roman"/>
          <w:color w:val="000000" w:themeColor="text1"/>
          <w:sz w:val="24"/>
          <w:szCs w:val="24"/>
        </w:rPr>
        <w:t xml:space="preserve"> </w:t>
      </w:r>
    </w:p>
    <w:p w14:paraId="0E9D5E61" w14:textId="71833C44"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Agi, M. A., &amp; Nishant, R. (2017). Understanding influential factors on implementing green supply chain management practices: An interpretive structural modelling analysis. </w:t>
      </w:r>
      <w:r w:rsidRPr="00A31721">
        <w:rPr>
          <w:rFonts w:ascii="Times New Roman" w:eastAsia="Times New Roman" w:hAnsi="Times New Roman" w:cs="Times New Roman"/>
          <w:i/>
          <w:color w:val="000000" w:themeColor="text1"/>
          <w:sz w:val="24"/>
          <w:szCs w:val="24"/>
          <w:highlight w:val="white"/>
        </w:rPr>
        <w:t>Journal of environmental management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Cs/>
          <w:color w:val="000000" w:themeColor="text1"/>
          <w:sz w:val="24"/>
          <w:szCs w:val="24"/>
          <w:highlight w:val="white"/>
        </w:rPr>
        <w:t>188</w:t>
      </w:r>
      <w:r w:rsidRPr="00A31721">
        <w:rPr>
          <w:rFonts w:ascii="Times New Roman" w:eastAsia="Times New Roman" w:hAnsi="Times New Roman" w:cs="Times New Roman"/>
          <w:color w:val="000000" w:themeColor="text1"/>
          <w:sz w:val="24"/>
          <w:szCs w:val="24"/>
          <w:highlight w:val="white"/>
        </w:rPr>
        <w:t>, 351-363.</w:t>
      </w:r>
      <w:r w:rsidR="0093016A" w:rsidRPr="00A31721">
        <w:rPr>
          <w:rFonts w:ascii="Times New Roman" w:eastAsia="Times New Roman" w:hAnsi="Times New Roman" w:cs="Times New Roman"/>
          <w:color w:val="000000" w:themeColor="text1"/>
          <w:sz w:val="24"/>
          <w:szCs w:val="24"/>
        </w:rPr>
        <w:t xml:space="preserve"> https://</w:t>
      </w:r>
      <w:hyperlink r:id="rId11">
        <w:r w:rsidRPr="00A31721">
          <w:rPr>
            <w:rFonts w:ascii="Times New Roman" w:eastAsia="Times New Roman" w:hAnsi="Times New Roman" w:cs="Times New Roman"/>
            <w:color w:val="000000" w:themeColor="text1"/>
            <w:sz w:val="24"/>
            <w:szCs w:val="24"/>
            <w:u w:val="single"/>
          </w:rPr>
          <w:t>doi.org/10.1016/j.jenvman.2016.11.081</w:t>
        </w:r>
      </w:hyperlink>
    </w:p>
    <w:p w14:paraId="463A6689" w14:textId="53D8D48A"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proofErr w:type="spellStart"/>
      <w:r w:rsidRPr="00A31721">
        <w:rPr>
          <w:rFonts w:ascii="Times New Roman" w:hAnsi="Times New Roman" w:cs="Times New Roman"/>
          <w:color w:val="000000" w:themeColor="text1"/>
          <w:sz w:val="24"/>
          <w:szCs w:val="24"/>
        </w:rPr>
        <w:t>Appannan</w:t>
      </w:r>
      <w:proofErr w:type="spellEnd"/>
      <w:r w:rsidRPr="00A31721">
        <w:rPr>
          <w:rFonts w:ascii="Times New Roman" w:hAnsi="Times New Roman" w:cs="Times New Roman"/>
          <w:color w:val="000000" w:themeColor="text1"/>
          <w:sz w:val="24"/>
          <w:szCs w:val="24"/>
        </w:rPr>
        <w:t xml:space="preserve">, J., Mohd Said, R., Ong, T. </w:t>
      </w:r>
      <w:r w:rsidR="00755088" w:rsidRPr="00A31721">
        <w:rPr>
          <w:rFonts w:ascii="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 xml:space="preserve">Senik, R. (2023), "Promoting sustainable development by means of strategies, environmental management accounting and environmental performance", </w:t>
      </w:r>
      <w:r w:rsidR="00542D7B" w:rsidRPr="00A31721">
        <w:rPr>
          <w:rFonts w:ascii="Times New Roman" w:hAnsi="Times New Roman" w:cs="Times New Roman"/>
          <w:i/>
          <w:iCs/>
          <w:color w:val="000000" w:themeColor="text1"/>
          <w:sz w:val="24"/>
          <w:szCs w:val="24"/>
        </w:rPr>
        <w:t>Business Strategy and the Environment</w:t>
      </w:r>
      <w:r w:rsidR="00542D7B" w:rsidRPr="00A31721" w:rsidDel="00542D7B">
        <w:rPr>
          <w:rFonts w:ascii="Times New Roman" w:hAnsi="Times New Roman" w:cs="Times New Roman"/>
          <w:color w:val="000000" w:themeColor="text1"/>
          <w:sz w:val="24"/>
          <w:szCs w:val="24"/>
        </w:rPr>
        <w:t xml:space="preserve"> </w:t>
      </w:r>
      <w:r w:rsidR="00236530" w:rsidRPr="00A31721">
        <w:rPr>
          <w:rFonts w:ascii="Times New Roman" w:hAnsi="Times New Roman" w:cs="Times New Roman"/>
          <w:color w:val="000000" w:themeColor="text1"/>
          <w:sz w:val="24"/>
          <w:szCs w:val="24"/>
        </w:rPr>
        <w:t>32(4),</w:t>
      </w:r>
      <w:r w:rsidRPr="00A31721">
        <w:rPr>
          <w:rFonts w:ascii="Times New Roman" w:hAnsi="Times New Roman" w:cs="Times New Roman"/>
          <w:color w:val="000000" w:themeColor="text1"/>
          <w:sz w:val="24"/>
          <w:szCs w:val="24"/>
        </w:rPr>
        <w:t xml:space="preserve"> 1914-1930, </w:t>
      </w:r>
      <w:hyperlink r:id="rId12" w:history="1">
        <w:r w:rsidRPr="00A31721">
          <w:rPr>
            <w:rStyle w:val="Hyperlink"/>
            <w:rFonts w:ascii="Times New Roman" w:hAnsi="Times New Roman" w:cs="Times New Roman"/>
            <w:bCs/>
            <w:color w:val="000000" w:themeColor="text1"/>
            <w:sz w:val="24"/>
            <w:szCs w:val="24"/>
            <w:shd w:val="clear" w:color="auto" w:fill="FFFFFF"/>
          </w:rPr>
          <w:t>https://doi.org/10.1002/bse.3227</w:t>
        </w:r>
      </w:hyperlink>
      <w:r w:rsidRPr="00A31721">
        <w:rPr>
          <w:color w:val="000000" w:themeColor="text1"/>
        </w:rPr>
        <w:t xml:space="preserve"> </w:t>
      </w:r>
    </w:p>
    <w:p w14:paraId="497C718E" w14:textId="64F99FB2" w:rsidR="00460AFB" w:rsidRPr="00A31721" w:rsidRDefault="00460AFB" w:rsidP="00CB5BEF">
      <w:pPr>
        <w:spacing w:after="0" w:line="240" w:lineRule="auto"/>
        <w:ind w:left="720" w:hanging="720"/>
        <w:jc w:val="both"/>
        <w:rPr>
          <w:rFonts w:ascii="Times New Roman" w:hAnsi="Times New Roman" w:cs="Times New Roman"/>
          <w:color w:val="000000" w:themeColor="text1"/>
          <w:sz w:val="24"/>
          <w:szCs w:val="24"/>
        </w:rPr>
      </w:pPr>
      <w:proofErr w:type="spellStart"/>
      <w:r w:rsidRPr="00A31721">
        <w:rPr>
          <w:rFonts w:ascii="Times New Roman" w:hAnsi="Times New Roman" w:cs="Times New Roman"/>
          <w:color w:val="000000" w:themeColor="text1"/>
          <w:sz w:val="24"/>
          <w:szCs w:val="24"/>
        </w:rPr>
        <w:t>Asiaei</w:t>
      </w:r>
      <w:proofErr w:type="spellEnd"/>
      <w:r w:rsidRPr="00A31721">
        <w:rPr>
          <w:rFonts w:ascii="Times New Roman" w:hAnsi="Times New Roman" w:cs="Times New Roman"/>
          <w:color w:val="000000" w:themeColor="text1"/>
          <w:sz w:val="24"/>
          <w:szCs w:val="24"/>
        </w:rPr>
        <w:t xml:space="preserve">, K., </w:t>
      </w:r>
      <w:proofErr w:type="spellStart"/>
      <w:r w:rsidRPr="00A31721">
        <w:rPr>
          <w:rFonts w:ascii="Times New Roman" w:hAnsi="Times New Roman" w:cs="Times New Roman"/>
          <w:color w:val="000000" w:themeColor="text1"/>
          <w:sz w:val="24"/>
          <w:szCs w:val="24"/>
        </w:rPr>
        <w:t>Bontis</w:t>
      </w:r>
      <w:proofErr w:type="spellEnd"/>
      <w:r w:rsidRPr="00A31721">
        <w:rPr>
          <w:rFonts w:ascii="Times New Roman" w:hAnsi="Times New Roman" w:cs="Times New Roman"/>
          <w:color w:val="000000" w:themeColor="text1"/>
          <w:sz w:val="24"/>
          <w:szCs w:val="24"/>
        </w:rPr>
        <w:t>, N., Alizadeh, R., &amp; Yaghoubi, M. (2022). Green intellectual capital and environmental management accounting: Natural resource orchestration in favor of environmental performance.</w:t>
      </w:r>
      <w:r w:rsidR="00545433" w:rsidRPr="00A31721">
        <w:rPr>
          <w:rFonts w:ascii="Times New Roman" w:hAnsi="Times New Roman" w:cs="Times New Roman"/>
          <w:color w:val="000000" w:themeColor="text1"/>
          <w:sz w:val="24"/>
          <w:szCs w:val="24"/>
        </w:rPr>
        <w:t xml:space="preserve"> </w:t>
      </w:r>
      <w:r w:rsidR="00545433" w:rsidRPr="00A31721">
        <w:rPr>
          <w:rFonts w:ascii="Times New Roman" w:hAnsi="Times New Roman" w:cs="Times New Roman"/>
          <w:i/>
          <w:iCs/>
          <w:color w:val="000000" w:themeColor="text1"/>
          <w:sz w:val="24"/>
          <w:szCs w:val="24"/>
        </w:rPr>
        <w:t>Business Strategy and the Environment</w:t>
      </w:r>
      <w:r w:rsidR="00CB5BEF" w:rsidRPr="00A31721">
        <w:rPr>
          <w:rFonts w:ascii="Times New Roman" w:hAnsi="Times New Roman" w:cs="Times New Roman"/>
          <w:color w:val="000000" w:themeColor="text1"/>
          <w:sz w:val="24"/>
          <w:szCs w:val="24"/>
        </w:rPr>
        <w:t xml:space="preserve">, </w:t>
      </w:r>
      <w:r w:rsidR="00BA4462" w:rsidRPr="00A31721">
        <w:rPr>
          <w:rFonts w:ascii="Times New Roman" w:hAnsi="Times New Roman" w:cs="Times New Roman"/>
          <w:i/>
          <w:iCs/>
          <w:color w:val="000000" w:themeColor="text1"/>
          <w:sz w:val="24"/>
          <w:szCs w:val="24"/>
        </w:rPr>
        <w:t>31</w:t>
      </w:r>
      <w:r w:rsidR="00BA4462" w:rsidRPr="00A31721">
        <w:rPr>
          <w:rFonts w:ascii="Times New Roman" w:hAnsi="Times New Roman" w:cs="Times New Roman"/>
          <w:color w:val="000000" w:themeColor="text1"/>
          <w:sz w:val="24"/>
          <w:szCs w:val="24"/>
        </w:rPr>
        <w:t>(1), 76-93.</w:t>
      </w:r>
      <w:r w:rsidR="00BA4462" w:rsidRPr="00A31721" w:rsidDel="00BA4462">
        <w:rPr>
          <w:rFonts w:ascii="Times New Roman" w:hAnsi="Times New Roman" w:cs="Times New Roman"/>
          <w:color w:val="000000" w:themeColor="text1"/>
          <w:sz w:val="24"/>
          <w:szCs w:val="24"/>
        </w:rPr>
        <w:t xml:space="preserve"> </w:t>
      </w:r>
      <w:hyperlink r:id="rId13" w:history="1">
        <w:r w:rsidR="00CB5BEF" w:rsidRPr="00A31721">
          <w:rPr>
            <w:rStyle w:val="Hyperlink"/>
            <w:rFonts w:ascii="Times New Roman" w:hAnsi="Times New Roman" w:cs="Times New Roman"/>
            <w:color w:val="000000" w:themeColor="text1"/>
            <w:sz w:val="24"/>
            <w:szCs w:val="24"/>
          </w:rPr>
          <w:t>https://doi.org/10.1002/bse.2875</w:t>
        </w:r>
      </w:hyperlink>
      <w:r w:rsidRPr="00A31721">
        <w:rPr>
          <w:rFonts w:ascii="Times New Roman" w:hAnsi="Times New Roman" w:cs="Times New Roman"/>
          <w:color w:val="000000" w:themeColor="text1"/>
          <w:sz w:val="24"/>
          <w:szCs w:val="24"/>
        </w:rPr>
        <w:t xml:space="preserve">  </w:t>
      </w:r>
    </w:p>
    <w:p w14:paraId="461D41FB" w14:textId="7FA47465"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Ateş, M. A., Bloemhof, J., Van Raaij, E. M., &amp; Wynstra, F. (2012). Proactive environmental strategy in a supply chain context: the mediating role of investments. </w:t>
      </w:r>
      <w:r w:rsidRPr="00A31721">
        <w:rPr>
          <w:rFonts w:ascii="Times New Roman" w:eastAsia="Times New Roman" w:hAnsi="Times New Roman" w:cs="Times New Roman"/>
          <w:i/>
          <w:color w:val="000000" w:themeColor="text1"/>
          <w:sz w:val="24"/>
          <w:szCs w:val="24"/>
          <w:highlight w:val="white"/>
        </w:rPr>
        <w:t>International Journal of Production Research</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 xml:space="preserve">50 </w:t>
      </w:r>
      <w:r w:rsidRPr="00A31721">
        <w:rPr>
          <w:rFonts w:ascii="Times New Roman" w:eastAsia="Times New Roman" w:hAnsi="Times New Roman" w:cs="Times New Roman"/>
          <w:color w:val="000000" w:themeColor="text1"/>
          <w:sz w:val="24"/>
          <w:szCs w:val="24"/>
          <w:highlight w:val="white"/>
        </w:rPr>
        <w:t xml:space="preserve">(4), 1079-1095. </w:t>
      </w:r>
      <w:r w:rsidR="00945DF4" w:rsidRPr="00A31721">
        <w:rPr>
          <w:rFonts w:ascii="Times New Roman" w:eastAsia="Times New Roman" w:hAnsi="Times New Roman" w:cs="Times New Roman"/>
          <w:color w:val="000000" w:themeColor="text1"/>
          <w:sz w:val="24"/>
          <w:szCs w:val="24"/>
          <w:highlight w:val="white"/>
        </w:rPr>
        <w:t>https://</w:t>
      </w:r>
      <w:hyperlink r:id="rId14">
        <w:r w:rsidRPr="00A31721">
          <w:rPr>
            <w:rFonts w:ascii="Times New Roman" w:eastAsia="Times New Roman" w:hAnsi="Times New Roman" w:cs="Times New Roman"/>
            <w:color w:val="000000" w:themeColor="text1"/>
            <w:sz w:val="24"/>
            <w:szCs w:val="24"/>
            <w:u w:val="single"/>
          </w:rPr>
          <w:t>doi.org/10.1080/00207543.2011.555426</w:t>
        </w:r>
      </w:hyperlink>
    </w:p>
    <w:p w14:paraId="6B791B83" w14:textId="6C616EF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u w:val="single"/>
        </w:rPr>
      </w:pPr>
      <w:r w:rsidRPr="00A31721">
        <w:rPr>
          <w:rFonts w:ascii="Times New Roman" w:eastAsia="Times New Roman" w:hAnsi="Times New Roman" w:cs="Times New Roman"/>
          <w:color w:val="000000" w:themeColor="text1"/>
          <w:sz w:val="24"/>
          <w:szCs w:val="24"/>
          <w:highlight w:val="white"/>
        </w:rPr>
        <w:lastRenderedPageBreak/>
        <w:t xml:space="preserve">Bandinelli, R., </w:t>
      </w:r>
      <w:proofErr w:type="spellStart"/>
      <w:r w:rsidRPr="00A31721">
        <w:rPr>
          <w:rFonts w:ascii="Times New Roman" w:eastAsia="Times New Roman" w:hAnsi="Times New Roman" w:cs="Times New Roman"/>
          <w:color w:val="000000" w:themeColor="text1"/>
          <w:sz w:val="24"/>
          <w:szCs w:val="24"/>
          <w:highlight w:val="white"/>
        </w:rPr>
        <w:t>Acuti</w:t>
      </w:r>
      <w:proofErr w:type="spellEnd"/>
      <w:r w:rsidRPr="00A31721">
        <w:rPr>
          <w:rFonts w:ascii="Times New Roman" w:eastAsia="Times New Roman" w:hAnsi="Times New Roman" w:cs="Times New Roman"/>
          <w:color w:val="000000" w:themeColor="text1"/>
          <w:sz w:val="24"/>
          <w:szCs w:val="24"/>
          <w:highlight w:val="white"/>
        </w:rPr>
        <w:t xml:space="preserve">, D., Fani, V., Bindi, B., &amp; Aiello, G. (2020). Environmental practices in the wine industry: an overview of the Italian market. </w:t>
      </w:r>
      <w:r w:rsidRPr="00A31721">
        <w:rPr>
          <w:rFonts w:ascii="Times New Roman" w:eastAsia="Times New Roman" w:hAnsi="Times New Roman" w:cs="Times New Roman"/>
          <w:i/>
          <w:color w:val="000000" w:themeColor="text1"/>
          <w:sz w:val="24"/>
          <w:szCs w:val="24"/>
          <w:highlight w:val="white"/>
        </w:rPr>
        <w:t>British Food Journal</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 xml:space="preserve">122 </w:t>
      </w:r>
      <w:r w:rsidRPr="00A31721">
        <w:rPr>
          <w:rFonts w:ascii="Times New Roman" w:eastAsia="Times New Roman" w:hAnsi="Times New Roman" w:cs="Times New Roman"/>
          <w:color w:val="000000" w:themeColor="text1"/>
          <w:sz w:val="24"/>
          <w:szCs w:val="24"/>
          <w:highlight w:val="white"/>
        </w:rPr>
        <w:t>(5), 1625-1646.</w:t>
      </w:r>
      <w:r w:rsidR="00F22528" w:rsidRPr="00A31721">
        <w:rPr>
          <w:rFonts w:ascii="Times New Roman" w:eastAsia="Times New Roman" w:hAnsi="Times New Roman" w:cs="Times New Roman"/>
          <w:color w:val="000000" w:themeColor="text1"/>
          <w:sz w:val="24"/>
          <w:szCs w:val="24"/>
          <w:highlight w:val="white"/>
        </w:rPr>
        <w:t xml:space="preserve"> https://</w:t>
      </w:r>
      <w:hyperlink r:id="rId15">
        <w:r w:rsidRPr="00A31721">
          <w:rPr>
            <w:rFonts w:ascii="Times New Roman" w:eastAsia="Times New Roman" w:hAnsi="Times New Roman" w:cs="Times New Roman"/>
            <w:color w:val="000000" w:themeColor="text1"/>
            <w:sz w:val="24"/>
            <w:szCs w:val="24"/>
            <w:highlight w:val="white"/>
            <w:u w:val="single"/>
          </w:rPr>
          <w:t>doi.org/10.1108/BFJ-08-2019-0653</w:t>
        </w:r>
      </w:hyperlink>
    </w:p>
    <w:p w14:paraId="20216EEC" w14:textId="7393C3DD" w:rsidR="00460AFB" w:rsidRPr="00A31721" w:rsidRDefault="00460AFB" w:rsidP="00460AFB">
      <w:pPr>
        <w:spacing w:after="0" w:line="240" w:lineRule="auto"/>
        <w:ind w:left="720" w:hanging="720"/>
        <w:contextualSpacing/>
        <w:rPr>
          <w:rFonts w:ascii="Times New Roman" w:eastAsia="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rPr>
        <w:t xml:space="preserve">Baird, T., Hall, C. M., &amp; </w:t>
      </w:r>
      <w:proofErr w:type="spellStart"/>
      <w:r w:rsidRPr="00A31721">
        <w:rPr>
          <w:rFonts w:ascii="Times New Roman" w:hAnsi="Times New Roman" w:cs="Times New Roman"/>
          <w:color w:val="000000" w:themeColor="text1"/>
          <w:sz w:val="24"/>
          <w:szCs w:val="24"/>
          <w:shd w:val="clear" w:color="auto" w:fill="FFFFFF"/>
        </w:rPr>
        <w:t>Castka</w:t>
      </w:r>
      <w:proofErr w:type="spellEnd"/>
      <w:r w:rsidRPr="00A31721">
        <w:rPr>
          <w:rFonts w:ascii="Times New Roman" w:hAnsi="Times New Roman" w:cs="Times New Roman"/>
          <w:color w:val="000000" w:themeColor="text1"/>
          <w:sz w:val="24"/>
          <w:szCs w:val="24"/>
          <w:shd w:val="clear" w:color="auto" w:fill="FFFFFF"/>
        </w:rPr>
        <w:t xml:space="preserve">, P. (2018). New Zealand </w:t>
      </w:r>
      <w:proofErr w:type="gramStart"/>
      <w:r w:rsidRPr="00A31721">
        <w:rPr>
          <w:rFonts w:ascii="Times New Roman" w:hAnsi="Times New Roman" w:cs="Times New Roman"/>
          <w:color w:val="000000" w:themeColor="text1"/>
          <w:sz w:val="24"/>
          <w:szCs w:val="24"/>
          <w:shd w:val="clear" w:color="auto" w:fill="FFFFFF"/>
        </w:rPr>
        <w:t>winegrowers</w:t>
      </w:r>
      <w:proofErr w:type="gramEnd"/>
      <w:r w:rsidRPr="00A31721">
        <w:rPr>
          <w:rFonts w:ascii="Times New Roman" w:hAnsi="Times New Roman" w:cs="Times New Roman"/>
          <w:color w:val="000000" w:themeColor="text1"/>
          <w:sz w:val="24"/>
          <w:szCs w:val="24"/>
          <w:shd w:val="clear" w:color="auto" w:fill="FFFFFF"/>
        </w:rPr>
        <w:t xml:space="preserve"> attitudes and </w:t>
      </w:r>
      <w:proofErr w:type="spellStart"/>
      <w:r w:rsidRPr="00A31721">
        <w:rPr>
          <w:rFonts w:ascii="Times New Roman" w:hAnsi="Times New Roman" w:cs="Times New Roman"/>
          <w:color w:val="000000" w:themeColor="text1"/>
          <w:sz w:val="24"/>
          <w:szCs w:val="24"/>
          <w:shd w:val="clear" w:color="auto" w:fill="FFFFFF"/>
        </w:rPr>
        <w:t>behaviours</w:t>
      </w:r>
      <w:proofErr w:type="spellEnd"/>
      <w:r w:rsidRPr="00A31721">
        <w:rPr>
          <w:rFonts w:ascii="Times New Roman" w:hAnsi="Times New Roman" w:cs="Times New Roman"/>
          <w:color w:val="000000" w:themeColor="text1"/>
          <w:sz w:val="24"/>
          <w:szCs w:val="24"/>
          <w:shd w:val="clear" w:color="auto" w:fill="FFFFFF"/>
        </w:rPr>
        <w:t xml:space="preserve"> towards wine tourism and sustainable winegrowing. </w:t>
      </w:r>
      <w:r w:rsidRPr="00A31721">
        <w:rPr>
          <w:rFonts w:ascii="Times New Roman" w:hAnsi="Times New Roman" w:cs="Times New Roman"/>
          <w:i/>
          <w:iCs/>
          <w:color w:val="000000" w:themeColor="text1"/>
          <w:sz w:val="24"/>
          <w:szCs w:val="24"/>
          <w:shd w:val="clear" w:color="auto" w:fill="FFFFFF"/>
        </w:rPr>
        <w:t>Sustainability</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10</w:t>
      </w:r>
      <w:r w:rsidRPr="00A31721">
        <w:rPr>
          <w:rFonts w:ascii="Times New Roman" w:hAnsi="Times New Roman" w:cs="Times New Roman"/>
          <w:color w:val="000000" w:themeColor="text1"/>
          <w:sz w:val="24"/>
          <w:szCs w:val="24"/>
          <w:shd w:val="clear" w:color="auto" w:fill="FFFFFF"/>
        </w:rPr>
        <w:t xml:space="preserve">(3), 797. </w:t>
      </w:r>
      <w:hyperlink r:id="rId16" w:history="1">
        <w:r w:rsidRPr="00A31721">
          <w:rPr>
            <w:rStyle w:val="Hyperlink"/>
            <w:rFonts w:ascii="Times New Roman" w:hAnsi="Times New Roman" w:cs="Times New Roman"/>
            <w:bCs/>
            <w:color w:val="000000" w:themeColor="text1"/>
            <w:sz w:val="24"/>
            <w:szCs w:val="24"/>
            <w:shd w:val="clear" w:color="auto" w:fill="FFFFFF"/>
          </w:rPr>
          <w:t>https://doi.org/10.3390/su10030797</w:t>
        </w:r>
      </w:hyperlink>
    </w:p>
    <w:p w14:paraId="19F663BD" w14:textId="0BB83819" w:rsidR="00460AFB" w:rsidRPr="00A31721" w:rsidRDefault="00460AFB" w:rsidP="003E4BB4">
      <w:pPr>
        <w:spacing w:after="0" w:line="240" w:lineRule="auto"/>
        <w:ind w:left="720" w:hanging="720"/>
        <w:contextualSpacing/>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lang w:val="en-GB"/>
        </w:rPr>
        <w:t xml:space="preserve">Bresciani, S., Rehman, S.U., </w:t>
      </w:r>
      <w:proofErr w:type="spellStart"/>
      <w:r w:rsidRPr="00A31721">
        <w:rPr>
          <w:rFonts w:ascii="Times New Roman" w:hAnsi="Times New Roman" w:cs="Times New Roman"/>
          <w:color w:val="000000" w:themeColor="text1"/>
          <w:sz w:val="24"/>
          <w:szCs w:val="24"/>
          <w:lang w:val="en-GB"/>
        </w:rPr>
        <w:t>Giovando</w:t>
      </w:r>
      <w:proofErr w:type="spellEnd"/>
      <w:r w:rsidRPr="00A31721">
        <w:rPr>
          <w:rFonts w:ascii="Times New Roman" w:hAnsi="Times New Roman" w:cs="Times New Roman"/>
          <w:color w:val="000000" w:themeColor="text1"/>
          <w:sz w:val="24"/>
          <w:szCs w:val="24"/>
          <w:lang w:val="en-GB"/>
        </w:rPr>
        <w:t xml:space="preserve">, G. </w:t>
      </w:r>
      <w:r w:rsidR="00A80021" w:rsidRPr="00A31721">
        <w:rPr>
          <w:rFonts w:ascii="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Alam, G.M. (2023), The role of environmental management accounting and environmental knowledge management practices influence on environmental performance: mediated-moderate model</w:t>
      </w:r>
      <w:r w:rsidR="00861900"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i/>
          <w:iCs/>
          <w:color w:val="000000" w:themeColor="text1"/>
          <w:sz w:val="24"/>
          <w:szCs w:val="24"/>
        </w:rPr>
        <w:t>Journal of Knowledge Management,</w:t>
      </w:r>
      <w:r w:rsidRPr="00A31721">
        <w:rPr>
          <w:rFonts w:ascii="Times New Roman" w:hAnsi="Times New Roman" w:cs="Times New Roman"/>
          <w:color w:val="000000" w:themeColor="text1"/>
          <w:sz w:val="24"/>
          <w:szCs w:val="24"/>
        </w:rPr>
        <w:t>27</w:t>
      </w:r>
      <w:r w:rsidR="00A80021"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4</w:t>
      </w:r>
      <w:r w:rsidR="00A80021"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 xml:space="preserve">, 896-918. </w:t>
      </w:r>
      <w:hyperlink r:id="rId17" w:history="1">
        <w:r w:rsidRPr="00A31721">
          <w:rPr>
            <w:rStyle w:val="Hyperlink"/>
            <w:rFonts w:ascii="Times New Roman" w:hAnsi="Times New Roman" w:cs="Times New Roman"/>
            <w:color w:val="000000" w:themeColor="text1"/>
            <w:sz w:val="24"/>
            <w:szCs w:val="24"/>
          </w:rPr>
          <w:t>https://doi.org/10.1108/JKM-12-2021-0953</w:t>
        </w:r>
      </w:hyperlink>
    </w:p>
    <w:p w14:paraId="1C5D0648" w14:textId="77777777"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Bui, B., &amp; De Villiers, C. (2017). Management control systems to support sustainability and integrated reporting. In J. Guthrie, G. Maroun, L. English, &amp; M. A. Parker (Eds.), </w:t>
      </w:r>
      <w:r w:rsidRPr="00A31721">
        <w:rPr>
          <w:rFonts w:ascii="Times New Roman" w:hAnsi="Times New Roman" w:cs="Times New Roman"/>
          <w:i/>
          <w:iCs/>
          <w:color w:val="000000" w:themeColor="text1"/>
          <w:sz w:val="24"/>
          <w:szCs w:val="24"/>
        </w:rPr>
        <w:t>Sustainability accounting and integrated reporting</w:t>
      </w:r>
      <w:r w:rsidRPr="00A31721">
        <w:rPr>
          <w:rFonts w:ascii="Times New Roman" w:hAnsi="Times New Roman" w:cs="Times New Roman"/>
          <w:color w:val="000000" w:themeColor="text1"/>
          <w:sz w:val="24"/>
          <w:szCs w:val="24"/>
        </w:rPr>
        <w:t xml:space="preserve"> (pp. 121–148). Routledge.</w:t>
      </w:r>
    </w:p>
    <w:p w14:paraId="37C6A99C" w14:textId="46F311E5"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Burritt, R. L. (2004). Environmental management accounting: Roadblocks on the way to the green and pleasant land. </w:t>
      </w:r>
      <w:r w:rsidRPr="00A31721">
        <w:rPr>
          <w:rFonts w:ascii="Times New Roman" w:hAnsi="Times New Roman" w:cs="Times New Roman"/>
          <w:i/>
          <w:iCs/>
          <w:color w:val="000000" w:themeColor="text1"/>
          <w:sz w:val="24"/>
          <w:szCs w:val="24"/>
        </w:rPr>
        <w:t>Business Strategy and the Environment</w:t>
      </w:r>
      <w:r w:rsidRPr="00A31721">
        <w:rPr>
          <w:rFonts w:ascii="Times New Roman" w:hAnsi="Times New Roman" w:cs="Times New Roman"/>
          <w:color w:val="000000" w:themeColor="text1"/>
          <w:sz w:val="24"/>
          <w:szCs w:val="24"/>
        </w:rPr>
        <w:t xml:space="preserve">, 13(1), 13-32. </w:t>
      </w:r>
      <w:hyperlink r:id="rId18" w:history="1">
        <w:r w:rsidR="004D7EF3" w:rsidRPr="00A31721">
          <w:rPr>
            <w:rStyle w:val="Hyperlink"/>
            <w:rFonts w:ascii="Times New Roman" w:hAnsi="Times New Roman" w:cs="Times New Roman"/>
            <w:color w:val="000000" w:themeColor="text1"/>
            <w:sz w:val="24"/>
            <w:szCs w:val="24"/>
          </w:rPr>
          <w:t>https://doi.org/10.1002/bse.379</w:t>
        </w:r>
      </w:hyperlink>
      <w:r w:rsidR="004D7EF3" w:rsidRPr="00A31721">
        <w:rPr>
          <w:rFonts w:ascii="Times New Roman" w:hAnsi="Times New Roman" w:cs="Times New Roman"/>
          <w:color w:val="000000" w:themeColor="text1"/>
          <w:sz w:val="24"/>
          <w:szCs w:val="24"/>
        </w:rPr>
        <w:t xml:space="preserve"> </w:t>
      </w:r>
    </w:p>
    <w:p w14:paraId="5B659B04" w14:textId="7E4484E0" w:rsidR="00460AFB" w:rsidRPr="00A31721" w:rsidRDefault="00460AFB" w:rsidP="00460AFB">
      <w:pPr>
        <w:spacing w:after="0" w:line="240" w:lineRule="auto"/>
        <w:ind w:left="720" w:hanging="720"/>
        <w:contextualSpacing/>
        <w:jc w:val="both"/>
        <w:rPr>
          <w:rStyle w:val="Hyperlink"/>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rPr>
        <w:t xml:space="preserve">Burritt, R. L., Christ, K. L., Rammal, H. G., &amp; </w:t>
      </w:r>
      <w:proofErr w:type="spellStart"/>
      <w:r w:rsidRPr="00A31721">
        <w:rPr>
          <w:rFonts w:ascii="Times New Roman" w:hAnsi="Times New Roman" w:cs="Times New Roman"/>
          <w:color w:val="000000" w:themeColor="text1"/>
          <w:sz w:val="24"/>
          <w:szCs w:val="24"/>
          <w:shd w:val="clear" w:color="auto" w:fill="FFFFFF"/>
        </w:rPr>
        <w:t>Schaltegger</w:t>
      </w:r>
      <w:proofErr w:type="spellEnd"/>
      <w:r w:rsidRPr="00A31721">
        <w:rPr>
          <w:rFonts w:ascii="Times New Roman" w:hAnsi="Times New Roman" w:cs="Times New Roman"/>
          <w:color w:val="000000" w:themeColor="text1"/>
          <w:sz w:val="24"/>
          <w:szCs w:val="24"/>
          <w:shd w:val="clear" w:color="auto" w:fill="FFFFFF"/>
        </w:rPr>
        <w:t>, S. (2020). Multinational enterprise strategies for addressing sustainability: The need for consolidation. </w:t>
      </w:r>
      <w:r w:rsidRPr="00A31721">
        <w:rPr>
          <w:rFonts w:ascii="Times New Roman" w:hAnsi="Times New Roman" w:cs="Times New Roman"/>
          <w:i/>
          <w:iCs/>
          <w:color w:val="000000" w:themeColor="text1"/>
          <w:sz w:val="24"/>
          <w:szCs w:val="24"/>
          <w:shd w:val="clear" w:color="auto" w:fill="FFFFFF"/>
        </w:rPr>
        <w:t>Journal of Business Ethics</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164</w:t>
      </w:r>
      <w:r w:rsidRPr="00A31721">
        <w:rPr>
          <w:rFonts w:ascii="Times New Roman" w:hAnsi="Times New Roman" w:cs="Times New Roman"/>
          <w:color w:val="000000" w:themeColor="text1"/>
          <w:sz w:val="24"/>
          <w:szCs w:val="24"/>
          <w:shd w:val="clear" w:color="auto" w:fill="FFFFFF"/>
        </w:rPr>
        <w:t xml:space="preserve">, 389-410. </w:t>
      </w:r>
      <w:r w:rsidR="005E7CAF" w:rsidRPr="00A31721">
        <w:rPr>
          <w:rFonts w:ascii="Times New Roman" w:hAnsi="Times New Roman" w:cs="Times New Roman"/>
          <w:color w:val="000000" w:themeColor="text1"/>
          <w:sz w:val="24"/>
          <w:szCs w:val="24"/>
        </w:rPr>
        <w:t>https://</w:t>
      </w:r>
      <w:hyperlink r:id="rId19" w:history="1">
        <w:r w:rsidRPr="00A31721">
          <w:rPr>
            <w:rStyle w:val="Hyperlink"/>
            <w:rFonts w:ascii="Times New Roman" w:hAnsi="Times New Roman" w:cs="Times New Roman"/>
            <w:color w:val="000000" w:themeColor="text1"/>
            <w:sz w:val="24"/>
            <w:szCs w:val="24"/>
          </w:rPr>
          <w:t>doi.org/10.1007/s10551-018-4066-0</w:t>
        </w:r>
      </w:hyperlink>
      <w:r w:rsidRPr="00A31721">
        <w:rPr>
          <w:rFonts w:ascii="Times New Roman" w:hAnsi="Times New Roman" w:cs="Times New Roman"/>
          <w:color w:val="000000" w:themeColor="text1"/>
          <w:sz w:val="24"/>
          <w:szCs w:val="24"/>
        </w:rPr>
        <w:t xml:space="preserve"> </w:t>
      </w:r>
    </w:p>
    <w:p w14:paraId="63F8BE05" w14:textId="31B71E7E"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t xml:space="preserve">Burritt, R. L., Herzig, C., Schaltegger, S., &amp; Viere, T. (2019). Diffusion of environmental management accounting for cleaner production: Evidence from some case studies.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224</w:t>
      </w:r>
      <w:r w:rsidR="00F655E9" w:rsidRPr="00A31721">
        <w:rPr>
          <w:rFonts w:ascii="Times New Roman" w:eastAsia="Times New Roman" w:hAnsi="Times New Roman" w:cs="Times New Roman"/>
          <w:iCs/>
          <w:color w:val="000000" w:themeColor="text1"/>
          <w:sz w:val="24"/>
          <w:szCs w:val="24"/>
          <w:highlight w:val="white"/>
        </w:rPr>
        <w:t>(1</w:t>
      </w:r>
      <w:r w:rsidR="00D359FB" w:rsidRPr="00A31721">
        <w:rPr>
          <w:rFonts w:ascii="Times New Roman" w:eastAsia="Times New Roman" w:hAnsi="Times New Roman" w:cs="Times New Roman"/>
          <w:iCs/>
          <w:color w:val="000000" w:themeColor="text1"/>
          <w:sz w:val="24"/>
          <w:szCs w:val="24"/>
          <w:highlight w:val="white"/>
        </w:rPr>
        <w:t>)</w:t>
      </w:r>
      <w:r w:rsidRPr="00A31721">
        <w:rPr>
          <w:rFonts w:ascii="Times New Roman" w:eastAsia="Times New Roman" w:hAnsi="Times New Roman" w:cs="Times New Roman"/>
          <w:color w:val="000000" w:themeColor="text1"/>
          <w:sz w:val="24"/>
          <w:szCs w:val="24"/>
          <w:highlight w:val="white"/>
        </w:rPr>
        <w:t>, 479-491.</w:t>
      </w:r>
      <w:r w:rsidR="00D359FB" w:rsidRPr="00A31721">
        <w:rPr>
          <w:rFonts w:ascii="Times New Roman" w:hAnsi="Times New Roman" w:cs="Times New Roman"/>
          <w:color w:val="000000" w:themeColor="text1"/>
          <w:sz w:val="24"/>
          <w:szCs w:val="24"/>
        </w:rPr>
        <w:t xml:space="preserve"> https://</w:t>
      </w:r>
      <w:hyperlink r:id="rId20">
        <w:r w:rsidRPr="00A31721">
          <w:rPr>
            <w:rFonts w:ascii="Times New Roman" w:eastAsia="Times New Roman" w:hAnsi="Times New Roman" w:cs="Times New Roman"/>
            <w:color w:val="000000" w:themeColor="text1"/>
            <w:sz w:val="24"/>
            <w:szCs w:val="24"/>
            <w:u w:val="single"/>
          </w:rPr>
          <w:t>doi.org/10.1016/j.jclepro.2019.03.227</w:t>
        </w:r>
      </w:hyperlink>
    </w:p>
    <w:p w14:paraId="589EB04A" w14:textId="13D31081"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rPr>
        <w:t xml:space="preserve">Burritt, R. L., </w:t>
      </w:r>
      <w:proofErr w:type="spellStart"/>
      <w:r w:rsidRPr="00A31721">
        <w:rPr>
          <w:rFonts w:ascii="Times New Roman" w:hAnsi="Times New Roman" w:cs="Times New Roman"/>
          <w:color w:val="000000" w:themeColor="text1"/>
          <w:sz w:val="24"/>
          <w:szCs w:val="24"/>
          <w:shd w:val="clear" w:color="auto" w:fill="FFFFFF"/>
        </w:rPr>
        <w:t>Schaltegger</w:t>
      </w:r>
      <w:proofErr w:type="spellEnd"/>
      <w:r w:rsidRPr="00A31721">
        <w:rPr>
          <w:rFonts w:ascii="Times New Roman" w:hAnsi="Times New Roman" w:cs="Times New Roman"/>
          <w:color w:val="000000" w:themeColor="text1"/>
          <w:sz w:val="24"/>
          <w:szCs w:val="24"/>
          <w:shd w:val="clear" w:color="auto" w:fill="FFFFFF"/>
        </w:rPr>
        <w:t>, S., &amp; Christ, K. L. (2023). Environmental management accounting–developments over the last 20 years from a framework perspective. </w:t>
      </w:r>
      <w:r w:rsidRPr="00A31721">
        <w:rPr>
          <w:rFonts w:ascii="Times New Roman" w:hAnsi="Times New Roman" w:cs="Times New Roman"/>
          <w:i/>
          <w:iCs/>
          <w:color w:val="000000" w:themeColor="text1"/>
          <w:sz w:val="24"/>
          <w:szCs w:val="24"/>
          <w:shd w:val="clear" w:color="auto" w:fill="FFFFFF"/>
        </w:rPr>
        <w:t>Australian Accounting Review</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33</w:t>
      </w:r>
      <w:r w:rsidRPr="00A31721">
        <w:rPr>
          <w:rFonts w:ascii="Times New Roman" w:hAnsi="Times New Roman" w:cs="Times New Roman"/>
          <w:color w:val="000000" w:themeColor="text1"/>
          <w:sz w:val="24"/>
          <w:szCs w:val="24"/>
          <w:shd w:val="clear" w:color="auto" w:fill="FFFFFF"/>
        </w:rPr>
        <w:t xml:space="preserve">(4), 336-351. </w:t>
      </w:r>
      <w:r w:rsidR="00E670AD" w:rsidRPr="00A31721">
        <w:rPr>
          <w:rFonts w:ascii="Times New Roman" w:hAnsi="Times New Roman" w:cs="Times New Roman"/>
          <w:color w:val="000000" w:themeColor="text1"/>
          <w:sz w:val="24"/>
          <w:szCs w:val="24"/>
        </w:rPr>
        <w:t>https://</w:t>
      </w:r>
      <w:hyperlink r:id="rId21" w:history="1">
        <w:r w:rsidRPr="00A31721">
          <w:rPr>
            <w:rStyle w:val="Hyperlink"/>
            <w:rFonts w:ascii="Times New Roman" w:hAnsi="Times New Roman" w:cs="Times New Roman"/>
            <w:bCs/>
            <w:color w:val="000000" w:themeColor="text1"/>
            <w:sz w:val="24"/>
            <w:szCs w:val="24"/>
          </w:rPr>
          <w:t>doi.org/10.1111/auar.12407</w:t>
        </w:r>
      </w:hyperlink>
    </w:p>
    <w:p w14:paraId="5ADDE4FE" w14:textId="072F3023"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Chaudhry, N. I., &amp; Amir, M. (2020). From institutional pressure to the sustainable development of firm: Role of environmental management accounting implementation and environmental proactivity</w:t>
      </w:r>
      <w:r w:rsidR="00C9547F" w:rsidRPr="00A31721">
        <w:rPr>
          <w:rFonts w:ascii="Times New Roman" w:hAnsi="Times New Roman" w:cs="Times New Roman"/>
          <w:color w:val="000000" w:themeColor="text1"/>
          <w:sz w:val="24"/>
          <w:szCs w:val="24"/>
        </w:rPr>
        <w:t xml:space="preserve">. </w:t>
      </w:r>
      <w:r w:rsidR="00C9547F" w:rsidRPr="00A31721">
        <w:rPr>
          <w:rFonts w:ascii="Times New Roman" w:hAnsi="Times New Roman" w:cs="Times New Roman"/>
          <w:i/>
          <w:iCs/>
          <w:color w:val="000000" w:themeColor="text1"/>
          <w:sz w:val="24"/>
          <w:szCs w:val="24"/>
        </w:rPr>
        <w:t>Business Strategy and the Environment</w:t>
      </w:r>
      <w:r w:rsidR="00C9547F" w:rsidRPr="00A31721">
        <w:rPr>
          <w:rFonts w:ascii="Times New Roman" w:hAnsi="Times New Roman" w:cs="Times New Roman"/>
          <w:color w:val="000000" w:themeColor="text1"/>
          <w:sz w:val="24"/>
          <w:szCs w:val="24"/>
        </w:rPr>
        <w:t xml:space="preserve">, </w:t>
      </w:r>
      <w:r w:rsidR="007B104F" w:rsidRPr="00A31721">
        <w:rPr>
          <w:rFonts w:ascii="Times New Roman" w:hAnsi="Times New Roman" w:cs="Times New Roman"/>
          <w:color w:val="000000" w:themeColor="text1"/>
          <w:sz w:val="24"/>
          <w:szCs w:val="24"/>
        </w:rPr>
        <w:t>29(8), 3542-3554,</w:t>
      </w:r>
      <w:r w:rsidRPr="00A31721">
        <w:rPr>
          <w:rFonts w:ascii="Times New Roman" w:hAnsi="Times New Roman" w:cs="Times New Roman"/>
          <w:color w:val="000000" w:themeColor="text1"/>
          <w:sz w:val="24"/>
          <w:szCs w:val="24"/>
        </w:rPr>
        <w:t xml:space="preserve"> </w:t>
      </w:r>
      <w:hyperlink r:id="rId22" w:history="1">
        <w:r w:rsidR="008B0724" w:rsidRPr="00A31721">
          <w:rPr>
            <w:rStyle w:val="Hyperlink"/>
            <w:rFonts w:ascii="Times New Roman" w:hAnsi="Times New Roman" w:cs="Times New Roman"/>
            <w:color w:val="000000" w:themeColor="text1"/>
            <w:sz w:val="24"/>
            <w:szCs w:val="24"/>
          </w:rPr>
          <w:t>https://doi.org/10.1002/bse.2595</w:t>
        </w:r>
      </w:hyperlink>
      <w:r w:rsidR="008B0724" w:rsidRPr="00A31721">
        <w:rPr>
          <w:rFonts w:ascii="Times New Roman" w:hAnsi="Times New Roman" w:cs="Times New Roman"/>
          <w:color w:val="000000" w:themeColor="text1"/>
          <w:sz w:val="24"/>
          <w:szCs w:val="24"/>
        </w:rPr>
        <w:t xml:space="preserve"> </w:t>
      </w:r>
    </w:p>
    <w:p w14:paraId="0DA6C383" w14:textId="1418E4FB"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proofErr w:type="spellStart"/>
      <w:r w:rsidRPr="00A31721">
        <w:rPr>
          <w:rFonts w:ascii="Times New Roman" w:eastAsia="Times New Roman" w:hAnsi="Times New Roman" w:cs="Times New Roman"/>
          <w:color w:val="000000" w:themeColor="text1"/>
          <w:sz w:val="24"/>
          <w:szCs w:val="24"/>
          <w:highlight w:val="white"/>
        </w:rPr>
        <w:t>Chenhall</w:t>
      </w:r>
      <w:proofErr w:type="spellEnd"/>
      <w:r w:rsidRPr="00A31721">
        <w:rPr>
          <w:rFonts w:ascii="Times New Roman" w:eastAsia="Times New Roman" w:hAnsi="Times New Roman" w:cs="Times New Roman"/>
          <w:color w:val="000000" w:themeColor="text1"/>
          <w:sz w:val="24"/>
          <w:szCs w:val="24"/>
          <w:highlight w:val="white"/>
        </w:rPr>
        <w:t xml:space="preserve">, R. H. (2003). Management control systems design within its organizational context: findings from contingency-based research and directions for the future. </w:t>
      </w:r>
      <w:r w:rsidRPr="00A31721">
        <w:rPr>
          <w:rFonts w:ascii="Times New Roman" w:eastAsia="Times New Roman" w:hAnsi="Times New Roman" w:cs="Times New Roman"/>
          <w:i/>
          <w:iCs/>
          <w:color w:val="000000" w:themeColor="text1"/>
          <w:sz w:val="24"/>
          <w:szCs w:val="24"/>
          <w:highlight w:val="white"/>
        </w:rPr>
        <w:t>Accounting, organizations and society</w:t>
      </w:r>
      <w:r w:rsidRPr="00A31721">
        <w:rPr>
          <w:rFonts w:ascii="Times New Roman" w:eastAsia="Times New Roman" w:hAnsi="Times New Roman" w:cs="Times New Roman"/>
          <w:color w:val="000000" w:themeColor="text1"/>
          <w:sz w:val="24"/>
          <w:szCs w:val="24"/>
          <w:highlight w:val="white"/>
        </w:rPr>
        <w:t>, 28(2-3), 127-168.</w:t>
      </w:r>
      <w:r w:rsidR="00122E55" w:rsidRPr="00A31721">
        <w:rPr>
          <w:color w:val="000000" w:themeColor="text1"/>
        </w:rPr>
        <w:t xml:space="preserve"> </w:t>
      </w:r>
      <w:hyperlink r:id="rId23" w:history="1">
        <w:r w:rsidR="00D379C3" w:rsidRPr="00A31721">
          <w:rPr>
            <w:rStyle w:val="Hyperlink"/>
            <w:rFonts w:ascii="Times New Roman" w:eastAsia="Times New Roman" w:hAnsi="Times New Roman" w:cs="Times New Roman"/>
            <w:color w:val="000000" w:themeColor="text1"/>
            <w:sz w:val="24"/>
            <w:szCs w:val="24"/>
          </w:rPr>
          <w:t>https://doi.org/10.1016/S0361-3682(01)00027-7</w:t>
        </w:r>
      </w:hyperlink>
      <w:r w:rsidR="00D379C3" w:rsidRPr="00A31721">
        <w:rPr>
          <w:rFonts w:ascii="Times New Roman" w:eastAsia="Times New Roman" w:hAnsi="Times New Roman" w:cs="Times New Roman"/>
          <w:color w:val="000000" w:themeColor="text1"/>
          <w:sz w:val="24"/>
          <w:szCs w:val="24"/>
        </w:rPr>
        <w:t xml:space="preserve"> </w:t>
      </w:r>
    </w:p>
    <w:p w14:paraId="51A726E5" w14:textId="01065220"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proofErr w:type="spellStart"/>
      <w:r w:rsidRPr="00A31721">
        <w:rPr>
          <w:rFonts w:ascii="Times New Roman" w:eastAsia="Times New Roman" w:hAnsi="Times New Roman" w:cs="Times New Roman"/>
          <w:color w:val="000000" w:themeColor="text1"/>
          <w:sz w:val="24"/>
          <w:szCs w:val="24"/>
          <w:highlight w:val="white"/>
        </w:rPr>
        <w:t>Chenhall</w:t>
      </w:r>
      <w:proofErr w:type="spellEnd"/>
      <w:r w:rsidRPr="00A31721">
        <w:rPr>
          <w:rFonts w:ascii="Times New Roman" w:eastAsia="Times New Roman" w:hAnsi="Times New Roman" w:cs="Times New Roman"/>
          <w:color w:val="000000" w:themeColor="text1"/>
          <w:sz w:val="24"/>
          <w:szCs w:val="24"/>
          <w:highlight w:val="white"/>
        </w:rPr>
        <w:t xml:space="preserve">, R. H. (2006). Theorizing contingencies in management control systems research. </w:t>
      </w:r>
      <w:r w:rsidRPr="00A31721">
        <w:rPr>
          <w:rFonts w:ascii="Times New Roman" w:eastAsia="Times New Roman" w:hAnsi="Times New Roman" w:cs="Times New Roman"/>
          <w:i/>
          <w:color w:val="000000" w:themeColor="text1"/>
          <w:sz w:val="24"/>
          <w:szCs w:val="24"/>
          <w:highlight w:val="white"/>
        </w:rPr>
        <w:t>Handbooks of management accounting research</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w:t>
      </w:r>
      <w:r w:rsidRPr="00A31721">
        <w:rPr>
          <w:rFonts w:ascii="Times New Roman" w:eastAsia="Times New Roman" w:hAnsi="Times New Roman" w:cs="Times New Roman"/>
          <w:color w:val="000000" w:themeColor="text1"/>
          <w:sz w:val="24"/>
          <w:szCs w:val="24"/>
          <w:highlight w:val="white"/>
        </w:rPr>
        <w:t>, 163-205.</w:t>
      </w:r>
      <w:r w:rsidR="00080178" w:rsidRPr="00A31721">
        <w:rPr>
          <w:rFonts w:ascii="Times New Roman" w:eastAsia="Times New Roman" w:hAnsi="Times New Roman" w:cs="Times New Roman"/>
          <w:color w:val="000000" w:themeColor="text1"/>
          <w:sz w:val="24"/>
          <w:szCs w:val="24"/>
          <w:highlight w:val="white"/>
        </w:rPr>
        <w:t xml:space="preserve"> </w:t>
      </w:r>
      <w:hyperlink r:id="rId24" w:history="1">
        <w:r w:rsidR="00461049" w:rsidRPr="00A31721">
          <w:rPr>
            <w:rStyle w:val="Hyperlink"/>
            <w:rFonts w:ascii="Times New Roman" w:eastAsia="Times New Roman" w:hAnsi="Times New Roman" w:cs="Times New Roman"/>
            <w:color w:val="000000" w:themeColor="text1"/>
            <w:sz w:val="24"/>
            <w:szCs w:val="24"/>
          </w:rPr>
          <w:t>https://doi.org/10.1016/S1751-3243(06)01006-6</w:t>
        </w:r>
      </w:hyperlink>
      <w:r w:rsidR="00461049" w:rsidRPr="00A31721">
        <w:rPr>
          <w:rFonts w:ascii="Times New Roman" w:eastAsia="Times New Roman" w:hAnsi="Times New Roman" w:cs="Times New Roman"/>
          <w:color w:val="000000" w:themeColor="text1"/>
          <w:sz w:val="24"/>
          <w:szCs w:val="24"/>
        </w:rPr>
        <w:t xml:space="preserve"> </w:t>
      </w:r>
    </w:p>
    <w:p w14:paraId="148C02C6" w14:textId="494BD9DB"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Christ, K. L. (2014). Water management accounting and the wine supply chain: Empirical evidence from Australia. </w:t>
      </w:r>
      <w:r w:rsidRPr="00A31721">
        <w:rPr>
          <w:rFonts w:ascii="Times New Roman" w:eastAsia="Times New Roman" w:hAnsi="Times New Roman" w:cs="Times New Roman"/>
          <w:i/>
          <w:color w:val="000000" w:themeColor="text1"/>
          <w:sz w:val="24"/>
          <w:szCs w:val="24"/>
          <w:highlight w:val="white"/>
        </w:rPr>
        <w:t>The British Accounting Review</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46</w:t>
      </w:r>
      <w:r w:rsidRPr="00A31721">
        <w:rPr>
          <w:rFonts w:ascii="Times New Roman" w:eastAsia="Times New Roman" w:hAnsi="Times New Roman" w:cs="Times New Roman"/>
          <w:color w:val="000000" w:themeColor="text1"/>
          <w:sz w:val="24"/>
          <w:szCs w:val="24"/>
          <w:highlight w:val="white"/>
        </w:rPr>
        <w:t>(4), 379-396.</w:t>
      </w:r>
      <w:r w:rsidR="008C6E3A" w:rsidRPr="00A31721">
        <w:rPr>
          <w:rFonts w:ascii="Times New Roman" w:eastAsia="Times New Roman" w:hAnsi="Times New Roman" w:cs="Times New Roman"/>
          <w:color w:val="000000" w:themeColor="text1"/>
          <w:sz w:val="24"/>
          <w:szCs w:val="24"/>
        </w:rPr>
        <w:t xml:space="preserve"> https://</w:t>
      </w:r>
      <w:hyperlink r:id="rId25">
        <w:r w:rsidRPr="00A31721">
          <w:rPr>
            <w:rFonts w:ascii="Times New Roman" w:eastAsia="Times New Roman" w:hAnsi="Times New Roman" w:cs="Times New Roman"/>
            <w:color w:val="000000" w:themeColor="text1"/>
            <w:sz w:val="24"/>
            <w:szCs w:val="24"/>
            <w:u w:val="single"/>
          </w:rPr>
          <w:t>doi.org/10.1016/j.bar.2014.10.003</w:t>
        </w:r>
      </w:hyperlink>
    </w:p>
    <w:p w14:paraId="6372415B" w14:textId="77777777" w:rsidR="00C206D3" w:rsidRPr="00A31721" w:rsidRDefault="00460AFB" w:rsidP="00C206D3">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Christ, K. L., &amp; Burritt, R. L. (2013a). Critical environmental concerns in wine production: an integrative review.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53</w:t>
      </w:r>
      <w:r w:rsidRPr="00A31721">
        <w:rPr>
          <w:rFonts w:ascii="Times New Roman" w:eastAsia="Times New Roman" w:hAnsi="Times New Roman" w:cs="Times New Roman"/>
          <w:color w:val="000000" w:themeColor="text1"/>
          <w:sz w:val="24"/>
          <w:szCs w:val="24"/>
          <w:highlight w:val="white"/>
        </w:rPr>
        <w:t>, 232-242.</w:t>
      </w:r>
      <w:r w:rsidR="008C6E3A" w:rsidRPr="00A31721">
        <w:rPr>
          <w:rFonts w:ascii="Times New Roman" w:eastAsia="Times New Roman" w:hAnsi="Times New Roman" w:cs="Times New Roman"/>
          <w:color w:val="000000" w:themeColor="text1"/>
          <w:sz w:val="24"/>
          <w:szCs w:val="24"/>
        </w:rPr>
        <w:t xml:space="preserve"> </w:t>
      </w:r>
      <w:hyperlink r:id="rId26" w:history="1">
        <w:r w:rsidR="00C206D3" w:rsidRPr="00A31721">
          <w:rPr>
            <w:rStyle w:val="Hyperlink"/>
            <w:rFonts w:ascii="Times New Roman" w:eastAsia="Times New Roman" w:hAnsi="Times New Roman" w:cs="Times New Roman"/>
            <w:color w:val="000000" w:themeColor="text1"/>
            <w:sz w:val="24"/>
            <w:szCs w:val="24"/>
          </w:rPr>
          <w:t>https://doi.org/10.1016/j.jclepro.2013.04.007</w:t>
        </w:r>
      </w:hyperlink>
      <w:r w:rsidR="00C206D3" w:rsidRPr="00A31721">
        <w:rPr>
          <w:rFonts w:ascii="Times New Roman" w:eastAsia="Times New Roman" w:hAnsi="Times New Roman" w:cs="Times New Roman"/>
          <w:color w:val="000000" w:themeColor="text1"/>
          <w:sz w:val="24"/>
          <w:szCs w:val="24"/>
        </w:rPr>
        <w:t xml:space="preserve"> </w:t>
      </w:r>
    </w:p>
    <w:p w14:paraId="3ACBF968" w14:textId="77777777" w:rsidR="00AF6785" w:rsidRPr="00A31721" w:rsidRDefault="00460AFB" w:rsidP="00AF6785">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Christ, K. L., &amp; Burritt, R. L. (2013b). Environmental management accounting: the significance of contingent variables for adoption.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41</w:t>
      </w:r>
      <w:r w:rsidRPr="00A31721">
        <w:rPr>
          <w:rFonts w:ascii="Times New Roman" w:eastAsia="Times New Roman" w:hAnsi="Times New Roman" w:cs="Times New Roman"/>
          <w:color w:val="000000" w:themeColor="text1"/>
          <w:sz w:val="24"/>
          <w:szCs w:val="24"/>
          <w:highlight w:val="white"/>
        </w:rPr>
        <w:t>, 163-173.</w:t>
      </w:r>
      <w:r w:rsidR="00DC119F" w:rsidRPr="00A31721">
        <w:rPr>
          <w:rFonts w:ascii="Times New Roman" w:eastAsia="Times New Roman" w:hAnsi="Times New Roman" w:cs="Times New Roman"/>
          <w:color w:val="000000" w:themeColor="text1"/>
          <w:sz w:val="24"/>
          <w:szCs w:val="24"/>
        </w:rPr>
        <w:t xml:space="preserve"> </w:t>
      </w:r>
    </w:p>
    <w:p w14:paraId="78DB1A9D" w14:textId="43850382" w:rsidR="00AF6785" w:rsidRPr="00A31721" w:rsidRDefault="003B49CE" w:rsidP="00AF6785">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hyperlink r:id="rId27" w:history="1">
        <w:r w:rsidRPr="00A31721">
          <w:rPr>
            <w:rStyle w:val="Hyperlink"/>
            <w:rFonts w:ascii="Times New Roman" w:eastAsia="Times New Roman" w:hAnsi="Times New Roman" w:cs="Times New Roman"/>
            <w:color w:val="000000" w:themeColor="text1"/>
            <w:sz w:val="24"/>
            <w:szCs w:val="24"/>
          </w:rPr>
          <w:t>https://doi.org/10.1016/j.jclepro.2012.10.007</w:t>
        </w:r>
      </w:hyperlink>
      <w:r w:rsidRPr="00A31721">
        <w:rPr>
          <w:rFonts w:ascii="Times New Roman" w:eastAsia="Times New Roman" w:hAnsi="Times New Roman" w:cs="Times New Roman"/>
          <w:color w:val="000000" w:themeColor="text1"/>
          <w:sz w:val="24"/>
          <w:szCs w:val="24"/>
        </w:rPr>
        <w:t xml:space="preserve"> </w:t>
      </w:r>
    </w:p>
    <w:p w14:paraId="65D0131D" w14:textId="3453406B" w:rsidR="00460AFB" w:rsidRPr="00A31721" w:rsidRDefault="00460AFB" w:rsidP="00AF6785">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lastRenderedPageBreak/>
        <w:t xml:space="preserve">Christ, K. L., &amp; Burritt, R. L. (2017a). Water management accounting: A framework for corporate practice.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152</w:t>
      </w:r>
      <w:r w:rsidRPr="00A31721">
        <w:rPr>
          <w:rFonts w:ascii="Times New Roman" w:eastAsia="Times New Roman" w:hAnsi="Times New Roman" w:cs="Times New Roman"/>
          <w:color w:val="000000" w:themeColor="text1"/>
          <w:sz w:val="24"/>
          <w:szCs w:val="24"/>
          <w:highlight w:val="white"/>
        </w:rPr>
        <w:t>, 379-386.</w:t>
      </w:r>
      <w:r w:rsidR="008C6E3A" w:rsidRPr="00A31721">
        <w:rPr>
          <w:rFonts w:ascii="Times New Roman" w:eastAsia="Times New Roman" w:hAnsi="Times New Roman" w:cs="Times New Roman"/>
          <w:color w:val="000000" w:themeColor="text1"/>
          <w:sz w:val="24"/>
          <w:szCs w:val="24"/>
        </w:rPr>
        <w:t xml:space="preserve"> https://</w:t>
      </w:r>
      <w:hyperlink r:id="rId28">
        <w:r w:rsidRPr="00A31721">
          <w:rPr>
            <w:rFonts w:ascii="Times New Roman" w:eastAsia="Times New Roman" w:hAnsi="Times New Roman" w:cs="Times New Roman"/>
            <w:color w:val="000000" w:themeColor="text1"/>
            <w:sz w:val="24"/>
            <w:szCs w:val="24"/>
            <w:u w:val="single"/>
          </w:rPr>
          <w:t>doi.org/10.1016/j.jclepro.2017.03.147</w:t>
        </w:r>
      </w:hyperlink>
    </w:p>
    <w:p w14:paraId="7A7A3432" w14:textId="6EC39303"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t xml:space="preserve">Christ, K. L., &amp; Burritt, R. L. (2017b). Supply chain-oriented corporate water accounting: a research agenda. </w:t>
      </w:r>
      <w:r w:rsidRPr="00A31721">
        <w:rPr>
          <w:rFonts w:ascii="Times New Roman" w:eastAsia="Times New Roman" w:hAnsi="Times New Roman" w:cs="Times New Roman"/>
          <w:i/>
          <w:color w:val="000000" w:themeColor="text1"/>
          <w:sz w:val="24"/>
          <w:szCs w:val="24"/>
          <w:highlight w:val="white"/>
        </w:rPr>
        <w:t>Sustainability Accounting, Management and Policy Journal</w:t>
      </w:r>
      <w:r w:rsidRPr="00A31721">
        <w:rPr>
          <w:rFonts w:ascii="Times New Roman" w:eastAsia="Times New Roman" w:hAnsi="Times New Roman" w:cs="Times New Roman"/>
          <w:color w:val="000000" w:themeColor="text1"/>
          <w:sz w:val="24"/>
          <w:szCs w:val="24"/>
          <w:highlight w:val="white"/>
        </w:rPr>
        <w:t>, 8(2), 216-242.</w:t>
      </w:r>
      <w:r w:rsidR="008226DF" w:rsidRPr="00A31721">
        <w:rPr>
          <w:rFonts w:ascii="Times New Roman" w:eastAsia="Times New Roman" w:hAnsi="Times New Roman" w:cs="Times New Roman"/>
          <w:color w:val="000000" w:themeColor="text1"/>
          <w:sz w:val="24"/>
          <w:szCs w:val="24"/>
        </w:rPr>
        <w:t xml:space="preserve"> https://</w:t>
      </w:r>
      <w:hyperlink r:id="rId29">
        <w:r w:rsidRPr="00A31721">
          <w:rPr>
            <w:rFonts w:ascii="Times New Roman" w:eastAsia="Times New Roman" w:hAnsi="Times New Roman" w:cs="Times New Roman"/>
            <w:color w:val="000000" w:themeColor="text1"/>
            <w:sz w:val="24"/>
            <w:szCs w:val="24"/>
            <w:u w:val="single"/>
          </w:rPr>
          <w:t>doi.org/10.1108/SAMPJ-05-2016-0029</w:t>
        </w:r>
      </w:hyperlink>
    </w:p>
    <w:p w14:paraId="3D315B40" w14:textId="77777777" w:rsidR="00460AFB" w:rsidRPr="00A31721" w:rsidRDefault="00460AFB" w:rsidP="00460AFB">
      <w:pPr>
        <w:spacing w:after="0" w:line="240" w:lineRule="auto"/>
        <w:ind w:left="720" w:hanging="720"/>
        <w:jc w:val="both"/>
        <w:rPr>
          <w:rStyle w:val="Hyperlink"/>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lang w:val="it-IT"/>
        </w:rPr>
        <w:t xml:space="preserve">Cichelli, A., Pattara, C., &amp; Petrella, A. (2016). </w:t>
      </w:r>
      <w:r w:rsidRPr="00A31721">
        <w:rPr>
          <w:rFonts w:ascii="Times New Roman" w:hAnsi="Times New Roman" w:cs="Times New Roman"/>
          <w:color w:val="000000" w:themeColor="text1"/>
          <w:sz w:val="24"/>
          <w:szCs w:val="24"/>
          <w:shd w:val="clear" w:color="auto" w:fill="FFFFFF"/>
        </w:rPr>
        <w:t xml:space="preserve">Sustainability in mountain viticulture. The case of the Valle </w:t>
      </w:r>
      <w:proofErr w:type="spellStart"/>
      <w:r w:rsidRPr="00A31721">
        <w:rPr>
          <w:rFonts w:ascii="Times New Roman" w:hAnsi="Times New Roman" w:cs="Times New Roman"/>
          <w:color w:val="000000" w:themeColor="text1"/>
          <w:sz w:val="24"/>
          <w:szCs w:val="24"/>
          <w:shd w:val="clear" w:color="auto" w:fill="FFFFFF"/>
        </w:rPr>
        <w:t>Peligna</w:t>
      </w:r>
      <w:proofErr w:type="spellEnd"/>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 xml:space="preserve">Agriculture and agricultural science </w:t>
      </w:r>
      <w:proofErr w:type="spellStart"/>
      <w:r w:rsidRPr="00A31721">
        <w:rPr>
          <w:rFonts w:ascii="Times New Roman" w:hAnsi="Times New Roman" w:cs="Times New Roman"/>
          <w:i/>
          <w:iCs/>
          <w:color w:val="000000" w:themeColor="text1"/>
          <w:sz w:val="24"/>
          <w:szCs w:val="24"/>
          <w:shd w:val="clear" w:color="auto" w:fill="FFFFFF"/>
        </w:rPr>
        <w:t>procedia</w:t>
      </w:r>
      <w:proofErr w:type="spellEnd"/>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8</w:t>
      </w:r>
      <w:r w:rsidRPr="00A31721">
        <w:rPr>
          <w:rFonts w:ascii="Times New Roman" w:hAnsi="Times New Roman" w:cs="Times New Roman"/>
          <w:color w:val="000000" w:themeColor="text1"/>
          <w:sz w:val="24"/>
          <w:szCs w:val="24"/>
          <w:shd w:val="clear" w:color="auto" w:fill="FFFFFF"/>
        </w:rPr>
        <w:t xml:space="preserve">, 65-72. </w:t>
      </w:r>
      <w:hyperlink r:id="rId30" w:history="1">
        <w:r w:rsidRPr="00A31721">
          <w:rPr>
            <w:rStyle w:val="Hyperlink"/>
            <w:rFonts w:ascii="Times New Roman" w:hAnsi="Times New Roman" w:cs="Times New Roman"/>
            <w:color w:val="000000" w:themeColor="text1"/>
            <w:sz w:val="24"/>
            <w:szCs w:val="24"/>
          </w:rPr>
          <w:t>https://doi.org/10.1016/j.aaspro.2016.02.009</w:t>
        </w:r>
      </w:hyperlink>
    </w:p>
    <w:p w14:paraId="29866E1C" w14:textId="0FBF4F05"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Deb, B. C., Rahman, M. M., &amp; Rahman, M. S. (2022). The impact of environmental management accounting on environmental and financial performance: empirical evidence from Bangladesh. </w:t>
      </w:r>
      <w:r w:rsidRPr="00A31721">
        <w:rPr>
          <w:rFonts w:ascii="Times New Roman" w:eastAsia="Times New Roman" w:hAnsi="Times New Roman" w:cs="Times New Roman"/>
          <w:i/>
          <w:color w:val="000000" w:themeColor="text1"/>
          <w:sz w:val="24"/>
          <w:szCs w:val="24"/>
          <w:highlight w:val="white"/>
        </w:rPr>
        <w:t>Journal of Accounting &amp; Organizational Change</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19</w:t>
      </w:r>
      <w:r w:rsidRPr="00A31721">
        <w:rPr>
          <w:rFonts w:ascii="Times New Roman" w:eastAsia="Times New Roman" w:hAnsi="Times New Roman" w:cs="Times New Roman"/>
          <w:color w:val="000000" w:themeColor="text1"/>
          <w:sz w:val="24"/>
          <w:szCs w:val="24"/>
          <w:highlight w:val="white"/>
        </w:rPr>
        <w:t>(3), 420-446.</w:t>
      </w:r>
      <w:r w:rsidR="008226DF" w:rsidRPr="00A31721">
        <w:rPr>
          <w:rFonts w:ascii="Times New Roman" w:eastAsia="Times New Roman" w:hAnsi="Times New Roman" w:cs="Times New Roman"/>
          <w:color w:val="000000" w:themeColor="text1"/>
          <w:sz w:val="24"/>
          <w:szCs w:val="24"/>
        </w:rPr>
        <w:t xml:space="preserve"> https://</w:t>
      </w:r>
      <w:hyperlink r:id="rId31">
        <w:r w:rsidRPr="00A31721">
          <w:rPr>
            <w:rFonts w:ascii="Times New Roman" w:eastAsia="Times New Roman" w:hAnsi="Times New Roman" w:cs="Times New Roman"/>
            <w:color w:val="000000" w:themeColor="text1"/>
            <w:sz w:val="24"/>
            <w:szCs w:val="24"/>
            <w:highlight w:val="white"/>
            <w:u w:val="single"/>
          </w:rPr>
          <w:t>doi.org/10.1108/JAOC-11-2021-0157</w:t>
        </w:r>
      </w:hyperlink>
    </w:p>
    <w:p w14:paraId="253AE311" w14:textId="29F6A41F"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proofErr w:type="spellStart"/>
      <w:r w:rsidRPr="00A31721">
        <w:rPr>
          <w:rFonts w:ascii="Times New Roman" w:eastAsia="Times New Roman" w:hAnsi="Times New Roman" w:cs="Times New Roman"/>
          <w:color w:val="000000" w:themeColor="text1"/>
          <w:sz w:val="24"/>
          <w:szCs w:val="24"/>
          <w:highlight w:val="white"/>
          <w:lang w:val="en-GB"/>
        </w:rPr>
        <w:t>Devesa</w:t>
      </w:r>
      <w:proofErr w:type="spellEnd"/>
      <w:r w:rsidRPr="00A31721">
        <w:rPr>
          <w:rFonts w:ascii="Times New Roman" w:eastAsia="Times New Roman" w:hAnsi="Times New Roman" w:cs="Times New Roman"/>
          <w:color w:val="000000" w:themeColor="text1"/>
          <w:sz w:val="24"/>
          <w:szCs w:val="24"/>
          <w:highlight w:val="white"/>
          <w:lang w:val="en-GB"/>
        </w:rPr>
        <w:t xml:space="preserve">-Rey, R., Vecino, X., Varela-Alende, J. L., Barral, M. T., Cruz, J. M., &amp; Moldes, A. B. (2011). </w:t>
      </w:r>
      <w:r w:rsidRPr="00A31721">
        <w:rPr>
          <w:rFonts w:ascii="Times New Roman" w:eastAsia="Times New Roman" w:hAnsi="Times New Roman" w:cs="Times New Roman"/>
          <w:color w:val="000000" w:themeColor="text1"/>
          <w:sz w:val="24"/>
          <w:szCs w:val="24"/>
          <w:highlight w:val="white"/>
        </w:rPr>
        <w:t xml:space="preserve">Valorization of winery waste vs. the costs of not recycling. </w:t>
      </w:r>
      <w:r w:rsidRPr="00A31721">
        <w:rPr>
          <w:rFonts w:ascii="Times New Roman" w:eastAsia="Times New Roman" w:hAnsi="Times New Roman" w:cs="Times New Roman"/>
          <w:i/>
          <w:color w:val="000000" w:themeColor="text1"/>
          <w:sz w:val="24"/>
          <w:szCs w:val="24"/>
          <w:highlight w:val="white"/>
        </w:rPr>
        <w:t>Waste management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31</w:t>
      </w:r>
      <w:r w:rsidRPr="00A31721">
        <w:rPr>
          <w:rFonts w:ascii="Times New Roman" w:eastAsia="Times New Roman" w:hAnsi="Times New Roman" w:cs="Times New Roman"/>
          <w:color w:val="000000" w:themeColor="text1"/>
          <w:sz w:val="24"/>
          <w:szCs w:val="24"/>
          <w:highlight w:val="white"/>
        </w:rPr>
        <w:t>(11), 2327-2335.</w:t>
      </w:r>
      <w:r w:rsidR="008226DF" w:rsidRPr="00A31721">
        <w:rPr>
          <w:rFonts w:ascii="Times New Roman" w:eastAsia="Times New Roman" w:hAnsi="Times New Roman" w:cs="Times New Roman"/>
          <w:color w:val="000000" w:themeColor="text1"/>
          <w:sz w:val="24"/>
          <w:szCs w:val="24"/>
        </w:rPr>
        <w:t xml:space="preserve"> https://</w:t>
      </w:r>
      <w:hyperlink r:id="rId32">
        <w:r w:rsidRPr="00A31721">
          <w:rPr>
            <w:rFonts w:ascii="Times New Roman" w:eastAsia="Times New Roman" w:hAnsi="Times New Roman" w:cs="Times New Roman"/>
            <w:color w:val="000000" w:themeColor="text1"/>
            <w:sz w:val="24"/>
            <w:szCs w:val="24"/>
            <w:u w:val="single"/>
          </w:rPr>
          <w:t>doi.org/10.1016/j.wasman.2011.06.001</w:t>
        </w:r>
      </w:hyperlink>
    </w:p>
    <w:p w14:paraId="5F25D42C" w14:textId="7777777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hAnsi="Times New Roman" w:cs="Times New Roman"/>
          <w:color w:val="000000" w:themeColor="text1"/>
          <w:sz w:val="24"/>
          <w:szCs w:val="24"/>
          <w:shd w:val="clear" w:color="auto" w:fill="FFFFFF"/>
        </w:rPr>
        <w:t>Donaldson, L. (2001). </w:t>
      </w:r>
      <w:r w:rsidRPr="00A31721">
        <w:rPr>
          <w:rFonts w:ascii="Times New Roman" w:hAnsi="Times New Roman" w:cs="Times New Roman"/>
          <w:i/>
          <w:iCs/>
          <w:color w:val="000000" w:themeColor="text1"/>
          <w:sz w:val="24"/>
          <w:szCs w:val="24"/>
          <w:shd w:val="clear" w:color="auto" w:fill="FFFFFF"/>
        </w:rPr>
        <w:t>The contingency theory of organizations</w:t>
      </w:r>
      <w:r w:rsidRPr="00A31721">
        <w:rPr>
          <w:rFonts w:ascii="Times New Roman" w:hAnsi="Times New Roman" w:cs="Times New Roman"/>
          <w:color w:val="000000" w:themeColor="text1"/>
          <w:sz w:val="24"/>
          <w:szCs w:val="24"/>
          <w:shd w:val="clear" w:color="auto" w:fill="FFFFFF"/>
        </w:rPr>
        <w:t xml:space="preserve">. Sage. </w:t>
      </w:r>
    </w:p>
    <w:p w14:paraId="49498363" w14:textId="4992440C"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highlight w:val="white"/>
          <w:shd w:val="clear" w:color="auto" w:fill="FFFFFF"/>
        </w:rPr>
      </w:pPr>
      <w:r w:rsidRPr="00A31721">
        <w:rPr>
          <w:rFonts w:ascii="Times New Roman" w:hAnsi="Times New Roman" w:cs="Times New Roman"/>
          <w:color w:val="000000" w:themeColor="text1"/>
          <w:sz w:val="24"/>
          <w:szCs w:val="24"/>
          <w:shd w:val="clear" w:color="auto" w:fill="FFFFFF"/>
        </w:rPr>
        <w:t>Doorasamy, M. (2015). Theoretical developments in environmental management accounting and the role and importance of MFCA. </w:t>
      </w:r>
      <w:r w:rsidRPr="00A31721">
        <w:rPr>
          <w:rFonts w:ascii="Times New Roman" w:hAnsi="Times New Roman" w:cs="Times New Roman"/>
          <w:i/>
          <w:iCs/>
          <w:color w:val="000000" w:themeColor="text1"/>
          <w:sz w:val="24"/>
          <w:szCs w:val="24"/>
          <w:shd w:val="clear" w:color="auto" w:fill="FFFFFF"/>
        </w:rPr>
        <w:t>Foundations of Management</w:t>
      </w:r>
      <w:r w:rsidRPr="00A31721">
        <w:rPr>
          <w:rFonts w:ascii="Times New Roman" w:hAnsi="Times New Roman" w:cs="Times New Roman"/>
          <w:color w:val="000000" w:themeColor="text1"/>
          <w:sz w:val="24"/>
          <w:szCs w:val="24"/>
          <w:shd w:val="clear" w:color="auto" w:fill="FFFFFF"/>
        </w:rPr>
        <w:t>,</w:t>
      </w:r>
      <w:r w:rsidR="001A4D4D"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7</w:t>
      </w:r>
      <w:r w:rsidRPr="00A31721">
        <w:rPr>
          <w:rFonts w:ascii="Times New Roman" w:hAnsi="Times New Roman" w:cs="Times New Roman"/>
          <w:color w:val="000000" w:themeColor="text1"/>
          <w:sz w:val="24"/>
          <w:szCs w:val="24"/>
          <w:shd w:val="clear" w:color="auto" w:fill="FFFFFF"/>
        </w:rPr>
        <w:t>(1), 37</w:t>
      </w:r>
      <w:r w:rsidR="00C71117" w:rsidRPr="00A31721">
        <w:rPr>
          <w:rFonts w:ascii="Times New Roman" w:hAnsi="Times New Roman" w:cs="Times New Roman"/>
          <w:color w:val="000000" w:themeColor="text1"/>
          <w:sz w:val="24"/>
          <w:szCs w:val="24"/>
          <w:shd w:val="clear" w:color="auto" w:fill="FFFFFF"/>
        </w:rPr>
        <w:t>-52</w:t>
      </w:r>
      <w:r w:rsidRPr="00A31721">
        <w:rPr>
          <w:rFonts w:ascii="Times New Roman" w:hAnsi="Times New Roman" w:cs="Times New Roman"/>
          <w:color w:val="000000" w:themeColor="text1"/>
          <w:sz w:val="24"/>
          <w:szCs w:val="24"/>
          <w:shd w:val="clear" w:color="auto" w:fill="FFFFFF"/>
        </w:rPr>
        <w:t xml:space="preserve">. </w:t>
      </w:r>
      <w:hyperlink r:id="rId33" w:history="1">
        <w:r w:rsidR="00497FC8" w:rsidRPr="00A31721">
          <w:rPr>
            <w:rStyle w:val="Hyperlink"/>
            <w:rFonts w:ascii="Times New Roman" w:hAnsi="Times New Roman" w:cs="Times New Roman"/>
            <w:color w:val="000000" w:themeColor="text1"/>
            <w:sz w:val="24"/>
            <w:szCs w:val="24"/>
            <w:shd w:val="clear" w:color="auto" w:fill="FFFFFF"/>
          </w:rPr>
          <w:t>https://doi.org/10.1515/fman-2015-0024</w:t>
        </w:r>
      </w:hyperlink>
      <w:r w:rsidR="00497FC8" w:rsidRPr="00A31721">
        <w:rPr>
          <w:rFonts w:ascii="Times New Roman" w:hAnsi="Times New Roman" w:cs="Times New Roman"/>
          <w:color w:val="000000" w:themeColor="text1"/>
          <w:sz w:val="24"/>
          <w:szCs w:val="24"/>
          <w:shd w:val="clear" w:color="auto" w:fill="FFFFFF"/>
        </w:rPr>
        <w:t xml:space="preserve"> </w:t>
      </w:r>
    </w:p>
    <w:p w14:paraId="13936B6B" w14:textId="1B33F0C1" w:rsidR="00EE64A3"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A31721">
        <w:rPr>
          <w:rFonts w:ascii="Times New Roman" w:eastAsia="Times New Roman" w:hAnsi="Times New Roman" w:cs="Times New Roman"/>
          <w:color w:val="000000" w:themeColor="text1"/>
          <w:sz w:val="24"/>
          <w:szCs w:val="24"/>
          <w:highlight w:val="white"/>
        </w:rPr>
        <w:t>Elhossade</w:t>
      </w:r>
      <w:proofErr w:type="spellEnd"/>
      <w:r w:rsidRPr="00A31721">
        <w:rPr>
          <w:rFonts w:ascii="Times New Roman" w:eastAsia="Times New Roman" w:hAnsi="Times New Roman" w:cs="Times New Roman"/>
          <w:color w:val="000000" w:themeColor="text1"/>
          <w:sz w:val="24"/>
          <w:szCs w:val="24"/>
          <w:highlight w:val="white"/>
        </w:rPr>
        <w:t xml:space="preserve">, S. S., Abdo, H., &amp; Mas’ </w:t>
      </w:r>
      <w:proofErr w:type="spellStart"/>
      <w:r w:rsidRPr="00A31721">
        <w:rPr>
          <w:rFonts w:ascii="Times New Roman" w:eastAsia="Times New Roman" w:hAnsi="Times New Roman" w:cs="Times New Roman"/>
          <w:color w:val="000000" w:themeColor="text1"/>
          <w:sz w:val="24"/>
          <w:szCs w:val="24"/>
          <w:highlight w:val="white"/>
        </w:rPr>
        <w:t>ud</w:t>
      </w:r>
      <w:proofErr w:type="spellEnd"/>
      <w:r w:rsidRPr="00A31721">
        <w:rPr>
          <w:rFonts w:ascii="Times New Roman" w:eastAsia="Times New Roman" w:hAnsi="Times New Roman" w:cs="Times New Roman"/>
          <w:color w:val="000000" w:themeColor="text1"/>
          <w:sz w:val="24"/>
          <w:szCs w:val="24"/>
          <w:highlight w:val="white"/>
        </w:rPr>
        <w:t xml:space="preserve">, A. (2021). Impact of institutional and contingent factors on adopting environmental management accounting systems: the case of manufacturing companies in Libya. </w:t>
      </w:r>
      <w:r w:rsidRPr="00A31721">
        <w:rPr>
          <w:rFonts w:ascii="Times New Roman" w:eastAsia="Times New Roman" w:hAnsi="Times New Roman" w:cs="Times New Roman"/>
          <w:i/>
          <w:color w:val="000000" w:themeColor="text1"/>
          <w:sz w:val="24"/>
          <w:szCs w:val="24"/>
          <w:highlight w:val="white"/>
        </w:rPr>
        <w:t>Journal of Financial Reporting and Accounting</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19</w:t>
      </w:r>
      <w:r w:rsidRPr="00A31721">
        <w:rPr>
          <w:rFonts w:ascii="Times New Roman" w:eastAsia="Times New Roman" w:hAnsi="Times New Roman" w:cs="Times New Roman"/>
          <w:color w:val="000000" w:themeColor="text1"/>
          <w:sz w:val="24"/>
          <w:szCs w:val="24"/>
          <w:highlight w:val="white"/>
        </w:rPr>
        <w:t>(4), 497-539.</w:t>
      </w:r>
      <w:r w:rsidR="008226DF" w:rsidRPr="00A31721">
        <w:rPr>
          <w:rFonts w:ascii="Times New Roman" w:eastAsia="Times New Roman" w:hAnsi="Times New Roman" w:cs="Times New Roman"/>
          <w:color w:val="000000" w:themeColor="text1"/>
          <w:sz w:val="24"/>
          <w:szCs w:val="24"/>
        </w:rPr>
        <w:t xml:space="preserve"> </w:t>
      </w:r>
      <w:hyperlink r:id="rId34" w:history="1">
        <w:r w:rsidR="00EE64A3" w:rsidRPr="00A31721">
          <w:rPr>
            <w:rStyle w:val="Hyperlink"/>
            <w:rFonts w:ascii="Times New Roman" w:eastAsia="Times New Roman" w:hAnsi="Times New Roman" w:cs="Times New Roman"/>
            <w:color w:val="000000" w:themeColor="text1"/>
            <w:sz w:val="24"/>
            <w:szCs w:val="24"/>
          </w:rPr>
          <w:t>https://doi.org/10.1108/JFRA-08-2020-0224</w:t>
        </w:r>
      </w:hyperlink>
    </w:p>
    <w:p w14:paraId="1BB4B4C1" w14:textId="00BDFCAF"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A31721">
        <w:rPr>
          <w:rFonts w:ascii="Times New Roman" w:eastAsia="Times New Roman" w:hAnsi="Times New Roman" w:cs="Times New Roman"/>
          <w:color w:val="000000" w:themeColor="text1"/>
          <w:sz w:val="24"/>
          <w:szCs w:val="24"/>
          <w:highlight w:val="white"/>
        </w:rPr>
        <w:t>Fensterseifer</w:t>
      </w:r>
      <w:proofErr w:type="spellEnd"/>
      <w:r w:rsidRPr="00A31721">
        <w:rPr>
          <w:rFonts w:ascii="Times New Roman" w:eastAsia="Times New Roman" w:hAnsi="Times New Roman" w:cs="Times New Roman"/>
          <w:color w:val="000000" w:themeColor="text1"/>
          <w:sz w:val="24"/>
          <w:szCs w:val="24"/>
          <w:highlight w:val="white"/>
        </w:rPr>
        <w:t>, J.</w:t>
      </w:r>
      <w:r w:rsidR="002F7A37" w:rsidRPr="00A31721">
        <w:rPr>
          <w:rFonts w:ascii="Times New Roman" w:eastAsia="Times New Roman" w:hAnsi="Times New Roman" w:cs="Times New Roman"/>
          <w:color w:val="000000" w:themeColor="text1"/>
          <w:sz w:val="24"/>
          <w:szCs w:val="24"/>
          <w:highlight w:val="white"/>
        </w:rPr>
        <w:t>E.</w:t>
      </w:r>
      <w:r w:rsidRPr="00A31721">
        <w:rPr>
          <w:rFonts w:ascii="Times New Roman" w:eastAsia="Times New Roman" w:hAnsi="Times New Roman" w:cs="Times New Roman"/>
          <w:color w:val="000000" w:themeColor="text1"/>
          <w:sz w:val="24"/>
          <w:szCs w:val="24"/>
          <w:highlight w:val="white"/>
        </w:rPr>
        <w:t xml:space="preserve"> (2007). The emerging Brazilian wine industry: challenges and prospects for the Serra </w:t>
      </w:r>
      <w:proofErr w:type="spellStart"/>
      <w:r w:rsidRPr="00A31721">
        <w:rPr>
          <w:rFonts w:ascii="Times New Roman" w:eastAsia="Times New Roman" w:hAnsi="Times New Roman" w:cs="Times New Roman"/>
          <w:color w:val="000000" w:themeColor="text1"/>
          <w:sz w:val="24"/>
          <w:szCs w:val="24"/>
          <w:highlight w:val="white"/>
        </w:rPr>
        <w:t>Gaúcha</w:t>
      </w:r>
      <w:proofErr w:type="spellEnd"/>
      <w:r w:rsidRPr="00A31721">
        <w:rPr>
          <w:rFonts w:ascii="Times New Roman" w:eastAsia="Times New Roman" w:hAnsi="Times New Roman" w:cs="Times New Roman"/>
          <w:color w:val="000000" w:themeColor="text1"/>
          <w:sz w:val="24"/>
          <w:szCs w:val="24"/>
          <w:highlight w:val="white"/>
        </w:rPr>
        <w:t xml:space="preserve"> wine cluster. </w:t>
      </w:r>
      <w:r w:rsidRPr="00A31721">
        <w:rPr>
          <w:rFonts w:ascii="Times New Roman" w:eastAsia="Times New Roman" w:hAnsi="Times New Roman" w:cs="Times New Roman"/>
          <w:i/>
          <w:color w:val="000000" w:themeColor="text1"/>
          <w:sz w:val="24"/>
          <w:szCs w:val="24"/>
          <w:highlight w:val="white"/>
        </w:rPr>
        <w:t>International journal of wine business research</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19</w:t>
      </w:r>
      <w:r w:rsidRPr="00A31721">
        <w:rPr>
          <w:rFonts w:ascii="Times New Roman" w:eastAsia="Times New Roman" w:hAnsi="Times New Roman" w:cs="Times New Roman"/>
          <w:color w:val="000000" w:themeColor="text1"/>
          <w:sz w:val="24"/>
          <w:szCs w:val="24"/>
          <w:highlight w:val="white"/>
        </w:rPr>
        <w:t>(3), 187-206.</w:t>
      </w:r>
      <w:r w:rsidR="008226DF" w:rsidRPr="00A31721">
        <w:rPr>
          <w:rFonts w:ascii="Times New Roman" w:eastAsia="Times New Roman" w:hAnsi="Times New Roman" w:cs="Times New Roman"/>
          <w:color w:val="000000" w:themeColor="text1"/>
          <w:sz w:val="24"/>
          <w:szCs w:val="24"/>
        </w:rPr>
        <w:t xml:space="preserve"> https://</w:t>
      </w:r>
      <w:hyperlink r:id="rId35">
        <w:r w:rsidRPr="00A31721">
          <w:rPr>
            <w:rFonts w:ascii="Times New Roman" w:eastAsia="Times New Roman" w:hAnsi="Times New Roman" w:cs="Times New Roman"/>
            <w:color w:val="000000" w:themeColor="text1"/>
            <w:sz w:val="24"/>
            <w:szCs w:val="24"/>
            <w:u w:val="single"/>
          </w:rPr>
          <w:t>doi.org/10.1108/17511060710817221</w:t>
        </w:r>
      </w:hyperlink>
    </w:p>
    <w:p w14:paraId="7E87156B" w14:textId="093DA3ED"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Ferreira, A., </w:t>
      </w:r>
      <w:proofErr w:type="spellStart"/>
      <w:r w:rsidRPr="00A31721">
        <w:rPr>
          <w:rFonts w:ascii="Times New Roman" w:eastAsia="Times New Roman" w:hAnsi="Times New Roman" w:cs="Times New Roman"/>
          <w:color w:val="000000" w:themeColor="text1"/>
          <w:sz w:val="24"/>
          <w:szCs w:val="24"/>
          <w:highlight w:val="white"/>
        </w:rPr>
        <w:t>Moulang</w:t>
      </w:r>
      <w:proofErr w:type="spellEnd"/>
      <w:r w:rsidRPr="00A31721">
        <w:rPr>
          <w:rFonts w:ascii="Times New Roman" w:eastAsia="Times New Roman" w:hAnsi="Times New Roman" w:cs="Times New Roman"/>
          <w:color w:val="000000" w:themeColor="text1"/>
          <w:sz w:val="24"/>
          <w:szCs w:val="24"/>
          <w:highlight w:val="white"/>
        </w:rPr>
        <w:t xml:space="preserve">, C., &amp; </w:t>
      </w:r>
      <w:proofErr w:type="spellStart"/>
      <w:r w:rsidRPr="00A31721">
        <w:rPr>
          <w:rFonts w:ascii="Times New Roman" w:eastAsia="Times New Roman" w:hAnsi="Times New Roman" w:cs="Times New Roman"/>
          <w:color w:val="000000" w:themeColor="text1"/>
          <w:sz w:val="24"/>
          <w:szCs w:val="24"/>
          <w:highlight w:val="white"/>
        </w:rPr>
        <w:t>Hendro</w:t>
      </w:r>
      <w:proofErr w:type="spellEnd"/>
      <w:r w:rsidRPr="00A31721">
        <w:rPr>
          <w:rFonts w:ascii="Times New Roman" w:eastAsia="Times New Roman" w:hAnsi="Times New Roman" w:cs="Times New Roman"/>
          <w:color w:val="000000" w:themeColor="text1"/>
          <w:sz w:val="24"/>
          <w:szCs w:val="24"/>
          <w:highlight w:val="white"/>
        </w:rPr>
        <w:t xml:space="preserve">, B. (2010). Environmental management accounting and innovation: an exploratory analysis. </w:t>
      </w:r>
      <w:r w:rsidRPr="00A31721">
        <w:rPr>
          <w:rFonts w:ascii="Times New Roman" w:eastAsia="Times New Roman" w:hAnsi="Times New Roman" w:cs="Times New Roman"/>
          <w:i/>
          <w:color w:val="000000" w:themeColor="text1"/>
          <w:sz w:val="24"/>
          <w:szCs w:val="24"/>
          <w:highlight w:val="white"/>
        </w:rPr>
        <w:t>Accounting, Auditing &amp; Accountability Journal</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23</w:t>
      </w:r>
      <w:r w:rsidRPr="00A31721">
        <w:rPr>
          <w:rFonts w:ascii="Times New Roman" w:eastAsia="Times New Roman" w:hAnsi="Times New Roman" w:cs="Times New Roman"/>
          <w:color w:val="000000" w:themeColor="text1"/>
          <w:sz w:val="24"/>
          <w:szCs w:val="24"/>
          <w:highlight w:val="white"/>
        </w:rPr>
        <w:t>(7), 920-948.</w:t>
      </w:r>
      <w:r w:rsidR="008226DF" w:rsidRPr="00A31721">
        <w:rPr>
          <w:rFonts w:ascii="Times New Roman" w:eastAsia="Times New Roman" w:hAnsi="Times New Roman" w:cs="Times New Roman"/>
          <w:color w:val="000000" w:themeColor="text1"/>
          <w:sz w:val="24"/>
          <w:szCs w:val="24"/>
        </w:rPr>
        <w:t xml:space="preserve"> https://</w:t>
      </w:r>
      <w:hyperlink r:id="rId36">
        <w:r w:rsidRPr="00A31721">
          <w:rPr>
            <w:rFonts w:ascii="Times New Roman" w:eastAsia="Times New Roman" w:hAnsi="Times New Roman" w:cs="Times New Roman"/>
            <w:color w:val="000000" w:themeColor="text1"/>
            <w:sz w:val="24"/>
            <w:szCs w:val="24"/>
            <w:highlight w:val="white"/>
            <w:u w:val="single"/>
          </w:rPr>
          <w:t>doi.org/10.1108/09513571011080180</w:t>
        </w:r>
      </w:hyperlink>
    </w:p>
    <w:p w14:paraId="1F4DAAC0" w14:textId="1F0E6C39"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u w:val="single"/>
        </w:rPr>
      </w:pPr>
      <w:r w:rsidRPr="00A31721">
        <w:rPr>
          <w:rFonts w:ascii="Times New Roman" w:eastAsia="Times New Roman" w:hAnsi="Times New Roman" w:cs="Times New Roman"/>
          <w:color w:val="000000" w:themeColor="text1"/>
          <w:sz w:val="24"/>
          <w:szCs w:val="24"/>
          <w:highlight w:val="white"/>
        </w:rPr>
        <w:t xml:space="preserve">Forbes, S. L., &amp; De Silva, T. A. (2012). Analysis of environmental management systems in New Zealand wineries. </w:t>
      </w:r>
      <w:r w:rsidRPr="00A31721">
        <w:rPr>
          <w:rFonts w:ascii="Times New Roman" w:eastAsia="Times New Roman" w:hAnsi="Times New Roman" w:cs="Times New Roman"/>
          <w:i/>
          <w:color w:val="000000" w:themeColor="text1"/>
          <w:sz w:val="24"/>
          <w:szCs w:val="24"/>
          <w:highlight w:val="white"/>
        </w:rPr>
        <w:t>International Journal of Wine Business Research</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24</w:t>
      </w:r>
      <w:r w:rsidRPr="00A31721">
        <w:rPr>
          <w:rFonts w:ascii="Times New Roman" w:eastAsia="Times New Roman" w:hAnsi="Times New Roman" w:cs="Times New Roman"/>
          <w:color w:val="000000" w:themeColor="text1"/>
          <w:sz w:val="24"/>
          <w:szCs w:val="24"/>
          <w:highlight w:val="white"/>
        </w:rPr>
        <w:t>(2), 98-114</w:t>
      </w:r>
      <w:r w:rsidR="008226DF" w:rsidRPr="00A31721">
        <w:rPr>
          <w:rFonts w:ascii="Times New Roman" w:eastAsia="Times New Roman" w:hAnsi="Times New Roman" w:cs="Times New Roman"/>
          <w:color w:val="000000" w:themeColor="text1"/>
          <w:sz w:val="24"/>
          <w:szCs w:val="24"/>
        </w:rPr>
        <w:t xml:space="preserve"> https://</w:t>
      </w:r>
      <w:r w:rsidRPr="00A31721">
        <w:rPr>
          <w:rFonts w:ascii="Times New Roman" w:eastAsia="Times New Roman" w:hAnsi="Times New Roman" w:cs="Times New Roman"/>
          <w:color w:val="000000" w:themeColor="text1"/>
          <w:sz w:val="24"/>
          <w:szCs w:val="24"/>
          <w:highlight w:val="white"/>
        </w:rPr>
        <w:t>.</w:t>
      </w:r>
      <w:hyperlink r:id="rId37">
        <w:r w:rsidRPr="00A31721">
          <w:rPr>
            <w:rFonts w:ascii="Times New Roman" w:eastAsia="Times New Roman" w:hAnsi="Times New Roman" w:cs="Times New Roman"/>
            <w:color w:val="000000" w:themeColor="text1"/>
            <w:sz w:val="24"/>
            <w:szCs w:val="24"/>
            <w:highlight w:val="white"/>
            <w:u w:val="single"/>
          </w:rPr>
          <w:t>doi.org/10.1108/17511061211238902</w:t>
        </w:r>
      </w:hyperlink>
    </w:p>
    <w:p w14:paraId="019C4B6A" w14:textId="5233FAF5"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D10295">
        <w:rPr>
          <w:rFonts w:ascii="Times New Roman" w:eastAsia="Times New Roman" w:hAnsi="Times New Roman" w:cs="Times New Roman"/>
          <w:color w:val="000000" w:themeColor="text1"/>
          <w:sz w:val="24"/>
          <w:szCs w:val="24"/>
          <w:highlight w:val="white"/>
          <w:lang w:val="en-GB"/>
        </w:rPr>
        <w:t xml:space="preserve">Fragoso, R., &amp; Figueira, J. R. (2021). </w:t>
      </w:r>
      <w:r w:rsidR="00492CB6" w:rsidRPr="00A31721">
        <w:rPr>
          <w:rFonts w:ascii="Times New Roman" w:eastAsia="Times New Roman" w:hAnsi="Times New Roman" w:cs="Times New Roman"/>
          <w:color w:val="000000" w:themeColor="text1"/>
          <w:sz w:val="24"/>
          <w:szCs w:val="24"/>
          <w:highlight w:val="white"/>
        </w:rPr>
        <w:t xml:space="preserve">Wine </w:t>
      </w:r>
      <w:r w:rsidRPr="00A31721">
        <w:rPr>
          <w:rFonts w:ascii="Times New Roman" w:eastAsia="Times New Roman" w:hAnsi="Times New Roman" w:cs="Times New Roman"/>
          <w:color w:val="000000" w:themeColor="text1"/>
          <w:sz w:val="24"/>
          <w:szCs w:val="24"/>
          <w:highlight w:val="white"/>
        </w:rPr>
        <w:t xml:space="preserve">industry supply chain network design: An application to the wine industry in Southern Portugal. </w:t>
      </w:r>
      <w:r w:rsidRPr="00A31721">
        <w:rPr>
          <w:rFonts w:ascii="Times New Roman" w:eastAsia="Times New Roman" w:hAnsi="Times New Roman" w:cs="Times New Roman"/>
          <w:i/>
          <w:color w:val="000000" w:themeColor="text1"/>
          <w:sz w:val="24"/>
          <w:szCs w:val="24"/>
          <w:highlight w:val="white"/>
        </w:rPr>
        <w:t>Journal of the Operational Research Society</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72</w:t>
      </w:r>
      <w:r w:rsidRPr="00A31721">
        <w:rPr>
          <w:rFonts w:ascii="Times New Roman" w:eastAsia="Times New Roman" w:hAnsi="Times New Roman" w:cs="Times New Roman"/>
          <w:color w:val="000000" w:themeColor="text1"/>
          <w:sz w:val="24"/>
          <w:szCs w:val="24"/>
          <w:highlight w:val="white"/>
        </w:rPr>
        <w:t xml:space="preserve">(6), 1236-1251. </w:t>
      </w:r>
      <w:r w:rsidR="008226DF" w:rsidRPr="00A31721">
        <w:rPr>
          <w:rFonts w:ascii="Times New Roman" w:eastAsia="Times New Roman" w:hAnsi="Times New Roman" w:cs="Times New Roman"/>
          <w:color w:val="000000" w:themeColor="text1"/>
          <w:sz w:val="24"/>
          <w:szCs w:val="24"/>
        </w:rPr>
        <w:t>https://</w:t>
      </w:r>
      <w:hyperlink r:id="rId38">
        <w:r w:rsidRPr="00A31721">
          <w:rPr>
            <w:rFonts w:ascii="Times New Roman" w:eastAsia="Times New Roman" w:hAnsi="Times New Roman" w:cs="Times New Roman"/>
            <w:color w:val="000000" w:themeColor="text1"/>
            <w:sz w:val="24"/>
            <w:szCs w:val="24"/>
            <w:u w:val="single"/>
          </w:rPr>
          <w:t>doi.org/10.1080/01605682.2020.1718015</w:t>
        </w:r>
      </w:hyperlink>
    </w:p>
    <w:p w14:paraId="6405D5CE" w14:textId="680711DE"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Fuentes-Fernández, R., Martínez-Falcó, J., Sánchez-García, E., &amp; Marco-Lajara, B. (2022). Does ecological agriculture moderate the relationship between wine tourism and economic performance? A structural equation analysis applied to the </w:t>
      </w:r>
      <w:proofErr w:type="spellStart"/>
      <w:r w:rsidRPr="00A31721">
        <w:rPr>
          <w:rFonts w:ascii="Times New Roman" w:eastAsia="Times New Roman" w:hAnsi="Times New Roman" w:cs="Times New Roman"/>
          <w:color w:val="000000" w:themeColor="text1"/>
          <w:sz w:val="24"/>
          <w:szCs w:val="24"/>
          <w:highlight w:val="white"/>
        </w:rPr>
        <w:t>ribera</w:t>
      </w:r>
      <w:proofErr w:type="spellEnd"/>
      <w:r w:rsidRPr="00A31721">
        <w:rPr>
          <w:rFonts w:ascii="Times New Roman" w:eastAsia="Times New Roman" w:hAnsi="Times New Roman" w:cs="Times New Roman"/>
          <w:color w:val="000000" w:themeColor="text1"/>
          <w:sz w:val="24"/>
          <w:szCs w:val="24"/>
          <w:highlight w:val="white"/>
        </w:rPr>
        <w:t xml:space="preserve"> del </w:t>
      </w:r>
      <w:proofErr w:type="spellStart"/>
      <w:r w:rsidRPr="00A31721">
        <w:rPr>
          <w:rFonts w:ascii="Times New Roman" w:eastAsia="Times New Roman" w:hAnsi="Times New Roman" w:cs="Times New Roman"/>
          <w:color w:val="000000" w:themeColor="text1"/>
          <w:sz w:val="24"/>
          <w:szCs w:val="24"/>
          <w:highlight w:val="white"/>
        </w:rPr>
        <w:t>duero</w:t>
      </w:r>
      <w:proofErr w:type="spellEnd"/>
      <w:r w:rsidRPr="00A31721">
        <w:rPr>
          <w:rFonts w:ascii="Times New Roman" w:eastAsia="Times New Roman" w:hAnsi="Times New Roman" w:cs="Times New Roman"/>
          <w:color w:val="000000" w:themeColor="text1"/>
          <w:sz w:val="24"/>
          <w:szCs w:val="24"/>
          <w:highlight w:val="white"/>
        </w:rPr>
        <w:t xml:space="preserve"> wine context. </w:t>
      </w:r>
      <w:r w:rsidRPr="00A31721">
        <w:rPr>
          <w:rFonts w:ascii="Times New Roman" w:eastAsia="Times New Roman" w:hAnsi="Times New Roman" w:cs="Times New Roman"/>
          <w:i/>
          <w:color w:val="000000" w:themeColor="text1"/>
          <w:sz w:val="24"/>
          <w:szCs w:val="24"/>
          <w:highlight w:val="white"/>
        </w:rPr>
        <w:t>Agriculture</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12</w:t>
      </w:r>
      <w:r w:rsidRPr="00A31721">
        <w:rPr>
          <w:rFonts w:ascii="Times New Roman" w:eastAsia="Times New Roman" w:hAnsi="Times New Roman" w:cs="Times New Roman"/>
          <w:color w:val="000000" w:themeColor="text1"/>
          <w:sz w:val="24"/>
          <w:szCs w:val="24"/>
          <w:highlight w:val="white"/>
        </w:rPr>
        <w:t xml:space="preserve">(12), 2143. </w:t>
      </w:r>
      <w:r w:rsidR="008226DF" w:rsidRPr="00A31721">
        <w:rPr>
          <w:rFonts w:ascii="Times New Roman" w:eastAsia="Times New Roman" w:hAnsi="Times New Roman" w:cs="Times New Roman"/>
          <w:color w:val="000000" w:themeColor="text1"/>
          <w:sz w:val="24"/>
          <w:szCs w:val="24"/>
        </w:rPr>
        <w:t>https://</w:t>
      </w:r>
      <w:hyperlink r:id="rId39">
        <w:r w:rsidRPr="00A31721">
          <w:rPr>
            <w:rFonts w:ascii="Times New Roman" w:eastAsia="Times New Roman" w:hAnsi="Times New Roman" w:cs="Times New Roman"/>
            <w:color w:val="000000" w:themeColor="text1"/>
            <w:sz w:val="24"/>
            <w:szCs w:val="24"/>
            <w:highlight w:val="white"/>
            <w:u w:val="single"/>
          </w:rPr>
          <w:t>doi.org/10.3390/agriculture12122143</w:t>
        </w:r>
      </w:hyperlink>
    </w:p>
    <w:p w14:paraId="4EE837CC" w14:textId="78F7FF0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t xml:space="preserve">Gabzdylova, B., Raffensperger, J. F., &amp; </w:t>
      </w:r>
      <w:proofErr w:type="spellStart"/>
      <w:r w:rsidRPr="00A31721">
        <w:rPr>
          <w:rFonts w:ascii="Times New Roman" w:eastAsia="Times New Roman" w:hAnsi="Times New Roman" w:cs="Times New Roman"/>
          <w:color w:val="000000" w:themeColor="text1"/>
          <w:sz w:val="24"/>
          <w:szCs w:val="24"/>
          <w:highlight w:val="white"/>
        </w:rPr>
        <w:t>Castka</w:t>
      </w:r>
      <w:proofErr w:type="spellEnd"/>
      <w:r w:rsidRPr="00A31721">
        <w:rPr>
          <w:rFonts w:ascii="Times New Roman" w:eastAsia="Times New Roman" w:hAnsi="Times New Roman" w:cs="Times New Roman"/>
          <w:color w:val="000000" w:themeColor="text1"/>
          <w:sz w:val="24"/>
          <w:szCs w:val="24"/>
          <w:highlight w:val="white"/>
        </w:rPr>
        <w:t xml:space="preserve">, P. (2009). Sustainability in the New Zealand wine industry: drivers, stakeholders and practices.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17</w:t>
      </w:r>
      <w:r w:rsidRPr="00A31721">
        <w:rPr>
          <w:rFonts w:ascii="Times New Roman" w:eastAsia="Times New Roman" w:hAnsi="Times New Roman" w:cs="Times New Roman"/>
          <w:color w:val="000000" w:themeColor="text1"/>
          <w:sz w:val="24"/>
          <w:szCs w:val="24"/>
          <w:highlight w:val="white"/>
        </w:rPr>
        <w:t>(11), 992-998.</w:t>
      </w:r>
      <w:r w:rsidR="008226DF" w:rsidRPr="00A31721">
        <w:rPr>
          <w:rFonts w:ascii="Times New Roman" w:eastAsia="Times New Roman" w:hAnsi="Times New Roman" w:cs="Times New Roman"/>
          <w:color w:val="000000" w:themeColor="text1"/>
          <w:sz w:val="24"/>
          <w:szCs w:val="24"/>
        </w:rPr>
        <w:t xml:space="preserve"> https://</w:t>
      </w:r>
      <w:hyperlink r:id="rId40">
        <w:r w:rsidRPr="00A31721">
          <w:rPr>
            <w:rFonts w:ascii="Times New Roman" w:eastAsia="Times New Roman" w:hAnsi="Times New Roman" w:cs="Times New Roman"/>
            <w:color w:val="000000" w:themeColor="text1"/>
            <w:sz w:val="24"/>
            <w:szCs w:val="24"/>
            <w:u w:val="single"/>
          </w:rPr>
          <w:t>doi.org/10.1016/j.jclepro.2009.02.015</w:t>
        </w:r>
      </w:hyperlink>
    </w:p>
    <w:p w14:paraId="3DB16AFF" w14:textId="5A60824B" w:rsidR="00460AFB" w:rsidRPr="00A31721" w:rsidRDefault="00460AFB" w:rsidP="00460AFB">
      <w:pPr>
        <w:spacing w:after="0" w:line="240" w:lineRule="auto"/>
        <w:ind w:left="720" w:hanging="720"/>
        <w:contextualSpacing/>
        <w:rPr>
          <w:rFonts w:ascii="Times New Roman" w:eastAsia="Times New Roman" w:hAnsi="Times New Roman" w:cs="Times New Roman"/>
          <w:color w:val="000000" w:themeColor="text1"/>
          <w:sz w:val="24"/>
          <w:szCs w:val="24"/>
          <w:u w:val="single"/>
        </w:rPr>
      </w:pPr>
      <w:proofErr w:type="spellStart"/>
      <w:r w:rsidRPr="00A31721">
        <w:rPr>
          <w:rFonts w:ascii="Times New Roman" w:hAnsi="Times New Roman" w:cs="Times New Roman"/>
          <w:color w:val="000000" w:themeColor="text1"/>
          <w:sz w:val="24"/>
          <w:szCs w:val="24"/>
          <w:shd w:val="clear" w:color="auto" w:fill="FFFFFF"/>
        </w:rPr>
        <w:t>Gázquez</w:t>
      </w:r>
      <w:proofErr w:type="spellEnd"/>
      <w:r w:rsidRPr="00A31721">
        <w:rPr>
          <w:rFonts w:ascii="Times New Roman" w:hAnsi="Times New Roman" w:cs="Times New Roman"/>
          <w:color w:val="000000" w:themeColor="text1"/>
          <w:sz w:val="24"/>
          <w:szCs w:val="24"/>
          <w:shd w:val="clear" w:color="auto" w:fill="FFFFFF"/>
        </w:rPr>
        <w:t xml:space="preserve">-Abad, J. C., Huertas-García, R., Vázquez-Gómez, M. D., &amp; Casas Romeo, A. (2015). Drivers of sustainability strategies in Spain’s wine tourism industry. </w:t>
      </w:r>
      <w:r w:rsidRPr="00A31721">
        <w:rPr>
          <w:rFonts w:ascii="Times New Roman" w:hAnsi="Times New Roman" w:cs="Times New Roman"/>
          <w:i/>
          <w:iCs/>
          <w:color w:val="000000" w:themeColor="text1"/>
          <w:sz w:val="24"/>
          <w:szCs w:val="24"/>
          <w:shd w:val="clear" w:color="auto" w:fill="FFFFFF"/>
        </w:rPr>
        <w:t>Cornell Hospitality Quarterly</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56</w:t>
      </w:r>
      <w:r w:rsidRPr="00A31721">
        <w:rPr>
          <w:rFonts w:ascii="Times New Roman" w:hAnsi="Times New Roman" w:cs="Times New Roman"/>
          <w:color w:val="000000" w:themeColor="text1"/>
          <w:sz w:val="24"/>
          <w:szCs w:val="24"/>
          <w:shd w:val="clear" w:color="auto" w:fill="FFFFFF"/>
        </w:rPr>
        <w:t xml:space="preserve">(1), 106-117. </w:t>
      </w:r>
      <w:hyperlink r:id="rId41" w:history="1">
        <w:r w:rsidRPr="00A31721">
          <w:rPr>
            <w:rStyle w:val="Hyperlink"/>
            <w:rFonts w:ascii="Times New Roman" w:hAnsi="Times New Roman" w:cs="Times New Roman"/>
            <w:color w:val="000000" w:themeColor="text1"/>
            <w:sz w:val="24"/>
            <w:szCs w:val="24"/>
            <w:shd w:val="clear" w:color="auto" w:fill="FFFFFF"/>
          </w:rPr>
          <w:t>https://doi.org/10.1177/193896551454965</w:t>
        </w:r>
      </w:hyperlink>
    </w:p>
    <w:p w14:paraId="5A6282F7" w14:textId="77777777"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A31721">
        <w:rPr>
          <w:rFonts w:ascii="Times New Roman" w:hAnsi="Times New Roman" w:cs="Times New Roman"/>
          <w:color w:val="000000" w:themeColor="text1"/>
          <w:sz w:val="24"/>
          <w:szCs w:val="24"/>
          <w:shd w:val="clear" w:color="auto" w:fill="FFFFFF"/>
        </w:rPr>
        <w:lastRenderedPageBreak/>
        <w:t>Gerged</w:t>
      </w:r>
      <w:proofErr w:type="spellEnd"/>
      <w:r w:rsidRPr="00A31721">
        <w:rPr>
          <w:rFonts w:ascii="Times New Roman" w:hAnsi="Times New Roman" w:cs="Times New Roman"/>
          <w:color w:val="000000" w:themeColor="text1"/>
          <w:sz w:val="24"/>
          <w:szCs w:val="24"/>
          <w:shd w:val="clear" w:color="auto" w:fill="FFFFFF"/>
        </w:rPr>
        <w:t>, A. M., Zahoor, N., &amp; Cowton, C. J. (2024). Understanding the relationship between environmental management accounting and firm performance: The role of environmental innovation and stakeholder integration–Evidence from a developing country. </w:t>
      </w:r>
      <w:r w:rsidRPr="00A31721">
        <w:rPr>
          <w:rFonts w:ascii="Times New Roman" w:hAnsi="Times New Roman" w:cs="Times New Roman"/>
          <w:i/>
          <w:iCs/>
          <w:color w:val="000000" w:themeColor="text1"/>
          <w:sz w:val="24"/>
          <w:szCs w:val="24"/>
          <w:shd w:val="clear" w:color="auto" w:fill="FFFFFF"/>
        </w:rPr>
        <w:t>Management Accounting Research</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62</w:t>
      </w:r>
      <w:r w:rsidRPr="00A31721">
        <w:rPr>
          <w:rFonts w:ascii="Times New Roman" w:hAnsi="Times New Roman" w:cs="Times New Roman"/>
          <w:color w:val="000000" w:themeColor="text1"/>
          <w:sz w:val="24"/>
          <w:szCs w:val="24"/>
          <w:shd w:val="clear" w:color="auto" w:fill="FFFFFF"/>
        </w:rPr>
        <w:t>, 100865</w:t>
      </w:r>
      <w:r w:rsidRPr="00A31721">
        <w:rPr>
          <w:rFonts w:ascii="Arial" w:hAnsi="Arial" w:cs="Arial"/>
          <w:color w:val="000000" w:themeColor="text1"/>
          <w:sz w:val="20"/>
          <w:szCs w:val="20"/>
          <w:shd w:val="clear" w:color="auto" w:fill="FFFFFF"/>
        </w:rPr>
        <w:t>.</w:t>
      </w:r>
      <w:r w:rsidRPr="00A31721">
        <w:rPr>
          <w:color w:val="000000" w:themeColor="text1"/>
        </w:rPr>
        <w:t xml:space="preserve"> </w:t>
      </w:r>
      <w:hyperlink r:id="rId42" w:tgtFrame="_blank" w:tooltip="Link persistente usando identificador de objeto digital" w:history="1">
        <w:r w:rsidRPr="00A31721">
          <w:rPr>
            <w:rStyle w:val="anchor-text"/>
            <w:rFonts w:ascii="Times New Roman" w:hAnsi="Times New Roman" w:cs="Times New Roman"/>
            <w:color w:val="000000" w:themeColor="text1"/>
            <w:sz w:val="24"/>
            <w:szCs w:val="24"/>
          </w:rPr>
          <w:t>https://doi.org/10.1016/j.mar.2023.100865</w:t>
        </w:r>
      </w:hyperlink>
      <w:r w:rsidRPr="00A31721">
        <w:rPr>
          <w:rFonts w:ascii="Times New Roman" w:hAnsi="Times New Roman" w:cs="Times New Roman"/>
          <w:color w:val="000000" w:themeColor="text1"/>
          <w:sz w:val="24"/>
          <w:szCs w:val="24"/>
        </w:rPr>
        <w:t xml:space="preserve"> </w:t>
      </w:r>
      <w:r w:rsidRPr="00A31721">
        <w:rPr>
          <w:color w:val="000000" w:themeColor="text1"/>
        </w:rPr>
        <w:t xml:space="preserve"> </w:t>
      </w:r>
    </w:p>
    <w:p w14:paraId="10471EC4" w14:textId="77777777"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A31721">
        <w:rPr>
          <w:rFonts w:ascii="Times New Roman" w:hAnsi="Times New Roman" w:cs="Times New Roman"/>
          <w:color w:val="000000" w:themeColor="text1"/>
          <w:sz w:val="24"/>
          <w:szCs w:val="24"/>
          <w:shd w:val="clear" w:color="auto" w:fill="FFFFFF"/>
        </w:rPr>
        <w:t xml:space="preserve">Gond, J. P., </w:t>
      </w:r>
      <w:proofErr w:type="spellStart"/>
      <w:r w:rsidRPr="00A31721">
        <w:rPr>
          <w:rFonts w:ascii="Times New Roman" w:hAnsi="Times New Roman" w:cs="Times New Roman"/>
          <w:color w:val="000000" w:themeColor="text1"/>
          <w:sz w:val="24"/>
          <w:szCs w:val="24"/>
          <w:shd w:val="clear" w:color="auto" w:fill="FFFFFF"/>
        </w:rPr>
        <w:t>Grubnic</w:t>
      </w:r>
      <w:proofErr w:type="spellEnd"/>
      <w:r w:rsidRPr="00A31721">
        <w:rPr>
          <w:rFonts w:ascii="Times New Roman" w:hAnsi="Times New Roman" w:cs="Times New Roman"/>
          <w:color w:val="000000" w:themeColor="text1"/>
          <w:sz w:val="24"/>
          <w:szCs w:val="24"/>
          <w:shd w:val="clear" w:color="auto" w:fill="FFFFFF"/>
        </w:rPr>
        <w:t>, S., Herzig, C., &amp; Moon, J. (2012). Configuring management control systems: Theorizing the integration of strategy and sustainability. </w:t>
      </w:r>
      <w:r w:rsidRPr="00A31721">
        <w:rPr>
          <w:rFonts w:ascii="Times New Roman" w:hAnsi="Times New Roman" w:cs="Times New Roman"/>
          <w:i/>
          <w:iCs/>
          <w:color w:val="000000" w:themeColor="text1"/>
          <w:sz w:val="24"/>
          <w:szCs w:val="24"/>
          <w:shd w:val="clear" w:color="auto" w:fill="FFFFFF"/>
        </w:rPr>
        <w:t>Management accounting research</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23</w:t>
      </w:r>
      <w:r w:rsidRPr="00A31721">
        <w:rPr>
          <w:rFonts w:ascii="Times New Roman" w:hAnsi="Times New Roman" w:cs="Times New Roman"/>
          <w:color w:val="000000" w:themeColor="text1"/>
          <w:sz w:val="24"/>
          <w:szCs w:val="24"/>
          <w:shd w:val="clear" w:color="auto" w:fill="FFFFFF"/>
        </w:rPr>
        <w:t>(3), 205-223.</w:t>
      </w:r>
      <w:r w:rsidRPr="00A31721">
        <w:rPr>
          <w:rFonts w:ascii="Times New Roman" w:hAnsi="Times New Roman" w:cs="Times New Roman"/>
          <w:color w:val="000000" w:themeColor="text1"/>
          <w:sz w:val="24"/>
          <w:szCs w:val="24"/>
        </w:rPr>
        <w:t xml:space="preserve"> </w:t>
      </w:r>
      <w:hyperlink r:id="rId43" w:tgtFrame="_blank" w:tooltip="Persistent link using digital object identifier" w:history="1">
        <w:r w:rsidRPr="00A31721">
          <w:rPr>
            <w:rStyle w:val="anchor-text"/>
            <w:rFonts w:ascii="Times New Roman" w:hAnsi="Times New Roman" w:cs="Times New Roman"/>
            <w:color w:val="000000" w:themeColor="text1"/>
            <w:sz w:val="24"/>
            <w:szCs w:val="24"/>
          </w:rPr>
          <w:t>https://doi.org/10.1016/j.mar.2012.06.003</w:t>
        </w:r>
      </w:hyperlink>
    </w:p>
    <w:p w14:paraId="1374014C" w14:textId="48D372E8" w:rsidR="00460AFB" w:rsidRPr="00A31721" w:rsidRDefault="00460AFB" w:rsidP="00460AFB">
      <w:pPr>
        <w:spacing w:after="0" w:line="240" w:lineRule="auto"/>
        <w:ind w:left="720" w:hanging="720"/>
        <w:jc w:val="both"/>
        <w:rPr>
          <w:rStyle w:val="Hyperlink"/>
          <w:rFonts w:ascii="Times New Roman" w:hAnsi="Times New Roman" w:cs="Times New Roman"/>
          <w:color w:val="000000" w:themeColor="text1"/>
          <w:sz w:val="24"/>
          <w:szCs w:val="24"/>
          <w:shd w:val="clear" w:color="auto" w:fill="FFFFFF"/>
        </w:rPr>
      </w:pPr>
      <w:r w:rsidRPr="00A31721">
        <w:rPr>
          <w:rFonts w:ascii="Times New Roman" w:hAnsi="Times New Roman" w:cs="Times New Roman"/>
          <w:color w:val="000000" w:themeColor="text1"/>
          <w:sz w:val="24"/>
          <w:szCs w:val="24"/>
          <w:shd w:val="clear" w:color="auto" w:fill="FFFFFF"/>
        </w:rPr>
        <w:t>Gordon, L. A., &amp; Miller, D. (1976). A contingency framework for the design of accounting information systems.</w:t>
      </w:r>
      <w:r w:rsidR="009128E7"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Accounting, Organizations and Society</w:t>
      </w:r>
      <w:r w:rsidRPr="00A31721">
        <w:rPr>
          <w:rFonts w:ascii="Times New Roman" w:hAnsi="Times New Roman" w:cs="Times New Roman"/>
          <w:color w:val="000000" w:themeColor="text1"/>
          <w:sz w:val="24"/>
          <w:szCs w:val="24"/>
          <w:shd w:val="clear" w:color="auto" w:fill="FFFFFF"/>
        </w:rPr>
        <w:t>,</w:t>
      </w:r>
      <w:r w:rsidR="009128E7"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1</w:t>
      </w:r>
      <w:r w:rsidRPr="00A31721">
        <w:rPr>
          <w:rFonts w:ascii="Times New Roman" w:hAnsi="Times New Roman" w:cs="Times New Roman"/>
          <w:color w:val="000000" w:themeColor="text1"/>
          <w:sz w:val="24"/>
          <w:szCs w:val="24"/>
          <w:shd w:val="clear" w:color="auto" w:fill="FFFFFF"/>
        </w:rPr>
        <w:t xml:space="preserve">(1), 59-69. </w:t>
      </w:r>
      <w:hyperlink r:id="rId44" w:tgtFrame="_blank" w:tooltip="Persistent link using digital object identifier" w:history="1">
        <w:r w:rsidRPr="00A31721">
          <w:rPr>
            <w:rStyle w:val="Hyperlink"/>
            <w:rFonts w:ascii="Times New Roman" w:hAnsi="Times New Roman" w:cs="Times New Roman"/>
            <w:color w:val="000000" w:themeColor="text1"/>
            <w:sz w:val="24"/>
            <w:szCs w:val="24"/>
            <w:shd w:val="clear" w:color="auto" w:fill="FFFFFF"/>
          </w:rPr>
          <w:t>https://doi.org/10.1016/0361-3682(76)90007-6</w:t>
        </w:r>
      </w:hyperlink>
    </w:p>
    <w:p w14:paraId="64628E02" w14:textId="6B5C77EA"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u w:val="single"/>
        </w:rPr>
      </w:pPr>
      <w:r w:rsidRPr="00A31721">
        <w:rPr>
          <w:rFonts w:ascii="Times New Roman" w:eastAsia="Times New Roman" w:hAnsi="Times New Roman" w:cs="Times New Roman"/>
          <w:color w:val="000000" w:themeColor="text1"/>
          <w:sz w:val="24"/>
          <w:szCs w:val="24"/>
          <w:highlight w:val="white"/>
        </w:rPr>
        <w:t xml:space="preserve">Gunarathne, A. N., Lee, K. H., &amp; </w:t>
      </w:r>
      <w:proofErr w:type="spellStart"/>
      <w:r w:rsidRPr="00A31721">
        <w:rPr>
          <w:rFonts w:ascii="Times New Roman" w:eastAsia="Times New Roman" w:hAnsi="Times New Roman" w:cs="Times New Roman"/>
          <w:color w:val="000000" w:themeColor="text1"/>
          <w:sz w:val="24"/>
          <w:szCs w:val="24"/>
          <w:highlight w:val="white"/>
        </w:rPr>
        <w:t>Hitigala</w:t>
      </w:r>
      <w:proofErr w:type="spellEnd"/>
      <w:r w:rsidRPr="00A31721">
        <w:rPr>
          <w:rFonts w:ascii="Times New Roman" w:eastAsia="Times New Roman" w:hAnsi="Times New Roman" w:cs="Times New Roman"/>
          <w:color w:val="000000" w:themeColor="text1"/>
          <w:sz w:val="24"/>
          <w:szCs w:val="24"/>
          <w:highlight w:val="white"/>
        </w:rPr>
        <w:t xml:space="preserve"> </w:t>
      </w:r>
      <w:proofErr w:type="spellStart"/>
      <w:r w:rsidRPr="00A31721">
        <w:rPr>
          <w:rFonts w:ascii="Times New Roman" w:eastAsia="Times New Roman" w:hAnsi="Times New Roman" w:cs="Times New Roman"/>
          <w:color w:val="000000" w:themeColor="text1"/>
          <w:sz w:val="24"/>
          <w:szCs w:val="24"/>
          <w:highlight w:val="white"/>
        </w:rPr>
        <w:t>Kaluarachchilage</w:t>
      </w:r>
      <w:proofErr w:type="spellEnd"/>
      <w:r w:rsidRPr="00A31721">
        <w:rPr>
          <w:rFonts w:ascii="Times New Roman" w:eastAsia="Times New Roman" w:hAnsi="Times New Roman" w:cs="Times New Roman"/>
          <w:color w:val="000000" w:themeColor="text1"/>
          <w:sz w:val="24"/>
          <w:szCs w:val="24"/>
          <w:highlight w:val="white"/>
        </w:rPr>
        <w:t xml:space="preserve">, P. K. (2021). Institutional pressures, environmental management strategy, and organizational performance: The role of environmental management accounting. </w:t>
      </w:r>
      <w:r w:rsidRPr="00A31721">
        <w:rPr>
          <w:rFonts w:ascii="Times New Roman" w:eastAsia="Times New Roman" w:hAnsi="Times New Roman" w:cs="Times New Roman"/>
          <w:i/>
          <w:color w:val="000000" w:themeColor="text1"/>
          <w:sz w:val="24"/>
          <w:szCs w:val="24"/>
          <w:highlight w:val="white"/>
        </w:rPr>
        <w:t>Business Strategy and the Environment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30</w:t>
      </w:r>
      <w:r w:rsidRPr="00A31721">
        <w:rPr>
          <w:rFonts w:ascii="Times New Roman" w:eastAsia="Times New Roman" w:hAnsi="Times New Roman" w:cs="Times New Roman"/>
          <w:color w:val="000000" w:themeColor="text1"/>
          <w:sz w:val="24"/>
          <w:szCs w:val="24"/>
          <w:highlight w:val="white"/>
        </w:rPr>
        <w:t>(2), 825-839.</w:t>
      </w:r>
      <w:r w:rsidR="008226DF" w:rsidRPr="00A31721">
        <w:rPr>
          <w:rFonts w:ascii="Times New Roman" w:eastAsia="Times New Roman" w:hAnsi="Times New Roman" w:cs="Times New Roman"/>
          <w:color w:val="000000" w:themeColor="text1"/>
          <w:sz w:val="24"/>
          <w:szCs w:val="24"/>
        </w:rPr>
        <w:t xml:space="preserve"> https://</w:t>
      </w:r>
      <w:hyperlink r:id="rId45">
        <w:r w:rsidRPr="00A31721">
          <w:rPr>
            <w:rFonts w:ascii="Times New Roman" w:eastAsia="Times New Roman" w:hAnsi="Times New Roman" w:cs="Times New Roman"/>
            <w:color w:val="000000" w:themeColor="text1"/>
            <w:sz w:val="24"/>
            <w:szCs w:val="24"/>
            <w:highlight w:val="white"/>
            <w:u w:val="single"/>
          </w:rPr>
          <w:t>doi.org/10.1002/bse.2656</w:t>
        </w:r>
      </w:hyperlink>
    </w:p>
    <w:p w14:paraId="33EED4EB" w14:textId="25FF6BCA" w:rsidR="00460AFB" w:rsidRPr="00A31721" w:rsidRDefault="00460AFB" w:rsidP="00460AFB">
      <w:pPr>
        <w:spacing w:after="0" w:line="240" w:lineRule="auto"/>
        <w:ind w:left="720" w:hanging="720"/>
        <w:contextualSpacing/>
        <w:jc w:val="both"/>
        <w:rPr>
          <w:rFonts w:ascii="Times New Roman" w:hAnsi="Times New Roman" w:cs="Times New Roman"/>
          <w:color w:val="000000" w:themeColor="text1"/>
          <w:sz w:val="24"/>
          <w:szCs w:val="24"/>
          <w:shd w:val="clear" w:color="auto" w:fill="FFFFFF"/>
        </w:rPr>
      </w:pPr>
      <w:r w:rsidRPr="00A31721">
        <w:rPr>
          <w:rFonts w:ascii="Times New Roman" w:hAnsi="Times New Roman" w:cs="Times New Roman"/>
          <w:color w:val="000000" w:themeColor="text1"/>
          <w:sz w:val="24"/>
          <w:szCs w:val="24"/>
          <w:shd w:val="clear" w:color="auto" w:fill="FFFFFF"/>
        </w:rPr>
        <w:t>Gunarathne, N., &amp; Lee, K. H. (2021). Corporate cleaner production strategy development and environmental management accounting: A contingency theory perspective. </w:t>
      </w:r>
      <w:r w:rsidRPr="00A31721">
        <w:rPr>
          <w:rFonts w:ascii="Times New Roman" w:hAnsi="Times New Roman" w:cs="Times New Roman"/>
          <w:i/>
          <w:iCs/>
          <w:color w:val="000000" w:themeColor="text1"/>
          <w:sz w:val="24"/>
          <w:szCs w:val="24"/>
          <w:shd w:val="clear" w:color="auto" w:fill="FFFFFF"/>
        </w:rPr>
        <w:t>Journal of Cleaner Production</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308</w:t>
      </w:r>
      <w:r w:rsidRPr="00A31721">
        <w:rPr>
          <w:rFonts w:ascii="Times New Roman" w:hAnsi="Times New Roman" w:cs="Times New Roman"/>
          <w:color w:val="000000" w:themeColor="text1"/>
          <w:sz w:val="24"/>
          <w:szCs w:val="24"/>
          <w:shd w:val="clear" w:color="auto" w:fill="FFFFFF"/>
        </w:rPr>
        <w:t xml:space="preserve">, 127402. </w:t>
      </w:r>
      <w:r w:rsidR="00281FF6" w:rsidRPr="00A31721">
        <w:rPr>
          <w:rFonts w:ascii="Times New Roman" w:eastAsia="Times New Roman" w:hAnsi="Times New Roman" w:cs="Times New Roman"/>
          <w:color w:val="000000" w:themeColor="text1"/>
          <w:sz w:val="24"/>
          <w:szCs w:val="24"/>
        </w:rPr>
        <w:t>https://</w:t>
      </w:r>
      <w:hyperlink r:id="rId46" w:history="1">
        <w:r w:rsidRPr="00A31721">
          <w:rPr>
            <w:rStyle w:val="Hyperlink"/>
            <w:rFonts w:ascii="Times New Roman" w:hAnsi="Times New Roman" w:cs="Times New Roman"/>
            <w:color w:val="000000" w:themeColor="text1"/>
            <w:sz w:val="24"/>
            <w:szCs w:val="24"/>
          </w:rPr>
          <w:t>doi.org/10.1016/j.jclepro.2021.127402</w:t>
        </w:r>
      </w:hyperlink>
    </w:p>
    <w:p w14:paraId="6C6B0E50" w14:textId="36A95FF9"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Gunarathne, N., Lee, K. H., &amp; </w:t>
      </w:r>
      <w:proofErr w:type="spellStart"/>
      <w:r w:rsidRPr="00A31721">
        <w:rPr>
          <w:rFonts w:ascii="Times New Roman" w:eastAsia="Times New Roman" w:hAnsi="Times New Roman" w:cs="Times New Roman"/>
          <w:color w:val="000000" w:themeColor="text1"/>
          <w:sz w:val="24"/>
          <w:szCs w:val="24"/>
          <w:highlight w:val="white"/>
        </w:rPr>
        <w:t>Hitigala</w:t>
      </w:r>
      <w:proofErr w:type="spellEnd"/>
      <w:r w:rsidRPr="00A31721">
        <w:rPr>
          <w:rFonts w:ascii="Times New Roman" w:eastAsia="Times New Roman" w:hAnsi="Times New Roman" w:cs="Times New Roman"/>
          <w:color w:val="000000" w:themeColor="text1"/>
          <w:sz w:val="24"/>
          <w:szCs w:val="24"/>
          <w:highlight w:val="white"/>
        </w:rPr>
        <w:t xml:space="preserve"> </w:t>
      </w:r>
      <w:proofErr w:type="spellStart"/>
      <w:r w:rsidRPr="00A31721">
        <w:rPr>
          <w:rFonts w:ascii="Times New Roman" w:eastAsia="Times New Roman" w:hAnsi="Times New Roman" w:cs="Times New Roman"/>
          <w:color w:val="000000" w:themeColor="text1"/>
          <w:sz w:val="24"/>
          <w:szCs w:val="24"/>
          <w:highlight w:val="white"/>
        </w:rPr>
        <w:t>Kaluarachchilage</w:t>
      </w:r>
      <w:proofErr w:type="spellEnd"/>
      <w:r w:rsidRPr="00A31721">
        <w:rPr>
          <w:rFonts w:ascii="Times New Roman" w:eastAsia="Times New Roman" w:hAnsi="Times New Roman" w:cs="Times New Roman"/>
          <w:color w:val="000000" w:themeColor="text1"/>
          <w:sz w:val="24"/>
          <w:szCs w:val="24"/>
          <w:highlight w:val="white"/>
        </w:rPr>
        <w:t xml:space="preserve">, P. K. (2023). Tackling the integration challenge between environmental strategy and environmental management accounting. </w:t>
      </w:r>
      <w:r w:rsidRPr="00A31721">
        <w:rPr>
          <w:rFonts w:ascii="Times New Roman" w:eastAsia="Times New Roman" w:hAnsi="Times New Roman" w:cs="Times New Roman"/>
          <w:i/>
          <w:color w:val="000000" w:themeColor="text1"/>
          <w:sz w:val="24"/>
          <w:szCs w:val="24"/>
          <w:highlight w:val="white"/>
        </w:rPr>
        <w:t>Accounting, Auditing &amp; Accountability Journal</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36</w:t>
      </w:r>
      <w:r w:rsidRPr="00A31721">
        <w:rPr>
          <w:rFonts w:ascii="Times New Roman" w:eastAsia="Times New Roman" w:hAnsi="Times New Roman" w:cs="Times New Roman"/>
          <w:color w:val="000000" w:themeColor="text1"/>
          <w:sz w:val="24"/>
          <w:szCs w:val="24"/>
          <w:highlight w:val="white"/>
        </w:rPr>
        <w:t>(1), 63-95.</w:t>
      </w:r>
      <w:r w:rsidR="007F76C5" w:rsidRPr="00A31721">
        <w:rPr>
          <w:rFonts w:ascii="Times New Roman" w:eastAsia="Times New Roman" w:hAnsi="Times New Roman" w:cs="Times New Roman"/>
          <w:color w:val="000000" w:themeColor="text1"/>
          <w:sz w:val="24"/>
          <w:szCs w:val="24"/>
        </w:rPr>
        <w:t xml:space="preserve"> https://</w:t>
      </w:r>
      <w:hyperlink r:id="rId47">
        <w:r w:rsidRPr="00A31721">
          <w:rPr>
            <w:rFonts w:ascii="Times New Roman" w:eastAsia="Times New Roman" w:hAnsi="Times New Roman" w:cs="Times New Roman"/>
            <w:color w:val="000000" w:themeColor="text1"/>
            <w:sz w:val="24"/>
            <w:szCs w:val="24"/>
            <w:u w:val="single"/>
          </w:rPr>
          <w:t>doi.org/10.1108/AAAJ-03-2020-4452</w:t>
        </w:r>
      </w:hyperlink>
    </w:p>
    <w:p w14:paraId="6211162F" w14:textId="7777777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rPr>
        <w:t xml:space="preserve">Hair Jr, J. F., Hult, G. T. M., Ringle, C., &amp; Sarstedt, M. (2016). </w:t>
      </w:r>
      <w:r w:rsidRPr="00A31721">
        <w:rPr>
          <w:rFonts w:ascii="Times New Roman" w:eastAsia="Times New Roman" w:hAnsi="Times New Roman" w:cs="Times New Roman"/>
          <w:i/>
          <w:iCs/>
          <w:color w:val="000000" w:themeColor="text1"/>
          <w:sz w:val="24"/>
          <w:szCs w:val="24"/>
        </w:rPr>
        <w:t>A primer on partial least squares structural equation modeling (PLS-SEM).</w:t>
      </w:r>
      <w:r w:rsidRPr="00A31721">
        <w:rPr>
          <w:rFonts w:ascii="Times New Roman" w:eastAsia="Times New Roman" w:hAnsi="Times New Roman" w:cs="Times New Roman"/>
          <w:color w:val="000000" w:themeColor="text1"/>
          <w:sz w:val="24"/>
          <w:szCs w:val="24"/>
        </w:rPr>
        <w:t xml:space="preserve"> Sage publications. </w:t>
      </w:r>
    </w:p>
    <w:p w14:paraId="448D047B" w14:textId="491A8EE3"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Hofmann, K. H., </w:t>
      </w:r>
      <w:proofErr w:type="spellStart"/>
      <w:r w:rsidRPr="00A31721">
        <w:rPr>
          <w:rFonts w:ascii="Times New Roman" w:eastAsia="Times New Roman" w:hAnsi="Times New Roman" w:cs="Times New Roman"/>
          <w:color w:val="000000" w:themeColor="text1"/>
          <w:sz w:val="24"/>
          <w:szCs w:val="24"/>
          <w:highlight w:val="white"/>
        </w:rPr>
        <w:t>Theyel</w:t>
      </w:r>
      <w:proofErr w:type="spellEnd"/>
      <w:r w:rsidRPr="00A31721">
        <w:rPr>
          <w:rFonts w:ascii="Times New Roman" w:eastAsia="Times New Roman" w:hAnsi="Times New Roman" w:cs="Times New Roman"/>
          <w:color w:val="000000" w:themeColor="text1"/>
          <w:sz w:val="24"/>
          <w:szCs w:val="24"/>
          <w:highlight w:val="white"/>
        </w:rPr>
        <w:t xml:space="preserve">, G., &amp; Wood, C. H. (2012). Identifying firm capabilities as drivers of environmental management and sustainability practices–evidence from small and medium‐sized manufacturers. </w:t>
      </w:r>
      <w:r w:rsidRPr="00A31721">
        <w:rPr>
          <w:rFonts w:ascii="Times New Roman" w:eastAsia="Times New Roman" w:hAnsi="Times New Roman" w:cs="Times New Roman"/>
          <w:i/>
          <w:color w:val="000000" w:themeColor="text1"/>
          <w:sz w:val="24"/>
          <w:szCs w:val="24"/>
          <w:highlight w:val="white"/>
        </w:rPr>
        <w:t>Business Strategy and the Environment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21</w:t>
      </w:r>
      <w:r w:rsidRPr="00A31721">
        <w:rPr>
          <w:rFonts w:ascii="Times New Roman" w:eastAsia="Times New Roman" w:hAnsi="Times New Roman" w:cs="Times New Roman"/>
          <w:color w:val="000000" w:themeColor="text1"/>
          <w:sz w:val="24"/>
          <w:szCs w:val="24"/>
          <w:highlight w:val="white"/>
        </w:rPr>
        <w:t>(8), 530-545.</w:t>
      </w:r>
      <w:r w:rsidR="00037BBE" w:rsidRPr="00A31721">
        <w:rPr>
          <w:rFonts w:ascii="Times New Roman" w:eastAsia="Times New Roman" w:hAnsi="Times New Roman" w:cs="Times New Roman"/>
          <w:color w:val="000000" w:themeColor="text1"/>
          <w:sz w:val="24"/>
          <w:szCs w:val="24"/>
        </w:rPr>
        <w:t xml:space="preserve"> https://</w:t>
      </w:r>
      <w:hyperlink r:id="rId48">
        <w:r w:rsidRPr="00A31721">
          <w:rPr>
            <w:rFonts w:ascii="Times New Roman" w:eastAsia="Times New Roman" w:hAnsi="Times New Roman" w:cs="Times New Roman"/>
            <w:color w:val="000000" w:themeColor="text1"/>
            <w:sz w:val="24"/>
            <w:szCs w:val="24"/>
            <w:u w:val="single"/>
          </w:rPr>
          <w:t>doi.org/10.1002/bse.739</w:t>
        </w:r>
      </w:hyperlink>
    </w:p>
    <w:p w14:paraId="70F1C2BD" w14:textId="4BD32200"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t xml:space="preserve">Hsiao, P. C. K., de Villiers, C., Horner, C., &amp; Oosthuizen, H. (2022). A review and synthesis of contemporary sustainability accounting research and the development of a research agenda. </w:t>
      </w:r>
      <w:r w:rsidRPr="00A31721">
        <w:rPr>
          <w:rFonts w:ascii="Times New Roman" w:eastAsia="Times New Roman" w:hAnsi="Times New Roman" w:cs="Times New Roman"/>
          <w:i/>
          <w:color w:val="000000" w:themeColor="text1"/>
          <w:sz w:val="24"/>
          <w:szCs w:val="24"/>
          <w:highlight w:val="white"/>
        </w:rPr>
        <w:t>Accounting &amp; Finance</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62</w:t>
      </w:r>
      <w:r w:rsidRPr="00A31721">
        <w:rPr>
          <w:rFonts w:ascii="Times New Roman" w:eastAsia="Times New Roman" w:hAnsi="Times New Roman" w:cs="Times New Roman"/>
          <w:color w:val="000000" w:themeColor="text1"/>
          <w:sz w:val="24"/>
          <w:szCs w:val="24"/>
          <w:highlight w:val="white"/>
        </w:rPr>
        <w:t xml:space="preserve">(4), 4453-4483. </w:t>
      </w:r>
      <w:r w:rsidR="0094112E" w:rsidRPr="00A31721">
        <w:rPr>
          <w:rFonts w:ascii="Times New Roman" w:eastAsia="Times New Roman" w:hAnsi="Times New Roman" w:cs="Times New Roman"/>
          <w:color w:val="000000" w:themeColor="text1"/>
          <w:sz w:val="24"/>
          <w:szCs w:val="24"/>
        </w:rPr>
        <w:t>https://</w:t>
      </w:r>
      <w:hyperlink r:id="rId49">
        <w:r w:rsidRPr="00A31721">
          <w:rPr>
            <w:rFonts w:ascii="Times New Roman" w:eastAsia="Times New Roman" w:hAnsi="Times New Roman" w:cs="Times New Roman"/>
            <w:color w:val="000000" w:themeColor="text1"/>
            <w:sz w:val="24"/>
            <w:szCs w:val="24"/>
            <w:highlight w:val="white"/>
            <w:u w:val="single"/>
          </w:rPr>
          <w:t>doi.org/10.1111/acfi.12936</w:t>
        </w:r>
      </w:hyperlink>
    </w:p>
    <w:p w14:paraId="05C8C79F" w14:textId="523F1275" w:rsidR="00460AFB" w:rsidRPr="00A31721" w:rsidRDefault="00460AFB" w:rsidP="00460AFB">
      <w:pPr>
        <w:spacing w:after="0" w:line="240" w:lineRule="auto"/>
        <w:ind w:left="720" w:hanging="720"/>
        <w:contextualSpacing/>
        <w:rPr>
          <w:rFonts w:ascii="Times New Roman" w:eastAsia="Times New Roman" w:hAnsi="Times New Roman" w:cs="Times New Roman"/>
          <w:color w:val="000000" w:themeColor="text1"/>
          <w:sz w:val="24"/>
          <w:szCs w:val="24"/>
        </w:rPr>
      </w:pPr>
      <w:proofErr w:type="spellStart"/>
      <w:r w:rsidRPr="00A31721">
        <w:rPr>
          <w:rFonts w:ascii="Times New Roman" w:hAnsi="Times New Roman" w:cs="Times New Roman"/>
          <w:color w:val="000000" w:themeColor="text1"/>
          <w:sz w:val="24"/>
          <w:szCs w:val="24"/>
          <w:shd w:val="clear" w:color="auto" w:fill="FFFFFF"/>
        </w:rPr>
        <w:t>Hutahayan</w:t>
      </w:r>
      <w:proofErr w:type="spellEnd"/>
      <w:r w:rsidRPr="00A31721">
        <w:rPr>
          <w:rFonts w:ascii="Times New Roman" w:hAnsi="Times New Roman" w:cs="Times New Roman"/>
          <w:color w:val="000000" w:themeColor="text1"/>
          <w:sz w:val="24"/>
          <w:szCs w:val="24"/>
          <w:shd w:val="clear" w:color="auto" w:fill="FFFFFF"/>
        </w:rPr>
        <w:t xml:space="preserve">, B. (2020). The mediating role of human capital and management accounting information system in the relationship between innovation strategy and internal process performance and the impact on corporate financial performance. </w:t>
      </w:r>
      <w:r w:rsidRPr="00A31721">
        <w:rPr>
          <w:rFonts w:ascii="Times New Roman" w:hAnsi="Times New Roman" w:cs="Times New Roman"/>
          <w:i/>
          <w:iCs/>
          <w:color w:val="000000" w:themeColor="text1"/>
          <w:sz w:val="24"/>
          <w:szCs w:val="24"/>
          <w:shd w:val="clear" w:color="auto" w:fill="FFFFFF"/>
        </w:rPr>
        <w:t>Benchmarking: An International Journal</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27</w:t>
      </w:r>
      <w:r w:rsidRPr="00A31721">
        <w:rPr>
          <w:rFonts w:ascii="Times New Roman" w:hAnsi="Times New Roman" w:cs="Times New Roman"/>
          <w:color w:val="000000" w:themeColor="text1"/>
          <w:sz w:val="24"/>
          <w:szCs w:val="24"/>
          <w:shd w:val="clear" w:color="auto" w:fill="FFFFFF"/>
        </w:rPr>
        <w:t xml:space="preserve">(4), 1289-1318. </w:t>
      </w:r>
      <w:hyperlink r:id="rId50" w:history="1">
        <w:r w:rsidRPr="00A31721">
          <w:rPr>
            <w:rStyle w:val="Hyperlink"/>
            <w:rFonts w:ascii="Times New Roman" w:hAnsi="Times New Roman" w:cs="Times New Roman"/>
            <w:color w:val="000000" w:themeColor="text1"/>
            <w:sz w:val="24"/>
            <w:szCs w:val="24"/>
            <w:shd w:val="clear" w:color="auto" w:fill="FFFFFF"/>
          </w:rPr>
          <w:t>https://doi.org/10.1108/BIJ-02-2018-0034</w:t>
        </w:r>
      </w:hyperlink>
    </w:p>
    <w:p w14:paraId="029ED517" w14:textId="2685AF39"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Hyvönen, J. (2007). Strategy, performance measurement techniques and information technology of the firm and their links to organizational performance. </w:t>
      </w:r>
      <w:r w:rsidRPr="00A31721">
        <w:rPr>
          <w:rFonts w:ascii="Times New Roman" w:eastAsia="Times New Roman" w:hAnsi="Times New Roman" w:cs="Times New Roman"/>
          <w:i/>
          <w:color w:val="000000" w:themeColor="text1"/>
          <w:sz w:val="24"/>
          <w:szCs w:val="24"/>
          <w:highlight w:val="white"/>
        </w:rPr>
        <w:t>Management accounting research</w:t>
      </w:r>
      <w:r w:rsidRPr="00A31721">
        <w:rPr>
          <w:rFonts w:ascii="Times New Roman" w:eastAsia="Times New Roman" w:hAnsi="Times New Roman" w:cs="Times New Roman"/>
          <w:color w:val="000000" w:themeColor="text1"/>
          <w:sz w:val="24"/>
          <w:szCs w:val="24"/>
          <w:highlight w:val="white"/>
        </w:rPr>
        <w:t>, </w:t>
      </w:r>
      <w:r w:rsidRPr="00A31721">
        <w:rPr>
          <w:rFonts w:ascii="Times New Roman" w:eastAsia="Times New Roman" w:hAnsi="Times New Roman" w:cs="Times New Roman"/>
          <w:i/>
          <w:color w:val="000000" w:themeColor="text1"/>
          <w:sz w:val="24"/>
          <w:szCs w:val="24"/>
          <w:highlight w:val="white"/>
        </w:rPr>
        <w:t>18</w:t>
      </w:r>
      <w:r w:rsidRPr="00A31721">
        <w:rPr>
          <w:rFonts w:ascii="Times New Roman" w:eastAsia="Times New Roman" w:hAnsi="Times New Roman" w:cs="Times New Roman"/>
          <w:color w:val="000000" w:themeColor="text1"/>
          <w:sz w:val="24"/>
          <w:szCs w:val="24"/>
          <w:highlight w:val="white"/>
        </w:rPr>
        <w:t>(3), 343-366.</w:t>
      </w:r>
      <w:r w:rsidR="008D6306" w:rsidRPr="00A31721">
        <w:rPr>
          <w:rFonts w:ascii="Times New Roman" w:eastAsia="Times New Roman" w:hAnsi="Times New Roman" w:cs="Times New Roman"/>
          <w:color w:val="000000" w:themeColor="text1"/>
          <w:sz w:val="24"/>
          <w:szCs w:val="24"/>
        </w:rPr>
        <w:t xml:space="preserve"> https://</w:t>
      </w:r>
      <w:hyperlink r:id="rId51">
        <w:r w:rsidRPr="00A31721">
          <w:rPr>
            <w:rFonts w:ascii="Times New Roman" w:eastAsia="Times New Roman" w:hAnsi="Times New Roman" w:cs="Times New Roman"/>
            <w:color w:val="000000" w:themeColor="text1"/>
            <w:sz w:val="24"/>
            <w:szCs w:val="24"/>
            <w:highlight w:val="white"/>
            <w:u w:val="single"/>
          </w:rPr>
          <w:t>doi.org/10.1016/j.mar.2007.02.001</w:t>
        </w:r>
      </w:hyperlink>
    </w:p>
    <w:p w14:paraId="22617AEB" w14:textId="7777777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rPr>
        <w:t xml:space="preserve">International Organization for Grape and Wine (OIV). (2023). </w:t>
      </w:r>
      <w:hyperlink r:id="rId52">
        <w:r w:rsidRPr="00A31721">
          <w:rPr>
            <w:rFonts w:ascii="Times New Roman" w:eastAsia="Times New Roman" w:hAnsi="Times New Roman" w:cs="Times New Roman"/>
            <w:color w:val="000000" w:themeColor="text1"/>
            <w:sz w:val="24"/>
            <w:szCs w:val="24"/>
            <w:u w:val="single"/>
          </w:rPr>
          <w:t>https://www.oiv.int/</w:t>
        </w:r>
      </w:hyperlink>
    </w:p>
    <w:p w14:paraId="10B55F9E" w14:textId="210A0B7B" w:rsidR="00460AFB" w:rsidRPr="00A31721" w:rsidRDefault="00460AFB" w:rsidP="00D61CD5">
      <w:pPr>
        <w:spacing w:line="240" w:lineRule="auto"/>
        <w:ind w:left="709" w:hanging="709"/>
        <w:contextualSpacing/>
        <w:rPr>
          <w:rFonts w:ascii="Times New Roman" w:hAnsi="Times New Roman" w:cs="Times New Roman"/>
          <w:color w:val="000000" w:themeColor="text1"/>
          <w:sz w:val="24"/>
          <w:szCs w:val="24"/>
          <w:shd w:val="clear" w:color="auto" w:fill="FFFFFF"/>
        </w:rPr>
      </w:pPr>
      <w:r w:rsidRPr="00A31721">
        <w:rPr>
          <w:rFonts w:ascii="Times New Roman" w:hAnsi="Times New Roman" w:cs="Times New Roman"/>
          <w:color w:val="000000" w:themeColor="text1"/>
          <w:sz w:val="24"/>
          <w:szCs w:val="24"/>
          <w:shd w:val="clear" w:color="auto" w:fill="FFFFFF"/>
        </w:rPr>
        <w:t xml:space="preserve">Jasch, C. (2006). Environmental management accounting (EMA) </w:t>
      </w:r>
      <w:proofErr w:type="gramStart"/>
      <w:r w:rsidRPr="00A31721">
        <w:rPr>
          <w:rFonts w:ascii="Times New Roman" w:hAnsi="Times New Roman" w:cs="Times New Roman"/>
          <w:color w:val="000000" w:themeColor="text1"/>
          <w:sz w:val="24"/>
          <w:szCs w:val="24"/>
          <w:shd w:val="clear" w:color="auto" w:fill="FFFFFF"/>
        </w:rPr>
        <w:t>as</w:t>
      </w:r>
      <w:proofErr w:type="gramEnd"/>
      <w:r w:rsidRPr="00A31721">
        <w:rPr>
          <w:rFonts w:ascii="Times New Roman" w:hAnsi="Times New Roman" w:cs="Times New Roman"/>
          <w:color w:val="000000" w:themeColor="text1"/>
          <w:sz w:val="24"/>
          <w:szCs w:val="24"/>
          <w:shd w:val="clear" w:color="auto" w:fill="FFFFFF"/>
        </w:rPr>
        <w:t xml:space="preserve"> the next step in the evolution of management Accounting.</w:t>
      </w:r>
      <w:r w:rsidRPr="00A31721">
        <w:rPr>
          <w:rFonts w:ascii="Times New Roman" w:hAnsi="Times New Roman" w:cs="Times New Roman"/>
          <w:i/>
          <w:iCs/>
          <w:color w:val="000000" w:themeColor="text1"/>
          <w:sz w:val="24"/>
          <w:szCs w:val="24"/>
          <w:shd w:val="clear" w:color="auto" w:fill="FFFFFF"/>
        </w:rPr>
        <w:t xml:space="preserve"> </w:t>
      </w:r>
      <w:hyperlink r:id="rId53" w:tooltip="Go to Journal of Cleaner Production on ScienceDirect" w:history="1">
        <w:r w:rsidR="004A50B1" w:rsidRPr="00A31721">
          <w:rPr>
            <w:rFonts w:ascii="Times New Roman"/>
            <w:i/>
            <w:iCs/>
            <w:color w:val="000000" w:themeColor="text1"/>
            <w:sz w:val="24"/>
            <w:shd w:val="clear" w:color="auto" w:fill="FFFFFF"/>
          </w:rPr>
          <w:t>Journal of Cleaner Production</w:t>
        </w:r>
      </w:hyperlink>
      <w:r w:rsidR="00182B59" w:rsidRPr="00A31721">
        <w:rPr>
          <w:rFonts w:ascii="Times New Roman" w:hAnsi="Times New Roman" w:cs="Times New Roman"/>
          <w:i/>
          <w:iCs/>
          <w:color w:val="000000" w:themeColor="text1"/>
          <w:sz w:val="24"/>
          <w:szCs w:val="24"/>
          <w:shd w:val="clear" w:color="auto" w:fill="FFFFFF"/>
        </w:rPr>
        <w:t xml:space="preserve">, 14(14), 1190-1193. </w:t>
      </w:r>
      <w:r w:rsidRPr="00A31721">
        <w:rPr>
          <w:rFonts w:ascii="Times New Roman" w:hAnsi="Times New Roman" w:cs="Times New Roman"/>
          <w:color w:val="000000" w:themeColor="text1"/>
          <w:sz w:val="24"/>
          <w:szCs w:val="24"/>
        </w:rPr>
        <w:t xml:space="preserve"> </w:t>
      </w:r>
      <w:hyperlink r:id="rId54" w:history="1">
        <w:r w:rsidRPr="00A31721">
          <w:rPr>
            <w:rStyle w:val="Hyperlink"/>
            <w:rFonts w:ascii="Times New Roman" w:hAnsi="Times New Roman" w:cs="Times New Roman"/>
            <w:color w:val="000000" w:themeColor="text1"/>
            <w:sz w:val="24"/>
            <w:szCs w:val="24"/>
          </w:rPr>
          <w:t>https://doi.org/10.1016/j.jclepro.2005.08.006</w:t>
        </w:r>
      </w:hyperlink>
    </w:p>
    <w:p w14:paraId="1921FD81" w14:textId="3641C11F" w:rsidR="00460AFB" w:rsidRPr="00A31721" w:rsidRDefault="00460AFB" w:rsidP="00460AFB">
      <w:pPr>
        <w:spacing w:after="0" w:line="240" w:lineRule="auto"/>
        <w:ind w:left="720" w:hanging="720"/>
        <w:rPr>
          <w:rFonts w:ascii="Times New Roman" w:eastAsia="Times New Roman" w:hAnsi="Times New Roman" w:cs="Times New Roman"/>
          <w:color w:val="000000" w:themeColor="text1"/>
          <w:sz w:val="24"/>
          <w:szCs w:val="24"/>
          <w:highlight w:val="white"/>
        </w:rPr>
      </w:pPr>
      <w:r w:rsidRPr="00A31721">
        <w:rPr>
          <w:rFonts w:ascii="Times New Roman" w:hAnsi="Times New Roman" w:cs="Times New Roman"/>
          <w:color w:val="000000" w:themeColor="text1"/>
          <w:sz w:val="24"/>
          <w:szCs w:val="24"/>
          <w:shd w:val="clear" w:color="auto" w:fill="FFFFFF"/>
        </w:rPr>
        <w:t>Jun, X., Ai, J., Zheng, L., Lu, M., &amp; Wang, J. (2024). Impact of Information Technology and Industrial Development on Corporate ESG Practices: Evidence from a Pilot Program in China. </w:t>
      </w:r>
      <w:r w:rsidRPr="00A31721">
        <w:rPr>
          <w:rFonts w:ascii="Times New Roman" w:hAnsi="Times New Roman" w:cs="Times New Roman"/>
          <w:i/>
          <w:iCs/>
          <w:color w:val="000000" w:themeColor="text1"/>
          <w:sz w:val="24"/>
          <w:szCs w:val="24"/>
          <w:shd w:val="clear" w:color="auto" w:fill="FFFFFF"/>
        </w:rPr>
        <w:t>Economic Modelling</w:t>
      </w:r>
      <w:r w:rsidRPr="00A31721">
        <w:rPr>
          <w:rFonts w:ascii="Times New Roman" w:hAnsi="Times New Roman" w:cs="Times New Roman"/>
          <w:color w:val="000000" w:themeColor="text1"/>
          <w:sz w:val="24"/>
          <w:szCs w:val="24"/>
          <w:shd w:val="clear" w:color="auto" w:fill="FFFFFF"/>
        </w:rPr>
        <w:t xml:space="preserve">, </w:t>
      </w:r>
      <w:r w:rsidR="003046ED" w:rsidRPr="00A31721">
        <w:rPr>
          <w:rFonts w:ascii="Times New Roman" w:hAnsi="Times New Roman" w:cs="Times New Roman"/>
          <w:color w:val="000000" w:themeColor="text1"/>
          <w:sz w:val="24"/>
          <w:szCs w:val="24"/>
          <w:shd w:val="clear" w:color="auto" w:fill="FFFFFF"/>
        </w:rPr>
        <w:t xml:space="preserve">139, </w:t>
      </w:r>
      <w:r w:rsidRPr="00A31721">
        <w:rPr>
          <w:rFonts w:ascii="Times New Roman" w:hAnsi="Times New Roman" w:cs="Times New Roman"/>
          <w:color w:val="000000" w:themeColor="text1"/>
          <w:sz w:val="24"/>
          <w:szCs w:val="24"/>
          <w:shd w:val="clear" w:color="auto" w:fill="FFFFFF"/>
        </w:rPr>
        <w:t>106806.</w:t>
      </w:r>
      <w:r w:rsidR="003046ED" w:rsidRPr="00A31721">
        <w:rPr>
          <w:rFonts w:ascii="Times New Roman" w:eastAsia="Times New Roman" w:hAnsi="Times New Roman" w:cs="Times New Roman"/>
          <w:color w:val="000000" w:themeColor="text1"/>
          <w:sz w:val="24"/>
          <w:szCs w:val="24"/>
        </w:rPr>
        <w:t xml:space="preserve"> https://</w:t>
      </w:r>
      <w:hyperlink r:id="rId55" w:history="1">
        <w:r w:rsidRPr="00A31721">
          <w:rPr>
            <w:rStyle w:val="Hyperlink"/>
            <w:rFonts w:ascii="Times New Roman" w:hAnsi="Times New Roman" w:cs="Times New Roman"/>
            <w:color w:val="000000" w:themeColor="text1"/>
            <w:sz w:val="24"/>
            <w:szCs w:val="24"/>
          </w:rPr>
          <w:t>doi.org/10.1016/j.econmod.2024.106806</w:t>
        </w:r>
      </w:hyperlink>
      <w:r w:rsidRPr="00A31721">
        <w:rPr>
          <w:rFonts w:ascii="Times New Roman" w:hAnsi="Times New Roman" w:cs="Times New Roman"/>
          <w:color w:val="000000" w:themeColor="text1"/>
          <w:sz w:val="24"/>
          <w:szCs w:val="24"/>
        </w:rPr>
        <w:t xml:space="preserve">  </w:t>
      </w:r>
    </w:p>
    <w:p w14:paraId="4806EDD1" w14:textId="078EAA75"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lastRenderedPageBreak/>
        <w:t xml:space="preserve">Karagiannis, D., &amp; Metaxas, T. (2020). Sustainable wine tourism development: Case studies from the Greek region of Peloponnese. </w:t>
      </w:r>
      <w:r w:rsidRPr="00A31721">
        <w:rPr>
          <w:rFonts w:ascii="Times New Roman" w:eastAsia="Times New Roman" w:hAnsi="Times New Roman" w:cs="Times New Roman"/>
          <w:i/>
          <w:color w:val="000000" w:themeColor="text1"/>
          <w:sz w:val="24"/>
          <w:szCs w:val="24"/>
          <w:highlight w:val="white"/>
        </w:rPr>
        <w:t>Sustainability</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12</w:t>
      </w:r>
      <w:r w:rsidRPr="00A31721">
        <w:rPr>
          <w:rFonts w:ascii="Times New Roman" w:eastAsia="Times New Roman" w:hAnsi="Times New Roman" w:cs="Times New Roman"/>
          <w:color w:val="000000" w:themeColor="text1"/>
          <w:sz w:val="24"/>
          <w:szCs w:val="24"/>
          <w:highlight w:val="white"/>
        </w:rPr>
        <w:t xml:space="preserve">(12), 5223. </w:t>
      </w:r>
      <w:hyperlink r:id="rId56">
        <w:r w:rsidRPr="00A31721">
          <w:rPr>
            <w:rFonts w:ascii="Times New Roman" w:eastAsia="Times New Roman" w:hAnsi="Times New Roman" w:cs="Times New Roman"/>
            <w:color w:val="000000" w:themeColor="text1"/>
            <w:sz w:val="24"/>
            <w:szCs w:val="24"/>
            <w:highlight w:val="white"/>
            <w:u w:val="single"/>
          </w:rPr>
          <w:t>doi.org/10.3390/su12125223</w:t>
        </w:r>
      </w:hyperlink>
    </w:p>
    <w:p w14:paraId="6C407CFE" w14:textId="77777777" w:rsidR="000537D1" w:rsidRPr="00A31721" w:rsidRDefault="000537D1"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Khanh, T. H. T., Rajagopal, P., Tram, N. T. T., &amp; </w:t>
      </w:r>
      <w:proofErr w:type="spellStart"/>
      <w:r w:rsidRPr="00A31721">
        <w:rPr>
          <w:rFonts w:ascii="Times New Roman" w:eastAsia="Times New Roman" w:hAnsi="Times New Roman" w:cs="Times New Roman"/>
          <w:color w:val="000000" w:themeColor="text1"/>
          <w:sz w:val="24"/>
          <w:szCs w:val="24"/>
          <w:highlight w:val="white"/>
        </w:rPr>
        <w:t>Bardai</w:t>
      </w:r>
      <w:proofErr w:type="spellEnd"/>
      <w:r w:rsidRPr="00A31721">
        <w:rPr>
          <w:rFonts w:ascii="Times New Roman" w:eastAsia="Times New Roman" w:hAnsi="Times New Roman" w:cs="Times New Roman"/>
          <w:color w:val="000000" w:themeColor="text1"/>
          <w:sz w:val="24"/>
          <w:szCs w:val="24"/>
          <w:highlight w:val="white"/>
        </w:rPr>
        <w:t xml:space="preserve">, B. bin. (2024). Environmental strategy and environmental management accounting as contributors to environmental and financial performance: The case of manufacturing firms in Vietnam for the sustainable development goals (SDGs). </w:t>
      </w:r>
      <w:r w:rsidRPr="00A31721">
        <w:rPr>
          <w:rFonts w:ascii="Times New Roman" w:eastAsia="Times New Roman" w:hAnsi="Times New Roman" w:cs="Times New Roman"/>
          <w:i/>
          <w:iCs/>
          <w:color w:val="000000" w:themeColor="text1"/>
          <w:sz w:val="24"/>
          <w:szCs w:val="24"/>
          <w:highlight w:val="white"/>
        </w:rPr>
        <w:t xml:space="preserve">Journal of </w:t>
      </w:r>
      <w:proofErr w:type="spellStart"/>
      <w:r w:rsidRPr="00A31721">
        <w:rPr>
          <w:rFonts w:ascii="Times New Roman" w:eastAsia="Times New Roman" w:hAnsi="Times New Roman" w:cs="Times New Roman"/>
          <w:i/>
          <w:iCs/>
          <w:color w:val="000000" w:themeColor="text1"/>
          <w:sz w:val="24"/>
          <w:szCs w:val="24"/>
          <w:highlight w:val="white"/>
        </w:rPr>
        <w:t>Ecohumanism</w:t>
      </w:r>
      <w:proofErr w:type="spellEnd"/>
      <w:r w:rsidRPr="00A31721">
        <w:rPr>
          <w:rFonts w:ascii="Times New Roman" w:eastAsia="Times New Roman" w:hAnsi="Times New Roman" w:cs="Times New Roman"/>
          <w:i/>
          <w:iCs/>
          <w:color w:val="000000" w:themeColor="text1"/>
          <w:sz w:val="24"/>
          <w:szCs w:val="24"/>
          <w:highlight w:val="white"/>
        </w:rPr>
        <w:t>, 3</w:t>
      </w:r>
      <w:r w:rsidRPr="00A31721">
        <w:rPr>
          <w:rFonts w:ascii="Times New Roman" w:eastAsia="Times New Roman" w:hAnsi="Times New Roman" w:cs="Times New Roman"/>
          <w:color w:val="000000" w:themeColor="text1"/>
          <w:sz w:val="24"/>
          <w:szCs w:val="24"/>
          <w:highlight w:val="white"/>
        </w:rPr>
        <w:t xml:space="preserve">(8), 1518–1532. </w:t>
      </w:r>
      <w:hyperlink r:id="rId57" w:tgtFrame="_new" w:history="1">
        <w:r w:rsidRPr="00A31721">
          <w:rPr>
            <w:rStyle w:val="Hyperlink"/>
            <w:rFonts w:ascii="Times New Roman" w:eastAsia="Times New Roman" w:hAnsi="Times New Roman" w:cs="Times New Roman"/>
            <w:color w:val="000000" w:themeColor="text1"/>
            <w:sz w:val="24"/>
            <w:szCs w:val="24"/>
            <w:highlight w:val="white"/>
          </w:rPr>
          <w:t>https://doi.org/10.62754/joe.v3i8.4835</w:t>
        </w:r>
      </w:hyperlink>
      <w:r w:rsidRPr="00A31721">
        <w:rPr>
          <w:rFonts w:ascii="Times New Roman" w:eastAsia="Times New Roman" w:hAnsi="Times New Roman" w:cs="Times New Roman"/>
          <w:color w:val="000000" w:themeColor="text1"/>
          <w:sz w:val="24"/>
          <w:szCs w:val="24"/>
          <w:highlight w:val="white"/>
        </w:rPr>
        <w:t xml:space="preserve"> </w:t>
      </w:r>
    </w:p>
    <w:p w14:paraId="4CDE4E5B" w14:textId="41EAEADA"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Latan, H., Jabbour, C. J. C., de Sousa Jabbour, A. B. L., Wamba, S. F., &amp; Shahbaz, M. (2018). Effects of environmental strategy, environmental uncertainty and top management's commitment on corporate environmental performance: The role of environmental management accounting.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180</w:t>
      </w:r>
      <w:r w:rsidRPr="00A31721">
        <w:rPr>
          <w:rFonts w:ascii="Times New Roman" w:eastAsia="Times New Roman" w:hAnsi="Times New Roman" w:cs="Times New Roman"/>
          <w:color w:val="000000" w:themeColor="text1"/>
          <w:sz w:val="24"/>
          <w:szCs w:val="24"/>
          <w:highlight w:val="white"/>
        </w:rPr>
        <w:t xml:space="preserve">, 297-306. </w:t>
      </w:r>
      <w:r w:rsidR="00552082" w:rsidRPr="00A31721">
        <w:rPr>
          <w:rFonts w:ascii="Times New Roman" w:eastAsia="Times New Roman" w:hAnsi="Times New Roman" w:cs="Times New Roman"/>
          <w:color w:val="000000" w:themeColor="text1"/>
          <w:sz w:val="24"/>
          <w:szCs w:val="24"/>
        </w:rPr>
        <w:t>https://</w:t>
      </w:r>
      <w:hyperlink r:id="rId58">
        <w:r w:rsidRPr="00A31721">
          <w:rPr>
            <w:rFonts w:ascii="Times New Roman" w:eastAsia="Times New Roman" w:hAnsi="Times New Roman" w:cs="Times New Roman"/>
            <w:color w:val="000000" w:themeColor="text1"/>
            <w:sz w:val="24"/>
            <w:szCs w:val="24"/>
            <w:u w:val="single"/>
          </w:rPr>
          <w:t>doi.org/10.1016/j.jclepro.2018.01.106</w:t>
        </w:r>
      </w:hyperlink>
      <w:r w:rsidRPr="00A31721">
        <w:rPr>
          <w:rFonts w:ascii="Times New Roman" w:eastAsia="Times New Roman" w:hAnsi="Times New Roman" w:cs="Times New Roman"/>
          <w:color w:val="000000" w:themeColor="text1"/>
          <w:sz w:val="24"/>
          <w:szCs w:val="24"/>
        </w:rPr>
        <w:t xml:space="preserve"> </w:t>
      </w:r>
    </w:p>
    <w:p w14:paraId="0770D453" w14:textId="31E0D4B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highlight w:val="white"/>
        </w:rPr>
        <w:t xml:space="preserve">Maas, K., </w:t>
      </w:r>
      <w:proofErr w:type="spellStart"/>
      <w:r w:rsidRPr="00A31721">
        <w:rPr>
          <w:rFonts w:ascii="Times New Roman" w:eastAsia="Times New Roman" w:hAnsi="Times New Roman" w:cs="Times New Roman"/>
          <w:color w:val="000000" w:themeColor="text1"/>
          <w:sz w:val="24"/>
          <w:szCs w:val="24"/>
          <w:highlight w:val="white"/>
        </w:rPr>
        <w:t>Schaltegger</w:t>
      </w:r>
      <w:proofErr w:type="spellEnd"/>
      <w:r w:rsidRPr="00A31721">
        <w:rPr>
          <w:rFonts w:ascii="Times New Roman" w:eastAsia="Times New Roman" w:hAnsi="Times New Roman" w:cs="Times New Roman"/>
          <w:color w:val="000000" w:themeColor="text1"/>
          <w:sz w:val="24"/>
          <w:szCs w:val="24"/>
          <w:highlight w:val="white"/>
        </w:rPr>
        <w:t xml:space="preserve">, S., &amp; </w:t>
      </w:r>
      <w:proofErr w:type="spellStart"/>
      <w:r w:rsidRPr="00A31721">
        <w:rPr>
          <w:rFonts w:ascii="Times New Roman" w:eastAsia="Times New Roman" w:hAnsi="Times New Roman" w:cs="Times New Roman"/>
          <w:color w:val="000000" w:themeColor="text1"/>
          <w:sz w:val="24"/>
          <w:szCs w:val="24"/>
          <w:highlight w:val="white"/>
        </w:rPr>
        <w:t>Crutzen</w:t>
      </w:r>
      <w:proofErr w:type="spellEnd"/>
      <w:r w:rsidRPr="00A31721">
        <w:rPr>
          <w:rFonts w:ascii="Times New Roman" w:eastAsia="Times New Roman" w:hAnsi="Times New Roman" w:cs="Times New Roman"/>
          <w:color w:val="000000" w:themeColor="text1"/>
          <w:sz w:val="24"/>
          <w:szCs w:val="24"/>
          <w:highlight w:val="white"/>
        </w:rPr>
        <w:t xml:space="preserve">, N. (2016). Integrating corporate sustainability assessment, management accounting, control, and reporting.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136</w:t>
      </w:r>
      <w:r w:rsidRPr="00A31721">
        <w:rPr>
          <w:rFonts w:ascii="Times New Roman" w:eastAsia="Times New Roman" w:hAnsi="Times New Roman" w:cs="Times New Roman"/>
          <w:color w:val="000000" w:themeColor="text1"/>
          <w:sz w:val="24"/>
          <w:szCs w:val="24"/>
          <w:highlight w:val="white"/>
        </w:rPr>
        <w:t>, 237-248.</w:t>
      </w:r>
      <w:r w:rsidR="00552082" w:rsidRPr="00A31721">
        <w:rPr>
          <w:rFonts w:ascii="Times New Roman" w:eastAsia="Times New Roman" w:hAnsi="Times New Roman" w:cs="Times New Roman"/>
          <w:color w:val="000000" w:themeColor="text1"/>
          <w:sz w:val="24"/>
          <w:szCs w:val="24"/>
        </w:rPr>
        <w:t xml:space="preserve"> https://</w:t>
      </w:r>
      <w:hyperlink r:id="rId59">
        <w:r w:rsidRPr="00A31721">
          <w:rPr>
            <w:rFonts w:ascii="Times New Roman" w:eastAsia="Times New Roman" w:hAnsi="Times New Roman" w:cs="Times New Roman"/>
            <w:color w:val="000000" w:themeColor="text1"/>
            <w:sz w:val="24"/>
            <w:szCs w:val="24"/>
            <w:u w:val="single"/>
          </w:rPr>
          <w:t>doi.org/10.1016/j.jclepro.2016.05.008</w:t>
        </w:r>
      </w:hyperlink>
    </w:p>
    <w:p w14:paraId="0E8E30C6" w14:textId="31E9DC7A"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r w:rsidRPr="00D10295">
        <w:rPr>
          <w:rFonts w:ascii="Times New Roman" w:eastAsia="Times New Roman" w:hAnsi="Times New Roman" w:cs="Times New Roman"/>
          <w:color w:val="000000" w:themeColor="text1"/>
          <w:sz w:val="24"/>
          <w:szCs w:val="24"/>
          <w:highlight w:val="white"/>
          <w:lang w:val="it-IT"/>
        </w:rPr>
        <w:t xml:space="preserve">Maletič, M., Maletič, D., &amp; Gomišček, B. (2018). </w:t>
      </w:r>
      <w:r w:rsidRPr="00A31721">
        <w:rPr>
          <w:rFonts w:ascii="Times New Roman" w:eastAsia="Times New Roman" w:hAnsi="Times New Roman" w:cs="Times New Roman"/>
          <w:color w:val="000000" w:themeColor="text1"/>
          <w:sz w:val="24"/>
          <w:szCs w:val="24"/>
          <w:highlight w:val="white"/>
        </w:rPr>
        <w:t xml:space="preserve">The role of contingency factors </w:t>
      </w:r>
      <w:proofErr w:type="gramStart"/>
      <w:r w:rsidRPr="00A31721">
        <w:rPr>
          <w:rFonts w:ascii="Times New Roman" w:eastAsia="Times New Roman" w:hAnsi="Times New Roman" w:cs="Times New Roman"/>
          <w:color w:val="000000" w:themeColor="text1"/>
          <w:sz w:val="24"/>
          <w:szCs w:val="24"/>
          <w:highlight w:val="white"/>
        </w:rPr>
        <w:t>on</w:t>
      </w:r>
      <w:proofErr w:type="gramEnd"/>
      <w:r w:rsidRPr="00A31721">
        <w:rPr>
          <w:rFonts w:ascii="Times New Roman" w:eastAsia="Times New Roman" w:hAnsi="Times New Roman" w:cs="Times New Roman"/>
          <w:color w:val="000000" w:themeColor="text1"/>
          <w:sz w:val="24"/>
          <w:szCs w:val="24"/>
          <w:highlight w:val="white"/>
        </w:rPr>
        <w:t xml:space="preserve"> the relationship between sustainability practices and organizational performance.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171</w:t>
      </w:r>
      <w:r w:rsidRPr="00A31721">
        <w:rPr>
          <w:rFonts w:ascii="Times New Roman" w:eastAsia="Times New Roman" w:hAnsi="Times New Roman" w:cs="Times New Roman"/>
          <w:color w:val="000000" w:themeColor="text1"/>
          <w:sz w:val="24"/>
          <w:szCs w:val="24"/>
          <w:highlight w:val="white"/>
        </w:rPr>
        <w:t xml:space="preserve">, 423-433. </w:t>
      </w:r>
      <w:r w:rsidR="00552082" w:rsidRPr="00A31721">
        <w:rPr>
          <w:rFonts w:ascii="Times New Roman" w:eastAsia="Times New Roman" w:hAnsi="Times New Roman" w:cs="Times New Roman"/>
          <w:color w:val="000000" w:themeColor="text1"/>
          <w:sz w:val="24"/>
          <w:szCs w:val="24"/>
        </w:rPr>
        <w:t>https://</w:t>
      </w:r>
      <w:hyperlink r:id="rId60">
        <w:r w:rsidRPr="00A31721">
          <w:rPr>
            <w:rFonts w:ascii="Times New Roman" w:eastAsia="Times New Roman" w:hAnsi="Times New Roman" w:cs="Times New Roman"/>
            <w:color w:val="000000" w:themeColor="text1"/>
            <w:sz w:val="24"/>
            <w:szCs w:val="24"/>
            <w:u w:val="single"/>
          </w:rPr>
          <w:t>doi.org/10.1016/j.jclepro.2017.09.172</w:t>
        </w:r>
      </w:hyperlink>
      <w:r w:rsidRPr="00A31721">
        <w:rPr>
          <w:rFonts w:ascii="Times New Roman" w:eastAsia="Times New Roman" w:hAnsi="Times New Roman" w:cs="Times New Roman"/>
          <w:color w:val="000000" w:themeColor="text1"/>
          <w:sz w:val="24"/>
          <w:szCs w:val="24"/>
          <w:highlight w:val="white"/>
        </w:rPr>
        <w:t xml:space="preserve"> </w:t>
      </w:r>
    </w:p>
    <w:p w14:paraId="7FF1CD61" w14:textId="3D7333EE"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Marco-Fondevila, M., Moneva, J. </w:t>
      </w:r>
      <w:r w:rsidR="00A80D32" w:rsidRPr="00A31721">
        <w:rPr>
          <w:rFonts w:ascii="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Llena-</w:t>
      </w:r>
      <w:proofErr w:type="spellStart"/>
      <w:r w:rsidRPr="00A31721">
        <w:rPr>
          <w:rFonts w:ascii="Times New Roman" w:hAnsi="Times New Roman" w:cs="Times New Roman"/>
          <w:color w:val="000000" w:themeColor="text1"/>
          <w:sz w:val="24"/>
          <w:szCs w:val="24"/>
        </w:rPr>
        <w:t>Macarulla</w:t>
      </w:r>
      <w:proofErr w:type="spellEnd"/>
      <w:r w:rsidRPr="00A31721">
        <w:rPr>
          <w:rFonts w:ascii="Times New Roman" w:hAnsi="Times New Roman" w:cs="Times New Roman"/>
          <w:color w:val="000000" w:themeColor="text1"/>
          <w:sz w:val="24"/>
          <w:szCs w:val="24"/>
        </w:rPr>
        <w:t xml:space="preserve">, F. (2020), "Accounting for carbon gluing flows in the wine production process. Case study in a Spanish winery", </w:t>
      </w:r>
      <w:r w:rsidRPr="00A31721">
        <w:rPr>
          <w:rFonts w:ascii="Times New Roman" w:hAnsi="Times New Roman" w:cs="Times New Roman"/>
          <w:i/>
          <w:iCs/>
          <w:color w:val="000000" w:themeColor="text1"/>
          <w:sz w:val="24"/>
          <w:szCs w:val="24"/>
        </w:rPr>
        <w:t>Applied Sciences</w:t>
      </w:r>
      <w:r w:rsidRPr="00A31721">
        <w:rPr>
          <w:rFonts w:ascii="Times New Roman" w:hAnsi="Times New Roman" w:cs="Times New Roman"/>
          <w:color w:val="000000" w:themeColor="text1"/>
          <w:sz w:val="24"/>
          <w:szCs w:val="24"/>
        </w:rPr>
        <w:t>, 10</w:t>
      </w:r>
      <w:r w:rsidR="00BA6695"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23</w:t>
      </w:r>
      <w:r w:rsidR="00BA6695"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 xml:space="preserve">, 8381, </w:t>
      </w:r>
      <w:hyperlink r:id="rId61" w:history="1">
        <w:r w:rsidRPr="00A31721">
          <w:rPr>
            <w:rStyle w:val="Hyperlink"/>
            <w:rFonts w:ascii="Times New Roman" w:hAnsi="Times New Roman" w:cs="Times New Roman"/>
            <w:bCs/>
            <w:color w:val="000000" w:themeColor="text1"/>
            <w:sz w:val="24"/>
            <w:szCs w:val="24"/>
            <w:shd w:val="clear" w:color="auto" w:fill="FFFFFF"/>
          </w:rPr>
          <w:t>https://doi.org/10.3390/app10238381</w:t>
        </w:r>
      </w:hyperlink>
      <w:r w:rsidRPr="00A31721">
        <w:rPr>
          <w:rFonts w:ascii="Times New Roman" w:hAnsi="Times New Roman" w:cs="Times New Roman"/>
          <w:color w:val="000000" w:themeColor="text1"/>
          <w:sz w:val="24"/>
          <w:szCs w:val="24"/>
        </w:rPr>
        <w:t xml:space="preserve"> </w:t>
      </w:r>
      <w:r w:rsidRPr="00A31721">
        <w:rPr>
          <w:color w:val="000000" w:themeColor="text1"/>
        </w:rPr>
        <w:t xml:space="preserve"> </w:t>
      </w:r>
    </w:p>
    <w:p w14:paraId="7A60FDF1" w14:textId="39F7CF0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Marco-Lajara, B., Zaragoza-Sáez, P. C., Martínez-Falcó, J., &amp; Sánchez-García, E. (2023). Does green intellectual capital affect green innovation performance? Evidence from the Spanish wine industry. </w:t>
      </w:r>
      <w:r w:rsidRPr="00A31721">
        <w:rPr>
          <w:rFonts w:ascii="Times New Roman" w:eastAsia="Times New Roman" w:hAnsi="Times New Roman" w:cs="Times New Roman"/>
          <w:i/>
          <w:color w:val="000000" w:themeColor="text1"/>
          <w:sz w:val="24"/>
          <w:szCs w:val="24"/>
          <w:highlight w:val="white"/>
        </w:rPr>
        <w:t>British Food Journal</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125</w:t>
      </w:r>
      <w:r w:rsidRPr="00A31721">
        <w:rPr>
          <w:rFonts w:ascii="Times New Roman" w:eastAsia="Times New Roman" w:hAnsi="Times New Roman" w:cs="Times New Roman"/>
          <w:color w:val="000000" w:themeColor="text1"/>
          <w:sz w:val="24"/>
          <w:szCs w:val="24"/>
          <w:highlight w:val="white"/>
        </w:rPr>
        <w:t xml:space="preserve">(4), 1469-1487. </w:t>
      </w:r>
      <w:r w:rsidR="00086CD0" w:rsidRPr="00A31721">
        <w:rPr>
          <w:rFonts w:ascii="Times New Roman" w:eastAsia="Times New Roman" w:hAnsi="Times New Roman" w:cs="Times New Roman"/>
          <w:color w:val="000000" w:themeColor="text1"/>
          <w:sz w:val="24"/>
          <w:szCs w:val="24"/>
        </w:rPr>
        <w:t>https://</w:t>
      </w:r>
      <w:hyperlink r:id="rId62">
        <w:r w:rsidRPr="00A31721">
          <w:rPr>
            <w:rFonts w:ascii="Times New Roman" w:eastAsia="Times New Roman" w:hAnsi="Times New Roman" w:cs="Times New Roman"/>
            <w:color w:val="000000" w:themeColor="text1"/>
            <w:sz w:val="24"/>
            <w:szCs w:val="24"/>
            <w:u w:val="single"/>
          </w:rPr>
          <w:t>doi.org/10.1108/BFJ-03-2022-0298</w:t>
        </w:r>
      </w:hyperlink>
    </w:p>
    <w:p w14:paraId="75FB028E" w14:textId="77777777" w:rsidR="00460AFB" w:rsidRPr="00A31721" w:rsidRDefault="00460AFB" w:rsidP="00460AFB">
      <w:pPr>
        <w:shd w:val="clear" w:color="auto" w:fill="FFFFFF" w:themeFill="background1"/>
        <w:spacing w:after="0" w:line="240" w:lineRule="auto"/>
        <w:ind w:left="720" w:hanging="720"/>
        <w:jc w:val="both"/>
        <w:rPr>
          <w:rFonts w:ascii="Times New Roman" w:eastAsia="Times New Roman" w:hAnsi="Times New Roman" w:cs="Times New Roman"/>
          <w:strike/>
          <w:color w:val="000000" w:themeColor="text1"/>
          <w:sz w:val="24"/>
          <w:szCs w:val="24"/>
          <w:u w:val="single"/>
        </w:rPr>
      </w:pPr>
      <w:r w:rsidRPr="00A31721">
        <w:rPr>
          <w:rFonts w:ascii="Times New Roman" w:hAnsi="Times New Roman" w:cs="Times New Roman"/>
          <w:color w:val="000000" w:themeColor="text1"/>
          <w:sz w:val="24"/>
          <w:szCs w:val="24"/>
          <w:shd w:val="clear" w:color="auto" w:fill="FFFFFF"/>
        </w:rPr>
        <w:t>Morioka, S. N., &amp; de Carvalho, M. M. (2016). A systematic literature review towards a conceptual framework for integrating sustainability performance into business. </w:t>
      </w:r>
      <w:r w:rsidRPr="00A31721">
        <w:rPr>
          <w:rFonts w:ascii="Times New Roman" w:hAnsi="Times New Roman" w:cs="Times New Roman"/>
          <w:i/>
          <w:iCs/>
          <w:color w:val="000000" w:themeColor="text1"/>
          <w:sz w:val="24"/>
          <w:szCs w:val="24"/>
          <w:shd w:val="clear" w:color="auto" w:fill="FFFFFF"/>
        </w:rPr>
        <w:t>Journal of cleaner production</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136</w:t>
      </w:r>
      <w:r w:rsidRPr="00A31721">
        <w:rPr>
          <w:rFonts w:ascii="Times New Roman" w:hAnsi="Times New Roman" w:cs="Times New Roman"/>
          <w:color w:val="000000" w:themeColor="text1"/>
          <w:sz w:val="24"/>
          <w:szCs w:val="24"/>
          <w:shd w:val="clear" w:color="auto" w:fill="FFFFFF"/>
        </w:rPr>
        <w:t>, 134-146.</w:t>
      </w:r>
      <w:r w:rsidRPr="00A31721">
        <w:rPr>
          <w:rFonts w:ascii="Times New Roman" w:hAnsi="Times New Roman" w:cs="Times New Roman"/>
          <w:color w:val="000000" w:themeColor="text1"/>
          <w:sz w:val="24"/>
          <w:szCs w:val="24"/>
        </w:rPr>
        <w:t xml:space="preserve"> </w:t>
      </w:r>
      <w:hyperlink r:id="rId63" w:tgtFrame="_blank" w:tooltip="Persistent link using digital object identifier" w:history="1">
        <w:r w:rsidRPr="00A31721">
          <w:rPr>
            <w:rStyle w:val="anchor-text"/>
            <w:rFonts w:ascii="Times New Roman" w:hAnsi="Times New Roman" w:cs="Times New Roman"/>
            <w:color w:val="000000" w:themeColor="text1"/>
            <w:sz w:val="24"/>
            <w:szCs w:val="24"/>
          </w:rPr>
          <w:t>https://doi.org/10.1016/j.jclepro.2016.01.104</w:t>
        </w:r>
      </w:hyperlink>
      <w:r w:rsidRPr="00A31721">
        <w:rPr>
          <w:rFonts w:ascii="Times New Roman" w:hAnsi="Times New Roman" w:cs="Times New Roman"/>
          <w:color w:val="000000" w:themeColor="text1"/>
          <w:sz w:val="24"/>
          <w:szCs w:val="24"/>
        </w:rPr>
        <w:t xml:space="preserve"> </w:t>
      </w:r>
    </w:p>
    <w:p w14:paraId="399DF31A" w14:textId="735FBF2A"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Martínez-Falcó, J., Sánchez-García, E., Marco-Lajara, B. </w:t>
      </w:r>
      <w:r w:rsidR="00E51E35" w:rsidRPr="00A31721">
        <w:rPr>
          <w:rFonts w:ascii="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Zaragoza-Sáez, P. (2025), Green intellectual capital and sustainable competitive advantage: unraveling role of environmental management accounting and green entrepreneurship orientation</w:t>
      </w:r>
      <w:r w:rsidR="001B4C7E"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i/>
          <w:iCs/>
          <w:color w:val="000000" w:themeColor="text1"/>
          <w:sz w:val="24"/>
          <w:szCs w:val="24"/>
        </w:rPr>
        <w:t>Journal of Intellectual Capital</w:t>
      </w:r>
      <w:r w:rsidRPr="00A31721">
        <w:rPr>
          <w:rFonts w:ascii="Times New Roman" w:hAnsi="Times New Roman" w:cs="Times New Roman"/>
          <w:color w:val="000000" w:themeColor="text1"/>
          <w:sz w:val="24"/>
          <w:szCs w:val="24"/>
        </w:rPr>
        <w:t>,26</w:t>
      </w:r>
      <w:r w:rsidR="001B4C7E"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1</w:t>
      </w:r>
      <w:r w:rsidR="001B4C7E" w:rsidRPr="00A31721">
        <w:rPr>
          <w:rFonts w:ascii="Times New Roman" w:hAnsi="Times New Roman" w:cs="Times New Roman"/>
          <w:color w:val="000000" w:themeColor="text1"/>
          <w:sz w:val="24"/>
          <w:szCs w:val="24"/>
        </w:rPr>
        <w:t>)</w:t>
      </w:r>
      <w:r w:rsidRPr="00A31721">
        <w:rPr>
          <w:rFonts w:ascii="Times New Roman" w:hAnsi="Times New Roman" w:cs="Times New Roman"/>
          <w:color w:val="000000" w:themeColor="text1"/>
          <w:sz w:val="24"/>
          <w:szCs w:val="24"/>
        </w:rPr>
        <w:t xml:space="preserve">,104-129. </w:t>
      </w:r>
      <w:hyperlink r:id="rId64" w:history="1">
        <w:r w:rsidR="00E8432B" w:rsidRPr="00A31721">
          <w:rPr>
            <w:rStyle w:val="Hyperlink"/>
            <w:rFonts w:ascii="Times New Roman" w:hAnsi="Times New Roman" w:cs="Times New Roman"/>
            <w:color w:val="000000" w:themeColor="text1"/>
            <w:sz w:val="24"/>
            <w:szCs w:val="24"/>
          </w:rPr>
          <w:t>https://doi.org/10.1108/JIC-07-2024-0204</w:t>
        </w:r>
      </w:hyperlink>
      <w:r w:rsidR="00E8432B" w:rsidRPr="00A31721">
        <w:rPr>
          <w:rFonts w:ascii="Times New Roman" w:hAnsi="Times New Roman" w:cs="Times New Roman"/>
          <w:color w:val="000000" w:themeColor="text1"/>
          <w:sz w:val="24"/>
          <w:szCs w:val="24"/>
        </w:rPr>
        <w:t xml:space="preserve"> </w:t>
      </w:r>
    </w:p>
    <w:p w14:paraId="7B840D79" w14:textId="2399A545"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lang w:val="it-IT"/>
        </w:rPr>
      </w:pPr>
      <w:r w:rsidRPr="00D10295">
        <w:rPr>
          <w:rFonts w:ascii="Times New Roman" w:eastAsia="Times New Roman" w:hAnsi="Times New Roman" w:cs="Times New Roman"/>
          <w:color w:val="000000" w:themeColor="text1"/>
          <w:sz w:val="24"/>
          <w:szCs w:val="24"/>
          <w:highlight w:val="white"/>
          <w:lang w:val="it-IT"/>
        </w:rPr>
        <w:t xml:space="preserve">Martínez-Falcó, J., Sánchez-García, E., Millan-Tudela, L. A., &amp; Marco-Lajara, B. (2023). </w:t>
      </w:r>
      <w:r w:rsidRPr="00A31721">
        <w:rPr>
          <w:rFonts w:ascii="Times New Roman" w:eastAsia="Times New Roman" w:hAnsi="Times New Roman" w:cs="Times New Roman"/>
          <w:color w:val="000000" w:themeColor="text1"/>
          <w:sz w:val="24"/>
          <w:szCs w:val="24"/>
          <w:highlight w:val="white"/>
        </w:rPr>
        <w:t xml:space="preserve">The role of green agriculture and green supply chain management in the green intellectual capital–Sustainable performance relationship: A structural equation modeling analysis applied to the Spanish wine industry. </w:t>
      </w:r>
      <w:r w:rsidRPr="00A31721">
        <w:rPr>
          <w:rFonts w:ascii="Times New Roman" w:eastAsia="Times New Roman" w:hAnsi="Times New Roman" w:cs="Times New Roman"/>
          <w:i/>
          <w:color w:val="000000" w:themeColor="text1"/>
          <w:sz w:val="24"/>
          <w:szCs w:val="24"/>
          <w:highlight w:val="white"/>
          <w:lang w:val="it-IT"/>
        </w:rPr>
        <w:t>Agriculture</w:t>
      </w:r>
      <w:r w:rsidRPr="00A31721">
        <w:rPr>
          <w:rFonts w:ascii="Times New Roman" w:eastAsia="Times New Roman" w:hAnsi="Times New Roman" w:cs="Times New Roman"/>
          <w:color w:val="000000" w:themeColor="text1"/>
          <w:sz w:val="24"/>
          <w:szCs w:val="24"/>
          <w:highlight w:val="white"/>
          <w:lang w:val="it-IT"/>
        </w:rPr>
        <w:t xml:space="preserve">, </w:t>
      </w:r>
      <w:r w:rsidRPr="00A31721">
        <w:rPr>
          <w:rFonts w:ascii="Times New Roman" w:eastAsia="Times New Roman" w:hAnsi="Times New Roman" w:cs="Times New Roman"/>
          <w:i/>
          <w:color w:val="000000" w:themeColor="text1"/>
          <w:sz w:val="24"/>
          <w:szCs w:val="24"/>
          <w:highlight w:val="white"/>
          <w:lang w:val="it-IT"/>
        </w:rPr>
        <w:t>13</w:t>
      </w:r>
      <w:r w:rsidRPr="00A31721">
        <w:rPr>
          <w:rFonts w:ascii="Times New Roman" w:eastAsia="Times New Roman" w:hAnsi="Times New Roman" w:cs="Times New Roman"/>
          <w:color w:val="000000" w:themeColor="text1"/>
          <w:sz w:val="24"/>
          <w:szCs w:val="24"/>
          <w:highlight w:val="white"/>
          <w:lang w:val="it-IT"/>
        </w:rPr>
        <w:t xml:space="preserve">(2), 425. </w:t>
      </w:r>
      <w:r w:rsidR="00086CD0" w:rsidRPr="00A31721">
        <w:rPr>
          <w:rFonts w:ascii="Times New Roman" w:eastAsia="Times New Roman" w:hAnsi="Times New Roman" w:cs="Times New Roman"/>
          <w:color w:val="000000" w:themeColor="text1"/>
          <w:sz w:val="24"/>
          <w:szCs w:val="24"/>
          <w:lang w:val="it-IT"/>
        </w:rPr>
        <w:t>https://</w:t>
      </w:r>
      <w:r w:rsidRPr="00A31721">
        <w:rPr>
          <w:color w:val="000000" w:themeColor="text1"/>
        </w:rPr>
        <w:fldChar w:fldCharType="begin"/>
      </w:r>
      <w:r w:rsidRPr="00A31721">
        <w:rPr>
          <w:color w:val="000000" w:themeColor="text1"/>
          <w:lang w:val="it-IT"/>
        </w:rPr>
        <w:instrText>HYPERLINK "https://doi.org/10.3390/agriculture13020425" \h</w:instrText>
      </w:r>
      <w:r w:rsidRPr="00A31721">
        <w:rPr>
          <w:color w:val="000000" w:themeColor="text1"/>
        </w:rPr>
      </w:r>
      <w:r w:rsidRPr="00A31721">
        <w:rPr>
          <w:color w:val="000000" w:themeColor="text1"/>
        </w:rPr>
        <w:fldChar w:fldCharType="separate"/>
      </w:r>
      <w:r w:rsidRPr="00A31721">
        <w:rPr>
          <w:rFonts w:ascii="Times New Roman" w:eastAsia="Times New Roman" w:hAnsi="Times New Roman" w:cs="Times New Roman"/>
          <w:color w:val="000000" w:themeColor="text1"/>
          <w:sz w:val="24"/>
          <w:szCs w:val="24"/>
          <w:highlight w:val="white"/>
          <w:u w:val="single"/>
          <w:lang w:val="it-IT"/>
        </w:rPr>
        <w:t>doi.org/10.3390/agriculture13020425</w:t>
      </w:r>
      <w:r w:rsidRPr="00A31721">
        <w:rPr>
          <w:color w:val="000000" w:themeColor="text1"/>
        </w:rPr>
        <w:fldChar w:fldCharType="end"/>
      </w:r>
    </w:p>
    <w:p w14:paraId="1405E3C7" w14:textId="0414AE71" w:rsidR="00460AFB" w:rsidRPr="00A31721" w:rsidRDefault="00460AFB" w:rsidP="00460AFB">
      <w:pPr>
        <w:spacing w:after="0" w:line="240" w:lineRule="auto"/>
        <w:ind w:left="720" w:hanging="720"/>
        <w:contextualSpacing/>
        <w:rPr>
          <w:rFonts w:ascii="Times New Roman" w:eastAsia="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lang w:val="it-IT"/>
        </w:rPr>
        <w:t xml:space="preserve">Marshall, R. S., Cordano, M., &amp; Silverman, M. (2005). </w:t>
      </w:r>
      <w:r w:rsidRPr="00A31721">
        <w:rPr>
          <w:rFonts w:ascii="Times New Roman" w:hAnsi="Times New Roman" w:cs="Times New Roman"/>
          <w:color w:val="000000" w:themeColor="text1"/>
          <w:sz w:val="24"/>
          <w:szCs w:val="24"/>
          <w:shd w:val="clear" w:color="auto" w:fill="FFFFFF"/>
        </w:rPr>
        <w:t xml:space="preserve">Exploring individual and institutional drivers of proactive environmentalism in the US wine industry. </w:t>
      </w:r>
      <w:r w:rsidRPr="00A31721">
        <w:rPr>
          <w:rFonts w:ascii="Times New Roman" w:hAnsi="Times New Roman" w:cs="Times New Roman"/>
          <w:i/>
          <w:iCs/>
          <w:color w:val="000000" w:themeColor="text1"/>
          <w:sz w:val="24"/>
          <w:szCs w:val="24"/>
          <w:shd w:val="clear" w:color="auto" w:fill="FFFFFF"/>
        </w:rPr>
        <w:t>Business Strategy and the Environment</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14</w:t>
      </w:r>
      <w:r w:rsidRPr="00A31721">
        <w:rPr>
          <w:rFonts w:ascii="Times New Roman" w:hAnsi="Times New Roman" w:cs="Times New Roman"/>
          <w:color w:val="000000" w:themeColor="text1"/>
          <w:sz w:val="24"/>
          <w:szCs w:val="24"/>
          <w:shd w:val="clear" w:color="auto" w:fill="FFFFFF"/>
        </w:rPr>
        <w:t xml:space="preserve">(2), 92-109. </w:t>
      </w:r>
      <w:hyperlink r:id="rId65" w:history="1">
        <w:r w:rsidRPr="00A31721">
          <w:rPr>
            <w:rStyle w:val="Hyperlink"/>
            <w:rFonts w:ascii="Times New Roman" w:hAnsi="Times New Roman" w:cs="Times New Roman"/>
            <w:bCs/>
            <w:color w:val="000000" w:themeColor="text1"/>
            <w:sz w:val="24"/>
            <w:szCs w:val="24"/>
            <w:shd w:val="clear" w:color="auto" w:fill="FFFFFF"/>
          </w:rPr>
          <w:t>https://doi.org/10.1002/bse.433</w:t>
        </w:r>
      </w:hyperlink>
      <w:r w:rsidRPr="00A31721">
        <w:rPr>
          <w:rStyle w:val="Hyperlink"/>
          <w:rFonts w:ascii="Times New Roman" w:hAnsi="Times New Roman" w:cs="Times New Roman"/>
          <w:bCs/>
          <w:color w:val="000000" w:themeColor="text1"/>
          <w:sz w:val="24"/>
          <w:szCs w:val="24"/>
          <w:shd w:val="clear" w:color="auto" w:fill="FFFFFF"/>
        </w:rPr>
        <w:t xml:space="preserve"> </w:t>
      </w:r>
    </w:p>
    <w:p w14:paraId="3B79363C" w14:textId="77777777" w:rsidR="00460AFB" w:rsidRPr="00A31721" w:rsidRDefault="00460AFB" w:rsidP="00460AFB">
      <w:pPr>
        <w:spacing w:after="0" w:line="240" w:lineRule="auto"/>
        <w:ind w:left="720" w:hanging="720"/>
        <w:jc w:val="both"/>
        <w:rPr>
          <w:color w:val="000000" w:themeColor="text1"/>
          <w:lang w:val="pt-BR"/>
        </w:rPr>
      </w:pPr>
      <w:r w:rsidRPr="00D10295">
        <w:rPr>
          <w:rFonts w:ascii="Times New Roman" w:eastAsia="Times New Roman" w:hAnsi="Times New Roman" w:cs="Times New Roman"/>
          <w:color w:val="000000" w:themeColor="text1"/>
          <w:sz w:val="24"/>
          <w:szCs w:val="24"/>
          <w:highlight w:val="white"/>
          <w:lang w:val="it-IT"/>
        </w:rPr>
        <w:t xml:space="preserve">Mello, L. M. R., &amp; Machado, C. A. E. (2021). </w:t>
      </w:r>
      <w:r w:rsidRPr="00A31721">
        <w:rPr>
          <w:rFonts w:ascii="Times New Roman" w:eastAsia="Times New Roman" w:hAnsi="Times New Roman" w:cs="Times New Roman"/>
          <w:i/>
          <w:color w:val="000000" w:themeColor="text1"/>
          <w:sz w:val="24"/>
          <w:szCs w:val="24"/>
          <w:highlight w:val="white"/>
          <w:lang w:val="pt-BR"/>
        </w:rPr>
        <w:t>Comunicado Técnico 223</w:t>
      </w:r>
      <w:r w:rsidRPr="00A31721">
        <w:rPr>
          <w:rFonts w:ascii="Times New Roman" w:eastAsia="Times New Roman" w:hAnsi="Times New Roman" w:cs="Times New Roman"/>
          <w:color w:val="000000" w:themeColor="text1"/>
          <w:sz w:val="24"/>
          <w:szCs w:val="24"/>
          <w:highlight w:val="white"/>
          <w:lang w:val="pt-BR"/>
        </w:rPr>
        <w:t xml:space="preserve">. Embrapa. </w:t>
      </w:r>
      <w:hyperlink r:id="rId66">
        <w:r w:rsidRPr="00A31721">
          <w:rPr>
            <w:rFonts w:ascii="Times New Roman" w:eastAsia="Times New Roman" w:hAnsi="Times New Roman" w:cs="Times New Roman"/>
            <w:color w:val="000000" w:themeColor="text1"/>
            <w:sz w:val="24"/>
            <w:szCs w:val="24"/>
            <w:highlight w:val="white"/>
            <w:u w:val="single"/>
            <w:lang w:val="pt-BR"/>
          </w:rPr>
          <w:t>https://ainfo.cnptia.embrapa.br/digital/bitstream/item/227610/1/ComTec-223-21.pdf</w:t>
        </w:r>
      </w:hyperlink>
    </w:p>
    <w:p w14:paraId="3B0115A8" w14:textId="4F63CCD0" w:rsidR="00B04D9F" w:rsidRPr="00A31721" w:rsidRDefault="0053641A"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lang w:val="pt-BR"/>
        </w:rPr>
        <w:t xml:space="preserve">Monteiro, J., Malagueño, R., &amp; Lunkes, R. J. (2025, April). </w:t>
      </w:r>
      <w:r w:rsidRPr="00A31721">
        <w:rPr>
          <w:rFonts w:ascii="Times New Roman" w:eastAsia="Times New Roman" w:hAnsi="Times New Roman" w:cs="Times New Roman"/>
          <w:color w:val="000000" w:themeColor="text1"/>
          <w:sz w:val="24"/>
          <w:szCs w:val="24"/>
        </w:rPr>
        <w:t xml:space="preserve">Eco-control and sustainability strategy: How </w:t>
      </w:r>
      <w:proofErr w:type="spellStart"/>
      <w:proofErr w:type="gramStart"/>
      <w:r w:rsidRPr="00A31721">
        <w:rPr>
          <w:rFonts w:ascii="Times New Roman" w:eastAsia="Times New Roman" w:hAnsi="Times New Roman" w:cs="Times New Roman"/>
          <w:color w:val="000000" w:themeColor="text1"/>
          <w:sz w:val="24"/>
          <w:szCs w:val="24"/>
        </w:rPr>
        <w:t>organisations</w:t>
      </w:r>
      <w:proofErr w:type="spellEnd"/>
      <w:proofErr w:type="gramEnd"/>
      <w:r w:rsidRPr="00A31721">
        <w:rPr>
          <w:rFonts w:ascii="Times New Roman" w:eastAsia="Times New Roman" w:hAnsi="Times New Roman" w:cs="Times New Roman"/>
          <w:color w:val="000000" w:themeColor="text1"/>
          <w:sz w:val="24"/>
          <w:szCs w:val="24"/>
        </w:rPr>
        <w:t xml:space="preserve"> juxtapose tensions to enhance sustainability </w:t>
      </w:r>
      <w:proofErr w:type="gramStart"/>
      <w:r w:rsidRPr="00A31721">
        <w:rPr>
          <w:rFonts w:ascii="Times New Roman" w:eastAsia="Times New Roman" w:hAnsi="Times New Roman" w:cs="Times New Roman"/>
          <w:color w:val="000000" w:themeColor="text1"/>
          <w:sz w:val="24"/>
          <w:szCs w:val="24"/>
        </w:rPr>
        <w:t>performance?.</w:t>
      </w:r>
      <w:proofErr w:type="gramEnd"/>
      <w:r w:rsidRPr="00A31721">
        <w:rPr>
          <w:rFonts w:ascii="Times New Roman" w:eastAsia="Times New Roman" w:hAnsi="Times New Roman" w:cs="Times New Roman"/>
          <w:color w:val="000000" w:themeColor="text1"/>
          <w:sz w:val="24"/>
          <w:szCs w:val="24"/>
        </w:rPr>
        <w:t xml:space="preserve"> In </w:t>
      </w:r>
      <w:r w:rsidRPr="00A31721">
        <w:rPr>
          <w:rFonts w:ascii="Times New Roman" w:eastAsia="Times New Roman" w:hAnsi="Times New Roman" w:cs="Times New Roman"/>
          <w:i/>
          <w:iCs/>
          <w:color w:val="000000" w:themeColor="text1"/>
          <w:sz w:val="24"/>
          <w:szCs w:val="24"/>
        </w:rPr>
        <w:t>Accounting Forum</w:t>
      </w:r>
      <w:r w:rsidRPr="00A31721">
        <w:rPr>
          <w:rFonts w:ascii="Times New Roman" w:eastAsia="Times New Roman" w:hAnsi="Times New Roman" w:cs="Times New Roman"/>
          <w:color w:val="000000" w:themeColor="text1"/>
          <w:sz w:val="24"/>
          <w:szCs w:val="24"/>
        </w:rPr>
        <w:t xml:space="preserve"> (pp. 1-24). </w:t>
      </w:r>
      <w:hyperlink r:id="rId67" w:history="1">
        <w:r w:rsidR="00B241B0" w:rsidRPr="00A31721">
          <w:rPr>
            <w:rStyle w:val="Hyperlink"/>
            <w:rFonts w:ascii="Times New Roman" w:eastAsia="Times New Roman" w:hAnsi="Times New Roman" w:cs="Times New Roman"/>
            <w:color w:val="000000" w:themeColor="text1"/>
            <w:sz w:val="24"/>
            <w:szCs w:val="24"/>
          </w:rPr>
          <w:t>https://doi.org/10.1080/01559982.2025.2489239</w:t>
        </w:r>
      </w:hyperlink>
      <w:r w:rsidR="00B241B0" w:rsidRPr="00A31721">
        <w:rPr>
          <w:rFonts w:ascii="Times New Roman" w:eastAsia="Times New Roman" w:hAnsi="Times New Roman" w:cs="Times New Roman"/>
          <w:color w:val="000000" w:themeColor="text1"/>
          <w:sz w:val="24"/>
          <w:szCs w:val="24"/>
        </w:rPr>
        <w:t xml:space="preserve"> </w:t>
      </w:r>
    </w:p>
    <w:p w14:paraId="34226680" w14:textId="1EE18D5A"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lastRenderedPageBreak/>
        <w:t xml:space="preserve">Nave, A., Laurett, R., &amp; do </w:t>
      </w:r>
      <w:proofErr w:type="spellStart"/>
      <w:r w:rsidRPr="00A31721">
        <w:rPr>
          <w:rFonts w:ascii="Times New Roman" w:eastAsia="Times New Roman" w:hAnsi="Times New Roman" w:cs="Times New Roman"/>
          <w:color w:val="000000" w:themeColor="text1"/>
          <w:sz w:val="24"/>
          <w:szCs w:val="24"/>
          <w:highlight w:val="white"/>
        </w:rPr>
        <w:t>Paço</w:t>
      </w:r>
      <w:proofErr w:type="spellEnd"/>
      <w:r w:rsidRPr="00A31721">
        <w:rPr>
          <w:rFonts w:ascii="Times New Roman" w:eastAsia="Times New Roman" w:hAnsi="Times New Roman" w:cs="Times New Roman"/>
          <w:color w:val="000000" w:themeColor="text1"/>
          <w:sz w:val="24"/>
          <w:szCs w:val="24"/>
          <w:highlight w:val="white"/>
        </w:rPr>
        <w:t xml:space="preserve">, A. (2021). Relation between antecedents, barriers and consequences of sustainable practices in the wine tourism sector. </w:t>
      </w:r>
      <w:r w:rsidRPr="00A31721">
        <w:rPr>
          <w:rFonts w:ascii="Times New Roman" w:eastAsia="Times New Roman" w:hAnsi="Times New Roman" w:cs="Times New Roman"/>
          <w:i/>
          <w:color w:val="000000" w:themeColor="text1"/>
          <w:sz w:val="24"/>
          <w:szCs w:val="24"/>
          <w:highlight w:val="white"/>
        </w:rPr>
        <w:t>Journal of Destination Marketing &amp; Management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20</w:t>
      </w:r>
      <w:r w:rsidRPr="00A31721">
        <w:rPr>
          <w:rFonts w:ascii="Times New Roman" w:eastAsia="Times New Roman" w:hAnsi="Times New Roman" w:cs="Times New Roman"/>
          <w:color w:val="000000" w:themeColor="text1"/>
          <w:sz w:val="24"/>
          <w:szCs w:val="24"/>
          <w:highlight w:val="white"/>
        </w:rPr>
        <w:t xml:space="preserve">, 100584. </w:t>
      </w:r>
      <w:r w:rsidR="0005555F" w:rsidRPr="00A31721">
        <w:rPr>
          <w:rFonts w:ascii="Times New Roman" w:hAnsi="Times New Roman" w:cs="Times New Roman"/>
          <w:color w:val="000000" w:themeColor="text1"/>
          <w:sz w:val="24"/>
          <w:szCs w:val="24"/>
        </w:rPr>
        <w:t>https://</w:t>
      </w:r>
      <w:hyperlink r:id="rId68">
        <w:r w:rsidRPr="00A31721">
          <w:rPr>
            <w:rFonts w:ascii="Times New Roman" w:eastAsia="Times New Roman" w:hAnsi="Times New Roman" w:cs="Times New Roman"/>
            <w:color w:val="000000" w:themeColor="text1"/>
            <w:sz w:val="24"/>
            <w:szCs w:val="24"/>
            <w:u w:val="single"/>
          </w:rPr>
          <w:t>doi.org/10.1016/j.jdmm.2021.100584</w:t>
        </w:r>
      </w:hyperlink>
    </w:p>
    <w:p w14:paraId="26C31A03" w14:textId="0DBCF86F" w:rsidR="00460AFB" w:rsidRPr="00A31721" w:rsidRDefault="00460AFB" w:rsidP="00460AFB">
      <w:pPr>
        <w:spacing w:after="0" w:line="240" w:lineRule="auto"/>
        <w:ind w:left="720" w:hanging="720"/>
        <w:contextualSpacing/>
        <w:rPr>
          <w:rStyle w:val="Hyperlink"/>
          <w:rFonts w:ascii="Times New Roman" w:hAnsi="Times New Roman" w:cs="Times New Roman"/>
          <w:color w:val="000000" w:themeColor="text1"/>
          <w:sz w:val="24"/>
          <w:szCs w:val="24"/>
          <w:shd w:val="clear" w:color="auto" w:fill="FCFCFC"/>
        </w:rPr>
      </w:pPr>
      <w:r w:rsidRPr="00A31721">
        <w:rPr>
          <w:rFonts w:ascii="Times New Roman" w:hAnsi="Times New Roman" w:cs="Times New Roman"/>
          <w:color w:val="000000" w:themeColor="text1"/>
          <w:sz w:val="24"/>
          <w:szCs w:val="24"/>
          <w:shd w:val="clear" w:color="auto" w:fill="FFFFFF"/>
          <w:lang w:val="pt-BR"/>
        </w:rPr>
        <w:t xml:space="preserve">Pereira Ribeiro, J. M., da Silva, S. A., da Silva Neiva, S., Soares, T., Montenegro, C., Deggau, A. B., &amp; de Andrade Guerra, J. B. S. O. (2021). </w:t>
      </w:r>
      <w:r w:rsidRPr="00A31721">
        <w:rPr>
          <w:rFonts w:ascii="Times New Roman" w:hAnsi="Times New Roman" w:cs="Times New Roman"/>
          <w:color w:val="000000" w:themeColor="text1"/>
          <w:sz w:val="24"/>
          <w:szCs w:val="24"/>
          <w:shd w:val="clear" w:color="auto" w:fill="FFFFFF"/>
        </w:rPr>
        <w:t xml:space="preserve">A proposal of a balanced scorecard to the water, energy and food Nexus approach: Brazilian food policies in the context of sustainable development goals. </w:t>
      </w:r>
      <w:r w:rsidRPr="00A31721">
        <w:rPr>
          <w:rFonts w:ascii="Times New Roman" w:hAnsi="Times New Roman" w:cs="Times New Roman"/>
          <w:i/>
          <w:iCs/>
          <w:color w:val="000000" w:themeColor="text1"/>
          <w:sz w:val="24"/>
          <w:szCs w:val="24"/>
          <w:shd w:val="clear" w:color="auto" w:fill="FFFFFF"/>
        </w:rPr>
        <w:t>Stochastic Environmental Research and Risk Assessment</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35</w:t>
      </w:r>
      <w:r w:rsidRPr="00A31721">
        <w:rPr>
          <w:rFonts w:ascii="Times New Roman" w:hAnsi="Times New Roman" w:cs="Times New Roman"/>
          <w:color w:val="000000" w:themeColor="text1"/>
          <w:sz w:val="24"/>
          <w:szCs w:val="24"/>
          <w:shd w:val="clear" w:color="auto" w:fill="FFFFFF"/>
        </w:rPr>
        <w:t>, 129-146.</w:t>
      </w:r>
      <w:hyperlink r:id="rId69" w:history="1">
        <w:r w:rsidRPr="00A31721">
          <w:rPr>
            <w:rStyle w:val="Hyperlink"/>
            <w:rFonts w:ascii="Times New Roman" w:hAnsi="Times New Roman" w:cs="Times New Roman"/>
            <w:color w:val="000000" w:themeColor="text1"/>
            <w:sz w:val="24"/>
            <w:szCs w:val="24"/>
            <w:shd w:val="clear" w:color="auto" w:fill="FCFCFC"/>
          </w:rPr>
          <w:t>https://doi.org/10.1007/s00477-020-01769-1</w:t>
        </w:r>
      </w:hyperlink>
    </w:p>
    <w:p w14:paraId="25C9B2F1" w14:textId="4B864761" w:rsidR="00460AFB" w:rsidRPr="00A31721" w:rsidRDefault="00460AFB" w:rsidP="00460AFB">
      <w:pPr>
        <w:spacing w:after="0" w:line="240" w:lineRule="auto"/>
        <w:ind w:left="720" w:hanging="720"/>
        <w:contextualSpacing/>
        <w:rPr>
          <w:rFonts w:ascii="Times New Roman" w:eastAsia="Times New Roman" w:hAnsi="Times New Roman" w:cs="Times New Roman"/>
          <w:color w:val="000000" w:themeColor="text1"/>
          <w:sz w:val="24"/>
          <w:szCs w:val="24"/>
        </w:rPr>
      </w:pPr>
      <w:proofErr w:type="spellStart"/>
      <w:r w:rsidRPr="00A31721">
        <w:rPr>
          <w:rFonts w:ascii="Times New Roman" w:hAnsi="Times New Roman" w:cs="Times New Roman"/>
          <w:color w:val="000000" w:themeColor="text1"/>
          <w:sz w:val="24"/>
          <w:szCs w:val="24"/>
          <w:shd w:val="clear" w:color="auto" w:fill="FFFFFF"/>
        </w:rPr>
        <w:t>Pomarici</w:t>
      </w:r>
      <w:proofErr w:type="spellEnd"/>
      <w:r w:rsidRPr="00A31721">
        <w:rPr>
          <w:rFonts w:ascii="Times New Roman" w:hAnsi="Times New Roman" w:cs="Times New Roman"/>
          <w:color w:val="000000" w:themeColor="text1"/>
          <w:sz w:val="24"/>
          <w:szCs w:val="24"/>
          <w:shd w:val="clear" w:color="auto" w:fill="FFFFFF"/>
        </w:rPr>
        <w:t xml:space="preserve">, E., &amp; Vecchio, R. (2019). Will sustainability shape the future wine market? </w:t>
      </w:r>
      <w:r w:rsidRPr="00A31721">
        <w:rPr>
          <w:rFonts w:ascii="Times New Roman" w:hAnsi="Times New Roman" w:cs="Times New Roman"/>
          <w:i/>
          <w:iCs/>
          <w:color w:val="000000" w:themeColor="text1"/>
          <w:sz w:val="24"/>
          <w:szCs w:val="24"/>
          <w:shd w:val="clear" w:color="auto" w:fill="FFFFFF"/>
        </w:rPr>
        <w:t>Wine Economics and Policy</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8</w:t>
      </w:r>
      <w:r w:rsidRPr="00A31721">
        <w:rPr>
          <w:rFonts w:ascii="Times New Roman" w:hAnsi="Times New Roman" w:cs="Times New Roman"/>
          <w:color w:val="000000" w:themeColor="text1"/>
          <w:sz w:val="24"/>
          <w:szCs w:val="24"/>
          <w:shd w:val="clear" w:color="auto" w:fill="FFFFFF"/>
        </w:rPr>
        <w:t xml:space="preserve">(1), 1-4. </w:t>
      </w:r>
      <w:hyperlink r:id="rId70" w:history="1">
        <w:r w:rsidRPr="00A31721">
          <w:rPr>
            <w:rStyle w:val="Hyperlink"/>
            <w:rFonts w:ascii="Times New Roman" w:hAnsi="Times New Roman" w:cs="Times New Roman"/>
            <w:color w:val="000000" w:themeColor="text1"/>
            <w:sz w:val="24"/>
            <w:szCs w:val="24"/>
          </w:rPr>
          <w:t>https://doi.org/10.1016/j.wep.2019.05.001</w:t>
        </w:r>
      </w:hyperlink>
    </w:p>
    <w:p w14:paraId="45E296D3" w14:textId="3B4F6171" w:rsidR="00460AFB" w:rsidRPr="00A31721" w:rsidRDefault="00460AFB" w:rsidP="00460AFB">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highlight w:val="white"/>
        </w:rPr>
      </w:pPr>
      <w:proofErr w:type="spellStart"/>
      <w:r w:rsidRPr="00A31721">
        <w:rPr>
          <w:rFonts w:ascii="Times New Roman" w:eastAsia="Times New Roman" w:hAnsi="Times New Roman" w:cs="Times New Roman"/>
          <w:color w:val="000000" w:themeColor="text1"/>
          <w:sz w:val="24"/>
          <w:szCs w:val="24"/>
        </w:rPr>
        <w:t>Pondeville</w:t>
      </w:r>
      <w:proofErr w:type="spellEnd"/>
      <w:r w:rsidRPr="00A31721">
        <w:rPr>
          <w:rFonts w:ascii="Times New Roman" w:eastAsia="Times New Roman" w:hAnsi="Times New Roman" w:cs="Times New Roman"/>
          <w:color w:val="000000" w:themeColor="text1"/>
          <w:sz w:val="24"/>
          <w:szCs w:val="24"/>
        </w:rPr>
        <w:t xml:space="preserve">, S., Swaen, V., &amp; De </w:t>
      </w:r>
      <w:proofErr w:type="spellStart"/>
      <w:r w:rsidRPr="00A31721">
        <w:rPr>
          <w:rFonts w:ascii="Times New Roman" w:eastAsia="Times New Roman" w:hAnsi="Times New Roman" w:cs="Times New Roman"/>
          <w:color w:val="000000" w:themeColor="text1"/>
          <w:sz w:val="24"/>
          <w:szCs w:val="24"/>
        </w:rPr>
        <w:t>Rongé</w:t>
      </w:r>
      <w:proofErr w:type="spellEnd"/>
      <w:r w:rsidRPr="00A31721">
        <w:rPr>
          <w:rFonts w:ascii="Times New Roman" w:eastAsia="Times New Roman" w:hAnsi="Times New Roman" w:cs="Times New Roman"/>
          <w:color w:val="000000" w:themeColor="text1"/>
          <w:sz w:val="24"/>
          <w:szCs w:val="24"/>
        </w:rPr>
        <w:t xml:space="preserve">, Y. (2013). Environmental management </w:t>
      </w:r>
      <w:r w:rsidRPr="00A31721">
        <w:rPr>
          <w:rFonts w:ascii="Times New Roman" w:eastAsia="Times New Roman" w:hAnsi="Times New Roman" w:cs="Times New Roman"/>
          <w:color w:val="000000" w:themeColor="text1"/>
          <w:sz w:val="24"/>
          <w:szCs w:val="24"/>
          <w:highlight w:val="white"/>
        </w:rPr>
        <w:t xml:space="preserve">control systems: The role of contextual and strategic factors. </w:t>
      </w:r>
      <w:r w:rsidRPr="00A31721">
        <w:rPr>
          <w:rFonts w:ascii="Times New Roman" w:eastAsia="Times New Roman" w:hAnsi="Times New Roman" w:cs="Times New Roman"/>
          <w:i/>
          <w:color w:val="000000" w:themeColor="text1"/>
          <w:sz w:val="24"/>
          <w:szCs w:val="24"/>
          <w:highlight w:val="white"/>
        </w:rPr>
        <w:t>Management accounting research</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24</w:t>
      </w:r>
      <w:r w:rsidRPr="00A31721">
        <w:rPr>
          <w:rFonts w:ascii="Times New Roman" w:eastAsia="Times New Roman" w:hAnsi="Times New Roman" w:cs="Times New Roman"/>
          <w:color w:val="000000" w:themeColor="text1"/>
          <w:sz w:val="24"/>
          <w:szCs w:val="24"/>
          <w:highlight w:val="white"/>
        </w:rPr>
        <w:t>(4), 317-332.</w:t>
      </w:r>
      <w:r w:rsidR="00175904" w:rsidRPr="00A31721">
        <w:rPr>
          <w:rFonts w:ascii="Times New Roman" w:eastAsia="Times New Roman" w:hAnsi="Times New Roman" w:cs="Times New Roman"/>
          <w:color w:val="000000" w:themeColor="text1"/>
          <w:sz w:val="24"/>
          <w:szCs w:val="24"/>
        </w:rPr>
        <w:t xml:space="preserve"> </w:t>
      </w:r>
      <w:r w:rsidR="00175904" w:rsidRPr="00A31721">
        <w:rPr>
          <w:rFonts w:ascii="Times New Roman" w:hAnsi="Times New Roman" w:cs="Times New Roman"/>
          <w:color w:val="000000" w:themeColor="text1"/>
          <w:sz w:val="24"/>
          <w:szCs w:val="24"/>
        </w:rPr>
        <w:t>https://</w:t>
      </w:r>
      <w:hyperlink r:id="rId71">
        <w:r w:rsidRPr="00A31721">
          <w:rPr>
            <w:rFonts w:ascii="Times New Roman" w:eastAsia="Times New Roman" w:hAnsi="Times New Roman" w:cs="Times New Roman"/>
            <w:color w:val="000000" w:themeColor="text1"/>
            <w:sz w:val="24"/>
            <w:szCs w:val="24"/>
            <w:u w:val="single"/>
          </w:rPr>
          <w:t>doi.org/10.1016/j.mar.2013.06.007</w:t>
        </w:r>
      </w:hyperlink>
      <w:r w:rsidRPr="00A31721">
        <w:rPr>
          <w:rFonts w:ascii="Times New Roman" w:eastAsia="Times New Roman" w:hAnsi="Times New Roman" w:cs="Times New Roman"/>
          <w:color w:val="000000" w:themeColor="text1"/>
          <w:sz w:val="24"/>
          <w:szCs w:val="24"/>
        </w:rPr>
        <w:t xml:space="preserve"> </w:t>
      </w:r>
    </w:p>
    <w:p w14:paraId="20C0FD3D" w14:textId="75B34D45" w:rsidR="00460AFB" w:rsidRPr="00A31721" w:rsidRDefault="00460AFB" w:rsidP="00460AFB">
      <w:pPr>
        <w:shd w:val="clear" w:color="auto" w:fill="FFFFFF"/>
        <w:spacing w:after="0" w:line="240" w:lineRule="auto"/>
        <w:ind w:left="720" w:hanging="720"/>
        <w:contextualSpacing/>
        <w:rPr>
          <w:rFonts w:ascii="Times New Roman" w:eastAsia="Times New Roman" w:hAnsi="Times New Roman" w:cs="Times New Roman"/>
          <w:color w:val="000000" w:themeColor="text1"/>
          <w:sz w:val="24"/>
          <w:szCs w:val="24"/>
          <w:highlight w:val="yellow"/>
        </w:rPr>
      </w:pPr>
      <w:r w:rsidRPr="00A31721">
        <w:rPr>
          <w:rFonts w:ascii="Times New Roman" w:hAnsi="Times New Roman" w:cs="Times New Roman"/>
          <w:color w:val="000000" w:themeColor="text1"/>
          <w:sz w:val="24"/>
          <w:szCs w:val="24"/>
          <w:shd w:val="clear" w:color="auto" w:fill="FFFFFF"/>
        </w:rPr>
        <w:t xml:space="preserve">Pryshlakivsky, J., &amp; Searcy, C. (2017). A heuristic model for establishing trade-offs in corporate sustainability performance measurement systems. </w:t>
      </w:r>
      <w:r w:rsidRPr="00A31721">
        <w:rPr>
          <w:rFonts w:ascii="Times New Roman" w:hAnsi="Times New Roman" w:cs="Times New Roman"/>
          <w:i/>
          <w:iCs/>
          <w:color w:val="000000" w:themeColor="text1"/>
          <w:sz w:val="24"/>
          <w:szCs w:val="24"/>
          <w:shd w:val="clear" w:color="auto" w:fill="FFFFFF"/>
        </w:rPr>
        <w:t>Journal of Business Ethics</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144</w:t>
      </w:r>
      <w:r w:rsidRPr="00A31721">
        <w:rPr>
          <w:rFonts w:ascii="Times New Roman" w:hAnsi="Times New Roman" w:cs="Times New Roman"/>
          <w:color w:val="000000" w:themeColor="text1"/>
          <w:sz w:val="24"/>
          <w:szCs w:val="24"/>
          <w:shd w:val="clear" w:color="auto" w:fill="FFFFFF"/>
        </w:rPr>
        <w:t>, 323-342.</w:t>
      </w:r>
      <w:r w:rsidRPr="00A31721">
        <w:rPr>
          <w:rFonts w:ascii="Times New Roman" w:hAnsi="Times New Roman" w:cs="Times New Roman"/>
          <w:color w:val="000000" w:themeColor="text1"/>
        </w:rPr>
        <w:t xml:space="preserve"> </w:t>
      </w:r>
      <w:hyperlink r:id="rId72" w:history="1">
        <w:r w:rsidR="00DB1924" w:rsidRPr="00A31721">
          <w:rPr>
            <w:rStyle w:val="Hyperlink"/>
            <w:rFonts w:ascii="Times New Roman" w:hAnsi="Times New Roman" w:cs="Times New Roman"/>
            <w:color w:val="000000" w:themeColor="text1"/>
          </w:rPr>
          <w:t>https://doi.org/10.1007/s10551-015-2806-y</w:t>
        </w:r>
      </w:hyperlink>
      <w:r w:rsidR="00DB1924" w:rsidRPr="00A31721">
        <w:rPr>
          <w:rFonts w:ascii="Times New Roman" w:hAnsi="Times New Roman" w:cs="Times New Roman"/>
          <w:color w:val="000000" w:themeColor="text1"/>
        </w:rPr>
        <w:t xml:space="preserve"> </w:t>
      </w:r>
    </w:p>
    <w:p w14:paraId="26BFC5CF" w14:textId="5285FF94" w:rsidR="00460AFB" w:rsidRPr="00A31721" w:rsidRDefault="00460AFB" w:rsidP="00460AFB">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Qian, W., </w:t>
      </w:r>
      <w:proofErr w:type="spellStart"/>
      <w:r w:rsidRPr="00A31721">
        <w:rPr>
          <w:rFonts w:ascii="Times New Roman" w:eastAsia="Times New Roman" w:hAnsi="Times New Roman" w:cs="Times New Roman"/>
          <w:color w:val="000000" w:themeColor="text1"/>
          <w:sz w:val="24"/>
          <w:szCs w:val="24"/>
          <w:highlight w:val="white"/>
        </w:rPr>
        <w:t>Hörisch</w:t>
      </w:r>
      <w:proofErr w:type="spellEnd"/>
      <w:r w:rsidRPr="00A31721">
        <w:rPr>
          <w:rFonts w:ascii="Times New Roman" w:eastAsia="Times New Roman" w:hAnsi="Times New Roman" w:cs="Times New Roman"/>
          <w:color w:val="000000" w:themeColor="text1"/>
          <w:sz w:val="24"/>
          <w:szCs w:val="24"/>
          <w:highlight w:val="white"/>
        </w:rPr>
        <w:t xml:space="preserve">, J., &amp; </w:t>
      </w:r>
      <w:proofErr w:type="spellStart"/>
      <w:r w:rsidRPr="00A31721">
        <w:rPr>
          <w:rFonts w:ascii="Times New Roman" w:eastAsia="Times New Roman" w:hAnsi="Times New Roman" w:cs="Times New Roman"/>
          <w:color w:val="000000" w:themeColor="text1"/>
          <w:sz w:val="24"/>
          <w:szCs w:val="24"/>
          <w:highlight w:val="white"/>
        </w:rPr>
        <w:t>Schaltegger</w:t>
      </w:r>
      <w:proofErr w:type="spellEnd"/>
      <w:r w:rsidRPr="00A31721">
        <w:rPr>
          <w:rFonts w:ascii="Times New Roman" w:eastAsia="Times New Roman" w:hAnsi="Times New Roman" w:cs="Times New Roman"/>
          <w:color w:val="000000" w:themeColor="text1"/>
          <w:sz w:val="24"/>
          <w:szCs w:val="24"/>
          <w:highlight w:val="white"/>
        </w:rPr>
        <w:t xml:space="preserve">, S. (2018). Environmental management accounting and its effects on carbon management and disclosure quality.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174</w:t>
      </w:r>
      <w:r w:rsidRPr="00A31721">
        <w:rPr>
          <w:rFonts w:ascii="Times New Roman" w:eastAsia="Times New Roman" w:hAnsi="Times New Roman" w:cs="Times New Roman"/>
          <w:color w:val="000000" w:themeColor="text1"/>
          <w:sz w:val="24"/>
          <w:szCs w:val="24"/>
          <w:highlight w:val="white"/>
        </w:rPr>
        <w:t>, 1608-1619</w:t>
      </w:r>
      <w:r w:rsidR="0067019B" w:rsidRPr="00A31721">
        <w:rPr>
          <w:rFonts w:ascii="Times New Roman" w:eastAsia="Times New Roman" w:hAnsi="Times New Roman" w:cs="Times New Roman"/>
          <w:color w:val="000000" w:themeColor="text1"/>
          <w:sz w:val="24"/>
          <w:szCs w:val="24"/>
        </w:rPr>
        <w:t>.</w:t>
      </w:r>
      <w:r w:rsidR="0067019B" w:rsidRPr="00A31721">
        <w:rPr>
          <w:rFonts w:ascii="Times New Roman" w:hAnsi="Times New Roman" w:cs="Times New Roman"/>
          <w:color w:val="000000" w:themeColor="text1"/>
        </w:rPr>
        <w:t xml:space="preserve"> </w:t>
      </w:r>
      <w:r w:rsidR="0067019B" w:rsidRPr="00A31721">
        <w:rPr>
          <w:rFonts w:ascii="Times New Roman" w:hAnsi="Times New Roman" w:cs="Times New Roman"/>
          <w:color w:val="000000" w:themeColor="text1"/>
          <w:sz w:val="24"/>
          <w:szCs w:val="24"/>
        </w:rPr>
        <w:t>https://</w:t>
      </w:r>
      <w:hyperlink r:id="rId73">
        <w:r w:rsidRPr="00A31721">
          <w:rPr>
            <w:rFonts w:ascii="Times New Roman" w:eastAsia="Times New Roman" w:hAnsi="Times New Roman" w:cs="Times New Roman"/>
            <w:color w:val="000000" w:themeColor="text1"/>
            <w:sz w:val="24"/>
            <w:szCs w:val="24"/>
            <w:u w:val="single"/>
          </w:rPr>
          <w:t>doi.org/10.1016/j.jclepro.2017.11.092</w:t>
        </w:r>
      </w:hyperlink>
    </w:p>
    <w:p w14:paraId="261455F7" w14:textId="2BC4EBC8" w:rsidR="00460AFB" w:rsidRPr="00A31721" w:rsidRDefault="00460AFB" w:rsidP="00460AFB">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highlight w:val="white"/>
        </w:rPr>
      </w:pPr>
      <w:r w:rsidRPr="00A31721">
        <w:rPr>
          <w:rFonts w:ascii="Times New Roman" w:eastAsia="Times New Roman" w:hAnsi="Times New Roman" w:cs="Times New Roman"/>
          <w:color w:val="000000" w:themeColor="text1"/>
          <w:sz w:val="24"/>
          <w:szCs w:val="24"/>
          <w:highlight w:val="white"/>
        </w:rPr>
        <w:t xml:space="preserve">Raut, R. D., Luthra, S., Narkhede, B. E., Mangla, S. K., Gardas, B. B., &amp; </w:t>
      </w:r>
      <w:proofErr w:type="spellStart"/>
      <w:r w:rsidRPr="00A31721">
        <w:rPr>
          <w:rFonts w:ascii="Times New Roman" w:eastAsia="Times New Roman" w:hAnsi="Times New Roman" w:cs="Times New Roman"/>
          <w:color w:val="000000" w:themeColor="text1"/>
          <w:sz w:val="24"/>
          <w:szCs w:val="24"/>
          <w:highlight w:val="white"/>
        </w:rPr>
        <w:t>Priyadarshinee</w:t>
      </w:r>
      <w:proofErr w:type="spellEnd"/>
      <w:r w:rsidRPr="00A31721">
        <w:rPr>
          <w:rFonts w:ascii="Times New Roman" w:eastAsia="Times New Roman" w:hAnsi="Times New Roman" w:cs="Times New Roman"/>
          <w:color w:val="000000" w:themeColor="text1"/>
          <w:sz w:val="24"/>
          <w:szCs w:val="24"/>
          <w:highlight w:val="white"/>
        </w:rPr>
        <w:t xml:space="preserve">, P. (2019). Examining the </w:t>
      </w:r>
      <w:proofErr w:type="gramStart"/>
      <w:r w:rsidRPr="00A31721">
        <w:rPr>
          <w:rFonts w:ascii="Times New Roman" w:eastAsia="Times New Roman" w:hAnsi="Times New Roman" w:cs="Times New Roman"/>
          <w:color w:val="000000" w:themeColor="text1"/>
          <w:sz w:val="24"/>
          <w:szCs w:val="24"/>
          <w:highlight w:val="white"/>
        </w:rPr>
        <w:t>performance oriented</w:t>
      </w:r>
      <w:proofErr w:type="gramEnd"/>
      <w:r w:rsidRPr="00A31721">
        <w:rPr>
          <w:rFonts w:ascii="Times New Roman" w:eastAsia="Times New Roman" w:hAnsi="Times New Roman" w:cs="Times New Roman"/>
          <w:color w:val="000000" w:themeColor="text1"/>
          <w:sz w:val="24"/>
          <w:szCs w:val="24"/>
          <w:highlight w:val="white"/>
        </w:rPr>
        <w:t xml:space="preserve"> indicators for implementing green management practices in the Indian </w:t>
      </w:r>
      <w:proofErr w:type="spellStart"/>
      <w:r w:rsidRPr="00A31721">
        <w:rPr>
          <w:rFonts w:ascii="Times New Roman" w:eastAsia="Times New Roman" w:hAnsi="Times New Roman" w:cs="Times New Roman"/>
          <w:color w:val="000000" w:themeColor="text1"/>
          <w:sz w:val="24"/>
          <w:szCs w:val="24"/>
          <w:highlight w:val="white"/>
        </w:rPr>
        <w:t>agro</w:t>
      </w:r>
      <w:proofErr w:type="spellEnd"/>
      <w:r w:rsidRPr="00A31721">
        <w:rPr>
          <w:rFonts w:ascii="Times New Roman" w:eastAsia="Times New Roman" w:hAnsi="Times New Roman" w:cs="Times New Roman"/>
          <w:color w:val="000000" w:themeColor="text1"/>
          <w:sz w:val="24"/>
          <w:szCs w:val="24"/>
          <w:highlight w:val="white"/>
        </w:rPr>
        <w:t xml:space="preserve"> sector.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215</w:t>
      </w:r>
      <w:r w:rsidRPr="00A31721">
        <w:rPr>
          <w:rFonts w:ascii="Times New Roman" w:eastAsia="Times New Roman" w:hAnsi="Times New Roman" w:cs="Times New Roman"/>
          <w:color w:val="000000" w:themeColor="text1"/>
          <w:sz w:val="24"/>
          <w:szCs w:val="24"/>
          <w:highlight w:val="white"/>
        </w:rPr>
        <w:t>, 926-943.</w:t>
      </w:r>
      <w:r w:rsidR="001153F6" w:rsidRPr="00A31721">
        <w:rPr>
          <w:rFonts w:ascii="Times New Roman" w:eastAsia="Times New Roman" w:hAnsi="Times New Roman" w:cs="Times New Roman"/>
          <w:color w:val="000000" w:themeColor="text1"/>
          <w:sz w:val="24"/>
          <w:szCs w:val="24"/>
        </w:rPr>
        <w:t xml:space="preserve"> </w:t>
      </w:r>
      <w:r w:rsidR="001153F6" w:rsidRPr="00A31721">
        <w:rPr>
          <w:rFonts w:ascii="Times New Roman" w:hAnsi="Times New Roman" w:cs="Times New Roman"/>
          <w:color w:val="000000" w:themeColor="text1"/>
          <w:sz w:val="24"/>
          <w:szCs w:val="24"/>
        </w:rPr>
        <w:t>https://</w:t>
      </w:r>
      <w:hyperlink r:id="rId74">
        <w:r w:rsidRPr="00A31721">
          <w:rPr>
            <w:rFonts w:ascii="Times New Roman" w:eastAsia="Times New Roman" w:hAnsi="Times New Roman" w:cs="Times New Roman"/>
            <w:color w:val="000000" w:themeColor="text1"/>
            <w:sz w:val="24"/>
            <w:szCs w:val="24"/>
            <w:u w:val="single"/>
          </w:rPr>
          <w:t>doi.org/10.1016/j.jclepro.2019.01.139</w:t>
        </w:r>
      </w:hyperlink>
    </w:p>
    <w:p w14:paraId="7532AE4F" w14:textId="26A05477" w:rsidR="00460AFB" w:rsidRPr="00A31721" w:rsidRDefault="00460AFB" w:rsidP="00460AFB">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shd w:val="clear" w:color="auto" w:fill="FCFCFC"/>
        </w:rPr>
      </w:pPr>
      <w:r w:rsidRPr="00A31721">
        <w:rPr>
          <w:rFonts w:ascii="Times New Roman" w:eastAsia="Times New Roman" w:hAnsi="Times New Roman" w:cs="Times New Roman"/>
          <w:color w:val="000000" w:themeColor="text1"/>
          <w:sz w:val="24"/>
          <w:szCs w:val="24"/>
          <w:highlight w:val="white"/>
          <w:lang w:val="en-GB"/>
        </w:rPr>
        <w:t xml:space="preserve">Rosa, F. S., </w:t>
      </w:r>
      <w:proofErr w:type="spellStart"/>
      <w:r w:rsidRPr="00A31721">
        <w:rPr>
          <w:rFonts w:ascii="Times New Roman" w:eastAsia="Times New Roman" w:hAnsi="Times New Roman" w:cs="Times New Roman"/>
          <w:color w:val="000000" w:themeColor="text1"/>
          <w:sz w:val="24"/>
          <w:szCs w:val="24"/>
          <w:highlight w:val="white"/>
          <w:lang w:val="en-GB"/>
        </w:rPr>
        <w:t>Lunkes</w:t>
      </w:r>
      <w:proofErr w:type="spellEnd"/>
      <w:r w:rsidRPr="00A31721">
        <w:rPr>
          <w:rFonts w:ascii="Times New Roman" w:eastAsia="Times New Roman" w:hAnsi="Times New Roman" w:cs="Times New Roman"/>
          <w:color w:val="000000" w:themeColor="text1"/>
          <w:sz w:val="24"/>
          <w:szCs w:val="24"/>
          <w:highlight w:val="white"/>
          <w:lang w:val="en-GB"/>
        </w:rPr>
        <w:t xml:space="preserve">, R. J., &amp; Mendes, A. C. (2020). </w:t>
      </w:r>
      <w:r w:rsidRPr="00A31721">
        <w:rPr>
          <w:rFonts w:ascii="Times New Roman" w:eastAsia="Times New Roman" w:hAnsi="Times New Roman" w:cs="Times New Roman"/>
          <w:color w:val="000000" w:themeColor="text1"/>
          <w:sz w:val="24"/>
          <w:szCs w:val="24"/>
          <w:highlight w:val="white"/>
        </w:rPr>
        <w:t xml:space="preserve">Environmental management accounting and innovation in water and energy reduction. </w:t>
      </w:r>
      <w:r w:rsidRPr="00A31721">
        <w:rPr>
          <w:rFonts w:ascii="Times New Roman" w:eastAsia="Times New Roman" w:hAnsi="Times New Roman" w:cs="Times New Roman"/>
          <w:i/>
          <w:color w:val="000000" w:themeColor="text1"/>
          <w:sz w:val="24"/>
          <w:szCs w:val="24"/>
          <w:highlight w:val="white"/>
        </w:rPr>
        <w:t>Environmental Monitoring and Assessment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192</w:t>
      </w:r>
      <w:r w:rsidRPr="00A31721">
        <w:rPr>
          <w:rFonts w:ascii="Times New Roman" w:eastAsia="Times New Roman" w:hAnsi="Times New Roman" w:cs="Times New Roman"/>
          <w:color w:val="000000" w:themeColor="text1"/>
          <w:sz w:val="24"/>
          <w:szCs w:val="24"/>
          <w:highlight w:val="white"/>
        </w:rPr>
        <w:t xml:space="preserve">, </w:t>
      </w:r>
      <w:r w:rsidR="004552FF" w:rsidRPr="00A31721">
        <w:rPr>
          <w:rFonts w:ascii="Times New Roman" w:eastAsia="Times New Roman" w:hAnsi="Times New Roman" w:cs="Times New Roman"/>
          <w:color w:val="000000" w:themeColor="text1"/>
          <w:sz w:val="24"/>
          <w:szCs w:val="24"/>
          <w:highlight w:val="white"/>
        </w:rPr>
        <w:t>621</w:t>
      </w:r>
      <w:r w:rsidR="004552FF" w:rsidRPr="00A31721">
        <w:rPr>
          <w:rFonts w:ascii="Times New Roman" w:eastAsia="Times New Roman" w:hAnsi="Times New Roman" w:cs="Times New Roman"/>
          <w:color w:val="000000" w:themeColor="text1"/>
          <w:sz w:val="24"/>
          <w:szCs w:val="24"/>
        </w:rPr>
        <w:t xml:space="preserve">. </w:t>
      </w:r>
      <w:hyperlink r:id="rId75">
        <w:r w:rsidRPr="00A31721">
          <w:rPr>
            <w:rFonts w:ascii="Times New Roman" w:eastAsia="Times New Roman" w:hAnsi="Times New Roman" w:cs="Times New Roman"/>
            <w:color w:val="000000" w:themeColor="text1"/>
            <w:sz w:val="24"/>
            <w:szCs w:val="24"/>
            <w:u w:val="single"/>
            <w:shd w:val="clear" w:color="auto" w:fill="FCFCFC"/>
          </w:rPr>
          <w:t>doi.org/10.1007/s10661-020-08586-7</w:t>
        </w:r>
      </w:hyperlink>
    </w:p>
    <w:p w14:paraId="3455F4C7" w14:textId="77777777" w:rsidR="00460AFB" w:rsidRPr="00A31721" w:rsidRDefault="00460AFB" w:rsidP="00460AFB">
      <w:pPr>
        <w:shd w:val="clear" w:color="auto" w:fill="FFFFFF"/>
        <w:spacing w:after="0" w:line="240" w:lineRule="auto"/>
        <w:ind w:left="720" w:hanging="720"/>
        <w:contextualSpacing/>
        <w:rPr>
          <w:rFonts w:ascii="Times New Roman" w:eastAsia="Times New Roman" w:hAnsi="Times New Roman" w:cs="Times New Roman"/>
          <w:color w:val="000000" w:themeColor="text1"/>
          <w:sz w:val="24"/>
          <w:szCs w:val="24"/>
        </w:rPr>
      </w:pPr>
      <w:bookmarkStart w:id="7" w:name="_heading=h.1t3h5sf" w:colFirst="0" w:colLast="0"/>
      <w:bookmarkEnd w:id="7"/>
      <w:r w:rsidRPr="00A31721">
        <w:rPr>
          <w:rFonts w:ascii="Times New Roman" w:hAnsi="Times New Roman" w:cs="Times New Roman"/>
          <w:color w:val="000000" w:themeColor="text1"/>
          <w:sz w:val="24"/>
          <w:szCs w:val="24"/>
          <w:shd w:val="clear" w:color="auto" w:fill="FFFFFF"/>
          <w:lang w:val="en-GB"/>
        </w:rPr>
        <w:t xml:space="preserve">Rugani, B., Vázquez-Rowe, I., Benedetto, G., &amp; Benetto, E. (2013). </w:t>
      </w:r>
      <w:r w:rsidRPr="00A31721">
        <w:rPr>
          <w:rFonts w:ascii="Times New Roman" w:hAnsi="Times New Roman" w:cs="Times New Roman"/>
          <w:color w:val="000000" w:themeColor="text1"/>
          <w:sz w:val="24"/>
          <w:szCs w:val="24"/>
          <w:shd w:val="clear" w:color="auto" w:fill="FFFFFF"/>
        </w:rPr>
        <w:t xml:space="preserve">A comprehensive review of carbon footprint analysis as an extended environmental indicator in the wine sector. </w:t>
      </w:r>
      <w:r w:rsidRPr="00A31721">
        <w:rPr>
          <w:rFonts w:ascii="Times New Roman" w:hAnsi="Times New Roman" w:cs="Times New Roman"/>
          <w:i/>
          <w:iCs/>
          <w:color w:val="000000" w:themeColor="text1"/>
          <w:sz w:val="24"/>
          <w:szCs w:val="24"/>
          <w:shd w:val="clear" w:color="auto" w:fill="FFFFFF"/>
        </w:rPr>
        <w:t>Journal of cleaner production</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54</w:t>
      </w:r>
      <w:r w:rsidRPr="00A31721">
        <w:rPr>
          <w:rFonts w:ascii="Times New Roman" w:hAnsi="Times New Roman" w:cs="Times New Roman"/>
          <w:color w:val="000000" w:themeColor="text1"/>
          <w:sz w:val="24"/>
          <w:szCs w:val="24"/>
          <w:shd w:val="clear" w:color="auto" w:fill="FFFFFF"/>
        </w:rPr>
        <w:t xml:space="preserve">, 61-77. </w:t>
      </w:r>
      <w:hyperlink r:id="rId76" w:history="1">
        <w:r w:rsidRPr="00A31721">
          <w:rPr>
            <w:rStyle w:val="Hyperlink"/>
            <w:rFonts w:ascii="Times New Roman" w:hAnsi="Times New Roman" w:cs="Times New Roman"/>
            <w:color w:val="000000" w:themeColor="text1"/>
            <w:sz w:val="24"/>
            <w:szCs w:val="24"/>
          </w:rPr>
          <w:t>https://doi.org/10.1016/j.jclepro.2013.04.036</w:t>
        </w:r>
      </w:hyperlink>
      <w:r w:rsidRPr="00A31721">
        <w:rPr>
          <w:rFonts w:ascii="Times New Roman" w:eastAsia="Times New Roman" w:hAnsi="Times New Roman" w:cs="Times New Roman"/>
          <w:color w:val="000000" w:themeColor="text1"/>
          <w:sz w:val="24"/>
          <w:szCs w:val="24"/>
          <w:shd w:val="clear" w:color="auto" w:fill="FFFFFF"/>
        </w:rPr>
        <w:t xml:space="preserve"> </w:t>
      </w:r>
    </w:p>
    <w:p w14:paraId="609C354E" w14:textId="0B0336BE"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rPr>
      </w:pPr>
      <w:proofErr w:type="spellStart"/>
      <w:r w:rsidRPr="00A31721">
        <w:rPr>
          <w:rFonts w:ascii="Times New Roman" w:eastAsia="Times New Roman" w:hAnsi="Times New Roman" w:cs="Times New Roman"/>
          <w:color w:val="000000" w:themeColor="text1"/>
          <w:sz w:val="24"/>
          <w:szCs w:val="24"/>
          <w:highlight w:val="white"/>
        </w:rPr>
        <w:t>Sangle</w:t>
      </w:r>
      <w:proofErr w:type="spellEnd"/>
      <w:r w:rsidRPr="00A31721">
        <w:rPr>
          <w:rFonts w:ascii="Times New Roman" w:eastAsia="Times New Roman" w:hAnsi="Times New Roman" w:cs="Times New Roman"/>
          <w:color w:val="000000" w:themeColor="text1"/>
          <w:sz w:val="24"/>
          <w:szCs w:val="24"/>
          <w:highlight w:val="white"/>
        </w:rPr>
        <w:t xml:space="preserve">, S. (2010). Empirical analysis of determinants of adoption of proactive environmental strategies in India. </w:t>
      </w:r>
      <w:r w:rsidRPr="00A31721">
        <w:rPr>
          <w:rFonts w:ascii="Times New Roman" w:eastAsia="Times New Roman" w:hAnsi="Times New Roman" w:cs="Times New Roman"/>
          <w:i/>
          <w:color w:val="000000" w:themeColor="text1"/>
          <w:sz w:val="24"/>
          <w:szCs w:val="24"/>
          <w:highlight w:val="white"/>
        </w:rPr>
        <w:t>Business Strategy and the Environment</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19</w:t>
      </w:r>
      <w:r w:rsidRPr="00A31721">
        <w:rPr>
          <w:rFonts w:ascii="Times New Roman" w:eastAsia="Times New Roman" w:hAnsi="Times New Roman" w:cs="Times New Roman"/>
          <w:color w:val="000000" w:themeColor="text1"/>
          <w:sz w:val="24"/>
          <w:szCs w:val="24"/>
          <w:highlight w:val="white"/>
        </w:rPr>
        <w:t xml:space="preserve">(1), 51-63. </w:t>
      </w:r>
      <w:r w:rsidR="0083201D" w:rsidRPr="00A31721">
        <w:rPr>
          <w:rFonts w:ascii="Times New Roman" w:eastAsia="Times New Roman" w:hAnsi="Times New Roman" w:cs="Times New Roman"/>
          <w:color w:val="000000" w:themeColor="text1"/>
          <w:sz w:val="24"/>
          <w:szCs w:val="24"/>
        </w:rPr>
        <w:t>https://</w:t>
      </w:r>
      <w:hyperlink r:id="rId77">
        <w:r w:rsidRPr="00A31721">
          <w:rPr>
            <w:rFonts w:ascii="Times New Roman" w:eastAsia="Times New Roman" w:hAnsi="Times New Roman" w:cs="Times New Roman"/>
            <w:color w:val="000000" w:themeColor="text1"/>
            <w:sz w:val="24"/>
            <w:szCs w:val="24"/>
            <w:highlight w:val="white"/>
            <w:u w:val="single"/>
          </w:rPr>
          <w:t>doi.org/10.1002/bse.651</w:t>
        </w:r>
      </w:hyperlink>
    </w:p>
    <w:p w14:paraId="63B5E852" w14:textId="68757C4C"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t xml:space="preserve">Sari, R. N., </w:t>
      </w:r>
      <w:proofErr w:type="spellStart"/>
      <w:r w:rsidRPr="00A31721">
        <w:rPr>
          <w:rFonts w:ascii="Times New Roman" w:eastAsia="Times New Roman" w:hAnsi="Times New Roman" w:cs="Times New Roman"/>
          <w:color w:val="000000" w:themeColor="text1"/>
          <w:sz w:val="24"/>
          <w:szCs w:val="24"/>
          <w:highlight w:val="white"/>
        </w:rPr>
        <w:t>Pratadina</w:t>
      </w:r>
      <w:proofErr w:type="spellEnd"/>
      <w:r w:rsidRPr="00A31721">
        <w:rPr>
          <w:rFonts w:ascii="Times New Roman" w:eastAsia="Times New Roman" w:hAnsi="Times New Roman" w:cs="Times New Roman"/>
          <w:color w:val="000000" w:themeColor="text1"/>
          <w:sz w:val="24"/>
          <w:szCs w:val="24"/>
          <w:highlight w:val="white"/>
        </w:rPr>
        <w:t xml:space="preserve">, A., </w:t>
      </w:r>
      <w:proofErr w:type="spellStart"/>
      <w:r w:rsidRPr="00A31721">
        <w:rPr>
          <w:rFonts w:ascii="Times New Roman" w:eastAsia="Times New Roman" w:hAnsi="Times New Roman" w:cs="Times New Roman"/>
          <w:color w:val="000000" w:themeColor="text1"/>
          <w:sz w:val="24"/>
          <w:szCs w:val="24"/>
          <w:highlight w:val="white"/>
        </w:rPr>
        <w:t>Anugerah</w:t>
      </w:r>
      <w:proofErr w:type="spellEnd"/>
      <w:r w:rsidRPr="00A31721">
        <w:rPr>
          <w:rFonts w:ascii="Times New Roman" w:eastAsia="Times New Roman" w:hAnsi="Times New Roman" w:cs="Times New Roman"/>
          <w:color w:val="000000" w:themeColor="text1"/>
          <w:sz w:val="24"/>
          <w:szCs w:val="24"/>
          <w:highlight w:val="white"/>
        </w:rPr>
        <w:t xml:space="preserve">, R., </w:t>
      </w:r>
      <w:proofErr w:type="spellStart"/>
      <w:r w:rsidRPr="00A31721">
        <w:rPr>
          <w:rFonts w:ascii="Times New Roman" w:eastAsia="Times New Roman" w:hAnsi="Times New Roman" w:cs="Times New Roman"/>
          <w:color w:val="000000" w:themeColor="text1"/>
          <w:sz w:val="24"/>
          <w:szCs w:val="24"/>
          <w:highlight w:val="white"/>
        </w:rPr>
        <w:t>Kamaliah</w:t>
      </w:r>
      <w:proofErr w:type="spellEnd"/>
      <w:r w:rsidRPr="00A31721">
        <w:rPr>
          <w:rFonts w:ascii="Times New Roman" w:eastAsia="Times New Roman" w:hAnsi="Times New Roman" w:cs="Times New Roman"/>
          <w:color w:val="000000" w:themeColor="text1"/>
          <w:sz w:val="24"/>
          <w:szCs w:val="24"/>
          <w:highlight w:val="white"/>
        </w:rPr>
        <w:t xml:space="preserve">, K., &amp; Sanusi, Z. M. (2021). Effect of environmental management accounting practices on organizational performance: role of process innovation as a mediating variable. </w:t>
      </w:r>
      <w:r w:rsidRPr="00A31721">
        <w:rPr>
          <w:rFonts w:ascii="Times New Roman" w:eastAsia="Times New Roman" w:hAnsi="Times New Roman" w:cs="Times New Roman"/>
          <w:i/>
          <w:color w:val="000000" w:themeColor="text1"/>
          <w:sz w:val="24"/>
          <w:szCs w:val="24"/>
          <w:highlight w:val="white"/>
        </w:rPr>
        <w:t>Business Process Management Journal</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27</w:t>
      </w:r>
      <w:r w:rsidRPr="00A31721">
        <w:rPr>
          <w:rFonts w:ascii="Times New Roman" w:eastAsia="Times New Roman" w:hAnsi="Times New Roman" w:cs="Times New Roman"/>
          <w:color w:val="000000" w:themeColor="text1"/>
          <w:sz w:val="24"/>
          <w:szCs w:val="24"/>
          <w:highlight w:val="white"/>
        </w:rPr>
        <w:t>(4), 1296-1314.</w:t>
      </w:r>
      <w:r w:rsidR="006313D7" w:rsidRPr="00A31721">
        <w:rPr>
          <w:rFonts w:ascii="Times New Roman" w:eastAsia="Times New Roman" w:hAnsi="Times New Roman" w:cs="Times New Roman"/>
          <w:color w:val="000000" w:themeColor="text1"/>
          <w:sz w:val="24"/>
          <w:szCs w:val="24"/>
        </w:rPr>
        <w:t xml:space="preserve"> https://</w:t>
      </w:r>
      <w:hyperlink r:id="rId78">
        <w:r w:rsidRPr="00A31721">
          <w:rPr>
            <w:rFonts w:ascii="Times New Roman" w:eastAsia="Times New Roman" w:hAnsi="Times New Roman" w:cs="Times New Roman"/>
            <w:color w:val="000000" w:themeColor="text1"/>
            <w:sz w:val="24"/>
            <w:szCs w:val="24"/>
            <w:highlight w:val="white"/>
            <w:u w:val="single"/>
          </w:rPr>
          <w:t>doi.org/10.1108/BPMJ-06-2020-0264</w:t>
        </w:r>
      </w:hyperlink>
    </w:p>
    <w:p w14:paraId="549E7CB6" w14:textId="7777777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A31721">
        <w:rPr>
          <w:rFonts w:ascii="Times New Roman" w:hAnsi="Times New Roman" w:cs="Times New Roman"/>
          <w:color w:val="000000" w:themeColor="text1"/>
          <w:sz w:val="24"/>
          <w:szCs w:val="24"/>
          <w:shd w:val="clear" w:color="auto" w:fill="FFFFFF"/>
        </w:rPr>
        <w:t>Schaltegger</w:t>
      </w:r>
      <w:proofErr w:type="spellEnd"/>
      <w:r w:rsidRPr="00A31721">
        <w:rPr>
          <w:rFonts w:ascii="Times New Roman" w:hAnsi="Times New Roman" w:cs="Times New Roman"/>
          <w:color w:val="000000" w:themeColor="text1"/>
          <w:sz w:val="24"/>
          <w:szCs w:val="24"/>
          <w:shd w:val="clear" w:color="auto" w:fill="FFFFFF"/>
        </w:rPr>
        <w:t xml:space="preserve">, S., Christ, K. L., </w:t>
      </w:r>
      <w:proofErr w:type="spellStart"/>
      <w:r w:rsidRPr="00A31721">
        <w:rPr>
          <w:rFonts w:ascii="Times New Roman" w:hAnsi="Times New Roman" w:cs="Times New Roman"/>
          <w:color w:val="000000" w:themeColor="text1"/>
          <w:sz w:val="24"/>
          <w:szCs w:val="24"/>
          <w:shd w:val="clear" w:color="auto" w:fill="FFFFFF"/>
        </w:rPr>
        <w:t>Wenzig</w:t>
      </w:r>
      <w:proofErr w:type="spellEnd"/>
      <w:r w:rsidRPr="00A31721">
        <w:rPr>
          <w:rFonts w:ascii="Times New Roman" w:hAnsi="Times New Roman" w:cs="Times New Roman"/>
          <w:color w:val="000000" w:themeColor="text1"/>
          <w:sz w:val="24"/>
          <w:szCs w:val="24"/>
          <w:shd w:val="clear" w:color="auto" w:fill="FFFFFF"/>
        </w:rPr>
        <w:t>, J., &amp; Burritt, R. L. (2022). Corporate sustainability management accounting and multi‐level links for sustainability–A systematic review. </w:t>
      </w:r>
      <w:r w:rsidRPr="00A31721">
        <w:rPr>
          <w:rFonts w:ascii="Times New Roman" w:hAnsi="Times New Roman" w:cs="Times New Roman"/>
          <w:i/>
          <w:iCs/>
          <w:color w:val="000000" w:themeColor="text1"/>
          <w:sz w:val="24"/>
          <w:szCs w:val="24"/>
          <w:shd w:val="clear" w:color="auto" w:fill="FFFFFF"/>
        </w:rPr>
        <w:t>International journal of management reviews</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24</w:t>
      </w:r>
      <w:r w:rsidRPr="00A31721">
        <w:rPr>
          <w:rFonts w:ascii="Times New Roman" w:hAnsi="Times New Roman" w:cs="Times New Roman"/>
          <w:color w:val="000000" w:themeColor="text1"/>
          <w:sz w:val="24"/>
          <w:szCs w:val="24"/>
          <w:shd w:val="clear" w:color="auto" w:fill="FFFFFF"/>
        </w:rPr>
        <w:t xml:space="preserve">(4), 480-500. </w:t>
      </w:r>
      <w:hyperlink r:id="rId79" w:history="1">
        <w:r w:rsidRPr="00A31721">
          <w:rPr>
            <w:rStyle w:val="Hyperlink"/>
            <w:rFonts w:ascii="Times New Roman" w:hAnsi="Times New Roman" w:cs="Times New Roman"/>
            <w:bCs/>
            <w:color w:val="000000" w:themeColor="text1"/>
            <w:sz w:val="24"/>
            <w:szCs w:val="24"/>
            <w:shd w:val="clear" w:color="auto" w:fill="FFFFFF"/>
          </w:rPr>
          <w:t>https://doi.org/10.1111/ijmr.12288</w:t>
        </w:r>
      </w:hyperlink>
      <w:r w:rsidRPr="00A31721">
        <w:rPr>
          <w:color w:val="000000" w:themeColor="text1"/>
        </w:rPr>
        <w:t xml:space="preserve">  </w:t>
      </w:r>
    </w:p>
    <w:p w14:paraId="5F2333AC" w14:textId="55AA4D3B"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u w:val="single"/>
        </w:rPr>
      </w:pPr>
      <w:r w:rsidRPr="00A31721">
        <w:rPr>
          <w:rFonts w:ascii="Times New Roman" w:eastAsia="Times New Roman" w:hAnsi="Times New Roman" w:cs="Times New Roman"/>
          <w:color w:val="000000" w:themeColor="text1"/>
          <w:sz w:val="24"/>
          <w:szCs w:val="24"/>
          <w:highlight w:val="white"/>
        </w:rPr>
        <w:t xml:space="preserve">Sharma, V. K., Chandna, P., &amp; Bhardwaj, A. (2017). Green supply chain management related performance indicators in </w:t>
      </w:r>
      <w:proofErr w:type="spellStart"/>
      <w:r w:rsidRPr="00A31721">
        <w:rPr>
          <w:rFonts w:ascii="Times New Roman" w:eastAsia="Times New Roman" w:hAnsi="Times New Roman" w:cs="Times New Roman"/>
          <w:color w:val="000000" w:themeColor="text1"/>
          <w:sz w:val="24"/>
          <w:szCs w:val="24"/>
          <w:highlight w:val="white"/>
        </w:rPr>
        <w:t>agro</w:t>
      </w:r>
      <w:proofErr w:type="spellEnd"/>
      <w:r w:rsidRPr="00A31721">
        <w:rPr>
          <w:rFonts w:ascii="Times New Roman" w:eastAsia="Times New Roman" w:hAnsi="Times New Roman" w:cs="Times New Roman"/>
          <w:color w:val="000000" w:themeColor="text1"/>
          <w:sz w:val="24"/>
          <w:szCs w:val="24"/>
          <w:highlight w:val="white"/>
        </w:rPr>
        <w:t xml:space="preserve"> industry: A review. </w:t>
      </w:r>
      <w:r w:rsidRPr="00A31721">
        <w:rPr>
          <w:rFonts w:ascii="Times New Roman" w:eastAsia="Times New Roman" w:hAnsi="Times New Roman" w:cs="Times New Roman"/>
          <w:i/>
          <w:color w:val="000000" w:themeColor="text1"/>
          <w:sz w:val="24"/>
          <w:szCs w:val="24"/>
          <w:highlight w:val="white"/>
        </w:rPr>
        <w:t>Journal of cleaner production</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141</w:t>
      </w:r>
      <w:r w:rsidRPr="00A31721">
        <w:rPr>
          <w:rFonts w:ascii="Times New Roman" w:eastAsia="Times New Roman" w:hAnsi="Times New Roman" w:cs="Times New Roman"/>
          <w:color w:val="000000" w:themeColor="text1"/>
          <w:sz w:val="24"/>
          <w:szCs w:val="24"/>
          <w:highlight w:val="white"/>
        </w:rPr>
        <w:t xml:space="preserve">, 1194-1208. </w:t>
      </w:r>
      <w:r w:rsidR="008248CA" w:rsidRPr="00A31721">
        <w:rPr>
          <w:rFonts w:ascii="Times New Roman" w:eastAsia="Times New Roman" w:hAnsi="Times New Roman" w:cs="Times New Roman"/>
          <w:color w:val="000000" w:themeColor="text1"/>
          <w:sz w:val="24"/>
          <w:szCs w:val="24"/>
        </w:rPr>
        <w:t>https://</w:t>
      </w:r>
      <w:hyperlink r:id="rId80">
        <w:r w:rsidRPr="00A31721">
          <w:rPr>
            <w:rFonts w:ascii="Times New Roman" w:eastAsia="Times New Roman" w:hAnsi="Times New Roman" w:cs="Times New Roman"/>
            <w:color w:val="000000" w:themeColor="text1"/>
            <w:sz w:val="24"/>
            <w:szCs w:val="24"/>
            <w:u w:val="single"/>
          </w:rPr>
          <w:t>doi.org/10.1016/j.jclepro.2016.09.103</w:t>
        </w:r>
      </w:hyperlink>
    </w:p>
    <w:p w14:paraId="64823A5A" w14:textId="720EFBAC" w:rsidR="00460AFB" w:rsidRPr="00A31721" w:rsidRDefault="00460AFB" w:rsidP="00460AF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Silva, M. E., Fritz, M. M., &amp; El-</w:t>
      </w:r>
      <w:proofErr w:type="spellStart"/>
      <w:r w:rsidRPr="00A31721">
        <w:rPr>
          <w:rFonts w:ascii="Times New Roman" w:hAnsi="Times New Roman" w:cs="Times New Roman"/>
          <w:color w:val="000000" w:themeColor="text1"/>
          <w:sz w:val="24"/>
          <w:szCs w:val="24"/>
        </w:rPr>
        <w:t>Garaihy</w:t>
      </w:r>
      <w:proofErr w:type="spellEnd"/>
      <w:r w:rsidRPr="00A31721">
        <w:rPr>
          <w:rFonts w:ascii="Times New Roman" w:hAnsi="Times New Roman" w:cs="Times New Roman"/>
          <w:color w:val="000000" w:themeColor="text1"/>
          <w:sz w:val="24"/>
          <w:szCs w:val="24"/>
        </w:rPr>
        <w:t xml:space="preserve">, W. H. (2022). Practice theories and supply chain sustainability: A systematic literature review and a research agenda. </w:t>
      </w:r>
      <w:r w:rsidRPr="00A31721">
        <w:rPr>
          <w:rFonts w:ascii="Times New Roman" w:hAnsi="Times New Roman" w:cs="Times New Roman"/>
          <w:i/>
          <w:iCs/>
          <w:color w:val="000000" w:themeColor="text1"/>
          <w:sz w:val="24"/>
          <w:szCs w:val="24"/>
        </w:rPr>
        <w:t>Modern Supply Chain Research and Applications</w:t>
      </w:r>
      <w:r w:rsidRPr="00A31721">
        <w:rPr>
          <w:rFonts w:ascii="Times New Roman" w:hAnsi="Times New Roman" w:cs="Times New Roman"/>
          <w:color w:val="000000" w:themeColor="text1"/>
          <w:sz w:val="24"/>
          <w:szCs w:val="24"/>
        </w:rPr>
        <w:t xml:space="preserve">, 4(1), 19-38. </w:t>
      </w:r>
      <w:hyperlink r:id="rId81" w:history="1">
        <w:r w:rsidR="00A006BC" w:rsidRPr="00A31721">
          <w:rPr>
            <w:rStyle w:val="Hyperlink"/>
            <w:rFonts w:ascii="Times New Roman" w:hAnsi="Times New Roman" w:cs="Times New Roman"/>
            <w:color w:val="000000" w:themeColor="text1"/>
            <w:sz w:val="24"/>
            <w:szCs w:val="24"/>
          </w:rPr>
          <w:t>https://doi.org/10.1108/MSCRA-01-2021-0001</w:t>
        </w:r>
      </w:hyperlink>
      <w:r w:rsidR="00A006BC" w:rsidRPr="00A31721">
        <w:rPr>
          <w:rFonts w:ascii="Times New Roman" w:hAnsi="Times New Roman" w:cs="Times New Roman"/>
          <w:color w:val="000000" w:themeColor="text1"/>
          <w:sz w:val="24"/>
          <w:szCs w:val="24"/>
        </w:rPr>
        <w:t xml:space="preserve"> </w:t>
      </w:r>
    </w:p>
    <w:p w14:paraId="73058BF9" w14:textId="77777777"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lang w:val="pt-BR"/>
        </w:rPr>
      </w:pPr>
      <w:r w:rsidRPr="00A31721">
        <w:rPr>
          <w:rFonts w:ascii="Times New Roman" w:eastAsia="Times New Roman" w:hAnsi="Times New Roman" w:cs="Times New Roman"/>
          <w:color w:val="000000" w:themeColor="text1"/>
          <w:sz w:val="24"/>
          <w:szCs w:val="24"/>
          <w:lang w:val="pt-BR"/>
        </w:rPr>
        <w:lastRenderedPageBreak/>
        <w:t xml:space="preserve">Sistema Integrado de Produtos e Estabelecimentos Agropecuários (SIPEAGRO). (2023). MAPA - Ministério da Agricultura, Pecuária e Abastecimento. </w:t>
      </w:r>
      <w:hyperlink r:id="rId82">
        <w:r w:rsidRPr="00A31721">
          <w:rPr>
            <w:rFonts w:ascii="Times New Roman" w:eastAsia="Times New Roman" w:hAnsi="Times New Roman" w:cs="Times New Roman"/>
            <w:color w:val="000000" w:themeColor="text1"/>
            <w:sz w:val="24"/>
            <w:szCs w:val="24"/>
            <w:u w:val="single"/>
            <w:lang w:val="pt-BR"/>
          </w:rPr>
          <w:t>dados.agricultura.gov.br/dataset/sipeagro/resource/8ef7a4fc-f9d9-495b-b3ae-a2ffe931ff82</w:t>
        </w:r>
      </w:hyperlink>
      <w:r w:rsidRPr="00A31721">
        <w:rPr>
          <w:rFonts w:ascii="Times New Roman" w:eastAsia="Times New Roman" w:hAnsi="Times New Roman" w:cs="Times New Roman"/>
          <w:color w:val="000000" w:themeColor="text1"/>
          <w:sz w:val="24"/>
          <w:szCs w:val="24"/>
          <w:lang w:val="pt-BR"/>
        </w:rPr>
        <w:t xml:space="preserve"> </w:t>
      </w:r>
    </w:p>
    <w:p w14:paraId="36D7C445" w14:textId="3C6A86DE"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u w:val="single"/>
        </w:rPr>
      </w:pPr>
      <w:r w:rsidRPr="00A31721">
        <w:rPr>
          <w:rFonts w:ascii="Times New Roman" w:eastAsia="Times New Roman" w:hAnsi="Times New Roman" w:cs="Times New Roman"/>
          <w:color w:val="000000" w:themeColor="text1"/>
          <w:sz w:val="24"/>
          <w:szCs w:val="24"/>
          <w:highlight w:val="white"/>
          <w:lang w:val="it-IT"/>
        </w:rPr>
        <w:t>Steur, H., Temmerman, H., Gellynck, X., &amp; Canavari, M. (</w:t>
      </w:r>
      <w:r w:rsidRPr="00A31721">
        <w:rPr>
          <w:rFonts w:ascii="Times New Roman" w:eastAsia="Times New Roman" w:hAnsi="Times New Roman" w:cs="Times New Roman"/>
          <w:color w:val="000000" w:themeColor="text1"/>
          <w:sz w:val="24"/>
          <w:szCs w:val="24"/>
          <w:lang w:val="it-IT"/>
        </w:rPr>
        <w:t>20</w:t>
      </w:r>
      <w:r w:rsidR="006D4E29" w:rsidRPr="00A31721">
        <w:rPr>
          <w:rFonts w:ascii="Times New Roman" w:eastAsia="Times New Roman" w:hAnsi="Times New Roman" w:cs="Times New Roman"/>
          <w:color w:val="000000" w:themeColor="text1"/>
          <w:sz w:val="24"/>
          <w:szCs w:val="24"/>
          <w:lang w:val="it-IT"/>
        </w:rPr>
        <w:t>20</w:t>
      </w:r>
      <w:r w:rsidRPr="00A31721">
        <w:rPr>
          <w:rFonts w:ascii="Times New Roman" w:eastAsia="Times New Roman" w:hAnsi="Times New Roman" w:cs="Times New Roman"/>
          <w:color w:val="000000" w:themeColor="text1"/>
          <w:sz w:val="24"/>
          <w:szCs w:val="24"/>
          <w:highlight w:val="white"/>
          <w:lang w:val="it-IT"/>
        </w:rPr>
        <w:t xml:space="preserve">). </w:t>
      </w:r>
      <w:r w:rsidRPr="00A31721">
        <w:rPr>
          <w:rFonts w:ascii="Times New Roman" w:eastAsia="Times New Roman" w:hAnsi="Times New Roman" w:cs="Times New Roman"/>
          <w:color w:val="000000" w:themeColor="text1"/>
          <w:sz w:val="24"/>
          <w:szCs w:val="24"/>
          <w:highlight w:val="white"/>
        </w:rPr>
        <w:t xml:space="preserve">Drivers, adoption, and evaluation of sustainability practices in Italian wine SMEs. </w:t>
      </w:r>
      <w:r w:rsidRPr="00A31721">
        <w:rPr>
          <w:rFonts w:ascii="Times New Roman" w:eastAsia="Times New Roman" w:hAnsi="Times New Roman" w:cs="Times New Roman"/>
          <w:i/>
          <w:color w:val="000000" w:themeColor="text1"/>
          <w:sz w:val="24"/>
          <w:szCs w:val="24"/>
          <w:highlight w:val="white"/>
        </w:rPr>
        <w:t>Business Strategy and the Environment</w:t>
      </w:r>
      <w:r w:rsidR="00476C6A" w:rsidRPr="00A31721">
        <w:rPr>
          <w:rFonts w:ascii="Times New Roman" w:eastAsia="Times New Roman" w:hAnsi="Times New Roman" w:cs="Times New Roman"/>
          <w:i/>
          <w:color w:val="000000" w:themeColor="text1"/>
          <w:sz w:val="24"/>
          <w:szCs w:val="24"/>
          <w:highlight w:val="white"/>
        </w:rPr>
        <w:t>, 29</w:t>
      </w:r>
      <w:r w:rsidR="00476C6A" w:rsidRPr="00A31721">
        <w:rPr>
          <w:rFonts w:ascii="Times New Roman" w:eastAsia="Times New Roman" w:hAnsi="Times New Roman" w:cs="Times New Roman"/>
          <w:iCs/>
          <w:color w:val="000000" w:themeColor="text1"/>
          <w:sz w:val="24"/>
          <w:szCs w:val="24"/>
          <w:highlight w:val="white"/>
        </w:rPr>
        <w:t>(2), 744-762</w:t>
      </w:r>
      <w:r w:rsidRPr="00A31721">
        <w:rPr>
          <w:rFonts w:ascii="Times New Roman" w:eastAsia="Times New Roman" w:hAnsi="Times New Roman" w:cs="Times New Roman"/>
          <w:color w:val="000000" w:themeColor="text1"/>
          <w:sz w:val="24"/>
          <w:szCs w:val="24"/>
          <w:highlight w:val="white"/>
        </w:rPr>
        <w:t>.</w:t>
      </w:r>
      <w:r w:rsidR="00776D0F" w:rsidRPr="00A31721">
        <w:rPr>
          <w:rFonts w:ascii="Times New Roman" w:eastAsia="Times New Roman" w:hAnsi="Times New Roman" w:cs="Times New Roman"/>
          <w:color w:val="000000" w:themeColor="text1"/>
          <w:sz w:val="24"/>
          <w:szCs w:val="24"/>
        </w:rPr>
        <w:t xml:space="preserve"> https://</w:t>
      </w:r>
      <w:hyperlink r:id="rId83">
        <w:r w:rsidRPr="00A31721">
          <w:rPr>
            <w:rFonts w:ascii="Times New Roman" w:eastAsia="Times New Roman" w:hAnsi="Times New Roman" w:cs="Times New Roman"/>
            <w:color w:val="000000" w:themeColor="text1"/>
            <w:sz w:val="24"/>
            <w:szCs w:val="24"/>
            <w:highlight w:val="white"/>
            <w:u w:val="single"/>
          </w:rPr>
          <w:t>doi.org/10.1002/bse.2436</w:t>
        </w:r>
      </w:hyperlink>
    </w:p>
    <w:p w14:paraId="0E916BCD" w14:textId="6DC7521F" w:rsidR="00460AFB" w:rsidRPr="00A31721" w:rsidRDefault="00460AFB" w:rsidP="00460AFB">
      <w:pPr>
        <w:spacing w:after="0" w:line="240" w:lineRule="auto"/>
        <w:ind w:left="720" w:hanging="720"/>
        <w:contextualSpacing/>
        <w:jc w:val="both"/>
        <w:rPr>
          <w:rFonts w:ascii="Times New Roman" w:hAnsi="Times New Roman" w:cs="Times New Roman"/>
          <w:color w:val="000000" w:themeColor="text1"/>
          <w:sz w:val="24"/>
          <w:szCs w:val="24"/>
          <w:shd w:val="clear" w:color="auto" w:fill="FFFFFF"/>
        </w:rPr>
      </w:pPr>
      <w:proofErr w:type="spellStart"/>
      <w:r w:rsidRPr="00A31721">
        <w:rPr>
          <w:rFonts w:ascii="Times New Roman" w:hAnsi="Times New Roman" w:cs="Times New Roman"/>
          <w:color w:val="000000" w:themeColor="text1"/>
          <w:sz w:val="24"/>
          <w:szCs w:val="24"/>
          <w:shd w:val="clear" w:color="auto" w:fill="FFFFFF"/>
        </w:rPr>
        <w:t>Swalih</w:t>
      </w:r>
      <w:proofErr w:type="spellEnd"/>
      <w:r w:rsidRPr="00A31721">
        <w:rPr>
          <w:rFonts w:ascii="Times New Roman" w:hAnsi="Times New Roman" w:cs="Times New Roman"/>
          <w:color w:val="000000" w:themeColor="text1"/>
          <w:sz w:val="24"/>
          <w:szCs w:val="24"/>
          <w:shd w:val="clear" w:color="auto" w:fill="FFFFFF"/>
        </w:rPr>
        <w:t>, M. M., Ram, R., &amp; Tew, E. (2024). Environmental management accounting for strategic decision‐making: A systematic literature review. </w:t>
      </w:r>
      <w:r w:rsidRPr="00A31721">
        <w:rPr>
          <w:rFonts w:ascii="Times New Roman" w:hAnsi="Times New Roman" w:cs="Times New Roman"/>
          <w:i/>
          <w:iCs/>
          <w:color w:val="000000" w:themeColor="text1"/>
          <w:sz w:val="24"/>
          <w:szCs w:val="24"/>
          <w:shd w:val="clear" w:color="auto" w:fill="FFFFFF"/>
        </w:rPr>
        <w:t>Business Strategy and the Environment</w:t>
      </w:r>
      <w:r w:rsidR="00304A0F" w:rsidRPr="00A31721">
        <w:rPr>
          <w:rFonts w:ascii="Times New Roman" w:hAnsi="Times New Roman" w:cs="Times New Roman"/>
          <w:i/>
          <w:iCs/>
          <w:color w:val="000000" w:themeColor="text1"/>
          <w:sz w:val="24"/>
          <w:szCs w:val="24"/>
          <w:shd w:val="clear" w:color="auto" w:fill="FFFFFF"/>
        </w:rPr>
        <w:t>, 33</w:t>
      </w:r>
      <w:r w:rsidR="00304A0F" w:rsidRPr="00A31721">
        <w:rPr>
          <w:rFonts w:ascii="Times New Roman" w:hAnsi="Times New Roman" w:cs="Times New Roman"/>
          <w:color w:val="000000" w:themeColor="text1"/>
          <w:sz w:val="24"/>
          <w:szCs w:val="24"/>
          <w:shd w:val="clear" w:color="auto" w:fill="FFFFFF"/>
        </w:rPr>
        <w:t>(7), 6335-6367</w:t>
      </w:r>
      <w:r w:rsidRPr="00A31721">
        <w:rPr>
          <w:rFonts w:ascii="Times New Roman" w:hAnsi="Times New Roman" w:cs="Times New Roman"/>
          <w:color w:val="000000" w:themeColor="text1"/>
          <w:sz w:val="24"/>
          <w:szCs w:val="24"/>
          <w:shd w:val="clear" w:color="auto" w:fill="FFFFFF"/>
        </w:rPr>
        <w:t xml:space="preserve">. </w:t>
      </w:r>
      <w:r w:rsidR="00304A0F" w:rsidRPr="00A31721">
        <w:rPr>
          <w:rFonts w:ascii="Times New Roman" w:eastAsia="Times New Roman" w:hAnsi="Times New Roman" w:cs="Times New Roman"/>
          <w:color w:val="000000" w:themeColor="text1"/>
          <w:sz w:val="24"/>
          <w:szCs w:val="24"/>
        </w:rPr>
        <w:t>https://</w:t>
      </w:r>
      <w:hyperlink r:id="rId84" w:history="1">
        <w:r w:rsidRPr="00A31721">
          <w:rPr>
            <w:rStyle w:val="Hyperlink"/>
            <w:rFonts w:ascii="Times New Roman" w:hAnsi="Times New Roman" w:cs="Times New Roman"/>
            <w:bCs/>
            <w:color w:val="000000" w:themeColor="text1"/>
            <w:sz w:val="24"/>
            <w:szCs w:val="24"/>
            <w:shd w:val="clear" w:color="auto" w:fill="FFFFFF"/>
          </w:rPr>
          <w:t>doi.org/10.1002/bse.3828</w:t>
        </w:r>
      </w:hyperlink>
      <w:r w:rsidRPr="00A31721">
        <w:rPr>
          <w:rFonts w:ascii="Times New Roman" w:hAnsi="Times New Roman" w:cs="Times New Roman"/>
          <w:color w:val="000000" w:themeColor="text1"/>
          <w:sz w:val="24"/>
          <w:szCs w:val="24"/>
        </w:rPr>
        <w:t xml:space="preserve">  </w:t>
      </w:r>
    </w:p>
    <w:p w14:paraId="7BE15E0D" w14:textId="2E168A83" w:rsidR="00460AFB" w:rsidRPr="00A31721" w:rsidRDefault="00460AFB" w:rsidP="00460AFB">
      <w:pPr>
        <w:spacing w:after="0" w:line="240" w:lineRule="auto"/>
        <w:ind w:left="720" w:hanging="720"/>
        <w:jc w:val="both"/>
        <w:rPr>
          <w:rFonts w:ascii="Times New Roman" w:eastAsia="Times New Roman" w:hAnsi="Times New Roman" w:cs="Times New Roman"/>
          <w:color w:val="000000" w:themeColor="text1"/>
          <w:sz w:val="24"/>
          <w:szCs w:val="24"/>
          <w:highlight w:val="white"/>
          <w:u w:val="single"/>
        </w:rPr>
      </w:pPr>
      <w:r w:rsidRPr="00A31721">
        <w:rPr>
          <w:rFonts w:ascii="Times New Roman" w:eastAsia="Times New Roman" w:hAnsi="Times New Roman" w:cs="Times New Roman"/>
          <w:color w:val="000000" w:themeColor="text1"/>
          <w:sz w:val="24"/>
          <w:szCs w:val="24"/>
          <w:highlight w:val="white"/>
        </w:rPr>
        <w:t xml:space="preserve">Trigo, A., &amp; Silva, P. (2022). Sustainable development directions for wine tourism in Douro wine region, Portugal. </w:t>
      </w:r>
      <w:r w:rsidRPr="00A31721">
        <w:rPr>
          <w:rFonts w:ascii="Times New Roman" w:eastAsia="Times New Roman" w:hAnsi="Times New Roman" w:cs="Times New Roman"/>
          <w:i/>
          <w:color w:val="000000" w:themeColor="text1"/>
          <w:sz w:val="24"/>
          <w:szCs w:val="24"/>
          <w:highlight w:val="white"/>
        </w:rPr>
        <w:t>Sustainability</w:t>
      </w:r>
      <w:r w:rsidRPr="00A31721">
        <w:rPr>
          <w:rFonts w:ascii="Times New Roman" w:eastAsia="Times New Roman" w:hAnsi="Times New Roman" w:cs="Times New Roman"/>
          <w:color w:val="000000" w:themeColor="text1"/>
          <w:sz w:val="24"/>
          <w:szCs w:val="24"/>
          <w:highlight w:val="white"/>
        </w:rPr>
        <w:t xml:space="preserve">, </w:t>
      </w:r>
      <w:r w:rsidRPr="00A31721">
        <w:rPr>
          <w:rFonts w:ascii="Times New Roman" w:eastAsia="Times New Roman" w:hAnsi="Times New Roman" w:cs="Times New Roman"/>
          <w:i/>
          <w:color w:val="000000" w:themeColor="text1"/>
          <w:sz w:val="24"/>
          <w:szCs w:val="24"/>
          <w:highlight w:val="white"/>
        </w:rPr>
        <w:t>14</w:t>
      </w:r>
      <w:r w:rsidRPr="00A31721">
        <w:rPr>
          <w:rFonts w:ascii="Times New Roman" w:eastAsia="Times New Roman" w:hAnsi="Times New Roman" w:cs="Times New Roman"/>
          <w:color w:val="000000" w:themeColor="text1"/>
          <w:sz w:val="24"/>
          <w:szCs w:val="24"/>
          <w:highlight w:val="white"/>
        </w:rPr>
        <w:t xml:space="preserve">, 3949. </w:t>
      </w:r>
      <w:r w:rsidR="00E52198" w:rsidRPr="00A31721">
        <w:rPr>
          <w:rFonts w:ascii="Times New Roman" w:eastAsia="Times New Roman" w:hAnsi="Times New Roman" w:cs="Times New Roman"/>
          <w:color w:val="000000" w:themeColor="text1"/>
          <w:sz w:val="24"/>
          <w:szCs w:val="24"/>
        </w:rPr>
        <w:t>https://</w:t>
      </w:r>
      <w:hyperlink r:id="rId85">
        <w:r w:rsidRPr="00A31721">
          <w:rPr>
            <w:rFonts w:ascii="Times New Roman" w:eastAsia="Times New Roman" w:hAnsi="Times New Roman" w:cs="Times New Roman"/>
            <w:color w:val="000000" w:themeColor="text1"/>
            <w:sz w:val="24"/>
            <w:szCs w:val="24"/>
            <w:highlight w:val="white"/>
            <w:u w:val="single"/>
          </w:rPr>
          <w:t>doi.org/10.3390/su14073949</w:t>
        </w:r>
      </w:hyperlink>
    </w:p>
    <w:p w14:paraId="0FE21CF9" w14:textId="77777777" w:rsidR="00460AFB" w:rsidRPr="00A31721" w:rsidRDefault="00460AFB" w:rsidP="00460AFB">
      <w:pPr>
        <w:shd w:val="clear" w:color="auto" w:fill="FFFFFF"/>
        <w:spacing w:after="0" w:line="240" w:lineRule="auto"/>
        <w:ind w:left="720" w:hanging="720"/>
        <w:contextualSpacing/>
        <w:rPr>
          <w:rFonts w:ascii="Times New Roman" w:eastAsia="Times New Roman" w:hAnsi="Times New Roman" w:cs="Times New Roman"/>
          <w:color w:val="000000" w:themeColor="text1"/>
          <w:sz w:val="24"/>
          <w:szCs w:val="24"/>
          <w:highlight w:val="white"/>
        </w:rPr>
      </w:pPr>
      <w:r w:rsidRPr="00A31721">
        <w:rPr>
          <w:rFonts w:ascii="Times New Roman" w:hAnsi="Times New Roman" w:cs="Times New Roman"/>
          <w:color w:val="000000" w:themeColor="text1"/>
          <w:sz w:val="24"/>
          <w:szCs w:val="24"/>
          <w:shd w:val="clear" w:color="auto" w:fill="FFFFFF"/>
        </w:rPr>
        <w:t xml:space="preserve">Wang, Z., Wang, Q., Zhang, S., &amp; Zhao, X. (2018). Effects of customer and cost drivers on green supply chain management practices and environmental performance. </w:t>
      </w:r>
      <w:r w:rsidRPr="00A31721">
        <w:rPr>
          <w:rFonts w:ascii="Times New Roman" w:hAnsi="Times New Roman" w:cs="Times New Roman"/>
          <w:i/>
          <w:iCs/>
          <w:color w:val="000000" w:themeColor="text1"/>
          <w:sz w:val="24"/>
          <w:szCs w:val="24"/>
          <w:shd w:val="clear" w:color="auto" w:fill="FFFFFF"/>
        </w:rPr>
        <w:t>Journal of Cleaner Production</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189</w:t>
      </w:r>
      <w:r w:rsidRPr="00A31721">
        <w:rPr>
          <w:rFonts w:ascii="Times New Roman" w:hAnsi="Times New Roman" w:cs="Times New Roman"/>
          <w:color w:val="000000" w:themeColor="text1"/>
          <w:sz w:val="24"/>
          <w:szCs w:val="24"/>
          <w:shd w:val="clear" w:color="auto" w:fill="FFFFFF"/>
        </w:rPr>
        <w:t xml:space="preserve">, 673-682. </w:t>
      </w:r>
      <w:hyperlink r:id="rId86" w:history="1">
        <w:r w:rsidRPr="00A31721">
          <w:rPr>
            <w:rStyle w:val="Hyperlink"/>
            <w:rFonts w:ascii="Times New Roman" w:hAnsi="Times New Roman" w:cs="Times New Roman"/>
            <w:color w:val="000000" w:themeColor="text1"/>
            <w:sz w:val="24"/>
            <w:szCs w:val="24"/>
          </w:rPr>
          <w:t>https://doi.org/10.1016/j.jclepro.2018.04.071</w:t>
        </w:r>
      </w:hyperlink>
    </w:p>
    <w:p w14:paraId="4AD80904" w14:textId="77777777" w:rsidR="00EC2348" w:rsidRPr="00A31721" w:rsidRDefault="00460AFB" w:rsidP="00EC2348">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t xml:space="preserve">Wang, S., Wang, H. </w:t>
      </w:r>
      <w:r w:rsidR="00601D5B" w:rsidRPr="00A31721">
        <w:rPr>
          <w:rFonts w:ascii="Times New Roman" w:hAnsi="Times New Roman" w:cs="Times New Roman"/>
          <w:color w:val="000000" w:themeColor="text1"/>
          <w:sz w:val="24"/>
          <w:szCs w:val="24"/>
        </w:rPr>
        <w:t xml:space="preserve">&amp; </w:t>
      </w:r>
      <w:r w:rsidRPr="00A31721">
        <w:rPr>
          <w:rFonts w:ascii="Times New Roman" w:hAnsi="Times New Roman" w:cs="Times New Roman"/>
          <w:color w:val="000000" w:themeColor="text1"/>
          <w:sz w:val="24"/>
          <w:szCs w:val="24"/>
        </w:rPr>
        <w:t>Wang, J. (2019), Exploring the effects of institutional pressures on the implementation of environmental management accounting: Top management support and perceived benefit</w:t>
      </w:r>
      <w:r w:rsidR="008A421A" w:rsidRPr="00A31721">
        <w:rPr>
          <w:rFonts w:ascii="Times New Roman" w:hAnsi="Times New Roman" w:cs="Times New Roman"/>
          <w:color w:val="000000" w:themeColor="text1"/>
          <w:sz w:val="24"/>
          <w:szCs w:val="24"/>
        </w:rPr>
        <w:t xml:space="preserve"> word-</w:t>
      </w:r>
      <w:proofErr w:type="gramStart"/>
      <w:r w:rsidR="008A421A" w:rsidRPr="00A31721">
        <w:rPr>
          <w:rFonts w:ascii="Times New Roman" w:hAnsi="Times New Roman" w:cs="Times New Roman"/>
          <w:color w:val="000000" w:themeColor="text1"/>
          <w:sz w:val="24"/>
          <w:szCs w:val="24"/>
        </w:rPr>
        <w:t>k</w:t>
      </w:r>
      <w:r w:rsidRPr="00A31721">
        <w:rPr>
          <w:rFonts w:ascii="Times New Roman" w:hAnsi="Times New Roman" w:cs="Times New Roman"/>
          <w:color w:val="000000" w:themeColor="text1"/>
          <w:sz w:val="24"/>
          <w:szCs w:val="24"/>
        </w:rPr>
        <w:t>?</w:t>
      </w:r>
      <w:r w:rsidR="00601D5B" w:rsidRPr="00A31721">
        <w:rPr>
          <w:rFonts w:ascii="Times New Roman" w:hAnsi="Times New Roman" w:cs="Times New Roman"/>
          <w:color w:val="000000" w:themeColor="text1"/>
          <w:sz w:val="24"/>
          <w:szCs w:val="24"/>
        </w:rPr>
        <w:t>.</w:t>
      </w:r>
      <w:proofErr w:type="gramEnd"/>
      <w:r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i/>
          <w:iCs/>
          <w:color w:val="000000" w:themeColor="text1"/>
          <w:sz w:val="24"/>
          <w:szCs w:val="24"/>
        </w:rPr>
        <w:t>Business Strategy and Environment,</w:t>
      </w:r>
      <w:r w:rsidR="00B746A0" w:rsidRPr="00A31721">
        <w:rPr>
          <w:rFonts w:ascii="Times New Roman" w:hAnsi="Times New Roman" w:cs="Times New Roman"/>
          <w:i/>
          <w:iCs/>
          <w:color w:val="000000" w:themeColor="text1"/>
          <w:sz w:val="24"/>
          <w:szCs w:val="24"/>
        </w:rPr>
        <w:t>28(1),</w:t>
      </w:r>
      <w:r w:rsidRPr="00A31721">
        <w:rPr>
          <w:rFonts w:ascii="Times New Roman" w:hAnsi="Times New Roman" w:cs="Times New Roman"/>
          <w:color w:val="000000" w:themeColor="text1"/>
          <w:sz w:val="24"/>
          <w:szCs w:val="24"/>
        </w:rPr>
        <w:t xml:space="preserve"> 233-243, </w:t>
      </w:r>
      <w:hyperlink r:id="rId87" w:history="1">
        <w:r w:rsidR="00EC2348" w:rsidRPr="00A31721">
          <w:rPr>
            <w:rStyle w:val="Hyperlink"/>
            <w:rFonts w:ascii="Times New Roman" w:hAnsi="Times New Roman" w:cs="Times New Roman"/>
            <w:color w:val="000000" w:themeColor="text1"/>
            <w:sz w:val="24"/>
            <w:szCs w:val="24"/>
          </w:rPr>
          <w:t>https://doi.org/10.1002/bse.2252</w:t>
        </w:r>
      </w:hyperlink>
      <w:r w:rsidR="00EC2348" w:rsidRPr="00A31721">
        <w:rPr>
          <w:rFonts w:ascii="Times New Roman" w:hAnsi="Times New Roman" w:cs="Times New Roman"/>
          <w:color w:val="000000" w:themeColor="text1"/>
          <w:sz w:val="24"/>
          <w:szCs w:val="24"/>
        </w:rPr>
        <w:t xml:space="preserve"> </w:t>
      </w:r>
    </w:p>
    <w:p w14:paraId="37714DEC" w14:textId="05593878" w:rsidR="00460AFB" w:rsidRPr="00A31721" w:rsidRDefault="00460AFB" w:rsidP="00EC2348">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rPr>
        <w:t xml:space="preserve">Waterhouse, J. H. &amp; Tiessen, P. (1978). A contingency framework for management accounting systems research. </w:t>
      </w:r>
      <w:r w:rsidRPr="00A31721">
        <w:rPr>
          <w:rFonts w:ascii="Times New Roman" w:hAnsi="Times New Roman" w:cs="Times New Roman"/>
          <w:i/>
          <w:iCs/>
          <w:color w:val="000000" w:themeColor="text1"/>
          <w:sz w:val="24"/>
          <w:szCs w:val="24"/>
          <w:shd w:val="clear" w:color="auto" w:fill="FFFFFF"/>
        </w:rPr>
        <w:t>Accounting Organizations and Society</w:t>
      </w:r>
      <w:r w:rsidR="00E04B11" w:rsidRPr="00A31721">
        <w:rPr>
          <w:rFonts w:ascii="Times New Roman" w:hAnsi="Times New Roman" w:cs="Times New Roman"/>
          <w:i/>
          <w:iCs/>
          <w:color w:val="000000" w:themeColor="text1"/>
          <w:sz w:val="24"/>
          <w:szCs w:val="24"/>
          <w:shd w:val="clear" w:color="auto" w:fill="FFFFFF"/>
        </w:rPr>
        <w:t>,</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3</w:t>
      </w:r>
      <w:r w:rsidR="00E04B11" w:rsidRPr="00A31721">
        <w:rPr>
          <w:rFonts w:ascii="Times New Roman" w:hAnsi="Times New Roman" w:cs="Times New Roman"/>
          <w:i/>
          <w:iCs/>
          <w:color w:val="000000" w:themeColor="text1"/>
          <w:sz w:val="24"/>
          <w:szCs w:val="24"/>
          <w:shd w:val="clear" w:color="auto" w:fill="FFFFFF"/>
        </w:rPr>
        <w:t>(1)</w:t>
      </w:r>
      <w:r w:rsidRPr="00A31721">
        <w:rPr>
          <w:rFonts w:ascii="Times New Roman" w:hAnsi="Times New Roman" w:cs="Times New Roman"/>
          <w:color w:val="000000" w:themeColor="text1"/>
          <w:sz w:val="24"/>
          <w:szCs w:val="24"/>
          <w:shd w:val="clear" w:color="auto" w:fill="FFFFFF"/>
        </w:rPr>
        <w:t>, 65-76</w:t>
      </w:r>
      <w:r w:rsidR="00E04B11" w:rsidRPr="00A31721">
        <w:rPr>
          <w:rFonts w:ascii="Times New Roman" w:hAnsi="Times New Roman" w:cs="Times New Roman"/>
          <w:color w:val="000000" w:themeColor="text1"/>
          <w:sz w:val="24"/>
          <w:szCs w:val="24"/>
          <w:shd w:val="clear" w:color="auto" w:fill="FFFFFF"/>
        </w:rPr>
        <w:t xml:space="preserve">. </w:t>
      </w:r>
      <w:hyperlink r:id="rId88" w:history="1">
        <w:r w:rsidR="00287F90" w:rsidRPr="00A31721">
          <w:rPr>
            <w:rStyle w:val="Hyperlink"/>
            <w:rFonts w:ascii="Times New Roman" w:hAnsi="Times New Roman" w:cs="Times New Roman"/>
            <w:color w:val="000000" w:themeColor="text1"/>
            <w:sz w:val="24"/>
            <w:szCs w:val="24"/>
            <w:shd w:val="clear" w:color="auto" w:fill="FFFFFF"/>
          </w:rPr>
          <w:t>https://doi.org/10.1016/0361-3682(78)90007-7</w:t>
        </w:r>
      </w:hyperlink>
      <w:r w:rsidR="00287F90" w:rsidRPr="00A31721">
        <w:rPr>
          <w:rFonts w:ascii="Times New Roman" w:hAnsi="Times New Roman" w:cs="Times New Roman"/>
          <w:color w:val="000000" w:themeColor="text1"/>
          <w:sz w:val="24"/>
          <w:szCs w:val="24"/>
          <w:shd w:val="clear" w:color="auto" w:fill="FFFFFF"/>
        </w:rPr>
        <w:t xml:space="preserve"> </w:t>
      </w:r>
    </w:p>
    <w:p w14:paraId="10C73513" w14:textId="77777777" w:rsidR="00460AFB" w:rsidRPr="00A31721" w:rsidRDefault="00460AFB" w:rsidP="00460AFB">
      <w:pPr>
        <w:spacing w:after="0" w:line="240" w:lineRule="auto"/>
        <w:ind w:left="720" w:hanging="720"/>
        <w:rPr>
          <w:rFonts w:ascii="Times New Roman" w:hAnsi="Times New Roman" w:cs="Times New Roman"/>
          <w:color w:val="000000" w:themeColor="text1"/>
          <w:sz w:val="24"/>
          <w:szCs w:val="24"/>
          <w:shd w:val="clear" w:color="auto" w:fill="FFFFFF"/>
        </w:rPr>
      </w:pPr>
      <w:proofErr w:type="gramStart"/>
      <w:r w:rsidRPr="00A31721">
        <w:rPr>
          <w:rFonts w:ascii="Times New Roman" w:hAnsi="Times New Roman" w:cs="Times New Roman"/>
          <w:color w:val="000000" w:themeColor="text1"/>
          <w:sz w:val="24"/>
          <w:szCs w:val="24"/>
          <w:shd w:val="clear" w:color="auto" w:fill="FFFFFF"/>
        </w:rPr>
        <w:t>Xu,  Y.</w:t>
      </w:r>
      <w:proofErr w:type="gramEnd"/>
      <w:r w:rsidRPr="00A31721">
        <w:rPr>
          <w:rFonts w:ascii="Times New Roman" w:hAnsi="Times New Roman" w:cs="Times New Roman"/>
          <w:color w:val="000000" w:themeColor="text1"/>
          <w:sz w:val="24"/>
          <w:szCs w:val="24"/>
          <w:shd w:val="clear" w:color="auto" w:fill="FFFFFF"/>
        </w:rPr>
        <w:t xml:space="preserve">, Cheah, J. H., Hair Jr, J. F., &amp; Liu, Y. (2025). Does EMA implementation promote green innovation? The mediation effects of both cross-functional coopetition and supplier co-creation. </w:t>
      </w:r>
      <w:r w:rsidRPr="00A31721">
        <w:rPr>
          <w:rFonts w:ascii="Times New Roman" w:hAnsi="Times New Roman" w:cs="Times New Roman"/>
          <w:i/>
          <w:iCs/>
          <w:color w:val="000000" w:themeColor="text1"/>
          <w:sz w:val="24"/>
          <w:szCs w:val="24"/>
          <w:shd w:val="clear" w:color="auto" w:fill="FFFFFF"/>
        </w:rPr>
        <w:t>Business Strategy and the Environment, 34</w:t>
      </w:r>
      <w:r w:rsidRPr="00A31721">
        <w:rPr>
          <w:rFonts w:ascii="Times New Roman" w:hAnsi="Times New Roman" w:cs="Times New Roman"/>
          <w:color w:val="000000" w:themeColor="text1"/>
          <w:sz w:val="24"/>
          <w:szCs w:val="24"/>
          <w:shd w:val="clear" w:color="auto" w:fill="FFFFFF"/>
        </w:rPr>
        <w:t xml:space="preserve">(1), 380-401. </w:t>
      </w:r>
      <w:hyperlink r:id="rId89" w:history="1">
        <w:r w:rsidRPr="00A31721">
          <w:rPr>
            <w:rStyle w:val="Hyperlink"/>
            <w:rFonts w:ascii="Times New Roman" w:hAnsi="Times New Roman" w:cs="Times New Roman"/>
            <w:color w:val="000000" w:themeColor="text1"/>
            <w:sz w:val="24"/>
            <w:szCs w:val="24"/>
            <w:shd w:val="clear" w:color="auto" w:fill="FFFFFF"/>
          </w:rPr>
          <w:t>https://doi.org/10.1002/bse.3987</w:t>
        </w:r>
      </w:hyperlink>
      <w:r w:rsidRPr="00A31721">
        <w:rPr>
          <w:rFonts w:ascii="Times New Roman" w:hAnsi="Times New Roman" w:cs="Times New Roman"/>
          <w:color w:val="000000" w:themeColor="text1"/>
          <w:sz w:val="24"/>
          <w:szCs w:val="24"/>
          <w:shd w:val="clear" w:color="auto" w:fill="FFFFFF"/>
        </w:rPr>
        <w:t xml:space="preserve"> </w:t>
      </w:r>
    </w:p>
    <w:p w14:paraId="454BC151" w14:textId="28E519B8" w:rsidR="00460AFB" w:rsidRPr="00A31721" w:rsidRDefault="00460AFB" w:rsidP="00460AFB">
      <w:pPr>
        <w:spacing w:after="0" w:line="240" w:lineRule="auto"/>
        <w:ind w:left="720" w:hanging="720"/>
        <w:rPr>
          <w:rFonts w:ascii="Times New Roman" w:hAnsi="Times New Roman" w:cs="Times New Roman"/>
          <w:color w:val="000000" w:themeColor="text1"/>
          <w:sz w:val="24"/>
          <w:szCs w:val="24"/>
          <w:shd w:val="clear" w:color="auto" w:fill="FFFFFF"/>
        </w:rPr>
      </w:pPr>
      <w:proofErr w:type="spellStart"/>
      <w:r w:rsidRPr="00A31721">
        <w:rPr>
          <w:rFonts w:ascii="Times New Roman" w:hAnsi="Times New Roman" w:cs="Times New Roman"/>
          <w:color w:val="000000" w:themeColor="text1"/>
          <w:sz w:val="24"/>
          <w:szCs w:val="24"/>
          <w:shd w:val="clear" w:color="auto" w:fill="FFFFFF"/>
        </w:rPr>
        <w:t>Zacharof</w:t>
      </w:r>
      <w:proofErr w:type="spellEnd"/>
      <w:r w:rsidRPr="00A31721">
        <w:rPr>
          <w:rFonts w:ascii="Times New Roman" w:hAnsi="Times New Roman" w:cs="Times New Roman"/>
          <w:color w:val="000000" w:themeColor="text1"/>
          <w:sz w:val="24"/>
          <w:szCs w:val="24"/>
          <w:shd w:val="clear" w:color="auto" w:fill="FFFFFF"/>
        </w:rPr>
        <w:t>, M. P. (2017). Grape winery waste as feedstock for bioconversions: applying the biorefinery concept. </w:t>
      </w:r>
      <w:r w:rsidRPr="00A31721">
        <w:rPr>
          <w:rFonts w:ascii="Times New Roman" w:hAnsi="Times New Roman" w:cs="Times New Roman"/>
          <w:i/>
          <w:iCs/>
          <w:color w:val="000000" w:themeColor="text1"/>
          <w:sz w:val="24"/>
          <w:szCs w:val="24"/>
          <w:shd w:val="clear" w:color="auto" w:fill="FFFFFF"/>
        </w:rPr>
        <w:t>Waste and biomass valorization</w:t>
      </w:r>
      <w:r w:rsidRPr="00A31721">
        <w:rPr>
          <w:rFonts w:ascii="Times New Roman" w:hAnsi="Times New Roman" w:cs="Times New Roman"/>
          <w:color w:val="000000" w:themeColor="text1"/>
          <w:sz w:val="24"/>
          <w:szCs w:val="24"/>
          <w:shd w:val="clear" w:color="auto" w:fill="FFFFFF"/>
        </w:rPr>
        <w:t>, </w:t>
      </w:r>
      <w:r w:rsidRPr="00A31721">
        <w:rPr>
          <w:rFonts w:ascii="Times New Roman" w:hAnsi="Times New Roman" w:cs="Times New Roman"/>
          <w:i/>
          <w:iCs/>
          <w:color w:val="000000" w:themeColor="text1"/>
          <w:sz w:val="24"/>
          <w:szCs w:val="24"/>
          <w:shd w:val="clear" w:color="auto" w:fill="FFFFFF"/>
        </w:rPr>
        <w:t>8</w:t>
      </w:r>
      <w:r w:rsidRPr="00A31721">
        <w:rPr>
          <w:rFonts w:ascii="Times New Roman" w:hAnsi="Times New Roman" w:cs="Times New Roman"/>
          <w:color w:val="000000" w:themeColor="text1"/>
          <w:sz w:val="24"/>
          <w:szCs w:val="24"/>
          <w:shd w:val="clear" w:color="auto" w:fill="FFFFFF"/>
        </w:rPr>
        <w:t>(4), 1011-1025.</w:t>
      </w:r>
      <w:r w:rsidRPr="00A31721">
        <w:rPr>
          <w:rFonts w:ascii="Times New Roman" w:hAnsi="Times New Roman" w:cs="Times New Roman"/>
          <w:color w:val="000000" w:themeColor="text1"/>
          <w:sz w:val="24"/>
          <w:szCs w:val="24"/>
        </w:rPr>
        <w:t xml:space="preserve"> </w:t>
      </w:r>
      <w:hyperlink r:id="rId90" w:history="1">
        <w:r w:rsidR="009732F3" w:rsidRPr="00A31721">
          <w:rPr>
            <w:rStyle w:val="Hyperlink"/>
            <w:rFonts w:ascii="Times New Roman" w:hAnsi="Times New Roman" w:cs="Times New Roman"/>
            <w:color w:val="000000" w:themeColor="text1"/>
            <w:sz w:val="24"/>
            <w:szCs w:val="24"/>
          </w:rPr>
          <w:t>https://doi.org/10.1007/s12649-016-9674-2</w:t>
        </w:r>
      </w:hyperlink>
      <w:r w:rsidR="009732F3"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 </w:t>
      </w:r>
      <w:r w:rsidR="009732F3" w:rsidRPr="00A31721">
        <w:rPr>
          <w:rFonts w:ascii="Times New Roman" w:hAnsi="Times New Roman" w:cs="Times New Roman"/>
          <w:color w:val="000000" w:themeColor="text1"/>
          <w:sz w:val="24"/>
          <w:szCs w:val="24"/>
        </w:rPr>
        <w:t xml:space="preserve"> </w:t>
      </w:r>
      <w:r w:rsidRPr="00A31721">
        <w:rPr>
          <w:rFonts w:ascii="Times New Roman" w:hAnsi="Times New Roman" w:cs="Times New Roman"/>
          <w:color w:val="000000" w:themeColor="text1"/>
          <w:sz w:val="24"/>
          <w:szCs w:val="24"/>
        </w:rPr>
        <w:t xml:space="preserve">   </w:t>
      </w:r>
    </w:p>
    <w:p w14:paraId="7966CF87" w14:textId="13C59A72" w:rsidR="00466DEA" w:rsidRPr="00A31721" w:rsidRDefault="00460AFB" w:rsidP="00460AFB">
      <w:pPr>
        <w:spacing w:after="0" w:line="240" w:lineRule="auto"/>
        <w:ind w:left="720" w:hanging="720"/>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shd w:val="clear" w:color="auto" w:fill="FFFFFF"/>
        </w:rPr>
        <w:t xml:space="preserve">Zandi, G. </w:t>
      </w:r>
      <w:r w:rsidR="00F672BB" w:rsidRPr="00A31721">
        <w:rPr>
          <w:rFonts w:ascii="Times New Roman" w:hAnsi="Times New Roman" w:cs="Times New Roman"/>
          <w:color w:val="000000" w:themeColor="text1"/>
          <w:sz w:val="24"/>
          <w:szCs w:val="24"/>
          <w:shd w:val="clear" w:color="auto" w:fill="FFFFFF"/>
        </w:rPr>
        <w:t xml:space="preserve">&amp; </w:t>
      </w:r>
      <w:r w:rsidRPr="00A31721">
        <w:rPr>
          <w:rFonts w:ascii="Times New Roman" w:hAnsi="Times New Roman" w:cs="Times New Roman"/>
          <w:color w:val="000000" w:themeColor="text1"/>
          <w:sz w:val="24"/>
          <w:szCs w:val="24"/>
          <w:shd w:val="clear" w:color="auto" w:fill="FFFFFF"/>
        </w:rPr>
        <w:t>Lee, H.  (2019</w:t>
      </w:r>
      <w:r w:rsidR="00F672BB"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color w:val="000000" w:themeColor="text1"/>
          <w:sz w:val="24"/>
          <w:szCs w:val="24"/>
          <w:shd w:val="clear" w:color="auto" w:fill="FFFFFF"/>
        </w:rPr>
        <w:t>Factors affecting environmental management accounting and environmental performance: an empirical assessment</w:t>
      </w:r>
      <w:r w:rsidR="00F672BB" w:rsidRPr="00A31721">
        <w:rPr>
          <w:rFonts w:ascii="Times New Roman" w:hAnsi="Times New Roman" w:cs="Times New Roman"/>
          <w:color w:val="000000" w:themeColor="text1"/>
          <w:sz w:val="24"/>
          <w:szCs w:val="24"/>
          <w:shd w:val="clear" w:color="auto" w:fill="FFFFFF"/>
        </w:rPr>
        <w:t>.</w:t>
      </w:r>
      <w:r w:rsidRPr="00A31721">
        <w:rPr>
          <w:rFonts w:ascii="Times New Roman" w:hAnsi="Times New Roman" w:cs="Times New Roman"/>
          <w:color w:val="000000" w:themeColor="text1"/>
          <w:sz w:val="24"/>
          <w:szCs w:val="24"/>
          <w:shd w:val="clear" w:color="auto" w:fill="FFFFFF"/>
        </w:rPr>
        <w:t xml:space="preserve"> </w:t>
      </w:r>
      <w:r w:rsidRPr="00A31721">
        <w:rPr>
          <w:rFonts w:ascii="Times New Roman" w:hAnsi="Times New Roman" w:cs="Times New Roman"/>
          <w:i/>
          <w:iCs/>
          <w:color w:val="000000" w:themeColor="text1"/>
          <w:sz w:val="24"/>
          <w:szCs w:val="24"/>
          <w:shd w:val="clear" w:color="auto" w:fill="FFFFFF"/>
        </w:rPr>
        <w:t>International Journal of Energy Economics and Policy</w:t>
      </w:r>
      <w:r w:rsidRPr="00A31721">
        <w:rPr>
          <w:rFonts w:ascii="Times New Roman" w:hAnsi="Times New Roman" w:cs="Times New Roman"/>
          <w:color w:val="000000" w:themeColor="text1"/>
          <w:sz w:val="24"/>
          <w:szCs w:val="24"/>
          <w:shd w:val="clear" w:color="auto" w:fill="FFFFFF"/>
        </w:rPr>
        <w:t>, 9</w:t>
      </w:r>
      <w:r w:rsidR="00F672BB" w:rsidRPr="00A31721">
        <w:rPr>
          <w:rFonts w:ascii="Times New Roman" w:hAnsi="Times New Roman" w:cs="Times New Roman"/>
          <w:color w:val="000000" w:themeColor="text1"/>
          <w:sz w:val="24"/>
          <w:szCs w:val="24"/>
          <w:shd w:val="clear" w:color="auto" w:fill="FFFFFF"/>
        </w:rPr>
        <w:t>(</w:t>
      </w:r>
      <w:r w:rsidRPr="00A31721">
        <w:rPr>
          <w:rFonts w:ascii="Times New Roman" w:hAnsi="Times New Roman" w:cs="Times New Roman"/>
          <w:color w:val="000000" w:themeColor="text1"/>
          <w:sz w:val="24"/>
          <w:szCs w:val="24"/>
          <w:shd w:val="clear" w:color="auto" w:fill="FFFFFF"/>
        </w:rPr>
        <w:t>6</w:t>
      </w:r>
      <w:r w:rsidR="00F672BB" w:rsidRPr="00A31721">
        <w:rPr>
          <w:rFonts w:ascii="Times New Roman" w:hAnsi="Times New Roman" w:cs="Times New Roman"/>
          <w:color w:val="000000" w:themeColor="text1"/>
          <w:sz w:val="24"/>
          <w:szCs w:val="24"/>
          <w:shd w:val="clear" w:color="auto" w:fill="FFFFFF"/>
        </w:rPr>
        <w:t>)</w:t>
      </w:r>
      <w:r w:rsidRPr="00A31721">
        <w:rPr>
          <w:rFonts w:ascii="Times New Roman" w:hAnsi="Times New Roman" w:cs="Times New Roman"/>
          <w:color w:val="000000" w:themeColor="text1"/>
          <w:sz w:val="24"/>
          <w:szCs w:val="24"/>
          <w:shd w:val="clear" w:color="auto" w:fill="FFFFFF"/>
        </w:rPr>
        <w:t xml:space="preserve">, 342-348, </w:t>
      </w:r>
      <w:hyperlink r:id="rId91" w:history="1">
        <w:r w:rsidR="00466DEA" w:rsidRPr="00A31721">
          <w:rPr>
            <w:rStyle w:val="Hyperlink"/>
            <w:rFonts w:ascii="Times New Roman" w:hAnsi="Times New Roman" w:cs="Times New Roman"/>
            <w:color w:val="000000" w:themeColor="text1"/>
            <w:sz w:val="24"/>
            <w:szCs w:val="24"/>
          </w:rPr>
          <w:t>http://dx.doi.org/10.32479/ijeep.8369</w:t>
        </w:r>
      </w:hyperlink>
    </w:p>
    <w:p w14:paraId="39BEDD9A" w14:textId="5513C0E0" w:rsidR="00336C33" w:rsidRPr="00A31721" w:rsidRDefault="00761088" w:rsidP="00AE2EC9">
      <w:pPr>
        <w:spacing w:after="0" w:line="240" w:lineRule="auto"/>
        <w:ind w:left="720" w:hanging="720"/>
        <w:rPr>
          <w:rFonts w:ascii="Times New Roman" w:hAnsi="Times New Roman" w:cs="Times New Roman"/>
          <w:color w:val="000000" w:themeColor="text1"/>
          <w:sz w:val="24"/>
          <w:szCs w:val="24"/>
        </w:rPr>
      </w:pPr>
      <w:r w:rsidRPr="00A31721" w:rsidDel="00761088">
        <w:rPr>
          <w:color w:val="000000" w:themeColor="text1"/>
          <w:sz w:val="24"/>
          <w:szCs w:val="24"/>
        </w:rPr>
        <w:t xml:space="preserve"> </w:t>
      </w:r>
      <w:r w:rsidR="00460AFB" w:rsidRPr="00A31721">
        <w:rPr>
          <w:rFonts w:ascii="Times New Roman" w:hAnsi="Times New Roman" w:cs="Times New Roman"/>
          <w:color w:val="000000" w:themeColor="text1"/>
          <w:sz w:val="24"/>
          <w:szCs w:val="24"/>
          <w:shd w:val="clear" w:color="auto" w:fill="FFFFFF"/>
        </w:rPr>
        <w:t>Zhen, T., &amp; Rahman, M. M. (2024). Greening emerging economies: enhancing environmental, social, and governance performance through environmental management accounting and green financing. </w:t>
      </w:r>
      <w:r w:rsidR="00460AFB" w:rsidRPr="00A31721">
        <w:rPr>
          <w:rFonts w:ascii="Times New Roman" w:hAnsi="Times New Roman" w:cs="Times New Roman"/>
          <w:i/>
          <w:iCs/>
          <w:color w:val="000000" w:themeColor="text1"/>
          <w:sz w:val="24"/>
          <w:szCs w:val="24"/>
          <w:shd w:val="clear" w:color="auto" w:fill="FFFFFF"/>
        </w:rPr>
        <w:t>Sustainability</w:t>
      </w:r>
      <w:r w:rsidR="00460AFB" w:rsidRPr="00A31721">
        <w:rPr>
          <w:rFonts w:ascii="Times New Roman" w:hAnsi="Times New Roman" w:cs="Times New Roman"/>
          <w:color w:val="000000" w:themeColor="text1"/>
          <w:sz w:val="24"/>
          <w:szCs w:val="24"/>
          <w:shd w:val="clear" w:color="auto" w:fill="FFFFFF"/>
        </w:rPr>
        <w:t>, </w:t>
      </w:r>
      <w:r w:rsidR="00460AFB" w:rsidRPr="00A31721">
        <w:rPr>
          <w:rFonts w:ascii="Times New Roman" w:hAnsi="Times New Roman" w:cs="Times New Roman"/>
          <w:i/>
          <w:iCs/>
          <w:color w:val="000000" w:themeColor="text1"/>
          <w:sz w:val="24"/>
          <w:szCs w:val="24"/>
          <w:shd w:val="clear" w:color="auto" w:fill="FFFFFF"/>
        </w:rPr>
        <w:t>16</w:t>
      </w:r>
      <w:r w:rsidR="00460AFB" w:rsidRPr="00A31721">
        <w:rPr>
          <w:rFonts w:ascii="Times New Roman" w:hAnsi="Times New Roman" w:cs="Times New Roman"/>
          <w:color w:val="000000" w:themeColor="text1"/>
          <w:sz w:val="24"/>
          <w:szCs w:val="24"/>
          <w:shd w:val="clear" w:color="auto" w:fill="FFFFFF"/>
        </w:rPr>
        <w:t>(11), 4753.</w:t>
      </w:r>
      <w:r w:rsidR="00460AFB" w:rsidRPr="00A31721">
        <w:rPr>
          <w:rFonts w:ascii="Times New Roman" w:hAnsi="Times New Roman" w:cs="Times New Roman"/>
          <w:color w:val="000000" w:themeColor="text1"/>
          <w:sz w:val="24"/>
          <w:szCs w:val="24"/>
        </w:rPr>
        <w:t xml:space="preserve"> </w:t>
      </w:r>
      <w:r w:rsidR="00460AFB" w:rsidRPr="00A31721">
        <w:rPr>
          <w:rFonts w:ascii="Times New Roman" w:hAnsi="Times New Roman" w:cs="Times New Roman"/>
          <w:color w:val="000000" w:themeColor="text1"/>
          <w:sz w:val="24"/>
          <w:szCs w:val="24"/>
          <w:shd w:val="clear" w:color="auto" w:fill="FFFFFF"/>
        </w:rPr>
        <w:t> </w:t>
      </w:r>
      <w:hyperlink r:id="rId92" w:history="1">
        <w:r w:rsidR="00460AFB" w:rsidRPr="00A31721">
          <w:rPr>
            <w:rStyle w:val="Hyperlink"/>
            <w:rFonts w:ascii="Times New Roman" w:hAnsi="Times New Roman" w:cs="Times New Roman"/>
            <w:bCs/>
            <w:color w:val="000000" w:themeColor="text1"/>
            <w:sz w:val="24"/>
            <w:szCs w:val="24"/>
            <w:shd w:val="clear" w:color="auto" w:fill="FFFFFF"/>
          </w:rPr>
          <w:t>https://doi.org/10.3390/su16114753</w:t>
        </w:r>
      </w:hyperlink>
      <w:r w:rsidR="00460AFB" w:rsidRPr="00A31721">
        <w:rPr>
          <w:rFonts w:ascii="Times New Roman" w:hAnsi="Times New Roman" w:cs="Times New Roman"/>
          <w:color w:val="000000" w:themeColor="text1"/>
          <w:sz w:val="24"/>
          <w:szCs w:val="24"/>
        </w:rPr>
        <w:t xml:space="preserve">  </w:t>
      </w:r>
    </w:p>
    <w:p w14:paraId="652EEDCD"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5D2499D1"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58D85363"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772E8DA8"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4592F133"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10151B89"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40ADD613"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0D84BD8B"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1230FADA"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315C1CF6" w14:textId="39CB89C7" w:rsidR="00101999" w:rsidRPr="00A31721" w:rsidRDefault="00101999">
      <w:pPr>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br w:type="page"/>
      </w:r>
    </w:p>
    <w:p w14:paraId="50717BD9"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35CFE767" w14:textId="77777777" w:rsidR="00336C33" w:rsidRPr="00A31721" w:rsidRDefault="00336C33" w:rsidP="00336C33">
      <w:pPr>
        <w:spacing w:after="120" w:line="240" w:lineRule="auto"/>
        <w:ind w:firstLine="709"/>
        <w:jc w:val="center"/>
        <w:rPr>
          <w:rFonts w:ascii="Times New Roman" w:hAnsi="Times New Roman" w:cs="Times New Roman"/>
          <w:color w:val="000000" w:themeColor="text1"/>
          <w:sz w:val="24"/>
          <w:szCs w:val="24"/>
        </w:rPr>
      </w:pPr>
      <w:r w:rsidRPr="00A31721">
        <w:rPr>
          <w:rFonts w:ascii="Times New Roman" w:hAnsi="Times New Roman" w:cs="Times New Roman"/>
          <w:noProof/>
          <w:color w:val="000000" w:themeColor="text1"/>
          <w:sz w:val="24"/>
          <w:szCs w:val="24"/>
          <w:lang w:val="pt-BR"/>
        </w:rPr>
        <w:drawing>
          <wp:inline distT="0" distB="0" distL="0" distR="0" wp14:anchorId="3DBE3C5D" wp14:editId="461E9EFD">
            <wp:extent cx="5977960" cy="2298700"/>
            <wp:effectExtent l="0" t="0" r="3810" b="6350"/>
            <wp:docPr id="254400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00647" name=""/>
                    <pic:cNvPicPr/>
                  </pic:nvPicPr>
                  <pic:blipFill>
                    <a:blip r:embed="rId93"/>
                    <a:stretch>
                      <a:fillRect/>
                    </a:stretch>
                  </pic:blipFill>
                  <pic:spPr>
                    <a:xfrm>
                      <a:off x="0" y="0"/>
                      <a:ext cx="5978871" cy="2299050"/>
                    </a:xfrm>
                    <a:prstGeom prst="rect">
                      <a:avLst/>
                    </a:prstGeom>
                  </pic:spPr>
                </pic:pic>
              </a:graphicData>
            </a:graphic>
          </wp:inline>
        </w:drawing>
      </w:r>
    </w:p>
    <w:p w14:paraId="03ED32B0" w14:textId="77777777" w:rsidR="00336C33" w:rsidRPr="00A31721" w:rsidRDefault="00336C33" w:rsidP="00336C33">
      <w:pPr>
        <w:spacing w:after="120" w:line="240" w:lineRule="auto"/>
        <w:jc w:val="both"/>
        <w:rPr>
          <w:rFonts w:ascii="Times New Roman" w:hAnsi="Times New Roman" w:cs="Times New Roman"/>
          <w:b/>
          <w:color w:val="000000" w:themeColor="text1"/>
          <w:sz w:val="24"/>
          <w:szCs w:val="24"/>
        </w:rPr>
      </w:pPr>
      <w:r w:rsidRPr="00A31721">
        <w:rPr>
          <w:rFonts w:ascii="Times New Roman" w:hAnsi="Times New Roman" w:cs="Times New Roman"/>
          <w:color w:val="000000" w:themeColor="text1"/>
        </w:rPr>
        <w:tab/>
      </w:r>
      <w:r w:rsidRPr="00A31721">
        <w:rPr>
          <w:rFonts w:ascii="Times New Roman" w:hAnsi="Times New Roman" w:cs="Times New Roman"/>
          <w:color w:val="000000" w:themeColor="text1"/>
        </w:rPr>
        <w:tab/>
      </w:r>
      <w:r w:rsidRPr="00A31721">
        <w:rPr>
          <w:rFonts w:ascii="Times New Roman" w:hAnsi="Times New Roman" w:cs="Times New Roman"/>
          <w:color w:val="000000" w:themeColor="text1"/>
        </w:rPr>
        <w:tab/>
      </w:r>
      <w:r w:rsidRPr="00A31721">
        <w:rPr>
          <w:rFonts w:ascii="Times New Roman" w:hAnsi="Times New Roman" w:cs="Times New Roman"/>
          <w:color w:val="000000" w:themeColor="text1"/>
        </w:rPr>
        <w:tab/>
      </w:r>
      <w:r w:rsidRPr="00A31721">
        <w:rPr>
          <w:rFonts w:ascii="Times New Roman" w:hAnsi="Times New Roman" w:cs="Times New Roman"/>
          <w:color w:val="000000" w:themeColor="text1"/>
        </w:rPr>
        <w:tab/>
      </w:r>
      <w:r w:rsidRPr="00A31721">
        <w:rPr>
          <w:rFonts w:ascii="Times New Roman" w:hAnsi="Times New Roman" w:cs="Times New Roman"/>
          <w:b/>
          <w:bCs/>
          <w:color w:val="000000" w:themeColor="text1"/>
          <w:sz w:val="24"/>
          <w:szCs w:val="24"/>
        </w:rPr>
        <w:t>Figure 1</w:t>
      </w:r>
      <w:r w:rsidRPr="00A31721">
        <w:rPr>
          <w:rFonts w:ascii="Times New Roman" w:hAnsi="Times New Roman" w:cs="Times New Roman"/>
          <w:bCs/>
          <w:color w:val="000000" w:themeColor="text1"/>
          <w:sz w:val="24"/>
          <w:szCs w:val="24"/>
        </w:rPr>
        <w:t xml:space="preserve"> Conceptual model.</w:t>
      </w:r>
    </w:p>
    <w:p w14:paraId="6A69E5D7"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44B8C824"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400F080B"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704E6D73"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57A94231"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777CEE77" w14:textId="77777777" w:rsidR="00336C33" w:rsidRPr="00A31721" w:rsidRDefault="00336C33" w:rsidP="00B157CB">
      <w:pPr>
        <w:spacing w:after="0" w:line="240" w:lineRule="auto"/>
        <w:ind w:left="720" w:hanging="720"/>
        <w:jc w:val="both"/>
        <w:rPr>
          <w:rFonts w:ascii="Times New Roman" w:hAnsi="Times New Roman" w:cs="Times New Roman"/>
          <w:color w:val="000000" w:themeColor="text1"/>
          <w:sz w:val="24"/>
          <w:szCs w:val="24"/>
        </w:rPr>
      </w:pPr>
    </w:p>
    <w:p w14:paraId="0ED53748" w14:textId="77777777" w:rsidR="00336C33" w:rsidRPr="00A31721" w:rsidRDefault="00336C33" w:rsidP="00336C33">
      <w:pPr>
        <w:spacing w:after="0" w:line="240" w:lineRule="auto"/>
        <w:ind w:firstLine="720"/>
        <w:jc w:val="both"/>
        <w:rPr>
          <w:rFonts w:ascii="Times New Roman" w:hAnsi="Times New Roman" w:cs="Times New Roman"/>
          <w:color w:val="000000" w:themeColor="text1"/>
          <w:sz w:val="24"/>
          <w:szCs w:val="24"/>
        </w:rPr>
      </w:pPr>
    </w:p>
    <w:p w14:paraId="24B675F0" w14:textId="77777777" w:rsidR="00336C33" w:rsidRPr="00A31721" w:rsidRDefault="00336C33" w:rsidP="00336C33">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noProof/>
          <w:color w:val="000000" w:themeColor="text1"/>
          <w:sz w:val="24"/>
          <w:szCs w:val="24"/>
          <w:lang w:val="pt-BR"/>
        </w:rPr>
        <w:drawing>
          <wp:anchor distT="0" distB="0" distL="114300" distR="114300" simplePos="0" relativeHeight="251659264" behindDoc="0" locked="0" layoutInCell="1" allowOverlap="1" wp14:anchorId="4C9B3259" wp14:editId="78E76A81">
            <wp:simplePos x="0" y="0"/>
            <wp:positionH relativeFrom="column">
              <wp:posOffset>161925</wp:posOffset>
            </wp:positionH>
            <wp:positionV relativeFrom="paragraph">
              <wp:posOffset>196850</wp:posOffset>
            </wp:positionV>
            <wp:extent cx="5659120" cy="3252785"/>
            <wp:effectExtent l="19050" t="19050" r="17780" b="24130"/>
            <wp:wrapSquare wrapText="bothSides"/>
            <wp:docPr id="208438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82672" name=""/>
                    <pic:cNvPicPr/>
                  </pic:nvPicPr>
                  <pic:blipFill>
                    <a:blip r:embed="rId94">
                      <a:extLst>
                        <a:ext uri="{28A0092B-C50C-407E-A947-70E740481C1C}">
                          <a14:useLocalDpi xmlns:a14="http://schemas.microsoft.com/office/drawing/2010/main" val="0"/>
                        </a:ext>
                      </a:extLst>
                    </a:blip>
                    <a:stretch>
                      <a:fillRect/>
                    </a:stretch>
                  </pic:blipFill>
                  <pic:spPr>
                    <a:xfrm>
                      <a:off x="0" y="0"/>
                      <a:ext cx="5659120" cy="32527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6D7352F" w14:textId="77777777" w:rsidR="00336C33" w:rsidRPr="00A31721" w:rsidRDefault="00336C33" w:rsidP="00336C3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p>
    <w:p w14:paraId="2AC6DF77" w14:textId="77777777" w:rsidR="00336C33" w:rsidRPr="00A31721" w:rsidRDefault="00336C33" w:rsidP="00336C33">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themeColor="text1"/>
          <w:sz w:val="24"/>
          <w:szCs w:val="24"/>
        </w:rPr>
      </w:pPr>
      <w:r w:rsidRPr="00A31721">
        <w:rPr>
          <w:rFonts w:ascii="Times New Roman" w:hAnsi="Times New Roman" w:cs="Times New Roman"/>
          <w:b/>
          <w:bCs/>
          <w:color w:val="000000" w:themeColor="text1"/>
          <w:sz w:val="24"/>
          <w:szCs w:val="24"/>
        </w:rPr>
        <w:t>Figure 2</w:t>
      </w:r>
      <w:r w:rsidRPr="00A31721">
        <w:rPr>
          <w:rFonts w:ascii="Times New Roman" w:hAnsi="Times New Roman" w:cs="Times New Roman"/>
          <w:noProof/>
          <w:color w:val="000000" w:themeColor="text1"/>
          <w:sz w:val="24"/>
          <w:szCs w:val="24"/>
        </w:rPr>
        <w:t xml:space="preserve">. </w:t>
      </w:r>
      <w:r w:rsidRPr="00A31721">
        <w:rPr>
          <w:rFonts w:ascii="Times New Roman" w:eastAsia="Times New Roman" w:hAnsi="Times New Roman" w:cs="Times New Roman"/>
          <w:color w:val="000000" w:themeColor="text1"/>
          <w:sz w:val="24"/>
          <w:szCs w:val="24"/>
        </w:rPr>
        <w:t>Sample selection</w:t>
      </w:r>
    </w:p>
    <w:p w14:paraId="2A77AFAC" w14:textId="6B892AA5" w:rsidR="00336C33" w:rsidRPr="00A31721" w:rsidRDefault="00336C33" w:rsidP="00336C33">
      <w:pPr>
        <w:pBdr>
          <w:top w:val="nil"/>
          <w:left w:val="nil"/>
          <w:bottom w:val="nil"/>
          <w:right w:val="nil"/>
          <w:between w:val="nil"/>
        </w:pBdr>
        <w:spacing w:after="0" w:line="240" w:lineRule="auto"/>
        <w:jc w:val="center"/>
        <w:rPr>
          <w:rFonts w:ascii="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Source: Prepared by the authors (202</w:t>
      </w:r>
      <w:r w:rsidR="000209D1" w:rsidRPr="00A31721">
        <w:rPr>
          <w:rFonts w:ascii="Times New Roman" w:hAnsi="Times New Roman" w:cs="Times New Roman"/>
          <w:color w:val="000000" w:themeColor="text1"/>
          <w:sz w:val="20"/>
          <w:szCs w:val="20"/>
        </w:rPr>
        <w:t>5</w:t>
      </w:r>
      <w:r w:rsidRPr="00A31721">
        <w:rPr>
          <w:rFonts w:ascii="Times New Roman" w:hAnsi="Times New Roman" w:cs="Times New Roman"/>
          <w:color w:val="000000" w:themeColor="text1"/>
          <w:sz w:val="20"/>
          <w:szCs w:val="20"/>
        </w:rPr>
        <w:t>).</w:t>
      </w:r>
    </w:p>
    <w:p w14:paraId="06E6B974" w14:textId="135D25B9" w:rsidR="00B157CB" w:rsidRPr="00A31721" w:rsidRDefault="00B157CB" w:rsidP="00B157CB">
      <w:pPr>
        <w:spacing w:after="0" w:line="240" w:lineRule="auto"/>
        <w:ind w:left="720" w:hanging="720"/>
        <w:jc w:val="both"/>
        <w:rPr>
          <w:rFonts w:ascii="Times New Roman" w:hAnsi="Times New Roman" w:cs="Times New Roman"/>
          <w:color w:val="000000" w:themeColor="text1"/>
          <w:sz w:val="24"/>
          <w:szCs w:val="24"/>
        </w:rPr>
      </w:pPr>
      <w:r w:rsidRPr="00A31721">
        <w:rPr>
          <w:rFonts w:ascii="Times New Roman" w:hAnsi="Times New Roman" w:cs="Times New Roman"/>
          <w:color w:val="000000" w:themeColor="text1"/>
          <w:sz w:val="24"/>
          <w:szCs w:val="24"/>
        </w:rPr>
        <w:br w:type="page"/>
      </w:r>
    </w:p>
    <w:p w14:paraId="01F39461" w14:textId="26C25309"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lastRenderedPageBreak/>
        <w:t xml:space="preserve">Table </w:t>
      </w:r>
      <w:r w:rsidR="00A878DB" w:rsidRPr="00A31721">
        <w:rPr>
          <w:rFonts w:ascii="Times New Roman" w:eastAsia="Times New Roman" w:hAnsi="Times New Roman" w:cs="Times New Roman"/>
          <w:color w:val="000000" w:themeColor="text1"/>
          <w:sz w:val="24"/>
          <w:szCs w:val="24"/>
        </w:rPr>
        <w:t>1</w:t>
      </w:r>
      <w:r w:rsidRPr="00A31721">
        <w:rPr>
          <w:rFonts w:ascii="Times New Roman" w:eastAsia="Times New Roman" w:hAnsi="Times New Roman" w:cs="Times New Roman"/>
          <w:color w:val="000000" w:themeColor="text1"/>
          <w:sz w:val="24"/>
          <w:szCs w:val="24"/>
        </w:rPr>
        <w:t xml:space="preserve"> – </w:t>
      </w:r>
      <w:r w:rsidR="00D40AE0" w:rsidRPr="00A31721">
        <w:rPr>
          <w:rFonts w:ascii="Times New Roman" w:eastAsia="Times New Roman" w:hAnsi="Times New Roman" w:cs="Times New Roman"/>
          <w:color w:val="000000" w:themeColor="text1"/>
          <w:sz w:val="24"/>
          <w:szCs w:val="24"/>
        </w:rPr>
        <w:t>Measurement model</w:t>
      </w:r>
    </w:p>
    <w:tbl>
      <w:tblPr>
        <w:tblStyle w:val="a0"/>
        <w:tblW w:w="5000" w:type="pct"/>
        <w:tblInd w:w="0" w:type="dxa"/>
        <w:tblLook w:val="0400" w:firstRow="0" w:lastRow="0" w:firstColumn="0" w:lastColumn="0" w:noHBand="0" w:noVBand="1"/>
      </w:tblPr>
      <w:tblGrid>
        <w:gridCol w:w="4576"/>
        <w:gridCol w:w="1196"/>
        <w:gridCol w:w="1196"/>
        <w:gridCol w:w="1196"/>
        <w:gridCol w:w="1196"/>
      </w:tblGrid>
      <w:tr w:rsidR="00A31721" w:rsidRPr="00A31721" w14:paraId="35CEB6AC" w14:textId="77777777" w:rsidTr="00862D0A">
        <w:trPr>
          <w:trHeight w:val="113"/>
        </w:trPr>
        <w:tc>
          <w:tcPr>
            <w:tcW w:w="5000" w:type="pct"/>
            <w:gridSpan w:val="5"/>
            <w:tcBorders>
              <w:top w:val="single" w:sz="4" w:space="0" w:color="000000"/>
              <w:left w:val="nil"/>
              <w:bottom w:val="single" w:sz="4" w:space="0" w:color="000000"/>
              <w:right w:val="nil"/>
            </w:tcBorders>
            <w:vAlign w:val="center"/>
          </w:tcPr>
          <w:p w14:paraId="515B4764" w14:textId="387292C6" w:rsidR="00D40AE0" w:rsidRPr="00A31721" w:rsidRDefault="00D40AE0" w:rsidP="00B4686C">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color w:val="000000" w:themeColor="text1"/>
                <w:sz w:val="20"/>
                <w:szCs w:val="20"/>
              </w:rPr>
              <w:t>Panel A - Reliability and convergent validity</w:t>
            </w:r>
          </w:p>
        </w:tc>
      </w:tr>
      <w:tr w:rsidR="00A31721" w:rsidRPr="00A31721" w14:paraId="01F39467" w14:textId="77777777" w:rsidTr="00862D0A">
        <w:trPr>
          <w:trHeight w:val="113"/>
        </w:trPr>
        <w:tc>
          <w:tcPr>
            <w:tcW w:w="2444" w:type="pct"/>
            <w:tcBorders>
              <w:top w:val="single" w:sz="4" w:space="0" w:color="000000"/>
              <w:left w:val="nil"/>
              <w:bottom w:val="single" w:sz="4" w:space="0" w:color="000000"/>
              <w:right w:val="nil"/>
            </w:tcBorders>
            <w:vAlign w:val="center"/>
          </w:tcPr>
          <w:p w14:paraId="01F39462" w14:textId="7777777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Constructs</w:t>
            </w:r>
          </w:p>
        </w:tc>
        <w:tc>
          <w:tcPr>
            <w:tcW w:w="639" w:type="pct"/>
            <w:tcBorders>
              <w:top w:val="single" w:sz="4" w:space="0" w:color="000000"/>
              <w:left w:val="nil"/>
              <w:bottom w:val="single" w:sz="4" w:space="0" w:color="000000"/>
              <w:right w:val="nil"/>
            </w:tcBorders>
            <w:vAlign w:val="center"/>
          </w:tcPr>
          <w:p w14:paraId="01F39463" w14:textId="7DCF706A"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639" w:type="pct"/>
            <w:tcBorders>
              <w:top w:val="single" w:sz="4" w:space="0" w:color="000000"/>
              <w:left w:val="nil"/>
              <w:bottom w:val="single" w:sz="4" w:space="0" w:color="000000"/>
              <w:right w:val="nil"/>
            </w:tcBorders>
            <w:vAlign w:val="center"/>
          </w:tcPr>
          <w:p w14:paraId="01F3946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roofErr w:type="spellStart"/>
            <w:r w:rsidRPr="00A31721">
              <w:rPr>
                <w:rFonts w:ascii="Times New Roman" w:eastAsia="Times New Roman" w:hAnsi="Times New Roman" w:cs="Times New Roman"/>
                <w:b/>
                <w:color w:val="000000" w:themeColor="text1"/>
                <w:sz w:val="20"/>
                <w:szCs w:val="20"/>
              </w:rPr>
              <w:t>rho_a</w:t>
            </w:r>
            <w:proofErr w:type="spellEnd"/>
          </w:p>
        </w:tc>
        <w:tc>
          <w:tcPr>
            <w:tcW w:w="639" w:type="pct"/>
            <w:tcBorders>
              <w:top w:val="single" w:sz="4" w:space="0" w:color="000000"/>
              <w:left w:val="nil"/>
              <w:bottom w:val="single" w:sz="4" w:space="0" w:color="000000"/>
              <w:right w:val="nil"/>
            </w:tcBorders>
            <w:vAlign w:val="center"/>
          </w:tcPr>
          <w:p w14:paraId="01F3946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CR</w:t>
            </w:r>
          </w:p>
        </w:tc>
        <w:tc>
          <w:tcPr>
            <w:tcW w:w="639" w:type="pct"/>
            <w:tcBorders>
              <w:top w:val="single" w:sz="4" w:space="0" w:color="000000"/>
              <w:left w:val="nil"/>
              <w:bottom w:val="single" w:sz="4" w:space="0" w:color="000000"/>
              <w:right w:val="nil"/>
            </w:tcBorders>
            <w:vAlign w:val="center"/>
          </w:tcPr>
          <w:p w14:paraId="01F3946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AVE</w:t>
            </w:r>
          </w:p>
        </w:tc>
      </w:tr>
      <w:tr w:rsidR="00A31721" w:rsidRPr="00A31721" w14:paraId="01F3946D" w14:textId="77777777" w:rsidTr="00862D0A">
        <w:trPr>
          <w:trHeight w:val="340"/>
        </w:trPr>
        <w:tc>
          <w:tcPr>
            <w:tcW w:w="2444" w:type="pct"/>
            <w:tcBorders>
              <w:top w:val="single" w:sz="4" w:space="0" w:color="000000"/>
              <w:left w:val="nil"/>
              <w:bottom w:val="nil"/>
              <w:right w:val="nil"/>
            </w:tcBorders>
            <w:vAlign w:val="center"/>
          </w:tcPr>
          <w:p w14:paraId="01F39468" w14:textId="77777777" w:rsidR="006749A4" w:rsidRPr="00A31721" w:rsidRDefault="0007550D"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1.Environmental uncertainties</w:t>
            </w:r>
          </w:p>
        </w:tc>
        <w:tc>
          <w:tcPr>
            <w:tcW w:w="639" w:type="pct"/>
            <w:tcBorders>
              <w:top w:val="single" w:sz="4" w:space="0" w:color="000000"/>
              <w:left w:val="nil"/>
              <w:bottom w:val="nil"/>
              <w:right w:val="nil"/>
            </w:tcBorders>
            <w:vAlign w:val="center"/>
          </w:tcPr>
          <w:p w14:paraId="01F39469" w14:textId="51CD383C"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9" w:type="pct"/>
            <w:tcBorders>
              <w:top w:val="single" w:sz="4" w:space="0" w:color="000000"/>
              <w:left w:val="nil"/>
              <w:bottom w:val="nil"/>
              <w:right w:val="nil"/>
            </w:tcBorders>
            <w:vAlign w:val="center"/>
          </w:tcPr>
          <w:p w14:paraId="01F3946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0.927</w:t>
            </w:r>
          </w:p>
        </w:tc>
        <w:tc>
          <w:tcPr>
            <w:tcW w:w="639" w:type="pct"/>
            <w:tcBorders>
              <w:top w:val="single" w:sz="4" w:space="0" w:color="000000"/>
              <w:left w:val="nil"/>
              <w:bottom w:val="nil"/>
              <w:right w:val="nil"/>
            </w:tcBorders>
            <w:vAlign w:val="center"/>
          </w:tcPr>
          <w:p w14:paraId="01F3946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0.932</w:t>
            </w:r>
          </w:p>
        </w:tc>
        <w:tc>
          <w:tcPr>
            <w:tcW w:w="639" w:type="pct"/>
            <w:tcBorders>
              <w:top w:val="single" w:sz="4" w:space="0" w:color="000000"/>
              <w:left w:val="nil"/>
              <w:bottom w:val="nil"/>
              <w:right w:val="nil"/>
            </w:tcBorders>
            <w:vAlign w:val="center"/>
          </w:tcPr>
          <w:p w14:paraId="01F3946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0.667</w:t>
            </w:r>
          </w:p>
        </w:tc>
      </w:tr>
      <w:tr w:rsidR="00A31721" w:rsidRPr="00A31721" w14:paraId="01F39479" w14:textId="77777777" w:rsidTr="00862D0A">
        <w:trPr>
          <w:trHeight w:val="340"/>
        </w:trPr>
        <w:tc>
          <w:tcPr>
            <w:tcW w:w="2444" w:type="pct"/>
            <w:tcBorders>
              <w:top w:val="nil"/>
              <w:left w:val="nil"/>
              <w:bottom w:val="nil"/>
              <w:right w:val="nil"/>
            </w:tcBorders>
            <w:vAlign w:val="center"/>
          </w:tcPr>
          <w:p w14:paraId="01F39474" w14:textId="42BCC1D3" w:rsidR="006749A4" w:rsidRPr="00A31721" w:rsidRDefault="00666BF4"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w:t>
            </w:r>
            <w:r w:rsidR="0007550D" w:rsidRPr="00A31721">
              <w:rPr>
                <w:rFonts w:ascii="Times New Roman" w:eastAsia="Times New Roman" w:hAnsi="Times New Roman" w:cs="Times New Roman"/>
                <w:color w:val="000000" w:themeColor="text1"/>
                <w:sz w:val="20"/>
                <w:szCs w:val="20"/>
              </w:rPr>
              <w:t>.Environmental strategy</w:t>
            </w:r>
          </w:p>
        </w:tc>
        <w:tc>
          <w:tcPr>
            <w:tcW w:w="639" w:type="pct"/>
            <w:tcBorders>
              <w:top w:val="nil"/>
              <w:left w:val="nil"/>
              <w:bottom w:val="nil"/>
              <w:right w:val="nil"/>
            </w:tcBorders>
            <w:vAlign w:val="center"/>
          </w:tcPr>
          <w:p w14:paraId="01F39475" w14:textId="5E64A693"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9" w:type="pct"/>
            <w:tcBorders>
              <w:top w:val="nil"/>
              <w:left w:val="nil"/>
              <w:bottom w:val="nil"/>
              <w:right w:val="nil"/>
            </w:tcBorders>
            <w:vAlign w:val="center"/>
          </w:tcPr>
          <w:p w14:paraId="01F3947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0.819</w:t>
            </w:r>
          </w:p>
        </w:tc>
        <w:tc>
          <w:tcPr>
            <w:tcW w:w="639" w:type="pct"/>
            <w:tcBorders>
              <w:top w:val="nil"/>
              <w:left w:val="nil"/>
              <w:bottom w:val="nil"/>
              <w:right w:val="nil"/>
            </w:tcBorders>
            <w:vAlign w:val="center"/>
          </w:tcPr>
          <w:p w14:paraId="01F3947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0.860</w:t>
            </w:r>
          </w:p>
        </w:tc>
        <w:tc>
          <w:tcPr>
            <w:tcW w:w="639" w:type="pct"/>
            <w:tcBorders>
              <w:top w:val="nil"/>
              <w:left w:val="nil"/>
              <w:bottom w:val="nil"/>
              <w:right w:val="nil"/>
            </w:tcBorders>
            <w:vAlign w:val="center"/>
          </w:tcPr>
          <w:p w14:paraId="01F3947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0.552</w:t>
            </w:r>
          </w:p>
        </w:tc>
      </w:tr>
      <w:tr w:rsidR="00A31721" w:rsidRPr="00A31721" w14:paraId="01F3947F" w14:textId="77777777" w:rsidTr="00862D0A">
        <w:trPr>
          <w:trHeight w:val="340"/>
        </w:trPr>
        <w:tc>
          <w:tcPr>
            <w:tcW w:w="2444" w:type="pct"/>
            <w:tcBorders>
              <w:top w:val="nil"/>
              <w:left w:val="nil"/>
              <w:bottom w:val="nil"/>
              <w:right w:val="nil"/>
            </w:tcBorders>
            <w:vAlign w:val="center"/>
          </w:tcPr>
          <w:p w14:paraId="01F3947A" w14:textId="565736F5" w:rsidR="006749A4" w:rsidRPr="00A31721" w:rsidRDefault="00666BF4"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3</w:t>
            </w:r>
            <w:r w:rsidR="0007550D" w:rsidRPr="00A31721">
              <w:rPr>
                <w:rFonts w:ascii="Times New Roman" w:eastAsia="Times New Roman" w:hAnsi="Times New Roman" w:cs="Times New Roman"/>
                <w:color w:val="000000" w:themeColor="text1"/>
                <w:sz w:val="20"/>
                <w:szCs w:val="20"/>
              </w:rPr>
              <w:t>.Technology</w:t>
            </w:r>
          </w:p>
        </w:tc>
        <w:tc>
          <w:tcPr>
            <w:tcW w:w="639" w:type="pct"/>
            <w:tcBorders>
              <w:top w:val="nil"/>
              <w:left w:val="nil"/>
              <w:bottom w:val="nil"/>
              <w:right w:val="nil"/>
            </w:tcBorders>
            <w:vAlign w:val="center"/>
          </w:tcPr>
          <w:p w14:paraId="01F3947B" w14:textId="6AE441DF"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9" w:type="pct"/>
            <w:tcBorders>
              <w:top w:val="nil"/>
              <w:left w:val="nil"/>
              <w:bottom w:val="nil"/>
              <w:right w:val="nil"/>
            </w:tcBorders>
            <w:vAlign w:val="center"/>
          </w:tcPr>
          <w:p w14:paraId="01F3947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0.861</w:t>
            </w:r>
          </w:p>
        </w:tc>
        <w:tc>
          <w:tcPr>
            <w:tcW w:w="639" w:type="pct"/>
            <w:tcBorders>
              <w:top w:val="nil"/>
              <w:left w:val="nil"/>
              <w:bottom w:val="nil"/>
              <w:right w:val="nil"/>
            </w:tcBorders>
            <w:vAlign w:val="center"/>
          </w:tcPr>
          <w:p w14:paraId="01F3947D"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0.877</w:t>
            </w:r>
          </w:p>
        </w:tc>
        <w:tc>
          <w:tcPr>
            <w:tcW w:w="639" w:type="pct"/>
            <w:tcBorders>
              <w:top w:val="nil"/>
              <w:left w:val="nil"/>
              <w:bottom w:val="nil"/>
              <w:right w:val="nil"/>
            </w:tcBorders>
            <w:vAlign w:val="center"/>
          </w:tcPr>
          <w:p w14:paraId="01F3947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0.643</w:t>
            </w:r>
          </w:p>
        </w:tc>
      </w:tr>
      <w:tr w:rsidR="00A31721" w:rsidRPr="00A31721" w14:paraId="01F39485" w14:textId="77777777" w:rsidTr="00862D0A">
        <w:trPr>
          <w:trHeight w:val="340"/>
        </w:trPr>
        <w:tc>
          <w:tcPr>
            <w:tcW w:w="2444" w:type="pct"/>
            <w:tcBorders>
              <w:top w:val="nil"/>
              <w:left w:val="nil"/>
              <w:right w:val="nil"/>
            </w:tcBorders>
            <w:vAlign w:val="center"/>
          </w:tcPr>
          <w:p w14:paraId="01F39480" w14:textId="4E97DCB2" w:rsidR="006749A4" w:rsidRPr="00A31721" w:rsidRDefault="00666BF4"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4</w:t>
            </w:r>
            <w:r w:rsidR="0007550D" w:rsidRPr="00A31721">
              <w:rPr>
                <w:rFonts w:ascii="Times New Roman" w:eastAsia="Times New Roman" w:hAnsi="Times New Roman" w:cs="Times New Roman"/>
                <w:color w:val="000000" w:themeColor="text1"/>
                <w:sz w:val="20"/>
                <w:szCs w:val="20"/>
              </w:rPr>
              <w:t>.</w:t>
            </w:r>
            <w:r w:rsidR="00966FF1" w:rsidRPr="00A31721">
              <w:rPr>
                <w:rFonts w:ascii="Times New Roman" w:hAnsi="Times New Roman" w:cs="Times New Roman"/>
                <w:color w:val="000000" w:themeColor="text1"/>
                <w:sz w:val="20"/>
                <w:szCs w:val="20"/>
              </w:rPr>
              <w:t>Adoption of sustainability practices</w:t>
            </w:r>
          </w:p>
        </w:tc>
        <w:tc>
          <w:tcPr>
            <w:tcW w:w="639" w:type="pct"/>
            <w:tcBorders>
              <w:top w:val="nil"/>
              <w:left w:val="nil"/>
              <w:right w:val="nil"/>
            </w:tcBorders>
            <w:vAlign w:val="center"/>
          </w:tcPr>
          <w:p w14:paraId="01F39481" w14:textId="32FA7953"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9" w:type="pct"/>
            <w:tcBorders>
              <w:top w:val="nil"/>
              <w:left w:val="nil"/>
              <w:right w:val="nil"/>
            </w:tcBorders>
            <w:vAlign w:val="center"/>
          </w:tcPr>
          <w:p w14:paraId="01F39482"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0.950</w:t>
            </w:r>
          </w:p>
        </w:tc>
        <w:tc>
          <w:tcPr>
            <w:tcW w:w="639" w:type="pct"/>
            <w:tcBorders>
              <w:top w:val="nil"/>
              <w:left w:val="nil"/>
              <w:right w:val="nil"/>
            </w:tcBorders>
            <w:vAlign w:val="center"/>
          </w:tcPr>
          <w:p w14:paraId="01F3948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0.948</w:t>
            </w:r>
          </w:p>
        </w:tc>
        <w:tc>
          <w:tcPr>
            <w:tcW w:w="639" w:type="pct"/>
            <w:tcBorders>
              <w:top w:val="nil"/>
              <w:left w:val="nil"/>
              <w:right w:val="nil"/>
            </w:tcBorders>
            <w:vAlign w:val="center"/>
          </w:tcPr>
          <w:p w14:paraId="01F3948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0.511</w:t>
            </w:r>
          </w:p>
        </w:tc>
      </w:tr>
      <w:tr w:rsidR="00A31721" w:rsidRPr="00A31721" w14:paraId="01F3948B" w14:textId="77777777" w:rsidTr="00862D0A">
        <w:trPr>
          <w:trHeight w:val="340"/>
        </w:trPr>
        <w:tc>
          <w:tcPr>
            <w:tcW w:w="2444" w:type="pct"/>
            <w:tcBorders>
              <w:top w:val="nil"/>
              <w:left w:val="nil"/>
              <w:bottom w:val="nil"/>
              <w:right w:val="nil"/>
            </w:tcBorders>
            <w:vAlign w:val="center"/>
          </w:tcPr>
          <w:p w14:paraId="01F39486" w14:textId="4E0D24C4" w:rsidR="006749A4" w:rsidRPr="00A31721" w:rsidRDefault="00666BF4"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bookmarkStart w:id="8" w:name="_heading=h.z337ya" w:colFirst="0" w:colLast="0"/>
            <w:bookmarkEnd w:id="8"/>
            <w:r w:rsidRPr="00A31721">
              <w:rPr>
                <w:rFonts w:ascii="Times New Roman" w:eastAsia="Times New Roman" w:hAnsi="Times New Roman" w:cs="Times New Roman"/>
                <w:color w:val="000000" w:themeColor="text1"/>
                <w:sz w:val="20"/>
                <w:szCs w:val="20"/>
              </w:rPr>
              <w:t>5</w:t>
            </w:r>
            <w:r w:rsidR="0007550D" w:rsidRPr="00A31721">
              <w:rPr>
                <w:rFonts w:ascii="Times New Roman" w:eastAsia="Times New Roman" w:hAnsi="Times New Roman" w:cs="Times New Roman"/>
                <w:color w:val="000000" w:themeColor="text1"/>
                <w:sz w:val="20"/>
                <w:szCs w:val="20"/>
              </w:rPr>
              <w:t>.EMA tools</w:t>
            </w:r>
          </w:p>
        </w:tc>
        <w:tc>
          <w:tcPr>
            <w:tcW w:w="639" w:type="pct"/>
            <w:tcBorders>
              <w:top w:val="nil"/>
              <w:left w:val="nil"/>
              <w:bottom w:val="nil"/>
              <w:right w:val="nil"/>
            </w:tcBorders>
            <w:vAlign w:val="center"/>
          </w:tcPr>
          <w:p w14:paraId="01F39487" w14:textId="69485535"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9" w:type="pct"/>
            <w:tcBorders>
              <w:top w:val="nil"/>
              <w:left w:val="nil"/>
              <w:bottom w:val="nil"/>
              <w:right w:val="nil"/>
            </w:tcBorders>
            <w:vAlign w:val="center"/>
          </w:tcPr>
          <w:p w14:paraId="01F3948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0.938</w:t>
            </w:r>
          </w:p>
        </w:tc>
        <w:tc>
          <w:tcPr>
            <w:tcW w:w="639" w:type="pct"/>
            <w:tcBorders>
              <w:top w:val="nil"/>
              <w:left w:val="nil"/>
              <w:bottom w:val="nil"/>
              <w:right w:val="nil"/>
            </w:tcBorders>
            <w:vAlign w:val="center"/>
          </w:tcPr>
          <w:p w14:paraId="01F3948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0.938</w:t>
            </w:r>
          </w:p>
        </w:tc>
        <w:tc>
          <w:tcPr>
            <w:tcW w:w="639" w:type="pct"/>
            <w:tcBorders>
              <w:top w:val="nil"/>
              <w:left w:val="nil"/>
              <w:bottom w:val="nil"/>
              <w:right w:val="nil"/>
            </w:tcBorders>
            <w:vAlign w:val="center"/>
          </w:tcPr>
          <w:p w14:paraId="01F3948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0.655</w:t>
            </w:r>
          </w:p>
        </w:tc>
      </w:tr>
      <w:tr w:rsidR="00A31721" w:rsidRPr="00A31721" w14:paraId="6FC646D1" w14:textId="77777777" w:rsidTr="00862D0A">
        <w:trPr>
          <w:trHeight w:val="340"/>
        </w:trPr>
        <w:tc>
          <w:tcPr>
            <w:tcW w:w="2444" w:type="pct"/>
            <w:tcBorders>
              <w:top w:val="nil"/>
              <w:left w:val="nil"/>
              <w:right w:val="nil"/>
            </w:tcBorders>
            <w:vAlign w:val="center"/>
          </w:tcPr>
          <w:p w14:paraId="5294E881" w14:textId="16F9C293" w:rsidR="00392D82" w:rsidRPr="00A31721" w:rsidRDefault="00666BF4"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6</w:t>
            </w:r>
            <w:r w:rsidR="00392D82" w:rsidRPr="00A31721">
              <w:rPr>
                <w:rFonts w:ascii="Times New Roman" w:eastAsia="Times New Roman" w:hAnsi="Times New Roman" w:cs="Times New Roman"/>
                <w:color w:val="000000" w:themeColor="text1"/>
                <w:sz w:val="20"/>
                <w:szCs w:val="20"/>
              </w:rPr>
              <w:t>.Environmental performance</w:t>
            </w:r>
          </w:p>
        </w:tc>
        <w:tc>
          <w:tcPr>
            <w:tcW w:w="639" w:type="pct"/>
            <w:tcBorders>
              <w:top w:val="nil"/>
              <w:left w:val="nil"/>
              <w:right w:val="nil"/>
            </w:tcBorders>
            <w:vAlign w:val="center"/>
          </w:tcPr>
          <w:p w14:paraId="35A87FD8" w14:textId="06AA3F99" w:rsidR="00392D82" w:rsidRPr="00A31721" w:rsidRDefault="00392D82"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9" w:type="pct"/>
            <w:tcBorders>
              <w:top w:val="nil"/>
              <w:left w:val="nil"/>
              <w:right w:val="nil"/>
            </w:tcBorders>
            <w:vAlign w:val="center"/>
          </w:tcPr>
          <w:p w14:paraId="1C3D594A" w14:textId="38E2EC9A" w:rsidR="00392D82" w:rsidRPr="00A31721" w:rsidRDefault="00392D82"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0.853</w:t>
            </w:r>
          </w:p>
        </w:tc>
        <w:tc>
          <w:tcPr>
            <w:tcW w:w="639" w:type="pct"/>
            <w:tcBorders>
              <w:top w:val="nil"/>
              <w:left w:val="nil"/>
              <w:right w:val="nil"/>
            </w:tcBorders>
            <w:vAlign w:val="center"/>
          </w:tcPr>
          <w:p w14:paraId="78971ADC" w14:textId="749B922E" w:rsidR="00392D82" w:rsidRPr="00A31721" w:rsidRDefault="00392D82"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0.879</w:t>
            </w:r>
          </w:p>
        </w:tc>
        <w:tc>
          <w:tcPr>
            <w:tcW w:w="639" w:type="pct"/>
            <w:tcBorders>
              <w:top w:val="nil"/>
              <w:left w:val="nil"/>
              <w:right w:val="nil"/>
            </w:tcBorders>
            <w:vAlign w:val="center"/>
          </w:tcPr>
          <w:p w14:paraId="57EE65DA" w14:textId="0F43DE6F" w:rsidR="00392D82" w:rsidRPr="00A31721" w:rsidRDefault="00392D82"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0.551</w:t>
            </w:r>
          </w:p>
        </w:tc>
      </w:tr>
    </w:tbl>
    <w:p w14:paraId="01F39490" w14:textId="0D21A72B" w:rsidR="006749A4" w:rsidRPr="00A31721" w:rsidRDefault="0007550D" w:rsidP="00B4686C">
      <w:pPr>
        <w:pBdr>
          <w:top w:val="single" w:sz="4" w:space="1" w:color="000000"/>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bookmarkStart w:id="9" w:name="_heading=h.4d34og8" w:colFirst="0" w:colLast="0"/>
      <w:bookmarkEnd w:id="9"/>
      <w:r w:rsidRPr="00A31721">
        <w:rPr>
          <w:rFonts w:ascii="Times New Roman" w:eastAsia="Times New Roman" w:hAnsi="Times New Roman" w:cs="Times New Roman"/>
          <w:color w:val="000000" w:themeColor="text1"/>
          <w:sz w:val="20"/>
          <w:szCs w:val="20"/>
        </w:rPr>
        <w:t xml:space="preserve">Panel </w:t>
      </w:r>
      <w:r w:rsidR="00D40AE0" w:rsidRPr="00A31721">
        <w:rPr>
          <w:rFonts w:ascii="Times New Roman" w:eastAsia="Times New Roman" w:hAnsi="Times New Roman" w:cs="Times New Roman"/>
          <w:color w:val="000000" w:themeColor="text1"/>
          <w:sz w:val="20"/>
          <w:szCs w:val="20"/>
        </w:rPr>
        <w:t>B</w:t>
      </w:r>
      <w:r w:rsidRPr="00A31721">
        <w:rPr>
          <w:rFonts w:ascii="Times New Roman" w:eastAsia="Times New Roman" w:hAnsi="Times New Roman" w:cs="Times New Roman"/>
          <w:color w:val="000000" w:themeColor="text1"/>
          <w:sz w:val="20"/>
          <w:szCs w:val="20"/>
        </w:rPr>
        <w:t xml:space="preserve"> - Discriminant </w:t>
      </w:r>
      <w:r w:rsidR="00D40AE0" w:rsidRPr="00A31721">
        <w:rPr>
          <w:rFonts w:ascii="Times New Roman" w:eastAsia="Times New Roman" w:hAnsi="Times New Roman" w:cs="Times New Roman"/>
          <w:color w:val="000000" w:themeColor="text1"/>
          <w:sz w:val="20"/>
          <w:szCs w:val="20"/>
        </w:rPr>
        <w:t>v</w:t>
      </w:r>
      <w:r w:rsidRPr="00A31721">
        <w:rPr>
          <w:rFonts w:ascii="Times New Roman" w:eastAsia="Times New Roman" w:hAnsi="Times New Roman" w:cs="Times New Roman"/>
          <w:color w:val="000000" w:themeColor="text1"/>
          <w:sz w:val="20"/>
          <w:szCs w:val="20"/>
        </w:rPr>
        <w:t>alidity</w:t>
      </w:r>
    </w:p>
    <w:tbl>
      <w:tblPr>
        <w:tblStyle w:val="a1"/>
        <w:tblW w:w="5041" w:type="pct"/>
        <w:tblInd w:w="0" w:type="dxa"/>
        <w:tblLayout w:type="fixed"/>
        <w:tblLook w:val="0400" w:firstRow="0" w:lastRow="0" w:firstColumn="0" w:lastColumn="0" w:noHBand="0" w:noVBand="1"/>
      </w:tblPr>
      <w:tblGrid>
        <w:gridCol w:w="4329"/>
        <w:gridCol w:w="917"/>
        <w:gridCol w:w="842"/>
        <w:gridCol w:w="700"/>
        <w:gridCol w:w="834"/>
        <w:gridCol w:w="834"/>
        <w:gridCol w:w="981"/>
      </w:tblGrid>
      <w:tr w:rsidR="00A31721" w:rsidRPr="00A31721" w14:paraId="01F39498" w14:textId="77777777" w:rsidTr="00862D0A">
        <w:trPr>
          <w:trHeight w:val="113"/>
        </w:trPr>
        <w:tc>
          <w:tcPr>
            <w:tcW w:w="2293" w:type="pct"/>
            <w:tcBorders>
              <w:top w:val="single" w:sz="4" w:space="0" w:color="000000"/>
              <w:left w:val="nil"/>
              <w:bottom w:val="single" w:sz="4" w:space="0" w:color="000000"/>
              <w:right w:val="nil"/>
            </w:tcBorders>
            <w:vAlign w:val="center"/>
          </w:tcPr>
          <w:p w14:paraId="01F39491" w14:textId="77777777"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Constructs</w:t>
            </w:r>
          </w:p>
        </w:tc>
        <w:tc>
          <w:tcPr>
            <w:tcW w:w="486" w:type="pct"/>
            <w:tcBorders>
              <w:top w:val="single" w:sz="4" w:space="0" w:color="000000"/>
              <w:left w:val="nil"/>
              <w:bottom w:val="single" w:sz="4" w:space="0" w:color="000000"/>
              <w:right w:val="nil"/>
            </w:tcBorders>
          </w:tcPr>
          <w:p w14:paraId="01F39492" w14:textId="4C567AEB"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1</w:t>
            </w:r>
          </w:p>
        </w:tc>
        <w:tc>
          <w:tcPr>
            <w:tcW w:w="446" w:type="pct"/>
            <w:tcBorders>
              <w:top w:val="single" w:sz="4" w:space="0" w:color="000000"/>
              <w:left w:val="nil"/>
              <w:bottom w:val="single" w:sz="4" w:space="0" w:color="000000"/>
              <w:right w:val="nil"/>
            </w:tcBorders>
          </w:tcPr>
          <w:p w14:paraId="01F39493" w14:textId="2CB654E6"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2</w:t>
            </w:r>
          </w:p>
        </w:tc>
        <w:tc>
          <w:tcPr>
            <w:tcW w:w="371" w:type="pct"/>
            <w:tcBorders>
              <w:top w:val="single" w:sz="4" w:space="0" w:color="000000"/>
              <w:left w:val="nil"/>
              <w:bottom w:val="single" w:sz="4" w:space="0" w:color="000000"/>
              <w:right w:val="nil"/>
            </w:tcBorders>
          </w:tcPr>
          <w:p w14:paraId="01F39494" w14:textId="69E3D8FD"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3</w:t>
            </w:r>
          </w:p>
        </w:tc>
        <w:tc>
          <w:tcPr>
            <w:tcW w:w="442" w:type="pct"/>
            <w:tcBorders>
              <w:top w:val="single" w:sz="4" w:space="0" w:color="000000"/>
              <w:left w:val="nil"/>
              <w:bottom w:val="single" w:sz="4" w:space="0" w:color="000000"/>
              <w:right w:val="nil"/>
            </w:tcBorders>
          </w:tcPr>
          <w:p w14:paraId="01F39495" w14:textId="65084F2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4</w:t>
            </w:r>
          </w:p>
        </w:tc>
        <w:tc>
          <w:tcPr>
            <w:tcW w:w="442" w:type="pct"/>
            <w:tcBorders>
              <w:top w:val="single" w:sz="4" w:space="0" w:color="000000"/>
              <w:left w:val="nil"/>
              <w:bottom w:val="single" w:sz="4" w:space="0" w:color="000000"/>
              <w:right w:val="nil"/>
            </w:tcBorders>
          </w:tcPr>
          <w:p w14:paraId="01F39496" w14:textId="0AD184EE"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5</w:t>
            </w:r>
          </w:p>
        </w:tc>
        <w:tc>
          <w:tcPr>
            <w:tcW w:w="520" w:type="pct"/>
            <w:tcBorders>
              <w:top w:val="single" w:sz="4" w:space="0" w:color="000000"/>
              <w:left w:val="nil"/>
              <w:bottom w:val="single" w:sz="4" w:space="0" w:color="000000"/>
              <w:right w:val="nil"/>
            </w:tcBorders>
          </w:tcPr>
          <w:p w14:paraId="01F39497" w14:textId="22E5584F"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6</w:t>
            </w:r>
          </w:p>
        </w:tc>
      </w:tr>
      <w:tr w:rsidR="00A31721" w:rsidRPr="00A31721" w14:paraId="01F394A0" w14:textId="77777777" w:rsidTr="00232C70">
        <w:trPr>
          <w:trHeight w:val="340"/>
        </w:trPr>
        <w:tc>
          <w:tcPr>
            <w:tcW w:w="2293" w:type="pct"/>
            <w:tcBorders>
              <w:top w:val="nil"/>
              <w:left w:val="nil"/>
              <w:bottom w:val="nil"/>
              <w:right w:val="nil"/>
            </w:tcBorders>
            <w:vAlign w:val="center"/>
          </w:tcPr>
          <w:p w14:paraId="01F39499" w14:textId="78D13B04"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1. Environmental</w:t>
            </w:r>
            <w:r w:rsidR="00232C70" w:rsidRPr="00A31721">
              <w:rPr>
                <w:rFonts w:ascii="Times New Roman" w:hAnsi="Times New Roman" w:cs="Times New Roman"/>
                <w:color w:val="000000" w:themeColor="text1"/>
                <w:sz w:val="20"/>
                <w:szCs w:val="20"/>
              </w:rPr>
              <w:t xml:space="preserve"> </w:t>
            </w:r>
            <w:r w:rsidRPr="00A31721">
              <w:rPr>
                <w:rFonts w:ascii="Times New Roman" w:hAnsi="Times New Roman" w:cs="Times New Roman"/>
                <w:color w:val="000000" w:themeColor="text1"/>
                <w:sz w:val="20"/>
                <w:szCs w:val="20"/>
              </w:rPr>
              <w:t>uncertainties</w:t>
            </w:r>
          </w:p>
        </w:tc>
        <w:tc>
          <w:tcPr>
            <w:tcW w:w="486" w:type="pct"/>
            <w:tcBorders>
              <w:top w:val="nil"/>
              <w:left w:val="nil"/>
              <w:bottom w:val="nil"/>
              <w:right w:val="nil"/>
            </w:tcBorders>
            <w:vAlign w:val="center"/>
          </w:tcPr>
          <w:p w14:paraId="01F3949A" w14:textId="0DD1F68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0.913</w:t>
            </w:r>
          </w:p>
        </w:tc>
        <w:tc>
          <w:tcPr>
            <w:tcW w:w="446" w:type="pct"/>
            <w:tcBorders>
              <w:top w:val="nil"/>
              <w:left w:val="nil"/>
              <w:bottom w:val="nil"/>
              <w:right w:val="nil"/>
            </w:tcBorders>
            <w:vAlign w:val="center"/>
          </w:tcPr>
          <w:p w14:paraId="01F3949B"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371" w:type="pct"/>
            <w:tcBorders>
              <w:top w:val="nil"/>
              <w:left w:val="nil"/>
              <w:bottom w:val="nil"/>
              <w:right w:val="nil"/>
            </w:tcBorders>
            <w:vAlign w:val="center"/>
          </w:tcPr>
          <w:p w14:paraId="01F3949C"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442" w:type="pct"/>
            <w:tcBorders>
              <w:top w:val="nil"/>
              <w:left w:val="nil"/>
              <w:bottom w:val="nil"/>
              <w:right w:val="nil"/>
            </w:tcBorders>
            <w:vAlign w:val="center"/>
          </w:tcPr>
          <w:p w14:paraId="01F3949D"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442" w:type="pct"/>
            <w:tcBorders>
              <w:top w:val="nil"/>
              <w:left w:val="nil"/>
              <w:bottom w:val="nil"/>
              <w:right w:val="nil"/>
            </w:tcBorders>
            <w:vAlign w:val="center"/>
          </w:tcPr>
          <w:p w14:paraId="01F3949E"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520" w:type="pct"/>
            <w:tcBorders>
              <w:top w:val="nil"/>
              <w:left w:val="nil"/>
              <w:bottom w:val="nil"/>
              <w:right w:val="nil"/>
            </w:tcBorders>
            <w:vAlign w:val="center"/>
          </w:tcPr>
          <w:p w14:paraId="01F3949F"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A31721" w:rsidRPr="00A31721" w14:paraId="01F394A8" w14:textId="77777777" w:rsidTr="00232C70">
        <w:trPr>
          <w:trHeight w:val="340"/>
        </w:trPr>
        <w:tc>
          <w:tcPr>
            <w:tcW w:w="2293" w:type="pct"/>
            <w:tcBorders>
              <w:top w:val="nil"/>
              <w:left w:val="nil"/>
              <w:bottom w:val="nil"/>
              <w:right w:val="nil"/>
            </w:tcBorders>
            <w:vAlign w:val="center"/>
          </w:tcPr>
          <w:p w14:paraId="01F394A1" w14:textId="4AEB4613"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2. Environmental strategy</w:t>
            </w:r>
          </w:p>
        </w:tc>
        <w:tc>
          <w:tcPr>
            <w:tcW w:w="486" w:type="pct"/>
            <w:tcBorders>
              <w:top w:val="nil"/>
              <w:left w:val="nil"/>
              <w:bottom w:val="nil"/>
              <w:right w:val="nil"/>
            </w:tcBorders>
            <w:vAlign w:val="center"/>
          </w:tcPr>
          <w:p w14:paraId="01F394A2" w14:textId="3EEC271C"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0.563</w:t>
            </w:r>
          </w:p>
        </w:tc>
        <w:tc>
          <w:tcPr>
            <w:tcW w:w="446" w:type="pct"/>
            <w:tcBorders>
              <w:top w:val="nil"/>
              <w:left w:val="nil"/>
              <w:bottom w:val="nil"/>
              <w:right w:val="nil"/>
            </w:tcBorders>
            <w:vAlign w:val="center"/>
          </w:tcPr>
          <w:p w14:paraId="01F394A3" w14:textId="04A53FB5"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0.803</w:t>
            </w:r>
          </w:p>
        </w:tc>
        <w:tc>
          <w:tcPr>
            <w:tcW w:w="371" w:type="pct"/>
            <w:tcBorders>
              <w:top w:val="nil"/>
              <w:left w:val="nil"/>
              <w:bottom w:val="nil"/>
              <w:right w:val="nil"/>
            </w:tcBorders>
            <w:vAlign w:val="center"/>
          </w:tcPr>
          <w:p w14:paraId="01F394A4"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442" w:type="pct"/>
            <w:tcBorders>
              <w:top w:val="nil"/>
              <w:left w:val="nil"/>
              <w:bottom w:val="nil"/>
              <w:right w:val="nil"/>
            </w:tcBorders>
            <w:vAlign w:val="center"/>
          </w:tcPr>
          <w:p w14:paraId="01F394A5"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442" w:type="pct"/>
            <w:tcBorders>
              <w:top w:val="nil"/>
              <w:left w:val="nil"/>
              <w:bottom w:val="nil"/>
              <w:right w:val="nil"/>
            </w:tcBorders>
            <w:vAlign w:val="center"/>
          </w:tcPr>
          <w:p w14:paraId="01F394A6"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520" w:type="pct"/>
            <w:tcBorders>
              <w:top w:val="nil"/>
              <w:left w:val="nil"/>
              <w:bottom w:val="nil"/>
              <w:right w:val="nil"/>
            </w:tcBorders>
            <w:vAlign w:val="center"/>
          </w:tcPr>
          <w:p w14:paraId="01F394A7"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A31721" w:rsidRPr="00A31721" w14:paraId="01F394B0" w14:textId="77777777" w:rsidTr="00232C70">
        <w:trPr>
          <w:trHeight w:val="340"/>
        </w:trPr>
        <w:tc>
          <w:tcPr>
            <w:tcW w:w="2293" w:type="pct"/>
            <w:tcBorders>
              <w:top w:val="nil"/>
              <w:left w:val="nil"/>
              <w:bottom w:val="nil"/>
              <w:right w:val="nil"/>
            </w:tcBorders>
            <w:vAlign w:val="center"/>
          </w:tcPr>
          <w:p w14:paraId="01F394A9" w14:textId="074EF08D"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3. Technology</w:t>
            </w:r>
          </w:p>
        </w:tc>
        <w:tc>
          <w:tcPr>
            <w:tcW w:w="486" w:type="pct"/>
            <w:tcBorders>
              <w:top w:val="nil"/>
              <w:left w:val="nil"/>
              <w:bottom w:val="nil"/>
              <w:right w:val="nil"/>
            </w:tcBorders>
            <w:vAlign w:val="center"/>
          </w:tcPr>
          <w:p w14:paraId="01F394AA" w14:textId="7A6EFE2D"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0.645</w:t>
            </w:r>
          </w:p>
        </w:tc>
        <w:tc>
          <w:tcPr>
            <w:tcW w:w="446" w:type="pct"/>
            <w:tcBorders>
              <w:top w:val="nil"/>
              <w:left w:val="nil"/>
              <w:bottom w:val="nil"/>
              <w:right w:val="nil"/>
            </w:tcBorders>
            <w:vAlign w:val="center"/>
          </w:tcPr>
          <w:p w14:paraId="01F394AB" w14:textId="0F1A03F4"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0.594</w:t>
            </w:r>
          </w:p>
        </w:tc>
        <w:tc>
          <w:tcPr>
            <w:tcW w:w="371" w:type="pct"/>
            <w:tcBorders>
              <w:top w:val="nil"/>
              <w:left w:val="nil"/>
              <w:bottom w:val="nil"/>
              <w:right w:val="nil"/>
            </w:tcBorders>
            <w:vAlign w:val="center"/>
          </w:tcPr>
          <w:p w14:paraId="01F394AC" w14:textId="74166800"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0.815</w:t>
            </w:r>
          </w:p>
        </w:tc>
        <w:tc>
          <w:tcPr>
            <w:tcW w:w="442" w:type="pct"/>
            <w:tcBorders>
              <w:top w:val="nil"/>
              <w:left w:val="nil"/>
              <w:bottom w:val="nil"/>
              <w:right w:val="nil"/>
            </w:tcBorders>
            <w:vAlign w:val="center"/>
          </w:tcPr>
          <w:p w14:paraId="01F394AD"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442" w:type="pct"/>
            <w:tcBorders>
              <w:top w:val="nil"/>
              <w:left w:val="nil"/>
              <w:bottom w:val="nil"/>
              <w:right w:val="nil"/>
            </w:tcBorders>
            <w:vAlign w:val="center"/>
          </w:tcPr>
          <w:p w14:paraId="01F394AE"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520" w:type="pct"/>
            <w:tcBorders>
              <w:top w:val="nil"/>
              <w:left w:val="nil"/>
              <w:bottom w:val="nil"/>
              <w:right w:val="nil"/>
            </w:tcBorders>
            <w:vAlign w:val="center"/>
          </w:tcPr>
          <w:p w14:paraId="01F394AF"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A31721" w:rsidRPr="00A31721" w14:paraId="01F394B8" w14:textId="77777777" w:rsidTr="00232C70">
        <w:trPr>
          <w:trHeight w:val="340"/>
        </w:trPr>
        <w:tc>
          <w:tcPr>
            <w:tcW w:w="2293" w:type="pct"/>
            <w:tcBorders>
              <w:top w:val="nil"/>
              <w:left w:val="nil"/>
              <w:bottom w:val="nil"/>
              <w:right w:val="nil"/>
            </w:tcBorders>
            <w:vAlign w:val="center"/>
          </w:tcPr>
          <w:p w14:paraId="01F394B1" w14:textId="4AD215CE"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 xml:space="preserve">4. </w:t>
            </w:r>
            <w:r w:rsidR="00232C70" w:rsidRPr="00A31721">
              <w:rPr>
                <w:rFonts w:ascii="Times New Roman" w:hAnsi="Times New Roman" w:cs="Times New Roman"/>
                <w:color w:val="000000" w:themeColor="text1"/>
                <w:sz w:val="20"/>
                <w:szCs w:val="20"/>
              </w:rPr>
              <w:t xml:space="preserve">Adoption of </w:t>
            </w:r>
            <w:r w:rsidRPr="00A31721">
              <w:rPr>
                <w:rFonts w:ascii="Times New Roman" w:hAnsi="Times New Roman" w:cs="Times New Roman"/>
                <w:color w:val="000000" w:themeColor="text1"/>
                <w:sz w:val="20"/>
                <w:szCs w:val="20"/>
              </w:rPr>
              <w:t>sustainability practices</w:t>
            </w:r>
          </w:p>
        </w:tc>
        <w:tc>
          <w:tcPr>
            <w:tcW w:w="486" w:type="pct"/>
            <w:tcBorders>
              <w:top w:val="nil"/>
              <w:left w:val="nil"/>
              <w:bottom w:val="nil"/>
              <w:right w:val="nil"/>
            </w:tcBorders>
            <w:vAlign w:val="center"/>
          </w:tcPr>
          <w:p w14:paraId="01F394B2" w14:textId="789B4B6F"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0.825</w:t>
            </w:r>
          </w:p>
        </w:tc>
        <w:tc>
          <w:tcPr>
            <w:tcW w:w="446" w:type="pct"/>
            <w:tcBorders>
              <w:top w:val="nil"/>
              <w:left w:val="nil"/>
              <w:bottom w:val="nil"/>
              <w:right w:val="nil"/>
            </w:tcBorders>
            <w:vAlign w:val="center"/>
          </w:tcPr>
          <w:p w14:paraId="01F394B3" w14:textId="78A9EC1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0.612</w:t>
            </w:r>
          </w:p>
        </w:tc>
        <w:tc>
          <w:tcPr>
            <w:tcW w:w="371" w:type="pct"/>
            <w:tcBorders>
              <w:top w:val="nil"/>
              <w:left w:val="nil"/>
              <w:bottom w:val="nil"/>
              <w:right w:val="nil"/>
            </w:tcBorders>
            <w:vAlign w:val="center"/>
          </w:tcPr>
          <w:p w14:paraId="01F394B4" w14:textId="29D3177B"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0.711</w:t>
            </w:r>
          </w:p>
        </w:tc>
        <w:tc>
          <w:tcPr>
            <w:tcW w:w="442" w:type="pct"/>
            <w:tcBorders>
              <w:top w:val="nil"/>
              <w:left w:val="nil"/>
              <w:bottom w:val="nil"/>
              <w:right w:val="nil"/>
            </w:tcBorders>
            <w:vAlign w:val="center"/>
          </w:tcPr>
          <w:p w14:paraId="01F394B5" w14:textId="22389D88"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0.941</w:t>
            </w:r>
          </w:p>
        </w:tc>
        <w:tc>
          <w:tcPr>
            <w:tcW w:w="442" w:type="pct"/>
            <w:tcBorders>
              <w:top w:val="nil"/>
              <w:left w:val="nil"/>
              <w:bottom w:val="nil"/>
              <w:right w:val="nil"/>
            </w:tcBorders>
            <w:vAlign w:val="center"/>
          </w:tcPr>
          <w:p w14:paraId="01F394B6"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520" w:type="pct"/>
            <w:tcBorders>
              <w:top w:val="nil"/>
              <w:left w:val="nil"/>
              <w:bottom w:val="nil"/>
              <w:right w:val="nil"/>
            </w:tcBorders>
            <w:vAlign w:val="center"/>
          </w:tcPr>
          <w:p w14:paraId="01F394B7"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A31721" w:rsidRPr="00A31721" w14:paraId="01F394C0" w14:textId="77777777" w:rsidTr="00232C70">
        <w:trPr>
          <w:trHeight w:val="340"/>
        </w:trPr>
        <w:tc>
          <w:tcPr>
            <w:tcW w:w="2293" w:type="pct"/>
            <w:tcBorders>
              <w:top w:val="nil"/>
              <w:left w:val="nil"/>
              <w:bottom w:val="nil"/>
              <w:right w:val="nil"/>
            </w:tcBorders>
            <w:vAlign w:val="center"/>
          </w:tcPr>
          <w:p w14:paraId="01F394B9" w14:textId="710027B2"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5. EMA tools</w:t>
            </w:r>
          </w:p>
        </w:tc>
        <w:tc>
          <w:tcPr>
            <w:tcW w:w="486" w:type="pct"/>
            <w:tcBorders>
              <w:top w:val="nil"/>
              <w:left w:val="nil"/>
              <w:bottom w:val="nil"/>
              <w:right w:val="nil"/>
            </w:tcBorders>
            <w:vAlign w:val="center"/>
          </w:tcPr>
          <w:p w14:paraId="01F394BA" w14:textId="2DFFC7D5"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0.713</w:t>
            </w:r>
          </w:p>
        </w:tc>
        <w:tc>
          <w:tcPr>
            <w:tcW w:w="446" w:type="pct"/>
            <w:tcBorders>
              <w:top w:val="nil"/>
              <w:left w:val="nil"/>
              <w:bottom w:val="nil"/>
              <w:right w:val="nil"/>
            </w:tcBorders>
            <w:vAlign w:val="center"/>
          </w:tcPr>
          <w:p w14:paraId="01F394BB" w14:textId="48A20D12"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0.671</w:t>
            </w:r>
          </w:p>
        </w:tc>
        <w:tc>
          <w:tcPr>
            <w:tcW w:w="371" w:type="pct"/>
            <w:tcBorders>
              <w:top w:val="nil"/>
              <w:left w:val="nil"/>
              <w:bottom w:val="nil"/>
              <w:right w:val="nil"/>
            </w:tcBorders>
            <w:vAlign w:val="center"/>
          </w:tcPr>
          <w:p w14:paraId="01F394BC" w14:textId="0BDC4B73"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0.681</w:t>
            </w:r>
          </w:p>
        </w:tc>
        <w:tc>
          <w:tcPr>
            <w:tcW w:w="442" w:type="pct"/>
            <w:tcBorders>
              <w:top w:val="nil"/>
              <w:left w:val="nil"/>
              <w:bottom w:val="nil"/>
              <w:right w:val="nil"/>
            </w:tcBorders>
            <w:vAlign w:val="center"/>
          </w:tcPr>
          <w:p w14:paraId="01F394BD" w14:textId="1D474170"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0.806</w:t>
            </w:r>
          </w:p>
        </w:tc>
        <w:tc>
          <w:tcPr>
            <w:tcW w:w="442" w:type="pct"/>
            <w:tcBorders>
              <w:top w:val="nil"/>
              <w:left w:val="nil"/>
              <w:bottom w:val="nil"/>
              <w:right w:val="nil"/>
            </w:tcBorders>
            <w:vAlign w:val="center"/>
          </w:tcPr>
          <w:p w14:paraId="01F394BE" w14:textId="51A6242D"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0.925</w:t>
            </w:r>
          </w:p>
        </w:tc>
        <w:tc>
          <w:tcPr>
            <w:tcW w:w="520" w:type="pct"/>
            <w:tcBorders>
              <w:top w:val="nil"/>
              <w:left w:val="nil"/>
              <w:bottom w:val="nil"/>
              <w:right w:val="nil"/>
            </w:tcBorders>
            <w:vAlign w:val="center"/>
          </w:tcPr>
          <w:p w14:paraId="01F394BF" w14:textId="77777777"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A31721" w:rsidRPr="00A31721" w14:paraId="01F394C8" w14:textId="77777777" w:rsidTr="00232C70">
        <w:trPr>
          <w:trHeight w:val="340"/>
        </w:trPr>
        <w:tc>
          <w:tcPr>
            <w:tcW w:w="2293" w:type="pct"/>
            <w:tcBorders>
              <w:top w:val="nil"/>
              <w:left w:val="nil"/>
              <w:bottom w:val="single" w:sz="4" w:space="0" w:color="000000"/>
              <w:right w:val="nil"/>
            </w:tcBorders>
            <w:vAlign w:val="center"/>
          </w:tcPr>
          <w:p w14:paraId="01F394C1" w14:textId="6DC6BEEB" w:rsidR="00A40D9F" w:rsidRPr="00A31721" w:rsidRDefault="00A40D9F"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6. Environmental performance</w:t>
            </w:r>
          </w:p>
        </w:tc>
        <w:tc>
          <w:tcPr>
            <w:tcW w:w="486" w:type="pct"/>
            <w:tcBorders>
              <w:top w:val="nil"/>
              <w:left w:val="nil"/>
              <w:bottom w:val="single" w:sz="4" w:space="0" w:color="000000"/>
              <w:right w:val="nil"/>
            </w:tcBorders>
            <w:vAlign w:val="center"/>
          </w:tcPr>
          <w:p w14:paraId="01F394C2" w14:textId="7C971EC6"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0.650</w:t>
            </w:r>
          </w:p>
        </w:tc>
        <w:tc>
          <w:tcPr>
            <w:tcW w:w="446" w:type="pct"/>
            <w:tcBorders>
              <w:top w:val="nil"/>
              <w:left w:val="nil"/>
              <w:bottom w:val="single" w:sz="4" w:space="0" w:color="000000"/>
              <w:right w:val="nil"/>
            </w:tcBorders>
            <w:vAlign w:val="center"/>
          </w:tcPr>
          <w:p w14:paraId="01F394C3" w14:textId="4C84973A"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0.502</w:t>
            </w:r>
          </w:p>
        </w:tc>
        <w:tc>
          <w:tcPr>
            <w:tcW w:w="371" w:type="pct"/>
            <w:tcBorders>
              <w:top w:val="nil"/>
              <w:left w:val="nil"/>
              <w:bottom w:val="single" w:sz="4" w:space="0" w:color="000000"/>
              <w:right w:val="nil"/>
            </w:tcBorders>
            <w:vAlign w:val="center"/>
          </w:tcPr>
          <w:p w14:paraId="01F394C4" w14:textId="15AA6B4F"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0.540</w:t>
            </w:r>
          </w:p>
        </w:tc>
        <w:tc>
          <w:tcPr>
            <w:tcW w:w="442" w:type="pct"/>
            <w:tcBorders>
              <w:top w:val="nil"/>
              <w:left w:val="nil"/>
              <w:bottom w:val="single" w:sz="4" w:space="0" w:color="000000"/>
              <w:right w:val="nil"/>
            </w:tcBorders>
            <w:vAlign w:val="center"/>
          </w:tcPr>
          <w:p w14:paraId="01F394C5" w14:textId="45E36401"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0.779</w:t>
            </w:r>
          </w:p>
        </w:tc>
        <w:tc>
          <w:tcPr>
            <w:tcW w:w="442" w:type="pct"/>
            <w:tcBorders>
              <w:top w:val="nil"/>
              <w:left w:val="nil"/>
              <w:bottom w:val="single" w:sz="4" w:space="0" w:color="000000"/>
              <w:right w:val="nil"/>
            </w:tcBorders>
            <w:vAlign w:val="center"/>
          </w:tcPr>
          <w:p w14:paraId="01F394C6" w14:textId="3F805DF1"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hAnsi="Times New Roman" w:cs="Times New Roman"/>
                <w:color w:val="000000" w:themeColor="text1"/>
                <w:sz w:val="20"/>
                <w:szCs w:val="20"/>
              </w:rPr>
              <w:t>0.665</w:t>
            </w:r>
          </w:p>
        </w:tc>
        <w:tc>
          <w:tcPr>
            <w:tcW w:w="520" w:type="pct"/>
            <w:tcBorders>
              <w:top w:val="nil"/>
              <w:left w:val="nil"/>
              <w:bottom w:val="single" w:sz="4" w:space="0" w:color="000000"/>
              <w:right w:val="nil"/>
            </w:tcBorders>
            <w:vAlign w:val="center"/>
          </w:tcPr>
          <w:p w14:paraId="01F394C7" w14:textId="3AA0CFC0" w:rsidR="00A40D9F" w:rsidRPr="00A31721" w:rsidRDefault="00A40D9F" w:rsidP="0080700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r w:rsidRPr="00A31721">
              <w:rPr>
                <w:rFonts w:ascii="Times New Roman" w:hAnsi="Times New Roman" w:cs="Times New Roman"/>
                <w:b/>
                <w:bCs/>
                <w:color w:val="000000" w:themeColor="text1"/>
                <w:sz w:val="20"/>
                <w:szCs w:val="20"/>
              </w:rPr>
              <w:t>0.832</w:t>
            </w:r>
          </w:p>
        </w:tc>
      </w:tr>
    </w:tbl>
    <w:p w14:paraId="01F394C9" w14:textId="7F3D6045" w:rsidR="006749A4" w:rsidRPr="00A31721" w:rsidRDefault="0007550D" w:rsidP="00B4686C">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bookmarkStart w:id="10" w:name="_heading=h.2s8eyo1" w:colFirst="0" w:colLast="0"/>
      <w:bookmarkEnd w:id="10"/>
      <w:r w:rsidRPr="00A31721">
        <w:rPr>
          <w:rFonts w:ascii="Times New Roman" w:eastAsia="Times New Roman" w:hAnsi="Times New Roman" w:cs="Times New Roman"/>
          <w:color w:val="000000" w:themeColor="text1"/>
          <w:sz w:val="20"/>
          <w:szCs w:val="20"/>
        </w:rPr>
        <w:t xml:space="preserve">Panel </w:t>
      </w:r>
      <w:r w:rsidR="00D40AE0" w:rsidRPr="00A31721">
        <w:rPr>
          <w:rFonts w:ascii="Times New Roman" w:eastAsia="Times New Roman" w:hAnsi="Times New Roman" w:cs="Times New Roman"/>
          <w:color w:val="000000" w:themeColor="text1"/>
          <w:sz w:val="20"/>
          <w:szCs w:val="20"/>
        </w:rPr>
        <w:t>C</w:t>
      </w:r>
      <w:r w:rsidRPr="00A31721">
        <w:rPr>
          <w:rFonts w:ascii="Times New Roman" w:eastAsia="Times New Roman" w:hAnsi="Times New Roman" w:cs="Times New Roman"/>
          <w:color w:val="000000" w:themeColor="text1"/>
          <w:sz w:val="20"/>
          <w:szCs w:val="20"/>
        </w:rPr>
        <w:t xml:space="preserve"> - Explanatory </w:t>
      </w:r>
      <w:r w:rsidR="00D40AE0" w:rsidRPr="00A31721">
        <w:rPr>
          <w:rFonts w:ascii="Times New Roman" w:eastAsia="Times New Roman" w:hAnsi="Times New Roman" w:cs="Times New Roman"/>
          <w:color w:val="000000" w:themeColor="text1"/>
          <w:sz w:val="20"/>
          <w:szCs w:val="20"/>
        </w:rPr>
        <w:t>p</w:t>
      </w:r>
      <w:r w:rsidRPr="00A31721">
        <w:rPr>
          <w:rFonts w:ascii="Times New Roman" w:eastAsia="Times New Roman" w:hAnsi="Times New Roman" w:cs="Times New Roman"/>
          <w:color w:val="000000" w:themeColor="text1"/>
          <w:sz w:val="20"/>
          <w:szCs w:val="20"/>
        </w:rPr>
        <w:t xml:space="preserve">ower of the </w:t>
      </w:r>
      <w:r w:rsidR="00D40AE0" w:rsidRPr="00A31721">
        <w:rPr>
          <w:rFonts w:ascii="Times New Roman" w:eastAsia="Times New Roman" w:hAnsi="Times New Roman" w:cs="Times New Roman"/>
          <w:color w:val="000000" w:themeColor="text1"/>
          <w:sz w:val="20"/>
          <w:szCs w:val="20"/>
        </w:rPr>
        <w:t>m</w:t>
      </w:r>
      <w:r w:rsidRPr="00A31721">
        <w:rPr>
          <w:rFonts w:ascii="Times New Roman" w:eastAsia="Times New Roman" w:hAnsi="Times New Roman" w:cs="Times New Roman"/>
          <w:color w:val="000000" w:themeColor="text1"/>
          <w:sz w:val="20"/>
          <w:szCs w:val="20"/>
        </w:rPr>
        <w:t>odel</w:t>
      </w:r>
    </w:p>
    <w:tbl>
      <w:tblPr>
        <w:tblStyle w:val="a2"/>
        <w:tblW w:w="9360" w:type="dxa"/>
        <w:tblInd w:w="0" w:type="dxa"/>
        <w:tblLayout w:type="fixed"/>
        <w:tblLook w:val="0400" w:firstRow="0" w:lastRow="0" w:firstColumn="0" w:lastColumn="0" w:noHBand="0" w:noVBand="1"/>
      </w:tblPr>
      <w:tblGrid>
        <w:gridCol w:w="5306"/>
        <w:gridCol w:w="1473"/>
        <w:gridCol w:w="2581"/>
      </w:tblGrid>
      <w:tr w:rsidR="00A31721" w:rsidRPr="00A31721" w14:paraId="01F394CD" w14:textId="77777777" w:rsidTr="00862D0A">
        <w:trPr>
          <w:trHeight w:val="57"/>
        </w:trPr>
        <w:tc>
          <w:tcPr>
            <w:tcW w:w="5306" w:type="dxa"/>
            <w:tcBorders>
              <w:top w:val="single" w:sz="4" w:space="0" w:color="000000"/>
              <w:left w:val="nil"/>
              <w:right w:val="nil"/>
            </w:tcBorders>
            <w:vAlign w:val="center"/>
          </w:tcPr>
          <w:p w14:paraId="01F394CA" w14:textId="464ED37D" w:rsidR="006749A4" w:rsidRPr="00A31721" w:rsidRDefault="00777AB9"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Constructs</w:t>
            </w:r>
          </w:p>
        </w:tc>
        <w:tc>
          <w:tcPr>
            <w:tcW w:w="1473" w:type="dxa"/>
            <w:tcBorders>
              <w:top w:val="single" w:sz="4" w:space="0" w:color="000000"/>
              <w:left w:val="nil"/>
              <w:right w:val="nil"/>
            </w:tcBorders>
            <w:vAlign w:val="center"/>
          </w:tcPr>
          <w:p w14:paraId="01F394C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R-square</w:t>
            </w:r>
          </w:p>
        </w:tc>
        <w:tc>
          <w:tcPr>
            <w:tcW w:w="2581" w:type="dxa"/>
            <w:tcBorders>
              <w:top w:val="single" w:sz="4" w:space="0" w:color="000000"/>
              <w:left w:val="nil"/>
              <w:right w:val="nil"/>
            </w:tcBorders>
            <w:vAlign w:val="center"/>
          </w:tcPr>
          <w:p w14:paraId="01F394C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R-square adjusted</w:t>
            </w:r>
          </w:p>
        </w:tc>
      </w:tr>
      <w:tr w:rsidR="00A31721" w:rsidRPr="00A31721" w14:paraId="01F394D5" w14:textId="77777777" w:rsidTr="00862D0A">
        <w:trPr>
          <w:trHeight w:val="340"/>
        </w:trPr>
        <w:tc>
          <w:tcPr>
            <w:tcW w:w="5306" w:type="dxa"/>
            <w:tcBorders>
              <w:top w:val="single" w:sz="4" w:space="0" w:color="auto"/>
              <w:left w:val="nil"/>
              <w:bottom w:val="nil"/>
              <w:right w:val="nil"/>
            </w:tcBorders>
            <w:vAlign w:val="center"/>
          </w:tcPr>
          <w:p w14:paraId="01F394D2" w14:textId="719F74BB" w:rsidR="006749A4" w:rsidRPr="00A31721" w:rsidRDefault="00F31D68"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A</w:t>
            </w:r>
            <w:r w:rsidR="00B63570" w:rsidRPr="00A31721">
              <w:rPr>
                <w:rFonts w:ascii="Times New Roman" w:eastAsia="Times New Roman" w:hAnsi="Times New Roman" w:cs="Times New Roman"/>
                <w:color w:val="000000" w:themeColor="text1"/>
                <w:sz w:val="20"/>
                <w:szCs w:val="20"/>
              </w:rPr>
              <w:t xml:space="preserve">doption of </w:t>
            </w:r>
            <w:r w:rsidR="0007550D" w:rsidRPr="00A31721">
              <w:rPr>
                <w:rFonts w:ascii="Times New Roman" w:eastAsia="Times New Roman" w:hAnsi="Times New Roman" w:cs="Times New Roman"/>
                <w:color w:val="000000" w:themeColor="text1"/>
                <w:sz w:val="20"/>
                <w:szCs w:val="20"/>
              </w:rPr>
              <w:t>sustainability practices</w:t>
            </w:r>
          </w:p>
        </w:tc>
        <w:tc>
          <w:tcPr>
            <w:tcW w:w="1473" w:type="dxa"/>
            <w:tcBorders>
              <w:top w:val="single" w:sz="4" w:space="0" w:color="auto"/>
              <w:left w:val="nil"/>
              <w:bottom w:val="nil"/>
              <w:right w:val="nil"/>
            </w:tcBorders>
            <w:vAlign w:val="center"/>
          </w:tcPr>
          <w:p w14:paraId="01F394D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0.745</w:t>
            </w:r>
          </w:p>
        </w:tc>
        <w:tc>
          <w:tcPr>
            <w:tcW w:w="2581" w:type="dxa"/>
            <w:tcBorders>
              <w:top w:val="single" w:sz="4" w:space="0" w:color="auto"/>
              <w:left w:val="nil"/>
              <w:bottom w:val="nil"/>
              <w:right w:val="nil"/>
            </w:tcBorders>
            <w:vAlign w:val="center"/>
          </w:tcPr>
          <w:p w14:paraId="01F394D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0.741</w:t>
            </w:r>
          </w:p>
        </w:tc>
      </w:tr>
      <w:tr w:rsidR="00A31721" w:rsidRPr="00A31721" w14:paraId="01F394D9" w14:textId="77777777" w:rsidTr="00862D0A">
        <w:trPr>
          <w:trHeight w:val="340"/>
        </w:trPr>
        <w:tc>
          <w:tcPr>
            <w:tcW w:w="5306" w:type="dxa"/>
            <w:tcBorders>
              <w:top w:val="nil"/>
              <w:left w:val="nil"/>
              <w:bottom w:val="nil"/>
              <w:right w:val="nil"/>
            </w:tcBorders>
            <w:vAlign w:val="center"/>
          </w:tcPr>
          <w:p w14:paraId="01F394D6" w14:textId="074F3986"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EMA tools</w:t>
            </w:r>
          </w:p>
        </w:tc>
        <w:tc>
          <w:tcPr>
            <w:tcW w:w="1473" w:type="dxa"/>
            <w:tcBorders>
              <w:top w:val="nil"/>
              <w:left w:val="nil"/>
              <w:bottom w:val="nil"/>
              <w:right w:val="nil"/>
            </w:tcBorders>
            <w:vAlign w:val="center"/>
          </w:tcPr>
          <w:p w14:paraId="01F394D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0.648</w:t>
            </w:r>
          </w:p>
        </w:tc>
        <w:tc>
          <w:tcPr>
            <w:tcW w:w="2581" w:type="dxa"/>
            <w:tcBorders>
              <w:top w:val="nil"/>
              <w:left w:val="nil"/>
              <w:bottom w:val="nil"/>
              <w:right w:val="nil"/>
            </w:tcBorders>
            <w:vAlign w:val="center"/>
          </w:tcPr>
          <w:p w14:paraId="01F394D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0.642</w:t>
            </w:r>
          </w:p>
        </w:tc>
      </w:tr>
      <w:tr w:rsidR="00A31721" w:rsidRPr="00A31721" w14:paraId="0F0FF09F" w14:textId="77777777">
        <w:trPr>
          <w:trHeight w:val="340"/>
        </w:trPr>
        <w:tc>
          <w:tcPr>
            <w:tcW w:w="5306" w:type="dxa"/>
            <w:tcBorders>
              <w:top w:val="nil"/>
              <w:left w:val="nil"/>
              <w:bottom w:val="single" w:sz="4" w:space="0" w:color="000000"/>
              <w:right w:val="nil"/>
            </w:tcBorders>
            <w:vAlign w:val="center"/>
          </w:tcPr>
          <w:p w14:paraId="023B3B89" w14:textId="3868421D" w:rsidR="003C1C91" w:rsidRPr="00A31721" w:rsidRDefault="003C1C91"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Environmental performance</w:t>
            </w:r>
          </w:p>
        </w:tc>
        <w:tc>
          <w:tcPr>
            <w:tcW w:w="1473" w:type="dxa"/>
            <w:tcBorders>
              <w:top w:val="nil"/>
              <w:left w:val="nil"/>
              <w:bottom w:val="single" w:sz="4" w:space="0" w:color="000000"/>
              <w:right w:val="nil"/>
            </w:tcBorders>
            <w:vAlign w:val="center"/>
          </w:tcPr>
          <w:p w14:paraId="3567A334" w14:textId="12BD18BF" w:rsidR="003C1C91" w:rsidRPr="00A31721" w:rsidRDefault="003C1C91"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0.611</w:t>
            </w:r>
          </w:p>
        </w:tc>
        <w:tc>
          <w:tcPr>
            <w:tcW w:w="2581" w:type="dxa"/>
            <w:tcBorders>
              <w:top w:val="nil"/>
              <w:left w:val="nil"/>
              <w:bottom w:val="single" w:sz="4" w:space="0" w:color="000000"/>
              <w:right w:val="nil"/>
            </w:tcBorders>
            <w:vAlign w:val="center"/>
          </w:tcPr>
          <w:p w14:paraId="63ECD0B7" w14:textId="7B6B126D" w:rsidR="003C1C91" w:rsidRPr="00A31721" w:rsidRDefault="003C1C91"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0.606</w:t>
            </w:r>
          </w:p>
        </w:tc>
      </w:tr>
    </w:tbl>
    <w:p w14:paraId="2CD999A2" w14:textId="1AAF6630" w:rsidR="00784610"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Note: R</w:t>
      </w:r>
      <w:r w:rsidRPr="00A31721">
        <w:rPr>
          <w:rFonts w:ascii="Times New Roman" w:eastAsia="Times New Roman" w:hAnsi="Times New Roman" w:cs="Times New Roman"/>
          <w:color w:val="000000" w:themeColor="text1"/>
          <w:sz w:val="20"/>
          <w:szCs w:val="20"/>
          <w:vertAlign w:val="superscript"/>
        </w:rPr>
        <w:t>2</w:t>
      </w:r>
      <w:r w:rsidRPr="00A31721">
        <w:rPr>
          <w:rFonts w:ascii="Times New Roman" w:eastAsia="Times New Roman" w:hAnsi="Times New Roman" w:cs="Times New Roman"/>
          <w:color w:val="000000" w:themeColor="text1"/>
          <w:sz w:val="20"/>
          <w:szCs w:val="20"/>
        </w:rPr>
        <w:t xml:space="preserve"> = R square</w:t>
      </w:r>
      <w:r w:rsidR="008819D9" w:rsidRPr="00A31721">
        <w:rPr>
          <w:rFonts w:ascii="Times New Roman" w:eastAsia="Times New Roman" w:hAnsi="Times New Roman" w:cs="Times New Roman"/>
          <w:color w:val="000000" w:themeColor="text1"/>
          <w:sz w:val="20"/>
          <w:szCs w:val="20"/>
        </w:rPr>
        <w:t xml:space="preserve">; </w:t>
      </w:r>
      <w:r w:rsidRPr="00A31721">
        <w:rPr>
          <w:rFonts w:ascii="Times New Roman" w:eastAsia="Times New Roman" w:hAnsi="Times New Roman" w:cs="Times New Roman"/>
          <w:color w:val="000000" w:themeColor="text1"/>
          <w:sz w:val="20"/>
          <w:szCs w:val="20"/>
        </w:rPr>
        <w:t>bold values</w:t>
      </w:r>
      <w:r w:rsidR="008819D9" w:rsidRPr="00A31721">
        <w:rPr>
          <w:rFonts w:ascii="Times New Roman" w:eastAsia="Times New Roman" w:hAnsi="Times New Roman" w:cs="Times New Roman"/>
          <w:color w:val="000000" w:themeColor="text1"/>
          <w:sz w:val="20"/>
          <w:szCs w:val="20"/>
        </w:rPr>
        <w:t xml:space="preserve"> </w:t>
      </w:r>
      <w:r w:rsidRPr="00A31721">
        <w:rPr>
          <w:rFonts w:ascii="Times New Roman" w:eastAsia="Times New Roman" w:hAnsi="Times New Roman" w:cs="Times New Roman"/>
          <w:color w:val="000000" w:themeColor="text1"/>
          <w:sz w:val="20"/>
          <w:szCs w:val="20"/>
        </w:rPr>
        <w:t>presented diagonally</w:t>
      </w:r>
      <w:r w:rsidR="008819D9" w:rsidRPr="00A31721">
        <w:rPr>
          <w:rFonts w:ascii="Times New Roman" w:eastAsia="Times New Roman" w:hAnsi="Times New Roman" w:cs="Times New Roman"/>
          <w:color w:val="000000" w:themeColor="text1"/>
          <w:sz w:val="20"/>
          <w:szCs w:val="20"/>
        </w:rPr>
        <w:t xml:space="preserve"> </w:t>
      </w:r>
      <w:r w:rsidRPr="00A31721">
        <w:rPr>
          <w:rFonts w:ascii="Times New Roman" w:eastAsia="Times New Roman" w:hAnsi="Times New Roman" w:cs="Times New Roman"/>
          <w:color w:val="000000" w:themeColor="text1"/>
          <w:sz w:val="20"/>
          <w:szCs w:val="20"/>
        </w:rPr>
        <w:t xml:space="preserve">represent </w:t>
      </w:r>
      <w:proofErr w:type="spellStart"/>
      <w:r w:rsidR="00055519" w:rsidRPr="00A31721">
        <w:rPr>
          <w:rFonts w:ascii="Times New Roman" w:eastAsia="Times New Roman" w:hAnsi="Times New Roman" w:cs="Times New Roman"/>
          <w:color w:val="000000" w:themeColor="text1"/>
          <w:sz w:val="20"/>
          <w:szCs w:val="20"/>
        </w:rPr>
        <w:t>c</w:t>
      </w:r>
      <w:r w:rsidRPr="00A31721">
        <w:rPr>
          <w:rFonts w:ascii="Times New Roman" w:eastAsia="Times New Roman" w:hAnsi="Times New Roman" w:cs="Times New Roman"/>
          <w:color w:val="000000" w:themeColor="text1"/>
          <w:sz w:val="20"/>
          <w:szCs w:val="20"/>
        </w:rPr>
        <w:t>ronbach's</w:t>
      </w:r>
      <w:proofErr w:type="spellEnd"/>
      <w:r w:rsidRPr="00A31721">
        <w:rPr>
          <w:rFonts w:ascii="Times New Roman" w:eastAsia="Times New Roman" w:hAnsi="Times New Roman" w:cs="Times New Roman"/>
          <w:color w:val="000000" w:themeColor="text1"/>
          <w:sz w:val="20"/>
          <w:szCs w:val="20"/>
        </w:rPr>
        <w:t xml:space="preserve"> Alpha.</w:t>
      </w:r>
      <w:r w:rsidR="00784610" w:rsidRPr="00A31721">
        <w:rPr>
          <w:rFonts w:ascii="Times New Roman" w:eastAsia="Times New Roman" w:hAnsi="Times New Roman" w:cs="Times New Roman"/>
          <w:color w:val="000000" w:themeColor="text1"/>
          <w:sz w:val="20"/>
          <w:szCs w:val="20"/>
        </w:rPr>
        <w:t xml:space="preserve"> CR= composite reliability, and AVE= average variance extracted</w:t>
      </w:r>
    </w:p>
    <w:p w14:paraId="283CC3AC" w14:textId="77777777" w:rsidR="000A082E" w:rsidRPr="00A31721" w:rsidRDefault="000A082E"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bookmarkStart w:id="11" w:name="_heading=h.17dp8vu" w:colFirst="0" w:colLast="0"/>
      <w:bookmarkEnd w:id="11"/>
    </w:p>
    <w:p w14:paraId="791F2B49" w14:textId="77777777" w:rsidR="00445585" w:rsidRPr="00A31721" w:rsidRDefault="00445585"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p w14:paraId="01F394DD" w14:textId="2245F714"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31721">
        <w:rPr>
          <w:rFonts w:ascii="Times New Roman" w:eastAsia="Times New Roman" w:hAnsi="Times New Roman" w:cs="Times New Roman"/>
          <w:color w:val="000000" w:themeColor="text1"/>
          <w:sz w:val="24"/>
          <w:szCs w:val="24"/>
        </w:rPr>
        <w:t xml:space="preserve">Table </w:t>
      </w:r>
      <w:r w:rsidR="000A082E" w:rsidRPr="00A31721">
        <w:rPr>
          <w:rFonts w:ascii="Times New Roman" w:eastAsia="Times New Roman" w:hAnsi="Times New Roman" w:cs="Times New Roman"/>
          <w:color w:val="000000" w:themeColor="text1"/>
          <w:sz w:val="24"/>
          <w:szCs w:val="24"/>
        </w:rPr>
        <w:t>2</w:t>
      </w:r>
      <w:r w:rsidRPr="00A31721">
        <w:rPr>
          <w:rFonts w:ascii="Times New Roman" w:eastAsia="Times New Roman" w:hAnsi="Times New Roman" w:cs="Times New Roman"/>
          <w:color w:val="000000" w:themeColor="text1"/>
          <w:sz w:val="24"/>
          <w:szCs w:val="24"/>
        </w:rPr>
        <w:t xml:space="preserve"> – Structural model</w:t>
      </w:r>
    </w:p>
    <w:tbl>
      <w:tblPr>
        <w:tblStyle w:val="a3"/>
        <w:tblW w:w="9360" w:type="dxa"/>
        <w:tblInd w:w="0" w:type="dxa"/>
        <w:tblLayout w:type="fixed"/>
        <w:tblLook w:val="0400" w:firstRow="0" w:lastRow="0" w:firstColumn="0" w:lastColumn="0" w:noHBand="0" w:noVBand="1"/>
      </w:tblPr>
      <w:tblGrid>
        <w:gridCol w:w="6669"/>
        <w:gridCol w:w="743"/>
        <w:gridCol w:w="7"/>
        <w:gridCol w:w="861"/>
        <w:gridCol w:w="1080"/>
      </w:tblGrid>
      <w:tr w:rsidR="00A31721" w:rsidRPr="00A31721" w14:paraId="01F394E2" w14:textId="77777777">
        <w:trPr>
          <w:trHeight w:val="20"/>
        </w:trPr>
        <w:tc>
          <w:tcPr>
            <w:tcW w:w="6669" w:type="dxa"/>
            <w:tcBorders>
              <w:top w:val="single" w:sz="4" w:space="0" w:color="000000"/>
              <w:left w:val="nil"/>
              <w:bottom w:val="single" w:sz="4" w:space="0" w:color="000000"/>
              <w:right w:val="nil"/>
            </w:tcBorders>
            <w:shd w:val="clear" w:color="auto" w:fill="BFBFBF"/>
            <w:vAlign w:val="center"/>
          </w:tcPr>
          <w:p w14:paraId="01F394D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Direct effects</w:t>
            </w:r>
          </w:p>
        </w:tc>
        <w:tc>
          <w:tcPr>
            <w:tcW w:w="750" w:type="dxa"/>
            <w:gridSpan w:val="2"/>
            <w:tcBorders>
              <w:top w:val="single" w:sz="4" w:space="0" w:color="000000"/>
              <w:left w:val="nil"/>
              <w:bottom w:val="single" w:sz="4" w:space="0" w:color="000000"/>
              <w:right w:val="nil"/>
            </w:tcBorders>
            <w:shd w:val="clear" w:color="auto" w:fill="BFBFBF"/>
            <w:vAlign w:val="center"/>
          </w:tcPr>
          <w:p w14:paraId="01F394DF"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861" w:type="dxa"/>
            <w:tcBorders>
              <w:top w:val="single" w:sz="4" w:space="0" w:color="000000"/>
              <w:left w:val="nil"/>
              <w:bottom w:val="single" w:sz="4" w:space="0" w:color="000000"/>
              <w:right w:val="nil"/>
            </w:tcBorders>
            <w:shd w:val="clear" w:color="auto" w:fill="BFBFBF"/>
            <w:vAlign w:val="center"/>
          </w:tcPr>
          <w:p w14:paraId="01F394E0"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1080" w:type="dxa"/>
            <w:tcBorders>
              <w:top w:val="single" w:sz="4" w:space="0" w:color="000000"/>
              <w:left w:val="nil"/>
              <w:bottom w:val="single" w:sz="4" w:space="0" w:color="000000"/>
              <w:right w:val="nil"/>
            </w:tcBorders>
            <w:shd w:val="clear" w:color="auto" w:fill="BFBFBF"/>
            <w:vAlign w:val="center"/>
          </w:tcPr>
          <w:p w14:paraId="01F394E1"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r>
      <w:tr w:rsidR="00A31721" w:rsidRPr="00A31721" w14:paraId="01F394E7" w14:textId="77777777">
        <w:trPr>
          <w:trHeight w:val="20"/>
        </w:trPr>
        <w:tc>
          <w:tcPr>
            <w:tcW w:w="6669" w:type="dxa"/>
            <w:tcBorders>
              <w:top w:val="single" w:sz="4" w:space="0" w:color="000000"/>
              <w:left w:val="nil"/>
              <w:bottom w:val="single" w:sz="4" w:space="0" w:color="000000"/>
              <w:right w:val="nil"/>
            </w:tcBorders>
            <w:vAlign w:val="center"/>
          </w:tcPr>
          <w:p w14:paraId="01F394E3"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750" w:type="dxa"/>
            <w:gridSpan w:val="2"/>
            <w:tcBorders>
              <w:top w:val="single" w:sz="4" w:space="0" w:color="000000"/>
              <w:left w:val="nil"/>
              <w:bottom w:val="single" w:sz="4" w:space="0" w:color="000000"/>
              <w:right w:val="nil"/>
            </w:tcBorders>
            <w:vAlign w:val="center"/>
          </w:tcPr>
          <w:p w14:paraId="01F394E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B</w:t>
            </w:r>
          </w:p>
        </w:tc>
        <w:tc>
          <w:tcPr>
            <w:tcW w:w="861" w:type="dxa"/>
            <w:tcBorders>
              <w:top w:val="single" w:sz="4" w:space="0" w:color="000000"/>
              <w:left w:val="nil"/>
              <w:bottom w:val="single" w:sz="4" w:space="0" w:color="000000"/>
              <w:right w:val="nil"/>
            </w:tcBorders>
            <w:vAlign w:val="center"/>
          </w:tcPr>
          <w:p w14:paraId="01F394E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T-stat</w:t>
            </w:r>
          </w:p>
        </w:tc>
        <w:tc>
          <w:tcPr>
            <w:tcW w:w="1080" w:type="dxa"/>
            <w:tcBorders>
              <w:top w:val="single" w:sz="4" w:space="0" w:color="000000"/>
              <w:left w:val="nil"/>
              <w:bottom w:val="single" w:sz="4" w:space="0" w:color="000000"/>
              <w:right w:val="nil"/>
            </w:tcBorders>
            <w:vAlign w:val="center"/>
          </w:tcPr>
          <w:p w14:paraId="01F394E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P-values</w:t>
            </w:r>
          </w:p>
        </w:tc>
      </w:tr>
      <w:tr w:rsidR="00A31721" w:rsidRPr="00A31721" w14:paraId="01F394EC" w14:textId="77777777">
        <w:trPr>
          <w:trHeight w:val="340"/>
        </w:trPr>
        <w:tc>
          <w:tcPr>
            <w:tcW w:w="6669" w:type="dxa"/>
            <w:tcBorders>
              <w:top w:val="nil"/>
              <w:left w:val="nil"/>
              <w:bottom w:val="nil"/>
              <w:right w:val="nil"/>
            </w:tcBorders>
            <w:vAlign w:val="bottom"/>
          </w:tcPr>
          <w:p w14:paraId="01F394E8" w14:textId="25CA3A49"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uncertainties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9E5281" w:rsidRPr="00A31721">
              <w:rPr>
                <w:rFonts w:ascii="Times New Roman" w:eastAsia="Times New Roman" w:hAnsi="Times New Roman" w:cs="Times New Roman"/>
                <w:color w:val="000000" w:themeColor="text1"/>
                <w:sz w:val="20"/>
                <w:szCs w:val="20"/>
              </w:rPr>
              <w:t xml:space="preserve">Adoption of </w:t>
            </w:r>
            <w:r w:rsidRPr="00A31721">
              <w:rPr>
                <w:rFonts w:ascii="Times New Roman" w:eastAsia="Times New Roman" w:hAnsi="Times New Roman" w:cs="Times New Roman"/>
                <w:color w:val="000000" w:themeColor="text1"/>
                <w:sz w:val="20"/>
                <w:szCs w:val="20"/>
              </w:rPr>
              <w:t>sustainability practices</w:t>
            </w:r>
          </w:p>
        </w:tc>
        <w:tc>
          <w:tcPr>
            <w:tcW w:w="750" w:type="dxa"/>
            <w:gridSpan w:val="2"/>
            <w:tcBorders>
              <w:top w:val="nil"/>
              <w:left w:val="nil"/>
              <w:bottom w:val="nil"/>
              <w:right w:val="nil"/>
            </w:tcBorders>
            <w:vAlign w:val="center"/>
          </w:tcPr>
          <w:p w14:paraId="01F394E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0.587</w:t>
            </w:r>
          </w:p>
        </w:tc>
        <w:tc>
          <w:tcPr>
            <w:tcW w:w="861" w:type="dxa"/>
            <w:tcBorders>
              <w:top w:val="nil"/>
              <w:left w:val="nil"/>
              <w:bottom w:val="nil"/>
              <w:right w:val="nil"/>
            </w:tcBorders>
            <w:vAlign w:val="center"/>
          </w:tcPr>
          <w:p w14:paraId="01F394E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10.193</w:t>
            </w:r>
          </w:p>
        </w:tc>
        <w:tc>
          <w:tcPr>
            <w:tcW w:w="1080" w:type="dxa"/>
            <w:tcBorders>
              <w:top w:val="nil"/>
              <w:left w:val="nil"/>
              <w:bottom w:val="nil"/>
              <w:right w:val="nil"/>
            </w:tcBorders>
            <w:vAlign w:val="center"/>
          </w:tcPr>
          <w:p w14:paraId="01F394E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4F1" w14:textId="77777777">
        <w:trPr>
          <w:trHeight w:val="340"/>
        </w:trPr>
        <w:tc>
          <w:tcPr>
            <w:tcW w:w="6669" w:type="dxa"/>
            <w:tcBorders>
              <w:top w:val="nil"/>
              <w:left w:val="nil"/>
              <w:bottom w:val="nil"/>
              <w:right w:val="nil"/>
            </w:tcBorders>
            <w:vAlign w:val="bottom"/>
          </w:tcPr>
          <w:p w14:paraId="01F394ED" w14:textId="215BD6D0"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strategy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F31D68" w:rsidRPr="00A31721">
              <w:rPr>
                <w:rFonts w:ascii="Times New Roman" w:eastAsia="Times New Roman" w:hAnsi="Times New Roman" w:cs="Times New Roman"/>
                <w:color w:val="000000" w:themeColor="text1"/>
                <w:sz w:val="20"/>
                <w:szCs w:val="20"/>
              </w:rPr>
              <w:t>A</w:t>
            </w:r>
            <w:r w:rsidR="009E5281" w:rsidRPr="00A31721">
              <w:rPr>
                <w:rFonts w:ascii="Times New Roman" w:eastAsia="Times New Roman" w:hAnsi="Times New Roman" w:cs="Times New Roman"/>
                <w:color w:val="000000" w:themeColor="text1"/>
                <w:sz w:val="20"/>
                <w:szCs w:val="20"/>
              </w:rPr>
              <w:t xml:space="preserve">doption of </w:t>
            </w:r>
            <w:r w:rsidRPr="00A31721">
              <w:rPr>
                <w:rFonts w:ascii="Times New Roman" w:eastAsia="Times New Roman" w:hAnsi="Times New Roman" w:cs="Times New Roman"/>
                <w:color w:val="000000" w:themeColor="text1"/>
                <w:sz w:val="20"/>
                <w:szCs w:val="20"/>
              </w:rPr>
              <w:t>sustainability practices</w:t>
            </w:r>
          </w:p>
        </w:tc>
        <w:tc>
          <w:tcPr>
            <w:tcW w:w="750" w:type="dxa"/>
            <w:gridSpan w:val="2"/>
            <w:tcBorders>
              <w:top w:val="nil"/>
              <w:left w:val="nil"/>
              <w:bottom w:val="nil"/>
              <w:right w:val="nil"/>
            </w:tcBorders>
            <w:vAlign w:val="center"/>
          </w:tcPr>
          <w:p w14:paraId="01F394E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0.130</w:t>
            </w:r>
          </w:p>
        </w:tc>
        <w:tc>
          <w:tcPr>
            <w:tcW w:w="861" w:type="dxa"/>
            <w:tcBorders>
              <w:top w:val="nil"/>
              <w:left w:val="nil"/>
              <w:bottom w:val="nil"/>
              <w:right w:val="nil"/>
            </w:tcBorders>
            <w:vAlign w:val="center"/>
          </w:tcPr>
          <w:p w14:paraId="01F394E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2.57</w:t>
            </w:r>
          </w:p>
        </w:tc>
        <w:tc>
          <w:tcPr>
            <w:tcW w:w="1080" w:type="dxa"/>
            <w:tcBorders>
              <w:top w:val="nil"/>
              <w:left w:val="nil"/>
              <w:bottom w:val="nil"/>
              <w:right w:val="nil"/>
            </w:tcBorders>
            <w:vAlign w:val="center"/>
          </w:tcPr>
          <w:p w14:paraId="01F394F0"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0.010***</w:t>
            </w:r>
          </w:p>
        </w:tc>
      </w:tr>
      <w:tr w:rsidR="00A31721" w:rsidRPr="00A31721" w14:paraId="01F394F6" w14:textId="77777777">
        <w:trPr>
          <w:trHeight w:val="340"/>
        </w:trPr>
        <w:tc>
          <w:tcPr>
            <w:tcW w:w="6669" w:type="dxa"/>
            <w:tcBorders>
              <w:top w:val="nil"/>
              <w:left w:val="nil"/>
              <w:bottom w:val="nil"/>
              <w:right w:val="nil"/>
            </w:tcBorders>
            <w:vAlign w:val="bottom"/>
          </w:tcPr>
          <w:p w14:paraId="01F394F2" w14:textId="225A3999"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Technology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9E5281" w:rsidRPr="00A31721">
              <w:rPr>
                <w:rFonts w:ascii="Times New Roman" w:eastAsia="Times New Roman" w:hAnsi="Times New Roman" w:cs="Times New Roman"/>
                <w:color w:val="000000" w:themeColor="text1"/>
                <w:sz w:val="20"/>
                <w:szCs w:val="20"/>
              </w:rPr>
              <w:t xml:space="preserve">Adoption of </w:t>
            </w:r>
            <w:r w:rsidRPr="00A31721">
              <w:rPr>
                <w:rFonts w:ascii="Times New Roman" w:eastAsia="Times New Roman" w:hAnsi="Times New Roman" w:cs="Times New Roman"/>
                <w:color w:val="000000" w:themeColor="text1"/>
                <w:sz w:val="20"/>
                <w:szCs w:val="20"/>
              </w:rPr>
              <w:t>sustainability practices</w:t>
            </w:r>
          </w:p>
        </w:tc>
        <w:tc>
          <w:tcPr>
            <w:tcW w:w="750" w:type="dxa"/>
            <w:gridSpan w:val="2"/>
            <w:tcBorders>
              <w:top w:val="nil"/>
              <w:left w:val="nil"/>
              <w:bottom w:val="nil"/>
              <w:right w:val="nil"/>
            </w:tcBorders>
            <w:vAlign w:val="center"/>
          </w:tcPr>
          <w:p w14:paraId="01F394F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0.255</w:t>
            </w:r>
          </w:p>
        </w:tc>
        <w:tc>
          <w:tcPr>
            <w:tcW w:w="861" w:type="dxa"/>
            <w:tcBorders>
              <w:top w:val="nil"/>
              <w:left w:val="nil"/>
              <w:bottom w:val="nil"/>
              <w:right w:val="nil"/>
            </w:tcBorders>
            <w:vAlign w:val="center"/>
          </w:tcPr>
          <w:p w14:paraId="01F394F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3.778</w:t>
            </w:r>
          </w:p>
        </w:tc>
        <w:tc>
          <w:tcPr>
            <w:tcW w:w="1080" w:type="dxa"/>
            <w:tcBorders>
              <w:top w:val="nil"/>
              <w:left w:val="nil"/>
              <w:bottom w:val="nil"/>
              <w:right w:val="nil"/>
            </w:tcBorders>
            <w:vAlign w:val="center"/>
          </w:tcPr>
          <w:p w14:paraId="01F394F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4FB" w14:textId="77777777">
        <w:trPr>
          <w:trHeight w:val="340"/>
        </w:trPr>
        <w:tc>
          <w:tcPr>
            <w:tcW w:w="6669" w:type="dxa"/>
            <w:tcBorders>
              <w:top w:val="nil"/>
              <w:left w:val="nil"/>
              <w:bottom w:val="nil"/>
              <w:right w:val="nil"/>
            </w:tcBorders>
            <w:vAlign w:val="bottom"/>
          </w:tcPr>
          <w:p w14:paraId="01F394F7" w14:textId="4302488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uncertainties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w:t>
            </w:r>
          </w:p>
        </w:tc>
        <w:tc>
          <w:tcPr>
            <w:tcW w:w="750" w:type="dxa"/>
            <w:gridSpan w:val="2"/>
            <w:tcBorders>
              <w:top w:val="nil"/>
              <w:left w:val="nil"/>
              <w:bottom w:val="nil"/>
              <w:right w:val="nil"/>
            </w:tcBorders>
            <w:vAlign w:val="center"/>
          </w:tcPr>
          <w:p w14:paraId="01F394F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0.373</w:t>
            </w:r>
          </w:p>
        </w:tc>
        <w:tc>
          <w:tcPr>
            <w:tcW w:w="861" w:type="dxa"/>
            <w:tcBorders>
              <w:top w:val="nil"/>
              <w:left w:val="nil"/>
              <w:bottom w:val="nil"/>
              <w:right w:val="nil"/>
            </w:tcBorders>
            <w:vAlign w:val="center"/>
          </w:tcPr>
          <w:p w14:paraId="01F394F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5.467</w:t>
            </w:r>
          </w:p>
        </w:tc>
        <w:tc>
          <w:tcPr>
            <w:tcW w:w="1080" w:type="dxa"/>
            <w:tcBorders>
              <w:top w:val="nil"/>
              <w:left w:val="nil"/>
              <w:bottom w:val="nil"/>
              <w:right w:val="nil"/>
            </w:tcBorders>
            <w:vAlign w:val="center"/>
          </w:tcPr>
          <w:p w14:paraId="01F394F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00" w14:textId="77777777">
        <w:trPr>
          <w:trHeight w:val="340"/>
        </w:trPr>
        <w:tc>
          <w:tcPr>
            <w:tcW w:w="6669" w:type="dxa"/>
            <w:tcBorders>
              <w:top w:val="nil"/>
              <w:left w:val="nil"/>
              <w:right w:val="nil"/>
            </w:tcBorders>
            <w:vAlign w:val="bottom"/>
          </w:tcPr>
          <w:p w14:paraId="01F394FC" w14:textId="28BAA97B"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strategy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w:t>
            </w:r>
          </w:p>
        </w:tc>
        <w:tc>
          <w:tcPr>
            <w:tcW w:w="750" w:type="dxa"/>
            <w:gridSpan w:val="2"/>
            <w:tcBorders>
              <w:top w:val="nil"/>
              <w:left w:val="nil"/>
              <w:right w:val="nil"/>
            </w:tcBorders>
            <w:vAlign w:val="center"/>
          </w:tcPr>
          <w:p w14:paraId="01F394FD"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0.307</w:t>
            </w:r>
          </w:p>
        </w:tc>
        <w:tc>
          <w:tcPr>
            <w:tcW w:w="861" w:type="dxa"/>
            <w:tcBorders>
              <w:top w:val="nil"/>
              <w:left w:val="nil"/>
              <w:right w:val="nil"/>
            </w:tcBorders>
            <w:vAlign w:val="center"/>
          </w:tcPr>
          <w:p w14:paraId="01F394F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4.07</w:t>
            </w:r>
          </w:p>
        </w:tc>
        <w:tc>
          <w:tcPr>
            <w:tcW w:w="1080" w:type="dxa"/>
            <w:tcBorders>
              <w:top w:val="nil"/>
              <w:left w:val="nil"/>
              <w:right w:val="nil"/>
            </w:tcBorders>
            <w:vAlign w:val="center"/>
          </w:tcPr>
          <w:p w14:paraId="01F394F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05" w14:textId="77777777">
        <w:trPr>
          <w:trHeight w:val="340"/>
        </w:trPr>
        <w:tc>
          <w:tcPr>
            <w:tcW w:w="6669" w:type="dxa"/>
            <w:tcBorders>
              <w:top w:val="nil"/>
              <w:left w:val="nil"/>
              <w:bottom w:val="nil"/>
            </w:tcBorders>
            <w:vAlign w:val="bottom"/>
          </w:tcPr>
          <w:p w14:paraId="01F39501" w14:textId="5A1EEA1A"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Technology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w:t>
            </w:r>
          </w:p>
        </w:tc>
        <w:tc>
          <w:tcPr>
            <w:tcW w:w="750" w:type="dxa"/>
            <w:gridSpan w:val="2"/>
            <w:tcBorders>
              <w:top w:val="nil"/>
              <w:bottom w:val="nil"/>
            </w:tcBorders>
            <w:vAlign w:val="center"/>
          </w:tcPr>
          <w:p w14:paraId="01F39502"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0.258</w:t>
            </w:r>
          </w:p>
        </w:tc>
        <w:tc>
          <w:tcPr>
            <w:tcW w:w="861" w:type="dxa"/>
            <w:tcBorders>
              <w:top w:val="nil"/>
              <w:bottom w:val="nil"/>
            </w:tcBorders>
            <w:vAlign w:val="center"/>
          </w:tcPr>
          <w:p w14:paraId="01F3950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2.957</w:t>
            </w:r>
          </w:p>
        </w:tc>
        <w:tc>
          <w:tcPr>
            <w:tcW w:w="1080" w:type="dxa"/>
            <w:tcBorders>
              <w:top w:val="nil"/>
              <w:bottom w:val="nil"/>
              <w:right w:val="nil"/>
            </w:tcBorders>
            <w:vAlign w:val="center"/>
          </w:tcPr>
          <w:p w14:paraId="01F3950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0.003***</w:t>
            </w:r>
          </w:p>
        </w:tc>
      </w:tr>
      <w:tr w:rsidR="00A31721" w:rsidRPr="00A31721" w14:paraId="01F3950A" w14:textId="77777777">
        <w:trPr>
          <w:trHeight w:val="340"/>
        </w:trPr>
        <w:tc>
          <w:tcPr>
            <w:tcW w:w="6669" w:type="dxa"/>
            <w:tcBorders>
              <w:top w:val="nil"/>
              <w:left w:val="nil"/>
              <w:bottom w:val="nil"/>
            </w:tcBorders>
            <w:vAlign w:val="bottom"/>
          </w:tcPr>
          <w:p w14:paraId="01F39506" w14:textId="3485E4B6" w:rsidR="006749A4" w:rsidRPr="00A31721" w:rsidRDefault="00F31D68"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Adoption of </w:t>
            </w:r>
            <w:r w:rsidR="0007550D" w:rsidRPr="00A31721">
              <w:rPr>
                <w:rFonts w:ascii="Times New Roman" w:eastAsia="Times New Roman" w:hAnsi="Times New Roman" w:cs="Times New Roman"/>
                <w:color w:val="000000" w:themeColor="text1"/>
                <w:sz w:val="20"/>
                <w:szCs w:val="20"/>
              </w:rPr>
              <w:t xml:space="preserve">sustainability practices </w:t>
            </w:r>
            <w:r w:rsidR="005111AB" w:rsidRPr="00A31721">
              <w:rPr>
                <w:rFonts w:ascii="Times New Roman" w:eastAsia="Wingdings" w:hAnsi="Times New Roman" w:cs="Times New Roman"/>
                <w:color w:val="000000" w:themeColor="text1"/>
                <w:sz w:val="20"/>
                <w:szCs w:val="20"/>
              </w:rPr>
              <w:sym w:font="Wingdings" w:char="F0E0"/>
            </w:r>
            <w:r w:rsidR="0007550D" w:rsidRPr="00A31721">
              <w:rPr>
                <w:rFonts w:ascii="Times New Roman" w:eastAsia="Times New Roman" w:hAnsi="Times New Roman" w:cs="Times New Roman"/>
                <w:color w:val="000000" w:themeColor="text1"/>
                <w:sz w:val="20"/>
                <w:szCs w:val="20"/>
              </w:rPr>
              <w:t xml:space="preserve"> Environmental performance</w:t>
            </w:r>
          </w:p>
        </w:tc>
        <w:tc>
          <w:tcPr>
            <w:tcW w:w="750" w:type="dxa"/>
            <w:gridSpan w:val="2"/>
            <w:tcBorders>
              <w:top w:val="nil"/>
              <w:bottom w:val="nil"/>
            </w:tcBorders>
            <w:vAlign w:val="center"/>
          </w:tcPr>
          <w:p w14:paraId="01F3950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0.692</w:t>
            </w:r>
          </w:p>
        </w:tc>
        <w:tc>
          <w:tcPr>
            <w:tcW w:w="861" w:type="dxa"/>
            <w:tcBorders>
              <w:top w:val="nil"/>
              <w:bottom w:val="nil"/>
            </w:tcBorders>
            <w:vAlign w:val="center"/>
          </w:tcPr>
          <w:p w14:paraId="01F3950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7.881</w:t>
            </w:r>
          </w:p>
        </w:tc>
        <w:tc>
          <w:tcPr>
            <w:tcW w:w="1080" w:type="dxa"/>
            <w:tcBorders>
              <w:top w:val="nil"/>
              <w:bottom w:val="nil"/>
              <w:right w:val="nil"/>
            </w:tcBorders>
            <w:vAlign w:val="center"/>
          </w:tcPr>
          <w:p w14:paraId="01F3950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0F" w14:textId="77777777">
        <w:trPr>
          <w:trHeight w:val="340"/>
        </w:trPr>
        <w:tc>
          <w:tcPr>
            <w:tcW w:w="6669" w:type="dxa"/>
            <w:tcBorders>
              <w:top w:val="nil"/>
              <w:left w:val="nil"/>
            </w:tcBorders>
            <w:vAlign w:val="bottom"/>
          </w:tcPr>
          <w:p w14:paraId="01F3950B" w14:textId="38C509BC"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EMA Tools </w:t>
            </w:r>
            <w:r w:rsidR="005111AB" w:rsidRPr="00A31721">
              <w:rPr>
                <w:rFonts w:ascii="Times New Roman" w:eastAsia="Wingdings"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Environmental performance</w:t>
            </w:r>
          </w:p>
        </w:tc>
        <w:tc>
          <w:tcPr>
            <w:tcW w:w="750" w:type="dxa"/>
            <w:gridSpan w:val="2"/>
            <w:tcBorders>
              <w:top w:val="nil"/>
            </w:tcBorders>
            <w:vAlign w:val="center"/>
          </w:tcPr>
          <w:p w14:paraId="01F3950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0.108</w:t>
            </w:r>
          </w:p>
        </w:tc>
        <w:tc>
          <w:tcPr>
            <w:tcW w:w="861" w:type="dxa"/>
            <w:tcBorders>
              <w:top w:val="nil"/>
            </w:tcBorders>
            <w:vAlign w:val="center"/>
          </w:tcPr>
          <w:p w14:paraId="01F3950D"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0.991</w:t>
            </w:r>
          </w:p>
        </w:tc>
        <w:tc>
          <w:tcPr>
            <w:tcW w:w="1080" w:type="dxa"/>
            <w:tcBorders>
              <w:top w:val="nil"/>
              <w:right w:val="nil"/>
            </w:tcBorders>
            <w:vAlign w:val="center"/>
          </w:tcPr>
          <w:p w14:paraId="01F3950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0.322</w:t>
            </w:r>
          </w:p>
        </w:tc>
      </w:tr>
      <w:tr w:rsidR="00A31721" w:rsidRPr="00A31721" w14:paraId="01F39514" w14:textId="77777777">
        <w:trPr>
          <w:trHeight w:val="20"/>
        </w:trPr>
        <w:tc>
          <w:tcPr>
            <w:tcW w:w="6669" w:type="dxa"/>
            <w:tcBorders>
              <w:top w:val="nil"/>
              <w:left w:val="nil"/>
              <w:bottom w:val="single" w:sz="4" w:space="0" w:color="000000"/>
            </w:tcBorders>
            <w:vAlign w:val="center"/>
          </w:tcPr>
          <w:p w14:paraId="01F39510" w14:textId="77777777" w:rsidR="006749A4" w:rsidRPr="00A31721" w:rsidRDefault="006749A4"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750" w:type="dxa"/>
            <w:gridSpan w:val="2"/>
            <w:tcBorders>
              <w:top w:val="nil"/>
              <w:bottom w:val="single" w:sz="4" w:space="0" w:color="000000"/>
            </w:tcBorders>
            <w:vAlign w:val="center"/>
          </w:tcPr>
          <w:p w14:paraId="01F39511"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861" w:type="dxa"/>
            <w:tcBorders>
              <w:top w:val="nil"/>
              <w:bottom w:val="single" w:sz="4" w:space="0" w:color="000000"/>
            </w:tcBorders>
            <w:vAlign w:val="center"/>
          </w:tcPr>
          <w:p w14:paraId="01F39512"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1080" w:type="dxa"/>
            <w:tcBorders>
              <w:top w:val="nil"/>
              <w:bottom w:val="single" w:sz="4" w:space="0" w:color="000000"/>
              <w:right w:val="nil"/>
            </w:tcBorders>
            <w:vAlign w:val="center"/>
          </w:tcPr>
          <w:p w14:paraId="01F39513"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A31721" w:rsidRPr="00A31721" w14:paraId="01F39519" w14:textId="77777777">
        <w:trPr>
          <w:trHeight w:val="20"/>
        </w:trPr>
        <w:tc>
          <w:tcPr>
            <w:tcW w:w="6669" w:type="dxa"/>
            <w:tcBorders>
              <w:top w:val="single" w:sz="4" w:space="0" w:color="000000"/>
              <w:left w:val="nil"/>
              <w:bottom w:val="single" w:sz="4" w:space="0" w:color="000000"/>
            </w:tcBorders>
            <w:shd w:val="clear" w:color="auto" w:fill="BFBFBF"/>
            <w:vAlign w:val="center"/>
          </w:tcPr>
          <w:p w14:paraId="01F3951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Indirect effects</w:t>
            </w:r>
          </w:p>
        </w:tc>
        <w:tc>
          <w:tcPr>
            <w:tcW w:w="743" w:type="dxa"/>
            <w:tcBorders>
              <w:top w:val="single" w:sz="4" w:space="0" w:color="000000"/>
              <w:bottom w:val="single" w:sz="4" w:space="0" w:color="000000"/>
            </w:tcBorders>
            <w:shd w:val="clear" w:color="auto" w:fill="BFBFBF"/>
            <w:vAlign w:val="center"/>
          </w:tcPr>
          <w:p w14:paraId="01F39516"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868" w:type="dxa"/>
            <w:gridSpan w:val="2"/>
            <w:tcBorders>
              <w:top w:val="single" w:sz="4" w:space="0" w:color="000000"/>
              <w:bottom w:val="single" w:sz="4" w:space="0" w:color="000000"/>
            </w:tcBorders>
            <w:shd w:val="clear" w:color="auto" w:fill="BFBFBF"/>
            <w:vAlign w:val="center"/>
          </w:tcPr>
          <w:p w14:paraId="01F39517"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1080" w:type="dxa"/>
            <w:tcBorders>
              <w:top w:val="single" w:sz="4" w:space="0" w:color="000000"/>
              <w:bottom w:val="single" w:sz="4" w:space="0" w:color="000000"/>
              <w:right w:val="nil"/>
            </w:tcBorders>
            <w:shd w:val="clear" w:color="auto" w:fill="BFBFBF"/>
            <w:vAlign w:val="center"/>
          </w:tcPr>
          <w:p w14:paraId="01F39518"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r>
      <w:tr w:rsidR="00A31721" w:rsidRPr="00A31721" w14:paraId="01F3951E" w14:textId="77777777">
        <w:trPr>
          <w:trHeight w:val="20"/>
        </w:trPr>
        <w:tc>
          <w:tcPr>
            <w:tcW w:w="6669" w:type="dxa"/>
            <w:tcBorders>
              <w:top w:val="single" w:sz="4" w:space="0" w:color="000000"/>
              <w:left w:val="nil"/>
              <w:bottom w:val="single" w:sz="4" w:space="0" w:color="000000"/>
            </w:tcBorders>
            <w:vAlign w:val="center"/>
          </w:tcPr>
          <w:p w14:paraId="01F3951A"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743" w:type="dxa"/>
            <w:tcBorders>
              <w:top w:val="single" w:sz="4" w:space="0" w:color="000000"/>
              <w:bottom w:val="single" w:sz="4" w:space="0" w:color="000000"/>
            </w:tcBorders>
            <w:vAlign w:val="center"/>
          </w:tcPr>
          <w:p w14:paraId="01F3951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B</w:t>
            </w:r>
          </w:p>
        </w:tc>
        <w:tc>
          <w:tcPr>
            <w:tcW w:w="868" w:type="dxa"/>
            <w:gridSpan w:val="2"/>
            <w:tcBorders>
              <w:top w:val="single" w:sz="4" w:space="0" w:color="000000"/>
              <w:bottom w:val="single" w:sz="4" w:space="0" w:color="000000"/>
            </w:tcBorders>
            <w:vAlign w:val="center"/>
          </w:tcPr>
          <w:p w14:paraId="01F3951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T-stat</w:t>
            </w:r>
          </w:p>
        </w:tc>
        <w:tc>
          <w:tcPr>
            <w:tcW w:w="1080" w:type="dxa"/>
            <w:tcBorders>
              <w:top w:val="single" w:sz="4" w:space="0" w:color="000000"/>
              <w:bottom w:val="single" w:sz="4" w:space="0" w:color="000000"/>
              <w:right w:val="nil"/>
            </w:tcBorders>
            <w:vAlign w:val="center"/>
          </w:tcPr>
          <w:p w14:paraId="01F3951D"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P-values</w:t>
            </w:r>
          </w:p>
        </w:tc>
      </w:tr>
      <w:tr w:rsidR="00A31721" w:rsidRPr="00A31721" w14:paraId="01F39523" w14:textId="77777777">
        <w:trPr>
          <w:trHeight w:val="340"/>
        </w:trPr>
        <w:tc>
          <w:tcPr>
            <w:tcW w:w="6669" w:type="dxa"/>
            <w:tcBorders>
              <w:top w:val="nil"/>
              <w:left w:val="nil"/>
              <w:bottom w:val="nil"/>
            </w:tcBorders>
            <w:vAlign w:val="bottom"/>
          </w:tcPr>
          <w:p w14:paraId="01F3951F" w14:textId="20EFA1F1"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Environmental uncertainties</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F31D68" w:rsidRPr="00A31721">
              <w:rPr>
                <w:rFonts w:ascii="Times New Roman" w:eastAsia="Times New Roman" w:hAnsi="Times New Roman" w:cs="Times New Roman"/>
                <w:color w:val="000000" w:themeColor="text1"/>
                <w:sz w:val="20"/>
                <w:szCs w:val="20"/>
              </w:rPr>
              <w:t xml:space="preserve">Adoption of </w:t>
            </w:r>
            <w:r w:rsidRPr="00A31721">
              <w:rPr>
                <w:rFonts w:ascii="Times New Roman" w:eastAsia="Times New Roman" w:hAnsi="Times New Roman" w:cs="Times New Roman"/>
                <w:color w:val="000000" w:themeColor="text1"/>
                <w:sz w:val="20"/>
                <w:szCs w:val="20"/>
              </w:rPr>
              <w:t xml:space="preserve">sustainability practices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Environmental performance</w:t>
            </w:r>
          </w:p>
        </w:tc>
        <w:tc>
          <w:tcPr>
            <w:tcW w:w="750" w:type="dxa"/>
            <w:gridSpan w:val="2"/>
            <w:tcBorders>
              <w:top w:val="nil"/>
              <w:bottom w:val="nil"/>
            </w:tcBorders>
            <w:vAlign w:val="center"/>
          </w:tcPr>
          <w:p w14:paraId="01F39520"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0.406</w:t>
            </w:r>
          </w:p>
        </w:tc>
        <w:tc>
          <w:tcPr>
            <w:tcW w:w="861" w:type="dxa"/>
            <w:tcBorders>
              <w:top w:val="nil"/>
              <w:bottom w:val="nil"/>
            </w:tcBorders>
            <w:vAlign w:val="center"/>
          </w:tcPr>
          <w:p w14:paraId="01F39521"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5.946</w:t>
            </w:r>
          </w:p>
        </w:tc>
        <w:tc>
          <w:tcPr>
            <w:tcW w:w="1080" w:type="dxa"/>
            <w:tcBorders>
              <w:top w:val="nil"/>
              <w:bottom w:val="nil"/>
              <w:right w:val="nil"/>
            </w:tcBorders>
            <w:vAlign w:val="center"/>
          </w:tcPr>
          <w:p w14:paraId="01F39522"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28" w14:textId="77777777">
        <w:trPr>
          <w:trHeight w:val="340"/>
        </w:trPr>
        <w:tc>
          <w:tcPr>
            <w:tcW w:w="6669" w:type="dxa"/>
            <w:tcBorders>
              <w:top w:val="nil"/>
              <w:left w:val="nil"/>
              <w:bottom w:val="nil"/>
            </w:tcBorders>
            <w:vAlign w:val="bottom"/>
          </w:tcPr>
          <w:p w14:paraId="01F39524" w14:textId="2AE9C1C5"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strategy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F31D68" w:rsidRPr="00A31721">
              <w:rPr>
                <w:rFonts w:ascii="Times New Roman" w:eastAsia="Times New Roman" w:hAnsi="Times New Roman" w:cs="Times New Roman"/>
                <w:color w:val="000000" w:themeColor="text1"/>
                <w:sz w:val="20"/>
                <w:szCs w:val="20"/>
              </w:rPr>
              <w:t xml:space="preserve">Adoption of </w:t>
            </w:r>
            <w:r w:rsidRPr="00A31721">
              <w:rPr>
                <w:rFonts w:ascii="Times New Roman" w:eastAsia="Times New Roman" w:hAnsi="Times New Roman" w:cs="Times New Roman"/>
                <w:color w:val="000000" w:themeColor="text1"/>
                <w:sz w:val="20"/>
                <w:szCs w:val="20"/>
              </w:rPr>
              <w:t xml:space="preserve">sustainability practices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Environmental performance</w:t>
            </w:r>
          </w:p>
        </w:tc>
        <w:tc>
          <w:tcPr>
            <w:tcW w:w="750" w:type="dxa"/>
            <w:gridSpan w:val="2"/>
            <w:tcBorders>
              <w:top w:val="nil"/>
              <w:bottom w:val="nil"/>
            </w:tcBorders>
            <w:vAlign w:val="center"/>
          </w:tcPr>
          <w:p w14:paraId="01F3952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0.090</w:t>
            </w:r>
          </w:p>
        </w:tc>
        <w:tc>
          <w:tcPr>
            <w:tcW w:w="861" w:type="dxa"/>
            <w:tcBorders>
              <w:top w:val="nil"/>
              <w:bottom w:val="nil"/>
            </w:tcBorders>
            <w:vAlign w:val="center"/>
          </w:tcPr>
          <w:p w14:paraId="01F3952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2.408</w:t>
            </w:r>
          </w:p>
        </w:tc>
        <w:tc>
          <w:tcPr>
            <w:tcW w:w="1080" w:type="dxa"/>
            <w:tcBorders>
              <w:top w:val="nil"/>
              <w:bottom w:val="nil"/>
              <w:right w:val="nil"/>
            </w:tcBorders>
            <w:vAlign w:val="center"/>
          </w:tcPr>
          <w:p w14:paraId="01F3952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0.016**</w:t>
            </w:r>
          </w:p>
        </w:tc>
      </w:tr>
      <w:tr w:rsidR="00A31721" w:rsidRPr="00A31721" w14:paraId="01F3952D" w14:textId="77777777">
        <w:trPr>
          <w:trHeight w:val="340"/>
        </w:trPr>
        <w:tc>
          <w:tcPr>
            <w:tcW w:w="6669" w:type="dxa"/>
            <w:tcBorders>
              <w:top w:val="nil"/>
              <w:left w:val="nil"/>
              <w:bottom w:val="nil"/>
            </w:tcBorders>
            <w:vAlign w:val="bottom"/>
          </w:tcPr>
          <w:p w14:paraId="01F39529" w14:textId="2D31B2A6"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lastRenderedPageBreak/>
              <w:t xml:space="preserve">Technology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F31D68" w:rsidRPr="00A31721">
              <w:rPr>
                <w:rFonts w:ascii="Times New Roman" w:eastAsia="Times New Roman" w:hAnsi="Times New Roman" w:cs="Times New Roman"/>
                <w:color w:val="000000" w:themeColor="text1"/>
                <w:sz w:val="20"/>
                <w:szCs w:val="20"/>
              </w:rPr>
              <w:t xml:space="preserve">Adoption of </w:t>
            </w:r>
            <w:r w:rsidRPr="00A31721">
              <w:rPr>
                <w:rFonts w:ascii="Times New Roman" w:eastAsia="Times New Roman" w:hAnsi="Times New Roman" w:cs="Times New Roman"/>
                <w:color w:val="000000" w:themeColor="text1"/>
                <w:sz w:val="20"/>
                <w:szCs w:val="20"/>
              </w:rPr>
              <w:t xml:space="preserve">sustainability practices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Environmental performance</w:t>
            </w:r>
          </w:p>
        </w:tc>
        <w:tc>
          <w:tcPr>
            <w:tcW w:w="750" w:type="dxa"/>
            <w:gridSpan w:val="2"/>
            <w:tcBorders>
              <w:top w:val="nil"/>
              <w:bottom w:val="nil"/>
            </w:tcBorders>
            <w:vAlign w:val="center"/>
          </w:tcPr>
          <w:p w14:paraId="01F3952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0.177</w:t>
            </w:r>
          </w:p>
        </w:tc>
        <w:tc>
          <w:tcPr>
            <w:tcW w:w="861" w:type="dxa"/>
            <w:tcBorders>
              <w:top w:val="nil"/>
              <w:bottom w:val="nil"/>
            </w:tcBorders>
            <w:vAlign w:val="center"/>
          </w:tcPr>
          <w:p w14:paraId="01F3952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3.514</w:t>
            </w:r>
          </w:p>
        </w:tc>
        <w:tc>
          <w:tcPr>
            <w:tcW w:w="1080" w:type="dxa"/>
            <w:tcBorders>
              <w:top w:val="nil"/>
              <w:bottom w:val="nil"/>
              <w:right w:val="nil"/>
            </w:tcBorders>
            <w:vAlign w:val="center"/>
          </w:tcPr>
          <w:p w14:paraId="01F3952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32" w14:textId="77777777">
        <w:trPr>
          <w:trHeight w:val="340"/>
        </w:trPr>
        <w:tc>
          <w:tcPr>
            <w:tcW w:w="6669" w:type="dxa"/>
            <w:tcBorders>
              <w:top w:val="nil"/>
              <w:left w:val="nil"/>
              <w:bottom w:val="nil"/>
              <w:right w:val="nil"/>
            </w:tcBorders>
            <w:vAlign w:val="bottom"/>
          </w:tcPr>
          <w:p w14:paraId="01F3952E" w14:textId="0F66AE8A"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uncertainties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 </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Environmental performance</w:t>
            </w:r>
          </w:p>
        </w:tc>
        <w:tc>
          <w:tcPr>
            <w:tcW w:w="750" w:type="dxa"/>
            <w:gridSpan w:val="2"/>
            <w:tcBorders>
              <w:top w:val="nil"/>
              <w:left w:val="nil"/>
              <w:bottom w:val="nil"/>
              <w:right w:val="nil"/>
            </w:tcBorders>
            <w:vAlign w:val="center"/>
          </w:tcPr>
          <w:p w14:paraId="01F3952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0.040</w:t>
            </w:r>
          </w:p>
        </w:tc>
        <w:tc>
          <w:tcPr>
            <w:tcW w:w="861" w:type="dxa"/>
            <w:tcBorders>
              <w:top w:val="nil"/>
              <w:left w:val="nil"/>
              <w:bottom w:val="nil"/>
              <w:right w:val="nil"/>
            </w:tcBorders>
            <w:vAlign w:val="center"/>
          </w:tcPr>
          <w:p w14:paraId="01F39530"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0.957</w:t>
            </w:r>
          </w:p>
        </w:tc>
        <w:tc>
          <w:tcPr>
            <w:tcW w:w="1080" w:type="dxa"/>
            <w:tcBorders>
              <w:top w:val="nil"/>
              <w:left w:val="nil"/>
              <w:bottom w:val="nil"/>
              <w:right w:val="nil"/>
            </w:tcBorders>
            <w:vAlign w:val="center"/>
          </w:tcPr>
          <w:p w14:paraId="01F39531"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0.338</w:t>
            </w:r>
          </w:p>
        </w:tc>
      </w:tr>
      <w:tr w:rsidR="00A31721" w:rsidRPr="00A31721" w14:paraId="01F39537" w14:textId="77777777">
        <w:trPr>
          <w:trHeight w:val="340"/>
        </w:trPr>
        <w:tc>
          <w:tcPr>
            <w:tcW w:w="6669" w:type="dxa"/>
            <w:tcBorders>
              <w:top w:val="nil"/>
              <w:left w:val="nil"/>
              <w:bottom w:val="nil"/>
              <w:right w:val="nil"/>
            </w:tcBorders>
            <w:vAlign w:val="bottom"/>
          </w:tcPr>
          <w:p w14:paraId="01F39533" w14:textId="3C4A92D3"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Environmental Strategy</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EMA Tools</w:t>
            </w:r>
            <w:r w:rsidR="00AE19A3"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Environmental performance</w:t>
            </w:r>
          </w:p>
        </w:tc>
        <w:tc>
          <w:tcPr>
            <w:tcW w:w="750" w:type="dxa"/>
            <w:gridSpan w:val="2"/>
            <w:tcBorders>
              <w:top w:val="nil"/>
              <w:left w:val="nil"/>
              <w:bottom w:val="nil"/>
              <w:right w:val="nil"/>
            </w:tcBorders>
            <w:vAlign w:val="center"/>
          </w:tcPr>
          <w:p w14:paraId="01F3953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0.033</w:t>
            </w:r>
          </w:p>
        </w:tc>
        <w:tc>
          <w:tcPr>
            <w:tcW w:w="861" w:type="dxa"/>
            <w:tcBorders>
              <w:top w:val="nil"/>
              <w:left w:val="nil"/>
              <w:bottom w:val="nil"/>
              <w:right w:val="nil"/>
            </w:tcBorders>
            <w:vAlign w:val="center"/>
          </w:tcPr>
          <w:p w14:paraId="01F3953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0.938</w:t>
            </w:r>
          </w:p>
        </w:tc>
        <w:tc>
          <w:tcPr>
            <w:tcW w:w="1080" w:type="dxa"/>
            <w:tcBorders>
              <w:top w:val="nil"/>
              <w:left w:val="nil"/>
              <w:bottom w:val="nil"/>
              <w:right w:val="nil"/>
            </w:tcBorders>
            <w:vAlign w:val="center"/>
          </w:tcPr>
          <w:p w14:paraId="01F3953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0.348</w:t>
            </w:r>
          </w:p>
        </w:tc>
      </w:tr>
      <w:tr w:rsidR="00A31721" w:rsidRPr="00A31721" w14:paraId="01F3953C" w14:textId="77777777">
        <w:trPr>
          <w:trHeight w:val="340"/>
        </w:trPr>
        <w:tc>
          <w:tcPr>
            <w:tcW w:w="6669" w:type="dxa"/>
            <w:tcBorders>
              <w:top w:val="nil"/>
              <w:left w:val="nil"/>
              <w:bottom w:val="single" w:sz="4" w:space="0" w:color="000000"/>
              <w:right w:val="nil"/>
            </w:tcBorders>
            <w:vAlign w:val="bottom"/>
          </w:tcPr>
          <w:p w14:paraId="01F39538" w14:textId="219B2EF1"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Technology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Environmental performance</w:t>
            </w:r>
          </w:p>
        </w:tc>
        <w:tc>
          <w:tcPr>
            <w:tcW w:w="750" w:type="dxa"/>
            <w:gridSpan w:val="2"/>
            <w:tcBorders>
              <w:top w:val="nil"/>
              <w:left w:val="nil"/>
              <w:bottom w:val="single" w:sz="4" w:space="0" w:color="000000"/>
              <w:right w:val="nil"/>
            </w:tcBorders>
            <w:vAlign w:val="center"/>
          </w:tcPr>
          <w:p w14:paraId="01F3953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0.028</w:t>
            </w:r>
          </w:p>
        </w:tc>
        <w:tc>
          <w:tcPr>
            <w:tcW w:w="861" w:type="dxa"/>
            <w:tcBorders>
              <w:top w:val="nil"/>
              <w:left w:val="nil"/>
              <w:bottom w:val="single" w:sz="4" w:space="0" w:color="000000"/>
              <w:right w:val="nil"/>
            </w:tcBorders>
            <w:vAlign w:val="center"/>
          </w:tcPr>
          <w:p w14:paraId="01F3953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0.917</w:t>
            </w:r>
          </w:p>
        </w:tc>
        <w:tc>
          <w:tcPr>
            <w:tcW w:w="1080" w:type="dxa"/>
            <w:tcBorders>
              <w:top w:val="nil"/>
              <w:left w:val="nil"/>
              <w:bottom w:val="single" w:sz="4" w:space="0" w:color="000000"/>
              <w:right w:val="nil"/>
            </w:tcBorders>
            <w:vAlign w:val="center"/>
          </w:tcPr>
          <w:p w14:paraId="01F3953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0.359</w:t>
            </w:r>
          </w:p>
        </w:tc>
      </w:tr>
    </w:tbl>
    <w:p w14:paraId="01F3953D" w14:textId="7777777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Note: *** indicates 1% significance; ** indicates 5% significance; * indicates 10% significance.</w:t>
      </w:r>
    </w:p>
    <w:p w14:paraId="01F3953E" w14:textId="77777777" w:rsidR="006749A4" w:rsidRPr="00A31721" w:rsidRDefault="006749A4" w:rsidP="00B4686C">
      <w:pPr>
        <w:shd w:val="clear" w:color="auto" w:fill="FFFFFF"/>
        <w:spacing w:after="0" w:line="240" w:lineRule="auto"/>
        <w:ind w:left="720" w:hanging="720"/>
        <w:rPr>
          <w:rFonts w:ascii="Times New Roman" w:eastAsia="Times New Roman" w:hAnsi="Times New Roman" w:cs="Times New Roman"/>
          <w:color w:val="000000" w:themeColor="text1"/>
          <w:highlight w:val="white"/>
        </w:rPr>
      </w:pPr>
      <w:bookmarkStart w:id="12" w:name="_heading=h.3rdcrjn" w:colFirst="0" w:colLast="0"/>
      <w:bookmarkEnd w:id="12"/>
    </w:p>
    <w:p w14:paraId="01F3953F" w14:textId="77777777" w:rsidR="006749A4" w:rsidRPr="00A31721" w:rsidRDefault="006749A4" w:rsidP="00B4686C">
      <w:pPr>
        <w:shd w:val="clear" w:color="auto" w:fill="FFFFFF"/>
        <w:spacing w:line="240" w:lineRule="auto"/>
        <w:ind w:left="720" w:hanging="720"/>
        <w:rPr>
          <w:rFonts w:ascii="Times New Roman" w:eastAsia="Times New Roman" w:hAnsi="Times New Roman" w:cs="Times New Roman"/>
          <w:color w:val="000000" w:themeColor="text1"/>
          <w:highlight w:val="white"/>
        </w:rPr>
      </w:pPr>
    </w:p>
    <w:p w14:paraId="01F39540" w14:textId="2224CF10"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bookmarkStart w:id="13" w:name="_heading=h.26in1rg" w:colFirst="0" w:colLast="0"/>
      <w:bookmarkEnd w:id="13"/>
      <w:r w:rsidRPr="00A31721">
        <w:rPr>
          <w:rFonts w:ascii="Times New Roman" w:eastAsia="Times New Roman" w:hAnsi="Times New Roman" w:cs="Times New Roman"/>
          <w:color w:val="000000" w:themeColor="text1"/>
          <w:sz w:val="24"/>
          <w:szCs w:val="24"/>
        </w:rPr>
        <w:t xml:space="preserve">Table </w:t>
      </w:r>
      <w:r w:rsidR="000A082E" w:rsidRPr="00A31721">
        <w:rPr>
          <w:rFonts w:ascii="Times New Roman" w:eastAsia="Times New Roman" w:hAnsi="Times New Roman" w:cs="Times New Roman"/>
          <w:color w:val="000000" w:themeColor="text1"/>
          <w:sz w:val="24"/>
          <w:szCs w:val="24"/>
        </w:rPr>
        <w:t>3</w:t>
      </w:r>
      <w:r w:rsidRPr="00A31721">
        <w:rPr>
          <w:rFonts w:ascii="Times New Roman" w:eastAsia="Times New Roman" w:hAnsi="Times New Roman" w:cs="Times New Roman"/>
          <w:color w:val="000000" w:themeColor="text1"/>
          <w:sz w:val="24"/>
          <w:szCs w:val="24"/>
        </w:rPr>
        <w:t xml:space="preserve"> – Financial and Non-Financial Performance Analysis</w:t>
      </w:r>
    </w:p>
    <w:tbl>
      <w:tblPr>
        <w:tblStyle w:val="a4"/>
        <w:tblW w:w="9623" w:type="dxa"/>
        <w:tblInd w:w="0" w:type="dxa"/>
        <w:tblLayout w:type="fixed"/>
        <w:tblLook w:val="0400" w:firstRow="0" w:lastRow="0" w:firstColumn="0" w:lastColumn="0" w:noHBand="0" w:noVBand="1"/>
      </w:tblPr>
      <w:tblGrid>
        <w:gridCol w:w="6663"/>
        <w:gridCol w:w="992"/>
        <w:gridCol w:w="850"/>
        <w:gridCol w:w="1118"/>
      </w:tblGrid>
      <w:tr w:rsidR="00A31721" w:rsidRPr="00A31721" w14:paraId="01F39545" w14:textId="77777777" w:rsidTr="00B63570">
        <w:trPr>
          <w:trHeight w:val="170"/>
        </w:trPr>
        <w:tc>
          <w:tcPr>
            <w:tcW w:w="6663" w:type="dxa"/>
            <w:tcBorders>
              <w:top w:val="single" w:sz="4" w:space="0" w:color="000000"/>
              <w:left w:val="nil"/>
              <w:bottom w:val="single" w:sz="4" w:space="0" w:color="000000"/>
              <w:right w:val="nil"/>
            </w:tcBorders>
            <w:shd w:val="clear" w:color="auto" w:fill="BFBFBF"/>
            <w:vAlign w:val="center"/>
          </w:tcPr>
          <w:p w14:paraId="01F39541" w14:textId="7777777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Panel A: model 2- Analysis of financial performance</w:t>
            </w:r>
          </w:p>
        </w:tc>
        <w:tc>
          <w:tcPr>
            <w:tcW w:w="992" w:type="dxa"/>
            <w:tcBorders>
              <w:top w:val="single" w:sz="4" w:space="0" w:color="000000"/>
              <w:left w:val="nil"/>
              <w:bottom w:val="single" w:sz="4" w:space="0" w:color="000000"/>
              <w:right w:val="nil"/>
            </w:tcBorders>
            <w:shd w:val="clear" w:color="auto" w:fill="BFBFBF"/>
            <w:vAlign w:val="center"/>
          </w:tcPr>
          <w:p w14:paraId="01F39542"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850" w:type="dxa"/>
            <w:tcBorders>
              <w:top w:val="single" w:sz="4" w:space="0" w:color="000000"/>
              <w:left w:val="nil"/>
              <w:bottom w:val="single" w:sz="4" w:space="0" w:color="000000"/>
              <w:right w:val="nil"/>
            </w:tcBorders>
            <w:shd w:val="clear" w:color="auto" w:fill="BFBFBF"/>
            <w:vAlign w:val="center"/>
          </w:tcPr>
          <w:p w14:paraId="01F39543"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c>
          <w:tcPr>
            <w:tcW w:w="1118" w:type="dxa"/>
            <w:tcBorders>
              <w:top w:val="single" w:sz="4" w:space="0" w:color="000000"/>
              <w:left w:val="nil"/>
              <w:bottom w:val="single" w:sz="4" w:space="0" w:color="000000"/>
              <w:right w:val="nil"/>
            </w:tcBorders>
            <w:shd w:val="clear" w:color="auto" w:fill="BFBFBF"/>
            <w:vAlign w:val="center"/>
          </w:tcPr>
          <w:p w14:paraId="01F39544"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0"/>
                <w:szCs w:val="20"/>
              </w:rPr>
            </w:pPr>
          </w:p>
        </w:tc>
      </w:tr>
      <w:tr w:rsidR="00A31721" w:rsidRPr="00A31721" w14:paraId="01F3954A" w14:textId="77777777" w:rsidTr="00B63570">
        <w:trPr>
          <w:trHeight w:val="170"/>
        </w:trPr>
        <w:tc>
          <w:tcPr>
            <w:tcW w:w="6663" w:type="dxa"/>
            <w:tcBorders>
              <w:top w:val="nil"/>
              <w:left w:val="nil"/>
              <w:bottom w:val="single" w:sz="4" w:space="0" w:color="000000"/>
              <w:right w:val="nil"/>
            </w:tcBorders>
            <w:vAlign w:val="center"/>
          </w:tcPr>
          <w:p w14:paraId="01F39546"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992" w:type="dxa"/>
            <w:tcBorders>
              <w:top w:val="nil"/>
              <w:left w:val="nil"/>
              <w:bottom w:val="single" w:sz="4" w:space="0" w:color="000000"/>
              <w:right w:val="nil"/>
            </w:tcBorders>
            <w:vAlign w:val="center"/>
          </w:tcPr>
          <w:p w14:paraId="01F3954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B</w:t>
            </w:r>
          </w:p>
        </w:tc>
        <w:tc>
          <w:tcPr>
            <w:tcW w:w="850" w:type="dxa"/>
            <w:tcBorders>
              <w:top w:val="nil"/>
              <w:left w:val="nil"/>
              <w:bottom w:val="single" w:sz="4" w:space="0" w:color="000000"/>
              <w:right w:val="nil"/>
            </w:tcBorders>
            <w:vAlign w:val="center"/>
          </w:tcPr>
          <w:p w14:paraId="01F3954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T-value</w:t>
            </w:r>
          </w:p>
        </w:tc>
        <w:tc>
          <w:tcPr>
            <w:tcW w:w="1118" w:type="dxa"/>
            <w:tcBorders>
              <w:top w:val="nil"/>
              <w:left w:val="nil"/>
              <w:bottom w:val="single" w:sz="4" w:space="0" w:color="000000"/>
              <w:right w:val="nil"/>
            </w:tcBorders>
            <w:vAlign w:val="center"/>
          </w:tcPr>
          <w:p w14:paraId="01F3954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P values</w:t>
            </w:r>
          </w:p>
        </w:tc>
      </w:tr>
      <w:tr w:rsidR="00A31721" w:rsidRPr="00A31721" w14:paraId="01F3954C" w14:textId="77777777" w:rsidTr="00B63570">
        <w:trPr>
          <w:trHeight w:val="170"/>
        </w:trPr>
        <w:tc>
          <w:tcPr>
            <w:tcW w:w="9618" w:type="dxa"/>
            <w:gridSpan w:val="4"/>
            <w:tcBorders>
              <w:top w:val="single" w:sz="4" w:space="0" w:color="000000"/>
              <w:left w:val="nil"/>
              <w:bottom w:val="single" w:sz="4" w:space="0" w:color="000000"/>
              <w:right w:val="nil"/>
            </w:tcBorders>
            <w:vAlign w:val="center"/>
          </w:tcPr>
          <w:p w14:paraId="01F3954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Direct effect</w:t>
            </w:r>
          </w:p>
        </w:tc>
      </w:tr>
      <w:tr w:rsidR="00A31721" w:rsidRPr="00A31721" w14:paraId="01F39551" w14:textId="77777777" w:rsidTr="00B63570">
        <w:trPr>
          <w:trHeight w:val="340"/>
        </w:trPr>
        <w:tc>
          <w:tcPr>
            <w:tcW w:w="6663" w:type="dxa"/>
            <w:tcBorders>
              <w:top w:val="single" w:sz="4" w:space="0" w:color="000000"/>
              <w:left w:val="nil"/>
              <w:bottom w:val="nil"/>
              <w:right w:val="nil"/>
            </w:tcBorders>
            <w:vAlign w:val="bottom"/>
          </w:tcPr>
          <w:p w14:paraId="01F3954D" w14:textId="5D96ABD6" w:rsidR="006749A4" w:rsidRPr="00A31721" w:rsidRDefault="00F431E4"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Adoption of </w:t>
            </w:r>
            <w:r w:rsidR="0007550D" w:rsidRPr="00A31721">
              <w:rPr>
                <w:rFonts w:ascii="Times New Roman" w:eastAsia="Times New Roman" w:hAnsi="Times New Roman" w:cs="Times New Roman"/>
                <w:color w:val="000000" w:themeColor="text1"/>
                <w:sz w:val="20"/>
                <w:szCs w:val="20"/>
              </w:rPr>
              <w:t xml:space="preserve">sustainability practices </w:t>
            </w:r>
            <w:r w:rsidR="00B63570" w:rsidRPr="00A31721">
              <w:rPr>
                <w:rFonts w:ascii="Times New Roman" w:eastAsia="Times New Roman" w:hAnsi="Times New Roman" w:cs="Times New Roman"/>
                <w:color w:val="000000" w:themeColor="text1"/>
                <w:sz w:val="20"/>
                <w:szCs w:val="20"/>
              </w:rPr>
              <w:sym w:font="Wingdings" w:char="F0E0"/>
            </w:r>
            <w:r w:rsidR="0007550D" w:rsidRPr="00A31721">
              <w:rPr>
                <w:rFonts w:ascii="Times New Roman" w:eastAsia="Times New Roman" w:hAnsi="Times New Roman" w:cs="Times New Roman"/>
                <w:color w:val="000000" w:themeColor="text1"/>
                <w:sz w:val="20"/>
                <w:szCs w:val="20"/>
              </w:rPr>
              <w:t xml:space="preserve"> Financial performance</w:t>
            </w:r>
          </w:p>
        </w:tc>
        <w:tc>
          <w:tcPr>
            <w:tcW w:w="992" w:type="dxa"/>
            <w:tcBorders>
              <w:top w:val="single" w:sz="4" w:space="0" w:color="000000"/>
              <w:left w:val="nil"/>
              <w:bottom w:val="nil"/>
              <w:right w:val="nil"/>
            </w:tcBorders>
            <w:vAlign w:val="center"/>
          </w:tcPr>
          <w:p w14:paraId="01F3954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0.587</w:t>
            </w:r>
          </w:p>
        </w:tc>
        <w:tc>
          <w:tcPr>
            <w:tcW w:w="850" w:type="dxa"/>
            <w:tcBorders>
              <w:top w:val="single" w:sz="4" w:space="0" w:color="000000"/>
              <w:left w:val="nil"/>
              <w:bottom w:val="nil"/>
              <w:right w:val="nil"/>
            </w:tcBorders>
            <w:vAlign w:val="center"/>
          </w:tcPr>
          <w:p w14:paraId="01F3954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7.721</w:t>
            </w:r>
          </w:p>
        </w:tc>
        <w:tc>
          <w:tcPr>
            <w:tcW w:w="1118" w:type="dxa"/>
            <w:tcBorders>
              <w:top w:val="single" w:sz="4" w:space="0" w:color="000000"/>
              <w:left w:val="nil"/>
              <w:bottom w:val="nil"/>
              <w:right w:val="nil"/>
            </w:tcBorders>
            <w:vAlign w:val="center"/>
          </w:tcPr>
          <w:p w14:paraId="01F39550"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56" w14:textId="77777777" w:rsidTr="00B63570">
        <w:trPr>
          <w:trHeight w:val="340"/>
        </w:trPr>
        <w:tc>
          <w:tcPr>
            <w:tcW w:w="6663" w:type="dxa"/>
            <w:tcBorders>
              <w:top w:val="nil"/>
              <w:left w:val="nil"/>
              <w:bottom w:val="nil"/>
              <w:right w:val="nil"/>
            </w:tcBorders>
            <w:vAlign w:val="bottom"/>
          </w:tcPr>
          <w:p w14:paraId="01F39552" w14:textId="17822B56"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EMA Tools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Financial Performance</w:t>
            </w:r>
          </w:p>
        </w:tc>
        <w:tc>
          <w:tcPr>
            <w:tcW w:w="992" w:type="dxa"/>
            <w:tcBorders>
              <w:top w:val="nil"/>
              <w:left w:val="nil"/>
              <w:bottom w:val="nil"/>
              <w:right w:val="nil"/>
            </w:tcBorders>
            <w:vAlign w:val="center"/>
          </w:tcPr>
          <w:p w14:paraId="01F3955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0.213</w:t>
            </w:r>
          </w:p>
        </w:tc>
        <w:tc>
          <w:tcPr>
            <w:tcW w:w="850" w:type="dxa"/>
            <w:tcBorders>
              <w:top w:val="nil"/>
              <w:left w:val="nil"/>
              <w:bottom w:val="nil"/>
              <w:right w:val="nil"/>
            </w:tcBorders>
            <w:vAlign w:val="center"/>
          </w:tcPr>
          <w:p w14:paraId="01F3955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2.495</w:t>
            </w:r>
          </w:p>
        </w:tc>
        <w:tc>
          <w:tcPr>
            <w:tcW w:w="1118" w:type="dxa"/>
            <w:tcBorders>
              <w:top w:val="nil"/>
              <w:left w:val="nil"/>
              <w:bottom w:val="nil"/>
              <w:right w:val="nil"/>
            </w:tcBorders>
            <w:vAlign w:val="center"/>
          </w:tcPr>
          <w:p w14:paraId="01F3955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0.013**</w:t>
            </w:r>
          </w:p>
        </w:tc>
      </w:tr>
      <w:tr w:rsidR="00A31721" w:rsidRPr="00A31721" w14:paraId="01F39558" w14:textId="77777777" w:rsidTr="00B63570">
        <w:trPr>
          <w:trHeight w:val="170"/>
        </w:trPr>
        <w:tc>
          <w:tcPr>
            <w:tcW w:w="9618" w:type="dxa"/>
            <w:gridSpan w:val="4"/>
            <w:tcBorders>
              <w:top w:val="single" w:sz="4" w:space="0" w:color="000000"/>
              <w:left w:val="nil"/>
              <w:bottom w:val="single" w:sz="4" w:space="0" w:color="000000"/>
              <w:right w:val="nil"/>
            </w:tcBorders>
            <w:vAlign w:val="center"/>
          </w:tcPr>
          <w:p w14:paraId="01F3955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Indirect effect</w:t>
            </w:r>
          </w:p>
        </w:tc>
      </w:tr>
      <w:tr w:rsidR="00A31721" w:rsidRPr="00A31721" w14:paraId="01F3955D" w14:textId="77777777" w:rsidTr="00B63570">
        <w:trPr>
          <w:trHeight w:val="340"/>
        </w:trPr>
        <w:tc>
          <w:tcPr>
            <w:tcW w:w="6663" w:type="dxa"/>
            <w:tcBorders>
              <w:top w:val="nil"/>
              <w:left w:val="nil"/>
              <w:bottom w:val="nil"/>
              <w:right w:val="nil"/>
            </w:tcBorders>
            <w:vAlign w:val="bottom"/>
          </w:tcPr>
          <w:p w14:paraId="01F39559" w14:textId="7A6073CD"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Environmental uncertainties</w:t>
            </w:r>
            <w:r w:rsidR="00B63570" w:rsidRPr="00A31721">
              <w:rPr>
                <w:rFonts w:ascii="Times New Roman" w:eastAsia="Times New Roman" w:hAnsi="Times New Roman" w:cs="Times New Roman"/>
                <w:color w:val="000000" w:themeColor="text1"/>
                <w:sz w:val="20"/>
                <w:szCs w:val="20"/>
              </w:rPr>
              <w:sym w:font="Wingdings" w:char="F0E0"/>
            </w:r>
            <w:r w:rsidR="0080132F" w:rsidRPr="00A31721">
              <w:rPr>
                <w:rFonts w:ascii="Times New Roman" w:eastAsia="Times New Roman" w:hAnsi="Times New Roman" w:cs="Times New Roman"/>
                <w:color w:val="000000" w:themeColor="text1"/>
                <w:sz w:val="20"/>
                <w:szCs w:val="20"/>
              </w:rPr>
              <w:t xml:space="preserve"> Adoption of </w:t>
            </w:r>
            <w:r w:rsidRPr="00A31721">
              <w:rPr>
                <w:rFonts w:ascii="Times New Roman" w:eastAsia="Times New Roman" w:hAnsi="Times New Roman" w:cs="Times New Roman"/>
                <w:color w:val="000000" w:themeColor="text1"/>
                <w:sz w:val="20"/>
                <w:szCs w:val="20"/>
              </w:rPr>
              <w:t>sustainability practices</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Financial performance</w:t>
            </w:r>
          </w:p>
        </w:tc>
        <w:tc>
          <w:tcPr>
            <w:tcW w:w="992" w:type="dxa"/>
            <w:tcBorders>
              <w:top w:val="nil"/>
              <w:left w:val="nil"/>
              <w:bottom w:val="nil"/>
              <w:right w:val="nil"/>
            </w:tcBorders>
            <w:vAlign w:val="center"/>
          </w:tcPr>
          <w:p w14:paraId="01F3955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0.348</w:t>
            </w:r>
          </w:p>
        </w:tc>
        <w:tc>
          <w:tcPr>
            <w:tcW w:w="850" w:type="dxa"/>
            <w:tcBorders>
              <w:top w:val="nil"/>
              <w:left w:val="nil"/>
              <w:bottom w:val="nil"/>
              <w:right w:val="nil"/>
            </w:tcBorders>
            <w:vAlign w:val="center"/>
          </w:tcPr>
          <w:p w14:paraId="01F3955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6.163</w:t>
            </w:r>
          </w:p>
        </w:tc>
        <w:tc>
          <w:tcPr>
            <w:tcW w:w="1118" w:type="dxa"/>
            <w:tcBorders>
              <w:top w:val="nil"/>
              <w:left w:val="nil"/>
              <w:bottom w:val="nil"/>
              <w:right w:val="nil"/>
            </w:tcBorders>
            <w:vAlign w:val="center"/>
          </w:tcPr>
          <w:p w14:paraId="01F3955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62" w14:textId="77777777" w:rsidTr="00B63570">
        <w:trPr>
          <w:trHeight w:val="340"/>
        </w:trPr>
        <w:tc>
          <w:tcPr>
            <w:tcW w:w="6663" w:type="dxa"/>
            <w:tcBorders>
              <w:top w:val="nil"/>
              <w:left w:val="nil"/>
              <w:bottom w:val="nil"/>
              <w:right w:val="nil"/>
            </w:tcBorders>
            <w:vAlign w:val="bottom"/>
          </w:tcPr>
          <w:p w14:paraId="01F3955E" w14:textId="327344EE"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strategy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5F04FC" w:rsidRPr="00A31721">
              <w:rPr>
                <w:rFonts w:ascii="Times New Roman" w:eastAsia="Times New Roman" w:hAnsi="Times New Roman" w:cs="Times New Roman"/>
                <w:color w:val="000000" w:themeColor="text1"/>
                <w:sz w:val="20"/>
                <w:szCs w:val="20"/>
              </w:rPr>
              <w:t>Adoption of</w:t>
            </w:r>
            <w:r w:rsidRPr="00A31721">
              <w:rPr>
                <w:rFonts w:ascii="Times New Roman" w:eastAsia="Times New Roman" w:hAnsi="Times New Roman" w:cs="Times New Roman"/>
                <w:color w:val="000000" w:themeColor="text1"/>
                <w:sz w:val="20"/>
                <w:szCs w:val="20"/>
              </w:rPr>
              <w:t xml:space="preserve"> sustainability practices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Financial performance</w:t>
            </w:r>
          </w:p>
        </w:tc>
        <w:tc>
          <w:tcPr>
            <w:tcW w:w="992" w:type="dxa"/>
            <w:tcBorders>
              <w:top w:val="nil"/>
              <w:left w:val="nil"/>
              <w:bottom w:val="nil"/>
              <w:right w:val="nil"/>
            </w:tcBorders>
            <w:vAlign w:val="center"/>
          </w:tcPr>
          <w:p w14:paraId="01F3955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0.074</w:t>
            </w:r>
          </w:p>
        </w:tc>
        <w:tc>
          <w:tcPr>
            <w:tcW w:w="850" w:type="dxa"/>
            <w:tcBorders>
              <w:top w:val="nil"/>
              <w:left w:val="nil"/>
              <w:bottom w:val="nil"/>
              <w:right w:val="nil"/>
            </w:tcBorders>
            <w:vAlign w:val="center"/>
          </w:tcPr>
          <w:p w14:paraId="01F39560"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2.402</w:t>
            </w:r>
          </w:p>
        </w:tc>
        <w:tc>
          <w:tcPr>
            <w:tcW w:w="1118" w:type="dxa"/>
            <w:tcBorders>
              <w:top w:val="nil"/>
              <w:left w:val="nil"/>
              <w:bottom w:val="nil"/>
              <w:right w:val="nil"/>
            </w:tcBorders>
            <w:vAlign w:val="center"/>
          </w:tcPr>
          <w:p w14:paraId="01F39561"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0.016**</w:t>
            </w:r>
          </w:p>
        </w:tc>
      </w:tr>
      <w:tr w:rsidR="00A31721" w:rsidRPr="00A31721" w14:paraId="01F39567" w14:textId="77777777" w:rsidTr="00B63570">
        <w:trPr>
          <w:trHeight w:val="340"/>
        </w:trPr>
        <w:tc>
          <w:tcPr>
            <w:tcW w:w="6663" w:type="dxa"/>
            <w:tcBorders>
              <w:top w:val="nil"/>
              <w:left w:val="nil"/>
              <w:bottom w:val="nil"/>
              <w:right w:val="nil"/>
            </w:tcBorders>
            <w:vAlign w:val="bottom"/>
          </w:tcPr>
          <w:p w14:paraId="01F39563" w14:textId="02DCE690"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Technology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5F04FC" w:rsidRPr="00A31721">
              <w:rPr>
                <w:rFonts w:ascii="Times New Roman" w:eastAsia="Times New Roman" w:hAnsi="Times New Roman" w:cs="Times New Roman"/>
                <w:color w:val="000000" w:themeColor="text1"/>
                <w:sz w:val="20"/>
                <w:szCs w:val="20"/>
              </w:rPr>
              <w:t>Adoption of</w:t>
            </w:r>
            <w:r w:rsidRPr="00A31721">
              <w:rPr>
                <w:rFonts w:ascii="Times New Roman" w:eastAsia="Times New Roman" w:hAnsi="Times New Roman" w:cs="Times New Roman"/>
                <w:color w:val="000000" w:themeColor="text1"/>
                <w:sz w:val="20"/>
                <w:szCs w:val="20"/>
              </w:rPr>
              <w:t xml:space="preserve"> sustainability practices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Financial performance</w:t>
            </w:r>
          </w:p>
        </w:tc>
        <w:tc>
          <w:tcPr>
            <w:tcW w:w="992" w:type="dxa"/>
            <w:tcBorders>
              <w:top w:val="nil"/>
              <w:left w:val="nil"/>
              <w:bottom w:val="nil"/>
              <w:right w:val="nil"/>
            </w:tcBorders>
            <w:vAlign w:val="center"/>
          </w:tcPr>
          <w:p w14:paraId="01F3956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0.149</w:t>
            </w:r>
          </w:p>
        </w:tc>
        <w:tc>
          <w:tcPr>
            <w:tcW w:w="850" w:type="dxa"/>
            <w:tcBorders>
              <w:top w:val="nil"/>
              <w:left w:val="nil"/>
              <w:bottom w:val="nil"/>
              <w:right w:val="nil"/>
            </w:tcBorders>
            <w:vAlign w:val="center"/>
          </w:tcPr>
          <w:p w14:paraId="01F3956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3.348</w:t>
            </w:r>
          </w:p>
        </w:tc>
        <w:tc>
          <w:tcPr>
            <w:tcW w:w="1118" w:type="dxa"/>
            <w:tcBorders>
              <w:top w:val="nil"/>
              <w:left w:val="nil"/>
              <w:bottom w:val="nil"/>
              <w:right w:val="nil"/>
            </w:tcBorders>
            <w:vAlign w:val="center"/>
          </w:tcPr>
          <w:p w14:paraId="01F3956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0.001***</w:t>
            </w:r>
          </w:p>
        </w:tc>
      </w:tr>
      <w:tr w:rsidR="00A31721" w:rsidRPr="00A31721" w14:paraId="01F3956C" w14:textId="77777777" w:rsidTr="00B63570">
        <w:trPr>
          <w:trHeight w:val="340"/>
        </w:trPr>
        <w:tc>
          <w:tcPr>
            <w:tcW w:w="6663" w:type="dxa"/>
            <w:tcBorders>
              <w:top w:val="nil"/>
              <w:left w:val="nil"/>
              <w:bottom w:val="nil"/>
              <w:right w:val="nil"/>
            </w:tcBorders>
            <w:vAlign w:val="bottom"/>
          </w:tcPr>
          <w:p w14:paraId="01F39568" w14:textId="68DABE5D"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uncertainties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EMA tools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Financial performance</w:t>
            </w:r>
          </w:p>
        </w:tc>
        <w:tc>
          <w:tcPr>
            <w:tcW w:w="992" w:type="dxa"/>
            <w:tcBorders>
              <w:top w:val="nil"/>
              <w:left w:val="nil"/>
              <w:bottom w:val="nil"/>
              <w:right w:val="nil"/>
            </w:tcBorders>
            <w:vAlign w:val="center"/>
          </w:tcPr>
          <w:p w14:paraId="01F3956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0.078</w:t>
            </w:r>
          </w:p>
        </w:tc>
        <w:tc>
          <w:tcPr>
            <w:tcW w:w="850" w:type="dxa"/>
            <w:tcBorders>
              <w:top w:val="nil"/>
              <w:left w:val="nil"/>
              <w:bottom w:val="nil"/>
              <w:right w:val="nil"/>
            </w:tcBorders>
            <w:vAlign w:val="center"/>
          </w:tcPr>
          <w:p w14:paraId="01F3956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2.058</w:t>
            </w:r>
          </w:p>
        </w:tc>
        <w:tc>
          <w:tcPr>
            <w:tcW w:w="1118" w:type="dxa"/>
            <w:tcBorders>
              <w:top w:val="nil"/>
              <w:left w:val="nil"/>
              <w:bottom w:val="nil"/>
              <w:right w:val="nil"/>
            </w:tcBorders>
            <w:vAlign w:val="center"/>
          </w:tcPr>
          <w:p w14:paraId="01F3956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0.040**</w:t>
            </w:r>
          </w:p>
        </w:tc>
      </w:tr>
      <w:tr w:rsidR="00A31721" w:rsidRPr="00A31721" w14:paraId="01F39571" w14:textId="77777777" w:rsidTr="00B63570">
        <w:trPr>
          <w:trHeight w:val="340"/>
        </w:trPr>
        <w:tc>
          <w:tcPr>
            <w:tcW w:w="6663" w:type="dxa"/>
            <w:tcBorders>
              <w:top w:val="nil"/>
              <w:left w:val="nil"/>
              <w:bottom w:val="nil"/>
              <w:right w:val="nil"/>
            </w:tcBorders>
            <w:vAlign w:val="bottom"/>
          </w:tcPr>
          <w:p w14:paraId="01F3956D" w14:textId="7AE1D2B0"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strategy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Financial performance</w:t>
            </w:r>
          </w:p>
        </w:tc>
        <w:tc>
          <w:tcPr>
            <w:tcW w:w="992" w:type="dxa"/>
            <w:tcBorders>
              <w:top w:val="nil"/>
              <w:left w:val="nil"/>
              <w:bottom w:val="nil"/>
              <w:right w:val="nil"/>
            </w:tcBorders>
            <w:vAlign w:val="center"/>
          </w:tcPr>
          <w:p w14:paraId="01F3956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0.066</w:t>
            </w:r>
          </w:p>
        </w:tc>
        <w:tc>
          <w:tcPr>
            <w:tcW w:w="850" w:type="dxa"/>
            <w:tcBorders>
              <w:top w:val="nil"/>
              <w:left w:val="nil"/>
              <w:bottom w:val="nil"/>
              <w:right w:val="nil"/>
            </w:tcBorders>
            <w:vAlign w:val="center"/>
          </w:tcPr>
          <w:p w14:paraId="01F3956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2.037</w:t>
            </w:r>
          </w:p>
        </w:tc>
        <w:tc>
          <w:tcPr>
            <w:tcW w:w="1118" w:type="dxa"/>
            <w:tcBorders>
              <w:top w:val="nil"/>
              <w:left w:val="nil"/>
              <w:bottom w:val="nil"/>
              <w:right w:val="nil"/>
            </w:tcBorders>
            <w:vAlign w:val="center"/>
          </w:tcPr>
          <w:p w14:paraId="01F39570"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0.042**</w:t>
            </w:r>
          </w:p>
        </w:tc>
      </w:tr>
      <w:tr w:rsidR="00A31721" w:rsidRPr="00A31721" w14:paraId="01F39576" w14:textId="77777777" w:rsidTr="00B63570">
        <w:trPr>
          <w:trHeight w:val="340"/>
        </w:trPr>
        <w:tc>
          <w:tcPr>
            <w:tcW w:w="6663" w:type="dxa"/>
            <w:tcBorders>
              <w:top w:val="nil"/>
              <w:left w:val="nil"/>
              <w:bottom w:val="single" w:sz="4" w:space="0" w:color="000000"/>
              <w:right w:val="nil"/>
            </w:tcBorders>
            <w:vAlign w:val="bottom"/>
          </w:tcPr>
          <w:p w14:paraId="01F39572" w14:textId="6F1CB5A4"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Technology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 </w:t>
            </w:r>
            <w:r w:rsidR="00B63570" w:rsidRPr="00A31721">
              <w:rPr>
                <w:rFonts w:ascii="Times New Roman" w:eastAsia="Times New Roman" w:hAnsi="Times New Roman" w:cs="Times New Roman"/>
                <w:color w:val="000000" w:themeColor="text1"/>
                <w:sz w:val="20"/>
                <w:szCs w:val="20"/>
              </w:rPr>
              <w:sym w:font="Wingdings" w:char="F0E0"/>
            </w:r>
            <w:r w:rsidR="00B63570" w:rsidRPr="00A31721">
              <w:rPr>
                <w:rFonts w:ascii="Times New Roman" w:eastAsia="Times New Roman" w:hAnsi="Times New Roman" w:cs="Times New Roman"/>
                <w:color w:val="000000" w:themeColor="text1"/>
                <w:sz w:val="20"/>
                <w:szCs w:val="20"/>
              </w:rPr>
              <w:t xml:space="preserve"> </w:t>
            </w:r>
            <w:r w:rsidRPr="00A31721">
              <w:rPr>
                <w:rFonts w:ascii="Times New Roman" w:eastAsia="Times New Roman" w:hAnsi="Times New Roman" w:cs="Times New Roman"/>
                <w:color w:val="000000" w:themeColor="text1"/>
                <w:sz w:val="20"/>
                <w:szCs w:val="20"/>
              </w:rPr>
              <w:t>Financial performance</w:t>
            </w:r>
          </w:p>
        </w:tc>
        <w:tc>
          <w:tcPr>
            <w:tcW w:w="992" w:type="dxa"/>
            <w:tcBorders>
              <w:top w:val="nil"/>
              <w:left w:val="nil"/>
              <w:bottom w:val="single" w:sz="4" w:space="0" w:color="000000"/>
              <w:right w:val="nil"/>
            </w:tcBorders>
            <w:vAlign w:val="center"/>
          </w:tcPr>
          <w:p w14:paraId="01F3957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0.055</w:t>
            </w:r>
          </w:p>
        </w:tc>
        <w:tc>
          <w:tcPr>
            <w:tcW w:w="850" w:type="dxa"/>
            <w:tcBorders>
              <w:top w:val="nil"/>
              <w:left w:val="nil"/>
              <w:bottom w:val="single" w:sz="4" w:space="0" w:color="000000"/>
              <w:right w:val="nil"/>
            </w:tcBorders>
            <w:vAlign w:val="center"/>
          </w:tcPr>
          <w:p w14:paraId="01F39574"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2.118</w:t>
            </w:r>
          </w:p>
        </w:tc>
        <w:tc>
          <w:tcPr>
            <w:tcW w:w="1118" w:type="dxa"/>
            <w:tcBorders>
              <w:top w:val="nil"/>
              <w:left w:val="nil"/>
              <w:bottom w:val="single" w:sz="4" w:space="0" w:color="000000"/>
              <w:right w:val="nil"/>
            </w:tcBorders>
            <w:vAlign w:val="center"/>
          </w:tcPr>
          <w:p w14:paraId="01F39575"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0.034**</w:t>
            </w:r>
          </w:p>
        </w:tc>
      </w:tr>
      <w:tr w:rsidR="00A31721" w:rsidRPr="00A31721" w14:paraId="01F39578" w14:textId="77777777" w:rsidTr="00B63570">
        <w:trPr>
          <w:trHeight w:val="170"/>
        </w:trPr>
        <w:tc>
          <w:tcPr>
            <w:tcW w:w="9618" w:type="dxa"/>
            <w:gridSpan w:val="4"/>
            <w:tcBorders>
              <w:top w:val="single" w:sz="4" w:space="0" w:color="000000"/>
              <w:left w:val="nil"/>
              <w:bottom w:val="nil"/>
              <w:right w:val="nil"/>
            </w:tcBorders>
            <w:shd w:val="clear" w:color="auto" w:fill="BFBFBF"/>
            <w:vAlign w:val="center"/>
          </w:tcPr>
          <w:p w14:paraId="01F39577" w14:textId="7777777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0"/>
                <w:szCs w:val="20"/>
              </w:rPr>
            </w:pPr>
            <w:r w:rsidRPr="00A31721">
              <w:rPr>
                <w:rFonts w:ascii="Times New Roman" w:eastAsia="Times New Roman" w:hAnsi="Times New Roman" w:cs="Times New Roman"/>
                <w:b/>
                <w:color w:val="000000" w:themeColor="text1"/>
                <w:sz w:val="20"/>
                <w:szCs w:val="20"/>
              </w:rPr>
              <w:t>Panel B: model3- Analysis of non-financial performance</w:t>
            </w:r>
          </w:p>
        </w:tc>
      </w:tr>
      <w:tr w:rsidR="00A31721" w:rsidRPr="00A31721" w14:paraId="01F3957D" w14:textId="77777777" w:rsidTr="00B63570">
        <w:trPr>
          <w:trHeight w:val="170"/>
        </w:trPr>
        <w:tc>
          <w:tcPr>
            <w:tcW w:w="6663" w:type="dxa"/>
            <w:tcBorders>
              <w:top w:val="single" w:sz="4" w:space="0" w:color="000000"/>
              <w:left w:val="nil"/>
              <w:bottom w:val="single" w:sz="4" w:space="0" w:color="000000"/>
              <w:right w:val="nil"/>
            </w:tcBorders>
            <w:vAlign w:val="center"/>
          </w:tcPr>
          <w:p w14:paraId="01F39579" w14:textId="77777777" w:rsidR="006749A4" w:rsidRPr="00A31721" w:rsidRDefault="006749A4"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992" w:type="dxa"/>
            <w:tcBorders>
              <w:top w:val="single" w:sz="4" w:space="0" w:color="000000"/>
              <w:left w:val="nil"/>
              <w:bottom w:val="single" w:sz="4" w:space="0" w:color="000000"/>
              <w:right w:val="nil"/>
            </w:tcBorders>
            <w:vAlign w:val="center"/>
          </w:tcPr>
          <w:p w14:paraId="01F3957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B</w:t>
            </w:r>
          </w:p>
        </w:tc>
        <w:tc>
          <w:tcPr>
            <w:tcW w:w="850" w:type="dxa"/>
            <w:tcBorders>
              <w:top w:val="single" w:sz="4" w:space="0" w:color="000000"/>
              <w:left w:val="nil"/>
              <w:bottom w:val="single" w:sz="4" w:space="0" w:color="000000"/>
              <w:right w:val="nil"/>
            </w:tcBorders>
            <w:vAlign w:val="center"/>
          </w:tcPr>
          <w:p w14:paraId="01F3957B"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T-value</w:t>
            </w:r>
          </w:p>
        </w:tc>
        <w:tc>
          <w:tcPr>
            <w:tcW w:w="1118" w:type="dxa"/>
            <w:tcBorders>
              <w:top w:val="single" w:sz="4" w:space="0" w:color="000000"/>
              <w:left w:val="nil"/>
              <w:bottom w:val="single" w:sz="4" w:space="0" w:color="000000"/>
              <w:right w:val="nil"/>
            </w:tcBorders>
            <w:vAlign w:val="center"/>
          </w:tcPr>
          <w:p w14:paraId="01F3957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P values</w:t>
            </w:r>
          </w:p>
        </w:tc>
      </w:tr>
      <w:tr w:rsidR="00A31721" w:rsidRPr="00A31721" w14:paraId="01F3957F" w14:textId="77777777" w:rsidTr="00B63570">
        <w:trPr>
          <w:trHeight w:val="170"/>
        </w:trPr>
        <w:tc>
          <w:tcPr>
            <w:tcW w:w="9618" w:type="dxa"/>
            <w:gridSpan w:val="4"/>
            <w:tcBorders>
              <w:top w:val="nil"/>
              <w:left w:val="nil"/>
              <w:bottom w:val="single" w:sz="4" w:space="0" w:color="000000"/>
              <w:right w:val="nil"/>
            </w:tcBorders>
            <w:vAlign w:val="center"/>
          </w:tcPr>
          <w:p w14:paraId="01F3957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Direct effect</w:t>
            </w:r>
          </w:p>
        </w:tc>
      </w:tr>
      <w:tr w:rsidR="00A31721" w:rsidRPr="00A31721" w14:paraId="01F39584" w14:textId="77777777" w:rsidTr="00B63570">
        <w:trPr>
          <w:trHeight w:val="340"/>
        </w:trPr>
        <w:tc>
          <w:tcPr>
            <w:tcW w:w="6663" w:type="dxa"/>
            <w:tcBorders>
              <w:top w:val="single" w:sz="4" w:space="0" w:color="000000"/>
              <w:left w:val="nil"/>
              <w:bottom w:val="nil"/>
              <w:right w:val="nil"/>
            </w:tcBorders>
            <w:vAlign w:val="bottom"/>
          </w:tcPr>
          <w:p w14:paraId="01F39580" w14:textId="61477BC7" w:rsidR="006749A4" w:rsidRPr="00A31721" w:rsidRDefault="008570DA"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Adoption of</w:t>
            </w:r>
            <w:r w:rsidR="0007550D" w:rsidRPr="00A31721">
              <w:rPr>
                <w:rFonts w:ascii="Times New Roman" w:eastAsia="Times New Roman" w:hAnsi="Times New Roman" w:cs="Times New Roman"/>
                <w:color w:val="000000" w:themeColor="text1"/>
                <w:sz w:val="20"/>
                <w:szCs w:val="20"/>
              </w:rPr>
              <w:t xml:space="preserve"> sustainability practices </w:t>
            </w:r>
            <w:r w:rsidR="00B63570" w:rsidRPr="00A31721">
              <w:rPr>
                <w:rFonts w:ascii="Times New Roman" w:eastAsia="Times New Roman" w:hAnsi="Times New Roman" w:cs="Times New Roman"/>
                <w:color w:val="000000" w:themeColor="text1"/>
                <w:sz w:val="20"/>
                <w:szCs w:val="20"/>
              </w:rPr>
              <w:sym w:font="Wingdings" w:char="F0E0"/>
            </w:r>
            <w:r w:rsidR="0007550D" w:rsidRPr="00A31721">
              <w:rPr>
                <w:rFonts w:ascii="Times New Roman" w:eastAsia="Times New Roman" w:hAnsi="Times New Roman" w:cs="Times New Roman"/>
                <w:color w:val="000000" w:themeColor="text1"/>
                <w:sz w:val="20"/>
                <w:szCs w:val="20"/>
              </w:rPr>
              <w:t xml:space="preserve"> </w:t>
            </w:r>
            <w:proofErr w:type="gramStart"/>
            <w:r w:rsidR="0007550D" w:rsidRPr="00A31721">
              <w:rPr>
                <w:rFonts w:ascii="Times New Roman" w:eastAsia="Times New Roman" w:hAnsi="Times New Roman" w:cs="Times New Roman"/>
                <w:color w:val="000000" w:themeColor="text1"/>
                <w:sz w:val="20"/>
                <w:szCs w:val="20"/>
              </w:rPr>
              <w:t>Non-financial</w:t>
            </w:r>
            <w:proofErr w:type="gramEnd"/>
            <w:r w:rsidR="0007550D" w:rsidRPr="00A31721">
              <w:rPr>
                <w:rFonts w:ascii="Times New Roman" w:eastAsia="Times New Roman" w:hAnsi="Times New Roman" w:cs="Times New Roman"/>
                <w:color w:val="000000" w:themeColor="text1"/>
                <w:sz w:val="20"/>
                <w:szCs w:val="20"/>
              </w:rPr>
              <w:t xml:space="preserve"> performance</w:t>
            </w:r>
          </w:p>
        </w:tc>
        <w:tc>
          <w:tcPr>
            <w:tcW w:w="992" w:type="dxa"/>
            <w:tcBorders>
              <w:top w:val="single" w:sz="4" w:space="0" w:color="000000"/>
              <w:left w:val="nil"/>
              <w:bottom w:val="nil"/>
              <w:right w:val="nil"/>
            </w:tcBorders>
            <w:vAlign w:val="center"/>
          </w:tcPr>
          <w:p w14:paraId="01F39581"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0.370</w:t>
            </w:r>
          </w:p>
        </w:tc>
        <w:tc>
          <w:tcPr>
            <w:tcW w:w="850" w:type="dxa"/>
            <w:tcBorders>
              <w:top w:val="single" w:sz="4" w:space="0" w:color="000000"/>
              <w:left w:val="nil"/>
              <w:bottom w:val="nil"/>
              <w:right w:val="nil"/>
            </w:tcBorders>
            <w:vAlign w:val="center"/>
          </w:tcPr>
          <w:p w14:paraId="01F39582"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4.223</w:t>
            </w:r>
          </w:p>
        </w:tc>
        <w:tc>
          <w:tcPr>
            <w:tcW w:w="1118" w:type="dxa"/>
            <w:tcBorders>
              <w:top w:val="single" w:sz="4" w:space="0" w:color="000000"/>
              <w:left w:val="nil"/>
              <w:bottom w:val="nil"/>
              <w:right w:val="nil"/>
            </w:tcBorders>
            <w:vAlign w:val="center"/>
          </w:tcPr>
          <w:p w14:paraId="01F3958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89" w14:textId="77777777" w:rsidTr="00B63570">
        <w:trPr>
          <w:trHeight w:val="340"/>
        </w:trPr>
        <w:tc>
          <w:tcPr>
            <w:tcW w:w="6663" w:type="dxa"/>
            <w:tcBorders>
              <w:top w:val="nil"/>
              <w:left w:val="nil"/>
              <w:bottom w:val="single" w:sz="4" w:space="0" w:color="000000"/>
              <w:right w:val="nil"/>
            </w:tcBorders>
            <w:vAlign w:val="bottom"/>
          </w:tcPr>
          <w:p w14:paraId="01F39585" w14:textId="4FE2CFDA"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Use of EMA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proofErr w:type="gramStart"/>
            <w:r w:rsidRPr="00A31721">
              <w:rPr>
                <w:rFonts w:ascii="Times New Roman" w:eastAsia="Times New Roman" w:hAnsi="Times New Roman" w:cs="Times New Roman"/>
                <w:color w:val="000000" w:themeColor="text1"/>
                <w:sz w:val="20"/>
                <w:szCs w:val="20"/>
              </w:rPr>
              <w:t>Non-financial</w:t>
            </w:r>
            <w:proofErr w:type="gramEnd"/>
            <w:r w:rsidRPr="00A31721">
              <w:rPr>
                <w:rFonts w:ascii="Times New Roman" w:eastAsia="Times New Roman" w:hAnsi="Times New Roman" w:cs="Times New Roman"/>
                <w:color w:val="000000" w:themeColor="text1"/>
                <w:sz w:val="20"/>
                <w:szCs w:val="20"/>
              </w:rPr>
              <w:t xml:space="preserve"> performance</w:t>
            </w:r>
          </w:p>
        </w:tc>
        <w:tc>
          <w:tcPr>
            <w:tcW w:w="992" w:type="dxa"/>
            <w:tcBorders>
              <w:top w:val="nil"/>
              <w:left w:val="nil"/>
              <w:bottom w:val="single" w:sz="4" w:space="0" w:color="000000"/>
              <w:right w:val="nil"/>
            </w:tcBorders>
            <w:vAlign w:val="center"/>
          </w:tcPr>
          <w:p w14:paraId="01F3958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0.433</w:t>
            </w:r>
          </w:p>
        </w:tc>
        <w:tc>
          <w:tcPr>
            <w:tcW w:w="850" w:type="dxa"/>
            <w:tcBorders>
              <w:top w:val="nil"/>
              <w:left w:val="nil"/>
              <w:bottom w:val="single" w:sz="4" w:space="0" w:color="000000"/>
              <w:right w:val="nil"/>
            </w:tcBorders>
            <w:vAlign w:val="center"/>
          </w:tcPr>
          <w:p w14:paraId="01F3958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4.541</w:t>
            </w:r>
          </w:p>
        </w:tc>
        <w:tc>
          <w:tcPr>
            <w:tcW w:w="1118" w:type="dxa"/>
            <w:tcBorders>
              <w:top w:val="nil"/>
              <w:left w:val="nil"/>
              <w:bottom w:val="single" w:sz="4" w:space="0" w:color="000000"/>
              <w:right w:val="nil"/>
            </w:tcBorders>
            <w:vAlign w:val="center"/>
          </w:tcPr>
          <w:p w14:paraId="01F3958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8B" w14:textId="77777777" w:rsidTr="00B63570">
        <w:trPr>
          <w:trHeight w:val="170"/>
        </w:trPr>
        <w:tc>
          <w:tcPr>
            <w:tcW w:w="9618" w:type="dxa"/>
            <w:gridSpan w:val="4"/>
            <w:tcBorders>
              <w:top w:val="single" w:sz="4" w:space="0" w:color="000000"/>
              <w:left w:val="nil"/>
              <w:bottom w:val="single" w:sz="4" w:space="0" w:color="000000"/>
              <w:right w:val="nil"/>
            </w:tcBorders>
            <w:vAlign w:val="center"/>
          </w:tcPr>
          <w:p w14:paraId="01F3958A"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i/>
                <w:color w:val="000000" w:themeColor="text1"/>
                <w:sz w:val="20"/>
                <w:szCs w:val="20"/>
              </w:rPr>
            </w:pPr>
            <w:r w:rsidRPr="00A31721">
              <w:rPr>
                <w:rFonts w:ascii="Times New Roman" w:eastAsia="Times New Roman" w:hAnsi="Times New Roman" w:cs="Times New Roman"/>
                <w:i/>
                <w:color w:val="000000" w:themeColor="text1"/>
                <w:sz w:val="20"/>
                <w:szCs w:val="20"/>
              </w:rPr>
              <w:t>Indirect effect</w:t>
            </w:r>
          </w:p>
        </w:tc>
      </w:tr>
      <w:tr w:rsidR="00A31721" w:rsidRPr="00A31721" w14:paraId="01F39590" w14:textId="77777777" w:rsidTr="00B63570">
        <w:trPr>
          <w:trHeight w:val="340"/>
        </w:trPr>
        <w:tc>
          <w:tcPr>
            <w:tcW w:w="6663" w:type="dxa"/>
            <w:tcBorders>
              <w:top w:val="nil"/>
              <w:left w:val="nil"/>
              <w:bottom w:val="nil"/>
              <w:right w:val="nil"/>
            </w:tcBorders>
            <w:vAlign w:val="bottom"/>
          </w:tcPr>
          <w:p w14:paraId="01F3958C" w14:textId="3DAF054E"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Environmental uncertainties</w:t>
            </w:r>
            <w:r w:rsidR="00B63570" w:rsidRPr="00A31721">
              <w:rPr>
                <w:rFonts w:ascii="Times New Roman" w:eastAsia="Times New Roman" w:hAnsi="Times New Roman" w:cs="Times New Roman"/>
                <w:color w:val="000000" w:themeColor="text1"/>
                <w:sz w:val="20"/>
                <w:szCs w:val="20"/>
              </w:rPr>
              <w:sym w:font="Wingdings" w:char="F0E0"/>
            </w:r>
            <w:r w:rsidR="00391DD1" w:rsidRPr="00A31721">
              <w:rPr>
                <w:rFonts w:ascii="Times New Roman" w:eastAsia="Times New Roman" w:hAnsi="Times New Roman" w:cs="Times New Roman"/>
                <w:color w:val="000000" w:themeColor="text1"/>
                <w:sz w:val="20"/>
                <w:szCs w:val="20"/>
              </w:rPr>
              <w:t>Adoption</w:t>
            </w:r>
            <w:r w:rsidRPr="00A31721">
              <w:rPr>
                <w:rFonts w:ascii="Times New Roman" w:eastAsia="Times New Roman" w:hAnsi="Times New Roman" w:cs="Times New Roman"/>
                <w:color w:val="000000" w:themeColor="text1"/>
                <w:sz w:val="20"/>
                <w:szCs w:val="20"/>
              </w:rPr>
              <w:t xml:space="preserve"> </w:t>
            </w:r>
            <w:r w:rsidR="00391DD1" w:rsidRPr="00A31721">
              <w:rPr>
                <w:rFonts w:ascii="Times New Roman" w:eastAsia="Times New Roman" w:hAnsi="Times New Roman" w:cs="Times New Roman"/>
                <w:color w:val="000000" w:themeColor="text1"/>
                <w:sz w:val="20"/>
                <w:szCs w:val="20"/>
              </w:rPr>
              <w:t xml:space="preserve">of </w:t>
            </w:r>
            <w:r w:rsidRPr="00A31721">
              <w:rPr>
                <w:rFonts w:ascii="Times New Roman" w:eastAsia="Times New Roman" w:hAnsi="Times New Roman" w:cs="Times New Roman"/>
                <w:color w:val="000000" w:themeColor="text1"/>
                <w:sz w:val="20"/>
                <w:szCs w:val="20"/>
              </w:rPr>
              <w:t xml:space="preserve">sustainability practices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proofErr w:type="gramStart"/>
            <w:r w:rsidRPr="00A31721">
              <w:rPr>
                <w:rFonts w:ascii="Times New Roman" w:eastAsia="Times New Roman" w:hAnsi="Times New Roman" w:cs="Times New Roman"/>
                <w:color w:val="000000" w:themeColor="text1"/>
                <w:sz w:val="20"/>
                <w:szCs w:val="20"/>
              </w:rPr>
              <w:t>Non-financial</w:t>
            </w:r>
            <w:proofErr w:type="gramEnd"/>
            <w:r w:rsidRPr="00A31721">
              <w:rPr>
                <w:rFonts w:ascii="Times New Roman" w:eastAsia="Times New Roman" w:hAnsi="Times New Roman" w:cs="Times New Roman"/>
                <w:color w:val="000000" w:themeColor="text1"/>
                <w:sz w:val="20"/>
                <w:szCs w:val="20"/>
              </w:rPr>
              <w:t xml:space="preserve"> performance</w:t>
            </w:r>
          </w:p>
        </w:tc>
        <w:tc>
          <w:tcPr>
            <w:tcW w:w="992" w:type="dxa"/>
            <w:tcBorders>
              <w:top w:val="nil"/>
              <w:left w:val="nil"/>
              <w:bottom w:val="nil"/>
              <w:right w:val="nil"/>
            </w:tcBorders>
            <w:vAlign w:val="center"/>
          </w:tcPr>
          <w:p w14:paraId="01F3958D"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0.216</w:t>
            </w:r>
          </w:p>
        </w:tc>
        <w:tc>
          <w:tcPr>
            <w:tcW w:w="850" w:type="dxa"/>
            <w:tcBorders>
              <w:top w:val="nil"/>
              <w:left w:val="nil"/>
              <w:bottom w:val="nil"/>
              <w:right w:val="nil"/>
            </w:tcBorders>
            <w:vAlign w:val="center"/>
          </w:tcPr>
          <w:p w14:paraId="01F3958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4.023</w:t>
            </w:r>
          </w:p>
        </w:tc>
        <w:tc>
          <w:tcPr>
            <w:tcW w:w="1118" w:type="dxa"/>
            <w:tcBorders>
              <w:top w:val="nil"/>
              <w:left w:val="nil"/>
              <w:bottom w:val="nil"/>
              <w:right w:val="nil"/>
            </w:tcBorders>
            <w:vAlign w:val="center"/>
          </w:tcPr>
          <w:p w14:paraId="01F3958F"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95" w14:textId="77777777" w:rsidTr="00B63570">
        <w:trPr>
          <w:trHeight w:val="340"/>
        </w:trPr>
        <w:tc>
          <w:tcPr>
            <w:tcW w:w="6663" w:type="dxa"/>
            <w:tcBorders>
              <w:top w:val="nil"/>
              <w:left w:val="nil"/>
              <w:bottom w:val="nil"/>
              <w:right w:val="nil"/>
            </w:tcBorders>
            <w:vAlign w:val="bottom"/>
          </w:tcPr>
          <w:p w14:paraId="01F39591" w14:textId="6E3AAB0C"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Environmental strategy</w:t>
            </w:r>
            <w:r w:rsidR="00B63570" w:rsidRPr="00A31721">
              <w:rPr>
                <w:rFonts w:ascii="Times New Roman" w:eastAsia="Times New Roman" w:hAnsi="Times New Roman" w:cs="Times New Roman"/>
                <w:color w:val="000000" w:themeColor="text1"/>
                <w:sz w:val="20"/>
                <w:szCs w:val="20"/>
              </w:rPr>
              <w:sym w:font="Wingdings" w:char="F0E0"/>
            </w:r>
            <w:r w:rsidR="00391DD1" w:rsidRPr="00A31721">
              <w:rPr>
                <w:rFonts w:ascii="Times New Roman" w:eastAsia="Times New Roman" w:hAnsi="Times New Roman" w:cs="Times New Roman"/>
                <w:color w:val="000000" w:themeColor="text1"/>
                <w:sz w:val="20"/>
                <w:szCs w:val="20"/>
              </w:rPr>
              <w:t xml:space="preserve">Adoption of </w:t>
            </w:r>
            <w:r w:rsidRPr="00A31721">
              <w:rPr>
                <w:rFonts w:ascii="Times New Roman" w:eastAsia="Times New Roman" w:hAnsi="Times New Roman" w:cs="Times New Roman"/>
                <w:color w:val="000000" w:themeColor="text1"/>
                <w:sz w:val="20"/>
                <w:szCs w:val="20"/>
              </w:rPr>
              <w:t xml:space="preserve">sustainability practices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proofErr w:type="gramStart"/>
            <w:r w:rsidRPr="00A31721">
              <w:rPr>
                <w:rFonts w:ascii="Times New Roman" w:eastAsia="Times New Roman" w:hAnsi="Times New Roman" w:cs="Times New Roman"/>
                <w:color w:val="000000" w:themeColor="text1"/>
                <w:sz w:val="20"/>
                <w:szCs w:val="20"/>
              </w:rPr>
              <w:t>Non-financial</w:t>
            </w:r>
            <w:proofErr w:type="gramEnd"/>
            <w:r w:rsidRPr="00A31721">
              <w:rPr>
                <w:rFonts w:ascii="Times New Roman" w:eastAsia="Times New Roman" w:hAnsi="Times New Roman" w:cs="Times New Roman"/>
                <w:color w:val="000000" w:themeColor="text1"/>
                <w:sz w:val="20"/>
                <w:szCs w:val="20"/>
              </w:rPr>
              <w:t xml:space="preserve"> performance</w:t>
            </w:r>
          </w:p>
        </w:tc>
        <w:tc>
          <w:tcPr>
            <w:tcW w:w="992" w:type="dxa"/>
            <w:tcBorders>
              <w:top w:val="nil"/>
              <w:left w:val="nil"/>
              <w:bottom w:val="nil"/>
              <w:right w:val="nil"/>
            </w:tcBorders>
            <w:vAlign w:val="center"/>
          </w:tcPr>
          <w:p w14:paraId="01F39592"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0.048</w:t>
            </w:r>
          </w:p>
        </w:tc>
        <w:tc>
          <w:tcPr>
            <w:tcW w:w="850" w:type="dxa"/>
            <w:tcBorders>
              <w:top w:val="nil"/>
              <w:left w:val="nil"/>
              <w:bottom w:val="nil"/>
              <w:right w:val="nil"/>
            </w:tcBorders>
            <w:vAlign w:val="center"/>
          </w:tcPr>
          <w:p w14:paraId="01F3959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2.068</w:t>
            </w:r>
          </w:p>
        </w:tc>
        <w:tc>
          <w:tcPr>
            <w:tcW w:w="1118" w:type="dxa"/>
            <w:tcBorders>
              <w:top w:val="nil"/>
              <w:left w:val="nil"/>
              <w:bottom w:val="nil"/>
              <w:right w:val="nil"/>
            </w:tcBorders>
            <w:vAlign w:val="center"/>
          </w:tcPr>
          <w:p w14:paraId="01F39594" w14:textId="0E646853"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0.039**</w:t>
            </w:r>
          </w:p>
        </w:tc>
      </w:tr>
      <w:tr w:rsidR="00A31721" w:rsidRPr="00A31721" w14:paraId="01F3959A" w14:textId="77777777" w:rsidTr="00B63570">
        <w:trPr>
          <w:trHeight w:val="340"/>
        </w:trPr>
        <w:tc>
          <w:tcPr>
            <w:tcW w:w="6663" w:type="dxa"/>
            <w:tcBorders>
              <w:top w:val="nil"/>
              <w:left w:val="nil"/>
              <w:bottom w:val="nil"/>
              <w:right w:val="nil"/>
            </w:tcBorders>
            <w:vAlign w:val="bottom"/>
          </w:tcPr>
          <w:p w14:paraId="01F39596" w14:textId="59AF7710"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Technology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r w:rsidR="00391DD1" w:rsidRPr="00A31721">
              <w:rPr>
                <w:rFonts w:ascii="Times New Roman" w:eastAsia="Times New Roman" w:hAnsi="Times New Roman" w:cs="Times New Roman"/>
                <w:color w:val="000000" w:themeColor="text1"/>
                <w:sz w:val="20"/>
                <w:szCs w:val="20"/>
              </w:rPr>
              <w:t>A</w:t>
            </w:r>
            <w:r w:rsidR="00B63570" w:rsidRPr="00A31721">
              <w:rPr>
                <w:rFonts w:ascii="Times New Roman" w:eastAsia="Times New Roman" w:hAnsi="Times New Roman" w:cs="Times New Roman"/>
                <w:color w:val="000000" w:themeColor="text1"/>
                <w:sz w:val="20"/>
                <w:szCs w:val="20"/>
              </w:rPr>
              <w:t>doption of</w:t>
            </w:r>
            <w:r w:rsidRPr="00A31721">
              <w:rPr>
                <w:rFonts w:ascii="Times New Roman" w:eastAsia="Times New Roman" w:hAnsi="Times New Roman" w:cs="Times New Roman"/>
                <w:color w:val="000000" w:themeColor="text1"/>
                <w:sz w:val="20"/>
                <w:szCs w:val="20"/>
              </w:rPr>
              <w:t xml:space="preserve"> sustainability practices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proofErr w:type="gramStart"/>
            <w:r w:rsidRPr="00A31721">
              <w:rPr>
                <w:rFonts w:ascii="Times New Roman" w:eastAsia="Times New Roman" w:hAnsi="Times New Roman" w:cs="Times New Roman"/>
                <w:color w:val="000000" w:themeColor="text1"/>
                <w:sz w:val="20"/>
                <w:szCs w:val="20"/>
              </w:rPr>
              <w:t>Non-financial</w:t>
            </w:r>
            <w:proofErr w:type="gramEnd"/>
            <w:r w:rsidRPr="00A31721">
              <w:rPr>
                <w:rFonts w:ascii="Times New Roman" w:eastAsia="Times New Roman" w:hAnsi="Times New Roman" w:cs="Times New Roman"/>
                <w:color w:val="000000" w:themeColor="text1"/>
                <w:sz w:val="20"/>
                <w:szCs w:val="20"/>
              </w:rPr>
              <w:t xml:space="preserve"> performance</w:t>
            </w:r>
          </w:p>
        </w:tc>
        <w:tc>
          <w:tcPr>
            <w:tcW w:w="992" w:type="dxa"/>
            <w:tcBorders>
              <w:top w:val="nil"/>
              <w:left w:val="nil"/>
              <w:bottom w:val="nil"/>
              <w:right w:val="nil"/>
            </w:tcBorders>
            <w:vAlign w:val="center"/>
          </w:tcPr>
          <w:p w14:paraId="01F3959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0.096</w:t>
            </w:r>
          </w:p>
        </w:tc>
        <w:tc>
          <w:tcPr>
            <w:tcW w:w="850" w:type="dxa"/>
            <w:tcBorders>
              <w:top w:val="nil"/>
              <w:left w:val="nil"/>
              <w:bottom w:val="nil"/>
              <w:right w:val="nil"/>
            </w:tcBorders>
            <w:vAlign w:val="center"/>
          </w:tcPr>
          <w:p w14:paraId="01F3959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2.769</w:t>
            </w:r>
          </w:p>
        </w:tc>
        <w:tc>
          <w:tcPr>
            <w:tcW w:w="1118" w:type="dxa"/>
            <w:tcBorders>
              <w:top w:val="nil"/>
              <w:left w:val="nil"/>
              <w:bottom w:val="nil"/>
              <w:right w:val="nil"/>
            </w:tcBorders>
            <w:vAlign w:val="center"/>
          </w:tcPr>
          <w:p w14:paraId="01F39599"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0.006***</w:t>
            </w:r>
          </w:p>
        </w:tc>
      </w:tr>
      <w:tr w:rsidR="00A31721" w:rsidRPr="00A31721" w14:paraId="01F3959F" w14:textId="77777777" w:rsidTr="00B63570">
        <w:trPr>
          <w:trHeight w:val="340"/>
        </w:trPr>
        <w:tc>
          <w:tcPr>
            <w:tcW w:w="6663" w:type="dxa"/>
            <w:tcBorders>
              <w:top w:val="nil"/>
              <w:left w:val="nil"/>
              <w:bottom w:val="nil"/>
              <w:right w:val="nil"/>
            </w:tcBorders>
            <w:vAlign w:val="bottom"/>
          </w:tcPr>
          <w:p w14:paraId="01F3959B" w14:textId="5D7E3D0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uncertainties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EMA tools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w:t>
            </w:r>
            <w:proofErr w:type="gramStart"/>
            <w:r w:rsidRPr="00A31721">
              <w:rPr>
                <w:rFonts w:ascii="Times New Roman" w:eastAsia="Times New Roman" w:hAnsi="Times New Roman" w:cs="Times New Roman"/>
                <w:color w:val="000000" w:themeColor="text1"/>
                <w:sz w:val="20"/>
                <w:szCs w:val="20"/>
              </w:rPr>
              <w:t>Non-financial</w:t>
            </w:r>
            <w:proofErr w:type="gramEnd"/>
            <w:r w:rsidRPr="00A31721">
              <w:rPr>
                <w:rFonts w:ascii="Times New Roman" w:eastAsia="Times New Roman" w:hAnsi="Times New Roman" w:cs="Times New Roman"/>
                <w:color w:val="000000" w:themeColor="text1"/>
                <w:sz w:val="20"/>
                <w:szCs w:val="20"/>
              </w:rPr>
              <w:t xml:space="preserve"> performance</w:t>
            </w:r>
          </w:p>
        </w:tc>
        <w:tc>
          <w:tcPr>
            <w:tcW w:w="992" w:type="dxa"/>
            <w:tcBorders>
              <w:top w:val="nil"/>
              <w:left w:val="nil"/>
              <w:bottom w:val="nil"/>
              <w:right w:val="nil"/>
            </w:tcBorders>
            <w:vAlign w:val="center"/>
          </w:tcPr>
          <w:p w14:paraId="01F3959C"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0.154</w:t>
            </w:r>
          </w:p>
        </w:tc>
        <w:tc>
          <w:tcPr>
            <w:tcW w:w="850" w:type="dxa"/>
            <w:tcBorders>
              <w:top w:val="nil"/>
              <w:left w:val="nil"/>
              <w:bottom w:val="nil"/>
              <w:right w:val="nil"/>
            </w:tcBorders>
            <w:vAlign w:val="center"/>
          </w:tcPr>
          <w:p w14:paraId="01F3959D"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3.575</w:t>
            </w:r>
          </w:p>
        </w:tc>
        <w:tc>
          <w:tcPr>
            <w:tcW w:w="1118" w:type="dxa"/>
            <w:tcBorders>
              <w:top w:val="nil"/>
              <w:left w:val="nil"/>
              <w:bottom w:val="nil"/>
              <w:right w:val="nil"/>
            </w:tcBorders>
            <w:vAlign w:val="center"/>
          </w:tcPr>
          <w:p w14:paraId="01F3959E"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0.000***</w:t>
            </w:r>
          </w:p>
        </w:tc>
      </w:tr>
      <w:tr w:rsidR="00A31721" w:rsidRPr="00A31721" w14:paraId="01F395A4" w14:textId="77777777" w:rsidTr="00B63570">
        <w:trPr>
          <w:trHeight w:val="340"/>
        </w:trPr>
        <w:tc>
          <w:tcPr>
            <w:tcW w:w="6663" w:type="dxa"/>
            <w:tcBorders>
              <w:top w:val="nil"/>
              <w:left w:val="nil"/>
              <w:bottom w:val="nil"/>
              <w:right w:val="nil"/>
            </w:tcBorders>
            <w:vAlign w:val="bottom"/>
          </w:tcPr>
          <w:p w14:paraId="01F395A0" w14:textId="670B211C"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 xml:space="preserve">Environmental strategy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 EMA tools </w:t>
            </w:r>
            <w:r w:rsidR="00B63570" w:rsidRPr="00A31721">
              <w:rPr>
                <w:rFonts w:ascii="Times New Roman" w:eastAsia="Times New Roman" w:hAnsi="Times New Roman" w:cs="Times New Roman"/>
                <w:color w:val="000000" w:themeColor="text1"/>
                <w:sz w:val="20"/>
                <w:szCs w:val="20"/>
              </w:rPr>
              <w:sym w:font="Wingdings" w:char="F0E0"/>
            </w:r>
            <w:proofErr w:type="gramStart"/>
            <w:r w:rsidRPr="00A31721">
              <w:rPr>
                <w:rFonts w:ascii="Times New Roman" w:eastAsia="Times New Roman" w:hAnsi="Times New Roman" w:cs="Times New Roman"/>
                <w:color w:val="000000" w:themeColor="text1"/>
                <w:sz w:val="20"/>
                <w:szCs w:val="20"/>
              </w:rPr>
              <w:t>Non-financial</w:t>
            </w:r>
            <w:proofErr w:type="gramEnd"/>
            <w:r w:rsidRPr="00A31721">
              <w:rPr>
                <w:rFonts w:ascii="Times New Roman" w:eastAsia="Times New Roman" w:hAnsi="Times New Roman" w:cs="Times New Roman"/>
                <w:color w:val="000000" w:themeColor="text1"/>
                <w:sz w:val="20"/>
                <w:szCs w:val="20"/>
              </w:rPr>
              <w:t xml:space="preserve"> performance</w:t>
            </w:r>
          </w:p>
        </w:tc>
        <w:tc>
          <w:tcPr>
            <w:tcW w:w="992" w:type="dxa"/>
            <w:tcBorders>
              <w:top w:val="nil"/>
              <w:left w:val="nil"/>
              <w:bottom w:val="nil"/>
              <w:right w:val="nil"/>
            </w:tcBorders>
            <w:vAlign w:val="center"/>
          </w:tcPr>
          <w:p w14:paraId="01F395A1"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0.137</w:t>
            </w:r>
          </w:p>
        </w:tc>
        <w:tc>
          <w:tcPr>
            <w:tcW w:w="850" w:type="dxa"/>
            <w:tcBorders>
              <w:top w:val="nil"/>
              <w:left w:val="nil"/>
              <w:bottom w:val="nil"/>
              <w:right w:val="nil"/>
            </w:tcBorders>
            <w:vAlign w:val="center"/>
          </w:tcPr>
          <w:p w14:paraId="01F395A2"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3.078</w:t>
            </w:r>
          </w:p>
        </w:tc>
        <w:tc>
          <w:tcPr>
            <w:tcW w:w="1118" w:type="dxa"/>
            <w:tcBorders>
              <w:top w:val="nil"/>
              <w:left w:val="nil"/>
              <w:bottom w:val="nil"/>
              <w:right w:val="nil"/>
            </w:tcBorders>
            <w:vAlign w:val="center"/>
          </w:tcPr>
          <w:p w14:paraId="01F395A3"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0.002***</w:t>
            </w:r>
          </w:p>
        </w:tc>
      </w:tr>
      <w:tr w:rsidR="00A31721" w:rsidRPr="00A31721" w14:paraId="01F395A9" w14:textId="77777777" w:rsidTr="00B63570">
        <w:trPr>
          <w:trHeight w:val="340"/>
        </w:trPr>
        <w:tc>
          <w:tcPr>
            <w:tcW w:w="6663" w:type="dxa"/>
            <w:tcBorders>
              <w:top w:val="nil"/>
              <w:left w:val="nil"/>
              <w:bottom w:val="single" w:sz="4" w:space="0" w:color="000000"/>
              <w:right w:val="nil"/>
            </w:tcBorders>
            <w:vAlign w:val="bottom"/>
          </w:tcPr>
          <w:p w14:paraId="01F395A5" w14:textId="455A1AF9"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Technology</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 xml:space="preserve">EMA Tools </w:t>
            </w:r>
            <w:r w:rsidR="00B63570" w:rsidRPr="00A31721">
              <w:rPr>
                <w:rFonts w:ascii="Times New Roman" w:eastAsia="Times New Roman" w:hAnsi="Times New Roman" w:cs="Times New Roman"/>
                <w:color w:val="000000" w:themeColor="text1"/>
                <w:sz w:val="20"/>
                <w:szCs w:val="20"/>
              </w:rPr>
              <w:sym w:font="Wingdings" w:char="F0E0"/>
            </w:r>
            <w:r w:rsidRPr="00A31721">
              <w:rPr>
                <w:rFonts w:ascii="Times New Roman" w:eastAsia="Times New Roman" w:hAnsi="Times New Roman" w:cs="Times New Roman"/>
                <w:color w:val="000000" w:themeColor="text1"/>
                <w:sz w:val="20"/>
                <w:szCs w:val="20"/>
              </w:rPr>
              <w:t>Non-Financial Performance</w:t>
            </w:r>
          </w:p>
        </w:tc>
        <w:tc>
          <w:tcPr>
            <w:tcW w:w="992" w:type="dxa"/>
            <w:tcBorders>
              <w:top w:val="nil"/>
              <w:left w:val="nil"/>
              <w:bottom w:val="single" w:sz="4" w:space="0" w:color="000000"/>
              <w:right w:val="nil"/>
            </w:tcBorders>
            <w:vAlign w:val="center"/>
          </w:tcPr>
          <w:p w14:paraId="01F395A6"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0.114</w:t>
            </w:r>
          </w:p>
        </w:tc>
        <w:tc>
          <w:tcPr>
            <w:tcW w:w="850" w:type="dxa"/>
            <w:tcBorders>
              <w:top w:val="nil"/>
              <w:left w:val="nil"/>
              <w:bottom w:val="single" w:sz="4" w:space="0" w:color="000000"/>
              <w:right w:val="nil"/>
            </w:tcBorders>
            <w:vAlign w:val="center"/>
          </w:tcPr>
          <w:p w14:paraId="01F395A7"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2.337</w:t>
            </w:r>
          </w:p>
        </w:tc>
        <w:tc>
          <w:tcPr>
            <w:tcW w:w="1118" w:type="dxa"/>
            <w:tcBorders>
              <w:top w:val="nil"/>
              <w:left w:val="nil"/>
              <w:bottom w:val="single" w:sz="4" w:space="0" w:color="000000"/>
              <w:right w:val="nil"/>
            </w:tcBorders>
            <w:vAlign w:val="center"/>
          </w:tcPr>
          <w:p w14:paraId="01F395A8" w14:textId="77777777" w:rsidR="006749A4" w:rsidRPr="00A31721" w:rsidRDefault="0007550D" w:rsidP="00B4686C">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0.019**</w:t>
            </w:r>
          </w:p>
        </w:tc>
      </w:tr>
    </w:tbl>
    <w:p w14:paraId="01F395AA" w14:textId="77777777" w:rsidR="006749A4" w:rsidRPr="00A31721" w:rsidRDefault="0007550D" w:rsidP="00B4686C">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A31721">
        <w:rPr>
          <w:rFonts w:ascii="Times New Roman" w:eastAsia="Times New Roman" w:hAnsi="Times New Roman" w:cs="Times New Roman"/>
          <w:color w:val="000000" w:themeColor="text1"/>
          <w:sz w:val="20"/>
          <w:szCs w:val="20"/>
        </w:rPr>
        <w:t>Note: *** indicates 1% significance; ** indicates 5% significance; * indicates 10% significance.</w:t>
      </w:r>
    </w:p>
    <w:p w14:paraId="01F395AB" w14:textId="77777777" w:rsidR="006749A4" w:rsidRPr="00A31721" w:rsidRDefault="006749A4" w:rsidP="00B4686C">
      <w:pPr>
        <w:shd w:val="clear" w:color="auto" w:fill="FFFFFF"/>
        <w:spacing w:line="240" w:lineRule="auto"/>
        <w:ind w:left="720" w:hanging="720"/>
        <w:rPr>
          <w:rFonts w:ascii="Times New Roman" w:eastAsia="Times New Roman" w:hAnsi="Times New Roman" w:cs="Times New Roman"/>
          <w:color w:val="000000" w:themeColor="text1"/>
          <w:highlight w:val="white"/>
        </w:rPr>
      </w:pPr>
    </w:p>
    <w:sectPr w:rsidR="006749A4" w:rsidRPr="00A31721">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349F" w14:textId="77777777" w:rsidR="008D1E86" w:rsidRDefault="008D1E86">
      <w:pPr>
        <w:spacing w:after="0" w:line="240" w:lineRule="auto"/>
      </w:pPr>
      <w:r>
        <w:separator/>
      </w:r>
    </w:p>
  </w:endnote>
  <w:endnote w:type="continuationSeparator" w:id="0">
    <w:p w14:paraId="608F22A7" w14:textId="77777777" w:rsidR="008D1E86" w:rsidRDefault="008D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B0" w14:textId="77777777" w:rsidR="00417B20" w:rsidRDefault="00417B2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B1" w14:textId="77777777" w:rsidR="00417B20" w:rsidRDefault="00417B2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B3" w14:textId="77777777" w:rsidR="00417B20" w:rsidRDefault="00417B2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05E2" w14:textId="77777777" w:rsidR="008D1E86" w:rsidRDefault="008D1E86">
      <w:pPr>
        <w:spacing w:after="0" w:line="240" w:lineRule="auto"/>
      </w:pPr>
      <w:r>
        <w:separator/>
      </w:r>
    </w:p>
  </w:footnote>
  <w:footnote w:type="continuationSeparator" w:id="0">
    <w:p w14:paraId="385C7E98" w14:textId="77777777" w:rsidR="008D1E86" w:rsidRDefault="008D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AE" w14:textId="77777777" w:rsidR="00417B20" w:rsidRDefault="00417B2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AF" w14:textId="77777777" w:rsidR="00417B20" w:rsidRDefault="00417B2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B2" w14:textId="77777777" w:rsidR="00417B20" w:rsidRDefault="00417B20">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yMza3MDczN7Y0NTdQ0lEKTi0uzszPAykwMq4FAM3zFwMtAAAA"/>
  </w:docVars>
  <w:rsids>
    <w:rsidRoot w:val="006749A4"/>
    <w:rsid w:val="000020B9"/>
    <w:rsid w:val="000045EF"/>
    <w:rsid w:val="000079D2"/>
    <w:rsid w:val="00007B23"/>
    <w:rsid w:val="00010096"/>
    <w:rsid w:val="00010C99"/>
    <w:rsid w:val="00012164"/>
    <w:rsid w:val="000133CD"/>
    <w:rsid w:val="000144E1"/>
    <w:rsid w:val="00014544"/>
    <w:rsid w:val="00016F9C"/>
    <w:rsid w:val="00017A31"/>
    <w:rsid w:val="000209D1"/>
    <w:rsid w:val="00021227"/>
    <w:rsid w:val="00021B50"/>
    <w:rsid w:val="0002270F"/>
    <w:rsid w:val="00022D18"/>
    <w:rsid w:val="00026359"/>
    <w:rsid w:val="00026B1C"/>
    <w:rsid w:val="000332D7"/>
    <w:rsid w:val="00037BBE"/>
    <w:rsid w:val="0004161F"/>
    <w:rsid w:val="00042DE9"/>
    <w:rsid w:val="00043872"/>
    <w:rsid w:val="00044592"/>
    <w:rsid w:val="000529D2"/>
    <w:rsid w:val="00052B0F"/>
    <w:rsid w:val="00052E81"/>
    <w:rsid w:val="000537D1"/>
    <w:rsid w:val="00055519"/>
    <w:rsid w:val="0005555F"/>
    <w:rsid w:val="0005668F"/>
    <w:rsid w:val="00057244"/>
    <w:rsid w:val="00057414"/>
    <w:rsid w:val="00060A14"/>
    <w:rsid w:val="00060DEF"/>
    <w:rsid w:val="00062514"/>
    <w:rsid w:val="00062D40"/>
    <w:rsid w:val="000632D7"/>
    <w:rsid w:val="000650E9"/>
    <w:rsid w:val="00065BA8"/>
    <w:rsid w:val="00066183"/>
    <w:rsid w:val="000666EF"/>
    <w:rsid w:val="0007036A"/>
    <w:rsid w:val="000703E7"/>
    <w:rsid w:val="00071BD4"/>
    <w:rsid w:val="000727B2"/>
    <w:rsid w:val="00072FB5"/>
    <w:rsid w:val="00074A60"/>
    <w:rsid w:val="0007550D"/>
    <w:rsid w:val="000759F6"/>
    <w:rsid w:val="000763D9"/>
    <w:rsid w:val="00080178"/>
    <w:rsid w:val="00080BFF"/>
    <w:rsid w:val="00080C47"/>
    <w:rsid w:val="00080CC4"/>
    <w:rsid w:val="00083003"/>
    <w:rsid w:val="00083BF2"/>
    <w:rsid w:val="00083ECB"/>
    <w:rsid w:val="000864AD"/>
    <w:rsid w:val="00086CD0"/>
    <w:rsid w:val="00090354"/>
    <w:rsid w:val="0009151E"/>
    <w:rsid w:val="00094CE9"/>
    <w:rsid w:val="00094E43"/>
    <w:rsid w:val="000A082E"/>
    <w:rsid w:val="000A1B16"/>
    <w:rsid w:val="000A373F"/>
    <w:rsid w:val="000A490F"/>
    <w:rsid w:val="000A4E97"/>
    <w:rsid w:val="000A5819"/>
    <w:rsid w:val="000B38F0"/>
    <w:rsid w:val="000B7462"/>
    <w:rsid w:val="000B7ED4"/>
    <w:rsid w:val="000C0472"/>
    <w:rsid w:val="000C0AB7"/>
    <w:rsid w:val="000C233B"/>
    <w:rsid w:val="000C29FD"/>
    <w:rsid w:val="000C332A"/>
    <w:rsid w:val="000C37F2"/>
    <w:rsid w:val="000C43E1"/>
    <w:rsid w:val="000C550B"/>
    <w:rsid w:val="000C5C94"/>
    <w:rsid w:val="000D1382"/>
    <w:rsid w:val="000D1F28"/>
    <w:rsid w:val="000D2132"/>
    <w:rsid w:val="000D3058"/>
    <w:rsid w:val="000D4E22"/>
    <w:rsid w:val="000D7608"/>
    <w:rsid w:val="000D7D5D"/>
    <w:rsid w:val="000E0161"/>
    <w:rsid w:val="000E03E2"/>
    <w:rsid w:val="000E4257"/>
    <w:rsid w:val="000E6F21"/>
    <w:rsid w:val="000E70CA"/>
    <w:rsid w:val="000E746C"/>
    <w:rsid w:val="000F057C"/>
    <w:rsid w:val="000F0737"/>
    <w:rsid w:val="000F1904"/>
    <w:rsid w:val="000F1F24"/>
    <w:rsid w:val="000F2C57"/>
    <w:rsid w:val="000F481E"/>
    <w:rsid w:val="000F4E03"/>
    <w:rsid w:val="000F50BD"/>
    <w:rsid w:val="000F7F10"/>
    <w:rsid w:val="001011A1"/>
    <w:rsid w:val="00101999"/>
    <w:rsid w:val="00101C84"/>
    <w:rsid w:val="00103119"/>
    <w:rsid w:val="00103A98"/>
    <w:rsid w:val="0010487F"/>
    <w:rsid w:val="00104BC6"/>
    <w:rsid w:val="00105950"/>
    <w:rsid w:val="00105D25"/>
    <w:rsid w:val="001073D3"/>
    <w:rsid w:val="00107DB3"/>
    <w:rsid w:val="00110472"/>
    <w:rsid w:val="001105DD"/>
    <w:rsid w:val="00112448"/>
    <w:rsid w:val="0011247B"/>
    <w:rsid w:val="00112BDB"/>
    <w:rsid w:val="001153F6"/>
    <w:rsid w:val="00120B3A"/>
    <w:rsid w:val="00120BCF"/>
    <w:rsid w:val="00121C15"/>
    <w:rsid w:val="0012214C"/>
    <w:rsid w:val="00122E55"/>
    <w:rsid w:val="001232E3"/>
    <w:rsid w:val="001237F4"/>
    <w:rsid w:val="001242C8"/>
    <w:rsid w:val="00126AB6"/>
    <w:rsid w:val="00131E70"/>
    <w:rsid w:val="001321FE"/>
    <w:rsid w:val="0013231C"/>
    <w:rsid w:val="0013339C"/>
    <w:rsid w:val="001345D7"/>
    <w:rsid w:val="001358E9"/>
    <w:rsid w:val="00135978"/>
    <w:rsid w:val="00136ABB"/>
    <w:rsid w:val="00142A11"/>
    <w:rsid w:val="00145431"/>
    <w:rsid w:val="00147D6B"/>
    <w:rsid w:val="00155074"/>
    <w:rsid w:val="0015752C"/>
    <w:rsid w:val="001611C2"/>
    <w:rsid w:val="00163512"/>
    <w:rsid w:val="00164A1A"/>
    <w:rsid w:val="0016509F"/>
    <w:rsid w:val="0016564F"/>
    <w:rsid w:val="00166B13"/>
    <w:rsid w:val="001678CD"/>
    <w:rsid w:val="001717D8"/>
    <w:rsid w:val="00172E6D"/>
    <w:rsid w:val="0017440C"/>
    <w:rsid w:val="00175904"/>
    <w:rsid w:val="00175BC7"/>
    <w:rsid w:val="00176277"/>
    <w:rsid w:val="00182043"/>
    <w:rsid w:val="001822D1"/>
    <w:rsid w:val="00182B59"/>
    <w:rsid w:val="00183A8E"/>
    <w:rsid w:val="00184001"/>
    <w:rsid w:val="00184904"/>
    <w:rsid w:val="00184D08"/>
    <w:rsid w:val="0018626F"/>
    <w:rsid w:val="00190D4C"/>
    <w:rsid w:val="0019212C"/>
    <w:rsid w:val="00192207"/>
    <w:rsid w:val="00192FCF"/>
    <w:rsid w:val="00193671"/>
    <w:rsid w:val="00194444"/>
    <w:rsid w:val="00194AD6"/>
    <w:rsid w:val="0019507D"/>
    <w:rsid w:val="001964FE"/>
    <w:rsid w:val="001A22F6"/>
    <w:rsid w:val="001A3391"/>
    <w:rsid w:val="001A4D4D"/>
    <w:rsid w:val="001A6630"/>
    <w:rsid w:val="001B0D78"/>
    <w:rsid w:val="001B224F"/>
    <w:rsid w:val="001B2528"/>
    <w:rsid w:val="001B374A"/>
    <w:rsid w:val="001B4128"/>
    <w:rsid w:val="001B4C7E"/>
    <w:rsid w:val="001C247D"/>
    <w:rsid w:val="001C4337"/>
    <w:rsid w:val="001C7905"/>
    <w:rsid w:val="001D03C9"/>
    <w:rsid w:val="001D0B68"/>
    <w:rsid w:val="001D13AE"/>
    <w:rsid w:val="001D36A4"/>
    <w:rsid w:val="001D3C0C"/>
    <w:rsid w:val="001D54E9"/>
    <w:rsid w:val="001E0FA2"/>
    <w:rsid w:val="001E1BF2"/>
    <w:rsid w:val="001E2F7A"/>
    <w:rsid w:val="001E5444"/>
    <w:rsid w:val="001E56D8"/>
    <w:rsid w:val="001E6FBE"/>
    <w:rsid w:val="001F0046"/>
    <w:rsid w:val="001F6726"/>
    <w:rsid w:val="001F674F"/>
    <w:rsid w:val="001F7626"/>
    <w:rsid w:val="00203FC3"/>
    <w:rsid w:val="0020648B"/>
    <w:rsid w:val="0020789E"/>
    <w:rsid w:val="00207EE7"/>
    <w:rsid w:val="00211CD2"/>
    <w:rsid w:val="0021331F"/>
    <w:rsid w:val="00215198"/>
    <w:rsid w:val="0021539F"/>
    <w:rsid w:val="002154DF"/>
    <w:rsid w:val="00215D93"/>
    <w:rsid w:val="00216C64"/>
    <w:rsid w:val="0021721F"/>
    <w:rsid w:val="002173CF"/>
    <w:rsid w:val="002207CC"/>
    <w:rsid w:val="0022333C"/>
    <w:rsid w:val="00223832"/>
    <w:rsid w:val="00223F59"/>
    <w:rsid w:val="002259D1"/>
    <w:rsid w:val="0023224A"/>
    <w:rsid w:val="00232B8F"/>
    <w:rsid w:val="00232C70"/>
    <w:rsid w:val="00233C15"/>
    <w:rsid w:val="002340AD"/>
    <w:rsid w:val="00236530"/>
    <w:rsid w:val="00243C40"/>
    <w:rsid w:val="00245742"/>
    <w:rsid w:val="00254501"/>
    <w:rsid w:val="0025673D"/>
    <w:rsid w:val="00260DA1"/>
    <w:rsid w:val="00263B51"/>
    <w:rsid w:val="00264041"/>
    <w:rsid w:val="002665C5"/>
    <w:rsid w:val="00270481"/>
    <w:rsid w:val="0027153A"/>
    <w:rsid w:val="002729BB"/>
    <w:rsid w:val="002729D3"/>
    <w:rsid w:val="00273553"/>
    <w:rsid w:val="00273828"/>
    <w:rsid w:val="002741DC"/>
    <w:rsid w:val="00274A94"/>
    <w:rsid w:val="002752C7"/>
    <w:rsid w:val="0027641B"/>
    <w:rsid w:val="00276A11"/>
    <w:rsid w:val="00276FEC"/>
    <w:rsid w:val="0027744C"/>
    <w:rsid w:val="002812AB"/>
    <w:rsid w:val="00281F34"/>
    <w:rsid w:val="00281FF6"/>
    <w:rsid w:val="00282CFB"/>
    <w:rsid w:val="00283A31"/>
    <w:rsid w:val="002844FD"/>
    <w:rsid w:val="002878EC"/>
    <w:rsid w:val="00287F90"/>
    <w:rsid w:val="00292B7B"/>
    <w:rsid w:val="0029399C"/>
    <w:rsid w:val="00294BC8"/>
    <w:rsid w:val="00296556"/>
    <w:rsid w:val="002A2654"/>
    <w:rsid w:val="002A26EF"/>
    <w:rsid w:val="002A4080"/>
    <w:rsid w:val="002A44E7"/>
    <w:rsid w:val="002A4C29"/>
    <w:rsid w:val="002A518B"/>
    <w:rsid w:val="002A51CE"/>
    <w:rsid w:val="002A5E1F"/>
    <w:rsid w:val="002A6415"/>
    <w:rsid w:val="002A7599"/>
    <w:rsid w:val="002A7EBA"/>
    <w:rsid w:val="002B5D50"/>
    <w:rsid w:val="002B6ECF"/>
    <w:rsid w:val="002B7FCE"/>
    <w:rsid w:val="002C09B8"/>
    <w:rsid w:val="002C1ED1"/>
    <w:rsid w:val="002C219F"/>
    <w:rsid w:val="002C23FC"/>
    <w:rsid w:val="002C3E78"/>
    <w:rsid w:val="002C5BE4"/>
    <w:rsid w:val="002C63D3"/>
    <w:rsid w:val="002C70C4"/>
    <w:rsid w:val="002C71B3"/>
    <w:rsid w:val="002D18A0"/>
    <w:rsid w:val="002D2CBD"/>
    <w:rsid w:val="002D4227"/>
    <w:rsid w:val="002D79D7"/>
    <w:rsid w:val="002E21BD"/>
    <w:rsid w:val="002E22A6"/>
    <w:rsid w:val="002E33B3"/>
    <w:rsid w:val="002E34B2"/>
    <w:rsid w:val="002E36B7"/>
    <w:rsid w:val="002E37F3"/>
    <w:rsid w:val="002E6CFC"/>
    <w:rsid w:val="002F0B39"/>
    <w:rsid w:val="002F7A37"/>
    <w:rsid w:val="002F7C49"/>
    <w:rsid w:val="00302293"/>
    <w:rsid w:val="003040FF"/>
    <w:rsid w:val="0030463E"/>
    <w:rsid w:val="003046ED"/>
    <w:rsid w:val="00304A0F"/>
    <w:rsid w:val="00305700"/>
    <w:rsid w:val="003062F5"/>
    <w:rsid w:val="00310374"/>
    <w:rsid w:val="0031435A"/>
    <w:rsid w:val="00315562"/>
    <w:rsid w:val="003164BF"/>
    <w:rsid w:val="00317C0A"/>
    <w:rsid w:val="003222AD"/>
    <w:rsid w:val="003232F7"/>
    <w:rsid w:val="00323892"/>
    <w:rsid w:val="00326E75"/>
    <w:rsid w:val="0032736A"/>
    <w:rsid w:val="0033296B"/>
    <w:rsid w:val="0033496A"/>
    <w:rsid w:val="00336068"/>
    <w:rsid w:val="00336C33"/>
    <w:rsid w:val="00337BAD"/>
    <w:rsid w:val="00337F6B"/>
    <w:rsid w:val="003402CA"/>
    <w:rsid w:val="00341334"/>
    <w:rsid w:val="003415A8"/>
    <w:rsid w:val="00341709"/>
    <w:rsid w:val="00344021"/>
    <w:rsid w:val="00344D46"/>
    <w:rsid w:val="003452AC"/>
    <w:rsid w:val="00354131"/>
    <w:rsid w:val="003564A8"/>
    <w:rsid w:val="00357C60"/>
    <w:rsid w:val="00361EEA"/>
    <w:rsid w:val="00365270"/>
    <w:rsid w:val="0036616A"/>
    <w:rsid w:val="00371506"/>
    <w:rsid w:val="00371EE4"/>
    <w:rsid w:val="0037249B"/>
    <w:rsid w:val="00373012"/>
    <w:rsid w:val="0037321C"/>
    <w:rsid w:val="0037334F"/>
    <w:rsid w:val="003763A1"/>
    <w:rsid w:val="00376B9C"/>
    <w:rsid w:val="00376F47"/>
    <w:rsid w:val="00377909"/>
    <w:rsid w:val="00377B07"/>
    <w:rsid w:val="00383E01"/>
    <w:rsid w:val="00384F8C"/>
    <w:rsid w:val="00385BF9"/>
    <w:rsid w:val="0038790A"/>
    <w:rsid w:val="00390FF2"/>
    <w:rsid w:val="00391DD1"/>
    <w:rsid w:val="00392D82"/>
    <w:rsid w:val="00393C99"/>
    <w:rsid w:val="00393E0E"/>
    <w:rsid w:val="00395C46"/>
    <w:rsid w:val="003A056D"/>
    <w:rsid w:val="003A17CB"/>
    <w:rsid w:val="003A1C4F"/>
    <w:rsid w:val="003A289B"/>
    <w:rsid w:val="003A3F48"/>
    <w:rsid w:val="003B0E1C"/>
    <w:rsid w:val="003B18E2"/>
    <w:rsid w:val="003B1B1B"/>
    <w:rsid w:val="003B230C"/>
    <w:rsid w:val="003B295F"/>
    <w:rsid w:val="003B49B6"/>
    <w:rsid w:val="003B49CE"/>
    <w:rsid w:val="003B5095"/>
    <w:rsid w:val="003C088C"/>
    <w:rsid w:val="003C0D29"/>
    <w:rsid w:val="003C14C0"/>
    <w:rsid w:val="003C1C91"/>
    <w:rsid w:val="003C2C1A"/>
    <w:rsid w:val="003C323E"/>
    <w:rsid w:val="003C3438"/>
    <w:rsid w:val="003C4CBB"/>
    <w:rsid w:val="003C638D"/>
    <w:rsid w:val="003C7B8C"/>
    <w:rsid w:val="003D2BE3"/>
    <w:rsid w:val="003D6088"/>
    <w:rsid w:val="003D7B81"/>
    <w:rsid w:val="003E0589"/>
    <w:rsid w:val="003E0EB6"/>
    <w:rsid w:val="003E3C37"/>
    <w:rsid w:val="003E3EF5"/>
    <w:rsid w:val="003E44BA"/>
    <w:rsid w:val="003E46A5"/>
    <w:rsid w:val="003E4BB4"/>
    <w:rsid w:val="003E761A"/>
    <w:rsid w:val="003F0D39"/>
    <w:rsid w:val="003F19E6"/>
    <w:rsid w:val="003F45FD"/>
    <w:rsid w:val="003F4F59"/>
    <w:rsid w:val="003F5896"/>
    <w:rsid w:val="00400D02"/>
    <w:rsid w:val="004019A3"/>
    <w:rsid w:val="00402569"/>
    <w:rsid w:val="00402CEA"/>
    <w:rsid w:val="00404060"/>
    <w:rsid w:val="0040426B"/>
    <w:rsid w:val="00405018"/>
    <w:rsid w:val="00405DA0"/>
    <w:rsid w:val="004120F7"/>
    <w:rsid w:val="00413BE5"/>
    <w:rsid w:val="004157D7"/>
    <w:rsid w:val="00416451"/>
    <w:rsid w:val="004170C1"/>
    <w:rsid w:val="00417B20"/>
    <w:rsid w:val="00421F28"/>
    <w:rsid w:val="0042322B"/>
    <w:rsid w:val="00423F66"/>
    <w:rsid w:val="00424CB2"/>
    <w:rsid w:val="004256E5"/>
    <w:rsid w:val="00427D29"/>
    <w:rsid w:val="00430D47"/>
    <w:rsid w:val="00431DBB"/>
    <w:rsid w:val="00432043"/>
    <w:rsid w:val="00432DAE"/>
    <w:rsid w:val="004333D6"/>
    <w:rsid w:val="004349DA"/>
    <w:rsid w:val="00435DA5"/>
    <w:rsid w:val="00437A77"/>
    <w:rsid w:val="004425FC"/>
    <w:rsid w:val="00445585"/>
    <w:rsid w:val="004467A7"/>
    <w:rsid w:val="00446CC9"/>
    <w:rsid w:val="00451741"/>
    <w:rsid w:val="00453FEE"/>
    <w:rsid w:val="004545EC"/>
    <w:rsid w:val="004552FF"/>
    <w:rsid w:val="00455927"/>
    <w:rsid w:val="00457C0B"/>
    <w:rsid w:val="00457CD2"/>
    <w:rsid w:val="004608D8"/>
    <w:rsid w:val="00460AFB"/>
    <w:rsid w:val="00460D63"/>
    <w:rsid w:val="00461049"/>
    <w:rsid w:val="004612D2"/>
    <w:rsid w:val="004616A0"/>
    <w:rsid w:val="0046494F"/>
    <w:rsid w:val="004658E9"/>
    <w:rsid w:val="00466DEA"/>
    <w:rsid w:val="00472A4B"/>
    <w:rsid w:val="00472A74"/>
    <w:rsid w:val="004730A6"/>
    <w:rsid w:val="00474771"/>
    <w:rsid w:val="004747A7"/>
    <w:rsid w:val="004750B5"/>
    <w:rsid w:val="004760A1"/>
    <w:rsid w:val="00476C6A"/>
    <w:rsid w:val="0048027E"/>
    <w:rsid w:val="004805D7"/>
    <w:rsid w:val="00481B7A"/>
    <w:rsid w:val="00484495"/>
    <w:rsid w:val="004865B3"/>
    <w:rsid w:val="0048704A"/>
    <w:rsid w:val="0049033D"/>
    <w:rsid w:val="00491F5F"/>
    <w:rsid w:val="00492CB6"/>
    <w:rsid w:val="00493536"/>
    <w:rsid w:val="00494074"/>
    <w:rsid w:val="00494725"/>
    <w:rsid w:val="00494920"/>
    <w:rsid w:val="0049508A"/>
    <w:rsid w:val="004951FF"/>
    <w:rsid w:val="00495613"/>
    <w:rsid w:val="004973CA"/>
    <w:rsid w:val="00497FC8"/>
    <w:rsid w:val="004A23A6"/>
    <w:rsid w:val="004A4D59"/>
    <w:rsid w:val="004A4EC2"/>
    <w:rsid w:val="004A50B1"/>
    <w:rsid w:val="004A7478"/>
    <w:rsid w:val="004B144A"/>
    <w:rsid w:val="004B25F1"/>
    <w:rsid w:val="004B588C"/>
    <w:rsid w:val="004C0E00"/>
    <w:rsid w:val="004C1182"/>
    <w:rsid w:val="004C1449"/>
    <w:rsid w:val="004C3A4A"/>
    <w:rsid w:val="004C4894"/>
    <w:rsid w:val="004C4CCA"/>
    <w:rsid w:val="004C714B"/>
    <w:rsid w:val="004C71FB"/>
    <w:rsid w:val="004C7344"/>
    <w:rsid w:val="004D081C"/>
    <w:rsid w:val="004D093B"/>
    <w:rsid w:val="004D21A8"/>
    <w:rsid w:val="004D6213"/>
    <w:rsid w:val="004D6309"/>
    <w:rsid w:val="004D7D35"/>
    <w:rsid w:val="004D7EF3"/>
    <w:rsid w:val="004E0694"/>
    <w:rsid w:val="004E0B5D"/>
    <w:rsid w:val="004E0FF9"/>
    <w:rsid w:val="004E2033"/>
    <w:rsid w:val="004E2147"/>
    <w:rsid w:val="004E585E"/>
    <w:rsid w:val="004E71B0"/>
    <w:rsid w:val="004F7952"/>
    <w:rsid w:val="005000E6"/>
    <w:rsid w:val="005008A2"/>
    <w:rsid w:val="00501149"/>
    <w:rsid w:val="0050179A"/>
    <w:rsid w:val="00504816"/>
    <w:rsid w:val="00504BB3"/>
    <w:rsid w:val="00506ECF"/>
    <w:rsid w:val="005072C8"/>
    <w:rsid w:val="005111AB"/>
    <w:rsid w:val="005127B4"/>
    <w:rsid w:val="00513209"/>
    <w:rsid w:val="005136F3"/>
    <w:rsid w:val="00513927"/>
    <w:rsid w:val="00520B25"/>
    <w:rsid w:val="005263B1"/>
    <w:rsid w:val="005269D9"/>
    <w:rsid w:val="00527243"/>
    <w:rsid w:val="00527D4D"/>
    <w:rsid w:val="00530565"/>
    <w:rsid w:val="005324B0"/>
    <w:rsid w:val="00533334"/>
    <w:rsid w:val="0053384B"/>
    <w:rsid w:val="00534A21"/>
    <w:rsid w:val="00535CB1"/>
    <w:rsid w:val="00535EDF"/>
    <w:rsid w:val="0053641A"/>
    <w:rsid w:val="0053660A"/>
    <w:rsid w:val="0053728F"/>
    <w:rsid w:val="0054124C"/>
    <w:rsid w:val="0054173B"/>
    <w:rsid w:val="00542D7B"/>
    <w:rsid w:val="005439BB"/>
    <w:rsid w:val="00543EBA"/>
    <w:rsid w:val="00545433"/>
    <w:rsid w:val="005456AC"/>
    <w:rsid w:val="00545AB2"/>
    <w:rsid w:val="00546FCB"/>
    <w:rsid w:val="00550987"/>
    <w:rsid w:val="00552082"/>
    <w:rsid w:val="0055342D"/>
    <w:rsid w:val="00554F86"/>
    <w:rsid w:val="00556001"/>
    <w:rsid w:val="005571E9"/>
    <w:rsid w:val="00560572"/>
    <w:rsid w:val="00561301"/>
    <w:rsid w:val="0056184F"/>
    <w:rsid w:val="00561874"/>
    <w:rsid w:val="0056456F"/>
    <w:rsid w:val="00564A10"/>
    <w:rsid w:val="0056538F"/>
    <w:rsid w:val="00566039"/>
    <w:rsid w:val="00567BE0"/>
    <w:rsid w:val="00570256"/>
    <w:rsid w:val="00571844"/>
    <w:rsid w:val="005728D2"/>
    <w:rsid w:val="005729E1"/>
    <w:rsid w:val="00574E70"/>
    <w:rsid w:val="0057506C"/>
    <w:rsid w:val="005750DB"/>
    <w:rsid w:val="005767B4"/>
    <w:rsid w:val="005775BA"/>
    <w:rsid w:val="005807F2"/>
    <w:rsid w:val="00580DAD"/>
    <w:rsid w:val="00582604"/>
    <w:rsid w:val="005837DC"/>
    <w:rsid w:val="00587EA8"/>
    <w:rsid w:val="005903B7"/>
    <w:rsid w:val="0059042E"/>
    <w:rsid w:val="00591036"/>
    <w:rsid w:val="005916D1"/>
    <w:rsid w:val="00594A2D"/>
    <w:rsid w:val="0059629D"/>
    <w:rsid w:val="005A0019"/>
    <w:rsid w:val="005A1DFC"/>
    <w:rsid w:val="005A20B9"/>
    <w:rsid w:val="005A3026"/>
    <w:rsid w:val="005A3F49"/>
    <w:rsid w:val="005A4364"/>
    <w:rsid w:val="005A44C9"/>
    <w:rsid w:val="005A5039"/>
    <w:rsid w:val="005A5B6E"/>
    <w:rsid w:val="005A7FBD"/>
    <w:rsid w:val="005B0C5B"/>
    <w:rsid w:val="005B1608"/>
    <w:rsid w:val="005B2E1A"/>
    <w:rsid w:val="005B326B"/>
    <w:rsid w:val="005B32D0"/>
    <w:rsid w:val="005B6166"/>
    <w:rsid w:val="005B6588"/>
    <w:rsid w:val="005C1F77"/>
    <w:rsid w:val="005C2809"/>
    <w:rsid w:val="005C3B5F"/>
    <w:rsid w:val="005C5701"/>
    <w:rsid w:val="005C7B2B"/>
    <w:rsid w:val="005D08BE"/>
    <w:rsid w:val="005D1511"/>
    <w:rsid w:val="005D28FC"/>
    <w:rsid w:val="005D3016"/>
    <w:rsid w:val="005D3E2B"/>
    <w:rsid w:val="005D426B"/>
    <w:rsid w:val="005D6C24"/>
    <w:rsid w:val="005E1D5E"/>
    <w:rsid w:val="005E23C7"/>
    <w:rsid w:val="005E5C2A"/>
    <w:rsid w:val="005E7334"/>
    <w:rsid w:val="005E7556"/>
    <w:rsid w:val="005E77F2"/>
    <w:rsid w:val="005E7CAF"/>
    <w:rsid w:val="005E7EB0"/>
    <w:rsid w:val="005F04FC"/>
    <w:rsid w:val="005F0BEA"/>
    <w:rsid w:val="005F3B3C"/>
    <w:rsid w:val="005F5A54"/>
    <w:rsid w:val="005F7630"/>
    <w:rsid w:val="006008F6"/>
    <w:rsid w:val="006014AF"/>
    <w:rsid w:val="0060171D"/>
    <w:rsid w:val="00601D5B"/>
    <w:rsid w:val="006024B6"/>
    <w:rsid w:val="0060357A"/>
    <w:rsid w:val="00605C20"/>
    <w:rsid w:val="00606D8D"/>
    <w:rsid w:val="00611B61"/>
    <w:rsid w:val="00613495"/>
    <w:rsid w:val="006169F3"/>
    <w:rsid w:val="00621353"/>
    <w:rsid w:val="00621EF6"/>
    <w:rsid w:val="00624449"/>
    <w:rsid w:val="00624871"/>
    <w:rsid w:val="00624A52"/>
    <w:rsid w:val="00627751"/>
    <w:rsid w:val="006313D7"/>
    <w:rsid w:val="00631B9B"/>
    <w:rsid w:val="00631F2F"/>
    <w:rsid w:val="006338E4"/>
    <w:rsid w:val="00635B8E"/>
    <w:rsid w:val="006400BD"/>
    <w:rsid w:val="00642143"/>
    <w:rsid w:val="006454B3"/>
    <w:rsid w:val="0064559F"/>
    <w:rsid w:val="006520F6"/>
    <w:rsid w:val="00656F4A"/>
    <w:rsid w:val="00657504"/>
    <w:rsid w:val="00660FCA"/>
    <w:rsid w:val="006618A3"/>
    <w:rsid w:val="0066338F"/>
    <w:rsid w:val="00663F7D"/>
    <w:rsid w:val="00664429"/>
    <w:rsid w:val="00665DA3"/>
    <w:rsid w:val="00666BF4"/>
    <w:rsid w:val="0067019B"/>
    <w:rsid w:val="006705E8"/>
    <w:rsid w:val="006707AF"/>
    <w:rsid w:val="006712F7"/>
    <w:rsid w:val="00671E31"/>
    <w:rsid w:val="00672094"/>
    <w:rsid w:val="006749A4"/>
    <w:rsid w:val="006761AC"/>
    <w:rsid w:val="006808D5"/>
    <w:rsid w:val="00680D71"/>
    <w:rsid w:val="00681E12"/>
    <w:rsid w:val="00683F7F"/>
    <w:rsid w:val="00684A7F"/>
    <w:rsid w:val="006917E2"/>
    <w:rsid w:val="0069298F"/>
    <w:rsid w:val="00692AD3"/>
    <w:rsid w:val="0069566B"/>
    <w:rsid w:val="006A1C7F"/>
    <w:rsid w:val="006A1D1F"/>
    <w:rsid w:val="006A4212"/>
    <w:rsid w:val="006A5105"/>
    <w:rsid w:val="006A791F"/>
    <w:rsid w:val="006B03B6"/>
    <w:rsid w:val="006B0B99"/>
    <w:rsid w:val="006B28F2"/>
    <w:rsid w:val="006B3039"/>
    <w:rsid w:val="006B3441"/>
    <w:rsid w:val="006B38CE"/>
    <w:rsid w:val="006B3E6B"/>
    <w:rsid w:val="006B4B70"/>
    <w:rsid w:val="006B6081"/>
    <w:rsid w:val="006B7D16"/>
    <w:rsid w:val="006C0C52"/>
    <w:rsid w:val="006C0FA7"/>
    <w:rsid w:val="006C34D7"/>
    <w:rsid w:val="006C7248"/>
    <w:rsid w:val="006C7A44"/>
    <w:rsid w:val="006D0728"/>
    <w:rsid w:val="006D0D03"/>
    <w:rsid w:val="006D3FAA"/>
    <w:rsid w:val="006D4E29"/>
    <w:rsid w:val="006D4E8B"/>
    <w:rsid w:val="006D7536"/>
    <w:rsid w:val="006D7D3D"/>
    <w:rsid w:val="006E16A9"/>
    <w:rsid w:val="006E1D90"/>
    <w:rsid w:val="006E274D"/>
    <w:rsid w:val="006E7C7B"/>
    <w:rsid w:val="006E7EB5"/>
    <w:rsid w:val="006F277B"/>
    <w:rsid w:val="006F31A3"/>
    <w:rsid w:val="006F5459"/>
    <w:rsid w:val="006F54F1"/>
    <w:rsid w:val="006F63C5"/>
    <w:rsid w:val="006F755E"/>
    <w:rsid w:val="00706D65"/>
    <w:rsid w:val="00707815"/>
    <w:rsid w:val="007126E5"/>
    <w:rsid w:val="0071275B"/>
    <w:rsid w:val="00712E85"/>
    <w:rsid w:val="0071415D"/>
    <w:rsid w:val="00715209"/>
    <w:rsid w:val="00715941"/>
    <w:rsid w:val="00717F32"/>
    <w:rsid w:val="007219F3"/>
    <w:rsid w:val="007245B9"/>
    <w:rsid w:val="0072636F"/>
    <w:rsid w:val="00726AAA"/>
    <w:rsid w:val="00730F2C"/>
    <w:rsid w:val="00731F9A"/>
    <w:rsid w:val="007321E2"/>
    <w:rsid w:val="007325D1"/>
    <w:rsid w:val="0073374B"/>
    <w:rsid w:val="007351FA"/>
    <w:rsid w:val="00737D13"/>
    <w:rsid w:val="00742127"/>
    <w:rsid w:val="00742864"/>
    <w:rsid w:val="007430B7"/>
    <w:rsid w:val="00745B88"/>
    <w:rsid w:val="00747490"/>
    <w:rsid w:val="0075225D"/>
    <w:rsid w:val="00752BCC"/>
    <w:rsid w:val="00753136"/>
    <w:rsid w:val="00753E0D"/>
    <w:rsid w:val="007540DB"/>
    <w:rsid w:val="00755088"/>
    <w:rsid w:val="00756C24"/>
    <w:rsid w:val="0075783B"/>
    <w:rsid w:val="00760A7F"/>
    <w:rsid w:val="00760CD7"/>
    <w:rsid w:val="00761088"/>
    <w:rsid w:val="007616B1"/>
    <w:rsid w:val="007624E0"/>
    <w:rsid w:val="00763C66"/>
    <w:rsid w:val="00765E5C"/>
    <w:rsid w:val="00765FB2"/>
    <w:rsid w:val="007669C3"/>
    <w:rsid w:val="00770291"/>
    <w:rsid w:val="007768DA"/>
    <w:rsid w:val="00776A99"/>
    <w:rsid w:val="00776D0F"/>
    <w:rsid w:val="00777AB9"/>
    <w:rsid w:val="00780419"/>
    <w:rsid w:val="00784610"/>
    <w:rsid w:val="007850F3"/>
    <w:rsid w:val="00785178"/>
    <w:rsid w:val="007852C5"/>
    <w:rsid w:val="007865A0"/>
    <w:rsid w:val="00787214"/>
    <w:rsid w:val="007902FF"/>
    <w:rsid w:val="007915F7"/>
    <w:rsid w:val="007927D7"/>
    <w:rsid w:val="00793B76"/>
    <w:rsid w:val="007942D1"/>
    <w:rsid w:val="00796465"/>
    <w:rsid w:val="00796AF5"/>
    <w:rsid w:val="007A1F7F"/>
    <w:rsid w:val="007A48F0"/>
    <w:rsid w:val="007B039E"/>
    <w:rsid w:val="007B0BBF"/>
    <w:rsid w:val="007B104F"/>
    <w:rsid w:val="007B472D"/>
    <w:rsid w:val="007C3753"/>
    <w:rsid w:val="007C4858"/>
    <w:rsid w:val="007C60BA"/>
    <w:rsid w:val="007C7A8B"/>
    <w:rsid w:val="007D0EE2"/>
    <w:rsid w:val="007D109A"/>
    <w:rsid w:val="007D2CB2"/>
    <w:rsid w:val="007D5C77"/>
    <w:rsid w:val="007D7653"/>
    <w:rsid w:val="007D76BA"/>
    <w:rsid w:val="007E0D7C"/>
    <w:rsid w:val="007E0F8A"/>
    <w:rsid w:val="007E2223"/>
    <w:rsid w:val="007E329C"/>
    <w:rsid w:val="007E7B19"/>
    <w:rsid w:val="007F033B"/>
    <w:rsid w:val="007F05CD"/>
    <w:rsid w:val="007F438F"/>
    <w:rsid w:val="007F4A7B"/>
    <w:rsid w:val="007F7682"/>
    <w:rsid w:val="007F76C5"/>
    <w:rsid w:val="00800268"/>
    <w:rsid w:val="0080132F"/>
    <w:rsid w:val="00801EDB"/>
    <w:rsid w:val="008041C6"/>
    <w:rsid w:val="0080700B"/>
    <w:rsid w:val="0081142B"/>
    <w:rsid w:val="008117FE"/>
    <w:rsid w:val="008119E0"/>
    <w:rsid w:val="00815D4B"/>
    <w:rsid w:val="0081686C"/>
    <w:rsid w:val="00816CC8"/>
    <w:rsid w:val="00821826"/>
    <w:rsid w:val="008226DF"/>
    <w:rsid w:val="008228C2"/>
    <w:rsid w:val="0082354E"/>
    <w:rsid w:val="008248CA"/>
    <w:rsid w:val="0082701F"/>
    <w:rsid w:val="0083201D"/>
    <w:rsid w:val="0083410B"/>
    <w:rsid w:val="00835BB3"/>
    <w:rsid w:val="0083671D"/>
    <w:rsid w:val="00837E87"/>
    <w:rsid w:val="00840319"/>
    <w:rsid w:val="00844F30"/>
    <w:rsid w:val="008468D8"/>
    <w:rsid w:val="0085271F"/>
    <w:rsid w:val="00853AD8"/>
    <w:rsid w:val="00854622"/>
    <w:rsid w:val="008568F2"/>
    <w:rsid w:val="00856FD9"/>
    <w:rsid w:val="008570DA"/>
    <w:rsid w:val="00857C0D"/>
    <w:rsid w:val="008601CA"/>
    <w:rsid w:val="008603A6"/>
    <w:rsid w:val="00861900"/>
    <w:rsid w:val="0086284B"/>
    <w:rsid w:val="00862D0A"/>
    <w:rsid w:val="00862FB5"/>
    <w:rsid w:val="00863698"/>
    <w:rsid w:val="00863F51"/>
    <w:rsid w:val="00865232"/>
    <w:rsid w:val="00871BCF"/>
    <w:rsid w:val="0087253C"/>
    <w:rsid w:val="00872948"/>
    <w:rsid w:val="00874C72"/>
    <w:rsid w:val="00875251"/>
    <w:rsid w:val="008758CA"/>
    <w:rsid w:val="00876193"/>
    <w:rsid w:val="00877618"/>
    <w:rsid w:val="00881041"/>
    <w:rsid w:val="008819D9"/>
    <w:rsid w:val="00882001"/>
    <w:rsid w:val="00882872"/>
    <w:rsid w:val="00883559"/>
    <w:rsid w:val="00883FD2"/>
    <w:rsid w:val="008853E5"/>
    <w:rsid w:val="00886AE3"/>
    <w:rsid w:val="00886CB9"/>
    <w:rsid w:val="00887021"/>
    <w:rsid w:val="008871EC"/>
    <w:rsid w:val="00890D95"/>
    <w:rsid w:val="00891115"/>
    <w:rsid w:val="00896318"/>
    <w:rsid w:val="00896E21"/>
    <w:rsid w:val="008978AD"/>
    <w:rsid w:val="00897D6F"/>
    <w:rsid w:val="008A3BBD"/>
    <w:rsid w:val="008A421A"/>
    <w:rsid w:val="008B059B"/>
    <w:rsid w:val="008B0724"/>
    <w:rsid w:val="008B228F"/>
    <w:rsid w:val="008B313C"/>
    <w:rsid w:val="008B3957"/>
    <w:rsid w:val="008B4AD8"/>
    <w:rsid w:val="008B4D4D"/>
    <w:rsid w:val="008B6929"/>
    <w:rsid w:val="008C0AED"/>
    <w:rsid w:val="008C4B0A"/>
    <w:rsid w:val="008C639D"/>
    <w:rsid w:val="008C6E3A"/>
    <w:rsid w:val="008C7049"/>
    <w:rsid w:val="008D1D35"/>
    <w:rsid w:val="008D1E86"/>
    <w:rsid w:val="008D40A4"/>
    <w:rsid w:val="008D4B2A"/>
    <w:rsid w:val="008D581E"/>
    <w:rsid w:val="008D5C7E"/>
    <w:rsid w:val="008D6306"/>
    <w:rsid w:val="008D6BE6"/>
    <w:rsid w:val="008D6CD5"/>
    <w:rsid w:val="008D7F2D"/>
    <w:rsid w:val="008E36B4"/>
    <w:rsid w:val="008E5952"/>
    <w:rsid w:val="008F02C5"/>
    <w:rsid w:val="008F2B09"/>
    <w:rsid w:val="008F3C7C"/>
    <w:rsid w:val="008F4398"/>
    <w:rsid w:val="00900322"/>
    <w:rsid w:val="00900E8D"/>
    <w:rsid w:val="0090235A"/>
    <w:rsid w:val="009026F4"/>
    <w:rsid w:val="00903475"/>
    <w:rsid w:val="009038C6"/>
    <w:rsid w:val="00904306"/>
    <w:rsid w:val="00907D2D"/>
    <w:rsid w:val="0091042C"/>
    <w:rsid w:val="009128E7"/>
    <w:rsid w:val="00912E86"/>
    <w:rsid w:val="009133D8"/>
    <w:rsid w:val="00914760"/>
    <w:rsid w:val="00915ABF"/>
    <w:rsid w:val="00916053"/>
    <w:rsid w:val="00916299"/>
    <w:rsid w:val="0091699E"/>
    <w:rsid w:val="00916BB8"/>
    <w:rsid w:val="00921270"/>
    <w:rsid w:val="009221C8"/>
    <w:rsid w:val="00924BD9"/>
    <w:rsid w:val="0093016A"/>
    <w:rsid w:val="00932EB8"/>
    <w:rsid w:val="0093575F"/>
    <w:rsid w:val="00937866"/>
    <w:rsid w:val="00937BCD"/>
    <w:rsid w:val="00937CAF"/>
    <w:rsid w:val="00940B92"/>
    <w:rsid w:val="0094112E"/>
    <w:rsid w:val="00943474"/>
    <w:rsid w:val="00943D6E"/>
    <w:rsid w:val="0094472A"/>
    <w:rsid w:val="00944EDD"/>
    <w:rsid w:val="00945163"/>
    <w:rsid w:val="009452CB"/>
    <w:rsid w:val="00945DF4"/>
    <w:rsid w:val="0094754A"/>
    <w:rsid w:val="00947779"/>
    <w:rsid w:val="00947CB8"/>
    <w:rsid w:val="00947DE9"/>
    <w:rsid w:val="00950B96"/>
    <w:rsid w:val="00951A86"/>
    <w:rsid w:val="00953FDD"/>
    <w:rsid w:val="009570EE"/>
    <w:rsid w:val="009644A5"/>
    <w:rsid w:val="00965ACE"/>
    <w:rsid w:val="00966300"/>
    <w:rsid w:val="00966FF1"/>
    <w:rsid w:val="00971131"/>
    <w:rsid w:val="00971745"/>
    <w:rsid w:val="009729E1"/>
    <w:rsid w:val="009732F3"/>
    <w:rsid w:val="009737C3"/>
    <w:rsid w:val="0097501A"/>
    <w:rsid w:val="00977122"/>
    <w:rsid w:val="00977E1C"/>
    <w:rsid w:val="00977E25"/>
    <w:rsid w:val="00981D64"/>
    <w:rsid w:val="009832D9"/>
    <w:rsid w:val="00983829"/>
    <w:rsid w:val="009838EE"/>
    <w:rsid w:val="00984759"/>
    <w:rsid w:val="00984908"/>
    <w:rsid w:val="00984975"/>
    <w:rsid w:val="00985771"/>
    <w:rsid w:val="00986DAE"/>
    <w:rsid w:val="00990CB3"/>
    <w:rsid w:val="0099290D"/>
    <w:rsid w:val="00996D8E"/>
    <w:rsid w:val="009A0513"/>
    <w:rsid w:val="009A373D"/>
    <w:rsid w:val="009A40B0"/>
    <w:rsid w:val="009A513F"/>
    <w:rsid w:val="009A5DE9"/>
    <w:rsid w:val="009A60A6"/>
    <w:rsid w:val="009A7121"/>
    <w:rsid w:val="009A771E"/>
    <w:rsid w:val="009B02BB"/>
    <w:rsid w:val="009B18D5"/>
    <w:rsid w:val="009B2A74"/>
    <w:rsid w:val="009B35DD"/>
    <w:rsid w:val="009B3CE8"/>
    <w:rsid w:val="009B3F40"/>
    <w:rsid w:val="009B5942"/>
    <w:rsid w:val="009B7455"/>
    <w:rsid w:val="009B7BD3"/>
    <w:rsid w:val="009C0C5B"/>
    <w:rsid w:val="009C2155"/>
    <w:rsid w:val="009C26CB"/>
    <w:rsid w:val="009C29EF"/>
    <w:rsid w:val="009C2B2F"/>
    <w:rsid w:val="009C5269"/>
    <w:rsid w:val="009C6F70"/>
    <w:rsid w:val="009C754E"/>
    <w:rsid w:val="009D0A03"/>
    <w:rsid w:val="009D2AAE"/>
    <w:rsid w:val="009D2D9C"/>
    <w:rsid w:val="009D39C9"/>
    <w:rsid w:val="009D3CA6"/>
    <w:rsid w:val="009D43DA"/>
    <w:rsid w:val="009D5603"/>
    <w:rsid w:val="009E0FF7"/>
    <w:rsid w:val="009E325A"/>
    <w:rsid w:val="009E3BD7"/>
    <w:rsid w:val="009E3C63"/>
    <w:rsid w:val="009E3FBC"/>
    <w:rsid w:val="009E4542"/>
    <w:rsid w:val="009E4FB1"/>
    <w:rsid w:val="009E5281"/>
    <w:rsid w:val="009E66A0"/>
    <w:rsid w:val="009E68B3"/>
    <w:rsid w:val="009E73F4"/>
    <w:rsid w:val="009F047F"/>
    <w:rsid w:val="009F1F9B"/>
    <w:rsid w:val="009F498C"/>
    <w:rsid w:val="009F4EFE"/>
    <w:rsid w:val="00A006BC"/>
    <w:rsid w:val="00A006D3"/>
    <w:rsid w:val="00A025CD"/>
    <w:rsid w:val="00A04171"/>
    <w:rsid w:val="00A0478C"/>
    <w:rsid w:val="00A059A8"/>
    <w:rsid w:val="00A065A7"/>
    <w:rsid w:val="00A075C9"/>
    <w:rsid w:val="00A11533"/>
    <w:rsid w:val="00A115FA"/>
    <w:rsid w:val="00A122CA"/>
    <w:rsid w:val="00A129C1"/>
    <w:rsid w:val="00A12AAE"/>
    <w:rsid w:val="00A14337"/>
    <w:rsid w:val="00A14A7A"/>
    <w:rsid w:val="00A15118"/>
    <w:rsid w:val="00A156CB"/>
    <w:rsid w:val="00A21C2A"/>
    <w:rsid w:val="00A22151"/>
    <w:rsid w:val="00A239DC"/>
    <w:rsid w:val="00A23C49"/>
    <w:rsid w:val="00A24361"/>
    <w:rsid w:val="00A31721"/>
    <w:rsid w:val="00A34CBC"/>
    <w:rsid w:val="00A3643B"/>
    <w:rsid w:val="00A40039"/>
    <w:rsid w:val="00A40D9F"/>
    <w:rsid w:val="00A429BF"/>
    <w:rsid w:val="00A42DC5"/>
    <w:rsid w:val="00A464D5"/>
    <w:rsid w:val="00A51AD3"/>
    <w:rsid w:val="00A5231C"/>
    <w:rsid w:val="00A52F1B"/>
    <w:rsid w:val="00A53216"/>
    <w:rsid w:val="00A53AFD"/>
    <w:rsid w:val="00A55644"/>
    <w:rsid w:val="00A56374"/>
    <w:rsid w:val="00A568DD"/>
    <w:rsid w:val="00A609F0"/>
    <w:rsid w:val="00A618DE"/>
    <w:rsid w:val="00A61EBC"/>
    <w:rsid w:val="00A62175"/>
    <w:rsid w:val="00A63B22"/>
    <w:rsid w:val="00A66183"/>
    <w:rsid w:val="00A7094B"/>
    <w:rsid w:val="00A7140F"/>
    <w:rsid w:val="00A71BCB"/>
    <w:rsid w:val="00A7268A"/>
    <w:rsid w:val="00A730A7"/>
    <w:rsid w:val="00A733FE"/>
    <w:rsid w:val="00A80021"/>
    <w:rsid w:val="00A80AE3"/>
    <w:rsid w:val="00A80D32"/>
    <w:rsid w:val="00A81286"/>
    <w:rsid w:val="00A81ABA"/>
    <w:rsid w:val="00A8362F"/>
    <w:rsid w:val="00A83A9E"/>
    <w:rsid w:val="00A848BA"/>
    <w:rsid w:val="00A84F33"/>
    <w:rsid w:val="00A8765F"/>
    <w:rsid w:val="00A878DB"/>
    <w:rsid w:val="00A879E7"/>
    <w:rsid w:val="00A90109"/>
    <w:rsid w:val="00A92BD4"/>
    <w:rsid w:val="00A948A9"/>
    <w:rsid w:val="00A94E86"/>
    <w:rsid w:val="00A95C1A"/>
    <w:rsid w:val="00A96D26"/>
    <w:rsid w:val="00A96DC5"/>
    <w:rsid w:val="00A9759B"/>
    <w:rsid w:val="00AA0DC7"/>
    <w:rsid w:val="00AA0E42"/>
    <w:rsid w:val="00AA1C7E"/>
    <w:rsid w:val="00AA30E1"/>
    <w:rsid w:val="00AA3CF4"/>
    <w:rsid w:val="00AA5A8C"/>
    <w:rsid w:val="00AA5ABF"/>
    <w:rsid w:val="00AA6874"/>
    <w:rsid w:val="00AB05A4"/>
    <w:rsid w:val="00AB5D4F"/>
    <w:rsid w:val="00AC0DB4"/>
    <w:rsid w:val="00AC12D4"/>
    <w:rsid w:val="00AC1B87"/>
    <w:rsid w:val="00AC5763"/>
    <w:rsid w:val="00AC6636"/>
    <w:rsid w:val="00AC6A0B"/>
    <w:rsid w:val="00AC6EF6"/>
    <w:rsid w:val="00AC7CE9"/>
    <w:rsid w:val="00AD1B81"/>
    <w:rsid w:val="00AD3972"/>
    <w:rsid w:val="00AD5C5C"/>
    <w:rsid w:val="00AD6D5D"/>
    <w:rsid w:val="00AD73A4"/>
    <w:rsid w:val="00AE021C"/>
    <w:rsid w:val="00AE0DF5"/>
    <w:rsid w:val="00AE19A3"/>
    <w:rsid w:val="00AE1AD1"/>
    <w:rsid w:val="00AE1B1C"/>
    <w:rsid w:val="00AE2EC9"/>
    <w:rsid w:val="00AE319D"/>
    <w:rsid w:val="00AE4A74"/>
    <w:rsid w:val="00AE63A4"/>
    <w:rsid w:val="00AE67FD"/>
    <w:rsid w:val="00AE6AE4"/>
    <w:rsid w:val="00AF45D1"/>
    <w:rsid w:val="00AF4BBA"/>
    <w:rsid w:val="00AF4EEC"/>
    <w:rsid w:val="00AF6785"/>
    <w:rsid w:val="00B008C1"/>
    <w:rsid w:val="00B028E0"/>
    <w:rsid w:val="00B02AED"/>
    <w:rsid w:val="00B04192"/>
    <w:rsid w:val="00B04D9F"/>
    <w:rsid w:val="00B065D7"/>
    <w:rsid w:val="00B0738B"/>
    <w:rsid w:val="00B07AEC"/>
    <w:rsid w:val="00B07E2C"/>
    <w:rsid w:val="00B1098D"/>
    <w:rsid w:val="00B10B4D"/>
    <w:rsid w:val="00B14EFE"/>
    <w:rsid w:val="00B157CB"/>
    <w:rsid w:val="00B160F6"/>
    <w:rsid w:val="00B16C69"/>
    <w:rsid w:val="00B1710D"/>
    <w:rsid w:val="00B241B0"/>
    <w:rsid w:val="00B25779"/>
    <w:rsid w:val="00B27201"/>
    <w:rsid w:val="00B3192C"/>
    <w:rsid w:val="00B325D9"/>
    <w:rsid w:val="00B34472"/>
    <w:rsid w:val="00B350D5"/>
    <w:rsid w:val="00B37126"/>
    <w:rsid w:val="00B377E7"/>
    <w:rsid w:val="00B404EC"/>
    <w:rsid w:val="00B41FB2"/>
    <w:rsid w:val="00B4205B"/>
    <w:rsid w:val="00B4686C"/>
    <w:rsid w:val="00B469B5"/>
    <w:rsid w:val="00B46ACC"/>
    <w:rsid w:val="00B4784C"/>
    <w:rsid w:val="00B50AFA"/>
    <w:rsid w:val="00B516FC"/>
    <w:rsid w:val="00B51BA2"/>
    <w:rsid w:val="00B52A89"/>
    <w:rsid w:val="00B52F22"/>
    <w:rsid w:val="00B53DBC"/>
    <w:rsid w:val="00B54885"/>
    <w:rsid w:val="00B55536"/>
    <w:rsid w:val="00B56152"/>
    <w:rsid w:val="00B566A3"/>
    <w:rsid w:val="00B60E76"/>
    <w:rsid w:val="00B614E3"/>
    <w:rsid w:val="00B61ADB"/>
    <w:rsid w:val="00B6213E"/>
    <w:rsid w:val="00B622EF"/>
    <w:rsid w:val="00B63570"/>
    <w:rsid w:val="00B635CE"/>
    <w:rsid w:val="00B6560D"/>
    <w:rsid w:val="00B673F7"/>
    <w:rsid w:val="00B735BB"/>
    <w:rsid w:val="00B746A0"/>
    <w:rsid w:val="00B76238"/>
    <w:rsid w:val="00B77CA7"/>
    <w:rsid w:val="00B80CB5"/>
    <w:rsid w:val="00B810E7"/>
    <w:rsid w:val="00B8205A"/>
    <w:rsid w:val="00B86230"/>
    <w:rsid w:val="00B864CF"/>
    <w:rsid w:val="00B86C39"/>
    <w:rsid w:val="00B87307"/>
    <w:rsid w:val="00B965F3"/>
    <w:rsid w:val="00B97C15"/>
    <w:rsid w:val="00BA183B"/>
    <w:rsid w:val="00BA2AA9"/>
    <w:rsid w:val="00BA304C"/>
    <w:rsid w:val="00BA4462"/>
    <w:rsid w:val="00BA6695"/>
    <w:rsid w:val="00BA6F9C"/>
    <w:rsid w:val="00BB0815"/>
    <w:rsid w:val="00BB1399"/>
    <w:rsid w:val="00BB1CC7"/>
    <w:rsid w:val="00BB31B9"/>
    <w:rsid w:val="00BB5428"/>
    <w:rsid w:val="00BB65B2"/>
    <w:rsid w:val="00BC005B"/>
    <w:rsid w:val="00BC02D5"/>
    <w:rsid w:val="00BC31F4"/>
    <w:rsid w:val="00BC7D3E"/>
    <w:rsid w:val="00BD03B7"/>
    <w:rsid w:val="00BD0A6D"/>
    <w:rsid w:val="00BD3124"/>
    <w:rsid w:val="00BD3CA9"/>
    <w:rsid w:val="00BD4E9C"/>
    <w:rsid w:val="00BD5155"/>
    <w:rsid w:val="00BD71A6"/>
    <w:rsid w:val="00BD726B"/>
    <w:rsid w:val="00BE0678"/>
    <w:rsid w:val="00BE0966"/>
    <w:rsid w:val="00BE10A1"/>
    <w:rsid w:val="00BE1BA6"/>
    <w:rsid w:val="00BE28F9"/>
    <w:rsid w:val="00BE2BB6"/>
    <w:rsid w:val="00BE33A4"/>
    <w:rsid w:val="00BE3E8C"/>
    <w:rsid w:val="00BE4E55"/>
    <w:rsid w:val="00BE5EE1"/>
    <w:rsid w:val="00BF07AB"/>
    <w:rsid w:val="00BF1637"/>
    <w:rsid w:val="00BF4144"/>
    <w:rsid w:val="00BF46E9"/>
    <w:rsid w:val="00BF4B82"/>
    <w:rsid w:val="00BF4C08"/>
    <w:rsid w:val="00BF4E57"/>
    <w:rsid w:val="00BF5B4F"/>
    <w:rsid w:val="00BF6789"/>
    <w:rsid w:val="00BF731E"/>
    <w:rsid w:val="00C03212"/>
    <w:rsid w:val="00C05765"/>
    <w:rsid w:val="00C06A9E"/>
    <w:rsid w:val="00C11A49"/>
    <w:rsid w:val="00C127ED"/>
    <w:rsid w:val="00C151C3"/>
    <w:rsid w:val="00C15911"/>
    <w:rsid w:val="00C16BCC"/>
    <w:rsid w:val="00C174A1"/>
    <w:rsid w:val="00C17D55"/>
    <w:rsid w:val="00C206D3"/>
    <w:rsid w:val="00C2262B"/>
    <w:rsid w:val="00C2268A"/>
    <w:rsid w:val="00C22DD2"/>
    <w:rsid w:val="00C22DDE"/>
    <w:rsid w:val="00C241A2"/>
    <w:rsid w:val="00C2698C"/>
    <w:rsid w:val="00C27AC8"/>
    <w:rsid w:val="00C27EC3"/>
    <w:rsid w:val="00C3037D"/>
    <w:rsid w:val="00C3349A"/>
    <w:rsid w:val="00C377B1"/>
    <w:rsid w:val="00C41662"/>
    <w:rsid w:val="00C421CF"/>
    <w:rsid w:val="00C42DE7"/>
    <w:rsid w:val="00C45417"/>
    <w:rsid w:val="00C46EB3"/>
    <w:rsid w:val="00C46FF7"/>
    <w:rsid w:val="00C53900"/>
    <w:rsid w:val="00C53F04"/>
    <w:rsid w:val="00C53FFF"/>
    <w:rsid w:val="00C57AE0"/>
    <w:rsid w:val="00C60B58"/>
    <w:rsid w:val="00C60E5A"/>
    <w:rsid w:val="00C61F39"/>
    <w:rsid w:val="00C63D4B"/>
    <w:rsid w:val="00C64E00"/>
    <w:rsid w:val="00C64F46"/>
    <w:rsid w:val="00C65698"/>
    <w:rsid w:val="00C705A5"/>
    <w:rsid w:val="00C7104A"/>
    <w:rsid w:val="00C71117"/>
    <w:rsid w:val="00C7199B"/>
    <w:rsid w:val="00C722AB"/>
    <w:rsid w:val="00C7336B"/>
    <w:rsid w:val="00C74CE2"/>
    <w:rsid w:val="00C74F6C"/>
    <w:rsid w:val="00C754EA"/>
    <w:rsid w:val="00C77818"/>
    <w:rsid w:val="00C80B14"/>
    <w:rsid w:val="00C80D42"/>
    <w:rsid w:val="00C80EAF"/>
    <w:rsid w:val="00C816C5"/>
    <w:rsid w:val="00C81E35"/>
    <w:rsid w:val="00C859B7"/>
    <w:rsid w:val="00C86BBB"/>
    <w:rsid w:val="00C90802"/>
    <w:rsid w:val="00C921DF"/>
    <w:rsid w:val="00C9299E"/>
    <w:rsid w:val="00C92A38"/>
    <w:rsid w:val="00C92A74"/>
    <w:rsid w:val="00C93A98"/>
    <w:rsid w:val="00C94754"/>
    <w:rsid w:val="00C9480E"/>
    <w:rsid w:val="00C9547F"/>
    <w:rsid w:val="00C96422"/>
    <w:rsid w:val="00C965EE"/>
    <w:rsid w:val="00C97748"/>
    <w:rsid w:val="00CA11E8"/>
    <w:rsid w:val="00CA1E8E"/>
    <w:rsid w:val="00CA26F0"/>
    <w:rsid w:val="00CA3022"/>
    <w:rsid w:val="00CA38C2"/>
    <w:rsid w:val="00CA477C"/>
    <w:rsid w:val="00CA7402"/>
    <w:rsid w:val="00CB06C6"/>
    <w:rsid w:val="00CB0DCB"/>
    <w:rsid w:val="00CB1C91"/>
    <w:rsid w:val="00CB279D"/>
    <w:rsid w:val="00CB48DF"/>
    <w:rsid w:val="00CB5BEF"/>
    <w:rsid w:val="00CB607D"/>
    <w:rsid w:val="00CB7D56"/>
    <w:rsid w:val="00CC1676"/>
    <w:rsid w:val="00CC1CF0"/>
    <w:rsid w:val="00CC212F"/>
    <w:rsid w:val="00CC4708"/>
    <w:rsid w:val="00CC7582"/>
    <w:rsid w:val="00CD1691"/>
    <w:rsid w:val="00CD430D"/>
    <w:rsid w:val="00CD5300"/>
    <w:rsid w:val="00CD777A"/>
    <w:rsid w:val="00CE2AEA"/>
    <w:rsid w:val="00CE3FE6"/>
    <w:rsid w:val="00CE4F94"/>
    <w:rsid w:val="00CE58A7"/>
    <w:rsid w:val="00CE58AE"/>
    <w:rsid w:val="00CE7D50"/>
    <w:rsid w:val="00CF101B"/>
    <w:rsid w:val="00CF239D"/>
    <w:rsid w:val="00CF2431"/>
    <w:rsid w:val="00CF248C"/>
    <w:rsid w:val="00CF34D0"/>
    <w:rsid w:val="00CF4AFD"/>
    <w:rsid w:val="00D012E8"/>
    <w:rsid w:val="00D05D1B"/>
    <w:rsid w:val="00D061DF"/>
    <w:rsid w:val="00D0743C"/>
    <w:rsid w:val="00D10295"/>
    <w:rsid w:val="00D11F74"/>
    <w:rsid w:val="00D14436"/>
    <w:rsid w:val="00D14A6B"/>
    <w:rsid w:val="00D17916"/>
    <w:rsid w:val="00D20B22"/>
    <w:rsid w:val="00D21527"/>
    <w:rsid w:val="00D21902"/>
    <w:rsid w:val="00D23BCB"/>
    <w:rsid w:val="00D23F63"/>
    <w:rsid w:val="00D2603D"/>
    <w:rsid w:val="00D26DB2"/>
    <w:rsid w:val="00D27139"/>
    <w:rsid w:val="00D272A7"/>
    <w:rsid w:val="00D30777"/>
    <w:rsid w:val="00D33586"/>
    <w:rsid w:val="00D33B29"/>
    <w:rsid w:val="00D33BAC"/>
    <w:rsid w:val="00D357E3"/>
    <w:rsid w:val="00D359FB"/>
    <w:rsid w:val="00D35DCB"/>
    <w:rsid w:val="00D36E19"/>
    <w:rsid w:val="00D379C3"/>
    <w:rsid w:val="00D37AC0"/>
    <w:rsid w:val="00D40AE0"/>
    <w:rsid w:val="00D451A0"/>
    <w:rsid w:val="00D46164"/>
    <w:rsid w:val="00D4719C"/>
    <w:rsid w:val="00D51EF2"/>
    <w:rsid w:val="00D52D65"/>
    <w:rsid w:val="00D53BD4"/>
    <w:rsid w:val="00D541BA"/>
    <w:rsid w:val="00D547C9"/>
    <w:rsid w:val="00D5564C"/>
    <w:rsid w:val="00D563E9"/>
    <w:rsid w:val="00D57AF1"/>
    <w:rsid w:val="00D57B4E"/>
    <w:rsid w:val="00D6195D"/>
    <w:rsid w:val="00D61CD5"/>
    <w:rsid w:val="00D62381"/>
    <w:rsid w:val="00D62D92"/>
    <w:rsid w:val="00D65296"/>
    <w:rsid w:val="00D73772"/>
    <w:rsid w:val="00D8065F"/>
    <w:rsid w:val="00D82D4D"/>
    <w:rsid w:val="00D83045"/>
    <w:rsid w:val="00D8579D"/>
    <w:rsid w:val="00D901D3"/>
    <w:rsid w:val="00D90C4A"/>
    <w:rsid w:val="00D937DB"/>
    <w:rsid w:val="00D94C24"/>
    <w:rsid w:val="00D96B8F"/>
    <w:rsid w:val="00D96EBE"/>
    <w:rsid w:val="00D97A5F"/>
    <w:rsid w:val="00D97D1B"/>
    <w:rsid w:val="00DA2290"/>
    <w:rsid w:val="00DA453E"/>
    <w:rsid w:val="00DA4A19"/>
    <w:rsid w:val="00DA6CB9"/>
    <w:rsid w:val="00DA6F3D"/>
    <w:rsid w:val="00DA71FE"/>
    <w:rsid w:val="00DB0500"/>
    <w:rsid w:val="00DB122A"/>
    <w:rsid w:val="00DB1924"/>
    <w:rsid w:val="00DB220B"/>
    <w:rsid w:val="00DB30A9"/>
    <w:rsid w:val="00DB4060"/>
    <w:rsid w:val="00DB5591"/>
    <w:rsid w:val="00DB581D"/>
    <w:rsid w:val="00DB6739"/>
    <w:rsid w:val="00DB796B"/>
    <w:rsid w:val="00DC0BC5"/>
    <w:rsid w:val="00DC119F"/>
    <w:rsid w:val="00DC35C3"/>
    <w:rsid w:val="00DC46EA"/>
    <w:rsid w:val="00DC5788"/>
    <w:rsid w:val="00DC6003"/>
    <w:rsid w:val="00DC6629"/>
    <w:rsid w:val="00DC7323"/>
    <w:rsid w:val="00DD160D"/>
    <w:rsid w:val="00DD20FD"/>
    <w:rsid w:val="00DD3741"/>
    <w:rsid w:val="00DD406F"/>
    <w:rsid w:val="00DD4292"/>
    <w:rsid w:val="00DD4F92"/>
    <w:rsid w:val="00DD737D"/>
    <w:rsid w:val="00DE1345"/>
    <w:rsid w:val="00DE26FA"/>
    <w:rsid w:val="00DE2F41"/>
    <w:rsid w:val="00DE3A02"/>
    <w:rsid w:val="00DE4DB1"/>
    <w:rsid w:val="00DE5C1A"/>
    <w:rsid w:val="00DF046E"/>
    <w:rsid w:val="00DF1C91"/>
    <w:rsid w:val="00DF64B5"/>
    <w:rsid w:val="00E00123"/>
    <w:rsid w:val="00E00B60"/>
    <w:rsid w:val="00E0331F"/>
    <w:rsid w:val="00E04601"/>
    <w:rsid w:val="00E04B11"/>
    <w:rsid w:val="00E0561E"/>
    <w:rsid w:val="00E075AC"/>
    <w:rsid w:val="00E07C6E"/>
    <w:rsid w:val="00E105CF"/>
    <w:rsid w:val="00E12AFD"/>
    <w:rsid w:val="00E14C3A"/>
    <w:rsid w:val="00E162FA"/>
    <w:rsid w:val="00E169A0"/>
    <w:rsid w:val="00E17674"/>
    <w:rsid w:val="00E2137B"/>
    <w:rsid w:val="00E2581A"/>
    <w:rsid w:val="00E27473"/>
    <w:rsid w:val="00E27B9C"/>
    <w:rsid w:val="00E30DD9"/>
    <w:rsid w:val="00E327E3"/>
    <w:rsid w:val="00E35030"/>
    <w:rsid w:val="00E41EDD"/>
    <w:rsid w:val="00E42521"/>
    <w:rsid w:val="00E43D4D"/>
    <w:rsid w:val="00E46576"/>
    <w:rsid w:val="00E466CD"/>
    <w:rsid w:val="00E46D5E"/>
    <w:rsid w:val="00E46EE4"/>
    <w:rsid w:val="00E47108"/>
    <w:rsid w:val="00E50A84"/>
    <w:rsid w:val="00E51E35"/>
    <w:rsid w:val="00E52198"/>
    <w:rsid w:val="00E528A4"/>
    <w:rsid w:val="00E53E9B"/>
    <w:rsid w:val="00E56F17"/>
    <w:rsid w:val="00E57312"/>
    <w:rsid w:val="00E617AF"/>
    <w:rsid w:val="00E63C9E"/>
    <w:rsid w:val="00E65440"/>
    <w:rsid w:val="00E66558"/>
    <w:rsid w:val="00E670AD"/>
    <w:rsid w:val="00E67CAB"/>
    <w:rsid w:val="00E713B6"/>
    <w:rsid w:val="00E72B74"/>
    <w:rsid w:val="00E74DE0"/>
    <w:rsid w:val="00E75A1F"/>
    <w:rsid w:val="00E75D53"/>
    <w:rsid w:val="00E77796"/>
    <w:rsid w:val="00E804D5"/>
    <w:rsid w:val="00E80A49"/>
    <w:rsid w:val="00E8140F"/>
    <w:rsid w:val="00E83454"/>
    <w:rsid w:val="00E83C79"/>
    <w:rsid w:val="00E84247"/>
    <w:rsid w:val="00E8432B"/>
    <w:rsid w:val="00E84473"/>
    <w:rsid w:val="00E84D65"/>
    <w:rsid w:val="00E86CD1"/>
    <w:rsid w:val="00E874C3"/>
    <w:rsid w:val="00E8759E"/>
    <w:rsid w:val="00E908B6"/>
    <w:rsid w:val="00E90B32"/>
    <w:rsid w:val="00E91343"/>
    <w:rsid w:val="00E93B81"/>
    <w:rsid w:val="00E97CA5"/>
    <w:rsid w:val="00EA1F32"/>
    <w:rsid w:val="00EA36F3"/>
    <w:rsid w:val="00EA3C26"/>
    <w:rsid w:val="00EA3D25"/>
    <w:rsid w:val="00EA677C"/>
    <w:rsid w:val="00EB30E5"/>
    <w:rsid w:val="00EB4291"/>
    <w:rsid w:val="00EB6E50"/>
    <w:rsid w:val="00EB7998"/>
    <w:rsid w:val="00EB79A3"/>
    <w:rsid w:val="00EC0F3C"/>
    <w:rsid w:val="00EC2348"/>
    <w:rsid w:val="00EC3B1E"/>
    <w:rsid w:val="00EC40E3"/>
    <w:rsid w:val="00EC5C51"/>
    <w:rsid w:val="00EC5F90"/>
    <w:rsid w:val="00EC6424"/>
    <w:rsid w:val="00EC6940"/>
    <w:rsid w:val="00EC730E"/>
    <w:rsid w:val="00EC7F6F"/>
    <w:rsid w:val="00EC7FED"/>
    <w:rsid w:val="00ED0EEC"/>
    <w:rsid w:val="00ED154D"/>
    <w:rsid w:val="00ED1DD0"/>
    <w:rsid w:val="00ED4237"/>
    <w:rsid w:val="00ED5000"/>
    <w:rsid w:val="00EE1021"/>
    <w:rsid w:val="00EE64A3"/>
    <w:rsid w:val="00EE64AF"/>
    <w:rsid w:val="00EF1D96"/>
    <w:rsid w:val="00EF235D"/>
    <w:rsid w:val="00EF404F"/>
    <w:rsid w:val="00EF43D4"/>
    <w:rsid w:val="00EF7257"/>
    <w:rsid w:val="00EF733E"/>
    <w:rsid w:val="00EF7B21"/>
    <w:rsid w:val="00F0015A"/>
    <w:rsid w:val="00F0196B"/>
    <w:rsid w:val="00F02088"/>
    <w:rsid w:val="00F0322A"/>
    <w:rsid w:val="00F03B79"/>
    <w:rsid w:val="00F04DBE"/>
    <w:rsid w:val="00F06411"/>
    <w:rsid w:val="00F1236A"/>
    <w:rsid w:val="00F15C17"/>
    <w:rsid w:val="00F16556"/>
    <w:rsid w:val="00F1674F"/>
    <w:rsid w:val="00F21828"/>
    <w:rsid w:val="00F22528"/>
    <w:rsid w:val="00F23722"/>
    <w:rsid w:val="00F24BA1"/>
    <w:rsid w:val="00F31D68"/>
    <w:rsid w:val="00F33A68"/>
    <w:rsid w:val="00F34104"/>
    <w:rsid w:val="00F34D1C"/>
    <w:rsid w:val="00F400AC"/>
    <w:rsid w:val="00F414E9"/>
    <w:rsid w:val="00F431E4"/>
    <w:rsid w:val="00F434EA"/>
    <w:rsid w:val="00F436A6"/>
    <w:rsid w:val="00F43807"/>
    <w:rsid w:val="00F44484"/>
    <w:rsid w:val="00F512FD"/>
    <w:rsid w:val="00F51392"/>
    <w:rsid w:val="00F546A5"/>
    <w:rsid w:val="00F55824"/>
    <w:rsid w:val="00F55F63"/>
    <w:rsid w:val="00F56DA7"/>
    <w:rsid w:val="00F61CFA"/>
    <w:rsid w:val="00F64154"/>
    <w:rsid w:val="00F650F5"/>
    <w:rsid w:val="00F655E9"/>
    <w:rsid w:val="00F672BB"/>
    <w:rsid w:val="00F70007"/>
    <w:rsid w:val="00F70A58"/>
    <w:rsid w:val="00F71713"/>
    <w:rsid w:val="00F73991"/>
    <w:rsid w:val="00F73BF8"/>
    <w:rsid w:val="00F741A8"/>
    <w:rsid w:val="00F75434"/>
    <w:rsid w:val="00F77577"/>
    <w:rsid w:val="00F822BC"/>
    <w:rsid w:val="00F82907"/>
    <w:rsid w:val="00F839CC"/>
    <w:rsid w:val="00F853F6"/>
    <w:rsid w:val="00F8762D"/>
    <w:rsid w:val="00F87F9D"/>
    <w:rsid w:val="00F900B7"/>
    <w:rsid w:val="00F90E13"/>
    <w:rsid w:val="00F92E2C"/>
    <w:rsid w:val="00F95222"/>
    <w:rsid w:val="00F97E0D"/>
    <w:rsid w:val="00FA0FC8"/>
    <w:rsid w:val="00FA1152"/>
    <w:rsid w:val="00FA7038"/>
    <w:rsid w:val="00FB21EE"/>
    <w:rsid w:val="00FB26C8"/>
    <w:rsid w:val="00FB3BBB"/>
    <w:rsid w:val="00FB46BC"/>
    <w:rsid w:val="00FB5DCB"/>
    <w:rsid w:val="00FC1052"/>
    <w:rsid w:val="00FC20AB"/>
    <w:rsid w:val="00FC30F9"/>
    <w:rsid w:val="00FC3AE3"/>
    <w:rsid w:val="00FC4B7F"/>
    <w:rsid w:val="00FC732A"/>
    <w:rsid w:val="00FC7ECB"/>
    <w:rsid w:val="00FD1C3E"/>
    <w:rsid w:val="00FD4385"/>
    <w:rsid w:val="00FD552F"/>
    <w:rsid w:val="00FD684E"/>
    <w:rsid w:val="00FD7AA7"/>
    <w:rsid w:val="00FD7E0B"/>
    <w:rsid w:val="00FE0096"/>
    <w:rsid w:val="00FE169C"/>
    <w:rsid w:val="00FE1F87"/>
    <w:rsid w:val="00FE3C4F"/>
    <w:rsid w:val="00FE4A58"/>
    <w:rsid w:val="00FE533A"/>
    <w:rsid w:val="00FE625C"/>
    <w:rsid w:val="00FE6866"/>
    <w:rsid w:val="00FE7B26"/>
    <w:rsid w:val="00FE7E3B"/>
    <w:rsid w:val="00FF09CD"/>
    <w:rsid w:val="00FF1678"/>
    <w:rsid w:val="00FF1C6C"/>
    <w:rsid w:val="00FF306E"/>
    <w:rsid w:val="00FF3A38"/>
    <w:rsid w:val="00FF4BBD"/>
    <w:rsid w:val="00FF5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9356"/>
  <w15:docId w15:val="{2F25F67B-EEB8-4ED1-9E5C-B686976E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C91D52"/>
    <w:pPr>
      <w:spacing w:after="0" w:line="360" w:lineRule="auto"/>
      <w:outlineLvl w:val="1"/>
    </w:pPr>
    <w:rPr>
      <w:rFonts w:ascii="Times New Roman"/>
      <w:bCs/>
      <w:caps/>
      <w:sz w:val="24"/>
      <w:szCs w:val="36"/>
      <w:lang w:val="pt-B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link w:val="ListParagraphChar"/>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paragraph" w:styleId="NoSpacing">
    <w:name w:val="No Spacing"/>
    <w:link w:val="NoSpacingChar"/>
    <w:uiPriority w:val="1"/>
    <w:qFormat/>
    <w:rsid w:val="001B05BA"/>
    <w:pPr>
      <w:spacing w:after="0" w:line="360" w:lineRule="auto"/>
      <w:jc w:val="both"/>
    </w:pPr>
    <w:rPr>
      <w:rFonts w:ascii="Times New Roman"/>
      <w:sz w:val="24"/>
      <w:lang w:val="pt-BR"/>
    </w:rPr>
  </w:style>
  <w:style w:type="character" w:customStyle="1" w:styleId="NoSpacingChar">
    <w:name w:val="No Spacing Char"/>
    <w:link w:val="NoSpacing"/>
    <w:uiPriority w:val="1"/>
    <w:locked/>
    <w:rsid w:val="001B05BA"/>
    <w:rPr>
      <w:rFonts w:ascii="Times New Roman" w:eastAsia="Calibri" w:cs="Calibri"/>
      <w:sz w:val="24"/>
      <w:lang w:val="pt-BR" w:eastAsia="pt-BR"/>
    </w:rPr>
  </w:style>
  <w:style w:type="character" w:customStyle="1" w:styleId="ListParagraphChar">
    <w:name w:val="List Paragraph Char"/>
    <w:basedOn w:val="DefaultParagraphFont"/>
    <w:link w:val="ListParagraph"/>
    <w:uiPriority w:val="34"/>
    <w:rsid w:val="00BE42C9"/>
  </w:style>
  <w:style w:type="character" w:customStyle="1" w:styleId="Heading2Char">
    <w:name w:val="Heading 2 Char"/>
    <w:basedOn w:val="DefaultParagraphFont"/>
    <w:link w:val="Heading2"/>
    <w:uiPriority w:val="9"/>
    <w:rsid w:val="00C91D52"/>
    <w:rPr>
      <w:rFonts w:ascii="Times New Roman"/>
      <w:bCs/>
      <w:caps/>
      <w:sz w:val="24"/>
      <w:szCs w:val="36"/>
      <w:lang w:val="pt-BR" w:eastAsia="pt-BR"/>
    </w:rPr>
  </w:style>
  <w:style w:type="paragraph" w:styleId="Caption">
    <w:name w:val="caption"/>
    <w:basedOn w:val="Normal"/>
    <w:next w:val="Normal"/>
    <w:uiPriority w:val="35"/>
    <w:unhideWhenUsed/>
    <w:qFormat/>
    <w:rsid w:val="00C91D52"/>
    <w:pPr>
      <w:spacing w:after="0" w:line="240" w:lineRule="auto"/>
      <w:jc w:val="center"/>
    </w:pPr>
    <w:rPr>
      <w:rFonts w:ascii="Times New Roman"/>
      <w:iCs/>
      <w:sz w:val="24"/>
      <w:szCs w:val="18"/>
      <w:lang w:val="pt-BR"/>
    </w:rPr>
  </w:style>
  <w:style w:type="paragraph" w:customStyle="1" w:styleId="Fonte">
    <w:name w:val="Fonte"/>
    <w:basedOn w:val="NoSpacing"/>
    <w:link w:val="FonteChar"/>
    <w:rsid w:val="00C1720E"/>
    <w:pPr>
      <w:spacing w:line="240" w:lineRule="auto"/>
      <w:jc w:val="center"/>
    </w:pPr>
    <w:rPr>
      <w:sz w:val="20"/>
    </w:rPr>
  </w:style>
  <w:style w:type="character" w:customStyle="1" w:styleId="FonteChar">
    <w:name w:val="Fonte Char"/>
    <w:basedOn w:val="NoSpacingChar"/>
    <w:link w:val="Fonte"/>
    <w:rsid w:val="00C1720E"/>
    <w:rPr>
      <w:rFonts w:ascii="Times New Roman" w:eastAsia="Calibri" w:cs="Calibri"/>
      <w:sz w:val="20"/>
      <w:lang w:val="pt-BR" w:eastAsia="pt-BR"/>
    </w:rPr>
  </w:style>
  <w:style w:type="character" w:styleId="Hyperlink">
    <w:name w:val="Hyperlink"/>
    <w:basedOn w:val="DefaultParagraphFont"/>
    <w:uiPriority w:val="99"/>
    <w:unhideWhenUsed/>
    <w:rsid w:val="008B3630"/>
    <w:rPr>
      <w:color w:val="0000FF"/>
      <w:u w:val="single"/>
    </w:rPr>
  </w:style>
  <w:style w:type="character" w:customStyle="1" w:styleId="anchor-text">
    <w:name w:val="anchor-text"/>
    <w:basedOn w:val="DefaultParagraphFont"/>
    <w:rsid w:val="008B3630"/>
  </w:style>
  <w:style w:type="character" w:customStyle="1" w:styleId="author">
    <w:name w:val="author"/>
    <w:basedOn w:val="DefaultParagraphFont"/>
    <w:rsid w:val="008B3630"/>
  </w:style>
  <w:style w:type="character" w:customStyle="1" w:styleId="nlmgiven-names">
    <w:name w:val="nlm_given-names"/>
    <w:basedOn w:val="DefaultParagraphFont"/>
    <w:rsid w:val="00BF4AB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customStyle="1" w:styleId="MenoPendente1">
    <w:name w:val="Menção Pendente1"/>
    <w:basedOn w:val="DefaultParagraphFont"/>
    <w:uiPriority w:val="99"/>
    <w:semiHidden/>
    <w:unhideWhenUsed/>
    <w:rsid w:val="00112BDB"/>
    <w:rPr>
      <w:color w:val="605E5C"/>
      <w:shd w:val="clear" w:color="auto" w:fill="E1DFDD"/>
    </w:rPr>
  </w:style>
  <w:style w:type="paragraph" w:styleId="NormalWeb">
    <w:name w:val="Normal (Web)"/>
    <w:basedOn w:val="Normal"/>
    <w:uiPriority w:val="99"/>
    <w:unhideWhenUsed/>
    <w:rsid w:val="00C45417"/>
    <w:pPr>
      <w:spacing w:before="100" w:beforeAutospacing="1" w:after="100" w:afterAutospacing="1" w:line="240" w:lineRule="auto"/>
    </w:pPr>
    <w:rPr>
      <w:rFonts w:ascii="Times New Roman" w:eastAsia="Times New Roman" w:hAnsi="Times New Roman" w:cs="Times New Roman"/>
      <w:sz w:val="24"/>
      <w:szCs w:val="24"/>
      <w:lang w:val="pt-BR"/>
    </w:rPr>
  </w:style>
  <w:style w:type="character" w:customStyle="1" w:styleId="normaltextrun">
    <w:name w:val="normaltextrun"/>
    <w:basedOn w:val="DefaultParagraphFont"/>
    <w:rsid w:val="00965ACE"/>
  </w:style>
  <w:style w:type="paragraph" w:styleId="Revision">
    <w:name w:val="Revision"/>
    <w:hidden/>
    <w:uiPriority w:val="99"/>
    <w:semiHidden/>
    <w:rsid w:val="002D2CBD"/>
    <w:pPr>
      <w:spacing w:after="0" w:line="240" w:lineRule="auto"/>
    </w:pPr>
  </w:style>
  <w:style w:type="character" w:customStyle="1" w:styleId="UnresolvedMention1">
    <w:name w:val="Unresolved Mention1"/>
    <w:basedOn w:val="DefaultParagraphFont"/>
    <w:uiPriority w:val="99"/>
    <w:semiHidden/>
    <w:unhideWhenUsed/>
    <w:rsid w:val="00684A7F"/>
    <w:rPr>
      <w:color w:val="605E5C"/>
      <w:shd w:val="clear" w:color="auto" w:fill="E1DFDD"/>
    </w:rPr>
  </w:style>
  <w:style w:type="character" w:styleId="FollowedHyperlink">
    <w:name w:val="FollowedHyperlink"/>
    <w:basedOn w:val="DefaultParagraphFont"/>
    <w:uiPriority w:val="99"/>
    <w:semiHidden/>
    <w:unhideWhenUsed/>
    <w:rsid w:val="000A373F"/>
    <w:rPr>
      <w:color w:val="800080" w:themeColor="followedHyperlink"/>
      <w:u w:val="single"/>
    </w:rPr>
  </w:style>
  <w:style w:type="character" w:customStyle="1" w:styleId="selectable-text">
    <w:name w:val="selectable-text"/>
    <w:basedOn w:val="DefaultParagraphFont"/>
    <w:rsid w:val="00513927"/>
  </w:style>
  <w:style w:type="character" w:styleId="Strong">
    <w:name w:val="Strong"/>
    <w:basedOn w:val="DefaultParagraphFont"/>
    <w:uiPriority w:val="22"/>
    <w:qFormat/>
    <w:rsid w:val="00A464D5"/>
    <w:rPr>
      <w:b/>
      <w:bCs/>
    </w:rPr>
  </w:style>
  <w:style w:type="character" w:customStyle="1" w:styleId="Heading1Char">
    <w:name w:val="Heading 1 Char"/>
    <w:basedOn w:val="DefaultParagraphFont"/>
    <w:link w:val="Heading1"/>
    <w:uiPriority w:val="9"/>
    <w:rsid w:val="0075783B"/>
    <w:rPr>
      <w:b/>
      <w:sz w:val="48"/>
      <w:szCs w:val="48"/>
    </w:rPr>
  </w:style>
  <w:style w:type="character" w:customStyle="1" w:styleId="fadein4f9by7">
    <w:name w:val="_fadein_4f9by_7"/>
    <w:basedOn w:val="DefaultParagraphFont"/>
    <w:rsid w:val="001E1BF2"/>
  </w:style>
  <w:style w:type="character" w:styleId="UnresolvedMention">
    <w:name w:val="Unresolved Mention"/>
    <w:basedOn w:val="DefaultParagraphFont"/>
    <w:uiPriority w:val="99"/>
    <w:semiHidden/>
    <w:unhideWhenUsed/>
    <w:rsid w:val="00CB5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7922">
      <w:bodyDiv w:val="1"/>
      <w:marLeft w:val="0"/>
      <w:marRight w:val="0"/>
      <w:marTop w:val="0"/>
      <w:marBottom w:val="0"/>
      <w:divBdr>
        <w:top w:val="none" w:sz="0" w:space="0" w:color="auto"/>
        <w:left w:val="none" w:sz="0" w:space="0" w:color="auto"/>
        <w:bottom w:val="none" w:sz="0" w:space="0" w:color="auto"/>
        <w:right w:val="none" w:sz="0" w:space="0" w:color="auto"/>
      </w:divBdr>
    </w:div>
    <w:div w:id="751048006">
      <w:bodyDiv w:val="1"/>
      <w:marLeft w:val="0"/>
      <w:marRight w:val="0"/>
      <w:marTop w:val="0"/>
      <w:marBottom w:val="0"/>
      <w:divBdr>
        <w:top w:val="none" w:sz="0" w:space="0" w:color="auto"/>
        <w:left w:val="none" w:sz="0" w:space="0" w:color="auto"/>
        <w:bottom w:val="none" w:sz="0" w:space="0" w:color="auto"/>
        <w:right w:val="none" w:sz="0" w:space="0" w:color="auto"/>
      </w:divBdr>
    </w:div>
    <w:div w:id="984358536">
      <w:bodyDiv w:val="1"/>
      <w:marLeft w:val="0"/>
      <w:marRight w:val="0"/>
      <w:marTop w:val="0"/>
      <w:marBottom w:val="0"/>
      <w:divBdr>
        <w:top w:val="none" w:sz="0" w:space="0" w:color="auto"/>
        <w:left w:val="none" w:sz="0" w:space="0" w:color="auto"/>
        <w:bottom w:val="none" w:sz="0" w:space="0" w:color="auto"/>
        <w:right w:val="none" w:sz="0" w:space="0" w:color="auto"/>
      </w:divBdr>
    </w:div>
    <w:div w:id="1029917998">
      <w:bodyDiv w:val="1"/>
      <w:marLeft w:val="0"/>
      <w:marRight w:val="0"/>
      <w:marTop w:val="0"/>
      <w:marBottom w:val="0"/>
      <w:divBdr>
        <w:top w:val="none" w:sz="0" w:space="0" w:color="auto"/>
        <w:left w:val="none" w:sz="0" w:space="0" w:color="auto"/>
        <w:bottom w:val="none" w:sz="0" w:space="0" w:color="auto"/>
        <w:right w:val="none" w:sz="0" w:space="0" w:color="auto"/>
      </w:divBdr>
    </w:div>
    <w:div w:id="1367098755">
      <w:bodyDiv w:val="1"/>
      <w:marLeft w:val="0"/>
      <w:marRight w:val="0"/>
      <w:marTop w:val="0"/>
      <w:marBottom w:val="0"/>
      <w:divBdr>
        <w:top w:val="none" w:sz="0" w:space="0" w:color="auto"/>
        <w:left w:val="none" w:sz="0" w:space="0" w:color="auto"/>
        <w:bottom w:val="none" w:sz="0" w:space="0" w:color="auto"/>
        <w:right w:val="none" w:sz="0" w:space="0" w:color="auto"/>
      </w:divBdr>
    </w:div>
    <w:div w:id="1429734043">
      <w:bodyDiv w:val="1"/>
      <w:marLeft w:val="0"/>
      <w:marRight w:val="0"/>
      <w:marTop w:val="0"/>
      <w:marBottom w:val="0"/>
      <w:divBdr>
        <w:top w:val="none" w:sz="0" w:space="0" w:color="auto"/>
        <w:left w:val="none" w:sz="0" w:space="0" w:color="auto"/>
        <w:bottom w:val="none" w:sz="0" w:space="0" w:color="auto"/>
        <w:right w:val="none" w:sz="0" w:space="0" w:color="auto"/>
      </w:divBdr>
    </w:div>
    <w:div w:id="1476216945">
      <w:bodyDiv w:val="1"/>
      <w:marLeft w:val="0"/>
      <w:marRight w:val="0"/>
      <w:marTop w:val="0"/>
      <w:marBottom w:val="0"/>
      <w:divBdr>
        <w:top w:val="none" w:sz="0" w:space="0" w:color="auto"/>
        <w:left w:val="none" w:sz="0" w:space="0" w:color="auto"/>
        <w:bottom w:val="none" w:sz="0" w:space="0" w:color="auto"/>
        <w:right w:val="none" w:sz="0" w:space="0" w:color="auto"/>
      </w:divBdr>
    </w:div>
    <w:div w:id="165336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13.04.007" TargetMode="External"/><Relationship Id="rId21" Type="http://schemas.openxmlformats.org/officeDocument/2006/relationships/hyperlink" Target="https://doi.org/10.1111/auar.12407" TargetMode="External"/><Relationship Id="rId34" Type="http://schemas.openxmlformats.org/officeDocument/2006/relationships/hyperlink" Target="https://doi.org/10.1108/JFRA-08-2020-0224" TargetMode="External"/><Relationship Id="rId42" Type="http://schemas.openxmlformats.org/officeDocument/2006/relationships/hyperlink" Target="https://doi.org/10.1016/j.mar.2023.100865" TargetMode="External"/><Relationship Id="rId47" Type="http://schemas.openxmlformats.org/officeDocument/2006/relationships/hyperlink" Target="https://doi.org/10.1108/AAAJ-03-2020-4452" TargetMode="External"/><Relationship Id="rId50" Type="http://schemas.openxmlformats.org/officeDocument/2006/relationships/hyperlink" Target="https://doi.org/10.1108/BIJ-02-2018-0034" TargetMode="External"/><Relationship Id="rId55" Type="http://schemas.openxmlformats.org/officeDocument/2006/relationships/hyperlink" Target="https://doi.org/10.1016/j.econmod.2024.106806" TargetMode="External"/><Relationship Id="rId63" Type="http://schemas.openxmlformats.org/officeDocument/2006/relationships/hyperlink" Target="https://doi.org/10.1016/j.jclepro.2016.01.104" TargetMode="External"/><Relationship Id="rId68" Type="http://schemas.openxmlformats.org/officeDocument/2006/relationships/hyperlink" Target="https://doi.org/10.1016/j.jdmm.2021.100584" TargetMode="External"/><Relationship Id="rId76" Type="http://schemas.openxmlformats.org/officeDocument/2006/relationships/hyperlink" Target="https://doi.org/10.1016/j.jclepro.2013.04.036" TargetMode="External"/><Relationship Id="rId84" Type="http://schemas.openxmlformats.org/officeDocument/2006/relationships/hyperlink" Target="https://doi.org/10.1002/bse.3828" TargetMode="External"/><Relationship Id="rId89" Type="http://schemas.openxmlformats.org/officeDocument/2006/relationships/hyperlink" Target="https://doi.org/10.1002/bse.3987" TargetMode="External"/><Relationship Id="rId97" Type="http://schemas.openxmlformats.org/officeDocument/2006/relationships/footer" Target="footer1.xml"/><Relationship Id="rId7" Type="http://schemas.openxmlformats.org/officeDocument/2006/relationships/hyperlink" Target="https://doi.org/10.1108/BPMJ-03-2018-0091" TargetMode="External"/><Relationship Id="rId71" Type="http://schemas.openxmlformats.org/officeDocument/2006/relationships/hyperlink" Target="https://doi.org/10.1016/j.mar.2013.06.007" TargetMode="External"/><Relationship Id="rId92" Type="http://schemas.openxmlformats.org/officeDocument/2006/relationships/hyperlink" Target="https://doi.org/10.3390/su16114753" TargetMode="External"/><Relationship Id="rId2" Type="http://schemas.openxmlformats.org/officeDocument/2006/relationships/styles" Target="styles.xml"/><Relationship Id="rId16" Type="http://schemas.openxmlformats.org/officeDocument/2006/relationships/hyperlink" Target="https://doi.org/10.3390/su10030797" TargetMode="External"/><Relationship Id="rId29" Type="http://schemas.openxmlformats.org/officeDocument/2006/relationships/hyperlink" Target="https://doi.org/10.1108/SAMPJ-05-2016-0029" TargetMode="External"/><Relationship Id="rId11" Type="http://schemas.openxmlformats.org/officeDocument/2006/relationships/hyperlink" Target="https://doi.org/10.1016/j.jenvman.2016.11.081" TargetMode="External"/><Relationship Id="rId24" Type="http://schemas.openxmlformats.org/officeDocument/2006/relationships/hyperlink" Target="https://doi.org/10.1016/S1751-3243(06)01006-6" TargetMode="External"/><Relationship Id="rId32" Type="http://schemas.openxmlformats.org/officeDocument/2006/relationships/hyperlink" Target="https://doi.org/10.1016/j.wasman.2011.06.001" TargetMode="External"/><Relationship Id="rId37" Type="http://schemas.openxmlformats.org/officeDocument/2006/relationships/hyperlink" Target="https://doi.org/10.1108/17511061211238902" TargetMode="External"/><Relationship Id="rId40" Type="http://schemas.openxmlformats.org/officeDocument/2006/relationships/hyperlink" Target="https://doi.org/10.1016/j.jclepro.2009.02.015" TargetMode="External"/><Relationship Id="rId45" Type="http://schemas.openxmlformats.org/officeDocument/2006/relationships/hyperlink" Target="https://doi.org/10.1002/bse.2656" TargetMode="External"/><Relationship Id="rId53" Type="http://schemas.openxmlformats.org/officeDocument/2006/relationships/hyperlink" Target="https://www.sciencedirect.com/journal/journal-of-cleaner-production" TargetMode="External"/><Relationship Id="rId58" Type="http://schemas.openxmlformats.org/officeDocument/2006/relationships/hyperlink" Target="https://doi.org/10.1016/j.jclepro.2018.01.106" TargetMode="External"/><Relationship Id="rId66" Type="http://schemas.openxmlformats.org/officeDocument/2006/relationships/hyperlink" Target="https://ainfo.cnptia.embrapa.br/digital/bitstream/item/227610/1/ComTec-223-21.pdf" TargetMode="External"/><Relationship Id="rId74" Type="http://schemas.openxmlformats.org/officeDocument/2006/relationships/hyperlink" Target="https://doi.org/10.1016/j.jclepro.2019.01.139" TargetMode="External"/><Relationship Id="rId79" Type="http://schemas.openxmlformats.org/officeDocument/2006/relationships/hyperlink" Target="https://doi.org/10.1111/ijmr.12288" TargetMode="External"/><Relationship Id="rId87" Type="http://schemas.openxmlformats.org/officeDocument/2006/relationships/hyperlink" Target="https://doi.org/10.1002/bse.2252"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3390/app10238381" TargetMode="External"/><Relationship Id="rId82" Type="http://schemas.openxmlformats.org/officeDocument/2006/relationships/hyperlink" Target="https://dados.agricultura.gov.br/dataset/sipeagro/resource/8ef7a4fc-f9d9-495b-b3ae-a2ffe931ff82" TargetMode="External"/><Relationship Id="rId90" Type="http://schemas.openxmlformats.org/officeDocument/2006/relationships/hyperlink" Target="https://doi.org/10.1007/s12649-016-9674-2" TargetMode="External"/><Relationship Id="rId95" Type="http://schemas.openxmlformats.org/officeDocument/2006/relationships/header" Target="header1.xml"/><Relationship Id="rId19" Type="http://schemas.openxmlformats.org/officeDocument/2006/relationships/hyperlink" Target="https://doi.org/10.1007/s10551-018-4066-0" TargetMode="External"/><Relationship Id="rId14" Type="http://schemas.openxmlformats.org/officeDocument/2006/relationships/hyperlink" Target="https://doi.org/10.1080/00207543.2011.555426" TargetMode="External"/><Relationship Id="rId22" Type="http://schemas.openxmlformats.org/officeDocument/2006/relationships/hyperlink" Target="https://doi.org/10.1002/bse.2595" TargetMode="External"/><Relationship Id="rId27" Type="http://schemas.openxmlformats.org/officeDocument/2006/relationships/hyperlink" Target="https://doi.org/10.1016/j.jclepro.2012.10.007" TargetMode="External"/><Relationship Id="rId30" Type="http://schemas.openxmlformats.org/officeDocument/2006/relationships/hyperlink" Target="https://doi.org/10.1016/j.aaspro.2016.02.009" TargetMode="External"/><Relationship Id="rId35" Type="http://schemas.openxmlformats.org/officeDocument/2006/relationships/hyperlink" Target="https://doi.org/10.1108/17511060710817221" TargetMode="External"/><Relationship Id="rId43" Type="http://schemas.openxmlformats.org/officeDocument/2006/relationships/hyperlink" Target="https://doi.org/10.1016/j.mar.2012.06.003" TargetMode="External"/><Relationship Id="rId48" Type="http://schemas.openxmlformats.org/officeDocument/2006/relationships/hyperlink" Target="https://doi.org/10.1002/bse.739" TargetMode="External"/><Relationship Id="rId56" Type="http://schemas.openxmlformats.org/officeDocument/2006/relationships/hyperlink" Target="https://doi.org/10.3390/su12125223" TargetMode="External"/><Relationship Id="rId64" Type="http://schemas.openxmlformats.org/officeDocument/2006/relationships/hyperlink" Target="https://doi.org/10.1108/JIC-07-2024-0204" TargetMode="External"/><Relationship Id="rId69" Type="http://schemas.openxmlformats.org/officeDocument/2006/relationships/hyperlink" Target="https://doi.org/10.1007/s00477-020-01769-1" TargetMode="External"/><Relationship Id="rId77" Type="http://schemas.openxmlformats.org/officeDocument/2006/relationships/hyperlink" Target="https://doi.org/10.1002/bse.651" TargetMode="External"/><Relationship Id="rId100" Type="http://schemas.openxmlformats.org/officeDocument/2006/relationships/footer" Target="footer3.xml"/><Relationship Id="rId8" Type="http://schemas.openxmlformats.org/officeDocument/2006/relationships/hyperlink" Target="https://doi.org/10.1016/j.bar.2007.11.003" TargetMode="External"/><Relationship Id="rId51" Type="http://schemas.openxmlformats.org/officeDocument/2006/relationships/hyperlink" Target="https://doi.org/10.1016/j.mar.2007.02.001" TargetMode="External"/><Relationship Id="rId72" Type="http://schemas.openxmlformats.org/officeDocument/2006/relationships/hyperlink" Target="https://doi.org/10.1007/s10551-015-2806-y" TargetMode="External"/><Relationship Id="rId80" Type="http://schemas.openxmlformats.org/officeDocument/2006/relationships/hyperlink" Target="https://doi.org/10.1016/j.jclepro.2016.09.103" TargetMode="External"/><Relationship Id="rId85" Type="http://schemas.openxmlformats.org/officeDocument/2006/relationships/hyperlink" Target="https://doi.org/10.3390/su14073949" TargetMode="External"/><Relationship Id="rId93" Type="http://schemas.openxmlformats.org/officeDocument/2006/relationships/image" Target="media/image1.png"/><Relationship Id="rId9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02/bse.3227" TargetMode="External"/><Relationship Id="rId17" Type="http://schemas.openxmlformats.org/officeDocument/2006/relationships/hyperlink" Target="https://doi.org/10.1108/JKM-12-2021-0953" TargetMode="External"/><Relationship Id="rId25" Type="http://schemas.openxmlformats.org/officeDocument/2006/relationships/hyperlink" Target="https://doi.org/10.1016/j.bar.2014.10.003" TargetMode="External"/><Relationship Id="rId33" Type="http://schemas.openxmlformats.org/officeDocument/2006/relationships/hyperlink" Target="https://doi.org/10.1515/fman-2015-0024" TargetMode="External"/><Relationship Id="rId38" Type="http://schemas.openxmlformats.org/officeDocument/2006/relationships/hyperlink" Target="https://doi.org/10.1080/01605682.2020.1718015" TargetMode="External"/><Relationship Id="rId46" Type="http://schemas.openxmlformats.org/officeDocument/2006/relationships/hyperlink" Target="https://doi.org/10.1016/j.jclepro.2021.127402" TargetMode="External"/><Relationship Id="rId59" Type="http://schemas.openxmlformats.org/officeDocument/2006/relationships/hyperlink" Target="https://doi.org/10.1016/j.jclepro.2016.05.008" TargetMode="External"/><Relationship Id="rId67" Type="http://schemas.openxmlformats.org/officeDocument/2006/relationships/hyperlink" Target="https://doi.org/10.1080/01559982.2025.2489239" TargetMode="External"/><Relationship Id="rId20" Type="http://schemas.openxmlformats.org/officeDocument/2006/relationships/hyperlink" Target="https://doi.org/10.1016/j.jclepro.2019.03.227" TargetMode="External"/><Relationship Id="rId41" Type="http://schemas.openxmlformats.org/officeDocument/2006/relationships/hyperlink" Target="https://doi.org/10.1177/1938965514549657" TargetMode="External"/><Relationship Id="rId54" Type="http://schemas.openxmlformats.org/officeDocument/2006/relationships/hyperlink" Target="https://doi.org/10.1016/j.jclepro.2005.08.006" TargetMode="External"/><Relationship Id="rId62" Type="http://schemas.openxmlformats.org/officeDocument/2006/relationships/hyperlink" Target="https://doi.org/10.1108/BFJ-03-2022-0298" TargetMode="External"/><Relationship Id="rId70" Type="http://schemas.openxmlformats.org/officeDocument/2006/relationships/hyperlink" Target="https://doi.org/10.1016/j.wep.2019.05.001" TargetMode="External"/><Relationship Id="rId75" Type="http://schemas.openxmlformats.org/officeDocument/2006/relationships/hyperlink" Target="https://doi.org/10.1007/s10661-020-08586-7" TargetMode="External"/><Relationship Id="rId83" Type="http://schemas.openxmlformats.org/officeDocument/2006/relationships/hyperlink" Target="https://doi.org/10.1002/bse.2436" TargetMode="External"/><Relationship Id="rId88" Type="http://schemas.openxmlformats.org/officeDocument/2006/relationships/hyperlink" Target="https://doi.org/10.1016/0361-3682(78)90007-7" TargetMode="External"/><Relationship Id="rId91" Type="http://schemas.openxmlformats.org/officeDocument/2006/relationships/hyperlink" Target="http://dx.doi.org/10.32479/ijeep.8369"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08/BFJ-08-2019-0653" TargetMode="External"/><Relationship Id="rId23" Type="http://schemas.openxmlformats.org/officeDocument/2006/relationships/hyperlink" Target="https://doi.org/10.1016/S0361-3682(01)00027-7" TargetMode="External"/><Relationship Id="rId28" Type="http://schemas.openxmlformats.org/officeDocument/2006/relationships/hyperlink" Target="https://doi.org/10.1016/j.jclepro.2017.03.147" TargetMode="External"/><Relationship Id="rId36" Type="http://schemas.openxmlformats.org/officeDocument/2006/relationships/hyperlink" Target="https://doi.org/10.1108/09513571011080180" TargetMode="External"/><Relationship Id="rId49" Type="http://schemas.openxmlformats.org/officeDocument/2006/relationships/hyperlink" Target="https://doi.org/10.1111/acfi.12936" TargetMode="External"/><Relationship Id="rId57" Type="http://schemas.openxmlformats.org/officeDocument/2006/relationships/hyperlink" Target="https://doi.org/10.62754/joe.v3i8.4835" TargetMode="External"/><Relationship Id="rId10" Type="http://schemas.openxmlformats.org/officeDocument/2006/relationships/hyperlink" Target="https://doi.org/10.1108/MEQ-01-2020-0019" TargetMode="External"/><Relationship Id="rId31" Type="http://schemas.openxmlformats.org/officeDocument/2006/relationships/hyperlink" Target="https://doi.org/10.1108/JAOC-11-2021-0157" TargetMode="External"/><Relationship Id="rId44" Type="http://schemas.openxmlformats.org/officeDocument/2006/relationships/hyperlink" Target="https://doi.org/10.1016/0361-3682(76)90007-6" TargetMode="External"/><Relationship Id="rId52" Type="http://schemas.openxmlformats.org/officeDocument/2006/relationships/hyperlink" Target="https://www.oiv.int/" TargetMode="External"/><Relationship Id="rId60" Type="http://schemas.openxmlformats.org/officeDocument/2006/relationships/hyperlink" Target="https://doi.org/10.1016/j.jclepro.2017.09.172" TargetMode="External"/><Relationship Id="rId65" Type="http://schemas.openxmlformats.org/officeDocument/2006/relationships/hyperlink" Target="https://doi.org/10.1002/bse.433" TargetMode="External"/><Relationship Id="rId73" Type="http://schemas.openxmlformats.org/officeDocument/2006/relationships/hyperlink" Target="https://doi.org/10.1016/j.jclepro.2017.11.092" TargetMode="External"/><Relationship Id="rId78" Type="http://schemas.openxmlformats.org/officeDocument/2006/relationships/hyperlink" Target="https://doi.org/10.1108/BPMJ-06-2020-0264" TargetMode="External"/><Relationship Id="rId81" Type="http://schemas.openxmlformats.org/officeDocument/2006/relationships/hyperlink" Target="https://doi.org/10.1108/MSCRA-01-2021-0001" TargetMode="External"/><Relationship Id="rId86" Type="http://schemas.openxmlformats.org/officeDocument/2006/relationships/hyperlink" Target="https://doi.org/10.1016/j.jclepro.2018.04.071" TargetMode="External"/><Relationship Id="rId94" Type="http://schemas.openxmlformats.org/officeDocument/2006/relationships/image" Target="media/image2.png"/><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ijhm.2016.09.006" TargetMode="External"/><Relationship Id="rId13" Type="http://schemas.openxmlformats.org/officeDocument/2006/relationships/hyperlink" Target="https://doi.org/10.1002/bse.2875" TargetMode="External"/><Relationship Id="rId18" Type="http://schemas.openxmlformats.org/officeDocument/2006/relationships/hyperlink" Target="https://doi.org/10.1002/bse.379" TargetMode="External"/><Relationship Id="rId39" Type="http://schemas.openxmlformats.org/officeDocument/2006/relationships/hyperlink" Target="https://doi.org/10.3390/agriculture1212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AAA24-BD81-45CF-9C0D-ECFB7307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14640</Words>
  <Characters>83454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Januario Monteiro (NBS - Staff)</dc:creator>
  <cp:lastModifiedBy>Januario Monteiro (NBS - Staff)</cp:lastModifiedBy>
  <cp:revision>6</cp:revision>
  <cp:lastPrinted>2026-02-25T15:21:00Z</cp:lastPrinted>
  <dcterms:created xsi:type="dcterms:W3CDTF">2025-09-23T10:55:00Z</dcterms:created>
  <dcterms:modified xsi:type="dcterms:W3CDTF">2026-02-25T15:21:00Z</dcterms:modified>
</cp:coreProperties>
</file>