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32D47" w14:textId="3BA05921" w:rsidR="00410F69" w:rsidRPr="00216B7D" w:rsidRDefault="00410F69" w:rsidP="00D42B18">
      <w:pPr>
        <w:spacing w:line="480" w:lineRule="auto"/>
        <w:jc w:val="both"/>
        <w:rPr>
          <w:rFonts w:ascii="Times New Roman" w:hAnsi="Times New Roman"/>
          <w:b/>
          <w:bCs/>
        </w:rPr>
      </w:pPr>
      <w:r w:rsidRPr="00DB65F8">
        <w:rPr>
          <w:rFonts w:ascii="Times New Roman" w:hAnsi="Times New Roman"/>
          <w:b/>
          <w:bCs/>
          <w:spacing w:val="-1"/>
          <w:szCs w:val="18"/>
          <w:shd w:val="clear" w:color="auto" w:fill="FFFFFF"/>
        </w:rPr>
        <w:t xml:space="preserve">Chapter </w:t>
      </w:r>
      <w:r w:rsidR="000231D4">
        <w:rPr>
          <w:rFonts w:ascii="Times New Roman" w:hAnsi="Times New Roman"/>
          <w:b/>
          <w:bCs/>
          <w:spacing w:val="-1"/>
          <w:szCs w:val="18"/>
          <w:shd w:val="clear" w:color="auto" w:fill="FFFFFF"/>
        </w:rPr>
        <w:t>7</w:t>
      </w:r>
      <w:r w:rsidRPr="00DB65F8">
        <w:rPr>
          <w:rFonts w:ascii="Times New Roman" w:hAnsi="Times New Roman"/>
          <w:b/>
          <w:bCs/>
          <w:spacing w:val="-1"/>
          <w:szCs w:val="18"/>
          <w:shd w:val="clear" w:color="auto" w:fill="FFFFFF"/>
        </w:rPr>
        <w:t xml:space="preserve">: </w:t>
      </w:r>
      <w:r w:rsidRPr="00DB65F8">
        <w:rPr>
          <w:rFonts w:ascii="Times New Roman" w:hAnsi="Times New Roman"/>
          <w:b/>
          <w:bCs/>
          <w:i/>
          <w:iCs/>
        </w:rPr>
        <w:t xml:space="preserve">R v Uxbridge Magistrates Court and another ex </w:t>
      </w:r>
      <w:proofErr w:type="spellStart"/>
      <w:r w:rsidRPr="00DB65F8">
        <w:rPr>
          <w:rFonts w:ascii="Times New Roman" w:hAnsi="Times New Roman"/>
          <w:b/>
          <w:bCs/>
          <w:i/>
          <w:iCs/>
        </w:rPr>
        <w:t>parte</w:t>
      </w:r>
      <w:proofErr w:type="spellEnd"/>
      <w:r w:rsidRPr="00DB65F8">
        <w:rPr>
          <w:rFonts w:ascii="Times New Roman" w:hAnsi="Times New Roman"/>
          <w:b/>
          <w:bCs/>
          <w:i/>
          <w:iCs/>
        </w:rPr>
        <w:t xml:space="preserve"> Adimi</w:t>
      </w:r>
      <w:r w:rsidR="000231D4">
        <w:rPr>
          <w:rFonts w:ascii="Times New Roman" w:hAnsi="Times New Roman"/>
          <w:b/>
          <w:bCs/>
          <w:i/>
          <w:iCs/>
        </w:rPr>
        <w:t xml:space="preserve"> </w:t>
      </w:r>
      <w:r w:rsidR="000231D4">
        <w:rPr>
          <w:rFonts w:ascii="Times New Roman" w:hAnsi="Times New Roman"/>
          <w:b/>
          <w:bCs/>
        </w:rPr>
        <w:t>[1999]</w:t>
      </w:r>
      <w:r w:rsidR="00996C5E" w:rsidRPr="008703AD">
        <w:rPr>
          <w:rFonts w:ascii="Times New Roman" w:hAnsi="Times New Roman"/>
          <w:i/>
          <w:iCs/>
        </w:rPr>
        <w:t xml:space="preserve">: </w:t>
      </w:r>
      <w:r w:rsidR="00DB65F8" w:rsidRPr="00216B7D">
        <w:rPr>
          <w:rFonts w:ascii="Times New Roman" w:hAnsi="Times New Roman"/>
        </w:rPr>
        <w:t>“</w:t>
      </w:r>
      <w:r w:rsidR="00996C5E" w:rsidRPr="00216B7D">
        <w:rPr>
          <w:rFonts w:ascii="Times New Roman" w:hAnsi="Times New Roman"/>
          <w:b/>
          <w:bCs/>
        </w:rPr>
        <w:t xml:space="preserve">Article 31 must </w:t>
      </w:r>
      <w:r w:rsidR="00D36311">
        <w:rPr>
          <w:rFonts w:ascii="Times New Roman" w:hAnsi="Times New Roman"/>
          <w:b/>
          <w:bCs/>
        </w:rPr>
        <w:t xml:space="preserve">henceforth </w:t>
      </w:r>
      <w:r w:rsidR="00DB65F8" w:rsidRPr="00216B7D">
        <w:rPr>
          <w:rFonts w:ascii="Times New Roman" w:hAnsi="Times New Roman"/>
          <w:b/>
          <w:bCs/>
        </w:rPr>
        <w:t>be honoured</w:t>
      </w:r>
      <w:r w:rsidR="00D36311">
        <w:rPr>
          <w:rFonts w:ascii="Times New Roman" w:hAnsi="Times New Roman"/>
          <w:b/>
          <w:bCs/>
        </w:rPr>
        <w:t>.</w:t>
      </w:r>
      <w:r w:rsidR="00DB65F8" w:rsidRPr="00216B7D">
        <w:rPr>
          <w:rFonts w:ascii="Times New Roman" w:hAnsi="Times New Roman"/>
          <w:b/>
          <w:bCs/>
        </w:rPr>
        <w:t xml:space="preserve">” </w:t>
      </w:r>
    </w:p>
    <w:p w14:paraId="2741B91D" w14:textId="2E45F2D1" w:rsidR="00CE23ED" w:rsidRPr="009A755F" w:rsidRDefault="00CE23ED" w:rsidP="00D42B18">
      <w:pPr>
        <w:spacing w:line="480" w:lineRule="auto"/>
        <w:jc w:val="both"/>
        <w:rPr>
          <w:rFonts w:ascii="Times New Roman" w:hAnsi="Times New Roman"/>
          <w:b/>
          <w:bCs/>
        </w:rPr>
      </w:pPr>
      <w:r w:rsidRPr="009A755F">
        <w:rPr>
          <w:rFonts w:ascii="Times New Roman" w:hAnsi="Times New Roman"/>
          <w:b/>
          <w:bCs/>
        </w:rPr>
        <w:t xml:space="preserve">Kirsten </w:t>
      </w:r>
      <w:r w:rsidR="00FE2F9F" w:rsidRPr="009A755F">
        <w:rPr>
          <w:rFonts w:ascii="Times New Roman" w:hAnsi="Times New Roman"/>
          <w:b/>
          <w:bCs/>
        </w:rPr>
        <w:t>McConnachie</w:t>
      </w:r>
    </w:p>
    <w:p w14:paraId="15269DFF" w14:textId="77777777" w:rsidR="002900F2" w:rsidRPr="009A755F" w:rsidRDefault="002900F2" w:rsidP="00D42B18">
      <w:pPr>
        <w:spacing w:line="480" w:lineRule="auto"/>
        <w:jc w:val="both"/>
        <w:rPr>
          <w:rFonts w:ascii="Times New Roman" w:hAnsi="Times New Roman"/>
          <w:i/>
          <w:iCs/>
        </w:rPr>
      </w:pPr>
    </w:p>
    <w:p w14:paraId="1AECBC4D" w14:textId="524423AA" w:rsidR="00AB1064" w:rsidRPr="009A755F" w:rsidRDefault="00AB1064" w:rsidP="00D42B18">
      <w:pPr>
        <w:pStyle w:val="ListParagraph"/>
        <w:numPr>
          <w:ilvl w:val="0"/>
          <w:numId w:val="39"/>
        </w:numPr>
        <w:spacing w:line="480" w:lineRule="auto"/>
        <w:jc w:val="both"/>
        <w:rPr>
          <w:rFonts w:ascii="Times New Roman" w:hAnsi="Times New Roman"/>
          <w:b/>
          <w:bCs/>
        </w:rPr>
      </w:pPr>
      <w:r w:rsidRPr="009A755F">
        <w:rPr>
          <w:rFonts w:ascii="Times New Roman" w:hAnsi="Times New Roman"/>
          <w:b/>
          <w:bCs/>
        </w:rPr>
        <w:t xml:space="preserve">Introduction </w:t>
      </w:r>
    </w:p>
    <w:p w14:paraId="2B2919BB" w14:textId="013443AF" w:rsidR="009F03B8" w:rsidRPr="009A755F" w:rsidRDefault="005E591B" w:rsidP="00D42B18">
      <w:pPr>
        <w:spacing w:line="480" w:lineRule="auto"/>
        <w:jc w:val="both"/>
        <w:rPr>
          <w:rFonts w:ascii="Times New Roman" w:hAnsi="Times New Roman"/>
        </w:rPr>
      </w:pPr>
      <w:r w:rsidRPr="009A755F">
        <w:rPr>
          <w:rFonts w:ascii="Times New Roman" w:hAnsi="Times New Roman"/>
          <w:i/>
          <w:iCs/>
        </w:rPr>
        <w:t>R</w:t>
      </w:r>
      <w:r w:rsidR="00E10A27" w:rsidRPr="009A755F">
        <w:rPr>
          <w:rFonts w:ascii="Times New Roman" w:hAnsi="Times New Roman"/>
          <w:i/>
          <w:iCs/>
        </w:rPr>
        <w:t xml:space="preserve"> v Uxbridge Magistrates Court and another ex </w:t>
      </w:r>
      <w:proofErr w:type="spellStart"/>
      <w:r w:rsidR="00E10A27" w:rsidRPr="009A755F">
        <w:rPr>
          <w:rFonts w:ascii="Times New Roman" w:hAnsi="Times New Roman"/>
          <w:i/>
          <w:iCs/>
        </w:rPr>
        <w:t>parte</w:t>
      </w:r>
      <w:proofErr w:type="spellEnd"/>
      <w:r w:rsidR="00E10A27" w:rsidRPr="009A755F">
        <w:rPr>
          <w:rFonts w:ascii="Times New Roman" w:hAnsi="Times New Roman"/>
          <w:i/>
          <w:iCs/>
        </w:rPr>
        <w:t xml:space="preserve"> Adimi</w:t>
      </w:r>
      <w:r w:rsidR="0033438E" w:rsidRPr="009A755F">
        <w:rPr>
          <w:rStyle w:val="FootnoteReference"/>
          <w:rFonts w:ascii="Times New Roman" w:hAnsi="Times New Roman"/>
          <w:i/>
          <w:iCs/>
        </w:rPr>
        <w:footnoteReference w:id="2"/>
      </w:r>
      <w:r w:rsidR="00E10A27" w:rsidRPr="009A755F">
        <w:rPr>
          <w:rFonts w:ascii="Times New Roman" w:hAnsi="Times New Roman"/>
          <w:i/>
          <w:iCs/>
        </w:rPr>
        <w:t xml:space="preserve"> </w:t>
      </w:r>
      <w:r w:rsidR="00E10A27" w:rsidRPr="009A755F">
        <w:rPr>
          <w:rFonts w:ascii="Times New Roman" w:hAnsi="Times New Roman"/>
        </w:rPr>
        <w:t xml:space="preserve">is a foundational decision in </w:t>
      </w:r>
      <w:r w:rsidR="00BC5736" w:rsidRPr="009A755F">
        <w:rPr>
          <w:rFonts w:ascii="Times New Roman" w:hAnsi="Times New Roman"/>
        </w:rPr>
        <w:t xml:space="preserve">the </w:t>
      </w:r>
      <w:r w:rsidR="00E10A27" w:rsidRPr="009A755F">
        <w:rPr>
          <w:rFonts w:ascii="Times New Roman" w:hAnsi="Times New Roman"/>
        </w:rPr>
        <w:t xml:space="preserve">jurisprudence on </w:t>
      </w:r>
      <w:r w:rsidR="00FD69FD" w:rsidRPr="009A755F">
        <w:rPr>
          <w:rFonts w:ascii="Times New Roman" w:hAnsi="Times New Roman"/>
        </w:rPr>
        <w:t>a</w:t>
      </w:r>
      <w:r w:rsidR="00E10A27" w:rsidRPr="009A755F">
        <w:rPr>
          <w:rFonts w:ascii="Times New Roman" w:hAnsi="Times New Roman"/>
        </w:rPr>
        <w:t>rticle 31</w:t>
      </w:r>
      <w:r w:rsidR="00BA28AB" w:rsidRPr="009A755F">
        <w:rPr>
          <w:rFonts w:ascii="Times New Roman" w:hAnsi="Times New Roman"/>
        </w:rPr>
        <w:t>(1)</w:t>
      </w:r>
      <w:r w:rsidR="00E10A27" w:rsidRPr="009A755F">
        <w:rPr>
          <w:rFonts w:ascii="Times New Roman" w:hAnsi="Times New Roman"/>
        </w:rPr>
        <w:t xml:space="preserve"> of the 1951 Convention</w:t>
      </w:r>
      <w:r w:rsidR="00A07AFE" w:rsidRPr="009A755F">
        <w:rPr>
          <w:rFonts w:ascii="Times New Roman" w:hAnsi="Times New Roman"/>
        </w:rPr>
        <w:t xml:space="preserve"> Relating to the Status of Refugees</w:t>
      </w:r>
      <w:r w:rsidR="00E10A27" w:rsidRPr="009A755F">
        <w:rPr>
          <w:rFonts w:ascii="Times New Roman" w:hAnsi="Times New Roman"/>
        </w:rPr>
        <w:t xml:space="preserve">. </w:t>
      </w:r>
      <w:r w:rsidR="00815FFD" w:rsidRPr="009A755F">
        <w:rPr>
          <w:rFonts w:ascii="Times New Roman" w:hAnsi="Times New Roman"/>
        </w:rPr>
        <w:t>Article 31 contains t</w:t>
      </w:r>
      <w:r w:rsidR="00815ADC" w:rsidRPr="009A755F">
        <w:rPr>
          <w:rFonts w:ascii="Times New Roman" w:hAnsi="Times New Roman"/>
        </w:rPr>
        <w:t xml:space="preserve">he principle of non-penalisation </w:t>
      </w:r>
      <w:r w:rsidR="00815FFD" w:rsidRPr="009A755F">
        <w:rPr>
          <w:rFonts w:ascii="Times New Roman" w:hAnsi="Times New Roman"/>
        </w:rPr>
        <w:t>of refugees for unlawful entry</w:t>
      </w:r>
      <w:r w:rsidR="006A7FDF" w:rsidRPr="009A755F">
        <w:rPr>
          <w:rFonts w:ascii="Times New Roman" w:hAnsi="Times New Roman"/>
        </w:rPr>
        <w:t xml:space="preserve"> to the country of refuge</w:t>
      </w:r>
      <w:r w:rsidR="009F03B8" w:rsidRPr="009A755F">
        <w:rPr>
          <w:rFonts w:ascii="Times New Roman" w:hAnsi="Times New Roman"/>
        </w:rPr>
        <w:t xml:space="preserve">, which </w:t>
      </w:r>
      <w:r w:rsidR="00486D07">
        <w:rPr>
          <w:rFonts w:ascii="Times New Roman" w:hAnsi="Times New Roman"/>
        </w:rPr>
        <w:t>has been</w:t>
      </w:r>
      <w:r w:rsidR="00486D07" w:rsidRPr="009A755F">
        <w:rPr>
          <w:rFonts w:ascii="Times New Roman" w:hAnsi="Times New Roman"/>
        </w:rPr>
        <w:t xml:space="preserve"> </w:t>
      </w:r>
      <w:r w:rsidR="00815ADC" w:rsidRPr="009A755F">
        <w:rPr>
          <w:rFonts w:ascii="Times New Roman" w:hAnsi="Times New Roman"/>
        </w:rPr>
        <w:t xml:space="preserve">described </w:t>
      </w:r>
      <w:r w:rsidR="009F03B8" w:rsidRPr="009A755F">
        <w:rPr>
          <w:rFonts w:ascii="Times New Roman" w:hAnsi="Times New Roman"/>
        </w:rPr>
        <w:t xml:space="preserve">by Lord Bingham in </w:t>
      </w:r>
      <w:r w:rsidR="009F03B8" w:rsidRPr="009A755F">
        <w:rPr>
          <w:rFonts w:ascii="Times New Roman" w:hAnsi="Times New Roman"/>
          <w:i/>
          <w:iCs/>
        </w:rPr>
        <w:t xml:space="preserve">Asfaw </w:t>
      </w:r>
      <w:r w:rsidR="00815ADC" w:rsidRPr="009A755F">
        <w:rPr>
          <w:rFonts w:ascii="Times New Roman" w:hAnsi="Times New Roman"/>
        </w:rPr>
        <w:t>as one of the three “broad humanitarian aims” of the Refugee Convention</w:t>
      </w:r>
      <w:r w:rsidR="00815FFD" w:rsidRPr="009A755F">
        <w:rPr>
          <w:rFonts w:ascii="Times New Roman" w:hAnsi="Times New Roman"/>
        </w:rPr>
        <w:t xml:space="preserve"> and by UNHCR as “central to the object an</w:t>
      </w:r>
      <w:r w:rsidR="00170FE8" w:rsidRPr="009A755F">
        <w:rPr>
          <w:rFonts w:ascii="Times New Roman" w:hAnsi="Times New Roman"/>
        </w:rPr>
        <w:t>d purpose of the 1951 Convention</w:t>
      </w:r>
      <w:r w:rsidR="008703AD">
        <w:rPr>
          <w:rFonts w:ascii="Times New Roman" w:hAnsi="Times New Roman"/>
        </w:rPr>
        <w:t>”</w:t>
      </w:r>
      <w:r w:rsidR="00170FE8" w:rsidRPr="009A755F">
        <w:rPr>
          <w:rFonts w:ascii="Times New Roman" w:hAnsi="Times New Roman"/>
        </w:rPr>
        <w:t>.</w:t>
      </w:r>
      <w:r w:rsidR="00170FE8" w:rsidRPr="009A755F">
        <w:rPr>
          <w:rStyle w:val="FootnoteReference"/>
          <w:rFonts w:ascii="Times New Roman" w:hAnsi="Times New Roman"/>
        </w:rPr>
        <w:footnoteReference w:id="3"/>
      </w:r>
      <w:r w:rsidR="00815ADC" w:rsidRPr="009A755F">
        <w:rPr>
          <w:rFonts w:ascii="Times New Roman" w:hAnsi="Times New Roman"/>
        </w:rPr>
        <w:t xml:space="preserve"> </w:t>
      </w:r>
    </w:p>
    <w:p w14:paraId="77886644" w14:textId="52B7C107" w:rsidR="00815ADC" w:rsidRPr="009A755F" w:rsidRDefault="006A7FDF" w:rsidP="00D42B18">
      <w:pPr>
        <w:spacing w:line="480" w:lineRule="auto"/>
        <w:jc w:val="both"/>
        <w:rPr>
          <w:rFonts w:ascii="Times New Roman" w:hAnsi="Times New Roman"/>
        </w:rPr>
      </w:pPr>
      <w:r w:rsidRPr="009A755F">
        <w:rPr>
          <w:rFonts w:ascii="Times New Roman" w:hAnsi="Times New Roman"/>
        </w:rPr>
        <w:t>Th</w:t>
      </w:r>
      <w:r w:rsidR="00486D07">
        <w:rPr>
          <w:rFonts w:ascii="Times New Roman" w:hAnsi="Times New Roman"/>
        </w:rPr>
        <w:t>e</w:t>
      </w:r>
      <w:r w:rsidRPr="009A755F">
        <w:rPr>
          <w:rFonts w:ascii="Times New Roman" w:hAnsi="Times New Roman"/>
        </w:rPr>
        <w:t xml:space="preserve"> protection </w:t>
      </w:r>
      <w:r w:rsidR="00486D07">
        <w:rPr>
          <w:rFonts w:ascii="Times New Roman" w:hAnsi="Times New Roman"/>
        </w:rPr>
        <w:t xml:space="preserve">afforded by article 31 </w:t>
      </w:r>
      <w:r w:rsidR="00815ADC" w:rsidRPr="009A755F">
        <w:rPr>
          <w:rFonts w:ascii="Times New Roman" w:hAnsi="Times New Roman"/>
        </w:rPr>
        <w:t xml:space="preserve">has become increasingly important as stricter border regimes and a growing entanglement of criminal law in migration policy have resulted in large numbers of refugees facing criminal and other penalties in precisely the circumstances that article 31 prohibits. </w:t>
      </w:r>
      <w:r w:rsidR="00815ADC" w:rsidRPr="009A755F">
        <w:rPr>
          <w:rFonts w:ascii="Times New Roman" w:hAnsi="Times New Roman"/>
          <w:i/>
          <w:iCs/>
        </w:rPr>
        <w:t xml:space="preserve">Adimi </w:t>
      </w:r>
      <w:r w:rsidR="00815ADC" w:rsidRPr="009A755F">
        <w:rPr>
          <w:rFonts w:ascii="Times New Roman" w:hAnsi="Times New Roman"/>
        </w:rPr>
        <w:t>was one of the first decisions to engage with the consequences of such policies and as such can be seen as an early warning of emerging tensions between Refugee Convention obligations and state border controls. Over subsequent decades this clash has come to dominate political and legal discourse throughout much of the Global North</w:t>
      </w:r>
      <w:r w:rsidR="00EB50C9">
        <w:rPr>
          <w:rFonts w:ascii="Times New Roman" w:hAnsi="Times New Roman"/>
        </w:rPr>
        <w:t xml:space="preserve">. It </w:t>
      </w:r>
      <w:r w:rsidR="00815ADC" w:rsidRPr="009A755F">
        <w:rPr>
          <w:rFonts w:ascii="Times New Roman" w:hAnsi="Times New Roman"/>
        </w:rPr>
        <w:t xml:space="preserve">is </w:t>
      </w:r>
      <w:r w:rsidR="00DE3110" w:rsidRPr="009A755F">
        <w:rPr>
          <w:rFonts w:ascii="Times New Roman" w:hAnsi="Times New Roman"/>
        </w:rPr>
        <w:t xml:space="preserve">now </w:t>
      </w:r>
      <w:r w:rsidR="00815ADC" w:rsidRPr="009A755F">
        <w:rPr>
          <w:rFonts w:ascii="Times New Roman" w:hAnsi="Times New Roman"/>
        </w:rPr>
        <w:t xml:space="preserve">exemplified </w:t>
      </w:r>
      <w:r w:rsidR="00DE3110" w:rsidRPr="009A755F">
        <w:rPr>
          <w:rFonts w:ascii="Times New Roman" w:hAnsi="Times New Roman"/>
        </w:rPr>
        <w:t xml:space="preserve">in the widespread </w:t>
      </w:r>
      <w:r w:rsidR="00815ADC" w:rsidRPr="009A755F">
        <w:rPr>
          <w:rFonts w:ascii="Times New Roman" w:hAnsi="Times New Roman"/>
        </w:rPr>
        <w:t>criminalisation of migration</w:t>
      </w:r>
      <w:r w:rsidR="00DE3110" w:rsidRPr="009A755F">
        <w:rPr>
          <w:rFonts w:ascii="Times New Roman" w:hAnsi="Times New Roman"/>
        </w:rPr>
        <w:t xml:space="preserve"> but also in procedures </w:t>
      </w:r>
      <w:r w:rsidR="000E6058" w:rsidRPr="009A755F">
        <w:rPr>
          <w:rFonts w:ascii="Times New Roman" w:hAnsi="Times New Roman"/>
        </w:rPr>
        <w:t xml:space="preserve">that seek to regulate access to a state’s asylum system through externalisation agreements, </w:t>
      </w:r>
      <w:r w:rsidR="00815ADC" w:rsidRPr="009A755F">
        <w:rPr>
          <w:rFonts w:ascii="Times New Roman" w:hAnsi="Times New Roman"/>
        </w:rPr>
        <w:t>safe third country regimes</w:t>
      </w:r>
      <w:r w:rsidR="000E6058" w:rsidRPr="009A755F">
        <w:rPr>
          <w:rFonts w:ascii="Times New Roman" w:hAnsi="Times New Roman"/>
        </w:rPr>
        <w:t xml:space="preserve">, </w:t>
      </w:r>
      <w:r w:rsidR="00815ADC" w:rsidRPr="009A755F">
        <w:rPr>
          <w:rFonts w:ascii="Times New Roman" w:hAnsi="Times New Roman"/>
        </w:rPr>
        <w:t xml:space="preserve">country of first asylum </w:t>
      </w:r>
      <w:r w:rsidR="000E6058" w:rsidRPr="009A755F">
        <w:rPr>
          <w:rFonts w:ascii="Times New Roman" w:hAnsi="Times New Roman"/>
        </w:rPr>
        <w:t xml:space="preserve">and safe country of origin </w:t>
      </w:r>
      <w:r w:rsidR="00815ADC" w:rsidRPr="009A755F">
        <w:rPr>
          <w:rFonts w:ascii="Times New Roman" w:hAnsi="Times New Roman"/>
        </w:rPr>
        <w:t>policies – practices that directly implicate article 31 protection.</w:t>
      </w:r>
      <w:r w:rsidR="00815ADC" w:rsidRPr="009A755F">
        <w:rPr>
          <w:rStyle w:val="FootnoteReference"/>
          <w:rFonts w:ascii="Times New Roman" w:hAnsi="Times New Roman"/>
        </w:rPr>
        <w:footnoteReference w:id="4"/>
      </w:r>
    </w:p>
    <w:p w14:paraId="3D178F98" w14:textId="36C176CD" w:rsidR="008F5F4D" w:rsidRPr="009A755F" w:rsidRDefault="00510BEA" w:rsidP="00D42B18">
      <w:pPr>
        <w:spacing w:line="480" w:lineRule="auto"/>
        <w:jc w:val="both"/>
        <w:rPr>
          <w:rFonts w:ascii="Times New Roman" w:hAnsi="Times New Roman"/>
        </w:rPr>
      </w:pPr>
      <w:r w:rsidRPr="009A755F">
        <w:rPr>
          <w:rFonts w:ascii="Times New Roman" w:hAnsi="Times New Roman"/>
        </w:rPr>
        <w:t xml:space="preserve">The full text of </w:t>
      </w:r>
      <w:r w:rsidR="00815ADC" w:rsidRPr="009A755F">
        <w:rPr>
          <w:rFonts w:ascii="Times New Roman" w:hAnsi="Times New Roman"/>
        </w:rPr>
        <w:t>article 31 is</w:t>
      </w:r>
      <w:r w:rsidRPr="009A755F">
        <w:rPr>
          <w:rFonts w:ascii="Times New Roman" w:hAnsi="Times New Roman"/>
        </w:rPr>
        <w:t>:</w:t>
      </w:r>
      <w:r w:rsidR="008F5F4D" w:rsidRPr="009A755F">
        <w:rPr>
          <w:rFonts w:ascii="Times New Roman" w:hAnsi="Times New Roman"/>
        </w:rPr>
        <w:t xml:space="preserve"> </w:t>
      </w:r>
    </w:p>
    <w:p w14:paraId="4BEC93D5" w14:textId="36F770D6" w:rsidR="008F5F4D" w:rsidRPr="009A755F" w:rsidRDefault="00510BEA" w:rsidP="00D42B18">
      <w:pPr>
        <w:spacing w:line="480" w:lineRule="auto"/>
        <w:ind w:left="720"/>
        <w:jc w:val="both"/>
        <w:rPr>
          <w:rFonts w:ascii="Times New Roman" w:hAnsi="Times New Roman"/>
        </w:rPr>
      </w:pPr>
      <w:r w:rsidRPr="009A755F">
        <w:rPr>
          <w:rFonts w:ascii="Times New Roman" w:hAnsi="Times New Roman"/>
        </w:rPr>
        <w:lastRenderedPageBreak/>
        <w:t>31</w:t>
      </w:r>
      <w:r w:rsidR="00495865" w:rsidRPr="009A755F">
        <w:rPr>
          <w:rFonts w:ascii="Times New Roman" w:hAnsi="Times New Roman"/>
        </w:rPr>
        <w:t>(</w:t>
      </w:r>
      <w:r w:rsidR="008F5F4D" w:rsidRPr="009A755F">
        <w:rPr>
          <w:rFonts w:ascii="Times New Roman" w:hAnsi="Times New Roman"/>
        </w:rPr>
        <w:t>1</w:t>
      </w:r>
      <w:r w:rsidR="00495865" w:rsidRPr="009A755F">
        <w:rPr>
          <w:rFonts w:ascii="Times New Roman" w:hAnsi="Times New Roman"/>
        </w:rPr>
        <w:t>)</w:t>
      </w:r>
      <w:r w:rsidR="008F5F4D" w:rsidRPr="009A755F">
        <w:rPr>
          <w:rFonts w:ascii="Times New Roman" w:hAnsi="Times New Roman"/>
        </w:rPr>
        <w:t xml:space="preserve"> The Contracting States shall not impose penalties, on account of their illegal entry or presence, on refugees who, coming directly from a territory where their life or freedom was threatened in the sense of Article 1, enter or are present in their territory without authorization, provided they present themselves without delay to the authorities and show good cause for their illegal entry or presence. </w:t>
      </w:r>
    </w:p>
    <w:p w14:paraId="4DF03582" w14:textId="0BA3B0ED" w:rsidR="008F5F4D" w:rsidRPr="009A755F" w:rsidRDefault="00510BEA" w:rsidP="00D42B18">
      <w:pPr>
        <w:spacing w:line="480" w:lineRule="auto"/>
        <w:ind w:left="720"/>
        <w:jc w:val="both"/>
        <w:rPr>
          <w:rFonts w:ascii="Times New Roman" w:hAnsi="Times New Roman"/>
        </w:rPr>
      </w:pPr>
      <w:r w:rsidRPr="009A755F">
        <w:rPr>
          <w:rFonts w:ascii="Times New Roman" w:hAnsi="Times New Roman"/>
        </w:rPr>
        <w:t>31</w:t>
      </w:r>
      <w:r w:rsidR="00495865" w:rsidRPr="009A755F">
        <w:rPr>
          <w:rFonts w:ascii="Times New Roman" w:hAnsi="Times New Roman"/>
        </w:rPr>
        <w:t>(2)</w:t>
      </w:r>
      <w:r w:rsidR="008F5F4D" w:rsidRPr="009A755F">
        <w:rPr>
          <w:rFonts w:ascii="Times New Roman" w:hAnsi="Times New Roman"/>
        </w:rPr>
        <w:t xml:space="preserve"> The Contracting States shall not apply to the movements of such </w:t>
      </w:r>
      <w:proofErr w:type="gramStart"/>
      <w:r w:rsidR="008F5F4D" w:rsidRPr="009A755F">
        <w:rPr>
          <w:rFonts w:ascii="Times New Roman" w:hAnsi="Times New Roman"/>
        </w:rPr>
        <w:t>refugees</w:t>
      </w:r>
      <w:proofErr w:type="gramEnd"/>
      <w:r w:rsidR="008F5F4D" w:rsidRPr="009A755F">
        <w:rPr>
          <w:rFonts w:ascii="Times New Roman" w:hAnsi="Times New Roman"/>
        </w:rPr>
        <w:t xml:space="preserve"> restrictions other than those which are necessary and such restrictions shall only be applied until their status in the country is regularized or they obtain admission into another country. The Contracting States shall allow such refugees a reasonable period and all the necessary facilities to obtain admission into another country.</w:t>
      </w:r>
    </w:p>
    <w:p w14:paraId="669F2C4B" w14:textId="4AD13CE0" w:rsidR="008F5F4D" w:rsidRPr="009A755F" w:rsidRDefault="008F5F4D" w:rsidP="00D42B18">
      <w:pPr>
        <w:spacing w:line="480" w:lineRule="auto"/>
        <w:jc w:val="both"/>
        <w:rPr>
          <w:rFonts w:ascii="Times New Roman" w:hAnsi="Times New Roman"/>
        </w:rPr>
      </w:pPr>
      <w:r w:rsidRPr="009A755F">
        <w:rPr>
          <w:rFonts w:ascii="Times New Roman" w:hAnsi="Times New Roman"/>
          <w:i/>
          <w:iCs/>
        </w:rPr>
        <w:t xml:space="preserve">Adimi </w:t>
      </w:r>
      <w:r w:rsidRPr="009A755F">
        <w:rPr>
          <w:rFonts w:ascii="Times New Roman" w:hAnsi="Times New Roman"/>
        </w:rPr>
        <w:t>was concerned with article 31(1), a provision that raises several interpretive questions. The central obligation (“Contracting States shall not impose penalties, on account of their illegal entry or presence, on refugees”) requires interpretation as to both personal scope (who is a refugee) and substantive application (what is a penalty). This is followed by three further clauses or conditions of entitlement: “coming directly from a territory where their life or freedom was threatened”; “present themselves without delay to the authorities” and “show good cause for their illegal entry or presence”.</w:t>
      </w:r>
      <w:r w:rsidRPr="009A755F">
        <w:rPr>
          <w:rStyle w:val="FootnoteReference"/>
          <w:rFonts w:ascii="Times New Roman" w:hAnsi="Times New Roman"/>
        </w:rPr>
        <w:footnoteReference w:id="5"/>
      </w:r>
      <w:r w:rsidRPr="009A755F">
        <w:rPr>
          <w:rFonts w:ascii="Times New Roman" w:hAnsi="Times New Roman"/>
        </w:rPr>
        <w:t xml:space="preserve"> </w:t>
      </w:r>
      <w:r w:rsidR="00C909AB">
        <w:rPr>
          <w:rFonts w:ascii="Times New Roman" w:hAnsi="Times New Roman"/>
        </w:rPr>
        <w:t>T</w:t>
      </w:r>
      <w:r w:rsidRPr="009A755F">
        <w:rPr>
          <w:rFonts w:ascii="Times New Roman" w:hAnsi="Times New Roman"/>
        </w:rPr>
        <w:t xml:space="preserve">hese phrases </w:t>
      </w:r>
      <w:r w:rsidR="00C909AB">
        <w:rPr>
          <w:rFonts w:ascii="Times New Roman" w:hAnsi="Times New Roman"/>
        </w:rPr>
        <w:t xml:space="preserve">were </w:t>
      </w:r>
      <w:r w:rsidRPr="009A755F">
        <w:rPr>
          <w:rFonts w:ascii="Times New Roman" w:hAnsi="Times New Roman"/>
        </w:rPr>
        <w:t xml:space="preserve">scrutinised by the Court in </w:t>
      </w:r>
      <w:r w:rsidR="00815ADC" w:rsidRPr="009A755F">
        <w:rPr>
          <w:rFonts w:ascii="Times New Roman" w:hAnsi="Times New Roman"/>
          <w:i/>
          <w:iCs/>
        </w:rPr>
        <w:t xml:space="preserve">Adimi, </w:t>
      </w:r>
      <w:r w:rsidR="00815ADC" w:rsidRPr="009A755F">
        <w:rPr>
          <w:rFonts w:ascii="Times New Roman" w:hAnsi="Times New Roman"/>
        </w:rPr>
        <w:t xml:space="preserve">in </w:t>
      </w:r>
      <w:r w:rsidRPr="009A755F">
        <w:rPr>
          <w:rFonts w:ascii="Times New Roman" w:hAnsi="Times New Roman"/>
        </w:rPr>
        <w:t xml:space="preserve">a decision that exposed a significant gap in UK incorporation of the 1951 Refugee Convention and led directly to the adoption of s.31 of the Immigration and Asylum Act 1999 (providing refugees who have been charged with a range of false documentation offences with a statutory defence). </w:t>
      </w:r>
      <w:r w:rsidR="002526E5" w:rsidRPr="009A755F">
        <w:rPr>
          <w:rFonts w:ascii="Times New Roman" w:hAnsi="Times New Roman"/>
          <w:i/>
          <w:iCs/>
        </w:rPr>
        <w:t>Adimi</w:t>
      </w:r>
      <w:r w:rsidR="002526E5" w:rsidRPr="009A755F">
        <w:rPr>
          <w:rFonts w:ascii="Times New Roman" w:hAnsi="Times New Roman"/>
        </w:rPr>
        <w:t xml:space="preserve"> was a</w:t>
      </w:r>
      <w:r w:rsidR="00F9422C" w:rsidRPr="009A755F">
        <w:rPr>
          <w:rFonts w:ascii="Times New Roman" w:hAnsi="Times New Roman"/>
        </w:rPr>
        <w:t xml:space="preserve"> decision </w:t>
      </w:r>
      <w:r w:rsidR="002526E5" w:rsidRPr="009A755F">
        <w:rPr>
          <w:rFonts w:ascii="Times New Roman" w:hAnsi="Times New Roman"/>
        </w:rPr>
        <w:t xml:space="preserve">by </w:t>
      </w:r>
      <w:r w:rsidR="00F9422C" w:rsidRPr="009A755F">
        <w:rPr>
          <w:rFonts w:ascii="Times New Roman" w:hAnsi="Times New Roman"/>
        </w:rPr>
        <w:t xml:space="preserve">the Divisional Court </w:t>
      </w:r>
      <w:r w:rsidR="009964ED" w:rsidRPr="00E3680B">
        <w:rPr>
          <w:rFonts w:ascii="Times New Roman" w:hAnsi="Times New Roman"/>
        </w:rPr>
        <w:t>of the H</w:t>
      </w:r>
      <w:r w:rsidR="009964ED" w:rsidRPr="009A755F">
        <w:rPr>
          <w:rFonts w:ascii="Times New Roman" w:hAnsi="Times New Roman"/>
        </w:rPr>
        <w:t xml:space="preserve">igh Court </w:t>
      </w:r>
      <w:r w:rsidR="00F9422C" w:rsidRPr="009A755F">
        <w:rPr>
          <w:rFonts w:ascii="Times New Roman" w:hAnsi="Times New Roman"/>
        </w:rPr>
        <w:t>rather than the more senior Court of Appeal or apex Supreme Court</w:t>
      </w:r>
      <w:r w:rsidR="002526E5" w:rsidRPr="009A755F">
        <w:rPr>
          <w:rFonts w:ascii="Times New Roman" w:hAnsi="Times New Roman"/>
        </w:rPr>
        <w:t xml:space="preserve"> but </w:t>
      </w:r>
      <w:r w:rsidR="00F9422C" w:rsidRPr="009A755F">
        <w:rPr>
          <w:rFonts w:ascii="Times New Roman" w:hAnsi="Times New Roman"/>
        </w:rPr>
        <w:t xml:space="preserve">is nevertheless a landmark for its comprehensive analysis of the scope of article 31 protection and its realisation in UK domestic law. </w:t>
      </w:r>
      <w:r w:rsidR="00FC44F3" w:rsidRPr="009A755F">
        <w:rPr>
          <w:rFonts w:ascii="Times New Roman" w:hAnsi="Times New Roman"/>
        </w:rPr>
        <w:t xml:space="preserve"> </w:t>
      </w:r>
      <w:r w:rsidRPr="009A755F">
        <w:rPr>
          <w:rFonts w:ascii="Times New Roman" w:hAnsi="Times New Roman"/>
        </w:rPr>
        <w:t xml:space="preserve">Twenty-five years </w:t>
      </w:r>
      <w:r w:rsidR="00875E58" w:rsidRPr="009A755F">
        <w:rPr>
          <w:rFonts w:ascii="Times New Roman" w:hAnsi="Times New Roman"/>
        </w:rPr>
        <w:t>later</w:t>
      </w:r>
      <w:r w:rsidRPr="009A755F">
        <w:rPr>
          <w:rFonts w:ascii="Times New Roman" w:hAnsi="Times New Roman"/>
        </w:rPr>
        <w:t xml:space="preserve">, UNHCR Guidance on article 31(1) continues to </w:t>
      </w:r>
      <w:r w:rsidR="002710AF" w:rsidRPr="009A755F">
        <w:rPr>
          <w:rFonts w:ascii="Times New Roman" w:hAnsi="Times New Roman"/>
        </w:rPr>
        <w:t xml:space="preserve">follow </w:t>
      </w:r>
      <w:r w:rsidRPr="009A755F">
        <w:rPr>
          <w:rFonts w:ascii="Times New Roman" w:hAnsi="Times New Roman"/>
        </w:rPr>
        <w:t xml:space="preserve">the </w:t>
      </w:r>
      <w:r w:rsidRPr="009A755F">
        <w:rPr>
          <w:rFonts w:ascii="Times New Roman" w:hAnsi="Times New Roman"/>
        </w:rPr>
        <w:lastRenderedPageBreak/>
        <w:t xml:space="preserve">reasoning in </w:t>
      </w:r>
      <w:r w:rsidRPr="009A755F">
        <w:rPr>
          <w:rFonts w:ascii="Times New Roman" w:hAnsi="Times New Roman"/>
          <w:i/>
          <w:iCs/>
        </w:rPr>
        <w:t xml:space="preserve">Adimi </w:t>
      </w:r>
      <w:r w:rsidRPr="009A755F">
        <w:rPr>
          <w:rFonts w:ascii="Times New Roman" w:hAnsi="Times New Roman"/>
        </w:rPr>
        <w:t>and the case remains “one of the most thorough examinations of the scope of article 31 and the protection due” (Goodwin-Gill 2001).</w:t>
      </w:r>
      <w:r w:rsidRPr="009A755F">
        <w:rPr>
          <w:rStyle w:val="FootnoteReference"/>
          <w:rFonts w:ascii="Times New Roman" w:hAnsi="Times New Roman"/>
        </w:rPr>
        <w:footnoteReference w:id="6"/>
      </w:r>
      <w:r w:rsidR="009C287A" w:rsidRPr="009A755F">
        <w:rPr>
          <w:rFonts w:ascii="Times New Roman" w:hAnsi="Times New Roman"/>
        </w:rPr>
        <w:t xml:space="preserve"> </w:t>
      </w:r>
    </w:p>
    <w:p w14:paraId="0DF2196A" w14:textId="08E587DD" w:rsidR="008F5BBA" w:rsidRPr="009A755F" w:rsidRDefault="008F5F4D" w:rsidP="00D42B18">
      <w:pPr>
        <w:spacing w:line="480" w:lineRule="auto"/>
        <w:jc w:val="both"/>
        <w:rPr>
          <w:rFonts w:ascii="Times New Roman" w:hAnsi="Times New Roman"/>
          <w:b/>
          <w:bCs/>
          <w:i/>
          <w:iCs/>
        </w:rPr>
      </w:pPr>
      <w:r w:rsidRPr="009A755F">
        <w:rPr>
          <w:rFonts w:ascii="Times New Roman" w:hAnsi="Times New Roman"/>
        </w:rPr>
        <w:t xml:space="preserve">This chapter opens in Part 1 with an overview of the facts in </w:t>
      </w:r>
      <w:r w:rsidRPr="009A755F">
        <w:rPr>
          <w:rFonts w:ascii="Times New Roman" w:hAnsi="Times New Roman"/>
          <w:i/>
          <w:iCs/>
        </w:rPr>
        <w:t xml:space="preserve">R v Uxbridge Magistrates Court and another ex </w:t>
      </w:r>
      <w:proofErr w:type="spellStart"/>
      <w:r w:rsidRPr="009A755F">
        <w:rPr>
          <w:rFonts w:ascii="Times New Roman" w:hAnsi="Times New Roman"/>
          <w:i/>
          <w:iCs/>
        </w:rPr>
        <w:t>parte</w:t>
      </w:r>
      <w:proofErr w:type="spellEnd"/>
      <w:r w:rsidRPr="009A755F">
        <w:rPr>
          <w:rFonts w:ascii="Times New Roman" w:hAnsi="Times New Roman"/>
          <w:i/>
          <w:iCs/>
        </w:rPr>
        <w:t xml:space="preserve"> Adimi, </w:t>
      </w:r>
      <w:r w:rsidRPr="009A755F">
        <w:rPr>
          <w:rFonts w:ascii="Times New Roman" w:hAnsi="Times New Roman"/>
        </w:rPr>
        <w:t xml:space="preserve">before exploring three themes emerging from the judgment. Part 2 examines </w:t>
      </w:r>
      <w:r w:rsidRPr="009A755F">
        <w:rPr>
          <w:rFonts w:ascii="Times New Roman" w:hAnsi="Times New Roman"/>
          <w:i/>
          <w:iCs/>
        </w:rPr>
        <w:t xml:space="preserve">Adimi </w:t>
      </w:r>
      <w:r w:rsidRPr="009A755F">
        <w:rPr>
          <w:rFonts w:ascii="Times New Roman" w:hAnsi="Times New Roman"/>
        </w:rPr>
        <w:t xml:space="preserve">for its interpretation of the scope </w:t>
      </w:r>
      <w:r w:rsidR="00B67423" w:rsidRPr="009A755F">
        <w:rPr>
          <w:rFonts w:ascii="Times New Roman" w:hAnsi="Times New Roman"/>
        </w:rPr>
        <w:t xml:space="preserve">and terms of </w:t>
      </w:r>
      <w:r w:rsidRPr="009A755F">
        <w:rPr>
          <w:rFonts w:ascii="Times New Roman" w:hAnsi="Times New Roman"/>
        </w:rPr>
        <w:t xml:space="preserve">article 31(1). Part 3 considers the impact of </w:t>
      </w:r>
      <w:r w:rsidR="00AB0B61" w:rsidRPr="009A755F">
        <w:rPr>
          <w:rFonts w:ascii="Times New Roman" w:hAnsi="Times New Roman"/>
        </w:rPr>
        <w:t>the</w:t>
      </w:r>
      <w:r w:rsidR="00AB0B61" w:rsidRPr="009A755F">
        <w:rPr>
          <w:rFonts w:ascii="Times New Roman" w:hAnsi="Times New Roman"/>
          <w:i/>
          <w:iCs/>
        </w:rPr>
        <w:t xml:space="preserve"> </w:t>
      </w:r>
      <w:r w:rsidR="00AB0B61" w:rsidRPr="009A755F">
        <w:rPr>
          <w:rFonts w:ascii="Times New Roman" w:hAnsi="Times New Roman"/>
        </w:rPr>
        <w:t>judgment</w:t>
      </w:r>
      <w:r w:rsidR="00AB0B61" w:rsidRPr="009A755F">
        <w:rPr>
          <w:rFonts w:ascii="Times New Roman" w:hAnsi="Times New Roman"/>
          <w:i/>
          <w:iCs/>
        </w:rPr>
        <w:t xml:space="preserve"> </w:t>
      </w:r>
      <w:r w:rsidRPr="009A755F">
        <w:rPr>
          <w:rFonts w:ascii="Times New Roman" w:hAnsi="Times New Roman"/>
        </w:rPr>
        <w:t xml:space="preserve">in the realisation of article 31 protection into UK domestic law by way of a statutory defence. This approach has had significant limitations, including a mismatch in scope between the available defences and the text of article 31, and </w:t>
      </w:r>
      <w:r w:rsidR="00151A2E" w:rsidRPr="009A755F">
        <w:rPr>
          <w:rFonts w:ascii="Times New Roman" w:hAnsi="Times New Roman"/>
        </w:rPr>
        <w:t xml:space="preserve">as </w:t>
      </w:r>
      <w:r w:rsidRPr="009A755F">
        <w:rPr>
          <w:rFonts w:ascii="Times New Roman" w:hAnsi="Times New Roman"/>
        </w:rPr>
        <w:t xml:space="preserve">a defence </w:t>
      </w:r>
      <w:r w:rsidR="00DF486E" w:rsidRPr="009A755F">
        <w:rPr>
          <w:rFonts w:ascii="Times New Roman" w:hAnsi="Times New Roman"/>
        </w:rPr>
        <w:t xml:space="preserve">that </w:t>
      </w:r>
      <w:r w:rsidR="00151A2E" w:rsidRPr="009A755F">
        <w:rPr>
          <w:rFonts w:ascii="Times New Roman" w:hAnsi="Times New Roman"/>
        </w:rPr>
        <w:t xml:space="preserve">is </w:t>
      </w:r>
      <w:r w:rsidRPr="009A755F">
        <w:rPr>
          <w:rFonts w:ascii="Times New Roman" w:hAnsi="Times New Roman"/>
        </w:rPr>
        <w:t xml:space="preserve">poorly understood by </w:t>
      </w:r>
      <w:r w:rsidR="00D86C17" w:rsidRPr="009A755F">
        <w:rPr>
          <w:rFonts w:ascii="Times New Roman" w:hAnsi="Times New Roman"/>
        </w:rPr>
        <w:t xml:space="preserve">both </w:t>
      </w:r>
      <w:r w:rsidRPr="009A755F">
        <w:rPr>
          <w:rFonts w:ascii="Times New Roman" w:hAnsi="Times New Roman"/>
        </w:rPr>
        <w:t>prosecutors and defence solicitors.</w:t>
      </w:r>
      <w:r w:rsidRPr="009A755F">
        <w:rPr>
          <w:rStyle w:val="FootnoteReference"/>
          <w:rFonts w:ascii="Times New Roman" w:hAnsi="Times New Roman"/>
        </w:rPr>
        <w:footnoteReference w:id="7"/>
      </w:r>
      <w:r w:rsidR="002900F2" w:rsidRPr="009A755F">
        <w:rPr>
          <w:rFonts w:ascii="Times New Roman" w:hAnsi="Times New Roman"/>
        </w:rPr>
        <w:t xml:space="preserve"> </w:t>
      </w:r>
      <w:r w:rsidRPr="009A755F">
        <w:rPr>
          <w:rFonts w:ascii="Times New Roman" w:hAnsi="Times New Roman"/>
        </w:rPr>
        <w:t xml:space="preserve">Part 4 considers the </w:t>
      </w:r>
      <w:r w:rsidR="0067356B" w:rsidRPr="009A755F">
        <w:rPr>
          <w:rFonts w:ascii="Times New Roman" w:hAnsi="Times New Roman"/>
        </w:rPr>
        <w:t xml:space="preserve">legacy </w:t>
      </w:r>
      <w:r w:rsidRPr="009A755F">
        <w:rPr>
          <w:rFonts w:ascii="Times New Roman" w:hAnsi="Times New Roman"/>
        </w:rPr>
        <w:t xml:space="preserve">of </w:t>
      </w:r>
      <w:r w:rsidRPr="009A755F">
        <w:rPr>
          <w:rFonts w:ascii="Times New Roman" w:hAnsi="Times New Roman"/>
          <w:i/>
          <w:iCs/>
        </w:rPr>
        <w:t>Adimi</w:t>
      </w:r>
      <w:r w:rsidRPr="009A755F">
        <w:rPr>
          <w:rFonts w:ascii="Times New Roman" w:hAnsi="Times New Roman"/>
        </w:rPr>
        <w:t xml:space="preserve"> </w:t>
      </w:r>
      <w:r w:rsidR="0067356B" w:rsidRPr="009A755F">
        <w:rPr>
          <w:rFonts w:ascii="Times New Roman" w:hAnsi="Times New Roman"/>
        </w:rPr>
        <w:t xml:space="preserve">in the context of contemporary migration deterrence policies, </w:t>
      </w:r>
      <w:r w:rsidR="00D016F1" w:rsidRPr="009A755F">
        <w:rPr>
          <w:rFonts w:ascii="Times New Roman" w:hAnsi="Times New Roman"/>
        </w:rPr>
        <w:t xml:space="preserve">particularly in </w:t>
      </w:r>
      <w:r w:rsidR="006D28D7" w:rsidRPr="009A755F">
        <w:rPr>
          <w:rFonts w:ascii="Times New Roman" w:hAnsi="Times New Roman"/>
        </w:rPr>
        <w:t>the UK</w:t>
      </w:r>
      <w:r w:rsidR="00D016F1" w:rsidRPr="009A755F">
        <w:rPr>
          <w:rFonts w:ascii="Times New Roman" w:hAnsi="Times New Roman"/>
        </w:rPr>
        <w:t xml:space="preserve">, where </w:t>
      </w:r>
      <w:r w:rsidR="00554562" w:rsidRPr="009A755F">
        <w:rPr>
          <w:rFonts w:ascii="Times New Roman" w:hAnsi="Times New Roman"/>
        </w:rPr>
        <w:t xml:space="preserve">post-Brexit refugee law reforms have </w:t>
      </w:r>
      <w:r w:rsidR="00D016F1" w:rsidRPr="009A755F">
        <w:rPr>
          <w:rFonts w:ascii="Times New Roman" w:hAnsi="Times New Roman"/>
        </w:rPr>
        <w:t xml:space="preserve">narrowed the scope of protection from criminal penalties for refugees entering via irregular routes and </w:t>
      </w:r>
      <w:r w:rsidR="00AC6408" w:rsidRPr="009A755F">
        <w:rPr>
          <w:rFonts w:ascii="Times New Roman" w:hAnsi="Times New Roman"/>
        </w:rPr>
        <w:t xml:space="preserve">have </w:t>
      </w:r>
      <w:r w:rsidR="00E749CB" w:rsidRPr="009A755F">
        <w:rPr>
          <w:rFonts w:ascii="Times New Roman" w:hAnsi="Times New Roman"/>
        </w:rPr>
        <w:t xml:space="preserve">even sought to deny such refugees </w:t>
      </w:r>
      <w:r w:rsidR="00913307" w:rsidRPr="009A755F">
        <w:rPr>
          <w:rFonts w:ascii="Times New Roman" w:hAnsi="Times New Roman"/>
        </w:rPr>
        <w:t xml:space="preserve">access to </w:t>
      </w:r>
      <w:r w:rsidR="00AB135B" w:rsidRPr="009A755F">
        <w:rPr>
          <w:rFonts w:ascii="Times New Roman" w:hAnsi="Times New Roman"/>
        </w:rPr>
        <w:t>the asylum system</w:t>
      </w:r>
      <w:r w:rsidR="009B3AE4" w:rsidRPr="009A755F">
        <w:rPr>
          <w:rFonts w:ascii="Times New Roman" w:hAnsi="Times New Roman"/>
        </w:rPr>
        <w:t>.</w:t>
      </w:r>
      <w:r w:rsidR="00144128">
        <w:rPr>
          <w:rFonts w:ascii="Times New Roman" w:hAnsi="Times New Roman"/>
        </w:rPr>
        <w:t xml:space="preserve"> </w:t>
      </w:r>
      <w:r w:rsidR="001862E2" w:rsidRPr="009A755F">
        <w:rPr>
          <w:rFonts w:ascii="Times New Roman" w:hAnsi="Times New Roman"/>
        </w:rPr>
        <w:t>In this context</w:t>
      </w:r>
      <w:r w:rsidR="00582141" w:rsidRPr="009A755F">
        <w:rPr>
          <w:rFonts w:ascii="Times New Roman" w:hAnsi="Times New Roman"/>
        </w:rPr>
        <w:t xml:space="preserve">, </w:t>
      </w:r>
      <w:r w:rsidR="00875638" w:rsidRPr="009A755F">
        <w:rPr>
          <w:rFonts w:ascii="Times New Roman" w:hAnsi="Times New Roman"/>
        </w:rPr>
        <w:t xml:space="preserve">Article 31 </w:t>
      </w:r>
      <w:r w:rsidR="001B5149" w:rsidRPr="009A755F">
        <w:rPr>
          <w:rFonts w:ascii="Times New Roman" w:hAnsi="Times New Roman"/>
        </w:rPr>
        <w:t xml:space="preserve">is increasingly important </w:t>
      </w:r>
      <w:r w:rsidR="008B0AED" w:rsidRPr="009A755F">
        <w:rPr>
          <w:rFonts w:ascii="Times New Roman" w:hAnsi="Times New Roman"/>
        </w:rPr>
        <w:t xml:space="preserve">to </w:t>
      </w:r>
      <w:r w:rsidR="001B5149" w:rsidRPr="009A755F">
        <w:rPr>
          <w:rFonts w:ascii="Times New Roman" w:hAnsi="Times New Roman"/>
        </w:rPr>
        <w:t xml:space="preserve">protect </w:t>
      </w:r>
      <w:r w:rsidR="001D74CA" w:rsidRPr="009A755F">
        <w:rPr>
          <w:rFonts w:ascii="Times New Roman" w:hAnsi="Times New Roman"/>
        </w:rPr>
        <w:t xml:space="preserve">the right to seek </w:t>
      </w:r>
      <w:r w:rsidR="008B0AED" w:rsidRPr="009A755F">
        <w:rPr>
          <w:rFonts w:ascii="Times New Roman" w:hAnsi="Times New Roman"/>
        </w:rPr>
        <w:t xml:space="preserve">and to enjoy </w:t>
      </w:r>
      <w:r w:rsidR="001D74CA" w:rsidRPr="009A755F">
        <w:rPr>
          <w:rFonts w:ascii="Times New Roman" w:hAnsi="Times New Roman"/>
        </w:rPr>
        <w:t>asylum</w:t>
      </w:r>
      <w:r w:rsidR="008B0AED" w:rsidRPr="009A755F">
        <w:rPr>
          <w:rFonts w:ascii="Times New Roman" w:hAnsi="Times New Roman"/>
        </w:rPr>
        <w:t xml:space="preserve"> and to preserve the integrity of the 1951 Refugee Convention regime</w:t>
      </w:r>
      <w:r w:rsidR="001D74CA" w:rsidRPr="009A755F">
        <w:rPr>
          <w:rFonts w:ascii="Times New Roman" w:hAnsi="Times New Roman"/>
        </w:rPr>
        <w:t xml:space="preserve">. </w:t>
      </w:r>
    </w:p>
    <w:p w14:paraId="3FEE8202" w14:textId="77777777" w:rsidR="00054508" w:rsidRPr="009A755F" w:rsidRDefault="00054508" w:rsidP="00D42B18">
      <w:pPr>
        <w:spacing w:line="480" w:lineRule="auto"/>
        <w:jc w:val="both"/>
        <w:rPr>
          <w:rFonts w:ascii="Times New Roman" w:hAnsi="Times New Roman"/>
          <w:b/>
          <w:bCs/>
        </w:rPr>
      </w:pPr>
    </w:p>
    <w:p w14:paraId="14E4237B" w14:textId="31748EA3" w:rsidR="008F5F4D" w:rsidRPr="009A755F" w:rsidRDefault="008F5F4D" w:rsidP="00D42B18">
      <w:pPr>
        <w:spacing w:line="480" w:lineRule="auto"/>
        <w:jc w:val="both"/>
        <w:rPr>
          <w:rFonts w:ascii="Times New Roman" w:hAnsi="Times New Roman"/>
          <w:b/>
          <w:bCs/>
        </w:rPr>
      </w:pPr>
      <w:r w:rsidRPr="009A755F">
        <w:rPr>
          <w:rFonts w:ascii="Times New Roman" w:hAnsi="Times New Roman"/>
          <w:b/>
          <w:bCs/>
        </w:rPr>
        <w:t>1.</w:t>
      </w:r>
      <w:r w:rsidR="00AB1064" w:rsidRPr="009A755F">
        <w:rPr>
          <w:rFonts w:ascii="Times New Roman" w:hAnsi="Times New Roman"/>
          <w:b/>
          <w:bCs/>
        </w:rPr>
        <w:t>1</w:t>
      </w:r>
      <w:r w:rsidR="003B169E" w:rsidRPr="009A755F">
        <w:rPr>
          <w:rFonts w:ascii="Times New Roman" w:hAnsi="Times New Roman"/>
          <w:b/>
          <w:bCs/>
        </w:rPr>
        <w:t xml:space="preserve"> </w:t>
      </w:r>
      <w:r w:rsidRPr="009A755F">
        <w:rPr>
          <w:rFonts w:ascii="Times New Roman" w:hAnsi="Times New Roman"/>
          <w:b/>
          <w:bCs/>
          <w:i/>
          <w:iCs/>
        </w:rPr>
        <w:t xml:space="preserve">R v Uxbridge Magistrates Court and another ex </w:t>
      </w:r>
      <w:proofErr w:type="spellStart"/>
      <w:r w:rsidRPr="009A755F">
        <w:rPr>
          <w:rFonts w:ascii="Times New Roman" w:hAnsi="Times New Roman"/>
          <w:b/>
          <w:bCs/>
          <w:i/>
          <w:iCs/>
        </w:rPr>
        <w:t>parte</w:t>
      </w:r>
      <w:proofErr w:type="spellEnd"/>
      <w:r w:rsidRPr="009A755F">
        <w:rPr>
          <w:rFonts w:ascii="Times New Roman" w:hAnsi="Times New Roman"/>
          <w:b/>
          <w:bCs/>
          <w:i/>
          <w:iCs/>
        </w:rPr>
        <w:t xml:space="preserve"> Adimi</w:t>
      </w:r>
    </w:p>
    <w:p w14:paraId="0D0D7CE2" w14:textId="4266AA62" w:rsidR="008F5F4D" w:rsidRPr="009A755F" w:rsidRDefault="008F5F4D" w:rsidP="00D42B18">
      <w:pPr>
        <w:spacing w:line="480" w:lineRule="auto"/>
        <w:jc w:val="both"/>
        <w:rPr>
          <w:rFonts w:ascii="Times New Roman" w:hAnsi="Times New Roman"/>
        </w:rPr>
      </w:pPr>
      <w:r w:rsidRPr="009A755F">
        <w:rPr>
          <w:rFonts w:ascii="Times New Roman" w:hAnsi="Times New Roman"/>
          <w:i/>
          <w:iCs/>
        </w:rPr>
        <w:t xml:space="preserve">Ex </w:t>
      </w:r>
      <w:proofErr w:type="spellStart"/>
      <w:r w:rsidRPr="009A755F">
        <w:rPr>
          <w:rFonts w:ascii="Times New Roman" w:hAnsi="Times New Roman"/>
          <w:i/>
          <w:iCs/>
        </w:rPr>
        <w:t>parte</w:t>
      </w:r>
      <w:proofErr w:type="spellEnd"/>
      <w:r w:rsidRPr="009A755F">
        <w:rPr>
          <w:rFonts w:ascii="Times New Roman" w:hAnsi="Times New Roman"/>
        </w:rPr>
        <w:t xml:space="preserve"> </w:t>
      </w:r>
      <w:r w:rsidRPr="009A755F">
        <w:rPr>
          <w:rFonts w:ascii="Times New Roman" w:hAnsi="Times New Roman"/>
          <w:i/>
          <w:iCs/>
        </w:rPr>
        <w:t>Adimi</w:t>
      </w:r>
      <w:r w:rsidRPr="009A755F">
        <w:rPr>
          <w:rFonts w:ascii="Times New Roman" w:hAnsi="Times New Roman"/>
        </w:rPr>
        <w:t xml:space="preserve"> joined </w:t>
      </w:r>
      <w:r w:rsidR="00DA5CCA" w:rsidRPr="009A755F">
        <w:rPr>
          <w:rFonts w:ascii="Times New Roman" w:hAnsi="Times New Roman"/>
        </w:rPr>
        <w:t xml:space="preserve">three </w:t>
      </w:r>
      <w:r w:rsidRPr="009A755F">
        <w:rPr>
          <w:rFonts w:ascii="Times New Roman" w:hAnsi="Times New Roman"/>
        </w:rPr>
        <w:t xml:space="preserve">cases involving </w:t>
      </w:r>
      <w:r w:rsidR="001E4D6E" w:rsidRPr="009A755F">
        <w:rPr>
          <w:rFonts w:ascii="Times New Roman" w:hAnsi="Times New Roman"/>
        </w:rPr>
        <w:t xml:space="preserve">four </w:t>
      </w:r>
      <w:r w:rsidRPr="009A755F">
        <w:rPr>
          <w:rFonts w:ascii="Times New Roman" w:hAnsi="Times New Roman"/>
        </w:rPr>
        <w:t xml:space="preserve">individuals, each of whom had been prosecuted for false documentation offences and had also claimed protection under the 1951 Refugee Convention. </w:t>
      </w:r>
    </w:p>
    <w:p w14:paraId="597C987B" w14:textId="2C51E23D" w:rsidR="008F5F4D" w:rsidRPr="009A755F" w:rsidRDefault="008F5F4D" w:rsidP="00D42B18">
      <w:pPr>
        <w:spacing w:line="480" w:lineRule="auto"/>
        <w:jc w:val="both"/>
        <w:rPr>
          <w:rFonts w:ascii="Times New Roman" w:hAnsi="Times New Roman"/>
        </w:rPr>
      </w:pPr>
      <w:proofErr w:type="spellStart"/>
      <w:r w:rsidRPr="009A755F">
        <w:rPr>
          <w:rFonts w:ascii="Times New Roman" w:hAnsi="Times New Roman"/>
        </w:rPr>
        <w:t>Chouki</w:t>
      </w:r>
      <w:proofErr w:type="spellEnd"/>
      <w:r w:rsidRPr="009A755F">
        <w:rPr>
          <w:rFonts w:ascii="Times New Roman" w:hAnsi="Times New Roman"/>
        </w:rPr>
        <w:t xml:space="preserve"> Adimi fled Algeria in 1997 and entered the UK at Heathrow airport on a flight from France (having travelled to France from Italy, where he had spent ten days) using a false Italian passport and identity card. His false documentation was picked up by the immigration officer at entry and Mr Adimi was charged with documentation offences under the Forgery and Counterfeiting Act 1981. Mr Adimi claimed asylum within 24 hours of his initial entry and soon afterwards was recognised as a refugee. </w:t>
      </w:r>
      <w:r w:rsidRPr="009A755F">
        <w:rPr>
          <w:rFonts w:ascii="Times New Roman" w:hAnsi="Times New Roman"/>
        </w:rPr>
        <w:lastRenderedPageBreak/>
        <w:t xml:space="preserve">His legal representation raised the possibility of applying article 31 of the Refugee Convention. Nevertheless, the Crown Prosecution Service continued the prosecution against him. </w:t>
      </w:r>
    </w:p>
    <w:p w14:paraId="1BF2913C" w14:textId="02D34FF7" w:rsidR="008F5F4D" w:rsidRPr="009A755F" w:rsidRDefault="008F5F4D" w:rsidP="00D42B18">
      <w:pPr>
        <w:spacing w:line="480" w:lineRule="auto"/>
        <w:jc w:val="both"/>
        <w:rPr>
          <w:rFonts w:ascii="Times New Roman" w:hAnsi="Times New Roman"/>
        </w:rPr>
      </w:pPr>
      <w:r w:rsidRPr="009A755F">
        <w:rPr>
          <w:rFonts w:ascii="Times New Roman" w:hAnsi="Times New Roman"/>
        </w:rPr>
        <w:t xml:space="preserve">Dylan Sorani was arrested and prosecuted for presenting false documentation when attempting to board a flight from the UK to Canada. He was an Iraqi Kurd from Northern Iraq who fled Iraq after being arrested and tortured by the Iraqi authorities. He travelled to Turkey on 15 June 1997 and then sought to travel onwards for Canada, where he had family members. His route to the UK was not definitively established but his explanation was that he travelled from Istanbul to Heathrow on a false Greek passport on 16 August 1997 and met with an agent at Heathrow airport who furnished him with a second false passport (this time Dutch) to board a second flight on the same day to Canada. He was stopped when attempting to check in to that flight and on 18 August 1997 was charged with and pled guilty to offences under the Forgery and Counterfeiting 1981 Act and the Criminal Attempts Act 1981. He was sentenced to two concurrent sentences of three months’ imprisonment. He claimed that he told an immigration officer that he was seeking asylum when he was first arrested, though this was disputed. He made a formal application for asylum after his release from prison on 30 September 1997. His claim remained undetermined at the time of the decision in </w:t>
      </w:r>
      <w:r w:rsidRPr="009A755F">
        <w:rPr>
          <w:rFonts w:ascii="Times New Roman" w:hAnsi="Times New Roman"/>
          <w:i/>
          <w:iCs/>
        </w:rPr>
        <w:t>Adimi</w:t>
      </w:r>
      <w:r w:rsidRPr="009A755F">
        <w:rPr>
          <w:rFonts w:ascii="Times New Roman" w:hAnsi="Times New Roman"/>
        </w:rPr>
        <w:t xml:space="preserve">. </w:t>
      </w:r>
    </w:p>
    <w:p w14:paraId="43BA6983" w14:textId="3F81D0E2" w:rsidR="008F5F4D" w:rsidRPr="009A755F" w:rsidRDefault="008F5F4D" w:rsidP="00D42B18">
      <w:pPr>
        <w:spacing w:before="240" w:line="480" w:lineRule="auto"/>
        <w:jc w:val="both"/>
        <w:rPr>
          <w:rFonts w:ascii="Times New Roman" w:hAnsi="Times New Roman"/>
        </w:rPr>
      </w:pPr>
      <w:r w:rsidRPr="009A755F">
        <w:rPr>
          <w:rFonts w:ascii="Times New Roman" w:hAnsi="Times New Roman"/>
        </w:rPr>
        <w:t xml:space="preserve">Astrit </w:t>
      </w:r>
      <w:proofErr w:type="spellStart"/>
      <w:r w:rsidRPr="009A755F">
        <w:rPr>
          <w:rFonts w:ascii="Times New Roman" w:hAnsi="Times New Roman"/>
        </w:rPr>
        <w:t>Kaziu</w:t>
      </w:r>
      <w:proofErr w:type="spellEnd"/>
      <w:r w:rsidRPr="009A755F">
        <w:rPr>
          <w:rFonts w:ascii="Times New Roman" w:hAnsi="Times New Roman"/>
        </w:rPr>
        <w:t xml:space="preserve"> was an Albanian, formerly employed as a bodyguard to the country’s President Berisha who left office in July 1997 during a time of political turmoil. Mr Kaziu claimed that he was targeted by the new regime for his political activities against it. Together with his wife, both using false passports, he left Albania for Greece on 18 Dec 1998 and travelled to England three days later with the intention of travelling to Canada to claim asylum. On 22 December they were arrested and charged with offences under the Forgery and Counterfeiting 1981 Act and the Criminal Attempts Act 1981. These were the same charges that had been issued against Mr Sorani, yet </w:t>
      </w:r>
      <w:r w:rsidR="00CC5F8A" w:rsidRPr="009A755F">
        <w:rPr>
          <w:rFonts w:ascii="Times New Roman" w:hAnsi="Times New Roman"/>
        </w:rPr>
        <w:t>the</w:t>
      </w:r>
      <w:r w:rsidRPr="009A755F">
        <w:rPr>
          <w:rFonts w:ascii="Times New Roman" w:hAnsi="Times New Roman"/>
        </w:rPr>
        <w:t xml:space="preserve"> </w:t>
      </w:r>
      <w:proofErr w:type="spellStart"/>
      <w:r w:rsidRPr="009A755F">
        <w:rPr>
          <w:rFonts w:ascii="Times New Roman" w:hAnsi="Times New Roman"/>
        </w:rPr>
        <w:t>Kaziu</w:t>
      </w:r>
      <w:r w:rsidR="00CC5F8A" w:rsidRPr="009A755F">
        <w:rPr>
          <w:rFonts w:ascii="Times New Roman" w:hAnsi="Times New Roman"/>
        </w:rPr>
        <w:t>s</w:t>
      </w:r>
      <w:proofErr w:type="spellEnd"/>
      <w:r w:rsidRPr="009A755F">
        <w:rPr>
          <w:rFonts w:ascii="Times New Roman" w:hAnsi="Times New Roman"/>
        </w:rPr>
        <w:t xml:space="preserve"> received sentences of six months (rather than three). </w:t>
      </w:r>
      <w:r w:rsidR="00CC5F8A" w:rsidRPr="009A755F">
        <w:rPr>
          <w:rFonts w:ascii="Times New Roman" w:hAnsi="Times New Roman"/>
        </w:rPr>
        <w:t xml:space="preserve">They </w:t>
      </w:r>
      <w:r w:rsidRPr="009A755F">
        <w:rPr>
          <w:rFonts w:ascii="Times New Roman" w:hAnsi="Times New Roman"/>
        </w:rPr>
        <w:t xml:space="preserve">began an asylum claim in February 1999. It remained undetermined at the time of the decision in </w:t>
      </w:r>
      <w:r w:rsidRPr="009A755F">
        <w:rPr>
          <w:rFonts w:ascii="Times New Roman" w:hAnsi="Times New Roman"/>
          <w:i/>
          <w:iCs/>
        </w:rPr>
        <w:t>Adimi</w:t>
      </w:r>
      <w:r w:rsidRPr="009A755F">
        <w:rPr>
          <w:rFonts w:ascii="Times New Roman" w:hAnsi="Times New Roman"/>
        </w:rPr>
        <w:t xml:space="preserve">. </w:t>
      </w:r>
    </w:p>
    <w:p w14:paraId="09184EBD" w14:textId="18A058C5" w:rsidR="008F5F4D" w:rsidRPr="009A755F" w:rsidRDefault="008F5F4D" w:rsidP="00D42B18">
      <w:pPr>
        <w:spacing w:line="480" w:lineRule="auto"/>
        <w:jc w:val="both"/>
        <w:rPr>
          <w:rFonts w:ascii="Times New Roman" w:hAnsi="Times New Roman"/>
          <w:i/>
          <w:iCs/>
        </w:rPr>
      </w:pPr>
      <w:r w:rsidRPr="009A755F">
        <w:rPr>
          <w:rFonts w:ascii="Times New Roman" w:hAnsi="Times New Roman"/>
        </w:rPr>
        <w:t>The applicants sought judicial review of decisions to prosecute and of the failure to stay prosecution for asylum claims to be determined</w:t>
      </w:r>
      <w:r w:rsidR="0002309C" w:rsidRPr="009A755F">
        <w:rPr>
          <w:rFonts w:ascii="Times New Roman" w:hAnsi="Times New Roman"/>
        </w:rPr>
        <w:t>.</w:t>
      </w:r>
      <w:r w:rsidRPr="009A755F">
        <w:rPr>
          <w:rFonts w:ascii="Times New Roman" w:hAnsi="Times New Roman"/>
        </w:rPr>
        <w:t xml:space="preserve"> Sitting as the Divisional Court of the High Court of Justice, it fell to </w:t>
      </w:r>
      <w:r w:rsidRPr="009A755F">
        <w:rPr>
          <w:rFonts w:ascii="Times New Roman" w:hAnsi="Times New Roman"/>
        </w:rPr>
        <w:lastRenderedPageBreak/>
        <w:t>Lord Justice Simon Brown and Justice Newman to determine the application of article 31 of the Refugee Convention to these cases and any relief due. All applications were granted</w:t>
      </w:r>
      <w:r w:rsidR="005852F3" w:rsidRPr="009A755F">
        <w:rPr>
          <w:rFonts w:ascii="Times New Roman" w:hAnsi="Times New Roman"/>
        </w:rPr>
        <w:t xml:space="preserve"> though no declaratory relief was awarded</w:t>
      </w:r>
      <w:r w:rsidR="003D621C" w:rsidRPr="009A755F">
        <w:rPr>
          <w:rFonts w:ascii="Times New Roman" w:hAnsi="Times New Roman"/>
        </w:rPr>
        <w:t xml:space="preserve">. </w:t>
      </w:r>
      <w:r w:rsidR="005852F3" w:rsidRPr="009A755F">
        <w:rPr>
          <w:rFonts w:ascii="Times New Roman" w:hAnsi="Times New Roman"/>
        </w:rPr>
        <w:t xml:space="preserve">Brown LJ </w:t>
      </w:r>
      <w:r w:rsidR="00B6171A" w:rsidRPr="009A755F">
        <w:rPr>
          <w:rFonts w:ascii="Times New Roman" w:hAnsi="Times New Roman"/>
        </w:rPr>
        <w:t xml:space="preserve">considered that </w:t>
      </w:r>
      <w:r w:rsidR="001F6238" w:rsidRPr="009A755F">
        <w:rPr>
          <w:rFonts w:ascii="Times New Roman" w:hAnsi="Times New Roman"/>
        </w:rPr>
        <w:t xml:space="preserve">the judgment itself </w:t>
      </w:r>
      <w:r w:rsidR="00B6171A" w:rsidRPr="009A755F">
        <w:rPr>
          <w:rFonts w:ascii="Times New Roman" w:hAnsi="Times New Roman"/>
        </w:rPr>
        <w:t xml:space="preserve">should be viewed </w:t>
      </w:r>
      <w:r w:rsidR="001F6238" w:rsidRPr="009A755F">
        <w:rPr>
          <w:rFonts w:ascii="Times New Roman" w:hAnsi="Times New Roman"/>
        </w:rPr>
        <w:t xml:space="preserve">as the remedy, with insistence that it </w:t>
      </w:r>
      <w:r w:rsidR="003D621C" w:rsidRPr="009A755F">
        <w:rPr>
          <w:rFonts w:ascii="Times New Roman" w:hAnsi="Times New Roman"/>
        </w:rPr>
        <w:t>sh</w:t>
      </w:r>
      <w:r w:rsidR="001F6238" w:rsidRPr="009A755F">
        <w:rPr>
          <w:rFonts w:ascii="Times New Roman" w:hAnsi="Times New Roman"/>
        </w:rPr>
        <w:t xml:space="preserve">ould </w:t>
      </w:r>
      <w:r w:rsidR="002E5E35" w:rsidRPr="009A755F">
        <w:rPr>
          <w:rFonts w:ascii="Times New Roman" w:hAnsi="Times New Roman"/>
        </w:rPr>
        <w:t xml:space="preserve">be acted on by the executive to ensure the realisation </w:t>
      </w:r>
      <w:r w:rsidR="001032A4" w:rsidRPr="009A755F">
        <w:rPr>
          <w:rFonts w:ascii="Times New Roman" w:hAnsi="Times New Roman"/>
        </w:rPr>
        <w:t>of</w:t>
      </w:r>
      <w:r w:rsidR="003D621C" w:rsidRPr="009A755F">
        <w:rPr>
          <w:rFonts w:ascii="Times New Roman" w:hAnsi="Times New Roman"/>
        </w:rPr>
        <w:t xml:space="preserve"> article 31 </w:t>
      </w:r>
      <w:r w:rsidR="001032A4" w:rsidRPr="009A755F">
        <w:rPr>
          <w:rFonts w:ascii="Times New Roman" w:hAnsi="Times New Roman"/>
        </w:rPr>
        <w:t xml:space="preserve">protection in </w:t>
      </w:r>
      <w:r w:rsidR="003D621C" w:rsidRPr="009A755F">
        <w:rPr>
          <w:rFonts w:ascii="Times New Roman" w:hAnsi="Times New Roman"/>
        </w:rPr>
        <w:t>UK domestic law (see further part 3</w:t>
      </w:r>
      <w:r w:rsidR="001032A4" w:rsidRPr="009A755F">
        <w:rPr>
          <w:rFonts w:ascii="Times New Roman" w:hAnsi="Times New Roman"/>
        </w:rPr>
        <w:t xml:space="preserve"> and 4</w:t>
      </w:r>
      <w:r w:rsidR="003D621C" w:rsidRPr="009A755F">
        <w:rPr>
          <w:rFonts w:ascii="Times New Roman" w:hAnsi="Times New Roman"/>
        </w:rPr>
        <w:t>, below).</w:t>
      </w:r>
      <w:r w:rsidR="00522E3F" w:rsidRPr="009A755F">
        <w:rPr>
          <w:rStyle w:val="FootnoteReference"/>
          <w:rFonts w:ascii="Times New Roman" w:hAnsi="Times New Roman"/>
        </w:rPr>
        <w:footnoteReference w:id="8"/>
      </w:r>
      <w:r w:rsidR="009C287A" w:rsidRPr="009A755F">
        <w:rPr>
          <w:rFonts w:ascii="Times New Roman" w:hAnsi="Times New Roman"/>
        </w:rPr>
        <w:t xml:space="preserve"> </w:t>
      </w:r>
    </w:p>
    <w:p w14:paraId="52075C9F" w14:textId="77777777" w:rsidR="00FA685F" w:rsidRPr="009A755F" w:rsidRDefault="00FA685F" w:rsidP="00D42B18">
      <w:pPr>
        <w:spacing w:line="480" w:lineRule="auto"/>
        <w:jc w:val="both"/>
        <w:rPr>
          <w:rFonts w:ascii="Times New Roman" w:hAnsi="Times New Roman"/>
          <w:b/>
          <w:bCs/>
        </w:rPr>
      </w:pPr>
    </w:p>
    <w:p w14:paraId="556510A9" w14:textId="77A34478" w:rsidR="008F5F4D" w:rsidRPr="009A755F" w:rsidRDefault="008F5F4D" w:rsidP="00D42B18">
      <w:pPr>
        <w:pStyle w:val="ListParagraph"/>
        <w:numPr>
          <w:ilvl w:val="0"/>
          <w:numId w:val="39"/>
        </w:numPr>
        <w:spacing w:line="480" w:lineRule="auto"/>
        <w:jc w:val="both"/>
        <w:rPr>
          <w:rFonts w:ascii="Times New Roman" w:hAnsi="Times New Roman"/>
          <w:b/>
          <w:bCs/>
        </w:rPr>
      </w:pPr>
      <w:r w:rsidRPr="009A755F">
        <w:rPr>
          <w:rFonts w:ascii="Times New Roman" w:hAnsi="Times New Roman"/>
          <w:b/>
          <w:bCs/>
        </w:rPr>
        <w:t>“</w:t>
      </w:r>
      <w:r w:rsidRPr="009A755F">
        <w:rPr>
          <w:rFonts w:ascii="Times New Roman" w:hAnsi="Times New Roman"/>
          <w:b/>
          <w:bCs/>
          <w:i/>
          <w:iCs/>
        </w:rPr>
        <w:t>Just when will article 31 protect them?”</w:t>
      </w:r>
      <w:r w:rsidRPr="009A755F">
        <w:rPr>
          <w:rFonts w:ascii="Times New Roman" w:hAnsi="Times New Roman"/>
          <w:b/>
          <w:bCs/>
        </w:rPr>
        <w:t xml:space="preserve"> </w:t>
      </w:r>
    </w:p>
    <w:p w14:paraId="19D4974B" w14:textId="77777777" w:rsidR="00123AAD" w:rsidRPr="009A755F" w:rsidRDefault="00123AAD" w:rsidP="00D42B18">
      <w:pPr>
        <w:pStyle w:val="ListParagraph"/>
        <w:spacing w:line="480" w:lineRule="auto"/>
        <w:ind w:left="360"/>
        <w:jc w:val="both"/>
        <w:rPr>
          <w:rFonts w:ascii="Times New Roman" w:hAnsi="Times New Roman"/>
          <w:b/>
          <w:bCs/>
        </w:rPr>
      </w:pPr>
    </w:p>
    <w:p w14:paraId="6CFB3D9C" w14:textId="4E38A382" w:rsidR="008F5F4D" w:rsidRPr="009A755F" w:rsidRDefault="008F5F4D" w:rsidP="00D42B18">
      <w:pPr>
        <w:pBdr>
          <w:top w:val="single" w:sz="4" w:space="1" w:color="auto"/>
          <w:left w:val="single" w:sz="4" w:space="4" w:color="auto"/>
          <w:bottom w:val="single" w:sz="4" w:space="1" w:color="auto"/>
          <w:right w:val="single" w:sz="4" w:space="4" w:color="auto"/>
        </w:pBdr>
        <w:spacing w:line="480" w:lineRule="auto"/>
        <w:jc w:val="both"/>
        <w:rPr>
          <w:rFonts w:ascii="Times New Roman" w:hAnsi="Times New Roman"/>
          <w:i/>
          <w:iCs/>
        </w:rPr>
      </w:pPr>
      <w:r w:rsidRPr="009A755F">
        <w:rPr>
          <w:rFonts w:ascii="Times New Roman" w:hAnsi="Times New Roman"/>
          <w:i/>
          <w:iCs/>
        </w:rPr>
        <w:t>“The combined effect of visa requirements and carrier’s liability has made it wellnigh impossible for refugees to travel to countries of refuge without false documents.</w:t>
      </w:r>
      <w:r w:rsidR="009C287A" w:rsidRPr="009A755F">
        <w:rPr>
          <w:rFonts w:ascii="Times New Roman" w:hAnsi="Times New Roman"/>
          <w:i/>
          <w:iCs/>
        </w:rPr>
        <w:t xml:space="preserve"> </w:t>
      </w:r>
      <w:r w:rsidRPr="009A755F">
        <w:rPr>
          <w:rFonts w:ascii="Times New Roman" w:hAnsi="Times New Roman"/>
          <w:i/>
          <w:iCs/>
        </w:rPr>
        <w:t>Just when, in these circumstances, will article 31 protect them?</w:t>
      </w:r>
      <w:r w:rsidR="00DE35DF" w:rsidRPr="009A755F">
        <w:rPr>
          <w:rStyle w:val="FootnoteReference"/>
          <w:rFonts w:ascii="Times New Roman" w:hAnsi="Times New Roman"/>
          <w:i/>
          <w:iCs/>
        </w:rPr>
        <w:footnoteReference w:id="9"/>
      </w:r>
      <w:r w:rsidRPr="009A755F">
        <w:rPr>
          <w:rFonts w:ascii="Times New Roman" w:hAnsi="Times New Roman"/>
          <w:i/>
          <w:iCs/>
        </w:rPr>
        <w:t>”</w:t>
      </w:r>
    </w:p>
    <w:p w14:paraId="3BEE7738" w14:textId="0A0BE0F8" w:rsidR="008F5F4D" w:rsidRPr="009A755F" w:rsidRDefault="008F5F4D" w:rsidP="00D42B18">
      <w:pPr>
        <w:spacing w:line="480" w:lineRule="auto"/>
        <w:jc w:val="both"/>
        <w:rPr>
          <w:rFonts w:ascii="Times New Roman" w:hAnsi="Times New Roman"/>
        </w:rPr>
      </w:pPr>
      <w:r w:rsidRPr="009A755F">
        <w:rPr>
          <w:rFonts w:ascii="Times New Roman" w:hAnsi="Times New Roman"/>
        </w:rPr>
        <w:t xml:space="preserve">Until </w:t>
      </w:r>
      <w:r w:rsidRPr="009A755F">
        <w:rPr>
          <w:rFonts w:ascii="Times New Roman" w:hAnsi="Times New Roman"/>
          <w:i/>
          <w:iCs/>
        </w:rPr>
        <w:t>Adimi</w:t>
      </w:r>
      <w:r w:rsidRPr="009A755F">
        <w:rPr>
          <w:rFonts w:ascii="Times New Roman" w:hAnsi="Times New Roman"/>
        </w:rPr>
        <w:t>, the relevance of non-penalisation obligations under article 31 of the Refugee Convention had not been considered by any arm of the UK State, whether from the perspective of asylum processing or the criminal justice system. This systemic failure was increasingly anachronistic in the face of new approaches to migration control that sought to shut down irregular migration by creating new offences for both migrant</w:t>
      </w:r>
      <w:r w:rsidR="001A6E95">
        <w:rPr>
          <w:rFonts w:ascii="Times New Roman" w:hAnsi="Times New Roman"/>
        </w:rPr>
        <w:t>s</w:t>
      </w:r>
      <w:r w:rsidRPr="009A755F">
        <w:rPr>
          <w:rFonts w:ascii="Times New Roman" w:hAnsi="Times New Roman"/>
        </w:rPr>
        <w:t xml:space="preserve"> and transport carrier</w:t>
      </w:r>
      <w:r w:rsidR="001A6E95">
        <w:rPr>
          <w:rFonts w:ascii="Times New Roman" w:hAnsi="Times New Roman"/>
        </w:rPr>
        <w:t>s</w:t>
      </w:r>
      <w:r w:rsidRPr="009A755F">
        <w:rPr>
          <w:rFonts w:ascii="Times New Roman" w:hAnsi="Times New Roman"/>
        </w:rPr>
        <w:t>.</w:t>
      </w:r>
      <w:r w:rsidRPr="009A755F">
        <w:rPr>
          <w:rStyle w:val="FootnoteReference"/>
          <w:rFonts w:ascii="Times New Roman" w:hAnsi="Times New Roman"/>
        </w:rPr>
        <w:footnoteReference w:id="10"/>
      </w:r>
      <w:r w:rsidRPr="009A755F">
        <w:rPr>
          <w:rFonts w:ascii="Times New Roman" w:hAnsi="Times New Roman"/>
        </w:rPr>
        <w:t xml:space="preserve"> In his leading judgment, Brown LJ recognised </w:t>
      </w:r>
      <w:r w:rsidR="006B78B0">
        <w:rPr>
          <w:rFonts w:ascii="Times New Roman" w:hAnsi="Times New Roman"/>
        </w:rPr>
        <w:t xml:space="preserve">that this context was driving </w:t>
      </w:r>
      <w:r w:rsidR="004722ED" w:rsidRPr="009A755F">
        <w:rPr>
          <w:rFonts w:ascii="Times New Roman" w:hAnsi="Times New Roman"/>
        </w:rPr>
        <w:t xml:space="preserve">refugees to rely on “unorthodox means of travel” </w:t>
      </w:r>
      <w:r w:rsidR="006B78B0">
        <w:rPr>
          <w:rFonts w:ascii="Times New Roman" w:hAnsi="Times New Roman"/>
        </w:rPr>
        <w:t xml:space="preserve">and thereby </w:t>
      </w:r>
      <w:r w:rsidR="004722ED" w:rsidRPr="009A755F">
        <w:rPr>
          <w:rFonts w:ascii="Times New Roman" w:hAnsi="Times New Roman"/>
        </w:rPr>
        <w:t>making legal violations more likely</w:t>
      </w:r>
      <w:r w:rsidR="006B78B0">
        <w:rPr>
          <w:rFonts w:ascii="Times New Roman" w:hAnsi="Times New Roman"/>
        </w:rPr>
        <w:t xml:space="preserve">. He </w:t>
      </w:r>
      <w:r w:rsidRPr="009A755F">
        <w:rPr>
          <w:rFonts w:ascii="Times New Roman" w:hAnsi="Times New Roman"/>
        </w:rPr>
        <w:t>sought “to stand back from the detail of the individual cases and to look instead at the position in the round” to determine whether and to what extent article 31 of the 1951 Refugee Convention could provide immunity for such offences. He began by considering the object and purpose of article 31</w:t>
      </w:r>
      <w:r w:rsidR="00CA6AE6" w:rsidRPr="009A755F">
        <w:rPr>
          <w:rFonts w:ascii="Times New Roman" w:hAnsi="Times New Roman"/>
        </w:rPr>
        <w:t>, providing the much-quoted definition that</w:t>
      </w:r>
      <w:r w:rsidRPr="009A755F">
        <w:rPr>
          <w:rFonts w:ascii="Times New Roman" w:hAnsi="Times New Roman"/>
        </w:rPr>
        <w:t xml:space="preserve">: </w:t>
      </w:r>
    </w:p>
    <w:p w14:paraId="33A6BACD" w14:textId="4E99249C" w:rsidR="008F5F4D" w:rsidRPr="009A755F" w:rsidRDefault="008F5F4D" w:rsidP="00D42B18">
      <w:pPr>
        <w:spacing w:line="480" w:lineRule="auto"/>
        <w:ind w:left="720"/>
        <w:jc w:val="both"/>
        <w:rPr>
          <w:rFonts w:ascii="Times New Roman" w:hAnsi="Times New Roman" w:cs="Arial"/>
          <w:szCs w:val="27"/>
          <w:shd w:val="clear" w:color="auto" w:fill="FFFFFF"/>
        </w:rPr>
      </w:pPr>
      <w:r w:rsidRPr="009A755F">
        <w:rPr>
          <w:rFonts w:ascii="Times New Roman" w:hAnsi="Times New Roman"/>
        </w:rPr>
        <w:t xml:space="preserve">Self-evidently it was to provide immunity for genuine refuges who quest </w:t>
      </w:r>
      <w:r w:rsidRPr="009A755F">
        <w:rPr>
          <w:rFonts w:ascii="Times New Roman" w:hAnsi="Times New Roman" w:cs="Arial"/>
          <w:szCs w:val="27"/>
          <w:shd w:val="clear" w:color="auto" w:fill="FFFFFF"/>
        </w:rPr>
        <w:t xml:space="preserve">for asylum reasonably involved them in breaching the law […] where the illegal entry or use of false documents or </w:t>
      </w:r>
      <w:r w:rsidRPr="009A755F">
        <w:rPr>
          <w:rFonts w:ascii="Times New Roman" w:hAnsi="Times New Roman" w:cs="Arial"/>
          <w:szCs w:val="27"/>
          <w:shd w:val="clear" w:color="auto" w:fill="FFFFFF"/>
        </w:rPr>
        <w:lastRenderedPageBreak/>
        <w:t>delay can be attributed to a bona fide desire to seek asylum whether here or elsewhere, that conduct should be covered by article 31</w:t>
      </w:r>
      <w:r w:rsidR="003B3CF8" w:rsidRPr="009A755F">
        <w:rPr>
          <w:rFonts w:ascii="Times New Roman" w:hAnsi="Times New Roman" w:cs="Arial"/>
          <w:szCs w:val="27"/>
          <w:shd w:val="clear" w:color="auto" w:fill="FFFFFF"/>
        </w:rPr>
        <w:t xml:space="preserve"> […] </w:t>
      </w:r>
      <w:r w:rsidR="00E30ABF" w:rsidRPr="009A755F">
        <w:rPr>
          <w:rFonts w:ascii="Times New Roman" w:hAnsi="Times New Roman" w:cs="Arial"/>
          <w:szCs w:val="27"/>
          <w:shd w:val="clear" w:color="auto" w:fill="FFFFFF"/>
        </w:rPr>
        <w:t>That article 31 extends not merely to those ultimately accorded refugee status but also to those claiming asylum in good faith (presumptive refugees) is not in doubt. Nor is it disputed that article 31's protection can apply equally to those using false documents as to those (characteristically the refugees of earlier times) who enter a country clandestinely.</w:t>
      </w:r>
      <w:r w:rsidRPr="009A755F">
        <w:rPr>
          <w:rStyle w:val="FootnoteReference"/>
          <w:rFonts w:ascii="Times New Roman" w:hAnsi="Times New Roman" w:cs="Arial"/>
          <w:szCs w:val="27"/>
          <w:shd w:val="clear" w:color="auto" w:fill="FFFFFF"/>
        </w:rPr>
        <w:footnoteReference w:id="11"/>
      </w:r>
    </w:p>
    <w:p w14:paraId="0F282580" w14:textId="23B5AB7B" w:rsidR="008F5F4D" w:rsidRPr="009A755F" w:rsidRDefault="008F5F4D" w:rsidP="00D42B18">
      <w:pPr>
        <w:spacing w:line="480" w:lineRule="auto"/>
        <w:jc w:val="both"/>
        <w:rPr>
          <w:rFonts w:ascii="Times New Roman" w:hAnsi="Times New Roman"/>
        </w:rPr>
      </w:pPr>
      <w:r w:rsidRPr="009A755F">
        <w:rPr>
          <w:rFonts w:ascii="Times New Roman" w:hAnsi="Times New Roman"/>
        </w:rPr>
        <w:t xml:space="preserve">He then considered the terms of article 31 </w:t>
      </w:r>
      <w:r w:rsidR="0071177C">
        <w:rPr>
          <w:rFonts w:ascii="Times New Roman" w:hAnsi="Times New Roman"/>
        </w:rPr>
        <w:t xml:space="preserve">and </w:t>
      </w:r>
      <w:r w:rsidRPr="009A755F">
        <w:rPr>
          <w:rFonts w:ascii="Times New Roman" w:hAnsi="Times New Roman"/>
        </w:rPr>
        <w:t>the clauses limiting</w:t>
      </w:r>
      <w:r w:rsidR="006A661D" w:rsidRPr="009A755F">
        <w:rPr>
          <w:rFonts w:ascii="Times New Roman" w:hAnsi="Times New Roman"/>
        </w:rPr>
        <w:t xml:space="preserve"> immunity </w:t>
      </w:r>
      <w:r w:rsidRPr="009A755F">
        <w:rPr>
          <w:rFonts w:ascii="Times New Roman" w:hAnsi="Times New Roman" w:cs="Arial"/>
          <w:szCs w:val="27"/>
          <w:shd w:val="clear" w:color="auto" w:fill="FFFFFF"/>
        </w:rPr>
        <w:t>to refugees who “</w:t>
      </w:r>
      <w:r w:rsidRPr="009A755F">
        <w:rPr>
          <w:rFonts w:ascii="Times New Roman" w:hAnsi="Times New Roman"/>
          <w:i/>
          <w:iCs/>
        </w:rPr>
        <w:t>coming directly</w:t>
      </w:r>
      <w:r w:rsidRPr="009A755F">
        <w:rPr>
          <w:rFonts w:ascii="Times New Roman" w:hAnsi="Times New Roman"/>
        </w:rPr>
        <w:t xml:space="preserve"> from a territory where their life or freedom was threatened in the sense of Article 1, enter or are present in their territory without authorization, provided they </w:t>
      </w:r>
      <w:r w:rsidRPr="009A755F">
        <w:rPr>
          <w:rFonts w:ascii="Times New Roman" w:hAnsi="Times New Roman"/>
          <w:i/>
          <w:iCs/>
        </w:rPr>
        <w:t>present themselves without delay</w:t>
      </w:r>
      <w:r w:rsidRPr="009A755F">
        <w:rPr>
          <w:rFonts w:ascii="Times New Roman" w:hAnsi="Times New Roman"/>
        </w:rPr>
        <w:t xml:space="preserve"> to the authorities and </w:t>
      </w:r>
      <w:r w:rsidRPr="009A755F">
        <w:rPr>
          <w:rFonts w:ascii="Times New Roman" w:hAnsi="Times New Roman"/>
          <w:i/>
          <w:iCs/>
        </w:rPr>
        <w:t>show good cause</w:t>
      </w:r>
      <w:r w:rsidRPr="009A755F">
        <w:rPr>
          <w:rFonts w:ascii="Times New Roman" w:hAnsi="Times New Roman"/>
        </w:rPr>
        <w:t xml:space="preserve"> for their illegal entry or presence.” Quite obviously, the interpretation of these terms is critical to the protection that article 31 affords in domestic law. </w:t>
      </w:r>
      <w:r w:rsidR="00D71B2E">
        <w:rPr>
          <w:rFonts w:ascii="Times New Roman" w:hAnsi="Times New Roman"/>
        </w:rPr>
        <w:t>Counsel for the</w:t>
      </w:r>
      <w:r w:rsidRPr="009A755F">
        <w:rPr>
          <w:rFonts w:ascii="Times New Roman" w:hAnsi="Times New Roman"/>
        </w:rPr>
        <w:t xml:space="preserve"> </w:t>
      </w:r>
      <w:r w:rsidR="008D336A" w:rsidRPr="009A755F">
        <w:rPr>
          <w:rFonts w:ascii="Times New Roman" w:hAnsi="Times New Roman"/>
        </w:rPr>
        <w:t xml:space="preserve">Crown </w:t>
      </w:r>
      <w:r w:rsidRPr="009A755F">
        <w:rPr>
          <w:rFonts w:ascii="Times New Roman" w:hAnsi="Times New Roman"/>
        </w:rPr>
        <w:t>(</w:t>
      </w:r>
      <w:r w:rsidR="003A0CCE">
        <w:rPr>
          <w:rFonts w:ascii="Times New Roman" w:hAnsi="Times New Roman"/>
        </w:rPr>
        <w:t xml:space="preserve">representing the </w:t>
      </w:r>
      <w:r w:rsidRPr="009A755F">
        <w:rPr>
          <w:rFonts w:ascii="Times New Roman" w:hAnsi="Times New Roman"/>
        </w:rPr>
        <w:t>Secretary of State, Director of Public Prosecution and Crown Prosecution Service) argued for a narrow interpretation, asserting that the phrase ‘coming directly’ required that asylum should be claimed in the first safe country entered. This approach:</w:t>
      </w:r>
    </w:p>
    <w:p w14:paraId="2DBA5455" w14:textId="54E19999" w:rsidR="008F5F4D" w:rsidRPr="009A755F" w:rsidRDefault="008F5F4D" w:rsidP="00D42B18">
      <w:pPr>
        <w:spacing w:line="480" w:lineRule="auto"/>
        <w:ind w:left="720"/>
        <w:jc w:val="both"/>
        <w:rPr>
          <w:rFonts w:ascii="Times New Roman" w:hAnsi="Times New Roman"/>
        </w:rPr>
      </w:pPr>
      <w:r w:rsidRPr="009A755F">
        <w:rPr>
          <w:rFonts w:ascii="Times New Roman" w:hAnsi="Times New Roman"/>
        </w:rPr>
        <w:t xml:space="preserve">…allows the refugee no element of choice as to where he should claim asylum. He must claim it where first he may: only considerations of continuing safety would justify impunity for further travel. </w:t>
      </w:r>
    </w:p>
    <w:p w14:paraId="6E40FA25" w14:textId="39DCC92D" w:rsidR="008F5F4D" w:rsidRPr="009A755F" w:rsidRDefault="008F5F4D" w:rsidP="00D42B18">
      <w:pPr>
        <w:spacing w:line="480" w:lineRule="auto"/>
        <w:jc w:val="both"/>
        <w:rPr>
          <w:rFonts w:ascii="Times New Roman" w:hAnsi="Times New Roman"/>
        </w:rPr>
      </w:pPr>
      <w:r w:rsidRPr="009A755F">
        <w:rPr>
          <w:rFonts w:ascii="Times New Roman" w:hAnsi="Times New Roman"/>
        </w:rPr>
        <w:t xml:space="preserve">It was further argued that the phrase “present themselves without delay” requires that an asylum claim must be made immediately at the point of entry to the UK. Brown LJ rejected both arguments, holding that “coming directly” does not require that a refugee claim asylum in the first country they enter: </w:t>
      </w:r>
    </w:p>
    <w:p w14:paraId="2BEA028A" w14:textId="48103C2B" w:rsidR="008F5F4D" w:rsidRPr="009A755F" w:rsidRDefault="008F5F4D" w:rsidP="00D42B18">
      <w:pPr>
        <w:spacing w:line="480" w:lineRule="auto"/>
        <w:ind w:left="720"/>
        <w:jc w:val="both"/>
        <w:rPr>
          <w:rFonts w:ascii="Times New Roman" w:hAnsi="Times New Roman"/>
        </w:rPr>
      </w:pPr>
      <w:r w:rsidRPr="009A755F">
        <w:rPr>
          <w:rFonts w:ascii="Times New Roman" w:hAnsi="Times New Roman"/>
        </w:rPr>
        <w:t xml:space="preserve">…some element of choice is indeed open to refugees [..] merely short-term stopover </w:t>
      </w:r>
      <w:proofErr w:type="spellStart"/>
      <w:r w:rsidRPr="009A755F">
        <w:rPr>
          <w:rFonts w:ascii="Times New Roman" w:hAnsi="Times New Roman"/>
          <w:i/>
          <w:iCs/>
        </w:rPr>
        <w:t>en</w:t>
      </w:r>
      <w:proofErr w:type="spellEnd"/>
      <w:r w:rsidRPr="009A755F">
        <w:rPr>
          <w:rFonts w:ascii="Times New Roman" w:hAnsi="Times New Roman"/>
          <w:i/>
          <w:iCs/>
        </w:rPr>
        <w:t xml:space="preserve"> route</w:t>
      </w:r>
      <w:r w:rsidRPr="009A755F">
        <w:rPr>
          <w:rFonts w:ascii="Times New Roman" w:hAnsi="Times New Roman"/>
        </w:rPr>
        <w:t xml:space="preserve"> to such sanctuary cannot forfeit the protection of the Article. </w:t>
      </w:r>
    </w:p>
    <w:p w14:paraId="57A7A8C9" w14:textId="547252F5" w:rsidR="008F5F4D" w:rsidRPr="009A755F" w:rsidRDefault="008F5F4D" w:rsidP="00D42B18">
      <w:pPr>
        <w:spacing w:line="480" w:lineRule="auto"/>
        <w:jc w:val="both"/>
        <w:rPr>
          <w:rFonts w:ascii="Times New Roman" w:hAnsi="Times New Roman"/>
        </w:rPr>
      </w:pPr>
      <w:r w:rsidRPr="009A755F">
        <w:rPr>
          <w:rFonts w:ascii="Times New Roman" w:hAnsi="Times New Roman"/>
        </w:rPr>
        <w:t xml:space="preserve">Rather than establish a fixed time threshold, cases should be determined with consideration to three “touchstones”: </w:t>
      </w:r>
    </w:p>
    <w:p w14:paraId="2D709AD4" w14:textId="77777777" w:rsidR="008F5F4D" w:rsidRPr="009A755F" w:rsidRDefault="008F5F4D" w:rsidP="00D42B18">
      <w:pPr>
        <w:spacing w:line="480" w:lineRule="auto"/>
        <w:ind w:left="720"/>
        <w:jc w:val="both"/>
        <w:rPr>
          <w:rFonts w:ascii="Times New Roman" w:hAnsi="Times New Roman"/>
        </w:rPr>
      </w:pPr>
      <w:r w:rsidRPr="009A755F">
        <w:rPr>
          <w:rFonts w:ascii="Times New Roman" w:hAnsi="Times New Roman"/>
        </w:rPr>
        <w:lastRenderedPageBreak/>
        <w:t xml:space="preserve">The main touchstones by which exclusion from protection should be judged are the length of stay in the intermediate country, the reasons for delaying there (even a substantial delay in an unsafe third country would be reasonable were the time spent trying to acquire the means of traveling on) and whether or not the refugee sought or found there protection de jure or de facto from the persecution they were fleeing. </w:t>
      </w:r>
    </w:p>
    <w:p w14:paraId="53F082B1" w14:textId="77777777" w:rsidR="008F5F4D" w:rsidRPr="009A755F" w:rsidRDefault="008F5F4D" w:rsidP="00D42B18">
      <w:pPr>
        <w:spacing w:line="480" w:lineRule="auto"/>
        <w:jc w:val="both"/>
        <w:rPr>
          <w:rFonts w:ascii="Times New Roman" w:hAnsi="Times New Roman"/>
        </w:rPr>
      </w:pPr>
      <w:r w:rsidRPr="009A755F">
        <w:rPr>
          <w:rFonts w:ascii="Times New Roman" w:hAnsi="Times New Roman"/>
        </w:rPr>
        <w:t xml:space="preserve">The respondents argued that Mr Adimi could not fall within the scope of article 31 protection, because he had arrived </w:t>
      </w:r>
      <w:proofErr w:type="gramStart"/>
      <w:r w:rsidRPr="009A755F">
        <w:rPr>
          <w:rFonts w:ascii="Times New Roman" w:hAnsi="Times New Roman"/>
        </w:rPr>
        <w:t>to</w:t>
      </w:r>
      <w:proofErr w:type="gramEnd"/>
      <w:r w:rsidRPr="009A755F">
        <w:rPr>
          <w:rFonts w:ascii="Times New Roman" w:hAnsi="Times New Roman"/>
        </w:rPr>
        <w:t xml:space="preserve"> the UK after transiting through Italy and France (and therefore had not “come directly”) and had pretended to be Italian on arrival in the UK (and therefore not “presented himself without delay” to the authorities). These arguments were rejected by Brown LJ, who cited UNHCR Guidelines as supporting authority that asylum-seekers may have valid reasons for not declaring themselves to authorities at the border and therefore that: </w:t>
      </w:r>
    </w:p>
    <w:p w14:paraId="74F993E0" w14:textId="44794087" w:rsidR="008F5F4D" w:rsidRPr="009A755F" w:rsidRDefault="008F5F4D" w:rsidP="00D42B18">
      <w:pPr>
        <w:spacing w:line="480" w:lineRule="auto"/>
        <w:ind w:left="720"/>
        <w:jc w:val="both"/>
        <w:rPr>
          <w:rFonts w:ascii="Times New Roman" w:hAnsi="Times New Roman"/>
        </w:rPr>
      </w:pPr>
      <w:r w:rsidRPr="009A755F">
        <w:rPr>
          <w:rFonts w:ascii="Times New Roman" w:hAnsi="Times New Roman"/>
        </w:rPr>
        <w:t>If Mr Adimi’s intention was to claim asylum within a short time of his arrival […] then I would not think it right to regard him as having breached this condition.</w:t>
      </w:r>
      <w:r w:rsidRPr="009A755F">
        <w:rPr>
          <w:rStyle w:val="FootnoteReference"/>
          <w:rFonts w:ascii="Times New Roman" w:hAnsi="Times New Roman"/>
        </w:rPr>
        <w:footnoteReference w:id="12"/>
      </w:r>
      <w:r w:rsidRPr="009A755F">
        <w:rPr>
          <w:rFonts w:ascii="Times New Roman" w:hAnsi="Times New Roman"/>
        </w:rPr>
        <w:t xml:space="preserve"> </w:t>
      </w:r>
    </w:p>
    <w:p w14:paraId="61FD58B3" w14:textId="31F4B969" w:rsidR="008F5F4D" w:rsidRPr="009A755F" w:rsidRDefault="008F5F4D" w:rsidP="00D42B18">
      <w:pPr>
        <w:spacing w:line="480" w:lineRule="auto"/>
        <w:jc w:val="both"/>
        <w:rPr>
          <w:rFonts w:ascii="Times New Roman" w:hAnsi="Times New Roman"/>
        </w:rPr>
      </w:pPr>
      <w:r w:rsidRPr="009A755F">
        <w:rPr>
          <w:rFonts w:ascii="Times New Roman" w:hAnsi="Times New Roman"/>
        </w:rPr>
        <w:t xml:space="preserve">Newman J </w:t>
      </w:r>
      <w:r w:rsidR="00EC6B98" w:rsidRPr="009A755F">
        <w:rPr>
          <w:rFonts w:ascii="Times New Roman" w:hAnsi="Times New Roman"/>
        </w:rPr>
        <w:t>agreed, considering this approach to be consistent with the object and purpose of the 1951 Refugee Convention</w:t>
      </w:r>
      <w:r w:rsidR="00544574" w:rsidRPr="009A755F">
        <w:rPr>
          <w:rFonts w:ascii="Times New Roman" w:hAnsi="Times New Roman"/>
        </w:rPr>
        <w:t xml:space="preserve"> and </w:t>
      </w:r>
      <w:r w:rsidR="005F442E" w:rsidRPr="009A755F">
        <w:rPr>
          <w:rFonts w:ascii="Times New Roman" w:hAnsi="Times New Roman"/>
        </w:rPr>
        <w:t xml:space="preserve">sensitive to the flight conditions for </w:t>
      </w:r>
      <w:r w:rsidR="00544574" w:rsidRPr="009A755F">
        <w:rPr>
          <w:rFonts w:ascii="Times New Roman" w:hAnsi="Times New Roman"/>
        </w:rPr>
        <w:t>refugees</w:t>
      </w:r>
      <w:r w:rsidR="00EC6B98" w:rsidRPr="009A755F">
        <w:rPr>
          <w:rFonts w:ascii="Times New Roman" w:hAnsi="Times New Roman"/>
        </w:rPr>
        <w:t xml:space="preserve">: </w:t>
      </w:r>
      <w:r w:rsidRPr="009A755F">
        <w:rPr>
          <w:rFonts w:ascii="Times New Roman" w:hAnsi="Times New Roman"/>
        </w:rPr>
        <w:t xml:space="preserve"> </w:t>
      </w:r>
    </w:p>
    <w:p w14:paraId="4CD2ABAC" w14:textId="77777777" w:rsidR="008F5F4D" w:rsidRPr="009A755F" w:rsidRDefault="008F5F4D" w:rsidP="00D42B18">
      <w:pPr>
        <w:spacing w:line="480" w:lineRule="auto"/>
        <w:ind w:left="720"/>
        <w:jc w:val="both"/>
        <w:rPr>
          <w:rFonts w:ascii="Times New Roman" w:hAnsi="Times New Roman"/>
        </w:rPr>
      </w:pPr>
      <w:r w:rsidRPr="009A755F">
        <w:rPr>
          <w:rFonts w:ascii="Times New Roman" w:hAnsi="Times New Roman"/>
        </w:rPr>
        <w:t xml:space="preserve">The Convention is a living instrument, changing and developing with the times </w:t>
      </w:r>
      <w:proofErr w:type="gramStart"/>
      <w:r w:rsidRPr="009A755F">
        <w:rPr>
          <w:rFonts w:ascii="Times New Roman" w:hAnsi="Times New Roman"/>
        </w:rPr>
        <w:t>so as to</w:t>
      </w:r>
      <w:proofErr w:type="gramEnd"/>
      <w:r w:rsidRPr="009A755F">
        <w:rPr>
          <w:rFonts w:ascii="Times New Roman" w:hAnsi="Times New Roman"/>
        </w:rPr>
        <w:t xml:space="preserve"> be relevant and to afford meaningful protection to refugees in the conditions in which they currently seek asylum. Apart from the current necessity to use false documents another current reality and advance, occurring since 1951, is the development of a readily accessible and worldwide network of air travel. As a </w:t>
      </w:r>
      <w:proofErr w:type="gramStart"/>
      <w:r w:rsidRPr="009A755F">
        <w:rPr>
          <w:rFonts w:ascii="Times New Roman" w:hAnsi="Times New Roman"/>
        </w:rPr>
        <w:t>result</w:t>
      </w:r>
      <w:proofErr w:type="gramEnd"/>
      <w:r w:rsidRPr="009A755F">
        <w:rPr>
          <w:rFonts w:ascii="Times New Roman" w:hAnsi="Times New Roman"/>
        </w:rPr>
        <w:t xml:space="preserve"> there is a choice of refuge beyond the first safe territory by land or sea. There have been distinctive and different state responses to requests for asylum. </w:t>
      </w:r>
      <w:proofErr w:type="gramStart"/>
      <w:r w:rsidRPr="009A755F">
        <w:rPr>
          <w:rFonts w:ascii="Times New Roman" w:hAnsi="Times New Roman"/>
        </w:rPr>
        <w:t>Thus</w:t>
      </w:r>
      <w:proofErr w:type="gramEnd"/>
      <w:r w:rsidRPr="009A755F">
        <w:rPr>
          <w:rFonts w:ascii="Times New Roman" w:hAnsi="Times New Roman"/>
        </w:rPr>
        <w:t xml:space="preserve"> there exists a rational basis for exercising choice where to seek asylum. I am unable to accept that to recognise it is to legitimise forum shopping. (para 60)</w:t>
      </w:r>
    </w:p>
    <w:p w14:paraId="2354C6E7" w14:textId="3D788058" w:rsidR="008F5F4D" w:rsidRPr="009A755F" w:rsidRDefault="008F5F4D" w:rsidP="00D42B18">
      <w:pPr>
        <w:spacing w:line="480" w:lineRule="auto"/>
        <w:jc w:val="both"/>
        <w:rPr>
          <w:rFonts w:ascii="Times New Roman" w:hAnsi="Times New Roman"/>
        </w:rPr>
      </w:pPr>
      <w:r w:rsidRPr="009A755F">
        <w:rPr>
          <w:rFonts w:ascii="Times New Roman" w:hAnsi="Times New Roman"/>
        </w:rPr>
        <w:lastRenderedPageBreak/>
        <w:t>The requirement to “show good cause for their illegal entry or presence” was less contentious, and it was accepted by all that it would be satisfied “by a genuine refugee showing that he was reasonably travelling on false papers.”</w:t>
      </w:r>
      <w:r w:rsidRPr="009A755F">
        <w:rPr>
          <w:rStyle w:val="FootnoteReference"/>
          <w:rFonts w:ascii="Times New Roman" w:hAnsi="Times New Roman"/>
        </w:rPr>
        <w:footnoteReference w:id="13"/>
      </w:r>
    </w:p>
    <w:p w14:paraId="77560665" w14:textId="04F4F096" w:rsidR="008F5F4D" w:rsidRPr="009A755F" w:rsidRDefault="008F5F4D" w:rsidP="00D42B18">
      <w:pPr>
        <w:spacing w:line="480" w:lineRule="auto"/>
        <w:jc w:val="both"/>
        <w:rPr>
          <w:rFonts w:ascii="Times New Roman" w:hAnsi="Times New Roman"/>
          <w:i/>
          <w:iCs/>
        </w:rPr>
      </w:pPr>
      <w:r w:rsidRPr="009A755F">
        <w:rPr>
          <w:rFonts w:ascii="Times New Roman" w:hAnsi="Times New Roman"/>
          <w:i/>
          <w:iCs/>
        </w:rPr>
        <w:t>Refugees in transit</w:t>
      </w:r>
    </w:p>
    <w:p w14:paraId="426952ED" w14:textId="17803016" w:rsidR="008F5F4D" w:rsidRPr="009A755F" w:rsidRDefault="008F5F4D" w:rsidP="00D42B18">
      <w:pPr>
        <w:spacing w:line="480" w:lineRule="auto"/>
        <w:jc w:val="both"/>
        <w:rPr>
          <w:rFonts w:ascii="Times New Roman" w:hAnsi="Times New Roman"/>
        </w:rPr>
      </w:pPr>
      <w:r w:rsidRPr="009A755F">
        <w:rPr>
          <w:rFonts w:ascii="Times New Roman" w:hAnsi="Times New Roman"/>
        </w:rPr>
        <w:t xml:space="preserve">The Divisional Court further held that Mr Sorani and Mr </w:t>
      </w:r>
      <w:proofErr w:type="spellStart"/>
      <w:r w:rsidRPr="009A755F">
        <w:rPr>
          <w:rFonts w:ascii="Times New Roman" w:hAnsi="Times New Roman"/>
        </w:rPr>
        <w:t>Kaziu</w:t>
      </w:r>
      <w:proofErr w:type="spellEnd"/>
      <w:r w:rsidRPr="009A755F">
        <w:rPr>
          <w:rFonts w:ascii="Times New Roman" w:hAnsi="Times New Roman"/>
        </w:rPr>
        <w:t xml:space="preserve"> were entitled to benefit from article 31 protection. Both had been charged for offences committed while attempting to leave the UK and it was argued on behalf of the </w:t>
      </w:r>
      <w:r w:rsidR="00544574" w:rsidRPr="009A755F">
        <w:rPr>
          <w:rFonts w:ascii="Times New Roman" w:hAnsi="Times New Roman"/>
        </w:rPr>
        <w:t xml:space="preserve">Crown </w:t>
      </w:r>
      <w:r w:rsidRPr="009A755F">
        <w:rPr>
          <w:rFonts w:ascii="Times New Roman" w:hAnsi="Times New Roman"/>
        </w:rPr>
        <w:t>that in such circumstances the applicants could not be considered to have presented themselves without delay (as they had not intended to present themselves at all); furthermore, by not claiming asylum in the UK they also failed to satisfy the requirement of “coming directly.” The Court disagreed, with Brown LJ concluding that:</w:t>
      </w:r>
      <w:r w:rsidR="009C287A" w:rsidRPr="009A755F">
        <w:rPr>
          <w:rFonts w:ascii="Times New Roman" w:hAnsi="Times New Roman"/>
        </w:rPr>
        <w:t xml:space="preserve"> </w:t>
      </w:r>
    </w:p>
    <w:p w14:paraId="5D9F234B" w14:textId="6F1AD583" w:rsidR="008F5F4D" w:rsidRPr="009A755F" w:rsidRDefault="008F5F4D" w:rsidP="00D42B18">
      <w:pPr>
        <w:spacing w:line="480" w:lineRule="auto"/>
        <w:ind w:left="720"/>
        <w:jc w:val="both"/>
        <w:rPr>
          <w:rFonts w:ascii="Times New Roman" w:hAnsi="Times New Roman"/>
        </w:rPr>
      </w:pPr>
      <w:r w:rsidRPr="009A755F">
        <w:rPr>
          <w:rFonts w:ascii="Times New Roman" w:hAnsi="Times New Roman"/>
        </w:rPr>
        <w:t xml:space="preserve">If I am right in saying that refugees are ordinarily entitled to choose where to claim asylum, and that a short-term stopover </w:t>
      </w:r>
      <w:proofErr w:type="spellStart"/>
      <w:r w:rsidRPr="009A755F">
        <w:rPr>
          <w:rFonts w:ascii="Times New Roman" w:hAnsi="Times New Roman"/>
        </w:rPr>
        <w:t>en</w:t>
      </w:r>
      <w:proofErr w:type="spellEnd"/>
      <w:r w:rsidRPr="009A755F">
        <w:rPr>
          <w:rFonts w:ascii="Times New Roman" w:hAnsi="Times New Roman"/>
        </w:rPr>
        <w:t xml:space="preserve"> route in a country where the traveller’s status is in no way regularised, will not break the requisite directness of flight, then it must follow that these applicants would have been entitled to the benefit of article 31 had they reached Canada and made their asylum claims there. If article 31 would have availed them in Canada, then logically its protection cannot be denied to them here merely because they have been apprehended </w:t>
      </w:r>
      <w:proofErr w:type="spellStart"/>
      <w:r w:rsidRPr="009A755F">
        <w:rPr>
          <w:rFonts w:ascii="Times New Roman" w:hAnsi="Times New Roman"/>
        </w:rPr>
        <w:t>en</w:t>
      </w:r>
      <w:proofErr w:type="spellEnd"/>
      <w:r w:rsidRPr="009A755F">
        <w:rPr>
          <w:rFonts w:ascii="Times New Roman" w:hAnsi="Times New Roman"/>
        </w:rPr>
        <w:t xml:space="preserve"> route […] both should have been recognised as refugees within the meaning of article 31 and both should have been exempt from penalty under it.</w:t>
      </w:r>
      <w:r w:rsidRPr="009A755F">
        <w:rPr>
          <w:rStyle w:val="FootnoteReference"/>
          <w:rFonts w:ascii="Times New Roman" w:hAnsi="Times New Roman"/>
        </w:rPr>
        <w:footnoteReference w:id="14"/>
      </w:r>
      <w:r w:rsidRPr="009A755F">
        <w:rPr>
          <w:rFonts w:ascii="Times New Roman" w:hAnsi="Times New Roman"/>
        </w:rPr>
        <w:t xml:space="preserve"> </w:t>
      </w:r>
    </w:p>
    <w:p w14:paraId="22BBEB64" w14:textId="44778987" w:rsidR="008F5F4D" w:rsidRPr="009A755F" w:rsidRDefault="008F5F4D" w:rsidP="00D42B18">
      <w:pPr>
        <w:spacing w:line="480" w:lineRule="auto"/>
        <w:jc w:val="both"/>
        <w:rPr>
          <w:rFonts w:ascii="Times New Roman" w:hAnsi="Times New Roman"/>
        </w:rPr>
      </w:pPr>
      <w:r w:rsidRPr="009A755F">
        <w:rPr>
          <w:rFonts w:ascii="Times New Roman" w:hAnsi="Times New Roman"/>
        </w:rPr>
        <w:t xml:space="preserve">This scenario was later </w:t>
      </w:r>
      <w:r w:rsidR="00316A82" w:rsidRPr="009A755F">
        <w:rPr>
          <w:rFonts w:ascii="Times New Roman" w:hAnsi="Times New Roman"/>
        </w:rPr>
        <w:t xml:space="preserve">considered </w:t>
      </w:r>
      <w:r w:rsidRPr="009A755F">
        <w:rPr>
          <w:rFonts w:ascii="Times New Roman" w:hAnsi="Times New Roman"/>
        </w:rPr>
        <w:t xml:space="preserve">by the House of Lords in </w:t>
      </w:r>
      <w:r w:rsidRPr="009A755F">
        <w:rPr>
          <w:rFonts w:ascii="Times New Roman" w:hAnsi="Times New Roman"/>
          <w:i/>
          <w:iCs/>
        </w:rPr>
        <w:t>Asfaw</w:t>
      </w:r>
      <w:r w:rsidRPr="009A755F">
        <w:rPr>
          <w:rFonts w:ascii="Times New Roman" w:hAnsi="Times New Roman"/>
        </w:rPr>
        <w:t xml:space="preserve">, where a 3:2 majority </w:t>
      </w:r>
      <w:r w:rsidR="00316A82" w:rsidRPr="009A755F">
        <w:rPr>
          <w:rFonts w:ascii="Times New Roman" w:hAnsi="Times New Roman"/>
        </w:rPr>
        <w:t>up</w:t>
      </w:r>
      <w:r w:rsidR="0018062D" w:rsidRPr="009A755F">
        <w:rPr>
          <w:rFonts w:ascii="Times New Roman" w:hAnsi="Times New Roman"/>
        </w:rPr>
        <w:t xml:space="preserve">held </w:t>
      </w:r>
      <w:r w:rsidR="00316A82" w:rsidRPr="009A755F">
        <w:rPr>
          <w:rFonts w:ascii="Times New Roman" w:hAnsi="Times New Roman"/>
        </w:rPr>
        <w:t xml:space="preserve">the reasoning in </w:t>
      </w:r>
      <w:r w:rsidR="00316A82" w:rsidRPr="009A755F">
        <w:rPr>
          <w:rFonts w:ascii="Times New Roman" w:hAnsi="Times New Roman"/>
          <w:i/>
          <w:iCs/>
        </w:rPr>
        <w:t>Adimi</w:t>
      </w:r>
      <w:r w:rsidR="00316A82" w:rsidRPr="009A755F">
        <w:rPr>
          <w:rFonts w:ascii="Times New Roman" w:hAnsi="Times New Roman"/>
        </w:rPr>
        <w:t xml:space="preserve"> </w:t>
      </w:r>
      <w:r w:rsidRPr="009A755F">
        <w:rPr>
          <w:rFonts w:ascii="Times New Roman" w:hAnsi="Times New Roman"/>
        </w:rPr>
        <w:t>that the immunity afforded under article 31 for “illegal entry or presence” is not limited to offences of entering or remaining illegally in an intermediate country but also extends to offences committed when leaving that country to seek asylum elsewhere.</w:t>
      </w:r>
      <w:r w:rsidRPr="009A755F">
        <w:rPr>
          <w:rStyle w:val="FootnoteReference"/>
          <w:rFonts w:ascii="Times New Roman" w:hAnsi="Times New Roman"/>
        </w:rPr>
        <w:footnoteReference w:id="15"/>
      </w:r>
      <w:r w:rsidRPr="009A755F">
        <w:rPr>
          <w:rFonts w:ascii="Times New Roman" w:hAnsi="Times New Roman"/>
          <w:i/>
          <w:iCs/>
        </w:rPr>
        <w:t xml:space="preserve"> </w:t>
      </w:r>
      <w:r w:rsidRPr="009A755F">
        <w:rPr>
          <w:rFonts w:ascii="Times New Roman" w:hAnsi="Times New Roman"/>
        </w:rPr>
        <w:t xml:space="preserve">This decision was reached from a purposive construction of the Refugee Convention that included close consideration of terms of article 31, the </w:t>
      </w:r>
      <w:r w:rsidRPr="009A755F">
        <w:rPr>
          <w:rFonts w:ascii="Times New Roman" w:hAnsi="Times New Roman"/>
          <w:i/>
          <w:iCs/>
        </w:rPr>
        <w:t xml:space="preserve">travaux </w:t>
      </w:r>
      <w:proofErr w:type="spellStart"/>
      <w:r w:rsidRPr="009A755F">
        <w:rPr>
          <w:rFonts w:ascii="Times New Roman" w:hAnsi="Times New Roman"/>
          <w:i/>
          <w:iCs/>
        </w:rPr>
        <w:t>preparatoires</w:t>
      </w:r>
      <w:proofErr w:type="spellEnd"/>
      <w:r w:rsidRPr="009A755F">
        <w:rPr>
          <w:rFonts w:ascii="Times New Roman" w:hAnsi="Times New Roman"/>
        </w:rPr>
        <w:t xml:space="preserve"> (sections of which were appended to the judgment) and the purpose </w:t>
      </w:r>
      <w:r w:rsidRPr="009A755F">
        <w:rPr>
          <w:rFonts w:ascii="Times New Roman" w:hAnsi="Times New Roman"/>
        </w:rPr>
        <w:lastRenderedPageBreak/>
        <w:t>of the Refugee Convention. In the view of the majorit</w:t>
      </w:r>
      <w:r w:rsidR="00536FA3" w:rsidRPr="009A755F">
        <w:rPr>
          <w:rFonts w:ascii="Times New Roman" w:hAnsi="Times New Roman"/>
        </w:rPr>
        <w:t>y (though with strong dissenting opinions from Lords Rodger and Mance)</w:t>
      </w:r>
      <w:r w:rsidR="00E556C7" w:rsidRPr="009A755F">
        <w:rPr>
          <w:rStyle w:val="FootnoteReference"/>
          <w:rFonts w:ascii="Times New Roman" w:hAnsi="Times New Roman"/>
        </w:rPr>
        <w:footnoteReference w:id="16"/>
      </w:r>
      <w:r w:rsidRPr="009A755F">
        <w:rPr>
          <w:rFonts w:ascii="Times New Roman" w:hAnsi="Times New Roman"/>
        </w:rPr>
        <w:t xml:space="preserve"> the drafters’ intention was clear: it sought to exclude refugees who had already received protection elsewhere but not to prevent all forms of onward movement. As Lord Bingham explained</w:t>
      </w:r>
      <w:r w:rsidRPr="009A755F">
        <w:rPr>
          <w:rFonts w:ascii="Times New Roman" w:hAnsi="Times New Roman"/>
          <w:i/>
          <w:iCs/>
        </w:rPr>
        <w:t xml:space="preserve">: </w:t>
      </w:r>
    </w:p>
    <w:p w14:paraId="1E421327" w14:textId="38E3CA86" w:rsidR="008F5F4D" w:rsidRPr="009A755F" w:rsidRDefault="008F5F4D" w:rsidP="00D42B18">
      <w:pPr>
        <w:spacing w:line="480" w:lineRule="auto"/>
        <w:ind w:left="720"/>
        <w:jc w:val="both"/>
        <w:rPr>
          <w:rFonts w:ascii="Times New Roman" w:hAnsi="Times New Roman"/>
        </w:rPr>
      </w:pPr>
      <w:r w:rsidRPr="009A755F">
        <w:rPr>
          <w:rFonts w:ascii="Times New Roman" w:hAnsi="Times New Roman"/>
        </w:rPr>
        <w:t xml:space="preserve">The single most important point that emerges from a consideration of the </w:t>
      </w:r>
      <w:r w:rsidRPr="009A755F">
        <w:rPr>
          <w:rFonts w:ascii="Times New Roman" w:hAnsi="Times New Roman"/>
          <w:i/>
          <w:iCs/>
        </w:rPr>
        <w:t xml:space="preserve">travaux </w:t>
      </w:r>
      <w:proofErr w:type="spellStart"/>
      <w:r w:rsidRPr="009A755F">
        <w:rPr>
          <w:rFonts w:ascii="Times New Roman" w:hAnsi="Times New Roman"/>
          <w:i/>
          <w:iCs/>
        </w:rPr>
        <w:t>preparatoires</w:t>
      </w:r>
      <w:proofErr w:type="spellEnd"/>
      <w:r w:rsidRPr="009A755F">
        <w:rPr>
          <w:rFonts w:ascii="Times New Roman" w:hAnsi="Times New Roman"/>
        </w:rPr>
        <w:t xml:space="preserve"> is that there was universal acceptance that the mere fact that refugees stopped while in transit ought not deprive them of the benefit of the article […]</w:t>
      </w:r>
    </w:p>
    <w:p w14:paraId="34377AB4" w14:textId="1EBF3A73" w:rsidR="00CF2681" w:rsidRPr="009A755F" w:rsidRDefault="00905E39" w:rsidP="00D42B18">
      <w:pPr>
        <w:spacing w:line="480" w:lineRule="auto"/>
        <w:jc w:val="both"/>
        <w:rPr>
          <w:rFonts w:ascii="Times New Roman" w:hAnsi="Times New Roman"/>
        </w:rPr>
      </w:pPr>
      <w:r w:rsidRPr="009A755F">
        <w:rPr>
          <w:rFonts w:ascii="Times New Roman" w:hAnsi="Times New Roman"/>
        </w:rPr>
        <w:t xml:space="preserve">Brown LJ’s interpretation of the scope of article 31 </w:t>
      </w:r>
      <w:r w:rsidR="000169D1" w:rsidRPr="009A755F">
        <w:rPr>
          <w:rFonts w:ascii="Times New Roman" w:hAnsi="Times New Roman"/>
        </w:rPr>
        <w:t xml:space="preserve">has been influential in </w:t>
      </w:r>
      <w:r w:rsidRPr="009A755F">
        <w:rPr>
          <w:rFonts w:ascii="Times New Roman" w:hAnsi="Times New Roman"/>
        </w:rPr>
        <w:t xml:space="preserve">international </w:t>
      </w:r>
      <w:r w:rsidR="000169D1" w:rsidRPr="009A755F">
        <w:rPr>
          <w:rFonts w:ascii="Times New Roman" w:hAnsi="Times New Roman"/>
        </w:rPr>
        <w:t xml:space="preserve">jurisprudence </w:t>
      </w:r>
      <w:r w:rsidRPr="009A755F">
        <w:rPr>
          <w:rFonts w:ascii="Times New Roman" w:hAnsi="Times New Roman"/>
        </w:rPr>
        <w:t xml:space="preserve">scholarship and advocacy </w:t>
      </w:r>
      <w:r w:rsidR="005A6A7D" w:rsidRPr="009A755F">
        <w:rPr>
          <w:rFonts w:ascii="Times New Roman" w:hAnsi="Times New Roman"/>
        </w:rPr>
        <w:t>and his definitions of “coming directly”, “</w:t>
      </w:r>
      <w:r w:rsidR="001E3568" w:rsidRPr="009A755F">
        <w:rPr>
          <w:rFonts w:ascii="Times New Roman" w:hAnsi="Times New Roman"/>
        </w:rPr>
        <w:t xml:space="preserve">presenting without delay” and “showing good cause” for illegal entry are included </w:t>
      </w:r>
      <w:r w:rsidRPr="009A755F">
        <w:rPr>
          <w:rFonts w:ascii="Times New Roman" w:hAnsi="Times New Roman"/>
        </w:rPr>
        <w:t xml:space="preserve">in the recent UNHCR </w:t>
      </w:r>
      <w:r w:rsidRPr="009A755F">
        <w:rPr>
          <w:rFonts w:ascii="Times New Roman" w:hAnsi="Times New Roman"/>
          <w:i/>
          <w:iCs/>
        </w:rPr>
        <w:t>Guidelines on International Protection for the Interpretation of Article 31</w:t>
      </w:r>
      <w:r w:rsidRPr="009A755F">
        <w:rPr>
          <w:rFonts w:ascii="Times New Roman" w:hAnsi="Times New Roman"/>
        </w:rPr>
        <w:t xml:space="preserve"> (2024).</w:t>
      </w:r>
      <w:r w:rsidRPr="009A755F">
        <w:rPr>
          <w:rStyle w:val="FootnoteReference"/>
          <w:rFonts w:ascii="Times New Roman" w:hAnsi="Times New Roman"/>
        </w:rPr>
        <w:footnoteReference w:id="17"/>
      </w:r>
      <w:r w:rsidRPr="009A755F">
        <w:rPr>
          <w:rFonts w:ascii="Times New Roman" w:hAnsi="Times New Roman"/>
        </w:rPr>
        <w:t xml:space="preserve"> </w:t>
      </w:r>
      <w:r w:rsidR="00062C43" w:rsidRPr="009A755F">
        <w:rPr>
          <w:rFonts w:ascii="Times New Roman" w:hAnsi="Times New Roman"/>
        </w:rPr>
        <w:t>I</w:t>
      </w:r>
      <w:r w:rsidR="004D7736" w:rsidRPr="009A755F">
        <w:rPr>
          <w:rFonts w:ascii="Times New Roman" w:hAnsi="Times New Roman"/>
        </w:rPr>
        <w:t>t is no longer valid law in</w:t>
      </w:r>
      <w:r w:rsidR="00062C43" w:rsidRPr="009A755F">
        <w:rPr>
          <w:rFonts w:ascii="Times New Roman" w:hAnsi="Times New Roman"/>
        </w:rPr>
        <w:t xml:space="preserve"> the UK</w:t>
      </w:r>
      <w:r w:rsidR="004D7736" w:rsidRPr="009A755F">
        <w:rPr>
          <w:rFonts w:ascii="Times New Roman" w:hAnsi="Times New Roman"/>
        </w:rPr>
        <w:t xml:space="preserve"> however</w:t>
      </w:r>
      <w:r w:rsidR="00062C43" w:rsidRPr="009A755F">
        <w:rPr>
          <w:rFonts w:ascii="Times New Roman" w:hAnsi="Times New Roman"/>
        </w:rPr>
        <w:t xml:space="preserve">, </w:t>
      </w:r>
      <w:r w:rsidR="004D7736" w:rsidRPr="009A755F">
        <w:rPr>
          <w:rFonts w:ascii="Times New Roman" w:hAnsi="Times New Roman"/>
        </w:rPr>
        <w:t xml:space="preserve">where </w:t>
      </w:r>
      <w:r w:rsidR="005A6A7D" w:rsidRPr="009A755F">
        <w:rPr>
          <w:rFonts w:ascii="Times New Roman" w:hAnsi="Times New Roman"/>
        </w:rPr>
        <w:t>t</w:t>
      </w:r>
      <w:r w:rsidR="00593149" w:rsidRPr="009A755F">
        <w:rPr>
          <w:rFonts w:ascii="Times New Roman" w:hAnsi="Times New Roman"/>
        </w:rPr>
        <w:t xml:space="preserve">he </w:t>
      </w:r>
      <w:r w:rsidR="00A67024" w:rsidRPr="009A755F">
        <w:rPr>
          <w:rFonts w:ascii="Times New Roman" w:hAnsi="Times New Roman"/>
        </w:rPr>
        <w:t xml:space="preserve">scope for </w:t>
      </w:r>
      <w:r w:rsidR="00F205CA" w:rsidRPr="009A755F">
        <w:rPr>
          <w:rFonts w:ascii="Times New Roman" w:hAnsi="Times New Roman"/>
        </w:rPr>
        <w:t xml:space="preserve">judicial </w:t>
      </w:r>
      <w:r w:rsidR="00A67024" w:rsidRPr="009A755F">
        <w:rPr>
          <w:rFonts w:ascii="Times New Roman" w:hAnsi="Times New Roman"/>
        </w:rPr>
        <w:t xml:space="preserve">discretion </w:t>
      </w:r>
      <w:r w:rsidR="00E73B4D" w:rsidRPr="009A755F">
        <w:rPr>
          <w:rFonts w:ascii="Times New Roman" w:hAnsi="Times New Roman"/>
        </w:rPr>
        <w:t>w</w:t>
      </w:r>
      <w:r w:rsidR="00263B0A" w:rsidRPr="009A755F">
        <w:rPr>
          <w:rFonts w:ascii="Times New Roman" w:hAnsi="Times New Roman"/>
        </w:rPr>
        <w:t xml:space="preserve">as narrowed </w:t>
      </w:r>
      <w:r w:rsidR="004D7736" w:rsidRPr="009A755F">
        <w:rPr>
          <w:rFonts w:ascii="Times New Roman" w:hAnsi="Times New Roman"/>
        </w:rPr>
        <w:t xml:space="preserve">immediately </w:t>
      </w:r>
      <w:r w:rsidR="00062C43" w:rsidRPr="009A755F">
        <w:rPr>
          <w:rFonts w:ascii="Times New Roman" w:hAnsi="Times New Roman"/>
        </w:rPr>
        <w:t xml:space="preserve">after the </w:t>
      </w:r>
      <w:r w:rsidR="00062C43" w:rsidRPr="009A755F">
        <w:rPr>
          <w:rFonts w:ascii="Times New Roman" w:hAnsi="Times New Roman"/>
          <w:i/>
          <w:iCs/>
        </w:rPr>
        <w:t>Adimi</w:t>
      </w:r>
      <w:r w:rsidR="00062C43" w:rsidRPr="009A755F">
        <w:rPr>
          <w:rFonts w:ascii="Times New Roman" w:hAnsi="Times New Roman"/>
        </w:rPr>
        <w:t xml:space="preserve"> judgment by </w:t>
      </w:r>
      <w:r w:rsidR="00263B0A" w:rsidRPr="009A755F">
        <w:rPr>
          <w:rFonts w:ascii="Times New Roman" w:hAnsi="Times New Roman"/>
        </w:rPr>
        <w:t xml:space="preserve">the </w:t>
      </w:r>
      <w:r w:rsidR="00062C43" w:rsidRPr="009A755F">
        <w:rPr>
          <w:rFonts w:ascii="Times New Roman" w:hAnsi="Times New Roman"/>
        </w:rPr>
        <w:t xml:space="preserve">adoption </w:t>
      </w:r>
      <w:r w:rsidR="00263B0A" w:rsidRPr="009A755F">
        <w:rPr>
          <w:rFonts w:ascii="Times New Roman" w:hAnsi="Times New Roman"/>
        </w:rPr>
        <w:t xml:space="preserve">of s.31 of the Immigration and Asylum Act 1999 and was </w:t>
      </w:r>
      <w:r w:rsidR="007679C5" w:rsidRPr="009A755F">
        <w:rPr>
          <w:rFonts w:ascii="Times New Roman" w:hAnsi="Times New Roman"/>
        </w:rPr>
        <w:t xml:space="preserve">reduced </w:t>
      </w:r>
      <w:r w:rsidR="00263B0A" w:rsidRPr="009A755F">
        <w:rPr>
          <w:rFonts w:ascii="Times New Roman" w:hAnsi="Times New Roman"/>
        </w:rPr>
        <w:t xml:space="preserve">further </w:t>
      </w:r>
      <w:r w:rsidR="00A67024" w:rsidRPr="009A755F">
        <w:rPr>
          <w:rFonts w:ascii="Times New Roman" w:hAnsi="Times New Roman"/>
        </w:rPr>
        <w:t xml:space="preserve">by </w:t>
      </w:r>
      <w:r w:rsidR="00263B0A" w:rsidRPr="009A755F">
        <w:rPr>
          <w:rFonts w:ascii="Times New Roman" w:hAnsi="Times New Roman"/>
        </w:rPr>
        <w:t xml:space="preserve">s.37 of the </w:t>
      </w:r>
      <w:r w:rsidR="00593149" w:rsidRPr="009A755F">
        <w:rPr>
          <w:rFonts w:ascii="Times New Roman" w:hAnsi="Times New Roman"/>
        </w:rPr>
        <w:t>Nationality and Borders Act 2022</w:t>
      </w:r>
      <w:r w:rsidR="000169D1" w:rsidRPr="009A755F">
        <w:rPr>
          <w:rFonts w:ascii="Times New Roman" w:hAnsi="Times New Roman"/>
        </w:rPr>
        <w:t xml:space="preserve"> (see Part 3 below)</w:t>
      </w:r>
      <w:r w:rsidR="00263B0A" w:rsidRPr="009A755F">
        <w:rPr>
          <w:rFonts w:ascii="Times New Roman" w:hAnsi="Times New Roman"/>
        </w:rPr>
        <w:t xml:space="preserve">. </w:t>
      </w:r>
      <w:r w:rsidR="000169D1" w:rsidRPr="009A755F">
        <w:rPr>
          <w:rFonts w:ascii="Times New Roman" w:hAnsi="Times New Roman"/>
        </w:rPr>
        <w:t xml:space="preserve">Section </w:t>
      </w:r>
      <w:r w:rsidR="00593149" w:rsidRPr="009A755F">
        <w:rPr>
          <w:rFonts w:ascii="Times New Roman" w:hAnsi="Times New Roman"/>
        </w:rPr>
        <w:t xml:space="preserve">37(4) </w:t>
      </w:r>
      <w:r w:rsidR="00615FBC" w:rsidRPr="009A755F">
        <w:rPr>
          <w:rFonts w:ascii="Times New Roman" w:hAnsi="Times New Roman"/>
        </w:rPr>
        <w:t xml:space="preserve">NABA 2022 </w:t>
      </w:r>
      <w:r w:rsidR="00EF5083" w:rsidRPr="009A755F">
        <w:rPr>
          <w:rFonts w:ascii="Times New Roman" w:hAnsi="Times New Roman"/>
        </w:rPr>
        <w:t xml:space="preserve">excludes </w:t>
      </w:r>
      <w:r w:rsidR="00593149" w:rsidRPr="009A755F">
        <w:rPr>
          <w:rFonts w:ascii="Times New Roman" w:hAnsi="Times New Roman"/>
        </w:rPr>
        <w:t xml:space="preserve">offences committed </w:t>
      </w:r>
      <w:r w:rsidR="00615FBC" w:rsidRPr="009A755F">
        <w:rPr>
          <w:rFonts w:ascii="Times New Roman" w:hAnsi="Times New Roman"/>
        </w:rPr>
        <w:t xml:space="preserve">during an </w:t>
      </w:r>
      <w:r w:rsidR="00593149" w:rsidRPr="009A755F">
        <w:rPr>
          <w:rFonts w:ascii="Times New Roman" w:hAnsi="Times New Roman"/>
        </w:rPr>
        <w:t>attempt to leave the UK</w:t>
      </w:r>
      <w:r w:rsidR="00EF5083" w:rsidRPr="009A755F">
        <w:rPr>
          <w:rFonts w:ascii="Times New Roman" w:hAnsi="Times New Roman"/>
        </w:rPr>
        <w:t xml:space="preserve"> from protection from penalties</w:t>
      </w:r>
      <w:r w:rsidR="00436193" w:rsidRPr="009A755F">
        <w:rPr>
          <w:rFonts w:ascii="Times New Roman" w:hAnsi="Times New Roman"/>
        </w:rPr>
        <w:t xml:space="preserve">. This is </w:t>
      </w:r>
      <w:r w:rsidR="00593149" w:rsidRPr="009A755F">
        <w:rPr>
          <w:rFonts w:ascii="Times New Roman" w:hAnsi="Times New Roman"/>
        </w:rPr>
        <w:t xml:space="preserve">an explicit reversal of the House of Lords decision in </w:t>
      </w:r>
      <w:r w:rsidR="00593149" w:rsidRPr="009A755F">
        <w:rPr>
          <w:rFonts w:ascii="Times New Roman" w:hAnsi="Times New Roman"/>
          <w:i/>
          <w:iCs/>
        </w:rPr>
        <w:t>Asfaw</w:t>
      </w:r>
      <w:r w:rsidR="00593149" w:rsidRPr="009A755F" w:rsidDel="00266B21">
        <w:rPr>
          <w:rFonts w:ascii="Times New Roman" w:hAnsi="Times New Roman"/>
        </w:rPr>
        <w:t xml:space="preserve"> </w:t>
      </w:r>
      <w:r w:rsidR="00436193" w:rsidRPr="009A755F">
        <w:rPr>
          <w:rFonts w:ascii="Times New Roman" w:hAnsi="Times New Roman"/>
        </w:rPr>
        <w:t xml:space="preserve">and </w:t>
      </w:r>
      <w:r w:rsidR="00650FEB" w:rsidRPr="009A755F">
        <w:rPr>
          <w:rFonts w:ascii="Times New Roman" w:hAnsi="Times New Roman"/>
        </w:rPr>
        <w:t xml:space="preserve">speaks to a </w:t>
      </w:r>
      <w:r w:rsidR="00A01CC4" w:rsidRPr="009A755F">
        <w:rPr>
          <w:rFonts w:ascii="Times New Roman" w:hAnsi="Times New Roman"/>
        </w:rPr>
        <w:t>larger struggle in contemporary refugee protection</w:t>
      </w:r>
      <w:r w:rsidR="007679C5" w:rsidRPr="009A755F">
        <w:rPr>
          <w:rFonts w:ascii="Times New Roman" w:hAnsi="Times New Roman"/>
        </w:rPr>
        <w:t xml:space="preserve"> in the UK, </w:t>
      </w:r>
      <w:r w:rsidR="00650FEB" w:rsidRPr="009A755F">
        <w:rPr>
          <w:rFonts w:ascii="Times New Roman" w:hAnsi="Times New Roman"/>
        </w:rPr>
        <w:t xml:space="preserve">which is </w:t>
      </w:r>
      <w:r w:rsidR="00A01CC4" w:rsidRPr="009A755F">
        <w:rPr>
          <w:rFonts w:ascii="Times New Roman" w:hAnsi="Times New Roman"/>
        </w:rPr>
        <w:t xml:space="preserve">the attempted </w:t>
      </w:r>
      <w:r w:rsidR="00650FEB" w:rsidRPr="009A755F">
        <w:rPr>
          <w:rFonts w:ascii="Times New Roman" w:hAnsi="Times New Roman"/>
        </w:rPr>
        <w:t xml:space="preserve">narrowing </w:t>
      </w:r>
      <w:r w:rsidR="007679C5" w:rsidRPr="009A755F">
        <w:rPr>
          <w:rFonts w:ascii="Times New Roman" w:hAnsi="Times New Roman"/>
        </w:rPr>
        <w:t xml:space="preserve">or avoidance </w:t>
      </w:r>
      <w:r w:rsidR="00650FEB" w:rsidRPr="009A755F">
        <w:rPr>
          <w:rFonts w:ascii="Times New Roman" w:hAnsi="Times New Roman"/>
        </w:rPr>
        <w:t xml:space="preserve">of Convention protection </w:t>
      </w:r>
      <w:r w:rsidR="00C25909" w:rsidRPr="009A755F">
        <w:rPr>
          <w:rFonts w:ascii="Times New Roman" w:hAnsi="Times New Roman"/>
        </w:rPr>
        <w:t>via national legislation</w:t>
      </w:r>
      <w:r w:rsidR="00D65AE8" w:rsidRPr="009A755F">
        <w:rPr>
          <w:rFonts w:ascii="Times New Roman" w:hAnsi="Times New Roman"/>
        </w:rPr>
        <w:t xml:space="preserve">. </w:t>
      </w:r>
    </w:p>
    <w:p w14:paraId="28BCFA4A" w14:textId="77777777" w:rsidR="00D65AE8" w:rsidRPr="009A755F" w:rsidRDefault="00D65AE8" w:rsidP="00D42B18">
      <w:pPr>
        <w:spacing w:line="480" w:lineRule="auto"/>
        <w:jc w:val="both"/>
        <w:rPr>
          <w:rFonts w:ascii="Times New Roman" w:hAnsi="Times New Roman"/>
        </w:rPr>
      </w:pPr>
    </w:p>
    <w:p w14:paraId="35D10CA3" w14:textId="166AD8DF" w:rsidR="008F5F4D" w:rsidRPr="009A755F" w:rsidRDefault="008F5F4D" w:rsidP="00D42B18">
      <w:pPr>
        <w:spacing w:line="480" w:lineRule="auto"/>
        <w:jc w:val="both"/>
        <w:rPr>
          <w:rFonts w:ascii="Times New Roman" w:hAnsi="Times New Roman"/>
          <w:b/>
          <w:bCs/>
        </w:rPr>
      </w:pPr>
      <w:r w:rsidRPr="009A755F">
        <w:rPr>
          <w:rFonts w:ascii="Times New Roman" w:hAnsi="Times New Roman"/>
          <w:b/>
          <w:bCs/>
        </w:rPr>
        <w:t>3. “</w:t>
      </w:r>
      <w:r w:rsidRPr="009A755F">
        <w:rPr>
          <w:rFonts w:ascii="Times New Roman" w:hAnsi="Times New Roman"/>
          <w:b/>
          <w:bCs/>
          <w:i/>
          <w:iCs/>
        </w:rPr>
        <w:t>An iceberg of aggrieved asylum seekers”:</w:t>
      </w:r>
      <w:r w:rsidRPr="009A755F">
        <w:rPr>
          <w:rFonts w:ascii="Times New Roman" w:hAnsi="Times New Roman"/>
          <w:b/>
          <w:bCs/>
        </w:rPr>
        <w:t xml:space="preserve"> realising article 31 protection</w:t>
      </w:r>
    </w:p>
    <w:p w14:paraId="11453AA5" w14:textId="3CFA0C98" w:rsidR="008F5F4D" w:rsidRPr="009A755F" w:rsidRDefault="008F5F4D" w:rsidP="00D42B18">
      <w:pPr>
        <w:pBdr>
          <w:top w:val="single" w:sz="4" w:space="1" w:color="auto"/>
          <w:left w:val="single" w:sz="4" w:space="4" w:color="auto"/>
          <w:bottom w:val="single" w:sz="4" w:space="1" w:color="auto"/>
          <w:right w:val="single" w:sz="4" w:space="4" w:color="auto"/>
        </w:pBdr>
        <w:spacing w:line="480" w:lineRule="auto"/>
        <w:jc w:val="both"/>
        <w:rPr>
          <w:rFonts w:ascii="Times New Roman" w:hAnsi="Times New Roman"/>
          <w:i/>
          <w:iCs/>
        </w:rPr>
      </w:pPr>
      <w:r w:rsidRPr="009A755F">
        <w:rPr>
          <w:rFonts w:ascii="Times New Roman" w:hAnsi="Times New Roman"/>
          <w:i/>
          <w:iCs/>
        </w:rPr>
        <w:lastRenderedPageBreak/>
        <w:t>“It must be appreciated that these three cases – grouped together for a single hearing because they raise different facets of a wider problem – represent but the tip of an iceberg of aggrieved asylum seekers.”</w:t>
      </w:r>
      <w:r w:rsidR="00932398" w:rsidRPr="009A755F">
        <w:rPr>
          <w:rStyle w:val="FootnoteReference"/>
          <w:rFonts w:ascii="Times New Roman" w:hAnsi="Times New Roman"/>
        </w:rPr>
        <w:t xml:space="preserve"> </w:t>
      </w:r>
      <w:r w:rsidR="00932398" w:rsidRPr="009A755F">
        <w:rPr>
          <w:rStyle w:val="FootnoteReference"/>
          <w:rFonts w:ascii="Times New Roman" w:hAnsi="Times New Roman"/>
        </w:rPr>
        <w:footnoteReference w:id="18"/>
      </w:r>
      <w:r w:rsidRPr="009A755F">
        <w:rPr>
          <w:rFonts w:ascii="Times New Roman" w:hAnsi="Times New Roman"/>
          <w:i/>
          <w:iCs/>
        </w:rPr>
        <w:t xml:space="preserve"> </w:t>
      </w:r>
    </w:p>
    <w:p w14:paraId="4910CA7D" w14:textId="77777777" w:rsidR="008F5F4D" w:rsidRPr="009A755F" w:rsidRDefault="008F5F4D" w:rsidP="00D42B18">
      <w:pPr>
        <w:spacing w:line="480" w:lineRule="auto"/>
        <w:jc w:val="both"/>
        <w:rPr>
          <w:rFonts w:ascii="Times New Roman" w:hAnsi="Times New Roman"/>
        </w:rPr>
      </w:pPr>
      <w:r w:rsidRPr="009A755F">
        <w:rPr>
          <w:rFonts w:ascii="Times New Roman" w:hAnsi="Times New Roman"/>
          <w:i/>
          <w:iCs/>
        </w:rPr>
        <w:t>Adimi</w:t>
      </w:r>
      <w:r w:rsidRPr="009A755F">
        <w:rPr>
          <w:rFonts w:ascii="Times New Roman" w:hAnsi="Times New Roman"/>
        </w:rPr>
        <w:t xml:space="preserve"> is a landmark in the interpretation of article 31 but is also important for its consideration of the incorporation of the Refugee Convention into UK domestic law. The UK is a dualist legal system where domestic law has primacy and international obligations are not automatically incorporated. Besides determining the correct interpretation of article 31, therefore, the Court had to determine the extent to which Refugee Convention obligations were already part of UK law and what would be required to ensure that article 31 protections were realised. </w:t>
      </w:r>
    </w:p>
    <w:p w14:paraId="2434F18F" w14:textId="77777777" w:rsidR="008F5F4D" w:rsidRPr="009A755F" w:rsidRDefault="008F5F4D" w:rsidP="00D42B18">
      <w:pPr>
        <w:spacing w:line="480" w:lineRule="auto"/>
        <w:jc w:val="both"/>
        <w:rPr>
          <w:rFonts w:ascii="Times New Roman" w:hAnsi="Times New Roman"/>
        </w:rPr>
      </w:pPr>
      <w:r w:rsidRPr="009A755F">
        <w:rPr>
          <w:rFonts w:ascii="Times New Roman" w:hAnsi="Times New Roman"/>
        </w:rPr>
        <w:t xml:space="preserve">The incorporation of Refugee Convention obligations had been considered in earlier cases, including </w:t>
      </w:r>
      <w:r w:rsidRPr="009A755F">
        <w:rPr>
          <w:rFonts w:ascii="Times New Roman" w:hAnsi="Times New Roman"/>
          <w:i/>
          <w:iCs/>
        </w:rPr>
        <w:t xml:space="preserve">R v SSHD ex p Sivakumaran [1988] </w:t>
      </w:r>
      <w:r w:rsidRPr="009A755F">
        <w:rPr>
          <w:rFonts w:ascii="Times New Roman" w:hAnsi="Times New Roman"/>
        </w:rPr>
        <w:t>and the statement by Lord Keith that,</w:t>
      </w:r>
      <w:r w:rsidRPr="009A755F">
        <w:rPr>
          <w:rFonts w:ascii="Times New Roman" w:hAnsi="Times New Roman"/>
          <w:i/>
          <w:iCs/>
        </w:rPr>
        <w:t xml:space="preserve"> </w:t>
      </w:r>
      <w:r w:rsidRPr="009A755F">
        <w:rPr>
          <w:rFonts w:ascii="Times New Roman" w:hAnsi="Times New Roman"/>
        </w:rPr>
        <w:t xml:space="preserve">“The United Kingdom having acceded to the [Refugee] Convention and Protocol, their provisions have for all practical purposes been incorporated into United Kingdom law.” Refugee Convention obligations had been partially incorporated via s.2 of the Asylum and Immigration Appeals Act 1993, providing that “Nothing in the Immigration Rules shall lay down any practice which would be contrary to the Convention”. The applicants relied on these sources and on the doctrine of legitimate expectation (“that the UK’s ratification of the Convention itself created a legitimate expectation that its provisions would be followed”) to argue that the Refugee Convention had been fully incorporated in English law. </w:t>
      </w:r>
    </w:p>
    <w:p w14:paraId="1D5DA568" w14:textId="5340E645" w:rsidR="008F5F4D" w:rsidRPr="009A755F" w:rsidRDefault="008F5F4D" w:rsidP="00D42B18">
      <w:pPr>
        <w:spacing w:line="480" w:lineRule="auto"/>
        <w:jc w:val="both"/>
        <w:rPr>
          <w:rFonts w:ascii="Times New Roman" w:hAnsi="Times New Roman"/>
        </w:rPr>
      </w:pPr>
      <w:r w:rsidRPr="009A755F">
        <w:rPr>
          <w:rFonts w:ascii="Times New Roman" w:hAnsi="Times New Roman"/>
        </w:rPr>
        <w:t xml:space="preserve">Newman J was unwilling to extend the reach of either Lord Keith’s </w:t>
      </w:r>
      <w:r w:rsidRPr="009A755F">
        <w:rPr>
          <w:rFonts w:ascii="Times New Roman" w:hAnsi="Times New Roman"/>
          <w:i/>
          <w:iCs/>
        </w:rPr>
        <w:t xml:space="preserve">dicta </w:t>
      </w:r>
      <w:r w:rsidRPr="009A755F">
        <w:rPr>
          <w:rFonts w:ascii="Times New Roman" w:hAnsi="Times New Roman"/>
        </w:rPr>
        <w:t xml:space="preserve">in </w:t>
      </w:r>
      <w:r w:rsidRPr="009A755F">
        <w:rPr>
          <w:rFonts w:ascii="Times New Roman" w:hAnsi="Times New Roman"/>
          <w:i/>
          <w:iCs/>
        </w:rPr>
        <w:t>Sivakumaran</w:t>
      </w:r>
      <w:r w:rsidRPr="009A755F">
        <w:rPr>
          <w:rFonts w:ascii="Times New Roman" w:hAnsi="Times New Roman"/>
        </w:rPr>
        <w:t xml:space="preserve"> or s.2 of </w:t>
      </w:r>
      <w:r w:rsidR="00B26684" w:rsidRPr="009A755F">
        <w:rPr>
          <w:rFonts w:ascii="Times New Roman" w:hAnsi="Times New Roman"/>
        </w:rPr>
        <w:t xml:space="preserve">the </w:t>
      </w:r>
      <w:r w:rsidRPr="009A755F">
        <w:rPr>
          <w:rFonts w:ascii="Times New Roman" w:hAnsi="Times New Roman"/>
        </w:rPr>
        <w:t>1993 Act, considering each to apply to a discrete area (provisions for determining refugee status and the Immigration Rules, respectively) neither of which extended to the imposition of penalties in criminal proceedings.</w:t>
      </w:r>
      <w:r w:rsidRPr="009A755F">
        <w:rPr>
          <w:rStyle w:val="FootnoteReference"/>
          <w:rFonts w:ascii="Times New Roman" w:hAnsi="Times New Roman"/>
        </w:rPr>
        <w:footnoteReference w:id="19"/>
      </w:r>
      <w:r w:rsidRPr="009A755F">
        <w:rPr>
          <w:rFonts w:ascii="Times New Roman" w:hAnsi="Times New Roman"/>
        </w:rPr>
        <w:t xml:space="preserve"> He was, however, willing to accept that even in the absence of direct incorporation, refugees had a legitimate expectation that they would benefit from the Convention obligations which the United Kingdom has accepted.</w:t>
      </w:r>
      <w:r w:rsidRPr="009A755F">
        <w:rPr>
          <w:rStyle w:val="FootnoteReference"/>
          <w:rFonts w:ascii="Times New Roman" w:hAnsi="Times New Roman"/>
        </w:rPr>
        <w:t xml:space="preserve"> </w:t>
      </w:r>
      <w:r w:rsidRPr="009A755F">
        <w:rPr>
          <w:rFonts w:ascii="Times New Roman" w:hAnsi="Times New Roman"/>
        </w:rPr>
        <w:t xml:space="preserve">Brown LJ accepted both arguments, holding that: </w:t>
      </w:r>
    </w:p>
    <w:p w14:paraId="2C9F5011" w14:textId="3EB06D18" w:rsidR="008F5F4D" w:rsidRPr="009A755F" w:rsidRDefault="008F5F4D" w:rsidP="00D42B18">
      <w:pPr>
        <w:spacing w:line="480" w:lineRule="auto"/>
        <w:ind w:left="720"/>
        <w:jc w:val="both"/>
        <w:rPr>
          <w:rFonts w:ascii="Times New Roman" w:hAnsi="Times New Roman"/>
        </w:rPr>
      </w:pPr>
      <w:r w:rsidRPr="009A755F">
        <w:rPr>
          <w:rFonts w:ascii="Times New Roman" w:hAnsi="Times New Roman"/>
        </w:rPr>
        <w:lastRenderedPageBreak/>
        <w:t>By the time of these applicants’ prosecutions, at latest, it seems to me that refugees generally had become entitled to the benefit of Article 31 in accordance with the developing doctrine of legitimate expectations … s.2 of the 1993 Act is by its terms strictly concerned only with the Immigration Rules. Parliament can hardly have intended however, that those entitled to claim asylum under the Rules should nevertheless still be prosecuted in contravention of the Convention. [para 57]</w:t>
      </w:r>
      <w:r w:rsidRPr="009A755F">
        <w:rPr>
          <w:rStyle w:val="FootnoteReference"/>
          <w:rFonts w:ascii="Times New Roman" w:hAnsi="Times New Roman"/>
        </w:rPr>
        <w:footnoteReference w:id="20"/>
      </w:r>
      <w:r w:rsidRPr="009A755F">
        <w:rPr>
          <w:rFonts w:ascii="Times New Roman" w:hAnsi="Times New Roman"/>
        </w:rPr>
        <w:t xml:space="preserve"> </w:t>
      </w:r>
    </w:p>
    <w:p w14:paraId="0B96DB2D" w14:textId="1A01BDE1" w:rsidR="008F5F4D" w:rsidRPr="009A755F" w:rsidRDefault="00496E6D" w:rsidP="00D42B18">
      <w:pPr>
        <w:spacing w:line="480" w:lineRule="auto"/>
        <w:jc w:val="both"/>
        <w:rPr>
          <w:rFonts w:ascii="Times New Roman" w:hAnsi="Times New Roman"/>
        </w:rPr>
      </w:pPr>
      <w:r w:rsidRPr="009A755F">
        <w:rPr>
          <w:rFonts w:ascii="Times New Roman" w:hAnsi="Times New Roman"/>
        </w:rPr>
        <w:t xml:space="preserve">Brown LJ </w:t>
      </w:r>
      <w:r w:rsidR="008F5F4D" w:rsidRPr="009A755F">
        <w:rPr>
          <w:rFonts w:ascii="Times New Roman" w:hAnsi="Times New Roman"/>
        </w:rPr>
        <w:t xml:space="preserve">would later disavow this opinion </w:t>
      </w:r>
      <w:r w:rsidR="00386107" w:rsidRPr="009A755F">
        <w:rPr>
          <w:rFonts w:ascii="Times New Roman" w:hAnsi="Times New Roman"/>
        </w:rPr>
        <w:t xml:space="preserve">in his judgment as a member of the </w:t>
      </w:r>
      <w:r w:rsidR="008F5F4D" w:rsidRPr="009A755F">
        <w:rPr>
          <w:rFonts w:ascii="Times New Roman" w:hAnsi="Times New Roman"/>
        </w:rPr>
        <w:t xml:space="preserve">Court of Appeal </w:t>
      </w:r>
      <w:r w:rsidR="00386107" w:rsidRPr="009A755F">
        <w:rPr>
          <w:rFonts w:ascii="Times New Roman" w:hAnsi="Times New Roman"/>
        </w:rPr>
        <w:t>in</w:t>
      </w:r>
      <w:r w:rsidR="008F5F4D" w:rsidRPr="009A755F">
        <w:rPr>
          <w:rFonts w:ascii="Times New Roman" w:hAnsi="Times New Roman"/>
        </w:rPr>
        <w:t xml:space="preserve"> </w:t>
      </w:r>
      <w:r w:rsidR="008F5F4D" w:rsidRPr="009A755F">
        <w:rPr>
          <w:rFonts w:ascii="Times New Roman" w:hAnsi="Times New Roman"/>
          <w:i/>
          <w:iCs/>
        </w:rPr>
        <w:t>R (European Roma Rights) v Prague Airport</w:t>
      </w:r>
      <w:r w:rsidRPr="009A755F">
        <w:rPr>
          <w:rFonts w:ascii="Times New Roman" w:hAnsi="Times New Roman"/>
        </w:rPr>
        <w:t xml:space="preserve">: </w:t>
      </w:r>
    </w:p>
    <w:p w14:paraId="7673D01F" w14:textId="249982AB" w:rsidR="008F5F4D" w:rsidRPr="009A755F" w:rsidRDefault="008F5F4D" w:rsidP="00D42B18">
      <w:pPr>
        <w:spacing w:line="480" w:lineRule="auto"/>
        <w:ind w:left="720"/>
        <w:jc w:val="both"/>
        <w:rPr>
          <w:rFonts w:ascii="Times New Roman" w:hAnsi="Times New Roman"/>
          <w:szCs w:val="20"/>
          <w:shd w:val="clear" w:color="auto" w:fill="FFFFFF"/>
        </w:rPr>
      </w:pPr>
      <w:r w:rsidRPr="009A755F">
        <w:rPr>
          <w:rFonts w:ascii="Times New Roman" w:hAnsi="Times New Roman"/>
          <w:szCs w:val="20"/>
          <w:shd w:val="clear" w:color="auto" w:fill="FFFFFF"/>
        </w:rPr>
        <w:t>I now recognize that the views I expressed in the Divisional Court in [</w:t>
      </w:r>
      <w:r w:rsidRPr="009A755F">
        <w:rPr>
          <w:rStyle w:val="searchtermshl"/>
          <w:rFonts w:ascii="Times New Roman" w:hAnsi="Times New Roman"/>
          <w:i/>
          <w:iCs/>
          <w:szCs w:val="23"/>
          <w:shd w:val="clear" w:color="auto" w:fill="FFFFFF"/>
        </w:rPr>
        <w:t>Adimi</w:t>
      </w:r>
      <w:r w:rsidRPr="009A755F">
        <w:rPr>
          <w:rFonts w:ascii="Times New Roman" w:hAnsi="Times New Roman"/>
          <w:szCs w:val="20"/>
          <w:shd w:val="clear" w:color="auto" w:fill="FFFFFF"/>
        </w:rPr>
        <w:t xml:space="preserve">] are to be regarded as at best superficial, and that the conclusion I reached there, </w:t>
      </w:r>
      <w:proofErr w:type="gramStart"/>
      <w:r w:rsidRPr="009A755F">
        <w:rPr>
          <w:rFonts w:ascii="Times New Roman" w:hAnsi="Times New Roman"/>
          <w:szCs w:val="20"/>
          <w:shd w:val="clear" w:color="auto" w:fill="FFFFFF"/>
        </w:rPr>
        <w:t>with regard to</w:t>
      </w:r>
      <w:proofErr w:type="gramEnd"/>
      <w:r w:rsidRPr="009A755F">
        <w:rPr>
          <w:rFonts w:ascii="Times New Roman" w:hAnsi="Times New Roman"/>
          <w:szCs w:val="20"/>
          <w:shd w:val="clear" w:color="auto" w:fill="FFFFFF"/>
        </w:rPr>
        <w:t xml:space="preserve"> the legitimate expectations of </w:t>
      </w:r>
      <w:r w:rsidRPr="009A755F">
        <w:rPr>
          <w:rStyle w:val="searchtermshl"/>
          <w:rFonts w:ascii="Times New Roman" w:hAnsi="Times New Roman"/>
          <w:szCs w:val="23"/>
          <w:shd w:val="clear" w:color="auto" w:fill="FFFFFF"/>
        </w:rPr>
        <w:t>asylum</w:t>
      </w:r>
      <w:r w:rsidRPr="009A755F">
        <w:rPr>
          <w:rFonts w:ascii="Times New Roman" w:hAnsi="Times New Roman"/>
          <w:szCs w:val="20"/>
          <w:shd w:val="clear" w:color="auto" w:fill="FFFFFF"/>
        </w:rPr>
        <w:t> seekers to the benefits of article 31, is suspect.</w:t>
      </w:r>
    </w:p>
    <w:p w14:paraId="11AAF2CD" w14:textId="548335E7" w:rsidR="009A755F" w:rsidRPr="008703AD" w:rsidRDefault="00FF7A9A" w:rsidP="00D42B18">
      <w:pPr>
        <w:spacing w:line="480" w:lineRule="auto"/>
        <w:jc w:val="both"/>
        <w:rPr>
          <w:rFonts w:ascii="Times New Roman" w:hAnsi="Times New Roman"/>
        </w:rPr>
      </w:pPr>
      <w:r w:rsidRPr="009A755F">
        <w:rPr>
          <w:rFonts w:ascii="Times New Roman" w:hAnsi="Times New Roman"/>
        </w:rPr>
        <w:t xml:space="preserve">Brown LJ and Newman J’s acceptance </w:t>
      </w:r>
      <w:r w:rsidR="009D1531">
        <w:rPr>
          <w:rFonts w:ascii="Times New Roman" w:hAnsi="Times New Roman"/>
        </w:rPr>
        <w:t xml:space="preserve">of </w:t>
      </w:r>
      <w:r w:rsidR="001A4287" w:rsidRPr="009A755F">
        <w:rPr>
          <w:rFonts w:ascii="Times New Roman" w:hAnsi="Times New Roman"/>
        </w:rPr>
        <w:t xml:space="preserve">a </w:t>
      </w:r>
      <w:r w:rsidR="0026179C">
        <w:rPr>
          <w:rFonts w:ascii="Times New Roman" w:hAnsi="Times New Roman"/>
        </w:rPr>
        <w:t xml:space="preserve">doctrine </w:t>
      </w:r>
      <w:r w:rsidRPr="009A755F">
        <w:rPr>
          <w:rFonts w:ascii="Times New Roman" w:hAnsi="Times New Roman"/>
        </w:rPr>
        <w:t xml:space="preserve">legitimate expectation </w:t>
      </w:r>
      <w:r w:rsidR="00EC1CD4" w:rsidRPr="009A755F">
        <w:rPr>
          <w:rFonts w:ascii="Times New Roman" w:hAnsi="Times New Roman"/>
        </w:rPr>
        <w:t xml:space="preserve">was </w:t>
      </w:r>
      <w:r w:rsidR="0020704D" w:rsidRPr="009A755F">
        <w:rPr>
          <w:rFonts w:ascii="Times New Roman" w:hAnsi="Times New Roman"/>
        </w:rPr>
        <w:t xml:space="preserve">consistent with emerging international jurisprudence </w:t>
      </w:r>
      <w:r w:rsidR="00C9698E">
        <w:rPr>
          <w:rFonts w:ascii="Times New Roman" w:hAnsi="Times New Roman"/>
        </w:rPr>
        <w:t xml:space="preserve">at the time </w:t>
      </w:r>
      <w:r w:rsidR="0020704D" w:rsidRPr="009A755F">
        <w:rPr>
          <w:rFonts w:ascii="Times New Roman" w:hAnsi="Times New Roman"/>
        </w:rPr>
        <w:t xml:space="preserve">(reflected in their positive citation of </w:t>
      </w:r>
      <w:r w:rsidR="00EC1CD4" w:rsidRPr="009A755F">
        <w:rPr>
          <w:rFonts w:ascii="Times New Roman" w:hAnsi="Times New Roman"/>
          <w:b/>
          <w:bCs/>
        </w:rPr>
        <w:t>the Australian case of XX</w:t>
      </w:r>
      <w:r w:rsidR="0020704D" w:rsidRPr="009A755F">
        <w:rPr>
          <w:rFonts w:ascii="Times New Roman" w:hAnsi="Times New Roman"/>
          <w:b/>
          <w:bCs/>
        </w:rPr>
        <w:t>)</w:t>
      </w:r>
      <w:r w:rsidR="00EC1CD4" w:rsidRPr="009A755F">
        <w:rPr>
          <w:rFonts w:ascii="Times New Roman" w:hAnsi="Times New Roman"/>
          <w:b/>
          <w:bCs/>
        </w:rPr>
        <w:t xml:space="preserve">. </w:t>
      </w:r>
      <w:r w:rsidR="00EC1CD4" w:rsidRPr="009A755F">
        <w:rPr>
          <w:rFonts w:ascii="Times New Roman" w:hAnsi="Times New Roman"/>
        </w:rPr>
        <w:t xml:space="preserve">However, </w:t>
      </w:r>
      <w:r w:rsidR="001A4287" w:rsidRPr="009A755F">
        <w:rPr>
          <w:rFonts w:ascii="Times New Roman" w:hAnsi="Times New Roman"/>
        </w:rPr>
        <w:t xml:space="preserve">legitimate expectation has </w:t>
      </w:r>
      <w:r w:rsidR="00C838C8" w:rsidRPr="009A755F">
        <w:rPr>
          <w:rFonts w:ascii="Times New Roman" w:hAnsi="Times New Roman"/>
        </w:rPr>
        <w:t xml:space="preserve">not </w:t>
      </w:r>
      <w:r w:rsidR="00EC1CD4" w:rsidRPr="009A755F">
        <w:rPr>
          <w:rFonts w:ascii="Times New Roman" w:hAnsi="Times New Roman"/>
        </w:rPr>
        <w:t>subsequent</w:t>
      </w:r>
      <w:r w:rsidR="00C838C8" w:rsidRPr="009A755F">
        <w:rPr>
          <w:rFonts w:ascii="Times New Roman" w:hAnsi="Times New Roman"/>
        </w:rPr>
        <w:t xml:space="preserve">ly </w:t>
      </w:r>
      <w:r w:rsidR="001A4287" w:rsidRPr="009A755F">
        <w:rPr>
          <w:rFonts w:ascii="Times New Roman" w:hAnsi="Times New Roman"/>
        </w:rPr>
        <w:t xml:space="preserve">been generally </w:t>
      </w:r>
      <w:r w:rsidR="00C838C8" w:rsidRPr="009A755F">
        <w:rPr>
          <w:rFonts w:ascii="Times New Roman" w:hAnsi="Times New Roman"/>
        </w:rPr>
        <w:t xml:space="preserve">accepted </w:t>
      </w:r>
      <w:r w:rsidR="00C9698E">
        <w:rPr>
          <w:rFonts w:ascii="Times New Roman" w:hAnsi="Times New Roman"/>
        </w:rPr>
        <w:t xml:space="preserve">in </w:t>
      </w:r>
      <w:r w:rsidR="00EC1CD4" w:rsidRPr="009A755F">
        <w:rPr>
          <w:rFonts w:ascii="Times New Roman" w:hAnsi="Times New Roman"/>
        </w:rPr>
        <w:t>the</w:t>
      </w:r>
      <w:r w:rsidR="006620DD" w:rsidRPr="009A755F">
        <w:rPr>
          <w:rFonts w:ascii="Times New Roman" w:hAnsi="Times New Roman"/>
        </w:rPr>
        <w:t xml:space="preserve"> </w:t>
      </w:r>
      <w:r w:rsidR="00C9698E">
        <w:rPr>
          <w:rFonts w:ascii="Times New Roman" w:hAnsi="Times New Roman"/>
        </w:rPr>
        <w:t xml:space="preserve">application </w:t>
      </w:r>
      <w:r w:rsidR="006620DD" w:rsidRPr="009A755F">
        <w:rPr>
          <w:rFonts w:ascii="Times New Roman" w:hAnsi="Times New Roman"/>
        </w:rPr>
        <w:t xml:space="preserve">of international </w:t>
      </w:r>
      <w:r w:rsidR="00C9698E">
        <w:rPr>
          <w:rFonts w:ascii="Times New Roman" w:hAnsi="Times New Roman"/>
        </w:rPr>
        <w:t xml:space="preserve">treaties </w:t>
      </w:r>
      <w:r w:rsidR="006620DD" w:rsidRPr="009A755F">
        <w:rPr>
          <w:rFonts w:ascii="Times New Roman" w:hAnsi="Times New Roman"/>
        </w:rPr>
        <w:t xml:space="preserve">in </w:t>
      </w:r>
      <w:r w:rsidR="0020704D" w:rsidRPr="009A755F">
        <w:rPr>
          <w:rFonts w:ascii="Times New Roman" w:hAnsi="Times New Roman"/>
        </w:rPr>
        <w:t xml:space="preserve">UK </w:t>
      </w:r>
      <w:r w:rsidR="006620DD" w:rsidRPr="009A755F">
        <w:rPr>
          <w:rFonts w:ascii="Times New Roman" w:hAnsi="Times New Roman"/>
        </w:rPr>
        <w:t>court</w:t>
      </w:r>
      <w:r w:rsidR="009A755F" w:rsidRPr="00092BA6">
        <w:rPr>
          <w:rFonts w:ascii="Times New Roman" w:hAnsi="Times New Roman"/>
        </w:rPr>
        <w:t>s</w:t>
      </w:r>
      <w:r w:rsidR="004167B6" w:rsidRPr="00092BA6">
        <w:rPr>
          <w:rFonts w:ascii="Times New Roman" w:hAnsi="Times New Roman"/>
        </w:rPr>
        <w:t>.</w:t>
      </w:r>
      <w:r w:rsidR="009A755F" w:rsidRPr="00092BA6">
        <w:rPr>
          <w:rFonts w:ascii="Times New Roman" w:hAnsi="Times New Roman"/>
        </w:rPr>
        <w:t xml:space="preserve"> </w:t>
      </w:r>
      <w:r w:rsidR="009A755F" w:rsidRPr="00092BA6">
        <w:rPr>
          <w:rFonts w:ascii="Times New Roman" w:hAnsi="Times New Roman" w:cs="Times New Roman"/>
        </w:rPr>
        <w:t xml:space="preserve">In </w:t>
      </w:r>
      <w:r w:rsidR="009A755F" w:rsidRPr="00092BA6">
        <w:rPr>
          <w:rFonts w:ascii="Times New Roman" w:hAnsi="Times New Roman" w:cs="Times New Roman"/>
          <w:i/>
          <w:iCs/>
        </w:rPr>
        <w:t>Assange v USA</w:t>
      </w:r>
      <w:r w:rsidR="009A755F" w:rsidRPr="00092BA6">
        <w:rPr>
          <w:rFonts w:ascii="Times New Roman" w:hAnsi="Times New Roman" w:cs="Times New Roman"/>
        </w:rPr>
        <w:t>, the Divisional Court describe</w:t>
      </w:r>
      <w:r w:rsidR="00B83855" w:rsidRPr="00092BA6">
        <w:rPr>
          <w:rFonts w:ascii="Times New Roman" w:hAnsi="Times New Roman" w:cs="Times New Roman"/>
        </w:rPr>
        <w:t>d</w:t>
      </w:r>
      <w:r w:rsidR="009A755F" w:rsidRPr="00092BA6">
        <w:rPr>
          <w:rFonts w:ascii="Times New Roman" w:hAnsi="Times New Roman" w:cs="Times New Roman"/>
        </w:rPr>
        <w:t xml:space="preserve"> the acceptance of incorporation by legitimate expectation in </w:t>
      </w:r>
      <w:r w:rsidR="009A755F" w:rsidRPr="00092BA6">
        <w:rPr>
          <w:rFonts w:ascii="Times New Roman" w:hAnsi="Times New Roman" w:cs="Times New Roman"/>
          <w:i/>
          <w:iCs/>
        </w:rPr>
        <w:t xml:space="preserve">Adimi </w:t>
      </w:r>
      <w:r w:rsidR="009A755F" w:rsidRPr="00092BA6">
        <w:rPr>
          <w:rFonts w:ascii="Times New Roman" w:hAnsi="Times New Roman" w:cs="Times New Roman"/>
        </w:rPr>
        <w:t>as “tantamount to affording domestic legal force to an unincorporated treaty”.</w:t>
      </w:r>
      <w:r w:rsidR="009A755F" w:rsidRPr="00092BA6">
        <w:rPr>
          <w:rStyle w:val="FootnoteReference"/>
          <w:rFonts w:ascii="Times New Roman" w:hAnsi="Times New Roman" w:cs="Times New Roman"/>
        </w:rPr>
        <w:footnoteReference w:id="21"/>
      </w:r>
      <w:r w:rsidR="009A755F" w:rsidRPr="00092BA6">
        <w:rPr>
          <w:rFonts w:ascii="Times New Roman" w:hAnsi="Times New Roman" w:cs="Times New Roman"/>
        </w:rPr>
        <w:t xml:space="preserve"> Brown LJ’s remarks in </w:t>
      </w:r>
      <w:r w:rsidR="009A755F" w:rsidRPr="00092BA6">
        <w:rPr>
          <w:rFonts w:ascii="Times New Roman" w:hAnsi="Times New Roman" w:cs="Times New Roman"/>
          <w:i/>
          <w:iCs/>
        </w:rPr>
        <w:t xml:space="preserve">Prague Immigration Officer </w:t>
      </w:r>
      <w:r w:rsidR="009A755F" w:rsidRPr="00092BA6">
        <w:rPr>
          <w:rFonts w:ascii="Times New Roman" w:hAnsi="Times New Roman" w:cs="Times New Roman"/>
        </w:rPr>
        <w:t xml:space="preserve">are quoted, with the conclusion: “We respectfully agree. </w:t>
      </w:r>
      <w:r w:rsidR="009A755F" w:rsidRPr="00092BA6">
        <w:rPr>
          <w:rFonts w:ascii="Times New Roman" w:hAnsi="Times New Roman" w:cs="Times New Roman"/>
          <w:i/>
          <w:iCs/>
        </w:rPr>
        <w:t xml:space="preserve">Adimi </w:t>
      </w:r>
      <w:r w:rsidR="009A755F" w:rsidRPr="00092BA6">
        <w:rPr>
          <w:rFonts w:ascii="Times New Roman" w:hAnsi="Times New Roman" w:cs="Times New Roman"/>
        </w:rPr>
        <w:t>is not binding on us. We decline to follow it.”</w:t>
      </w:r>
      <w:r w:rsidR="009A755F" w:rsidRPr="00092BA6">
        <w:rPr>
          <w:rStyle w:val="FootnoteReference"/>
          <w:rFonts w:ascii="Times New Roman" w:hAnsi="Times New Roman" w:cs="Times New Roman"/>
        </w:rPr>
        <w:footnoteReference w:id="22"/>
      </w:r>
      <w:r w:rsidR="009A755F" w:rsidRPr="009A755F">
        <w:rPr>
          <w:rFonts w:ascii="Times New Roman" w:hAnsi="Times New Roman"/>
        </w:rPr>
        <w:t xml:space="preserve">  </w:t>
      </w:r>
      <w:r w:rsidR="009A755F" w:rsidRPr="008703AD">
        <w:rPr>
          <w:rFonts w:ascii="Times New Roman" w:hAnsi="Times New Roman" w:cs="Times New Roman"/>
        </w:rPr>
        <w:t xml:space="preserve"> </w:t>
      </w:r>
    </w:p>
    <w:p w14:paraId="35631667" w14:textId="3A3C73E5" w:rsidR="008F5F4D" w:rsidRPr="009A755F" w:rsidRDefault="00D21804" w:rsidP="00D42B18">
      <w:pPr>
        <w:spacing w:line="480" w:lineRule="auto"/>
        <w:jc w:val="both"/>
        <w:rPr>
          <w:rFonts w:ascii="Times New Roman" w:hAnsi="Times New Roman"/>
        </w:rPr>
      </w:pPr>
      <w:r w:rsidRPr="009A755F">
        <w:rPr>
          <w:rFonts w:ascii="Times New Roman" w:hAnsi="Times New Roman"/>
        </w:rPr>
        <w:t>I</w:t>
      </w:r>
      <w:r w:rsidR="008F5F4D" w:rsidRPr="009A755F">
        <w:rPr>
          <w:rFonts w:ascii="Times New Roman" w:hAnsi="Times New Roman"/>
        </w:rPr>
        <w:t xml:space="preserve">n </w:t>
      </w:r>
      <w:r w:rsidR="008F5F4D" w:rsidRPr="009A755F">
        <w:rPr>
          <w:rFonts w:ascii="Times New Roman" w:hAnsi="Times New Roman"/>
          <w:i/>
          <w:iCs/>
        </w:rPr>
        <w:t xml:space="preserve">Adimi, </w:t>
      </w:r>
      <w:r w:rsidR="008F5F4D" w:rsidRPr="009A755F">
        <w:rPr>
          <w:rFonts w:ascii="Times New Roman" w:hAnsi="Times New Roman"/>
        </w:rPr>
        <w:t>however, both judges accepted that</w:t>
      </w:r>
      <w:r w:rsidR="00410A6F" w:rsidRPr="009A755F">
        <w:rPr>
          <w:rFonts w:ascii="Times New Roman" w:hAnsi="Times New Roman"/>
        </w:rPr>
        <w:t xml:space="preserve"> </w:t>
      </w:r>
      <w:r w:rsidR="00815ADC" w:rsidRPr="009A755F">
        <w:rPr>
          <w:rFonts w:ascii="Times New Roman" w:hAnsi="Times New Roman"/>
        </w:rPr>
        <w:t xml:space="preserve">article 31 of </w:t>
      </w:r>
      <w:r w:rsidR="008F5F4D" w:rsidRPr="009A755F">
        <w:rPr>
          <w:rFonts w:ascii="Times New Roman" w:hAnsi="Times New Roman"/>
        </w:rPr>
        <w:t xml:space="preserve">the Refugee Convention had been incorporated and therefore that </w:t>
      </w:r>
      <w:r w:rsidR="00815ADC" w:rsidRPr="009A755F">
        <w:rPr>
          <w:rFonts w:ascii="Times New Roman" w:hAnsi="Times New Roman"/>
        </w:rPr>
        <w:t xml:space="preserve">it </w:t>
      </w:r>
      <w:r w:rsidR="008F5F4D" w:rsidRPr="009A755F">
        <w:rPr>
          <w:rFonts w:ascii="Times New Roman" w:hAnsi="Times New Roman"/>
        </w:rPr>
        <w:t>was applicable law</w:t>
      </w:r>
      <w:r w:rsidR="00343ADB" w:rsidRPr="009A755F">
        <w:rPr>
          <w:rFonts w:ascii="Times New Roman" w:hAnsi="Times New Roman"/>
        </w:rPr>
        <w:t xml:space="preserve"> in the UK</w:t>
      </w:r>
      <w:r w:rsidR="008F5F4D" w:rsidRPr="009A755F">
        <w:rPr>
          <w:rFonts w:ascii="Times New Roman" w:hAnsi="Times New Roman"/>
        </w:rPr>
        <w:t xml:space="preserve">. The Court’s concern then turned to the question of realising those obligations to “ensure that Article 31 protection is accorded its proper place </w:t>
      </w:r>
      <w:r w:rsidR="008F5F4D" w:rsidRPr="009A755F">
        <w:rPr>
          <w:rFonts w:ascii="Times New Roman" w:hAnsi="Times New Roman"/>
        </w:rPr>
        <w:lastRenderedPageBreak/>
        <w:t xml:space="preserve">in domestic law and practice”. Article 31(1) grants </w:t>
      </w:r>
      <w:proofErr w:type="gramStart"/>
      <w:r w:rsidR="008F5F4D" w:rsidRPr="009A755F">
        <w:rPr>
          <w:rFonts w:ascii="Times New Roman" w:hAnsi="Times New Roman"/>
        </w:rPr>
        <w:t>refugees</w:t>
      </w:r>
      <w:proofErr w:type="gramEnd"/>
      <w:r w:rsidR="008F5F4D" w:rsidRPr="009A755F">
        <w:rPr>
          <w:rFonts w:ascii="Times New Roman" w:hAnsi="Times New Roman"/>
        </w:rPr>
        <w:t xml:space="preserve"> protection from the imposition of penalties for illegal entry or presence and creates an obligation on contracting States not to impose such penalties. As with other elements of the Refugee Convention regime the </w:t>
      </w:r>
      <w:r w:rsidR="0082150E" w:rsidRPr="009A755F">
        <w:rPr>
          <w:rFonts w:ascii="Times New Roman" w:hAnsi="Times New Roman"/>
        </w:rPr>
        <w:t xml:space="preserve">process for </w:t>
      </w:r>
      <w:r w:rsidR="008F5F4D" w:rsidRPr="009A755F">
        <w:rPr>
          <w:rFonts w:ascii="Times New Roman" w:hAnsi="Times New Roman"/>
        </w:rPr>
        <w:t xml:space="preserve">achieving this is not prescribed, raising several questions of implementation. First, is the nature of article 31 protection a complete immunity from all penalties and proceedings, or a protection that </w:t>
      </w:r>
      <w:r w:rsidR="00471E21" w:rsidRPr="009A755F">
        <w:rPr>
          <w:rFonts w:ascii="Times New Roman" w:hAnsi="Times New Roman"/>
        </w:rPr>
        <w:t xml:space="preserve">could </w:t>
      </w:r>
      <w:r w:rsidR="008F5F4D" w:rsidRPr="009A755F">
        <w:rPr>
          <w:rFonts w:ascii="Times New Roman" w:hAnsi="Times New Roman"/>
        </w:rPr>
        <w:t>be exercised by another means (such as a defence or judicial review)? Second, and closely related, which arm of State should have responsibility to ensure compliance with article 31? Should responsibility rest with the Home Secretary as part of asylum determination, or with Crown Prosecution Service and judicial authorities as part of criminal procedure?</w:t>
      </w:r>
      <w:r w:rsidR="009C287A" w:rsidRPr="009A755F">
        <w:rPr>
          <w:rFonts w:ascii="Times New Roman" w:hAnsi="Times New Roman"/>
        </w:rPr>
        <w:t xml:space="preserve"> </w:t>
      </w:r>
      <w:r w:rsidR="008F5F4D" w:rsidRPr="009A755F">
        <w:rPr>
          <w:rFonts w:ascii="Times New Roman" w:hAnsi="Times New Roman"/>
        </w:rPr>
        <w:t>Third, what is the timing for determining article 31 protection and how does this align with or differ from refugee status determination?</w:t>
      </w:r>
      <w:r w:rsidR="00471E21" w:rsidRPr="009A755F">
        <w:rPr>
          <w:rFonts w:ascii="Times New Roman" w:hAnsi="Times New Roman"/>
        </w:rPr>
        <w:t xml:space="preserve"> </w:t>
      </w:r>
    </w:p>
    <w:p w14:paraId="672D0830" w14:textId="7AD2F568" w:rsidR="00E575AE" w:rsidRPr="009A755F" w:rsidRDefault="003F5C5A" w:rsidP="00D42B18">
      <w:pPr>
        <w:spacing w:line="480" w:lineRule="auto"/>
        <w:jc w:val="both"/>
        <w:rPr>
          <w:rFonts w:ascii="Times New Roman" w:hAnsi="Times New Roman"/>
        </w:rPr>
      </w:pPr>
      <w:r w:rsidRPr="009A755F">
        <w:rPr>
          <w:rFonts w:ascii="Times New Roman" w:hAnsi="Times New Roman"/>
        </w:rPr>
        <w:t>B</w:t>
      </w:r>
      <w:r w:rsidR="001813E6" w:rsidRPr="009A755F">
        <w:rPr>
          <w:rFonts w:ascii="Times New Roman" w:hAnsi="Times New Roman"/>
        </w:rPr>
        <w:t>o</w:t>
      </w:r>
      <w:r w:rsidR="008F5F4D" w:rsidRPr="009A755F">
        <w:rPr>
          <w:rFonts w:ascii="Times New Roman" w:hAnsi="Times New Roman"/>
        </w:rPr>
        <w:t xml:space="preserve">th judges reasoned that primary responsibility for ensuring article 31 compliance sat more naturally with the Secretary of State than with the CPS and courts, </w:t>
      </w:r>
      <w:r w:rsidR="00C93BE9" w:rsidRPr="009A755F">
        <w:rPr>
          <w:rFonts w:ascii="Times New Roman" w:hAnsi="Times New Roman"/>
        </w:rPr>
        <w:t xml:space="preserve">as </w:t>
      </w:r>
      <w:r w:rsidR="008F5F4D" w:rsidRPr="009A755F">
        <w:rPr>
          <w:rFonts w:ascii="Times New Roman" w:hAnsi="Times New Roman"/>
        </w:rPr>
        <w:t xml:space="preserve">a matter of asylum and immigration policy rather than a general function of the justice system. While expressing a strong preference for a solution located with the Secretary of State, the judges ultimately declined to insist upon </w:t>
      </w:r>
      <w:r w:rsidR="00C93BE9" w:rsidRPr="009A755F">
        <w:rPr>
          <w:rFonts w:ascii="Times New Roman" w:hAnsi="Times New Roman"/>
        </w:rPr>
        <w:t xml:space="preserve">any </w:t>
      </w:r>
      <w:r w:rsidR="008F5F4D" w:rsidRPr="009A755F">
        <w:rPr>
          <w:rFonts w:ascii="Times New Roman" w:hAnsi="Times New Roman"/>
        </w:rPr>
        <w:t>route, instead requiring the Government “to give careful consideration as to how they propose now to give effect to article 31</w:t>
      </w:r>
      <w:r w:rsidR="00EC2EB2" w:rsidRPr="009A755F">
        <w:rPr>
          <w:rFonts w:ascii="Times New Roman" w:hAnsi="Times New Roman"/>
        </w:rPr>
        <w:t>.</w:t>
      </w:r>
      <w:r w:rsidR="008F5F4D" w:rsidRPr="009A755F">
        <w:rPr>
          <w:rFonts w:ascii="Times New Roman" w:hAnsi="Times New Roman"/>
        </w:rPr>
        <w:t>”</w:t>
      </w:r>
      <w:r w:rsidR="008F5F4D" w:rsidRPr="009A755F">
        <w:rPr>
          <w:rStyle w:val="FootnoteReference"/>
          <w:rFonts w:ascii="Times New Roman" w:hAnsi="Times New Roman"/>
        </w:rPr>
        <w:footnoteReference w:id="23"/>
      </w:r>
      <w:r w:rsidR="009C287A" w:rsidRPr="009A755F">
        <w:rPr>
          <w:rFonts w:ascii="Times New Roman" w:hAnsi="Times New Roman"/>
        </w:rPr>
        <w:t xml:space="preserve"> </w:t>
      </w:r>
      <w:r w:rsidR="00E72104" w:rsidRPr="009A755F">
        <w:rPr>
          <w:rFonts w:ascii="Times New Roman" w:hAnsi="Times New Roman"/>
        </w:rPr>
        <w:t>T</w:t>
      </w:r>
      <w:r w:rsidR="003C66F1" w:rsidRPr="009A755F">
        <w:rPr>
          <w:rFonts w:ascii="Times New Roman" w:hAnsi="Times New Roman"/>
        </w:rPr>
        <w:t>he</w:t>
      </w:r>
      <w:r w:rsidR="00AE0C92" w:rsidRPr="009A755F">
        <w:rPr>
          <w:rFonts w:ascii="Times New Roman" w:hAnsi="Times New Roman"/>
        </w:rPr>
        <w:t xml:space="preserve"> </w:t>
      </w:r>
      <w:r w:rsidR="00E72104" w:rsidRPr="009A755F">
        <w:rPr>
          <w:rFonts w:ascii="Times New Roman" w:hAnsi="Times New Roman"/>
        </w:rPr>
        <w:t xml:space="preserve">approach </w:t>
      </w:r>
      <w:r w:rsidRPr="009A755F">
        <w:rPr>
          <w:rFonts w:ascii="Times New Roman" w:hAnsi="Times New Roman"/>
        </w:rPr>
        <w:t xml:space="preserve">that was </w:t>
      </w:r>
      <w:r w:rsidR="00E72104" w:rsidRPr="009A755F">
        <w:rPr>
          <w:rFonts w:ascii="Times New Roman" w:hAnsi="Times New Roman"/>
        </w:rPr>
        <w:t xml:space="preserve">taken was </w:t>
      </w:r>
      <w:r w:rsidR="008F5F4D" w:rsidRPr="009A755F">
        <w:rPr>
          <w:rFonts w:ascii="Times New Roman" w:hAnsi="Times New Roman"/>
        </w:rPr>
        <w:t>to create a legal defence to prosecution</w:t>
      </w:r>
      <w:r w:rsidR="00EA2D63" w:rsidRPr="009A755F">
        <w:rPr>
          <w:rFonts w:ascii="Times New Roman" w:hAnsi="Times New Roman"/>
        </w:rPr>
        <w:t xml:space="preserve"> by </w:t>
      </w:r>
      <w:r w:rsidR="003B537A" w:rsidRPr="009A755F">
        <w:rPr>
          <w:rFonts w:ascii="Times New Roman" w:hAnsi="Times New Roman"/>
        </w:rPr>
        <w:t xml:space="preserve">amending </w:t>
      </w:r>
      <w:r w:rsidR="00DA7C84" w:rsidRPr="009A755F">
        <w:rPr>
          <w:rFonts w:ascii="Times New Roman" w:hAnsi="Times New Roman"/>
        </w:rPr>
        <w:t xml:space="preserve">the Immigration and Asylum </w:t>
      </w:r>
      <w:r w:rsidR="008F5F4D" w:rsidRPr="009A755F">
        <w:rPr>
          <w:rFonts w:ascii="Times New Roman" w:hAnsi="Times New Roman"/>
        </w:rPr>
        <w:t xml:space="preserve">Bill </w:t>
      </w:r>
      <w:r w:rsidR="00DA7C84" w:rsidRPr="009A755F">
        <w:rPr>
          <w:rFonts w:ascii="Times New Roman" w:hAnsi="Times New Roman"/>
        </w:rPr>
        <w:t xml:space="preserve">that was </w:t>
      </w:r>
      <w:r w:rsidR="008F5F4D" w:rsidRPr="009A755F">
        <w:rPr>
          <w:rFonts w:ascii="Times New Roman" w:hAnsi="Times New Roman"/>
        </w:rPr>
        <w:t>before Parliament</w:t>
      </w:r>
      <w:r w:rsidR="00E72104" w:rsidRPr="009A755F">
        <w:rPr>
          <w:rFonts w:ascii="Times New Roman" w:hAnsi="Times New Roman"/>
        </w:rPr>
        <w:t xml:space="preserve"> at the time of the </w:t>
      </w:r>
      <w:r w:rsidR="00E72104" w:rsidRPr="009A755F">
        <w:rPr>
          <w:rFonts w:ascii="Times New Roman" w:hAnsi="Times New Roman"/>
          <w:i/>
          <w:iCs/>
        </w:rPr>
        <w:t xml:space="preserve">Adimi </w:t>
      </w:r>
      <w:r w:rsidR="00E72104" w:rsidRPr="009A755F">
        <w:rPr>
          <w:rFonts w:ascii="Times New Roman" w:hAnsi="Times New Roman"/>
        </w:rPr>
        <w:t>decision</w:t>
      </w:r>
      <w:r w:rsidR="00DA7C84" w:rsidRPr="009A755F">
        <w:rPr>
          <w:rFonts w:ascii="Times New Roman" w:hAnsi="Times New Roman"/>
        </w:rPr>
        <w:t xml:space="preserve">. The resultant </w:t>
      </w:r>
      <w:r w:rsidR="008F5F4D" w:rsidRPr="009A755F">
        <w:rPr>
          <w:rFonts w:ascii="Times New Roman" w:hAnsi="Times New Roman"/>
        </w:rPr>
        <w:t>s.31 of the Immigration and Asylum Act 1999</w:t>
      </w:r>
      <w:r w:rsidR="00DA7C84" w:rsidRPr="009A755F">
        <w:rPr>
          <w:rFonts w:ascii="Times New Roman" w:hAnsi="Times New Roman"/>
        </w:rPr>
        <w:t xml:space="preserve"> </w:t>
      </w:r>
      <w:r w:rsidR="00815ADC" w:rsidRPr="009A755F">
        <w:rPr>
          <w:rFonts w:ascii="Times New Roman" w:hAnsi="Times New Roman"/>
        </w:rPr>
        <w:t xml:space="preserve">provided </w:t>
      </w:r>
      <w:r w:rsidR="00E575AE" w:rsidRPr="009A755F">
        <w:rPr>
          <w:rFonts w:ascii="Times New Roman" w:hAnsi="Times New Roman"/>
        </w:rPr>
        <w:t xml:space="preserve">a </w:t>
      </w:r>
      <w:r w:rsidR="008F5F4D" w:rsidRPr="009A755F">
        <w:rPr>
          <w:rFonts w:ascii="Times New Roman" w:hAnsi="Times New Roman"/>
        </w:rPr>
        <w:t xml:space="preserve">defence </w:t>
      </w:r>
      <w:r w:rsidR="00085884" w:rsidRPr="009A755F">
        <w:rPr>
          <w:rFonts w:ascii="Times New Roman" w:hAnsi="Times New Roman"/>
        </w:rPr>
        <w:t xml:space="preserve">to </w:t>
      </w:r>
      <w:proofErr w:type="gramStart"/>
      <w:r w:rsidR="00E575AE" w:rsidRPr="009A755F">
        <w:rPr>
          <w:rFonts w:ascii="Times New Roman" w:hAnsi="Times New Roman"/>
        </w:rPr>
        <w:t>a number of</w:t>
      </w:r>
      <w:proofErr w:type="gramEnd"/>
      <w:r w:rsidR="00E575AE" w:rsidRPr="009A755F">
        <w:rPr>
          <w:rFonts w:ascii="Times New Roman" w:hAnsi="Times New Roman"/>
        </w:rPr>
        <w:t xml:space="preserve"> </w:t>
      </w:r>
      <w:r w:rsidR="00A65E5C" w:rsidRPr="009A755F">
        <w:rPr>
          <w:rFonts w:ascii="Times New Roman" w:hAnsi="Times New Roman"/>
        </w:rPr>
        <w:t xml:space="preserve">specified </w:t>
      </w:r>
      <w:r w:rsidR="00EA2D63" w:rsidRPr="009A755F">
        <w:rPr>
          <w:rFonts w:ascii="Times New Roman" w:hAnsi="Times New Roman"/>
        </w:rPr>
        <w:t xml:space="preserve">false document and entry </w:t>
      </w:r>
      <w:r w:rsidR="00E575AE" w:rsidRPr="009A755F">
        <w:rPr>
          <w:rFonts w:ascii="Times New Roman" w:hAnsi="Times New Roman"/>
        </w:rPr>
        <w:t>offences</w:t>
      </w:r>
      <w:r w:rsidR="00A65E5C" w:rsidRPr="009A755F">
        <w:rPr>
          <w:rFonts w:ascii="Times New Roman" w:hAnsi="Times New Roman"/>
        </w:rPr>
        <w:t>:</w:t>
      </w:r>
      <w:r w:rsidR="00E575AE" w:rsidRPr="009A755F">
        <w:rPr>
          <w:rStyle w:val="FootnoteReference"/>
          <w:rFonts w:ascii="Times New Roman" w:hAnsi="Times New Roman"/>
        </w:rPr>
        <w:footnoteReference w:id="24"/>
      </w:r>
      <w:r w:rsidR="000F1632" w:rsidRPr="009A755F">
        <w:rPr>
          <w:rFonts w:ascii="Times New Roman" w:hAnsi="Times New Roman"/>
        </w:rPr>
        <w:t xml:space="preserve"> </w:t>
      </w:r>
    </w:p>
    <w:p w14:paraId="2B145B70" w14:textId="45D60C85" w:rsidR="000F1632" w:rsidRPr="009A755F" w:rsidRDefault="000F1632" w:rsidP="00D42B18">
      <w:pPr>
        <w:spacing w:line="480" w:lineRule="auto"/>
        <w:ind w:left="720"/>
        <w:jc w:val="both"/>
        <w:rPr>
          <w:rFonts w:ascii="Times New Roman" w:hAnsi="Times New Roman"/>
        </w:rPr>
      </w:pPr>
      <w:r w:rsidRPr="009A755F">
        <w:rPr>
          <w:rFonts w:ascii="Times New Roman" w:hAnsi="Times New Roman"/>
        </w:rPr>
        <w:t>s.31(1)</w:t>
      </w:r>
      <w:r w:rsidR="00053C91" w:rsidRPr="009A755F">
        <w:rPr>
          <w:rFonts w:ascii="Times New Roman" w:hAnsi="Times New Roman"/>
        </w:rPr>
        <w:t xml:space="preserve"> </w:t>
      </w:r>
      <w:r w:rsidRPr="009A755F">
        <w:rPr>
          <w:rFonts w:ascii="Times New Roman" w:hAnsi="Times New Roman"/>
        </w:rPr>
        <w:t>It is a defence for a refugee charged with an offence to which this section applies to show that, having come to the United Kingdom directly from a country where his life or freedom was threatened (within the meaning of the Refugee Convention), he—</w:t>
      </w:r>
    </w:p>
    <w:p w14:paraId="18666D60" w14:textId="0EAF01A5" w:rsidR="000F1632" w:rsidRPr="009A755F" w:rsidRDefault="000F1632" w:rsidP="00D42B18">
      <w:pPr>
        <w:spacing w:line="480" w:lineRule="auto"/>
        <w:ind w:left="720"/>
        <w:jc w:val="both"/>
        <w:rPr>
          <w:rFonts w:ascii="Times New Roman" w:hAnsi="Times New Roman"/>
        </w:rPr>
      </w:pPr>
      <w:r w:rsidRPr="009A755F">
        <w:rPr>
          <w:rFonts w:ascii="Times New Roman" w:hAnsi="Times New Roman"/>
        </w:rPr>
        <w:t>(a)</w:t>
      </w:r>
      <w:r w:rsidR="00226FDC" w:rsidRPr="009A755F">
        <w:rPr>
          <w:rFonts w:ascii="Times New Roman" w:hAnsi="Times New Roman"/>
        </w:rPr>
        <w:t xml:space="preserve"> </w:t>
      </w:r>
      <w:r w:rsidRPr="009A755F">
        <w:rPr>
          <w:rFonts w:ascii="Times New Roman" w:hAnsi="Times New Roman"/>
        </w:rPr>
        <w:t xml:space="preserve">presented himself to the authorities in the United Kingdom without </w:t>
      </w:r>
      <w:proofErr w:type="gramStart"/>
      <w:r w:rsidRPr="009A755F">
        <w:rPr>
          <w:rFonts w:ascii="Times New Roman" w:hAnsi="Times New Roman"/>
        </w:rPr>
        <w:t>delay;</w:t>
      </w:r>
      <w:proofErr w:type="gramEnd"/>
    </w:p>
    <w:p w14:paraId="14EB8C6B" w14:textId="6ADEC76B" w:rsidR="000F1632" w:rsidRPr="009A755F" w:rsidRDefault="000F1632" w:rsidP="00D42B18">
      <w:pPr>
        <w:spacing w:line="480" w:lineRule="auto"/>
        <w:ind w:left="720"/>
        <w:jc w:val="both"/>
        <w:rPr>
          <w:rFonts w:ascii="Times New Roman" w:hAnsi="Times New Roman"/>
        </w:rPr>
      </w:pPr>
      <w:r w:rsidRPr="009A755F">
        <w:rPr>
          <w:rFonts w:ascii="Times New Roman" w:hAnsi="Times New Roman"/>
        </w:rPr>
        <w:lastRenderedPageBreak/>
        <w:t>(b)</w:t>
      </w:r>
      <w:r w:rsidR="00226FDC" w:rsidRPr="009A755F">
        <w:rPr>
          <w:rFonts w:ascii="Times New Roman" w:hAnsi="Times New Roman"/>
        </w:rPr>
        <w:t xml:space="preserve"> </w:t>
      </w:r>
      <w:r w:rsidRPr="009A755F">
        <w:rPr>
          <w:rFonts w:ascii="Times New Roman" w:hAnsi="Times New Roman"/>
        </w:rPr>
        <w:t>showed good cause for his illegal entry or presence; and</w:t>
      </w:r>
    </w:p>
    <w:p w14:paraId="04A646FF" w14:textId="50F4FF65" w:rsidR="000F1632" w:rsidRPr="009A755F" w:rsidRDefault="000F1632" w:rsidP="00D42B18">
      <w:pPr>
        <w:spacing w:line="480" w:lineRule="auto"/>
        <w:ind w:left="720"/>
        <w:jc w:val="both"/>
        <w:rPr>
          <w:rFonts w:ascii="Times New Roman" w:hAnsi="Times New Roman"/>
        </w:rPr>
      </w:pPr>
      <w:r w:rsidRPr="009A755F">
        <w:rPr>
          <w:rFonts w:ascii="Times New Roman" w:hAnsi="Times New Roman"/>
        </w:rPr>
        <w:t>(c)</w:t>
      </w:r>
      <w:r w:rsidR="00226FDC" w:rsidRPr="009A755F">
        <w:rPr>
          <w:rFonts w:ascii="Times New Roman" w:hAnsi="Times New Roman"/>
        </w:rPr>
        <w:t xml:space="preserve"> </w:t>
      </w:r>
      <w:r w:rsidRPr="009A755F">
        <w:rPr>
          <w:rFonts w:ascii="Times New Roman" w:hAnsi="Times New Roman"/>
        </w:rPr>
        <w:t>made a claim for asylum as soon as was reasonably practicable after his arrival in the United Kingdom.</w:t>
      </w:r>
    </w:p>
    <w:p w14:paraId="2D31D3FC" w14:textId="2A11C62E" w:rsidR="008F5F4D" w:rsidRPr="009A755F" w:rsidRDefault="00FC7391" w:rsidP="00D42B18">
      <w:pPr>
        <w:spacing w:line="480" w:lineRule="auto"/>
        <w:jc w:val="both"/>
        <w:rPr>
          <w:rFonts w:ascii="Times New Roman" w:hAnsi="Times New Roman"/>
          <w:i/>
          <w:iCs/>
        </w:rPr>
      </w:pPr>
      <w:r w:rsidRPr="009A755F">
        <w:rPr>
          <w:rFonts w:ascii="Times New Roman" w:hAnsi="Times New Roman"/>
        </w:rPr>
        <w:t xml:space="preserve">Section 31(1) of the 1999 Act </w:t>
      </w:r>
      <w:r w:rsidR="00A65E5C" w:rsidRPr="009A755F">
        <w:rPr>
          <w:rFonts w:ascii="Times New Roman" w:hAnsi="Times New Roman"/>
        </w:rPr>
        <w:t xml:space="preserve">echoes the language of article 31(1) of the 1951 Convention but its scope </w:t>
      </w:r>
      <w:r w:rsidR="000F1632" w:rsidRPr="009A755F">
        <w:rPr>
          <w:rFonts w:ascii="Times New Roman" w:hAnsi="Times New Roman"/>
        </w:rPr>
        <w:t>is qualified by s31(2)</w:t>
      </w:r>
      <w:r w:rsidR="00E601CC" w:rsidRPr="009A755F">
        <w:rPr>
          <w:rFonts w:ascii="Times New Roman" w:hAnsi="Times New Roman"/>
        </w:rPr>
        <w:t xml:space="preserve">. As enacted, this precluded the defence from being used if </w:t>
      </w:r>
      <w:r w:rsidR="00F94E4D" w:rsidRPr="009A755F">
        <w:rPr>
          <w:rFonts w:ascii="Times New Roman" w:hAnsi="Times New Roman"/>
        </w:rPr>
        <w:t xml:space="preserve">a </w:t>
      </w:r>
      <w:r w:rsidR="00E601CC" w:rsidRPr="009A755F">
        <w:rPr>
          <w:rFonts w:ascii="Times New Roman" w:hAnsi="Times New Roman"/>
        </w:rPr>
        <w:t xml:space="preserve">refugee stopped in another country before reaching the United Kingdom, unless they could show that they could not reasonably be expected to have been granted protection </w:t>
      </w:r>
      <w:r w:rsidR="007E239E" w:rsidRPr="009A755F">
        <w:rPr>
          <w:rFonts w:ascii="Times New Roman" w:hAnsi="Times New Roman"/>
        </w:rPr>
        <w:t xml:space="preserve">under the Refugee Convention </w:t>
      </w:r>
      <w:r w:rsidR="00E601CC" w:rsidRPr="009A755F">
        <w:rPr>
          <w:rFonts w:ascii="Times New Roman" w:hAnsi="Times New Roman"/>
        </w:rPr>
        <w:t xml:space="preserve">in that country.  This was </w:t>
      </w:r>
      <w:r w:rsidR="00253969" w:rsidRPr="009A755F">
        <w:rPr>
          <w:rFonts w:ascii="Times New Roman" w:hAnsi="Times New Roman"/>
        </w:rPr>
        <w:t xml:space="preserve">amended </w:t>
      </w:r>
      <w:r w:rsidR="00892527" w:rsidRPr="009A755F">
        <w:rPr>
          <w:rFonts w:ascii="Times New Roman" w:hAnsi="Times New Roman"/>
        </w:rPr>
        <w:t xml:space="preserve">by s37(1) of the Nationality and Borders Act </w:t>
      </w:r>
      <w:r w:rsidR="00E601CC" w:rsidRPr="009A755F">
        <w:rPr>
          <w:rFonts w:ascii="Times New Roman" w:hAnsi="Times New Roman"/>
        </w:rPr>
        <w:t>2022</w:t>
      </w:r>
      <w:r w:rsidR="00DC4613" w:rsidRPr="009A755F">
        <w:rPr>
          <w:rFonts w:ascii="Times New Roman" w:hAnsi="Times New Roman"/>
        </w:rPr>
        <w:t xml:space="preserve">, which </w:t>
      </w:r>
      <w:r w:rsidR="00A314D7" w:rsidRPr="009A755F">
        <w:rPr>
          <w:rFonts w:ascii="Times New Roman" w:hAnsi="Times New Roman"/>
        </w:rPr>
        <w:t xml:space="preserve">prevents use of </w:t>
      </w:r>
      <w:r w:rsidR="00A64C7C" w:rsidRPr="009A755F">
        <w:rPr>
          <w:rFonts w:ascii="Times New Roman" w:hAnsi="Times New Roman"/>
        </w:rPr>
        <w:t xml:space="preserve">the s31 defence unless </w:t>
      </w:r>
      <w:r w:rsidR="007E239E" w:rsidRPr="009A755F">
        <w:rPr>
          <w:rFonts w:ascii="Times New Roman" w:hAnsi="Times New Roman"/>
        </w:rPr>
        <w:t xml:space="preserve">the refugee can </w:t>
      </w:r>
      <w:r w:rsidR="00A64C7C" w:rsidRPr="009A755F">
        <w:rPr>
          <w:rFonts w:ascii="Times New Roman" w:hAnsi="Times New Roman"/>
        </w:rPr>
        <w:t xml:space="preserve">show that they </w:t>
      </w:r>
      <w:r w:rsidR="00E601CC" w:rsidRPr="009A755F">
        <w:rPr>
          <w:rFonts w:ascii="Times New Roman" w:hAnsi="Times New Roman"/>
        </w:rPr>
        <w:t xml:space="preserve">could not reasonably be expected </w:t>
      </w:r>
      <w:r w:rsidR="00E601CC" w:rsidRPr="009A755F">
        <w:rPr>
          <w:rFonts w:ascii="Times New Roman" w:hAnsi="Times New Roman"/>
          <w:i/>
          <w:iCs/>
        </w:rPr>
        <w:t>to have sought</w:t>
      </w:r>
      <w:r w:rsidR="00F67D2B" w:rsidRPr="009A755F">
        <w:rPr>
          <w:rFonts w:ascii="Times New Roman" w:hAnsi="Times New Roman"/>
          <w:i/>
          <w:iCs/>
        </w:rPr>
        <w:t xml:space="preserve"> </w:t>
      </w:r>
      <w:r w:rsidR="00E601CC" w:rsidRPr="009A755F">
        <w:rPr>
          <w:rFonts w:ascii="Times New Roman" w:hAnsi="Times New Roman"/>
          <w:i/>
          <w:iCs/>
        </w:rPr>
        <w:t xml:space="preserve"> </w:t>
      </w:r>
      <w:r w:rsidR="00E601CC" w:rsidRPr="009A755F">
        <w:rPr>
          <w:rFonts w:ascii="Times New Roman" w:hAnsi="Times New Roman"/>
        </w:rPr>
        <w:t xml:space="preserve">protection in </w:t>
      </w:r>
      <w:r w:rsidR="007E239E" w:rsidRPr="009A755F">
        <w:rPr>
          <w:rFonts w:ascii="Times New Roman" w:hAnsi="Times New Roman"/>
        </w:rPr>
        <w:t>the country in which they stopped</w:t>
      </w:r>
      <w:r w:rsidR="00E601CC" w:rsidRPr="009A755F">
        <w:rPr>
          <w:rFonts w:ascii="Times New Roman" w:hAnsi="Times New Roman"/>
        </w:rPr>
        <w:t>.</w:t>
      </w:r>
      <w:r w:rsidR="00E741A2" w:rsidRPr="009A755F">
        <w:rPr>
          <w:rStyle w:val="FootnoteReference"/>
          <w:rFonts w:ascii="Times New Roman" w:hAnsi="Times New Roman"/>
        </w:rPr>
        <w:footnoteReference w:id="25"/>
      </w:r>
      <w:r w:rsidR="00027D1F" w:rsidRPr="009A755F">
        <w:rPr>
          <w:rFonts w:ascii="Times New Roman" w:hAnsi="Times New Roman"/>
        </w:rPr>
        <w:t xml:space="preserve"> </w:t>
      </w:r>
      <w:r w:rsidR="009264A3" w:rsidRPr="009A755F">
        <w:rPr>
          <w:rFonts w:ascii="Times New Roman" w:hAnsi="Times New Roman"/>
        </w:rPr>
        <w:t xml:space="preserve">Related </w:t>
      </w:r>
      <w:r w:rsidR="008F5F4D" w:rsidRPr="009A755F">
        <w:rPr>
          <w:rFonts w:ascii="Times New Roman" w:hAnsi="Times New Roman"/>
        </w:rPr>
        <w:t>defence</w:t>
      </w:r>
      <w:r w:rsidR="005B350B" w:rsidRPr="009A755F">
        <w:rPr>
          <w:rFonts w:ascii="Times New Roman" w:hAnsi="Times New Roman"/>
        </w:rPr>
        <w:t xml:space="preserve">s </w:t>
      </w:r>
      <w:r w:rsidR="00D75E84" w:rsidRPr="009A755F">
        <w:rPr>
          <w:rFonts w:ascii="Times New Roman" w:hAnsi="Times New Roman"/>
        </w:rPr>
        <w:t xml:space="preserve">to false document offences </w:t>
      </w:r>
      <w:r w:rsidR="005B350B" w:rsidRPr="009A755F">
        <w:rPr>
          <w:rFonts w:ascii="Times New Roman" w:hAnsi="Times New Roman"/>
        </w:rPr>
        <w:t xml:space="preserve">are available </w:t>
      </w:r>
      <w:r w:rsidR="008F5F4D" w:rsidRPr="009A755F">
        <w:rPr>
          <w:rFonts w:ascii="Times New Roman" w:hAnsi="Times New Roman"/>
        </w:rPr>
        <w:t>under s.2 of the Asylum and Immigration (Treatment of Claimants) Act 2004 Act</w:t>
      </w:r>
      <w:r w:rsidR="00624F0A" w:rsidRPr="009A755F">
        <w:rPr>
          <w:rFonts w:ascii="Times New Roman" w:hAnsi="Times New Roman"/>
        </w:rPr>
        <w:t xml:space="preserve"> (permitting </w:t>
      </w:r>
      <w:r w:rsidR="008F5F4D" w:rsidRPr="009A755F">
        <w:rPr>
          <w:rFonts w:ascii="Times New Roman" w:hAnsi="Times New Roman"/>
        </w:rPr>
        <w:t xml:space="preserve">a “reasonable excuse” defence </w:t>
      </w:r>
      <w:r w:rsidR="00624F0A" w:rsidRPr="009A755F">
        <w:rPr>
          <w:rFonts w:ascii="Times New Roman" w:hAnsi="Times New Roman"/>
        </w:rPr>
        <w:t>to the offence of failing to produce an immigration document at an asylum interview)</w:t>
      </w:r>
      <w:r w:rsidR="00F94E4D" w:rsidRPr="009A755F">
        <w:rPr>
          <w:rFonts w:ascii="Times New Roman" w:hAnsi="Times New Roman"/>
        </w:rPr>
        <w:t xml:space="preserve"> </w:t>
      </w:r>
      <w:r w:rsidR="00624F0A" w:rsidRPr="009A755F">
        <w:rPr>
          <w:rFonts w:ascii="Times New Roman" w:hAnsi="Times New Roman"/>
        </w:rPr>
        <w:t xml:space="preserve">and under s.45 of the </w:t>
      </w:r>
      <w:r w:rsidR="008F5F4D" w:rsidRPr="009A755F">
        <w:rPr>
          <w:rFonts w:ascii="Times New Roman" w:hAnsi="Times New Roman"/>
        </w:rPr>
        <w:t>Modern Slavery Act 2015 (</w:t>
      </w:r>
      <w:r w:rsidR="00624F0A" w:rsidRPr="009A755F">
        <w:rPr>
          <w:rFonts w:ascii="Times New Roman" w:hAnsi="Times New Roman"/>
        </w:rPr>
        <w:t xml:space="preserve">whether </w:t>
      </w:r>
      <w:r w:rsidR="008F5F4D" w:rsidRPr="009A755F">
        <w:rPr>
          <w:rFonts w:ascii="Times New Roman" w:hAnsi="Times New Roman"/>
        </w:rPr>
        <w:t>an offender might be a victim of modern slavery and may have been forced, coerced or deceived into committing an offence)</w:t>
      </w:r>
      <w:r w:rsidR="00E64A0C" w:rsidRPr="009A755F">
        <w:rPr>
          <w:rFonts w:ascii="Times New Roman" w:hAnsi="Times New Roman"/>
        </w:rPr>
        <w:t xml:space="preserve">. </w:t>
      </w:r>
    </w:p>
    <w:p w14:paraId="1A733407" w14:textId="22A28F81" w:rsidR="00676036" w:rsidRPr="009A755F" w:rsidRDefault="00E64A0C" w:rsidP="00D42B18">
      <w:pPr>
        <w:spacing w:line="480" w:lineRule="auto"/>
        <w:jc w:val="both"/>
        <w:rPr>
          <w:rFonts w:ascii="Times New Roman" w:hAnsi="Times New Roman"/>
        </w:rPr>
      </w:pPr>
      <w:r w:rsidRPr="009A755F">
        <w:rPr>
          <w:rFonts w:ascii="Times New Roman" w:hAnsi="Times New Roman"/>
        </w:rPr>
        <w:t>The</w:t>
      </w:r>
      <w:r w:rsidR="009264A3" w:rsidRPr="009A755F">
        <w:rPr>
          <w:rFonts w:ascii="Times New Roman" w:hAnsi="Times New Roman"/>
        </w:rPr>
        <w:t xml:space="preserve">se statutory </w:t>
      </w:r>
      <w:r w:rsidRPr="009A755F">
        <w:rPr>
          <w:rFonts w:ascii="Times New Roman" w:hAnsi="Times New Roman"/>
        </w:rPr>
        <w:t>defences</w:t>
      </w:r>
      <w:r w:rsidR="00075B5F" w:rsidRPr="009A755F">
        <w:rPr>
          <w:rFonts w:ascii="Times New Roman" w:hAnsi="Times New Roman"/>
        </w:rPr>
        <w:t xml:space="preserve"> </w:t>
      </w:r>
      <w:r w:rsidRPr="009A755F">
        <w:rPr>
          <w:rFonts w:ascii="Times New Roman" w:hAnsi="Times New Roman"/>
        </w:rPr>
        <w:t>offer “a patchwork of protection” against some but not all immigration offences.</w:t>
      </w:r>
      <w:r w:rsidRPr="009A755F">
        <w:rPr>
          <w:rStyle w:val="FootnoteReference"/>
          <w:rFonts w:ascii="Times New Roman" w:hAnsi="Times New Roman"/>
        </w:rPr>
        <w:footnoteReference w:id="26"/>
      </w:r>
      <w:r w:rsidRPr="009A755F">
        <w:rPr>
          <w:rStyle w:val="FootnoteReference"/>
          <w:rFonts w:ascii="Times New Roman" w:hAnsi="Times New Roman"/>
        </w:rPr>
        <w:t xml:space="preserve"> </w:t>
      </w:r>
      <w:r w:rsidR="0067709E" w:rsidRPr="009A755F">
        <w:rPr>
          <w:rFonts w:ascii="Times New Roman" w:hAnsi="Times New Roman"/>
        </w:rPr>
        <w:t>The resultant immunity is narrow</w:t>
      </w:r>
      <w:r w:rsidRPr="009A755F">
        <w:rPr>
          <w:rFonts w:ascii="Times New Roman" w:hAnsi="Times New Roman"/>
        </w:rPr>
        <w:t>er</w:t>
      </w:r>
      <w:r w:rsidR="0067709E" w:rsidRPr="009A755F">
        <w:rPr>
          <w:rFonts w:ascii="Times New Roman" w:hAnsi="Times New Roman"/>
        </w:rPr>
        <w:t xml:space="preserve"> </w:t>
      </w:r>
      <w:r w:rsidR="008F5F4D" w:rsidRPr="009A755F">
        <w:rPr>
          <w:rFonts w:ascii="Times New Roman" w:hAnsi="Times New Roman"/>
        </w:rPr>
        <w:t xml:space="preserve">than envisaged in </w:t>
      </w:r>
      <w:r w:rsidR="008F5F4D" w:rsidRPr="009A755F">
        <w:rPr>
          <w:rFonts w:ascii="Times New Roman" w:hAnsi="Times New Roman"/>
          <w:i/>
          <w:iCs/>
        </w:rPr>
        <w:t>Adimi</w:t>
      </w:r>
      <w:r w:rsidR="005019D2" w:rsidRPr="009A755F">
        <w:rPr>
          <w:rFonts w:ascii="Times New Roman" w:hAnsi="Times New Roman"/>
          <w:i/>
          <w:iCs/>
        </w:rPr>
        <w:t xml:space="preserve">, </w:t>
      </w:r>
      <w:r w:rsidR="005019D2" w:rsidRPr="009A755F">
        <w:rPr>
          <w:rFonts w:ascii="Times New Roman" w:hAnsi="Times New Roman"/>
        </w:rPr>
        <w:t xml:space="preserve">failing to provide broad immunity for all applicable offences </w:t>
      </w:r>
      <w:r w:rsidR="00A93691" w:rsidRPr="009A755F">
        <w:rPr>
          <w:rFonts w:ascii="Times New Roman" w:hAnsi="Times New Roman"/>
        </w:rPr>
        <w:t xml:space="preserve">of irregular entry and failing also </w:t>
      </w:r>
      <w:r w:rsidR="002C2B45" w:rsidRPr="009A755F">
        <w:rPr>
          <w:rFonts w:ascii="Times New Roman" w:hAnsi="Times New Roman"/>
        </w:rPr>
        <w:t>to uphold the flexible interpretation of “coming directly” that was provided in that case</w:t>
      </w:r>
      <w:r w:rsidR="000A4E2D" w:rsidRPr="009A755F">
        <w:rPr>
          <w:rFonts w:ascii="Times New Roman" w:hAnsi="Times New Roman"/>
        </w:rPr>
        <w:t>.</w:t>
      </w:r>
      <w:r w:rsidR="008F5F4D" w:rsidRPr="009A755F">
        <w:rPr>
          <w:rFonts w:ascii="Times New Roman" w:hAnsi="Times New Roman"/>
        </w:rPr>
        <w:t xml:space="preserve"> </w:t>
      </w:r>
      <w:r w:rsidR="00075B5F" w:rsidRPr="009A755F">
        <w:rPr>
          <w:rFonts w:ascii="Times New Roman" w:hAnsi="Times New Roman"/>
        </w:rPr>
        <w:t xml:space="preserve">It is also narrower than the </w:t>
      </w:r>
      <w:r w:rsidR="00146244" w:rsidRPr="009A755F">
        <w:rPr>
          <w:rFonts w:ascii="Times New Roman" w:hAnsi="Times New Roman"/>
        </w:rPr>
        <w:t xml:space="preserve">terms </w:t>
      </w:r>
      <w:r w:rsidR="00075B5F" w:rsidRPr="009A755F">
        <w:rPr>
          <w:rFonts w:ascii="Times New Roman" w:hAnsi="Times New Roman"/>
        </w:rPr>
        <w:t xml:space="preserve">of </w:t>
      </w:r>
      <w:r w:rsidR="009264A3" w:rsidRPr="009A755F">
        <w:rPr>
          <w:rFonts w:ascii="Times New Roman" w:hAnsi="Times New Roman"/>
        </w:rPr>
        <w:t xml:space="preserve">the </w:t>
      </w:r>
      <w:r w:rsidR="00A55D77">
        <w:rPr>
          <w:rFonts w:ascii="Times New Roman" w:hAnsi="Times New Roman"/>
        </w:rPr>
        <w:t xml:space="preserve">1951 </w:t>
      </w:r>
      <w:r w:rsidR="00075B5F" w:rsidRPr="009A755F">
        <w:rPr>
          <w:rFonts w:ascii="Times New Roman" w:hAnsi="Times New Roman"/>
        </w:rPr>
        <w:t>Refugee Conventio</w:t>
      </w:r>
      <w:r w:rsidR="004F7ED5" w:rsidRPr="009A755F">
        <w:rPr>
          <w:rFonts w:ascii="Times New Roman" w:hAnsi="Times New Roman"/>
        </w:rPr>
        <w:t>n</w:t>
      </w:r>
      <w:r w:rsidR="00075B5F" w:rsidRPr="009A755F">
        <w:rPr>
          <w:rFonts w:ascii="Times New Roman" w:hAnsi="Times New Roman"/>
        </w:rPr>
        <w:t>.</w:t>
      </w:r>
      <w:r w:rsidR="005421B3" w:rsidRPr="009A755F">
        <w:rPr>
          <w:rFonts w:ascii="Times New Roman" w:hAnsi="Times New Roman"/>
        </w:rPr>
        <w:t xml:space="preserve"> </w:t>
      </w:r>
      <w:r w:rsidR="00075B5F" w:rsidRPr="009A755F">
        <w:rPr>
          <w:rFonts w:ascii="Times New Roman" w:hAnsi="Times New Roman"/>
        </w:rPr>
        <w:t>T</w:t>
      </w:r>
      <w:r w:rsidR="00006E6C" w:rsidRPr="009A755F">
        <w:rPr>
          <w:rFonts w:ascii="Times New Roman" w:hAnsi="Times New Roman"/>
        </w:rPr>
        <w:t xml:space="preserve">he </w:t>
      </w:r>
      <w:r w:rsidR="005421B3" w:rsidRPr="009A755F">
        <w:rPr>
          <w:rFonts w:ascii="Times New Roman" w:hAnsi="Times New Roman"/>
        </w:rPr>
        <w:t xml:space="preserve">statutory defences operate </w:t>
      </w:r>
      <w:r w:rsidR="00006E6C" w:rsidRPr="009A755F">
        <w:rPr>
          <w:rFonts w:ascii="Times New Roman" w:hAnsi="Times New Roman"/>
        </w:rPr>
        <w:t xml:space="preserve">against </w:t>
      </w:r>
      <w:proofErr w:type="gramStart"/>
      <w:r w:rsidR="00006E6C" w:rsidRPr="009A755F">
        <w:rPr>
          <w:rFonts w:ascii="Times New Roman" w:hAnsi="Times New Roman"/>
        </w:rPr>
        <w:t>a number of</w:t>
      </w:r>
      <w:proofErr w:type="gramEnd"/>
      <w:r w:rsidR="00006E6C" w:rsidRPr="009A755F">
        <w:rPr>
          <w:rFonts w:ascii="Times New Roman" w:hAnsi="Times New Roman"/>
        </w:rPr>
        <w:t xml:space="preserve"> specified offences, whereas the language in article 31 prohibits “penalties”, a term that is understood to include</w:t>
      </w:r>
      <w:r w:rsidR="00BE118D" w:rsidRPr="009A755F">
        <w:rPr>
          <w:rFonts w:ascii="Times New Roman" w:hAnsi="Times New Roman"/>
        </w:rPr>
        <w:t xml:space="preserve"> criminal sanctions but also restrictions on access to economic or social rights (education, work)</w:t>
      </w:r>
      <w:r w:rsidR="000730E6" w:rsidRPr="009A755F">
        <w:rPr>
          <w:rFonts w:ascii="Times New Roman" w:hAnsi="Times New Roman"/>
        </w:rPr>
        <w:t>, fines and “any discriminatory treatment or procedural detriment to the refugee.”</w:t>
      </w:r>
      <w:r w:rsidR="00006E6C" w:rsidRPr="009A755F">
        <w:rPr>
          <w:rStyle w:val="FootnoteReference"/>
          <w:rFonts w:ascii="Times New Roman" w:hAnsi="Times New Roman"/>
        </w:rPr>
        <w:footnoteReference w:id="27"/>
      </w:r>
      <w:r w:rsidRPr="009A755F">
        <w:rPr>
          <w:rFonts w:ascii="Times New Roman" w:hAnsi="Times New Roman"/>
        </w:rPr>
        <w:t xml:space="preserve"> </w:t>
      </w:r>
    </w:p>
    <w:p w14:paraId="23630A86" w14:textId="2A3C3F63" w:rsidR="00F10C61" w:rsidRPr="009A755F" w:rsidRDefault="002175E1" w:rsidP="00D42B18">
      <w:pPr>
        <w:spacing w:line="480" w:lineRule="auto"/>
        <w:jc w:val="both"/>
        <w:rPr>
          <w:rFonts w:ascii="Times New Roman" w:hAnsi="Times New Roman"/>
        </w:rPr>
      </w:pPr>
      <w:r w:rsidRPr="00C911BB">
        <w:rPr>
          <w:rFonts w:ascii="Times New Roman" w:hAnsi="Times New Roman"/>
        </w:rPr>
        <w:t xml:space="preserve">Subsequent cases </w:t>
      </w:r>
      <w:r w:rsidR="00036376" w:rsidRPr="00C911BB">
        <w:rPr>
          <w:rFonts w:ascii="Times New Roman" w:hAnsi="Times New Roman"/>
        </w:rPr>
        <w:t xml:space="preserve">interpreting s31 of the 1999 Act have acknowledged the difference in scope </w:t>
      </w:r>
      <w:r w:rsidR="0063458D" w:rsidRPr="00C911BB">
        <w:rPr>
          <w:rFonts w:ascii="Times New Roman" w:hAnsi="Times New Roman"/>
        </w:rPr>
        <w:t xml:space="preserve">with article 31 of the 1951 Convention and </w:t>
      </w:r>
      <w:r w:rsidR="00036376" w:rsidRPr="00C911BB">
        <w:rPr>
          <w:rFonts w:ascii="Times New Roman" w:hAnsi="Times New Roman"/>
        </w:rPr>
        <w:t xml:space="preserve">affirmed the primacy of the </w:t>
      </w:r>
      <w:r w:rsidR="0063458D" w:rsidRPr="00C911BB">
        <w:rPr>
          <w:rFonts w:ascii="Times New Roman" w:hAnsi="Times New Roman"/>
        </w:rPr>
        <w:t xml:space="preserve">statutory </w:t>
      </w:r>
      <w:r w:rsidR="00036376" w:rsidRPr="00C911BB">
        <w:rPr>
          <w:rFonts w:ascii="Times New Roman" w:hAnsi="Times New Roman"/>
        </w:rPr>
        <w:t>framing.</w:t>
      </w:r>
      <w:r w:rsidR="00C911BB">
        <w:rPr>
          <w:rStyle w:val="FootnoteReference"/>
          <w:rFonts w:ascii="Times New Roman" w:hAnsi="Times New Roman"/>
        </w:rPr>
        <w:footnoteReference w:id="28"/>
      </w:r>
      <w:r w:rsidR="00036376" w:rsidRPr="00C911BB">
        <w:rPr>
          <w:rFonts w:ascii="Times New Roman" w:hAnsi="Times New Roman"/>
        </w:rPr>
        <w:t xml:space="preserve"> </w:t>
      </w:r>
      <w:r w:rsidR="00B912DF" w:rsidRPr="009A755F">
        <w:rPr>
          <w:rFonts w:ascii="Times New Roman" w:hAnsi="Times New Roman"/>
        </w:rPr>
        <w:t xml:space="preserve">As </w:t>
      </w:r>
      <w:r w:rsidR="00B80D3D" w:rsidRPr="009A755F">
        <w:rPr>
          <w:rFonts w:ascii="Times New Roman" w:hAnsi="Times New Roman"/>
        </w:rPr>
        <w:t xml:space="preserve">Lord Bingham </w:t>
      </w:r>
      <w:r w:rsidR="00676036" w:rsidRPr="009A755F">
        <w:rPr>
          <w:rFonts w:ascii="Times New Roman" w:hAnsi="Times New Roman"/>
        </w:rPr>
        <w:lastRenderedPageBreak/>
        <w:t xml:space="preserve">recognised </w:t>
      </w:r>
      <w:r w:rsidR="00B80D3D" w:rsidRPr="009A755F">
        <w:rPr>
          <w:rFonts w:ascii="Times New Roman" w:hAnsi="Times New Roman"/>
        </w:rPr>
        <w:t xml:space="preserve">in </w:t>
      </w:r>
      <w:r w:rsidR="00B80D3D" w:rsidRPr="009A755F">
        <w:rPr>
          <w:rFonts w:ascii="Times New Roman" w:hAnsi="Times New Roman"/>
          <w:i/>
          <w:iCs/>
        </w:rPr>
        <w:t>Asfaw</w:t>
      </w:r>
      <w:r w:rsidR="000E1322" w:rsidRPr="009A755F">
        <w:rPr>
          <w:rFonts w:ascii="Times New Roman" w:hAnsi="Times New Roman"/>
          <w:i/>
          <w:iCs/>
        </w:rPr>
        <w:t xml:space="preserve">, </w:t>
      </w:r>
      <w:r w:rsidR="000E1322" w:rsidRPr="009A755F">
        <w:rPr>
          <w:rFonts w:ascii="Times New Roman" w:hAnsi="Times New Roman"/>
        </w:rPr>
        <w:t>s.31</w:t>
      </w:r>
      <w:r w:rsidR="005D3AC5" w:rsidRPr="009A755F">
        <w:rPr>
          <w:rFonts w:ascii="Times New Roman" w:hAnsi="Times New Roman"/>
        </w:rPr>
        <w:t>(2)</w:t>
      </w:r>
      <w:r w:rsidR="000E1322" w:rsidRPr="009A755F">
        <w:rPr>
          <w:rFonts w:ascii="Times New Roman" w:hAnsi="Times New Roman"/>
        </w:rPr>
        <w:t xml:space="preserve"> of the </w:t>
      </w:r>
      <w:r w:rsidR="00B80D3D" w:rsidRPr="009A755F">
        <w:rPr>
          <w:rFonts w:ascii="Times New Roman" w:hAnsi="Times New Roman"/>
        </w:rPr>
        <w:t xml:space="preserve">1999 Act </w:t>
      </w:r>
      <w:r w:rsidR="00EF41F8" w:rsidRPr="009A755F">
        <w:rPr>
          <w:rFonts w:ascii="Times New Roman" w:hAnsi="Times New Roman"/>
        </w:rPr>
        <w:t>“is not to be found in those terms in article 31(1</w:t>
      </w:r>
      <w:r w:rsidR="00F10C61" w:rsidRPr="009A755F">
        <w:rPr>
          <w:rFonts w:ascii="Times New Roman" w:hAnsi="Times New Roman"/>
        </w:rPr>
        <w:t xml:space="preserve">) [and] </w:t>
      </w:r>
      <w:r w:rsidR="00EF41F8" w:rsidRPr="009A755F">
        <w:rPr>
          <w:rFonts w:ascii="Times New Roman" w:hAnsi="Times New Roman"/>
        </w:rPr>
        <w:t xml:space="preserve">has narrowed its scope in comparison with what was contemplated in </w:t>
      </w:r>
      <w:r w:rsidR="00EF41F8" w:rsidRPr="00C911BB">
        <w:rPr>
          <w:rFonts w:ascii="Times New Roman" w:hAnsi="Times New Roman"/>
          <w:i/>
          <w:iCs/>
        </w:rPr>
        <w:t>Adimi</w:t>
      </w:r>
      <w:r w:rsidR="00EF41F8" w:rsidRPr="009A755F">
        <w:rPr>
          <w:rFonts w:ascii="Times New Roman" w:hAnsi="Times New Roman"/>
        </w:rPr>
        <w:t>.”</w:t>
      </w:r>
      <w:r w:rsidR="00EF5083" w:rsidRPr="009A755F">
        <w:rPr>
          <w:rStyle w:val="FootnoteReference"/>
          <w:rFonts w:ascii="Times New Roman" w:hAnsi="Times New Roman"/>
        </w:rPr>
        <w:footnoteReference w:id="29"/>
      </w:r>
      <w:r w:rsidR="00EF41F8" w:rsidRPr="009A755F">
        <w:rPr>
          <w:rFonts w:ascii="Times New Roman" w:hAnsi="Times New Roman"/>
        </w:rPr>
        <w:t xml:space="preserve"> </w:t>
      </w:r>
      <w:r w:rsidR="00F10C61" w:rsidRPr="009A755F">
        <w:rPr>
          <w:rFonts w:ascii="Times New Roman" w:hAnsi="Times New Roman"/>
        </w:rPr>
        <w:t xml:space="preserve">Nevertheless, this is a matter of constitutional law: </w:t>
      </w:r>
    </w:p>
    <w:p w14:paraId="22CC074E" w14:textId="125DBED2" w:rsidR="00EF41F8" w:rsidRPr="009A755F" w:rsidRDefault="00EF41F8" w:rsidP="00D42B18">
      <w:pPr>
        <w:spacing w:line="480" w:lineRule="auto"/>
        <w:ind w:left="720"/>
        <w:jc w:val="both"/>
        <w:rPr>
          <w:rFonts w:ascii="Times New Roman" w:hAnsi="Times New Roman"/>
        </w:rPr>
      </w:pPr>
      <w:r w:rsidRPr="009A755F">
        <w:rPr>
          <w:rFonts w:ascii="Times New Roman" w:hAnsi="Times New Roman"/>
        </w:rPr>
        <w:t xml:space="preserve">The giving effect in domestic law to international obligations is primarily a matter for the legislature […] that determination having been </w:t>
      </w:r>
      <w:proofErr w:type="gramStart"/>
      <w:r w:rsidRPr="009A755F">
        <w:rPr>
          <w:rFonts w:ascii="Times New Roman" w:hAnsi="Times New Roman"/>
        </w:rPr>
        <w:t>made,</w:t>
      </w:r>
      <w:proofErr w:type="gramEnd"/>
      <w:r w:rsidRPr="009A755F">
        <w:rPr>
          <w:rFonts w:ascii="Times New Roman" w:hAnsi="Times New Roman"/>
        </w:rPr>
        <w:t xml:space="preserve"> it is the duty of the courts to give effect to it. There can be no free-standing defence, nor can there be any legitimate expectation that one will be provided, where Parliament has chosen in its own words to set out the scope of the defence that is to be available.</w:t>
      </w:r>
      <w:r w:rsidR="00F10C61" w:rsidRPr="009A755F">
        <w:rPr>
          <w:rStyle w:val="FootnoteReference"/>
          <w:rFonts w:ascii="Times New Roman" w:hAnsi="Times New Roman"/>
        </w:rPr>
        <w:footnoteReference w:id="30"/>
      </w:r>
    </w:p>
    <w:p w14:paraId="5136A5A0" w14:textId="03E8336B" w:rsidR="00531BF2" w:rsidRDefault="008A7972" w:rsidP="00D42B18">
      <w:pPr>
        <w:spacing w:line="480" w:lineRule="auto"/>
        <w:jc w:val="both"/>
        <w:rPr>
          <w:rFonts w:ascii="Times New Roman" w:hAnsi="Times New Roman"/>
        </w:rPr>
      </w:pPr>
      <w:r w:rsidRPr="009A755F">
        <w:rPr>
          <w:rFonts w:ascii="Times New Roman" w:hAnsi="Times New Roman"/>
        </w:rPr>
        <w:t xml:space="preserve">Arguably the greatest barrier to the effectiveness of the s31 defence has been a lack of understanding of its availability from both </w:t>
      </w:r>
      <w:r w:rsidR="00887FA6" w:rsidRPr="009A755F">
        <w:rPr>
          <w:rFonts w:ascii="Times New Roman" w:hAnsi="Times New Roman"/>
        </w:rPr>
        <w:t>prosecutors and defence solicitors.</w:t>
      </w:r>
      <w:r w:rsidR="008F4115" w:rsidRPr="009A755F">
        <w:rPr>
          <w:rFonts w:ascii="Times New Roman" w:hAnsi="Times New Roman"/>
        </w:rPr>
        <w:t xml:space="preserve"> </w:t>
      </w:r>
      <w:r w:rsidR="00344B6B" w:rsidRPr="009A755F">
        <w:rPr>
          <w:rFonts w:ascii="Times New Roman" w:hAnsi="Times New Roman"/>
        </w:rPr>
        <w:t xml:space="preserve">A mere five years after the s31 defence was adopted, </w:t>
      </w:r>
      <w:r w:rsidR="00344B6B" w:rsidRPr="009A755F">
        <w:rPr>
          <w:rFonts w:ascii="Times New Roman" w:hAnsi="Times New Roman" w:cs="Times New Roman"/>
        </w:rPr>
        <w:t xml:space="preserve">a </w:t>
      </w:r>
      <w:r w:rsidR="0031778E" w:rsidRPr="009A755F">
        <w:rPr>
          <w:rFonts w:ascii="Times New Roman" w:hAnsi="Times New Roman" w:cs="Times New Roman"/>
        </w:rPr>
        <w:t xml:space="preserve">Joint Parliamentary Committee on Human Rights study estimated that as many as 5000 people may have been wrongfully imprisoned in circumstances where </w:t>
      </w:r>
      <w:r w:rsidR="00650FEB" w:rsidRPr="009A755F">
        <w:rPr>
          <w:rFonts w:ascii="Times New Roman" w:hAnsi="Times New Roman" w:cs="Times New Roman"/>
        </w:rPr>
        <w:t>the</w:t>
      </w:r>
      <w:r w:rsidR="00344B6B" w:rsidRPr="009A755F">
        <w:rPr>
          <w:rFonts w:ascii="Times New Roman" w:hAnsi="Times New Roman" w:cs="Times New Roman"/>
        </w:rPr>
        <w:t xml:space="preserve"> defence could have been available to them</w:t>
      </w:r>
      <w:r w:rsidR="0031778E" w:rsidRPr="009A755F">
        <w:rPr>
          <w:rFonts w:ascii="Times New Roman" w:hAnsi="Times New Roman" w:cs="Times New Roman"/>
        </w:rPr>
        <w:t>.</w:t>
      </w:r>
      <w:r w:rsidR="0031778E" w:rsidRPr="009A755F">
        <w:rPr>
          <w:rStyle w:val="FootnoteReference"/>
          <w:rFonts w:ascii="Times New Roman" w:hAnsi="Times New Roman" w:cs="Times New Roman"/>
        </w:rPr>
        <w:footnoteReference w:id="31"/>
      </w:r>
      <w:r w:rsidR="0048757A" w:rsidRPr="009A755F">
        <w:rPr>
          <w:rFonts w:ascii="Times New Roman" w:hAnsi="Times New Roman" w:cs="Times New Roman"/>
        </w:rPr>
        <w:t xml:space="preserve"> </w:t>
      </w:r>
      <w:r w:rsidR="002014EA" w:rsidRPr="009A755F">
        <w:rPr>
          <w:rFonts w:ascii="Times New Roman" w:hAnsi="Times New Roman"/>
        </w:rPr>
        <w:t xml:space="preserve">The </w:t>
      </w:r>
      <w:r w:rsidR="006D3D22" w:rsidRPr="009A755F">
        <w:rPr>
          <w:rFonts w:ascii="Times New Roman" w:hAnsi="Times New Roman"/>
        </w:rPr>
        <w:t xml:space="preserve">Criminal Cases Review Commission, </w:t>
      </w:r>
      <w:r w:rsidR="002014EA" w:rsidRPr="009A755F">
        <w:rPr>
          <w:rFonts w:ascii="Times New Roman" w:hAnsi="Times New Roman"/>
        </w:rPr>
        <w:t xml:space="preserve">in its role of reviewing possible miscarriages of justice, referred a number of </w:t>
      </w:r>
      <w:r w:rsidR="00992502" w:rsidRPr="009A755F">
        <w:rPr>
          <w:rFonts w:ascii="Times New Roman" w:hAnsi="Times New Roman"/>
        </w:rPr>
        <w:t xml:space="preserve">such cases </w:t>
      </w:r>
      <w:r w:rsidR="002014EA" w:rsidRPr="009A755F">
        <w:rPr>
          <w:rFonts w:ascii="Times New Roman" w:hAnsi="Times New Roman"/>
        </w:rPr>
        <w:t xml:space="preserve">that resulted in the quashing of convictions.  </w:t>
      </w:r>
      <w:r w:rsidR="006D3D22" w:rsidRPr="009A755F">
        <w:rPr>
          <w:rFonts w:ascii="Times New Roman" w:hAnsi="Times New Roman" w:cs="Times New Roman"/>
        </w:rPr>
        <w:t>The</w:t>
      </w:r>
      <w:r w:rsidR="000208EF" w:rsidRPr="009A755F">
        <w:rPr>
          <w:rFonts w:ascii="Times New Roman" w:hAnsi="Times New Roman" w:cs="Times New Roman"/>
        </w:rPr>
        <w:t xml:space="preserve"> </w:t>
      </w:r>
      <w:r w:rsidR="008F4115" w:rsidRPr="009A755F">
        <w:rPr>
          <w:rFonts w:ascii="Times New Roman" w:hAnsi="Times New Roman" w:cs="Times New Roman"/>
        </w:rPr>
        <w:t xml:space="preserve">Court of Appeal in </w:t>
      </w:r>
      <w:r w:rsidR="008F4115" w:rsidRPr="009A755F">
        <w:rPr>
          <w:rFonts w:ascii="Times New Roman" w:hAnsi="Times New Roman" w:cs="Times New Roman"/>
          <w:i/>
          <w:iCs/>
        </w:rPr>
        <w:t>R v Mateta</w:t>
      </w:r>
      <w:r w:rsidR="00BB696B">
        <w:rPr>
          <w:rFonts w:ascii="Times New Roman" w:hAnsi="Times New Roman" w:cs="Times New Roman"/>
          <w:i/>
          <w:iCs/>
        </w:rPr>
        <w:t xml:space="preserve"> </w:t>
      </w:r>
      <w:r w:rsidR="00BB696B">
        <w:rPr>
          <w:rFonts w:ascii="Times New Roman" w:hAnsi="Times New Roman" w:cs="Times New Roman"/>
        </w:rPr>
        <w:t>(</w:t>
      </w:r>
      <w:r w:rsidR="008F4115" w:rsidRPr="009A755F">
        <w:rPr>
          <w:rFonts w:ascii="Times New Roman" w:hAnsi="Times New Roman" w:cs="Times New Roman"/>
        </w:rPr>
        <w:t xml:space="preserve">considering </w:t>
      </w:r>
      <w:r w:rsidR="00992502" w:rsidRPr="009A755F">
        <w:rPr>
          <w:rFonts w:ascii="Times New Roman" w:hAnsi="Times New Roman" w:cs="Times New Roman"/>
        </w:rPr>
        <w:t xml:space="preserve">a set of </w:t>
      </w:r>
      <w:r w:rsidR="008F4115" w:rsidRPr="009A755F">
        <w:rPr>
          <w:rFonts w:ascii="Times New Roman" w:hAnsi="Times New Roman" w:cs="Times New Roman"/>
        </w:rPr>
        <w:t xml:space="preserve">cases </w:t>
      </w:r>
      <w:r w:rsidR="003F35CB" w:rsidRPr="009A755F">
        <w:rPr>
          <w:rFonts w:ascii="Times New Roman" w:hAnsi="Times New Roman" w:cs="Times New Roman"/>
        </w:rPr>
        <w:t xml:space="preserve">where </w:t>
      </w:r>
      <w:r w:rsidR="008F4115" w:rsidRPr="009A755F">
        <w:rPr>
          <w:rFonts w:ascii="Times New Roman" w:hAnsi="Times New Roman" w:cs="Times New Roman"/>
        </w:rPr>
        <w:t>defence solicitors had failed to instruct their clients on the availability of the s31 defence</w:t>
      </w:r>
      <w:r w:rsidR="00BB696B">
        <w:rPr>
          <w:rFonts w:ascii="Times New Roman" w:hAnsi="Times New Roman" w:cs="Times New Roman"/>
        </w:rPr>
        <w:t>)</w:t>
      </w:r>
      <w:r w:rsidR="00E533AC" w:rsidRPr="009A755F">
        <w:rPr>
          <w:rFonts w:ascii="Times New Roman" w:hAnsi="Times New Roman"/>
        </w:rPr>
        <w:t xml:space="preserve"> </w:t>
      </w:r>
      <w:r w:rsidR="006D3D22" w:rsidRPr="009A755F">
        <w:rPr>
          <w:rFonts w:ascii="Times New Roman" w:hAnsi="Times New Roman"/>
        </w:rPr>
        <w:t xml:space="preserve">followed </w:t>
      </w:r>
      <w:r w:rsidR="00E533AC" w:rsidRPr="009A755F">
        <w:rPr>
          <w:rFonts w:ascii="Times New Roman" w:hAnsi="Times New Roman"/>
          <w:i/>
          <w:iCs/>
        </w:rPr>
        <w:t>Adimi</w:t>
      </w:r>
      <w:r w:rsidR="00E533AC" w:rsidRPr="009A755F">
        <w:rPr>
          <w:rFonts w:ascii="Times New Roman" w:hAnsi="Times New Roman"/>
        </w:rPr>
        <w:t xml:space="preserve"> and </w:t>
      </w:r>
      <w:r w:rsidR="00E533AC" w:rsidRPr="009A755F">
        <w:rPr>
          <w:rFonts w:ascii="Times New Roman" w:hAnsi="Times New Roman"/>
          <w:i/>
          <w:iCs/>
        </w:rPr>
        <w:t>Asfaw</w:t>
      </w:r>
      <w:r w:rsidR="00E533AC" w:rsidRPr="009A755F">
        <w:rPr>
          <w:rFonts w:ascii="Times New Roman" w:hAnsi="Times New Roman"/>
        </w:rPr>
        <w:t xml:space="preserve"> in holding that the fact that a refugee stopped in a third country in transit was not necessarily fatal to the use of the </w:t>
      </w:r>
      <w:r w:rsidR="006D3D22" w:rsidRPr="009A755F">
        <w:rPr>
          <w:rFonts w:ascii="Times New Roman" w:hAnsi="Times New Roman"/>
        </w:rPr>
        <w:t xml:space="preserve">s31 </w:t>
      </w:r>
      <w:r w:rsidR="00E533AC" w:rsidRPr="009A755F">
        <w:rPr>
          <w:rFonts w:ascii="Times New Roman" w:hAnsi="Times New Roman"/>
        </w:rPr>
        <w:t>defence, and that the requirement that a claim for asylum be made as soon as reasonabl</w:t>
      </w:r>
      <w:r w:rsidR="007575A1" w:rsidRPr="009A755F">
        <w:rPr>
          <w:rFonts w:ascii="Times New Roman" w:hAnsi="Times New Roman"/>
        </w:rPr>
        <w:t>y</w:t>
      </w:r>
      <w:r w:rsidR="00E533AC" w:rsidRPr="009A755F">
        <w:rPr>
          <w:rFonts w:ascii="Times New Roman" w:hAnsi="Times New Roman"/>
        </w:rPr>
        <w:t xml:space="preserve"> practicable did not necessarily mean at the earliest possible moment.</w:t>
      </w:r>
      <w:r w:rsidR="00992502" w:rsidRPr="009A755F">
        <w:rPr>
          <w:rStyle w:val="FootnoteReference"/>
          <w:rFonts w:ascii="Times New Roman" w:hAnsi="Times New Roman"/>
        </w:rPr>
        <w:footnoteReference w:id="32"/>
      </w:r>
      <w:r w:rsidR="00992502" w:rsidRPr="009A755F">
        <w:rPr>
          <w:rFonts w:ascii="Times New Roman" w:hAnsi="Times New Roman"/>
        </w:rPr>
        <w:t xml:space="preserve"> </w:t>
      </w:r>
      <w:r w:rsidR="00074C2C" w:rsidRPr="009A755F">
        <w:rPr>
          <w:rFonts w:ascii="Times New Roman" w:hAnsi="Times New Roman"/>
        </w:rPr>
        <w:t xml:space="preserve"> </w:t>
      </w:r>
      <w:r w:rsidR="00676036" w:rsidRPr="009A755F">
        <w:rPr>
          <w:rFonts w:ascii="Times New Roman" w:hAnsi="Times New Roman"/>
        </w:rPr>
        <w:t>A</w:t>
      </w:r>
      <w:r w:rsidR="000208EF" w:rsidRPr="009A755F">
        <w:rPr>
          <w:rFonts w:ascii="Times New Roman" w:hAnsi="Times New Roman"/>
        </w:rPr>
        <w:t>gain</w:t>
      </w:r>
      <w:r w:rsidR="00BF7DBC" w:rsidRPr="009A755F">
        <w:rPr>
          <w:rFonts w:ascii="Times New Roman" w:hAnsi="Times New Roman"/>
        </w:rPr>
        <w:t xml:space="preserve">, the scope of </w:t>
      </w:r>
      <w:r w:rsidR="007575A1" w:rsidRPr="009A755F">
        <w:rPr>
          <w:rFonts w:ascii="Times New Roman" w:hAnsi="Times New Roman"/>
        </w:rPr>
        <w:t xml:space="preserve">this </w:t>
      </w:r>
      <w:r w:rsidR="00676036" w:rsidRPr="009A755F">
        <w:rPr>
          <w:rFonts w:ascii="Times New Roman" w:hAnsi="Times New Roman"/>
        </w:rPr>
        <w:t xml:space="preserve">decision </w:t>
      </w:r>
      <w:r w:rsidR="00BF7DBC" w:rsidRPr="009A755F">
        <w:rPr>
          <w:rFonts w:ascii="Times New Roman" w:hAnsi="Times New Roman"/>
        </w:rPr>
        <w:t xml:space="preserve">has been </w:t>
      </w:r>
      <w:r w:rsidR="00676036" w:rsidRPr="009A755F">
        <w:rPr>
          <w:rFonts w:ascii="Times New Roman" w:hAnsi="Times New Roman"/>
        </w:rPr>
        <w:t xml:space="preserve">reduced </w:t>
      </w:r>
      <w:r w:rsidR="006B421D" w:rsidRPr="009A755F">
        <w:rPr>
          <w:rFonts w:ascii="Times New Roman" w:hAnsi="Times New Roman"/>
        </w:rPr>
        <w:t xml:space="preserve">by </w:t>
      </w:r>
      <w:r w:rsidR="00676036" w:rsidRPr="009A755F">
        <w:rPr>
          <w:rFonts w:ascii="Times New Roman" w:hAnsi="Times New Roman"/>
        </w:rPr>
        <w:t xml:space="preserve">the more restrictive interpretation of the s31 defence that was created in </w:t>
      </w:r>
      <w:r w:rsidR="006B421D" w:rsidRPr="009A755F">
        <w:rPr>
          <w:rFonts w:ascii="Times New Roman" w:hAnsi="Times New Roman"/>
        </w:rPr>
        <w:t xml:space="preserve">the Nationality and Borders Act 2022. </w:t>
      </w:r>
      <w:r w:rsidR="00676036" w:rsidRPr="009A755F">
        <w:rPr>
          <w:rFonts w:ascii="Times New Roman" w:hAnsi="Times New Roman"/>
        </w:rPr>
        <w:t>In addition, t</w:t>
      </w:r>
      <w:r w:rsidR="00F33FE2" w:rsidRPr="009A755F">
        <w:rPr>
          <w:rFonts w:ascii="Times New Roman" w:hAnsi="Times New Roman"/>
        </w:rPr>
        <w:t>he ability of the Criminal Cases Review Commission to review s31</w:t>
      </w:r>
      <w:r w:rsidR="002014EA" w:rsidRPr="009A755F">
        <w:rPr>
          <w:rFonts w:ascii="Times New Roman" w:hAnsi="Times New Roman"/>
        </w:rPr>
        <w:t xml:space="preserve"> </w:t>
      </w:r>
      <w:r w:rsidR="00F33FE2" w:rsidRPr="009A755F">
        <w:rPr>
          <w:rFonts w:ascii="Times New Roman" w:hAnsi="Times New Roman"/>
        </w:rPr>
        <w:t xml:space="preserve">cases has </w:t>
      </w:r>
      <w:r w:rsidR="00BB696B">
        <w:rPr>
          <w:rFonts w:ascii="Times New Roman" w:hAnsi="Times New Roman"/>
        </w:rPr>
        <w:t xml:space="preserve">itself </w:t>
      </w:r>
      <w:r w:rsidR="00F33FE2" w:rsidRPr="009A755F">
        <w:rPr>
          <w:rFonts w:ascii="Times New Roman" w:hAnsi="Times New Roman"/>
        </w:rPr>
        <w:t xml:space="preserve">been </w:t>
      </w:r>
      <w:r w:rsidR="002014EA" w:rsidRPr="009A755F">
        <w:rPr>
          <w:rFonts w:ascii="Times New Roman" w:hAnsi="Times New Roman"/>
        </w:rPr>
        <w:t xml:space="preserve">restricted by the Court of Appeal decision </w:t>
      </w:r>
      <w:r w:rsidR="00531BF2" w:rsidRPr="009A755F">
        <w:rPr>
          <w:rFonts w:ascii="Times New Roman" w:hAnsi="Times New Roman"/>
        </w:rPr>
        <w:t xml:space="preserve">in </w:t>
      </w:r>
      <w:r w:rsidR="00531BF2" w:rsidRPr="009A755F">
        <w:rPr>
          <w:rFonts w:ascii="Times New Roman" w:hAnsi="Times New Roman"/>
          <w:i/>
          <w:iCs/>
        </w:rPr>
        <w:t>R v YY and Nori</w:t>
      </w:r>
      <w:r w:rsidR="00741E56" w:rsidRPr="009A755F">
        <w:rPr>
          <w:rFonts w:ascii="Times New Roman" w:hAnsi="Times New Roman"/>
          <w:i/>
          <w:iCs/>
        </w:rPr>
        <w:t>,</w:t>
      </w:r>
      <w:r w:rsidR="009C08F5" w:rsidRPr="009A755F">
        <w:rPr>
          <w:rStyle w:val="FootnoteReference"/>
          <w:rFonts w:ascii="Times New Roman" w:hAnsi="Times New Roman"/>
          <w:i/>
          <w:iCs/>
        </w:rPr>
        <w:footnoteReference w:id="33"/>
      </w:r>
      <w:r w:rsidR="00531BF2" w:rsidRPr="009A755F">
        <w:rPr>
          <w:rFonts w:ascii="Times New Roman" w:hAnsi="Times New Roman"/>
        </w:rPr>
        <w:t xml:space="preserve">directing that </w:t>
      </w:r>
      <w:r w:rsidR="00531BF2" w:rsidRPr="009A755F">
        <w:rPr>
          <w:rFonts w:ascii="Times New Roman" w:hAnsi="Times New Roman"/>
        </w:rPr>
        <w:lastRenderedPageBreak/>
        <w:t xml:space="preserve">refugees </w:t>
      </w:r>
      <w:r w:rsidR="009C08F5" w:rsidRPr="009A755F">
        <w:rPr>
          <w:rFonts w:ascii="Times New Roman" w:hAnsi="Times New Roman"/>
        </w:rPr>
        <w:t>convicted under offences that might have benefitted from a s31 defence and were now out of time to appeal their conviction should go directly to the Court of Appeal.</w:t>
      </w:r>
      <w:r w:rsidR="002014EA" w:rsidRPr="009A755F">
        <w:rPr>
          <w:rStyle w:val="FootnoteReference"/>
          <w:rFonts w:ascii="Times New Roman" w:hAnsi="Times New Roman"/>
        </w:rPr>
        <w:footnoteReference w:id="34"/>
      </w:r>
      <w:r w:rsidR="00531BF2" w:rsidRPr="009A755F">
        <w:rPr>
          <w:rFonts w:ascii="Times New Roman" w:hAnsi="Times New Roman"/>
        </w:rPr>
        <w:t xml:space="preserve"> </w:t>
      </w:r>
    </w:p>
    <w:p w14:paraId="653B45C6" w14:textId="77777777" w:rsidR="00DF6577" w:rsidRPr="009A755F" w:rsidRDefault="00DF6577" w:rsidP="00D42B18">
      <w:pPr>
        <w:spacing w:line="480" w:lineRule="auto"/>
        <w:jc w:val="both"/>
        <w:rPr>
          <w:rFonts w:ascii="Times New Roman" w:hAnsi="Times New Roman"/>
        </w:rPr>
      </w:pPr>
    </w:p>
    <w:p w14:paraId="159A865F" w14:textId="1FC67D4D" w:rsidR="002F26D8" w:rsidRPr="009A755F" w:rsidRDefault="008F5F4D" w:rsidP="00D42B18">
      <w:pPr>
        <w:spacing w:line="480" w:lineRule="auto"/>
        <w:jc w:val="both"/>
        <w:rPr>
          <w:rFonts w:ascii="Times New Roman" w:hAnsi="Times New Roman"/>
          <w:b/>
          <w:bCs/>
          <w:i/>
          <w:iCs/>
        </w:rPr>
      </w:pPr>
      <w:r w:rsidRPr="009A755F">
        <w:rPr>
          <w:rFonts w:ascii="Times New Roman" w:hAnsi="Times New Roman"/>
          <w:b/>
          <w:bCs/>
        </w:rPr>
        <w:t xml:space="preserve">4. </w:t>
      </w:r>
      <w:r w:rsidRPr="009A755F">
        <w:rPr>
          <w:rFonts w:ascii="Times New Roman" w:hAnsi="Times New Roman"/>
          <w:b/>
          <w:bCs/>
          <w:i/>
          <w:iCs/>
        </w:rPr>
        <w:t>“Article 31 must henceforth be honoured</w:t>
      </w:r>
      <w:r w:rsidR="002F26D8" w:rsidRPr="009A755F">
        <w:rPr>
          <w:rFonts w:ascii="Times New Roman" w:hAnsi="Times New Roman"/>
          <w:b/>
          <w:bCs/>
          <w:i/>
          <w:iCs/>
        </w:rPr>
        <w:t>.</w:t>
      </w:r>
      <w:r w:rsidRPr="009A755F">
        <w:rPr>
          <w:rFonts w:ascii="Times New Roman" w:hAnsi="Times New Roman"/>
          <w:b/>
          <w:bCs/>
          <w:i/>
          <w:iCs/>
        </w:rPr>
        <w:t>”</w:t>
      </w:r>
    </w:p>
    <w:p w14:paraId="705E498F" w14:textId="2395CA77" w:rsidR="008F5F4D" w:rsidRPr="009A755F" w:rsidRDefault="008F5F4D" w:rsidP="00D42B18">
      <w:pPr>
        <w:pBdr>
          <w:top w:val="single" w:sz="4" w:space="1" w:color="auto"/>
          <w:left w:val="single" w:sz="4" w:space="4" w:color="auto"/>
          <w:bottom w:val="single" w:sz="4" w:space="1" w:color="auto"/>
          <w:right w:val="single" w:sz="4" w:space="4" w:color="auto"/>
        </w:pBdr>
        <w:spacing w:line="480" w:lineRule="auto"/>
        <w:jc w:val="both"/>
        <w:rPr>
          <w:rFonts w:ascii="Times New Roman" w:hAnsi="Times New Roman"/>
          <w:i/>
          <w:iCs/>
        </w:rPr>
      </w:pPr>
      <w:r w:rsidRPr="009A755F">
        <w:rPr>
          <w:rFonts w:ascii="Times New Roman" w:hAnsi="Times New Roman"/>
          <w:i/>
          <w:iCs/>
        </w:rPr>
        <w:t>“… I would decline to grant any form of declaratory relief. Rather I would let our judgments speak for themselves, with a view to ensuring that the mistakes of the past are not repeated in future. It must be hoped that these challenges will mark a turning point in the Crown’s approach to the prosecution of refugees for travelling on false passports. Article 31 must henceforth be honoured”.</w:t>
      </w:r>
      <w:r w:rsidRPr="009A755F">
        <w:rPr>
          <w:rStyle w:val="FootnoteReference"/>
          <w:rFonts w:ascii="Times New Roman" w:hAnsi="Times New Roman"/>
          <w:i/>
          <w:iCs/>
        </w:rPr>
        <w:footnoteReference w:id="35"/>
      </w:r>
    </w:p>
    <w:p w14:paraId="7749E161" w14:textId="62B9A579" w:rsidR="00B962D6" w:rsidRPr="009A755F" w:rsidRDefault="008F5F4D" w:rsidP="00D42B18">
      <w:pPr>
        <w:spacing w:line="480" w:lineRule="auto"/>
        <w:jc w:val="both"/>
        <w:rPr>
          <w:rFonts w:ascii="Times New Roman" w:hAnsi="Times New Roman"/>
        </w:rPr>
      </w:pPr>
      <w:r w:rsidRPr="009A755F">
        <w:rPr>
          <w:rFonts w:ascii="Times New Roman" w:hAnsi="Times New Roman"/>
        </w:rPr>
        <w:t xml:space="preserve">One of the features that makes </w:t>
      </w:r>
      <w:r w:rsidRPr="009A755F">
        <w:rPr>
          <w:rFonts w:ascii="Times New Roman" w:hAnsi="Times New Roman"/>
          <w:i/>
          <w:iCs/>
        </w:rPr>
        <w:t>Adimi</w:t>
      </w:r>
      <w:r w:rsidRPr="009A755F">
        <w:rPr>
          <w:rFonts w:ascii="Times New Roman" w:hAnsi="Times New Roman"/>
        </w:rPr>
        <w:t xml:space="preserve"> a landmark </w:t>
      </w:r>
      <w:r w:rsidR="00D147D0">
        <w:rPr>
          <w:rFonts w:ascii="Times New Roman" w:hAnsi="Times New Roman"/>
        </w:rPr>
        <w:t xml:space="preserve">case </w:t>
      </w:r>
      <w:r w:rsidRPr="009A755F">
        <w:rPr>
          <w:rFonts w:ascii="Times New Roman" w:hAnsi="Times New Roman"/>
        </w:rPr>
        <w:t xml:space="preserve">is the explicit recognition that </w:t>
      </w:r>
      <w:r w:rsidR="00676036" w:rsidRPr="009A755F">
        <w:rPr>
          <w:rFonts w:ascii="Times New Roman" w:hAnsi="Times New Roman"/>
        </w:rPr>
        <w:t>it</w:t>
      </w:r>
      <w:r w:rsidRPr="009A755F">
        <w:rPr>
          <w:rFonts w:ascii="Times New Roman" w:hAnsi="Times New Roman"/>
        </w:rPr>
        <w:t xml:space="preserve"> is of broad significance, not solely concerned with the circumstances of the applicants before the court but </w:t>
      </w:r>
      <w:r w:rsidR="00D147D0">
        <w:rPr>
          <w:rFonts w:ascii="Times New Roman" w:hAnsi="Times New Roman"/>
        </w:rPr>
        <w:t xml:space="preserve">also </w:t>
      </w:r>
      <w:r w:rsidRPr="009A755F">
        <w:rPr>
          <w:rFonts w:ascii="Times New Roman" w:hAnsi="Times New Roman"/>
        </w:rPr>
        <w:t xml:space="preserve">a much larger class of similarly affected persons. </w:t>
      </w:r>
      <w:r w:rsidR="00456779" w:rsidRPr="009A755F">
        <w:rPr>
          <w:rFonts w:ascii="Times New Roman" w:hAnsi="Times New Roman"/>
        </w:rPr>
        <w:t>T</w:t>
      </w:r>
      <w:r w:rsidRPr="009A755F">
        <w:rPr>
          <w:rFonts w:ascii="Times New Roman" w:hAnsi="Times New Roman"/>
        </w:rPr>
        <w:t xml:space="preserve">he </w:t>
      </w:r>
      <w:r w:rsidR="00D147D0">
        <w:rPr>
          <w:rFonts w:ascii="Times New Roman" w:hAnsi="Times New Roman"/>
        </w:rPr>
        <w:t xml:space="preserve">judgment </w:t>
      </w:r>
      <w:r w:rsidRPr="009A755F">
        <w:rPr>
          <w:rFonts w:ascii="Times New Roman" w:hAnsi="Times New Roman"/>
        </w:rPr>
        <w:t xml:space="preserve">acknowledges that </w:t>
      </w:r>
      <w:r w:rsidR="00DD319F" w:rsidRPr="009A755F">
        <w:rPr>
          <w:rFonts w:ascii="Times New Roman" w:hAnsi="Times New Roman"/>
        </w:rPr>
        <w:t>the Court is in the unusual position of</w:t>
      </w:r>
      <w:r w:rsidRPr="009A755F">
        <w:rPr>
          <w:rFonts w:ascii="Times New Roman" w:hAnsi="Times New Roman"/>
        </w:rPr>
        <w:t xml:space="preserve"> addressing a legal lacuna, the boundaries of which will be defined by the Court and must be resolved by the Executive</w:t>
      </w:r>
      <w:r w:rsidR="00DB687A" w:rsidRPr="009A755F">
        <w:rPr>
          <w:rFonts w:ascii="Times New Roman" w:hAnsi="Times New Roman"/>
        </w:rPr>
        <w:t>. T</w:t>
      </w:r>
      <w:r w:rsidRPr="009A755F">
        <w:rPr>
          <w:rFonts w:ascii="Times New Roman" w:hAnsi="Times New Roman"/>
        </w:rPr>
        <w:t xml:space="preserve">he tone of the </w:t>
      </w:r>
      <w:r w:rsidR="002F26D8" w:rsidRPr="009A755F">
        <w:rPr>
          <w:rFonts w:ascii="Times New Roman" w:hAnsi="Times New Roman"/>
        </w:rPr>
        <w:t xml:space="preserve">judgment suggests </w:t>
      </w:r>
      <w:r w:rsidRPr="009A755F">
        <w:rPr>
          <w:rFonts w:ascii="Times New Roman" w:hAnsi="Times New Roman"/>
        </w:rPr>
        <w:t xml:space="preserve">a </w:t>
      </w:r>
      <w:r w:rsidR="00B75450" w:rsidRPr="009A755F">
        <w:rPr>
          <w:rFonts w:ascii="Times New Roman" w:hAnsi="Times New Roman"/>
        </w:rPr>
        <w:t xml:space="preserve">perception </w:t>
      </w:r>
      <w:r w:rsidRPr="009A755F">
        <w:rPr>
          <w:rFonts w:ascii="Times New Roman" w:hAnsi="Times New Roman"/>
        </w:rPr>
        <w:t xml:space="preserve">that </w:t>
      </w:r>
      <w:r w:rsidR="002F26D8" w:rsidRPr="009A755F">
        <w:rPr>
          <w:rFonts w:ascii="Times New Roman" w:hAnsi="Times New Roman"/>
        </w:rPr>
        <w:t xml:space="preserve">it has </w:t>
      </w:r>
      <w:r w:rsidRPr="009A755F">
        <w:rPr>
          <w:rFonts w:ascii="Times New Roman" w:hAnsi="Times New Roman"/>
        </w:rPr>
        <w:t>resolved the proble</w:t>
      </w:r>
      <w:r w:rsidR="0043271B" w:rsidRPr="009A755F">
        <w:rPr>
          <w:rFonts w:ascii="Times New Roman" w:hAnsi="Times New Roman"/>
        </w:rPr>
        <w:t xml:space="preserve">m, including what Stevens has described as “the very evident </w:t>
      </w:r>
      <w:r w:rsidR="00640723" w:rsidRPr="009A755F">
        <w:rPr>
          <w:rFonts w:ascii="Times New Roman" w:hAnsi="Times New Roman"/>
        </w:rPr>
        <w:t>admonition” to the Government quoted above (“</w:t>
      </w:r>
      <w:r w:rsidR="00640723" w:rsidRPr="009A755F">
        <w:rPr>
          <w:rFonts w:ascii="Times New Roman" w:hAnsi="Times New Roman"/>
          <w:i/>
          <w:iCs/>
        </w:rPr>
        <w:t>Article 31 must henceforth be honoured”</w:t>
      </w:r>
      <w:r w:rsidR="00640723" w:rsidRPr="009A755F">
        <w:rPr>
          <w:rFonts w:ascii="Times New Roman" w:hAnsi="Times New Roman"/>
        </w:rPr>
        <w:t>).</w:t>
      </w:r>
      <w:r w:rsidR="00640723" w:rsidRPr="009A755F">
        <w:rPr>
          <w:rStyle w:val="FootnoteReference"/>
          <w:rFonts w:ascii="Times New Roman" w:hAnsi="Times New Roman"/>
        </w:rPr>
        <w:footnoteReference w:id="36"/>
      </w:r>
      <w:r w:rsidR="002A19BF" w:rsidRPr="009A755F">
        <w:rPr>
          <w:rFonts w:ascii="Times New Roman" w:hAnsi="Times New Roman"/>
        </w:rPr>
        <w:t xml:space="preserve"> </w:t>
      </w:r>
    </w:p>
    <w:p w14:paraId="6AF7B421" w14:textId="6083E019" w:rsidR="008F5F4D" w:rsidRPr="009A755F" w:rsidRDefault="00640723" w:rsidP="00D42B18">
      <w:pPr>
        <w:spacing w:line="480" w:lineRule="auto"/>
        <w:jc w:val="both"/>
        <w:rPr>
          <w:rFonts w:ascii="Times New Roman" w:hAnsi="Times New Roman"/>
        </w:rPr>
      </w:pPr>
      <w:r w:rsidRPr="009A755F">
        <w:rPr>
          <w:rFonts w:ascii="Times New Roman" w:hAnsi="Times New Roman"/>
        </w:rPr>
        <w:t>The short-term response was</w:t>
      </w:r>
      <w:r w:rsidR="00726FD8" w:rsidRPr="009A755F">
        <w:rPr>
          <w:rFonts w:ascii="Times New Roman" w:hAnsi="Times New Roman"/>
        </w:rPr>
        <w:t xml:space="preserve"> </w:t>
      </w:r>
      <w:r w:rsidR="00DD319F" w:rsidRPr="009A755F">
        <w:rPr>
          <w:rFonts w:ascii="Times New Roman" w:hAnsi="Times New Roman"/>
        </w:rPr>
        <w:t>rapid</w:t>
      </w:r>
      <w:r w:rsidRPr="009A755F">
        <w:rPr>
          <w:rFonts w:ascii="Times New Roman" w:hAnsi="Times New Roman"/>
        </w:rPr>
        <w:t xml:space="preserve">. </w:t>
      </w:r>
      <w:r w:rsidR="00B25A7D" w:rsidRPr="009A755F">
        <w:rPr>
          <w:rFonts w:ascii="Times New Roman" w:hAnsi="Times New Roman"/>
        </w:rPr>
        <w:t xml:space="preserve">As described above, a </w:t>
      </w:r>
      <w:r w:rsidR="008F5F4D" w:rsidRPr="009A755F">
        <w:rPr>
          <w:rFonts w:ascii="Times New Roman" w:hAnsi="Times New Roman"/>
        </w:rPr>
        <w:t xml:space="preserve">statutory defence was created </w:t>
      </w:r>
      <w:r w:rsidR="00B25A7D" w:rsidRPr="009A755F">
        <w:rPr>
          <w:rFonts w:ascii="Times New Roman" w:hAnsi="Times New Roman"/>
        </w:rPr>
        <w:t xml:space="preserve">within the </w:t>
      </w:r>
      <w:r w:rsidR="008F5F4D" w:rsidRPr="009A755F">
        <w:rPr>
          <w:rFonts w:ascii="Times New Roman" w:hAnsi="Times New Roman"/>
        </w:rPr>
        <w:t xml:space="preserve">Asylum and Immigration Act 1999 and accompanied by guidance to raise awareness of its application throughout the criminal justice system and asylum system. </w:t>
      </w:r>
      <w:r w:rsidR="00B25A7D" w:rsidRPr="009A755F">
        <w:rPr>
          <w:rFonts w:ascii="Times New Roman" w:hAnsi="Times New Roman"/>
        </w:rPr>
        <w:t xml:space="preserve">Despite the </w:t>
      </w:r>
      <w:r w:rsidR="000F26A3" w:rsidRPr="009A755F">
        <w:rPr>
          <w:rFonts w:ascii="Times New Roman" w:hAnsi="Times New Roman"/>
        </w:rPr>
        <w:t>limitations</w:t>
      </w:r>
      <w:r w:rsidR="00B25A7D" w:rsidRPr="009A755F">
        <w:rPr>
          <w:rFonts w:ascii="Times New Roman" w:hAnsi="Times New Roman"/>
        </w:rPr>
        <w:t xml:space="preserve"> </w:t>
      </w:r>
      <w:r w:rsidR="0098664A" w:rsidRPr="009A755F">
        <w:rPr>
          <w:rFonts w:ascii="Times New Roman" w:hAnsi="Times New Roman"/>
        </w:rPr>
        <w:t>of this approach</w:t>
      </w:r>
      <w:r w:rsidR="000F26A3" w:rsidRPr="009A755F">
        <w:rPr>
          <w:rFonts w:ascii="Times New Roman" w:hAnsi="Times New Roman"/>
        </w:rPr>
        <w:t xml:space="preserve">, </w:t>
      </w:r>
      <w:r w:rsidR="00676036" w:rsidRPr="009A755F">
        <w:rPr>
          <w:rFonts w:ascii="Times New Roman" w:hAnsi="Times New Roman"/>
        </w:rPr>
        <w:t xml:space="preserve">it </w:t>
      </w:r>
      <w:r w:rsidR="0098664A" w:rsidRPr="009A755F">
        <w:rPr>
          <w:rFonts w:ascii="Times New Roman" w:hAnsi="Times New Roman"/>
        </w:rPr>
        <w:t xml:space="preserve">indicated </w:t>
      </w:r>
      <w:r w:rsidR="002A19BF" w:rsidRPr="009A755F">
        <w:rPr>
          <w:rFonts w:ascii="Times New Roman" w:hAnsi="Times New Roman"/>
        </w:rPr>
        <w:t>a</w:t>
      </w:r>
      <w:r w:rsidR="00A05BF9" w:rsidRPr="009A755F">
        <w:rPr>
          <w:rFonts w:ascii="Times New Roman" w:hAnsi="Times New Roman"/>
        </w:rPr>
        <w:t>n apparently</w:t>
      </w:r>
      <w:r w:rsidR="002A19BF" w:rsidRPr="009A755F">
        <w:rPr>
          <w:rFonts w:ascii="Times New Roman" w:hAnsi="Times New Roman"/>
        </w:rPr>
        <w:t xml:space="preserve"> </w:t>
      </w:r>
      <w:r w:rsidR="008F5F4D" w:rsidRPr="009A755F">
        <w:rPr>
          <w:rFonts w:ascii="Times New Roman" w:hAnsi="Times New Roman"/>
        </w:rPr>
        <w:t xml:space="preserve">sincere effort by the </w:t>
      </w:r>
      <w:r w:rsidR="006A3DF5" w:rsidRPr="009A755F">
        <w:rPr>
          <w:rFonts w:ascii="Times New Roman" w:hAnsi="Times New Roman"/>
        </w:rPr>
        <w:t xml:space="preserve">Government </w:t>
      </w:r>
      <w:r w:rsidR="008F5F4D" w:rsidRPr="009A755F">
        <w:rPr>
          <w:rFonts w:ascii="Times New Roman" w:hAnsi="Times New Roman"/>
        </w:rPr>
        <w:t>to give effect to the Divisional Court’s decision and to article 31 of the Refugee Convention.</w:t>
      </w:r>
      <w:r w:rsidR="009C287A" w:rsidRPr="009A755F">
        <w:rPr>
          <w:rFonts w:ascii="Times New Roman" w:hAnsi="Times New Roman"/>
        </w:rPr>
        <w:t xml:space="preserve"> </w:t>
      </w:r>
      <w:r w:rsidR="008F5F4D" w:rsidRPr="009A755F">
        <w:rPr>
          <w:rFonts w:ascii="Times New Roman" w:hAnsi="Times New Roman"/>
        </w:rPr>
        <w:t xml:space="preserve">The mid-to-long term assessment is much less </w:t>
      </w:r>
      <w:r w:rsidR="0098664A" w:rsidRPr="009A755F">
        <w:rPr>
          <w:rFonts w:ascii="Times New Roman" w:hAnsi="Times New Roman"/>
        </w:rPr>
        <w:t>positive</w:t>
      </w:r>
      <w:r w:rsidR="008F5F4D" w:rsidRPr="009A755F">
        <w:rPr>
          <w:rFonts w:ascii="Times New Roman" w:hAnsi="Times New Roman"/>
        </w:rPr>
        <w:t xml:space="preserve">. Irregular migration has become a political </w:t>
      </w:r>
      <w:r w:rsidR="006F5E50" w:rsidRPr="009A755F">
        <w:rPr>
          <w:rFonts w:ascii="Times New Roman" w:hAnsi="Times New Roman"/>
        </w:rPr>
        <w:t xml:space="preserve">obsession </w:t>
      </w:r>
      <w:r w:rsidR="008F5F4D" w:rsidRPr="009A755F">
        <w:rPr>
          <w:rFonts w:ascii="Times New Roman" w:hAnsi="Times New Roman"/>
        </w:rPr>
        <w:t xml:space="preserve">in the UK and many other countries, </w:t>
      </w:r>
      <w:r w:rsidR="00C74A18" w:rsidRPr="009A755F">
        <w:rPr>
          <w:rFonts w:ascii="Times New Roman" w:hAnsi="Times New Roman"/>
        </w:rPr>
        <w:t>catalysing</w:t>
      </w:r>
      <w:r w:rsidR="008F5F4D" w:rsidRPr="009A755F">
        <w:rPr>
          <w:rFonts w:ascii="Times New Roman" w:hAnsi="Times New Roman"/>
        </w:rPr>
        <w:t xml:space="preserve"> extreme legal reforms that </w:t>
      </w:r>
      <w:r w:rsidR="00B962D6" w:rsidRPr="009A755F">
        <w:rPr>
          <w:rFonts w:ascii="Times New Roman" w:hAnsi="Times New Roman"/>
        </w:rPr>
        <w:t>criminalise unlawful entrants</w:t>
      </w:r>
      <w:r w:rsidR="006F5E50" w:rsidRPr="009A755F">
        <w:rPr>
          <w:rFonts w:ascii="Times New Roman" w:hAnsi="Times New Roman"/>
        </w:rPr>
        <w:t xml:space="preserve"> – including refugees - </w:t>
      </w:r>
      <w:r w:rsidR="00B962D6" w:rsidRPr="009A755F">
        <w:rPr>
          <w:rFonts w:ascii="Times New Roman" w:hAnsi="Times New Roman"/>
        </w:rPr>
        <w:t xml:space="preserve">and </w:t>
      </w:r>
      <w:r w:rsidR="008F5F4D" w:rsidRPr="009A755F">
        <w:rPr>
          <w:rFonts w:ascii="Times New Roman" w:hAnsi="Times New Roman"/>
        </w:rPr>
        <w:t>directly implicat</w:t>
      </w:r>
      <w:r w:rsidR="00D82651" w:rsidRPr="009A755F">
        <w:rPr>
          <w:rFonts w:ascii="Times New Roman" w:hAnsi="Times New Roman"/>
        </w:rPr>
        <w:t>e</w:t>
      </w:r>
      <w:r w:rsidR="008F5F4D" w:rsidRPr="009A755F">
        <w:rPr>
          <w:rFonts w:ascii="Times New Roman" w:hAnsi="Times New Roman"/>
        </w:rPr>
        <w:t xml:space="preserve"> the application of article 31. The “iceberg of aggrieved asylum seekers” that Brown LJ </w:t>
      </w:r>
      <w:r w:rsidR="008F5F4D" w:rsidRPr="009A755F">
        <w:rPr>
          <w:rFonts w:ascii="Times New Roman" w:hAnsi="Times New Roman"/>
        </w:rPr>
        <w:lastRenderedPageBreak/>
        <w:t xml:space="preserve">identified in 1999 is now substantially larger and the penalties to which they are subjected are substantially more severe. The applicants in </w:t>
      </w:r>
      <w:r w:rsidR="008F5F4D" w:rsidRPr="009A755F">
        <w:rPr>
          <w:rFonts w:ascii="Times New Roman" w:hAnsi="Times New Roman"/>
          <w:i/>
          <w:iCs/>
        </w:rPr>
        <w:t>Adimi</w:t>
      </w:r>
      <w:r w:rsidR="008F5F4D" w:rsidRPr="009A755F">
        <w:rPr>
          <w:rFonts w:ascii="Times New Roman" w:hAnsi="Times New Roman"/>
        </w:rPr>
        <w:t xml:space="preserve"> </w:t>
      </w:r>
      <w:r w:rsidR="00B962D6" w:rsidRPr="009A755F">
        <w:rPr>
          <w:rFonts w:ascii="Times New Roman" w:hAnsi="Times New Roman"/>
        </w:rPr>
        <w:t xml:space="preserve">received </w:t>
      </w:r>
      <w:r w:rsidR="00CD2EB3" w:rsidRPr="009A755F">
        <w:rPr>
          <w:rFonts w:ascii="Times New Roman" w:hAnsi="Times New Roman"/>
        </w:rPr>
        <w:t xml:space="preserve">prison </w:t>
      </w:r>
      <w:r w:rsidR="00B962D6" w:rsidRPr="009A755F">
        <w:rPr>
          <w:rFonts w:ascii="Times New Roman" w:hAnsi="Times New Roman"/>
        </w:rPr>
        <w:t xml:space="preserve">sentences of </w:t>
      </w:r>
      <w:r w:rsidR="00CD2EB3" w:rsidRPr="009A755F">
        <w:rPr>
          <w:rFonts w:ascii="Times New Roman" w:hAnsi="Times New Roman"/>
        </w:rPr>
        <w:t xml:space="preserve">three </w:t>
      </w:r>
      <w:r w:rsidR="00B962D6" w:rsidRPr="009A755F">
        <w:rPr>
          <w:rFonts w:ascii="Times New Roman" w:hAnsi="Times New Roman"/>
        </w:rPr>
        <w:t xml:space="preserve">and </w:t>
      </w:r>
      <w:r w:rsidR="00CD2EB3" w:rsidRPr="009A755F">
        <w:rPr>
          <w:rFonts w:ascii="Times New Roman" w:hAnsi="Times New Roman"/>
        </w:rPr>
        <w:t xml:space="preserve">six </w:t>
      </w:r>
      <w:r w:rsidR="008F5F4D" w:rsidRPr="009A755F">
        <w:rPr>
          <w:rFonts w:ascii="Times New Roman" w:hAnsi="Times New Roman"/>
        </w:rPr>
        <w:t xml:space="preserve">months. Now, immigration offences routinely carry statutory maximum sentences equivalent to those of the most serious violent crimes. The Nationality and Borders Act 2022 raised the maximum sentence for </w:t>
      </w:r>
      <w:r w:rsidR="00EB58C5" w:rsidRPr="009A755F">
        <w:rPr>
          <w:rFonts w:ascii="Times New Roman" w:hAnsi="Times New Roman"/>
        </w:rPr>
        <w:t>‘</w:t>
      </w:r>
      <w:r w:rsidR="008F5F4D" w:rsidRPr="009A755F">
        <w:rPr>
          <w:rFonts w:ascii="Times New Roman" w:hAnsi="Times New Roman"/>
        </w:rPr>
        <w:t>assisting unlawful immigration or asylum seekers to the UK</w:t>
      </w:r>
      <w:r w:rsidR="00EB58C5" w:rsidRPr="009A755F">
        <w:rPr>
          <w:rFonts w:ascii="Times New Roman" w:hAnsi="Times New Roman"/>
        </w:rPr>
        <w:t xml:space="preserve">’ </w:t>
      </w:r>
      <w:r w:rsidR="00D753C7" w:rsidRPr="009A755F">
        <w:rPr>
          <w:rFonts w:ascii="Times New Roman" w:hAnsi="Times New Roman"/>
        </w:rPr>
        <w:t>t</w:t>
      </w:r>
      <w:r w:rsidR="008F5F4D" w:rsidRPr="009A755F">
        <w:rPr>
          <w:rFonts w:ascii="Times New Roman" w:hAnsi="Times New Roman"/>
        </w:rPr>
        <w:t xml:space="preserve">o </w:t>
      </w:r>
      <w:r w:rsidR="008F5F4D" w:rsidRPr="009A755F">
        <w:rPr>
          <w:rFonts w:ascii="Times New Roman" w:hAnsi="Times New Roman"/>
          <w:i/>
          <w:iCs/>
        </w:rPr>
        <w:t>life</w:t>
      </w:r>
      <w:r w:rsidR="008F5F4D" w:rsidRPr="009A755F">
        <w:rPr>
          <w:rFonts w:ascii="Times New Roman" w:hAnsi="Times New Roman"/>
        </w:rPr>
        <w:t xml:space="preserve"> imprisonment, while knowingly entering the UK without leave has a maximum sentence of four years.</w:t>
      </w:r>
      <w:r w:rsidR="008F5F4D" w:rsidRPr="009A755F">
        <w:rPr>
          <w:rStyle w:val="FootnoteReference"/>
          <w:rFonts w:ascii="Times New Roman" w:hAnsi="Times New Roman"/>
        </w:rPr>
        <w:footnoteReference w:id="37"/>
      </w:r>
      <w:r w:rsidR="008F5F4D" w:rsidRPr="009A755F">
        <w:rPr>
          <w:rFonts w:ascii="Times New Roman" w:hAnsi="Times New Roman"/>
        </w:rPr>
        <w:t xml:space="preserve"> Facilitation offences are explicitly excluded from immunity for prosecution, as are offences committed while attempting to leave the UK.</w:t>
      </w:r>
      <w:r w:rsidR="00AF1F3D" w:rsidRPr="009A755F">
        <w:rPr>
          <w:rStyle w:val="FootnoteReference"/>
          <w:rFonts w:ascii="Times New Roman" w:hAnsi="Times New Roman"/>
        </w:rPr>
        <w:footnoteReference w:id="38"/>
      </w:r>
      <w:r w:rsidR="008F5F4D" w:rsidRPr="009A755F">
        <w:rPr>
          <w:rFonts w:ascii="Times New Roman" w:hAnsi="Times New Roman"/>
        </w:rPr>
        <w:t xml:space="preserve"> </w:t>
      </w:r>
    </w:p>
    <w:p w14:paraId="78FDB8F8" w14:textId="000BFCCC" w:rsidR="00A71AAA" w:rsidRPr="009A755F" w:rsidRDefault="008F5F4D" w:rsidP="00D42B18">
      <w:pPr>
        <w:spacing w:line="480" w:lineRule="auto"/>
        <w:jc w:val="both"/>
        <w:rPr>
          <w:rFonts w:ascii="Times New Roman" w:hAnsi="Times New Roman"/>
        </w:rPr>
      </w:pPr>
      <w:r w:rsidRPr="009A755F">
        <w:rPr>
          <w:rFonts w:ascii="Times New Roman" w:hAnsi="Times New Roman"/>
        </w:rPr>
        <w:t>The new provisions have led to grotesquely unfair prosecutions</w:t>
      </w:r>
      <w:r w:rsidR="006C67AB" w:rsidRPr="009A755F">
        <w:rPr>
          <w:rFonts w:ascii="Times New Roman" w:hAnsi="Times New Roman"/>
        </w:rPr>
        <w:t xml:space="preserve">, </w:t>
      </w:r>
      <w:r w:rsidR="00555062" w:rsidRPr="009A755F">
        <w:rPr>
          <w:rFonts w:ascii="Times New Roman" w:hAnsi="Times New Roman"/>
        </w:rPr>
        <w:t>includ</w:t>
      </w:r>
      <w:r w:rsidR="006C67AB" w:rsidRPr="009A755F">
        <w:rPr>
          <w:rFonts w:ascii="Times New Roman" w:hAnsi="Times New Roman"/>
        </w:rPr>
        <w:t>ing</w:t>
      </w:r>
      <w:r w:rsidR="00555062" w:rsidRPr="009A755F">
        <w:rPr>
          <w:rFonts w:ascii="Times New Roman" w:hAnsi="Times New Roman"/>
        </w:rPr>
        <w:t xml:space="preserve"> the case </w:t>
      </w:r>
      <w:r w:rsidRPr="009A755F">
        <w:rPr>
          <w:rFonts w:ascii="Times New Roman" w:hAnsi="Times New Roman"/>
        </w:rPr>
        <w:t>of Ibrahima Bah, a teenage asylum seeker sentenced to nearly ten years in prison for crimes of facilitation of entry committed in steering a dinghy from France to the UK</w:t>
      </w:r>
      <w:r w:rsidR="00221A58" w:rsidRPr="009A755F">
        <w:rPr>
          <w:rFonts w:ascii="Times New Roman" w:hAnsi="Times New Roman"/>
        </w:rPr>
        <w:t xml:space="preserve">. </w:t>
      </w:r>
      <w:r w:rsidR="00EB58C5" w:rsidRPr="009A755F">
        <w:rPr>
          <w:rFonts w:ascii="Times New Roman" w:hAnsi="Times New Roman"/>
        </w:rPr>
        <w:t xml:space="preserve">Bah </w:t>
      </w:r>
      <w:r w:rsidRPr="009A755F">
        <w:rPr>
          <w:rFonts w:ascii="Times New Roman" w:hAnsi="Times New Roman"/>
        </w:rPr>
        <w:t xml:space="preserve">had agreed to pilot the boat as he could not afford to pay smugglers to transport him from France to England. When he saw the boat and the number of passengers he refused on the grounds of safety but was beaten and coerced to depart; circumstances that his defence argued made him a victim of modern slavery rather than a smuggling gangmaster. </w:t>
      </w:r>
      <w:r w:rsidR="00221A58" w:rsidRPr="009A755F">
        <w:rPr>
          <w:rFonts w:ascii="Times New Roman" w:hAnsi="Times New Roman"/>
        </w:rPr>
        <w:t xml:space="preserve">The dinghy broke apart </w:t>
      </w:r>
      <w:proofErr w:type="spellStart"/>
      <w:r w:rsidR="00221A58" w:rsidRPr="009A755F">
        <w:rPr>
          <w:rFonts w:ascii="Times New Roman" w:hAnsi="Times New Roman"/>
          <w:i/>
          <w:iCs/>
        </w:rPr>
        <w:t>en</w:t>
      </w:r>
      <w:proofErr w:type="spellEnd"/>
      <w:r w:rsidR="00221A58" w:rsidRPr="009A755F">
        <w:rPr>
          <w:rFonts w:ascii="Times New Roman" w:hAnsi="Times New Roman"/>
          <w:i/>
          <w:iCs/>
        </w:rPr>
        <w:t xml:space="preserve"> route</w:t>
      </w:r>
      <w:r w:rsidR="00221A58" w:rsidRPr="009A755F">
        <w:rPr>
          <w:rFonts w:ascii="Times New Roman" w:hAnsi="Times New Roman"/>
        </w:rPr>
        <w:t xml:space="preserve"> causing the drowning of up to </w:t>
      </w:r>
      <w:r w:rsidR="00EB58C5" w:rsidRPr="009A755F">
        <w:rPr>
          <w:rFonts w:ascii="Times New Roman" w:hAnsi="Times New Roman"/>
        </w:rPr>
        <w:t xml:space="preserve">nine </w:t>
      </w:r>
      <w:r w:rsidR="00221A58" w:rsidRPr="009A755F">
        <w:rPr>
          <w:rFonts w:ascii="Times New Roman" w:hAnsi="Times New Roman"/>
        </w:rPr>
        <w:t xml:space="preserve">people. </w:t>
      </w:r>
      <w:r w:rsidRPr="009A755F">
        <w:rPr>
          <w:rFonts w:ascii="Times New Roman" w:hAnsi="Times New Roman"/>
        </w:rPr>
        <w:t xml:space="preserve">When the boat fell into trouble, </w:t>
      </w:r>
      <w:proofErr w:type="gramStart"/>
      <w:r w:rsidR="00EB58C5" w:rsidRPr="009A755F">
        <w:rPr>
          <w:rFonts w:ascii="Times New Roman" w:hAnsi="Times New Roman"/>
        </w:rPr>
        <w:t>Bah</w:t>
      </w:r>
      <w:proofErr w:type="gramEnd"/>
      <w:r w:rsidR="00EB58C5" w:rsidRPr="009A755F">
        <w:rPr>
          <w:rFonts w:ascii="Times New Roman" w:hAnsi="Times New Roman"/>
        </w:rPr>
        <w:t xml:space="preserve"> </w:t>
      </w:r>
      <w:r w:rsidRPr="009A755F">
        <w:rPr>
          <w:rFonts w:ascii="Times New Roman" w:hAnsi="Times New Roman"/>
        </w:rPr>
        <w:t xml:space="preserve">played a heroic role in assisting the rescue of other passengers. He survived, only to face prosecution </w:t>
      </w:r>
      <w:r w:rsidR="00A05BF9" w:rsidRPr="009A755F">
        <w:rPr>
          <w:rFonts w:ascii="Times New Roman" w:hAnsi="Times New Roman"/>
        </w:rPr>
        <w:t>and a decade of imprisonment</w:t>
      </w:r>
      <w:r w:rsidRPr="009A755F">
        <w:rPr>
          <w:rFonts w:ascii="Times New Roman" w:hAnsi="Times New Roman"/>
        </w:rPr>
        <w:t>.</w:t>
      </w:r>
      <w:r w:rsidRPr="009A755F">
        <w:rPr>
          <w:rStyle w:val="FootnoteReference"/>
          <w:rFonts w:ascii="Times New Roman" w:hAnsi="Times New Roman"/>
        </w:rPr>
        <w:footnoteReference w:id="39"/>
      </w:r>
      <w:r w:rsidRPr="009A755F">
        <w:rPr>
          <w:rFonts w:ascii="Times New Roman" w:hAnsi="Times New Roman"/>
        </w:rPr>
        <w:t xml:space="preserve"> Less than two years after NABA 2022 entered into force, hundreds of people had </w:t>
      </w:r>
      <w:r w:rsidR="008435D3" w:rsidRPr="009A755F">
        <w:rPr>
          <w:rFonts w:ascii="Times New Roman" w:hAnsi="Times New Roman"/>
        </w:rPr>
        <w:t>already faced similar charges under the Act’s new facilitation offences</w:t>
      </w:r>
      <w:r w:rsidRPr="009A755F">
        <w:rPr>
          <w:rFonts w:ascii="Times New Roman" w:hAnsi="Times New Roman"/>
        </w:rPr>
        <w:t>.</w:t>
      </w:r>
      <w:r w:rsidRPr="009A755F">
        <w:rPr>
          <w:rStyle w:val="FootnoteReference"/>
          <w:rFonts w:ascii="Times New Roman" w:hAnsi="Times New Roman"/>
        </w:rPr>
        <w:footnoteReference w:id="40"/>
      </w:r>
      <w:r w:rsidR="00555062" w:rsidRPr="009A755F">
        <w:rPr>
          <w:rFonts w:ascii="Times New Roman" w:hAnsi="Times New Roman"/>
        </w:rPr>
        <w:t xml:space="preserve"> </w:t>
      </w:r>
      <w:r w:rsidR="00F7092C" w:rsidRPr="009A755F">
        <w:rPr>
          <w:rFonts w:ascii="Times New Roman" w:hAnsi="Times New Roman"/>
        </w:rPr>
        <w:t xml:space="preserve">Criminalisation of refugees arriving via irregular routes </w:t>
      </w:r>
      <w:r w:rsidR="001862E2" w:rsidRPr="009A755F">
        <w:rPr>
          <w:rFonts w:ascii="Times New Roman" w:hAnsi="Times New Roman"/>
        </w:rPr>
        <w:t xml:space="preserve">under </w:t>
      </w:r>
      <w:r w:rsidR="00137892" w:rsidRPr="009A755F">
        <w:rPr>
          <w:rFonts w:ascii="Times New Roman" w:hAnsi="Times New Roman"/>
        </w:rPr>
        <w:t xml:space="preserve">facilitation </w:t>
      </w:r>
      <w:r w:rsidR="001862E2" w:rsidRPr="009A755F">
        <w:rPr>
          <w:rFonts w:ascii="Times New Roman" w:hAnsi="Times New Roman"/>
        </w:rPr>
        <w:t xml:space="preserve">offences </w:t>
      </w:r>
      <w:r w:rsidR="00137892" w:rsidRPr="009A755F">
        <w:rPr>
          <w:rFonts w:ascii="Times New Roman" w:hAnsi="Times New Roman"/>
        </w:rPr>
        <w:t>ostensibly adopted to tackle smuggling gangs</w:t>
      </w:r>
      <w:r w:rsidR="00F7092C" w:rsidRPr="009A755F">
        <w:rPr>
          <w:rFonts w:ascii="Times New Roman" w:hAnsi="Times New Roman"/>
        </w:rPr>
        <w:t xml:space="preserve"> is also a growing concern in EU Member States</w:t>
      </w:r>
      <w:r w:rsidR="005866CF" w:rsidRPr="009A755F">
        <w:rPr>
          <w:rFonts w:ascii="Times New Roman" w:hAnsi="Times New Roman"/>
        </w:rPr>
        <w:t>.</w:t>
      </w:r>
      <w:r w:rsidR="00593F54" w:rsidRPr="009A755F">
        <w:rPr>
          <w:rStyle w:val="FootnoteReference"/>
          <w:rFonts w:ascii="Times New Roman" w:hAnsi="Times New Roman"/>
        </w:rPr>
        <w:footnoteReference w:id="41"/>
      </w:r>
      <w:r w:rsidR="005866CF" w:rsidRPr="009A755F">
        <w:rPr>
          <w:rFonts w:ascii="Times New Roman" w:hAnsi="Times New Roman"/>
        </w:rPr>
        <w:t xml:space="preserve"> </w:t>
      </w:r>
    </w:p>
    <w:p w14:paraId="3D7F60B0" w14:textId="1EEA2588" w:rsidR="008F5F4D" w:rsidRPr="009A755F" w:rsidRDefault="008F5F4D" w:rsidP="00D42B18">
      <w:pPr>
        <w:spacing w:line="480" w:lineRule="auto"/>
        <w:jc w:val="both"/>
        <w:rPr>
          <w:rFonts w:ascii="Times New Roman" w:hAnsi="Times New Roman"/>
          <w:i/>
          <w:iCs/>
        </w:rPr>
      </w:pPr>
      <w:r w:rsidRPr="009A755F">
        <w:rPr>
          <w:rFonts w:ascii="Times New Roman" w:hAnsi="Times New Roman"/>
          <w:i/>
          <w:iCs/>
        </w:rPr>
        <w:t>‘Stop the Boats’: Penalties beyond prosecution</w:t>
      </w:r>
    </w:p>
    <w:p w14:paraId="1900A3F7" w14:textId="30375451" w:rsidR="007926BD" w:rsidRPr="009A755F" w:rsidRDefault="00EB58C5" w:rsidP="00D42B18">
      <w:pPr>
        <w:spacing w:line="480" w:lineRule="auto"/>
        <w:jc w:val="both"/>
        <w:rPr>
          <w:rFonts w:ascii="Times New Roman" w:hAnsi="Times New Roman"/>
        </w:rPr>
      </w:pPr>
      <w:r w:rsidRPr="009A755F">
        <w:rPr>
          <w:rFonts w:ascii="Times New Roman" w:hAnsi="Times New Roman"/>
        </w:rPr>
        <w:lastRenderedPageBreak/>
        <w:t>Increasingly, p</w:t>
      </w:r>
      <w:r w:rsidR="008701FD" w:rsidRPr="009A755F">
        <w:rPr>
          <w:rFonts w:ascii="Times New Roman" w:hAnsi="Times New Roman"/>
        </w:rPr>
        <w:t xml:space="preserve">olicies adopted to deter irregular migration are not limited to penalties in the form of criminal prosecutions but seek to deny access to state territory and asylum determination by other means, including first country of asylum, safe third country and inadmissibility regimes. </w:t>
      </w:r>
      <w:r w:rsidR="00D076D4" w:rsidRPr="009A755F">
        <w:rPr>
          <w:rFonts w:ascii="Times New Roman" w:hAnsi="Times New Roman"/>
        </w:rPr>
        <w:t xml:space="preserve">These practices </w:t>
      </w:r>
      <w:r w:rsidR="0094026A" w:rsidRPr="009A755F">
        <w:rPr>
          <w:rFonts w:ascii="Times New Roman" w:hAnsi="Times New Roman"/>
        </w:rPr>
        <w:t xml:space="preserve">have spread </w:t>
      </w:r>
      <w:r w:rsidR="00894C1D" w:rsidRPr="009A755F">
        <w:rPr>
          <w:rFonts w:ascii="Times New Roman" w:hAnsi="Times New Roman"/>
        </w:rPr>
        <w:t xml:space="preserve">across </w:t>
      </w:r>
      <w:r w:rsidR="00D076D4" w:rsidRPr="009A755F">
        <w:rPr>
          <w:rFonts w:ascii="Times New Roman" w:hAnsi="Times New Roman"/>
        </w:rPr>
        <w:t>Global North states</w:t>
      </w:r>
      <w:r w:rsidR="0094026A" w:rsidRPr="009A755F">
        <w:rPr>
          <w:rFonts w:ascii="Times New Roman" w:hAnsi="Times New Roman"/>
        </w:rPr>
        <w:t xml:space="preserve"> in the years since </w:t>
      </w:r>
      <w:r w:rsidR="0094026A" w:rsidRPr="009A755F">
        <w:rPr>
          <w:rFonts w:ascii="Times New Roman" w:hAnsi="Times New Roman"/>
          <w:i/>
          <w:iCs/>
        </w:rPr>
        <w:t>Adimi</w:t>
      </w:r>
      <w:r w:rsidR="0094026A" w:rsidRPr="009A755F">
        <w:rPr>
          <w:rFonts w:ascii="Times New Roman" w:hAnsi="Times New Roman"/>
        </w:rPr>
        <w:t xml:space="preserve"> was decided</w:t>
      </w:r>
      <w:r w:rsidR="00462F4C" w:rsidRPr="009A755F">
        <w:rPr>
          <w:rFonts w:ascii="Times New Roman" w:hAnsi="Times New Roman"/>
        </w:rPr>
        <w:t xml:space="preserve">. </w:t>
      </w:r>
      <w:r w:rsidR="00FF4A1C" w:rsidRPr="009A755F">
        <w:rPr>
          <w:rFonts w:ascii="Times New Roman" w:hAnsi="Times New Roman"/>
        </w:rPr>
        <w:t>The European Union introduced the concept of “first country of asylum” through the hierarchy of processing principles under the Dublin arrangements,</w:t>
      </w:r>
      <w:r w:rsidR="00462F4C" w:rsidRPr="009A755F">
        <w:rPr>
          <w:rStyle w:val="FootnoteReference"/>
          <w:rFonts w:ascii="Times New Roman" w:hAnsi="Times New Roman"/>
        </w:rPr>
        <w:footnoteReference w:id="42"/>
      </w:r>
      <w:r w:rsidR="00462F4C" w:rsidRPr="009A755F">
        <w:rPr>
          <w:rFonts w:ascii="Times New Roman" w:hAnsi="Times New Roman"/>
        </w:rPr>
        <w:t xml:space="preserve">while </w:t>
      </w:r>
      <w:r w:rsidR="00204379" w:rsidRPr="009A755F">
        <w:rPr>
          <w:rFonts w:ascii="Times New Roman" w:hAnsi="Times New Roman"/>
        </w:rPr>
        <w:t xml:space="preserve">Australia </w:t>
      </w:r>
      <w:r w:rsidR="00462F4C" w:rsidRPr="009A755F">
        <w:rPr>
          <w:rFonts w:ascii="Times New Roman" w:hAnsi="Times New Roman"/>
        </w:rPr>
        <w:t xml:space="preserve">pioneered </w:t>
      </w:r>
      <w:r w:rsidR="00204379" w:rsidRPr="009A755F">
        <w:rPr>
          <w:rFonts w:ascii="Times New Roman" w:hAnsi="Times New Roman"/>
        </w:rPr>
        <w:t xml:space="preserve">the use of </w:t>
      </w:r>
      <w:r w:rsidR="00753294" w:rsidRPr="009A755F">
        <w:rPr>
          <w:rFonts w:ascii="Times New Roman" w:hAnsi="Times New Roman"/>
        </w:rPr>
        <w:t>extraterritorial asylum processing and other extreme measures to deter irregular arrival by sea.</w:t>
      </w:r>
      <w:r w:rsidR="003F35CB" w:rsidRPr="009A755F">
        <w:rPr>
          <w:rStyle w:val="FootnoteReference"/>
          <w:rFonts w:ascii="Times New Roman" w:hAnsi="Times New Roman"/>
        </w:rPr>
        <w:footnoteReference w:id="43"/>
      </w:r>
      <w:r w:rsidR="005167A5" w:rsidRPr="009A755F">
        <w:rPr>
          <w:rFonts w:ascii="Times New Roman" w:hAnsi="Times New Roman"/>
        </w:rPr>
        <w:t xml:space="preserve"> </w:t>
      </w:r>
      <w:r w:rsidR="00EC5475" w:rsidRPr="009A755F">
        <w:rPr>
          <w:rFonts w:ascii="Times New Roman" w:hAnsi="Times New Roman"/>
        </w:rPr>
        <w:t>R</w:t>
      </w:r>
      <w:r w:rsidR="00E434DC" w:rsidRPr="009A755F">
        <w:rPr>
          <w:rFonts w:ascii="Times New Roman" w:hAnsi="Times New Roman"/>
        </w:rPr>
        <w:t xml:space="preserve">ecent </w:t>
      </w:r>
      <w:r w:rsidR="00AB4A6A" w:rsidRPr="009A755F">
        <w:rPr>
          <w:rFonts w:ascii="Times New Roman" w:hAnsi="Times New Roman"/>
        </w:rPr>
        <w:t xml:space="preserve">measures </w:t>
      </w:r>
      <w:r w:rsidR="00E434DC" w:rsidRPr="009A755F">
        <w:rPr>
          <w:rFonts w:ascii="Times New Roman" w:hAnsi="Times New Roman"/>
        </w:rPr>
        <w:t xml:space="preserve">in the </w:t>
      </w:r>
      <w:r w:rsidR="008F5F4D" w:rsidRPr="009A755F">
        <w:rPr>
          <w:rFonts w:ascii="Times New Roman" w:hAnsi="Times New Roman"/>
        </w:rPr>
        <w:t xml:space="preserve">UK </w:t>
      </w:r>
      <w:r w:rsidR="00AB4A6A" w:rsidRPr="009A755F">
        <w:rPr>
          <w:rFonts w:ascii="Times New Roman" w:hAnsi="Times New Roman"/>
        </w:rPr>
        <w:t xml:space="preserve">have </w:t>
      </w:r>
      <w:r w:rsidR="00D95AB0" w:rsidRPr="009A755F">
        <w:rPr>
          <w:rFonts w:ascii="Times New Roman" w:hAnsi="Times New Roman"/>
        </w:rPr>
        <w:t>taken both of these approaches to a new level</w:t>
      </w:r>
      <w:r w:rsidR="00AB4A6A" w:rsidRPr="009A755F">
        <w:rPr>
          <w:rFonts w:ascii="Times New Roman" w:hAnsi="Times New Roman"/>
        </w:rPr>
        <w:t xml:space="preserve">, as a policy agenda to “stop the boats” of migrants and refugees seeking to enter the UK has culminated in </w:t>
      </w:r>
      <w:r w:rsidR="008F5F4D" w:rsidRPr="009A755F">
        <w:rPr>
          <w:rFonts w:ascii="Times New Roman" w:hAnsi="Times New Roman"/>
        </w:rPr>
        <w:t xml:space="preserve">the </w:t>
      </w:r>
      <w:r w:rsidR="00AB4A6A" w:rsidRPr="009A755F">
        <w:rPr>
          <w:rFonts w:ascii="Times New Roman" w:hAnsi="Times New Roman"/>
        </w:rPr>
        <w:t xml:space="preserve">adoption of the </w:t>
      </w:r>
      <w:r w:rsidR="008F5F4D" w:rsidRPr="009A755F">
        <w:rPr>
          <w:rFonts w:ascii="Times New Roman" w:hAnsi="Times New Roman"/>
        </w:rPr>
        <w:t>Nationality and Borders Act 2022 and Illegal Migration Act 2023</w:t>
      </w:r>
      <w:r w:rsidR="0042799C" w:rsidRPr="009A755F">
        <w:rPr>
          <w:rFonts w:ascii="Times New Roman" w:hAnsi="Times New Roman"/>
        </w:rPr>
        <w:t>.</w:t>
      </w:r>
      <w:r w:rsidR="008F5F4D" w:rsidRPr="009A755F">
        <w:rPr>
          <w:rStyle w:val="FootnoteReference"/>
          <w:rFonts w:ascii="Times New Roman" w:hAnsi="Times New Roman"/>
        </w:rPr>
        <w:footnoteReference w:id="44"/>
      </w:r>
      <w:r w:rsidR="0042799C" w:rsidRPr="009A755F">
        <w:rPr>
          <w:rFonts w:ascii="Times New Roman" w:hAnsi="Times New Roman"/>
        </w:rPr>
        <w:t xml:space="preserve"> </w:t>
      </w:r>
    </w:p>
    <w:p w14:paraId="419FF30C" w14:textId="40CEA164" w:rsidR="008A01F9" w:rsidRPr="009A755F" w:rsidRDefault="00EE5A9E" w:rsidP="00D42B18">
      <w:pPr>
        <w:spacing w:line="480" w:lineRule="auto"/>
        <w:jc w:val="both"/>
        <w:rPr>
          <w:rFonts w:ascii="Times New Roman" w:hAnsi="Times New Roman"/>
        </w:rPr>
      </w:pPr>
      <w:r w:rsidRPr="009A755F">
        <w:rPr>
          <w:rFonts w:ascii="Times New Roman" w:hAnsi="Times New Roman"/>
        </w:rPr>
        <w:t xml:space="preserve">As noted above, </w:t>
      </w:r>
      <w:r w:rsidR="008F5F4D" w:rsidRPr="009A755F">
        <w:rPr>
          <w:rFonts w:ascii="Times New Roman" w:hAnsi="Times New Roman"/>
        </w:rPr>
        <w:t xml:space="preserve">NABA 2022 </w:t>
      </w:r>
      <w:r w:rsidR="001862E2" w:rsidRPr="009A755F">
        <w:rPr>
          <w:rFonts w:ascii="Times New Roman" w:hAnsi="Times New Roman"/>
        </w:rPr>
        <w:t>substantially narrowed protection from criminal penalties for offences of irregular arrival to and exit from the UK</w:t>
      </w:r>
      <w:r w:rsidR="008F5F4D" w:rsidRPr="009A755F">
        <w:rPr>
          <w:rFonts w:ascii="Times New Roman" w:hAnsi="Times New Roman"/>
        </w:rPr>
        <w:t>.</w:t>
      </w:r>
      <w:r w:rsidR="008F5F4D" w:rsidRPr="009A755F">
        <w:rPr>
          <w:rStyle w:val="FootnoteReference"/>
          <w:rFonts w:ascii="Times New Roman" w:hAnsi="Times New Roman"/>
        </w:rPr>
        <w:footnoteReference w:id="45"/>
      </w:r>
      <w:r w:rsidR="008F5F4D" w:rsidRPr="009A755F">
        <w:rPr>
          <w:rFonts w:ascii="Times New Roman" w:hAnsi="Times New Roman"/>
        </w:rPr>
        <w:t xml:space="preserve"> </w:t>
      </w:r>
      <w:r w:rsidR="004C62CE" w:rsidRPr="009A755F">
        <w:rPr>
          <w:rFonts w:ascii="Times New Roman" w:hAnsi="Times New Roman"/>
        </w:rPr>
        <w:t>T</w:t>
      </w:r>
      <w:r w:rsidRPr="009A755F">
        <w:rPr>
          <w:rFonts w:ascii="Times New Roman" w:hAnsi="Times New Roman"/>
        </w:rPr>
        <w:t>his</w:t>
      </w:r>
      <w:r w:rsidR="001862E2" w:rsidRPr="009A755F">
        <w:rPr>
          <w:rFonts w:ascii="Times New Roman" w:hAnsi="Times New Roman"/>
        </w:rPr>
        <w:t xml:space="preserve"> </w:t>
      </w:r>
      <w:r w:rsidR="005110CE" w:rsidRPr="009A755F">
        <w:rPr>
          <w:rFonts w:ascii="Times New Roman" w:hAnsi="Times New Roman"/>
        </w:rPr>
        <w:t>was an explicit attempt to “</w:t>
      </w:r>
      <w:r w:rsidR="008109D5" w:rsidRPr="009A755F">
        <w:rPr>
          <w:rFonts w:ascii="Times New Roman" w:hAnsi="Times New Roman"/>
        </w:rPr>
        <w:t>incentivise people to claim asylum in the first safe country they reach, deter irregular travel to the UK and confine the scope of Article 31(1)’s ‘non-penalisation’ provisions”</w:t>
      </w:r>
      <w:r w:rsidR="00D031D5" w:rsidRPr="009A755F">
        <w:rPr>
          <w:rFonts w:ascii="Times New Roman" w:hAnsi="Times New Roman"/>
        </w:rPr>
        <w:t>,</w:t>
      </w:r>
      <w:r w:rsidR="006C42F2" w:rsidRPr="009A755F">
        <w:rPr>
          <w:rFonts w:ascii="Times New Roman" w:hAnsi="Times New Roman"/>
        </w:rPr>
        <w:t xml:space="preserve"> reflecting the position of the UK Government that refugees </w:t>
      </w:r>
      <w:r w:rsidR="00A96C0F" w:rsidRPr="009A755F">
        <w:rPr>
          <w:rFonts w:ascii="Times New Roman" w:hAnsi="Times New Roman"/>
        </w:rPr>
        <w:t xml:space="preserve">should </w:t>
      </w:r>
      <w:r w:rsidR="006C42F2" w:rsidRPr="009A755F">
        <w:rPr>
          <w:rFonts w:ascii="Times New Roman" w:hAnsi="Times New Roman"/>
        </w:rPr>
        <w:t>claim asylum in the first country entered</w:t>
      </w:r>
      <w:r w:rsidR="008109D5" w:rsidRPr="009A755F">
        <w:rPr>
          <w:rFonts w:ascii="Times New Roman" w:hAnsi="Times New Roman"/>
        </w:rPr>
        <w:t>.</w:t>
      </w:r>
      <w:r w:rsidR="00FE0654" w:rsidRPr="009A755F">
        <w:rPr>
          <w:rStyle w:val="FootnoteReference"/>
          <w:rFonts w:ascii="Times New Roman" w:hAnsi="Times New Roman"/>
        </w:rPr>
        <w:footnoteReference w:id="46"/>
      </w:r>
      <w:r w:rsidR="008109D5" w:rsidRPr="009A755F">
        <w:rPr>
          <w:rFonts w:ascii="Times New Roman" w:hAnsi="Times New Roman"/>
        </w:rPr>
        <w:t xml:space="preserve"> </w:t>
      </w:r>
      <w:r w:rsidR="008A01F9" w:rsidRPr="009A755F">
        <w:rPr>
          <w:rFonts w:ascii="Times New Roman" w:hAnsi="Times New Roman"/>
        </w:rPr>
        <w:t>Few refugees are able to enter the islands of the United Kingdom without first passing through the territory of another state, and the effect of s.37 of NABA 2022 is to exclude almost all refugees who enter or leave the UK from protection under article 31</w:t>
      </w:r>
      <w:r w:rsidR="00676036" w:rsidRPr="009A755F">
        <w:rPr>
          <w:rFonts w:ascii="Times New Roman" w:hAnsi="Times New Roman"/>
        </w:rPr>
        <w:t xml:space="preserve">. This </w:t>
      </w:r>
      <w:r w:rsidR="001862E2" w:rsidRPr="009A755F">
        <w:rPr>
          <w:rFonts w:ascii="Times New Roman" w:hAnsi="Times New Roman"/>
        </w:rPr>
        <w:t xml:space="preserve">approach </w:t>
      </w:r>
      <w:r w:rsidR="00676036" w:rsidRPr="009A755F">
        <w:rPr>
          <w:rFonts w:ascii="Times New Roman" w:hAnsi="Times New Roman"/>
        </w:rPr>
        <w:t xml:space="preserve">was </w:t>
      </w:r>
      <w:r w:rsidR="001862E2" w:rsidRPr="009A755F">
        <w:rPr>
          <w:rFonts w:ascii="Times New Roman" w:hAnsi="Times New Roman"/>
        </w:rPr>
        <w:t xml:space="preserve">described by </w:t>
      </w:r>
      <w:r w:rsidR="008A01F9" w:rsidRPr="009A755F">
        <w:rPr>
          <w:rFonts w:ascii="Times New Roman" w:hAnsi="Times New Roman"/>
        </w:rPr>
        <w:t>UNHCR as a “fundamental misapplication of Article 31(1)</w:t>
      </w:r>
      <w:r w:rsidR="001862E2" w:rsidRPr="009A755F">
        <w:rPr>
          <w:rFonts w:ascii="Times New Roman" w:hAnsi="Times New Roman"/>
        </w:rPr>
        <w:t>”</w:t>
      </w:r>
      <w:r w:rsidR="008A01F9" w:rsidRPr="009A755F">
        <w:rPr>
          <w:rFonts w:ascii="Times New Roman" w:hAnsi="Times New Roman"/>
        </w:rPr>
        <w:t>.</w:t>
      </w:r>
      <w:r w:rsidR="008A01F9" w:rsidRPr="009A755F">
        <w:rPr>
          <w:rStyle w:val="FootnoteReference"/>
          <w:rFonts w:ascii="Times New Roman" w:hAnsi="Times New Roman"/>
        </w:rPr>
        <w:footnoteReference w:id="47"/>
      </w:r>
      <w:r w:rsidR="008A01F9" w:rsidRPr="009A755F">
        <w:rPr>
          <w:rFonts w:ascii="Times New Roman" w:hAnsi="Times New Roman"/>
        </w:rPr>
        <w:t xml:space="preserve"> </w:t>
      </w:r>
    </w:p>
    <w:p w14:paraId="6B029FCA" w14:textId="1C232411" w:rsidR="005167A5" w:rsidRPr="009A755F" w:rsidRDefault="00CF2A28" w:rsidP="00D42B18">
      <w:pPr>
        <w:spacing w:line="480" w:lineRule="auto"/>
        <w:jc w:val="both"/>
        <w:rPr>
          <w:rFonts w:ascii="Times New Roman" w:hAnsi="Times New Roman"/>
        </w:rPr>
      </w:pPr>
      <w:r w:rsidRPr="009A755F">
        <w:rPr>
          <w:rFonts w:ascii="Times New Roman" w:hAnsi="Times New Roman"/>
        </w:rPr>
        <w:lastRenderedPageBreak/>
        <w:t xml:space="preserve">Even more controversially, </w:t>
      </w:r>
      <w:r w:rsidR="008F5F4D" w:rsidRPr="009A755F">
        <w:rPr>
          <w:rFonts w:ascii="Times New Roman" w:hAnsi="Times New Roman"/>
        </w:rPr>
        <w:t xml:space="preserve">NABA 2022 </w:t>
      </w:r>
      <w:r w:rsidR="009045F0" w:rsidRPr="009A755F">
        <w:rPr>
          <w:rFonts w:ascii="Times New Roman" w:hAnsi="Times New Roman"/>
        </w:rPr>
        <w:t>create</w:t>
      </w:r>
      <w:r w:rsidRPr="009A755F">
        <w:rPr>
          <w:rFonts w:ascii="Times New Roman" w:hAnsi="Times New Roman"/>
        </w:rPr>
        <w:t>d</w:t>
      </w:r>
      <w:r w:rsidR="009045F0" w:rsidRPr="009A755F">
        <w:rPr>
          <w:rFonts w:ascii="Times New Roman" w:hAnsi="Times New Roman"/>
        </w:rPr>
        <w:t xml:space="preserve"> </w:t>
      </w:r>
      <w:r w:rsidR="008F5F4D" w:rsidRPr="009A755F">
        <w:rPr>
          <w:rFonts w:ascii="Times New Roman" w:hAnsi="Times New Roman"/>
        </w:rPr>
        <w:t>two categories of protection status</w:t>
      </w:r>
      <w:r w:rsidRPr="009A755F">
        <w:rPr>
          <w:rFonts w:ascii="Times New Roman" w:hAnsi="Times New Roman"/>
        </w:rPr>
        <w:t xml:space="preserve">, with refugees who </w:t>
      </w:r>
      <w:r w:rsidR="008F5F4D" w:rsidRPr="009A755F">
        <w:rPr>
          <w:rFonts w:ascii="Times New Roman" w:hAnsi="Times New Roman"/>
        </w:rPr>
        <w:t xml:space="preserve">entered the UK without </w:t>
      </w:r>
      <w:r w:rsidRPr="009A755F">
        <w:rPr>
          <w:rFonts w:ascii="Times New Roman" w:hAnsi="Times New Roman"/>
        </w:rPr>
        <w:t xml:space="preserve">leave to be defined as </w:t>
      </w:r>
      <w:r w:rsidR="00A90147" w:rsidRPr="009A755F">
        <w:rPr>
          <w:rFonts w:ascii="Times New Roman" w:hAnsi="Times New Roman"/>
        </w:rPr>
        <w:t>‘</w:t>
      </w:r>
      <w:r w:rsidR="008F5F4D" w:rsidRPr="009A755F">
        <w:rPr>
          <w:rFonts w:ascii="Times New Roman" w:hAnsi="Times New Roman"/>
        </w:rPr>
        <w:t>category 2</w:t>
      </w:r>
      <w:r w:rsidR="00A90147" w:rsidRPr="009A755F">
        <w:rPr>
          <w:rFonts w:ascii="Times New Roman" w:hAnsi="Times New Roman"/>
        </w:rPr>
        <w:t>’</w:t>
      </w:r>
      <w:r w:rsidR="008F5F4D" w:rsidRPr="009A755F">
        <w:rPr>
          <w:rFonts w:ascii="Times New Roman" w:hAnsi="Times New Roman"/>
        </w:rPr>
        <w:t xml:space="preserve"> and therefore eligible for third country asylum processing.</w:t>
      </w:r>
      <w:r w:rsidR="00CF2681" w:rsidRPr="009A755F">
        <w:rPr>
          <w:rStyle w:val="FootnoteReference"/>
          <w:rFonts w:ascii="Times New Roman" w:hAnsi="Times New Roman"/>
        </w:rPr>
        <w:footnoteReference w:id="48"/>
      </w:r>
      <w:r w:rsidR="008F5F4D" w:rsidRPr="009A755F">
        <w:rPr>
          <w:rFonts w:ascii="Times New Roman" w:hAnsi="Times New Roman"/>
        </w:rPr>
        <w:t xml:space="preserve"> A Migration and Economic Development Partnership was agreed between the UK and Rwanda that would have seen asylum seekers </w:t>
      </w:r>
      <w:r w:rsidR="00AF7619" w:rsidRPr="009A755F">
        <w:rPr>
          <w:rFonts w:ascii="Times New Roman" w:hAnsi="Times New Roman"/>
        </w:rPr>
        <w:t xml:space="preserve">removed from the UK for status determination and protection in </w:t>
      </w:r>
      <w:r w:rsidR="008F5F4D" w:rsidRPr="009A755F">
        <w:rPr>
          <w:rFonts w:ascii="Times New Roman" w:hAnsi="Times New Roman"/>
        </w:rPr>
        <w:t xml:space="preserve">Rwanda. </w:t>
      </w:r>
      <w:r w:rsidR="00AB4A6A" w:rsidRPr="009A755F">
        <w:rPr>
          <w:rFonts w:ascii="Times New Roman" w:hAnsi="Times New Roman"/>
        </w:rPr>
        <w:t xml:space="preserve">The former approach has been put on hold, while the latter was found to be unlawful in </w:t>
      </w:r>
      <w:r w:rsidR="00D5323C" w:rsidRPr="009A755F">
        <w:rPr>
          <w:rFonts w:ascii="Times New Roman" w:hAnsi="Times New Roman"/>
        </w:rPr>
        <w:t xml:space="preserve">the Supreme Court decision in </w:t>
      </w:r>
      <w:r w:rsidR="00D5323C" w:rsidRPr="009A755F">
        <w:rPr>
          <w:rFonts w:ascii="Times New Roman" w:hAnsi="Times New Roman"/>
          <w:i/>
          <w:iCs/>
        </w:rPr>
        <w:t>AAA v SSHD</w:t>
      </w:r>
      <w:r w:rsidR="00D5323C" w:rsidRPr="009A755F">
        <w:rPr>
          <w:rFonts w:ascii="Times New Roman" w:hAnsi="Times New Roman"/>
        </w:rPr>
        <w:t xml:space="preserve"> (see Tan, Chapter </w:t>
      </w:r>
      <w:r w:rsidR="00F33F9D" w:rsidRPr="009A755F">
        <w:rPr>
          <w:rFonts w:ascii="Times New Roman" w:hAnsi="Times New Roman"/>
        </w:rPr>
        <w:t>15</w:t>
      </w:r>
      <w:r w:rsidR="00D5323C" w:rsidRPr="009A755F">
        <w:rPr>
          <w:rFonts w:ascii="Times New Roman" w:hAnsi="Times New Roman"/>
        </w:rPr>
        <w:t xml:space="preserve">). </w:t>
      </w:r>
      <w:r w:rsidR="001862E2" w:rsidRPr="009A755F">
        <w:rPr>
          <w:rFonts w:ascii="Times New Roman" w:hAnsi="Times New Roman"/>
        </w:rPr>
        <w:t>However, t</w:t>
      </w:r>
      <w:r w:rsidR="00152557" w:rsidRPr="009A755F">
        <w:rPr>
          <w:rFonts w:ascii="Times New Roman" w:hAnsi="Times New Roman"/>
        </w:rPr>
        <w:t xml:space="preserve">he </w:t>
      </w:r>
      <w:r w:rsidR="006C42F2" w:rsidRPr="009A755F">
        <w:rPr>
          <w:rFonts w:ascii="Times New Roman" w:hAnsi="Times New Roman"/>
        </w:rPr>
        <w:t xml:space="preserve">judgment </w:t>
      </w:r>
      <w:r w:rsidR="00152557" w:rsidRPr="009A755F">
        <w:rPr>
          <w:rFonts w:ascii="Times New Roman" w:hAnsi="Times New Roman"/>
        </w:rPr>
        <w:t xml:space="preserve">in </w:t>
      </w:r>
      <w:r w:rsidR="00152557" w:rsidRPr="009A755F">
        <w:rPr>
          <w:rFonts w:ascii="Times New Roman" w:hAnsi="Times New Roman"/>
          <w:i/>
          <w:iCs/>
        </w:rPr>
        <w:t>AAA</w:t>
      </w:r>
      <w:r w:rsidR="00152557" w:rsidRPr="009A755F">
        <w:rPr>
          <w:rFonts w:ascii="Times New Roman" w:hAnsi="Times New Roman"/>
        </w:rPr>
        <w:t xml:space="preserve"> </w:t>
      </w:r>
      <w:r w:rsidR="00D5323C" w:rsidRPr="009A755F">
        <w:rPr>
          <w:rFonts w:ascii="Times New Roman" w:hAnsi="Times New Roman"/>
        </w:rPr>
        <w:t xml:space="preserve">concentrated on non-refoulement obligations, </w:t>
      </w:r>
      <w:r w:rsidR="00B169EE" w:rsidRPr="009A755F">
        <w:rPr>
          <w:rFonts w:ascii="Times New Roman" w:hAnsi="Times New Roman"/>
        </w:rPr>
        <w:t xml:space="preserve">leaving aside the lines of reasoning that </w:t>
      </w:r>
      <w:r w:rsidR="00C943C4" w:rsidRPr="009A755F">
        <w:rPr>
          <w:rFonts w:ascii="Times New Roman" w:hAnsi="Times New Roman"/>
        </w:rPr>
        <w:t xml:space="preserve">would have explored the potential </w:t>
      </w:r>
      <w:r w:rsidR="00F45321" w:rsidRPr="009A755F">
        <w:rPr>
          <w:rFonts w:ascii="Times New Roman" w:hAnsi="Times New Roman"/>
        </w:rPr>
        <w:t>relevance of Article 31 to such arrangements.</w:t>
      </w:r>
      <w:r w:rsidR="001862E2" w:rsidRPr="009A755F">
        <w:rPr>
          <w:rStyle w:val="FootnoteReference"/>
          <w:rFonts w:ascii="Times New Roman" w:hAnsi="Times New Roman"/>
        </w:rPr>
        <w:footnoteReference w:id="49"/>
      </w:r>
      <w:r w:rsidR="00152557" w:rsidRPr="009A755F">
        <w:rPr>
          <w:rFonts w:ascii="Times New Roman" w:hAnsi="Times New Roman"/>
        </w:rPr>
        <w:t xml:space="preserve"> </w:t>
      </w:r>
      <w:r w:rsidR="005167A5" w:rsidRPr="009A755F">
        <w:rPr>
          <w:rFonts w:ascii="Times New Roman" w:hAnsi="Times New Roman"/>
        </w:rPr>
        <w:t xml:space="preserve">Similarly, in </w:t>
      </w:r>
      <w:r w:rsidR="005167A5" w:rsidRPr="009A755F">
        <w:rPr>
          <w:rFonts w:ascii="Times New Roman" w:hAnsi="Times New Roman"/>
          <w:i/>
          <w:iCs/>
        </w:rPr>
        <w:t xml:space="preserve">Qurbani, </w:t>
      </w:r>
      <w:r w:rsidR="005167A5" w:rsidRPr="009A755F">
        <w:rPr>
          <w:rFonts w:ascii="Times New Roman" w:hAnsi="Times New Roman"/>
        </w:rPr>
        <w:t>the Court of Justice of the European Union rejected the opportunity to provide an authoritative interpretation of the application of article 31 on the basis that that it had not been taken over in a piece of EU legislation; reasoning described by Costello and Ioffe as “unpersuasive”.</w:t>
      </w:r>
      <w:r w:rsidR="005167A5" w:rsidRPr="009A755F">
        <w:rPr>
          <w:rStyle w:val="FootnoteReference"/>
          <w:rFonts w:ascii="Times New Roman" w:hAnsi="Times New Roman"/>
        </w:rPr>
        <w:footnoteReference w:id="50"/>
      </w:r>
      <w:r w:rsidR="005167A5" w:rsidRPr="009A755F">
        <w:rPr>
          <w:rFonts w:ascii="Times New Roman" w:hAnsi="Times New Roman"/>
        </w:rPr>
        <w:t xml:space="preserve"> </w:t>
      </w:r>
    </w:p>
    <w:p w14:paraId="454134B3" w14:textId="59C526B9" w:rsidR="0028677E" w:rsidRPr="009A755F" w:rsidRDefault="005167A5" w:rsidP="00D42B18">
      <w:pPr>
        <w:spacing w:line="480" w:lineRule="auto"/>
        <w:jc w:val="both"/>
        <w:rPr>
          <w:rFonts w:ascii="Times New Roman" w:hAnsi="Times New Roman"/>
        </w:rPr>
      </w:pPr>
      <w:r w:rsidRPr="009A755F">
        <w:rPr>
          <w:rFonts w:ascii="Times New Roman" w:hAnsi="Times New Roman"/>
        </w:rPr>
        <w:t xml:space="preserve">Despite such judicial reluctance, clarity on the lawfulness of such arrangements is </w:t>
      </w:r>
      <w:r w:rsidR="001862E2" w:rsidRPr="009A755F">
        <w:rPr>
          <w:rFonts w:ascii="Times New Roman" w:hAnsi="Times New Roman"/>
        </w:rPr>
        <w:t xml:space="preserve">becoming ever more urgent </w:t>
      </w:r>
      <w:proofErr w:type="gramStart"/>
      <w:r w:rsidR="00676036" w:rsidRPr="009A755F">
        <w:rPr>
          <w:rFonts w:ascii="Times New Roman" w:hAnsi="Times New Roman"/>
        </w:rPr>
        <w:t>in light of</w:t>
      </w:r>
      <w:proofErr w:type="gramEnd"/>
      <w:r w:rsidR="00676036" w:rsidRPr="009A755F">
        <w:rPr>
          <w:rFonts w:ascii="Times New Roman" w:hAnsi="Times New Roman"/>
        </w:rPr>
        <w:t xml:space="preserve"> </w:t>
      </w:r>
      <w:r w:rsidR="001862E2" w:rsidRPr="009A755F">
        <w:rPr>
          <w:rFonts w:ascii="Times New Roman" w:hAnsi="Times New Roman"/>
        </w:rPr>
        <w:t xml:space="preserve">a </w:t>
      </w:r>
      <w:r w:rsidRPr="009A755F">
        <w:rPr>
          <w:rFonts w:ascii="Times New Roman" w:hAnsi="Times New Roman"/>
        </w:rPr>
        <w:t xml:space="preserve">proliferation of externalisation agreements </w:t>
      </w:r>
      <w:r w:rsidR="001862E2" w:rsidRPr="009A755F">
        <w:rPr>
          <w:rFonts w:ascii="Times New Roman" w:hAnsi="Times New Roman"/>
        </w:rPr>
        <w:t xml:space="preserve">including the </w:t>
      </w:r>
      <w:r w:rsidRPr="009A755F">
        <w:rPr>
          <w:rFonts w:ascii="Times New Roman" w:hAnsi="Times New Roman"/>
        </w:rPr>
        <w:t xml:space="preserve">Italy-Albania agreement and </w:t>
      </w:r>
      <w:r w:rsidR="001862E2" w:rsidRPr="009A755F">
        <w:rPr>
          <w:rFonts w:ascii="Times New Roman" w:hAnsi="Times New Roman"/>
        </w:rPr>
        <w:t xml:space="preserve">ongoing </w:t>
      </w:r>
      <w:r w:rsidRPr="009A755F">
        <w:rPr>
          <w:rFonts w:ascii="Times New Roman" w:hAnsi="Times New Roman"/>
        </w:rPr>
        <w:t>EU-Libya cooperation.</w:t>
      </w:r>
      <w:r w:rsidR="003F35CB" w:rsidRPr="009A755F" w:rsidDel="00DD3EE6">
        <w:rPr>
          <w:rFonts w:ascii="Times New Roman" w:hAnsi="Times New Roman"/>
        </w:rPr>
        <w:t xml:space="preserve"> </w:t>
      </w:r>
      <w:r w:rsidR="00D321DF" w:rsidRPr="009A755F">
        <w:rPr>
          <w:rFonts w:ascii="Times New Roman" w:hAnsi="Times New Roman"/>
        </w:rPr>
        <w:t>Removal of refugees to a safe third country is not necessarily unlawful</w:t>
      </w:r>
      <w:r w:rsidR="00092D81" w:rsidRPr="009A755F">
        <w:rPr>
          <w:rFonts w:ascii="Times New Roman" w:hAnsi="Times New Roman"/>
        </w:rPr>
        <w:t xml:space="preserve"> where the country </w:t>
      </w:r>
      <w:r w:rsidR="00D321DF" w:rsidRPr="009A755F">
        <w:rPr>
          <w:rFonts w:ascii="Times New Roman" w:hAnsi="Times New Roman"/>
        </w:rPr>
        <w:t>complies with legal standards</w:t>
      </w:r>
      <w:r w:rsidR="00FA71E2" w:rsidRPr="009A755F">
        <w:rPr>
          <w:rFonts w:ascii="Times New Roman" w:hAnsi="Times New Roman"/>
        </w:rPr>
        <w:t>,</w:t>
      </w:r>
      <w:r w:rsidR="00D321DF" w:rsidRPr="009A755F">
        <w:rPr>
          <w:rFonts w:ascii="Times New Roman" w:hAnsi="Times New Roman"/>
        </w:rPr>
        <w:t xml:space="preserve"> including access to status determination and Convention rights, and protection from </w:t>
      </w:r>
      <w:r w:rsidR="00D321DF" w:rsidRPr="009A755F">
        <w:rPr>
          <w:rFonts w:ascii="Times New Roman" w:hAnsi="Times New Roman"/>
          <w:i/>
          <w:iCs/>
        </w:rPr>
        <w:t>refoulement</w:t>
      </w:r>
      <w:r w:rsidR="00D321DF" w:rsidRPr="009A755F">
        <w:rPr>
          <w:rFonts w:ascii="Times New Roman" w:hAnsi="Times New Roman"/>
        </w:rPr>
        <w:t>.</w:t>
      </w:r>
      <w:r w:rsidR="00D321DF" w:rsidRPr="009A755F">
        <w:rPr>
          <w:rStyle w:val="FootnoteReference"/>
          <w:rFonts w:ascii="Times New Roman" w:hAnsi="Times New Roman"/>
        </w:rPr>
        <w:footnoteReference w:id="51"/>
      </w:r>
      <w:r w:rsidR="00D321DF" w:rsidRPr="009A755F">
        <w:rPr>
          <w:rFonts w:ascii="Times New Roman" w:hAnsi="Times New Roman"/>
        </w:rPr>
        <w:t xml:space="preserve"> </w:t>
      </w:r>
      <w:r w:rsidR="00166962" w:rsidRPr="009A755F">
        <w:rPr>
          <w:rFonts w:ascii="Times New Roman" w:hAnsi="Times New Roman"/>
        </w:rPr>
        <w:t>Ultimately, h</w:t>
      </w:r>
      <w:r w:rsidR="00D321DF" w:rsidRPr="009A755F">
        <w:rPr>
          <w:rFonts w:ascii="Times New Roman" w:hAnsi="Times New Roman"/>
        </w:rPr>
        <w:t xml:space="preserve">owever, </w:t>
      </w:r>
      <w:r w:rsidR="001862E2" w:rsidRPr="009A755F">
        <w:rPr>
          <w:rFonts w:ascii="Times New Roman" w:hAnsi="Times New Roman"/>
        </w:rPr>
        <w:t xml:space="preserve">such </w:t>
      </w:r>
      <w:r w:rsidR="00D321DF" w:rsidRPr="009A755F">
        <w:rPr>
          <w:rFonts w:ascii="Times New Roman" w:hAnsi="Times New Roman"/>
        </w:rPr>
        <w:t xml:space="preserve">arrangements seek to exploit ambiguity in the terms of article 31 to deter migration and deny access to </w:t>
      </w:r>
      <w:r w:rsidR="001862E2" w:rsidRPr="009A755F">
        <w:rPr>
          <w:rFonts w:ascii="Times New Roman" w:hAnsi="Times New Roman"/>
        </w:rPr>
        <w:t>asylum</w:t>
      </w:r>
      <w:r w:rsidR="00D321DF" w:rsidRPr="009A755F">
        <w:rPr>
          <w:rFonts w:ascii="Times New Roman" w:hAnsi="Times New Roman"/>
        </w:rPr>
        <w:t>.</w:t>
      </w:r>
      <w:r w:rsidR="00D321DF" w:rsidRPr="009A755F">
        <w:rPr>
          <w:rStyle w:val="FootnoteReference"/>
          <w:rFonts w:ascii="Times New Roman" w:hAnsi="Times New Roman"/>
          <w:iCs/>
        </w:rPr>
        <w:footnoteReference w:id="52"/>
      </w:r>
      <w:r w:rsidR="00D321DF" w:rsidRPr="009A755F">
        <w:rPr>
          <w:rFonts w:ascii="Times New Roman" w:hAnsi="Times New Roman"/>
        </w:rPr>
        <w:t xml:space="preserve"> Costello and </w:t>
      </w:r>
      <w:r w:rsidR="00D321DF" w:rsidRPr="009A755F">
        <w:rPr>
          <w:rFonts w:ascii="Times New Roman" w:hAnsi="Times New Roman"/>
        </w:rPr>
        <w:lastRenderedPageBreak/>
        <w:t xml:space="preserve">Ioffe argue that to read the ‘coming directly’ clause as legitimising </w:t>
      </w:r>
      <w:r w:rsidR="00CE143A" w:rsidRPr="009A755F">
        <w:rPr>
          <w:rFonts w:ascii="Times New Roman" w:hAnsi="Times New Roman"/>
        </w:rPr>
        <w:t xml:space="preserve">these </w:t>
      </w:r>
      <w:r w:rsidR="00D321DF" w:rsidRPr="009A755F">
        <w:rPr>
          <w:rFonts w:ascii="Times New Roman" w:hAnsi="Times New Roman"/>
        </w:rPr>
        <w:t>practices “is a profound misinterpretation of article 31, undermining the object and purpose of the Convention.”</w:t>
      </w:r>
      <w:r w:rsidR="00D321DF" w:rsidRPr="009A755F">
        <w:rPr>
          <w:rStyle w:val="FootnoteReference"/>
          <w:rFonts w:ascii="Times New Roman" w:hAnsi="Times New Roman"/>
        </w:rPr>
        <w:footnoteReference w:id="53"/>
      </w:r>
      <w:r w:rsidR="00D321DF" w:rsidRPr="009A755F">
        <w:rPr>
          <w:rFonts w:ascii="Times New Roman" w:hAnsi="Times New Roman"/>
        </w:rPr>
        <w:t xml:space="preserve"> </w:t>
      </w:r>
    </w:p>
    <w:p w14:paraId="47D98F94" w14:textId="6F736823" w:rsidR="000C090E" w:rsidRPr="009A755F" w:rsidRDefault="00FA71E2" w:rsidP="00D42B18">
      <w:pPr>
        <w:spacing w:line="480" w:lineRule="auto"/>
        <w:jc w:val="both"/>
        <w:rPr>
          <w:rFonts w:ascii="Times New Roman" w:hAnsi="Times New Roman"/>
        </w:rPr>
      </w:pPr>
      <w:r w:rsidRPr="009A755F">
        <w:rPr>
          <w:rFonts w:ascii="Times New Roman" w:hAnsi="Times New Roman"/>
        </w:rPr>
        <w:t>Increasingly, t</w:t>
      </w:r>
      <w:r w:rsidR="00606214" w:rsidRPr="009A755F">
        <w:rPr>
          <w:rFonts w:ascii="Times New Roman" w:hAnsi="Times New Roman"/>
        </w:rPr>
        <w:t xml:space="preserve">he </w:t>
      </w:r>
      <w:r w:rsidR="00302D23" w:rsidRPr="009A755F">
        <w:rPr>
          <w:rFonts w:ascii="Times New Roman" w:hAnsi="Times New Roman"/>
        </w:rPr>
        <w:t xml:space="preserve">very </w:t>
      </w:r>
      <w:r w:rsidR="00606214" w:rsidRPr="009A755F">
        <w:rPr>
          <w:rFonts w:ascii="Times New Roman" w:hAnsi="Times New Roman"/>
        </w:rPr>
        <w:t xml:space="preserve">right to seek asylum is under </w:t>
      </w:r>
      <w:r w:rsidR="00302D23" w:rsidRPr="009A755F">
        <w:rPr>
          <w:rFonts w:ascii="Times New Roman" w:hAnsi="Times New Roman"/>
        </w:rPr>
        <w:t>attack</w:t>
      </w:r>
      <w:r w:rsidR="00606214" w:rsidRPr="009A755F">
        <w:rPr>
          <w:rFonts w:ascii="Times New Roman" w:hAnsi="Times New Roman"/>
        </w:rPr>
        <w:t xml:space="preserve">. </w:t>
      </w:r>
      <w:r w:rsidR="00302D23" w:rsidRPr="009A755F">
        <w:rPr>
          <w:rFonts w:ascii="Times New Roman" w:hAnsi="Times New Roman"/>
        </w:rPr>
        <w:t xml:space="preserve">The Illegal Migration Act 2023 </w:t>
      </w:r>
      <w:r w:rsidR="00CE406B" w:rsidRPr="009A755F">
        <w:rPr>
          <w:rFonts w:ascii="Times New Roman" w:hAnsi="Times New Roman"/>
        </w:rPr>
        <w:t xml:space="preserve">was </w:t>
      </w:r>
      <w:r w:rsidR="00BD2BC1" w:rsidRPr="009A755F">
        <w:rPr>
          <w:rFonts w:ascii="Times New Roman" w:hAnsi="Times New Roman"/>
        </w:rPr>
        <w:t>created “to prevent and deter unlawful migration, and in particular migration by unsafe and illegal routes, by requiring the removal from the United Kingdom of certain persons who enter or arrive in the United Kingdom in breach of immigration control”</w:t>
      </w:r>
      <w:r w:rsidR="00CE406B" w:rsidRPr="009A755F">
        <w:rPr>
          <w:rFonts w:ascii="Times New Roman" w:hAnsi="Times New Roman"/>
        </w:rPr>
        <w:t>.</w:t>
      </w:r>
      <w:r w:rsidR="00CE406B" w:rsidRPr="009A755F">
        <w:rPr>
          <w:rStyle w:val="FootnoteReference"/>
          <w:rFonts w:ascii="Times New Roman" w:hAnsi="Times New Roman"/>
        </w:rPr>
        <w:footnoteReference w:id="54"/>
      </w:r>
      <w:r w:rsidR="00CE406B" w:rsidRPr="009A755F">
        <w:rPr>
          <w:rFonts w:ascii="Times New Roman" w:hAnsi="Times New Roman"/>
        </w:rPr>
        <w:t xml:space="preserve"> Its provisions denied access to asylum determination in the UK for any refugees who enter without authorisation.</w:t>
      </w:r>
      <w:r w:rsidR="00D321DF" w:rsidRPr="009A755F">
        <w:rPr>
          <w:rFonts w:ascii="Times New Roman" w:hAnsi="Times New Roman"/>
        </w:rPr>
        <w:t xml:space="preserve"> </w:t>
      </w:r>
      <w:r w:rsidR="00430EB0">
        <w:rPr>
          <w:rFonts w:ascii="Times New Roman" w:hAnsi="Times New Roman"/>
        </w:rPr>
        <w:t xml:space="preserve">This </w:t>
      </w:r>
      <w:r w:rsidR="00430EB0" w:rsidRPr="009A755F">
        <w:rPr>
          <w:rFonts w:ascii="Times New Roman" w:hAnsi="Times New Roman"/>
          <w:i/>
          <w:iCs/>
        </w:rPr>
        <w:t>prima facie</w:t>
      </w:r>
      <w:r w:rsidR="00430EB0" w:rsidRPr="009A755F">
        <w:rPr>
          <w:rFonts w:ascii="Times New Roman" w:hAnsi="Times New Roman"/>
        </w:rPr>
        <w:t xml:space="preserve"> represents a penalty for unauthorised entry as well as denial of access to asylum, and as such directly contravenes Article 31.</w:t>
      </w:r>
      <w:r w:rsidR="00430EB0" w:rsidRPr="009A755F">
        <w:rPr>
          <w:rStyle w:val="FootnoteReference"/>
          <w:rFonts w:ascii="Times New Roman" w:hAnsi="Times New Roman"/>
        </w:rPr>
        <w:footnoteReference w:id="55"/>
      </w:r>
      <w:r w:rsidR="00F61D17">
        <w:rPr>
          <w:rFonts w:ascii="Times New Roman" w:hAnsi="Times New Roman"/>
        </w:rPr>
        <w:t xml:space="preserve"> </w:t>
      </w:r>
      <w:r w:rsidR="000C090E" w:rsidRPr="009A755F">
        <w:rPr>
          <w:rFonts w:ascii="Times New Roman" w:hAnsi="Times New Roman"/>
        </w:rPr>
        <w:t>Curiously, Simon Brown LJ (then retired from the bench and known as Lord Brown of Eaton-Under-Heywood) was a</w:t>
      </w:r>
      <w:r w:rsidR="00430EB0">
        <w:rPr>
          <w:rFonts w:ascii="Times New Roman" w:hAnsi="Times New Roman"/>
        </w:rPr>
        <w:t xml:space="preserve"> vocal </w:t>
      </w:r>
      <w:r w:rsidR="000C090E" w:rsidRPr="009A755F">
        <w:rPr>
          <w:rFonts w:ascii="Times New Roman" w:hAnsi="Times New Roman"/>
        </w:rPr>
        <w:t xml:space="preserve">supporter of the Illegal Migration Bill during its passage through Parliament. In a reversal of his views in </w:t>
      </w:r>
      <w:r w:rsidR="000C090E" w:rsidRPr="009A755F">
        <w:rPr>
          <w:rFonts w:ascii="Times New Roman" w:hAnsi="Times New Roman"/>
          <w:i/>
          <w:iCs/>
        </w:rPr>
        <w:t xml:space="preserve">Adimi, </w:t>
      </w:r>
      <w:r w:rsidR="000C090E" w:rsidRPr="009A755F">
        <w:rPr>
          <w:rFonts w:ascii="Times New Roman" w:hAnsi="Times New Roman"/>
        </w:rPr>
        <w:t xml:space="preserve">and in </w:t>
      </w:r>
      <w:r w:rsidR="00676036" w:rsidRPr="009A755F">
        <w:rPr>
          <w:rFonts w:ascii="Times New Roman" w:hAnsi="Times New Roman"/>
        </w:rPr>
        <w:t xml:space="preserve">apparent </w:t>
      </w:r>
      <w:r w:rsidR="000C090E" w:rsidRPr="009A755F">
        <w:rPr>
          <w:rFonts w:ascii="Times New Roman" w:hAnsi="Times New Roman"/>
        </w:rPr>
        <w:t xml:space="preserve">disregard of article 31 obligations, he argued that everyone who arrived </w:t>
      </w:r>
      <w:proofErr w:type="gramStart"/>
      <w:r w:rsidR="000C090E" w:rsidRPr="009A755F">
        <w:rPr>
          <w:rFonts w:ascii="Times New Roman" w:hAnsi="Times New Roman"/>
        </w:rPr>
        <w:t>to</w:t>
      </w:r>
      <w:proofErr w:type="gramEnd"/>
      <w:r w:rsidR="000C090E" w:rsidRPr="009A755F">
        <w:rPr>
          <w:rFonts w:ascii="Times New Roman" w:hAnsi="Times New Roman"/>
        </w:rPr>
        <w:t xml:space="preserve"> the UK by irregular routes should be returned and “counterpoised” with arrivals from organised resettlement schemes. He considered that this must be explicitly punitive: </w:t>
      </w:r>
    </w:p>
    <w:p w14:paraId="0065F0F1" w14:textId="77777777" w:rsidR="000C090E" w:rsidRDefault="000C090E" w:rsidP="00D42B18">
      <w:pPr>
        <w:spacing w:line="480" w:lineRule="auto"/>
        <w:ind w:left="720"/>
        <w:jc w:val="both"/>
        <w:rPr>
          <w:rFonts w:ascii="Times New Roman" w:hAnsi="Times New Roman"/>
        </w:rPr>
      </w:pPr>
      <w:r w:rsidRPr="009A755F">
        <w:rPr>
          <w:rFonts w:ascii="Times New Roman" w:hAnsi="Times New Roman"/>
        </w:rPr>
        <w:t xml:space="preserve">The [Illegal Migration Act] </w:t>
      </w:r>
      <w:r w:rsidRPr="009A755F">
        <w:rPr>
          <w:rFonts w:ascii="Times New Roman" w:hAnsi="Times New Roman"/>
          <w:u w:val="single"/>
        </w:rPr>
        <w:t>really does now need to be harshly deterrent to the point of making it a positive disadvantage to arrive unlawfully</w:t>
      </w:r>
      <w:r w:rsidRPr="009A755F">
        <w:rPr>
          <w:rFonts w:ascii="Times New Roman" w:hAnsi="Times New Roman"/>
        </w:rPr>
        <w:t xml:space="preserve"> […] the boats will continue to come until finally it can be seen not to pay off.” (emphasis added)</w:t>
      </w:r>
      <w:r w:rsidRPr="009A755F">
        <w:rPr>
          <w:rStyle w:val="FootnoteReference"/>
          <w:rFonts w:ascii="Times New Roman" w:hAnsi="Times New Roman"/>
        </w:rPr>
        <w:footnoteReference w:id="56"/>
      </w:r>
    </w:p>
    <w:p w14:paraId="3ACACFC6" w14:textId="77777777" w:rsidR="00F8245C" w:rsidRDefault="00F8245C" w:rsidP="00D42B18">
      <w:pPr>
        <w:spacing w:line="480" w:lineRule="auto"/>
        <w:ind w:left="720"/>
        <w:jc w:val="both"/>
        <w:rPr>
          <w:rFonts w:ascii="Times New Roman" w:hAnsi="Times New Roman"/>
        </w:rPr>
      </w:pPr>
    </w:p>
    <w:p w14:paraId="14284049" w14:textId="3D826852" w:rsidR="00F8245C" w:rsidRPr="009A755F" w:rsidRDefault="00D42B18" w:rsidP="00D42B18">
      <w:pPr>
        <w:spacing w:line="480" w:lineRule="auto"/>
        <w:jc w:val="both"/>
        <w:rPr>
          <w:rFonts w:ascii="Times New Roman" w:hAnsi="Times New Roman"/>
          <w:b/>
          <w:bCs/>
        </w:rPr>
      </w:pPr>
      <w:r>
        <w:rPr>
          <w:rFonts w:ascii="Times New Roman" w:hAnsi="Times New Roman"/>
          <w:b/>
          <w:bCs/>
        </w:rPr>
        <w:t xml:space="preserve">5. </w:t>
      </w:r>
      <w:r w:rsidR="00F8245C" w:rsidRPr="009A755F">
        <w:rPr>
          <w:rFonts w:ascii="Times New Roman" w:hAnsi="Times New Roman"/>
          <w:b/>
          <w:bCs/>
        </w:rPr>
        <w:t xml:space="preserve">Conclusion: The impact of </w:t>
      </w:r>
      <w:r w:rsidR="00F8245C" w:rsidRPr="009A755F">
        <w:rPr>
          <w:rFonts w:ascii="Times New Roman" w:hAnsi="Times New Roman"/>
          <w:b/>
          <w:bCs/>
          <w:i/>
          <w:iCs/>
        </w:rPr>
        <w:t>Adimi</w:t>
      </w:r>
      <w:r w:rsidR="00F8245C" w:rsidRPr="009A755F">
        <w:rPr>
          <w:rFonts w:ascii="Times New Roman" w:hAnsi="Times New Roman"/>
          <w:b/>
          <w:bCs/>
        </w:rPr>
        <w:t xml:space="preserve"> </w:t>
      </w:r>
      <w:r w:rsidR="00F8245C">
        <w:rPr>
          <w:rFonts w:ascii="Times New Roman" w:hAnsi="Times New Roman"/>
          <w:b/>
          <w:bCs/>
        </w:rPr>
        <w:t xml:space="preserve"> </w:t>
      </w:r>
    </w:p>
    <w:p w14:paraId="6736DD66" w14:textId="77777777" w:rsidR="00F8245C" w:rsidRDefault="00F8245C" w:rsidP="00D42B18">
      <w:pPr>
        <w:spacing w:line="480" w:lineRule="auto"/>
        <w:jc w:val="both"/>
        <w:rPr>
          <w:rFonts w:ascii="Times New Roman" w:hAnsi="Times New Roman"/>
        </w:rPr>
      </w:pPr>
      <w:r w:rsidRPr="00AB155C">
        <w:rPr>
          <w:rFonts w:ascii="Times New Roman" w:hAnsi="Times New Roman"/>
          <w:i/>
          <w:iCs/>
        </w:rPr>
        <w:t>Adimi</w:t>
      </w:r>
      <w:r>
        <w:rPr>
          <w:rFonts w:ascii="Times New Roman" w:hAnsi="Times New Roman"/>
        </w:rPr>
        <w:t xml:space="preserve"> is an unusual example of case that was decided effectively in a legal vacuum, where prior to its decision </w:t>
      </w:r>
      <w:r w:rsidRPr="0020147F">
        <w:rPr>
          <w:rFonts w:ascii="Times New Roman" w:hAnsi="Times New Roman"/>
        </w:rPr>
        <w:t xml:space="preserve">“no arm of State had apparently given the least thought to the UK’s obligations under Article </w:t>
      </w:r>
      <w:r w:rsidRPr="0020147F">
        <w:rPr>
          <w:rFonts w:ascii="Times New Roman" w:hAnsi="Times New Roman"/>
        </w:rPr>
        <w:lastRenderedPageBreak/>
        <w:t>31</w:t>
      </w:r>
      <w:r>
        <w:rPr>
          <w:rFonts w:ascii="Times New Roman" w:hAnsi="Times New Roman"/>
        </w:rPr>
        <w:t>.</w:t>
      </w:r>
      <w:r w:rsidRPr="0020147F">
        <w:rPr>
          <w:rFonts w:ascii="Times New Roman" w:hAnsi="Times New Roman"/>
        </w:rPr>
        <w:t>”</w:t>
      </w:r>
      <w:r>
        <w:rPr>
          <w:rFonts w:ascii="Times New Roman" w:hAnsi="Times New Roman"/>
        </w:rPr>
        <w:t xml:space="preserve"> Yet it is also an example of a case whose time had come, as a necessary adjudication of the scope and application of the UK’s obligations under the 1951 Refugee Convention (and particularly article 31) </w:t>
      </w:r>
      <w:proofErr w:type="gramStart"/>
      <w:r>
        <w:rPr>
          <w:rFonts w:ascii="Times New Roman" w:hAnsi="Times New Roman"/>
        </w:rPr>
        <w:t>in light of</w:t>
      </w:r>
      <w:proofErr w:type="gramEnd"/>
      <w:r>
        <w:rPr>
          <w:rFonts w:ascii="Times New Roman" w:hAnsi="Times New Roman"/>
        </w:rPr>
        <w:t xml:space="preserve"> increasing prosecutions of refugees for the use of false documents and other offences of irregular entry and exit. Legal recognition of this “iceberg of aggrieved asylum seekers” was overdue.</w:t>
      </w:r>
    </w:p>
    <w:p w14:paraId="3ED88AB1" w14:textId="77777777" w:rsidR="00F8245C" w:rsidRDefault="00F8245C" w:rsidP="00D42B18">
      <w:pPr>
        <w:spacing w:line="480" w:lineRule="auto"/>
        <w:jc w:val="both"/>
        <w:rPr>
          <w:rFonts w:ascii="Times New Roman" w:hAnsi="Times New Roman"/>
        </w:rPr>
      </w:pPr>
      <w:r>
        <w:rPr>
          <w:rFonts w:ascii="Times New Roman" w:hAnsi="Times New Roman"/>
        </w:rPr>
        <w:t xml:space="preserve">The primary legacy of the </w:t>
      </w:r>
      <w:r w:rsidRPr="001231C4">
        <w:rPr>
          <w:rFonts w:ascii="Times New Roman" w:hAnsi="Times New Roman"/>
          <w:i/>
          <w:iCs/>
        </w:rPr>
        <w:t>Adimi</w:t>
      </w:r>
      <w:r>
        <w:rPr>
          <w:rFonts w:ascii="Times New Roman" w:hAnsi="Times New Roman"/>
        </w:rPr>
        <w:t xml:space="preserve"> judgment is in its interpretation of the scope of article 31, including recognition that refugees have some element of choice as to where they seek asylum ; that transiting through another safe country </w:t>
      </w:r>
      <w:proofErr w:type="spellStart"/>
      <w:r w:rsidRPr="001231C4">
        <w:rPr>
          <w:rFonts w:ascii="Times New Roman" w:hAnsi="Times New Roman"/>
          <w:i/>
          <w:iCs/>
        </w:rPr>
        <w:t>en</w:t>
      </w:r>
      <w:proofErr w:type="spellEnd"/>
      <w:r w:rsidRPr="001231C4">
        <w:rPr>
          <w:rFonts w:ascii="Times New Roman" w:hAnsi="Times New Roman"/>
          <w:i/>
          <w:iCs/>
        </w:rPr>
        <w:t xml:space="preserve"> route</w:t>
      </w:r>
      <w:r>
        <w:rPr>
          <w:rFonts w:ascii="Times New Roman" w:hAnsi="Times New Roman"/>
        </w:rPr>
        <w:t xml:space="preserve"> to the country of refuge is not fatal to the protection from penalties under article 31; and that article 31 protection extends to offences committed in the course of seeking to leave the UK as well as to enter it. This reasoning was subsequently affirmed in apex court decisions such as </w:t>
      </w:r>
      <w:r w:rsidRPr="001231C4">
        <w:rPr>
          <w:rFonts w:ascii="Times New Roman" w:hAnsi="Times New Roman"/>
          <w:i/>
          <w:iCs/>
        </w:rPr>
        <w:t>Asfaw</w:t>
      </w:r>
      <w:r>
        <w:rPr>
          <w:rFonts w:ascii="Times New Roman" w:hAnsi="Times New Roman"/>
          <w:i/>
          <w:iCs/>
        </w:rPr>
        <w:t xml:space="preserve"> </w:t>
      </w:r>
      <w:r>
        <w:rPr>
          <w:rFonts w:ascii="Times New Roman" w:hAnsi="Times New Roman"/>
        </w:rPr>
        <w:t>and</w:t>
      </w:r>
      <w:r w:rsidRPr="001231C4">
        <w:rPr>
          <w:rFonts w:ascii="Times New Roman" w:hAnsi="Times New Roman"/>
          <w:i/>
          <w:iCs/>
        </w:rPr>
        <w:t xml:space="preserve"> Mateta</w:t>
      </w:r>
      <w:r>
        <w:rPr>
          <w:rFonts w:ascii="Times New Roman" w:hAnsi="Times New Roman"/>
        </w:rPr>
        <w:t xml:space="preserve">, yet it is the lower court decision in </w:t>
      </w:r>
      <w:r w:rsidRPr="001231C4">
        <w:rPr>
          <w:rFonts w:ascii="Times New Roman" w:hAnsi="Times New Roman"/>
          <w:i/>
          <w:iCs/>
        </w:rPr>
        <w:t>Adimi</w:t>
      </w:r>
      <w:r>
        <w:rPr>
          <w:rFonts w:ascii="Times New Roman" w:hAnsi="Times New Roman"/>
        </w:rPr>
        <w:t xml:space="preserve"> that has had the greatest traction in international scholarship and advocacy, including UNHCR guidance. </w:t>
      </w:r>
    </w:p>
    <w:p w14:paraId="144D6CB7" w14:textId="77777777" w:rsidR="00F8245C" w:rsidRPr="009A755F" w:rsidRDefault="00F8245C" w:rsidP="00D42B18">
      <w:pPr>
        <w:spacing w:line="480" w:lineRule="auto"/>
        <w:jc w:val="both"/>
        <w:rPr>
          <w:rFonts w:ascii="Times New Roman" w:hAnsi="Times New Roman"/>
        </w:rPr>
      </w:pPr>
      <w:r>
        <w:rPr>
          <w:rFonts w:ascii="Times New Roman" w:hAnsi="Times New Roman"/>
        </w:rPr>
        <w:t xml:space="preserve">However, the </w:t>
      </w:r>
      <w:r w:rsidRPr="009A755F">
        <w:rPr>
          <w:rFonts w:ascii="Times New Roman" w:hAnsi="Times New Roman"/>
        </w:rPr>
        <w:t xml:space="preserve">long-term </w:t>
      </w:r>
      <w:r>
        <w:rPr>
          <w:rFonts w:ascii="Times New Roman" w:hAnsi="Times New Roman"/>
        </w:rPr>
        <w:t>impact of the decision is less straightforwardly positive</w:t>
      </w:r>
      <w:r w:rsidRPr="009A755F">
        <w:rPr>
          <w:rFonts w:ascii="Times New Roman" w:hAnsi="Times New Roman"/>
        </w:rPr>
        <w:t xml:space="preserve">. The </w:t>
      </w:r>
      <w:r>
        <w:rPr>
          <w:rFonts w:ascii="Times New Roman" w:hAnsi="Times New Roman"/>
        </w:rPr>
        <w:t xml:space="preserve">generous </w:t>
      </w:r>
      <w:r w:rsidRPr="009A755F">
        <w:rPr>
          <w:rFonts w:ascii="Times New Roman" w:hAnsi="Times New Roman"/>
        </w:rPr>
        <w:t xml:space="preserve">scope of article 31 protection as envisaged in </w:t>
      </w:r>
      <w:r w:rsidRPr="009A755F">
        <w:rPr>
          <w:rFonts w:ascii="Times New Roman" w:hAnsi="Times New Roman"/>
          <w:i/>
          <w:iCs/>
        </w:rPr>
        <w:t>Adimi</w:t>
      </w:r>
      <w:r w:rsidRPr="009A755F">
        <w:rPr>
          <w:rFonts w:ascii="Times New Roman" w:hAnsi="Times New Roman"/>
        </w:rPr>
        <w:t xml:space="preserve"> was narrowed almost immediately by the terms of its incorporation into UK law via s31 of the Asylum and Immigration Act 1999 and reduced further by the Nationality and Borders Act 2022. Brown LJ himself renounced part of the legal reasoning within the case (his acceptance of incorporation of Convention obligations via “legitimate expectation”) and certainly renounced its spirit in his vigorous support for the Illegal Migration Act 2023. </w:t>
      </w:r>
    </w:p>
    <w:p w14:paraId="795055BC" w14:textId="77777777" w:rsidR="00F8245C" w:rsidRPr="009A755F" w:rsidRDefault="00F8245C" w:rsidP="00D42B18">
      <w:pPr>
        <w:spacing w:line="480" w:lineRule="auto"/>
        <w:jc w:val="both"/>
        <w:rPr>
          <w:rFonts w:ascii="Times New Roman" w:hAnsi="Times New Roman"/>
        </w:rPr>
      </w:pPr>
      <w:r>
        <w:rPr>
          <w:rFonts w:ascii="Times New Roman" w:hAnsi="Times New Roman"/>
        </w:rPr>
        <w:t xml:space="preserve">Thus, the greatest challenge to article 31 protection is the development of new state practices for the deterrence of irregular migration (and of penalties other than prosecution for refugees who enter via irregular routes). When </w:t>
      </w:r>
      <w:r w:rsidRPr="009A755F">
        <w:rPr>
          <w:rFonts w:ascii="Times New Roman" w:hAnsi="Times New Roman"/>
          <w:i/>
          <w:iCs/>
        </w:rPr>
        <w:t xml:space="preserve">Adimi </w:t>
      </w:r>
      <w:r w:rsidRPr="009A755F">
        <w:rPr>
          <w:rFonts w:ascii="Times New Roman" w:hAnsi="Times New Roman"/>
        </w:rPr>
        <w:t xml:space="preserve">was heard, State efforts to restrict irregular migration were emerging with the creation of new visa regimes and new offences for both migrants and transports carriers. Over the ensuing years such measures have been accompanied by a panoply of </w:t>
      </w:r>
      <w:r>
        <w:rPr>
          <w:rFonts w:ascii="Times New Roman" w:hAnsi="Times New Roman"/>
        </w:rPr>
        <w:t>‘</w:t>
      </w:r>
      <w:r w:rsidRPr="009A755F">
        <w:rPr>
          <w:rFonts w:ascii="Times New Roman" w:hAnsi="Times New Roman"/>
        </w:rPr>
        <w:t>crimes of migration</w:t>
      </w:r>
      <w:r>
        <w:rPr>
          <w:rFonts w:ascii="Times New Roman" w:hAnsi="Times New Roman"/>
        </w:rPr>
        <w:t>’</w:t>
      </w:r>
      <w:r w:rsidRPr="009A755F">
        <w:rPr>
          <w:rFonts w:ascii="Times New Roman" w:hAnsi="Times New Roman"/>
        </w:rPr>
        <w:t xml:space="preserve"> and other tactics of control that characterise all irregular migration as unlawful, even </w:t>
      </w:r>
      <w:proofErr w:type="gramStart"/>
      <w:r w:rsidRPr="009A755F">
        <w:rPr>
          <w:rFonts w:ascii="Times New Roman" w:hAnsi="Times New Roman"/>
        </w:rPr>
        <w:t>where</w:t>
      </w:r>
      <w:proofErr w:type="gramEnd"/>
      <w:r w:rsidRPr="009A755F">
        <w:rPr>
          <w:rFonts w:ascii="Times New Roman" w:hAnsi="Times New Roman"/>
        </w:rPr>
        <w:t xml:space="preserve"> committed for the purpose of seeking asylum. The </w:t>
      </w:r>
      <w:r>
        <w:rPr>
          <w:rFonts w:ascii="Times New Roman" w:hAnsi="Times New Roman"/>
        </w:rPr>
        <w:t>‘</w:t>
      </w:r>
      <w:r w:rsidRPr="009A755F">
        <w:rPr>
          <w:rFonts w:ascii="Times New Roman" w:hAnsi="Times New Roman"/>
        </w:rPr>
        <w:t>penalties</w:t>
      </w:r>
      <w:r>
        <w:rPr>
          <w:rFonts w:ascii="Times New Roman" w:hAnsi="Times New Roman"/>
        </w:rPr>
        <w:t>’</w:t>
      </w:r>
      <w:r w:rsidRPr="009A755F">
        <w:rPr>
          <w:rFonts w:ascii="Times New Roman" w:hAnsi="Times New Roman"/>
        </w:rPr>
        <w:t xml:space="preserve"> imposed on refugees that arrive via irregular routes are wide, varied and increasingly inventive. The result is a punitive climate for asylum seekers and refugees where the centrality of article 31 to preserving asylum is increasingly apparent, yet the acceptance of its </w:t>
      </w:r>
      <w:r w:rsidRPr="009A755F">
        <w:rPr>
          <w:rFonts w:ascii="Times New Roman" w:hAnsi="Times New Roman"/>
        </w:rPr>
        <w:lastRenderedPageBreak/>
        <w:t xml:space="preserve">application is increasingly restricted. </w:t>
      </w:r>
      <w:r>
        <w:rPr>
          <w:rFonts w:ascii="Times New Roman" w:hAnsi="Times New Roman"/>
        </w:rPr>
        <w:t xml:space="preserve">The time has </w:t>
      </w:r>
      <w:r w:rsidRPr="009A755F">
        <w:rPr>
          <w:rFonts w:ascii="Times New Roman" w:hAnsi="Times New Roman"/>
        </w:rPr>
        <w:t xml:space="preserve">come for a </w:t>
      </w:r>
      <w:r>
        <w:rPr>
          <w:rFonts w:ascii="Times New Roman" w:hAnsi="Times New Roman"/>
        </w:rPr>
        <w:t>‘</w:t>
      </w:r>
      <w:r w:rsidRPr="009A755F">
        <w:rPr>
          <w:rFonts w:ascii="Times New Roman" w:hAnsi="Times New Roman"/>
        </w:rPr>
        <w:t>second generation</w:t>
      </w:r>
      <w:r>
        <w:rPr>
          <w:rFonts w:ascii="Times New Roman" w:hAnsi="Times New Roman"/>
        </w:rPr>
        <w:t>’</w:t>
      </w:r>
      <w:r w:rsidRPr="009A755F">
        <w:rPr>
          <w:rFonts w:ascii="Times New Roman" w:hAnsi="Times New Roman"/>
        </w:rPr>
        <w:t xml:space="preserve"> </w:t>
      </w:r>
      <w:r w:rsidRPr="000F3C65">
        <w:rPr>
          <w:rFonts w:ascii="Times New Roman" w:hAnsi="Times New Roman"/>
        </w:rPr>
        <w:t>landmark case</w:t>
      </w:r>
      <w:r>
        <w:rPr>
          <w:rFonts w:ascii="Times New Roman" w:hAnsi="Times New Roman"/>
        </w:rPr>
        <w:t xml:space="preserve"> on the scope of article 31, which can confirm its </w:t>
      </w:r>
      <w:r w:rsidRPr="009A755F">
        <w:rPr>
          <w:rFonts w:ascii="Times New Roman" w:hAnsi="Times New Roman"/>
        </w:rPr>
        <w:t xml:space="preserve">scope and </w:t>
      </w:r>
      <w:r>
        <w:rPr>
          <w:rFonts w:ascii="Times New Roman" w:hAnsi="Times New Roman"/>
        </w:rPr>
        <w:t xml:space="preserve">application vis-à-vis </w:t>
      </w:r>
      <w:r w:rsidRPr="009A755F">
        <w:rPr>
          <w:rFonts w:ascii="Times New Roman" w:hAnsi="Times New Roman"/>
        </w:rPr>
        <w:t xml:space="preserve">these policies. </w:t>
      </w:r>
    </w:p>
    <w:p w14:paraId="1D6A5AC0" w14:textId="77777777" w:rsidR="00F8245C" w:rsidRPr="009A755F" w:rsidRDefault="00F8245C" w:rsidP="00D42B18">
      <w:pPr>
        <w:spacing w:line="480" w:lineRule="auto"/>
        <w:ind w:left="720"/>
        <w:jc w:val="both"/>
        <w:rPr>
          <w:rFonts w:ascii="Times New Roman" w:hAnsi="Times New Roman"/>
        </w:rPr>
      </w:pPr>
    </w:p>
    <w:p w14:paraId="451345F1" w14:textId="77777777" w:rsidR="00010E50" w:rsidRPr="009A755F" w:rsidRDefault="00010E50" w:rsidP="00D42B18">
      <w:pPr>
        <w:spacing w:line="480" w:lineRule="auto"/>
        <w:jc w:val="both"/>
        <w:rPr>
          <w:rFonts w:ascii="Times New Roman" w:hAnsi="Times New Roman"/>
          <w:b/>
          <w:bCs/>
        </w:rPr>
      </w:pPr>
    </w:p>
    <w:sectPr w:rsidR="00010E50" w:rsidRPr="009A755F">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5ADAA" w14:textId="77777777" w:rsidR="00191A2A" w:rsidRDefault="00191A2A" w:rsidP="002D51E2">
      <w:pPr>
        <w:spacing w:after="0" w:line="240" w:lineRule="auto"/>
      </w:pPr>
      <w:r>
        <w:separator/>
      </w:r>
    </w:p>
  </w:endnote>
  <w:endnote w:type="continuationSeparator" w:id="0">
    <w:p w14:paraId="4536DB54" w14:textId="77777777" w:rsidR="00191A2A" w:rsidRDefault="00191A2A" w:rsidP="002D51E2">
      <w:pPr>
        <w:spacing w:after="0" w:line="240" w:lineRule="auto"/>
      </w:pPr>
      <w:r>
        <w:continuationSeparator/>
      </w:r>
    </w:p>
  </w:endnote>
  <w:endnote w:type="continuationNotice" w:id="1">
    <w:p w14:paraId="7496F04D" w14:textId="77777777" w:rsidR="00191A2A" w:rsidRDefault="00191A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7702750"/>
      <w:docPartObj>
        <w:docPartGallery w:val="Page Numbers (Bottom of Page)"/>
        <w:docPartUnique/>
      </w:docPartObj>
    </w:sdtPr>
    <w:sdtEndPr>
      <w:rPr>
        <w:noProof/>
      </w:rPr>
    </w:sdtEndPr>
    <w:sdtContent>
      <w:p w14:paraId="63008D62" w14:textId="25E148AD" w:rsidR="002D51E2" w:rsidRDefault="002D51E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66ABA5" w14:textId="77777777" w:rsidR="002D51E2" w:rsidRDefault="002D51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55B22" w14:textId="77777777" w:rsidR="00191A2A" w:rsidRDefault="00191A2A" w:rsidP="002D51E2">
      <w:pPr>
        <w:spacing w:after="0" w:line="240" w:lineRule="auto"/>
      </w:pPr>
      <w:r>
        <w:separator/>
      </w:r>
    </w:p>
  </w:footnote>
  <w:footnote w:type="continuationSeparator" w:id="0">
    <w:p w14:paraId="38336878" w14:textId="77777777" w:rsidR="00191A2A" w:rsidRDefault="00191A2A" w:rsidP="002D51E2">
      <w:pPr>
        <w:spacing w:after="0" w:line="240" w:lineRule="auto"/>
      </w:pPr>
      <w:r>
        <w:continuationSeparator/>
      </w:r>
    </w:p>
  </w:footnote>
  <w:footnote w:type="continuationNotice" w:id="1">
    <w:p w14:paraId="3575389A" w14:textId="77777777" w:rsidR="00191A2A" w:rsidRDefault="00191A2A">
      <w:pPr>
        <w:spacing w:after="0" w:line="240" w:lineRule="auto"/>
      </w:pPr>
    </w:p>
  </w:footnote>
  <w:footnote w:id="2">
    <w:p w14:paraId="7740F394" w14:textId="0E3EA679" w:rsidR="0033438E" w:rsidRPr="00E42246" w:rsidRDefault="0033438E" w:rsidP="00E42246">
      <w:pPr>
        <w:spacing w:after="0" w:line="240" w:lineRule="auto"/>
        <w:jc w:val="both"/>
        <w:rPr>
          <w:rFonts w:ascii="Times New Roman" w:hAnsi="Times New Roman"/>
          <w:i/>
          <w:iCs/>
          <w:sz w:val="18"/>
        </w:rPr>
      </w:pPr>
      <w:r w:rsidRPr="00E42246">
        <w:rPr>
          <w:rStyle w:val="FootnoteReference"/>
          <w:rFonts w:ascii="Times New Roman" w:hAnsi="Times New Roman"/>
          <w:sz w:val="18"/>
        </w:rPr>
        <w:footnoteRef/>
      </w:r>
      <w:r w:rsidRPr="00E42246">
        <w:rPr>
          <w:rFonts w:ascii="Times New Roman" w:hAnsi="Times New Roman"/>
          <w:sz w:val="18"/>
        </w:rPr>
        <w:t xml:space="preserve"> [1999] EWHC Admin 765, hereafter </w:t>
      </w:r>
      <w:r w:rsidRPr="00E42246">
        <w:rPr>
          <w:rFonts w:ascii="Times New Roman" w:hAnsi="Times New Roman"/>
          <w:i/>
          <w:iCs/>
          <w:sz w:val="18"/>
        </w:rPr>
        <w:t xml:space="preserve">Adimi. </w:t>
      </w:r>
    </w:p>
  </w:footnote>
  <w:footnote w:id="3">
    <w:p w14:paraId="471DF6D8" w14:textId="70D5770F" w:rsidR="00170FE8" w:rsidRPr="00E42246" w:rsidRDefault="00170FE8" w:rsidP="00E42246">
      <w:pPr>
        <w:pStyle w:val="FootnoteText"/>
        <w:rPr>
          <w:rFonts w:ascii="Times New Roman" w:hAnsi="Times New Roman"/>
          <w:sz w:val="18"/>
        </w:rPr>
      </w:pPr>
      <w:r w:rsidRPr="00E42246">
        <w:rPr>
          <w:rStyle w:val="FootnoteReference"/>
          <w:rFonts w:ascii="Times New Roman" w:hAnsi="Times New Roman"/>
          <w:sz w:val="18"/>
        </w:rPr>
        <w:footnoteRef/>
      </w:r>
      <w:r w:rsidRPr="00E42246">
        <w:rPr>
          <w:rFonts w:ascii="Times New Roman" w:hAnsi="Times New Roman"/>
          <w:sz w:val="18"/>
        </w:rPr>
        <w:t xml:space="preserve"> </w:t>
      </w:r>
      <w:r w:rsidR="00AF1A99" w:rsidRPr="00E42246">
        <w:rPr>
          <w:rFonts w:ascii="Times New Roman" w:hAnsi="Times New Roman"/>
          <w:i/>
          <w:iCs/>
          <w:sz w:val="18"/>
        </w:rPr>
        <w:t>R v Asfaw</w:t>
      </w:r>
      <w:r w:rsidR="00AF1A99" w:rsidRPr="00E42246">
        <w:rPr>
          <w:rFonts w:ascii="Times New Roman" w:hAnsi="Times New Roman"/>
          <w:sz w:val="18"/>
        </w:rPr>
        <w:t xml:space="preserve"> [2008] UKHL 31 at para 9, </w:t>
      </w:r>
      <w:r w:rsidR="00AF1A99" w:rsidRPr="00E42246">
        <w:rPr>
          <w:rFonts w:ascii="Times New Roman" w:hAnsi="Times New Roman" w:cs="Times New Roman"/>
          <w:sz w:val="18"/>
        </w:rPr>
        <w:t xml:space="preserve">UNHCR (2024), </w:t>
      </w:r>
      <w:r w:rsidR="00AF1A99" w:rsidRPr="00E42246">
        <w:rPr>
          <w:rFonts w:ascii="Times New Roman" w:hAnsi="Times New Roman" w:cs="Times New Roman"/>
          <w:i/>
          <w:iCs/>
          <w:sz w:val="18"/>
        </w:rPr>
        <w:t>Guidelines on International Protection No.14: Non-penalization of refugees on account of their irregular entry or presence and restrictions on their movements in accordance with Article 31 of the 1951 Convention relating to the Status of Refugees</w:t>
      </w:r>
      <w:r w:rsidR="00AF1A99" w:rsidRPr="00E42246">
        <w:rPr>
          <w:rFonts w:ascii="Times New Roman" w:hAnsi="Times New Roman" w:cs="Times New Roman"/>
          <w:sz w:val="18"/>
        </w:rPr>
        <w:t xml:space="preserve">. HCR/GIP/24/14 23 September 2024, hereafter UNHCR GIP 14 (2024). </w:t>
      </w:r>
    </w:p>
  </w:footnote>
  <w:footnote w:id="4">
    <w:p w14:paraId="1CC59E3D" w14:textId="77777777" w:rsidR="00815ADC" w:rsidRPr="00E42246" w:rsidRDefault="00815ADC" w:rsidP="00E42246">
      <w:pPr>
        <w:pStyle w:val="FootnoteText"/>
        <w:rPr>
          <w:rFonts w:ascii="Times New Roman" w:hAnsi="Times New Roman" w:cs="Times New Roman"/>
          <w:sz w:val="18"/>
        </w:rPr>
      </w:pPr>
      <w:r w:rsidRPr="00E42246">
        <w:rPr>
          <w:rStyle w:val="FootnoteReference"/>
          <w:rFonts w:ascii="Times New Roman" w:hAnsi="Times New Roman" w:cs="Times New Roman"/>
          <w:sz w:val="18"/>
        </w:rPr>
        <w:footnoteRef/>
      </w:r>
      <w:r w:rsidRPr="00E42246">
        <w:rPr>
          <w:rFonts w:ascii="Times New Roman" w:hAnsi="Times New Roman" w:cs="Times New Roman"/>
          <w:sz w:val="18"/>
        </w:rPr>
        <w:t xml:space="preserve"> Ana Aliverti, </w:t>
      </w:r>
      <w:r w:rsidRPr="00E42246">
        <w:rPr>
          <w:rFonts w:ascii="Times New Roman" w:hAnsi="Times New Roman" w:cs="Times New Roman"/>
          <w:i/>
          <w:iCs/>
          <w:sz w:val="18"/>
        </w:rPr>
        <w:t>Crimes of Mobility: Criminal Law and the Regulation of Immigration</w:t>
      </w:r>
      <w:r w:rsidRPr="00E42246">
        <w:rPr>
          <w:rFonts w:ascii="Times New Roman" w:hAnsi="Times New Roman" w:cs="Times New Roman"/>
          <w:sz w:val="18"/>
        </w:rPr>
        <w:t xml:space="preserve"> (Routledge 2013).  </w:t>
      </w:r>
    </w:p>
  </w:footnote>
  <w:footnote w:id="5">
    <w:p w14:paraId="2733E26F" w14:textId="40AB04DC" w:rsidR="008F5F4D" w:rsidRPr="00E42246" w:rsidRDefault="008F5F4D" w:rsidP="00E42246">
      <w:pPr>
        <w:pStyle w:val="FootnoteText"/>
        <w:rPr>
          <w:rFonts w:ascii="Times New Roman" w:hAnsi="Times New Roman" w:cs="Times New Roman"/>
          <w:sz w:val="18"/>
        </w:rPr>
      </w:pPr>
      <w:r w:rsidRPr="00E42246">
        <w:rPr>
          <w:rStyle w:val="FootnoteReference"/>
          <w:rFonts w:ascii="Times New Roman" w:hAnsi="Times New Roman" w:cs="Times New Roman"/>
          <w:sz w:val="18"/>
        </w:rPr>
        <w:footnoteRef/>
      </w:r>
      <w:r w:rsidRPr="00E42246">
        <w:rPr>
          <w:rFonts w:ascii="Times New Roman" w:hAnsi="Times New Roman" w:cs="Times New Roman"/>
          <w:sz w:val="18"/>
        </w:rPr>
        <w:t xml:space="preserve"> </w:t>
      </w:r>
      <w:r w:rsidR="00F56062" w:rsidRPr="00E42246">
        <w:rPr>
          <w:rFonts w:ascii="Times New Roman" w:hAnsi="Times New Roman" w:cs="Times New Roman"/>
          <w:sz w:val="18"/>
        </w:rPr>
        <w:t xml:space="preserve">On the </w:t>
      </w:r>
      <w:r w:rsidR="0005609A" w:rsidRPr="00E42246">
        <w:rPr>
          <w:rFonts w:ascii="Times New Roman" w:hAnsi="Times New Roman" w:cs="Times New Roman"/>
          <w:sz w:val="18"/>
        </w:rPr>
        <w:t xml:space="preserve">purpose </w:t>
      </w:r>
      <w:r w:rsidR="00F56062" w:rsidRPr="00E42246">
        <w:rPr>
          <w:rFonts w:ascii="Times New Roman" w:hAnsi="Times New Roman" w:cs="Times New Roman"/>
          <w:sz w:val="18"/>
        </w:rPr>
        <w:t xml:space="preserve">and interpretation of article 31, see </w:t>
      </w:r>
      <w:r w:rsidR="00AF1A99" w:rsidRPr="00E42246">
        <w:rPr>
          <w:rFonts w:ascii="Times New Roman" w:hAnsi="Times New Roman" w:cs="Times New Roman"/>
          <w:sz w:val="18"/>
        </w:rPr>
        <w:t xml:space="preserve">UNHCR GIP 14 (2024); </w:t>
      </w:r>
      <w:r w:rsidR="0009454A" w:rsidRPr="00E42246">
        <w:rPr>
          <w:rFonts w:ascii="Times New Roman" w:hAnsi="Times New Roman" w:cs="Times New Roman"/>
          <w:sz w:val="18"/>
        </w:rPr>
        <w:t xml:space="preserve">see also Cathryn Costello, Yulia Ioffe and Teresa </w:t>
      </w:r>
      <w:proofErr w:type="spellStart"/>
      <w:r w:rsidR="0009454A" w:rsidRPr="00E42246">
        <w:rPr>
          <w:rFonts w:ascii="Times New Roman" w:hAnsi="Times New Roman" w:cs="Times New Roman"/>
          <w:sz w:val="18"/>
        </w:rPr>
        <w:t>Buchsell</w:t>
      </w:r>
      <w:proofErr w:type="spellEnd"/>
      <w:r w:rsidR="0009454A" w:rsidRPr="00E42246">
        <w:rPr>
          <w:rFonts w:ascii="Times New Roman" w:hAnsi="Times New Roman" w:cs="Times New Roman"/>
          <w:sz w:val="18"/>
        </w:rPr>
        <w:t xml:space="preserve">, </w:t>
      </w:r>
      <w:r w:rsidR="0009454A" w:rsidRPr="00E42246">
        <w:rPr>
          <w:rFonts w:ascii="Times New Roman" w:hAnsi="Times New Roman" w:cs="Times New Roman"/>
          <w:i/>
          <w:iCs/>
          <w:sz w:val="18"/>
        </w:rPr>
        <w:t>Article 31 of the 1951 Convention Relating to the Status of Refugees</w:t>
      </w:r>
      <w:r w:rsidR="0009454A" w:rsidRPr="00E42246">
        <w:rPr>
          <w:rFonts w:ascii="Times New Roman" w:hAnsi="Times New Roman" w:cs="Times New Roman"/>
          <w:sz w:val="18"/>
        </w:rPr>
        <w:t xml:space="preserve">, </w:t>
      </w:r>
      <w:r w:rsidR="0033438E" w:rsidRPr="00E42246">
        <w:rPr>
          <w:rFonts w:ascii="Times New Roman" w:hAnsi="Times New Roman" w:cs="Times New Roman"/>
          <w:sz w:val="18"/>
        </w:rPr>
        <w:t>(</w:t>
      </w:r>
      <w:r w:rsidR="0009454A" w:rsidRPr="00E42246">
        <w:rPr>
          <w:rFonts w:ascii="Times New Roman" w:hAnsi="Times New Roman" w:cs="Times New Roman"/>
          <w:sz w:val="18"/>
        </w:rPr>
        <w:t>UNHCR Division of International Protection</w:t>
      </w:r>
      <w:r w:rsidR="0033438E" w:rsidRPr="00E42246">
        <w:rPr>
          <w:rFonts w:ascii="Times New Roman" w:hAnsi="Times New Roman" w:cs="Times New Roman"/>
          <w:sz w:val="18"/>
        </w:rPr>
        <w:t xml:space="preserve"> 2017)</w:t>
      </w:r>
      <w:r w:rsidR="00092492" w:rsidRPr="00E42246">
        <w:rPr>
          <w:rFonts w:ascii="Times New Roman" w:hAnsi="Times New Roman" w:cs="Times New Roman"/>
          <w:sz w:val="18"/>
        </w:rPr>
        <w:t>;</w:t>
      </w:r>
      <w:r w:rsidR="0009454A" w:rsidRPr="00E42246">
        <w:rPr>
          <w:rFonts w:ascii="Times New Roman" w:hAnsi="Times New Roman" w:cs="Times New Roman"/>
          <w:sz w:val="18"/>
        </w:rPr>
        <w:t xml:space="preserve"> </w:t>
      </w:r>
      <w:r w:rsidR="00420288" w:rsidRPr="00E42246">
        <w:rPr>
          <w:rFonts w:ascii="Times New Roman" w:hAnsi="Times New Roman" w:cs="Times New Roman"/>
          <w:sz w:val="18"/>
        </w:rPr>
        <w:t>Guy Goodwin</w:t>
      </w:r>
      <w:r w:rsidR="0018798E" w:rsidRPr="00E42246">
        <w:rPr>
          <w:rFonts w:ascii="Times New Roman" w:hAnsi="Times New Roman" w:cs="Times New Roman"/>
          <w:sz w:val="18"/>
        </w:rPr>
        <w:t>-</w:t>
      </w:r>
      <w:r w:rsidR="00420288" w:rsidRPr="00E42246">
        <w:rPr>
          <w:rFonts w:ascii="Times New Roman" w:hAnsi="Times New Roman" w:cs="Times New Roman"/>
          <w:sz w:val="18"/>
        </w:rPr>
        <w:t xml:space="preserve">Gill </w:t>
      </w:r>
      <w:r w:rsidR="0018798E" w:rsidRPr="00E42246">
        <w:rPr>
          <w:rFonts w:ascii="Times New Roman" w:hAnsi="Times New Roman" w:cs="Times New Roman"/>
          <w:sz w:val="18"/>
        </w:rPr>
        <w:t>‘</w:t>
      </w:r>
      <w:r w:rsidR="00420288" w:rsidRPr="00E42246">
        <w:rPr>
          <w:rFonts w:ascii="Times New Roman" w:hAnsi="Times New Roman" w:cs="Times New Roman"/>
          <w:sz w:val="18"/>
        </w:rPr>
        <w:t>Article 31 of the 1951 Convention Relating to the Status of Refugees: non-penalization, detention and protection</w:t>
      </w:r>
      <w:r w:rsidR="0018798E" w:rsidRPr="00E42246">
        <w:rPr>
          <w:rFonts w:ascii="Times New Roman" w:hAnsi="Times New Roman" w:cs="Times New Roman"/>
          <w:sz w:val="18"/>
        </w:rPr>
        <w:t>’</w:t>
      </w:r>
      <w:r w:rsidR="00420288" w:rsidRPr="00E42246">
        <w:rPr>
          <w:rFonts w:ascii="Times New Roman" w:hAnsi="Times New Roman" w:cs="Times New Roman"/>
          <w:sz w:val="18"/>
        </w:rPr>
        <w:t xml:space="preserve">. </w:t>
      </w:r>
      <w:r w:rsidR="0033438E" w:rsidRPr="00E42246">
        <w:rPr>
          <w:rFonts w:ascii="Times New Roman" w:hAnsi="Times New Roman" w:cs="Times New Roman"/>
          <w:sz w:val="18"/>
        </w:rPr>
        <w:t>(2001)</w:t>
      </w:r>
    </w:p>
  </w:footnote>
  <w:footnote w:id="6">
    <w:p w14:paraId="34BC45A3" w14:textId="064173EE" w:rsidR="008F5F4D" w:rsidRPr="00E42246" w:rsidRDefault="008F5F4D" w:rsidP="00E42246">
      <w:pPr>
        <w:pStyle w:val="FootnoteText"/>
        <w:rPr>
          <w:rFonts w:ascii="Times New Roman" w:hAnsi="Times New Roman" w:cs="Times New Roman"/>
          <w:sz w:val="18"/>
        </w:rPr>
      </w:pPr>
      <w:r w:rsidRPr="00E42246">
        <w:rPr>
          <w:rStyle w:val="FootnoteReference"/>
          <w:rFonts w:ascii="Times New Roman" w:hAnsi="Times New Roman" w:cs="Times New Roman"/>
          <w:sz w:val="18"/>
        </w:rPr>
        <w:footnoteRef/>
      </w:r>
      <w:r w:rsidRPr="00E42246">
        <w:rPr>
          <w:rFonts w:ascii="Times New Roman" w:hAnsi="Times New Roman" w:cs="Times New Roman"/>
          <w:sz w:val="18"/>
        </w:rPr>
        <w:t xml:space="preserve"> </w:t>
      </w:r>
      <w:r w:rsidR="00F56062" w:rsidRPr="00E42246">
        <w:rPr>
          <w:rFonts w:ascii="Times New Roman" w:hAnsi="Times New Roman" w:cs="Times New Roman"/>
          <w:sz w:val="18"/>
        </w:rPr>
        <w:t xml:space="preserve">UNHCR GIP </w:t>
      </w:r>
      <w:r w:rsidR="0033438E" w:rsidRPr="00E42246">
        <w:rPr>
          <w:rFonts w:ascii="Times New Roman" w:hAnsi="Times New Roman" w:cs="Times New Roman"/>
          <w:sz w:val="18"/>
        </w:rPr>
        <w:t xml:space="preserve">14 </w:t>
      </w:r>
      <w:r w:rsidR="00F56062" w:rsidRPr="00E42246">
        <w:rPr>
          <w:rFonts w:ascii="Times New Roman" w:hAnsi="Times New Roman" w:cs="Times New Roman"/>
          <w:sz w:val="18"/>
        </w:rPr>
        <w:t xml:space="preserve">(2024), </w:t>
      </w:r>
      <w:r w:rsidR="00F56062" w:rsidRPr="00E42246">
        <w:rPr>
          <w:rFonts w:ascii="Times New Roman" w:hAnsi="Times New Roman" w:cs="Times New Roman"/>
          <w:i/>
          <w:iCs/>
          <w:sz w:val="18"/>
        </w:rPr>
        <w:t>ibid</w:t>
      </w:r>
      <w:r w:rsidR="00F56062" w:rsidRPr="00E42246">
        <w:rPr>
          <w:rFonts w:ascii="Times New Roman" w:hAnsi="Times New Roman" w:cs="Times New Roman"/>
          <w:sz w:val="18"/>
        </w:rPr>
        <w:t xml:space="preserve">. </w:t>
      </w:r>
    </w:p>
  </w:footnote>
  <w:footnote w:id="7">
    <w:p w14:paraId="7EE6BB9A" w14:textId="72093FC0" w:rsidR="008F5F4D" w:rsidRPr="00E42246" w:rsidRDefault="008F5F4D" w:rsidP="00E42246">
      <w:pPr>
        <w:pStyle w:val="FootnoteText"/>
        <w:rPr>
          <w:rFonts w:ascii="Times New Roman" w:hAnsi="Times New Roman" w:cs="Times New Roman"/>
          <w:sz w:val="18"/>
        </w:rPr>
      </w:pPr>
      <w:r w:rsidRPr="00E42246">
        <w:rPr>
          <w:rStyle w:val="FootnoteReference"/>
          <w:rFonts w:ascii="Times New Roman" w:hAnsi="Times New Roman" w:cs="Times New Roman"/>
          <w:sz w:val="18"/>
        </w:rPr>
        <w:footnoteRef/>
      </w:r>
      <w:r w:rsidRPr="00E42246">
        <w:rPr>
          <w:rFonts w:ascii="Times New Roman" w:hAnsi="Times New Roman" w:cs="Times New Roman"/>
          <w:sz w:val="18"/>
        </w:rPr>
        <w:t xml:space="preserve"> Gary Christie, </w:t>
      </w:r>
      <w:r w:rsidRPr="00E42246">
        <w:rPr>
          <w:rFonts w:ascii="Times New Roman" w:hAnsi="Times New Roman" w:cs="Times New Roman"/>
          <w:i/>
          <w:iCs/>
          <w:sz w:val="18"/>
        </w:rPr>
        <w:t>Prosecuting the Persecuted in Scotland: Article 31(1) of the Refugee Convention and the Scottish Criminal Justice System</w:t>
      </w:r>
      <w:r w:rsidR="00607410" w:rsidRPr="00E42246">
        <w:rPr>
          <w:rFonts w:ascii="Times New Roman" w:hAnsi="Times New Roman" w:cs="Times New Roman"/>
          <w:sz w:val="18"/>
        </w:rPr>
        <w:t xml:space="preserve">, </w:t>
      </w:r>
      <w:r w:rsidR="0033438E" w:rsidRPr="00E42246">
        <w:rPr>
          <w:rFonts w:ascii="Times New Roman" w:hAnsi="Times New Roman" w:cs="Times New Roman"/>
          <w:sz w:val="18"/>
        </w:rPr>
        <w:t>(</w:t>
      </w:r>
      <w:r w:rsidR="00607410" w:rsidRPr="00E42246">
        <w:rPr>
          <w:rFonts w:ascii="Times New Roman" w:hAnsi="Times New Roman" w:cs="Times New Roman"/>
          <w:sz w:val="18"/>
        </w:rPr>
        <w:t>Scottish Refugee Council</w:t>
      </w:r>
      <w:r w:rsidR="0033438E" w:rsidRPr="00E42246">
        <w:rPr>
          <w:rFonts w:ascii="Times New Roman" w:hAnsi="Times New Roman" w:cs="Times New Roman"/>
          <w:sz w:val="18"/>
        </w:rPr>
        <w:t xml:space="preserve"> 2016)</w:t>
      </w:r>
      <w:r w:rsidR="00E13D63" w:rsidRPr="00E42246">
        <w:rPr>
          <w:rFonts w:ascii="Times New Roman" w:hAnsi="Times New Roman" w:cs="Times New Roman"/>
          <w:sz w:val="18"/>
        </w:rPr>
        <w:t xml:space="preserve">. </w:t>
      </w:r>
      <w:proofErr w:type="spellStart"/>
      <w:r w:rsidR="00BF299A" w:rsidRPr="00E42246">
        <w:rPr>
          <w:rFonts w:ascii="Times New Roman" w:hAnsi="Times New Roman" w:cs="Times New Roman"/>
          <w:sz w:val="18"/>
        </w:rPr>
        <w:t>Yewa</w:t>
      </w:r>
      <w:proofErr w:type="spellEnd"/>
      <w:r w:rsidR="00BF299A" w:rsidRPr="00E42246">
        <w:rPr>
          <w:rFonts w:ascii="Times New Roman" w:hAnsi="Times New Roman" w:cs="Times New Roman"/>
          <w:sz w:val="18"/>
        </w:rPr>
        <w:t xml:space="preserve"> Holiday, Elspeth Guild and Valsamis </w:t>
      </w:r>
      <w:proofErr w:type="spellStart"/>
      <w:r w:rsidR="00BF299A" w:rsidRPr="00E42246">
        <w:rPr>
          <w:rFonts w:ascii="Times New Roman" w:hAnsi="Times New Roman" w:cs="Times New Roman"/>
          <w:sz w:val="18"/>
        </w:rPr>
        <w:t>Mitsilegas</w:t>
      </w:r>
      <w:proofErr w:type="spellEnd"/>
      <w:r w:rsidR="00BF299A" w:rsidRPr="00E42246">
        <w:rPr>
          <w:rFonts w:ascii="Times New Roman" w:hAnsi="Times New Roman" w:cs="Times New Roman"/>
          <w:sz w:val="18"/>
        </w:rPr>
        <w:t xml:space="preserve">, </w:t>
      </w:r>
      <w:r w:rsidR="00BF299A" w:rsidRPr="00E42246">
        <w:rPr>
          <w:rFonts w:ascii="Times New Roman" w:hAnsi="Times New Roman" w:cs="Times New Roman"/>
          <w:i/>
          <w:iCs/>
          <w:sz w:val="18"/>
        </w:rPr>
        <w:t xml:space="preserve">The Court of Appeal and the Criminalisation of Refugees, </w:t>
      </w:r>
      <w:r w:rsidR="0033438E" w:rsidRPr="00E42246">
        <w:rPr>
          <w:rFonts w:ascii="Times New Roman" w:hAnsi="Times New Roman" w:cs="Times New Roman"/>
          <w:i/>
          <w:iCs/>
          <w:sz w:val="18"/>
        </w:rPr>
        <w:t>(</w:t>
      </w:r>
      <w:r w:rsidR="0033438E" w:rsidRPr="00E42246">
        <w:rPr>
          <w:rFonts w:ascii="Times New Roman" w:hAnsi="Times New Roman" w:cs="Times New Roman"/>
          <w:sz w:val="18"/>
        </w:rPr>
        <w:t xml:space="preserve">Criminal Cases Review Commission 2018). </w:t>
      </w:r>
    </w:p>
  </w:footnote>
  <w:footnote w:id="8">
    <w:p w14:paraId="67E7F23D" w14:textId="541FDD1E" w:rsidR="00522E3F" w:rsidRPr="00E42246" w:rsidRDefault="00522E3F" w:rsidP="00E42246">
      <w:pPr>
        <w:pStyle w:val="FootnoteText"/>
        <w:rPr>
          <w:rFonts w:ascii="Times New Roman" w:hAnsi="Times New Roman"/>
          <w:sz w:val="18"/>
          <w:highlight w:val="yellow"/>
        </w:rPr>
      </w:pPr>
      <w:r w:rsidRPr="00E42246">
        <w:rPr>
          <w:rStyle w:val="FootnoteReference"/>
          <w:rFonts w:ascii="Times New Roman" w:hAnsi="Times New Roman"/>
          <w:sz w:val="18"/>
        </w:rPr>
        <w:footnoteRef/>
      </w:r>
      <w:r w:rsidRPr="00E42246">
        <w:rPr>
          <w:rFonts w:ascii="Times New Roman" w:hAnsi="Times New Roman"/>
          <w:sz w:val="18"/>
        </w:rPr>
        <w:t xml:space="preserve"> </w:t>
      </w:r>
      <w:r w:rsidR="0033438E" w:rsidRPr="00E42246">
        <w:rPr>
          <w:rFonts w:ascii="Times New Roman" w:hAnsi="Times New Roman"/>
          <w:i/>
          <w:iCs/>
          <w:sz w:val="18"/>
        </w:rPr>
        <w:t xml:space="preserve">Adimi </w:t>
      </w:r>
      <w:r w:rsidR="0033438E" w:rsidRPr="00E42246">
        <w:rPr>
          <w:rFonts w:ascii="Times New Roman" w:hAnsi="Times New Roman"/>
          <w:sz w:val="18"/>
        </w:rPr>
        <w:t xml:space="preserve">per Brown LJ, at para </w:t>
      </w:r>
      <w:r w:rsidR="00E32364" w:rsidRPr="00E42246">
        <w:rPr>
          <w:rFonts w:ascii="Times New Roman" w:hAnsi="Times New Roman"/>
          <w:sz w:val="18"/>
        </w:rPr>
        <w:t xml:space="preserve">67. </w:t>
      </w:r>
      <w:r w:rsidR="008C17B3" w:rsidRPr="00E42246">
        <w:rPr>
          <w:rFonts w:ascii="Times New Roman" w:hAnsi="Times New Roman"/>
          <w:sz w:val="18"/>
          <w:highlight w:val="yellow"/>
        </w:rPr>
        <w:t xml:space="preserve"> </w:t>
      </w:r>
    </w:p>
  </w:footnote>
  <w:footnote w:id="9">
    <w:p w14:paraId="13094329" w14:textId="7D56D915" w:rsidR="00DE35DF" w:rsidRPr="00E42246" w:rsidRDefault="00DE35DF" w:rsidP="00E42246">
      <w:pPr>
        <w:pStyle w:val="FootnoteText"/>
        <w:rPr>
          <w:rFonts w:ascii="Times New Roman" w:hAnsi="Times New Roman"/>
          <w:sz w:val="18"/>
        </w:rPr>
      </w:pPr>
      <w:r w:rsidRPr="00E42246">
        <w:rPr>
          <w:rStyle w:val="FootnoteReference"/>
          <w:rFonts w:ascii="Times New Roman" w:hAnsi="Times New Roman"/>
          <w:sz w:val="18"/>
        </w:rPr>
        <w:footnoteRef/>
      </w:r>
      <w:r w:rsidRPr="00E42246">
        <w:rPr>
          <w:rFonts w:ascii="Times New Roman" w:hAnsi="Times New Roman"/>
          <w:sz w:val="18"/>
        </w:rPr>
        <w:t xml:space="preserve"> </w:t>
      </w:r>
      <w:r w:rsidR="0033438E" w:rsidRPr="00E42246">
        <w:rPr>
          <w:rFonts w:ascii="Times New Roman" w:hAnsi="Times New Roman"/>
          <w:i/>
          <w:iCs/>
          <w:sz w:val="18"/>
        </w:rPr>
        <w:t>Ibid</w:t>
      </w:r>
      <w:r w:rsidR="0033438E" w:rsidRPr="00E42246">
        <w:rPr>
          <w:rFonts w:ascii="Times New Roman" w:hAnsi="Times New Roman"/>
          <w:sz w:val="18"/>
        </w:rPr>
        <w:t xml:space="preserve">, </w:t>
      </w:r>
      <w:r w:rsidR="00D93C6D" w:rsidRPr="00E42246">
        <w:rPr>
          <w:rFonts w:ascii="Times New Roman" w:hAnsi="Times New Roman"/>
          <w:sz w:val="18"/>
        </w:rPr>
        <w:t xml:space="preserve">3. </w:t>
      </w:r>
    </w:p>
  </w:footnote>
  <w:footnote w:id="10">
    <w:p w14:paraId="7E329073" w14:textId="18CEC5C6" w:rsidR="008F5F4D" w:rsidRPr="00E42246" w:rsidRDefault="008F5F4D" w:rsidP="00E42246">
      <w:pPr>
        <w:spacing w:after="0" w:line="240" w:lineRule="auto"/>
        <w:jc w:val="both"/>
        <w:rPr>
          <w:rFonts w:ascii="Times New Roman" w:hAnsi="Times New Roman" w:cs="Times New Roman"/>
          <w:sz w:val="18"/>
        </w:rPr>
      </w:pPr>
      <w:r w:rsidRPr="00E42246">
        <w:rPr>
          <w:rStyle w:val="FootnoteReference"/>
          <w:rFonts w:ascii="Times New Roman" w:hAnsi="Times New Roman" w:cs="Times New Roman"/>
          <w:sz w:val="18"/>
        </w:rPr>
        <w:footnoteRef/>
      </w:r>
      <w:r w:rsidR="006E05C8" w:rsidRPr="00E42246">
        <w:rPr>
          <w:rFonts w:ascii="Times New Roman" w:hAnsi="Times New Roman" w:cs="Times New Roman"/>
          <w:i/>
          <w:iCs/>
          <w:sz w:val="18"/>
        </w:rPr>
        <w:t>Ibid</w:t>
      </w:r>
      <w:r w:rsidR="006E05C8" w:rsidRPr="00E42246">
        <w:rPr>
          <w:rFonts w:ascii="Times New Roman" w:hAnsi="Times New Roman" w:cs="Times New Roman"/>
          <w:sz w:val="18"/>
        </w:rPr>
        <w:t xml:space="preserve">, </w:t>
      </w:r>
      <w:r w:rsidR="00AD5E54" w:rsidRPr="00E42246">
        <w:rPr>
          <w:rFonts w:ascii="Times New Roman" w:hAnsi="Times New Roman" w:cs="Times New Roman"/>
          <w:sz w:val="18"/>
        </w:rPr>
        <w:t>10-</w:t>
      </w:r>
      <w:r w:rsidRPr="00E42246">
        <w:rPr>
          <w:rFonts w:ascii="Times New Roman" w:hAnsi="Times New Roman" w:cs="Times New Roman"/>
          <w:sz w:val="18"/>
        </w:rPr>
        <w:t>11</w:t>
      </w:r>
      <w:r w:rsidR="0033438E" w:rsidRPr="00E42246">
        <w:rPr>
          <w:rFonts w:ascii="Times New Roman" w:hAnsi="Times New Roman" w:cs="Times New Roman"/>
          <w:sz w:val="18"/>
        </w:rPr>
        <w:t>.</w:t>
      </w:r>
      <w:r w:rsidR="006E05C8" w:rsidRPr="00E42246">
        <w:rPr>
          <w:rFonts w:ascii="Times New Roman" w:hAnsi="Times New Roman"/>
          <w:sz w:val="18"/>
        </w:rPr>
        <w:t xml:space="preserve"> </w:t>
      </w:r>
    </w:p>
  </w:footnote>
  <w:footnote w:id="11">
    <w:p w14:paraId="5B154F1D" w14:textId="1DF6D33F" w:rsidR="008F5F4D" w:rsidRPr="00E42246" w:rsidRDefault="008F5F4D" w:rsidP="00E42246">
      <w:pPr>
        <w:pStyle w:val="FootnoteText"/>
        <w:rPr>
          <w:rFonts w:ascii="Times New Roman" w:hAnsi="Times New Roman" w:cs="Times New Roman"/>
          <w:sz w:val="18"/>
        </w:rPr>
      </w:pPr>
      <w:r w:rsidRPr="00E42246">
        <w:rPr>
          <w:rStyle w:val="FootnoteReference"/>
          <w:rFonts w:ascii="Times New Roman" w:hAnsi="Times New Roman" w:cs="Times New Roman"/>
          <w:sz w:val="18"/>
        </w:rPr>
        <w:footnoteRef/>
      </w:r>
      <w:r w:rsidRPr="00E42246">
        <w:rPr>
          <w:rFonts w:ascii="Times New Roman" w:hAnsi="Times New Roman" w:cs="Times New Roman"/>
          <w:sz w:val="18"/>
        </w:rPr>
        <w:t xml:space="preserve"> </w:t>
      </w:r>
      <w:r w:rsidR="0033438E" w:rsidRPr="00E42246">
        <w:rPr>
          <w:rFonts w:ascii="Times New Roman" w:hAnsi="Times New Roman" w:cs="Times New Roman"/>
          <w:i/>
          <w:iCs/>
          <w:sz w:val="18"/>
        </w:rPr>
        <w:t xml:space="preserve">Ibid, </w:t>
      </w:r>
      <w:r w:rsidR="00D93C6D" w:rsidRPr="00E42246">
        <w:rPr>
          <w:rFonts w:ascii="Times New Roman" w:hAnsi="Times New Roman" w:cs="Times New Roman"/>
          <w:sz w:val="18"/>
        </w:rPr>
        <w:t>15</w:t>
      </w:r>
      <w:r w:rsidR="0033438E" w:rsidRPr="00E42246">
        <w:rPr>
          <w:rFonts w:ascii="Times New Roman" w:hAnsi="Times New Roman" w:cs="Times New Roman"/>
          <w:sz w:val="18"/>
        </w:rPr>
        <w:t xml:space="preserve">; repeated in </w:t>
      </w:r>
      <w:r w:rsidR="001F10E1" w:rsidRPr="00E42246">
        <w:rPr>
          <w:rFonts w:ascii="Times New Roman" w:hAnsi="Times New Roman" w:cs="Times New Roman"/>
          <w:i/>
          <w:iCs/>
          <w:sz w:val="18"/>
        </w:rPr>
        <w:t>R v AM and others</w:t>
      </w:r>
      <w:r w:rsidR="001F10E1" w:rsidRPr="00E42246">
        <w:rPr>
          <w:rFonts w:ascii="Times New Roman" w:hAnsi="Times New Roman" w:cs="Times New Roman"/>
          <w:sz w:val="18"/>
        </w:rPr>
        <w:t xml:space="preserve"> [2010] EWCA Crim 2400; </w:t>
      </w:r>
      <w:r w:rsidR="001F10E1" w:rsidRPr="00E42246">
        <w:rPr>
          <w:rFonts w:ascii="Times New Roman" w:hAnsi="Times New Roman" w:cs="Times New Roman"/>
          <w:i/>
          <w:iCs/>
          <w:sz w:val="18"/>
        </w:rPr>
        <w:t xml:space="preserve">R v Mateta </w:t>
      </w:r>
      <w:r w:rsidR="001F10E1" w:rsidRPr="00E42246">
        <w:rPr>
          <w:rFonts w:ascii="Times New Roman" w:hAnsi="Times New Roman" w:cs="Times New Roman"/>
          <w:sz w:val="18"/>
        </w:rPr>
        <w:t xml:space="preserve">[2014] </w:t>
      </w:r>
      <w:r w:rsidR="00E410B6" w:rsidRPr="00E42246">
        <w:rPr>
          <w:rFonts w:ascii="Times New Roman" w:hAnsi="Times New Roman"/>
          <w:sz w:val="18"/>
        </w:rPr>
        <w:t xml:space="preserve">EWCA Crim 1372. </w:t>
      </w:r>
    </w:p>
  </w:footnote>
  <w:footnote w:id="12">
    <w:p w14:paraId="40DDB3DF" w14:textId="6FF89A05" w:rsidR="008F5F4D" w:rsidRPr="00E42246" w:rsidRDefault="008F5F4D" w:rsidP="00E42246">
      <w:pPr>
        <w:pStyle w:val="FootnoteText"/>
        <w:rPr>
          <w:rFonts w:ascii="Times New Roman" w:hAnsi="Times New Roman" w:cs="Times New Roman"/>
          <w:sz w:val="18"/>
        </w:rPr>
      </w:pPr>
      <w:r w:rsidRPr="00E42246">
        <w:rPr>
          <w:rStyle w:val="FootnoteReference"/>
          <w:rFonts w:ascii="Times New Roman" w:hAnsi="Times New Roman" w:cs="Times New Roman"/>
          <w:sz w:val="18"/>
        </w:rPr>
        <w:footnoteRef/>
      </w:r>
      <w:r w:rsidRPr="00E42246">
        <w:rPr>
          <w:rFonts w:ascii="Times New Roman" w:hAnsi="Times New Roman" w:cs="Times New Roman"/>
          <w:sz w:val="18"/>
        </w:rPr>
        <w:t xml:space="preserve"> </w:t>
      </w:r>
      <w:r w:rsidR="0033438E" w:rsidRPr="00E42246">
        <w:rPr>
          <w:rFonts w:ascii="Times New Roman" w:hAnsi="Times New Roman" w:cs="Times New Roman"/>
          <w:i/>
          <w:iCs/>
          <w:sz w:val="18"/>
        </w:rPr>
        <w:t xml:space="preserve">Ibid, </w:t>
      </w:r>
      <w:r w:rsidRPr="00E42246">
        <w:rPr>
          <w:rFonts w:ascii="Times New Roman" w:hAnsi="Times New Roman" w:cs="Times New Roman"/>
          <w:sz w:val="18"/>
        </w:rPr>
        <w:t xml:space="preserve">25. </w:t>
      </w:r>
    </w:p>
  </w:footnote>
  <w:footnote w:id="13">
    <w:p w14:paraId="639AAE78" w14:textId="5C0F5EED" w:rsidR="008F5F4D" w:rsidRPr="00E42246" w:rsidRDefault="008F5F4D" w:rsidP="00E42246">
      <w:pPr>
        <w:pStyle w:val="FootnoteText"/>
        <w:rPr>
          <w:rFonts w:ascii="Times New Roman" w:hAnsi="Times New Roman" w:cs="Times New Roman"/>
          <w:sz w:val="18"/>
        </w:rPr>
      </w:pPr>
      <w:r w:rsidRPr="00E42246">
        <w:rPr>
          <w:rStyle w:val="FootnoteReference"/>
          <w:rFonts w:ascii="Times New Roman" w:hAnsi="Times New Roman" w:cs="Times New Roman"/>
          <w:sz w:val="18"/>
        </w:rPr>
        <w:footnoteRef/>
      </w:r>
      <w:r w:rsidRPr="00E42246">
        <w:rPr>
          <w:rFonts w:ascii="Times New Roman" w:hAnsi="Times New Roman" w:cs="Times New Roman"/>
          <w:sz w:val="18"/>
        </w:rPr>
        <w:t xml:space="preserve"> </w:t>
      </w:r>
      <w:r w:rsidR="0033438E" w:rsidRPr="00E42246">
        <w:rPr>
          <w:rFonts w:ascii="Times New Roman" w:hAnsi="Times New Roman" w:cs="Times New Roman"/>
          <w:sz w:val="18"/>
        </w:rPr>
        <w:t xml:space="preserve">Ibid, </w:t>
      </w:r>
      <w:r w:rsidRPr="00E42246">
        <w:rPr>
          <w:rFonts w:ascii="Times New Roman" w:hAnsi="Times New Roman" w:cs="Times New Roman"/>
          <w:sz w:val="18"/>
        </w:rPr>
        <w:t xml:space="preserve">26. </w:t>
      </w:r>
    </w:p>
  </w:footnote>
  <w:footnote w:id="14">
    <w:p w14:paraId="67E57F01" w14:textId="0CB10DF7" w:rsidR="008F5F4D" w:rsidRPr="00E42246" w:rsidRDefault="008F5F4D" w:rsidP="00E42246">
      <w:pPr>
        <w:spacing w:after="0" w:line="240" w:lineRule="auto"/>
        <w:jc w:val="both"/>
        <w:rPr>
          <w:rFonts w:ascii="Times New Roman" w:hAnsi="Times New Roman" w:cs="Times New Roman"/>
          <w:sz w:val="18"/>
          <w:highlight w:val="yellow"/>
        </w:rPr>
      </w:pPr>
      <w:r w:rsidRPr="00E42246">
        <w:rPr>
          <w:rStyle w:val="FootnoteReference"/>
          <w:rFonts w:ascii="Times New Roman" w:hAnsi="Times New Roman" w:cs="Times New Roman"/>
          <w:sz w:val="18"/>
        </w:rPr>
        <w:footnoteRef/>
      </w:r>
      <w:r w:rsidRPr="00E42246">
        <w:rPr>
          <w:rFonts w:ascii="Times New Roman" w:hAnsi="Times New Roman" w:cs="Times New Roman"/>
          <w:sz w:val="18"/>
        </w:rPr>
        <w:t xml:space="preserve"> </w:t>
      </w:r>
      <w:r w:rsidR="0033438E" w:rsidRPr="00E42246">
        <w:rPr>
          <w:rFonts w:ascii="Times New Roman" w:hAnsi="Times New Roman" w:cs="Times New Roman"/>
          <w:sz w:val="18"/>
        </w:rPr>
        <w:t xml:space="preserve">Ibid, </w:t>
      </w:r>
      <w:r w:rsidRPr="00E42246">
        <w:rPr>
          <w:rFonts w:ascii="Times New Roman" w:hAnsi="Times New Roman" w:cs="Times New Roman"/>
          <w:sz w:val="18"/>
        </w:rPr>
        <w:t>64</w:t>
      </w:r>
      <w:r w:rsidR="00C62B82" w:rsidRPr="00E42246">
        <w:rPr>
          <w:rFonts w:ascii="Times New Roman" w:hAnsi="Times New Roman" w:cs="Times New Roman"/>
          <w:sz w:val="18"/>
        </w:rPr>
        <w:t>.</w:t>
      </w:r>
    </w:p>
  </w:footnote>
  <w:footnote w:id="15">
    <w:p w14:paraId="6A464046" w14:textId="227D62E4" w:rsidR="008F5F4D" w:rsidRPr="00E42246" w:rsidRDefault="008F5F4D" w:rsidP="00E42246">
      <w:pPr>
        <w:pStyle w:val="FootnoteText"/>
        <w:rPr>
          <w:rFonts w:ascii="Times New Roman" w:hAnsi="Times New Roman" w:cs="Times New Roman"/>
          <w:sz w:val="18"/>
        </w:rPr>
      </w:pPr>
      <w:r w:rsidRPr="00E42246">
        <w:rPr>
          <w:rStyle w:val="FootnoteReference"/>
          <w:rFonts w:ascii="Times New Roman" w:hAnsi="Times New Roman" w:cs="Times New Roman"/>
          <w:sz w:val="18"/>
        </w:rPr>
        <w:footnoteRef/>
      </w:r>
      <w:r w:rsidRPr="00E42246">
        <w:rPr>
          <w:rFonts w:ascii="Times New Roman" w:hAnsi="Times New Roman" w:cs="Times New Roman"/>
          <w:sz w:val="18"/>
        </w:rPr>
        <w:t xml:space="preserve"> </w:t>
      </w:r>
      <w:r w:rsidR="009A5875" w:rsidRPr="00E42246">
        <w:rPr>
          <w:rFonts w:ascii="Times New Roman" w:hAnsi="Times New Roman" w:cs="Times New Roman"/>
          <w:i/>
          <w:iCs/>
          <w:sz w:val="18"/>
        </w:rPr>
        <w:t>R v Asfaw</w:t>
      </w:r>
      <w:r w:rsidR="002617D2" w:rsidRPr="00E42246">
        <w:rPr>
          <w:rFonts w:ascii="Times New Roman" w:hAnsi="Times New Roman" w:cs="Times New Roman"/>
          <w:sz w:val="18"/>
        </w:rPr>
        <w:t xml:space="preserve"> [2008] UKHL 31.</w:t>
      </w:r>
      <w:r w:rsidR="009A5875" w:rsidRPr="00E42246">
        <w:rPr>
          <w:rFonts w:ascii="Times New Roman" w:hAnsi="Times New Roman" w:cs="Times New Roman"/>
          <w:sz w:val="18"/>
        </w:rPr>
        <w:t xml:space="preserve"> </w:t>
      </w:r>
    </w:p>
  </w:footnote>
  <w:footnote w:id="16">
    <w:p w14:paraId="5DC3042F" w14:textId="2C4EF418" w:rsidR="00E556C7" w:rsidRPr="00E42246" w:rsidRDefault="00E556C7" w:rsidP="00E42246">
      <w:pPr>
        <w:spacing w:after="0" w:line="240" w:lineRule="auto"/>
        <w:jc w:val="both"/>
        <w:rPr>
          <w:rFonts w:ascii="Times New Roman" w:hAnsi="Times New Roman"/>
          <w:sz w:val="18"/>
        </w:rPr>
      </w:pPr>
      <w:r w:rsidRPr="00E42246">
        <w:rPr>
          <w:rStyle w:val="FootnoteReference"/>
          <w:rFonts w:ascii="Times New Roman" w:hAnsi="Times New Roman"/>
          <w:sz w:val="18"/>
        </w:rPr>
        <w:footnoteRef/>
      </w:r>
      <w:r w:rsidRPr="00E42246">
        <w:rPr>
          <w:rFonts w:ascii="Times New Roman" w:hAnsi="Times New Roman"/>
          <w:sz w:val="18"/>
        </w:rPr>
        <w:t xml:space="preserve"> </w:t>
      </w:r>
      <w:r w:rsidRPr="00E42246">
        <w:rPr>
          <w:rFonts w:ascii="Times New Roman" w:hAnsi="Times New Roman" w:cs="Times New Roman"/>
          <w:sz w:val="18"/>
        </w:rPr>
        <w:t>Lord Rodger</w:t>
      </w:r>
      <w:r w:rsidR="0033438E" w:rsidRPr="00E42246">
        <w:rPr>
          <w:rFonts w:ascii="Times New Roman" w:hAnsi="Times New Roman" w:cs="Times New Roman"/>
          <w:sz w:val="18"/>
        </w:rPr>
        <w:t xml:space="preserve">’s dissent considered that the </w:t>
      </w:r>
      <w:r w:rsidRPr="00E42246">
        <w:rPr>
          <w:rFonts w:ascii="Times New Roman" w:hAnsi="Times New Roman" w:cs="Times New Roman"/>
          <w:sz w:val="18"/>
        </w:rPr>
        <w:t xml:space="preserve">words of the treaty text </w:t>
      </w:r>
      <w:r w:rsidR="0033438E" w:rsidRPr="00E42246">
        <w:rPr>
          <w:rFonts w:ascii="Times New Roman" w:hAnsi="Times New Roman" w:cs="Times New Roman"/>
          <w:sz w:val="18"/>
        </w:rPr>
        <w:t xml:space="preserve">must be </w:t>
      </w:r>
      <w:r w:rsidRPr="00E42246">
        <w:rPr>
          <w:rFonts w:ascii="Times New Roman" w:hAnsi="Times New Roman" w:cs="Times New Roman"/>
          <w:sz w:val="18"/>
        </w:rPr>
        <w:t>paramount</w:t>
      </w:r>
      <w:r w:rsidR="0033438E" w:rsidRPr="00E42246">
        <w:rPr>
          <w:rFonts w:ascii="Times New Roman" w:hAnsi="Times New Roman" w:cs="Times New Roman"/>
          <w:sz w:val="18"/>
        </w:rPr>
        <w:t>. On his reading,</w:t>
      </w:r>
      <w:r w:rsidRPr="00E42246">
        <w:rPr>
          <w:rFonts w:ascii="Times New Roman" w:hAnsi="Times New Roman" w:cs="Times New Roman"/>
          <w:sz w:val="18"/>
        </w:rPr>
        <w:t xml:space="preserve"> “Refugees who are in a safe country and who want to travel to another country have no more right than anyone else to use criminal means to do so” (para 96)</w:t>
      </w:r>
      <w:r w:rsidR="0033438E" w:rsidRPr="00E42246">
        <w:rPr>
          <w:rFonts w:ascii="Times New Roman" w:hAnsi="Times New Roman" w:cs="Times New Roman"/>
          <w:sz w:val="18"/>
        </w:rPr>
        <w:t xml:space="preserve">, and </w:t>
      </w:r>
      <w:r w:rsidRPr="00E42246">
        <w:rPr>
          <w:rFonts w:ascii="Times New Roman" w:hAnsi="Times New Roman" w:cs="Times New Roman"/>
          <w:sz w:val="18"/>
        </w:rPr>
        <w:t xml:space="preserve">“Nothing in the Convention gives refugees the right to choose where to claim asylum” (para 109). </w:t>
      </w:r>
    </w:p>
  </w:footnote>
  <w:footnote w:id="17">
    <w:p w14:paraId="3A12DFEF" w14:textId="16BBE08C" w:rsidR="00905E39" w:rsidRPr="00E42246" w:rsidRDefault="00905E39" w:rsidP="00E42246">
      <w:pPr>
        <w:pStyle w:val="FootnoteText"/>
        <w:rPr>
          <w:rFonts w:ascii="Times New Roman" w:hAnsi="Times New Roman" w:cs="Times New Roman"/>
          <w:sz w:val="18"/>
        </w:rPr>
      </w:pPr>
      <w:r w:rsidRPr="00E42246">
        <w:rPr>
          <w:rStyle w:val="FootnoteReference"/>
          <w:rFonts w:ascii="Times New Roman" w:hAnsi="Times New Roman" w:cs="Times New Roman"/>
          <w:sz w:val="18"/>
        </w:rPr>
        <w:footnoteRef/>
      </w:r>
      <w:r w:rsidRPr="00E42246">
        <w:rPr>
          <w:rFonts w:ascii="Times New Roman" w:hAnsi="Times New Roman" w:cs="Times New Roman"/>
          <w:sz w:val="18"/>
        </w:rPr>
        <w:t xml:space="preserve"> UNHCR GIP </w:t>
      </w:r>
      <w:r w:rsidR="0033438E" w:rsidRPr="00E42246">
        <w:rPr>
          <w:rFonts w:ascii="Times New Roman" w:hAnsi="Times New Roman" w:cs="Times New Roman"/>
          <w:sz w:val="18"/>
        </w:rPr>
        <w:t xml:space="preserve">14 </w:t>
      </w:r>
      <w:r w:rsidRPr="00E42246">
        <w:rPr>
          <w:rFonts w:ascii="Times New Roman" w:hAnsi="Times New Roman" w:cs="Times New Roman"/>
          <w:sz w:val="18"/>
        </w:rPr>
        <w:t xml:space="preserve">(2024), </w:t>
      </w:r>
      <w:r w:rsidR="0033438E" w:rsidRPr="00E42246">
        <w:rPr>
          <w:rFonts w:ascii="Times New Roman" w:hAnsi="Times New Roman" w:cs="Times New Roman"/>
          <w:i/>
          <w:iCs/>
          <w:sz w:val="18"/>
        </w:rPr>
        <w:t xml:space="preserve">supra </w:t>
      </w:r>
      <w:r w:rsidR="0033438E" w:rsidRPr="00E42246">
        <w:rPr>
          <w:rFonts w:ascii="Times New Roman" w:hAnsi="Times New Roman" w:cs="Times New Roman"/>
          <w:sz w:val="18"/>
        </w:rPr>
        <w:t xml:space="preserve">n3. </w:t>
      </w:r>
      <w:r w:rsidRPr="00E42246">
        <w:rPr>
          <w:rFonts w:ascii="Times New Roman" w:hAnsi="Times New Roman" w:cs="Times New Roman"/>
          <w:sz w:val="18"/>
        </w:rPr>
        <w:t xml:space="preserve"> </w:t>
      </w:r>
    </w:p>
  </w:footnote>
  <w:footnote w:id="18">
    <w:p w14:paraId="2DB612C0" w14:textId="53ED6B00" w:rsidR="00932398" w:rsidRPr="00E42246" w:rsidRDefault="00932398" w:rsidP="00E42246">
      <w:pPr>
        <w:pStyle w:val="FootnoteText"/>
        <w:rPr>
          <w:rFonts w:ascii="Times New Roman" w:hAnsi="Times New Roman" w:cs="Times New Roman"/>
          <w:sz w:val="18"/>
        </w:rPr>
      </w:pPr>
      <w:r w:rsidRPr="00E42246">
        <w:rPr>
          <w:rStyle w:val="FootnoteReference"/>
          <w:rFonts w:ascii="Times New Roman" w:hAnsi="Times New Roman" w:cs="Times New Roman"/>
          <w:sz w:val="18"/>
        </w:rPr>
        <w:footnoteRef/>
      </w:r>
      <w:r w:rsidRPr="00E42246">
        <w:rPr>
          <w:rFonts w:ascii="Times New Roman" w:hAnsi="Times New Roman" w:cs="Times New Roman"/>
          <w:sz w:val="18"/>
        </w:rPr>
        <w:t xml:space="preserve"> </w:t>
      </w:r>
      <w:r w:rsidR="00EF5083" w:rsidRPr="00E42246">
        <w:rPr>
          <w:rFonts w:ascii="Times New Roman" w:hAnsi="Times New Roman" w:cs="Times New Roman"/>
          <w:i/>
          <w:iCs/>
          <w:sz w:val="18"/>
        </w:rPr>
        <w:t xml:space="preserve">Adimi, </w:t>
      </w:r>
      <w:r w:rsidRPr="00E42246">
        <w:rPr>
          <w:rFonts w:ascii="Times New Roman" w:hAnsi="Times New Roman" w:cs="Times New Roman"/>
          <w:sz w:val="18"/>
        </w:rPr>
        <w:t>Brown LJ</w:t>
      </w:r>
      <w:r w:rsidR="00EF5083" w:rsidRPr="00E42246">
        <w:rPr>
          <w:rFonts w:ascii="Times New Roman" w:hAnsi="Times New Roman" w:cs="Times New Roman"/>
          <w:sz w:val="18"/>
        </w:rPr>
        <w:t xml:space="preserve"> at 10</w:t>
      </w:r>
      <w:r w:rsidRPr="00E42246">
        <w:rPr>
          <w:rFonts w:ascii="Times New Roman" w:hAnsi="Times New Roman" w:cs="Times New Roman"/>
          <w:sz w:val="18"/>
        </w:rPr>
        <w:t>.</w:t>
      </w:r>
      <w:r w:rsidR="009C287A" w:rsidRPr="00E42246">
        <w:rPr>
          <w:rFonts w:ascii="Times New Roman" w:hAnsi="Times New Roman" w:cs="Times New Roman"/>
          <w:sz w:val="18"/>
        </w:rPr>
        <w:t xml:space="preserve"> </w:t>
      </w:r>
    </w:p>
  </w:footnote>
  <w:footnote w:id="19">
    <w:p w14:paraId="1FC94E86" w14:textId="4936B1CB" w:rsidR="008F5F4D" w:rsidRPr="00E42246" w:rsidRDefault="008F5F4D" w:rsidP="00E42246">
      <w:pPr>
        <w:spacing w:after="0" w:line="240" w:lineRule="auto"/>
        <w:jc w:val="both"/>
        <w:rPr>
          <w:rFonts w:ascii="Times New Roman" w:hAnsi="Times New Roman" w:cs="Times New Roman"/>
          <w:sz w:val="18"/>
        </w:rPr>
      </w:pPr>
      <w:r w:rsidRPr="00E42246">
        <w:rPr>
          <w:rStyle w:val="FootnoteReference"/>
          <w:rFonts w:ascii="Times New Roman" w:hAnsi="Times New Roman" w:cs="Times New Roman"/>
          <w:sz w:val="18"/>
        </w:rPr>
        <w:footnoteRef/>
      </w:r>
      <w:r w:rsidRPr="00E42246">
        <w:rPr>
          <w:rFonts w:ascii="Times New Roman" w:hAnsi="Times New Roman" w:cs="Times New Roman"/>
          <w:sz w:val="18"/>
        </w:rPr>
        <w:t xml:space="preserve"> </w:t>
      </w:r>
      <w:r w:rsidR="00EF5083" w:rsidRPr="00E42246">
        <w:rPr>
          <w:rFonts w:ascii="Times New Roman" w:hAnsi="Times New Roman" w:cs="Times New Roman"/>
          <w:i/>
          <w:iCs/>
          <w:sz w:val="18"/>
        </w:rPr>
        <w:t xml:space="preserve">Ibid, </w:t>
      </w:r>
      <w:r w:rsidR="00EF5083" w:rsidRPr="00E42246">
        <w:rPr>
          <w:rFonts w:ascii="Times New Roman" w:hAnsi="Times New Roman" w:cs="Times New Roman"/>
          <w:sz w:val="18"/>
        </w:rPr>
        <w:t>Newman, J at 76</w:t>
      </w:r>
      <w:r w:rsidRPr="00E42246">
        <w:rPr>
          <w:rFonts w:ascii="Times New Roman" w:hAnsi="Times New Roman" w:cs="Times New Roman"/>
          <w:sz w:val="18"/>
        </w:rPr>
        <w:t xml:space="preserve">-77. </w:t>
      </w:r>
    </w:p>
  </w:footnote>
  <w:footnote w:id="20">
    <w:p w14:paraId="19BC554B" w14:textId="272BEAAC" w:rsidR="008F5F4D" w:rsidRPr="00E42246" w:rsidRDefault="008F5F4D" w:rsidP="00E42246">
      <w:pPr>
        <w:spacing w:after="0" w:line="240" w:lineRule="auto"/>
        <w:jc w:val="both"/>
        <w:rPr>
          <w:rFonts w:ascii="Times New Roman" w:hAnsi="Times New Roman" w:cs="Times New Roman"/>
          <w:sz w:val="18"/>
        </w:rPr>
      </w:pPr>
      <w:r w:rsidRPr="00E42246">
        <w:rPr>
          <w:rStyle w:val="FootnoteReference"/>
          <w:rFonts w:ascii="Times New Roman" w:hAnsi="Times New Roman" w:cs="Times New Roman"/>
          <w:sz w:val="18"/>
        </w:rPr>
        <w:footnoteRef/>
      </w:r>
      <w:r w:rsidRPr="00E42246">
        <w:rPr>
          <w:rFonts w:ascii="Times New Roman" w:hAnsi="Times New Roman" w:cs="Times New Roman"/>
          <w:sz w:val="18"/>
        </w:rPr>
        <w:t xml:space="preserve"> </w:t>
      </w:r>
      <w:r w:rsidR="00EF5083" w:rsidRPr="00E42246">
        <w:rPr>
          <w:rFonts w:ascii="Times New Roman" w:hAnsi="Times New Roman" w:cs="Times New Roman"/>
          <w:i/>
          <w:iCs/>
          <w:sz w:val="18"/>
        </w:rPr>
        <w:t>Ibid,</w:t>
      </w:r>
      <w:r w:rsidR="00EF5083" w:rsidRPr="00E42246">
        <w:rPr>
          <w:rFonts w:ascii="Times New Roman" w:hAnsi="Times New Roman" w:cs="Times New Roman"/>
          <w:sz w:val="18"/>
        </w:rPr>
        <w:t xml:space="preserve"> </w:t>
      </w:r>
      <w:r w:rsidRPr="00E42246">
        <w:rPr>
          <w:rFonts w:ascii="Times New Roman" w:hAnsi="Times New Roman" w:cs="Times New Roman"/>
          <w:sz w:val="18"/>
        </w:rPr>
        <w:t>57.</w:t>
      </w:r>
    </w:p>
  </w:footnote>
  <w:footnote w:id="21">
    <w:p w14:paraId="4F2973DC" w14:textId="3D19C2E6" w:rsidR="009A755F" w:rsidRPr="00E42246" w:rsidRDefault="009A755F" w:rsidP="00E42246">
      <w:pPr>
        <w:pStyle w:val="FootnoteText"/>
        <w:rPr>
          <w:rFonts w:ascii="Times New Roman" w:hAnsi="Times New Roman"/>
          <w:sz w:val="18"/>
        </w:rPr>
      </w:pPr>
      <w:r w:rsidRPr="00E42246">
        <w:rPr>
          <w:rStyle w:val="FootnoteReference"/>
          <w:rFonts w:ascii="Times New Roman" w:hAnsi="Times New Roman"/>
          <w:sz w:val="18"/>
        </w:rPr>
        <w:footnoteRef/>
      </w:r>
      <w:r w:rsidRPr="00E42246">
        <w:rPr>
          <w:rFonts w:ascii="Times New Roman" w:hAnsi="Times New Roman"/>
          <w:sz w:val="18"/>
        </w:rPr>
        <w:t xml:space="preserve"> </w:t>
      </w:r>
      <w:r w:rsidRPr="00E42246">
        <w:rPr>
          <w:rFonts w:ascii="Times New Roman" w:hAnsi="Times New Roman" w:cs="Times New Roman"/>
          <w:sz w:val="18"/>
        </w:rPr>
        <w:t>[2024] EWHC 700</w:t>
      </w:r>
    </w:p>
  </w:footnote>
  <w:footnote w:id="22">
    <w:p w14:paraId="52673F2F" w14:textId="621C1344" w:rsidR="009A755F" w:rsidRPr="00E42246" w:rsidRDefault="009A755F" w:rsidP="00E42246">
      <w:pPr>
        <w:pStyle w:val="FootnoteText"/>
        <w:rPr>
          <w:rFonts w:ascii="Times New Roman" w:hAnsi="Times New Roman"/>
          <w:sz w:val="18"/>
        </w:rPr>
      </w:pPr>
      <w:r w:rsidRPr="00E42246">
        <w:rPr>
          <w:rStyle w:val="FootnoteReference"/>
          <w:rFonts w:ascii="Times New Roman" w:hAnsi="Times New Roman"/>
          <w:sz w:val="18"/>
        </w:rPr>
        <w:footnoteRef/>
      </w:r>
      <w:r w:rsidRPr="00E42246">
        <w:rPr>
          <w:rFonts w:ascii="Times New Roman" w:hAnsi="Times New Roman"/>
          <w:sz w:val="18"/>
        </w:rPr>
        <w:t xml:space="preserve"> </w:t>
      </w:r>
      <w:r w:rsidRPr="00E42246">
        <w:rPr>
          <w:rFonts w:ascii="Times New Roman" w:hAnsi="Times New Roman" w:cs="Times New Roman"/>
          <w:i/>
          <w:iCs/>
          <w:sz w:val="18"/>
        </w:rPr>
        <w:t xml:space="preserve">Ibid, </w:t>
      </w:r>
      <w:r w:rsidRPr="00E42246">
        <w:rPr>
          <w:rFonts w:ascii="Times New Roman" w:hAnsi="Times New Roman" w:cs="Times New Roman"/>
          <w:sz w:val="18"/>
        </w:rPr>
        <w:t>para 98-99.</w:t>
      </w:r>
      <w:r w:rsidRPr="00E42246">
        <w:rPr>
          <w:rFonts w:ascii="Times New Roman" w:hAnsi="Times New Roman"/>
          <w:sz w:val="18"/>
        </w:rPr>
        <w:t xml:space="preserve"> See also Lord Bingham in </w:t>
      </w:r>
      <w:r w:rsidRPr="00E42246">
        <w:rPr>
          <w:rFonts w:ascii="Times New Roman" w:hAnsi="Times New Roman"/>
          <w:i/>
          <w:iCs/>
          <w:sz w:val="18"/>
        </w:rPr>
        <w:t>Asfaw</w:t>
      </w:r>
      <w:r w:rsidRPr="00E42246">
        <w:rPr>
          <w:rFonts w:ascii="Times New Roman" w:hAnsi="Times New Roman"/>
          <w:sz w:val="18"/>
        </w:rPr>
        <w:t xml:space="preserve">: “The British regime for handling applications for asylum has been closely assimilated to the Convention model.  But it is also plain (as I think) that the Convention </w:t>
      </w:r>
      <w:proofErr w:type="gramStart"/>
      <w:r w:rsidRPr="00E42246">
        <w:rPr>
          <w:rFonts w:ascii="Times New Roman" w:hAnsi="Times New Roman"/>
          <w:sz w:val="18"/>
        </w:rPr>
        <w:t>as a whole has</w:t>
      </w:r>
      <w:proofErr w:type="gramEnd"/>
      <w:r w:rsidRPr="00E42246">
        <w:rPr>
          <w:rFonts w:ascii="Times New Roman" w:hAnsi="Times New Roman"/>
          <w:sz w:val="18"/>
        </w:rPr>
        <w:t xml:space="preserve"> never been formally incorporated or given effect in domestic law […] the appellant sought to assert that she had a legitimate expectation that the UK would honour its obligation under article 31 of the Convention. But she cannot, at the relevant time, have had any legitimate expectation of being treated otherwise than in accordance with the 1999 Act”. (paras 29-30)</w:t>
      </w:r>
    </w:p>
  </w:footnote>
  <w:footnote w:id="23">
    <w:p w14:paraId="6E8F91FA" w14:textId="59E80903" w:rsidR="008F5F4D" w:rsidRPr="00E42246" w:rsidRDefault="008F5F4D" w:rsidP="00E42246">
      <w:pPr>
        <w:spacing w:after="0" w:line="240" w:lineRule="auto"/>
        <w:jc w:val="both"/>
        <w:rPr>
          <w:rFonts w:ascii="Times New Roman" w:hAnsi="Times New Roman"/>
          <w:sz w:val="18"/>
        </w:rPr>
      </w:pPr>
      <w:r w:rsidRPr="00E42246">
        <w:rPr>
          <w:rStyle w:val="FootnoteReference"/>
          <w:rFonts w:ascii="Times New Roman" w:hAnsi="Times New Roman"/>
          <w:sz w:val="18"/>
        </w:rPr>
        <w:footnoteRef/>
      </w:r>
      <w:r w:rsidRPr="00E42246">
        <w:rPr>
          <w:rFonts w:ascii="Times New Roman" w:hAnsi="Times New Roman"/>
          <w:sz w:val="18"/>
        </w:rPr>
        <w:t xml:space="preserve"> </w:t>
      </w:r>
      <w:r w:rsidR="00EF5083" w:rsidRPr="00E42246">
        <w:rPr>
          <w:rFonts w:ascii="Times New Roman" w:hAnsi="Times New Roman"/>
          <w:i/>
          <w:iCs/>
          <w:sz w:val="18"/>
        </w:rPr>
        <w:t xml:space="preserve">Adimi, </w:t>
      </w:r>
      <w:r w:rsidR="00C7338C" w:rsidRPr="00E42246">
        <w:rPr>
          <w:rFonts w:ascii="Times New Roman" w:hAnsi="Times New Roman"/>
          <w:sz w:val="18"/>
        </w:rPr>
        <w:t>Brown LJ,104</w:t>
      </w:r>
      <w:r w:rsidR="005716AB" w:rsidRPr="00E42246">
        <w:rPr>
          <w:rFonts w:ascii="Times New Roman" w:hAnsi="Times New Roman"/>
          <w:sz w:val="18"/>
        </w:rPr>
        <w:t xml:space="preserve">. </w:t>
      </w:r>
    </w:p>
  </w:footnote>
  <w:footnote w:id="24">
    <w:p w14:paraId="1BF964AC" w14:textId="0244F6BA" w:rsidR="00E575AE" w:rsidRPr="00E42246" w:rsidRDefault="00E575AE" w:rsidP="00E42246">
      <w:pPr>
        <w:pStyle w:val="FootnoteText"/>
        <w:rPr>
          <w:rFonts w:ascii="Times New Roman" w:hAnsi="Times New Roman"/>
          <w:sz w:val="18"/>
        </w:rPr>
      </w:pPr>
      <w:r w:rsidRPr="00E42246">
        <w:rPr>
          <w:rStyle w:val="FootnoteReference"/>
          <w:rFonts w:ascii="Times New Roman" w:hAnsi="Times New Roman"/>
          <w:sz w:val="18"/>
        </w:rPr>
        <w:footnoteRef/>
      </w:r>
      <w:r w:rsidRPr="00E42246">
        <w:rPr>
          <w:rFonts w:ascii="Times New Roman" w:hAnsi="Times New Roman"/>
          <w:sz w:val="18"/>
        </w:rPr>
        <w:t xml:space="preserve"> The scope of offences in England, Wales and Northern Ireland include charges under part 1 of the Forgery and Counterfeiting Act 1981 (forgery and connected offences); s24(a) of the Immigration Act 1971 (use of deception to obtain or seek to obtain leave to enter or remain or to secure avoidance, postponement or revocation of enforcement action); s.26(1)(d) Immigration Act 1971 (falsification of documents), s.4(1) and s.6(1) Identity Documents Act 2010.</w:t>
      </w:r>
    </w:p>
  </w:footnote>
  <w:footnote w:id="25">
    <w:p w14:paraId="00420A23" w14:textId="21B7279D" w:rsidR="00E741A2" w:rsidRPr="00E42246" w:rsidRDefault="00E741A2" w:rsidP="00E42246">
      <w:pPr>
        <w:pStyle w:val="FootnoteText"/>
        <w:rPr>
          <w:rFonts w:ascii="Times New Roman" w:hAnsi="Times New Roman"/>
          <w:sz w:val="18"/>
        </w:rPr>
      </w:pPr>
      <w:r w:rsidRPr="00E42246">
        <w:rPr>
          <w:rStyle w:val="FootnoteReference"/>
          <w:rFonts w:ascii="Times New Roman" w:hAnsi="Times New Roman"/>
          <w:sz w:val="18"/>
        </w:rPr>
        <w:footnoteRef/>
      </w:r>
      <w:r w:rsidRPr="00E42246">
        <w:rPr>
          <w:rFonts w:ascii="Times New Roman" w:hAnsi="Times New Roman"/>
          <w:sz w:val="18"/>
        </w:rPr>
        <w:t xml:space="preserve"> Nationality and Borders Act 2022, s37(5)(a). </w:t>
      </w:r>
    </w:p>
  </w:footnote>
  <w:footnote w:id="26">
    <w:p w14:paraId="11DE6E5C" w14:textId="57487AA0" w:rsidR="00E64A0C" w:rsidRPr="00E42246" w:rsidRDefault="00E64A0C" w:rsidP="00E42246">
      <w:pPr>
        <w:spacing w:after="0" w:line="240" w:lineRule="auto"/>
        <w:rPr>
          <w:rFonts w:ascii="Times New Roman" w:hAnsi="Times New Roman" w:cs="Times New Roman"/>
          <w:sz w:val="18"/>
        </w:rPr>
      </w:pPr>
      <w:r w:rsidRPr="00E42246">
        <w:rPr>
          <w:rStyle w:val="FootnoteReference"/>
          <w:rFonts w:ascii="Times New Roman" w:hAnsi="Times New Roman" w:cs="Times New Roman"/>
          <w:sz w:val="18"/>
        </w:rPr>
        <w:footnoteRef/>
      </w:r>
      <w:r w:rsidRPr="00E42246">
        <w:rPr>
          <w:rFonts w:ascii="Times New Roman" w:hAnsi="Times New Roman" w:cs="Times New Roman"/>
          <w:sz w:val="18"/>
        </w:rPr>
        <w:t xml:space="preserve"> Holiday et al (2018), </w:t>
      </w:r>
      <w:r w:rsidR="00B277B3" w:rsidRPr="00E42246">
        <w:rPr>
          <w:rFonts w:ascii="Times New Roman" w:hAnsi="Times New Roman" w:cs="Times New Roman"/>
          <w:i/>
          <w:iCs/>
          <w:sz w:val="18"/>
        </w:rPr>
        <w:t>supra</w:t>
      </w:r>
      <w:r w:rsidR="00B277B3" w:rsidRPr="00E42246">
        <w:rPr>
          <w:rFonts w:ascii="Times New Roman" w:hAnsi="Times New Roman" w:cs="Times New Roman"/>
          <w:sz w:val="18"/>
        </w:rPr>
        <w:t xml:space="preserve"> n8. </w:t>
      </w:r>
    </w:p>
  </w:footnote>
  <w:footnote w:id="27">
    <w:p w14:paraId="58574893" w14:textId="54753DDD" w:rsidR="00006E6C" w:rsidRPr="00E42246" w:rsidRDefault="00006E6C" w:rsidP="00E42246">
      <w:pPr>
        <w:pStyle w:val="FootnoteText"/>
        <w:rPr>
          <w:rFonts w:ascii="Times New Roman" w:hAnsi="Times New Roman"/>
          <w:i/>
          <w:iCs/>
          <w:sz w:val="18"/>
        </w:rPr>
      </w:pPr>
      <w:r w:rsidRPr="00E42246">
        <w:rPr>
          <w:rStyle w:val="FootnoteReference"/>
          <w:rFonts w:ascii="Times New Roman" w:hAnsi="Times New Roman"/>
          <w:sz w:val="18"/>
        </w:rPr>
        <w:footnoteRef/>
      </w:r>
      <w:r w:rsidRPr="00E42246">
        <w:rPr>
          <w:rFonts w:ascii="Times New Roman" w:hAnsi="Times New Roman"/>
          <w:sz w:val="18"/>
        </w:rPr>
        <w:t xml:space="preserve"> </w:t>
      </w:r>
      <w:r w:rsidR="000730E6" w:rsidRPr="00E42246">
        <w:rPr>
          <w:rFonts w:ascii="Times New Roman" w:hAnsi="Times New Roman"/>
          <w:sz w:val="18"/>
        </w:rPr>
        <w:t xml:space="preserve">UNHCR </w:t>
      </w:r>
      <w:r w:rsidR="00F56062" w:rsidRPr="00E42246">
        <w:rPr>
          <w:rFonts w:ascii="Times New Roman" w:hAnsi="Times New Roman"/>
          <w:sz w:val="18"/>
        </w:rPr>
        <w:t xml:space="preserve">GIP </w:t>
      </w:r>
      <w:r w:rsidR="00EF5083" w:rsidRPr="00E42246">
        <w:rPr>
          <w:rFonts w:ascii="Times New Roman" w:hAnsi="Times New Roman"/>
          <w:sz w:val="18"/>
        </w:rPr>
        <w:t>14 (</w:t>
      </w:r>
      <w:r w:rsidR="00F56062" w:rsidRPr="00E42246">
        <w:rPr>
          <w:rFonts w:ascii="Times New Roman" w:hAnsi="Times New Roman"/>
          <w:sz w:val="18"/>
        </w:rPr>
        <w:t>2024</w:t>
      </w:r>
      <w:r w:rsidR="00EF5083" w:rsidRPr="00E42246">
        <w:rPr>
          <w:rFonts w:ascii="Times New Roman" w:hAnsi="Times New Roman"/>
          <w:sz w:val="18"/>
        </w:rPr>
        <w:t>)</w:t>
      </w:r>
      <w:r w:rsidR="000730E6" w:rsidRPr="00E42246">
        <w:rPr>
          <w:rFonts w:ascii="Times New Roman" w:hAnsi="Times New Roman"/>
          <w:sz w:val="18"/>
        </w:rPr>
        <w:t>,</w:t>
      </w:r>
      <w:r w:rsidR="00F56062" w:rsidRPr="00E42246">
        <w:rPr>
          <w:rFonts w:ascii="Times New Roman" w:hAnsi="Times New Roman"/>
          <w:sz w:val="18"/>
        </w:rPr>
        <w:t xml:space="preserve"> para 28</w:t>
      </w:r>
      <w:r w:rsidR="000730E6" w:rsidRPr="00E42246">
        <w:rPr>
          <w:rFonts w:ascii="Times New Roman" w:hAnsi="Times New Roman"/>
          <w:sz w:val="18"/>
        </w:rPr>
        <w:t xml:space="preserve">. See also </w:t>
      </w:r>
      <w:r w:rsidRPr="00E42246">
        <w:rPr>
          <w:rFonts w:ascii="Times New Roman" w:hAnsi="Times New Roman"/>
          <w:sz w:val="18"/>
        </w:rPr>
        <w:t xml:space="preserve">Goodwin-Gill 2001, </w:t>
      </w:r>
      <w:r w:rsidR="00471B3E" w:rsidRPr="00E42246">
        <w:rPr>
          <w:rFonts w:ascii="Times New Roman" w:hAnsi="Times New Roman"/>
          <w:sz w:val="18"/>
        </w:rPr>
        <w:t>supra n.</w:t>
      </w:r>
      <w:r w:rsidR="000422C9" w:rsidRPr="00E42246">
        <w:rPr>
          <w:rFonts w:ascii="Times New Roman" w:hAnsi="Times New Roman"/>
          <w:sz w:val="18"/>
        </w:rPr>
        <w:t>4</w:t>
      </w:r>
      <w:r w:rsidR="00471B3E" w:rsidRPr="00E42246">
        <w:rPr>
          <w:rFonts w:ascii="Times New Roman" w:hAnsi="Times New Roman"/>
          <w:sz w:val="18"/>
        </w:rPr>
        <w:t xml:space="preserve"> at </w:t>
      </w:r>
      <w:r w:rsidRPr="00E42246">
        <w:rPr>
          <w:rFonts w:ascii="Times New Roman" w:hAnsi="Times New Roman"/>
          <w:sz w:val="18"/>
        </w:rPr>
        <w:t>189</w:t>
      </w:r>
      <w:r w:rsidR="00471B3E" w:rsidRPr="00E42246">
        <w:rPr>
          <w:rFonts w:ascii="Times New Roman" w:hAnsi="Times New Roman"/>
          <w:sz w:val="18"/>
        </w:rPr>
        <w:t xml:space="preserve"> and </w:t>
      </w:r>
      <w:r w:rsidRPr="00E42246">
        <w:rPr>
          <w:rFonts w:ascii="Times New Roman" w:hAnsi="Times New Roman"/>
          <w:sz w:val="18"/>
        </w:rPr>
        <w:t>195</w:t>
      </w:r>
      <w:r w:rsidR="00206D8A" w:rsidRPr="00E42246">
        <w:rPr>
          <w:rFonts w:ascii="Times New Roman" w:hAnsi="Times New Roman"/>
          <w:i/>
          <w:iCs/>
          <w:sz w:val="18"/>
        </w:rPr>
        <w:t xml:space="preserve">. </w:t>
      </w:r>
    </w:p>
  </w:footnote>
  <w:footnote w:id="28">
    <w:p w14:paraId="6458847E" w14:textId="0A829407" w:rsidR="00C911BB" w:rsidRPr="00E42246" w:rsidRDefault="00C911BB" w:rsidP="00E42246">
      <w:pPr>
        <w:pStyle w:val="FootnoteText"/>
        <w:rPr>
          <w:rFonts w:ascii="Times New Roman" w:hAnsi="Times New Roman"/>
          <w:sz w:val="18"/>
        </w:rPr>
      </w:pPr>
      <w:r w:rsidRPr="00E42246">
        <w:rPr>
          <w:rStyle w:val="FootnoteReference"/>
          <w:rFonts w:ascii="Times New Roman" w:hAnsi="Times New Roman"/>
          <w:sz w:val="18"/>
        </w:rPr>
        <w:footnoteRef/>
      </w:r>
      <w:r w:rsidRPr="00E42246">
        <w:rPr>
          <w:rFonts w:ascii="Times New Roman" w:hAnsi="Times New Roman"/>
          <w:sz w:val="18"/>
        </w:rPr>
        <w:t xml:space="preserve"> </w:t>
      </w:r>
      <w:r w:rsidRPr="00E42246">
        <w:rPr>
          <w:rFonts w:ascii="Times New Roman" w:hAnsi="Times New Roman"/>
          <w:i/>
          <w:iCs/>
          <w:sz w:val="18"/>
        </w:rPr>
        <w:t>R v Navabi</w:t>
      </w:r>
      <w:r w:rsidRPr="00E42246">
        <w:rPr>
          <w:rFonts w:ascii="Times New Roman" w:hAnsi="Times New Roman"/>
          <w:sz w:val="18"/>
        </w:rPr>
        <w:t xml:space="preserve"> [2005] EWCA Crim 2865; </w:t>
      </w:r>
      <w:r w:rsidRPr="00E42246">
        <w:rPr>
          <w:rFonts w:ascii="Times New Roman" w:hAnsi="Times New Roman"/>
          <w:i/>
          <w:iCs/>
          <w:sz w:val="18"/>
        </w:rPr>
        <w:t>R v Jaddi (Sina)</w:t>
      </w:r>
      <w:r w:rsidRPr="00E42246">
        <w:rPr>
          <w:rFonts w:ascii="Times New Roman" w:hAnsi="Times New Roman"/>
          <w:sz w:val="18"/>
        </w:rPr>
        <w:t xml:space="preserve"> [2012] EWCA Crim 2565; </w:t>
      </w:r>
      <w:r w:rsidRPr="00E42246">
        <w:rPr>
          <w:rFonts w:ascii="Times New Roman" w:hAnsi="Times New Roman"/>
          <w:i/>
          <w:iCs/>
          <w:sz w:val="18"/>
        </w:rPr>
        <w:t>R v H</w:t>
      </w:r>
      <w:r w:rsidRPr="00E42246">
        <w:rPr>
          <w:rFonts w:ascii="Times New Roman" w:hAnsi="Times New Roman"/>
          <w:sz w:val="18"/>
        </w:rPr>
        <w:t xml:space="preserve"> [2008] EWCA Crim 3117. </w:t>
      </w:r>
      <w:r w:rsidRPr="00E42246">
        <w:rPr>
          <w:rFonts w:ascii="Times New Roman" w:hAnsi="Times New Roman"/>
          <w:sz w:val="18"/>
        </w:rPr>
        <w:tab/>
        <w:t xml:space="preserve"> </w:t>
      </w:r>
    </w:p>
  </w:footnote>
  <w:footnote w:id="29">
    <w:p w14:paraId="79A27D63" w14:textId="325446D4" w:rsidR="00EF5083" w:rsidRPr="00E42246" w:rsidRDefault="00EF5083" w:rsidP="00E42246">
      <w:pPr>
        <w:pStyle w:val="FootnoteText"/>
        <w:rPr>
          <w:rFonts w:ascii="Times New Roman" w:hAnsi="Times New Roman"/>
          <w:sz w:val="18"/>
        </w:rPr>
      </w:pPr>
      <w:r w:rsidRPr="00E42246">
        <w:rPr>
          <w:rStyle w:val="FootnoteReference"/>
          <w:rFonts w:ascii="Times New Roman" w:hAnsi="Times New Roman"/>
          <w:sz w:val="18"/>
        </w:rPr>
        <w:footnoteRef/>
      </w:r>
      <w:r w:rsidRPr="00E42246">
        <w:rPr>
          <w:rFonts w:ascii="Times New Roman" w:hAnsi="Times New Roman"/>
          <w:sz w:val="18"/>
        </w:rPr>
        <w:t xml:space="preserve"> </w:t>
      </w:r>
      <w:r w:rsidRPr="00E42246">
        <w:rPr>
          <w:rFonts w:ascii="Times New Roman" w:hAnsi="Times New Roman"/>
          <w:i/>
          <w:iCs/>
          <w:sz w:val="18"/>
        </w:rPr>
        <w:t xml:space="preserve">Asfaw, </w:t>
      </w:r>
      <w:r w:rsidRPr="00E42246">
        <w:rPr>
          <w:rFonts w:ascii="Times New Roman" w:hAnsi="Times New Roman"/>
          <w:sz w:val="18"/>
        </w:rPr>
        <w:t>para 65</w:t>
      </w:r>
    </w:p>
  </w:footnote>
  <w:footnote w:id="30">
    <w:p w14:paraId="316E31C4" w14:textId="77D24CDC" w:rsidR="00F10C61" w:rsidRPr="00E42246" w:rsidRDefault="00F10C61" w:rsidP="00E42246">
      <w:pPr>
        <w:pStyle w:val="FootnoteText"/>
        <w:rPr>
          <w:rFonts w:ascii="Times New Roman" w:hAnsi="Times New Roman"/>
          <w:sz w:val="18"/>
        </w:rPr>
      </w:pPr>
      <w:r w:rsidRPr="00E42246">
        <w:rPr>
          <w:rStyle w:val="FootnoteReference"/>
          <w:rFonts w:ascii="Times New Roman" w:hAnsi="Times New Roman"/>
          <w:sz w:val="18"/>
        </w:rPr>
        <w:footnoteRef/>
      </w:r>
      <w:r w:rsidRPr="00E42246">
        <w:rPr>
          <w:rFonts w:ascii="Times New Roman" w:hAnsi="Times New Roman"/>
          <w:sz w:val="18"/>
        </w:rPr>
        <w:t xml:space="preserve"> </w:t>
      </w:r>
      <w:r w:rsidR="00EF5083" w:rsidRPr="00E42246">
        <w:rPr>
          <w:rFonts w:ascii="Times New Roman" w:hAnsi="Times New Roman"/>
          <w:i/>
          <w:iCs/>
          <w:sz w:val="18"/>
        </w:rPr>
        <w:t xml:space="preserve">Asfaw, </w:t>
      </w:r>
      <w:r w:rsidR="00EF5083" w:rsidRPr="00E42246">
        <w:rPr>
          <w:rFonts w:ascii="Times New Roman" w:hAnsi="Times New Roman"/>
          <w:sz w:val="18"/>
        </w:rPr>
        <w:t xml:space="preserve">para 69. </w:t>
      </w:r>
    </w:p>
  </w:footnote>
  <w:footnote w:id="31">
    <w:p w14:paraId="05053F41" w14:textId="41DC32AA" w:rsidR="0031778E" w:rsidRPr="00E42246" w:rsidRDefault="0031778E" w:rsidP="00E42246">
      <w:pPr>
        <w:pStyle w:val="FootnoteText"/>
        <w:rPr>
          <w:rFonts w:ascii="Times New Roman" w:hAnsi="Times New Roman"/>
          <w:sz w:val="18"/>
        </w:rPr>
      </w:pPr>
      <w:r w:rsidRPr="00E42246">
        <w:rPr>
          <w:rStyle w:val="FootnoteReference"/>
          <w:rFonts w:ascii="Times New Roman" w:hAnsi="Times New Roman"/>
          <w:sz w:val="18"/>
        </w:rPr>
        <w:footnoteRef/>
      </w:r>
      <w:r w:rsidRPr="00E42246">
        <w:rPr>
          <w:rFonts w:ascii="Times New Roman" w:hAnsi="Times New Roman"/>
          <w:sz w:val="18"/>
        </w:rPr>
        <w:t xml:space="preserve"> </w:t>
      </w:r>
      <w:r w:rsidR="000B1DC8" w:rsidRPr="00E42246">
        <w:rPr>
          <w:rFonts w:ascii="Times New Roman" w:hAnsi="Times New Roman" w:cs="Times New Roman"/>
          <w:sz w:val="18"/>
        </w:rPr>
        <w:t xml:space="preserve">Gina Clayton and Georgina Firth, </w:t>
      </w:r>
      <w:r w:rsidR="000B1DC8" w:rsidRPr="00E42246">
        <w:rPr>
          <w:rFonts w:ascii="Times New Roman" w:hAnsi="Times New Roman" w:cs="Times New Roman"/>
          <w:i/>
          <w:iCs/>
          <w:sz w:val="18"/>
        </w:rPr>
        <w:t>Immigration &amp; Asylum Law</w:t>
      </w:r>
      <w:r w:rsidR="000B1DC8" w:rsidRPr="00E42246">
        <w:rPr>
          <w:rFonts w:ascii="Times New Roman" w:hAnsi="Times New Roman" w:cs="Times New Roman"/>
          <w:sz w:val="18"/>
        </w:rPr>
        <w:t xml:space="preserve">, (Oxford University Press 2021) at 418. </w:t>
      </w:r>
    </w:p>
  </w:footnote>
  <w:footnote w:id="32">
    <w:p w14:paraId="71377E03" w14:textId="05FE140E" w:rsidR="00992502" w:rsidRPr="00E42246" w:rsidRDefault="00992502" w:rsidP="00E42246">
      <w:pPr>
        <w:pStyle w:val="FootnoteText"/>
        <w:rPr>
          <w:rFonts w:ascii="Times New Roman" w:hAnsi="Times New Roman"/>
          <w:sz w:val="18"/>
        </w:rPr>
      </w:pPr>
      <w:r w:rsidRPr="00E42246">
        <w:rPr>
          <w:rStyle w:val="FootnoteReference"/>
          <w:rFonts w:ascii="Times New Roman" w:hAnsi="Times New Roman"/>
          <w:sz w:val="18"/>
        </w:rPr>
        <w:footnoteRef/>
      </w:r>
      <w:r w:rsidRPr="00E42246">
        <w:rPr>
          <w:rFonts w:ascii="Times New Roman" w:hAnsi="Times New Roman"/>
          <w:sz w:val="18"/>
        </w:rPr>
        <w:t xml:space="preserve"> </w:t>
      </w:r>
      <w:r w:rsidRPr="00E42246">
        <w:rPr>
          <w:rFonts w:ascii="Times New Roman" w:hAnsi="Times New Roman"/>
          <w:i/>
          <w:iCs/>
          <w:sz w:val="18"/>
        </w:rPr>
        <w:t>R v Mateta</w:t>
      </w:r>
      <w:r w:rsidRPr="00E42246">
        <w:rPr>
          <w:rFonts w:ascii="Times New Roman" w:hAnsi="Times New Roman"/>
          <w:sz w:val="18"/>
        </w:rPr>
        <w:t xml:space="preserve"> [2013] EWCA Crim 1372; </w:t>
      </w:r>
      <w:proofErr w:type="gramStart"/>
      <w:r w:rsidRPr="00E42246">
        <w:rPr>
          <w:rFonts w:ascii="Times New Roman" w:hAnsi="Times New Roman"/>
          <w:sz w:val="18"/>
        </w:rPr>
        <w:t>also</w:t>
      </w:r>
      <w:proofErr w:type="gramEnd"/>
      <w:r w:rsidRPr="00E42246">
        <w:rPr>
          <w:rFonts w:ascii="Times New Roman" w:hAnsi="Times New Roman"/>
          <w:sz w:val="18"/>
        </w:rPr>
        <w:t xml:space="preserve"> </w:t>
      </w:r>
      <w:r w:rsidRPr="00E42246">
        <w:rPr>
          <w:rFonts w:ascii="Times New Roman" w:hAnsi="Times New Roman"/>
          <w:i/>
          <w:iCs/>
          <w:sz w:val="18"/>
        </w:rPr>
        <w:t>R v AM and Others</w:t>
      </w:r>
      <w:r w:rsidRPr="00E42246">
        <w:rPr>
          <w:rFonts w:ascii="Times New Roman" w:hAnsi="Times New Roman"/>
          <w:sz w:val="18"/>
        </w:rPr>
        <w:t xml:space="preserve"> [2010] EWCA Crim 2400 [10, 56]</w:t>
      </w:r>
      <w:r w:rsidR="003F35CB" w:rsidRPr="00E42246">
        <w:rPr>
          <w:rFonts w:ascii="Times New Roman" w:hAnsi="Times New Roman"/>
          <w:sz w:val="18"/>
        </w:rPr>
        <w:t xml:space="preserve">. </w:t>
      </w:r>
    </w:p>
  </w:footnote>
  <w:footnote w:id="33">
    <w:p w14:paraId="28176E56" w14:textId="4237283F" w:rsidR="009C08F5" w:rsidRPr="00E42246" w:rsidRDefault="009C08F5" w:rsidP="00E42246">
      <w:pPr>
        <w:pStyle w:val="FootnoteText"/>
        <w:rPr>
          <w:rFonts w:ascii="Times New Roman" w:hAnsi="Times New Roman"/>
          <w:sz w:val="18"/>
        </w:rPr>
      </w:pPr>
      <w:r w:rsidRPr="00E42246">
        <w:rPr>
          <w:rStyle w:val="FootnoteReference"/>
          <w:rFonts w:ascii="Times New Roman" w:hAnsi="Times New Roman"/>
          <w:sz w:val="18"/>
        </w:rPr>
        <w:footnoteRef/>
      </w:r>
      <w:r w:rsidRPr="00E42246">
        <w:rPr>
          <w:rFonts w:ascii="Times New Roman" w:hAnsi="Times New Roman"/>
          <w:sz w:val="18"/>
        </w:rPr>
        <w:t xml:space="preserve"> </w:t>
      </w:r>
      <w:r w:rsidR="003F35CB" w:rsidRPr="00E42246">
        <w:rPr>
          <w:rFonts w:ascii="Times New Roman" w:hAnsi="Times New Roman"/>
          <w:sz w:val="18"/>
        </w:rPr>
        <w:t xml:space="preserve"> </w:t>
      </w:r>
      <w:r w:rsidRPr="00E42246">
        <w:rPr>
          <w:rFonts w:ascii="Times New Roman" w:hAnsi="Times New Roman"/>
          <w:sz w:val="18"/>
        </w:rPr>
        <w:t>EWCA Cri</w:t>
      </w:r>
      <w:r w:rsidR="003F35CB" w:rsidRPr="00E42246">
        <w:rPr>
          <w:rFonts w:ascii="Times New Roman" w:hAnsi="Times New Roman"/>
          <w:sz w:val="18"/>
        </w:rPr>
        <w:t>m</w:t>
      </w:r>
      <w:r w:rsidRPr="00E42246">
        <w:rPr>
          <w:rFonts w:ascii="Times New Roman" w:hAnsi="Times New Roman"/>
          <w:sz w:val="18"/>
        </w:rPr>
        <w:t xml:space="preserve"> 18</w:t>
      </w:r>
      <w:r w:rsidR="003F35CB" w:rsidRPr="00E42246">
        <w:rPr>
          <w:rFonts w:ascii="Times New Roman" w:hAnsi="Times New Roman"/>
          <w:sz w:val="18"/>
        </w:rPr>
        <w:t xml:space="preserve">. </w:t>
      </w:r>
    </w:p>
  </w:footnote>
  <w:footnote w:id="34">
    <w:p w14:paraId="65601A29" w14:textId="1EEA49B8" w:rsidR="002014EA" w:rsidRPr="00E42246" w:rsidRDefault="002014EA" w:rsidP="00E42246">
      <w:pPr>
        <w:pStyle w:val="FootnoteText"/>
        <w:rPr>
          <w:rFonts w:ascii="Times New Roman" w:hAnsi="Times New Roman"/>
          <w:sz w:val="18"/>
        </w:rPr>
      </w:pPr>
      <w:r w:rsidRPr="00E42246">
        <w:rPr>
          <w:rStyle w:val="FootnoteReference"/>
          <w:rFonts w:ascii="Times New Roman" w:hAnsi="Times New Roman"/>
          <w:sz w:val="18"/>
        </w:rPr>
        <w:footnoteRef/>
      </w:r>
      <w:r w:rsidRPr="00E42246">
        <w:rPr>
          <w:rFonts w:ascii="Times New Roman" w:hAnsi="Times New Roman"/>
          <w:sz w:val="18"/>
        </w:rPr>
        <w:t xml:space="preserve"> Holiday</w:t>
      </w:r>
      <w:r w:rsidR="00DE1057" w:rsidRPr="00E42246">
        <w:rPr>
          <w:rFonts w:ascii="Times New Roman" w:hAnsi="Times New Roman"/>
          <w:sz w:val="18"/>
        </w:rPr>
        <w:t xml:space="preserve"> et al (2018), </w:t>
      </w:r>
      <w:r w:rsidR="00DE1057" w:rsidRPr="00E42246">
        <w:rPr>
          <w:rFonts w:ascii="Times New Roman" w:hAnsi="Times New Roman"/>
          <w:i/>
          <w:iCs/>
          <w:sz w:val="18"/>
        </w:rPr>
        <w:t>supra</w:t>
      </w:r>
      <w:r w:rsidR="00DE1057" w:rsidRPr="00E42246">
        <w:rPr>
          <w:rFonts w:ascii="Times New Roman" w:hAnsi="Times New Roman"/>
          <w:sz w:val="18"/>
        </w:rPr>
        <w:t xml:space="preserve"> n.8 at 9.</w:t>
      </w:r>
    </w:p>
  </w:footnote>
  <w:footnote w:id="35">
    <w:p w14:paraId="6A055313" w14:textId="7461A23C" w:rsidR="008F5F4D" w:rsidRPr="00E42246" w:rsidRDefault="008F5F4D" w:rsidP="00E42246">
      <w:pPr>
        <w:pStyle w:val="FootnoteText"/>
        <w:rPr>
          <w:rFonts w:ascii="Times New Roman" w:hAnsi="Times New Roman" w:cs="Times New Roman"/>
          <w:sz w:val="18"/>
        </w:rPr>
      </w:pPr>
      <w:r w:rsidRPr="00E42246">
        <w:rPr>
          <w:rStyle w:val="FootnoteReference"/>
          <w:rFonts w:ascii="Times New Roman" w:hAnsi="Times New Roman" w:cs="Times New Roman"/>
          <w:sz w:val="18"/>
        </w:rPr>
        <w:footnoteRef/>
      </w:r>
      <w:r w:rsidRPr="00E42246">
        <w:rPr>
          <w:rFonts w:ascii="Times New Roman" w:hAnsi="Times New Roman" w:cs="Times New Roman"/>
          <w:sz w:val="18"/>
        </w:rPr>
        <w:t xml:space="preserve"> </w:t>
      </w:r>
      <w:r w:rsidR="003F35CB" w:rsidRPr="00E42246">
        <w:rPr>
          <w:rFonts w:ascii="Times New Roman" w:hAnsi="Times New Roman" w:cs="Times New Roman"/>
          <w:i/>
          <w:iCs/>
          <w:sz w:val="18"/>
        </w:rPr>
        <w:t xml:space="preserve">Adimi, </w:t>
      </w:r>
      <w:r w:rsidR="003F35CB" w:rsidRPr="00E42246">
        <w:rPr>
          <w:rFonts w:ascii="Times New Roman" w:hAnsi="Times New Roman" w:cs="Times New Roman"/>
          <w:sz w:val="18"/>
        </w:rPr>
        <w:t xml:space="preserve">Brown LJ, </w:t>
      </w:r>
      <w:r w:rsidRPr="00E42246">
        <w:rPr>
          <w:rFonts w:ascii="Times New Roman" w:hAnsi="Times New Roman" w:cs="Times New Roman"/>
          <w:sz w:val="18"/>
        </w:rPr>
        <w:t>67</w:t>
      </w:r>
      <w:r w:rsidR="00F56062" w:rsidRPr="00E42246">
        <w:rPr>
          <w:rFonts w:ascii="Times New Roman" w:hAnsi="Times New Roman" w:cs="Times New Roman"/>
          <w:sz w:val="18"/>
        </w:rPr>
        <w:t>.</w:t>
      </w:r>
    </w:p>
  </w:footnote>
  <w:footnote w:id="36">
    <w:p w14:paraId="1B7EE84A" w14:textId="37FD320A" w:rsidR="00640723" w:rsidRPr="00E42246" w:rsidRDefault="00640723" w:rsidP="00E42246">
      <w:pPr>
        <w:pStyle w:val="FootnoteText"/>
        <w:rPr>
          <w:rFonts w:ascii="Times New Roman" w:hAnsi="Times New Roman"/>
          <w:sz w:val="18"/>
        </w:rPr>
      </w:pPr>
      <w:r w:rsidRPr="00E42246">
        <w:rPr>
          <w:rStyle w:val="FootnoteReference"/>
          <w:rFonts w:ascii="Times New Roman" w:hAnsi="Times New Roman"/>
          <w:sz w:val="18"/>
        </w:rPr>
        <w:footnoteRef/>
      </w:r>
      <w:r w:rsidRPr="00E42246">
        <w:rPr>
          <w:rFonts w:ascii="Times New Roman" w:hAnsi="Times New Roman"/>
          <w:sz w:val="18"/>
        </w:rPr>
        <w:t xml:space="preserve"> </w:t>
      </w:r>
      <w:r w:rsidR="00876401" w:rsidRPr="00E42246">
        <w:rPr>
          <w:rFonts w:ascii="Times New Roman" w:hAnsi="Times New Roman"/>
          <w:sz w:val="18"/>
        </w:rPr>
        <w:t xml:space="preserve">Dallal </w:t>
      </w:r>
      <w:r w:rsidRPr="00E42246">
        <w:rPr>
          <w:rFonts w:ascii="Times New Roman" w:hAnsi="Times New Roman"/>
          <w:sz w:val="18"/>
        </w:rPr>
        <w:t>Stevens</w:t>
      </w:r>
      <w:r w:rsidR="00876401" w:rsidRPr="00E42246">
        <w:rPr>
          <w:rFonts w:ascii="Times New Roman" w:hAnsi="Times New Roman"/>
          <w:sz w:val="18"/>
        </w:rPr>
        <w:t xml:space="preserve">, </w:t>
      </w:r>
      <w:r w:rsidR="00E17D6F" w:rsidRPr="00E42246">
        <w:rPr>
          <w:rFonts w:ascii="Times New Roman" w:hAnsi="Times New Roman"/>
          <w:sz w:val="18"/>
        </w:rPr>
        <w:t>‘</w:t>
      </w:r>
      <w:r w:rsidR="00876401" w:rsidRPr="00E42246">
        <w:rPr>
          <w:rFonts w:ascii="Times New Roman" w:hAnsi="Times New Roman"/>
          <w:sz w:val="18"/>
        </w:rPr>
        <w:t>The Immigration and Asylum Act 1999: A Missed Opportunity</w:t>
      </w:r>
      <w:r w:rsidR="00E17D6F" w:rsidRPr="00E42246">
        <w:rPr>
          <w:rFonts w:ascii="Times New Roman" w:hAnsi="Times New Roman"/>
          <w:sz w:val="18"/>
        </w:rPr>
        <w:t>’</w:t>
      </w:r>
      <w:r w:rsidR="00876401" w:rsidRPr="00E42246">
        <w:rPr>
          <w:rFonts w:ascii="Times New Roman" w:hAnsi="Times New Roman"/>
          <w:sz w:val="18"/>
        </w:rPr>
        <w:t xml:space="preserve">, </w:t>
      </w:r>
      <w:r w:rsidR="001B682C" w:rsidRPr="00E42246">
        <w:rPr>
          <w:rFonts w:ascii="Times New Roman" w:hAnsi="Times New Roman"/>
          <w:sz w:val="18"/>
        </w:rPr>
        <w:t xml:space="preserve">(2001) </w:t>
      </w:r>
      <w:r w:rsidR="00216B7D" w:rsidRPr="00E42246">
        <w:rPr>
          <w:rFonts w:ascii="Times New Roman" w:hAnsi="Times New Roman"/>
          <w:sz w:val="18"/>
        </w:rPr>
        <w:t xml:space="preserve">64 </w:t>
      </w:r>
      <w:r w:rsidR="00876401" w:rsidRPr="00E42246">
        <w:rPr>
          <w:rFonts w:ascii="Times New Roman" w:hAnsi="Times New Roman"/>
          <w:i/>
          <w:iCs/>
          <w:sz w:val="18"/>
        </w:rPr>
        <w:t>Modern Law</w:t>
      </w:r>
      <w:r w:rsidR="00FE0895" w:rsidRPr="00E42246">
        <w:rPr>
          <w:rFonts w:ascii="Times New Roman" w:hAnsi="Times New Roman"/>
          <w:i/>
          <w:iCs/>
          <w:sz w:val="18"/>
        </w:rPr>
        <w:t xml:space="preserve"> Review</w:t>
      </w:r>
      <w:r w:rsidR="00FE0895" w:rsidRPr="00E42246">
        <w:rPr>
          <w:rFonts w:ascii="Times New Roman" w:hAnsi="Times New Roman"/>
          <w:sz w:val="18"/>
        </w:rPr>
        <w:t xml:space="preserve"> 413 at</w:t>
      </w:r>
      <w:r w:rsidRPr="00E42246">
        <w:rPr>
          <w:rFonts w:ascii="Times New Roman" w:hAnsi="Times New Roman"/>
          <w:sz w:val="18"/>
        </w:rPr>
        <w:t xml:space="preserve">.426. </w:t>
      </w:r>
    </w:p>
  </w:footnote>
  <w:footnote w:id="37">
    <w:p w14:paraId="31049CBC" w14:textId="39394B4B" w:rsidR="008F5F4D" w:rsidRPr="00E42246" w:rsidRDefault="008F5F4D" w:rsidP="00E42246">
      <w:pPr>
        <w:pStyle w:val="FootnoteText"/>
        <w:rPr>
          <w:rFonts w:ascii="Times New Roman" w:hAnsi="Times New Roman"/>
          <w:sz w:val="18"/>
        </w:rPr>
      </w:pPr>
      <w:r w:rsidRPr="00E42246">
        <w:rPr>
          <w:rStyle w:val="FootnoteReference"/>
          <w:rFonts w:ascii="Times New Roman" w:hAnsi="Times New Roman"/>
          <w:sz w:val="18"/>
        </w:rPr>
        <w:footnoteRef/>
      </w:r>
      <w:r w:rsidRPr="00E42246">
        <w:rPr>
          <w:rFonts w:ascii="Times New Roman" w:hAnsi="Times New Roman"/>
          <w:sz w:val="18"/>
        </w:rPr>
        <w:t xml:space="preserve"> </w:t>
      </w:r>
      <w:r w:rsidR="00DA72A6" w:rsidRPr="00E42246">
        <w:rPr>
          <w:rFonts w:ascii="Times New Roman" w:hAnsi="Times New Roman"/>
          <w:sz w:val="18"/>
        </w:rPr>
        <w:t xml:space="preserve">Nationality and Borders Act 2022, </w:t>
      </w:r>
      <w:r w:rsidRPr="00E42246">
        <w:rPr>
          <w:rFonts w:ascii="Times New Roman" w:hAnsi="Times New Roman"/>
          <w:sz w:val="18"/>
        </w:rPr>
        <w:t xml:space="preserve">s.40-41. </w:t>
      </w:r>
    </w:p>
  </w:footnote>
  <w:footnote w:id="38">
    <w:p w14:paraId="3DA58B3C" w14:textId="361F1D85" w:rsidR="00AF1F3D" w:rsidRPr="00E42246" w:rsidRDefault="00AF1F3D" w:rsidP="00E42246">
      <w:pPr>
        <w:pStyle w:val="FootnoteText"/>
        <w:rPr>
          <w:rFonts w:ascii="Times New Roman" w:hAnsi="Times New Roman"/>
          <w:sz w:val="18"/>
        </w:rPr>
      </w:pPr>
      <w:r w:rsidRPr="00E42246">
        <w:rPr>
          <w:rStyle w:val="FootnoteReference"/>
          <w:rFonts w:ascii="Times New Roman" w:hAnsi="Times New Roman"/>
          <w:sz w:val="18"/>
        </w:rPr>
        <w:footnoteRef/>
      </w:r>
      <w:r w:rsidRPr="00E42246">
        <w:rPr>
          <w:rFonts w:ascii="Times New Roman" w:hAnsi="Times New Roman"/>
          <w:sz w:val="18"/>
        </w:rPr>
        <w:t xml:space="preserve"> </w:t>
      </w:r>
      <w:r w:rsidR="00B961F0" w:rsidRPr="00E42246">
        <w:rPr>
          <w:rFonts w:ascii="Times New Roman" w:hAnsi="Times New Roman"/>
          <w:sz w:val="18"/>
        </w:rPr>
        <w:t xml:space="preserve">Ibid, s37(5) amending s31 of the Immigration and Asylum Act 1999. </w:t>
      </w:r>
    </w:p>
  </w:footnote>
  <w:footnote w:id="39">
    <w:p w14:paraId="7612566F" w14:textId="06FCDF65" w:rsidR="00F2774E" w:rsidRPr="00E42246" w:rsidRDefault="008F5F4D" w:rsidP="00E42246">
      <w:pPr>
        <w:pStyle w:val="FootnoteText"/>
        <w:rPr>
          <w:rFonts w:ascii="Times New Roman" w:hAnsi="Times New Roman"/>
          <w:sz w:val="18"/>
        </w:rPr>
      </w:pPr>
      <w:r w:rsidRPr="00E42246">
        <w:rPr>
          <w:rStyle w:val="FootnoteReference"/>
          <w:rFonts w:ascii="Times New Roman" w:hAnsi="Times New Roman"/>
          <w:sz w:val="18"/>
        </w:rPr>
        <w:footnoteRef/>
      </w:r>
      <w:r w:rsidRPr="00E42246">
        <w:rPr>
          <w:rFonts w:ascii="Times New Roman" w:hAnsi="Times New Roman"/>
          <w:sz w:val="18"/>
        </w:rPr>
        <w:t xml:space="preserve"> </w:t>
      </w:r>
      <w:r w:rsidR="00F2774E" w:rsidRPr="00E42246">
        <w:rPr>
          <w:rFonts w:ascii="Times New Roman" w:hAnsi="Times New Roman"/>
          <w:sz w:val="18"/>
        </w:rPr>
        <w:t xml:space="preserve">Diane Taylor, </w:t>
      </w:r>
      <w:r w:rsidR="0075779D" w:rsidRPr="00E42246">
        <w:rPr>
          <w:rFonts w:ascii="Times New Roman" w:hAnsi="Times New Roman"/>
          <w:sz w:val="18"/>
        </w:rPr>
        <w:t>‘Ibrahima Bah was sentenced to nine years for steering a ‘death trap’ dinghy acr</w:t>
      </w:r>
      <w:r w:rsidR="004A2E34" w:rsidRPr="00E42246">
        <w:rPr>
          <w:rFonts w:ascii="Times New Roman" w:hAnsi="Times New Roman"/>
          <w:sz w:val="18"/>
        </w:rPr>
        <w:t>o</w:t>
      </w:r>
      <w:r w:rsidR="0075779D" w:rsidRPr="00E42246">
        <w:rPr>
          <w:rFonts w:ascii="Times New Roman" w:hAnsi="Times New Roman"/>
          <w:sz w:val="18"/>
        </w:rPr>
        <w:t xml:space="preserve">ss the Channel. Was he really to blame? </w:t>
      </w:r>
      <w:r w:rsidR="0075779D" w:rsidRPr="00E42246">
        <w:rPr>
          <w:rFonts w:ascii="Times New Roman" w:hAnsi="Times New Roman"/>
          <w:i/>
          <w:iCs/>
          <w:sz w:val="18"/>
        </w:rPr>
        <w:t>The Guardian</w:t>
      </w:r>
      <w:r w:rsidR="00F2774E" w:rsidRPr="00E42246">
        <w:rPr>
          <w:rFonts w:ascii="Times New Roman" w:hAnsi="Times New Roman"/>
          <w:sz w:val="18"/>
        </w:rPr>
        <w:t>, 12 March 2024</w:t>
      </w:r>
      <w:r w:rsidR="00AF1F3D" w:rsidRPr="00E42246">
        <w:rPr>
          <w:rFonts w:ascii="Times New Roman" w:hAnsi="Times New Roman"/>
          <w:sz w:val="18"/>
        </w:rPr>
        <w:t xml:space="preserve">; Victoria Taylor </w:t>
      </w:r>
      <w:r w:rsidR="00AF1F3D" w:rsidRPr="00E42246">
        <w:rPr>
          <w:rFonts w:ascii="Times New Roman" w:hAnsi="Times New Roman"/>
          <w:i/>
          <w:iCs/>
          <w:sz w:val="18"/>
        </w:rPr>
        <w:t xml:space="preserve">No such thing as justice here: The criminalisation of people arriving to the UK on small boats </w:t>
      </w:r>
      <w:r w:rsidR="00AF1F3D" w:rsidRPr="00E42246">
        <w:rPr>
          <w:rFonts w:ascii="Times New Roman" w:hAnsi="Times New Roman"/>
          <w:sz w:val="18"/>
        </w:rPr>
        <w:t xml:space="preserve">(University of Oxford Border </w:t>
      </w:r>
      <w:proofErr w:type="spellStart"/>
      <w:r w:rsidR="00AF1F3D" w:rsidRPr="00E42246">
        <w:rPr>
          <w:rFonts w:ascii="Times New Roman" w:hAnsi="Times New Roman"/>
          <w:sz w:val="18"/>
        </w:rPr>
        <w:t>Criminologies</w:t>
      </w:r>
      <w:proofErr w:type="spellEnd"/>
      <w:r w:rsidR="00AF1F3D" w:rsidRPr="00E42246">
        <w:rPr>
          <w:rFonts w:ascii="Times New Roman" w:hAnsi="Times New Roman"/>
          <w:sz w:val="18"/>
        </w:rPr>
        <w:t xml:space="preserve"> 2024).</w:t>
      </w:r>
    </w:p>
  </w:footnote>
  <w:footnote w:id="40">
    <w:p w14:paraId="6A4AD59B" w14:textId="47E9C588" w:rsidR="008F5F4D" w:rsidRPr="00E42246" w:rsidRDefault="008F5F4D" w:rsidP="00E42246">
      <w:pPr>
        <w:pStyle w:val="FootnoteText"/>
        <w:rPr>
          <w:rFonts w:ascii="Times New Roman" w:hAnsi="Times New Roman"/>
          <w:sz w:val="18"/>
        </w:rPr>
      </w:pPr>
      <w:r w:rsidRPr="00E42246">
        <w:rPr>
          <w:rStyle w:val="FootnoteReference"/>
          <w:rFonts w:ascii="Times New Roman" w:hAnsi="Times New Roman"/>
          <w:sz w:val="18"/>
        </w:rPr>
        <w:footnoteRef/>
      </w:r>
      <w:r w:rsidRPr="00E42246">
        <w:rPr>
          <w:rFonts w:ascii="Times New Roman" w:hAnsi="Times New Roman"/>
          <w:sz w:val="18"/>
        </w:rPr>
        <w:t xml:space="preserve"> </w:t>
      </w:r>
      <w:r w:rsidR="00AF1F3D" w:rsidRPr="00E42246">
        <w:rPr>
          <w:rFonts w:ascii="Times New Roman" w:hAnsi="Times New Roman"/>
          <w:sz w:val="18"/>
        </w:rPr>
        <w:t xml:space="preserve">Taylor (2024), ibid. </w:t>
      </w:r>
    </w:p>
  </w:footnote>
  <w:footnote w:id="41">
    <w:p w14:paraId="03BB3625" w14:textId="6ABBBBEE" w:rsidR="00593F54" w:rsidRPr="00404677" w:rsidRDefault="00593F54" w:rsidP="00404677">
      <w:pPr>
        <w:pStyle w:val="ListParagraph"/>
        <w:widowControl w:val="0"/>
        <w:autoSpaceDE w:val="0"/>
        <w:autoSpaceDN w:val="0"/>
        <w:adjustRightInd w:val="0"/>
        <w:spacing w:after="0" w:line="240" w:lineRule="auto"/>
        <w:ind w:left="0"/>
        <w:rPr>
          <w:rFonts w:ascii="Times New Roman" w:hAnsi="Times New Roman"/>
          <w:sz w:val="18"/>
        </w:rPr>
      </w:pPr>
      <w:r w:rsidRPr="00E42246">
        <w:rPr>
          <w:rStyle w:val="FootnoteReference"/>
          <w:rFonts w:ascii="Times New Roman" w:hAnsi="Times New Roman"/>
          <w:sz w:val="18"/>
        </w:rPr>
        <w:footnoteRef/>
      </w:r>
      <w:r w:rsidRPr="00E42246">
        <w:rPr>
          <w:rFonts w:ascii="Times New Roman" w:hAnsi="Times New Roman"/>
          <w:sz w:val="18"/>
        </w:rPr>
        <w:t xml:space="preserve"> </w:t>
      </w:r>
      <w:r w:rsidR="00E42246" w:rsidRPr="00E42246">
        <w:rPr>
          <w:rFonts w:ascii="Times New Roman" w:hAnsi="Times New Roman" w:cs="Arial"/>
          <w:bCs/>
          <w:sz w:val="18"/>
        </w:rPr>
        <w:t>Eleanor Gordon and Henrik Larsen</w:t>
      </w:r>
      <w:r w:rsidR="00E42246" w:rsidRPr="00E42246">
        <w:rPr>
          <w:rFonts w:ascii="Times New Roman" w:hAnsi="Times New Roman" w:cs="Arial"/>
          <w:b/>
          <w:sz w:val="18"/>
        </w:rPr>
        <w:t xml:space="preserve"> </w:t>
      </w:r>
      <w:r w:rsidR="00E42246" w:rsidRPr="00E42246">
        <w:rPr>
          <w:rFonts w:ascii="Times New Roman" w:hAnsi="Times New Roman" w:cs="Arial"/>
          <w:sz w:val="18"/>
        </w:rPr>
        <w:t xml:space="preserve">‘Sea of Blood’: The Intended and Unintended Effects of the Criminalisation of Humanitarian Volunteers Rescuing Migrants in Distress at </w:t>
      </w:r>
      <w:r w:rsidR="00E42246">
        <w:rPr>
          <w:rFonts w:ascii="Times New Roman" w:hAnsi="Times New Roman" w:cs="Arial"/>
          <w:sz w:val="18"/>
        </w:rPr>
        <w:t>S</w:t>
      </w:r>
      <w:r w:rsidR="00E42246" w:rsidRPr="00E42246">
        <w:rPr>
          <w:rFonts w:ascii="Times New Roman" w:hAnsi="Times New Roman" w:cs="Arial"/>
          <w:sz w:val="18"/>
        </w:rPr>
        <w:t>e</w:t>
      </w:r>
      <w:r w:rsidR="00E42246">
        <w:rPr>
          <w:rFonts w:ascii="Times New Roman" w:hAnsi="Times New Roman" w:cs="Arial"/>
          <w:sz w:val="18"/>
        </w:rPr>
        <w:t>a</w:t>
      </w:r>
      <w:r w:rsidR="00E42246" w:rsidRPr="00E42246">
        <w:rPr>
          <w:rFonts w:ascii="Times New Roman" w:hAnsi="Times New Roman" w:cs="Arial"/>
          <w:sz w:val="18"/>
        </w:rPr>
        <w:t xml:space="preserve"> </w:t>
      </w:r>
      <w:r w:rsidR="00E42246">
        <w:rPr>
          <w:rFonts w:ascii="Times New Roman" w:hAnsi="Times New Roman" w:cs="Arial"/>
          <w:sz w:val="18"/>
        </w:rPr>
        <w:t xml:space="preserve">(2022) 46 </w:t>
      </w:r>
      <w:r w:rsidR="00E42246" w:rsidRPr="00E42246">
        <w:rPr>
          <w:rFonts w:ascii="Times New Roman" w:hAnsi="Times New Roman" w:cs="Arial"/>
          <w:i/>
          <w:sz w:val="18"/>
        </w:rPr>
        <w:t xml:space="preserve">Disasters </w:t>
      </w:r>
      <w:r w:rsidR="00E42246" w:rsidRPr="00E42246">
        <w:rPr>
          <w:rFonts w:ascii="Times New Roman" w:hAnsi="Times New Roman" w:cs="Arial"/>
          <w:iCs/>
          <w:sz w:val="18"/>
        </w:rPr>
        <w:t>3-26</w:t>
      </w:r>
      <w:r w:rsidR="00404677">
        <w:rPr>
          <w:rFonts w:ascii="Times New Roman" w:hAnsi="Times New Roman" w:cs="Arial"/>
          <w:iCs/>
          <w:sz w:val="18"/>
        </w:rPr>
        <w:t>; Katia Bianchini</w:t>
      </w:r>
      <w:r w:rsidR="00404677">
        <w:rPr>
          <w:rStyle w:val="Hyperlink"/>
          <w:rFonts w:ascii="Times New Roman" w:hAnsi="Times New Roman" w:cs="Arial"/>
          <w:iCs/>
          <w:sz w:val="18"/>
        </w:rPr>
        <w:t xml:space="preserve">, </w:t>
      </w:r>
      <w:r w:rsidR="00E42246" w:rsidRPr="00404677">
        <w:rPr>
          <w:rFonts w:ascii="Times New Roman" w:hAnsi="Times New Roman" w:cs="Arial"/>
          <w:bCs/>
          <w:i/>
          <w:iCs/>
          <w:sz w:val="18"/>
        </w:rPr>
        <w:t>Responses to Sea Migration and the Rule of Law</w:t>
      </w:r>
      <w:r w:rsidR="00404677">
        <w:rPr>
          <w:rFonts w:ascii="Times New Roman" w:hAnsi="Times New Roman" w:cs="Arial"/>
          <w:bCs/>
          <w:i/>
          <w:iCs/>
          <w:sz w:val="18"/>
        </w:rPr>
        <w:t xml:space="preserve"> </w:t>
      </w:r>
      <w:r w:rsidR="00404677">
        <w:rPr>
          <w:rFonts w:ascii="Times New Roman" w:hAnsi="Times New Roman" w:cs="Arial"/>
          <w:bCs/>
          <w:sz w:val="18"/>
        </w:rPr>
        <w:t xml:space="preserve">(2024 Bloomsbury Hart Publishing). </w:t>
      </w:r>
    </w:p>
  </w:footnote>
  <w:footnote w:id="42">
    <w:p w14:paraId="617C93F5" w14:textId="77777777" w:rsidR="00462F4C" w:rsidRPr="00E42246" w:rsidRDefault="00462F4C" w:rsidP="00E42246">
      <w:pPr>
        <w:pStyle w:val="FootnoteText"/>
        <w:rPr>
          <w:rFonts w:ascii="Times New Roman" w:hAnsi="Times New Roman"/>
          <w:sz w:val="18"/>
        </w:rPr>
      </w:pPr>
      <w:r w:rsidRPr="00E42246">
        <w:rPr>
          <w:rStyle w:val="FootnoteReference"/>
          <w:rFonts w:ascii="Times New Roman" w:hAnsi="Times New Roman"/>
          <w:sz w:val="18"/>
        </w:rPr>
        <w:footnoteRef/>
      </w:r>
      <w:r w:rsidRPr="00E42246">
        <w:rPr>
          <w:rFonts w:ascii="Times New Roman" w:hAnsi="Times New Roman"/>
          <w:sz w:val="18"/>
        </w:rPr>
        <w:t xml:space="preserve"> Asylum Management Regulation 2024/1351; Asylum Procedures Regulation 2024/1348.</w:t>
      </w:r>
    </w:p>
  </w:footnote>
  <w:footnote w:id="43">
    <w:p w14:paraId="08507C75" w14:textId="30CF5F40" w:rsidR="003F35CB" w:rsidRPr="00E42246" w:rsidRDefault="003F35CB" w:rsidP="00E42246">
      <w:pPr>
        <w:pStyle w:val="FootnoteText"/>
        <w:rPr>
          <w:rFonts w:ascii="Times New Roman" w:hAnsi="Times New Roman"/>
          <w:sz w:val="18"/>
        </w:rPr>
      </w:pPr>
      <w:r w:rsidRPr="00E42246">
        <w:rPr>
          <w:rStyle w:val="FootnoteReference"/>
          <w:rFonts w:ascii="Times New Roman" w:hAnsi="Times New Roman"/>
          <w:sz w:val="18"/>
        </w:rPr>
        <w:footnoteRef/>
      </w:r>
      <w:r w:rsidRPr="00E42246">
        <w:rPr>
          <w:rFonts w:ascii="Times New Roman" w:hAnsi="Times New Roman"/>
          <w:sz w:val="18"/>
        </w:rPr>
        <w:t xml:space="preserve"> Graham Thom, ‘Australia’s Obligations under Article 31(1) of the Refugees Convention: What are penalties?’ </w:t>
      </w:r>
      <w:r w:rsidRPr="00E42246">
        <w:rPr>
          <w:rFonts w:ascii="Times New Roman" w:hAnsi="Times New Roman"/>
          <w:i/>
          <w:iCs/>
          <w:sz w:val="18"/>
        </w:rPr>
        <w:t>Alt L.J.</w:t>
      </w:r>
      <w:r w:rsidRPr="00E42246">
        <w:rPr>
          <w:rFonts w:ascii="Times New Roman" w:hAnsi="Times New Roman"/>
          <w:sz w:val="18"/>
        </w:rPr>
        <w:t xml:space="preserve"> 2006) 31(3): 142-164. Thom identifies a range of ‘penalties’ inherent to the Pacific Solution including transfer to an offshore processing centre; mandatory and indefinite detention of all those removed offshore; a “markedly inferior” RSD process; leaving refuges </w:t>
      </w:r>
      <w:proofErr w:type="gramStart"/>
      <w:r w:rsidRPr="00E42246">
        <w:rPr>
          <w:rFonts w:ascii="Times New Roman" w:hAnsi="Times New Roman"/>
          <w:sz w:val="18"/>
        </w:rPr>
        <w:t>on</w:t>
      </w:r>
      <w:proofErr w:type="gramEnd"/>
      <w:r w:rsidRPr="00E42246">
        <w:rPr>
          <w:rFonts w:ascii="Times New Roman" w:hAnsi="Times New Roman"/>
          <w:sz w:val="18"/>
        </w:rPr>
        <w:t xml:space="preserve"> Nauru while resettlement options are considered and hence not leading to a durable solution for refugees; granting Temporary Protection Visas for those who ultimately may be resettled to Australia. He concludes that “[t]</w:t>
      </w:r>
      <w:proofErr w:type="spellStart"/>
      <w:r w:rsidRPr="00E42246">
        <w:rPr>
          <w:rFonts w:ascii="Times New Roman" w:hAnsi="Times New Roman"/>
          <w:sz w:val="18"/>
        </w:rPr>
        <w:t>hese</w:t>
      </w:r>
      <w:proofErr w:type="spellEnd"/>
      <w:r w:rsidRPr="00E42246">
        <w:rPr>
          <w:rFonts w:ascii="Times New Roman" w:hAnsi="Times New Roman"/>
          <w:sz w:val="18"/>
        </w:rPr>
        <w:t xml:space="preserve"> measures are quite clearly designed to sanction a refugee for their mode of arrival (arriving undocumented by boat) </w:t>
      </w:r>
      <w:proofErr w:type="gramStart"/>
      <w:r w:rsidRPr="00E42246">
        <w:rPr>
          <w:rFonts w:ascii="Times New Roman" w:hAnsi="Times New Roman"/>
          <w:sz w:val="18"/>
        </w:rPr>
        <w:t>and also</w:t>
      </w:r>
      <w:proofErr w:type="gramEnd"/>
      <w:r w:rsidRPr="00E42246">
        <w:rPr>
          <w:rFonts w:ascii="Times New Roman" w:hAnsi="Times New Roman"/>
          <w:sz w:val="18"/>
        </w:rPr>
        <w:t xml:space="preserve"> have a clear deterrent purpose. The Bill therefore has a decidedly punitive character and would violate Australia’s obligations under art 31(1) of the Refugee Convention”. (p.164)</w:t>
      </w:r>
    </w:p>
  </w:footnote>
  <w:footnote w:id="44">
    <w:p w14:paraId="52FB63A0" w14:textId="79435F88" w:rsidR="008F5F4D" w:rsidRPr="00E42246" w:rsidRDefault="008F5F4D" w:rsidP="00E42246">
      <w:pPr>
        <w:pStyle w:val="FootnoteText"/>
        <w:rPr>
          <w:rFonts w:ascii="Times New Roman" w:hAnsi="Times New Roman"/>
          <w:sz w:val="18"/>
          <w:highlight w:val="yellow"/>
        </w:rPr>
      </w:pPr>
      <w:r w:rsidRPr="00E42246">
        <w:rPr>
          <w:rStyle w:val="FootnoteReference"/>
          <w:rFonts w:ascii="Times New Roman" w:hAnsi="Times New Roman"/>
          <w:sz w:val="18"/>
        </w:rPr>
        <w:footnoteRef/>
      </w:r>
      <w:r w:rsidRPr="00E42246">
        <w:rPr>
          <w:rFonts w:ascii="Times New Roman" w:hAnsi="Times New Roman"/>
          <w:sz w:val="18"/>
        </w:rPr>
        <w:t xml:space="preserve"> </w:t>
      </w:r>
      <w:r w:rsidR="008D3612">
        <w:rPr>
          <w:rFonts w:ascii="Times New Roman" w:hAnsi="Times New Roman"/>
          <w:sz w:val="18"/>
        </w:rPr>
        <w:t xml:space="preserve">UK </w:t>
      </w:r>
      <w:r w:rsidR="008D3612" w:rsidRPr="00750D22">
        <w:rPr>
          <w:rFonts w:ascii="Times New Roman" w:hAnsi="Times New Roman"/>
          <w:sz w:val="18"/>
        </w:rPr>
        <w:t xml:space="preserve">Government, </w:t>
      </w:r>
      <w:r w:rsidR="00A87B8D" w:rsidRPr="00750D22">
        <w:rPr>
          <w:rFonts w:ascii="Times New Roman" w:hAnsi="Times New Roman"/>
          <w:i/>
          <w:iCs/>
          <w:sz w:val="18"/>
        </w:rPr>
        <w:t>New Plan for Immigration</w:t>
      </w:r>
      <w:r w:rsidR="008D3612" w:rsidRPr="00750D22">
        <w:rPr>
          <w:rFonts w:ascii="Times New Roman" w:hAnsi="Times New Roman"/>
          <w:i/>
          <w:iCs/>
          <w:sz w:val="18"/>
        </w:rPr>
        <w:t>: legal migration and border control strategy statement</w:t>
      </w:r>
      <w:r w:rsidR="008D3612" w:rsidRPr="00750D22">
        <w:rPr>
          <w:rFonts w:ascii="Times New Roman" w:hAnsi="Times New Roman"/>
          <w:sz w:val="18"/>
        </w:rPr>
        <w:t xml:space="preserve"> (2021)</w:t>
      </w:r>
      <w:r w:rsidR="00750D22" w:rsidRPr="00750D22">
        <w:rPr>
          <w:rFonts w:ascii="Times New Roman" w:hAnsi="Times New Roman"/>
          <w:sz w:val="18"/>
        </w:rPr>
        <w:t>. The three objectives of the new plan were “to increase the fairness and efficacy of our asylum and immigration system [..] to deter illegal entry into the UK […] to remove more easily from the UK those with no right to be here.”</w:t>
      </w:r>
    </w:p>
  </w:footnote>
  <w:footnote w:id="45">
    <w:p w14:paraId="4C077BB9" w14:textId="5B54BCBA" w:rsidR="008F5F4D" w:rsidRPr="00E42246" w:rsidRDefault="008F5F4D" w:rsidP="00E42246">
      <w:pPr>
        <w:pStyle w:val="FootnoteText"/>
        <w:rPr>
          <w:rFonts w:ascii="Times New Roman" w:hAnsi="Times New Roman"/>
          <w:sz w:val="18"/>
        </w:rPr>
      </w:pPr>
      <w:r w:rsidRPr="00E42246">
        <w:rPr>
          <w:rStyle w:val="FootnoteReference"/>
          <w:rFonts w:ascii="Times New Roman" w:hAnsi="Times New Roman"/>
          <w:sz w:val="18"/>
        </w:rPr>
        <w:footnoteRef/>
      </w:r>
      <w:r w:rsidRPr="00E42246">
        <w:rPr>
          <w:rFonts w:ascii="Times New Roman" w:hAnsi="Times New Roman"/>
          <w:sz w:val="18"/>
        </w:rPr>
        <w:t xml:space="preserve"> S37 </w:t>
      </w:r>
      <w:r w:rsidR="003F35CB" w:rsidRPr="00E42246">
        <w:rPr>
          <w:rFonts w:ascii="Times New Roman" w:hAnsi="Times New Roman"/>
          <w:sz w:val="18"/>
        </w:rPr>
        <w:t xml:space="preserve">Nationality and Borders Act 2022. </w:t>
      </w:r>
      <w:r w:rsidR="00C20249" w:rsidRPr="00E42246">
        <w:rPr>
          <w:rFonts w:ascii="Times New Roman" w:hAnsi="Times New Roman"/>
          <w:sz w:val="18"/>
        </w:rPr>
        <w:t xml:space="preserve"> </w:t>
      </w:r>
    </w:p>
  </w:footnote>
  <w:footnote w:id="46">
    <w:p w14:paraId="5B84EA72" w14:textId="770BF8DF" w:rsidR="00FE0654" w:rsidRPr="00E42246" w:rsidRDefault="00FE0654" w:rsidP="00E42246">
      <w:pPr>
        <w:pStyle w:val="FootnoteText"/>
        <w:rPr>
          <w:rFonts w:ascii="Times New Roman" w:hAnsi="Times New Roman"/>
          <w:sz w:val="18"/>
        </w:rPr>
      </w:pPr>
      <w:r w:rsidRPr="00E42246">
        <w:rPr>
          <w:rStyle w:val="FootnoteReference"/>
          <w:rFonts w:ascii="Times New Roman" w:hAnsi="Times New Roman"/>
          <w:sz w:val="18"/>
        </w:rPr>
        <w:footnoteRef/>
      </w:r>
      <w:r w:rsidRPr="00E42246">
        <w:rPr>
          <w:rFonts w:ascii="Times New Roman" w:hAnsi="Times New Roman"/>
          <w:sz w:val="18"/>
        </w:rPr>
        <w:t xml:space="preserve"> Melanie Gower, </w:t>
      </w:r>
      <w:r w:rsidRPr="00E42246">
        <w:rPr>
          <w:rFonts w:ascii="Times New Roman" w:hAnsi="Times New Roman"/>
          <w:i/>
          <w:iCs/>
          <w:sz w:val="18"/>
        </w:rPr>
        <w:t>Article 31 of the Refugee Convention</w:t>
      </w:r>
      <w:r w:rsidRPr="00E42246">
        <w:rPr>
          <w:rFonts w:ascii="Times New Roman" w:hAnsi="Times New Roman"/>
          <w:sz w:val="18"/>
        </w:rPr>
        <w:t xml:space="preserve">, </w:t>
      </w:r>
      <w:r w:rsidR="009F3170" w:rsidRPr="00E42246">
        <w:rPr>
          <w:rFonts w:ascii="Times New Roman" w:hAnsi="Times New Roman"/>
          <w:sz w:val="18"/>
        </w:rPr>
        <w:t>(</w:t>
      </w:r>
      <w:r w:rsidRPr="00E42246">
        <w:rPr>
          <w:rFonts w:ascii="Times New Roman" w:hAnsi="Times New Roman"/>
          <w:sz w:val="18"/>
        </w:rPr>
        <w:t xml:space="preserve">House of Commons Library </w:t>
      </w:r>
      <w:r w:rsidR="00431884" w:rsidRPr="00E42246">
        <w:rPr>
          <w:rFonts w:ascii="Times New Roman" w:hAnsi="Times New Roman"/>
          <w:sz w:val="18"/>
        </w:rPr>
        <w:t>Research Briefing</w:t>
      </w:r>
      <w:r w:rsidR="009F3170" w:rsidRPr="00E42246">
        <w:rPr>
          <w:rFonts w:ascii="Times New Roman" w:hAnsi="Times New Roman"/>
          <w:sz w:val="18"/>
        </w:rPr>
        <w:t xml:space="preserve"> 2021)</w:t>
      </w:r>
      <w:r w:rsidR="003B4DC5" w:rsidRPr="00E42246">
        <w:rPr>
          <w:rFonts w:ascii="Times New Roman" w:hAnsi="Times New Roman"/>
          <w:sz w:val="18"/>
        </w:rPr>
        <w:t xml:space="preserve">; </w:t>
      </w:r>
      <w:r w:rsidR="006E55F4" w:rsidRPr="00E42246">
        <w:rPr>
          <w:rFonts w:ascii="Times New Roman" w:hAnsi="Times New Roman"/>
          <w:sz w:val="18"/>
        </w:rPr>
        <w:t xml:space="preserve">UK Parliament, </w:t>
      </w:r>
      <w:r w:rsidR="006E55F4" w:rsidRPr="00E42246">
        <w:rPr>
          <w:rFonts w:ascii="Times New Roman" w:hAnsi="Times New Roman"/>
          <w:i/>
          <w:iCs/>
          <w:sz w:val="18"/>
        </w:rPr>
        <w:t xml:space="preserve">Nationality and Borders </w:t>
      </w:r>
      <w:r w:rsidR="006E4A36" w:rsidRPr="00E42246">
        <w:rPr>
          <w:rFonts w:ascii="Times New Roman" w:hAnsi="Times New Roman"/>
          <w:i/>
          <w:iCs/>
          <w:sz w:val="18"/>
        </w:rPr>
        <w:t xml:space="preserve">Act </w:t>
      </w:r>
      <w:r w:rsidR="006E55F4" w:rsidRPr="00E42246">
        <w:rPr>
          <w:rFonts w:ascii="Times New Roman" w:hAnsi="Times New Roman"/>
          <w:i/>
          <w:iCs/>
          <w:sz w:val="18"/>
        </w:rPr>
        <w:t>Explanatory Notes</w:t>
      </w:r>
      <w:r w:rsidR="009F3170" w:rsidRPr="00E42246">
        <w:rPr>
          <w:rFonts w:ascii="Times New Roman" w:hAnsi="Times New Roman"/>
          <w:sz w:val="18"/>
        </w:rPr>
        <w:t xml:space="preserve"> (2022)</w:t>
      </w:r>
      <w:r w:rsidR="006E55F4" w:rsidRPr="00E42246">
        <w:rPr>
          <w:rFonts w:ascii="Times New Roman" w:hAnsi="Times New Roman"/>
          <w:sz w:val="18"/>
        </w:rPr>
        <w:t xml:space="preserve">, at </w:t>
      </w:r>
      <w:r w:rsidR="00563C25" w:rsidRPr="00E42246">
        <w:rPr>
          <w:rFonts w:ascii="Times New Roman" w:hAnsi="Times New Roman"/>
          <w:sz w:val="18"/>
        </w:rPr>
        <w:t>paras 21, 23, 1</w:t>
      </w:r>
      <w:r w:rsidR="006E4A36" w:rsidRPr="00E42246">
        <w:rPr>
          <w:rFonts w:ascii="Times New Roman" w:hAnsi="Times New Roman"/>
          <w:sz w:val="18"/>
        </w:rPr>
        <w:t>61</w:t>
      </w:r>
      <w:r w:rsidR="00563C25" w:rsidRPr="00E42246">
        <w:rPr>
          <w:rFonts w:ascii="Times New Roman" w:hAnsi="Times New Roman"/>
          <w:sz w:val="18"/>
        </w:rPr>
        <w:t xml:space="preserve">; </w:t>
      </w:r>
      <w:r w:rsidR="003B4DC5" w:rsidRPr="00E42246">
        <w:rPr>
          <w:rFonts w:ascii="Times New Roman" w:hAnsi="Times New Roman"/>
          <w:sz w:val="18"/>
        </w:rPr>
        <w:t>UK Home Office</w:t>
      </w:r>
      <w:r w:rsidR="009F3170" w:rsidRPr="00E42246">
        <w:rPr>
          <w:rFonts w:ascii="Times New Roman" w:hAnsi="Times New Roman"/>
          <w:sz w:val="18"/>
        </w:rPr>
        <w:t>,</w:t>
      </w:r>
      <w:r w:rsidR="003B4DC5" w:rsidRPr="00E42246">
        <w:rPr>
          <w:rFonts w:ascii="Times New Roman" w:hAnsi="Times New Roman"/>
          <w:sz w:val="18"/>
        </w:rPr>
        <w:t xml:space="preserve"> </w:t>
      </w:r>
      <w:r w:rsidR="003B4DC5" w:rsidRPr="00E42246">
        <w:rPr>
          <w:rFonts w:ascii="Times New Roman" w:hAnsi="Times New Roman"/>
          <w:i/>
          <w:iCs/>
          <w:sz w:val="18"/>
        </w:rPr>
        <w:t>Policy paper: Nationality and Borders Bill: inadmissibility for those travelling through or with a connection to safe third countries</w:t>
      </w:r>
      <w:r w:rsidR="009F3170" w:rsidRPr="00E42246">
        <w:rPr>
          <w:rFonts w:ascii="Times New Roman" w:hAnsi="Times New Roman"/>
          <w:sz w:val="18"/>
        </w:rPr>
        <w:t xml:space="preserve"> (2021)</w:t>
      </w:r>
      <w:r w:rsidR="003B4DC5" w:rsidRPr="00E42246">
        <w:rPr>
          <w:rFonts w:ascii="Times New Roman" w:hAnsi="Times New Roman"/>
          <w:sz w:val="18"/>
        </w:rPr>
        <w:t xml:space="preserve">, para 1. </w:t>
      </w:r>
    </w:p>
  </w:footnote>
  <w:footnote w:id="47">
    <w:p w14:paraId="053E5842" w14:textId="28B4D0AE" w:rsidR="008A01F9" w:rsidRPr="00E42246" w:rsidRDefault="008A01F9" w:rsidP="00E42246">
      <w:pPr>
        <w:pStyle w:val="FootnoteText"/>
        <w:rPr>
          <w:rFonts w:ascii="Times New Roman" w:hAnsi="Times New Roman" w:cs="Times New Roman"/>
          <w:sz w:val="18"/>
        </w:rPr>
      </w:pPr>
      <w:r w:rsidRPr="00E42246">
        <w:rPr>
          <w:rStyle w:val="FootnoteReference"/>
          <w:rFonts w:ascii="Times New Roman" w:hAnsi="Times New Roman" w:cs="Times New Roman"/>
          <w:sz w:val="18"/>
        </w:rPr>
        <w:footnoteRef/>
      </w:r>
      <w:r w:rsidRPr="00E42246">
        <w:rPr>
          <w:rFonts w:ascii="Times New Roman" w:hAnsi="Times New Roman" w:cs="Times New Roman"/>
          <w:sz w:val="18"/>
        </w:rPr>
        <w:t xml:space="preserve"> UNHCR </w:t>
      </w:r>
      <w:r w:rsidRPr="00E42246">
        <w:rPr>
          <w:rFonts w:ascii="Times New Roman" w:hAnsi="Times New Roman" w:cs="Times New Roman"/>
          <w:i/>
          <w:iCs/>
          <w:sz w:val="18"/>
        </w:rPr>
        <w:t>Updated Observations on the Nationality and Borders Bill</w:t>
      </w:r>
      <w:r w:rsidR="003F35CB" w:rsidRPr="00E42246">
        <w:rPr>
          <w:rFonts w:ascii="Times New Roman" w:hAnsi="Times New Roman" w:cs="Times New Roman"/>
          <w:sz w:val="18"/>
        </w:rPr>
        <w:t xml:space="preserve">, </w:t>
      </w:r>
      <w:r w:rsidRPr="00E42246">
        <w:rPr>
          <w:rFonts w:ascii="Times New Roman" w:hAnsi="Times New Roman" w:cs="Times New Roman"/>
          <w:sz w:val="18"/>
        </w:rPr>
        <w:t>January 2022, para 236</w:t>
      </w:r>
      <w:r w:rsidR="003F35CB" w:rsidRPr="00E42246">
        <w:rPr>
          <w:rFonts w:ascii="Times New Roman" w:hAnsi="Times New Roman" w:cs="Times New Roman"/>
          <w:sz w:val="18"/>
        </w:rPr>
        <w:t xml:space="preserve"> </w:t>
      </w:r>
      <w:r w:rsidRPr="00E42246">
        <w:rPr>
          <w:rFonts w:ascii="Times New Roman" w:hAnsi="Times New Roman"/>
          <w:sz w:val="18"/>
        </w:rPr>
        <w:t xml:space="preserve">citing </w:t>
      </w:r>
      <w:r w:rsidRPr="00E42246">
        <w:rPr>
          <w:rFonts w:ascii="Times New Roman" w:hAnsi="Times New Roman"/>
          <w:i/>
          <w:iCs/>
          <w:sz w:val="18"/>
        </w:rPr>
        <w:t>Adimi</w:t>
      </w:r>
      <w:r w:rsidRPr="00E42246">
        <w:rPr>
          <w:rFonts w:ascii="Times New Roman" w:hAnsi="Times New Roman"/>
          <w:sz w:val="18"/>
        </w:rPr>
        <w:t xml:space="preserve">, </w:t>
      </w:r>
      <w:r w:rsidRPr="00E42246">
        <w:rPr>
          <w:rFonts w:ascii="Times New Roman" w:hAnsi="Times New Roman"/>
          <w:i/>
          <w:iCs/>
          <w:sz w:val="18"/>
        </w:rPr>
        <w:t>Asfaw</w:t>
      </w:r>
      <w:r w:rsidRPr="00E42246">
        <w:rPr>
          <w:rFonts w:ascii="Times New Roman" w:hAnsi="Times New Roman"/>
          <w:sz w:val="18"/>
        </w:rPr>
        <w:t xml:space="preserve"> and </w:t>
      </w:r>
      <w:r w:rsidRPr="00E42246">
        <w:rPr>
          <w:rFonts w:ascii="Times New Roman" w:hAnsi="Times New Roman"/>
          <w:i/>
          <w:iCs/>
          <w:sz w:val="18"/>
        </w:rPr>
        <w:t>Mateta</w:t>
      </w:r>
      <w:r w:rsidR="003F35CB" w:rsidRPr="00E42246">
        <w:rPr>
          <w:rFonts w:ascii="Times New Roman" w:hAnsi="Times New Roman"/>
          <w:i/>
          <w:iCs/>
          <w:sz w:val="18"/>
        </w:rPr>
        <w:t xml:space="preserve">. </w:t>
      </w:r>
      <w:r w:rsidR="005560C6" w:rsidRPr="00E42246">
        <w:rPr>
          <w:rFonts w:ascii="Times New Roman" w:hAnsi="Times New Roman"/>
          <w:i/>
          <w:iCs/>
          <w:sz w:val="18"/>
        </w:rPr>
        <w:t xml:space="preserve"> </w:t>
      </w:r>
    </w:p>
  </w:footnote>
  <w:footnote w:id="48">
    <w:p w14:paraId="6208C943" w14:textId="050D8A8B" w:rsidR="00CF2681" w:rsidRPr="00E42246" w:rsidRDefault="00CF2681" w:rsidP="00E42246">
      <w:pPr>
        <w:pStyle w:val="FootnoteText"/>
        <w:rPr>
          <w:rFonts w:ascii="Times New Roman" w:hAnsi="Times New Roman"/>
          <w:sz w:val="18"/>
          <w:highlight w:val="yellow"/>
        </w:rPr>
      </w:pPr>
      <w:r w:rsidRPr="00BE3E54">
        <w:rPr>
          <w:rStyle w:val="FootnoteReference"/>
          <w:rFonts w:ascii="Times New Roman" w:hAnsi="Times New Roman"/>
          <w:sz w:val="18"/>
        </w:rPr>
        <w:footnoteRef/>
      </w:r>
      <w:r w:rsidRPr="00BE3E54">
        <w:rPr>
          <w:rFonts w:ascii="Times New Roman" w:hAnsi="Times New Roman"/>
          <w:sz w:val="18"/>
        </w:rPr>
        <w:t xml:space="preserve"> </w:t>
      </w:r>
      <w:r w:rsidR="00BE3E54" w:rsidRPr="00BE3E54">
        <w:rPr>
          <w:rFonts w:ascii="Times New Roman" w:hAnsi="Times New Roman"/>
          <w:sz w:val="18"/>
        </w:rPr>
        <w:t xml:space="preserve">s.12 Nationality and Borders Act 2022. </w:t>
      </w:r>
    </w:p>
  </w:footnote>
  <w:footnote w:id="49">
    <w:p w14:paraId="6062D38E" w14:textId="6E4BE0C6" w:rsidR="001862E2" w:rsidRPr="00E42246" w:rsidRDefault="001862E2" w:rsidP="00E42246">
      <w:pPr>
        <w:pStyle w:val="FootnoteText"/>
        <w:rPr>
          <w:rFonts w:ascii="Times New Roman" w:hAnsi="Times New Roman"/>
          <w:sz w:val="18"/>
        </w:rPr>
      </w:pPr>
      <w:r w:rsidRPr="00E42246">
        <w:rPr>
          <w:rStyle w:val="FootnoteReference"/>
          <w:rFonts w:ascii="Times New Roman" w:hAnsi="Times New Roman"/>
          <w:sz w:val="18"/>
        </w:rPr>
        <w:footnoteRef/>
      </w:r>
      <w:r w:rsidRPr="00E42246">
        <w:rPr>
          <w:rFonts w:ascii="Times New Roman" w:hAnsi="Times New Roman"/>
          <w:sz w:val="18"/>
        </w:rPr>
        <w:t xml:space="preserve"> </w:t>
      </w:r>
      <w:r w:rsidR="00CA3536" w:rsidRPr="00E42246">
        <w:rPr>
          <w:rFonts w:ascii="Times New Roman" w:hAnsi="Times New Roman"/>
          <w:sz w:val="18"/>
        </w:rPr>
        <w:t xml:space="preserve">Lack of compliance with article 31 </w:t>
      </w:r>
      <w:r w:rsidR="00CA3536" w:rsidRPr="00E42246">
        <w:rPr>
          <w:rFonts w:ascii="Times New Roman" w:hAnsi="Times New Roman"/>
          <w:i/>
          <w:iCs/>
          <w:sz w:val="18"/>
        </w:rPr>
        <w:t>was</w:t>
      </w:r>
      <w:r w:rsidR="00CA3536" w:rsidRPr="00E42246">
        <w:rPr>
          <w:rFonts w:ascii="Times New Roman" w:hAnsi="Times New Roman"/>
          <w:sz w:val="18"/>
        </w:rPr>
        <w:t xml:space="preserve"> considered by </w:t>
      </w:r>
      <w:r w:rsidRPr="00E42246">
        <w:rPr>
          <w:rFonts w:ascii="Times New Roman" w:hAnsi="Times New Roman"/>
          <w:sz w:val="18"/>
        </w:rPr>
        <w:t xml:space="preserve">UNHCR </w:t>
      </w:r>
      <w:r w:rsidR="00CA3536" w:rsidRPr="00E42246">
        <w:rPr>
          <w:rFonts w:ascii="Times New Roman" w:hAnsi="Times New Roman"/>
          <w:sz w:val="18"/>
        </w:rPr>
        <w:t xml:space="preserve">in its comments on the Illegal Migration Act, e.g. at </w:t>
      </w:r>
      <w:r w:rsidRPr="00E42246">
        <w:rPr>
          <w:rFonts w:ascii="Times New Roman" w:hAnsi="Times New Roman"/>
          <w:sz w:val="18"/>
        </w:rPr>
        <w:t>para 21 “UNHCR is also concerned that the relocation of asylum seekers from the UK to Rwanda is not in accordance with Article 31(1) of the 1951 Convention. [..]the term “penalties” should be interpreted broadly, referring to any criminal or administrative measure taken by the State that has a detrimental effect on the refugee or asylum seeker.”</w:t>
      </w:r>
    </w:p>
  </w:footnote>
  <w:footnote w:id="50">
    <w:p w14:paraId="16B10D89" w14:textId="6A19181E" w:rsidR="005167A5" w:rsidRPr="00E42246" w:rsidRDefault="005167A5" w:rsidP="00E42246">
      <w:pPr>
        <w:pStyle w:val="FootnoteText"/>
        <w:rPr>
          <w:rFonts w:ascii="Times New Roman" w:hAnsi="Times New Roman"/>
          <w:sz w:val="18"/>
        </w:rPr>
      </w:pPr>
      <w:r w:rsidRPr="00E42246">
        <w:rPr>
          <w:rStyle w:val="FootnoteReference"/>
          <w:rFonts w:ascii="Times New Roman" w:hAnsi="Times New Roman"/>
          <w:sz w:val="18"/>
        </w:rPr>
        <w:footnoteRef/>
      </w:r>
      <w:r w:rsidRPr="00E42246">
        <w:rPr>
          <w:rFonts w:ascii="Times New Roman" w:hAnsi="Times New Roman"/>
          <w:sz w:val="18"/>
        </w:rPr>
        <w:t xml:space="preserve"> CJEU- C481/13 </w:t>
      </w:r>
      <w:proofErr w:type="spellStart"/>
      <w:r w:rsidRPr="00E42246">
        <w:rPr>
          <w:rFonts w:ascii="Times New Roman" w:hAnsi="Times New Roman"/>
          <w:i/>
          <w:iCs/>
          <w:sz w:val="18"/>
        </w:rPr>
        <w:t>Mohammah</w:t>
      </w:r>
      <w:proofErr w:type="spellEnd"/>
      <w:r w:rsidRPr="00E42246">
        <w:rPr>
          <w:rFonts w:ascii="Times New Roman" w:hAnsi="Times New Roman"/>
          <w:i/>
          <w:iCs/>
          <w:sz w:val="18"/>
        </w:rPr>
        <w:t xml:space="preserve"> </w:t>
      </w:r>
      <w:proofErr w:type="spellStart"/>
      <w:r w:rsidRPr="00E42246">
        <w:rPr>
          <w:rFonts w:ascii="Times New Roman" w:hAnsi="Times New Roman"/>
          <w:i/>
          <w:iCs/>
          <w:sz w:val="18"/>
        </w:rPr>
        <w:t>Ferooz</w:t>
      </w:r>
      <w:proofErr w:type="spellEnd"/>
      <w:r w:rsidRPr="00E42246">
        <w:rPr>
          <w:rFonts w:ascii="Times New Roman" w:hAnsi="Times New Roman"/>
          <w:i/>
          <w:iCs/>
          <w:sz w:val="18"/>
        </w:rPr>
        <w:t xml:space="preserve"> Qurbani</w:t>
      </w:r>
      <w:r w:rsidRPr="00E42246">
        <w:rPr>
          <w:rFonts w:ascii="Times New Roman" w:hAnsi="Times New Roman"/>
          <w:sz w:val="18"/>
        </w:rPr>
        <w:t xml:space="preserve">; Cathryn Costello, Yulia Ioffe, </w:t>
      </w:r>
      <w:r w:rsidR="00CD3585" w:rsidRPr="00E42246">
        <w:rPr>
          <w:rFonts w:ascii="Times New Roman" w:hAnsi="Times New Roman"/>
          <w:sz w:val="18"/>
        </w:rPr>
        <w:t>‘</w:t>
      </w:r>
      <w:r w:rsidRPr="00E42246">
        <w:rPr>
          <w:rFonts w:ascii="Times New Roman" w:hAnsi="Times New Roman"/>
          <w:sz w:val="18"/>
        </w:rPr>
        <w:t>Non-penalization and non-criminalization</w:t>
      </w:r>
      <w:r w:rsidR="00CD3585" w:rsidRPr="00E42246">
        <w:rPr>
          <w:rFonts w:ascii="Times New Roman" w:hAnsi="Times New Roman"/>
          <w:sz w:val="18"/>
        </w:rPr>
        <w:t>’ in Costello, C., Foster, M. and McAdam, J. (eds)</w:t>
      </w:r>
      <w:r w:rsidRPr="00E42246">
        <w:rPr>
          <w:rFonts w:ascii="Times New Roman" w:hAnsi="Times New Roman"/>
          <w:sz w:val="18"/>
        </w:rPr>
        <w:t xml:space="preserve"> </w:t>
      </w:r>
      <w:r w:rsidRPr="00E42246">
        <w:rPr>
          <w:rFonts w:ascii="Times New Roman" w:hAnsi="Times New Roman"/>
          <w:i/>
          <w:iCs/>
          <w:sz w:val="18"/>
        </w:rPr>
        <w:t>The Oxford Handbook of International Refugee Law</w:t>
      </w:r>
      <w:r w:rsidRPr="00E42246">
        <w:rPr>
          <w:rFonts w:ascii="Times New Roman" w:hAnsi="Times New Roman"/>
          <w:sz w:val="18"/>
        </w:rPr>
        <w:t xml:space="preserve">, </w:t>
      </w:r>
      <w:r w:rsidR="00CD3585" w:rsidRPr="00E42246">
        <w:rPr>
          <w:rFonts w:ascii="Times New Roman" w:hAnsi="Times New Roman"/>
          <w:sz w:val="18"/>
        </w:rPr>
        <w:t>(</w:t>
      </w:r>
      <w:r w:rsidRPr="00E42246">
        <w:rPr>
          <w:rFonts w:ascii="Times New Roman" w:hAnsi="Times New Roman"/>
          <w:sz w:val="18"/>
        </w:rPr>
        <w:t>OUP</w:t>
      </w:r>
      <w:r w:rsidR="00CD3585" w:rsidRPr="00E42246">
        <w:rPr>
          <w:rFonts w:ascii="Times New Roman" w:hAnsi="Times New Roman"/>
          <w:sz w:val="18"/>
        </w:rPr>
        <w:t xml:space="preserve"> 2021), </w:t>
      </w:r>
      <w:r w:rsidRPr="00E42246">
        <w:rPr>
          <w:rFonts w:ascii="Times New Roman" w:hAnsi="Times New Roman"/>
          <w:sz w:val="18"/>
        </w:rPr>
        <w:t>927.</w:t>
      </w:r>
    </w:p>
  </w:footnote>
  <w:footnote w:id="51">
    <w:p w14:paraId="2E1CD2E5" w14:textId="00E42A05" w:rsidR="00D321DF" w:rsidRPr="00E42246" w:rsidRDefault="00D321DF" w:rsidP="00E42246">
      <w:pPr>
        <w:spacing w:after="0" w:line="240" w:lineRule="auto"/>
        <w:jc w:val="both"/>
        <w:rPr>
          <w:rFonts w:ascii="Times New Roman" w:hAnsi="Times New Roman"/>
          <w:sz w:val="18"/>
        </w:rPr>
      </w:pPr>
      <w:r w:rsidRPr="00E42246">
        <w:rPr>
          <w:rStyle w:val="FootnoteReference"/>
          <w:rFonts w:ascii="Times New Roman" w:hAnsi="Times New Roman"/>
          <w:sz w:val="18"/>
        </w:rPr>
        <w:footnoteRef/>
      </w:r>
      <w:r w:rsidRPr="00E42246">
        <w:rPr>
          <w:rFonts w:ascii="Times New Roman" w:hAnsi="Times New Roman"/>
          <w:sz w:val="18"/>
        </w:rPr>
        <w:t xml:space="preserve"> UNHCR </w:t>
      </w:r>
      <w:r w:rsidR="00CD3585" w:rsidRPr="00E42246">
        <w:rPr>
          <w:rFonts w:ascii="Times New Roman" w:hAnsi="Times New Roman"/>
          <w:sz w:val="18"/>
        </w:rPr>
        <w:t xml:space="preserve">GIP 14 </w:t>
      </w:r>
      <w:r w:rsidRPr="00E42246">
        <w:rPr>
          <w:rFonts w:ascii="Times New Roman" w:hAnsi="Times New Roman"/>
          <w:sz w:val="18"/>
        </w:rPr>
        <w:t>(2024)</w:t>
      </w:r>
      <w:r w:rsidR="00CD3585" w:rsidRPr="00E42246">
        <w:rPr>
          <w:rFonts w:ascii="Times New Roman" w:hAnsi="Times New Roman"/>
          <w:sz w:val="18"/>
        </w:rPr>
        <w:t xml:space="preserve">, </w:t>
      </w:r>
      <w:r w:rsidRPr="00E42246">
        <w:rPr>
          <w:rFonts w:ascii="Times New Roman" w:hAnsi="Times New Roman"/>
          <w:sz w:val="18"/>
        </w:rPr>
        <w:t>para 16: “When implemented in line with relevant safeguards and conditions pursuant to international law, the transfer of a refugee or asylum-seeker to an intermediate country in application of a safe third country concept would not be prohibited by Article 31(1).</w:t>
      </w:r>
      <w:r w:rsidR="00CD3585" w:rsidRPr="00E42246">
        <w:rPr>
          <w:rFonts w:ascii="Times New Roman" w:hAnsi="Times New Roman"/>
          <w:sz w:val="18"/>
        </w:rPr>
        <w:t>”</w:t>
      </w:r>
      <w:r w:rsidRPr="00E42246">
        <w:rPr>
          <w:rFonts w:ascii="Times New Roman" w:hAnsi="Times New Roman"/>
          <w:sz w:val="18"/>
        </w:rPr>
        <w:t xml:space="preserve"> The UK-Rwanda arrangements were considered by the UK Supreme Court in </w:t>
      </w:r>
      <w:r w:rsidRPr="00E42246">
        <w:rPr>
          <w:rFonts w:ascii="Times New Roman" w:hAnsi="Times New Roman"/>
          <w:i/>
          <w:iCs/>
          <w:sz w:val="18"/>
        </w:rPr>
        <w:t xml:space="preserve">AAA v SSHD: </w:t>
      </w:r>
      <w:r w:rsidRPr="00E42246">
        <w:rPr>
          <w:rFonts w:ascii="Times New Roman" w:hAnsi="Times New Roman"/>
          <w:sz w:val="18"/>
        </w:rPr>
        <w:t>There is, therefore, a clear consensus… the Claimants’ article 31 submission merges with their submission on whether Rwanda is a safe third country. If it is a safe third country, decisions taken in exercise of the powers in paragraphs 345A – 345D of the Immigration Rules are not in breach of article 31; if, however, Rwanda is not a safe third country, removal would be both contrary to paragraph 345C of the Immigration Rules and to both article 31 and article 33 of the Refugee Convention. (para 125)</w:t>
      </w:r>
    </w:p>
  </w:footnote>
  <w:footnote w:id="52">
    <w:p w14:paraId="22D355B6" w14:textId="6AAA7C25" w:rsidR="00D321DF" w:rsidRPr="00E42246" w:rsidRDefault="00D321DF" w:rsidP="00E42246">
      <w:pPr>
        <w:pStyle w:val="FootnoteText"/>
        <w:rPr>
          <w:rFonts w:ascii="Times New Roman" w:hAnsi="Times New Roman" w:cs="Times New Roman"/>
          <w:sz w:val="18"/>
        </w:rPr>
      </w:pPr>
      <w:r w:rsidRPr="00E42246">
        <w:rPr>
          <w:rStyle w:val="FootnoteReference"/>
          <w:rFonts w:ascii="Times New Roman" w:hAnsi="Times New Roman" w:cs="Times New Roman"/>
          <w:sz w:val="18"/>
        </w:rPr>
        <w:footnoteRef/>
      </w:r>
      <w:r w:rsidRPr="00E42246">
        <w:rPr>
          <w:rFonts w:ascii="Times New Roman" w:hAnsi="Times New Roman" w:cs="Times New Roman"/>
          <w:sz w:val="18"/>
        </w:rPr>
        <w:t xml:space="preserve"> Cristina Saenz Perez ‘The Securitization of Asylum: A Review of UK Asylum Laws Post-Brexit’</w:t>
      </w:r>
      <w:r w:rsidR="00CD3585" w:rsidRPr="00E42246">
        <w:rPr>
          <w:rFonts w:ascii="Times New Roman" w:hAnsi="Times New Roman" w:cs="Times New Roman"/>
          <w:sz w:val="18"/>
        </w:rPr>
        <w:t xml:space="preserve"> (2023) </w:t>
      </w:r>
      <w:r w:rsidRPr="00E42246">
        <w:rPr>
          <w:rFonts w:ascii="Times New Roman" w:hAnsi="Times New Roman" w:cs="Times New Roman"/>
          <w:sz w:val="18"/>
        </w:rPr>
        <w:t>35</w:t>
      </w:r>
      <w:r w:rsidR="00CD3585" w:rsidRPr="00E42246">
        <w:rPr>
          <w:rFonts w:ascii="Times New Roman" w:hAnsi="Times New Roman" w:cs="Times New Roman"/>
          <w:sz w:val="18"/>
        </w:rPr>
        <w:t xml:space="preserve"> </w:t>
      </w:r>
      <w:r w:rsidR="00CD3585" w:rsidRPr="00E42246">
        <w:rPr>
          <w:rFonts w:ascii="Times New Roman" w:hAnsi="Times New Roman" w:cs="Times New Roman"/>
          <w:i/>
          <w:iCs/>
          <w:sz w:val="18"/>
        </w:rPr>
        <w:t>International Journal of Refugee Law</w:t>
      </w:r>
      <w:r w:rsidRPr="00E42246">
        <w:rPr>
          <w:rFonts w:ascii="Times New Roman" w:hAnsi="Times New Roman" w:cs="Times New Roman"/>
          <w:sz w:val="18"/>
        </w:rPr>
        <w:t xml:space="preserve"> 304-321. </w:t>
      </w:r>
    </w:p>
  </w:footnote>
  <w:footnote w:id="53">
    <w:p w14:paraId="208BFBA3" w14:textId="24616392" w:rsidR="00D321DF" w:rsidRPr="00E42246" w:rsidRDefault="00D321DF" w:rsidP="00E42246">
      <w:pPr>
        <w:pStyle w:val="FootnoteText"/>
        <w:rPr>
          <w:rFonts w:ascii="Times New Roman" w:hAnsi="Times New Roman" w:cs="Times New Roman"/>
          <w:sz w:val="18"/>
        </w:rPr>
      </w:pPr>
      <w:r w:rsidRPr="00E42246">
        <w:rPr>
          <w:rStyle w:val="FootnoteReference"/>
          <w:rFonts w:ascii="Times New Roman" w:hAnsi="Times New Roman" w:cs="Times New Roman"/>
          <w:sz w:val="18"/>
        </w:rPr>
        <w:footnoteRef/>
      </w:r>
      <w:r w:rsidRPr="00E42246">
        <w:rPr>
          <w:rFonts w:ascii="Times New Roman" w:hAnsi="Times New Roman" w:cs="Times New Roman"/>
          <w:sz w:val="18"/>
        </w:rPr>
        <w:t xml:space="preserve"> Costello and Ioffe, </w:t>
      </w:r>
      <w:r w:rsidR="007C636D" w:rsidRPr="00E42246">
        <w:rPr>
          <w:rFonts w:ascii="Times New Roman" w:hAnsi="Times New Roman" w:cs="Times New Roman"/>
          <w:i/>
          <w:iCs/>
          <w:sz w:val="18"/>
        </w:rPr>
        <w:t xml:space="preserve">supra </w:t>
      </w:r>
      <w:r w:rsidR="007C636D" w:rsidRPr="00E42246">
        <w:rPr>
          <w:rFonts w:ascii="Times New Roman" w:hAnsi="Times New Roman" w:cs="Times New Roman"/>
          <w:sz w:val="18"/>
        </w:rPr>
        <w:t xml:space="preserve">n49 at </w:t>
      </w:r>
      <w:r w:rsidRPr="00E42246">
        <w:rPr>
          <w:rFonts w:ascii="Times New Roman" w:hAnsi="Times New Roman" w:cs="Times New Roman"/>
          <w:sz w:val="18"/>
        </w:rPr>
        <w:t xml:space="preserve">926. </w:t>
      </w:r>
    </w:p>
  </w:footnote>
  <w:footnote w:id="54">
    <w:p w14:paraId="6821F933" w14:textId="1B38204B" w:rsidR="00CE406B" w:rsidRPr="00E42246" w:rsidRDefault="00CE406B" w:rsidP="00E42246">
      <w:pPr>
        <w:pStyle w:val="FootnoteText"/>
        <w:rPr>
          <w:rFonts w:ascii="Times New Roman" w:hAnsi="Times New Roman"/>
          <w:sz w:val="18"/>
        </w:rPr>
      </w:pPr>
      <w:r w:rsidRPr="00E42246">
        <w:rPr>
          <w:rStyle w:val="FootnoteReference"/>
          <w:rFonts w:ascii="Times New Roman" w:hAnsi="Times New Roman"/>
          <w:sz w:val="18"/>
        </w:rPr>
        <w:footnoteRef/>
      </w:r>
      <w:r w:rsidRPr="00E42246">
        <w:rPr>
          <w:rFonts w:ascii="Times New Roman" w:hAnsi="Times New Roman"/>
          <w:sz w:val="18"/>
        </w:rPr>
        <w:t xml:space="preserve"> S1(1) Illegal Migration Act 2023. </w:t>
      </w:r>
    </w:p>
  </w:footnote>
  <w:footnote w:id="55">
    <w:p w14:paraId="1D50DC50" w14:textId="6387A149" w:rsidR="00430EB0" w:rsidRPr="00E42246" w:rsidRDefault="00430EB0" w:rsidP="00E42246">
      <w:pPr>
        <w:pStyle w:val="FootnoteText"/>
        <w:rPr>
          <w:rFonts w:ascii="Times New Roman" w:hAnsi="Times New Roman"/>
          <w:sz w:val="18"/>
        </w:rPr>
      </w:pPr>
      <w:r w:rsidRPr="00E42246">
        <w:rPr>
          <w:rStyle w:val="FootnoteReference"/>
          <w:rFonts w:ascii="Times New Roman" w:hAnsi="Times New Roman"/>
          <w:sz w:val="18"/>
        </w:rPr>
        <w:footnoteRef/>
      </w:r>
      <w:r w:rsidRPr="00E42246">
        <w:rPr>
          <w:rFonts w:ascii="Times New Roman" w:hAnsi="Times New Roman"/>
          <w:sz w:val="18"/>
        </w:rPr>
        <w:t xml:space="preserve"> </w:t>
      </w:r>
      <w:r w:rsidR="00106A67" w:rsidRPr="00E42246">
        <w:rPr>
          <w:rFonts w:ascii="Times New Roman" w:hAnsi="Times New Roman"/>
          <w:sz w:val="18"/>
        </w:rPr>
        <w:t xml:space="preserve">See </w:t>
      </w:r>
      <w:r w:rsidR="00F61D17" w:rsidRPr="00E42246">
        <w:rPr>
          <w:rFonts w:ascii="Times New Roman" w:hAnsi="Times New Roman"/>
          <w:sz w:val="18"/>
        </w:rPr>
        <w:t>UNHCR GIP 14</w:t>
      </w:r>
      <w:r w:rsidR="0074328B" w:rsidRPr="00E42246">
        <w:rPr>
          <w:rFonts w:ascii="Times New Roman" w:hAnsi="Times New Roman"/>
          <w:sz w:val="18"/>
        </w:rPr>
        <w:t xml:space="preserve">, para 5 </w:t>
      </w:r>
      <w:r w:rsidR="00F61D17" w:rsidRPr="00E42246">
        <w:rPr>
          <w:rFonts w:ascii="Times New Roman" w:hAnsi="Times New Roman"/>
          <w:sz w:val="18"/>
        </w:rPr>
        <w:t xml:space="preserve">“Article 31(1) is a protective clause, not an exclusion clause. It would be inconsistent with the object and purpose of the 1951 Convention, its structure, and its plain language to invoke it to justify denying a person the protection and rights that the 1951 Convention affords. </w:t>
      </w:r>
      <w:r w:rsidRPr="00E42246">
        <w:rPr>
          <w:rFonts w:ascii="Times New Roman" w:hAnsi="Times New Roman"/>
          <w:sz w:val="18"/>
        </w:rPr>
        <w:t xml:space="preserve">This adds to earlier UNHCR guidance on irregular movement which stated: “Under no circumstances, however, can a State, by way of a penalty […] prevent asylum-seekers or refugees who have arrived or are present without authorisation from applying for asylum or accessing an asylum procedure, or impose procedural or other requirements or preconditions which would in practice prevent refugees from applying or accessing such a procedure. This would deny them the right to seek asylum, contrary to the purpose of Article 31(1) and the overall objective and purpose of the 1951 Convention and its 1967 Protocol.” UNHCR </w:t>
      </w:r>
      <w:r w:rsidRPr="00E42246">
        <w:rPr>
          <w:rFonts w:ascii="Times New Roman" w:hAnsi="Times New Roman"/>
          <w:i/>
          <w:iCs/>
          <w:sz w:val="18"/>
        </w:rPr>
        <w:t>Guidance on Responding to Irregular Onward Movement of Refugees and Asylum-Seekers</w:t>
      </w:r>
      <w:r w:rsidRPr="00E42246">
        <w:rPr>
          <w:rFonts w:ascii="Times New Roman" w:hAnsi="Times New Roman"/>
          <w:sz w:val="18"/>
        </w:rPr>
        <w:t xml:space="preserve">, (UNHCR 2019) para 40. </w:t>
      </w:r>
    </w:p>
  </w:footnote>
  <w:footnote w:id="56">
    <w:p w14:paraId="5F1463AD" w14:textId="719DDFD5" w:rsidR="000C090E" w:rsidRPr="00E42246" w:rsidRDefault="000C090E" w:rsidP="00E42246">
      <w:pPr>
        <w:pStyle w:val="FootnoteText"/>
        <w:rPr>
          <w:rFonts w:ascii="Times New Roman" w:hAnsi="Times New Roman"/>
          <w:sz w:val="18"/>
        </w:rPr>
      </w:pPr>
      <w:r w:rsidRPr="00E42246">
        <w:rPr>
          <w:rStyle w:val="FootnoteReference"/>
          <w:rFonts w:ascii="Times New Roman" w:hAnsi="Times New Roman"/>
          <w:sz w:val="18"/>
        </w:rPr>
        <w:footnoteRef/>
      </w:r>
      <w:r w:rsidRPr="00E42246">
        <w:rPr>
          <w:rFonts w:ascii="Times New Roman" w:hAnsi="Times New Roman"/>
          <w:sz w:val="18"/>
        </w:rPr>
        <w:t xml:space="preserve"> Simon Brown</w:t>
      </w:r>
      <w:r w:rsidR="007C636D" w:rsidRPr="00E42246">
        <w:rPr>
          <w:rFonts w:ascii="Times New Roman" w:hAnsi="Times New Roman"/>
          <w:sz w:val="18"/>
        </w:rPr>
        <w:t xml:space="preserve">, </w:t>
      </w:r>
      <w:r w:rsidRPr="00E42246">
        <w:rPr>
          <w:rFonts w:ascii="Times New Roman" w:hAnsi="Times New Roman"/>
          <w:sz w:val="18"/>
        </w:rPr>
        <w:t xml:space="preserve">‘The Illegal Migration Bill is essential – but needs more work’. </w:t>
      </w:r>
      <w:r w:rsidRPr="00E42246">
        <w:rPr>
          <w:rFonts w:ascii="Times New Roman" w:hAnsi="Times New Roman"/>
          <w:i/>
          <w:iCs/>
          <w:sz w:val="18"/>
        </w:rPr>
        <w:t>The Telegraph</w:t>
      </w:r>
      <w:r w:rsidRPr="00E42246">
        <w:rPr>
          <w:rFonts w:ascii="Times New Roman" w:hAnsi="Times New Roman"/>
          <w:sz w:val="18"/>
        </w:rPr>
        <w:t xml:space="preserve"> 2 June 2023.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C1AD4" w14:textId="305AE95A" w:rsidR="00F468FC" w:rsidRDefault="00575354" w:rsidP="0017787C">
    <w:pPr>
      <w:pStyle w:val="Header"/>
    </w:pPr>
    <w:r>
      <w:t>K. McConnachie and S. Singer</w:t>
    </w:r>
    <w:r w:rsidR="0017787C">
      <w:t xml:space="preserve"> eds (2026) </w:t>
    </w:r>
    <w:r w:rsidRPr="00575354">
      <w:rPr>
        <w:i/>
        <w:iCs/>
      </w:rPr>
      <w:t>Landmark Cases in International Refugee Protection</w:t>
    </w:r>
    <w:r>
      <w:t>, Hart</w:t>
    </w:r>
    <w:r w:rsidR="0017787C">
      <w:t xml:space="preserve">/Bloomsbury Publishing. </w:t>
    </w:r>
  </w:p>
  <w:p w14:paraId="33A7AB51" w14:textId="77777777" w:rsidR="00F468FC" w:rsidRDefault="00F468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D265D"/>
    <w:multiLevelType w:val="hybridMultilevel"/>
    <w:tmpl w:val="82461EC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F11CF4"/>
    <w:multiLevelType w:val="hybridMultilevel"/>
    <w:tmpl w:val="EAE8768E"/>
    <w:lvl w:ilvl="0" w:tplc="26F8584C">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A406DE"/>
    <w:multiLevelType w:val="hybridMultilevel"/>
    <w:tmpl w:val="CD5822D8"/>
    <w:lvl w:ilvl="0" w:tplc="6584FF04">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0014AD"/>
    <w:multiLevelType w:val="hybridMultilevel"/>
    <w:tmpl w:val="426A3090"/>
    <w:lvl w:ilvl="0" w:tplc="A5761A7A">
      <w:start w:val="31"/>
      <w:numFmt w:val="bullet"/>
      <w:lvlText w:val="-"/>
      <w:lvlJc w:val="left"/>
      <w:pPr>
        <w:ind w:left="420" w:hanging="360"/>
      </w:pPr>
      <w:rPr>
        <w:rFonts w:ascii="Times New Roman" w:eastAsiaTheme="minorHAnsi"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4" w15:restartNumberingAfterBreak="0">
    <w:nsid w:val="06E81B18"/>
    <w:multiLevelType w:val="hybridMultilevel"/>
    <w:tmpl w:val="7994A006"/>
    <w:lvl w:ilvl="0" w:tplc="5E566664">
      <w:start w:val="2"/>
      <w:numFmt w:val="bullet"/>
      <w:lvlText w:val=""/>
      <w:lvlJc w:val="left"/>
      <w:pPr>
        <w:ind w:left="720" w:hanging="360"/>
      </w:pPr>
      <w:rPr>
        <w:rFonts w:ascii="Wingdings" w:eastAsiaTheme="minorHAns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351D27"/>
    <w:multiLevelType w:val="hybridMultilevel"/>
    <w:tmpl w:val="4A1ED628"/>
    <w:lvl w:ilvl="0" w:tplc="678A7F68">
      <w:start w:val="3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3E07F4"/>
    <w:multiLevelType w:val="hybridMultilevel"/>
    <w:tmpl w:val="6FA8D8F4"/>
    <w:lvl w:ilvl="0" w:tplc="6C848308">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CF38A4"/>
    <w:multiLevelType w:val="hybridMultilevel"/>
    <w:tmpl w:val="00EEFAEC"/>
    <w:lvl w:ilvl="0" w:tplc="BC5CB4A8">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151299"/>
    <w:multiLevelType w:val="hybridMultilevel"/>
    <w:tmpl w:val="C16A952A"/>
    <w:lvl w:ilvl="0" w:tplc="827A1C30">
      <w:start w:val="3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E50C24"/>
    <w:multiLevelType w:val="hybridMultilevel"/>
    <w:tmpl w:val="4CE417E4"/>
    <w:lvl w:ilvl="0" w:tplc="869A31A8">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EE7918"/>
    <w:multiLevelType w:val="hybridMultilevel"/>
    <w:tmpl w:val="9B78E3C2"/>
    <w:lvl w:ilvl="0" w:tplc="BC3E34DE">
      <w:start w:val="750"/>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347442"/>
    <w:multiLevelType w:val="hybridMultilevel"/>
    <w:tmpl w:val="3DC07388"/>
    <w:lvl w:ilvl="0" w:tplc="8CF2AEA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AD77B1"/>
    <w:multiLevelType w:val="hybridMultilevel"/>
    <w:tmpl w:val="1C88CF56"/>
    <w:lvl w:ilvl="0" w:tplc="CB62F2DA">
      <w:start w:val="4"/>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DE4F2B"/>
    <w:multiLevelType w:val="hybridMultilevel"/>
    <w:tmpl w:val="E4E8581C"/>
    <w:lvl w:ilvl="0" w:tplc="E28A88CE">
      <w:start w:val="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D01607"/>
    <w:multiLevelType w:val="hybridMultilevel"/>
    <w:tmpl w:val="70FE26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34E2523"/>
    <w:multiLevelType w:val="hybridMultilevel"/>
    <w:tmpl w:val="20247B7A"/>
    <w:lvl w:ilvl="0" w:tplc="D46485BC">
      <w:start w:val="3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F57ABE"/>
    <w:multiLevelType w:val="hybridMultilevel"/>
    <w:tmpl w:val="BB0A0F1A"/>
    <w:lvl w:ilvl="0" w:tplc="692065E6">
      <w:start w:val="21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C908F0"/>
    <w:multiLevelType w:val="hybridMultilevel"/>
    <w:tmpl w:val="2E64F8F2"/>
    <w:lvl w:ilvl="0" w:tplc="4356A57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2E3654"/>
    <w:multiLevelType w:val="hybridMultilevel"/>
    <w:tmpl w:val="C1F695F8"/>
    <w:lvl w:ilvl="0" w:tplc="769A8F40">
      <w:start w:val="1"/>
      <w:numFmt w:val="upperRoman"/>
      <w:lvlText w:val="%1."/>
      <w:lvlJc w:val="left"/>
      <w:pPr>
        <w:ind w:left="1080" w:hanging="720"/>
      </w:pPr>
      <w:rPr>
        <w:rFonts w:hint="default"/>
      </w:rPr>
    </w:lvl>
    <w:lvl w:ilvl="1" w:tplc="08090019">
      <w:start w:val="1"/>
      <w:numFmt w:val="lowerLetter"/>
      <w:lvlText w:val="%2."/>
      <w:lvlJc w:val="left"/>
      <w:pPr>
        <w:ind w:left="1440" w:hanging="360"/>
      </w:pPr>
    </w:lvl>
    <w:lvl w:ilvl="2" w:tplc="6BAE50FC">
      <w:start w:val="1"/>
      <w:numFmt w:val="decimal"/>
      <w:lvlText w:val="(%3)"/>
      <w:lvlJc w:val="left"/>
      <w:pPr>
        <w:ind w:left="2340" w:hanging="360"/>
      </w:pPr>
      <w:rPr>
        <w:rFonts w:hint="default"/>
      </w:rPr>
    </w:lvl>
    <w:lvl w:ilvl="3" w:tplc="C638D94C">
      <w:start w:val="1"/>
      <w:numFmt w:val="bullet"/>
      <w:lvlText w:val=""/>
      <w:lvlJc w:val="left"/>
      <w:pPr>
        <w:ind w:left="2880" w:hanging="360"/>
      </w:pPr>
      <w:rPr>
        <w:rFonts w:ascii="Symbol" w:eastAsiaTheme="minorHAnsi" w:hAnsi="Symbol" w:cstheme="minorBidi"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9295233"/>
    <w:multiLevelType w:val="hybridMultilevel"/>
    <w:tmpl w:val="45869F1E"/>
    <w:lvl w:ilvl="0" w:tplc="50EE40D2">
      <w:start w:val="3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AC0C56"/>
    <w:multiLevelType w:val="hybridMultilevel"/>
    <w:tmpl w:val="AF8E6F76"/>
    <w:lvl w:ilvl="0" w:tplc="3CA27B4C">
      <w:start w:val="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AB5863"/>
    <w:multiLevelType w:val="hybridMultilevel"/>
    <w:tmpl w:val="C81C6FC2"/>
    <w:lvl w:ilvl="0" w:tplc="78E8BCDC">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0F6D31"/>
    <w:multiLevelType w:val="hybridMultilevel"/>
    <w:tmpl w:val="CD90AB24"/>
    <w:lvl w:ilvl="0" w:tplc="5016D1A2">
      <w:start w:val="3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555884"/>
    <w:multiLevelType w:val="hybridMultilevel"/>
    <w:tmpl w:val="A8EAB4FA"/>
    <w:lvl w:ilvl="0" w:tplc="46AA5FE0">
      <w:start w:val="3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733200"/>
    <w:multiLevelType w:val="hybridMultilevel"/>
    <w:tmpl w:val="F79CE1E4"/>
    <w:lvl w:ilvl="0" w:tplc="02C2155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A07C4E"/>
    <w:multiLevelType w:val="multilevel"/>
    <w:tmpl w:val="1A1612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78633FA"/>
    <w:multiLevelType w:val="hybridMultilevel"/>
    <w:tmpl w:val="3CC4A678"/>
    <w:lvl w:ilvl="0" w:tplc="1E5AD078">
      <w:start w:val="1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BD60B0"/>
    <w:multiLevelType w:val="hybridMultilevel"/>
    <w:tmpl w:val="8DE2ACCE"/>
    <w:lvl w:ilvl="0" w:tplc="82821B6E">
      <w:start w:val="2"/>
      <w:numFmt w:val="upperRoman"/>
      <w:lvlText w:val="%1."/>
      <w:lvlJc w:val="left"/>
      <w:pPr>
        <w:ind w:left="720" w:hanging="72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F0C3BBC"/>
    <w:multiLevelType w:val="hybridMultilevel"/>
    <w:tmpl w:val="11624222"/>
    <w:lvl w:ilvl="0" w:tplc="405A07CA">
      <w:start w:val="3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D77D9B"/>
    <w:multiLevelType w:val="hybridMultilevel"/>
    <w:tmpl w:val="9CA60F50"/>
    <w:lvl w:ilvl="0" w:tplc="7170742E">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6B10F9A"/>
    <w:multiLevelType w:val="hybridMultilevel"/>
    <w:tmpl w:val="4AF03704"/>
    <w:lvl w:ilvl="0" w:tplc="465C86B4">
      <w:start w:val="3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D95FB2"/>
    <w:multiLevelType w:val="hybridMultilevel"/>
    <w:tmpl w:val="0234D25E"/>
    <w:lvl w:ilvl="0" w:tplc="2BD4A82A">
      <w:start w:val="31"/>
      <w:numFmt w:val="bullet"/>
      <w:lvlText w:val="-"/>
      <w:lvlJc w:val="left"/>
      <w:pPr>
        <w:ind w:left="720" w:hanging="360"/>
      </w:pPr>
      <w:rPr>
        <w:rFonts w:ascii="Times New Roman" w:eastAsiaTheme="minorHAnsi"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61181D"/>
    <w:multiLevelType w:val="hybridMultilevel"/>
    <w:tmpl w:val="8890939A"/>
    <w:lvl w:ilvl="0" w:tplc="56521A34">
      <w:start w:val="650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7E3F3C"/>
    <w:multiLevelType w:val="multilevel"/>
    <w:tmpl w:val="6A26A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FC54ED"/>
    <w:multiLevelType w:val="hybridMultilevel"/>
    <w:tmpl w:val="66C294EA"/>
    <w:lvl w:ilvl="0" w:tplc="438A6C0C">
      <w:start w:val="3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9F6CF9"/>
    <w:multiLevelType w:val="hybridMultilevel"/>
    <w:tmpl w:val="9836F8A2"/>
    <w:lvl w:ilvl="0" w:tplc="B5A6180A">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2579A5"/>
    <w:multiLevelType w:val="hybridMultilevel"/>
    <w:tmpl w:val="D6725F36"/>
    <w:lvl w:ilvl="0" w:tplc="3B56DE8A">
      <w:start w:val="3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943025"/>
    <w:multiLevelType w:val="hybridMultilevel"/>
    <w:tmpl w:val="2F788206"/>
    <w:lvl w:ilvl="0" w:tplc="6582A9B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0C7D2E"/>
    <w:multiLevelType w:val="hybridMultilevel"/>
    <w:tmpl w:val="5C70910E"/>
    <w:lvl w:ilvl="0" w:tplc="6C241FE8">
      <w:start w:val="1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461AE1"/>
    <w:multiLevelType w:val="hybridMultilevel"/>
    <w:tmpl w:val="99FE1D9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D585F27"/>
    <w:multiLevelType w:val="hybridMultilevel"/>
    <w:tmpl w:val="0B7A97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30382753">
    <w:abstractNumId w:val="16"/>
  </w:num>
  <w:num w:numId="2" w16cid:durableId="1728796719">
    <w:abstractNumId w:val="0"/>
  </w:num>
  <w:num w:numId="3" w16cid:durableId="411238777">
    <w:abstractNumId w:val="18"/>
  </w:num>
  <w:num w:numId="4" w16cid:durableId="1045104913">
    <w:abstractNumId w:val="1"/>
  </w:num>
  <w:num w:numId="5" w16cid:durableId="810562791">
    <w:abstractNumId w:val="9"/>
  </w:num>
  <w:num w:numId="6" w16cid:durableId="469829326">
    <w:abstractNumId w:val="27"/>
  </w:num>
  <w:num w:numId="7" w16cid:durableId="1047413598">
    <w:abstractNumId w:val="21"/>
  </w:num>
  <w:num w:numId="8" w16cid:durableId="1032534480">
    <w:abstractNumId w:val="37"/>
  </w:num>
  <w:num w:numId="9" w16cid:durableId="1325428654">
    <w:abstractNumId w:val="11"/>
  </w:num>
  <w:num w:numId="10" w16cid:durableId="2108574281">
    <w:abstractNumId w:val="36"/>
  </w:num>
  <w:num w:numId="11" w16cid:durableId="475689048">
    <w:abstractNumId w:val="23"/>
  </w:num>
  <w:num w:numId="12" w16cid:durableId="540552412">
    <w:abstractNumId w:val="34"/>
  </w:num>
  <w:num w:numId="13" w16cid:durableId="735861236">
    <w:abstractNumId w:val="17"/>
  </w:num>
  <w:num w:numId="14" w16cid:durableId="133259244">
    <w:abstractNumId w:val="5"/>
  </w:num>
  <w:num w:numId="15" w16cid:durableId="735204915">
    <w:abstractNumId w:val="25"/>
  </w:num>
  <w:num w:numId="16" w16cid:durableId="1931305594">
    <w:abstractNumId w:val="38"/>
  </w:num>
  <w:num w:numId="17" w16cid:durableId="986277987">
    <w:abstractNumId w:val="33"/>
  </w:num>
  <w:num w:numId="18" w16cid:durableId="713695241">
    <w:abstractNumId w:val="14"/>
  </w:num>
  <w:num w:numId="19" w16cid:durableId="404961593">
    <w:abstractNumId w:val="26"/>
  </w:num>
  <w:num w:numId="20" w16cid:durableId="740757717">
    <w:abstractNumId w:val="15"/>
  </w:num>
  <w:num w:numId="21" w16cid:durableId="1351837571">
    <w:abstractNumId w:val="39"/>
  </w:num>
  <w:num w:numId="22" w16cid:durableId="888999013">
    <w:abstractNumId w:val="6"/>
  </w:num>
  <w:num w:numId="23" w16cid:durableId="186991948">
    <w:abstractNumId w:val="2"/>
  </w:num>
  <w:num w:numId="24" w16cid:durableId="142502943">
    <w:abstractNumId w:val="29"/>
  </w:num>
  <w:num w:numId="25" w16cid:durableId="1493108484">
    <w:abstractNumId w:val="10"/>
  </w:num>
  <w:num w:numId="26" w16cid:durableId="1231115076">
    <w:abstractNumId w:val="28"/>
  </w:num>
  <w:num w:numId="27" w16cid:durableId="57093217">
    <w:abstractNumId w:val="8"/>
  </w:num>
  <w:num w:numId="28" w16cid:durableId="829492081">
    <w:abstractNumId w:val="30"/>
  </w:num>
  <w:num w:numId="29" w16cid:durableId="1270508758">
    <w:abstractNumId w:val="31"/>
  </w:num>
  <w:num w:numId="30" w16cid:durableId="1033577815">
    <w:abstractNumId w:val="22"/>
  </w:num>
  <w:num w:numId="31" w16cid:durableId="126506888">
    <w:abstractNumId w:val="3"/>
  </w:num>
  <w:num w:numId="32" w16cid:durableId="1933976265">
    <w:abstractNumId w:val="19"/>
  </w:num>
  <w:num w:numId="33" w16cid:durableId="975990533">
    <w:abstractNumId w:val="35"/>
  </w:num>
  <w:num w:numId="34" w16cid:durableId="594169922">
    <w:abstractNumId w:val="4"/>
  </w:num>
  <w:num w:numId="35" w16cid:durableId="782505798">
    <w:abstractNumId w:val="20"/>
  </w:num>
  <w:num w:numId="36" w16cid:durableId="260720580">
    <w:abstractNumId w:val="13"/>
  </w:num>
  <w:num w:numId="37" w16cid:durableId="1132557375">
    <w:abstractNumId w:val="12"/>
  </w:num>
  <w:num w:numId="38" w16cid:durableId="2110155713">
    <w:abstractNumId w:val="32"/>
  </w:num>
  <w:num w:numId="39" w16cid:durableId="556287557">
    <w:abstractNumId w:val="40"/>
  </w:num>
  <w:num w:numId="40" w16cid:durableId="1512066191">
    <w:abstractNumId w:val="7"/>
  </w:num>
  <w:num w:numId="41" w16cid:durableId="108110061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33D"/>
    <w:rsid w:val="00000BB1"/>
    <w:rsid w:val="000019CA"/>
    <w:rsid w:val="00001A2E"/>
    <w:rsid w:val="000022B5"/>
    <w:rsid w:val="000046F5"/>
    <w:rsid w:val="000048B8"/>
    <w:rsid w:val="00004E6E"/>
    <w:rsid w:val="0000545A"/>
    <w:rsid w:val="00005610"/>
    <w:rsid w:val="00005ABD"/>
    <w:rsid w:val="00006E6C"/>
    <w:rsid w:val="000070BD"/>
    <w:rsid w:val="000076A5"/>
    <w:rsid w:val="00010E50"/>
    <w:rsid w:val="00012709"/>
    <w:rsid w:val="0001363C"/>
    <w:rsid w:val="00013B44"/>
    <w:rsid w:val="00013BD3"/>
    <w:rsid w:val="0001416E"/>
    <w:rsid w:val="00014E74"/>
    <w:rsid w:val="0001622B"/>
    <w:rsid w:val="0001626C"/>
    <w:rsid w:val="000165AD"/>
    <w:rsid w:val="000169D1"/>
    <w:rsid w:val="00016D34"/>
    <w:rsid w:val="000208EF"/>
    <w:rsid w:val="000221FE"/>
    <w:rsid w:val="00022EA0"/>
    <w:rsid w:val="0002309C"/>
    <w:rsid w:val="000231D4"/>
    <w:rsid w:val="0002450F"/>
    <w:rsid w:val="00024708"/>
    <w:rsid w:val="00026A21"/>
    <w:rsid w:val="00027D1F"/>
    <w:rsid w:val="000305FE"/>
    <w:rsid w:val="00031C7A"/>
    <w:rsid w:val="00032EFA"/>
    <w:rsid w:val="00034967"/>
    <w:rsid w:val="0003568C"/>
    <w:rsid w:val="00035BED"/>
    <w:rsid w:val="000361D1"/>
    <w:rsid w:val="00036376"/>
    <w:rsid w:val="000368D1"/>
    <w:rsid w:val="0003728A"/>
    <w:rsid w:val="00037DD4"/>
    <w:rsid w:val="00040432"/>
    <w:rsid w:val="000422C9"/>
    <w:rsid w:val="00043ADA"/>
    <w:rsid w:val="00046C0D"/>
    <w:rsid w:val="000474BF"/>
    <w:rsid w:val="000500E1"/>
    <w:rsid w:val="00050609"/>
    <w:rsid w:val="0005227D"/>
    <w:rsid w:val="00052A22"/>
    <w:rsid w:val="00052CE8"/>
    <w:rsid w:val="00053C91"/>
    <w:rsid w:val="000540BA"/>
    <w:rsid w:val="00054508"/>
    <w:rsid w:val="00054C8D"/>
    <w:rsid w:val="000555BC"/>
    <w:rsid w:val="00055B49"/>
    <w:rsid w:val="0005609A"/>
    <w:rsid w:val="00056441"/>
    <w:rsid w:val="0005654F"/>
    <w:rsid w:val="0006083D"/>
    <w:rsid w:val="00060D26"/>
    <w:rsid w:val="00062497"/>
    <w:rsid w:val="00062C43"/>
    <w:rsid w:val="00063184"/>
    <w:rsid w:val="000636B6"/>
    <w:rsid w:val="00064703"/>
    <w:rsid w:val="000649D5"/>
    <w:rsid w:val="00065AA7"/>
    <w:rsid w:val="00065EC6"/>
    <w:rsid w:val="00070037"/>
    <w:rsid w:val="0007060B"/>
    <w:rsid w:val="00071A8E"/>
    <w:rsid w:val="000725A6"/>
    <w:rsid w:val="00072D00"/>
    <w:rsid w:val="00072E3B"/>
    <w:rsid w:val="00072F3E"/>
    <w:rsid w:val="00072FF6"/>
    <w:rsid w:val="000730E6"/>
    <w:rsid w:val="0007367C"/>
    <w:rsid w:val="000737F7"/>
    <w:rsid w:val="0007409B"/>
    <w:rsid w:val="00074A2A"/>
    <w:rsid w:val="00074C2C"/>
    <w:rsid w:val="000757E0"/>
    <w:rsid w:val="00075B5F"/>
    <w:rsid w:val="00075D86"/>
    <w:rsid w:val="00076DD7"/>
    <w:rsid w:val="00077918"/>
    <w:rsid w:val="00080CE9"/>
    <w:rsid w:val="00080D51"/>
    <w:rsid w:val="00081AC3"/>
    <w:rsid w:val="000821E4"/>
    <w:rsid w:val="000826BD"/>
    <w:rsid w:val="0008299B"/>
    <w:rsid w:val="00082F35"/>
    <w:rsid w:val="00083655"/>
    <w:rsid w:val="00083987"/>
    <w:rsid w:val="000848C2"/>
    <w:rsid w:val="0008490D"/>
    <w:rsid w:val="00085884"/>
    <w:rsid w:val="00086EFE"/>
    <w:rsid w:val="0009019F"/>
    <w:rsid w:val="00090D46"/>
    <w:rsid w:val="000913A5"/>
    <w:rsid w:val="00091EF9"/>
    <w:rsid w:val="00092492"/>
    <w:rsid w:val="00092BA6"/>
    <w:rsid w:val="00092BB6"/>
    <w:rsid w:val="00092D81"/>
    <w:rsid w:val="0009454A"/>
    <w:rsid w:val="0009596D"/>
    <w:rsid w:val="0009653D"/>
    <w:rsid w:val="00096E33"/>
    <w:rsid w:val="00097FE2"/>
    <w:rsid w:val="000A0B44"/>
    <w:rsid w:val="000A11EE"/>
    <w:rsid w:val="000A1E52"/>
    <w:rsid w:val="000A1F8E"/>
    <w:rsid w:val="000A3AB3"/>
    <w:rsid w:val="000A4E2D"/>
    <w:rsid w:val="000A4EEE"/>
    <w:rsid w:val="000A6871"/>
    <w:rsid w:val="000A6ECE"/>
    <w:rsid w:val="000B1DC8"/>
    <w:rsid w:val="000B30ED"/>
    <w:rsid w:val="000B37D9"/>
    <w:rsid w:val="000B398E"/>
    <w:rsid w:val="000B4618"/>
    <w:rsid w:val="000B7865"/>
    <w:rsid w:val="000C090E"/>
    <w:rsid w:val="000C101D"/>
    <w:rsid w:val="000C183D"/>
    <w:rsid w:val="000C1D15"/>
    <w:rsid w:val="000C22EA"/>
    <w:rsid w:val="000C2A42"/>
    <w:rsid w:val="000C3116"/>
    <w:rsid w:val="000C3299"/>
    <w:rsid w:val="000C37A0"/>
    <w:rsid w:val="000C393A"/>
    <w:rsid w:val="000C5922"/>
    <w:rsid w:val="000C5E91"/>
    <w:rsid w:val="000C797B"/>
    <w:rsid w:val="000D028E"/>
    <w:rsid w:val="000D2CAA"/>
    <w:rsid w:val="000D33D6"/>
    <w:rsid w:val="000D345E"/>
    <w:rsid w:val="000D3F2F"/>
    <w:rsid w:val="000D448B"/>
    <w:rsid w:val="000D44CF"/>
    <w:rsid w:val="000D597F"/>
    <w:rsid w:val="000D66FB"/>
    <w:rsid w:val="000D6837"/>
    <w:rsid w:val="000D7697"/>
    <w:rsid w:val="000D7A22"/>
    <w:rsid w:val="000D7C6D"/>
    <w:rsid w:val="000E0380"/>
    <w:rsid w:val="000E0823"/>
    <w:rsid w:val="000E1322"/>
    <w:rsid w:val="000E17F6"/>
    <w:rsid w:val="000E192A"/>
    <w:rsid w:val="000E1CF7"/>
    <w:rsid w:val="000E20EC"/>
    <w:rsid w:val="000E2150"/>
    <w:rsid w:val="000E287E"/>
    <w:rsid w:val="000E2BA0"/>
    <w:rsid w:val="000E31B4"/>
    <w:rsid w:val="000E44D2"/>
    <w:rsid w:val="000E501F"/>
    <w:rsid w:val="000E5B76"/>
    <w:rsid w:val="000E5EE8"/>
    <w:rsid w:val="000E6058"/>
    <w:rsid w:val="000E60FC"/>
    <w:rsid w:val="000E69A5"/>
    <w:rsid w:val="000E6B00"/>
    <w:rsid w:val="000E6DCE"/>
    <w:rsid w:val="000E7254"/>
    <w:rsid w:val="000E761D"/>
    <w:rsid w:val="000E7B4D"/>
    <w:rsid w:val="000F1632"/>
    <w:rsid w:val="000F2321"/>
    <w:rsid w:val="000F26A3"/>
    <w:rsid w:val="000F530F"/>
    <w:rsid w:val="000F65C8"/>
    <w:rsid w:val="000F720D"/>
    <w:rsid w:val="00100110"/>
    <w:rsid w:val="00100139"/>
    <w:rsid w:val="001005B8"/>
    <w:rsid w:val="00100C77"/>
    <w:rsid w:val="00100ECF"/>
    <w:rsid w:val="00101546"/>
    <w:rsid w:val="001032A4"/>
    <w:rsid w:val="00103C4B"/>
    <w:rsid w:val="001048B7"/>
    <w:rsid w:val="001051E0"/>
    <w:rsid w:val="00105448"/>
    <w:rsid w:val="00106A67"/>
    <w:rsid w:val="00106CC6"/>
    <w:rsid w:val="001079C7"/>
    <w:rsid w:val="001111A9"/>
    <w:rsid w:val="00111EFC"/>
    <w:rsid w:val="0011243F"/>
    <w:rsid w:val="00113554"/>
    <w:rsid w:val="00114B0A"/>
    <w:rsid w:val="00115377"/>
    <w:rsid w:val="00115AD0"/>
    <w:rsid w:val="0011688B"/>
    <w:rsid w:val="0011713A"/>
    <w:rsid w:val="00117452"/>
    <w:rsid w:val="00117607"/>
    <w:rsid w:val="00117D6D"/>
    <w:rsid w:val="001203A7"/>
    <w:rsid w:val="001203B9"/>
    <w:rsid w:val="00120C88"/>
    <w:rsid w:val="00120F65"/>
    <w:rsid w:val="00122909"/>
    <w:rsid w:val="00122F92"/>
    <w:rsid w:val="00123AAD"/>
    <w:rsid w:val="00123CE2"/>
    <w:rsid w:val="00126232"/>
    <w:rsid w:val="0012666B"/>
    <w:rsid w:val="00126CBB"/>
    <w:rsid w:val="00126EE1"/>
    <w:rsid w:val="00132A8B"/>
    <w:rsid w:val="001330C1"/>
    <w:rsid w:val="0013326E"/>
    <w:rsid w:val="00134311"/>
    <w:rsid w:val="00134490"/>
    <w:rsid w:val="0013476A"/>
    <w:rsid w:val="00135026"/>
    <w:rsid w:val="00135B4D"/>
    <w:rsid w:val="00135F4D"/>
    <w:rsid w:val="00137892"/>
    <w:rsid w:val="00140C0A"/>
    <w:rsid w:val="00141643"/>
    <w:rsid w:val="0014203D"/>
    <w:rsid w:val="00142445"/>
    <w:rsid w:val="001439A2"/>
    <w:rsid w:val="00144109"/>
    <w:rsid w:val="00144128"/>
    <w:rsid w:val="0014417E"/>
    <w:rsid w:val="00144B6A"/>
    <w:rsid w:val="00144D89"/>
    <w:rsid w:val="0014546C"/>
    <w:rsid w:val="00146244"/>
    <w:rsid w:val="00146D32"/>
    <w:rsid w:val="0014790F"/>
    <w:rsid w:val="00151429"/>
    <w:rsid w:val="00151A2E"/>
    <w:rsid w:val="00152557"/>
    <w:rsid w:val="00152925"/>
    <w:rsid w:val="00152A36"/>
    <w:rsid w:val="001544F5"/>
    <w:rsid w:val="0015512E"/>
    <w:rsid w:val="001551E5"/>
    <w:rsid w:val="00157097"/>
    <w:rsid w:val="001575BE"/>
    <w:rsid w:val="00160BEF"/>
    <w:rsid w:val="001615EF"/>
    <w:rsid w:val="00161EFA"/>
    <w:rsid w:val="00162474"/>
    <w:rsid w:val="00162CC3"/>
    <w:rsid w:val="001631AC"/>
    <w:rsid w:val="00163C5C"/>
    <w:rsid w:val="001643EF"/>
    <w:rsid w:val="00164BA9"/>
    <w:rsid w:val="00164E1B"/>
    <w:rsid w:val="00165339"/>
    <w:rsid w:val="00165605"/>
    <w:rsid w:val="00166171"/>
    <w:rsid w:val="00166962"/>
    <w:rsid w:val="00166A88"/>
    <w:rsid w:val="0016788E"/>
    <w:rsid w:val="00170081"/>
    <w:rsid w:val="00170FE8"/>
    <w:rsid w:val="0017291D"/>
    <w:rsid w:val="00173B51"/>
    <w:rsid w:val="0017411B"/>
    <w:rsid w:val="00174742"/>
    <w:rsid w:val="00175984"/>
    <w:rsid w:val="00176507"/>
    <w:rsid w:val="0017672E"/>
    <w:rsid w:val="00176C0A"/>
    <w:rsid w:val="0017787C"/>
    <w:rsid w:val="00177A53"/>
    <w:rsid w:val="0018031A"/>
    <w:rsid w:val="0018062D"/>
    <w:rsid w:val="001813E6"/>
    <w:rsid w:val="001826AF"/>
    <w:rsid w:val="00182985"/>
    <w:rsid w:val="0018299B"/>
    <w:rsid w:val="00182D79"/>
    <w:rsid w:val="00183B5E"/>
    <w:rsid w:val="00185F36"/>
    <w:rsid w:val="001862E2"/>
    <w:rsid w:val="0018798E"/>
    <w:rsid w:val="00190B2B"/>
    <w:rsid w:val="00190D20"/>
    <w:rsid w:val="00191A2A"/>
    <w:rsid w:val="00192B83"/>
    <w:rsid w:val="0019464A"/>
    <w:rsid w:val="001953AF"/>
    <w:rsid w:val="00195683"/>
    <w:rsid w:val="00195A11"/>
    <w:rsid w:val="00195D76"/>
    <w:rsid w:val="00196CB6"/>
    <w:rsid w:val="00197A77"/>
    <w:rsid w:val="00197DA4"/>
    <w:rsid w:val="00197EAF"/>
    <w:rsid w:val="00197ED0"/>
    <w:rsid w:val="001A05FE"/>
    <w:rsid w:val="001A19B0"/>
    <w:rsid w:val="001A2576"/>
    <w:rsid w:val="001A2BD8"/>
    <w:rsid w:val="001A3C12"/>
    <w:rsid w:val="001A4287"/>
    <w:rsid w:val="001A4C9E"/>
    <w:rsid w:val="001A5319"/>
    <w:rsid w:val="001A5951"/>
    <w:rsid w:val="001A664C"/>
    <w:rsid w:val="001A6B71"/>
    <w:rsid w:val="001A6E7F"/>
    <w:rsid w:val="001A6E95"/>
    <w:rsid w:val="001A7C86"/>
    <w:rsid w:val="001B1083"/>
    <w:rsid w:val="001B1C98"/>
    <w:rsid w:val="001B1D17"/>
    <w:rsid w:val="001B5009"/>
    <w:rsid w:val="001B5149"/>
    <w:rsid w:val="001B5497"/>
    <w:rsid w:val="001B682C"/>
    <w:rsid w:val="001B79B5"/>
    <w:rsid w:val="001B7ED4"/>
    <w:rsid w:val="001C00E4"/>
    <w:rsid w:val="001C09B7"/>
    <w:rsid w:val="001C2424"/>
    <w:rsid w:val="001C256B"/>
    <w:rsid w:val="001C2A7F"/>
    <w:rsid w:val="001C5359"/>
    <w:rsid w:val="001C55A6"/>
    <w:rsid w:val="001C5894"/>
    <w:rsid w:val="001C64A8"/>
    <w:rsid w:val="001C70D2"/>
    <w:rsid w:val="001C792E"/>
    <w:rsid w:val="001C7B2F"/>
    <w:rsid w:val="001D0417"/>
    <w:rsid w:val="001D0567"/>
    <w:rsid w:val="001D0D2A"/>
    <w:rsid w:val="001D1BCD"/>
    <w:rsid w:val="001D48C4"/>
    <w:rsid w:val="001D6EA6"/>
    <w:rsid w:val="001D71FA"/>
    <w:rsid w:val="001D74CA"/>
    <w:rsid w:val="001D7508"/>
    <w:rsid w:val="001E01F7"/>
    <w:rsid w:val="001E1527"/>
    <w:rsid w:val="001E1AAE"/>
    <w:rsid w:val="001E1F71"/>
    <w:rsid w:val="001E3316"/>
    <w:rsid w:val="001E331E"/>
    <w:rsid w:val="001E3568"/>
    <w:rsid w:val="001E3C1A"/>
    <w:rsid w:val="001E3DA3"/>
    <w:rsid w:val="001E3EE5"/>
    <w:rsid w:val="001E3F3B"/>
    <w:rsid w:val="001E4D08"/>
    <w:rsid w:val="001E4D6E"/>
    <w:rsid w:val="001E5C46"/>
    <w:rsid w:val="001E727A"/>
    <w:rsid w:val="001E7C5F"/>
    <w:rsid w:val="001F103E"/>
    <w:rsid w:val="001F10E1"/>
    <w:rsid w:val="001F3557"/>
    <w:rsid w:val="001F3F28"/>
    <w:rsid w:val="001F4BD0"/>
    <w:rsid w:val="001F55A1"/>
    <w:rsid w:val="001F6238"/>
    <w:rsid w:val="00200A69"/>
    <w:rsid w:val="002014EA"/>
    <w:rsid w:val="00201C3A"/>
    <w:rsid w:val="00202AD6"/>
    <w:rsid w:val="00202D2F"/>
    <w:rsid w:val="00202F37"/>
    <w:rsid w:val="00204379"/>
    <w:rsid w:val="00206C4F"/>
    <w:rsid w:val="00206CB6"/>
    <w:rsid w:val="00206D8A"/>
    <w:rsid w:val="0020704D"/>
    <w:rsid w:val="0020727F"/>
    <w:rsid w:val="00211130"/>
    <w:rsid w:val="0021163C"/>
    <w:rsid w:val="0021293B"/>
    <w:rsid w:val="00212A15"/>
    <w:rsid w:val="00214482"/>
    <w:rsid w:val="00214B39"/>
    <w:rsid w:val="00215716"/>
    <w:rsid w:val="00215884"/>
    <w:rsid w:val="00215E6E"/>
    <w:rsid w:val="00216B23"/>
    <w:rsid w:val="00216B7D"/>
    <w:rsid w:val="002174DC"/>
    <w:rsid w:val="002175E1"/>
    <w:rsid w:val="00217949"/>
    <w:rsid w:val="00221A58"/>
    <w:rsid w:val="00221D0F"/>
    <w:rsid w:val="00222227"/>
    <w:rsid w:val="00222732"/>
    <w:rsid w:val="002228A6"/>
    <w:rsid w:val="00222CD3"/>
    <w:rsid w:val="00223BFD"/>
    <w:rsid w:val="00226342"/>
    <w:rsid w:val="002267D7"/>
    <w:rsid w:val="0022689C"/>
    <w:rsid w:val="00226FDC"/>
    <w:rsid w:val="002301A0"/>
    <w:rsid w:val="00231523"/>
    <w:rsid w:val="002344AA"/>
    <w:rsid w:val="00234F55"/>
    <w:rsid w:val="0023565D"/>
    <w:rsid w:val="00236E4A"/>
    <w:rsid w:val="002377EB"/>
    <w:rsid w:val="00241378"/>
    <w:rsid w:val="00241960"/>
    <w:rsid w:val="00242FB6"/>
    <w:rsid w:val="00244DE7"/>
    <w:rsid w:val="00244ED8"/>
    <w:rsid w:val="00246FB9"/>
    <w:rsid w:val="0024759D"/>
    <w:rsid w:val="002477C6"/>
    <w:rsid w:val="0025068A"/>
    <w:rsid w:val="00250994"/>
    <w:rsid w:val="002526E5"/>
    <w:rsid w:val="00252C74"/>
    <w:rsid w:val="00253969"/>
    <w:rsid w:val="00253CA6"/>
    <w:rsid w:val="0025563D"/>
    <w:rsid w:val="002557FF"/>
    <w:rsid w:val="00257E13"/>
    <w:rsid w:val="00257FAD"/>
    <w:rsid w:val="0026040C"/>
    <w:rsid w:val="00260E5B"/>
    <w:rsid w:val="0026179C"/>
    <w:rsid w:val="002617D2"/>
    <w:rsid w:val="00262BBF"/>
    <w:rsid w:val="00263B0A"/>
    <w:rsid w:val="00264086"/>
    <w:rsid w:val="0026558F"/>
    <w:rsid w:val="002663D1"/>
    <w:rsid w:val="00266B21"/>
    <w:rsid w:val="002673BD"/>
    <w:rsid w:val="00267763"/>
    <w:rsid w:val="00267CD4"/>
    <w:rsid w:val="00270A64"/>
    <w:rsid w:val="002710AF"/>
    <w:rsid w:val="00271181"/>
    <w:rsid w:val="0027230D"/>
    <w:rsid w:val="00272630"/>
    <w:rsid w:val="00272F90"/>
    <w:rsid w:val="00274353"/>
    <w:rsid w:val="00274554"/>
    <w:rsid w:val="00274F0D"/>
    <w:rsid w:val="002750AF"/>
    <w:rsid w:val="00275F07"/>
    <w:rsid w:val="00276A6E"/>
    <w:rsid w:val="00277C23"/>
    <w:rsid w:val="002815FC"/>
    <w:rsid w:val="00282B27"/>
    <w:rsid w:val="00283F62"/>
    <w:rsid w:val="0028677E"/>
    <w:rsid w:val="00286B5D"/>
    <w:rsid w:val="00286F43"/>
    <w:rsid w:val="00287258"/>
    <w:rsid w:val="00287E06"/>
    <w:rsid w:val="002900F2"/>
    <w:rsid w:val="00290885"/>
    <w:rsid w:val="00291E69"/>
    <w:rsid w:val="00293D95"/>
    <w:rsid w:val="00293E54"/>
    <w:rsid w:val="00294264"/>
    <w:rsid w:val="00294D4C"/>
    <w:rsid w:val="002950B2"/>
    <w:rsid w:val="00295147"/>
    <w:rsid w:val="002959A5"/>
    <w:rsid w:val="00295E31"/>
    <w:rsid w:val="0029606B"/>
    <w:rsid w:val="0029645F"/>
    <w:rsid w:val="00297B31"/>
    <w:rsid w:val="002A0128"/>
    <w:rsid w:val="002A125E"/>
    <w:rsid w:val="002A19BF"/>
    <w:rsid w:val="002A2231"/>
    <w:rsid w:val="002A2EE3"/>
    <w:rsid w:val="002A3028"/>
    <w:rsid w:val="002A30FB"/>
    <w:rsid w:val="002A3179"/>
    <w:rsid w:val="002A35A9"/>
    <w:rsid w:val="002A3A49"/>
    <w:rsid w:val="002A64DF"/>
    <w:rsid w:val="002A6E7B"/>
    <w:rsid w:val="002A6F4A"/>
    <w:rsid w:val="002A76EB"/>
    <w:rsid w:val="002B05BD"/>
    <w:rsid w:val="002B0C51"/>
    <w:rsid w:val="002B1652"/>
    <w:rsid w:val="002B1B8F"/>
    <w:rsid w:val="002B1F37"/>
    <w:rsid w:val="002B211E"/>
    <w:rsid w:val="002B2C9B"/>
    <w:rsid w:val="002B2D28"/>
    <w:rsid w:val="002B3104"/>
    <w:rsid w:val="002B3C62"/>
    <w:rsid w:val="002B592C"/>
    <w:rsid w:val="002B601F"/>
    <w:rsid w:val="002B6B16"/>
    <w:rsid w:val="002C16F0"/>
    <w:rsid w:val="002C22D4"/>
    <w:rsid w:val="002C2A34"/>
    <w:rsid w:val="002C2B45"/>
    <w:rsid w:val="002C2C71"/>
    <w:rsid w:val="002C3742"/>
    <w:rsid w:val="002C3909"/>
    <w:rsid w:val="002C48BD"/>
    <w:rsid w:val="002C4C63"/>
    <w:rsid w:val="002C5476"/>
    <w:rsid w:val="002C5DC9"/>
    <w:rsid w:val="002C5FFF"/>
    <w:rsid w:val="002C7CBC"/>
    <w:rsid w:val="002D141A"/>
    <w:rsid w:val="002D51E2"/>
    <w:rsid w:val="002D51E9"/>
    <w:rsid w:val="002D54C7"/>
    <w:rsid w:val="002D7214"/>
    <w:rsid w:val="002D7524"/>
    <w:rsid w:val="002D7541"/>
    <w:rsid w:val="002E1857"/>
    <w:rsid w:val="002E39A9"/>
    <w:rsid w:val="002E3A0C"/>
    <w:rsid w:val="002E3F2B"/>
    <w:rsid w:val="002E45FC"/>
    <w:rsid w:val="002E48E2"/>
    <w:rsid w:val="002E49D2"/>
    <w:rsid w:val="002E5A0E"/>
    <w:rsid w:val="002E5CD0"/>
    <w:rsid w:val="002E5E35"/>
    <w:rsid w:val="002E611C"/>
    <w:rsid w:val="002E6FEA"/>
    <w:rsid w:val="002E71CF"/>
    <w:rsid w:val="002E7E0C"/>
    <w:rsid w:val="002F0296"/>
    <w:rsid w:val="002F20E9"/>
    <w:rsid w:val="002F26D8"/>
    <w:rsid w:val="002F2884"/>
    <w:rsid w:val="002F28B3"/>
    <w:rsid w:val="002F2A00"/>
    <w:rsid w:val="002F2C30"/>
    <w:rsid w:val="002F330E"/>
    <w:rsid w:val="002F4298"/>
    <w:rsid w:val="002F5630"/>
    <w:rsid w:val="002F5999"/>
    <w:rsid w:val="002F6A6D"/>
    <w:rsid w:val="002F71B3"/>
    <w:rsid w:val="00300CB9"/>
    <w:rsid w:val="00301C34"/>
    <w:rsid w:val="00301C74"/>
    <w:rsid w:val="00302D23"/>
    <w:rsid w:val="00302E71"/>
    <w:rsid w:val="00303115"/>
    <w:rsid w:val="003056AC"/>
    <w:rsid w:val="00305890"/>
    <w:rsid w:val="00306212"/>
    <w:rsid w:val="00306653"/>
    <w:rsid w:val="0030756E"/>
    <w:rsid w:val="00307590"/>
    <w:rsid w:val="00307BBA"/>
    <w:rsid w:val="0031060F"/>
    <w:rsid w:val="00311703"/>
    <w:rsid w:val="003118F5"/>
    <w:rsid w:val="00311DB3"/>
    <w:rsid w:val="0031221D"/>
    <w:rsid w:val="00312259"/>
    <w:rsid w:val="003126B9"/>
    <w:rsid w:val="003133B6"/>
    <w:rsid w:val="00313DF3"/>
    <w:rsid w:val="00316502"/>
    <w:rsid w:val="00316A82"/>
    <w:rsid w:val="0031778E"/>
    <w:rsid w:val="00317946"/>
    <w:rsid w:val="00317E2E"/>
    <w:rsid w:val="00320B54"/>
    <w:rsid w:val="00321166"/>
    <w:rsid w:val="003218B4"/>
    <w:rsid w:val="003223C6"/>
    <w:rsid w:val="003237E7"/>
    <w:rsid w:val="00324D51"/>
    <w:rsid w:val="0032730C"/>
    <w:rsid w:val="00330ACA"/>
    <w:rsid w:val="003311B6"/>
    <w:rsid w:val="00332929"/>
    <w:rsid w:val="00332977"/>
    <w:rsid w:val="00333380"/>
    <w:rsid w:val="0033438E"/>
    <w:rsid w:val="00334E5B"/>
    <w:rsid w:val="00335AFF"/>
    <w:rsid w:val="00336342"/>
    <w:rsid w:val="00336623"/>
    <w:rsid w:val="00336672"/>
    <w:rsid w:val="00336FBA"/>
    <w:rsid w:val="003374D4"/>
    <w:rsid w:val="00340469"/>
    <w:rsid w:val="003418AB"/>
    <w:rsid w:val="00341BB3"/>
    <w:rsid w:val="003423FF"/>
    <w:rsid w:val="00342627"/>
    <w:rsid w:val="00343ADB"/>
    <w:rsid w:val="00344B6B"/>
    <w:rsid w:val="00346BCE"/>
    <w:rsid w:val="00354799"/>
    <w:rsid w:val="00355D5C"/>
    <w:rsid w:val="00356BD8"/>
    <w:rsid w:val="00357B91"/>
    <w:rsid w:val="00357FF2"/>
    <w:rsid w:val="003607CE"/>
    <w:rsid w:val="00361DA1"/>
    <w:rsid w:val="00362768"/>
    <w:rsid w:val="003654C8"/>
    <w:rsid w:val="00367162"/>
    <w:rsid w:val="00367787"/>
    <w:rsid w:val="003705EC"/>
    <w:rsid w:val="003712DE"/>
    <w:rsid w:val="00373612"/>
    <w:rsid w:val="0037406E"/>
    <w:rsid w:val="003745A0"/>
    <w:rsid w:val="00374BEE"/>
    <w:rsid w:val="003761F7"/>
    <w:rsid w:val="003762AC"/>
    <w:rsid w:val="0037648D"/>
    <w:rsid w:val="003769C1"/>
    <w:rsid w:val="00376FD1"/>
    <w:rsid w:val="00377E4D"/>
    <w:rsid w:val="003800B3"/>
    <w:rsid w:val="003831C8"/>
    <w:rsid w:val="00386107"/>
    <w:rsid w:val="00386605"/>
    <w:rsid w:val="00386B0E"/>
    <w:rsid w:val="00387524"/>
    <w:rsid w:val="00387B9A"/>
    <w:rsid w:val="003903B2"/>
    <w:rsid w:val="00392494"/>
    <w:rsid w:val="00394DE6"/>
    <w:rsid w:val="00395F09"/>
    <w:rsid w:val="003965BA"/>
    <w:rsid w:val="0039686A"/>
    <w:rsid w:val="0039696B"/>
    <w:rsid w:val="00397064"/>
    <w:rsid w:val="003973DB"/>
    <w:rsid w:val="00397EAF"/>
    <w:rsid w:val="00397F99"/>
    <w:rsid w:val="003A0CA7"/>
    <w:rsid w:val="003A0CCE"/>
    <w:rsid w:val="003A1314"/>
    <w:rsid w:val="003A1662"/>
    <w:rsid w:val="003A2817"/>
    <w:rsid w:val="003A2C37"/>
    <w:rsid w:val="003A4C2A"/>
    <w:rsid w:val="003A5BFA"/>
    <w:rsid w:val="003A6D18"/>
    <w:rsid w:val="003B169E"/>
    <w:rsid w:val="003B2059"/>
    <w:rsid w:val="003B293B"/>
    <w:rsid w:val="003B2A62"/>
    <w:rsid w:val="003B3CF8"/>
    <w:rsid w:val="003B4529"/>
    <w:rsid w:val="003B4618"/>
    <w:rsid w:val="003B46F6"/>
    <w:rsid w:val="003B4DC5"/>
    <w:rsid w:val="003B537A"/>
    <w:rsid w:val="003B6270"/>
    <w:rsid w:val="003B667B"/>
    <w:rsid w:val="003B6A1A"/>
    <w:rsid w:val="003B6B58"/>
    <w:rsid w:val="003B7ABE"/>
    <w:rsid w:val="003C0274"/>
    <w:rsid w:val="003C0705"/>
    <w:rsid w:val="003C1642"/>
    <w:rsid w:val="003C30D0"/>
    <w:rsid w:val="003C3719"/>
    <w:rsid w:val="003C57E9"/>
    <w:rsid w:val="003C66F1"/>
    <w:rsid w:val="003C6DB7"/>
    <w:rsid w:val="003C7285"/>
    <w:rsid w:val="003D1EFA"/>
    <w:rsid w:val="003D30DC"/>
    <w:rsid w:val="003D4078"/>
    <w:rsid w:val="003D4DC5"/>
    <w:rsid w:val="003D4F6F"/>
    <w:rsid w:val="003D5577"/>
    <w:rsid w:val="003D621C"/>
    <w:rsid w:val="003D74D7"/>
    <w:rsid w:val="003D7DC3"/>
    <w:rsid w:val="003D7EE4"/>
    <w:rsid w:val="003E0021"/>
    <w:rsid w:val="003E0747"/>
    <w:rsid w:val="003E1284"/>
    <w:rsid w:val="003E2495"/>
    <w:rsid w:val="003E2B95"/>
    <w:rsid w:val="003E2D4E"/>
    <w:rsid w:val="003E31AD"/>
    <w:rsid w:val="003E56AA"/>
    <w:rsid w:val="003E5A0C"/>
    <w:rsid w:val="003E668B"/>
    <w:rsid w:val="003E6991"/>
    <w:rsid w:val="003F0186"/>
    <w:rsid w:val="003F03C9"/>
    <w:rsid w:val="003F0F3F"/>
    <w:rsid w:val="003F118D"/>
    <w:rsid w:val="003F15A7"/>
    <w:rsid w:val="003F1967"/>
    <w:rsid w:val="003F204B"/>
    <w:rsid w:val="003F2A89"/>
    <w:rsid w:val="003F333B"/>
    <w:rsid w:val="003F35CB"/>
    <w:rsid w:val="003F3C0E"/>
    <w:rsid w:val="003F4344"/>
    <w:rsid w:val="003F4568"/>
    <w:rsid w:val="003F4910"/>
    <w:rsid w:val="003F4C2D"/>
    <w:rsid w:val="003F4D7D"/>
    <w:rsid w:val="003F5C5A"/>
    <w:rsid w:val="003F7B36"/>
    <w:rsid w:val="003F7E5F"/>
    <w:rsid w:val="00400E09"/>
    <w:rsid w:val="0040140D"/>
    <w:rsid w:val="004022EB"/>
    <w:rsid w:val="00403305"/>
    <w:rsid w:val="004044DE"/>
    <w:rsid w:val="00404677"/>
    <w:rsid w:val="00404CA7"/>
    <w:rsid w:val="00404FA3"/>
    <w:rsid w:val="0040751A"/>
    <w:rsid w:val="00410A6F"/>
    <w:rsid w:val="00410CEF"/>
    <w:rsid w:val="00410F69"/>
    <w:rsid w:val="00411F3A"/>
    <w:rsid w:val="00412EAE"/>
    <w:rsid w:val="00413248"/>
    <w:rsid w:val="00414ECF"/>
    <w:rsid w:val="00415BD2"/>
    <w:rsid w:val="004167B6"/>
    <w:rsid w:val="00416CBE"/>
    <w:rsid w:val="0041703C"/>
    <w:rsid w:val="004174D7"/>
    <w:rsid w:val="00417607"/>
    <w:rsid w:val="00420288"/>
    <w:rsid w:val="004204A6"/>
    <w:rsid w:val="004207D3"/>
    <w:rsid w:val="004208A6"/>
    <w:rsid w:val="004210F5"/>
    <w:rsid w:val="004213C9"/>
    <w:rsid w:val="00421A81"/>
    <w:rsid w:val="00422EA7"/>
    <w:rsid w:val="00422EE5"/>
    <w:rsid w:val="00424224"/>
    <w:rsid w:val="00425266"/>
    <w:rsid w:val="00425407"/>
    <w:rsid w:val="00425FA3"/>
    <w:rsid w:val="00426B43"/>
    <w:rsid w:val="00426FE6"/>
    <w:rsid w:val="0042799C"/>
    <w:rsid w:val="00430EB0"/>
    <w:rsid w:val="00431884"/>
    <w:rsid w:val="00431CA7"/>
    <w:rsid w:val="00431EBF"/>
    <w:rsid w:val="00432546"/>
    <w:rsid w:val="0043271B"/>
    <w:rsid w:val="00433178"/>
    <w:rsid w:val="00433662"/>
    <w:rsid w:val="00433705"/>
    <w:rsid w:val="00433B00"/>
    <w:rsid w:val="00433CCC"/>
    <w:rsid w:val="00434E36"/>
    <w:rsid w:val="00434E8F"/>
    <w:rsid w:val="00434F4D"/>
    <w:rsid w:val="00435E25"/>
    <w:rsid w:val="00436193"/>
    <w:rsid w:val="00436F77"/>
    <w:rsid w:val="004374ED"/>
    <w:rsid w:val="00437F08"/>
    <w:rsid w:val="00440C08"/>
    <w:rsid w:val="00441134"/>
    <w:rsid w:val="004417BD"/>
    <w:rsid w:val="00441A26"/>
    <w:rsid w:val="00442740"/>
    <w:rsid w:val="004427EF"/>
    <w:rsid w:val="00442FCC"/>
    <w:rsid w:val="004432E7"/>
    <w:rsid w:val="004438C0"/>
    <w:rsid w:val="004449C4"/>
    <w:rsid w:val="00444F13"/>
    <w:rsid w:val="004466DD"/>
    <w:rsid w:val="00447410"/>
    <w:rsid w:val="0044753B"/>
    <w:rsid w:val="00447B3D"/>
    <w:rsid w:val="00450CBE"/>
    <w:rsid w:val="00450FD7"/>
    <w:rsid w:val="00451120"/>
    <w:rsid w:val="004512C5"/>
    <w:rsid w:val="004524DF"/>
    <w:rsid w:val="004528D5"/>
    <w:rsid w:val="00452F1C"/>
    <w:rsid w:val="00453170"/>
    <w:rsid w:val="00453917"/>
    <w:rsid w:val="00454AC9"/>
    <w:rsid w:val="00456779"/>
    <w:rsid w:val="00457EB1"/>
    <w:rsid w:val="0046056B"/>
    <w:rsid w:val="00461846"/>
    <w:rsid w:val="00461E57"/>
    <w:rsid w:val="004623F8"/>
    <w:rsid w:val="004624CE"/>
    <w:rsid w:val="00462F4C"/>
    <w:rsid w:val="004639D8"/>
    <w:rsid w:val="00464360"/>
    <w:rsid w:val="0046794E"/>
    <w:rsid w:val="00471AA9"/>
    <w:rsid w:val="00471B3E"/>
    <w:rsid w:val="00471E21"/>
    <w:rsid w:val="00471F29"/>
    <w:rsid w:val="004722ED"/>
    <w:rsid w:val="0047260B"/>
    <w:rsid w:val="00472732"/>
    <w:rsid w:val="00476670"/>
    <w:rsid w:val="00477799"/>
    <w:rsid w:val="00477B12"/>
    <w:rsid w:val="00480792"/>
    <w:rsid w:val="00480C2A"/>
    <w:rsid w:val="0048119F"/>
    <w:rsid w:val="00481BD7"/>
    <w:rsid w:val="00481D12"/>
    <w:rsid w:val="0048237F"/>
    <w:rsid w:val="004824EC"/>
    <w:rsid w:val="004833C4"/>
    <w:rsid w:val="0048349F"/>
    <w:rsid w:val="00484071"/>
    <w:rsid w:val="0048508B"/>
    <w:rsid w:val="00486D07"/>
    <w:rsid w:val="004871AC"/>
    <w:rsid w:val="0048757A"/>
    <w:rsid w:val="00487BDD"/>
    <w:rsid w:val="00490E19"/>
    <w:rsid w:val="00492B91"/>
    <w:rsid w:val="00492C49"/>
    <w:rsid w:val="00492EFD"/>
    <w:rsid w:val="004934A7"/>
    <w:rsid w:val="00493EC2"/>
    <w:rsid w:val="00493F17"/>
    <w:rsid w:val="00493FB1"/>
    <w:rsid w:val="004948DA"/>
    <w:rsid w:val="00495865"/>
    <w:rsid w:val="00495D49"/>
    <w:rsid w:val="0049649C"/>
    <w:rsid w:val="00496E6D"/>
    <w:rsid w:val="00497C72"/>
    <w:rsid w:val="004A0BC3"/>
    <w:rsid w:val="004A0BFC"/>
    <w:rsid w:val="004A2E34"/>
    <w:rsid w:val="004A467F"/>
    <w:rsid w:val="004A4F02"/>
    <w:rsid w:val="004A5404"/>
    <w:rsid w:val="004A6E28"/>
    <w:rsid w:val="004A6E3B"/>
    <w:rsid w:val="004A7E7D"/>
    <w:rsid w:val="004B2514"/>
    <w:rsid w:val="004B2D07"/>
    <w:rsid w:val="004B3357"/>
    <w:rsid w:val="004B39BF"/>
    <w:rsid w:val="004B4CE7"/>
    <w:rsid w:val="004B5623"/>
    <w:rsid w:val="004B6476"/>
    <w:rsid w:val="004B698F"/>
    <w:rsid w:val="004B6CB4"/>
    <w:rsid w:val="004B6CD3"/>
    <w:rsid w:val="004B7A90"/>
    <w:rsid w:val="004B7C46"/>
    <w:rsid w:val="004C039C"/>
    <w:rsid w:val="004C2F83"/>
    <w:rsid w:val="004C341F"/>
    <w:rsid w:val="004C36F5"/>
    <w:rsid w:val="004C3EDA"/>
    <w:rsid w:val="004C5218"/>
    <w:rsid w:val="004C533D"/>
    <w:rsid w:val="004C5D18"/>
    <w:rsid w:val="004C62CE"/>
    <w:rsid w:val="004C6943"/>
    <w:rsid w:val="004C6D22"/>
    <w:rsid w:val="004C7084"/>
    <w:rsid w:val="004C73F7"/>
    <w:rsid w:val="004C74AA"/>
    <w:rsid w:val="004C7F43"/>
    <w:rsid w:val="004D02D4"/>
    <w:rsid w:val="004D0C16"/>
    <w:rsid w:val="004D150F"/>
    <w:rsid w:val="004D189F"/>
    <w:rsid w:val="004D266E"/>
    <w:rsid w:val="004D28EF"/>
    <w:rsid w:val="004D2B90"/>
    <w:rsid w:val="004D2D3C"/>
    <w:rsid w:val="004D425A"/>
    <w:rsid w:val="004D4499"/>
    <w:rsid w:val="004D5D4C"/>
    <w:rsid w:val="004D6905"/>
    <w:rsid w:val="004D7346"/>
    <w:rsid w:val="004D7736"/>
    <w:rsid w:val="004E0757"/>
    <w:rsid w:val="004E0872"/>
    <w:rsid w:val="004E3A5C"/>
    <w:rsid w:val="004E3D57"/>
    <w:rsid w:val="004E4560"/>
    <w:rsid w:val="004E4594"/>
    <w:rsid w:val="004E4917"/>
    <w:rsid w:val="004E4D3B"/>
    <w:rsid w:val="004E5126"/>
    <w:rsid w:val="004E6504"/>
    <w:rsid w:val="004E71AE"/>
    <w:rsid w:val="004E7C26"/>
    <w:rsid w:val="004F089D"/>
    <w:rsid w:val="004F1630"/>
    <w:rsid w:val="004F25F8"/>
    <w:rsid w:val="004F747B"/>
    <w:rsid w:val="004F7ED5"/>
    <w:rsid w:val="00500184"/>
    <w:rsid w:val="005019D2"/>
    <w:rsid w:val="005020AE"/>
    <w:rsid w:val="00503CCE"/>
    <w:rsid w:val="00504A21"/>
    <w:rsid w:val="00504F88"/>
    <w:rsid w:val="00506D20"/>
    <w:rsid w:val="00507BD0"/>
    <w:rsid w:val="00510BEA"/>
    <w:rsid w:val="00510E8B"/>
    <w:rsid w:val="005110CE"/>
    <w:rsid w:val="005118D9"/>
    <w:rsid w:val="00513FF0"/>
    <w:rsid w:val="005167A5"/>
    <w:rsid w:val="00517343"/>
    <w:rsid w:val="00520138"/>
    <w:rsid w:val="005216DA"/>
    <w:rsid w:val="00521790"/>
    <w:rsid w:val="005217C7"/>
    <w:rsid w:val="00521B6A"/>
    <w:rsid w:val="00522A18"/>
    <w:rsid w:val="00522E3F"/>
    <w:rsid w:val="00530361"/>
    <w:rsid w:val="0053090E"/>
    <w:rsid w:val="00530A92"/>
    <w:rsid w:val="00530CEF"/>
    <w:rsid w:val="00531BF2"/>
    <w:rsid w:val="00531EC8"/>
    <w:rsid w:val="00532029"/>
    <w:rsid w:val="0053276C"/>
    <w:rsid w:val="00533ACB"/>
    <w:rsid w:val="005347C6"/>
    <w:rsid w:val="00535978"/>
    <w:rsid w:val="00536457"/>
    <w:rsid w:val="00536ED0"/>
    <w:rsid w:val="00536FA3"/>
    <w:rsid w:val="005379F0"/>
    <w:rsid w:val="005402C3"/>
    <w:rsid w:val="005408E2"/>
    <w:rsid w:val="00541188"/>
    <w:rsid w:val="005412DE"/>
    <w:rsid w:val="005421B3"/>
    <w:rsid w:val="005433AB"/>
    <w:rsid w:val="00544574"/>
    <w:rsid w:val="00545A1D"/>
    <w:rsid w:val="0054732D"/>
    <w:rsid w:val="0055152E"/>
    <w:rsid w:val="0055249A"/>
    <w:rsid w:val="00554562"/>
    <w:rsid w:val="00555062"/>
    <w:rsid w:val="00555DA1"/>
    <w:rsid w:val="005560C6"/>
    <w:rsid w:val="00557F11"/>
    <w:rsid w:val="00560088"/>
    <w:rsid w:val="00560F12"/>
    <w:rsid w:val="00563C25"/>
    <w:rsid w:val="005659A8"/>
    <w:rsid w:val="00565CA3"/>
    <w:rsid w:val="00566B94"/>
    <w:rsid w:val="005703ED"/>
    <w:rsid w:val="00570642"/>
    <w:rsid w:val="00570F62"/>
    <w:rsid w:val="005716AB"/>
    <w:rsid w:val="00571830"/>
    <w:rsid w:val="00574AC3"/>
    <w:rsid w:val="00575118"/>
    <w:rsid w:val="00575354"/>
    <w:rsid w:val="005757C9"/>
    <w:rsid w:val="0057674C"/>
    <w:rsid w:val="00576772"/>
    <w:rsid w:val="005770F3"/>
    <w:rsid w:val="00577769"/>
    <w:rsid w:val="005803A2"/>
    <w:rsid w:val="0058144C"/>
    <w:rsid w:val="00581688"/>
    <w:rsid w:val="00581E00"/>
    <w:rsid w:val="00582141"/>
    <w:rsid w:val="00582582"/>
    <w:rsid w:val="00582E5E"/>
    <w:rsid w:val="00583AB9"/>
    <w:rsid w:val="00583DC3"/>
    <w:rsid w:val="005841B1"/>
    <w:rsid w:val="005852F3"/>
    <w:rsid w:val="005866CF"/>
    <w:rsid w:val="00591AA8"/>
    <w:rsid w:val="00591B0B"/>
    <w:rsid w:val="00591EF4"/>
    <w:rsid w:val="00592648"/>
    <w:rsid w:val="005930D8"/>
    <w:rsid w:val="00593149"/>
    <w:rsid w:val="0059333F"/>
    <w:rsid w:val="00593F54"/>
    <w:rsid w:val="0059422D"/>
    <w:rsid w:val="005942F1"/>
    <w:rsid w:val="00594572"/>
    <w:rsid w:val="0059482C"/>
    <w:rsid w:val="00594A9D"/>
    <w:rsid w:val="00595145"/>
    <w:rsid w:val="005953EC"/>
    <w:rsid w:val="00595AC4"/>
    <w:rsid w:val="00596468"/>
    <w:rsid w:val="005979B6"/>
    <w:rsid w:val="00597CF7"/>
    <w:rsid w:val="005A1BFA"/>
    <w:rsid w:val="005A1F68"/>
    <w:rsid w:val="005A2232"/>
    <w:rsid w:val="005A37D0"/>
    <w:rsid w:val="005A4098"/>
    <w:rsid w:val="005A447D"/>
    <w:rsid w:val="005A6A62"/>
    <w:rsid w:val="005A6A7D"/>
    <w:rsid w:val="005A7CEB"/>
    <w:rsid w:val="005A7F51"/>
    <w:rsid w:val="005B0B42"/>
    <w:rsid w:val="005B1115"/>
    <w:rsid w:val="005B2A1C"/>
    <w:rsid w:val="005B350B"/>
    <w:rsid w:val="005B39F7"/>
    <w:rsid w:val="005B56EC"/>
    <w:rsid w:val="005B5EDA"/>
    <w:rsid w:val="005B62D3"/>
    <w:rsid w:val="005B643A"/>
    <w:rsid w:val="005B6EC7"/>
    <w:rsid w:val="005B72A0"/>
    <w:rsid w:val="005B77E7"/>
    <w:rsid w:val="005C0394"/>
    <w:rsid w:val="005C0471"/>
    <w:rsid w:val="005C1F92"/>
    <w:rsid w:val="005C2465"/>
    <w:rsid w:val="005C57FD"/>
    <w:rsid w:val="005C6267"/>
    <w:rsid w:val="005D16F3"/>
    <w:rsid w:val="005D30FE"/>
    <w:rsid w:val="005D3AC5"/>
    <w:rsid w:val="005D46D7"/>
    <w:rsid w:val="005D5540"/>
    <w:rsid w:val="005D6410"/>
    <w:rsid w:val="005E0130"/>
    <w:rsid w:val="005E1197"/>
    <w:rsid w:val="005E1CDE"/>
    <w:rsid w:val="005E1FCC"/>
    <w:rsid w:val="005E2C65"/>
    <w:rsid w:val="005E310A"/>
    <w:rsid w:val="005E4356"/>
    <w:rsid w:val="005E54A4"/>
    <w:rsid w:val="005E5516"/>
    <w:rsid w:val="005E591B"/>
    <w:rsid w:val="005E6B08"/>
    <w:rsid w:val="005E6FCE"/>
    <w:rsid w:val="005F131F"/>
    <w:rsid w:val="005F15DF"/>
    <w:rsid w:val="005F2CC1"/>
    <w:rsid w:val="005F2E17"/>
    <w:rsid w:val="005F33BF"/>
    <w:rsid w:val="005F442E"/>
    <w:rsid w:val="005F5C8A"/>
    <w:rsid w:val="005F6FD3"/>
    <w:rsid w:val="005F70CE"/>
    <w:rsid w:val="006000B7"/>
    <w:rsid w:val="00600DD0"/>
    <w:rsid w:val="0060149C"/>
    <w:rsid w:val="006017DA"/>
    <w:rsid w:val="00603D8B"/>
    <w:rsid w:val="00604994"/>
    <w:rsid w:val="00604C29"/>
    <w:rsid w:val="00606214"/>
    <w:rsid w:val="006069DF"/>
    <w:rsid w:val="00606F6C"/>
    <w:rsid w:val="00607410"/>
    <w:rsid w:val="006074E9"/>
    <w:rsid w:val="00607FED"/>
    <w:rsid w:val="0061006A"/>
    <w:rsid w:val="00611408"/>
    <w:rsid w:val="00611BB3"/>
    <w:rsid w:val="006123ED"/>
    <w:rsid w:val="006125ED"/>
    <w:rsid w:val="0061347D"/>
    <w:rsid w:val="00614F41"/>
    <w:rsid w:val="00615406"/>
    <w:rsid w:val="00615FBC"/>
    <w:rsid w:val="00617393"/>
    <w:rsid w:val="00621977"/>
    <w:rsid w:val="00622782"/>
    <w:rsid w:val="00622C08"/>
    <w:rsid w:val="00622DC0"/>
    <w:rsid w:val="0062311B"/>
    <w:rsid w:val="006234EF"/>
    <w:rsid w:val="00624F0A"/>
    <w:rsid w:val="00625A99"/>
    <w:rsid w:val="00626AF1"/>
    <w:rsid w:val="00627F78"/>
    <w:rsid w:val="00630F7D"/>
    <w:rsid w:val="0063157D"/>
    <w:rsid w:val="006318FA"/>
    <w:rsid w:val="00633040"/>
    <w:rsid w:val="006335AE"/>
    <w:rsid w:val="006339F6"/>
    <w:rsid w:val="0063458D"/>
    <w:rsid w:val="006355B2"/>
    <w:rsid w:val="00640723"/>
    <w:rsid w:val="00640E9C"/>
    <w:rsid w:val="00647B4E"/>
    <w:rsid w:val="00650932"/>
    <w:rsid w:val="00650FEB"/>
    <w:rsid w:val="0065151F"/>
    <w:rsid w:val="00654AC6"/>
    <w:rsid w:val="006551CD"/>
    <w:rsid w:val="006558D2"/>
    <w:rsid w:val="00656868"/>
    <w:rsid w:val="00656A26"/>
    <w:rsid w:val="00660BF0"/>
    <w:rsid w:val="00661F7A"/>
    <w:rsid w:val="006620DD"/>
    <w:rsid w:val="00662826"/>
    <w:rsid w:val="00662EDF"/>
    <w:rsid w:val="00663771"/>
    <w:rsid w:val="00663BB4"/>
    <w:rsid w:val="0066515F"/>
    <w:rsid w:val="00667F3F"/>
    <w:rsid w:val="00670EF8"/>
    <w:rsid w:val="0067148C"/>
    <w:rsid w:val="00673209"/>
    <w:rsid w:val="0067356B"/>
    <w:rsid w:val="00674C57"/>
    <w:rsid w:val="00676036"/>
    <w:rsid w:val="00676B82"/>
    <w:rsid w:val="0067709E"/>
    <w:rsid w:val="00680369"/>
    <w:rsid w:val="00680F9F"/>
    <w:rsid w:val="00681CB1"/>
    <w:rsid w:val="006828F0"/>
    <w:rsid w:val="00682A59"/>
    <w:rsid w:val="006840B9"/>
    <w:rsid w:val="006851AF"/>
    <w:rsid w:val="00686B8E"/>
    <w:rsid w:val="00686C73"/>
    <w:rsid w:val="006872A2"/>
    <w:rsid w:val="00687526"/>
    <w:rsid w:val="006879E3"/>
    <w:rsid w:val="00690393"/>
    <w:rsid w:val="00691E40"/>
    <w:rsid w:val="00691E81"/>
    <w:rsid w:val="00691EC1"/>
    <w:rsid w:val="00692946"/>
    <w:rsid w:val="0069382F"/>
    <w:rsid w:val="006976BB"/>
    <w:rsid w:val="006A0450"/>
    <w:rsid w:val="006A0FFE"/>
    <w:rsid w:val="006A15EE"/>
    <w:rsid w:val="006A1820"/>
    <w:rsid w:val="006A1F62"/>
    <w:rsid w:val="006A2B87"/>
    <w:rsid w:val="006A2F71"/>
    <w:rsid w:val="006A3DF5"/>
    <w:rsid w:val="006A52D6"/>
    <w:rsid w:val="006A589C"/>
    <w:rsid w:val="006A661D"/>
    <w:rsid w:val="006A7FDF"/>
    <w:rsid w:val="006B0009"/>
    <w:rsid w:val="006B088E"/>
    <w:rsid w:val="006B108F"/>
    <w:rsid w:val="006B1493"/>
    <w:rsid w:val="006B1FF1"/>
    <w:rsid w:val="006B2060"/>
    <w:rsid w:val="006B2062"/>
    <w:rsid w:val="006B2B39"/>
    <w:rsid w:val="006B3DFE"/>
    <w:rsid w:val="006B421D"/>
    <w:rsid w:val="006B4AEC"/>
    <w:rsid w:val="006B6BD8"/>
    <w:rsid w:val="006B7231"/>
    <w:rsid w:val="006B780B"/>
    <w:rsid w:val="006B78B0"/>
    <w:rsid w:val="006C1046"/>
    <w:rsid w:val="006C1AEE"/>
    <w:rsid w:val="006C20FC"/>
    <w:rsid w:val="006C2230"/>
    <w:rsid w:val="006C42F2"/>
    <w:rsid w:val="006C4452"/>
    <w:rsid w:val="006C50E2"/>
    <w:rsid w:val="006C546A"/>
    <w:rsid w:val="006C5945"/>
    <w:rsid w:val="006C5BC5"/>
    <w:rsid w:val="006C6067"/>
    <w:rsid w:val="006C67AB"/>
    <w:rsid w:val="006C7795"/>
    <w:rsid w:val="006D0529"/>
    <w:rsid w:val="006D0B25"/>
    <w:rsid w:val="006D28D7"/>
    <w:rsid w:val="006D3786"/>
    <w:rsid w:val="006D3D22"/>
    <w:rsid w:val="006D416B"/>
    <w:rsid w:val="006D4658"/>
    <w:rsid w:val="006D52F0"/>
    <w:rsid w:val="006D5E4C"/>
    <w:rsid w:val="006D685B"/>
    <w:rsid w:val="006D799F"/>
    <w:rsid w:val="006E03DA"/>
    <w:rsid w:val="006E05C8"/>
    <w:rsid w:val="006E0654"/>
    <w:rsid w:val="006E0E70"/>
    <w:rsid w:val="006E2232"/>
    <w:rsid w:val="006E251E"/>
    <w:rsid w:val="006E4A36"/>
    <w:rsid w:val="006E55F4"/>
    <w:rsid w:val="006E6D73"/>
    <w:rsid w:val="006E74DE"/>
    <w:rsid w:val="006E750F"/>
    <w:rsid w:val="006F05CB"/>
    <w:rsid w:val="006F12AB"/>
    <w:rsid w:val="006F1E96"/>
    <w:rsid w:val="006F27ED"/>
    <w:rsid w:val="006F3868"/>
    <w:rsid w:val="006F55AE"/>
    <w:rsid w:val="006F5E50"/>
    <w:rsid w:val="006F645D"/>
    <w:rsid w:val="006F7405"/>
    <w:rsid w:val="0070135E"/>
    <w:rsid w:val="00703209"/>
    <w:rsid w:val="007036F6"/>
    <w:rsid w:val="007041D2"/>
    <w:rsid w:val="007057A2"/>
    <w:rsid w:val="00705BF8"/>
    <w:rsid w:val="00706DC7"/>
    <w:rsid w:val="007074D0"/>
    <w:rsid w:val="00707E23"/>
    <w:rsid w:val="00711757"/>
    <w:rsid w:val="0071177C"/>
    <w:rsid w:val="00711F3A"/>
    <w:rsid w:val="007121A5"/>
    <w:rsid w:val="00712AF0"/>
    <w:rsid w:val="00713A99"/>
    <w:rsid w:val="00714976"/>
    <w:rsid w:val="007149AE"/>
    <w:rsid w:val="00715763"/>
    <w:rsid w:val="00715F24"/>
    <w:rsid w:val="00716CFB"/>
    <w:rsid w:val="007171B7"/>
    <w:rsid w:val="00717C79"/>
    <w:rsid w:val="0072004F"/>
    <w:rsid w:val="0072195B"/>
    <w:rsid w:val="00721D28"/>
    <w:rsid w:val="00721F67"/>
    <w:rsid w:val="00723921"/>
    <w:rsid w:val="007240CF"/>
    <w:rsid w:val="0072476E"/>
    <w:rsid w:val="00726230"/>
    <w:rsid w:val="00726382"/>
    <w:rsid w:val="007268DC"/>
    <w:rsid w:val="00726FD8"/>
    <w:rsid w:val="0072705F"/>
    <w:rsid w:val="00727649"/>
    <w:rsid w:val="00727A92"/>
    <w:rsid w:val="00733BD1"/>
    <w:rsid w:val="00734BA6"/>
    <w:rsid w:val="00735086"/>
    <w:rsid w:val="007365C2"/>
    <w:rsid w:val="007365F0"/>
    <w:rsid w:val="00736686"/>
    <w:rsid w:val="00736A90"/>
    <w:rsid w:val="00736AE1"/>
    <w:rsid w:val="0074183A"/>
    <w:rsid w:val="00741E56"/>
    <w:rsid w:val="00742EEB"/>
    <w:rsid w:val="0074328B"/>
    <w:rsid w:val="00743BB3"/>
    <w:rsid w:val="00743F93"/>
    <w:rsid w:val="00744834"/>
    <w:rsid w:val="00744F6C"/>
    <w:rsid w:val="00745995"/>
    <w:rsid w:val="00750D22"/>
    <w:rsid w:val="007511F5"/>
    <w:rsid w:val="007524BD"/>
    <w:rsid w:val="00752B4C"/>
    <w:rsid w:val="00753294"/>
    <w:rsid w:val="00754F2C"/>
    <w:rsid w:val="007559C4"/>
    <w:rsid w:val="00756558"/>
    <w:rsid w:val="007575A1"/>
    <w:rsid w:val="0075779D"/>
    <w:rsid w:val="00757F5C"/>
    <w:rsid w:val="00762EB4"/>
    <w:rsid w:val="0076337D"/>
    <w:rsid w:val="00763615"/>
    <w:rsid w:val="007637B3"/>
    <w:rsid w:val="007641AF"/>
    <w:rsid w:val="00765175"/>
    <w:rsid w:val="0076745C"/>
    <w:rsid w:val="007679C5"/>
    <w:rsid w:val="0077053F"/>
    <w:rsid w:val="00770E74"/>
    <w:rsid w:val="00771453"/>
    <w:rsid w:val="00774B59"/>
    <w:rsid w:val="00774CB9"/>
    <w:rsid w:val="00776807"/>
    <w:rsid w:val="00777531"/>
    <w:rsid w:val="007800DA"/>
    <w:rsid w:val="00780D7A"/>
    <w:rsid w:val="00781A55"/>
    <w:rsid w:val="00781CD5"/>
    <w:rsid w:val="007821A7"/>
    <w:rsid w:val="00782B9C"/>
    <w:rsid w:val="00784706"/>
    <w:rsid w:val="00784A83"/>
    <w:rsid w:val="00784F26"/>
    <w:rsid w:val="0078582C"/>
    <w:rsid w:val="00786F29"/>
    <w:rsid w:val="00787805"/>
    <w:rsid w:val="007910D9"/>
    <w:rsid w:val="00791872"/>
    <w:rsid w:val="00791FAF"/>
    <w:rsid w:val="0079221E"/>
    <w:rsid w:val="007926BD"/>
    <w:rsid w:val="00792BF0"/>
    <w:rsid w:val="00792FEB"/>
    <w:rsid w:val="00793432"/>
    <w:rsid w:val="0079453C"/>
    <w:rsid w:val="00794FCB"/>
    <w:rsid w:val="007966AE"/>
    <w:rsid w:val="0079723A"/>
    <w:rsid w:val="007979CC"/>
    <w:rsid w:val="007A16A8"/>
    <w:rsid w:val="007A1F00"/>
    <w:rsid w:val="007A50B3"/>
    <w:rsid w:val="007A5985"/>
    <w:rsid w:val="007A59DD"/>
    <w:rsid w:val="007A5B7A"/>
    <w:rsid w:val="007A5C37"/>
    <w:rsid w:val="007A5E2A"/>
    <w:rsid w:val="007A6B5E"/>
    <w:rsid w:val="007A7036"/>
    <w:rsid w:val="007B000F"/>
    <w:rsid w:val="007B0D1B"/>
    <w:rsid w:val="007B0DAA"/>
    <w:rsid w:val="007B0EB4"/>
    <w:rsid w:val="007B1088"/>
    <w:rsid w:val="007B27A5"/>
    <w:rsid w:val="007B28BF"/>
    <w:rsid w:val="007B29D0"/>
    <w:rsid w:val="007B30B1"/>
    <w:rsid w:val="007B3A26"/>
    <w:rsid w:val="007B3E35"/>
    <w:rsid w:val="007B4436"/>
    <w:rsid w:val="007B4CCC"/>
    <w:rsid w:val="007B5B09"/>
    <w:rsid w:val="007B63CA"/>
    <w:rsid w:val="007B7840"/>
    <w:rsid w:val="007C024D"/>
    <w:rsid w:val="007C0666"/>
    <w:rsid w:val="007C12FB"/>
    <w:rsid w:val="007C1559"/>
    <w:rsid w:val="007C1668"/>
    <w:rsid w:val="007C1696"/>
    <w:rsid w:val="007C1764"/>
    <w:rsid w:val="007C23E9"/>
    <w:rsid w:val="007C3E04"/>
    <w:rsid w:val="007C4661"/>
    <w:rsid w:val="007C47C8"/>
    <w:rsid w:val="007C4E4E"/>
    <w:rsid w:val="007C636D"/>
    <w:rsid w:val="007C6FD4"/>
    <w:rsid w:val="007C754E"/>
    <w:rsid w:val="007C7A6E"/>
    <w:rsid w:val="007C7CDF"/>
    <w:rsid w:val="007C7D0D"/>
    <w:rsid w:val="007D0272"/>
    <w:rsid w:val="007D0F32"/>
    <w:rsid w:val="007D11B6"/>
    <w:rsid w:val="007D1233"/>
    <w:rsid w:val="007D1D71"/>
    <w:rsid w:val="007D4113"/>
    <w:rsid w:val="007D4AB5"/>
    <w:rsid w:val="007D6757"/>
    <w:rsid w:val="007D7595"/>
    <w:rsid w:val="007E05CC"/>
    <w:rsid w:val="007E0A15"/>
    <w:rsid w:val="007E0D7E"/>
    <w:rsid w:val="007E239E"/>
    <w:rsid w:val="007E3708"/>
    <w:rsid w:val="007E3CA8"/>
    <w:rsid w:val="007E7C86"/>
    <w:rsid w:val="007F04A3"/>
    <w:rsid w:val="007F1006"/>
    <w:rsid w:val="007F2270"/>
    <w:rsid w:val="007F2B09"/>
    <w:rsid w:val="007F65DE"/>
    <w:rsid w:val="007F7112"/>
    <w:rsid w:val="008000C2"/>
    <w:rsid w:val="00801BD5"/>
    <w:rsid w:val="008026FA"/>
    <w:rsid w:val="0080271E"/>
    <w:rsid w:val="00802B42"/>
    <w:rsid w:val="008037BD"/>
    <w:rsid w:val="0080396E"/>
    <w:rsid w:val="00804430"/>
    <w:rsid w:val="00804BD4"/>
    <w:rsid w:val="0080548D"/>
    <w:rsid w:val="00806635"/>
    <w:rsid w:val="00807223"/>
    <w:rsid w:val="00807A9E"/>
    <w:rsid w:val="008105C6"/>
    <w:rsid w:val="0081076A"/>
    <w:rsid w:val="00810973"/>
    <w:rsid w:val="008109D5"/>
    <w:rsid w:val="008109FB"/>
    <w:rsid w:val="008112F5"/>
    <w:rsid w:val="008133C2"/>
    <w:rsid w:val="00814A5C"/>
    <w:rsid w:val="008150C8"/>
    <w:rsid w:val="00815ADC"/>
    <w:rsid w:val="00815FFD"/>
    <w:rsid w:val="008173C2"/>
    <w:rsid w:val="00817B22"/>
    <w:rsid w:val="00820057"/>
    <w:rsid w:val="008203FD"/>
    <w:rsid w:val="0082150E"/>
    <w:rsid w:val="00821889"/>
    <w:rsid w:val="00821E71"/>
    <w:rsid w:val="00822CC2"/>
    <w:rsid w:val="00822F4A"/>
    <w:rsid w:val="008234BC"/>
    <w:rsid w:val="008234F3"/>
    <w:rsid w:val="00823E0C"/>
    <w:rsid w:val="00824140"/>
    <w:rsid w:val="00824FF8"/>
    <w:rsid w:val="0082573A"/>
    <w:rsid w:val="00825B27"/>
    <w:rsid w:val="00826080"/>
    <w:rsid w:val="008277F0"/>
    <w:rsid w:val="008278B5"/>
    <w:rsid w:val="00827D10"/>
    <w:rsid w:val="0083080D"/>
    <w:rsid w:val="00831304"/>
    <w:rsid w:val="0083214B"/>
    <w:rsid w:val="0083233A"/>
    <w:rsid w:val="00832CFE"/>
    <w:rsid w:val="00835B2E"/>
    <w:rsid w:val="00835CC1"/>
    <w:rsid w:val="008372B2"/>
    <w:rsid w:val="00840430"/>
    <w:rsid w:val="00840973"/>
    <w:rsid w:val="00841AC4"/>
    <w:rsid w:val="00842FAE"/>
    <w:rsid w:val="008435D3"/>
    <w:rsid w:val="00844D9F"/>
    <w:rsid w:val="00844F24"/>
    <w:rsid w:val="00845DB8"/>
    <w:rsid w:val="008466A5"/>
    <w:rsid w:val="00847F6B"/>
    <w:rsid w:val="00850292"/>
    <w:rsid w:val="0085052F"/>
    <w:rsid w:val="008506E9"/>
    <w:rsid w:val="00851504"/>
    <w:rsid w:val="008521C9"/>
    <w:rsid w:val="008524EE"/>
    <w:rsid w:val="00852D0B"/>
    <w:rsid w:val="0085304E"/>
    <w:rsid w:val="00854489"/>
    <w:rsid w:val="00854626"/>
    <w:rsid w:val="00856E8D"/>
    <w:rsid w:val="00860324"/>
    <w:rsid w:val="0086053B"/>
    <w:rsid w:val="00860AF2"/>
    <w:rsid w:val="00860D6A"/>
    <w:rsid w:val="00861CD4"/>
    <w:rsid w:val="00862EEC"/>
    <w:rsid w:val="00864627"/>
    <w:rsid w:val="00865F08"/>
    <w:rsid w:val="008701FD"/>
    <w:rsid w:val="008703AD"/>
    <w:rsid w:val="008705E2"/>
    <w:rsid w:val="00870D8A"/>
    <w:rsid w:val="00870EB5"/>
    <w:rsid w:val="00870F44"/>
    <w:rsid w:val="0087260C"/>
    <w:rsid w:val="00872CBC"/>
    <w:rsid w:val="0087325A"/>
    <w:rsid w:val="00875638"/>
    <w:rsid w:val="00875977"/>
    <w:rsid w:val="00875A46"/>
    <w:rsid w:val="00875BF8"/>
    <w:rsid w:val="00875E58"/>
    <w:rsid w:val="00876401"/>
    <w:rsid w:val="008764EB"/>
    <w:rsid w:val="008768D1"/>
    <w:rsid w:val="00880A5D"/>
    <w:rsid w:val="00880BFE"/>
    <w:rsid w:val="0088148A"/>
    <w:rsid w:val="00882940"/>
    <w:rsid w:val="008862BF"/>
    <w:rsid w:val="0088630D"/>
    <w:rsid w:val="00886D63"/>
    <w:rsid w:val="008877FC"/>
    <w:rsid w:val="00887C3A"/>
    <w:rsid w:val="00887FA6"/>
    <w:rsid w:val="00887FD4"/>
    <w:rsid w:val="008919B0"/>
    <w:rsid w:val="00892527"/>
    <w:rsid w:val="00892B4E"/>
    <w:rsid w:val="0089378E"/>
    <w:rsid w:val="00893856"/>
    <w:rsid w:val="00893AE6"/>
    <w:rsid w:val="00894C1D"/>
    <w:rsid w:val="00896A16"/>
    <w:rsid w:val="00896B70"/>
    <w:rsid w:val="00896EC8"/>
    <w:rsid w:val="008A01F9"/>
    <w:rsid w:val="008A034A"/>
    <w:rsid w:val="008A03A7"/>
    <w:rsid w:val="008A1717"/>
    <w:rsid w:val="008A1AF0"/>
    <w:rsid w:val="008A2B1B"/>
    <w:rsid w:val="008A3EB4"/>
    <w:rsid w:val="008A3F4C"/>
    <w:rsid w:val="008A553C"/>
    <w:rsid w:val="008A5823"/>
    <w:rsid w:val="008A5C69"/>
    <w:rsid w:val="008A7972"/>
    <w:rsid w:val="008A79B9"/>
    <w:rsid w:val="008B04E5"/>
    <w:rsid w:val="008B0AED"/>
    <w:rsid w:val="008B0F13"/>
    <w:rsid w:val="008B321E"/>
    <w:rsid w:val="008B33AF"/>
    <w:rsid w:val="008B35F9"/>
    <w:rsid w:val="008B3C4B"/>
    <w:rsid w:val="008B3F5E"/>
    <w:rsid w:val="008B4573"/>
    <w:rsid w:val="008B4C0F"/>
    <w:rsid w:val="008B4C28"/>
    <w:rsid w:val="008B4EA9"/>
    <w:rsid w:val="008B58B6"/>
    <w:rsid w:val="008C17B3"/>
    <w:rsid w:val="008C2B36"/>
    <w:rsid w:val="008C2D66"/>
    <w:rsid w:val="008C35EE"/>
    <w:rsid w:val="008C4C0A"/>
    <w:rsid w:val="008C507A"/>
    <w:rsid w:val="008C5991"/>
    <w:rsid w:val="008C713E"/>
    <w:rsid w:val="008C7F99"/>
    <w:rsid w:val="008D0728"/>
    <w:rsid w:val="008D0E62"/>
    <w:rsid w:val="008D1DA3"/>
    <w:rsid w:val="008D25F5"/>
    <w:rsid w:val="008D2626"/>
    <w:rsid w:val="008D26D8"/>
    <w:rsid w:val="008D3032"/>
    <w:rsid w:val="008D336A"/>
    <w:rsid w:val="008D3612"/>
    <w:rsid w:val="008D708F"/>
    <w:rsid w:val="008D70C6"/>
    <w:rsid w:val="008D7164"/>
    <w:rsid w:val="008E07CA"/>
    <w:rsid w:val="008E104C"/>
    <w:rsid w:val="008E1B1A"/>
    <w:rsid w:val="008E391E"/>
    <w:rsid w:val="008E3A18"/>
    <w:rsid w:val="008E4176"/>
    <w:rsid w:val="008E523A"/>
    <w:rsid w:val="008E5B32"/>
    <w:rsid w:val="008E600E"/>
    <w:rsid w:val="008E7895"/>
    <w:rsid w:val="008F1917"/>
    <w:rsid w:val="008F21B2"/>
    <w:rsid w:val="008F2354"/>
    <w:rsid w:val="008F2BAD"/>
    <w:rsid w:val="008F3F2B"/>
    <w:rsid w:val="008F4115"/>
    <w:rsid w:val="008F4B0E"/>
    <w:rsid w:val="008F4DAC"/>
    <w:rsid w:val="008F5583"/>
    <w:rsid w:val="008F5BBA"/>
    <w:rsid w:val="008F5C54"/>
    <w:rsid w:val="008F5F4D"/>
    <w:rsid w:val="008F61E1"/>
    <w:rsid w:val="00900059"/>
    <w:rsid w:val="00900113"/>
    <w:rsid w:val="00900178"/>
    <w:rsid w:val="00900797"/>
    <w:rsid w:val="00902526"/>
    <w:rsid w:val="00902683"/>
    <w:rsid w:val="00902ED3"/>
    <w:rsid w:val="0090307F"/>
    <w:rsid w:val="009039EF"/>
    <w:rsid w:val="009045F0"/>
    <w:rsid w:val="00905858"/>
    <w:rsid w:val="00905E39"/>
    <w:rsid w:val="009060F2"/>
    <w:rsid w:val="0090693C"/>
    <w:rsid w:val="00906F18"/>
    <w:rsid w:val="0090723F"/>
    <w:rsid w:val="009078B4"/>
    <w:rsid w:val="0091068B"/>
    <w:rsid w:val="00910A7B"/>
    <w:rsid w:val="00911698"/>
    <w:rsid w:val="009116B1"/>
    <w:rsid w:val="00911A44"/>
    <w:rsid w:val="00911E4A"/>
    <w:rsid w:val="00912B39"/>
    <w:rsid w:val="00913307"/>
    <w:rsid w:val="009133CA"/>
    <w:rsid w:val="009134E8"/>
    <w:rsid w:val="00915A1D"/>
    <w:rsid w:val="00915CF6"/>
    <w:rsid w:val="00916105"/>
    <w:rsid w:val="00916851"/>
    <w:rsid w:val="009179A6"/>
    <w:rsid w:val="00920518"/>
    <w:rsid w:val="00924635"/>
    <w:rsid w:val="00925D3A"/>
    <w:rsid w:val="00925EC8"/>
    <w:rsid w:val="00925F5F"/>
    <w:rsid w:val="009264A3"/>
    <w:rsid w:val="00927788"/>
    <w:rsid w:val="0092786E"/>
    <w:rsid w:val="00927B03"/>
    <w:rsid w:val="00927D05"/>
    <w:rsid w:val="00927F24"/>
    <w:rsid w:val="00927F4F"/>
    <w:rsid w:val="00930E6B"/>
    <w:rsid w:val="00932398"/>
    <w:rsid w:val="00934129"/>
    <w:rsid w:val="00934859"/>
    <w:rsid w:val="00934A15"/>
    <w:rsid w:val="009351A6"/>
    <w:rsid w:val="00937D5D"/>
    <w:rsid w:val="00940085"/>
    <w:rsid w:val="0094026A"/>
    <w:rsid w:val="00940F6F"/>
    <w:rsid w:val="0094346D"/>
    <w:rsid w:val="0094375E"/>
    <w:rsid w:val="00944FEF"/>
    <w:rsid w:val="009459AE"/>
    <w:rsid w:val="00945B94"/>
    <w:rsid w:val="00945CD8"/>
    <w:rsid w:val="00946674"/>
    <w:rsid w:val="00946AB9"/>
    <w:rsid w:val="00950A02"/>
    <w:rsid w:val="00950DDC"/>
    <w:rsid w:val="00951290"/>
    <w:rsid w:val="0095261C"/>
    <w:rsid w:val="00952F41"/>
    <w:rsid w:val="00954CF1"/>
    <w:rsid w:val="009555B3"/>
    <w:rsid w:val="00956263"/>
    <w:rsid w:val="0096166E"/>
    <w:rsid w:val="00961F5B"/>
    <w:rsid w:val="0096292A"/>
    <w:rsid w:val="009638E0"/>
    <w:rsid w:val="00964958"/>
    <w:rsid w:val="0096608C"/>
    <w:rsid w:val="0096624B"/>
    <w:rsid w:val="009679C9"/>
    <w:rsid w:val="00967F1B"/>
    <w:rsid w:val="00970E15"/>
    <w:rsid w:val="009739AE"/>
    <w:rsid w:val="00973C2C"/>
    <w:rsid w:val="00973CA6"/>
    <w:rsid w:val="00974290"/>
    <w:rsid w:val="00974640"/>
    <w:rsid w:val="00975DF2"/>
    <w:rsid w:val="00980C10"/>
    <w:rsid w:val="0098100A"/>
    <w:rsid w:val="00981407"/>
    <w:rsid w:val="009814AE"/>
    <w:rsid w:val="00982CB3"/>
    <w:rsid w:val="009838C0"/>
    <w:rsid w:val="00983D31"/>
    <w:rsid w:val="00985CE6"/>
    <w:rsid w:val="0098664A"/>
    <w:rsid w:val="00986B1E"/>
    <w:rsid w:val="00987BDB"/>
    <w:rsid w:val="00990222"/>
    <w:rsid w:val="00990BB4"/>
    <w:rsid w:val="0099190A"/>
    <w:rsid w:val="00991F2A"/>
    <w:rsid w:val="00992502"/>
    <w:rsid w:val="0099374A"/>
    <w:rsid w:val="00993BCC"/>
    <w:rsid w:val="00993D5A"/>
    <w:rsid w:val="0099577C"/>
    <w:rsid w:val="009964ED"/>
    <w:rsid w:val="009966DC"/>
    <w:rsid w:val="00996C2B"/>
    <w:rsid w:val="00996C5E"/>
    <w:rsid w:val="00996E5E"/>
    <w:rsid w:val="00996F27"/>
    <w:rsid w:val="009977E0"/>
    <w:rsid w:val="009979BE"/>
    <w:rsid w:val="00997EAD"/>
    <w:rsid w:val="009A0AA2"/>
    <w:rsid w:val="009A1079"/>
    <w:rsid w:val="009A21AD"/>
    <w:rsid w:val="009A289E"/>
    <w:rsid w:val="009A2ACB"/>
    <w:rsid w:val="009A36A7"/>
    <w:rsid w:val="009A36B3"/>
    <w:rsid w:val="009A41F7"/>
    <w:rsid w:val="009A4A86"/>
    <w:rsid w:val="009A5167"/>
    <w:rsid w:val="009A51C8"/>
    <w:rsid w:val="009A5875"/>
    <w:rsid w:val="009A5933"/>
    <w:rsid w:val="009A755F"/>
    <w:rsid w:val="009B0B85"/>
    <w:rsid w:val="009B0D61"/>
    <w:rsid w:val="009B1480"/>
    <w:rsid w:val="009B1534"/>
    <w:rsid w:val="009B15B9"/>
    <w:rsid w:val="009B3AE4"/>
    <w:rsid w:val="009B3DEB"/>
    <w:rsid w:val="009B3EB7"/>
    <w:rsid w:val="009B4ABC"/>
    <w:rsid w:val="009B700C"/>
    <w:rsid w:val="009B7084"/>
    <w:rsid w:val="009B76DA"/>
    <w:rsid w:val="009B7831"/>
    <w:rsid w:val="009C08F5"/>
    <w:rsid w:val="009C1994"/>
    <w:rsid w:val="009C1F6A"/>
    <w:rsid w:val="009C24AC"/>
    <w:rsid w:val="009C287A"/>
    <w:rsid w:val="009C2E59"/>
    <w:rsid w:val="009C337F"/>
    <w:rsid w:val="009C39B9"/>
    <w:rsid w:val="009C4420"/>
    <w:rsid w:val="009C4B6A"/>
    <w:rsid w:val="009C514A"/>
    <w:rsid w:val="009C59FB"/>
    <w:rsid w:val="009C65FB"/>
    <w:rsid w:val="009C6823"/>
    <w:rsid w:val="009C74A2"/>
    <w:rsid w:val="009C7873"/>
    <w:rsid w:val="009C7AA8"/>
    <w:rsid w:val="009D0CB0"/>
    <w:rsid w:val="009D1531"/>
    <w:rsid w:val="009D240B"/>
    <w:rsid w:val="009D2FCE"/>
    <w:rsid w:val="009D30EB"/>
    <w:rsid w:val="009D3CFA"/>
    <w:rsid w:val="009D4F1D"/>
    <w:rsid w:val="009D5451"/>
    <w:rsid w:val="009D6685"/>
    <w:rsid w:val="009D6717"/>
    <w:rsid w:val="009E12DD"/>
    <w:rsid w:val="009E42FE"/>
    <w:rsid w:val="009E4EA0"/>
    <w:rsid w:val="009E5338"/>
    <w:rsid w:val="009E5D49"/>
    <w:rsid w:val="009E6ECD"/>
    <w:rsid w:val="009E6EDD"/>
    <w:rsid w:val="009E74A2"/>
    <w:rsid w:val="009E7540"/>
    <w:rsid w:val="009E7E9B"/>
    <w:rsid w:val="009F0266"/>
    <w:rsid w:val="009F03B8"/>
    <w:rsid w:val="009F07ED"/>
    <w:rsid w:val="009F131B"/>
    <w:rsid w:val="009F2F68"/>
    <w:rsid w:val="009F3170"/>
    <w:rsid w:val="009F3E25"/>
    <w:rsid w:val="009F447B"/>
    <w:rsid w:val="009F4B51"/>
    <w:rsid w:val="009F5BF5"/>
    <w:rsid w:val="009F64C7"/>
    <w:rsid w:val="009F6977"/>
    <w:rsid w:val="009F7561"/>
    <w:rsid w:val="009F7E5D"/>
    <w:rsid w:val="009F7F49"/>
    <w:rsid w:val="009F7FA0"/>
    <w:rsid w:val="00A00AB8"/>
    <w:rsid w:val="00A01079"/>
    <w:rsid w:val="00A015AF"/>
    <w:rsid w:val="00A01CC4"/>
    <w:rsid w:val="00A0296A"/>
    <w:rsid w:val="00A04BEB"/>
    <w:rsid w:val="00A05BF9"/>
    <w:rsid w:val="00A066DF"/>
    <w:rsid w:val="00A0736D"/>
    <w:rsid w:val="00A077CA"/>
    <w:rsid w:val="00A07AFE"/>
    <w:rsid w:val="00A101C7"/>
    <w:rsid w:val="00A115A8"/>
    <w:rsid w:val="00A11701"/>
    <w:rsid w:val="00A11967"/>
    <w:rsid w:val="00A1244E"/>
    <w:rsid w:val="00A12F0C"/>
    <w:rsid w:val="00A131D0"/>
    <w:rsid w:val="00A132A3"/>
    <w:rsid w:val="00A13783"/>
    <w:rsid w:val="00A137CC"/>
    <w:rsid w:val="00A138DD"/>
    <w:rsid w:val="00A20F66"/>
    <w:rsid w:val="00A22020"/>
    <w:rsid w:val="00A22063"/>
    <w:rsid w:val="00A22A38"/>
    <w:rsid w:val="00A22FE1"/>
    <w:rsid w:val="00A248CA"/>
    <w:rsid w:val="00A24A90"/>
    <w:rsid w:val="00A24B69"/>
    <w:rsid w:val="00A25750"/>
    <w:rsid w:val="00A25A69"/>
    <w:rsid w:val="00A30A6F"/>
    <w:rsid w:val="00A314D7"/>
    <w:rsid w:val="00A32424"/>
    <w:rsid w:val="00A3365D"/>
    <w:rsid w:val="00A33DCB"/>
    <w:rsid w:val="00A346BD"/>
    <w:rsid w:val="00A34AB8"/>
    <w:rsid w:val="00A35472"/>
    <w:rsid w:val="00A35B37"/>
    <w:rsid w:val="00A40DCD"/>
    <w:rsid w:val="00A41BC8"/>
    <w:rsid w:val="00A42AEB"/>
    <w:rsid w:val="00A440AB"/>
    <w:rsid w:val="00A458DE"/>
    <w:rsid w:val="00A46090"/>
    <w:rsid w:val="00A4693A"/>
    <w:rsid w:val="00A47067"/>
    <w:rsid w:val="00A50A0F"/>
    <w:rsid w:val="00A513E0"/>
    <w:rsid w:val="00A51E6F"/>
    <w:rsid w:val="00A523D3"/>
    <w:rsid w:val="00A52967"/>
    <w:rsid w:val="00A52B44"/>
    <w:rsid w:val="00A55D77"/>
    <w:rsid w:val="00A55F46"/>
    <w:rsid w:val="00A56376"/>
    <w:rsid w:val="00A56589"/>
    <w:rsid w:val="00A56FBF"/>
    <w:rsid w:val="00A6037A"/>
    <w:rsid w:val="00A60AF8"/>
    <w:rsid w:val="00A60FFF"/>
    <w:rsid w:val="00A610EE"/>
    <w:rsid w:val="00A61A1B"/>
    <w:rsid w:val="00A61B27"/>
    <w:rsid w:val="00A639B2"/>
    <w:rsid w:val="00A63D54"/>
    <w:rsid w:val="00A63D6A"/>
    <w:rsid w:val="00A641B6"/>
    <w:rsid w:val="00A64374"/>
    <w:rsid w:val="00A649AD"/>
    <w:rsid w:val="00A64C7C"/>
    <w:rsid w:val="00A6597D"/>
    <w:rsid w:val="00A65CFC"/>
    <w:rsid w:val="00A65E5C"/>
    <w:rsid w:val="00A66494"/>
    <w:rsid w:val="00A665B5"/>
    <w:rsid w:val="00A67024"/>
    <w:rsid w:val="00A7024B"/>
    <w:rsid w:val="00A70E70"/>
    <w:rsid w:val="00A7110C"/>
    <w:rsid w:val="00A71795"/>
    <w:rsid w:val="00A71AAA"/>
    <w:rsid w:val="00A72619"/>
    <w:rsid w:val="00A726C0"/>
    <w:rsid w:val="00A728A9"/>
    <w:rsid w:val="00A7418B"/>
    <w:rsid w:val="00A7456F"/>
    <w:rsid w:val="00A7575A"/>
    <w:rsid w:val="00A75D0C"/>
    <w:rsid w:val="00A76069"/>
    <w:rsid w:val="00A77E4E"/>
    <w:rsid w:val="00A80AA8"/>
    <w:rsid w:val="00A80D9A"/>
    <w:rsid w:val="00A8173A"/>
    <w:rsid w:val="00A8314E"/>
    <w:rsid w:val="00A8432F"/>
    <w:rsid w:val="00A8444C"/>
    <w:rsid w:val="00A852E5"/>
    <w:rsid w:val="00A867C6"/>
    <w:rsid w:val="00A87B8D"/>
    <w:rsid w:val="00A87E36"/>
    <w:rsid w:val="00A87ED0"/>
    <w:rsid w:val="00A90147"/>
    <w:rsid w:val="00A902D8"/>
    <w:rsid w:val="00A910EA"/>
    <w:rsid w:val="00A93691"/>
    <w:rsid w:val="00A93C50"/>
    <w:rsid w:val="00A943D1"/>
    <w:rsid w:val="00A95858"/>
    <w:rsid w:val="00A959E7"/>
    <w:rsid w:val="00A968B0"/>
    <w:rsid w:val="00A96C0F"/>
    <w:rsid w:val="00A97FA0"/>
    <w:rsid w:val="00AA027C"/>
    <w:rsid w:val="00AA1680"/>
    <w:rsid w:val="00AA1BD0"/>
    <w:rsid w:val="00AA1EF8"/>
    <w:rsid w:val="00AA2A07"/>
    <w:rsid w:val="00AA3C49"/>
    <w:rsid w:val="00AA3F81"/>
    <w:rsid w:val="00AA5081"/>
    <w:rsid w:val="00AA522B"/>
    <w:rsid w:val="00AA52C0"/>
    <w:rsid w:val="00AA69FC"/>
    <w:rsid w:val="00AA7297"/>
    <w:rsid w:val="00AA75D5"/>
    <w:rsid w:val="00AA7EB4"/>
    <w:rsid w:val="00AB0332"/>
    <w:rsid w:val="00AB0B61"/>
    <w:rsid w:val="00AB1064"/>
    <w:rsid w:val="00AB135B"/>
    <w:rsid w:val="00AB1637"/>
    <w:rsid w:val="00AB2DDA"/>
    <w:rsid w:val="00AB2E87"/>
    <w:rsid w:val="00AB4A6A"/>
    <w:rsid w:val="00AB5295"/>
    <w:rsid w:val="00AB6721"/>
    <w:rsid w:val="00AB75A6"/>
    <w:rsid w:val="00AB79E5"/>
    <w:rsid w:val="00AC074B"/>
    <w:rsid w:val="00AC0A51"/>
    <w:rsid w:val="00AC0CC0"/>
    <w:rsid w:val="00AC24D4"/>
    <w:rsid w:val="00AC3087"/>
    <w:rsid w:val="00AC3141"/>
    <w:rsid w:val="00AC411E"/>
    <w:rsid w:val="00AC4A93"/>
    <w:rsid w:val="00AC5388"/>
    <w:rsid w:val="00AC5E26"/>
    <w:rsid w:val="00AC6408"/>
    <w:rsid w:val="00AC64D3"/>
    <w:rsid w:val="00AC7D17"/>
    <w:rsid w:val="00AD1492"/>
    <w:rsid w:val="00AD1B97"/>
    <w:rsid w:val="00AD2CAF"/>
    <w:rsid w:val="00AD3A8E"/>
    <w:rsid w:val="00AD4E0E"/>
    <w:rsid w:val="00AD5586"/>
    <w:rsid w:val="00AD55D4"/>
    <w:rsid w:val="00AD5C14"/>
    <w:rsid w:val="00AD5CC2"/>
    <w:rsid w:val="00AD5E54"/>
    <w:rsid w:val="00AD5F4B"/>
    <w:rsid w:val="00AD6071"/>
    <w:rsid w:val="00AD63BD"/>
    <w:rsid w:val="00AD79F3"/>
    <w:rsid w:val="00AE0677"/>
    <w:rsid w:val="00AE0C92"/>
    <w:rsid w:val="00AE1E13"/>
    <w:rsid w:val="00AE213F"/>
    <w:rsid w:val="00AE2238"/>
    <w:rsid w:val="00AE2B69"/>
    <w:rsid w:val="00AE2BCB"/>
    <w:rsid w:val="00AE3BB9"/>
    <w:rsid w:val="00AE3C1B"/>
    <w:rsid w:val="00AE3F3A"/>
    <w:rsid w:val="00AE436E"/>
    <w:rsid w:val="00AE4EAB"/>
    <w:rsid w:val="00AE508F"/>
    <w:rsid w:val="00AE5829"/>
    <w:rsid w:val="00AE72DC"/>
    <w:rsid w:val="00AE7D39"/>
    <w:rsid w:val="00AF154A"/>
    <w:rsid w:val="00AF1A99"/>
    <w:rsid w:val="00AF1F3D"/>
    <w:rsid w:val="00AF210B"/>
    <w:rsid w:val="00AF2A7C"/>
    <w:rsid w:val="00AF37E0"/>
    <w:rsid w:val="00AF3FF6"/>
    <w:rsid w:val="00AF58B8"/>
    <w:rsid w:val="00AF7094"/>
    <w:rsid w:val="00AF7404"/>
    <w:rsid w:val="00AF7619"/>
    <w:rsid w:val="00B0244B"/>
    <w:rsid w:val="00B02970"/>
    <w:rsid w:val="00B029A4"/>
    <w:rsid w:val="00B032A4"/>
    <w:rsid w:val="00B0618F"/>
    <w:rsid w:val="00B0735E"/>
    <w:rsid w:val="00B07B8B"/>
    <w:rsid w:val="00B07C7E"/>
    <w:rsid w:val="00B10E90"/>
    <w:rsid w:val="00B11497"/>
    <w:rsid w:val="00B1158C"/>
    <w:rsid w:val="00B12951"/>
    <w:rsid w:val="00B13834"/>
    <w:rsid w:val="00B15C08"/>
    <w:rsid w:val="00B15DD5"/>
    <w:rsid w:val="00B169EE"/>
    <w:rsid w:val="00B1768D"/>
    <w:rsid w:val="00B17A31"/>
    <w:rsid w:val="00B20C38"/>
    <w:rsid w:val="00B218A6"/>
    <w:rsid w:val="00B22D59"/>
    <w:rsid w:val="00B24BFD"/>
    <w:rsid w:val="00B25A7D"/>
    <w:rsid w:val="00B261A3"/>
    <w:rsid w:val="00B26684"/>
    <w:rsid w:val="00B2683D"/>
    <w:rsid w:val="00B2730E"/>
    <w:rsid w:val="00B277B3"/>
    <w:rsid w:val="00B27A43"/>
    <w:rsid w:val="00B30157"/>
    <w:rsid w:val="00B320E0"/>
    <w:rsid w:val="00B32EB0"/>
    <w:rsid w:val="00B33C6C"/>
    <w:rsid w:val="00B34CCF"/>
    <w:rsid w:val="00B351D1"/>
    <w:rsid w:val="00B353C8"/>
    <w:rsid w:val="00B356A2"/>
    <w:rsid w:val="00B357FF"/>
    <w:rsid w:val="00B368FD"/>
    <w:rsid w:val="00B3696F"/>
    <w:rsid w:val="00B37D89"/>
    <w:rsid w:val="00B411CE"/>
    <w:rsid w:val="00B41C7A"/>
    <w:rsid w:val="00B41CAD"/>
    <w:rsid w:val="00B41ECA"/>
    <w:rsid w:val="00B420A5"/>
    <w:rsid w:val="00B429E4"/>
    <w:rsid w:val="00B42DD1"/>
    <w:rsid w:val="00B44EE8"/>
    <w:rsid w:val="00B46B5A"/>
    <w:rsid w:val="00B46F24"/>
    <w:rsid w:val="00B476F2"/>
    <w:rsid w:val="00B50058"/>
    <w:rsid w:val="00B51C5A"/>
    <w:rsid w:val="00B52848"/>
    <w:rsid w:val="00B52EE2"/>
    <w:rsid w:val="00B5336E"/>
    <w:rsid w:val="00B53C4E"/>
    <w:rsid w:val="00B55508"/>
    <w:rsid w:val="00B55AE0"/>
    <w:rsid w:val="00B56A39"/>
    <w:rsid w:val="00B56D49"/>
    <w:rsid w:val="00B57261"/>
    <w:rsid w:val="00B60447"/>
    <w:rsid w:val="00B6171A"/>
    <w:rsid w:val="00B62456"/>
    <w:rsid w:val="00B62740"/>
    <w:rsid w:val="00B62CFA"/>
    <w:rsid w:val="00B64F05"/>
    <w:rsid w:val="00B6606B"/>
    <w:rsid w:val="00B670FE"/>
    <w:rsid w:val="00B673D4"/>
    <w:rsid w:val="00B67423"/>
    <w:rsid w:val="00B67E15"/>
    <w:rsid w:val="00B70529"/>
    <w:rsid w:val="00B708B4"/>
    <w:rsid w:val="00B7158B"/>
    <w:rsid w:val="00B71CFC"/>
    <w:rsid w:val="00B72C07"/>
    <w:rsid w:val="00B7365C"/>
    <w:rsid w:val="00B73C53"/>
    <w:rsid w:val="00B745B5"/>
    <w:rsid w:val="00B74700"/>
    <w:rsid w:val="00B74E47"/>
    <w:rsid w:val="00B75450"/>
    <w:rsid w:val="00B7548E"/>
    <w:rsid w:val="00B7585E"/>
    <w:rsid w:val="00B759A2"/>
    <w:rsid w:val="00B7614D"/>
    <w:rsid w:val="00B76671"/>
    <w:rsid w:val="00B80D3D"/>
    <w:rsid w:val="00B81C87"/>
    <w:rsid w:val="00B82A9F"/>
    <w:rsid w:val="00B83855"/>
    <w:rsid w:val="00B83C48"/>
    <w:rsid w:val="00B84C74"/>
    <w:rsid w:val="00B85AC1"/>
    <w:rsid w:val="00B85E38"/>
    <w:rsid w:val="00B86547"/>
    <w:rsid w:val="00B874C6"/>
    <w:rsid w:val="00B87756"/>
    <w:rsid w:val="00B87DF0"/>
    <w:rsid w:val="00B91003"/>
    <w:rsid w:val="00B912DF"/>
    <w:rsid w:val="00B91B9B"/>
    <w:rsid w:val="00B92CB7"/>
    <w:rsid w:val="00B93043"/>
    <w:rsid w:val="00B93647"/>
    <w:rsid w:val="00B93B18"/>
    <w:rsid w:val="00B961F0"/>
    <w:rsid w:val="00B96225"/>
    <w:rsid w:val="00B962D6"/>
    <w:rsid w:val="00B976A6"/>
    <w:rsid w:val="00B97CEC"/>
    <w:rsid w:val="00BA11CF"/>
    <w:rsid w:val="00BA1DA9"/>
    <w:rsid w:val="00BA1F0B"/>
    <w:rsid w:val="00BA28AB"/>
    <w:rsid w:val="00BA2C97"/>
    <w:rsid w:val="00BA2DA7"/>
    <w:rsid w:val="00BA465B"/>
    <w:rsid w:val="00BA56B1"/>
    <w:rsid w:val="00BA5787"/>
    <w:rsid w:val="00BA6548"/>
    <w:rsid w:val="00BA6780"/>
    <w:rsid w:val="00BB0477"/>
    <w:rsid w:val="00BB04DA"/>
    <w:rsid w:val="00BB0775"/>
    <w:rsid w:val="00BB0DCA"/>
    <w:rsid w:val="00BB3A04"/>
    <w:rsid w:val="00BB3B4F"/>
    <w:rsid w:val="00BB3D17"/>
    <w:rsid w:val="00BB40ED"/>
    <w:rsid w:val="00BB4C8F"/>
    <w:rsid w:val="00BB4CFA"/>
    <w:rsid w:val="00BB696B"/>
    <w:rsid w:val="00BB79A4"/>
    <w:rsid w:val="00BB7A29"/>
    <w:rsid w:val="00BB7DA7"/>
    <w:rsid w:val="00BC0172"/>
    <w:rsid w:val="00BC18A7"/>
    <w:rsid w:val="00BC2081"/>
    <w:rsid w:val="00BC2F9D"/>
    <w:rsid w:val="00BC3378"/>
    <w:rsid w:val="00BC4258"/>
    <w:rsid w:val="00BC4F82"/>
    <w:rsid w:val="00BC5164"/>
    <w:rsid w:val="00BC5736"/>
    <w:rsid w:val="00BC638D"/>
    <w:rsid w:val="00BC63AE"/>
    <w:rsid w:val="00BC6429"/>
    <w:rsid w:val="00BC749A"/>
    <w:rsid w:val="00BD0438"/>
    <w:rsid w:val="00BD09A4"/>
    <w:rsid w:val="00BD11AC"/>
    <w:rsid w:val="00BD181C"/>
    <w:rsid w:val="00BD2A55"/>
    <w:rsid w:val="00BD2BC1"/>
    <w:rsid w:val="00BD5854"/>
    <w:rsid w:val="00BD60D0"/>
    <w:rsid w:val="00BD6241"/>
    <w:rsid w:val="00BE0BF3"/>
    <w:rsid w:val="00BE118D"/>
    <w:rsid w:val="00BE3413"/>
    <w:rsid w:val="00BE3AA7"/>
    <w:rsid w:val="00BE3E54"/>
    <w:rsid w:val="00BE4411"/>
    <w:rsid w:val="00BE4AF7"/>
    <w:rsid w:val="00BE57A1"/>
    <w:rsid w:val="00BE5844"/>
    <w:rsid w:val="00BE6435"/>
    <w:rsid w:val="00BF01E7"/>
    <w:rsid w:val="00BF1399"/>
    <w:rsid w:val="00BF1950"/>
    <w:rsid w:val="00BF1971"/>
    <w:rsid w:val="00BF299A"/>
    <w:rsid w:val="00BF3D8F"/>
    <w:rsid w:val="00BF3E8F"/>
    <w:rsid w:val="00BF4373"/>
    <w:rsid w:val="00BF6E5C"/>
    <w:rsid w:val="00BF71C0"/>
    <w:rsid w:val="00BF7774"/>
    <w:rsid w:val="00BF7DBC"/>
    <w:rsid w:val="00C00A51"/>
    <w:rsid w:val="00C00AFB"/>
    <w:rsid w:val="00C015A5"/>
    <w:rsid w:val="00C01C8D"/>
    <w:rsid w:val="00C02176"/>
    <w:rsid w:val="00C03927"/>
    <w:rsid w:val="00C03ACD"/>
    <w:rsid w:val="00C04165"/>
    <w:rsid w:val="00C04B55"/>
    <w:rsid w:val="00C04C1A"/>
    <w:rsid w:val="00C04EFD"/>
    <w:rsid w:val="00C05D1C"/>
    <w:rsid w:val="00C0751E"/>
    <w:rsid w:val="00C10753"/>
    <w:rsid w:val="00C11009"/>
    <w:rsid w:val="00C11050"/>
    <w:rsid w:val="00C11167"/>
    <w:rsid w:val="00C113B1"/>
    <w:rsid w:val="00C11EA2"/>
    <w:rsid w:val="00C12633"/>
    <w:rsid w:val="00C14EA0"/>
    <w:rsid w:val="00C1525B"/>
    <w:rsid w:val="00C15AE5"/>
    <w:rsid w:val="00C15CBE"/>
    <w:rsid w:val="00C16287"/>
    <w:rsid w:val="00C16D8C"/>
    <w:rsid w:val="00C16DB6"/>
    <w:rsid w:val="00C17223"/>
    <w:rsid w:val="00C17453"/>
    <w:rsid w:val="00C20249"/>
    <w:rsid w:val="00C20B71"/>
    <w:rsid w:val="00C20DFF"/>
    <w:rsid w:val="00C21B90"/>
    <w:rsid w:val="00C22560"/>
    <w:rsid w:val="00C22DB5"/>
    <w:rsid w:val="00C23BF7"/>
    <w:rsid w:val="00C25909"/>
    <w:rsid w:val="00C25F24"/>
    <w:rsid w:val="00C3162B"/>
    <w:rsid w:val="00C31C6B"/>
    <w:rsid w:val="00C32558"/>
    <w:rsid w:val="00C32656"/>
    <w:rsid w:val="00C32D86"/>
    <w:rsid w:val="00C33B53"/>
    <w:rsid w:val="00C35776"/>
    <w:rsid w:val="00C35D46"/>
    <w:rsid w:val="00C36A38"/>
    <w:rsid w:val="00C371A9"/>
    <w:rsid w:val="00C378E2"/>
    <w:rsid w:val="00C37A50"/>
    <w:rsid w:val="00C37ED7"/>
    <w:rsid w:val="00C37F21"/>
    <w:rsid w:val="00C40514"/>
    <w:rsid w:val="00C41578"/>
    <w:rsid w:val="00C43505"/>
    <w:rsid w:val="00C466F8"/>
    <w:rsid w:val="00C50462"/>
    <w:rsid w:val="00C5121C"/>
    <w:rsid w:val="00C53992"/>
    <w:rsid w:val="00C540DF"/>
    <w:rsid w:val="00C545C6"/>
    <w:rsid w:val="00C5594B"/>
    <w:rsid w:val="00C56E9C"/>
    <w:rsid w:val="00C62571"/>
    <w:rsid w:val="00C62B82"/>
    <w:rsid w:val="00C62D8A"/>
    <w:rsid w:val="00C62DA5"/>
    <w:rsid w:val="00C62F80"/>
    <w:rsid w:val="00C63BE7"/>
    <w:rsid w:val="00C729C2"/>
    <w:rsid w:val="00C72DE0"/>
    <w:rsid w:val="00C7338C"/>
    <w:rsid w:val="00C733E5"/>
    <w:rsid w:val="00C73AD5"/>
    <w:rsid w:val="00C7490E"/>
    <w:rsid w:val="00C74A18"/>
    <w:rsid w:val="00C7692E"/>
    <w:rsid w:val="00C76C61"/>
    <w:rsid w:val="00C8058D"/>
    <w:rsid w:val="00C81610"/>
    <w:rsid w:val="00C81701"/>
    <w:rsid w:val="00C8313D"/>
    <w:rsid w:val="00C838C8"/>
    <w:rsid w:val="00C840B5"/>
    <w:rsid w:val="00C854B3"/>
    <w:rsid w:val="00C8763D"/>
    <w:rsid w:val="00C87C91"/>
    <w:rsid w:val="00C909AB"/>
    <w:rsid w:val="00C90FE2"/>
    <w:rsid w:val="00C911BB"/>
    <w:rsid w:val="00C920CD"/>
    <w:rsid w:val="00C92150"/>
    <w:rsid w:val="00C92282"/>
    <w:rsid w:val="00C93BE9"/>
    <w:rsid w:val="00C943C4"/>
    <w:rsid w:val="00C95CC8"/>
    <w:rsid w:val="00C965A1"/>
    <w:rsid w:val="00C9698E"/>
    <w:rsid w:val="00C969F5"/>
    <w:rsid w:val="00C96B73"/>
    <w:rsid w:val="00CA0473"/>
    <w:rsid w:val="00CA0CF0"/>
    <w:rsid w:val="00CA0CF5"/>
    <w:rsid w:val="00CA1A89"/>
    <w:rsid w:val="00CA3536"/>
    <w:rsid w:val="00CA48D2"/>
    <w:rsid w:val="00CA6019"/>
    <w:rsid w:val="00CA61B5"/>
    <w:rsid w:val="00CA6AE6"/>
    <w:rsid w:val="00CA7713"/>
    <w:rsid w:val="00CB0947"/>
    <w:rsid w:val="00CB0B22"/>
    <w:rsid w:val="00CB0D23"/>
    <w:rsid w:val="00CB19DB"/>
    <w:rsid w:val="00CB2691"/>
    <w:rsid w:val="00CB28BC"/>
    <w:rsid w:val="00CB3E29"/>
    <w:rsid w:val="00CB555B"/>
    <w:rsid w:val="00CB60F8"/>
    <w:rsid w:val="00CB63B3"/>
    <w:rsid w:val="00CB6EEC"/>
    <w:rsid w:val="00CB783F"/>
    <w:rsid w:val="00CC1365"/>
    <w:rsid w:val="00CC14BA"/>
    <w:rsid w:val="00CC1C80"/>
    <w:rsid w:val="00CC2EDF"/>
    <w:rsid w:val="00CC387D"/>
    <w:rsid w:val="00CC5CF7"/>
    <w:rsid w:val="00CC5F3E"/>
    <w:rsid w:val="00CC5F8A"/>
    <w:rsid w:val="00CC628B"/>
    <w:rsid w:val="00CC7799"/>
    <w:rsid w:val="00CC7C37"/>
    <w:rsid w:val="00CD2AC1"/>
    <w:rsid w:val="00CD2EB3"/>
    <w:rsid w:val="00CD3585"/>
    <w:rsid w:val="00CD3B17"/>
    <w:rsid w:val="00CD405B"/>
    <w:rsid w:val="00CD465D"/>
    <w:rsid w:val="00CD490A"/>
    <w:rsid w:val="00CD624C"/>
    <w:rsid w:val="00CD6982"/>
    <w:rsid w:val="00CD715B"/>
    <w:rsid w:val="00CE0686"/>
    <w:rsid w:val="00CE0A6E"/>
    <w:rsid w:val="00CE143A"/>
    <w:rsid w:val="00CE1DC8"/>
    <w:rsid w:val="00CE23ED"/>
    <w:rsid w:val="00CE25B8"/>
    <w:rsid w:val="00CE2B4F"/>
    <w:rsid w:val="00CE2F03"/>
    <w:rsid w:val="00CE3CEB"/>
    <w:rsid w:val="00CE406B"/>
    <w:rsid w:val="00CE4473"/>
    <w:rsid w:val="00CE4AAC"/>
    <w:rsid w:val="00CE5554"/>
    <w:rsid w:val="00CE5620"/>
    <w:rsid w:val="00CE5671"/>
    <w:rsid w:val="00CE68D3"/>
    <w:rsid w:val="00CE699A"/>
    <w:rsid w:val="00CE7CF4"/>
    <w:rsid w:val="00CF0162"/>
    <w:rsid w:val="00CF0FD4"/>
    <w:rsid w:val="00CF221C"/>
    <w:rsid w:val="00CF2681"/>
    <w:rsid w:val="00CF26B9"/>
    <w:rsid w:val="00CF2A28"/>
    <w:rsid w:val="00CF3F6A"/>
    <w:rsid w:val="00CF5BF8"/>
    <w:rsid w:val="00CF644B"/>
    <w:rsid w:val="00CF66AE"/>
    <w:rsid w:val="00CF7438"/>
    <w:rsid w:val="00CF7446"/>
    <w:rsid w:val="00CF7BEF"/>
    <w:rsid w:val="00CF7F15"/>
    <w:rsid w:val="00D00BA8"/>
    <w:rsid w:val="00D00BAC"/>
    <w:rsid w:val="00D01098"/>
    <w:rsid w:val="00D016F1"/>
    <w:rsid w:val="00D02A5B"/>
    <w:rsid w:val="00D02CEF"/>
    <w:rsid w:val="00D031D5"/>
    <w:rsid w:val="00D04531"/>
    <w:rsid w:val="00D047E5"/>
    <w:rsid w:val="00D0680B"/>
    <w:rsid w:val="00D0681F"/>
    <w:rsid w:val="00D076D4"/>
    <w:rsid w:val="00D07F00"/>
    <w:rsid w:val="00D1029C"/>
    <w:rsid w:val="00D1065D"/>
    <w:rsid w:val="00D147D0"/>
    <w:rsid w:val="00D148FA"/>
    <w:rsid w:val="00D14B92"/>
    <w:rsid w:val="00D14C42"/>
    <w:rsid w:val="00D153B8"/>
    <w:rsid w:val="00D15DDE"/>
    <w:rsid w:val="00D165AD"/>
    <w:rsid w:val="00D17675"/>
    <w:rsid w:val="00D17686"/>
    <w:rsid w:val="00D20BA7"/>
    <w:rsid w:val="00D21804"/>
    <w:rsid w:val="00D2294B"/>
    <w:rsid w:val="00D24962"/>
    <w:rsid w:val="00D25429"/>
    <w:rsid w:val="00D26971"/>
    <w:rsid w:val="00D27905"/>
    <w:rsid w:val="00D3007E"/>
    <w:rsid w:val="00D301C3"/>
    <w:rsid w:val="00D321DF"/>
    <w:rsid w:val="00D326FC"/>
    <w:rsid w:val="00D3291E"/>
    <w:rsid w:val="00D36311"/>
    <w:rsid w:val="00D378E9"/>
    <w:rsid w:val="00D42B18"/>
    <w:rsid w:val="00D42C46"/>
    <w:rsid w:val="00D4475F"/>
    <w:rsid w:val="00D44988"/>
    <w:rsid w:val="00D474F4"/>
    <w:rsid w:val="00D47AA0"/>
    <w:rsid w:val="00D47F6A"/>
    <w:rsid w:val="00D50A3D"/>
    <w:rsid w:val="00D5323C"/>
    <w:rsid w:val="00D53344"/>
    <w:rsid w:val="00D53AD1"/>
    <w:rsid w:val="00D5687C"/>
    <w:rsid w:val="00D57745"/>
    <w:rsid w:val="00D57858"/>
    <w:rsid w:val="00D62B24"/>
    <w:rsid w:val="00D62B77"/>
    <w:rsid w:val="00D63284"/>
    <w:rsid w:val="00D63778"/>
    <w:rsid w:val="00D63A98"/>
    <w:rsid w:val="00D63EDA"/>
    <w:rsid w:val="00D65AE8"/>
    <w:rsid w:val="00D663C6"/>
    <w:rsid w:val="00D67470"/>
    <w:rsid w:val="00D67722"/>
    <w:rsid w:val="00D70006"/>
    <w:rsid w:val="00D700DE"/>
    <w:rsid w:val="00D70BA2"/>
    <w:rsid w:val="00D71B2E"/>
    <w:rsid w:val="00D73118"/>
    <w:rsid w:val="00D744D3"/>
    <w:rsid w:val="00D74EF5"/>
    <w:rsid w:val="00D7512C"/>
    <w:rsid w:val="00D7527D"/>
    <w:rsid w:val="00D753C7"/>
    <w:rsid w:val="00D75E84"/>
    <w:rsid w:val="00D7744B"/>
    <w:rsid w:val="00D77649"/>
    <w:rsid w:val="00D77A82"/>
    <w:rsid w:val="00D77CE9"/>
    <w:rsid w:val="00D80252"/>
    <w:rsid w:val="00D82651"/>
    <w:rsid w:val="00D82D75"/>
    <w:rsid w:val="00D831F5"/>
    <w:rsid w:val="00D83F55"/>
    <w:rsid w:val="00D846D3"/>
    <w:rsid w:val="00D84923"/>
    <w:rsid w:val="00D84EA4"/>
    <w:rsid w:val="00D853A2"/>
    <w:rsid w:val="00D85A37"/>
    <w:rsid w:val="00D86304"/>
    <w:rsid w:val="00D8684D"/>
    <w:rsid w:val="00D86A3D"/>
    <w:rsid w:val="00D86C17"/>
    <w:rsid w:val="00D8708F"/>
    <w:rsid w:val="00D90AFC"/>
    <w:rsid w:val="00D90FA2"/>
    <w:rsid w:val="00D910A1"/>
    <w:rsid w:val="00D9196F"/>
    <w:rsid w:val="00D91AED"/>
    <w:rsid w:val="00D9240F"/>
    <w:rsid w:val="00D92F51"/>
    <w:rsid w:val="00D93C6D"/>
    <w:rsid w:val="00D94CBA"/>
    <w:rsid w:val="00D95AB0"/>
    <w:rsid w:val="00D96609"/>
    <w:rsid w:val="00D96C6D"/>
    <w:rsid w:val="00D978EC"/>
    <w:rsid w:val="00DA1778"/>
    <w:rsid w:val="00DA2293"/>
    <w:rsid w:val="00DA5555"/>
    <w:rsid w:val="00DA5CCA"/>
    <w:rsid w:val="00DA714F"/>
    <w:rsid w:val="00DA715F"/>
    <w:rsid w:val="00DA72A6"/>
    <w:rsid w:val="00DA7C84"/>
    <w:rsid w:val="00DB03A6"/>
    <w:rsid w:val="00DB2D06"/>
    <w:rsid w:val="00DB2E5B"/>
    <w:rsid w:val="00DB32B0"/>
    <w:rsid w:val="00DB33DF"/>
    <w:rsid w:val="00DB34C1"/>
    <w:rsid w:val="00DB3C06"/>
    <w:rsid w:val="00DB4202"/>
    <w:rsid w:val="00DB599D"/>
    <w:rsid w:val="00DB5E16"/>
    <w:rsid w:val="00DB65F8"/>
    <w:rsid w:val="00DB687A"/>
    <w:rsid w:val="00DB6AE6"/>
    <w:rsid w:val="00DB6F2F"/>
    <w:rsid w:val="00DC02F1"/>
    <w:rsid w:val="00DC030A"/>
    <w:rsid w:val="00DC0AD1"/>
    <w:rsid w:val="00DC12FA"/>
    <w:rsid w:val="00DC4613"/>
    <w:rsid w:val="00DC4BD8"/>
    <w:rsid w:val="00DC531A"/>
    <w:rsid w:val="00DC577D"/>
    <w:rsid w:val="00DC5BC5"/>
    <w:rsid w:val="00DC6898"/>
    <w:rsid w:val="00DD0A9E"/>
    <w:rsid w:val="00DD21C2"/>
    <w:rsid w:val="00DD24E0"/>
    <w:rsid w:val="00DD2F10"/>
    <w:rsid w:val="00DD319F"/>
    <w:rsid w:val="00DD3895"/>
    <w:rsid w:val="00DD3EE6"/>
    <w:rsid w:val="00DD41E1"/>
    <w:rsid w:val="00DD6ACA"/>
    <w:rsid w:val="00DD7806"/>
    <w:rsid w:val="00DD7B3E"/>
    <w:rsid w:val="00DD7C07"/>
    <w:rsid w:val="00DD7C9D"/>
    <w:rsid w:val="00DE1057"/>
    <w:rsid w:val="00DE166D"/>
    <w:rsid w:val="00DE210E"/>
    <w:rsid w:val="00DE29DD"/>
    <w:rsid w:val="00DE2A8E"/>
    <w:rsid w:val="00DE3110"/>
    <w:rsid w:val="00DE3278"/>
    <w:rsid w:val="00DE35DF"/>
    <w:rsid w:val="00DE3CD8"/>
    <w:rsid w:val="00DE471F"/>
    <w:rsid w:val="00DE547C"/>
    <w:rsid w:val="00DE5BDB"/>
    <w:rsid w:val="00DE5E63"/>
    <w:rsid w:val="00DE6006"/>
    <w:rsid w:val="00DE7AE4"/>
    <w:rsid w:val="00DF1E2D"/>
    <w:rsid w:val="00DF2E4E"/>
    <w:rsid w:val="00DF30F5"/>
    <w:rsid w:val="00DF31C1"/>
    <w:rsid w:val="00DF486E"/>
    <w:rsid w:val="00DF4BAC"/>
    <w:rsid w:val="00DF4FA9"/>
    <w:rsid w:val="00DF5522"/>
    <w:rsid w:val="00DF560A"/>
    <w:rsid w:val="00DF6127"/>
    <w:rsid w:val="00DF6577"/>
    <w:rsid w:val="00DF6CF0"/>
    <w:rsid w:val="00DF71D4"/>
    <w:rsid w:val="00DF75D0"/>
    <w:rsid w:val="00E00857"/>
    <w:rsid w:val="00E00DC8"/>
    <w:rsid w:val="00E03D21"/>
    <w:rsid w:val="00E05AC5"/>
    <w:rsid w:val="00E05AEF"/>
    <w:rsid w:val="00E06578"/>
    <w:rsid w:val="00E0733F"/>
    <w:rsid w:val="00E104D6"/>
    <w:rsid w:val="00E108FC"/>
    <w:rsid w:val="00E10A27"/>
    <w:rsid w:val="00E120C8"/>
    <w:rsid w:val="00E12406"/>
    <w:rsid w:val="00E1259C"/>
    <w:rsid w:val="00E13D63"/>
    <w:rsid w:val="00E13E96"/>
    <w:rsid w:val="00E14611"/>
    <w:rsid w:val="00E15067"/>
    <w:rsid w:val="00E16A7D"/>
    <w:rsid w:val="00E16E87"/>
    <w:rsid w:val="00E17A35"/>
    <w:rsid w:val="00E17D6F"/>
    <w:rsid w:val="00E20548"/>
    <w:rsid w:val="00E212B9"/>
    <w:rsid w:val="00E2146D"/>
    <w:rsid w:val="00E221BE"/>
    <w:rsid w:val="00E23B62"/>
    <w:rsid w:val="00E24626"/>
    <w:rsid w:val="00E2489E"/>
    <w:rsid w:val="00E25660"/>
    <w:rsid w:val="00E2592C"/>
    <w:rsid w:val="00E304D7"/>
    <w:rsid w:val="00E305E0"/>
    <w:rsid w:val="00E30ABF"/>
    <w:rsid w:val="00E31194"/>
    <w:rsid w:val="00E31D29"/>
    <w:rsid w:val="00E32364"/>
    <w:rsid w:val="00E32951"/>
    <w:rsid w:val="00E32CE3"/>
    <w:rsid w:val="00E32F86"/>
    <w:rsid w:val="00E34C9D"/>
    <w:rsid w:val="00E37B7D"/>
    <w:rsid w:val="00E40450"/>
    <w:rsid w:val="00E410B6"/>
    <w:rsid w:val="00E42246"/>
    <w:rsid w:val="00E42400"/>
    <w:rsid w:val="00E434DC"/>
    <w:rsid w:val="00E43742"/>
    <w:rsid w:val="00E4575C"/>
    <w:rsid w:val="00E45B4D"/>
    <w:rsid w:val="00E45BDE"/>
    <w:rsid w:val="00E46A66"/>
    <w:rsid w:val="00E475B7"/>
    <w:rsid w:val="00E47874"/>
    <w:rsid w:val="00E47D04"/>
    <w:rsid w:val="00E47E09"/>
    <w:rsid w:val="00E50536"/>
    <w:rsid w:val="00E50672"/>
    <w:rsid w:val="00E50867"/>
    <w:rsid w:val="00E519B0"/>
    <w:rsid w:val="00E51AB4"/>
    <w:rsid w:val="00E51FA4"/>
    <w:rsid w:val="00E5240F"/>
    <w:rsid w:val="00E52621"/>
    <w:rsid w:val="00E533AC"/>
    <w:rsid w:val="00E54917"/>
    <w:rsid w:val="00E54BD1"/>
    <w:rsid w:val="00E556C7"/>
    <w:rsid w:val="00E558F0"/>
    <w:rsid w:val="00E55904"/>
    <w:rsid w:val="00E56368"/>
    <w:rsid w:val="00E568D1"/>
    <w:rsid w:val="00E575AE"/>
    <w:rsid w:val="00E601CC"/>
    <w:rsid w:val="00E606B4"/>
    <w:rsid w:val="00E615DF"/>
    <w:rsid w:val="00E62990"/>
    <w:rsid w:val="00E63A45"/>
    <w:rsid w:val="00E6467E"/>
    <w:rsid w:val="00E64A0C"/>
    <w:rsid w:val="00E64A95"/>
    <w:rsid w:val="00E65C03"/>
    <w:rsid w:val="00E67D28"/>
    <w:rsid w:val="00E7088A"/>
    <w:rsid w:val="00E72104"/>
    <w:rsid w:val="00E73944"/>
    <w:rsid w:val="00E73B4D"/>
    <w:rsid w:val="00E741A2"/>
    <w:rsid w:val="00E749CB"/>
    <w:rsid w:val="00E75404"/>
    <w:rsid w:val="00E75494"/>
    <w:rsid w:val="00E7598A"/>
    <w:rsid w:val="00E76193"/>
    <w:rsid w:val="00E76A5F"/>
    <w:rsid w:val="00E76CEB"/>
    <w:rsid w:val="00E778C7"/>
    <w:rsid w:val="00E802F5"/>
    <w:rsid w:val="00E82284"/>
    <w:rsid w:val="00E8283B"/>
    <w:rsid w:val="00E82CFD"/>
    <w:rsid w:val="00E831E8"/>
    <w:rsid w:val="00E83C72"/>
    <w:rsid w:val="00E84325"/>
    <w:rsid w:val="00E843C5"/>
    <w:rsid w:val="00E8446F"/>
    <w:rsid w:val="00E8464E"/>
    <w:rsid w:val="00E84A1A"/>
    <w:rsid w:val="00E85429"/>
    <w:rsid w:val="00E858C8"/>
    <w:rsid w:val="00E86489"/>
    <w:rsid w:val="00E868E9"/>
    <w:rsid w:val="00E86937"/>
    <w:rsid w:val="00E90096"/>
    <w:rsid w:val="00E90F74"/>
    <w:rsid w:val="00E91685"/>
    <w:rsid w:val="00E91749"/>
    <w:rsid w:val="00E91E96"/>
    <w:rsid w:val="00E93208"/>
    <w:rsid w:val="00E940D3"/>
    <w:rsid w:val="00E945C9"/>
    <w:rsid w:val="00E94763"/>
    <w:rsid w:val="00E9653D"/>
    <w:rsid w:val="00E9660B"/>
    <w:rsid w:val="00E970B8"/>
    <w:rsid w:val="00EA146F"/>
    <w:rsid w:val="00EA265B"/>
    <w:rsid w:val="00EA270B"/>
    <w:rsid w:val="00EA2D63"/>
    <w:rsid w:val="00EA35ED"/>
    <w:rsid w:val="00EA3C84"/>
    <w:rsid w:val="00EA4E2F"/>
    <w:rsid w:val="00EA54A3"/>
    <w:rsid w:val="00EB0897"/>
    <w:rsid w:val="00EB3A6F"/>
    <w:rsid w:val="00EB3D10"/>
    <w:rsid w:val="00EB43D2"/>
    <w:rsid w:val="00EB48A2"/>
    <w:rsid w:val="00EB50C9"/>
    <w:rsid w:val="00EB524D"/>
    <w:rsid w:val="00EB58C5"/>
    <w:rsid w:val="00EB5C83"/>
    <w:rsid w:val="00EB64C6"/>
    <w:rsid w:val="00EB69DC"/>
    <w:rsid w:val="00EB7C3E"/>
    <w:rsid w:val="00EC0145"/>
    <w:rsid w:val="00EC1C2F"/>
    <w:rsid w:val="00EC1CD4"/>
    <w:rsid w:val="00EC2EB2"/>
    <w:rsid w:val="00EC2FD7"/>
    <w:rsid w:val="00EC40D4"/>
    <w:rsid w:val="00EC5475"/>
    <w:rsid w:val="00EC54B2"/>
    <w:rsid w:val="00EC6B98"/>
    <w:rsid w:val="00EC6DE7"/>
    <w:rsid w:val="00EC796B"/>
    <w:rsid w:val="00EC7AF0"/>
    <w:rsid w:val="00ED0567"/>
    <w:rsid w:val="00ED18EB"/>
    <w:rsid w:val="00ED1F7E"/>
    <w:rsid w:val="00ED3711"/>
    <w:rsid w:val="00ED4498"/>
    <w:rsid w:val="00ED5A2A"/>
    <w:rsid w:val="00ED7042"/>
    <w:rsid w:val="00ED79C2"/>
    <w:rsid w:val="00ED7FA1"/>
    <w:rsid w:val="00EE11E5"/>
    <w:rsid w:val="00EE245C"/>
    <w:rsid w:val="00EE2530"/>
    <w:rsid w:val="00EE3720"/>
    <w:rsid w:val="00EE389C"/>
    <w:rsid w:val="00EE3E6C"/>
    <w:rsid w:val="00EE4276"/>
    <w:rsid w:val="00EE4EF2"/>
    <w:rsid w:val="00EE5A9E"/>
    <w:rsid w:val="00EE7B9B"/>
    <w:rsid w:val="00EF03C5"/>
    <w:rsid w:val="00EF0A3A"/>
    <w:rsid w:val="00EF0AFC"/>
    <w:rsid w:val="00EF0DA3"/>
    <w:rsid w:val="00EF1951"/>
    <w:rsid w:val="00EF1DB3"/>
    <w:rsid w:val="00EF2CF7"/>
    <w:rsid w:val="00EF2FF1"/>
    <w:rsid w:val="00EF41F8"/>
    <w:rsid w:val="00EF45D1"/>
    <w:rsid w:val="00EF4B85"/>
    <w:rsid w:val="00EF5083"/>
    <w:rsid w:val="00EF5B8D"/>
    <w:rsid w:val="00EF5F5B"/>
    <w:rsid w:val="00EF6271"/>
    <w:rsid w:val="00F005EA"/>
    <w:rsid w:val="00F00BDB"/>
    <w:rsid w:val="00F01745"/>
    <w:rsid w:val="00F028D7"/>
    <w:rsid w:val="00F0365C"/>
    <w:rsid w:val="00F049D3"/>
    <w:rsid w:val="00F04D95"/>
    <w:rsid w:val="00F064A5"/>
    <w:rsid w:val="00F06634"/>
    <w:rsid w:val="00F06DB8"/>
    <w:rsid w:val="00F06E7C"/>
    <w:rsid w:val="00F1002A"/>
    <w:rsid w:val="00F10C57"/>
    <w:rsid w:val="00F10C61"/>
    <w:rsid w:val="00F125DA"/>
    <w:rsid w:val="00F125EC"/>
    <w:rsid w:val="00F14092"/>
    <w:rsid w:val="00F16456"/>
    <w:rsid w:val="00F17C97"/>
    <w:rsid w:val="00F203EE"/>
    <w:rsid w:val="00F205CA"/>
    <w:rsid w:val="00F2155C"/>
    <w:rsid w:val="00F21A11"/>
    <w:rsid w:val="00F21AD9"/>
    <w:rsid w:val="00F225F4"/>
    <w:rsid w:val="00F22600"/>
    <w:rsid w:val="00F22CAE"/>
    <w:rsid w:val="00F23EB0"/>
    <w:rsid w:val="00F23F3E"/>
    <w:rsid w:val="00F24F57"/>
    <w:rsid w:val="00F25963"/>
    <w:rsid w:val="00F26055"/>
    <w:rsid w:val="00F2774E"/>
    <w:rsid w:val="00F3051D"/>
    <w:rsid w:val="00F31823"/>
    <w:rsid w:val="00F31880"/>
    <w:rsid w:val="00F33EB8"/>
    <w:rsid w:val="00F33F9D"/>
    <w:rsid w:val="00F33FE2"/>
    <w:rsid w:val="00F362EC"/>
    <w:rsid w:val="00F364CE"/>
    <w:rsid w:val="00F40974"/>
    <w:rsid w:val="00F40BEA"/>
    <w:rsid w:val="00F41D4A"/>
    <w:rsid w:val="00F427C8"/>
    <w:rsid w:val="00F4327C"/>
    <w:rsid w:val="00F4366E"/>
    <w:rsid w:val="00F44888"/>
    <w:rsid w:val="00F45079"/>
    <w:rsid w:val="00F45321"/>
    <w:rsid w:val="00F4549D"/>
    <w:rsid w:val="00F468FC"/>
    <w:rsid w:val="00F47AC6"/>
    <w:rsid w:val="00F47BB7"/>
    <w:rsid w:val="00F502C3"/>
    <w:rsid w:val="00F506B4"/>
    <w:rsid w:val="00F506C5"/>
    <w:rsid w:val="00F5241B"/>
    <w:rsid w:val="00F52DD5"/>
    <w:rsid w:val="00F532CB"/>
    <w:rsid w:val="00F533AA"/>
    <w:rsid w:val="00F56062"/>
    <w:rsid w:val="00F564B2"/>
    <w:rsid w:val="00F575D5"/>
    <w:rsid w:val="00F61D17"/>
    <w:rsid w:val="00F62CFB"/>
    <w:rsid w:val="00F63388"/>
    <w:rsid w:val="00F63CFD"/>
    <w:rsid w:val="00F64044"/>
    <w:rsid w:val="00F640F4"/>
    <w:rsid w:val="00F641A7"/>
    <w:rsid w:val="00F650EF"/>
    <w:rsid w:val="00F65CAA"/>
    <w:rsid w:val="00F6620C"/>
    <w:rsid w:val="00F6634D"/>
    <w:rsid w:val="00F66689"/>
    <w:rsid w:val="00F67242"/>
    <w:rsid w:val="00F67D2B"/>
    <w:rsid w:val="00F70822"/>
    <w:rsid w:val="00F7092C"/>
    <w:rsid w:val="00F70BF8"/>
    <w:rsid w:val="00F71885"/>
    <w:rsid w:val="00F71B69"/>
    <w:rsid w:val="00F72105"/>
    <w:rsid w:val="00F744DE"/>
    <w:rsid w:val="00F74B3E"/>
    <w:rsid w:val="00F75686"/>
    <w:rsid w:val="00F75F99"/>
    <w:rsid w:val="00F7618C"/>
    <w:rsid w:val="00F77240"/>
    <w:rsid w:val="00F77368"/>
    <w:rsid w:val="00F821DE"/>
    <w:rsid w:val="00F8245C"/>
    <w:rsid w:val="00F83B9B"/>
    <w:rsid w:val="00F842A3"/>
    <w:rsid w:val="00F84410"/>
    <w:rsid w:val="00F845C1"/>
    <w:rsid w:val="00F9197D"/>
    <w:rsid w:val="00F92DE1"/>
    <w:rsid w:val="00F92E12"/>
    <w:rsid w:val="00F940DF"/>
    <w:rsid w:val="00F9422C"/>
    <w:rsid w:val="00F94865"/>
    <w:rsid w:val="00F94AE8"/>
    <w:rsid w:val="00F94E4D"/>
    <w:rsid w:val="00F95A6F"/>
    <w:rsid w:val="00F96A6C"/>
    <w:rsid w:val="00F96D69"/>
    <w:rsid w:val="00F97020"/>
    <w:rsid w:val="00FA0F29"/>
    <w:rsid w:val="00FA2E03"/>
    <w:rsid w:val="00FA379D"/>
    <w:rsid w:val="00FA615F"/>
    <w:rsid w:val="00FA66B3"/>
    <w:rsid w:val="00FA685F"/>
    <w:rsid w:val="00FA6C89"/>
    <w:rsid w:val="00FA71E2"/>
    <w:rsid w:val="00FA77C4"/>
    <w:rsid w:val="00FB05CB"/>
    <w:rsid w:val="00FB25CD"/>
    <w:rsid w:val="00FB2626"/>
    <w:rsid w:val="00FB3FA1"/>
    <w:rsid w:val="00FB53FA"/>
    <w:rsid w:val="00FB5EA1"/>
    <w:rsid w:val="00FB721A"/>
    <w:rsid w:val="00FB7E99"/>
    <w:rsid w:val="00FC147A"/>
    <w:rsid w:val="00FC1C54"/>
    <w:rsid w:val="00FC30A8"/>
    <w:rsid w:val="00FC3E86"/>
    <w:rsid w:val="00FC44F3"/>
    <w:rsid w:val="00FC53BB"/>
    <w:rsid w:val="00FC5A0B"/>
    <w:rsid w:val="00FC6A75"/>
    <w:rsid w:val="00FC6C76"/>
    <w:rsid w:val="00FC7391"/>
    <w:rsid w:val="00FC7C19"/>
    <w:rsid w:val="00FD05CD"/>
    <w:rsid w:val="00FD09C6"/>
    <w:rsid w:val="00FD27BD"/>
    <w:rsid w:val="00FD3A22"/>
    <w:rsid w:val="00FD3B24"/>
    <w:rsid w:val="00FD4843"/>
    <w:rsid w:val="00FD540F"/>
    <w:rsid w:val="00FD55B9"/>
    <w:rsid w:val="00FD574D"/>
    <w:rsid w:val="00FD69FD"/>
    <w:rsid w:val="00FD760B"/>
    <w:rsid w:val="00FE0654"/>
    <w:rsid w:val="00FE0895"/>
    <w:rsid w:val="00FE108D"/>
    <w:rsid w:val="00FE197F"/>
    <w:rsid w:val="00FE246E"/>
    <w:rsid w:val="00FE2BFA"/>
    <w:rsid w:val="00FE2F9F"/>
    <w:rsid w:val="00FE340B"/>
    <w:rsid w:val="00FE3D5F"/>
    <w:rsid w:val="00FE58B3"/>
    <w:rsid w:val="00FE708D"/>
    <w:rsid w:val="00FE7BBC"/>
    <w:rsid w:val="00FF120A"/>
    <w:rsid w:val="00FF15C6"/>
    <w:rsid w:val="00FF16DF"/>
    <w:rsid w:val="00FF233E"/>
    <w:rsid w:val="00FF3019"/>
    <w:rsid w:val="00FF3C83"/>
    <w:rsid w:val="00FF4A1C"/>
    <w:rsid w:val="00FF537B"/>
    <w:rsid w:val="00FF6773"/>
    <w:rsid w:val="00FF6797"/>
    <w:rsid w:val="00FF735A"/>
    <w:rsid w:val="00FF73A3"/>
    <w:rsid w:val="00FF7523"/>
    <w:rsid w:val="00FF7786"/>
    <w:rsid w:val="00FF7A9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A9A71"/>
  <w15:chartTrackingRefBased/>
  <w15:docId w15:val="{CA93D8BE-5CA5-4F10-A1D0-714DA024C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E55904"/>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02F1"/>
    <w:pPr>
      <w:ind w:left="720"/>
      <w:contextualSpacing/>
    </w:pPr>
  </w:style>
  <w:style w:type="character" w:styleId="Hyperlink">
    <w:name w:val="Hyperlink"/>
    <w:basedOn w:val="DefaultParagraphFont"/>
    <w:uiPriority w:val="99"/>
    <w:unhideWhenUsed/>
    <w:rsid w:val="001C09B7"/>
    <w:rPr>
      <w:color w:val="0000FF"/>
      <w:u w:val="single"/>
    </w:rPr>
  </w:style>
  <w:style w:type="character" w:customStyle="1" w:styleId="searchtermshl">
    <w:name w:val="searchtermshl"/>
    <w:basedOn w:val="DefaultParagraphFont"/>
    <w:rsid w:val="001C09B7"/>
  </w:style>
  <w:style w:type="character" w:customStyle="1" w:styleId="counderline">
    <w:name w:val="co_underline"/>
    <w:basedOn w:val="DefaultParagraphFont"/>
    <w:rsid w:val="00080D51"/>
  </w:style>
  <w:style w:type="character" w:customStyle="1" w:styleId="coitalic">
    <w:name w:val="co_italic"/>
    <w:basedOn w:val="DefaultParagraphFont"/>
    <w:rsid w:val="00080D51"/>
  </w:style>
  <w:style w:type="paragraph" w:styleId="Header">
    <w:name w:val="header"/>
    <w:basedOn w:val="Normal"/>
    <w:link w:val="HeaderChar"/>
    <w:uiPriority w:val="99"/>
    <w:unhideWhenUsed/>
    <w:rsid w:val="002D51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51E2"/>
  </w:style>
  <w:style w:type="paragraph" w:styleId="Footer">
    <w:name w:val="footer"/>
    <w:basedOn w:val="Normal"/>
    <w:link w:val="FooterChar"/>
    <w:uiPriority w:val="99"/>
    <w:unhideWhenUsed/>
    <w:rsid w:val="002D51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51E2"/>
  </w:style>
  <w:style w:type="paragraph" w:styleId="FootnoteText">
    <w:name w:val="footnote text"/>
    <w:basedOn w:val="Normal"/>
    <w:link w:val="FootnoteTextChar"/>
    <w:uiPriority w:val="99"/>
    <w:semiHidden/>
    <w:unhideWhenUsed/>
    <w:rsid w:val="005E43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4356"/>
    <w:rPr>
      <w:sz w:val="20"/>
      <w:szCs w:val="20"/>
    </w:rPr>
  </w:style>
  <w:style w:type="character" w:styleId="FootnoteReference">
    <w:name w:val="footnote reference"/>
    <w:basedOn w:val="DefaultParagraphFont"/>
    <w:uiPriority w:val="99"/>
    <w:semiHidden/>
    <w:unhideWhenUsed/>
    <w:rsid w:val="005E4356"/>
    <w:rPr>
      <w:vertAlign w:val="superscript"/>
    </w:rPr>
  </w:style>
  <w:style w:type="character" w:customStyle="1" w:styleId="Heading4Char">
    <w:name w:val="Heading 4 Char"/>
    <w:basedOn w:val="DefaultParagraphFont"/>
    <w:link w:val="Heading4"/>
    <w:uiPriority w:val="9"/>
    <w:rsid w:val="00E55904"/>
    <w:rPr>
      <w:rFonts w:ascii="Times New Roman" w:eastAsia="Times New Roman" w:hAnsi="Times New Roman" w:cs="Times New Roman"/>
      <w:b/>
      <w:bCs/>
      <w:kern w:val="0"/>
      <w:sz w:val="24"/>
      <w:szCs w:val="24"/>
      <w:lang w:eastAsia="en-GB"/>
      <w14:ligatures w14:val="none"/>
    </w:rPr>
  </w:style>
  <w:style w:type="character" w:customStyle="1" w:styleId="legds">
    <w:name w:val="legds"/>
    <w:basedOn w:val="DefaultParagraphFont"/>
    <w:rsid w:val="00E55904"/>
  </w:style>
  <w:style w:type="paragraph" w:customStyle="1" w:styleId="legclearfix">
    <w:name w:val="legclearfix"/>
    <w:basedOn w:val="Normal"/>
    <w:rsid w:val="00E5590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legamendingtext">
    <w:name w:val="legamendingtext"/>
    <w:basedOn w:val="DefaultParagraphFont"/>
    <w:rsid w:val="00E55904"/>
  </w:style>
  <w:style w:type="character" w:customStyle="1" w:styleId="legamendquote">
    <w:name w:val="legamendquote"/>
    <w:basedOn w:val="DefaultParagraphFont"/>
    <w:rsid w:val="00E55904"/>
  </w:style>
  <w:style w:type="paragraph" w:customStyle="1" w:styleId="leglisttextstandard">
    <w:name w:val="leglisttextstandard"/>
    <w:basedOn w:val="Normal"/>
    <w:rsid w:val="00E5590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legterm">
    <w:name w:val="legterm"/>
    <w:basedOn w:val="DefaultParagraphFont"/>
    <w:rsid w:val="00E55904"/>
  </w:style>
  <w:style w:type="paragraph" w:styleId="EndnoteText">
    <w:name w:val="endnote text"/>
    <w:basedOn w:val="Normal"/>
    <w:link w:val="EndnoteTextChar"/>
    <w:uiPriority w:val="99"/>
    <w:semiHidden/>
    <w:unhideWhenUsed/>
    <w:rsid w:val="00096E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96E33"/>
    <w:rPr>
      <w:sz w:val="20"/>
      <w:szCs w:val="20"/>
    </w:rPr>
  </w:style>
  <w:style w:type="character" w:styleId="EndnoteReference">
    <w:name w:val="endnote reference"/>
    <w:basedOn w:val="DefaultParagraphFont"/>
    <w:uiPriority w:val="99"/>
    <w:semiHidden/>
    <w:unhideWhenUsed/>
    <w:rsid w:val="00096E33"/>
    <w:rPr>
      <w:vertAlign w:val="superscript"/>
    </w:rPr>
  </w:style>
  <w:style w:type="character" w:styleId="UnresolvedMention">
    <w:name w:val="Unresolved Mention"/>
    <w:basedOn w:val="DefaultParagraphFont"/>
    <w:uiPriority w:val="99"/>
    <w:semiHidden/>
    <w:unhideWhenUsed/>
    <w:rsid w:val="008F2354"/>
    <w:rPr>
      <w:color w:val="605E5C"/>
      <w:shd w:val="clear" w:color="auto" w:fill="E1DFDD"/>
    </w:rPr>
  </w:style>
  <w:style w:type="character" w:styleId="FollowedHyperlink">
    <w:name w:val="FollowedHyperlink"/>
    <w:basedOn w:val="DefaultParagraphFont"/>
    <w:uiPriority w:val="99"/>
    <w:semiHidden/>
    <w:unhideWhenUsed/>
    <w:rsid w:val="00927788"/>
    <w:rPr>
      <w:color w:val="954F72" w:themeColor="followedHyperlink"/>
      <w:u w:val="single"/>
    </w:rPr>
  </w:style>
  <w:style w:type="character" w:styleId="CommentReference">
    <w:name w:val="annotation reference"/>
    <w:basedOn w:val="DefaultParagraphFont"/>
    <w:uiPriority w:val="99"/>
    <w:semiHidden/>
    <w:unhideWhenUsed/>
    <w:rsid w:val="003C57E9"/>
    <w:rPr>
      <w:sz w:val="16"/>
      <w:szCs w:val="16"/>
    </w:rPr>
  </w:style>
  <w:style w:type="paragraph" w:styleId="CommentText">
    <w:name w:val="annotation text"/>
    <w:basedOn w:val="Normal"/>
    <w:link w:val="CommentTextChar"/>
    <w:uiPriority w:val="99"/>
    <w:unhideWhenUsed/>
    <w:rsid w:val="003C57E9"/>
    <w:pPr>
      <w:spacing w:line="240" w:lineRule="auto"/>
    </w:pPr>
    <w:rPr>
      <w:sz w:val="20"/>
      <w:szCs w:val="20"/>
    </w:rPr>
  </w:style>
  <w:style w:type="character" w:customStyle="1" w:styleId="CommentTextChar">
    <w:name w:val="Comment Text Char"/>
    <w:basedOn w:val="DefaultParagraphFont"/>
    <w:link w:val="CommentText"/>
    <w:uiPriority w:val="99"/>
    <w:rsid w:val="003C57E9"/>
    <w:rPr>
      <w:sz w:val="20"/>
      <w:szCs w:val="20"/>
    </w:rPr>
  </w:style>
  <w:style w:type="paragraph" w:styleId="CommentSubject">
    <w:name w:val="annotation subject"/>
    <w:basedOn w:val="CommentText"/>
    <w:next w:val="CommentText"/>
    <w:link w:val="CommentSubjectChar"/>
    <w:uiPriority w:val="99"/>
    <w:semiHidden/>
    <w:unhideWhenUsed/>
    <w:rsid w:val="003C57E9"/>
    <w:rPr>
      <w:b/>
      <w:bCs/>
    </w:rPr>
  </w:style>
  <w:style w:type="character" w:customStyle="1" w:styleId="CommentSubjectChar">
    <w:name w:val="Comment Subject Char"/>
    <w:basedOn w:val="CommentTextChar"/>
    <w:link w:val="CommentSubject"/>
    <w:uiPriority w:val="99"/>
    <w:semiHidden/>
    <w:rsid w:val="003C57E9"/>
    <w:rPr>
      <w:b/>
      <w:bCs/>
      <w:sz w:val="20"/>
      <w:szCs w:val="20"/>
    </w:rPr>
  </w:style>
  <w:style w:type="paragraph" w:styleId="Revision">
    <w:name w:val="Revision"/>
    <w:hidden/>
    <w:uiPriority w:val="99"/>
    <w:semiHidden/>
    <w:rsid w:val="00607F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27065">
      <w:bodyDiv w:val="1"/>
      <w:marLeft w:val="0"/>
      <w:marRight w:val="0"/>
      <w:marTop w:val="0"/>
      <w:marBottom w:val="0"/>
      <w:divBdr>
        <w:top w:val="none" w:sz="0" w:space="0" w:color="auto"/>
        <w:left w:val="none" w:sz="0" w:space="0" w:color="auto"/>
        <w:bottom w:val="none" w:sz="0" w:space="0" w:color="auto"/>
        <w:right w:val="none" w:sz="0" w:space="0" w:color="auto"/>
      </w:divBdr>
      <w:divsChild>
        <w:div w:id="2053722286">
          <w:marLeft w:val="0"/>
          <w:marRight w:val="0"/>
          <w:marTop w:val="0"/>
          <w:marBottom w:val="0"/>
          <w:divBdr>
            <w:top w:val="none" w:sz="0" w:space="0" w:color="auto"/>
            <w:left w:val="none" w:sz="0" w:space="0" w:color="auto"/>
            <w:bottom w:val="none" w:sz="0" w:space="0" w:color="auto"/>
            <w:right w:val="none" w:sz="0" w:space="0" w:color="auto"/>
          </w:divBdr>
          <w:divsChild>
            <w:div w:id="42823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8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5072052-c002-4ee4-87e5-9d58843fc488}" enabled="1" method="Privileged" siteId="{185280ba-7a00-42ea-9408-19eafd13552e}" removed="0"/>
</clbl:labelList>
</file>

<file path=docProps/app.xml><?xml version="1.0" encoding="utf-8"?>
<Properties xmlns="http://schemas.openxmlformats.org/officeDocument/2006/extended-properties" xmlns:vt="http://schemas.openxmlformats.org/officeDocument/2006/docPropsVTypes">
  <Template>Normal</Template>
  <TotalTime>2</TotalTime>
  <Pages>21</Pages>
  <Words>6090</Words>
  <Characters>34718</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40727</CharactersWithSpaces>
  <SharedDoc>false</SharedDoc>
  <HLinks>
    <vt:vector size="18" baseType="variant">
      <vt:variant>
        <vt:i4>524297</vt:i4>
      </vt:variant>
      <vt:variant>
        <vt:i4>9</vt:i4>
      </vt:variant>
      <vt:variant>
        <vt:i4>0</vt:i4>
      </vt:variant>
      <vt:variant>
        <vt:i4>5</vt:i4>
      </vt:variant>
      <vt:variant>
        <vt:lpwstr>https://www.gov.uk/government/publications/nationality-and-borders-bill-inadmissibility-third-country-connections/nationality-and-borders-bill-inadmissibility-for-those-travelling-through-or-with-a-connection-to-safe-third-countries</vt:lpwstr>
      </vt:variant>
      <vt:variant>
        <vt:lpwstr/>
      </vt:variant>
      <vt:variant>
        <vt:i4>7209079</vt:i4>
      </vt:variant>
      <vt:variant>
        <vt:i4>6</vt:i4>
      </vt:variant>
      <vt:variant>
        <vt:i4>0</vt:i4>
      </vt:variant>
      <vt:variant>
        <vt:i4>5</vt:i4>
      </vt:variant>
      <vt:variant>
        <vt:lpwstr>https://www.legislation.gov.uk/ukpga/2022/36/pdfs/ukpgaen_20220036_en.pdf</vt:lpwstr>
      </vt:variant>
      <vt:variant>
        <vt:lpwstr/>
      </vt:variant>
      <vt:variant>
        <vt:i4>589841</vt:i4>
      </vt:variant>
      <vt:variant>
        <vt:i4>3</vt:i4>
      </vt:variant>
      <vt:variant>
        <vt:i4>0</vt:i4>
      </vt:variant>
      <vt:variant>
        <vt:i4>5</vt:i4>
      </vt:variant>
      <vt:variant>
        <vt:lpwstr>https://researchbriefings.files.parliament.uk/documents/CBP-9281/CBP-9281.pdf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Mcconnachie (LAW - Staff)</dc:creator>
  <cp:keywords/>
  <dc:description/>
  <cp:lastModifiedBy>Kirsten Mcconnachie (LAW - Staff)</cp:lastModifiedBy>
  <cp:revision>4</cp:revision>
  <dcterms:created xsi:type="dcterms:W3CDTF">2025-10-07T07:34:00Z</dcterms:created>
  <dcterms:modified xsi:type="dcterms:W3CDTF">2025-10-07T07:36:00Z</dcterms:modified>
</cp:coreProperties>
</file>