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BE27" w14:textId="77777777" w:rsidR="00A272EE" w:rsidRPr="00D16DBC" w:rsidRDefault="00A272EE" w:rsidP="057C832C">
      <w:pPr>
        <w:spacing w:after="0" w:line="480" w:lineRule="auto"/>
        <w:rPr>
          <w:rStyle w:val="PageNumber"/>
          <w:b/>
          <w:bCs/>
          <w:sz w:val="32"/>
          <w:szCs w:val="32"/>
        </w:rPr>
      </w:pPr>
      <w:r w:rsidRPr="00D16DBC">
        <w:rPr>
          <w:rStyle w:val="PageNumber"/>
          <w:b/>
          <w:bCs/>
          <w:sz w:val="32"/>
          <w:szCs w:val="32"/>
        </w:rPr>
        <w:t xml:space="preserve">Evaluation of the </w:t>
      </w:r>
      <w:proofErr w:type="spellStart"/>
      <w:r w:rsidRPr="00D16DBC">
        <w:rPr>
          <w:rStyle w:val="PageNumber"/>
          <w:b/>
          <w:bCs/>
          <w:sz w:val="32"/>
          <w:szCs w:val="32"/>
        </w:rPr>
        <w:t>CompreHensive</w:t>
      </w:r>
      <w:proofErr w:type="spellEnd"/>
      <w:r w:rsidRPr="00D16DBC">
        <w:rPr>
          <w:rStyle w:val="PageNumber"/>
          <w:b/>
          <w:bCs/>
          <w:sz w:val="32"/>
          <w:szCs w:val="32"/>
        </w:rPr>
        <w:t xml:space="preserve"> </w:t>
      </w:r>
      <w:proofErr w:type="spellStart"/>
      <w:r w:rsidRPr="00D16DBC">
        <w:rPr>
          <w:rStyle w:val="PageNumber"/>
          <w:b/>
          <w:bCs/>
          <w:sz w:val="32"/>
          <w:szCs w:val="32"/>
        </w:rPr>
        <w:t>geriAtRician</w:t>
      </w:r>
      <w:proofErr w:type="spellEnd"/>
      <w:r w:rsidRPr="00D16DBC">
        <w:rPr>
          <w:rStyle w:val="PageNumber"/>
          <w:b/>
          <w:bCs/>
          <w:sz w:val="32"/>
          <w:szCs w:val="32"/>
        </w:rPr>
        <w:t xml:space="preserve">-led </w:t>
      </w:r>
      <w:proofErr w:type="spellStart"/>
      <w:r w:rsidRPr="00D16DBC">
        <w:rPr>
          <w:rStyle w:val="PageNumber"/>
          <w:b/>
          <w:bCs/>
          <w:sz w:val="32"/>
          <w:szCs w:val="32"/>
        </w:rPr>
        <w:t>MEdication</w:t>
      </w:r>
      <w:proofErr w:type="spellEnd"/>
      <w:r w:rsidRPr="00D16DBC">
        <w:rPr>
          <w:rStyle w:val="PageNumber"/>
          <w:b/>
          <w:bCs/>
          <w:sz w:val="32"/>
          <w:szCs w:val="32"/>
        </w:rPr>
        <w:t xml:space="preserve"> Review (CHARMER) Deprescribing Intervention in Hospital: Protocol for a Cluster Randomised Stepped-Wedge Trial</w:t>
      </w:r>
      <w:bookmarkStart w:id="0" w:name="_Toc45674610"/>
      <w:bookmarkStart w:id="1" w:name="_Toc648304740"/>
      <w:bookmarkStart w:id="2" w:name="_Toc1790406779"/>
      <w:bookmarkStart w:id="3" w:name="_Toc476667166"/>
      <w:bookmarkStart w:id="4" w:name="_Toc97040521"/>
      <w:bookmarkStart w:id="5" w:name="_Toc138840773"/>
    </w:p>
    <w:p w14:paraId="256F634B" w14:textId="77777777" w:rsidR="00A272EE" w:rsidRPr="00D16DBC" w:rsidRDefault="00A272EE" w:rsidP="00143B39">
      <w:pPr>
        <w:spacing w:line="240" w:lineRule="auto"/>
        <w:rPr>
          <w:b/>
          <w:bCs/>
          <w:sz w:val="24"/>
          <w:szCs w:val="24"/>
        </w:rPr>
      </w:pPr>
      <w:r w:rsidRPr="00D16DBC">
        <w:rPr>
          <w:b/>
          <w:bCs/>
          <w:sz w:val="24"/>
          <w:szCs w:val="24"/>
        </w:rPr>
        <w:t xml:space="preserve">Abstract </w:t>
      </w:r>
    </w:p>
    <w:p w14:paraId="3D410B2A" w14:textId="77777777" w:rsidR="00A272EE" w:rsidRPr="00D16DBC" w:rsidRDefault="00A272EE" w:rsidP="00143B39">
      <w:pPr>
        <w:spacing w:line="240" w:lineRule="auto"/>
        <w:rPr>
          <w:b/>
          <w:bCs/>
        </w:rPr>
      </w:pPr>
      <w:r w:rsidRPr="00D16DBC">
        <w:rPr>
          <w:b/>
          <w:bCs/>
        </w:rPr>
        <w:t>Background</w:t>
      </w:r>
    </w:p>
    <w:p w14:paraId="035618B6" w14:textId="77777777" w:rsidR="00A272EE" w:rsidRDefault="00A272EE" w:rsidP="006E1751">
      <w:pPr>
        <w:spacing w:after="0" w:line="480" w:lineRule="auto"/>
        <w:contextualSpacing/>
        <w:rPr>
          <w:rFonts w:asciiTheme="minorHAnsi" w:hAnsiTheme="minorHAnsi" w:cstheme="minorBidi"/>
          <w:color w:val="000000" w:themeColor="text1"/>
        </w:rPr>
      </w:pPr>
      <w:r>
        <w:t xml:space="preserve">Whilst almost half of older adults admitted to hospital are prescribed potentially inappropriate medicines, less than 1% have a medicine proactively deprescribed during admission in the UK. The </w:t>
      </w:r>
      <w:proofErr w:type="spellStart"/>
      <w:r w:rsidRPr="78EA817F">
        <w:rPr>
          <w:rFonts w:asciiTheme="minorHAnsi" w:hAnsiTheme="minorHAnsi" w:cstheme="minorBidi"/>
          <w:color w:val="000000" w:themeColor="text1"/>
        </w:rPr>
        <w:t>CompreHensive</w:t>
      </w:r>
      <w:proofErr w:type="spellEnd"/>
      <w:r w:rsidRPr="78EA817F">
        <w:rPr>
          <w:rFonts w:asciiTheme="minorHAnsi" w:hAnsiTheme="minorHAnsi" w:cstheme="minorBidi"/>
          <w:color w:val="000000" w:themeColor="text1"/>
        </w:rPr>
        <w:t xml:space="preserve"> </w:t>
      </w:r>
      <w:proofErr w:type="spellStart"/>
      <w:r w:rsidRPr="78EA817F">
        <w:rPr>
          <w:rFonts w:asciiTheme="minorHAnsi" w:hAnsiTheme="minorHAnsi" w:cstheme="minorBidi"/>
          <w:color w:val="000000" w:themeColor="text1"/>
        </w:rPr>
        <w:t>geriAtRician</w:t>
      </w:r>
      <w:proofErr w:type="spellEnd"/>
      <w:r w:rsidRPr="78EA817F">
        <w:rPr>
          <w:rFonts w:asciiTheme="minorHAnsi" w:hAnsiTheme="minorHAnsi" w:cstheme="minorBidi"/>
          <w:color w:val="000000" w:themeColor="text1"/>
        </w:rPr>
        <w:t xml:space="preserve">-led </w:t>
      </w:r>
      <w:proofErr w:type="spellStart"/>
      <w:r w:rsidRPr="78EA817F">
        <w:rPr>
          <w:rFonts w:asciiTheme="minorHAnsi" w:hAnsiTheme="minorHAnsi" w:cstheme="minorBidi"/>
          <w:color w:val="000000" w:themeColor="text1"/>
        </w:rPr>
        <w:t>MEdication</w:t>
      </w:r>
      <w:proofErr w:type="spellEnd"/>
      <w:r w:rsidRPr="78EA817F">
        <w:rPr>
          <w:rFonts w:asciiTheme="minorHAnsi" w:hAnsiTheme="minorHAnsi" w:cstheme="minorBidi"/>
          <w:color w:val="000000" w:themeColor="text1"/>
        </w:rPr>
        <w:t xml:space="preserve"> Review (CHARMER) intervention, is designed to address geriatricians’ and pharmacists’ barriers and enabler</w:t>
      </w:r>
      <w:r>
        <w:rPr>
          <w:rFonts w:asciiTheme="minorHAnsi" w:hAnsiTheme="minorHAnsi" w:cstheme="minorBidi"/>
          <w:color w:val="000000" w:themeColor="text1"/>
        </w:rPr>
        <w:t>s</w:t>
      </w:r>
      <w:r w:rsidRPr="78EA817F">
        <w:rPr>
          <w:rFonts w:asciiTheme="minorHAnsi" w:hAnsiTheme="minorHAnsi" w:cstheme="minorBidi"/>
          <w:color w:val="000000" w:themeColor="text1"/>
        </w:rPr>
        <w:t xml:space="preserve"> to deprescribing. </w:t>
      </w:r>
      <w:r>
        <w:rPr>
          <w:rFonts w:asciiTheme="minorHAnsi" w:hAnsiTheme="minorHAnsi" w:cstheme="minorBidi"/>
          <w:color w:val="000000" w:themeColor="text1"/>
        </w:rPr>
        <w:t>T</w:t>
      </w:r>
      <w:r w:rsidRPr="78EA817F">
        <w:rPr>
          <w:rFonts w:asciiTheme="minorHAnsi" w:hAnsiTheme="minorHAnsi" w:cstheme="minorBidi"/>
          <w:color w:val="000000" w:themeColor="text1"/>
        </w:rPr>
        <w:t>he</w:t>
      </w:r>
      <w:r>
        <w:rPr>
          <w:rFonts w:asciiTheme="minorHAnsi" w:hAnsiTheme="minorHAnsi" w:cstheme="minorBidi"/>
          <w:color w:val="000000" w:themeColor="text1"/>
        </w:rPr>
        <w:t xml:space="preserve"> CHARMER definitive</w:t>
      </w:r>
      <w:r w:rsidRPr="78EA817F">
        <w:rPr>
          <w:rFonts w:asciiTheme="minorHAnsi" w:hAnsiTheme="minorHAnsi" w:cstheme="minorBidi"/>
          <w:color w:val="000000" w:themeColor="text1"/>
        </w:rPr>
        <w:t xml:space="preserve"> trial</w:t>
      </w:r>
      <w:r>
        <w:rPr>
          <w:rFonts w:asciiTheme="minorHAnsi" w:hAnsiTheme="minorHAnsi" w:cstheme="minorBidi"/>
          <w:color w:val="000000" w:themeColor="text1"/>
        </w:rPr>
        <w:t xml:space="preserve"> will</w:t>
      </w:r>
      <w:r w:rsidRPr="78EA817F">
        <w:rPr>
          <w:rFonts w:asciiTheme="minorHAnsi" w:hAnsiTheme="minorHAnsi" w:cstheme="minorBidi"/>
          <w:color w:val="000000" w:themeColor="text1"/>
        </w:rPr>
        <w:t xml:space="preserve"> evaluate effectiveness, cost-effectiveness and safety.</w:t>
      </w:r>
    </w:p>
    <w:p w14:paraId="18FEB86A" w14:textId="77777777" w:rsidR="00A272EE" w:rsidRPr="00D16DBC" w:rsidRDefault="00A272EE" w:rsidP="006E1751">
      <w:pPr>
        <w:spacing w:after="0" w:line="480" w:lineRule="auto"/>
        <w:contextualSpacing/>
        <w:rPr>
          <w:b/>
          <w:bCs/>
        </w:rPr>
      </w:pPr>
      <w:r w:rsidRPr="00D16DBC">
        <w:rPr>
          <w:b/>
          <w:bCs/>
        </w:rPr>
        <w:t>Methods</w:t>
      </w:r>
      <w:r>
        <w:rPr>
          <w:b/>
          <w:bCs/>
        </w:rPr>
        <w:t xml:space="preserve"> and analysis</w:t>
      </w:r>
    </w:p>
    <w:p w14:paraId="7EF57A1E" w14:textId="77777777" w:rsidR="00A272EE" w:rsidRDefault="00A272EE" w:rsidP="006E1751">
      <w:pPr>
        <w:spacing w:after="0" w:line="480" w:lineRule="auto"/>
        <w:contextualSpacing/>
      </w:pPr>
      <w:r>
        <w:t>A</w:t>
      </w:r>
      <w:r w:rsidRPr="00310B66">
        <w:t xml:space="preserve"> stepped-wedge cluster randomised controlled trial </w:t>
      </w:r>
      <w:r>
        <w:t xml:space="preserve">will be conducted in </w:t>
      </w:r>
      <w:r w:rsidRPr="00310B66">
        <w:t>20 hospitals in England</w:t>
      </w:r>
      <w:r>
        <w:t>, with four hospitals in reserve. All hospitals will collect baseline data. Every three months, five hospitals will be randomised to receive the intervention.</w:t>
      </w:r>
      <w:r w:rsidRPr="009B748E">
        <w:t xml:space="preserve"> </w:t>
      </w:r>
    </w:p>
    <w:p w14:paraId="2A5AD945" w14:textId="77777777" w:rsidR="00A272EE" w:rsidRPr="00310B66" w:rsidRDefault="00A272EE" w:rsidP="006E1751">
      <w:pPr>
        <w:spacing w:after="0" w:line="480" w:lineRule="auto"/>
        <w:contextualSpacing/>
      </w:pPr>
      <w:r w:rsidRPr="00310B66">
        <w:t xml:space="preserve">The intervention, </w:t>
      </w:r>
      <w:r>
        <w:t>implemented</w:t>
      </w:r>
      <w:r w:rsidRPr="00310B66">
        <w:t xml:space="preserve"> by a local project manager, co</w:t>
      </w:r>
      <w:r>
        <w:t>mprises</w:t>
      </w:r>
      <w:r w:rsidRPr="00310B66">
        <w:t xml:space="preserve">: A hospital action plan to set deprescribing as an organisational goal; workshops for pharmacists and geriatricians to change beliefs about deprescribing; weekly briefings between geriatricians and pharmacists to discuss opportunities for deprescribing; benchmarking reports to compare deprescribing performance across </w:t>
      </w:r>
      <w:r>
        <w:t xml:space="preserve">participating </w:t>
      </w:r>
      <w:r w:rsidRPr="00310B66">
        <w:t xml:space="preserve">hospitals. </w:t>
      </w:r>
    </w:p>
    <w:p w14:paraId="7A4DF604" w14:textId="77777777" w:rsidR="00A272EE" w:rsidRDefault="00A272EE" w:rsidP="006E1751">
      <w:pPr>
        <w:spacing w:after="0" w:line="480" w:lineRule="auto"/>
        <w:contextualSpacing/>
        <w:rPr>
          <w:rFonts w:eastAsia="Calibri"/>
          <w:lang w:val="en-US"/>
        </w:rPr>
      </w:pPr>
      <w:r>
        <w:rPr>
          <w:rFonts w:eastAsia="Calibri"/>
          <w:lang w:val="en-US"/>
        </w:rPr>
        <w:t>With</w:t>
      </w:r>
      <w:r w:rsidRPr="78EA817F">
        <w:rPr>
          <w:rFonts w:eastAsia="Calibri"/>
          <w:lang w:val="en-US"/>
        </w:rPr>
        <w:t xml:space="preserve"> </w:t>
      </w:r>
      <w:r>
        <w:rPr>
          <w:rFonts w:eastAsia="Calibri"/>
          <w:lang w:val="en-US"/>
        </w:rPr>
        <w:t xml:space="preserve">an average </w:t>
      </w:r>
      <w:r w:rsidRPr="78EA817F">
        <w:rPr>
          <w:rFonts w:eastAsia="Calibri"/>
          <w:lang w:val="en-US"/>
        </w:rPr>
        <w:t>200 patients admitted and discharged during each step, the study will have 89.5% power at 5% significance level</w:t>
      </w:r>
      <w:r>
        <w:rPr>
          <w:rFonts w:eastAsia="Calibri"/>
          <w:lang w:val="en-US"/>
        </w:rPr>
        <w:t xml:space="preserve"> and</w:t>
      </w:r>
      <w:r w:rsidRPr="78EA817F">
        <w:rPr>
          <w:rFonts w:eastAsia="Calibri"/>
          <w:lang w:val="en-US"/>
        </w:rPr>
        <w:t xml:space="preserve"> ICC of 0.05</w:t>
      </w:r>
      <w:r>
        <w:rPr>
          <w:rFonts w:eastAsia="Calibri"/>
          <w:lang w:val="en-US"/>
        </w:rPr>
        <w:t xml:space="preserve"> </w:t>
      </w:r>
      <w:r w:rsidRPr="78EA817F">
        <w:rPr>
          <w:rFonts w:eastAsia="Calibri"/>
          <w:lang w:val="en-US"/>
        </w:rPr>
        <w:t xml:space="preserve">to detect a </w:t>
      </w:r>
      <w:r>
        <w:rPr>
          <w:rFonts w:eastAsia="Calibri"/>
          <w:lang w:val="en-US"/>
        </w:rPr>
        <w:t xml:space="preserve">3% </w:t>
      </w:r>
      <w:r w:rsidRPr="78EA817F">
        <w:rPr>
          <w:rFonts w:eastAsia="Calibri"/>
          <w:lang w:val="en-US"/>
        </w:rPr>
        <w:t xml:space="preserve">difference in </w:t>
      </w:r>
      <w:r>
        <w:rPr>
          <w:rFonts w:eastAsia="Calibri"/>
          <w:lang w:val="en-US"/>
        </w:rPr>
        <w:t xml:space="preserve">90-day </w:t>
      </w:r>
      <w:r w:rsidRPr="78EA817F">
        <w:rPr>
          <w:rFonts w:eastAsia="Calibri"/>
          <w:lang w:val="en-US"/>
        </w:rPr>
        <w:t>re-admission rate</w:t>
      </w:r>
      <w:r>
        <w:rPr>
          <w:rFonts w:eastAsia="Calibri"/>
          <w:lang w:val="en-US"/>
        </w:rPr>
        <w:t xml:space="preserve"> from </w:t>
      </w:r>
      <w:r w:rsidRPr="78EA817F">
        <w:rPr>
          <w:rFonts w:eastAsia="Calibri"/>
          <w:lang w:val="en-US"/>
        </w:rPr>
        <w:t>16.7% v</w:t>
      </w:r>
      <w:r>
        <w:rPr>
          <w:rFonts w:eastAsia="Calibri"/>
          <w:lang w:val="en-US"/>
        </w:rPr>
        <w:t>er</w:t>
      </w:r>
      <w:r w:rsidRPr="78EA817F">
        <w:rPr>
          <w:rFonts w:eastAsia="Calibri"/>
          <w:lang w:val="en-US"/>
        </w:rPr>
        <w:t>s</w:t>
      </w:r>
      <w:r>
        <w:rPr>
          <w:rFonts w:eastAsia="Calibri"/>
          <w:lang w:val="en-US"/>
        </w:rPr>
        <w:t>us</w:t>
      </w:r>
      <w:r w:rsidRPr="78EA817F">
        <w:rPr>
          <w:rFonts w:eastAsia="Calibri"/>
          <w:lang w:val="en-US"/>
        </w:rPr>
        <w:t xml:space="preserve"> 13.7%. </w:t>
      </w:r>
    </w:p>
    <w:p w14:paraId="1BE4025F" w14:textId="77777777" w:rsidR="00A272EE" w:rsidRDefault="00A272EE" w:rsidP="006E1751">
      <w:pPr>
        <w:spacing w:after="0" w:line="480" w:lineRule="auto"/>
        <w:contextualSpacing/>
        <w:rPr>
          <w:rFonts w:eastAsia="Calibri"/>
        </w:rPr>
      </w:pPr>
      <w:r>
        <w:rPr>
          <w:rFonts w:eastAsia="Calibri"/>
        </w:rPr>
        <w:t>Anonymised r</w:t>
      </w:r>
      <w:r w:rsidRPr="78EA817F">
        <w:rPr>
          <w:rFonts w:eastAsia="Calibri"/>
        </w:rPr>
        <w:t>outinely collected data, including</w:t>
      </w:r>
      <w:r>
        <w:rPr>
          <w:rFonts w:eastAsia="Calibri"/>
        </w:rPr>
        <w:t xml:space="preserve"> readmissions</w:t>
      </w:r>
      <w:r w:rsidRPr="78EA817F">
        <w:rPr>
          <w:rFonts w:eastAsia="Calibri"/>
        </w:rPr>
        <w:t xml:space="preserve"> will be </w:t>
      </w:r>
      <w:r>
        <w:rPr>
          <w:rFonts w:eastAsia="Calibri"/>
        </w:rPr>
        <w:t>obtained</w:t>
      </w:r>
      <w:r w:rsidRPr="78EA817F">
        <w:rPr>
          <w:rFonts w:eastAsia="Calibri"/>
        </w:rPr>
        <w:t xml:space="preserve"> for all patients</w:t>
      </w:r>
      <w:r>
        <w:rPr>
          <w:rFonts w:eastAsia="Calibri"/>
        </w:rPr>
        <w:t xml:space="preserve"> admitted during the study period</w:t>
      </w:r>
      <w:r w:rsidRPr="78EA817F">
        <w:rPr>
          <w:rFonts w:eastAsia="Calibri"/>
        </w:rPr>
        <w:t>.</w:t>
      </w:r>
      <w:r>
        <w:rPr>
          <w:rFonts w:eastAsia="Calibri"/>
        </w:rPr>
        <w:t xml:space="preserve"> Enhanced data collection periods of one month during control and </w:t>
      </w:r>
      <w:r>
        <w:rPr>
          <w:rFonts w:eastAsia="Calibri"/>
        </w:rPr>
        <w:lastRenderedPageBreak/>
        <w:t>intervention periods will be used to recruit patients and data for secondary outcomes and process evaluation.</w:t>
      </w:r>
    </w:p>
    <w:p w14:paraId="153BC75D" w14:textId="66DA0CE3" w:rsidR="00A272EE" w:rsidRDefault="00A272EE" w:rsidP="00015AAD">
      <w:pPr>
        <w:shd w:val="clear" w:color="auto" w:fill="FFFFFF"/>
        <w:spacing w:line="240" w:lineRule="auto"/>
        <w:rPr>
          <w:color w:val="000000"/>
          <w:lang w:eastAsia="en-GB"/>
        </w:rPr>
      </w:pPr>
      <w:r>
        <w:rPr>
          <w:b/>
          <w:bCs/>
        </w:rPr>
        <w:t>Eth</w:t>
      </w:r>
      <w:r w:rsidR="00015AAD">
        <w:rPr>
          <w:b/>
          <w:bCs/>
        </w:rPr>
        <w:t>i</w:t>
      </w:r>
      <w:r>
        <w:rPr>
          <w:b/>
          <w:bCs/>
        </w:rPr>
        <w:t xml:space="preserve">cs and </w:t>
      </w:r>
      <w:r>
        <w:rPr>
          <w:b/>
          <w:bCs/>
        </w:rPr>
        <w:t>dissemination</w:t>
      </w:r>
      <w:r>
        <w:rPr>
          <w:color w:val="000000"/>
          <w:lang w:eastAsia="en-GB"/>
        </w:rPr>
        <w:t xml:space="preserve"> </w:t>
      </w:r>
    </w:p>
    <w:p w14:paraId="2EC1F2A9" w14:textId="77777777" w:rsidR="00A272EE" w:rsidRDefault="00A272EE" w:rsidP="003701D1">
      <w:pPr>
        <w:shd w:val="clear" w:color="auto" w:fill="FFFFFF" w:themeFill="background1"/>
        <w:spacing w:after="0" w:line="480" w:lineRule="auto"/>
        <w:contextualSpacing/>
        <w:jc w:val="left"/>
        <w:rPr>
          <w:rFonts w:asciiTheme="minorHAnsi" w:eastAsia="Times New Roman" w:hAnsiTheme="minorHAnsi" w:cstheme="minorBidi"/>
          <w:color w:val="333333"/>
          <w:shd w:val="clear" w:color="auto" w:fill="auto"/>
          <w:lang w:eastAsia="en-GB"/>
        </w:rPr>
      </w:pPr>
      <w:r w:rsidRPr="28781113">
        <w:rPr>
          <w:rFonts w:asciiTheme="minorHAnsi" w:eastAsia="Times New Roman" w:hAnsiTheme="minorHAnsi" w:cstheme="minorBidi"/>
          <w:color w:val="333333"/>
          <w:shd w:val="clear" w:color="auto" w:fill="auto"/>
          <w:lang w:eastAsia="en-GB"/>
        </w:rPr>
        <w:t>Ethical approval for the study was obtained from Wales REC2 on 04/07/2023, REF: 23/WA/0184.</w:t>
      </w:r>
    </w:p>
    <w:p w14:paraId="61870506" w14:textId="77777777" w:rsidR="00A272EE" w:rsidRDefault="00A272EE" w:rsidP="003701D1">
      <w:pPr>
        <w:shd w:val="clear" w:color="auto" w:fill="FFFFFF" w:themeFill="background1"/>
        <w:spacing w:after="0" w:line="480" w:lineRule="auto"/>
        <w:contextualSpacing/>
        <w:jc w:val="left"/>
        <w:rPr>
          <w:rFonts w:asciiTheme="minorHAnsi" w:eastAsia="Times New Roman" w:hAnsiTheme="minorHAnsi" w:cstheme="minorBidi"/>
          <w:color w:val="333333"/>
          <w:shd w:val="clear" w:color="auto" w:fill="auto"/>
          <w:lang w:eastAsia="en-GB"/>
        </w:rPr>
      </w:pPr>
      <w:r w:rsidRPr="28781113">
        <w:rPr>
          <w:rFonts w:asciiTheme="minorHAnsi" w:eastAsia="Times New Roman" w:hAnsiTheme="minorHAnsi" w:cstheme="minorBidi"/>
          <w:color w:val="333333"/>
          <w:shd w:val="clear" w:color="auto" w:fill="auto"/>
          <w:lang w:eastAsia="en-GB"/>
        </w:rPr>
        <w:t>Confidential Advisory Group approval (REF: 23/CAG/0073) was obtained on 06/07/2023 to enable collection of anonymised routinely collected data for all participants during the non-enhanced data collection periods.</w:t>
      </w:r>
    </w:p>
    <w:p w14:paraId="79FA938D" w14:textId="77777777" w:rsidR="00A272EE" w:rsidRDefault="00A272EE" w:rsidP="003701D1">
      <w:pPr>
        <w:shd w:val="clear" w:color="auto" w:fill="FFFFFF"/>
        <w:spacing w:line="480" w:lineRule="auto"/>
        <w:rPr>
          <w:shd w:val="clear" w:color="auto" w:fill="auto"/>
          <w:lang w:eastAsia="en-GB"/>
        </w:rPr>
      </w:pPr>
      <w:r>
        <w:rPr>
          <w:color w:val="000000"/>
          <w:lang w:eastAsia="en-GB"/>
        </w:rPr>
        <w:t>The research team will follow the</w:t>
      </w:r>
      <w:r>
        <w:rPr>
          <w:color w:val="000000"/>
        </w:rPr>
        <w:t xml:space="preserve"> </w:t>
      </w:r>
      <w:r>
        <w:rPr>
          <w:color w:val="000000"/>
          <w:lang w:eastAsia="en-GB"/>
        </w:rPr>
        <w:t>Guide to Disseminating Research (</w:t>
      </w:r>
      <w:proofErr w:type="spellStart"/>
      <w:r>
        <w:rPr>
          <w:color w:val="000000"/>
          <w:lang w:eastAsia="en-GB"/>
        </w:rPr>
        <w:t>GuiDir</w:t>
      </w:r>
      <w:proofErr w:type="spellEnd"/>
      <w:r>
        <w:rPr>
          <w:color w:val="000000"/>
          <w:lang w:eastAsia="en-GB"/>
        </w:rPr>
        <w:t>) framework, which includes identification of target audiences for dissemination from the outset, agreeing dissemination goals, developing a dissemination plan, choosing appropriate dissemination channels and tracking the impact of the dissemination</w:t>
      </w:r>
      <w:r>
        <w:rPr>
          <w:rFonts w:asciiTheme="minorHAnsi" w:eastAsia="Times New Roman" w:hAnsiTheme="minorHAnsi" w:cstheme="minorBidi"/>
          <w:shd w:val="clear" w:color="auto" w:fill="auto"/>
          <w:lang w:eastAsia="en-GB"/>
        </w:rPr>
        <w:t xml:space="preserve">.  </w:t>
      </w:r>
      <w:r>
        <w:rPr>
          <w:color w:val="000000"/>
          <w:lang w:eastAsia="en-GB"/>
        </w:rPr>
        <w:t>Depending on the trial result the goal would ultimately be national implementation of intervention and consequently target audiences will include service commissioners and representative bodies for the different actors within the trial.</w:t>
      </w:r>
    </w:p>
    <w:p w14:paraId="1CFB6E81" w14:textId="77777777" w:rsidR="00A272EE" w:rsidRDefault="00A272EE" w:rsidP="00196B9D">
      <w:pPr>
        <w:spacing w:after="0" w:line="480" w:lineRule="auto"/>
        <w:contextualSpacing/>
        <w:rPr>
          <w:b/>
          <w:bCs/>
        </w:rPr>
      </w:pPr>
      <w:r>
        <w:rPr>
          <w:b/>
          <w:bCs/>
        </w:rPr>
        <w:t>Registration</w:t>
      </w:r>
    </w:p>
    <w:p w14:paraId="74CAFC17" w14:textId="6566C32C" w:rsidR="00A272EE" w:rsidRDefault="00A272EE" w:rsidP="00196B9D">
      <w:pPr>
        <w:spacing w:after="0" w:line="480" w:lineRule="auto"/>
        <w:contextualSpacing/>
        <w:rPr>
          <w:b/>
          <w:bCs/>
        </w:rPr>
      </w:pPr>
      <w:bookmarkStart w:id="6" w:name="_Hlk210756138"/>
      <w:r>
        <w:t xml:space="preserve">The trial was registered with </w:t>
      </w:r>
      <w:r w:rsidRPr="2CAD7983">
        <w:rPr>
          <w:rFonts w:eastAsia="Calibri"/>
          <w:color w:val="000000" w:themeColor="text1"/>
        </w:rPr>
        <w:t>ISRCTN</w:t>
      </w:r>
      <w:r>
        <w:rPr>
          <w:rFonts w:eastAsia="Calibri"/>
          <w:color w:val="000000" w:themeColor="text1"/>
        </w:rPr>
        <w:t xml:space="preserve"> Registry </w:t>
      </w:r>
      <w:r w:rsidRPr="2CAD7983">
        <w:rPr>
          <w:rFonts w:eastAsia="Calibri"/>
          <w:color w:val="000000" w:themeColor="text1"/>
        </w:rPr>
        <w:t>13248281</w:t>
      </w:r>
      <w:r>
        <w:rPr>
          <w:rFonts w:eastAsia="Calibri"/>
          <w:color w:val="000000" w:themeColor="text1"/>
        </w:rPr>
        <w:t xml:space="preserve"> on 21/07/2023</w:t>
      </w:r>
    </w:p>
    <w:bookmarkEnd w:id="6"/>
    <w:p w14:paraId="70A51176" w14:textId="77777777" w:rsidR="00A272EE" w:rsidRPr="00AF598E" w:rsidRDefault="00A272EE" w:rsidP="00196B9D">
      <w:pPr>
        <w:spacing w:after="0" w:line="480" w:lineRule="auto"/>
        <w:contextualSpacing/>
        <w:rPr>
          <w:b/>
          <w:bCs/>
        </w:rPr>
      </w:pPr>
      <w:r>
        <w:rPr>
          <w:b/>
          <w:bCs/>
        </w:rPr>
        <w:t>S</w:t>
      </w:r>
      <w:r w:rsidRPr="00AF598E">
        <w:rPr>
          <w:b/>
          <w:bCs/>
        </w:rPr>
        <w:t xml:space="preserve">trengths and </w:t>
      </w:r>
      <w:r>
        <w:rPr>
          <w:b/>
          <w:bCs/>
        </w:rPr>
        <w:t>limitations of this study</w:t>
      </w:r>
    </w:p>
    <w:p w14:paraId="079BC538" w14:textId="77777777" w:rsidR="00A272EE" w:rsidRDefault="00A272EE" w:rsidP="00A272EE">
      <w:pPr>
        <w:pStyle w:val="ListParagraph"/>
        <w:numPr>
          <w:ilvl w:val="0"/>
          <w:numId w:val="8"/>
        </w:numPr>
        <w:spacing w:after="0" w:line="480" w:lineRule="auto"/>
      </w:pPr>
      <w:r>
        <w:t>Cluster-randomised stepped-wedge design trial</w:t>
      </w:r>
    </w:p>
    <w:p w14:paraId="7DE9B7CD" w14:textId="77777777" w:rsidR="00A272EE" w:rsidRDefault="00A272EE" w:rsidP="00A272EE">
      <w:pPr>
        <w:pStyle w:val="ListParagraph"/>
        <w:numPr>
          <w:ilvl w:val="0"/>
          <w:numId w:val="8"/>
        </w:numPr>
        <w:spacing w:after="0" w:line="480" w:lineRule="auto"/>
      </w:pPr>
      <w:r>
        <w:t>Large multi-site hospital based deprescribing trial in older person’s setting</w:t>
      </w:r>
    </w:p>
    <w:p w14:paraId="0A3D3819" w14:textId="77777777" w:rsidR="00A272EE" w:rsidRDefault="00A272EE" w:rsidP="00A272EE">
      <w:pPr>
        <w:pStyle w:val="ListParagraph"/>
        <w:numPr>
          <w:ilvl w:val="0"/>
          <w:numId w:val="8"/>
        </w:numPr>
        <w:spacing w:after="0" w:line="480" w:lineRule="auto"/>
      </w:pPr>
      <w:r>
        <w:t>Feasibility tested trial and theory-informed intervention</w:t>
      </w:r>
    </w:p>
    <w:p w14:paraId="699DDE09" w14:textId="77777777" w:rsidR="00A272EE" w:rsidRDefault="00A272EE" w:rsidP="00A272EE">
      <w:pPr>
        <w:pStyle w:val="ListParagraph"/>
        <w:numPr>
          <w:ilvl w:val="0"/>
          <w:numId w:val="8"/>
        </w:numPr>
        <w:spacing w:after="0" w:line="480" w:lineRule="auto"/>
      </w:pPr>
      <w:r>
        <w:t>Collation of primary outcome measure for all patients recruited onto ward to optimise likelihood of achieving target sample size</w:t>
      </w:r>
    </w:p>
    <w:p w14:paraId="685BFFFF" w14:textId="77777777" w:rsidR="00A272EE" w:rsidRDefault="00A272EE" w:rsidP="00A272EE">
      <w:pPr>
        <w:pStyle w:val="ListParagraph"/>
        <w:numPr>
          <w:ilvl w:val="0"/>
          <w:numId w:val="8"/>
        </w:numPr>
        <w:spacing w:after="0" w:line="480" w:lineRule="auto"/>
      </w:pPr>
      <w:r>
        <w:t xml:space="preserve">Enhanced data collection period to obtain secondary outcome data and inform process evaluation </w:t>
      </w:r>
    </w:p>
    <w:p w14:paraId="2DE05D1D" w14:textId="77777777" w:rsidR="00A272EE" w:rsidRPr="00D16DBC" w:rsidRDefault="00A272EE" w:rsidP="00196B9D">
      <w:pPr>
        <w:spacing w:after="0" w:line="480" w:lineRule="auto"/>
        <w:contextualSpacing/>
        <w:rPr>
          <w:b/>
          <w:bCs/>
          <w:sz w:val="24"/>
          <w:szCs w:val="24"/>
        </w:rPr>
      </w:pPr>
      <w:r w:rsidRPr="00D16DBC">
        <w:rPr>
          <w:b/>
          <w:bCs/>
          <w:sz w:val="24"/>
          <w:szCs w:val="24"/>
        </w:rPr>
        <w:t>Keywords</w:t>
      </w:r>
    </w:p>
    <w:p w14:paraId="1360F263" w14:textId="77777777" w:rsidR="00A272EE" w:rsidRDefault="00A272EE" w:rsidP="00196B9D">
      <w:pPr>
        <w:spacing w:after="0" w:line="480" w:lineRule="auto"/>
        <w:contextualSpacing/>
      </w:pPr>
      <w:r>
        <w:t>Hospital, proactive deprescribing, pharmacist, consultant geriatrician, medication review, behaviour change, older adult</w:t>
      </w:r>
    </w:p>
    <w:p w14:paraId="093F7312" w14:textId="77777777" w:rsidR="00A272EE" w:rsidRDefault="00A272EE" w:rsidP="00196B9D">
      <w:pPr>
        <w:spacing w:after="0" w:line="480" w:lineRule="auto"/>
        <w:contextualSpacing/>
        <w:rPr>
          <w:b/>
          <w:bCs/>
        </w:rPr>
      </w:pPr>
    </w:p>
    <w:p w14:paraId="622E285E" w14:textId="77777777" w:rsidR="00A272EE" w:rsidRPr="00D16DBC" w:rsidRDefault="00A272EE" w:rsidP="00D16DBC">
      <w:pPr>
        <w:spacing w:after="0" w:line="480" w:lineRule="auto"/>
        <w:contextualSpacing/>
        <w:rPr>
          <w:rFonts w:ascii="Trebuchet MS" w:eastAsia="Times New Roman" w:hAnsi="Trebuchet MS" w:cs="Times New Roman"/>
          <w:b/>
          <w:bCs/>
          <w:color w:val="1B3051"/>
          <w:kern w:val="36"/>
          <w:sz w:val="24"/>
          <w:szCs w:val="24"/>
          <w:shd w:val="clear" w:color="auto" w:fill="auto"/>
          <w:lang w:eastAsia="en-GB"/>
        </w:rPr>
      </w:pPr>
      <w:r w:rsidRPr="00D16DBC">
        <w:rPr>
          <w:rFonts w:ascii="Trebuchet MS" w:eastAsia="Times New Roman" w:hAnsi="Trebuchet MS" w:cs="Times New Roman"/>
          <w:b/>
          <w:bCs/>
          <w:color w:val="1B3051"/>
          <w:kern w:val="36"/>
          <w:sz w:val="24"/>
          <w:szCs w:val="24"/>
          <w:shd w:val="clear" w:color="auto" w:fill="auto"/>
          <w:lang w:eastAsia="en-GB"/>
        </w:rPr>
        <w:lastRenderedPageBreak/>
        <w:t>Introduction</w:t>
      </w:r>
    </w:p>
    <w:p w14:paraId="1FCF8C25" w14:textId="77777777" w:rsidR="00A272EE" w:rsidRPr="0056014D" w:rsidRDefault="00A272EE" w:rsidP="00D16DBC">
      <w:pPr>
        <w:spacing w:after="0" w:line="480" w:lineRule="auto"/>
        <w:contextualSpacing/>
        <w:rPr>
          <w:rFonts w:asciiTheme="minorHAnsi" w:eastAsia="Times New Roman" w:hAnsiTheme="minorHAnsi" w:cstheme="minorHAnsi"/>
          <w:color w:val="333333"/>
          <w:sz w:val="24"/>
          <w:szCs w:val="24"/>
          <w:shd w:val="clear" w:color="auto" w:fill="auto"/>
          <w:lang w:eastAsia="en-GB"/>
        </w:rPr>
      </w:pPr>
      <w:r w:rsidRPr="0056014D">
        <w:rPr>
          <w:rFonts w:asciiTheme="minorHAnsi" w:eastAsia="Times New Roman" w:hAnsiTheme="minorHAnsi" w:cstheme="minorHAnsi"/>
          <w:b/>
          <w:bCs/>
          <w:color w:val="333333"/>
          <w:sz w:val="24"/>
          <w:szCs w:val="24"/>
          <w:shd w:val="clear" w:color="auto" w:fill="auto"/>
          <w:lang w:eastAsia="en-GB"/>
        </w:rPr>
        <w:t>Background and rationale</w:t>
      </w:r>
      <w:r>
        <w:rPr>
          <w:rFonts w:asciiTheme="minorHAnsi" w:eastAsia="Times New Roman" w:hAnsiTheme="minorHAnsi" w:cstheme="minorHAnsi"/>
          <w:b/>
          <w:bCs/>
          <w:color w:val="333333"/>
          <w:sz w:val="24"/>
          <w:szCs w:val="24"/>
          <w:shd w:val="clear" w:color="auto" w:fill="auto"/>
          <w:lang w:eastAsia="en-GB"/>
        </w:rPr>
        <w:t xml:space="preserve"> {6a}</w:t>
      </w:r>
    </w:p>
    <w:p w14:paraId="784033CA" w14:textId="4B15D5F2" w:rsidR="00A272EE" w:rsidRDefault="00A272EE" w:rsidP="0056014D">
      <w:pPr>
        <w:spacing w:after="0" w:line="480" w:lineRule="auto"/>
        <w:contextualSpacing/>
        <w:rPr>
          <w:rStyle w:val="PageNumber"/>
        </w:rPr>
      </w:pPr>
      <w:bookmarkStart w:id="7" w:name="_Toc331765725"/>
      <w:bookmarkStart w:id="8" w:name="_Toc476667180"/>
      <w:r>
        <w:rPr>
          <w:rStyle w:val="PageNumber"/>
        </w:rPr>
        <w:t>T</w:t>
      </w:r>
      <w:r w:rsidRPr="00B264A0">
        <w:rPr>
          <w:rStyle w:val="PageNumber"/>
        </w:rPr>
        <w:t>he World Health Organisation</w:t>
      </w:r>
      <w:r>
        <w:rPr>
          <w:rStyle w:val="PageNumber"/>
        </w:rPr>
        <w:t xml:space="preserve"> </w:t>
      </w:r>
      <w:r w:rsidR="00EB7A91">
        <w:rPr>
          <w:rStyle w:val="PageNumber"/>
        </w:rPr>
        <w:t>[</w:t>
      </w:r>
      <w:r>
        <w:rPr>
          <w:rStyle w:val="PageNumber"/>
        </w:rPr>
        <w:t>WHO</w:t>
      </w:r>
      <w:r w:rsidR="00EB7A91">
        <w:rPr>
          <w:rStyle w:val="PageNumber"/>
        </w:rPr>
        <w:t>]</w:t>
      </w:r>
      <w:r w:rsidRPr="00B264A0">
        <w:rPr>
          <w:rStyle w:val="PageNumber"/>
        </w:rPr>
        <w:t xml:space="preserve"> Global Patient Safety Challenge: Medication Without Harm</w:t>
      </w:r>
      <w:r>
        <w:rPr>
          <w:rStyle w:val="PageNumber"/>
        </w:rPr>
        <w:t xml:space="preserve"> aims to reduce severe avoidable medication-related harm by 50%.</w:t>
      </w:r>
      <w:r>
        <w:rPr>
          <w:rStyle w:val="PageNumber"/>
          <w:noProof/>
        </w:rPr>
        <w:t xml:space="preserve"> </w:t>
      </w:r>
      <w:r w:rsidR="00EB7A91">
        <w:rPr>
          <w:rStyle w:val="PageNumber"/>
          <w:noProof/>
        </w:rPr>
        <w:t>[</w:t>
      </w:r>
      <w:r>
        <w:rPr>
          <w:rStyle w:val="PageNumber"/>
          <w:noProof/>
        </w:rPr>
        <w:t>1</w:t>
      </w:r>
      <w:r w:rsidR="00EB7A91">
        <w:rPr>
          <w:rStyle w:val="PageNumber"/>
          <w:noProof/>
        </w:rPr>
        <w:t>]</w:t>
      </w:r>
      <w:r>
        <w:rPr>
          <w:rStyle w:val="PageNumber"/>
        </w:rPr>
        <w:t xml:space="preserve"> Polypharmacy, as a risk factor for both patient harm</w:t>
      </w:r>
      <w:r>
        <w:rPr>
          <w:rStyle w:val="PageNumber"/>
          <w:noProof/>
        </w:rPr>
        <w:t xml:space="preserve"> </w:t>
      </w:r>
      <w:r w:rsidR="00EB7A91">
        <w:rPr>
          <w:rStyle w:val="PageNumber"/>
          <w:noProof/>
        </w:rPr>
        <w:t>[</w:t>
      </w:r>
      <w:r>
        <w:rPr>
          <w:rStyle w:val="PageNumber"/>
          <w:noProof/>
        </w:rPr>
        <w:t>2</w:t>
      </w:r>
      <w:r w:rsidR="00EB7A91">
        <w:rPr>
          <w:rStyle w:val="PageNumber"/>
          <w:noProof/>
        </w:rPr>
        <w:t>]</w:t>
      </w:r>
      <w:r>
        <w:rPr>
          <w:rStyle w:val="PageNumber"/>
        </w:rPr>
        <w:t xml:space="preserve"> and death,</w:t>
      </w:r>
      <w:r>
        <w:rPr>
          <w:rStyle w:val="PageNumber"/>
          <w:noProof/>
        </w:rPr>
        <w:t xml:space="preserve"> </w:t>
      </w:r>
      <w:r w:rsidR="00EB7A91">
        <w:rPr>
          <w:rStyle w:val="PageNumber"/>
          <w:noProof/>
        </w:rPr>
        <w:t>[</w:t>
      </w:r>
      <w:r>
        <w:rPr>
          <w:rStyle w:val="PageNumber"/>
          <w:noProof/>
        </w:rPr>
        <w:t>3</w:t>
      </w:r>
      <w:r w:rsidR="00EB7A91">
        <w:rPr>
          <w:rStyle w:val="PageNumber"/>
          <w:noProof/>
        </w:rPr>
        <w:t>]</w:t>
      </w:r>
      <w:r>
        <w:rPr>
          <w:rStyle w:val="PageNumber"/>
        </w:rPr>
        <w:t xml:space="preserve"> is recognised as a ‘key action area’ by WHO.</w:t>
      </w:r>
      <w:r>
        <w:rPr>
          <w:rStyle w:val="PageNumber"/>
          <w:noProof/>
        </w:rPr>
        <w:t xml:space="preserve"> </w:t>
      </w:r>
      <w:r w:rsidR="00EB7A91">
        <w:rPr>
          <w:rStyle w:val="PageNumber"/>
          <w:noProof/>
        </w:rPr>
        <w:t>[</w:t>
      </w:r>
      <w:r>
        <w:rPr>
          <w:rStyle w:val="PageNumber"/>
          <w:noProof/>
        </w:rPr>
        <w:t>1</w:t>
      </w:r>
      <w:r w:rsidR="00EB7A91">
        <w:rPr>
          <w:rStyle w:val="PageNumber"/>
          <w:noProof/>
        </w:rPr>
        <w:t>]</w:t>
      </w:r>
      <w:r>
        <w:rPr>
          <w:rStyle w:val="PageNumber"/>
        </w:rPr>
        <w:t xml:space="preserve"> A </w:t>
      </w:r>
      <w:r w:rsidRPr="2CAD7983">
        <w:rPr>
          <w:rStyle w:val="PageNumber"/>
        </w:rPr>
        <w:t xml:space="preserve">UK </w:t>
      </w:r>
      <w:r>
        <w:rPr>
          <w:rStyle w:val="PageNumber"/>
        </w:rPr>
        <w:t>national review of prescribing in 2021, recognised the significant extent of overprescribing and recommended</w:t>
      </w:r>
      <w:r w:rsidRPr="2CAD7983">
        <w:rPr>
          <w:rStyle w:val="PageNumber"/>
        </w:rPr>
        <w:t xml:space="preserve"> several</w:t>
      </w:r>
      <w:r>
        <w:rPr>
          <w:rStyle w:val="PageNumber"/>
        </w:rPr>
        <w:t xml:space="preserve"> primary care-based interventions to address this.</w:t>
      </w:r>
      <w:r>
        <w:rPr>
          <w:rStyle w:val="PageNumber"/>
          <w:noProof/>
        </w:rPr>
        <w:t xml:space="preserve"> </w:t>
      </w:r>
      <w:r w:rsidR="00EB7A91">
        <w:rPr>
          <w:rStyle w:val="PageNumber"/>
          <w:noProof/>
        </w:rPr>
        <w:t>[</w:t>
      </w:r>
      <w:r>
        <w:rPr>
          <w:rStyle w:val="PageNumber"/>
          <w:noProof/>
        </w:rPr>
        <w:t>4</w:t>
      </w:r>
      <w:r w:rsidR="00EB7A91">
        <w:rPr>
          <w:rStyle w:val="PageNumber"/>
          <w:noProof/>
        </w:rPr>
        <w:t>]</w:t>
      </w:r>
      <w:r>
        <w:rPr>
          <w:rStyle w:val="PageNumber"/>
        </w:rPr>
        <w:t xml:space="preserve"> A meta-analysis of deprescribing interventions in primary care identified a small reduction in all-cause mortality, thereby justifying the recommendation.</w:t>
      </w:r>
      <w:r>
        <w:rPr>
          <w:rStyle w:val="PageNumber"/>
          <w:noProof/>
        </w:rPr>
        <w:t xml:space="preserve"> </w:t>
      </w:r>
      <w:r w:rsidR="00EB7A91">
        <w:rPr>
          <w:rStyle w:val="PageNumber"/>
          <w:noProof/>
        </w:rPr>
        <w:t>[</w:t>
      </w:r>
      <w:r>
        <w:rPr>
          <w:rStyle w:val="PageNumber"/>
          <w:noProof/>
        </w:rPr>
        <w:t>5</w:t>
      </w:r>
      <w:r w:rsidR="00EB7A91">
        <w:rPr>
          <w:rStyle w:val="PageNumber"/>
          <w:noProof/>
        </w:rPr>
        <w:t>]</w:t>
      </w:r>
    </w:p>
    <w:p w14:paraId="43AF823C" w14:textId="28718B8F" w:rsidR="00A272EE" w:rsidRDefault="00A272EE" w:rsidP="0056014D">
      <w:pPr>
        <w:spacing w:after="0" w:line="480" w:lineRule="auto"/>
        <w:contextualSpacing/>
        <w:rPr>
          <w:noProof/>
        </w:rPr>
      </w:pPr>
      <w:r>
        <w:rPr>
          <w:rStyle w:val="PageNumber"/>
        </w:rPr>
        <w:t xml:space="preserve">Whilst it is estimated that half of older people </w:t>
      </w:r>
      <w:r w:rsidRPr="78EA817F">
        <w:rPr>
          <w:rStyle w:val="PageNumber"/>
        </w:rPr>
        <w:t xml:space="preserve">at the point of </w:t>
      </w:r>
      <w:r>
        <w:rPr>
          <w:rStyle w:val="PageNumber"/>
        </w:rPr>
        <w:t xml:space="preserve">entering hospital are </w:t>
      </w:r>
      <w:r w:rsidRPr="78EA817F">
        <w:rPr>
          <w:rStyle w:val="PageNumber"/>
        </w:rPr>
        <w:t xml:space="preserve">already </w:t>
      </w:r>
      <w:r>
        <w:rPr>
          <w:rStyle w:val="PageNumber"/>
        </w:rPr>
        <w:t>prescribed at least one medicine which may be potentially inappropriate,</w:t>
      </w:r>
      <w:r>
        <w:rPr>
          <w:rStyle w:val="PageNumber"/>
          <w:noProof/>
        </w:rPr>
        <w:t xml:space="preserve"> </w:t>
      </w:r>
      <w:r w:rsidR="00EB7A91">
        <w:rPr>
          <w:rStyle w:val="PageNumber"/>
          <w:noProof/>
        </w:rPr>
        <w:t>[</w:t>
      </w:r>
      <w:r>
        <w:rPr>
          <w:rStyle w:val="PageNumber"/>
          <w:noProof/>
        </w:rPr>
        <w:t>6</w:t>
      </w:r>
      <w:r w:rsidR="00EB7A91">
        <w:rPr>
          <w:rStyle w:val="PageNumber"/>
          <w:noProof/>
        </w:rPr>
        <w:t>]</w:t>
      </w:r>
      <w:r>
        <w:rPr>
          <w:rStyle w:val="PageNumber"/>
        </w:rPr>
        <w:t xml:space="preserve"> very few are stopped during admission in the UK.</w:t>
      </w:r>
      <w:r>
        <w:rPr>
          <w:rStyle w:val="PageNumber"/>
          <w:noProof/>
        </w:rPr>
        <w:t xml:space="preserve"> </w:t>
      </w:r>
      <w:r w:rsidR="00EB7A91">
        <w:rPr>
          <w:rStyle w:val="PageNumber"/>
          <w:noProof/>
        </w:rPr>
        <w:t>[</w:t>
      </w:r>
      <w:r>
        <w:rPr>
          <w:rStyle w:val="PageNumber"/>
          <w:noProof/>
        </w:rPr>
        <w:t>7</w:t>
      </w:r>
      <w:r w:rsidR="00EB7A91">
        <w:rPr>
          <w:rStyle w:val="PageNumber"/>
          <w:noProof/>
        </w:rPr>
        <w:t>]</w:t>
      </w:r>
      <w:r>
        <w:rPr>
          <w:rStyle w:val="PageNumber"/>
        </w:rPr>
        <w:t xml:space="preserve"> When deprescribing does occur, it is usually in response to presenting harm </w:t>
      </w:r>
      <w:proofErr w:type="gramStart"/>
      <w:r>
        <w:rPr>
          <w:rStyle w:val="PageNumber"/>
        </w:rPr>
        <w:t>i.e.</w:t>
      </w:r>
      <w:proofErr w:type="gramEnd"/>
      <w:r>
        <w:rPr>
          <w:rStyle w:val="PageNumber"/>
        </w:rPr>
        <w:t xml:space="preserve"> it is reactive rather than proactive</w:t>
      </w:r>
      <w:bookmarkStart w:id="9" w:name="_Hlk161469726"/>
      <w:r>
        <w:rPr>
          <w:rStyle w:val="PageNumber"/>
        </w:rPr>
        <w:t>.</w:t>
      </w:r>
      <w:bookmarkEnd w:id="9"/>
      <w:r>
        <w:rPr>
          <w:rStyle w:val="PageNumber"/>
          <w:noProof/>
        </w:rPr>
        <w:t xml:space="preserve"> </w:t>
      </w:r>
      <w:r w:rsidR="00EB7A91">
        <w:rPr>
          <w:rStyle w:val="PageNumber"/>
          <w:noProof/>
        </w:rPr>
        <w:t>[</w:t>
      </w:r>
      <w:r>
        <w:rPr>
          <w:rStyle w:val="PageNumber"/>
          <w:noProof/>
        </w:rPr>
        <w:t>7</w:t>
      </w:r>
      <w:r w:rsidR="00EB7A91">
        <w:rPr>
          <w:rStyle w:val="PageNumber"/>
          <w:noProof/>
        </w:rPr>
        <w:t>]</w:t>
      </w:r>
      <w:r>
        <w:rPr>
          <w:rStyle w:val="PageNumber"/>
        </w:rPr>
        <w:t xml:space="preserve"> A</w:t>
      </w:r>
      <w:r w:rsidRPr="78EA817F">
        <w:rPr>
          <w:rStyle w:val="PageNumber"/>
        </w:rPr>
        <w:t>n</w:t>
      </w:r>
      <w:r>
        <w:rPr>
          <w:rStyle w:val="PageNumber"/>
        </w:rPr>
        <w:t xml:space="preserve"> opportunity to reduce overprescribing in hospital through proactive deprescribing is therefore being missed and may supplement similar activities in primary care. Hospital deprescribing trials have historically focused on </w:t>
      </w:r>
      <w:r w:rsidRPr="78EA817F">
        <w:rPr>
          <w:rStyle w:val="PageNumber"/>
        </w:rPr>
        <w:t xml:space="preserve">process </w:t>
      </w:r>
      <w:r>
        <w:rPr>
          <w:rStyle w:val="PageNumber"/>
        </w:rPr>
        <w:t>measures such as reduction in the proportion of potentially inappropriate medicines, rather than meaningful clinical outcomes.</w:t>
      </w:r>
      <w:r>
        <w:rPr>
          <w:rStyle w:val="PageNumber"/>
          <w:noProof/>
        </w:rPr>
        <w:t xml:space="preserve"> </w:t>
      </w:r>
      <w:r w:rsidR="00EB7A91">
        <w:rPr>
          <w:rStyle w:val="PageNumber"/>
          <w:noProof/>
        </w:rPr>
        <w:t>[</w:t>
      </w:r>
      <w:r>
        <w:rPr>
          <w:rStyle w:val="PageNumber"/>
          <w:noProof/>
        </w:rPr>
        <w:t>8</w:t>
      </w:r>
      <w:r w:rsidR="00EB7A91">
        <w:rPr>
          <w:rStyle w:val="PageNumber"/>
          <w:noProof/>
        </w:rPr>
        <w:t>]</w:t>
      </w:r>
      <w:r>
        <w:rPr>
          <w:rStyle w:val="PageNumber"/>
        </w:rPr>
        <w:t xml:space="preserve"> </w:t>
      </w:r>
    </w:p>
    <w:p w14:paraId="3F241D40" w14:textId="77777777" w:rsidR="00A272EE" w:rsidRDefault="00A272EE" w:rsidP="0056014D">
      <w:pPr>
        <w:spacing w:after="0" w:line="480" w:lineRule="auto"/>
        <w:contextualSpacing/>
        <w:rPr>
          <w:noProof/>
        </w:rPr>
      </w:pPr>
    </w:p>
    <w:p w14:paraId="6782F7D7" w14:textId="104BF3DB" w:rsidR="00A272EE" w:rsidRPr="0056014D" w:rsidRDefault="00A272EE" w:rsidP="00387AB9">
      <w:pPr>
        <w:shd w:val="clear" w:color="auto" w:fill="FFFFFF" w:themeFill="background1"/>
        <w:spacing w:after="0" w:line="480" w:lineRule="auto"/>
        <w:contextualSpacing/>
      </w:pPr>
      <w:r w:rsidRPr="0E83D671">
        <w:rPr>
          <w:noProof/>
        </w:rPr>
        <w:t xml:space="preserve">A lack of focus on </w:t>
      </w:r>
      <w:r>
        <w:t>addressing the barriers and enablers</w:t>
      </w:r>
      <w:r w:rsidRPr="0E83D671">
        <w:rPr>
          <w:rStyle w:val="PageNumber"/>
          <w:rFonts w:cstheme="minorBidi"/>
        </w:rPr>
        <w:t xml:space="preserve"> </w:t>
      </w:r>
      <w:r>
        <w:t>to deprescribing in hospitals when developing interventions may explain the lack of efficacy reported in existing deprescribing trials.</w:t>
      </w:r>
      <w:r w:rsidRPr="0E83D671">
        <w:rPr>
          <w:noProof/>
        </w:rPr>
        <w:t xml:space="preserve"> </w:t>
      </w:r>
      <w:r w:rsidR="00EB7A91">
        <w:rPr>
          <w:noProof/>
        </w:rPr>
        <w:t>[</w:t>
      </w:r>
      <w:r w:rsidRPr="0E83D671">
        <w:rPr>
          <w:noProof/>
        </w:rPr>
        <w:t>8, 9</w:t>
      </w:r>
      <w:r w:rsidR="00EB7A91">
        <w:rPr>
          <w:noProof/>
        </w:rPr>
        <w:t>]</w:t>
      </w:r>
      <w:r>
        <w:t xml:space="preserve"> We have used</w:t>
      </w:r>
      <w:r w:rsidRPr="004D299E">
        <w:t xml:space="preserve"> behaviour change theory to underpin the </w:t>
      </w:r>
      <w:r>
        <w:t>development</w:t>
      </w:r>
      <w:r w:rsidRPr="004D299E">
        <w:t xml:space="preserve"> of an intervention</w:t>
      </w:r>
      <w:r>
        <w:t xml:space="preserve"> that is designed to address </w:t>
      </w:r>
      <w:r w:rsidRPr="004D299E">
        <w:t>geriatricians’ and pharmacists</w:t>
      </w:r>
      <w:r>
        <w:t>’</w:t>
      </w:r>
      <w:r w:rsidRPr="004D299E">
        <w:t xml:space="preserve"> capability, opportunity and motivation choose to identify opportunities to deprescribe and initiate</w:t>
      </w:r>
      <w:r>
        <w:t xml:space="preserve"> </w:t>
      </w:r>
      <w:r w:rsidRPr="004D299E">
        <w:t>deprescribing discussions with older people. Combined with extensive co-design work with the target audiences,</w:t>
      </w:r>
      <w:r>
        <w:rPr>
          <w:noProof/>
        </w:rPr>
        <w:t xml:space="preserve"> </w:t>
      </w:r>
      <w:r w:rsidR="00EB7A91">
        <w:rPr>
          <w:noProof/>
        </w:rPr>
        <w:t>[</w:t>
      </w:r>
      <w:r>
        <w:rPr>
          <w:noProof/>
        </w:rPr>
        <w:t>10</w:t>
      </w:r>
      <w:r w:rsidR="00EB7A91">
        <w:rPr>
          <w:noProof/>
        </w:rPr>
        <w:t>]</w:t>
      </w:r>
      <w:r w:rsidRPr="004D299E">
        <w:t xml:space="preserve"> </w:t>
      </w:r>
      <w:r>
        <w:t xml:space="preserve">our approach </w:t>
      </w:r>
      <w:r w:rsidRPr="004D299E">
        <w:t xml:space="preserve">may enhance the likelihood of </w:t>
      </w:r>
      <w:r>
        <w:t>good</w:t>
      </w:r>
      <w:r w:rsidRPr="004D299E">
        <w:t xml:space="preserve"> </w:t>
      </w:r>
      <w:r w:rsidR="00015AAD">
        <w:t>i</w:t>
      </w:r>
      <w:r w:rsidRPr="004D299E">
        <w:t>mplementation</w:t>
      </w:r>
      <w:r>
        <w:t xml:space="preserve"> fidelity</w:t>
      </w:r>
      <w:r w:rsidRPr="004D299E">
        <w:t xml:space="preserve"> and</w:t>
      </w:r>
      <w:r>
        <w:t xml:space="preserve"> resulting</w:t>
      </w:r>
      <w:r w:rsidRPr="004D299E">
        <w:t xml:space="preserve"> effectiveness</w:t>
      </w:r>
      <w:r>
        <w:t>.</w:t>
      </w:r>
      <w:r>
        <w:rPr>
          <w:noProof/>
        </w:rPr>
        <w:t xml:space="preserve"> </w:t>
      </w:r>
      <w:r w:rsidR="00EB7A91">
        <w:rPr>
          <w:noProof/>
        </w:rPr>
        <w:t>[</w:t>
      </w:r>
      <w:r>
        <w:rPr>
          <w:noProof/>
        </w:rPr>
        <w:t>11</w:t>
      </w:r>
      <w:r w:rsidR="00EB7A91">
        <w:rPr>
          <w:noProof/>
        </w:rPr>
        <w:t>]</w:t>
      </w:r>
    </w:p>
    <w:p w14:paraId="6C367B36" w14:textId="1BEFCB33" w:rsidR="00A272EE" w:rsidRPr="0056014D" w:rsidRDefault="00A272EE" w:rsidP="0E83D671">
      <w:pPr>
        <w:spacing w:after="0" w:line="480" w:lineRule="auto"/>
        <w:contextualSpacing/>
        <w:rPr>
          <w:rFonts w:asciiTheme="minorHAnsi" w:hAnsiTheme="minorHAnsi" w:cstheme="minorBidi"/>
          <w:color w:val="000000" w:themeColor="text1"/>
        </w:rPr>
      </w:pPr>
      <w:r w:rsidRPr="0E83D671">
        <w:rPr>
          <w:rFonts w:asciiTheme="minorHAnsi" w:hAnsiTheme="minorHAnsi" w:cstheme="minorBidi"/>
          <w:color w:val="000000" w:themeColor="text1"/>
        </w:rPr>
        <w:lastRenderedPageBreak/>
        <w:t xml:space="preserve">We developed the </w:t>
      </w:r>
      <w:proofErr w:type="spellStart"/>
      <w:r w:rsidRPr="0E83D671">
        <w:rPr>
          <w:rFonts w:asciiTheme="minorHAnsi" w:hAnsiTheme="minorHAnsi" w:cstheme="minorBidi"/>
          <w:color w:val="000000" w:themeColor="text1"/>
        </w:rPr>
        <w:t>CompreHensive</w:t>
      </w:r>
      <w:proofErr w:type="spellEnd"/>
      <w:r w:rsidRPr="0E83D671">
        <w:rPr>
          <w:rFonts w:asciiTheme="minorHAnsi" w:hAnsiTheme="minorHAnsi" w:cstheme="minorBidi"/>
          <w:color w:val="000000" w:themeColor="text1"/>
        </w:rPr>
        <w:t xml:space="preserve"> </w:t>
      </w:r>
      <w:proofErr w:type="spellStart"/>
      <w:r w:rsidRPr="0E83D671">
        <w:rPr>
          <w:rFonts w:asciiTheme="minorHAnsi" w:hAnsiTheme="minorHAnsi" w:cstheme="minorBidi"/>
          <w:color w:val="000000" w:themeColor="text1"/>
        </w:rPr>
        <w:t>geriAtRician</w:t>
      </w:r>
      <w:proofErr w:type="spellEnd"/>
      <w:r w:rsidRPr="0E83D671">
        <w:rPr>
          <w:rFonts w:asciiTheme="minorHAnsi" w:hAnsiTheme="minorHAnsi" w:cstheme="minorBidi"/>
          <w:color w:val="000000" w:themeColor="text1"/>
        </w:rPr>
        <w:t xml:space="preserve">-led </w:t>
      </w:r>
      <w:proofErr w:type="spellStart"/>
      <w:r w:rsidRPr="0E83D671">
        <w:rPr>
          <w:rFonts w:asciiTheme="minorHAnsi" w:hAnsiTheme="minorHAnsi" w:cstheme="minorBidi"/>
          <w:color w:val="000000" w:themeColor="text1"/>
        </w:rPr>
        <w:t>MEdication</w:t>
      </w:r>
      <w:proofErr w:type="spellEnd"/>
      <w:r w:rsidRPr="0E83D671">
        <w:rPr>
          <w:rFonts w:asciiTheme="minorHAnsi" w:hAnsiTheme="minorHAnsi" w:cstheme="minorBidi"/>
          <w:color w:val="000000" w:themeColor="text1"/>
        </w:rPr>
        <w:t xml:space="preserve"> Review (CHARMER) deprescribing intervention using evidence regarding the barriers and enablers to deprescribing and behaviour change theory</w:t>
      </w:r>
      <w:r>
        <w:rPr>
          <w:rFonts w:asciiTheme="minorHAnsi" w:hAnsiTheme="minorHAnsi" w:cstheme="minorBidi"/>
          <w:color w:val="000000" w:themeColor="text1"/>
        </w:rPr>
        <w:t>.</w:t>
      </w:r>
      <w:r>
        <w:rPr>
          <w:rFonts w:asciiTheme="minorHAnsi" w:hAnsiTheme="minorHAnsi" w:cstheme="minorBidi"/>
          <w:noProof/>
          <w:color w:val="000000" w:themeColor="text1"/>
        </w:rPr>
        <w:t xml:space="preserve"> </w:t>
      </w:r>
      <w:r w:rsidR="00EB7A91">
        <w:rPr>
          <w:rFonts w:asciiTheme="minorHAnsi" w:hAnsiTheme="minorHAnsi" w:cstheme="minorBidi"/>
          <w:noProof/>
          <w:color w:val="000000" w:themeColor="text1"/>
        </w:rPr>
        <w:t>[</w:t>
      </w:r>
      <w:r>
        <w:rPr>
          <w:rFonts w:asciiTheme="minorHAnsi" w:hAnsiTheme="minorHAnsi" w:cstheme="minorBidi"/>
          <w:noProof/>
          <w:color w:val="000000" w:themeColor="text1"/>
        </w:rPr>
        <w:t>10, 12, 13</w:t>
      </w:r>
      <w:r w:rsidR="00EB7A91">
        <w:rPr>
          <w:rFonts w:asciiTheme="minorHAnsi" w:hAnsiTheme="minorHAnsi" w:cstheme="minorBidi"/>
          <w:noProof/>
          <w:color w:val="000000" w:themeColor="text1"/>
        </w:rPr>
        <w:t>]</w:t>
      </w:r>
      <w:r w:rsidRPr="0E83D671">
        <w:rPr>
          <w:rFonts w:asciiTheme="minorHAnsi" w:hAnsiTheme="minorHAnsi" w:cstheme="minorBidi"/>
          <w:color w:val="000000" w:themeColor="text1"/>
        </w:rPr>
        <w:t xml:space="preserve"> </w:t>
      </w:r>
      <w:r>
        <w:rPr>
          <w:rFonts w:asciiTheme="minorHAnsi" w:hAnsiTheme="minorHAnsi" w:cstheme="minorBidi"/>
          <w:color w:val="000000" w:themeColor="text1"/>
        </w:rPr>
        <w:t>CHARMER</w:t>
      </w:r>
      <w:r w:rsidRPr="0E83D671">
        <w:rPr>
          <w:rFonts w:asciiTheme="minorHAnsi" w:hAnsiTheme="minorHAnsi" w:cstheme="minorBidi"/>
          <w:color w:val="000000" w:themeColor="text1"/>
        </w:rPr>
        <w:t xml:space="preserve"> aims to facilitate geriatricians and pharmacists to identify opportunities for proactive deprescribing and initiate deprescribing conversations with older adults in hospital. The intervention comprises five components:</w:t>
      </w:r>
    </w:p>
    <w:p w14:paraId="0121AFF8" w14:textId="77777777" w:rsidR="00A272EE" w:rsidRDefault="00A272EE" w:rsidP="00A272EE">
      <w:pPr>
        <w:pStyle w:val="ListParagraph"/>
        <w:numPr>
          <w:ilvl w:val="0"/>
          <w:numId w:val="5"/>
        </w:numPr>
        <w:spacing w:after="0" w:line="480" w:lineRule="auto"/>
      </w:pPr>
      <w:r>
        <w:t xml:space="preserve"> A hospital action plan to set deprescribing as an organisational goal to be achieved by implementing the remainder of the CHARMER intervention components</w:t>
      </w:r>
    </w:p>
    <w:p w14:paraId="04687F8F" w14:textId="77777777" w:rsidR="00A272EE" w:rsidRPr="0056014D" w:rsidRDefault="00A272EE" w:rsidP="00A272EE">
      <w:pPr>
        <w:pStyle w:val="ListParagraph"/>
        <w:numPr>
          <w:ilvl w:val="0"/>
          <w:numId w:val="5"/>
        </w:numPr>
        <w:spacing w:after="0" w:line="480" w:lineRule="auto"/>
        <w:rPr>
          <w:rFonts w:asciiTheme="minorHAnsi" w:hAnsiTheme="minorHAnsi" w:cstheme="minorBidi"/>
        </w:rPr>
      </w:pPr>
      <w:r w:rsidRPr="0E83D671">
        <w:rPr>
          <w:rFonts w:asciiTheme="minorHAnsi" w:hAnsiTheme="minorHAnsi" w:cstheme="minorBidi"/>
        </w:rPr>
        <w:t>A geriatrician workshop with pre-prepared videos of peers navigating challenging deprescribing discussions with patients and relatives</w:t>
      </w:r>
    </w:p>
    <w:p w14:paraId="37F248D9" w14:textId="77777777" w:rsidR="00A272EE" w:rsidRPr="0056014D" w:rsidRDefault="00A272EE" w:rsidP="00A272EE">
      <w:pPr>
        <w:pStyle w:val="ListParagraph"/>
        <w:numPr>
          <w:ilvl w:val="0"/>
          <w:numId w:val="5"/>
        </w:numPr>
        <w:spacing w:after="0" w:line="480" w:lineRule="auto"/>
        <w:rPr>
          <w:rFonts w:asciiTheme="minorHAnsi" w:hAnsiTheme="minorHAnsi" w:cstheme="minorBidi"/>
        </w:rPr>
      </w:pPr>
      <w:r w:rsidRPr="0E83D671">
        <w:rPr>
          <w:rFonts w:asciiTheme="minorHAnsi" w:hAnsiTheme="minorHAnsi" w:cstheme="minorBidi"/>
        </w:rPr>
        <w:t>A pharmacist workshop with case studies to address negative beliefs about the consequences of deprescribing</w:t>
      </w:r>
    </w:p>
    <w:p w14:paraId="64E17F22" w14:textId="77777777" w:rsidR="00A272EE" w:rsidRPr="0056014D" w:rsidRDefault="00A272EE" w:rsidP="00A272EE">
      <w:pPr>
        <w:pStyle w:val="ListParagraph"/>
        <w:numPr>
          <w:ilvl w:val="0"/>
          <w:numId w:val="5"/>
        </w:numPr>
        <w:spacing w:after="0" w:line="480" w:lineRule="auto"/>
        <w:rPr>
          <w:rFonts w:asciiTheme="minorHAnsi" w:hAnsiTheme="minorHAnsi" w:cstheme="minorBidi"/>
        </w:rPr>
      </w:pPr>
      <w:r w:rsidRPr="0E83D671">
        <w:rPr>
          <w:rFonts w:asciiTheme="minorHAnsi" w:hAnsiTheme="minorHAnsi" w:cstheme="minorBidi"/>
        </w:rPr>
        <w:t>Weekly pharmacist and geriatrician briefings to identify opportunities for proactive deprescribing</w:t>
      </w:r>
    </w:p>
    <w:p w14:paraId="39D73530" w14:textId="77777777" w:rsidR="00A272EE" w:rsidRPr="0056014D" w:rsidRDefault="00A272EE" w:rsidP="00A272EE">
      <w:pPr>
        <w:pStyle w:val="ListParagraph"/>
        <w:numPr>
          <w:ilvl w:val="0"/>
          <w:numId w:val="5"/>
        </w:numPr>
        <w:spacing w:after="0" w:line="480" w:lineRule="auto"/>
        <w:rPr>
          <w:rFonts w:asciiTheme="minorHAnsi" w:hAnsiTheme="minorHAnsi" w:cstheme="minorBidi"/>
        </w:rPr>
      </w:pPr>
      <w:r>
        <w:rPr>
          <w:rFonts w:asciiTheme="minorHAnsi" w:hAnsiTheme="minorHAnsi" w:cstheme="minorBidi"/>
        </w:rPr>
        <w:t>Weekly b</w:t>
      </w:r>
      <w:r w:rsidRPr="2CAD7983">
        <w:rPr>
          <w:rFonts w:asciiTheme="minorHAnsi" w:hAnsiTheme="minorHAnsi" w:cstheme="minorBidi"/>
        </w:rPr>
        <w:t>enchmarking report</w:t>
      </w:r>
      <w:r>
        <w:rPr>
          <w:rFonts w:asciiTheme="minorHAnsi" w:hAnsiTheme="minorHAnsi" w:cstheme="minorBidi"/>
        </w:rPr>
        <w:t>s</w:t>
      </w:r>
      <w:r w:rsidRPr="2CAD7983">
        <w:rPr>
          <w:rFonts w:asciiTheme="minorHAnsi" w:hAnsiTheme="minorHAnsi" w:cstheme="minorBidi"/>
        </w:rPr>
        <w:t xml:space="preserve"> on deprescribing activities to allow sites to</w:t>
      </w:r>
      <w:r>
        <w:rPr>
          <w:rFonts w:asciiTheme="minorHAnsi" w:hAnsiTheme="minorHAnsi" w:cstheme="minorBidi"/>
        </w:rPr>
        <w:t xml:space="preserve"> compare</w:t>
      </w:r>
      <w:r w:rsidRPr="2CAD7983">
        <w:rPr>
          <w:rFonts w:asciiTheme="minorHAnsi" w:hAnsiTheme="minorHAnsi" w:cstheme="minorBidi"/>
        </w:rPr>
        <w:t xml:space="preserve"> their</w:t>
      </w:r>
      <w:r>
        <w:rPr>
          <w:rFonts w:asciiTheme="minorHAnsi" w:hAnsiTheme="minorHAnsi" w:cstheme="minorBidi"/>
        </w:rPr>
        <w:t xml:space="preserve"> performance against other sites</w:t>
      </w:r>
    </w:p>
    <w:p w14:paraId="3E5AFCA9" w14:textId="642A149C" w:rsidR="00A272EE" w:rsidRPr="004267D0" w:rsidRDefault="00A272EE" w:rsidP="3484A250">
      <w:pPr>
        <w:spacing w:after="0" w:line="480" w:lineRule="auto"/>
        <w:contextualSpacing/>
        <w:rPr>
          <w:rFonts w:asciiTheme="minorHAnsi" w:hAnsiTheme="minorHAnsi" w:cstheme="minorBidi"/>
        </w:rPr>
      </w:pPr>
      <w:bookmarkStart w:id="10" w:name="_Toc331765726"/>
      <w:bookmarkStart w:id="11" w:name="_Toc476667181"/>
      <w:bookmarkStart w:id="12" w:name="_Toc97040533"/>
      <w:bookmarkStart w:id="13" w:name="_Toc663548772"/>
      <w:bookmarkStart w:id="14" w:name="_Toc316501393"/>
      <w:bookmarkStart w:id="15" w:name="_Toc340626912"/>
      <w:bookmarkEnd w:id="7"/>
      <w:bookmarkEnd w:id="8"/>
      <w:r>
        <w:t>In line with the UK Medical Research Council (MRC) guidance for developing and evaluating complex interventions,</w:t>
      </w:r>
      <w:r w:rsidRPr="3484A250">
        <w:rPr>
          <w:noProof/>
        </w:rPr>
        <w:t xml:space="preserve"> </w:t>
      </w:r>
      <w:r w:rsidR="00EB7A91">
        <w:rPr>
          <w:noProof/>
        </w:rPr>
        <w:t>[</w:t>
      </w:r>
      <w:r w:rsidRPr="3484A250">
        <w:rPr>
          <w:noProof/>
        </w:rPr>
        <w:t>14</w:t>
      </w:r>
      <w:r w:rsidR="00EB7A91">
        <w:rPr>
          <w:noProof/>
        </w:rPr>
        <w:t>]</w:t>
      </w:r>
      <w:r>
        <w:t xml:space="preserve"> the CHARMER intervention and trial design were feasibility tested.</w:t>
      </w:r>
      <w:r w:rsidRPr="3484A250">
        <w:rPr>
          <w:noProof/>
        </w:rPr>
        <w:t xml:space="preserve"> </w:t>
      </w:r>
      <w:r w:rsidR="00EB7A91">
        <w:rPr>
          <w:noProof/>
        </w:rPr>
        <w:t>[</w:t>
      </w:r>
      <w:r w:rsidRPr="3484A250">
        <w:rPr>
          <w:noProof/>
        </w:rPr>
        <w:t>15</w:t>
      </w:r>
      <w:proofErr w:type="gramStart"/>
      <w:r w:rsidR="00EB7A91">
        <w:rPr>
          <w:noProof/>
        </w:rPr>
        <w:t>]</w:t>
      </w:r>
      <w:r>
        <w:t xml:space="preserve">  This</w:t>
      </w:r>
      <w:proofErr w:type="gramEnd"/>
      <w:r>
        <w:t xml:space="preserve"> led to numerous changes to both intervention implementation support and trial design, with the most significant being the decision to move from a cluster RCT to a cluster randomised stepped-wedge design</w:t>
      </w:r>
      <w:r>
        <w:rPr>
          <w:rFonts w:asciiTheme="minorHAnsi" w:hAnsiTheme="minorHAnsi" w:cstheme="minorBidi"/>
        </w:rPr>
        <w:t>. Due to the increase in power associated with a stepped-wedge design, t</w:t>
      </w:r>
      <w:r w:rsidRPr="3484A250">
        <w:rPr>
          <w:rFonts w:asciiTheme="minorHAnsi" w:hAnsiTheme="minorHAnsi" w:cstheme="minorBidi"/>
        </w:rPr>
        <w:t>his change requires half the number of hospitals for the trial representing more efficient trial design and thus better value for money</w:t>
      </w:r>
      <w:r>
        <w:rPr>
          <w:rFonts w:asciiTheme="minorHAnsi" w:hAnsiTheme="minorHAnsi" w:cstheme="minorBidi"/>
        </w:rPr>
        <w:t xml:space="preserve">. </w:t>
      </w:r>
      <w:r w:rsidRPr="3484A250">
        <w:rPr>
          <w:rFonts w:asciiTheme="minorHAnsi" w:hAnsiTheme="minorHAnsi" w:cstheme="minorBidi"/>
        </w:rPr>
        <w:t>Furthermore, this design provides longer term follow up data in a proportion of intervention hospitals and will thereby allow us to assess whether the intervention is normalised.</w:t>
      </w:r>
    </w:p>
    <w:p w14:paraId="475A8D43" w14:textId="77777777" w:rsidR="00A272EE" w:rsidRPr="004267D0" w:rsidRDefault="00A272EE" w:rsidP="00DC636A">
      <w:pPr>
        <w:spacing w:after="0" w:line="480" w:lineRule="auto"/>
        <w:rPr>
          <w:b/>
          <w:bCs/>
          <w:sz w:val="24"/>
          <w:szCs w:val="24"/>
        </w:rPr>
      </w:pPr>
      <w:r w:rsidRPr="004267D0">
        <w:rPr>
          <w:b/>
          <w:bCs/>
          <w:sz w:val="24"/>
          <w:szCs w:val="24"/>
        </w:rPr>
        <w:t>Objective</w:t>
      </w:r>
      <w:r>
        <w:rPr>
          <w:b/>
          <w:bCs/>
          <w:sz w:val="24"/>
          <w:szCs w:val="24"/>
        </w:rPr>
        <w:t>s</w:t>
      </w:r>
    </w:p>
    <w:bookmarkEnd w:id="10"/>
    <w:bookmarkEnd w:id="11"/>
    <w:bookmarkEnd w:id="12"/>
    <w:bookmarkEnd w:id="13"/>
    <w:bookmarkEnd w:id="14"/>
    <w:bookmarkEnd w:id="15"/>
    <w:p w14:paraId="77EA286A" w14:textId="77777777" w:rsidR="00A272EE" w:rsidRPr="004267D0" w:rsidRDefault="00A272EE" w:rsidP="057C832C">
      <w:pPr>
        <w:pStyle w:val="paragraph"/>
        <w:spacing w:before="0" w:beforeAutospacing="0" w:after="0" w:afterAutospacing="0" w:line="480" w:lineRule="auto"/>
        <w:rPr>
          <w:rStyle w:val="normaltextrun"/>
          <w:rFonts w:ascii="Segoe UI" w:eastAsiaTheme="majorEastAsia" w:hAnsi="Segoe UI" w:cs="Segoe UI"/>
          <w:b/>
          <w:bCs/>
          <w:sz w:val="18"/>
          <w:szCs w:val="18"/>
          <w:lang w:eastAsia="en-US"/>
        </w:rPr>
      </w:pPr>
      <w:r w:rsidRPr="057C832C">
        <w:rPr>
          <w:rStyle w:val="normaltextrun"/>
          <w:rFonts w:ascii="Calibri" w:hAnsi="Calibri" w:cs="Calibri"/>
          <w:sz w:val="22"/>
          <w:szCs w:val="22"/>
        </w:rPr>
        <w:t xml:space="preserve">To describe </w:t>
      </w:r>
      <w:r>
        <w:rPr>
          <w:rStyle w:val="normaltextrun"/>
          <w:rFonts w:ascii="Calibri" w:hAnsi="Calibri" w:cs="Calibri"/>
          <w:sz w:val="22"/>
          <w:szCs w:val="22"/>
        </w:rPr>
        <w:t>the</w:t>
      </w:r>
      <w:r w:rsidRPr="057C832C">
        <w:rPr>
          <w:rStyle w:val="normaltextrun"/>
          <w:rFonts w:ascii="Calibri" w:hAnsi="Calibri" w:cs="Calibri"/>
          <w:sz w:val="22"/>
          <w:szCs w:val="22"/>
        </w:rPr>
        <w:t xml:space="preserve"> design of the </w:t>
      </w:r>
      <w:r>
        <w:rPr>
          <w:rStyle w:val="normaltextrun"/>
          <w:rFonts w:ascii="Calibri" w:hAnsi="Calibri" w:cs="Calibri"/>
          <w:sz w:val="22"/>
          <w:szCs w:val="22"/>
        </w:rPr>
        <w:t xml:space="preserve">definitive trial of the </w:t>
      </w:r>
      <w:r w:rsidRPr="057C832C">
        <w:rPr>
          <w:rStyle w:val="normaltextrun"/>
          <w:rFonts w:ascii="Calibri" w:hAnsi="Calibri" w:cs="Calibri"/>
          <w:sz w:val="22"/>
          <w:szCs w:val="22"/>
        </w:rPr>
        <w:t>CHARMER</w:t>
      </w:r>
      <w:r>
        <w:rPr>
          <w:rStyle w:val="normaltextrun"/>
          <w:rFonts w:ascii="Calibri" w:hAnsi="Calibri" w:cs="Calibri"/>
          <w:sz w:val="22"/>
          <w:szCs w:val="22"/>
        </w:rPr>
        <w:t xml:space="preserve"> hospital deprescribing</w:t>
      </w:r>
      <w:r w:rsidRPr="057C832C">
        <w:rPr>
          <w:rStyle w:val="normaltextrun"/>
          <w:rFonts w:ascii="Calibri" w:hAnsi="Calibri" w:cs="Calibri"/>
          <w:sz w:val="22"/>
          <w:szCs w:val="22"/>
        </w:rPr>
        <w:t xml:space="preserve"> intervention</w:t>
      </w:r>
      <w:r w:rsidRPr="057C832C">
        <w:rPr>
          <w:rStyle w:val="eop"/>
          <w:rFonts w:ascii="Calibri" w:hAnsi="Calibri" w:cs="Calibri"/>
          <w:sz w:val="22"/>
          <w:szCs w:val="22"/>
        </w:rPr>
        <w:t> </w:t>
      </w:r>
      <w:r w:rsidRPr="057C832C">
        <w:rPr>
          <w:rStyle w:val="normaltextrun"/>
          <w:rFonts w:ascii="Calibri" w:hAnsi="Calibri" w:cs="Calibri"/>
          <w:sz w:val="22"/>
          <w:szCs w:val="22"/>
        </w:rPr>
        <w:t xml:space="preserve">to evaluate </w:t>
      </w:r>
      <w:r>
        <w:rPr>
          <w:rStyle w:val="normaltextrun"/>
          <w:rFonts w:ascii="Calibri" w:hAnsi="Calibri" w:cs="Calibri"/>
          <w:sz w:val="22"/>
          <w:szCs w:val="22"/>
        </w:rPr>
        <w:t xml:space="preserve">its </w:t>
      </w:r>
      <w:r w:rsidRPr="057C832C">
        <w:rPr>
          <w:rStyle w:val="normaltextrun"/>
          <w:rFonts w:ascii="Calibri" w:hAnsi="Calibri" w:cs="Calibri"/>
          <w:sz w:val="22"/>
          <w:szCs w:val="22"/>
        </w:rPr>
        <w:t>effectiveness, cost-effectiveness and safety.</w:t>
      </w:r>
    </w:p>
    <w:p w14:paraId="1CC47798" w14:textId="77777777" w:rsidR="00A272EE" w:rsidRPr="004267D0" w:rsidRDefault="00A272EE" w:rsidP="00A24578">
      <w:pPr>
        <w:pStyle w:val="paragraph"/>
        <w:spacing w:before="0" w:beforeAutospacing="0" w:after="0" w:afterAutospacing="0" w:line="480" w:lineRule="auto"/>
        <w:contextualSpacing/>
      </w:pPr>
      <w:r w:rsidRPr="004267D0">
        <w:rPr>
          <w:rStyle w:val="normaltextrun"/>
          <w:rFonts w:ascii="Calibri" w:hAnsi="Calibri" w:cs="Calibri"/>
          <w:b/>
          <w:bCs/>
          <w:sz w:val="22"/>
          <w:szCs w:val="22"/>
        </w:rPr>
        <w:t>Trial design</w:t>
      </w:r>
    </w:p>
    <w:p w14:paraId="382CBBFD" w14:textId="77777777" w:rsidR="00A272EE" w:rsidRDefault="00A272EE" w:rsidP="00A24578">
      <w:pPr>
        <w:spacing w:line="480" w:lineRule="auto"/>
        <w:rPr>
          <w:rFonts w:asciiTheme="minorHAnsi" w:hAnsiTheme="minorHAnsi" w:cstheme="minorBidi"/>
          <w:lang w:eastAsia="en-GB"/>
        </w:rPr>
      </w:pPr>
      <w:r>
        <w:lastRenderedPageBreak/>
        <w:t>Cluster randomised stepped-wedge design trial with internal pilot.</w:t>
      </w:r>
      <w:r w:rsidRPr="78EA817F">
        <w:rPr>
          <w:rFonts w:asciiTheme="minorHAnsi" w:hAnsiTheme="minorHAnsi" w:cstheme="minorBidi"/>
          <w:lang w:eastAsia="en-GB"/>
        </w:rPr>
        <w:t xml:space="preserve"> A maximum of 24 hospitals (20 </w:t>
      </w:r>
      <w:r>
        <w:rPr>
          <w:rFonts w:asciiTheme="minorHAnsi" w:hAnsiTheme="minorHAnsi" w:cstheme="minorBidi"/>
          <w:lang w:eastAsia="en-GB"/>
        </w:rPr>
        <w:t>active</w:t>
      </w:r>
      <w:r w:rsidRPr="78EA817F">
        <w:rPr>
          <w:rFonts w:asciiTheme="minorHAnsi" w:hAnsiTheme="minorHAnsi" w:cstheme="minorBidi"/>
          <w:lang w:eastAsia="en-GB"/>
        </w:rPr>
        <w:t xml:space="preserve">, four reserve) across England will be recruited to take part. All participating hospitals will begin the trial at the same time in a control phase. </w:t>
      </w:r>
    </w:p>
    <w:p w14:paraId="2734B479" w14:textId="77777777" w:rsidR="00A272EE" w:rsidRDefault="00A272EE" w:rsidP="00A24578">
      <w:pPr>
        <w:spacing w:line="480" w:lineRule="auto"/>
        <w:rPr>
          <w:rFonts w:asciiTheme="minorHAnsi" w:hAnsiTheme="minorHAnsi" w:cstheme="minorBidi"/>
          <w:lang w:eastAsia="en-GB"/>
        </w:rPr>
      </w:pPr>
      <w:r w:rsidRPr="78EA817F">
        <w:rPr>
          <w:rFonts w:asciiTheme="minorHAnsi" w:hAnsiTheme="minorHAnsi" w:cstheme="minorBidi"/>
          <w:lang w:eastAsia="en-GB"/>
        </w:rPr>
        <w:t xml:space="preserve">We will step hospital sites into the intervention </w:t>
      </w:r>
      <w:r>
        <w:rPr>
          <w:rFonts w:asciiTheme="minorHAnsi" w:hAnsiTheme="minorHAnsi" w:cstheme="minorBidi"/>
          <w:lang w:eastAsia="en-GB"/>
        </w:rPr>
        <w:t>‘</w:t>
      </w:r>
      <w:r w:rsidRPr="78EA817F">
        <w:rPr>
          <w:rFonts w:asciiTheme="minorHAnsi" w:hAnsiTheme="minorHAnsi" w:cstheme="minorBidi"/>
          <w:lang w:eastAsia="en-GB"/>
        </w:rPr>
        <w:t xml:space="preserve">implementation </w:t>
      </w:r>
      <w:r>
        <w:rPr>
          <w:rFonts w:asciiTheme="minorHAnsi" w:hAnsiTheme="minorHAnsi" w:cstheme="minorBidi"/>
          <w:lang w:eastAsia="en-GB"/>
        </w:rPr>
        <w:t xml:space="preserve">phase’ </w:t>
      </w:r>
      <w:r w:rsidRPr="78EA817F">
        <w:rPr>
          <w:rFonts w:asciiTheme="minorHAnsi" w:hAnsiTheme="minorHAnsi" w:cstheme="minorBidi"/>
          <w:lang w:eastAsia="en-GB"/>
        </w:rPr>
        <w:t>at three-month intervals (five hospitals every three months in four steps).</w:t>
      </w:r>
      <w:r>
        <w:rPr>
          <w:rFonts w:asciiTheme="minorHAnsi" w:hAnsiTheme="minorHAnsi" w:cstheme="minorBidi"/>
          <w:lang w:eastAsia="en-GB"/>
        </w:rPr>
        <w:t xml:space="preserve">  </w:t>
      </w:r>
      <w:bookmarkStart w:id="16" w:name="_Hlk194590614"/>
      <w:r w:rsidRPr="44DC2DAD">
        <w:rPr>
          <w:rFonts w:asciiTheme="minorHAnsi" w:hAnsiTheme="minorHAnsi" w:cstheme="minorBidi"/>
          <w:lang w:eastAsia="en-GB"/>
        </w:rPr>
        <w:t>The</w:t>
      </w:r>
      <w:r>
        <w:rPr>
          <w:rFonts w:asciiTheme="minorHAnsi" w:hAnsiTheme="minorHAnsi" w:cstheme="minorBidi"/>
          <w:lang w:eastAsia="en-GB"/>
        </w:rPr>
        <w:t xml:space="preserve"> intervention ‘implementation phase’ will last for</w:t>
      </w:r>
      <w:r w:rsidRPr="44DC2DAD">
        <w:rPr>
          <w:rFonts w:asciiTheme="minorHAnsi" w:hAnsiTheme="minorHAnsi" w:cstheme="minorBidi"/>
          <w:lang w:eastAsia="en-GB"/>
        </w:rPr>
        <w:t xml:space="preserve"> three months</w:t>
      </w:r>
      <w:r>
        <w:rPr>
          <w:rFonts w:asciiTheme="minorHAnsi" w:hAnsiTheme="minorHAnsi" w:cstheme="minorBidi"/>
          <w:lang w:eastAsia="en-GB"/>
        </w:rPr>
        <w:t xml:space="preserve"> for all hospitals;</w:t>
      </w:r>
      <w:r w:rsidRPr="44DC2DAD">
        <w:rPr>
          <w:rFonts w:asciiTheme="minorHAnsi" w:hAnsiTheme="minorHAnsi" w:cstheme="minorBidi"/>
          <w:lang w:eastAsia="en-GB"/>
        </w:rPr>
        <w:t xml:space="preserve"> prior to transferring into the</w:t>
      </w:r>
      <w:r>
        <w:rPr>
          <w:rFonts w:asciiTheme="minorHAnsi" w:hAnsiTheme="minorHAnsi" w:cstheme="minorBidi"/>
          <w:lang w:eastAsia="en-GB"/>
        </w:rPr>
        <w:t xml:space="preserve"> active</w:t>
      </w:r>
      <w:r w:rsidRPr="44DC2DAD">
        <w:rPr>
          <w:rFonts w:asciiTheme="minorHAnsi" w:hAnsiTheme="minorHAnsi" w:cstheme="minorBidi"/>
          <w:lang w:eastAsia="en-GB"/>
        </w:rPr>
        <w:t xml:space="preserve"> intervention phase</w:t>
      </w:r>
      <w:r>
        <w:rPr>
          <w:rFonts w:asciiTheme="minorHAnsi" w:hAnsiTheme="minorHAnsi" w:cstheme="minorBidi"/>
          <w:lang w:eastAsia="en-GB"/>
        </w:rPr>
        <w:t>. E</w:t>
      </w:r>
      <w:r w:rsidRPr="00692D93">
        <w:rPr>
          <w:rFonts w:asciiTheme="minorHAnsi" w:hAnsiTheme="minorHAnsi" w:cstheme="minorBidi"/>
          <w:lang w:eastAsia="en-GB"/>
        </w:rPr>
        <w:t>ach</w:t>
      </w:r>
      <w:r w:rsidRPr="78EA817F">
        <w:rPr>
          <w:rFonts w:asciiTheme="minorHAnsi" w:hAnsiTheme="minorHAnsi" w:cstheme="minorBidi"/>
          <w:lang w:eastAsia="en-GB"/>
        </w:rPr>
        <w:t xml:space="preserve"> site will therefore take part in the trial for a total of </w:t>
      </w:r>
      <w:r>
        <w:rPr>
          <w:rFonts w:asciiTheme="minorHAnsi" w:hAnsiTheme="minorHAnsi" w:cstheme="minorBidi"/>
          <w:lang w:eastAsia="en-GB"/>
        </w:rPr>
        <w:t>18</w:t>
      </w:r>
      <w:r w:rsidRPr="78EA817F">
        <w:rPr>
          <w:rFonts w:asciiTheme="minorHAnsi" w:hAnsiTheme="minorHAnsi" w:cstheme="minorBidi"/>
          <w:lang w:eastAsia="en-GB"/>
        </w:rPr>
        <w:t xml:space="preserve"> months (</w:t>
      </w:r>
      <w:r>
        <w:rPr>
          <w:rFonts w:asciiTheme="minorHAnsi" w:hAnsiTheme="minorHAnsi" w:cstheme="minorBidi"/>
          <w:lang w:eastAsia="en-GB"/>
        </w:rPr>
        <w:t>with additional</w:t>
      </w:r>
      <w:r w:rsidRPr="78EA817F">
        <w:rPr>
          <w:rFonts w:asciiTheme="minorHAnsi" w:hAnsiTheme="minorHAnsi" w:cstheme="minorBidi"/>
          <w:lang w:eastAsia="en-GB"/>
        </w:rPr>
        <w:t xml:space="preserve"> three month follow up period for data collection)</w:t>
      </w:r>
      <w:r>
        <w:rPr>
          <w:rFonts w:asciiTheme="minorHAnsi" w:hAnsiTheme="minorHAnsi" w:cstheme="minorBidi"/>
          <w:lang w:eastAsia="en-GB"/>
        </w:rPr>
        <w:t>. This is summarised in Figure 1.</w:t>
      </w:r>
    </w:p>
    <w:p w14:paraId="2BFC5E73" w14:textId="77777777" w:rsidR="00A272EE" w:rsidRPr="00352660" w:rsidRDefault="00A272EE" w:rsidP="00A24578">
      <w:pPr>
        <w:spacing w:line="480" w:lineRule="auto"/>
        <w:rPr>
          <w:rFonts w:asciiTheme="minorHAnsi" w:hAnsiTheme="minorHAnsi" w:cstheme="minorBidi"/>
          <w:lang w:eastAsia="en-GB"/>
        </w:rPr>
      </w:pPr>
      <w:r w:rsidRPr="44DC2DAD">
        <w:rPr>
          <w:rFonts w:asciiTheme="minorHAnsi" w:hAnsiTheme="minorHAnsi" w:cstheme="minorBidi"/>
          <w:lang w:eastAsia="en-GB"/>
        </w:rPr>
        <w:t xml:space="preserve">To ensure effective implementation of the intervention, a </w:t>
      </w:r>
      <w:r>
        <w:rPr>
          <w:rFonts w:asciiTheme="minorHAnsi" w:hAnsiTheme="minorHAnsi" w:cstheme="minorBidi"/>
          <w:lang w:eastAsia="en-GB"/>
        </w:rPr>
        <w:t>P</w:t>
      </w:r>
      <w:r w:rsidRPr="44DC2DAD">
        <w:rPr>
          <w:rFonts w:asciiTheme="minorHAnsi" w:hAnsiTheme="minorHAnsi" w:cstheme="minorBidi"/>
          <w:lang w:eastAsia="en-GB"/>
        </w:rPr>
        <w:t xml:space="preserve">roject </w:t>
      </w:r>
      <w:r>
        <w:rPr>
          <w:rFonts w:asciiTheme="minorHAnsi" w:hAnsiTheme="minorHAnsi" w:cstheme="minorBidi"/>
          <w:lang w:eastAsia="en-GB"/>
        </w:rPr>
        <w:t>M</w:t>
      </w:r>
      <w:r w:rsidRPr="44DC2DAD">
        <w:rPr>
          <w:rFonts w:asciiTheme="minorHAnsi" w:hAnsiTheme="minorHAnsi" w:cstheme="minorBidi"/>
          <w:lang w:eastAsia="en-GB"/>
        </w:rPr>
        <w:t xml:space="preserve">anager </w:t>
      </w:r>
      <w:r>
        <w:rPr>
          <w:rFonts w:asciiTheme="minorHAnsi" w:hAnsiTheme="minorHAnsi" w:cstheme="minorBidi"/>
          <w:lang w:eastAsia="en-GB"/>
        </w:rPr>
        <w:t>i</w:t>
      </w:r>
      <w:r w:rsidRPr="44DC2DAD">
        <w:rPr>
          <w:rFonts w:asciiTheme="minorHAnsi" w:hAnsiTheme="minorHAnsi" w:cstheme="minorBidi"/>
          <w:lang w:eastAsia="en-GB"/>
        </w:rPr>
        <w:t>s required at each site</w:t>
      </w:r>
      <w:r>
        <w:rPr>
          <w:rFonts w:asciiTheme="minorHAnsi" w:hAnsiTheme="minorHAnsi" w:cstheme="minorBidi"/>
          <w:lang w:eastAsia="en-GB"/>
        </w:rPr>
        <w:t xml:space="preserve">. </w:t>
      </w:r>
      <w:r w:rsidRPr="44DC2DAD">
        <w:rPr>
          <w:rFonts w:asciiTheme="minorHAnsi" w:hAnsiTheme="minorHAnsi" w:cstheme="minorBidi"/>
          <w:lang w:eastAsia="en-GB"/>
        </w:rPr>
        <w:t xml:space="preserve">This will usually be in addition to the </w:t>
      </w:r>
      <w:r>
        <w:rPr>
          <w:rFonts w:asciiTheme="minorHAnsi" w:hAnsiTheme="minorHAnsi" w:cstheme="minorBidi"/>
          <w:lang w:eastAsia="en-GB"/>
        </w:rPr>
        <w:t>P</w:t>
      </w:r>
      <w:r w:rsidRPr="44DC2DAD">
        <w:rPr>
          <w:rFonts w:asciiTheme="minorHAnsi" w:hAnsiTheme="minorHAnsi" w:cstheme="minorBidi"/>
          <w:lang w:eastAsia="en-GB"/>
        </w:rPr>
        <w:t xml:space="preserve">rincipal </w:t>
      </w:r>
      <w:r>
        <w:rPr>
          <w:rFonts w:asciiTheme="minorHAnsi" w:hAnsiTheme="minorHAnsi" w:cstheme="minorBidi"/>
          <w:lang w:eastAsia="en-GB"/>
        </w:rPr>
        <w:t>I</w:t>
      </w:r>
      <w:r w:rsidRPr="44DC2DAD">
        <w:rPr>
          <w:rFonts w:asciiTheme="minorHAnsi" w:hAnsiTheme="minorHAnsi" w:cstheme="minorBidi"/>
          <w:lang w:eastAsia="en-GB"/>
        </w:rPr>
        <w:t>nvestigator</w:t>
      </w:r>
      <w:r>
        <w:rPr>
          <w:rFonts w:asciiTheme="minorHAnsi" w:hAnsiTheme="minorHAnsi" w:cstheme="minorBidi"/>
          <w:lang w:eastAsia="en-GB"/>
        </w:rPr>
        <w:t xml:space="preserve"> (PI)</w:t>
      </w:r>
      <w:r w:rsidRPr="44DC2DAD">
        <w:rPr>
          <w:rFonts w:asciiTheme="minorHAnsi" w:hAnsiTheme="minorHAnsi" w:cstheme="minorBidi"/>
          <w:lang w:eastAsia="en-GB"/>
        </w:rPr>
        <w:t>, who is responsible for</w:t>
      </w:r>
      <w:r>
        <w:rPr>
          <w:rFonts w:asciiTheme="minorHAnsi" w:hAnsiTheme="minorHAnsi" w:cstheme="minorBidi"/>
          <w:lang w:eastAsia="en-GB"/>
        </w:rPr>
        <w:t xml:space="preserve"> research</w:t>
      </w:r>
      <w:r w:rsidRPr="44DC2DAD">
        <w:rPr>
          <w:rFonts w:asciiTheme="minorHAnsi" w:hAnsiTheme="minorHAnsi" w:cstheme="minorBidi"/>
          <w:lang w:eastAsia="en-GB"/>
        </w:rPr>
        <w:t xml:space="preserve"> deliver</w:t>
      </w:r>
      <w:r>
        <w:rPr>
          <w:rFonts w:asciiTheme="minorHAnsi" w:hAnsiTheme="minorHAnsi" w:cstheme="minorBidi"/>
          <w:lang w:eastAsia="en-GB"/>
        </w:rPr>
        <w:t xml:space="preserve">y. </w:t>
      </w:r>
      <w:r w:rsidRPr="00352660">
        <w:rPr>
          <w:rFonts w:asciiTheme="minorHAnsi" w:hAnsiTheme="minorHAnsi" w:cstheme="minorBidi"/>
          <w:lang w:eastAsia="en-GB"/>
        </w:rPr>
        <w:t>Where capacity allows</w:t>
      </w:r>
      <w:r>
        <w:rPr>
          <w:rFonts w:asciiTheme="minorHAnsi" w:hAnsiTheme="minorHAnsi" w:cstheme="minorBidi"/>
          <w:lang w:eastAsia="en-GB"/>
        </w:rPr>
        <w:t>,</w:t>
      </w:r>
      <w:r w:rsidRPr="00352660">
        <w:rPr>
          <w:rFonts w:asciiTheme="minorHAnsi" w:hAnsiTheme="minorHAnsi" w:cstheme="minorBidi"/>
          <w:lang w:eastAsia="en-GB"/>
        </w:rPr>
        <w:t xml:space="preserve"> the PI </w:t>
      </w:r>
      <w:r>
        <w:rPr>
          <w:rFonts w:asciiTheme="minorHAnsi" w:hAnsiTheme="minorHAnsi" w:cstheme="minorBidi"/>
          <w:lang w:eastAsia="en-GB"/>
        </w:rPr>
        <w:t>will be allowed to additionally</w:t>
      </w:r>
      <w:r w:rsidRPr="00352660">
        <w:rPr>
          <w:rFonts w:asciiTheme="minorHAnsi" w:hAnsiTheme="minorHAnsi" w:cstheme="minorBidi"/>
          <w:lang w:eastAsia="en-GB"/>
        </w:rPr>
        <w:t xml:space="preserve"> assume the role of Project Manager.</w:t>
      </w:r>
    </w:p>
    <w:p w14:paraId="0BC0291D" w14:textId="77777777" w:rsidR="00A272EE" w:rsidRDefault="00A272EE" w:rsidP="00A24578">
      <w:pPr>
        <w:spacing w:after="0" w:line="480" w:lineRule="auto"/>
        <w:contextualSpacing/>
      </w:pPr>
      <w:r>
        <w:t>Outlined here is the protocol for the main trial.  Process evaluation protocol and results papers will be published separately.</w:t>
      </w:r>
    </w:p>
    <w:bookmarkEnd w:id="16"/>
    <w:p w14:paraId="65F5EE03" w14:textId="77777777" w:rsidR="00A272EE" w:rsidRDefault="00A272EE" w:rsidP="00CD1DF5">
      <w:pPr>
        <w:shd w:val="clear" w:color="auto" w:fill="FFFFFF"/>
        <w:spacing w:after="0" w:line="480" w:lineRule="auto"/>
        <w:contextualSpacing/>
        <w:jc w:val="left"/>
        <w:rPr>
          <w:rFonts w:asciiTheme="minorHAnsi" w:eastAsia="Times New Roman" w:hAnsiTheme="minorHAnsi" w:cstheme="minorHAnsi"/>
          <w:b/>
          <w:bCs/>
          <w:kern w:val="36"/>
          <w:sz w:val="24"/>
          <w:szCs w:val="24"/>
          <w:shd w:val="clear" w:color="auto" w:fill="auto"/>
          <w:lang w:eastAsia="en-GB"/>
        </w:rPr>
      </w:pPr>
    </w:p>
    <w:p w14:paraId="26B8D6F0" w14:textId="77777777" w:rsidR="00A272EE" w:rsidRPr="004267D0" w:rsidRDefault="00A272EE" w:rsidP="00CD1DF5">
      <w:pPr>
        <w:shd w:val="clear" w:color="auto" w:fill="FFFFFF"/>
        <w:spacing w:after="0" w:line="480" w:lineRule="auto"/>
        <w:contextualSpacing/>
        <w:jc w:val="left"/>
        <w:rPr>
          <w:rFonts w:asciiTheme="minorHAnsi" w:eastAsia="Times New Roman" w:hAnsiTheme="minorHAnsi" w:cstheme="minorHAnsi"/>
          <w:b/>
          <w:bCs/>
          <w:kern w:val="36"/>
          <w:sz w:val="24"/>
          <w:szCs w:val="24"/>
          <w:shd w:val="clear" w:color="auto" w:fill="auto"/>
          <w:lang w:eastAsia="en-GB"/>
        </w:rPr>
      </w:pPr>
      <w:r w:rsidRPr="004267D0">
        <w:rPr>
          <w:rFonts w:asciiTheme="minorHAnsi" w:eastAsia="Times New Roman" w:hAnsiTheme="minorHAnsi" w:cstheme="minorHAnsi"/>
          <w:b/>
          <w:bCs/>
          <w:kern w:val="36"/>
          <w:sz w:val="24"/>
          <w:szCs w:val="24"/>
          <w:shd w:val="clear" w:color="auto" w:fill="auto"/>
          <w:lang w:eastAsia="en-GB"/>
        </w:rPr>
        <w:t>Methods: Participants, interventions and outcomes</w:t>
      </w:r>
    </w:p>
    <w:p w14:paraId="1C1A739B" w14:textId="77777777" w:rsidR="00A272EE" w:rsidRDefault="00A272EE" w:rsidP="00EE0E38">
      <w:pPr>
        <w:spacing w:after="0" w:line="480" w:lineRule="auto"/>
        <w:contextualSpacing/>
      </w:pPr>
      <w:r>
        <w:t xml:space="preserve">Methods outlined below based on Protocol version V1.1 2023. The trial is registered with </w:t>
      </w:r>
      <w:r w:rsidRPr="2CAD7983">
        <w:rPr>
          <w:rFonts w:eastAsia="Calibri"/>
          <w:color w:val="000000" w:themeColor="text1"/>
        </w:rPr>
        <w:t>ISRCTN</w:t>
      </w:r>
      <w:r>
        <w:rPr>
          <w:rFonts w:eastAsia="Calibri"/>
          <w:color w:val="000000" w:themeColor="text1"/>
        </w:rPr>
        <w:t xml:space="preserve"> Registry </w:t>
      </w:r>
      <w:r w:rsidRPr="2CAD7983">
        <w:rPr>
          <w:rFonts w:eastAsia="Calibri"/>
          <w:color w:val="000000" w:themeColor="text1"/>
        </w:rPr>
        <w:t>13248281</w:t>
      </w:r>
      <w:r>
        <w:rPr>
          <w:rFonts w:eastAsia="Calibri"/>
          <w:color w:val="000000" w:themeColor="text1"/>
        </w:rPr>
        <w:t xml:space="preserve">. </w:t>
      </w:r>
      <w:r>
        <w:t>University of Leicester (rgosponsor@le.ac.uk) acted as sponsor for the trial.  They took no active involvement in either the management or delivery of the trial.</w:t>
      </w:r>
    </w:p>
    <w:p w14:paraId="32D4A063" w14:textId="77777777" w:rsidR="00A272EE" w:rsidRDefault="00A272EE" w:rsidP="00CD1DF5">
      <w:pPr>
        <w:spacing w:after="0" w:line="480" w:lineRule="auto"/>
        <w:contextualSpacing/>
        <w:rPr>
          <w:b/>
          <w:bCs/>
        </w:rPr>
      </w:pPr>
      <w:r>
        <w:rPr>
          <w:b/>
          <w:bCs/>
        </w:rPr>
        <w:t>Patient and public involvement</w:t>
      </w:r>
    </w:p>
    <w:p w14:paraId="2219D487" w14:textId="77777777" w:rsidR="00A272EE" w:rsidRDefault="00A272EE" w:rsidP="00CD1DF5">
      <w:pPr>
        <w:spacing w:after="0" w:line="480" w:lineRule="auto"/>
        <w:contextualSpacing/>
      </w:pPr>
      <w:r w:rsidRPr="000744C5">
        <w:t xml:space="preserve">A Patient and Public Involvement (PPI) group consisting of older adults experiencing polypharmacy (n=3) and family members/carers (n=2) are core members of the CHARMER research team. Our PPI group have contributed to the development and design of this trial, including developing the protocol, reviewing and editing participant information sheets and consent forms to ensure readability, and commenting on qualitative topic guide content. PPI group members attend weekly trial management </w:t>
      </w:r>
      <w:r w:rsidRPr="000744C5">
        <w:lastRenderedPageBreak/>
        <w:t>meetings and will support the research team in the analysis, write up and dissemination of the study findings.</w:t>
      </w:r>
    </w:p>
    <w:p w14:paraId="5E89DABA" w14:textId="77777777" w:rsidR="00A272EE" w:rsidRDefault="00A272EE" w:rsidP="00CD1DF5">
      <w:pPr>
        <w:spacing w:after="0" w:line="480" w:lineRule="auto"/>
        <w:contextualSpacing/>
        <w:rPr>
          <w:b/>
          <w:bCs/>
        </w:rPr>
      </w:pPr>
      <w:r>
        <w:rPr>
          <w:b/>
          <w:bCs/>
        </w:rPr>
        <w:t>Trial</w:t>
      </w:r>
      <w:r w:rsidRPr="00A24578">
        <w:rPr>
          <w:b/>
          <w:bCs/>
        </w:rPr>
        <w:t xml:space="preserve"> setting</w:t>
      </w:r>
      <w:r>
        <w:rPr>
          <w:b/>
          <w:bCs/>
        </w:rPr>
        <w:t xml:space="preserve"> </w:t>
      </w:r>
    </w:p>
    <w:p w14:paraId="6998F765" w14:textId="77777777" w:rsidR="00A272EE" w:rsidRPr="00143B39" w:rsidRDefault="00A272EE" w:rsidP="00CD1DF5">
      <w:pPr>
        <w:spacing w:after="0" w:line="480" w:lineRule="auto"/>
        <w:contextualSpacing/>
        <w:rPr>
          <w:b/>
          <w:bCs/>
        </w:rPr>
      </w:pPr>
      <w:r>
        <w:t>Acute hospitals in England with care of the older wards.</w:t>
      </w:r>
    </w:p>
    <w:p w14:paraId="410B15D2" w14:textId="77777777" w:rsidR="00A272EE" w:rsidRPr="004267D0" w:rsidRDefault="00A272EE" w:rsidP="00B658B8">
      <w:pPr>
        <w:shd w:val="clear" w:color="auto" w:fill="FFFFFF"/>
        <w:spacing w:after="0" w:line="480" w:lineRule="auto"/>
        <w:contextualSpacing/>
        <w:jc w:val="left"/>
        <w:rPr>
          <w:rFonts w:asciiTheme="minorHAnsi" w:eastAsia="Times New Roman" w:hAnsiTheme="minorHAnsi" w:cstheme="minorHAnsi"/>
          <w:shd w:val="clear" w:color="auto" w:fill="auto"/>
          <w:lang w:eastAsia="en-GB"/>
        </w:rPr>
      </w:pPr>
      <w:r w:rsidRPr="004267D0">
        <w:rPr>
          <w:rFonts w:asciiTheme="minorHAnsi" w:eastAsia="Times New Roman" w:hAnsiTheme="minorHAnsi" w:cstheme="minorHAnsi"/>
          <w:b/>
          <w:bCs/>
          <w:shd w:val="clear" w:color="auto" w:fill="auto"/>
          <w:lang w:eastAsia="en-GB"/>
        </w:rPr>
        <w:t>Eligibility criteria</w:t>
      </w:r>
    </w:p>
    <w:p w14:paraId="6150FD18" w14:textId="77777777" w:rsidR="00A272EE" w:rsidRDefault="00A272EE" w:rsidP="44DC2DAD">
      <w:pPr>
        <w:spacing w:after="0" w:line="480" w:lineRule="auto"/>
        <w:contextualSpacing/>
      </w:pPr>
      <w:r>
        <w:t>Proposed inclusion and exclusion criteria for hospitals, practitioners and patients are:</w:t>
      </w:r>
    </w:p>
    <w:p w14:paraId="5716D23E" w14:textId="77777777" w:rsidR="00A272EE" w:rsidRPr="002E6ABA" w:rsidRDefault="00A272EE" w:rsidP="44DC2DAD">
      <w:pPr>
        <w:spacing w:after="0" w:line="480" w:lineRule="auto"/>
        <w:contextualSpacing/>
        <w:rPr>
          <w:b/>
          <w:bCs/>
        </w:rPr>
      </w:pPr>
      <w:r w:rsidRPr="002E6ABA">
        <w:rPr>
          <w:b/>
          <w:bCs/>
        </w:rPr>
        <w:t>Hospitals</w:t>
      </w:r>
    </w:p>
    <w:p w14:paraId="218C6E5D" w14:textId="77777777" w:rsidR="00A272EE" w:rsidRPr="004267D0" w:rsidRDefault="00A272EE" w:rsidP="44DC2DAD">
      <w:pPr>
        <w:spacing w:after="0" w:line="480" w:lineRule="auto"/>
        <w:contextualSpacing/>
      </w:pPr>
      <w:r>
        <w:t>Inclusion</w:t>
      </w:r>
    </w:p>
    <w:p w14:paraId="2372B776" w14:textId="77777777" w:rsidR="00A272EE" w:rsidRPr="00FE330C" w:rsidRDefault="00A272EE" w:rsidP="00A272EE">
      <w:pPr>
        <w:pStyle w:val="ListParagraph"/>
        <w:numPr>
          <w:ilvl w:val="0"/>
          <w:numId w:val="2"/>
        </w:numPr>
        <w:spacing w:line="480" w:lineRule="auto"/>
      </w:pPr>
      <w:r>
        <w:t>Acute hospital</w:t>
      </w:r>
    </w:p>
    <w:p w14:paraId="02F4DCE6" w14:textId="77777777" w:rsidR="00A272EE" w:rsidRPr="002E6ABA" w:rsidRDefault="00A272EE" w:rsidP="00A272EE">
      <w:pPr>
        <w:pStyle w:val="ListParagraph"/>
        <w:numPr>
          <w:ilvl w:val="0"/>
          <w:numId w:val="2"/>
        </w:numPr>
        <w:spacing w:line="480" w:lineRule="auto"/>
      </w:pPr>
      <w:r>
        <w:rPr>
          <w:rFonts w:eastAsia="Calibri"/>
        </w:rPr>
        <w:t>Provide an o</w:t>
      </w:r>
      <w:r w:rsidRPr="057C832C">
        <w:rPr>
          <w:rFonts w:eastAsia="Calibri"/>
        </w:rPr>
        <w:t>lder people’s medicine service with at least one inpatient ward on which to conduct the CHARMER trial (the study ward)</w:t>
      </w:r>
    </w:p>
    <w:p w14:paraId="06CB0B6C" w14:textId="77777777" w:rsidR="00A272EE" w:rsidRDefault="00A272EE" w:rsidP="00A272EE">
      <w:pPr>
        <w:pStyle w:val="ListParagraph"/>
        <w:numPr>
          <w:ilvl w:val="0"/>
          <w:numId w:val="2"/>
        </w:numPr>
        <w:spacing w:line="480" w:lineRule="auto"/>
      </w:pPr>
      <w:r>
        <w:rPr>
          <w:rFonts w:eastAsia="Calibri"/>
        </w:rPr>
        <w:t>T</w:t>
      </w:r>
      <w:r>
        <w:t>he majority of patients on the study ward(s) have a minimum length of stay of three days</w:t>
      </w:r>
    </w:p>
    <w:p w14:paraId="3681D3A0" w14:textId="77777777" w:rsidR="00A272EE" w:rsidRDefault="00A272EE" w:rsidP="00A272EE">
      <w:pPr>
        <w:pStyle w:val="ListParagraph"/>
        <w:numPr>
          <w:ilvl w:val="0"/>
          <w:numId w:val="2"/>
        </w:numPr>
        <w:spacing w:after="160" w:line="480" w:lineRule="auto"/>
        <w:jc w:val="left"/>
      </w:pPr>
      <w:r>
        <w:t>The average total monthly throughput across study ward(s) of approximately 100 patients, have at least one geriatrician (consultant or specialist registrar) and at least one ward-based pharmacist working on them</w:t>
      </w:r>
    </w:p>
    <w:p w14:paraId="2DA08419" w14:textId="77777777" w:rsidR="00A272EE" w:rsidRPr="004267D0" w:rsidRDefault="00A272EE" w:rsidP="00A272EE">
      <w:pPr>
        <w:pStyle w:val="ListParagraph"/>
        <w:numPr>
          <w:ilvl w:val="0"/>
          <w:numId w:val="2"/>
        </w:numPr>
        <w:spacing w:after="160" w:line="480" w:lineRule="auto"/>
        <w:jc w:val="left"/>
      </w:pPr>
      <w:r>
        <w:t>There is an e</w:t>
      </w:r>
      <w:r w:rsidRPr="004267D0">
        <w:t>lectronic prescribing system on the study ward(s)</w:t>
      </w:r>
    </w:p>
    <w:p w14:paraId="01F87B9E" w14:textId="77777777" w:rsidR="00A272EE" w:rsidRPr="004267D0" w:rsidRDefault="00A272EE" w:rsidP="00A272EE">
      <w:pPr>
        <w:pStyle w:val="ListParagraph"/>
        <w:numPr>
          <w:ilvl w:val="0"/>
          <w:numId w:val="2"/>
        </w:numPr>
        <w:spacing w:line="480" w:lineRule="auto"/>
        <w:rPr>
          <w:rFonts w:eastAsia="Calibri"/>
        </w:rPr>
      </w:pPr>
      <w:r w:rsidRPr="2CAD7983">
        <w:rPr>
          <w:rFonts w:eastAsia="Calibri"/>
        </w:rPr>
        <w:t>Hospital is willing and has the capability and capacity to implement the five components of the CHARMER intervention</w:t>
      </w:r>
    </w:p>
    <w:p w14:paraId="34AB0948" w14:textId="77777777" w:rsidR="00A272EE" w:rsidRPr="004267D0" w:rsidRDefault="00A272EE" w:rsidP="00A272EE">
      <w:pPr>
        <w:pStyle w:val="ListParagraph"/>
        <w:numPr>
          <w:ilvl w:val="0"/>
          <w:numId w:val="2"/>
        </w:numPr>
        <w:spacing w:line="480" w:lineRule="auto"/>
        <w:rPr>
          <w:rFonts w:eastAsia="Calibri"/>
        </w:rPr>
      </w:pPr>
      <w:r w:rsidRPr="44DC2DAD">
        <w:rPr>
          <w:rFonts w:eastAsia="Calibri"/>
        </w:rPr>
        <w:t xml:space="preserve">Able to provide a 0.2 </w:t>
      </w:r>
      <w:r>
        <w:rPr>
          <w:rFonts w:eastAsia="Calibri"/>
        </w:rPr>
        <w:t>whole time equivalent</w:t>
      </w:r>
      <w:r w:rsidRPr="44DC2DAD">
        <w:rPr>
          <w:rFonts w:eastAsia="Calibri"/>
        </w:rPr>
        <w:t xml:space="preserve"> </w:t>
      </w:r>
      <w:r>
        <w:rPr>
          <w:rFonts w:eastAsia="Calibri"/>
        </w:rPr>
        <w:t>P</w:t>
      </w:r>
      <w:r w:rsidRPr="44DC2DAD">
        <w:rPr>
          <w:rFonts w:eastAsia="Calibri"/>
        </w:rPr>
        <w:t xml:space="preserve">roject </w:t>
      </w:r>
      <w:r>
        <w:rPr>
          <w:rFonts w:eastAsia="Calibri"/>
        </w:rPr>
        <w:t>M</w:t>
      </w:r>
      <w:r w:rsidRPr="44DC2DAD">
        <w:rPr>
          <w:rFonts w:eastAsia="Calibri"/>
        </w:rPr>
        <w:t xml:space="preserve">anager to oversee implementation of the CHARMER intervention over a 14-week period (three-month implementation phase and two weeks within the active intervention phase)  </w:t>
      </w:r>
    </w:p>
    <w:p w14:paraId="208FE16F" w14:textId="77777777" w:rsidR="00A272EE" w:rsidRPr="004267D0" w:rsidRDefault="00A272EE" w:rsidP="00A272EE">
      <w:pPr>
        <w:pStyle w:val="ListParagraph"/>
        <w:numPr>
          <w:ilvl w:val="0"/>
          <w:numId w:val="2"/>
        </w:numPr>
        <w:spacing w:line="480" w:lineRule="auto"/>
        <w:rPr>
          <w:rFonts w:eastAsia="Calibri"/>
        </w:rPr>
      </w:pPr>
      <w:r w:rsidRPr="2CAD7983">
        <w:rPr>
          <w:rFonts w:eastAsia="Calibri"/>
        </w:rPr>
        <w:t xml:space="preserve">Named clinician willing and appropriate to take Principal Investigator (PI) responsibility </w:t>
      </w:r>
    </w:p>
    <w:p w14:paraId="4AC81460" w14:textId="77777777" w:rsidR="00A272EE" w:rsidRPr="004267D0" w:rsidRDefault="00A272EE" w:rsidP="00A272EE">
      <w:pPr>
        <w:pStyle w:val="ListParagraph"/>
        <w:numPr>
          <w:ilvl w:val="0"/>
          <w:numId w:val="2"/>
        </w:numPr>
        <w:spacing w:line="360" w:lineRule="auto"/>
        <w:rPr>
          <w:rFonts w:eastAsia="Calibri"/>
        </w:rPr>
      </w:pPr>
      <w:r w:rsidRPr="057C832C">
        <w:rPr>
          <w:rFonts w:eastAsia="Calibri"/>
        </w:rPr>
        <w:t>Suitably trained staff e.g.,</w:t>
      </w:r>
      <w:r>
        <w:rPr>
          <w:rFonts w:eastAsia="Calibri"/>
        </w:rPr>
        <w:t xml:space="preserve"> sufficient </w:t>
      </w:r>
      <w:r w:rsidRPr="057C832C">
        <w:rPr>
          <w:rFonts w:eastAsia="Calibri"/>
        </w:rPr>
        <w:t>research nurses, to recruit patient and personal consultee participants and enter required data</w:t>
      </w:r>
    </w:p>
    <w:p w14:paraId="78C2716D" w14:textId="77777777" w:rsidR="00A272EE" w:rsidRPr="004267D0" w:rsidRDefault="00A272EE" w:rsidP="00143B39">
      <w:pPr>
        <w:spacing w:line="360" w:lineRule="auto"/>
        <w:rPr>
          <w:rFonts w:eastAsia="Calibri"/>
        </w:rPr>
      </w:pPr>
      <w:r w:rsidRPr="004267D0">
        <w:rPr>
          <w:rFonts w:eastAsia="Calibri"/>
        </w:rPr>
        <w:t xml:space="preserve">Exclusion: </w:t>
      </w:r>
    </w:p>
    <w:p w14:paraId="56865889" w14:textId="77777777" w:rsidR="00A272EE" w:rsidRPr="004267D0" w:rsidRDefault="00A272EE" w:rsidP="00A272EE">
      <w:pPr>
        <w:pStyle w:val="ListParagraph"/>
        <w:numPr>
          <w:ilvl w:val="0"/>
          <w:numId w:val="1"/>
        </w:numPr>
        <w:spacing w:after="160" w:line="480" w:lineRule="auto"/>
        <w:jc w:val="left"/>
        <w:rPr>
          <w:rFonts w:eastAsia="Calibri"/>
        </w:rPr>
      </w:pPr>
      <w:r>
        <w:lastRenderedPageBreak/>
        <w:t>Wards that primarily host patients who are medically fit for discharge and awaiting discharge care packages</w:t>
      </w:r>
    </w:p>
    <w:p w14:paraId="7AFF5602" w14:textId="77777777" w:rsidR="00A272EE" w:rsidRPr="004267D0" w:rsidRDefault="00A272EE" w:rsidP="00A272EE">
      <w:pPr>
        <w:pStyle w:val="ListParagraph"/>
        <w:numPr>
          <w:ilvl w:val="0"/>
          <w:numId w:val="1"/>
        </w:numPr>
        <w:spacing w:line="480" w:lineRule="auto"/>
        <w:rPr>
          <w:rFonts w:eastAsia="Calibri"/>
        </w:rPr>
      </w:pPr>
      <w:r w:rsidRPr="004267D0">
        <w:rPr>
          <w:rFonts w:eastAsia="Calibri"/>
        </w:rPr>
        <w:t>Hospitals without a ward-based pharmacy service</w:t>
      </w:r>
    </w:p>
    <w:p w14:paraId="30938D8D" w14:textId="77777777" w:rsidR="00A272EE" w:rsidRPr="004267D0" w:rsidRDefault="00A272EE" w:rsidP="00A272EE">
      <w:pPr>
        <w:pStyle w:val="ListParagraph"/>
        <w:numPr>
          <w:ilvl w:val="0"/>
          <w:numId w:val="1"/>
        </w:numPr>
        <w:spacing w:line="480" w:lineRule="auto"/>
        <w:rPr>
          <w:rFonts w:eastAsia="Calibri"/>
        </w:rPr>
      </w:pPr>
      <w:r w:rsidRPr="057C832C">
        <w:rPr>
          <w:rFonts w:eastAsia="Calibri"/>
        </w:rPr>
        <w:t>Mental health hospitals</w:t>
      </w:r>
    </w:p>
    <w:p w14:paraId="27AA39C2" w14:textId="77777777" w:rsidR="00A272EE" w:rsidRDefault="00A272EE" w:rsidP="00A272EE">
      <w:pPr>
        <w:pStyle w:val="ListParagraph"/>
        <w:numPr>
          <w:ilvl w:val="0"/>
          <w:numId w:val="1"/>
        </w:numPr>
        <w:spacing w:line="480" w:lineRule="auto"/>
        <w:rPr>
          <w:rFonts w:eastAsia="Calibri"/>
        </w:rPr>
      </w:pPr>
      <w:r w:rsidRPr="44DC2DAD">
        <w:rPr>
          <w:rFonts w:eastAsia="Calibri"/>
        </w:rPr>
        <w:t>Hospitals that implemented the intervention in the feasibility study</w:t>
      </w:r>
    </w:p>
    <w:p w14:paraId="487691A8" w14:textId="77777777" w:rsidR="00A272EE" w:rsidRPr="004267D0" w:rsidRDefault="00A272EE" w:rsidP="00B658B8">
      <w:pPr>
        <w:spacing w:after="0" w:line="480" w:lineRule="auto"/>
        <w:contextualSpacing/>
        <w:rPr>
          <w:b/>
          <w:bCs/>
        </w:rPr>
      </w:pPr>
      <w:r w:rsidRPr="004267D0">
        <w:rPr>
          <w:b/>
          <w:bCs/>
        </w:rPr>
        <w:t>Practitioners</w:t>
      </w:r>
    </w:p>
    <w:p w14:paraId="07BEAD21" w14:textId="77777777" w:rsidR="00A272EE" w:rsidRPr="004267D0" w:rsidRDefault="00A272EE" w:rsidP="00B658B8">
      <w:pPr>
        <w:spacing w:after="0" w:line="480" w:lineRule="auto"/>
        <w:contextualSpacing/>
      </w:pPr>
      <w:r w:rsidRPr="004267D0">
        <w:t>Inclusion Criteria:</w:t>
      </w:r>
    </w:p>
    <w:p w14:paraId="39048F53" w14:textId="77777777" w:rsidR="00A272EE" w:rsidRPr="004267D0" w:rsidRDefault="00A272EE" w:rsidP="00A272EE">
      <w:pPr>
        <w:pStyle w:val="ListParagraph"/>
        <w:numPr>
          <w:ilvl w:val="0"/>
          <w:numId w:val="3"/>
        </w:numPr>
        <w:spacing w:after="0" w:line="480" w:lineRule="auto"/>
      </w:pPr>
      <w:r>
        <w:t>Consultant geriatrician or specialist registrar and appropriately qualified pharmacists working across Older People’s Medicine wards</w:t>
      </w:r>
    </w:p>
    <w:p w14:paraId="7EFB2FCD" w14:textId="77777777" w:rsidR="00A272EE" w:rsidRPr="007E45B5" w:rsidRDefault="00A272EE" w:rsidP="00B658B8">
      <w:pPr>
        <w:spacing w:after="0" w:line="480" w:lineRule="auto"/>
        <w:contextualSpacing/>
      </w:pPr>
      <w:r w:rsidRPr="004267D0">
        <w:t>Exclusion Criteria:</w:t>
      </w:r>
    </w:p>
    <w:p w14:paraId="0565C4B6" w14:textId="77777777" w:rsidR="00A272EE" w:rsidRPr="007E45B5" w:rsidRDefault="00A272EE" w:rsidP="00A272EE">
      <w:pPr>
        <w:pStyle w:val="ListParagraph"/>
        <w:numPr>
          <w:ilvl w:val="0"/>
          <w:numId w:val="3"/>
        </w:numPr>
        <w:spacing w:after="0" w:line="480" w:lineRule="auto"/>
        <w:rPr>
          <w:rStyle w:val="normaltextrun"/>
        </w:rPr>
      </w:pPr>
      <w:r w:rsidRPr="007E45B5">
        <w:rPr>
          <w:rStyle w:val="normaltextrun"/>
        </w:rPr>
        <w:t>Less than 0.3 </w:t>
      </w:r>
      <w:r>
        <w:rPr>
          <w:rStyle w:val="normaltextrun"/>
        </w:rPr>
        <w:t>whole time equivalent</w:t>
      </w:r>
      <w:r w:rsidRPr="007E45B5">
        <w:rPr>
          <w:rStyle w:val="normaltextrun"/>
        </w:rPr>
        <w:t> of ward-based time for pharmacists</w:t>
      </w:r>
    </w:p>
    <w:p w14:paraId="2C3829B3" w14:textId="77777777" w:rsidR="00A272EE" w:rsidRDefault="00A272EE" w:rsidP="00B658B8">
      <w:pPr>
        <w:spacing w:after="0" w:line="480" w:lineRule="auto"/>
        <w:contextualSpacing/>
        <w:rPr>
          <w:b/>
          <w:bCs/>
        </w:rPr>
      </w:pPr>
    </w:p>
    <w:p w14:paraId="01A4789F" w14:textId="77777777" w:rsidR="00A272EE" w:rsidRPr="009752D8" w:rsidRDefault="00A272EE" w:rsidP="00065720">
      <w:pPr>
        <w:shd w:val="clear" w:color="auto" w:fill="FFFFFF" w:themeFill="background1"/>
        <w:spacing w:after="0" w:line="480" w:lineRule="auto"/>
        <w:contextualSpacing/>
        <w:jc w:val="left"/>
        <w:rPr>
          <w:rFonts w:asciiTheme="minorHAnsi" w:eastAsia="Times New Roman" w:hAnsiTheme="minorHAnsi" w:cstheme="minorHAnsi"/>
          <w:shd w:val="clear" w:color="auto" w:fill="auto"/>
          <w:lang w:eastAsia="en-GB"/>
        </w:rPr>
      </w:pPr>
      <w:r>
        <w:rPr>
          <w:rFonts w:asciiTheme="minorHAnsi" w:eastAsia="Times New Roman" w:hAnsiTheme="minorHAnsi" w:cstheme="minorBidi"/>
          <w:b/>
          <w:bCs/>
          <w:kern w:val="36"/>
          <w:shd w:val="clear" w:color="auto" w:fill="auto"/>
          <w:lang w:eastAsia="en-GB"/>
        </w:rPr>
        <w:t>Who will take informed consent?</w:t>
      </w:r>
    </w:p>
    <w:p w14:paraId="1DB40EE8" w14:textId="7B6B0579" w:rsidR="00A272EE" w:rsidRDefault="00A272EE" w:rsidP="00065720">
      <w:pPr>
        <w:shd w:val="clear" w:color="auto" w:fill="FFFFFF"/>
        <w:spacing w:after="0" w:line="480" w:lineRule="auto"/>
        <w:contextualSpacing/>
        <w:jc w:val="left"/>
        <w:rPr>
          <w:rFonts w:asciiTheme="minorHAnsi" w:eastAsia="Times New Roman" w:hAnsiTheme="minorHAnsi" w:cstheme="minorHAnsi"/>
          <w:shd w:val="clear" w:color="auto" w:fill="auto"/>
          <w:lang w:eastAsia="en-GB"/>
        </w:rPr>
      </w:pPr>
      <w:r w:rsidRPr="00C54803">
        <w:rPr>
          <w:rFonts w:asciiTheme="minorHAnsi" w:eastAsia="Times New Roman" w:hAnsiTheme="minorHAnsi" w:cstheme="minorBidi"/>
          <w:shd w:val="clear" w:color="auto" w:fill="auto"/>
          <w:lang w:eastAsia="en-GB"/>
        </w:rPr>
        <w:t>Hospitals will be recruited to participate through the NIHR Research</w:t>
      </w:r>
      <w:r>
        <w:rPr>
          <w:rFonts w:asciiTheme="minorHAnsi" w:eastAsia="Times New Roman" w:hAnsiTheme="minorHAnsi" w:cstheme="minorBidi"/>
          <w:shd w:val="clear" w:color="auto" w:fill="auto"/>
          <w:lang w:eastAsia="en-GB"/>
        </w:rPr>
        <w:t xml:space="preserve"> Delivery</w:t>
      </w:r>
      <w:r w:rsidRPr="00C54803">
        <w:rPr>
          <w:rFonts w:asciiTheme="minorHAnsi" w:eastAsia="Times New Roman" w:hAnsiTheme="minorHAnsi" w:cstheme="minorBidi"/>
          <w:shd w:val="clear" w:color="auto" w:fill="auto"/>
          <w:lang w:eastAsia="en-GB"/>
        </w:rPr>
        <w:t xml:space="preserve"> Network (</w:t>
      </w:r>
      <w:r>
        <w:rPr>
          <w:rFonts w:asciiTheme="minorHAnsi" w:eastAsia="Times New Roman" w:hAnsiTheme="minorHAnsi" w:cstheme="minorBidi"/>
          <w:shd w:val="clear" w:color="auto" w:fill="auto"/>
          <w:lang w:eastAsia="en-GB"/>
        </w:rPr>
        <w:t>RDN</w:t>
      </w:r>
      <w:r w:rsidRPr="00C54803">
        <w:rPr>
          <w:rFonts w:asciiTheme="minorHAnsi" w:eastAsia="Times New Roman" w:hAnsiTheme="minorHAnsi" w:cstheme="minorBidi"/>
          <w:shd w:val="clear" w:color="auto" w:fill="auto"/>
          <w:lang w:eastAsia="en-GB"/>
        </w:rPr>
        <w:t>) in England</w:t>
      </w:r>
      <w:r>
        <w:rPr>
          <w:rFonts w:asciiTheme="minorHAnsi" w:eastAsia="Times New Roman" w:hAnsiTheme="minorHAnsi" w:cstheme="minorBidi"/>
          <w:shd w:val="clear" w:color="auto" w:fill="auto"/>
          <w:lang w:eastAsia="en-GB"/>
        </w:rPr>
        <w:t>.</w:t>
      </w:r>
      <w:r>
        <w:rPr>
          <w:rFonts w:asciiTheme="minorHAnsi" w:eastAsia="Times New Roman" w:hAnsiTheme="minorHAnsi" w:cstheme="minorBidi"/>
          <w:noProof/>
          <w:shd w:val="clear" w:color="auto" w:fill="auto"/>
          <w:lang w:eastAsia="en-GB"/>
        </w:rPr>
        <w:t xml:space="preserve"> </w:t>
      </w:r>
      <w:r w:rsidR="00EB7A91">
        <w:rPr>
          <w:rFonts w:asciiTheme="minorHAnsi" w:eastAsia="Times New Roman" w:hAnsiTheme="minorHAnsi" w:cstheme="minorBidi"/>
          <w:noProof/>
          <w:shd w:val="clear" w:color="auto" w:fill="auto"/>
          <w:lang w:eastAsia="en-GB"/>
        </w:rPr>
        <w:t>[</w:t>
      </w:r>
      <w:r>
        <w:rPr>
          <w:rFonts w:asciiTheme="minorHAnsi" w:eastAsia="Times New Roman" w:hAnsiTheme="minorHAnsi" w:cstheme="minorBidi"/>
          <w:noProof/>
          <w:shd w:val="clear" w:color="auto" w:fill="auto"/>
          <w:lang w:eastAsia="en-GB"/>
        </w:rPr>
        <w:t>17</w:t>
      </w:r>
      <w:r w:rsidR="00EB7A91">
        <w:rPr>
          <w:rFonts w:asciiTheme="minorHAnsi" w:eastAsia="Times New Roman" w:hAnsiTheme="minorHAnsi" w:cstheme="minorBidi"/>
          <w:noProof/>
          <w:shd w:val="clear" w:color="auto" w:fill="auto"/>
          <w:lang w:eastAsia="en-GB"/>
        </w:rPr>
        <w:t>]</w:t>
      </w:r>
      <w:r>
        <w:rPr>
          <w:rFonts w:asciiTheme="minorHAnsi" w:eastAsia="Times New Roman" w:hAnsiTheme="minorHAnsi" w:cstheme="minorBidi"/>
          <w:shd w:val="clear" w:color="auto" w:fill="auto"/>
          <w:lang w:eastAsia="en-GB"/>
        </w:rPr>
        <w:t xml:space="preserve"> </w:t>
      </w:r>
      <w:r w:rsidRPr="00C54803">
        <w:rPr>
          <w:rFonts w:asciiTheme="minorHAnsi" w:eastAsia="Times New Roman" w:hAnsiTheme="minorHAnsi" w:cstheme="minorBidi"/>
          <w:shd w:val="clear" w:color="auto" w:fill="auto"/>
          <w:lang w:eastAsia="en-GB"/>
        </w:rPr>
        <w:t>Funding to incentivise participation</w:t>
      </w:r>
      <w:r>
        <w:rPr>
          <w:rFonts w:asciiTheme="minorHAnsi" w:eastAsia="Times New Roman" w:hAnsiTheme="minorHAnsi" w:cstheme="minorBidi"/>
          <w:shd w:val="clear" w:color="auto" w:fill="auto"/>
          <w:lang w:eastAsia="en-GB"/>
        </w:rPr>
        <w:t xml:space="preserve"> within hospitals</w:t>
      </w:r>
      <w:r w:rsidRPr="00C54803">
        <w:rPr>
          <w:rFonts w:asciiTheme="minorHAnsi" w:eastAsia="Times New Roman" w:hAnsiTheme="minorHAnsi" w:cstheme="minorBidi"/>
          <w:shd w:val="clear" w:color="auto" w:fill="auto"/>
          <w:lang w:eastAsia="en-GB"/>
        </w:rPr>
        <w:t xml:space="preserve"> is provided nationally and based on the number of </w:t>
      </w:r>
      <w:r>
        <w:rPr>
          <w:rFonts w:asciiTheme="minorHAnsi" w:eastAsia="Times New Roman" w:hAnsiTheme="minorHAnsi" w:cstheme="minorBidi"/>
          <w:shd w:val="clear" w:color="auto" w:fill="auto"/>
          <w:lang w:eastAsia="en-GB"/>
        </w:rPr>
        <w:t>enrolled</w:t>
      </w:r>
      <w:r w:rsidRPr="00C54803">
        <w:rPr>
          <w:rFonts w:asciiTheme="minorHAnsi" w:eastAsia="Times New Roman" w:hAnsiTheme="minorHAnsi" w:cstheme="minorBidi"/>
          <w:shd w:val="clear" w:color="auto" w:fill="auto"/>
          <w:lang w:eastAsia="en-GB"/>
        </w:rPr>
        <w:t xml:space="preserve"> patients</w:t>
      </w:r>
      <w:r>
        <w:rPr>
          <w:rFonts w:asciiTheme="minorHAnsi" w:eastAsia="Times New Roman" w:hAnsiTheme="minorHAnsi" w:cstheme="minorBidi"/>
          <w:shd w:val="clear" w:color="auto" w:fill="auto"/>
          <w:lang w:eastAsia="en-GB"/>
        </w:rPr>
        <w:t xml:space="preserve">. </w:t>
      </w:r>
      <w:r w:rsidRPr="00C54803">
        <w:rPr>
          <w:rFonts w:asciiTheme="minorHAnsi" w:eastAsia="Times New Roman" w:hAnsiTheme="minorHAnsi" w:cstheme="minorBidi"/>
          <w:shd w:val="clear" w:color="auto" w:fill="auto"/>
          <w:lang w:eastAsia="en-GB"/>
        </w:rPr>
        <w:t xml:space="preserve">Consent for </w:t>
      </w:r>
      <w:r>
        <w:rPr>
          <w:rFonts w:asciiTheme="minorHAnsi" w:eastAsia="Times New Roman" w:hAnsiTheme="minorHAnsi" w:cstheme="minorBidi"/>
          <w:shd w:val="clear" w:color="auto" w:fill="auto"/>
          <w:lang w:eastAsia="en-GB"/>
        </w:rPr>
        <w:t>geriatricians and pharmacists</w:t>
      </w:r>
      <w:r w:rsidRPr="00C54803">
        <w:rPr>
          <w:rFonts w:asciiTheme="minorHAnsi" w:eastAsia="Times New Roman" w:hAnsiTheme="minorHAnsi" w:cstheme="minorBidi"/>
          <w:shd w:val="clear" w:color="auto" w:fill="auto"/>
          <w:lang w:eastAsia="en-GB"/>
        </w:rPr>
        <w:t xml:space="preserve"> to participate will be taken by the central research team within the Norwich Clinical Trials Unit (NCTU)</w:t>
      </w:r>
      <w:r>
        <w:rPr>
          <w:rFonts w:asciiTheme="minorHAnsi" w:eastAsia="Times New Roman" w:hAnsiTheme="minorHAnsi" w:cstheme="minorBidi"/>
          <w:shd w:val="clear" w:color="auto" w:fill="auto"/>
          <w:lang w:eastAsia="en-GB"/>
        </w:rPr>
        <w:t xml:space="preserve">. </w:t>
      </w:r>
    </w:p>
    <w:p w14:paraId="3ADDFC1B" w14:textId="77777777" w:rsidR="00A272EE" w:rsidRPr="009752D8" w:rsidRDefault="00A272EE" w:rsidP="00065720">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Pr>
          <w:rFonts w:asciiTheme="minorHAnsi" w:eastAsia="Times New Roman" w:hAnsiTheme="minorHAnsi" w:cstheme="minorBidi"/>
          <w:shd w:val="clear" w:color="auto" w:fill="auto"/>
          <w:lang w:eastAsia="en-GB"/>
        </w:rPr>
        <w:t>C</w:t>
      </w:r>
      <w:r w:rsidRPr="057C832C">
        <w:rPr>
          <w:rFonts w:asciiTheme="minorHAnsi" w:eastAsia="Times New Roman" w:hAnsiTheme="minorHAnsi" w:cstheme="minorBidi"/>
          <w:shd w:val="clear" w:color="auto" w:fill="auto"/>
          <w:lang w:eastAsia="en-GB"/>
        </w:rPr>
        <w:t xml:space="preserve">onsent for patients to provide non-routinely collected data for the enhanced data collection periods will be undertaken by local research nurses or members of the healthcare team with the relevant training in obtaining informed consent for research purposes. </w:t>
      </w:r>
      <w:r>
        <w:rPr>
          <w:rFonts w:asciiTheme="minorHAnsi" w:eastAsia="Times New Roman" w:hAnsiTheme="minorHAnsi" w:cstheme="minorBidi"/>
          <w:shd w:val="clear" w:color="auto" w:fill="auto"/>
          <w:lang w:eastAsia="en-GB"/>
        </w:rPr>
        <w:t xml:space="preserve">These individuals will usually be employed by the RDN. </w:t>
      </w:r>
      <w:r w:rsidRPr="057C832C">
        <w:rPr>
          <w:rFonts w:asciiTheme="minorHAnsi" w:eastAsia="Times New Roman" w:hAnsiTheme="minorHAnsi" w:cstheme="minorBidi"/>
          <w:shd w:val="clear" w:color="auto" w:fill="auto"/>
          <w:lang w:eastAsia="en-GB"/>
        </w:rPr>
        <w:t xml:space="preserve">Any patients deemed inappropriate by the </w:t>
      </w:r>
      <w:r>
        <w:rPr>
          <w:rFonts w:asciiTheme="minorHAnsi" w:eastAsia="Times New Roman" w:hAnsiTheme="minorHAnsi" w:cstheme="minorBidi"/>
          <w:shd w:val="clear" w:color="auto" w:fill="auto"/>
          <w:lang w:eastAsia="en-GB"/>
        </w:rPr>
        <w:t xml:space="preserve">research nurses or members of the healthcare team, </w:t>
      </w:r>
      <w:r w:rsidRPr="057C832C">
        <w:rPr>
          <w:rFonts w:asciiTheme="minorHAnsi" w:eastAsia="Times New Roman" w:hAnsiTheme="minorHAnsi" w:cstheme="minorBidi"/>
          <w:shd w:val="clear" w:color="auto" w:fill="auto"/>
          <w:lang w:eastAsia="en-GB"/>
        </w:rPr>
        <w:t>such as those lacking capacity or near end of life</w:t>
      </w:r>
      <w:r>
        <w:rPr>
          <w:rFonts w:asciiTheme="minorHAnsi" w:eastAsia="Times New Roman" w:hAnsiTheme="minorHAnsi" w:cstheme="minorBidi"/>
          <w:shd w:val="clear" w:color="auto" w:fill="auto"/>
          <w:lang w:eastAsia="en-GB"/>
        </w:rPr>
        <w:t>,</w:t>
      </w:r>
      <w:r w:rsidRPr="057C832C">
        <w:rPr>
          <w:rFonts w:asciiTheme="minorHAnsi" w:eastAsia="Times New Roman" w:hAnsiTheme="minorHAnsi" w:cstheme="minorBidi"/>
          <w:shd w:val="clear" w:color="auto" w:fill="auto"/>
          <w:lang w:eastAsia="en-GB"/>
        </w:rPr>
        <w:t xml:space="preserve"> will not be </w:t>
      </w:r>
      <w:r>
        <w:rPr>
          <w:rFonts w:asciiTheme="minorHAnsi" w:eastAsia="Times New Roman" w:hAnsiTheme="minorHAnsi" w:cstheme="minorBidi"/>
          <w:shd w:val="clear" w:color="auto" w:fill="auto"/>
          <w:lang w:eastAsia="en-GB"/>
        </w:rPr>
        <w:t>consented</w:t>
      </w:r>
      <w:r w:rsidRPr="057C832C">
        <w:rPr>
          <w:rFonts w:asciiTheme="minorHAnsi" w:eastAsia="Times New Roman" w:hAnsiTheme="minorHAnsi" w:cstheme="minorBidi"/>
          <w:shd w:val="clear" w:color="auto" w:fill="auto"/>
          <w:lang w:eastAsia="en-GB"/>
        </w:rPr>
        <w:t xml:space="preserve">. </w:t>
      </w:r>
    </w:p>
    <w:p w14:paraId="1154723D" w14:textId="77777777" w:rsidR="00A272EE" w:rsidRPr="004739D4" w:rsidRDefault="00A272EE" w:rsidP="057C832C">
      <w:pPr>
        <w:shd w:val="clear" w:color="auto" w:fill="FFFFFF" w:themeFill="background1"/>
        <w:spacing w:after="0" w:line="480" w:lineRule="auto"/>
        <w:contextualSpacing/>
        <w:jc w:val="left"/>
        <w:rPr>
          <w:rFonts w:asciiTheme="minorHAnsi" w:eastAsia="Times New Roman" w:hAnsiTheme="minorHAnsi" w:cstheme="minorBidi"/>
          <w:b/>
          <w:bCs/>
          <w:kern w:val="36"/>
          <w:sz w:val="24"/>
          <w:szCs w:val="24"/>
          <w:shd w:val="clear" w:color="auto" w:fill="auto"/>
          <w:lang w:eastAsia="en-GB"/>
        </w:rPr>
      </w:pPr>
      <w:r w:rsidRPr="004739D4">
        <w:rPr>
          <w:rFonts w:asciiTheme="minorHAnsi" w:eastAsia="Times New Roman" w:hAnsiTheme="minorHAnsi" w:cstheme="minorBidi"/>
          <w:b/>
          <w:bCs/>
          <w:kern w:val="36"/>
          <w:sz w:val="24"/>
          <w:szCs w:val="24"/>
          <w:shd w:val="clear" w:color="auto" w:fill="auto"/>
          <w:lang w:eastAsia="en-GB"/>
        </w:rPr>
        <w:t>Interventions</w:t>
      </w:r>
    </w:p>
    <w:p w14:paraId="6FAF5A36" w14:textId="77777777" w:rsidR="00A272EE" w:rsidRPr="004267D0" w:rsidRDefault="00A272EE" w:rsidP="057C832C">
      <w:pPr>
        <w:shd w:val="clear" w:color="auto" w:fill="FFFFFF" w:themeFill="background1"/>
        <w:spacing w:after="0" w:line="480" w:lineRule="auto"/>
        <w:contextualSpacing/>
        <w:jc w:val="left"/>
        <w:rPr>
          <w:rFonts w:asciiTheme="minorHAnsi" w:eastAsia="Times New Roman" w:hAnsiTheme="minorHAnsi" w:cstheme="minorBidi"/>
          <w:b/>
          <w:bCs/>
          <w:kern w:val="36"/>
          <w:shd w:val="clear" w:color="auto" w:fill="auto"/>
          <w:lang w:eastAsia="en-GB"/>
        </w:rPr>
      </w:pPr>
      <w:r>
        <w:rPr>
          <w:rFonts w:asciiTheme="minorHAnsi" w:eastAsia="Times New Roman" w:hAnsiTheme="minorHAnsi" w:cstheme="minorBidi"/>
          <w:b/>
          <w:bCs/>
          <w:kern w:val="36"/>
          <w:shd w:val="clear" w:color="auto" w:fill="auto"/>
          <w:lang w:eastAsia="en-GB"/>
        </w:rPr>
        <w:t>Explanation for the choice of comparators</w:t>
      </w:r>
    </w:p>
    <w:p w14:paraId="3524B178" w14:textId="77777777" w:rsidR="00A272EE" w:rsidRPr="004267D0" w:rsidRDefault="00A272EE" w:rsidP="2CAD7983">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2CAD7983">
        <w:rPr>
          <w:rFonts w:asciiTheme="minorHAnsi" w:eastAsia="Times New Roman" w:hAnsiTheme="minorHAnsi" w:cstheme="minorBidi"/>
          <w:shd w:val="clear" w:color="auto" w:fill="auto"/>
          <w:lang w:eastAsia="en-GB"/>
        </w:rPr>
        <w:lastRenderedPageBreak/>
        <w:t>The control steps will consist of the provision of usual care for older people admitted to participating older people’s medicine wards.</w:t>
      </w:r>
    </w:p>
    <w:p w14:paraId="67065E08" w14:textId="77777777" w:rsidR="00A272EE" w:rsidRPr="004267D0" w:rsidRDefault="00A272EE" w:rsidP="00196B9D">
      <w:pPr>
        <w:shd w:val="clear" w:color="auto" w:fill="FFFFFF"/>
        <w:spacing w:after="0" w:line="480" w:lineRule="auto"/>
        <w:contextualSpacing/>
        <w:jc w:val="left"/>
        <w:rPr>
          <w:rFonts w:asciiTheme="minorHAnsi" w:eastAsia="Times New Roman" w:hAnsiTheme="minorHAnsi" w:cstheme="minorHAnsi"/>
          <w:shd w:val="clear" w:color="auto" w:fill="auto"/>
          <w:lang w:eastAsia="en-GB"/>
        </w:rPr>
      </w:pPr>
      <w:r w:rsidRPr="004267D0">
        <w:rPr>
          <w:rFonts w:asciiTheme="minorHAnsi" w:eastAsia="Times New Roman" w:hAnsiTheme="minorHAnsi" w:cstheme="minorHAnsi"/>
          <w:b/>
          <w:bCs/>
          <w:shd w:val="clear" w:color="auto" w:fill="auto"/>
          <w:lang w:eastAsia="en-GB"/>
        </w:rPr>
        <w:t>Intervention description</w:t>
      </w:r>
    </w:p>
    <w:p w14:paraId="7A523E95" w14:textId="3693FB55" w:rsidR="00A272EE" w:rsidRDefault="00A272EE" w:rsidP="00FE330C">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3484A250">
        <w:rPr>
          <w:rFonts w:asciiTheme="minorHAnsi" w:eastAsia="Times New Roman" w:hAnsiTheme="minorHAnsi" w:cstheme="minorBidi"/>
          <w:shd w:val="clear" w:color="auto" w:fill="auto"/>
          <w:lang w:eastAsia="en-GB"/>
        </w:rPr>
        <w:t>The intervention is summarised in the background and described in detail in a separate publication.</w:t>
      </w:r>
      <w:r>
        <w:rPr>
          <w:rFonts w:asciiTheme="minorHAnsi" w:eastAsia="Times New Roman" w:hAnsiTheme="minorHAnsi" w:cstheme="minorBidi"/>
          <w:noProof/>
          <w:shd w:val="clear" w:color="auto" w:fill="auto"/>
          <w:lang w:eastAsia="en-GB"/>
        </w:rPr>
        <w:t xml:space="preserve"> </w:t>
      </w:r>
      <w:r w:rsidR="00E60215">
        <w:rPr>
          <w:rFonts w:asciiTheme="minorHAnsi" w:eastAsia="Times New Roman" w:hAnsiTheme="minorHAnsi" w:cstheme="minorBidi"/>
          <w:noProof/>
          <w:shd w:val="clear" w:color="auto" w:fill="auto"/>
          <w:lang w:eastAsia="en-GB"/>
        </w:rPr>
        <w:t>[</w:t>
      </w:r>
      <w:r>
        <w:rPr>
          <w:rFonts w:asciiTheme="minorHAnsi" w:eastAsia="Times New Roman" w:hAnsiTheme="minorHAnsi" w:cstheme="minorBidi"/>
          <w:noProof/>
          <w:shd w:val="clear" w:color="auto" w:fill="auto"/>
          <w:lang w:eastAsia="en-GB"/>
        </w:rPr>
        <w:t>10</w:t>
      </w:r>
      <w:r w:rsidR="00E60215">
        <w:rPr>
          <w:rFonts w:asciiTheme="minorHAnsi" w:eastAsia="Times New Roman" w:hAnsiTheme="minorHAnsi" w:cstheme="minorBidi"/>
          <w:noProof/>
          <w:shd w:val="clear" w:color="auto" w:fill="auto"/>
          <w:lang w:eastAsia="en-GB"/>
        </w:rPr>
        <w:t>]</w:t>
      </w:r>
      <w:r w:rsidRPr="3484A250">
        <w:rPr>
          <w:rFonts w:asciiTheme="minorHAnsi" w:eastAsia="Times New Roman" w:hAnsiTheme="minorHAnsi" w:cstheme="minorBidi"/>
          <w:shd w:val="clear" w:color="auto" w:fill="auto"/>
          <w:lang w:eastAsia="en-GB"/>
        </w:rPr>
        <w:t xml:space="preserve"> The action plan and geriatrician and pharmacis</w:t>
      </w:r>
      <w:r w:rsidRPr="3484A250">
        <w:rPr>
          <w:rFonts w:asciiTheme="minorHAnsi" w:eastAsia="Times New Roman" w:hAnsiTheme="minorHAnsi" w:cstheme="minorBidi"/>
          <w:lang w:eastAsia="en-GB"/>
        </w:rPr>
        <w:t>t</w:t>
      </w:r>
      <w:r w:rsidRPr="3484A250">
        <w:rPr>
          <w:rFonts w:asciiTheme="minorHAnsi" w:eastAsia="Times New Roman" w:hAnsiTheme="minorHAnsi" w:cstheme="minorBidi"/>
          <w:shd w:val="clear" w:color="auto" w:fill="auto"/>
          <w:lang w:eastAsia="en-GB"/>
        </w:rPr>
        <w:t xml:space="preserve"> workshops will be delivered during the three-month </w:t>
      </w:r>
      <w:r w:rsidRPr="3484A250">
        <w:rPr>
          <w:rFonts w:asciiTheme="minorHAnsi" w:eastAsia="Times New Roman" w:hAnsiTheme="minorHAnsi" w:cstheme="minorBidi"/>
          <w:lang w:eastAsia="en-GB"/>
        </w:rPr>
        <w:t>implementation</w:t>
      </w:r>
      <w:r w:rsidRPr="3484A250">
        <w:rPr>
          <w:rFonts w:asciiTheme="minorHAnsi" w:eastAsia="Times New Roman" w:hAnsiTheme="minorHAnsi" w:cstheme="minorBidi"/>
          <w:shd w:val="clear" w:color="auto" w:fill="auto"/>
          <w:lang w:eastAsia="en-GB"/>
        </w:rPr>
        <w:t xml:space="preserve"> phase. The weekly briefings and benchmarking reports will occur throughout the active intervention phase. </w:t>
      </w:r>
    </w:p>
    <w:p w14:paraId="36CBC290" w14:textId="77777777" w:rsidR="00A272EE" w:rsidRDefault="00A272EE" w:rsidP="00FE330C">
      <w:pPr>
        <w:shd w:val="clear" w:color="auto" w:fill="FFFFFF" w:themeFill="background1"/>
        <w:spacing w:after="0" w:line="480" w:lineRule="auto"/>
        <w:contextualSpacing/>
        <w:jc w:val="left"/>
        <w:rPr>
          <w:rFonts w:asciiTheme="minorHAnsi" w:eastAsia="Times New Roman" w:hAnsiTheme="minorHAnsi" w:cstheme="minorBidi"/>
          <w:b/>
          <w:bCs/>
          <w:shd w:val="clear" w:color="auto" w:fill="auto"/>
          <w:lang w:eastAsia="en-GB"/>
        </w:rPr>
      </w:pPr>
      <w:r w:rsidRPr="004739D4">
        <w:rPr>
          <w:rFonts w:asciiTheme="minorHAnsi" w:eastAsia="Times New Roman" w:hAnsiTheme="minorHAnsi" w:cstheme="minorBidi"/>
          <w:b/>
          <w:bCs/>
          <w:shd w:val="clear" w:color="auto" w:fill="auto"/>
          <w:lang w:eastAsia="en-GB"/>
        </w:rPr>
        <w:t>Criteria for discontinuing or modifying allocated interventions</w:t>
      </w:r>
      <w:r>
        <w:rPr>
          <w:rFonts w:asciiTheme="minorHAnsi" w:eastAsia="Times New Roman" w:hAnsiTheme="minorHAnsi" w:cstheme="minorBidi"/>
          <w:b/>
          <w:bCs/>
          <w:shd w:val="clear" w:color="auto" w:fill="auto"/>
          <w:lang w:eastAsia="en-GB"/>
        </w:rPr>
        <w:t xml:space="preserve"> </w:t>
      </w:r>
    </w:p>
    <w:p w14:paraId="41F3F15E" w14:textId="77777777" w:rsidR="00A272EE" w:rsidRPr="004267D0" w:rsidRDefault="00A272EE" w:rsidP="00FE330C">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3484A250">
        <w:rPr>
          <w:rFonts w:asciiTheme="minorHAnsi" w:eastAsia="Times New Roman" w:hAnsiTheme="minorHAnsi" w:cstheme="minorBidi"/>
          <w:shd w:val="clear" w:color="auto" w:fill="auto"/>
          <w:lang w:eastAsia="en-GB"/>
        </w:rPr>
        <w:t>There are no plans to discontinue or modify any elements of the intervention</w:t>
      </w:r>
      <w:r>
        <w:rPr>
          <w:rFonts w:asciiTheme="minorHAnsi" w:eastAsia="Times New Roman" w:hAnsiTheme="minorHAnsi" w:cstheme="minorBidi"/>
          <w:shd w:val="clear" w:color="auto" w:fill="auto"/>
          <w:lang w:eastAsia="en-GB"/>
        </w:rPr>
        <w:t xml:space="preserve"> as the trial progresses</w:t>
      </w:r>
      <w:r w:rsidRPr="3484A250">
        <w:rPr>
          <w:rFonts w:asciiTheme="minorHAnsi" w:eastAsia="Times New Roman" w:hAnsiTheme="minorHAnsi" w:cstheme="minorBidi"/>
          <w:shd w:val="clear" w:color="auto" w:fill="auto"/>
          <w:lang w:eastAsia="en-GB"/>
        </w:rPr>
        <w:t>.</w:t>
      </w:r>
    </w:p>
    <w:p w14:paraId="24A87F0C" w14:textId="77777777" w:rsidR="00A272EE" w:rsidRPr="004267D0" w:rsidRDefault="00A272EE" w:rsidP="00FE330C">
      <w:pPr>
        <w:shd w:val="clear" w:color="auto" w:fill="FFFFFF"/>
        <w:spacing w:after="0" w:line="480" w:lineRule="auto"/>
        <w:contextualSpacing/>
        <w:jc w:val="left"/>
        <w:rPr>
          <w:rFonts w:asciiTheme="minorHAnsi" w:eastAsia="Times New Roman" w:hAnsiTheme="minorHAnsi" w:cstheme="minorHAnsi"/>
          <w:b/>
          <w:bCs/>
          <w:shd w:val="clear" w:color="auto" w:fill="auto"/>
          <w:lang w:eastAsia="en-GB"/>
        </w:rPr>
      </w:pPr>
      <w:r w:rsidRPr="004267D0">
        <w:rPr>
          <w:rFonts w:asciiTheme="minorHAnsi" w:eastAsia="Times New Roman" w:hAnsiTheme="minorHAnsi" w:cstheme="minorHAnsi"/>
          <w:b/>
          <w:bCs/>
          <w:shd w:val="clear" w:color="auto" w:fill="auto"/>
          <w:lang w:eastAsia="en-GB"/>
        </w:rPr>
        <w:t>Strategies to improve adherence to</w:t>
      </w:r>
      <w:r>
        <w:rPr>
          <w:rFonts w:asciiTheme="minorHAnsi" w:eastAsia="Times New Roman" w:hAnsiTheme="minorHAnsi" w:cstheme="minorHAnsi"/>
          <w:b/>
          <w:bCs/>
          <w:shd w:val="clear" w:color="auto" w:fill="auto"/>
          <w:lang w:eastAsia="en-GB"/>
        </w:rPr>
        <w:t xml:space="preserve"> the</w:t>
      </w:r>
      <w:r w:rsidRPr="004267D0">
        <w:rPr>
          <w:rFonts w:asciiTheme="minorHAnsi" w:eastAsia="Times New Roman" w:hAnsiTheme="minorHAnsi" w:cstheme="minorHAnsi"/>
          <w:b/>
          <w:bCs/>
          <w:shd w:val="clear" w:color="auto" w:fill="auto"/>
          <w:lang w:eastAsia="en-GB"/>
        </w:rPr>
        <w:t xml:space="preserve"> intervention</w:t>
      </w:r>
      <w:r>
        <w:rPr>
          <w:rFonts w:asciiTheme="minorHAnsi" w:eastAsia="Times New Roman" w:hAnsiTheme="minorHAnsi" w:cstheme="minorHAnsi"/>
          <w:b/>
          <w:bCs/>
          <w:shd w:val="clear" w:color="auto" w:fill="auto"/>
          <w:lang w:eastAsia="en-GB"/>
        </w:rPr>
        <w:t xml:space="preserve"> </w:t>
      </w:r>
    </w:p>
    <w:p w14:paraId="6F1EC54D" w14:textId="77777777" w:rsidR="00A272EE" w:rsidRDefault="00A272EE" w:rsidP="00C72AC5">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44DC2DAD">
        <w:rPr>
          <w:rFonts w:asciiTheme="minorHAnsi" w:eastAsia="Times New Roman" w:hAnsiTheme="minorHAnsi" w:cstheme="minorBidi"/>
          <w:shd w:val="clear" w:color="auto" w:fill="auto"/>
          <w:lang w:eastAsia="en-GB"/>
        </w:rPr>
        <w:t xml:space="preserve">The intervention will be delivered to geriatricians and pharmacists (the target audience) and not patients. </w:t>
      </w:r>
      <w:r w:rsidRPr="004E7DAC">
        <w:rPr>
          <w:rFonts w:asciiTheme="minorHAnsi" w:eastAsia="Times New Roman" w:hAnsiTheme="minorHAnsi" w:cstheme="minorBidi"/>
          <w:shd w:val="clear" w:color="auto" w:fill="auto"/>
          <w:lang w:eastAsia="en-GB"/>
        </w:rPr>
        <w:t xml:space="preserve">The Project Managers have been employed to ensure that the intervention is </w:t>
      </w:r>
      <w:r>
        <w:rPr>
          <w:rFonts w:asciiTheme="minorHAnsi" w:eastAsia="Times New Roman" w:hAnsiTheme="minorHAnsi" w:cstheme="minorBidi"/>
          <w:shd w:val="clear" w:color="auto" w:fill="auto"/>
          <w:lang w:eastAsia="en-GB"/>
        </w:rPr>
        <w:t>implemented</w:t>
      </w:r>
      <w:r w:rsidRPr="004E7DAC">
        <w:rPr>
          <w:rFonts w:asciiTheme="minorHAnsi" w:eastAsia="Times New Roman" w:hAnsiTheme="minorHAnsi" w:cstheme="minorBidi"/>
          <w:shd w:val="clear" w:color="auto" w:fill="auto"/>
          <w:lang w:eastAsia="en-GB"/>
        </w:rPr>
        <w:t xml:space="preserve"> as intended</w:t>
      </w:r>
      <w:r>
        <w:rPr>
          <w:rFonts w:asciiTheme="minorHAnsi" w:eastAsia="Times New Roman" w:hAnsiTheme="minorHAnsi" w:cstheme="minorBidi"/>
          <w:shd w:val="clear" w:color="auto" w:fill="auto"/>
          <w:lang w:eastAsia="en-GB"/>
        </w:rPr>
        <w:t xml:space="preserve"> and </w:t>
      </w:r>
      <w:r w:rsidRPr="004E7DAC">
        <w:rPr>
          <w:rFonts w:asciiTheme="minorHAnsi" w:eastAsia="Times New Roman" w:hAnsiTheme="minorHAnsi" w:cstheme="minorBidi"/>
          <w:shd w:val="clear" w:color="auto" w:fill="auto"/>
          <w:lang w:eastAsia="en-GB"/>
        </w:rPr>
        <w:t xml:space="preserve">in alignment with the Trust’s standard procedures. </w:t>
      </w:r>
      <w:r w:rsidRPr="44DC2DAD">
        <w:rPr>
          <w:rFonts w:asciiTheme="minorHAnsi" w:eastAsia="Times New Roman" w:hAnsiTheme="minorHAnsi" w:cstheme="minorBidi"/>
          <w:shd w:val="clear" w:color="auto" w:fill="auto"/>
          <w:lang w:eastAsia="en-GB"/>
        </w:rPr>
        <w:t xml:space="preserve">Once the trial is </w:t>
      </w:r>
      <w:r w:rsidRPr="44DC2DAD">
        <w:rPr>
          <w:rFonts w:asciiTheme="minorHAnsi" w:eastAsia="Times New Roman" w:hAnsiTheme="minorHAnsi" w:cstheme="minorBidi"/>
          <w:lang w:eastAsia="en-GB"/>
        </w:rPr>
        <w:t>complete, hospitals and</w:t>
      </w:r>
      <w:r w:rsidRPr="44DC2DAD">
        <w:rPr>
          <w:rFonts w:asciiTheme="minorHAnsi" w:eastAsia="Times New Roman" w:hAnsiTheme="minorHAnsi" w:cstheme="minorBidi"/>
          <w:shd w:val="clear" w:color="auto" w:fill="auto"/>
          <w:lang w:eastAsia="en-GB"/>
        </w:rPr>
        <w:t xml:space="preserve"> participating practitioners can decide whether </w:t>
      </w:r>
      <w:r>
        <w:rPr>
          <w:rFonts w:asciiTheme="minorHAnsi" w:eastAsia="Times New Roman" w:hAnsiTheme="minorHAnsi" w:cstheme="minorBidi"/>
          <w:shd w:val="clear" w:color="auto" w:fill="auto"/>
          <w:lang w:eastAsia="en-GB"/>
        </w:rPr>
        <w:t xml:space="preserve">they wish </w:t>
      </w:r>
      <w:r w:rsidRPr="44DC2DAD">
        <w:rPr>
          <w:rFonts w:asciiTheme="minorHAnsi" w:eastAsia="Times New Roman" w:hAnsiTheme="minorHAnsi" w:cstheme="minorBidi"/>
          <w:shd w:val="clear" w:color="auto" w:fill="auto"/>
          <w:lang w:eastAsia="en-GB"/>
        </w:rPr>
        <w:t>to continue with the intervention.</w:t>
      </w:r>
    </w:p>
    <w:p w14:paraId="054AAAC2" w14:textId="63255F81" w:rsidR="00A272EE" w:rsidRPr="004739D4" w:rsidRDefault="00015AAD" w:rsidP="00FE330C">
      <w:pPr>
        <w:shd w:val="clear" w:color="auto" w:fill="FFFFFF" w:themeFill="background1"/>
        <w:spacing w:after="0" w:line="480" w:lineRule="auto"/>
        <w:contextualSpacing/>
        <w:jc w:val="left"/>
        <w:rPr>
          <w:rFonts w:asciiTheme="minorHAnsi" w:eastAsia="Times New Roman" w:hAnsiTheme="minorHAnsi" w:cstheme="minorHAnsi"/>
          <w:b/>
          <w:bCs/>
          <w:color w:val="333333"/>
          <w:shd w:val="clear" w:color="auto" w:fill="auto"/>
          <w:lang w:eastAsia="en-GB"/>
        </w:rPr>
      </w:pPr>
      <w:bookmarkStart w:id="17" w:name="_Hlk201823420"/>
      <w:r>
        <w:rPr>
          <w:rFonts w:asciiTheme="minorHAnsi" w:eastAsia="Times New Roman" w:hAnsiTheme="minorHAnsi" w:cstheme="minorHAnsi"/>
          <w:b/>
          <w:bCs/>
          <w:color w:val="333333"/>
          <w:shd w:val="clear" w:color="auto" w:fill="auto"/>
          <w:lang w:eastAsia="en-GB"/>
        </w:rPr>
        <w:t>R</w:t>
      </w:r>
      <w:r w:rsidR="00A272EE" w:rsidRPr="004739D4">
        <w:rPr>
          <w:rFonts w:asciiTheme="minorHAnsi" w:eastAsia="Times New Roman" w:hAnsiTheme="minorHAnsi" w:cstheme="minorHAnsi"/>
          <w:b/>
          <w:bCs/>
          <w:color w:val="333333"/>
          <w:shd w:val="clear" w:color="auto" w:fill="auto"/>
          <w:lang w:eastAsia="en-GB"/>
        </w:rPr>
        <w:t>elevant concomitant care permitted or prohibited during the trial</w:t>
      </w:r>
      <w:r w:rsidR="00A272EE">
        <w:rPr>
          <w:rFonts w:asciiTheme="minorHAnsi" w:eastAsia="Times New Roman" w:hAnsiTheme="minorHAnsi" w:cstheme="minorHAnsi"/>
          <w:b/>
          <w:bCs/>
          <w:color w:val="333333"/>
          <w:shd w:val="clear" w:color="auto" w:fill="auto"/>
          <w:lang w:eastAsia="en-GB"/>
        </w:rPr>
        <w:t xml:space="preserve"> </w:t>
      </w:r>
    </w:p>
    <w:bookmarkEnd w:id="17"/>
    <w:p w14:paraId="1C8576CC" w14:textId="77777777" w:rsidR="00A272EE" w:rsidRDefault="00A272EE" w:rsidP="00FE330C">
      <w:pPr>
        <w:shd w:val="clear" w:color="auto" w:fill="FFFFFF" w:themeFill="background1"/>
        <w:spacing w:after="0" w:line="48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The intervention is focused on healthcare professionals with an increase in deprescribing discussions and activity an anticipated outcome.  Patients will continue to receive all types of concomitant care during the trial with nothing prohibited.</w:t>
      </w:r>
    </w:p>
    <w:p w14:paraId="5E1AB67D" w14:textId="77777777" w:rsidR="00A272EE" w:rsidRPr="004739D4" w:rsidRDefault="00A272EE" w:rsidP="00FE330C">
      <w:pPr>
        <w:shd w:val="clear" w:color="auto" w:fill="FFFFFF" w:themeFill="background1"/>
        <w:spacing w:after="0" w:line="480" w:lineRule="auto"/>
        <w:contextualSpacing/>
        <w:jc w:val="left"/>
        <w:rPr>
          <w:rFonts w:asciiTheme="minorHAnsi" w:eastAsia="Times New Roman" w:hAnsiTheme="minorHAnsi" w:cstheme="minorHAnsi"/>
          <w:b/>
          <w:bCs/>
          <w:color w:val="333333"/>
          <w:shd w:val="clear" w:color="auto" w:fill="auto"/>
          <w:lang w:eastAsia="en-GB"/>
        </w:rPr>
      </w:pPr>
      <w:r w:rsidRPr="004739D4">
        <w:rPr>
          <w:rFonts w:asciiTheme="minorHAnsi" w:eastAsia="Times New Roman" w:hAnsiTheme="minorHAnsi" w:cstheme="minorHAnsi"/>
          <w:b/>
          <w:bCs/>
          <w:color w:val="333333"/>
          <w:shd w:val="clear" w:color="auto" w:fill="auto"/>
          <w:lang w:eastAsia="en-GB"/>
        </w:rPr>
        <w:t>Provisions for post-trial care</w:t>
      </w:r>
    </w:p>
    <w:p w14:paraId="41D7C4EF" w14:textId="77777777" w:rsidR="00A272EE" w:rsidRDefault="00A272EE" w:rsidP="007B5478">
      <w:pPr>
        <w:spacing w:after="0" w:line="480" w:lineRule="auto"/>
        <w:contextualSpacing/>
        <w:rPr>
          <w:b/>
          <w:bCs/>
        </w:rPr>
      </w:pPr>
      <w:r w:rsidRPr="000E71FB">
        <w:rPr>
          <w:rFonts w:asciiTheme="minorHAnsi" w:eastAsia="Times New Roman" w:hAnsiTheme="minorHAnsi" w:cstheme="minorHAnsi"/>
          <w:color w:val="333333"/>
          <w:shd w:val="clear" w:color="auto" w:fill="auto"/>
          <w:lang w:eastAsia="en-GB"/>
        </w:rPr>
        <w:t>There are no provisions for post-trial care. Communication of any medicines deprescribed to primary care physicians will be undertaken as part of standard care at time of hospital discharge.</w:t>
      </w:r>
    </w:p>
    <w:p w14:paraId="6D302851" w14:textId="77777777" w:rsidR="00A272EE" w:rsidRPr="009A3C2A" w:rsidRDefault="00A272EE" w:rsidP="00196B9D">
      <w:pPr>
        <w:shd w:val="clear" w:color="auto" w:fill="FFFFFF"/>
        <w:spacing w:after="0" w:line="480" w:lineRule="auto"/>
        <w:contextualSpacing/>
        <w:jc w:val="left"/>
        <w:rPr>
          <w:rFonts w:asciiTheme="minorHAnsi" w:eastAsia="Times New Roman" w:hAnsiTheme="minorHAnsi" w:cstheme="minorHAnsi"/>
          <w:b/>
          <w:bCs/>
          <w:color w:val="333333"/>
          <w:shd w:val="clear" w:color="auto" w:fill="auto"/>
          <w:lang w:eastAsia="en-GB"/>
        </w:rPr>
      </w:pPr>
      <w:r w:rsidRPr="009A3C2A">
        <w:rPr>
          <w:rFonts w:asciiTheme="minorHAnsi" w:eastAsia="Times New Roman" w:hAnsiTheme="minorHAnsi" w:cstheme="minorHAnsi"/>
          <w:b/>
          <w:bCs/>
          <w:color w:val="333333"/>
          <w:shd w:val="clear" w:color="auto" w:fill="auto"/>
          <w:lang w:eastAsia="en-GB"/>
        </w:rPr>
        <w:t>Outcomes</w:t>
      </w:r>
    </w:p>
    <w:p w14:paraId="6B87ABB3" w14:textId="55954B13" w:rsidR="00A272EE" w:rsidRDefault="00A272EE" w:rsidP="44DC2DAD">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44DC2DAD">
        <w:rPr>
          <w:rFonts w:asciiTheme="minorHAnsi" w:eastAsia="Times New Roman" w:hAnsiTheme="minorHAnsi" w:cstheme="minorBidi"/>
          <w:shd w:val="clear" w:color="auto" w:fill="auto"/>
          <w:lang w:eastAsia="en-GB"/>
        </w:rPr>
        <w:t>Selection of outcome measures was based on a previously developed core outcome set designed for hospital based deprescribing interventions.</w:t>
      </w:r>
      <w:r>
        <w:rPr>
          <w:rFonts w:asciiTheme="minorHAnsi" w:eastAsia="Times New Roman" w:hAnsiTheme="minorHAnsi" w:cstheme="minorBidi"/>
          <w:noProof/>
          <w:shd w:val="clear" w:color="auto" w:fill="auto"/>
          <w:lang w:eastAsia="en-GB"/>
        </w:rPr>
        <w:t xml:space="preserve"> </w:t>
      </w:r>
      <w:r w:rsidR="00EB7A91">
        <w:rPr>
          <w:rFonts w:asciiTheme="minorHAnsi" w:eastAsia="Times New Roman" w:hAnsiTheme="minorHAnsi" w:cstheme="minorBidi"/>
          <w:noProof/>
          <w:shd w:val="clear" w:color="auto" w:fill="auto"/>
          <w:lang w:eastAsia="en-GB"/>
        </w:rPr>
        <w:t>[</w:t>
      </w:r>
      <w:proofErr w:type="gramStart"/>
      <w:r>
        <w:rPr>
          <w:rFonts w:asciiTheme="minorHAnsi" w:eastAsia="Times New Roman" w:hAnsiTheme="minorHAnsi" w:cstheme="minorBidi"/>
          <w:noProof/>
          <w:shd w:val="clear" w:color="auto" w:fill="auto"/>
          <w:lang w:eastAsia="en-GB"/>
        </w:rPr>
        <w:t>18</w:t>
      </w:r>
      <w:r w:rsidR="00EB7A91">
        <w:rPr>
          <w:rFonts w:asciiTheme="minorHAnsi" w:eastAsia="Times New Roman" w:hAnsiTheme="minorHAnsi" w:cstheme="minorBidi"/>
          <w:noProof/>
          <w:shd w:val="clear" w:color="auto" w:fill="auto"/>
          <w:lang w:eastAsia="en-GB"/>
        </w:rPr>
        <w:t>]</w:t>
      </w:r>
      <w:r w:rsidRPr="44DC2DAD">
        <w:rPr>
          <w:rFonts w:asciiTheme="minorHAnsi" w:eastAsia="Times New Roman" w:hAnsiTheme="minorHAnsi" w:cstheme="minorBidi"/>
          <w:shd w:val="clear" w:color="auto" w:fill="auto"/>
          <w:lang w:eastAsia="en-GB"/>
        </w:rPr>
        <w:t>The</w:t>
      </w:r>
      <w:proofErr w:type="gramEnd"/>
      <w:r w:rsidRPr="44DC2DAD">
        <w:rPr>
          <w:rFonts w:asciiTheme="minorHAnsi" w:eastAsia="Times New Roman" w:hAnsiTheme="minorHAnsi" w:cstheme="minorBidi"/>
          <w:shd w:val="clear" w:color="auto" w:fill="auto"/>
          <w:lang w:eastAsia="en-GB"/>
        </w:rPr>
        <w:t xml:space="preserve"> primary outcome measure </w:t>
      </w:r>
      <w:r w:rsidRPr="44DC2DAD">
        <w:rPr>
          <w:rFonts w:asciiTheme="minorHAnsi" w:eastAsia="Times New Roman" w:hAnsiTheme="minorHAnsi" w:cstheme="minorBidi"/>
          <w:lang w:eastAsia="en-GB"/>
        </w:rPr>
        <w:t>was selected as</w:t>
      </w:r>
      <w:r w:rsidRPr="44DC2DAD">
        <w:rPr>
          <w:rFonts w:asciiTheme="minorHAnsi" w:eastAsia="Times New Roman" w:hAnsiTheme="minorHAnsi" w:cstheme="minorBidi"/>
          <w:shd w:val="clear" w:color="auto" w:fill="auto"/>
          <w:lang w:eastAsia="en-GB"/>
        </w:rPr>
        <w:t xml:space="preserve"> </w:t>
      </w:r>
      <w:r w:rsidRPr="44DC2DAD">
        <w:rPr>
          <w:rFonts w:asciiTheme="minorHAnsi" w:eastAsia="Times New Roman" w:hAnsiTheme="minorHAnsi" w:cstheme="minorBidi"/>
          <w:shd w:val="clear" w:color="auto" w:fill="auto"/>
          <w:lang w:eastAsia="en-GB"/>
        </w:rPr>
        <w:lastRenderedPageBreak/>
        <w:t xml:space="preserve">hospital readmission within 90 days as this was </w:t>
      </w:r>
      <w:r>
        <w:rPr>
          <w:rFonts w:asciiTheme="minorHAnsi" w:eastAsia="Times New Roman" w:hAnsiTheme="minorHAnsi" w:cstheme="minorBidi"/>
          <w:shd w:val="clear" w:color="auto" w:fill="auto"/>
          <w:lang w:eastAsia="en-GB"/>
        </w:rPr>
        <w:t>considered</w:t>
      </w:r>
      <w:r w:rsidRPr="44DC2DAD">
        <w:rPr>
          <w:rFonts w:asciiTheme="minorHAnsi" w:eastAsia="Times New Roman" w:hAnsiTheme="minorHAnsi" w:cstheme="minorBidi"/>
          <w:shd w:val="clear" w:color="auto" w:fill="auto"/>
          <w:lang w:eastAsia="en-GB"/>
        </w:rPr>
        <w:t xml:space="preserve"> to be sufficiently sensitive and proximal to the intervention. </w:t>
      </w:r>
    </w:p>
    <w:p w14:paraId="0D759541" w14:textId="77777777" w:rsidR="00A272EE" w:rsidRDefault="00A272EE" w:rsidP="00310B66">
      <w:pPr>
        <w:shd w:val="clear" w:color="auto" w:fill="FFFFFF"/>
        <w:spacing w:after="0" w:line="480" w:lineRule="auto"/>
        <w:contextualSpacing/>
        <w:jc w:val="left"/>
        <w:rPr>
          <w:rFonts w:asciiTheme="minorHAnsi" w:eastAsia="Times New Roman" w:hAnsiTheme="minorHAnsi" w:cstheme="minorHAnsi"/>
          <w:b/>
          <w:bCs/>
          <w:color w:val="333333"/>
          <w:shd w:val="clear" w:color="auto" w:fill="auto"/>
          <w:lang w:eastAsia="en-GB"/>
        </w:rPr>
      </w:pPr>
      <w:bookmarkStart w:id="18" w:name="_Hlk194658878"/>
      <w:r>
        <w:rPr>
          <w:rFonts w:asciiTheme="minorHAnsi" w:eastAsia="Times New Roman" w:hAnsiTheme="minorHAnsi" w:cstheme="minorHAnsi"/>
          <w:shd w:val="clear" w:color="auto" w:fill="auto"/>
          <w:lang w:eastAsia="en-GB"/>
        </w:rPr>
        <w:t>Outcome data are</w:t>
      </w:r>
      <w:r w:rsidRPr="004267D0">
        <w:rPr>
          <w:rFonts w:asciiTheme="minorHAnsi" w:eastAsia="Times New Roman" w:hAnsiTheme="minorHAnsi" w:cstheme="minorHAnsi"/>
          <w:shd w:val="clear" w:color="auto" w:fill="auto"/>
          <w:lang w:eastAsia="en-GB"/>
        </w:rPr>
        <w:t xml:space="preserve"> </w:t>
      </w:r>
      <w:bookmarkEnd w:id="18"/>
      <w:r w:rsidRPr="004267D0">
        <w:rPr>
          <w:rFonts w:asciiTheme="minorHAnsi" w:eastAsia="Times New Roman" w:hAnsiTheme="minorHAnsi" w:cstheme="minorHAnsi"/>
          <w:shd w:val="clear" w:color="auto" w:fill="auto"/>
          <w:lang w:eastAsia="en-GB"/>
        </w:rPr>
        <w:t xml:space="preserve">summarised in Table 1. Costs and resource use, as </w:t>
      </w:r>
      <w:r>
        <w:rPr>
          <w:rFonts w:asciiTheme="minorHAnsi" w:eastAsia="Times New Roman" w:hAnsiTheme="minorHAnsi" w:cstheme="minorHAnsi"/>
          <w:shd w:val="clear" w:color="auto" w:fill="auto"/>
          <w:lang w:eastAsia="en-GB"/>
        </w:rPr>
        <w:t xml:space="preserve">well as </w:t>
      </w:r>
      <w:r w:rsidRPr="004267D0">
        <w:rPr>
          <w:rFonts w:asciiTheme="minorHAnsi" w:eastAsia="Times New Roman" w:hAnsiTheme="minorHAnsi" w:cstheme="minorHAnsi"/>
          <w:shd w:val="clear" w:color="auto" w:fill="auto"/>
          <w:lang w:eastAsia="en-GB"/>
        </w:rPr>
        <w:t>economic outcomes, will be captured via expert opinion and review of study records where relevant.</w:t>
      </w:r>
      <w:r>
        <w:rPr>
          <w:rFonts w:asciiTheme="minorHAnsi" w:eastAsia="Times New Roman" w:hAnsiTheme="minorHAnsi" w:cstheme="minorHAnsi"/>
          <w:b/>
          <w:bCs/>
          <w:color w:val="333333"/>
          <w:shd w:val="clear" w:color="auto" w:fill="auto"/>
          <w:lang w:eastAsia="en-GB"/>
        </w:rPr>
        <w:br w:type="page"/>
      </w:r>
    </w:p>
    <w:p w14:paraId="72EB8DD1" w14:textId="77777777" w:rsidR="00A272EE" w:rsidRPr="009000EF" w:rsidRDefault="00A272EE" w:rsidP="009A493B">
      <w:pPr>
        <w:shd w:val="clear" w:color="auto" w:fill="FFFFFF"/>
        <w:spacing w:after="0" w:line="480" w:lineRule="auto"/>
        <w:contextualSpacing/>
        <w:jc w:val="left"/>
        <w:rPr>
          <w:rFonts w:asciiTheme="minorHAnsi" w:eastAsia="Times New Roman" w:hAnsiTheme="minorHAnsi" w:cstheme="minorHAnsi"/>
          <w:b/>
          <w:bCs/>
          <w:color w:val="333333"/>
          <w:shd w:val="clear" w:color="auto" w:fill="auto"/>
          <w:lang w:eastAsia="en-GB"/>
        </w:rPr>
      </w:pPr>
      <w:r w:rsidRPr="009000EF">
        <w:rPr>
          <w:rFonts w:asciiTheme="minorHAnsi" w:eastAsia="Times New Roman" w:hAnsiTheme="minorHAnsi" w:cstheme="minorHAnsi"/>
          <w:b/>
          <w:bCs/>
          <w:color w:val="333333"/>
          <w:shd w:val="clear" w:color="auto" w:fill="auto"/>
          <w:lang w:eastAsia="en-GB"/>
        </w:rPr>
        <w:lastRenderedPageBreak/>
        <w:t>Table 1</w:t>
      </w:r>
      <w:r w:rsidRPr="009000EF">
        <w:rPr>
          <w:rFonts w:asciiTheme="minorHAnsi" w:eastAsia="Times New Roman" w:hAnsiTheme="minorHAnsi" w:cstheme="minorHAnsi"/>
          <w:b/>
          <w:bCs/>
          <w:color w:val="333333"/>
          <w:shd w:val="clear" w:color="auto" w:fill="auto"/>
          <w:lang w:eastAsia="en-GB"/>
        </w:rPr>
        <w:tab/>
        <w:t xml:space="preserve">Outcome data </w:t>
      </w:r>
    </w:p>
    <w:tbl>
      <w:tblPr>
        <w:tblStyle w:val="TableGrid"/>
        <w:tblW w:w="0" w:type="auto"/>
        <w:tblLook w:val="04A0" w:firstRow="1" w:lastRow="0" w:firstColumn="1" w:lastColumn="0" w:noHBand="0" w:noVBand="1"/>
      </w:tblPr>
      <w:tblGrid>
        <w:gridCol w:w="3823"/>
        <w:gridCol w:w="2551"/>
        <w:gridCol w:w="2642"/>
      </w:tblGrid>
      <w:tr w:rsidR="00A272EE" w:rsidRPr="009000EF" w14:paraId="25444A56" w14:textId="77777777" w:rsidTr="003349A6">
        <w:tc>
          <w:tcPr>
            <w:tcW w:w="3823" w:type="dxa"/>
          </w:tcPr>
          <w:p w14:paraId="51AC7566" w14:textId="77777777" w:rsidR="00A272EE" w:rsidRPr="009000EF" w:rsidRDefault="00A272EE" w:rsidP="009F6427">
            <w:pPr>
              <w:spacing w:before="60" w:after="60" w:line="360" w:lineRule="auto"/>
              <w:contextualSpacing/>
              <w:jc w:val="left"/>
              <w:rPr>
                <w:rFonts w:asciiTheme="minorHAnsi" w:eastAsia="Times New Roman" w:hAnsiTheme="minorHAnsi" w:cstheme="minorHAnsi"/>
                <w:b/>
                <w:bCs/>
                <w:color w:val="333333"/>
                <w:shd w:val="clear" w:color="auto" w:fill="auto"/>
                <w:lang w:eastAsia="en-GB"/>
              </w:rPr>
            </w:pPr>
            <w:r w:rsidRPr="009000EF">
              <w:rPr>
                <w:rFonts w:asciiTheme="minorHAnsi" w:eastAsia="Times New Roman" w:hAnsiTheme="minorHAnsi" w:cstheme="minorHAnsi"/>
                <w:b/>
                <w:bCs/>
                <w:color w:val="333333"/>
                <w:shd w:val="clear" w:color="auto" w:fill="auto"/>
                <w:lang w:eastAsia="en-GB"/>
              </w:rPr>
              <w:t>Routinely collected data (without consent)</w:t>
            </w:r>
          </w:p>
        </w:tc>
        <w:tc>
          <w:tcPr>
            <w:tcW w:w="2551" w:type="dxa"/>
          </w:tcPr>
          <w:p w14:paraId="6020A83D" w14:textId="77777777" w:rsidR="00A272EE" w:rsidRPr="009000EF" w:rsidRDefault="00A272EE" w:rsidP="009F6427">
            <w:pPr>
              <w:spacing w:before="60" w:after="60" w:line="360" w:lineRule="auto"/>
              <w:contextualSpacing/>
              <w:jc w:val="center"/>
              <w:rPr>
                <w:rFonts w:asciiTheme="minorHAnsi" w:eastAsia="Times New Roman" w:hAnsiTheme="minorHAnsi" w:cstheme="minorHAnsi"/>
                <w:b/>
                <w:bCs/>
                <w:color w:val="333333"/>
                <w:shd w:val="clear" w:color="auto" w:fill="auto"/>
                <w:lang w:eastAsia="en-GB"/>
              </w:rPr>
            </w:pPr>
            <w:r>
              <w:rPr>
                <w:rFonts w:asciiTheme="minorHAnsi" w:eastAsia="Times New Roman" w:hAnsiTheme="minorHAnsi" w:cstheme="minorHAnsi"/>
                <w:b/>
                <w:bCs/>
                <w:color w:val="333333"/>
                <w:shd w:val="clear" w:color="auto" w:fill="auto"/>
                <w:lang w:eastAsia="en-GB"/>
              </w:rPr>
              <w:t>When</w:t>
            </w:r>
          </w:p>
        </w:tc>
        <w:tc>
          <w:tcPr>
            <w:tcW w:w="2642" w:type="dxa"/>
          </w:tcPr>
          <w:p w14:paraId="5FE3125C" w14:textId="77777777" w:rsidR="00A272EE" w:rsidRDefault="00A272EE" w:rsidP="009F6427">
            <w:pPr>
              <w:spacing w:before="60" w:after="60" w:line="360" w:lineRule="auto"/>
              <w:contextualSpacing/>
              <w:jc w:val="center"/>
              <w:rPr>
                <w:rFonts w:asciiTheme="minorHAnsi" w:eastAsia="Times New Roman" w:hAnsiTheme="minorHAnsi" w:cstheme="minorHAnsi"/>
                <w:b/>
                <w:bCs/>
                <w:color w:val="333333"/>
                <w:shd w:val="clear" w:color="auto" w:fill="auto"/>
                <w:lang w:eastAsia="en-GB"/>
              </w:rPr>
            </w:pPr>
            <w:r>
              <w:rPr>
                <w:rFonts w:asciiTheme="minorHAnsi" w:eastAsia="Times New Roman" w:hAnsiTheme="minorHAnsi" w:cstheme="minorHAnsi"/>
                <w:b/>
                <w:bCs/>
                <w:color w:val="333333"/>
                <w:shd w:val="clear" w:color="auto" w:fill="auto"/>
                <w:lang w:eastAsia="en-GB"/>
              </w:rPr>
              <w:t>How</w:t>
            </w:r>
          </w:p>
        </w:tc>
      </w:tr>
      <w:tr w:rsidR="00A272EE" w14:paraId="27841FB8" w14:textId="77777777" w:rsidTr="003349A6">
        <w:tc>
          <w:tcPr>
            <w:tcW w:w="3823" w:type="dxa"/>
          </w:tcPr>
          <w:p w14:paraId="47E482D5"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Mortality for any reason</w:t>
            </w:r>
          </w:p>
        </w:tc>
        <w:tc>
          <w:tcPr>
            <w:tcW w:w="2551" w:type="dxa"/>
          </w:tcPr>
          <w:p w14:paraId="247C0B0F"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90 data post-discharge</w:t>
            </w:r>
          </w:p>
          <w:p w14:paraId="45C10495"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p>
        </w:tc>
        <w:tc>
          <w:tcPr>
            <w:tcW w:w="2642" w:type="dxa"/>
          </w:tcPr>
          <w:p w14:paraId="18D9A292"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Hospital records and</w:t>
            </w:r>
          </w:p>
          <w:p w14:paraId="703E77BA" w14:textId="77777777" w:rsidR="00A272EE" w:rsidRPr="00B77D5B" w:rsidRDefault="00A272EE" w:rsidP="009F6427">
            <w:pPr>
              <w:spacing w:before="60" w:after="60" w:line="360" w:lineRule="auto"/>
              <w:contextualSpacing/>
              <w:jc w:val="left"/>
              <w:rPr>
                <w:rFonts w:asciiTheme="minorHAnsi" w:eastAsia="Times New Roman" w:hAnsiTheme="minorHAnsi" w:cstheme="minorBidi"/>
                <w:color w:val="333333"/>
                <w:shd w:val="clear" w:color="auto" w:fill="auto"/>
                <w:lang w:eastAsia="en-GB"/>
              </w:rPr>
            </w:pPr>
            <w:r w:rsidRPr="28781113">
              <w:rPr>
                <w:rFonts w:asciiTheme="minorHAnsi" w:eastAsia="Times New Roman" w:hAnsiTheme="minorHAnsi" w:cstheme="minorBidi"/>
                <w:color w:val="333333"/>
                <w:shd w:val="clear" w:color="auto" w:fill="auto"/>
                <w:lang w:eastAsia="en-GB"/>
              </w:rPr>
              <w:t>NHS England</w:t>
            </w:r>
            <w:r w:rsidRPr="28781113">
              <w:rPr>
                <w:rFonts w:asciiTheme="minorHAnsi" w:eastAsia="Times New Roman" w:hAnsiTheme="minorHAnsi" w:cstheme="minorBidi"/>
                <w:color w:val="333333"/>
                <w:shd w:val="clear" w:color="auto" w:fill="auto"/>
                <w:vertAlign w:val="superscript"/>
                <w:lang w:eastAsia="en-GB"/>
              </w:rPr>
              <w:t xml:space="preserve"># </w:t>
            </w:r>
            <w:r w:rsidRPr="28781113">
              <w:rPr>
                <w:rFonts w:asciiTheme="minorHAnsi" w:eastAsia="Times New Roman" w:hAnsiTheme="minorHAnsi" w:cstheme="minorBidi"/>
                <w:color w:val="333333"/>
                <w:shd w:val="clear" w:color="auto" w:fill="auto"/>
                <w:lang w:eastAsia="en-GB"/>
              </w:rPr>
              <w:t>Office of National Statistics Mortality records</w:t>
            </w:r>
          </w:p>
        </w:tc>
      </w:tr>
      <w:tr w:rsidR="00A272EE" w14:paraId="121E126D" w14:textId="77777777" w:rsidTr="003349A6">
        <w:tc>
          <w:tcPr>
            <w:tcW w:w="3823" w:type="dxa"/>
          </w:tcPr>
          <w:p w14:paraId="12C1A725"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 xml:space="preserve">Number of </w:t>
            </w:r>
            <w:proofErr w:type="gramStart"/>
            <w:r>
              <w:rPr>
                <w:rFonts w:asciiTheme="minorHAnsi" w:eastAsia="Times New Roman" w:hAnsiTheme="minorHAnsi" w:cstheme="minorHAnsi"/>
                <w:color w:val="333333"/>
                <w:shd w:val="clear" w:color="auto" w:fill="auto"/>
                <w:lang w:eastAsia="en-GB"/>
              </w:rPr>
              <w:t>hospital</w:t>
            </w:r>
            <w:proofErr w:type="gramEnd"/>
            <w:r>
              <w:rPr>
                <w:rFonts w:asciiTheme="minorHAnsi" w:eastAsia="Times New Roman" w:hAnsiTheme="minorHAnsi" w:cstheme="minorHAnsi"/>
                <w:color w:val="333333"/>
                <w:shd w:val="clear" w:color="auto" w:fill="auto"/>
                <w:lang w:eastAsia="en-GB"/>
              </w:rPr>
              <w:t xml:space="preserve"> stays* </w:t>
            </w:r>
          </w:p>
        </w:tc>
        <w:tc>
          <w:tcPr>
            <w:tcW w:w="2551" w:type="dxa"/>
            <w:vMerge w:val="restart"/>
          </w:tcPr>
          <w:p w14:paraId="2A35ECFE"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p>
          <w:p w14:paraId="71D188BD"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90 data post-discharge</w:t>
            </w:r>
          </w:p>
        </w:tc>
        <w:tc>
          <w:tcPr>
            <w:tcW w:w="2642" w:type="dxa"/>
            <w:vMerge w:val="restart"/>
          </w:tcPr>
          <w:p w14:paraId="0E77AAE8"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Hospital records and</w:t>
            </w:r>
          </w:p>
          <w:p w14:paraId="1FE43DA8" w14:textId="77777777" w:rsidR="00A272EE" w:rsidRPr="00B77D5B" w:rsidRDefault="00A272EE" w:rsidP="009F6427">
            <w:pPr>
              <w:spacing w:before="60" w:after="60" w:line="360" w:lineRule="auto"/>
              <w:contextualSpacing/>
              <w:jc w:val="left"/>
              <w:rPr>
                <w:rFonts w:asciiTheme="minorHAnsi" w:eastAsia="Times New Roman" w:hAnsiTheme="minorHAnsi" w:cstheme="minorBidi"/>
                <w:color w:val="333333"/>
                <w:shd w:val="clear" w:color="auto" w:fill="auto"/>
                <w:lang w:eastAsia="en-GB"/>
              </w:rPr>
            </w:pPr>
            <w:r w:rsidRPr="28781113">
              <w:rPr>
                <w:rFonts w:asciiTheme="minorHAnsi" w:eastAsia="Times New Roman" w:hAnsiTheme="minorHAnsi" w:cstheme="minorBidi"/>
                <w:color w:val="333333"/>
                <w:shd w:val="clear" w:color="auto" w:fill="auto"/>
                <w:lang w:eastAsia="en-GB"/>
              </w:rPr>
              <w:t>NHS England</w:t>
            </w:r>
            <w:r w:rsidRPr="28781113">
              <w:rPr>
                <w:rFonts w:asciiTheme="minorHAnsi" w:eastAsia="Times New Roman" w:hAnsiTheme="minorHAnsi" w:cstheme="minorBidi"/>
                <w:color w:val="333333"/>
                <w:shd w:val="clear" w:color="auto" w:fill="auto"/>
                <w:vertAlign w:val="superscript"/>
                <w:lang w:eastAsia="en-GB"/>
              </w:rPr>
              <w:t>#</w:t>
            </w:r>
            <w:r w:rsidRPr="28781113">
              <w:rPr>
                <w:rFonts w:asciiTheme="minorHAnsi" w:eastAsia="Times New Roman" w:hAnsiTheme="minorHAnsi" w:cstheme="minorBidi"/>
                <w:color w:val="333333"/>
                <w:shd w:val="clear" w:color="auto" w:fill="auto"/>
                <w:lang w:eastAsia="en-GB"/>
              </w:rPr>
              <w:t xml:space="preserve"> Hospital Episode Statistics Admitted patient care</w:t>
            </w:r>
          </w:p>
        </w:tc>
      </w:tr>
      <w:tr w:rsidR="00A272EE" w14:paraId="36B17CBE" w14:textId="77777777" w:rsidTr="003349A6">
        <w:tc>
          <w:tcPr>
            <w:tcW w:w="3823" w:type="dxa"/>
          </w:tcPr>
          <w:p w14:paraId="26B5A283"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Number of planned and unplanned admissions and readmissions for treatment or monitoring of health*</w:t>
            </w:r>
          </w:p>
        </w:tc>
        <w:tc>
          <w:tcPr>
            <w:tcW w:w="2551" w:type="dxa"/>
            <w:vMerge/>
          </w:tcPr>
          <w:p w14:paraId="212836EF"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p>
        </w:tc>
        <w:tc>
          <w:tcPr>
            <w:tcW w:w="2642" w:type="dxa"/>
            <w:vMerge/>
          </w:tcPr>
          <w:p w14:paraId="1ED04345"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p>
        </w:tc>
      </w:tr>
      <w:tr w:rsidR="00A272EE" w14:paraId="0A554121" w14:textId="77777777" w:rsidTr="003349A6">
        <w:tc>
          <w:tcPr>
            <w:tcW w:w="3823" w:type="dxa"/>
          </w:tcPr>
          <w:p w14:paraId="520B5439"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sidRPr="009000EF">
              <w:rPr>
                <w:rFonts w:asciiTheme="minorHAnsi" w:eastAsia="Times New Roman" w:hAnsiTheme="minorHAnsi" w:cstheme="minorHAnsi"/>
                <w:b/>
                <w:bCs/>
                <w:color w:val="333333"/>
                <w:shd w:val="clear" w:color="auto" w:fill="auto"/>
                <w:lang w:eastAsia="en-GB"/>
              </w:rPr>
              <w:t>Intensive data collection (with consent)</w:t>
            </w:r>
          </w:p>
        </w:tc>
        <w:tc>
          <w:tcPr>
            <w:tcW w:w="2551" w:type="dxa"/>
          </w:tcPr>
          <w:p w14:paraId="17AAE853" w14:textId="77777777" w:rsidR="00A272EE" w:rsidRPr="00F024C1" w:rsidRDefault="00A272EE" w:rsidP="009F6427">
            <w:pPr>
              <w:spacing w:before="60" w:after="60" w:line="360" w:lineRule="auto"/>
              <w:contextualSpacing/>
              <w:jc w:val="center"/>
              <w:rPr>
                <w:rFonts w:asciiTheme="minorHAnsi" w:eastAsia="Times New Roman" w:hAnsiTheme="minorHAnsi" w:cstheme="minorHAnsi"/>
                <w:b/>
                <w:bCs/>
                <w:color w:val="333333"/>
                <w:shd w:val="clear" w:color="auto" w:fill="auto"/>
                <w:lang w:eastAsia="en-GB"/>
              </w:rPr>
            </w:pPr>
            <w:r w:rsidRPr="00F024C1">
              <w:rPr>
                <w:rFonts w:asciiTheme="minorHAnsi" w:eastAsia="Times New Roman" w:hAnsiTheme="minorHAnsi" w:cstheme="minorHAnsi"/>
                <w:b/>
                <w:bCs/>
                <w:color w:val="333333"/>
                <w:shd w:val="clear" w:color="auto" w:fill="auto"/>
                <w:lang w:eastAsia="en-GB"/>
              </w:rPr>
              <w:t>When</w:t>
            </w:r>
          </w:p>
        </w:tc>
        <w:tc>
          <w:tcPr>
            <w:tcW w:w="2642" w:type="dxa"/>
          </w:tcPr>
          <w:p w14:paraId="129F74EC" w14:textId="77777777" w:rsidR="00A272EE" w:rsidRPr="00F024C1" w:rsidRDefault="00A272EE" w:rsidP="009F6427">
            <w:pPr>
              <w:spacing w:before="60" w:after="60" w:line="360" w:lineRule="auto"/>
              <w:contextualSpacing/>
              <w:jc w:val="center"/>
              <w:rPr>
                <w:rFonts w:asciiTheme="minorHAnsi" w:eastAsia="Times New Roman" w:hAnsiTheme="minorHAnsi" w:cstheme="minorHAnsi"/>
                <w:b/>
                <w:bCs/>
                <w:color w:val="333333"/>
                <w:shd w:val="clear" w:color="auto" w:fill="auto"/>
                <w:lang w:eastAsia="en-GB"/>
              </w:rPr>
            </w:pPr>
            <w:r w:rsidRPr="00F024C1">
              <w:rPr>
                <w:rFonts w:asciiTheme="minorHAnsi" w:eastAsia="Times New Roman" w:hAnsiTheme="minorHAnsi" w:cstheme="minorHAnsi"/>
                <w:b/>
                <w:bCs/>
                <w:color w:val="333333"/>
                <w:shd w:val="clear" w:color="auto" w:fill="auto"/>
                <w:lang w:eastAsia="en-GB"/>
              </w:rPr>
              <w:t>How</w:t>
            </w:r>
          </w:p>
        </w:tc>
      </w:tr>
      <w:tr w:rsidR="00A272EE" w14:paraId="47F33D74" w14:textId="77777777" w:rsidTr="003349A6">
        <w:tc>
          <w:tcPr>
            <w:tcW w:w="3823" w:type="dxa"/>
          </w:tcPr>
          <w:p w14:paraId="03B035BB" w14:textId="77777777" w:rsidR="00A272EE" w:rsidRDefault="00A272EE" w:rsidP="009F6427">
            <w:pPr>
              <w:spacing w:before="60" w:after="60" w:line="360" w:lineRule="auto"/>
              <w:contextualSpacing/>
              <w:jc w:val="left"/>
              <w:rPr>
                <w:rFonts w:asciiTheme="minorHAnsi" w:eastAsia="Times New Roman" w:hAnsiTheme="minorHAnsi" w:cstheme="minorBidi"/>
                <w:color w:val="333333"/>
                <w:shd w:val="clear" w:color="auto" w:fill="auto"/>
                <w:lang w:eastAsia="en-GB"/>
              </w:rPr>
            </w:pPr>
            <w:bookmarkStart w:id="19" w:name="_Hlk202277572"/>
            <w:r w:rsidRPr="748A020C">
              <w:rPr>
                <w:rFonts w:asciiTheme="minorHAnsi" w:eastAsia="Times New Roman" w:hAnsiTheme="minorHAnsi" w:cstheme="minorBidi"/>
                <w:color w:val="333333"/>
                <w:shd w:val="clear" w:color="auto" w:fill="auto"/>
                <w:lang w:eastAsia="en-GB"/>
              </w:rPr>
              <w:t>Satisfaction with deprescribing process</w:t>
            </w:r>
            <w:r w:rsidRPr="001B35F2">
              <w:rPr>
                <w:rFonts w:asciiTheme="minorHAnsi" w:eastAsia="Times New Roman" w:hAnsiTheme="minorHAnsi" w:cstheme="minorBidi"/>
                <w:color w:val="333333"/>
                <w:shd w:val="clear" w:color="auto" w:fill="auto"/>
                <w:vertAlign w:val="superscript"/>
                <w:lang w:eastAsia="en-GB"/>
              </w:rPr>
              <w:t>%</w:t>
            </w:r>
            <w:r w:rsidRPr="748A020C">
              <w:rPr>
                <w:rFonts w:asciiTheme="minorHAnsi" w:eastAsia="Times New Roman" w:hAnsiTheme="minorHAnsi" w:cstheme="minorBidi"/>
                <w:color w:val="333333"/>
                <w:shd w:val="clear" w:color="auto" w:fill="auto"/>
                <w:lang w:eastAsia="en-GB"/>
              </w:rPr>
              <w:t xml:space="preserve"> </w:t>
            </w:r>
          </w:p>
        </w:tc>
        <w:tc>
          <w:tcPr>
            <w:tcW w:w="2551" w:type="dxa"/>
          </w:tcPr>
          <w:p w14:paraId="1A09F6E4"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2 weeks post-discharge</w:t>
            </w:r>
          </w:p>
        </w:tc>
        <w:tc>
          <w:tcPr>
            <w:tcW w:w="2642" w:type="dxa"/>
          </w:tcPr>
          <w:p w14:paraId="0B5145E6"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Postal questionnaire</w:t>
            </w:r>
          </w:p>
        </w:tc>
      </w:tr>
      <w:tr w:rsidR="00A272EE" w14:paraId="7DFF853D" w14:textId="77777777" w:rsidTr="003349A6">
        <w:tc>
          <w:tcPr>
            <w:tcW w:w="3823" w:type="dxa"/>
          </w:tcPr>
          <w:p w14:paraId="59896E1F" w14:textId="77777777" w:rsidR="00A272EE" w:rsidRDefault="00A272EE" w:rsidP="009F6427">
            <w:pPr>
              <w:spacing w:before="60" w:after="60" w:line="360" w:lineRule="auto"/>
              <w:contextualSpacing/>
              <w:jc w:val="left"/>
              <w:rPr>
                <w:rFonts w:asciiTheme="minorHAnsi" w:eastAsia="Times New Roman" w:hAnsiTheme="minorHAnsi" w:cstheme="minorBidi"/>
                <w:color w:val="333333"/>
                <w:shd w:val="clear" w:color="auto" w:fill="auto"/>
                <w:lang w:eastAsia="en-GB"/>
              </w:rPr>
            </w:pPr>
            <w:r>
              <w:rPr>
                <w:rFonts w:asciiTheme="minorHAnsi" w:eastAsia="Times New Roman" w:hAnsiTheme="minorHAnsi" w:cstheme="minorBidi"/>
                <w:color w:val="333333"/>
                <w:shd w:val="clear" w:color="auto" w:fill="auto"/>
                <w:lang w:eastAsia="en-GB"/>
              </w:rPr>
              <w:t>A</w:t>
            </w:r>
            <w:r w:rsidRPr="748A020C">
              <w:rPr>
                <w:rFonts w:asciiTheme="minorHAnsi" w:eastAsia="Times New Roman" w:hAnsiTheme="minorHAnsi" w:cstheme="minorBidi"/>
                <w:color w:val="333333"/>
                <w:shd w:val="clear" w:color="auto" w:fill="auto"/>
                <w:lang w:eastAsia="en-GB"/>
              </w:rPr>
              <w:t>dverse</w:t>
            </w:r>
            <w:r>
              <w:rPr>
                <w:rFonts w:asciiTheme="minorHAnsi" w:eastAsia="Times New Roman" w:hAnsiTheme="minorHAnsi" w:cstheme="minorBidi"/>
                <w:color w:val="333333"/>
                <w:shd w:val="clear" w:color="auto" w:fill="auto"/>
                <w:lang w:eastAsia="en-GB"/>
              </w:rPr>
              <w:t xml:space="preserve"> drug</w:t>
            </w:r>
            <w:r w:rsidRPr="748A020C">
              <w:rPr>
                <w:rFonts w:asciiTheme="minorHAnsi" w:eastAsia="Times New Roman" w:hAnsiTheme="minorHAnsi" w:cstheme="minorBidi"/>
                <w:color w:val="333333"/>
                <w:shd w:val="clear" w:color="auto" w:fill="auto"/>
                <w:lang w:eastAsia="en-GB"/>
              </w:rPr>
              <w:t xml:space="preserve"> events</w:t>
            </w:r>
            <w:r w:rsidRPr="007F3877">
              <w:rPr>
                <w:rFonts w:asciiTheme="minorHAnsi" w:eastAsia="Times New Roman" w:hAnsiTheme="minorHAnsi" w:cstheme="minorBidi"/>
                <w:color w:val="333333"/>
                <w:shd w:val="clear" w:color="auto" w:fill="auto"/>
                <w:vertAlign w:val="superscript"/>
                <w:lang w:eastAsia="en-GB"/>
              </w:rPr>
              <w:t>£</w:t>
            </w:r>
          </w:p>
        </w:tc>
        <w:tc>
          <w:tcPr>
            <w:tcW w:w="2551" w:type="dxa"/>
          </w:tcPr>
          <w:p w14:paraId="08527315" w14:textId="77777777" w:rsidR="00A272EE" w:rsidRDefault="00A272EE" w:rsidP="009F6427">
            <w:pPr>
              <w:spacing w:before="60" w:after="60" w:line="360" w:lineRule="auto"/>
              <w:contextualSpacing/>
              <w:jc w:val="left"/>
              <w:rPr>
                <w:rFonts w:asciiTheme="minorHAnsi" w:eastAsia="Times New Roman" w:hAnsiTheme="minorHAnsi" w:cstheme="minorBidi"/>
                <w:color w:val="333333"/>
                <w:shd w:val="clear" w:color="auto" w:fill="auto"/>
                <w:lang w:eastAsia="en-GB"/>
              </w:rPr>
            </w:pPr>
            <w:r>
              <w:rPr>
                <w:rFonts w:asciiTheme="minorHAnsi" w:eastAsia="Times New Roman" w:hAnsiTheme="minorHAnsi" w:cstheme="minorBidi"/>
                <w:color w:val="333333"/>
                <w:shd w:val="clear" w:color="auto" w:fill="auto"/>
                <w:lang w:eastAsia="en-GB"/>
              </w:rPr>
              <w:t>90 days</w:t>
            </w:r>
            <w:r w:rsidRPr="29C7A638">
              <w:rPr>
                <w:rFonts w:asciiTheme="minorHAnsi" w:eastAsia="Times New Roman" w:hAnsiTheme="minorHAnsi" w:cstheme="minorBidi"/>
                <w:color w:val="333333"/>
                <w:shd w:val="clear" w:color="auto" w:fill="auto"/>
                <w:lang w:eastAsia="en-GB"/>
              </w:rPr>
              <w:t xml:space="preserve"> post-discharge</w:t>
            </w:r>
          </w:p>
        </w:tc>
        <w:tc>
          <w:tcPr>
            <w:tcW w:w="2642" w:type="dxa"/>
          </w:tcPr>
          <w:p w14:paraId="5E159B9C" w14:textId="77777777" w:rsidR="00A272EE" w:rsidRDefault="00A272EE" w:rsidP="009F6427">
            <w:pPr>
              <w:spacing w:before="60" w:after="60" w:line="360" w:lineRule="auto"/>
              <w:contextualSpacing/>
              <w:jc w:val="left"/>
              <w:rPr>
                <w:rFonts w:asciiTheme="minorHAnsi" w:eastAsia="Times New Roman" w:hAnsiTheme="minorHAnsi" w:cstheme="minorBidi"/>
                <w:color w:val="333333"/>
                <w:shd w:val="clear" w:color="auto" w:fill="auto"/>
                <w:lang w:eastAsia="en-GB"/>
              </w:rPr>
            </w:pPr>
            <w:r>
              <w:rPr>
                <w:rFonts w:asciiTheme="minorHAnsi" w:eastAsia="Times New Roman" w:hAnsiTheme="minorHAnsi" w:cstheme="minorBidi"/>
                <w:color w:val="333333"/>
                <w:shd w:val="clear" w:color="auto" w:fill="auto"/>
                <w:lang w:eastAsia="en-GB"/>
              </w:rPr>
              <w:t>Telephone questionnaire</w:t>
            </w:r>
          </w:p>
        </w:tc>
      </w:tr>
      <w:tr w:rsidR="00A272EE" w14:paraId="792307DE" w14:textId="77777777" w:rsidTr="003349A6">
        <w:tc>
          <w:tcPr>
            <w:tcW w:w="3823" w:type="dxa"/>
          </w:tcPr>
          <w:p w14:paraId="4EA75FA2" w14:textId="267AB9B2" w:rsidR="00A272EE" w:rsidRDefault="00A272EE" w:rsidP="009F6427">
            <w:pPr>
              <w:spacing w:before="60" w:after="60" w:line="360" w:lineRule="auto"/>
              <w:contextualSpacing/>
              <w:jc w:val="left"/>
              <w:rPr>
                <w:rFonts w:asciiTheme="minorHAnsi" w:eastAsia="Times New Roman" w:hAnsiTheme="minorHAnsi" w:cstheme="minorBidi"/>
                <w:color w:val="333333"/>
                <w:shd w:val="clear" w:color="auto" w:fill="auto"/>
                <w:lang w:eastAsia="en-GB"/>
              </w:rPr>
            </w:pPr>
            <w:r w:rsidRPr="748A020C">
              <w:rPr>
                <w:rFonts w:asciiTheme="minorHAnsi" w:eastAsia="Times New Roman" w:hAnsiTheme="minorHAnsi" w:cstheme="minorBidi"/>
                <w:color w:val="333333"/>
                <w:shd w:val="clear" w:color="auto" w:fill="auto"/>
                <w:lang w:eastAsia="en-GB"/>
              </w:rPr>
              <w:t>Health Related Quality of Life (EQ-5D-5L)</w:t>
            </w:r>
            <w:r>
              <w:rPr>
                <w:rFonts w:asciiTheme="minorHAnsi" w:eastAsia="Times New Roman" w:hAnsiTheme="minorHAnsi" w:cstheme="minorBidi"/>
                <w:noProof/>
                <w:color w:val="333333"/>
                <w:shd w:val="clear" w:color="auto" w:fill="auto"/>
                <w:lang w:eastAsia="en-GB"/>
              </w:rPr>
              <w:t xml:space="preserve"> </w:t>
            </w:r>
            <w:r w:rsidR="00EB7A91">
              <w:rPr>
                <w:rFonts w:asciiTheme="minorHAnsi" w:eastAsia="Times New Roman" w:hAnsiTheme="minorHAnsi" w:cstheme="minorBidi"/>
                <w:noProof/>
                <w:color w:val="333333"/>
                <w:shd w:val="clear" w:color="auto" w:fill="auto"/>
                <w:lang w:eastAsia="en-GB"/>
              </w:rPr>
              <w:t>[</w:t>
            </w:r>
            <w:r>
              <w:rPr>
                <w:rFonts w:asciiTheme="minorHAnsi" w:eastAsia="Times New Roman" w:hAnsiTheme="minorHAnsi" w:cstheme="minorBidi"/>
                <w:noProof/>
                <w:color w:val="333333"/>
                <w:shd w:val="clear" w:color="auto" w:fill="auto"/>
                <w:lang w:eastAsia="en-GB"/>
              </w:rPr>
              <w:t>19</w:t>
            </w:r>
            <w:r w:rsidR="00EB7A91">
              <w:rPr>
                <w:rFonts w:asciiTheme="minorHAnsi" w:eastAsia="Times New Roman" w:hAnsiTheme="minorHAnsi" w:cstheme="minorBidi"/>
                <w:noProof/>
                <w:color w:val="333333"/>
                <w:shd w:val="clear" w:color="auto" w:fill="auto"/>
                <w:lang w:eastAsia="en-GB"/>
              </w:rPr>
              <w:t>]</w:t>
            </w:r>
          </w:p>
        </w:tc>
        <w:tc>
          <w:tcPr>
            <w:tcW w:w="2551" w:type="dxa"/>
          </w:tcPr>
          <w:p w14:paraId="060CA80A"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 xml:space="preserve">Pre-discharge </w:t>
            </w:r>
          </w:p>
          <w:p w14:paraId="2E974779"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p>
          <w:p w14:paraId="7C9DBD80"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90 days post-discharge</w:t>
            </w:r>
          </w:p>
        </w:tc>
        <w:tc>
          <w:tcPr>
            <w:tcW w:w="2642" w:type="dxa"/>
          </w:tcPr>
          <w:p w14:paraId="4A7BE1D1"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Face to face on ward</w:t>
            </w:r>
          </w:p>
          <w:p w14:paraId="0D92F4C2"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p>
          <w:p w14:paraId="59C4642E"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p>
          <w:p w14:paraId="5E443145"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Telephone questionnaire</w:t>
            </w:r>
          </w:p>
        </w:tc>
      </w:tr>
      <w:tr w:rsidR="00A272EE" w14:paraId="6AE43F12" w14:textId="77777777" w:rsidTr="003349A6">
        <w:tc>
          <w:tcPr>
            <w:tcW w:w="3823" w:type="dxa"/>
          </w:tcPr>
          <w:p w14:paraId="4FF1CDC1"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Primary care consultations*</w:t>
            </w:r>
          </w:p>
        </w:tc>
        <w:tc>
          <w:tcPr>
            <w:tcW w:w="2551" w:type="dxa"/>
          </w:tcPr>
          <w:p w14:paraId="0A6F3391"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90 days post-discharge</w:t>
            </w:r>
          </w:p>
        </w:tc>
        <w:tc>
          <w:tcPr>
            <w:tcW w:w="2642" w:type="dxa"/>
          </w:tcPr>
          <w:p w14:paraId="6719FBF8" w14:textId="77777777" w:rsidR="00A272EE"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Pr>
                <w:rFonts w:asciiTheme="minorHAnsi" w:eastAsia="Times New Roman" w:hAnsiTheme="minorHAnsi" w:cstheme="minorHAnsi"/>
                <w:color w:val="333333"/>
                <w:shd w:val="clear" w:color="auto" w:fill="auto"/>
                <w:lang w:eastAsia="en-GB"/>
              </w:rPr>
              <w:t xml:space="preserve">Telephone questionnaire </w:t>
            </w:r>
          </w:p>
        </w:tc>
      </w:tr>
      <w:bookmarkEnd w:id="19"/>
      <w:tr w:rsidR="00A272EE" w:rsidDel="0056713F" w14:paraId="24485699" w14:textId="77777777" w:rsidTr="003349A6">
        <w:tc>
          <w:tcPr>
            <w:tcW w:w="3823" w:type="dxa"/>
          </w:tcPr>
          <w:p w14:paraId="5154778B" w14:textId="77777777" w:rsidR="00A272EE" w:rsidRPr="00B065F6" w:rsidDel="0056713F" w:rsidRDefault="00A272EE" w:rsidP="009F6427">
            <w:pPr>
              <w:spacing w:before="60" w:after="60" w:line="360" w:lineRule="auto"/>
              <w:ind w:right="90"/>
              <w:contextualSpacing/>
              <w:rPr>
                <w:lang w:eastAsia="en-GB"/>
              </w:rPr>
            </w:pPr>
            <w:r w:rsidRPr="00B065F6" w:rsidDel="0056713F">
              <w:rPr>
                <w:lang w:eastAsia="en-GB"/>
              </w:rPr>
              <w:t xml:space="preserve">Community pharmacy dispensed medicines* </w:t>
            </w:r>
          </w:p>
        </w:tc>
        <w:tc>
          <w:tcPr>
            <w:tcW w:w="2551" w:type="dxa"/>
          </w:tcPr>
          <w:p w14:paraId="307AFFD1" w14:textId="77777777" w:rsidR="00A272EE" w:rsidRPr="0056713F" w:rsidDel="0056713F"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sidRPr="0056713F" w:rsidDel="0056713F">
              <w:rPr>
                <w:rFonts w:asciiTheme="minorHAnsi" w:eastAsia="Times New Roman" w:hAnsiTheme="minorHAnsi" w:cstheme="minorHAnsi"/>
                <w:color w:val="333333"/>
                <w:shd w:val="clear" w:color="auto" w:fill="auto"/>
                <w:lang w:eastAsia="en-GB"/>
              </w:rPr>
              <w:t>90 days post-discharge</w:t>
            </w:r>
          </w:p>
        </w:tc>
        <w:tc>
          <w:tcPr>
            <w:tcW w:w="2642" w:type="dxa"/>
          </w:tcPr>
          <w:p w14:paraId="79B4B31D" w14:textId="77777777" w:rsidR="00A272EE" w:rsidRPr="0056713F" w:rsidDel="0056713F" w:rsidRDefault="00A272EE" w:rsidP="009F6427">
            <w:pPr>
              <w:spacing w:before="60" w:after="60" w:line="360" w:lineRule="auto"/>
              <w:contextualSpacing/>
              <w:jc w:val="left"/>
              <w:rPr>
                <w:rFonts w:asciiTheme="minorHAnsi" w:eastAsia="Times New Roman" w:hAnsiTheme="minorHAnsi" w:cstheme="minorHAnsi"/>
                <w:color w:val="333333"/>
                <w:shd w:val="clear" w:color="auto" w:fill="auto"/>
                <w:lang w:eastAsia="en-GB"/>
              </w:rPr>
            </w:pPr>
            <w:r w:rsidRPr="0056713F" w:rsidDel="0056713F">
              <w:rPr>
                <w:rFonts w:asciiTheme="minorHAnsi" w:eastAsia="Times New Roman" w:hAnsiTheme="minorHAnsi" w:cstheme="minorHAnsi"/>
                <w:color w:val="333333"/>
                <w:shd w:val="clear" w:color="auto" w:fill="auto"/>
                <w:lang w:eastAsia="en-GB"/>
              </w:rPr>
              <w:t>NHS England</w:t>
            </w:r>
            <w:r w:rsidRPr="00B065F6" w:rsidDel="0056713F">
              <w:rPr>
                <w:rFonts w:asciiTheme="minorHAnsi" w:eastAsia="Times New Roman" w:hAnsiTheme="minorHAnsi" w:cstheme="minorHAnsi"/>
                <w:color w:val="333333"/>
                <w:shd w:val="clear" w:color="auto" w:fill="auto"/>
                <w:lang w:eastAsia="en-GB"/>
              </w:rPr>
              <w:t>#</w:t>
            </w:r>
          </w:p>
        </w:tc>
      </w:tr>
    </w:tbl>
    <w:p w14:paraId="062EF730" w14:textId="77777777" w:rsidR="00A272EE" w:rsidRDefault="00A272EE" w:rsidP="000E71FB">
      <w:pPr>
        <w:shd w:val="clear" w:color="auto" w:fill="FFFFFF"/>
        <w:spacing w:after="0" w:line="240" w:lineRule="auto"/>
        <w:contextualSpacing/>
        <w:jc w:val="left"/>
        <w:rPr>
          <w:rFonts w:asciiTheme="minorHAnsi" w:eastAsia="Times New Roman" w:hAnsiTheme="minorHAnsi" w:cstheme="minorHAnsi"/>
          <w:color w:val="333333"/>
          <w:shd w:val="clear" w:color="auto" w:fill="auto"/>
          <w:vertAlign w:val="superscript"/>
          <w:lang w:eastAsia="en-GB"/>
        </w:rPr>
      </w:pPr>
    </w:p>
    <w:p w14:paraId="52CDAA7A" w14:textId="77777777" w:rsidR="00A272EE" w:rsidRDefault="00A272EE" w:rsidP="000E71FB">
      <w:pPr>
        <w:shd w:val="clear" w:color="auto" w:fill="FFFFFF"/>
        <w:spacing w:after="0" w:line="240" w:lineRule="auto"/>
        <w:contextualSpacing/>
        <w:jc w:val="left"/>
        <w:rPr>
          <w:rFonts w:asciiTheme="minorHAnsi" w:eastAsia="Times New Roman" w:hAnsiTheme="minorHAnsi" w:cstheme="minorHAnsi"/>
          <w:color w:val="333333"/>
          <w:sz w:val="20"/>
          <w:szCs w:val="20"/>
          <w:shd w:val="clear" w:color="auto" w:fill="auto"/>
          <w:lang w:eastAsia="en-GB"/>
        </w:rPr>
      </w:pPr>
      <w:r w:rsidRPr="00F024C1">
        <w:rPr>
          <w:rFonts w:asciiTheme="minorHAnsi" w:eastAsia="Times New Roman" w:hAnsiTheme="minorHAnsi" w:cstheme="minorHAnsi"/>
          <w:color w:val="333333"/>
          <w:shd w:val="clear" w:color="auto" w:fill="auto"/>
          <w:vertAlign w:val="superscript"/>
          <w:lang w:eastAsia="en-GB"/>
        </w:rPr>
        <w:t>*</w:t>
      </w:r>
      <w:r>
        <w:rPr>
          <w:rFonts w:asciiTheme="minorHAnsi" w:eastAsia="Times New Roman" w:hAnsiTheme="minorHAnsi" w:cstheme="minorHAnsi"/>
          <w:color w:val="333333"/>
          <w:shd w:val="clear" w:color="auto" w:fill="auto"/>
          <w:lang w:eastAsia="en-GB"/>
        </w:rPr>
        <w:t xml:space="preserve"> </w:t>
      </w:r>
      <w:r w:rsidRPr="00143B39">
        <w:rPr>
          <w:rFonts w:asciiTheme="minorHAnsi" w:eastAsia="Times New Roman" w:hAnsiTheme="minorHAnsi" w:cstheme="minorHAnsi"/>
          <w:color w:val="333333"/>
          <w:sz w:val="20"/>
          <w:szCs w:val="20"/>
          <w:shd w:val="clear" w:color="auto" w:fill="auto"/>
          <w:lang w:eastAsia="en-GB"/>
        </w:rPr>
        <w:t>Captured for additional health economic analysis purposes</w:t>
      </w:r>
    </w:p>
    <w:p w14:paraId="3711F372" w14:textId="77777777" w:rsidR="00A272EE" w:rsidRPr="00143B39" w:rsidRDefault="00A272EE" w:rsidP="000E71FB">
      <w:pPr>
        <w:shd w:val="clear" w:color="auto" w:fill="FFFFFF"/>
        <w:spacing w:after="0" w:line="240" w:lineRule="auto"/>
        <w:contextualSpacing/>
        <w:jc w:val="left"/>
        <w:rPr>
          <w:rFonts w:asciiTheme="minorHAnsi" w:eastAsia="Times New Roman" w:hAnsiTheme="minorHAnsi" w:cstheme="minorHAnsi"/>
          <w:color w:val="333333"/>
          <w:sz w:val="20"/>
          <w:szCs w:val="20"/>
          <w:shd w:val="clear" w:color="auto" w:fill="auto"/>
          <w:lang w:eastAsia="en-GB"/>
        </w:rPr>
      </w:pPr>
      <w:r w:rsidRPr="00F024C1">
        <w:rPr>
          <w:rFonts w:asciiTheme="minorHAnsi" w:eastAsia="Times New Roman" w:hAnsiTheme="minorHAnsi" w:cstheme="minorHAnsi"/>
          <w:color w:val="333333"/>
          <w:shd w:val="clear" w:color="auto" w:fill="auto"/>
          <w:vertAlign w:val="superscript"/>
          <w:lang w:eastAsia="en-GB"/>
        </w:rPr>
        <w:t>*</w:t>
      </w:r>
      <w:r>
        <w:rPr>
          <w:rFonts w:asciiTheme="minorHAnsi" w:eastAsia="Times New Roman" w:hAnsiTheme="minorHAnsi" w:cstheme="minorHAnsi"/>
          <w:color w:val="333333"/>
          <w:shd w:val="clear" w:color="auto" w:fill="auto"/>
          <w:vertAlign w:val="superscript"/>
          <w:lang w:eastAsia="en-GB"/>
        </w:rPr>
        <w:t>*</w:t>
      </w:r>
      <w:r>
        <w:rPr>
          <w:rFonts w:asciiTheme="minorHAnsi" w:eastAsia="Times New Roman" w:hAnsiTheme="minorHAnsi" w:cstheme="minorHAnsi"/>
          <w:color w:val="333333"/>
          <w:sz w:val="20"/>
          <w:szCs w:val="20"/>
          <w:shd w:val="clear" w:color="auto" w:fill="auto"/>
          <w:lang w:eastAsia="en-GB"/>
        </w:rPr>
        <w:t xml:space="preserve"> During enhanced data collection periods consent/assent for routine data collection was sought wherever possible, but where not possible, Section251 approval was applied. Where participants declined to consent/assent routine data was not collected. </w:t>
      </w:r>
    </w:p>
    <w:p w14:paraId="46B5302F" w14:textId="77777777" w:rsidR="00A272EE" w:rsidRPr="00143B39" w:rsidRDefault="00A272EE" w:rsidP="000E71FB">
      <w:pPr>
        <w:shd w:val="clear" w:color="auto" w:fill="FFFFFF"/>
        <w:spacing w:after="0" w:line="240" w:lineRule="auto"/>
        <w:contextualSpacing/>
        <w:jc w:val="left"/>
        <w:rPr>
          <w:rFonts w:asciiTheme="minorHAnsi" w:eastAsia="Times New Roman" w:hAnsiTheme="minorHAnsi" w:cstheme="minorHAnsi"/>
          <w:color w:val="333333"/>
          <w:sz w:val="20"/>
          <w:szCs w:val="20"/>
          <w:shd w:val="clear" w:color="auto" w:fill="auto"/>
          <w:lang w:eastAsia="en-GB"/>
        </w:rPr>
      </w:pPr>
      <w:r w:rsidRPr="00143B39">
        <w:rPr>
          <w:rFonts w:asciiTheme="minorHAnsi" w:eastAsia="Times New Roman" w:hAnsiTheme="minorHAnsi" w:cstheme="minorHAnsi"/>
          <w:color w:val="333333"/>
          <w:sz w:val="20"/>
          <w:szCs w:val="20"/>
          <w:shd w:val="clear" w:color="auto" w:fill="auto"/>
          <w:vertAlign w:val="superscript"/>
          <w:lang w:eastAsia="en-GB"/>
        </w:rPr>
        <w:t>#</w:t>
      </w:r>
      <w:r w:rsidRPr="00143B39">
        <w:rPr>
          <w:rFonts w:asciiTheme="minorHAnsi" w:eastAsia="Times New Roman" w:hAnsiTheme="minorHAnsi" w:cstheme="minorHAnsi"/>
          <w:color w:val="333333"/>
          <w:sz w:val="20"/>
          <w:szCs w:val="20"/>
          <w:shd w:val="clear" w:color="auto" w:fill="auto"/>
          <w:lang w:eastAsia="en-GB"/>
        </w:rPr>
        <w:t xml:space="preserve"> National agency responsible for collation and provision of healthcare data</w:t>
      </w:r>
    </w:p>
    <w:p w14:paraId="300657C3" w14:textId="28F2135B" w:rsidR="00A272EE" w:rsidRPr="00143B39" w:rsidRDefault="00A272EE" w:rsidP="000E71FB">
      <w:pPr>
        <w:shd w:val="clear" w:color="auto" w:fill="FFFFFF" w:themeFill="background1"/>
        <w:spacing w:after="0" w:line="240" w:lineRule="auto"/>
        <w:contextualSpacing/>
        <w:jc w:val="left"/>
        <w:rPr>
          <w:rFonts w:asciiTheme="minorHAnsi" w:eastAsia="Times New Roman" w:hAnsiTheme="minorHAnsi" w:cstheme="minorBidi"/>
          <w:color w:val="333333"/>
          <w:sz w:val="20"/>
          <w:szCs w:val="20"/>
          <w:shd w:val="clear" w:color="auto" w:fill="auto"/>
          <w:vertAlign w:val="superscript"/>
          <w:lang w:eastAsia="en-GB"/>
        </w:rPr>
      </w:pPr>
      <w:r w:rsidRPr="00143B39">
        <w:rPr>
          <w:rFonts w:asciiTheme="minorHAnsi" w:eastAsia="Times New Roman" w:hAnsiTheme="minorHAnsi" w:cstheme="minorBidi"/>
          <w:color w:val="333333"/>
          <w:sz w:val="20"/>
          <w:szCs w:val="20"/>
          <w:shd w:val="clear" w:color="auto" w:fill="auto"/>
          <w:vertAlign w:val="superscript"/>
          <w:lang w:eastAsia="en-GB"/>
        </w:rPr>
        <w:t xml:space="preserve">% </w:t>
      </w:r>
      <w:r w:rsidRPr="00143B39">
        <w:rPr>
          <w:sz w:val="20"/>
          <w:szCs w:val="20"/>
        </w:rPr>
        <w:t>Questionnaire with 12-</w:t>
      </w:r>
      <w:proofErr w:type="gramStart"/>
      <w:r w:rsidRPr="00143B39">
        <w:rPr>
          <w:sz w:val="20"/>
          <w:szCs w:val="20"/>
        </w:rPr>
        <w:t>items  based</w:t>
      </w:r>
      <w:proofErr w:type="gramEnd"/>
      <w:r w:rsidRPr="00143B39">
        <w:rPr>
          <w:sz w:val="20"/>
          <w:szCs w:val="20"/>
        </w:rPr>
        <w:t xml:space="preserve"> on previously published survey tool.</w:t>
      </w:r>
      <w:r w:rsidRPr="00143B39">
        <w:rPr>
          <w:noProof/>
          <w:sz w:val="20"/>
          <w:szCs w:val="20"/>
        </w:rPr>
        <w:t xml:space="preserve"> </w:t>
      </w:r>
      <w:r w:rsidR="00EB7A91">
        <w:rPr>
          <w:noProof/>
          <w:sz w:val="20"/>
          <w:szCs w:val="20"/>
        </w:rPr>
        <w:t>[</w:t>
      </w:r>
      <w:r w:rsidRPr="00143B39">
        <w:rPr>
          <w:noProof/>
          <w:sz w:val="20"/>
          <w:szCs w:val="20"/>
        </w:rPr>
        <w:t>20</w:t>
      </w:r>
      <w:r w:rsidR="00EB7A91">
        <w:rPr>
          <w:noProof/>
          <w:sz w:val="20"/>
          <w:szCs w:val="20"/>
        </w:rPr>
        <w:t>]</w:t>
      </w:r>
    </w:p>
    <w:p w14:paraId="7E61A1C3" w14:textId="697CEC32" w:rsidR="00A272EE" w:rsidRPr="00143B39" w:rsidRDefault="00A272EE" w:rsidP="000E71FB">
      <w:pPr>
        <w:shd w:val="clear" w:color="auto" w:fill="FFFFFF"/>
        <w:spacing w:after="0" w:line="240" w:lineRule="auto"/>
        <w:contextualSpacing/>
        <w:jc w:val="left"/>
        <w:rPr>
          <w:rFonts w:asciiTheme="minorHAnsi" w:eastAsia="Times New Roman" w:hAnsiTheme="minorHAnsi" w:cstheme="minorHAnsi"/>
          <w:color w:val="333333"/>
          <w:sz w:val="20"/>
          <w:szCs w:val="20"/>
          <w:shd w:val="clear" w:color="auto" w:fill="auto"/>
          <w:lang w:eastAsia="en-GB"/>
        </w:rPr>
      </w:pPr>
      <w:r w:rsidRPr="00143B39">
        <w:rPr>
          <w:rFonts w:asciiTheme="minorHAnsi" w:eastAsia="Times New Roman" w:hAnsiTheme="minorHAnsi" w:cstheme="minorHAnsi"/>
          <w:color w:val="333333"/>
          <w:sz w:val="20"/>
          <w:szCs w:val="20"/>
          <w:shd w:val="clear" w:color="auto" w:fill="auto"/>
          <w:vertAlign w:val="superscript"/>
          <w:lang w:eastAsia="en-GB"/>
        </w:rPr>
        <w:t>£</w:t>
      </w:r>
      <w:r w:rsidRPr="00143B39">
        <w:rPr>
          <w:rFonts w:asciiTheme="minorHAnsi" w:eastAsia="Times New Roman" w:hAnsiTheme="minorHAnsi" w:cstheme="minorHAnsi"/>
          <w:color w:val="333333"/>
          <w:sz w:val="20"/>
          <w:szCs w:val="20"/>
          <w:shd w:val="clear" w:color="auto" w:fill="auto"/>
          <w:lang w:eastAsia="en-GB"/>
        </w:rPr>
        <w:t xml:space="preserve"> </w:t>
      </w:r>
      <w:r w:rsidRPr="00143B39">
        <w:rPr>
          <w:rFonts w:asciiTheme="minorHAnsi" w:hAnsiTheme="minorHAnsi" w:cstheme="minorHAnsi"/>
          <w:sz w:val="20"/>
          <w:szCs w:val="20"/>
        </w:rPr>
        <w:t>Questionnaire with 17-items inviting respondents to indicate whether or not they have experienced any of the medication related adverse events listed. The list is derived from an observational study of medication</w:t>
      </w:r>
      <w:r>
        <w:rPr>
          <w:rFonts w:asciiTheme="minorHAnsi" w:hAnsiTheme="minorHAnsi" w:cstheme="minorHAnsi"/>
          <w:sz w:val="20"/>
          <w:szCs w:val="20"/>
        </w:rPr>
        <w:t xml:space="preserve"> related adverse events.</w:t>
      </w:r>
      <w:r w:rsidRPr="00143B39">
        <w:rPr>
          <w:rFonts w:asciiTheme="minorHAnsi" w:hAnsiTheme="minorHAnsi" w:cstheme="minorHAnsi"/>
          <w:sz w:val="20"/>
          <w:szCs w:val="20"/>
        </w:rPr>
        <w:t xml:space="preserve"> </w:t>
      </w:r>
      <w:r w:rsidR="00EB7A91">
        <w:rPr>
          <w:rFonts w:asciiTheme="minorHAnsi" w:hAnsiTheme="minorHAnsi" w:cstheme="minorHAnsi"/>
          <w:noProof/>
          <w:sz w:val="20"/>
          <w:szCs w:val="20"/>
        </w:rPr>
        <w:t>[</w:t>
      </w:r>
      <w:r w:rsidRPr="00143B39">
        <w:rPr>
          <w:rFonts w:asciiTheme="minorHAnsi" w:hAnsiTheme="minorHAnsi" w:cstheme="minorHAnsi"/>
          <w:noProof/>
          <w:sz w:val="20"/>
          <w:szCs w:val="20"/>
        </w:rPr>
        <w:t>21</w:t>
      </w:r>
      <w:r w:rsidR="00EB7A91">
        <w:rPr>
          <w:rFonts w:asciiTheme="minorHAnsi" w:hAnsiTheme="minorHAnsi" w:cstheme="minorHAnsi"/>
          <w:noProof/>
          <w:sz w:val="20"/>
          <w:szCs w:val="20"/>
        </w:rPr>
        <w:t>]</w:t>
      </w:r>
    </w:p>
    <w:p w14:paraId="0287B273" w14:textId="77777777" w:rsidR="00A272EE" w:rsidRPr="000E71FB" w:rsidRDefault="00A272EE" w:rsidP="000E71FB">
      <w:pPr>
        <w:shd w:val="clear" w:color="auto" w:fill="FFFFFF"/>
        <w:spacing w:after="0" w:line="240" w:lineRule="auto"/>
        <w:contextualSpacing/>
        <w:jc w:val="left"/>
        <w:rPr>
          <w:rFonts w:asciiTheme="minorHAnsi" w:eastAsia="Times New Roman" w:hAnsiTheme="minorHAnsi" w:cstheme="minorHAnsi"/>
          <w:color w:val="333333"/>
          <w:sz w:val="20"/>
          <w:szCs w:val="20"/>
          <w:shd w:val="clear" w:color="auto" w:fill="auto"/>
          <w:vertAlign w:val="superscript"/>
          <w:lang w:eastAsia="en-GB"/>
        </w:rPr>
      </w:pPr>
      <w:r w:rsidRPr="00143B39">
        <w:rPr>
          <w:rFonts w:asciiTheme="minorHAnsi" w:eastAsia="Times New Roman" w:hAnsiTheme="minorHAnsi" w:cstheme="minorHAnsi"/>
          <w:color w:val="333333"/>
          <w:sz w:val="20"/>
          <w:szCs w:val="20"/>
          <w:shd w:val="clear" w:color="auto" w:fill="auto"/>
          <w:vertAlign w:val="superscript"/>
          <w:lang w:eastAsia="en-GB"/>
        </w:rPr>
        <w:t>$</w:t>
      </w:r>
      <w:r w:rsidRPr="00143B39">
        <w:rPr>
          <w:rFonts w:asciiTheme="minorHAnsi" w:eastAsia="Times New Roman" w:hAnsiTheme="minorHAnsi" w:cstheme="minorHAnsi"/>
          <w:color w:val="333333"/>
          <w:sz w:val="20"/>
          <w:szCs w:val="20"/>
          <w:shd w:val="clear" w:color="auto" w:fill="auto"/>
          <w:lang w:eastAsia="en-GB"/>
        </w:rPr>
        <w:t>To enable the outcomes regarding medication to be collated the following data will be collected:</w:t>
      </w:r>
    </w:p>
    <w:p w14:paraId="2AD59BF4" w14:textId="77777777" w:rsidR="00A272EE" w:rsidRPr="00143B39" w:rsidRDefault="00A272EE" w:rsidP="00A272EE">
      <w:pPr>
        <w:pStyle w:val="ListParagraph"/>
        <w:numPr>
          <w:ilvl w:val="0"/>
          <w:numId w:val="7"/>
        </w:numPr>
        <w:spacing w:after="0" w:line="240" w:lineRule="auto"/>
        <w:jc w:val="left"/>
        <w:rPr>
          <w:rFonts w:eastAsia="Times New Roman"/>
          <w:sz w:val="20"/>
          <w:szCs w:val="20"/>
          <w:shd w:val="clear" w:color="auto" w:fill="auto"/>
        </w:rPr>
      </w:pPr>
      <w:r w:rsidRPr="00143B39">
        <w:rPr>
          <w:rFonts w:eastAsia="Times New Roman"/>
          <w:sz w:val="20"/>
          <w:szCs w:val="20"/>
        </w:rPr>
        <w:t>Name, dose and frequency of all medicines prescribed to the patient before any changes were made during the hospital admission</w:t>
      </w:r>
    </w:p>
    <w:p w14:paraId="5FCC9FA1" w14:textId="77777777" w:rsidR="00A272EE" w:rsidRPr="00143B39" w:rsidRDefault="00A272EE" w:rsidP="00A272EE">
      <w:pPr>
        <w:pStyle w:val="ListParagraph"/>
        <w:numPr>
          <w:ilvl w:val="0"/>
          <w:numId w:val="7"/>
        </w:numPr>
        <w:spacing w:after="0" w:line="240" w:lineRule="auto"/>
        <w:jc w:val="left"/>
        <w:rPr>
          <w:rFonts w:eastAsia="Times New Roman"/>
          <w:sz w:val="20"/>
          <w:szCs w:val="20"/>
        </w:rPr>
      </w:pPr>
      <w:r w:rsidRPr="00143B39">
        <w:rPr>
          <w:rFonts w:eastAsia="Times New Roman"/>
          <w:sz w:val="20"/>
          <w:szCs w:val="20"/>
        </w:rPr>
        <w:t>Any changes made to the above medicines (stopped, dose reduction, dose increase or change in frequency)</w:t>
      </w:r>
    </w:p>
    <w:p w14:paraId="4814D8FA" w14:textId="77777777" w:rsidR="00A272EE" w:rsidRPr="00143B39" w:rsidRDefault="00A272EE" w:rsidP="00A272EE">
      <w:pPr>
        <w:pStyle w:val="ListParagraph"/>
        <w:numPr>
          <w:ilvl w:val="0"/>
          <w:numId w:val="7"/>
        </w:numPr>
        <w:spacing w:after="0" w:line="240" w:lineRule="auto"/>
        <w:jc w:val="left"/>
        <w:rPr>
          <w:rFonts w:eastAsia="Times New Roman"/>
          <w:sz w:val="20"/>
          <w:szCs w:val="20"/>
        </w:rPr>
      </w:pPr>
      <w:r w:rsidRPr="00143B39">
        <w:rPr>
          <w:rFonts w:eastAsia="Times New Roman"/>
          <w:sz w:val="20"/>
          <w:szCs w:val="20"/>
        </w:rPr>
        <w:t xml:space="preserve">Name, dose and frequency of any new medicines started during the admission that are requested to be continued post discharge </w:t>
      </w:r>
    </w:p>
    <w:p w14:paraId="62D4C177" w14:textId="77777777" w:rsidR="00A272EE" w:rsidRDefault="00A272EE" w:rsidP="0042500B">
      <w:pPr>
        <w:rPr>
          <w:lang w:eastAsia="en-GB"/>
        </w:rPr>
      </w:pPr>
    </w:p>
    <w:p w14:paraId="170ED97C" w14:textId="77777777" w:rsidR="00A272EE" w:rsidRPr="00C61E6E" w:rsidRDefault="00A272EE" w:rsidP="003349A6">
      <w:pPr>
        <w:spacing w:after="0" w:line="480" w:lineRule="auto"/>
        <w:rPr>
          <w:lang w:eastAsia="en-GB"/>
        </w:rPr>
      </w:pPr>
      <w:r w:rsidRPr="057C832C">
        <w:rPr>
          <w:lang w:eastAsia="en-GB"/>
        </w:rPr>
        <w:lastRenderedPageBreak/>
        <w:t>Geriatrician and pharmacist participants will complete the following at the point of site set up:</w:t>
      </w:r>
    </w:p>
    <w:p w14:paraId="2FBA2910" w14:textId="77777777" w:rsidR="00A272EE" w:rsidRPr="0099579D" w:rsidRDefault="00A272EE" w:rsidP="00A272EE">
      <w:pPr>
        <w:pStyle w:val="ListParagraph"/>
        <w:numPr>
          <w:ilvl w:val="0"/>
          <w:numId w:val="4"/>
        </w:numPr>
        <w:spacing w:line="480" w:lineRule="auto"/>
        <w:rPr>
          <w:rFonts w:asciiTheme="minorHAnsi" w:eastAsiaTheme="minorEastAsia" w:hAnsiTheme="minorHAnsi" w:cstheme="minorBidi"/>
          <w:lang w:eastAsia="en-GB"/>
        </w:rPr>
      </w:pPr>
      <w:r w:rsidRPr="748A020C">
        <w:rPr>
          <w:rFonts w:eastAsia="Calibri"/>
          <w:lang w:eastAsia="en-GB"/>
        </w:rPr>
        <w:t>Short demographics questionnaire (Age, Gender, Ethnicity, Job-role. Grade, Training)</w:t>
      </w:r>
    </w:p>
    <w:p w14:paraId="13C61B70" w14:textId="1AC35A28" w:rsidR="00A272EE" w:rsidRDefault="00A272EE" w:rsidP="00A272EE">
      <w:pPr>
        <w:pStyle w:val="ListParagraph"/>
        <w:numPr>
          <w:ilvl w:val="0"/>
          <w:numId w:val="4"/>
        </w:numPr>
        <w:spacing w:line="480" w:lineRule="auto"/>
        <w:rPr>
          <w:rFonts w:asciiTheme="minorHAnsi" w:eastAsiaTheme="minorEastAsia" w:hAnsiTheme="minorHAnsi" w:cstheme="minorBidi"/>
          <w:lang w:eastAsia="en-GB"/>
        </w:rPr>
      </w:pPr>
      <w:r w:rsidRPr="2CAD7983">
        <w:rPr>
          <w:rFonts w:asciiTheme="minorHAnsi" w:eastAsiaTheme="minorEastAsia" w:hAnsiTheme="minorHAnsi" w:cstheme="minorBidi"/>
          <w:lang w:eastAsia="en-GB"/>
        </w:rPr>
        <w:t xml:space="preserve">Mechanism of Action questionnaire – an 11-item questionnaire measuring the extent to which the CHARMER intervention has addressed the intended four barriers and one enabler to proactive deprescribing. </w:t>
      </w:r>
      <w:r w:rsidR="00E60215">
        <w:rPr>
          <w:rFonts w:asciiTheme="minorHAnsi" w:eastAsiaTheme="minorEastAsia" w:hAnsiTheme="minorHAnsi" w:cstheme="minorBidi"/>
          <w:noProof/>
          <w:lang w:eastAsia="en-GB"/>
        </w:rPr>
        <w:t>[</w:t>
      </w:r>
      <w:r w:rsidRPr="2CAD7983">
        <w:rPr>
          <w:rFonts w:asciiTheme="minorHAnsi" w:eastAsiaTheme="minorEastAsia" w:hAnsiTheme="minorHAnsi" w:cstheme="minorBidi"/>
          <w:noProof/>
          <w:lang w:eastAsia="en-GB"/>
        </w:rPr>
        <w:t>15</w:t>
      </w:r>
      <w:r w:rsidR="00E60215">
        <w:rPr>
          <w:rFonts w:asciiTheme="minorHAnsi" w:eastAsiaTheme="minorEastAsia" w:hAnsiTheme="minorHAnsi" w:cstheme="minorBidi"/>
          <w:noProof/>
          <w:lang w:eastAsia="en-GB"/>
        </w:rPr>
        <w:t>]</w:t>
      </w:r>
    </w:p>
    <w:p w14:paraId="32175C40" w14:textId="19317CBF" w:rsidR="00A272EE" w:rsidRPr="00755584" w:rsidRDefault="00A272EE" w:rsidP="00A272EE">
      <w:pPr>
        <w:pStyle w:val="ListParagraph"/>
        <w:numPr>
          <w:ilvl w:val="0"/>
          <w:numId w:val="4"/>
        </w:numPr>
        <w:spacing w:line="480" w:lineRule="auto"/>
        <w:rPr>
          <w:rFonts w:eastAsia="Calibri"/>
          <w:color w:val="000000" w:themeColor="text1"/>
        </w:rPr>
      </w:pPr>
      <w:r w:rsidRPr="2CAD7983">
        <w:rPr>
          <w:rFonts w:asciiTheme="minorHAnsi" w:eastAsiaTheme="minorEastAsia" w:hAnsiTheme="minorHAnsi" w:cstheme="minorBidi"/>
          <w:noProof/>
          <w:lang w:eastAsia="en-GB"/>
        </w:rPr>
        <w:t xml:space="preserve">Process of deprecribing questionnaire - a </w:t>
      </w:r>
      <w:r>
        <w:rPr>
          <w:rFonts w:asciiTheme="minorHAnsi" w:eastAsiaTheme="minorEastAsia" w:hAnsiTheme="minorHAnsi" w:cstheme="minorBidi"/>
          <w:noProof/>
          <w:lang w:eastAsia="en-GB"/>
        </w:rPr>
        <w:t>19</w:t>
      </w:r>
      <w:r w:rsidRPr="2CAD7983">
        <w:rPr>
          <w:rFonts w:asciiTheme="minorHAnsi" w:eastAsiaTheme="minorEastAsia" w:hAnsiTheme="minorHAnsi" w:cstheme="minorBidi"/>
          <w:noProof/>
          <w:lang w:eastAsia="en-GB"/>
        </w:rPr>
        <w:t xml:space="preserve"> item questionnaire capturing</w:t>
      </w:r>
      <w:r w:rsidRPr="2CAD7983">
        <w:rPr>
          <w:rFonts w:eastAsia="Calibri"/>
          <w:noProof/>
          <w:color w:val="000000" w:themeColor="text1"/>
        </w:rPr>
        <w:t xml:space="preserve"> the</w:t>
      </w:r>
      <w:r>
        <w:rPr>
          <w:rFonts w:eastAsia="Calibri"/>
          <w:noProof/>
          <w:color w:val="000000" w:themeColor="text1"/>
        </w:rPr>
        <w:t xml:space="preserve"> extent to which practitioners underake the steps within the process of </w:t>
      </w:r>
      <w:r w:rsidRPr="2CAD7983">
        <w:rPr>
          <w:rFonts w:eastAsia="Calibri"/>
          <w:noProof/>
          <w:color w:val="000000" w:themeColor="text1"/>
        </w:rPr>
        <w:t>proactively deprescribing in hospital</w:t>
      </w:r>
      <w:r>
        <w:rPr>
          <w:rFonts w:eastAsia="Calibri"/>
          <w:noProof/>
          <w:color w:val="000000" w:themeColor="text1"/>
        </w:rPr>
        <w:t xml:space="preserve">. </w:t>
      </w:r>
      <w:r w:rsidR="00EB7A91">
        <w:rPr>
          <w:rFonts w:eastAsia="Calibri"/>
          <w:noProof/>
          <w:color w:val="000000" w:themeColor="text1"/>
        </w:rPr>
        <w:t>[</w:t>
      </w:r>
      <w:r>
        <w:rPr>
          <w:rFonts w:eastAsia="Calibri"/>
          <w:noProof/>
          <w:color w:val="000000" w:themeColor="text1"/>
        </w:rPr>
        <w:t>22</w:t>
      </w:r>
      <w:r w:rsidR="00EB7A91">
        <w:rPr>
          <w:rFonts w:eastAsia="Calibri"/>
          <w:noProof/>
          <w:color w:val="000000" w:themeColor="text1"/>
        </w:rPr>
        <w:t>]</w:t>
      </w:r>
    </w:p>
    <w:p w14:paraId="79A8E1EB" w14:textId="77777777" w:rsidR="00A272EE" w:rsidRPr="009752D8" w:rsidRDefault="00A272EE" w:rsidP="00791A6A">
      <w:pPr>
        <w:shd w:val="clear" w:color="auto" w:fill="FFFFFF"/>
        <w:spacing w:after="0" w:line="480" w:lineRule="auto"/>
        <w:contextualSpacing/>
        <w:jc w:val="left"/>
        <w:rPr>
          <w:rFonts w:asciiTheme="minorHAnsi" w:eastAsia="Times New Roman" w:hAnsiTheme="minorHAnsi" w:cstheme="minorHAnsi"/>
          <w:b/>
          <w:bCs/>
          <w:shd w:val="clear" w:color="auto" w:fill="auto"/>
          <w:lang w:eastAsia="en-GB"/>
        </w:rPr>
      </w:pPr>
      <w:r w:rsidRPr="009752D8">
        <w:rPr>
          <w:rFonts w:asciiTheme="minorHAnsi" w:eastAsia="Times New Roman" w:hAnsiTheme="minorHAnsi" w:cstheme="minorHAnsi"/>
          <w:b/>
          <w:bCs/>
          <w:shd w:val="clear" w:color="auto" w:fill="auto"/>
          <w:lang w:eastAsia="en-GB"/>
        </w:rPr>
        <w:t xml:space="preserve">Withdrawal </w:t>
      </w:r>
    </w:p>
    <w:p w14:paraId="5EEFF1A6" w14:textId="77777777" w:rsidR="00A272EE" w:rsidRDefault="00A272EE" w:rsidP="2CAD7983">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2CAD7983">
        <w:rPr>
          <w:rFonts w:asciiTheme="minorHAnsi" w:eastAsia="Times New Roman" w:hAnsiTheme="minorHAnsi" w:cstheme="minorBidi"/>
          <w:shd w:val="clear" w:color="auto" w:fill="auto"/>
          <w:lang w:eastAsia="en-GB"/>
        </w:rPr>
        <w:t xml:space="preserve">Hospitals, </w:t>
      </w:r>
      <w:r>
        <w:rPr>
          <w:rFonts w:asciiTheme="minorHAnsi" w:eastAsia="Times New Roman" w:hAnsiTheme="minorHAnsi" w:cstheme="minorBidi"/>
          <w:shd w:val="clear" w:color="auto" w:fill="auto"/>
          <w:lang w:eastAsia="en-GB"/>
        </w:rPr>
        <w:t>geriatrician and pharmacist,</w:t>
      </w:r>
      <w:r w:rsidRPr="2CAD7983">
        <w:rPr>
          <w:rFonts w:asciiTheme="minorHAnsi" w:eastAsia="Times New Roman" w:hAnsiTheme="minorHAnsi" w:cstheme="minorBidi"/>
          <w:shd w:val="clear" w:color="auto" w:fill="auto"/>
          <w:lang w:eastAsia="en-GB"/>
        </w:rPr>
        <w:t xml:space="preserve"> and patient</w:t>
      </w:r>
      <w:r>
        <w:rPr>
          <w:rFonts w:asciiTheme="minorHAnsi" w:eastAsia="Times New Roman" w:hAnsiTheme="minorHAnsi" w:cstheme="minorBidi"/>
          <w:shd w:val="clear" w:color="auto" w:fill="auto"/>
          <w:lang w:eastAsia="en-GB"/>
        </w:rPr>
        <w:t xml:space="preserve"> participants</w:t>
      </w:r>
      <w:r w:rsidRPr="2CAD7983">
        <w:rPr>
          <w:rFonts w:asciiTheme="minorHAnsi" w:eastAsia="Times New Roman" w:hAnsiTheme="minorHAnsi" w:cstheme="minorBidi"/>
          <w:shd w:val="clear" w:color="auto" w:fill="auto"/>
          <w:lang w:eastAsia="en-GB"/>
        </w:rPr>
        <w:t xml:space="preserve"> will be able to withdraw from the study at any time, without providing a reason, by informing a member of the research team. If a hospital chooses to withdraw from the trial, all data collected up until the point of withdrawal will be retained and a replacement site may be recruited. </w:t>
      </w:r>
    </w:p>
    <w:p w14:paraId="13BEF98F" w14:textId="77777777" w:rsidR="00A272EE" w:rsidRPr="009752D8" w:rsidRDefault="00A272EE" w:rsidP="001301E0">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2CAD7983">
        <w:rPr>
          <w:rFonts w:asciiTheme="minorHAnsi" w:eastAsia="Times New Roman" w:hAnsiTheme="minorHAnsi" w:cstheme="minorBidi"/>
          <w:shd w:val="clear" w:color="auto" w:fill="auto"/>
          <w:lang w:eastAsia="en-GB"/>
        </w:rPr>
        <w:t xml:space="preserve">If </w:t>
      </w:r>
      <w:r>
        <w:rPr>
          <w:rFonts w:asciiTheme="minorHAnsi" w:eastAsia="Times New Roman" w:hAnsiTheme="minorHAnsi" w:cstheme="minorBidi"/>
          <w:shd w:val="clear" w:color="auto" w:fill="auto"/>
          <w:lang w:eastAsia="en-GB"/>
        </w:rPr>
        <w:t>geriatrician and pharmacist</w:t>
      </w:r>
      <w:r w:rsidRPr="2CAD7983">
        <w:rPr>
          <w:rFonts w:asciiTheme="minorHAnsi" w:eastAsia="Times New Roman" w:hAnsiTheme="minorHAnsi" w:cstheme="minorBidi"/>
          <w:shd w:val="clear" w:color="auto" w:fill="auto"/>
          <w:lang w:eastAsia="en-GB"/>
        </w:rPr>
        <w:t xml:space="preserve"> participants choose to withdraw during the trial, any data they have already contributed as participants will continue to be used. If it is feasible and the trial can progress as planned, we will work with the relevant PI to recruit a replacement </w:t>
      </w:r>
      <w:r>
        <w:rPr>
          <w:rFonts w:asciiTheme="minorHAnsi" w:eastAsia="Times New Roman" w:hAnsiTheme="minorHAnsi" w:cstheme="minorBidi"/>
          <w:shd w:val="clear" w:color="auto" w:fill="auto"/>
          <w:lang w:eastAsia="en-GB"/>
        </w:rPr>
        <w:t xml:space="preserve">geriatrician or pharmacist </w:t>
      </w:r>
      <w:r w:rsidRPr="2CAD7983">
        <w:rPr>
          <w:rFonts w:asciiTheme="minorHAnsi" w:eastAsia="Times New Roman" w:hAnsiTheme="minorHAnsi" w:cstheme="minorBidi"/>
          <w:shd w:val="clear" w:color="auto" w:fill="auto"/>
          <w:lang w:eastAsia="en-GB"/>
        </w:rPr>
        <w:t xml:space="preserve">if one withdraws. If this is not possible e.g., study is nearing completion, we will continue the trial with the remaining </w:t>
      </w:r>
      <w:r>
        <w:rPr>
          <w:rFonts w:asciiTheme="minorHAnsi" w:eastAsia="Times New Roman" w:hAnsiTheme="minorHAnsi" w:cstheme="minorBidi"/>
          <w:shd w:val="clear" w:color="auto" w:fill="auto"/>
          <w:lang w:eastAsia="en-GB"/>
        </w:rPr>
        <w:t>geriatricians and pharmacists</w:t>
      </w:r>
      <w:r w:rsidRPr="2CAD7983">
        <w:rPr>
          <w:rFonts w:asciiTheme="minorHAnsi" w:eastAsia="Times New Roman" w:hAnsiTheme="minorHAnsi" w:cstheme="minorBidi"/>
          <w:shd w:val="clear" w:color="auto" w:fill="auto"/>
          <w:lang w:eastAsia="en-GB"/>
        </w:rPr>
        <w:t xml:space="preserve">. </w:t>
      </w:r>
    </w:p>
    <w:p w14:paraId="4F015051" w14:textId="77777777" w:rsidR="00A272EE" w:rsidRPr="009752D8" w:rsidRDefault="00A272EE" w:rsidP="001301E0">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057C832C">
        <w:rPr>
          <w:rFonts w:asciiTheme="minorHAnsi" w:eastAsia="Times New Roman" w:hAnsiTheme="minorHAnsi" w:cstheme="minorBidi"/>
          <w:shd w:val="clear" w:color="auto" w:fill="auto"/>
          <w:lang w:eastAsia="en-GB"/>
        </w:rPr>
        <w:t xml:space="preserve">Where patients choose to withdraw, although not obliged to give a reason, a reasonable effort will be made to establish this reason, whilst remaining fully respectful of the participant’s rights. All </w:t>
      </w:r>
      <w:r>
        <w:rPr>
          <w:rFonts w:asciiTheme="minorHAnsi" w:eastAsia="Times New Roman" w:hAnsiTheme="minorHAnsi" w:cstheme="minorBidi"/>
          <w:shd w:val="clear" w:color="auto" w:fill="auto"/>
          <w:lang w:eastAsia="en-GB"/>
        </w:rPr>
        <w:t xml:space="preserve">study </w:t>
      </w:r>
      <w:r w:rsidRPr="057C832C">
        <w:rPr>
          <w:rFonts w:asciiTheme="minorHAnsi" w:eastAsia="Times New Roman" w:hAnsiTheme="minorHAnsi" w:cstheme="minorBidi"/>
          <w:shd w:val="clear" w:color="auto" w:fill="auto"/>
          <w:lang w:eastAsia="en-GB"/>
        </w:rPr>
        <w:t xml:space="preserve">data collected up to the point of withdrawal will be retained. </w:t>
      </w:r>
    </w:p>
    <w:p w14:paraId="5C2F1493" w14:textId="77777777" w:rsidR="00A272EE" w:rsidRPr="0056014D" w:rsidRDefault="00A272EE" w:rsidP="00815776">
      <w:pPr>
        <w:spacing w:after="0" w:line="480" w:lineRule="auto"/>
        <w:contextualSpacing/>
        <w:rPr>
          <w:b/>
          <w:bCs/>
        </w:rPr>
      </w:pPr>
      <w:r w:rsidRPr="0056014D">
        <w:rPr>
          <w:b/>
          <w:bCs/>
        </w:rPr>
        <w:t>Internal pilot</w:t>
      </w:r>
    </w:p>
    <w:p w14:paraId="15354278" w14:textId="77777777" w:rsidR="00A272EE" w:rsidRDefault="00A272EE" w:rsidP="00815776">
      <w:pPr>
        <w:spacing w:after="0" w:line="480" w:lineRule="auto"/>
        <w:contextualSpacing/>
        <w:rPr>
          <w:rFonts w:eastAsia="Calibri"/>
          <w:lang w:val="en-US"/>
        </w:rPr>
      </w:pPr>
      <w:r>
        <w:rPr>
          <w:rFonts w:asciiTheme="minorHAnsi" w:hAnsiTheme="minorHAnsi" w:cstheme="minorBidi"/>
        </w:rPr>
        <w:t>An</w:t>
      </w:r>
      <w:r w:rsidRPr="78EA817F">
        <w:rPr>
          <w:rFonts w:asciiTheme="minorHAnsi" w:hAnsiTheme="minorHAnsi" w:cstheme="minorBidi"/>
        </w:rPr>
        <w:t xml:space="preserve"> internal pilot will be conducted with Step 1 hospitals with the following stop/go criteria</w:t>
      </w:r>
      <w:r w:rsidRPr="78EA817F">
        <w:rPr>
          <w:rFonts w:eastAsia="Calibri"/>
          <w:lang w:val="en-US"/>
        </w:rPr>
        <w:t>:</w:t>
      </w:r>
    </w:p>
    <w:p w14:paraId="3743A639" w14:textId="77777777" w:rsidR="00A272EE" w:rsidRDefault="00A272EE" w:rsidP="00A272EE">
      <w:pPr>
        <w:pStyle w:val="ListParagraph"/>
        <w:numPr>
          <w:ilvl w:val="0"/>
          <w:numId w:val="6"/>
        </w:numPr>
        <w:spacing w:after="0" w:line="480" w:lineRule="auto"/>
        <w:rPr>
          <w:rFonts w:eastAsia="Calibri"/>
          <w:lang w:val="en-US"/>
        </w:rPr>
      </w:pPr>
      <w:r w:rsidRPr="2CAD7983">
        <w:rPr>
          <w:rFonts w:eastAsia="Calibri"/>
          <w:lang w:val="en-US"/>
        </w:rPr>
        <w:t>An average of 200 patients per hospital enrolled over 3 months (Green)</w:t>
      </w:r>
    </w:p>
    <w:p w14:paraId="394CAE20" w14:textId="77777777" w:rsidR="00A272EE" w:rsidRDefault="00A272EE" w:rsidP="00A272EE">
      <w:pPr>
        <w:pStyle w:val="ListParagraph"/>
        <w:numPr>
          <w:ilvl w:val="0"/>
          <w:numId w:val="6"/>
        </w:numPr>
        <w:spacing w:after="0" w:line="480" w:lineRule="auto"/>
        <w:rPr>
          <w:rFonts w:eastAsia="Calibri"/>
          <w:lang w:val="en-US"/>
        </w:rPr>
      </w:pPr>
      <w:r w:rsidRPr="1538B5EF">
        <w:rPr>
          <w:rFonts w:eastAsia="Calibri"/>
          <w:lang w:val="en-US"/>
        </w:rPr>
        <w:t>An average of 150-199 patients per hospital enrolled over 3 months (</w:t>
      </w:r>
      <w:r>
        <w:rPr>
          <w:rFonts w:eastAsia="Calibri"/>
          <w:lang w:val="en-US"/>
        </w:rPr>
        <w:t>A</w:t>
      </w:r>
      <w:r w:rsidRPr="1538B5EF">
        <w:rPr>
          <w:rFonts w:eastAsia="Calibri"/>
          <w:lang w:val="en-US"/>
        </w:rPr>
        <w:t>mber)</w:t>
      </w:r>
    </w:p>
    <w:p w14:paraId="4DC0DE29" w14:textId="77777777" w:rsidR="00A272EE" w:rsidRDefault="00A272EE" w:rsidP="00A272EE">
      <w:pPr>
        <w:pStyle w:val="ListParagraph"/>
        <w:numPr>
          <w:ilvl w:val="0"/>
          <w:numId w:val="6"/>
        </w:numPr>
        <w:spacing w:after="0" w:line="480" w:lineRule="auto"/>
        <w:rPr>
          <w:rFonts w:eastAsia="Calibri"/>
          <w:lang w:val="en-US"/>
        </w:rPr>
      </w:pPr>
      <w:r w:rsidRPr="1538B5EF">
        <w:rPr>
          <w:rFonts w:eastAsia="Calibri"/>
          <w:lang w:val="en-US"/>
        </w:rPr>
        <w:t>Below an average of 150 patients per hospital enrolled over 3 months (</w:t>
      </w:r>
      <w:r>
        <w:rPr>
          <w:rFonts w:eastAsia="Calibri"/>
          <w:lang w:val="en-US"/>
        </w:rPr>
        <w:t>R</w:t>
      </w:r>
      <w:r w:rsidRPr="1538B5EF">
        <w:rPr>
          <w:rFonts w:eastAsia="Calibri"/>
          <w:lang w:val="en-US"/>
        </w:rPr>
        <w:t>ed)</w:t>
      </w:r>
    </w:p>
    <w:p w14:paraId="56F79C5F" w14:textId="77777777" w:rsidR="00A272EE" w:rsidRDefault="00A272EE" w:rsidP="00815776">
      <w:pPr>
        <w:spacing w:after="0" w:line="480" w:lineRule="auto"/>
        <w:contextualSpacing/>
        <w:rPr>
          <w:rFonts w:eastAsia="Calibri"/>
          <w:lang w:val="en-US"/>
        </w:rPr>
      </w:pPr>
      <w:r>
        <w:rPr>
          <w:rFonts w:eastAsia="Calibri"/>
          <w:lang w:val="en-US"/>
        </w:rPr>
        <w:lastRenderedPageBreak/>
        <w:t>If ‘Green’, the trial will proceed. ‘Amber’ it will proceed if appropriate solutions to improve recruitment are identified. ‘R</w:t>
      </w:r>
      <w:r w:rsidRPr="1538B5EF">
        <w:rPr>
          <w:rFonts w:eastAsia="Calibri"/>
          <w:lang w:val="en-US"/>
        </w:rPr>
        <w:t>ed</w:t>
      </w:r>
      <w:r>
        <w:rPr>
          <w:rFonts w:eastAsia="Calibri"/>
          <w:lang w:val="en-US"/>
        </w:rPr>
        <w:t>’ will require the</w:t>
      </w:r>
      <w:r w:rsidRPr="1538B5EF">
        <w:rPr>
          <w:rFonts w:eastAsia="Calibri"/>
          <w:lang w:val="en-US"/>
        </w:rPr>
        <w:t xml:space="preserve"> Trial Steering Committee</w:t>
      </w:r>
      <w:r>
        <w:rPr>
          <w:rFonts w:eastAsia="Calibri"/>
          <w:lang w:val="en-US"/>
        </w:rPr>
        <w:t xml:space="preserve"> to</w:t>
      </w:r>
      <w:r w:rsidRPr="1538B5EF">
        <w:rPr>
          <w:rFonts w:eastAsia="Calibri"/>
          <w:lang w:val="en-US"/>
        </w:rPr>
        <w:t xml:space="preserve"> make a decision regarding whether to proceed</w:t>
      </w:r>
      <w:r w:rsidRPr="3D7762E6">
        <w:rPr>
          <w:rFonts w:eastAsia="Calibri"/>
          <w:lang w:val="en-US"/>
        </w:rPr>
        <w:t>.</w:t>
      </w:r>
    </w:p>
    <w:p w14:paraId="74158500" w14:textId="77777777" w:rsidR="00A272EE" w:rsidRPr="009752D8" w:rsidRDefault="00A272EE" w:rsidP="00196B9D">
      <w:pPr>
        <w:shd w:val="clear" w:color="auto" w:fill="FFFFFF"/>
        <w:spacing w:after="0" w:line="480" w:lineRule="auto"/>
        <w:contextualSpacing/>
        <w:jc w:val="left"/>
        <w:rPr>
          <w:rFonts w:asciiTheme="minorHAnsi" w:eastAsia="Times New Roman" w:hAnsiTheme="minorHAnsi" w:cstheme="minorHAnsi"/>
          <w:shd w:val="clear" w:color="auto" w:fill="auto"/>
          <w:lang w:eastAsia="en-GB"/>
        </w:rPr>
      </w:pPr>
      <w:r w:rsidRPr="009752D8">
        <w:rPr>
          <w:rFonts w:asciiTheme="minorHAnsi" w:eastAsia="Times New Roman" w:hAnsiTheme="minorHAnsi" w:cstheme="minorHAnsi"/>
          <w:b/>
          <w:bCs/>
          <w:shd w:val="clear" w:color="auto" w:fill="auto"/>
          <w:lang w:eastAsia="en-GB"/>
        </w:rPr>
        <w:t>Participant timeline</w:t>
      </w:r>
    </w:p>
    <w:p w14:paraId="789C58B1" w14:textId="77777777" w:rsidR="00A272EE" w:rsidRDefault="00A272EE" w:rsidP="005958A9">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2CAD7983">
        <w:rPr>
          <w:rFonts w:asciiTheme="minorHAnsi" w:eastAsia="Times New Roman" w:hAnsiTheme="minorHAnsi" w:cstheme="minorBidi"/>
          <w:shd w:val="clear" w:color="auto" w:fill="auto"/>
          <w:lang w:eastAsia="en-GB"/>
        </w:rPr>
        <w:t xml:space="preserve">Hospitals will participate in the trial from month zero to month </w:t>
      </w:r>
      <w:r>
        <w:rPr>
          <w:rFonts w:asciiTheme="minorHAnsi" w:eastAsia="Times New Roman" w:hAnsiTheme="minorHAnsi" w:cstheme="minorBidi"/>
          <w:shd w:val="clear" w:color="auto" w:fill="auto"/>
          <w:lang w:eastAsia="en-GB"/>
        </w:rPr>
        <w:t>twenty-one</w:t>
      </w:r>
      <w:r w:rsidRPr="2CAD7983">
        <w:rPr>
          <w:rFonts w:asciiTheme="minorHAnsi" w:eastAsia="Times New Roman" w:hAnsiTheme="minorHAnsi" w:cstheme="minorBidi"/>
          <w:shd w:val="clear" w:color="auto" w:fill="auto"/>
          <w:lang w:eastAsia="en-GB"/>
        </w:rPr>
        <w:t>. Hospitals will be required to identify a PI responsible for local trial delivery</w:t>
      </w:r>
      <w:r>
        <w:rPr>
          <w:rFonts w:asciiTheme="minorHAnsi" w:eastAsia="Times New Roman" w:hAnsiTheme="minorHAnsi" w:cstheme="minorBidi"/>
          <w:shd w:val="clear" w:color="auto" w:fill="auto"/>
          <w:lang w:eastAsia="en-GB"/>
        </w:rPr>
        <w:t xml:space="preserve"> and </w:t>
      </w:r>
      <w:r w:rsidRPr="2CAD7983">
        <w:rPr>
          <w:rFonts w:asciiTheme="minorHAnsi" w:eastAsia="Times New Roman" w:hAnsiTheme="minorHAnsi" w:cstheme="minorBidi"/>
          <w:shd w:val="clear" w:color="auto" w:fill="auto"/>
          <w:lang w:eastAsia="en-GB"/>
        </w:rPr>
        <w:t>project manager fo</w:t>
      </w:r>
      <w:r>
        <w:rPr>
          <w:rFonts w:asciiTheme="minorHAnsi" w:eastAsia="Times New Roman" w:hAnsiTheme="minorHAnsi" w:cstheme="minorBidi"/>
          <w:shd w:val="clear" w:color="auto" w:fill="auto"/>
          <w:lang w:eastAsia="en-GB"/>
        </w:rPr>
        <w:t xml:space="preserve">r </w:t>
      </w:r>
      <w:r w:rsidRPr="2CAD7983">
        <w:rPr>
          <w:rFonts w:asciiTheme="minorHAnsi" w:eastAsia="Times New Roman" w:hAnsiTheme="minorHAnsi" w:cstheme="minorBidi"/>
          <w:shd w:val="clear" w:color="auto" w:fill="auto"/>
          <w:lang w:eastAsia="en-GB"/>
        </w:rPr>
        <w:t>intervention implementation.</w:t>
      </w:r>
      <w:r>
        <w:rPr>
          <w:rFonts w:asciiTheme="minorHAnsi" w:eastAsia="Times New Roman" w:hAnsiTheme="minorHAnsi" w:cstheme="minorBidi"/>
          <w:shd w:val="clear" w:color="auto" w:fill="auto"/>
          <w:lang w:eastAsia="en-GB"/>
        </w:rPr>
        <w:t xml:space="preserve"> </w:t>
      </w:r>
      <w:r w:rsidRPr="2CAD7983">
        <w:rPr>
          <w:rFonts w:asciiTheme="minorHAnsi" w:eastAsia="Times New Roman" w:hAnsiTheme="minorHAnsi" w:cstheme="minorBidi"/>
          <w:shd w:val="clear" w:color="auto" w:fill="auto"/>
          <w:lang w:eastAsia="en-GB"/>
        </w:rPr>
        <w:t xml:space="preserve">Geriatricians and pharmacists will participate during the intervention implementation period until trial completion. </w:t>
      </w:r>
      <w:r>
        <w:rPr>
          <w:rFonts w:asciiTheme="minorHAnsi" w:eastAsia="Times New Roman" w:hAnsiTheme="minorHAnsi" w:cstheme="minorBidi"/>
          <w:shd w:val="clear" w:color="auto" w:fill="auto"/>
          <w:lang w:eastAsia="en-GB"/>
        </w:rPr>
        <w:t xml:space="preserve"> </w:t>
      </w:r>
    </w:p>
    <w:p w14:paraId="1DD3EFB7" w14:textId="77777777" w:rsidR="00A272EE" w:rsidRDefault="00A272EE" w:rsidP="00143B39">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Pr>
          <w:rFonts w:asciiTheme="minorHAnsi" w:eastAsia="Times New Roman" w:hAnsiTheme="minorHAnsi" w:cstheme="minorBidi"/>
          <w:shd w:val="clear" w:color="auto" w:fill="auto"/>
          <w:lang w:eastAsia="en-GB"/>
        </w:rPr>
        <w:t xml:space="preserve">All patients admitted to the study wards under the care of a participating geriatrician will be enrolled, with permission from the national Confidentiality Advisory Group, for inclusion of their routinely collected data. This is unless they have notified the NHS in advance, of a desire to be excluded from all research activity. </w:t>
      </w:r>
    </w:p>
    <w:p w14:paraId="25856125" w14:textId="77777777" w:rsidR="00A272EE" w:rsidRDefault="00A272EE" w:rsidP="00027DF7">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bookmarkStart w:id="20" w:name="_Hlk200024959"/>
      <w:r>
        <w:rPr>
          <w:rFonts w:asciiTheme="minorHAnsi" w:eastAsia="Times New Roman" w:hAnsiTheme="minorHAnsi" w:cstheme="minorBidi"/>
          <w:shd w:val="clear" w:color="auto" w:fill="auto"/>
          <w:lang w:eastAsia="en-GB"/>
        </w:rPr>
        <w:t xml:space="preserve">Figure 1 shows how patients will be enrolled into the trial, separating out control, implementation and intervention periods.  The implementation phase is the point at which the intervention is delivered to the participating doctors and pharmacists, such that post implementation, the intervention can be delivered. </w:t>
      </w:r>
    </w:p>
    <w:p w14:paraId="7837600B" w14:textId="77777777" w:rsidR="00A272EE" w:rsidRPr="003D2110" w:rsidRDefault="00A272EE" w:rsidP="00027DF7">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Pr>
          <w:rFonts w:asciiTheme="minorHAnsi" w:eastAsia="Times New Roman" w:hAnsiTheme="minorHAnsi" w:cstheme="minorBidi"/>
          <w:shd w:val="clear" w:color="auto" w:fill="auto"/>
          <w:lang w:eastAsia="en-GB"/>
        </w:rPr>
        <w:t>During ‘enhanced data collection periods’, patients consenting to participation</w:t>
      </w:r>
      <w:r w:rsidRPr="057C832C">
        <w:rPr>
          <w:rFonts w:asciiTheme="minorHAnsi" w:eastAsia="Times New Roman" w:hAnsiTheme="minorHAnsi" w:cstheme="minorBidi"/>
          <w:shd w:val="clear" w:color="auto" w:fill="auto"/>
          <w:lang w:eastAsia="en-GB"/>
        </w:rPr>
        <w:t xml:space="preserve"> on a study ward under the care of participating geriatricians</w:t>
      </w:r>
      <w:r>
        <w:rPr>
          <w:rFonts w:asciiTheme="minorHAnsi" w:eastAsia="Times New Roman" w:hAnsiTheme="minorHAnsi" w:cstheme="minorBidi"/>
          <w:shd w:val="clear" w:color="auto" w:fill="auto"/>
          <w:lang w:eastAsia="en-GB"/>
        </w:rPr>
        <w:t>,</w:t>
      </w:r>
      <w:r w:rsidRPr="057C832C">
        <w:rPr>
          <w:rFonts w:asciiTheme="minorHAnsi" w:eastAsia="Times New Roman" w:hAnsiTheme="minorHAnsi" w:cstheme="minorBidi"/>
          <w:shd w:val="clear" w:color="auto" w:fill="auto"/>
          <w:lang w:eastAsia="en-GB"/>
        </w:rPr>
        <w:t xml:space="preserve"> will be participants from the time of admission until three months post-discharge.</w:t>
      </w:r>
      <w:bookmarkStart w:id="21" w:name="_Toc331765732"/>
      <w:bookmarkStart w:id="22" w:name="_Toc476667189"/>
      <w:bookmarkStart w:id="23" w:name="_Toc751256599"/>
      <w:bookmarkStart w:id="24" w:name="_Toc1453256994"/>
      <w:bookmarkStart w:id="25" w:name="_Toc581897696"/>
      <w:bookmarkStart w:id="26" w:name="_Toc97040539"/>
      <w:r>
        <w:rPr>
          <w:rFonts w:asciiTheme="minorHAnsi" w:eastAsia="Times New Roman" w:hAnsiTheme="minorHAnsi" w:cstheme="minorBidi"/>
          <w:shd w:val="clear" w:color="auto" w:fill="auto"/>
          <w:lang w:eastAsia="en-GB"/>
        </w:rPr>
        <w:t xml:space="preserve"> </w:t>
      </w:r>
      <w:r w:rsidRPr="057C832C">
        <w:rPr>
          <w:rFonts w:eastAsia="Calibri"/>
          <w:lang w:eastAsia="en-GB"/>
        </w:rPr>
        <w:t>We will notify the consented patient’s primary care medical practice by letter of their participation.</w:t>
      </w:r>
    </w:p>
    <w:p w14:paraId="7F6C720A" w14:textId="77777777" w:rsidR="00A272EE" w:rsidRDefault="00A272EE" w:rsidP="000E71FB">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bookmarkStart w:id="27" w:name="_Hlk210756190"/>
      <w:bookmarkEnd w:id="20"/>
      <w:bookmarkEnd w:id="21"/>
      <w:bookmarkEnd w:id="22"/>
      <w:bookmarkEnd w:id="23"/>
      <w:bookmarkEnd w:id="24"/>
      <w:bookmarkEnd w:id="25"/>
      <w:bookmarkEnd w:id="26"/>
    </w:p>
    <w:tbl>
      <w:tblPr>
        <w:tblW w:w="9935" w:type="dxa"/>
        <w:tblLayout w:type="fixed"/>
        <w:tblLook w:val="04A0" w:firstRow="1" w:lastRow="0" w:firstColumn="1" w:lastColumn="0" w:noHBand="0" w:noVBand="1"/>
      </w:tblPr>
      <w:tblGrid>
        <w:gridCol w:w="1843"/>
        <w:gridCol w:w="420"/>
        <w:gridCol w:w="384"/>
        <w:gridCol w:w="383"/>
        <w:gridCol w:w="384"/>
        <w:gridCol w:w="383"/>
        <w:gridCol w:w="384"/>
        <w:gridCol w:w="383"/>
        <w:gridCol w:w="384"/>
        <w:gridCol w:w="383"/>
        <w:gridCol w:w="384"/>
        <w:gridCol w:w="383"/>
        <w:gridCol w:w="384"/>
        <w:gridCol w:w="383"/>
        <w:gridCol w:w="384"/>
        <w:gridCol w:w="383"/>
        <w:gridCol w:w="384"/>
        <w:gridCol w:w="383"/>
        <w:gridCol w:w="384"/>
        <w:gridCol w:w="384"/>
        <w:gridCol w:w="384"/>
        <w:gridCol w:w="384"/>
      </w:tblGrid>
      <w:tr w:rsidR="00A272EE" w:rsidRPr="00B065F6" w14:paraId="018C1FC8" w14:textId="77777777" w:rsidTr="009F642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FE722" w14:textId="77777777" w:rsidR="00A272EE" w:rsidRDefault="00A272EE" w:rsidP="009F6427">
            <w:pPr>
              <w:spacing w:after="0" w:line="240" w:lineRule="auto"/>
              <w:jc w:val="left"/>
              <w:rPr>
                <w:rFonts w:asciiTheme="minorHAnsi" w:eastAsia="Times New Roman" w:hAnsiTheme="minorHAnsi" w:cstheme="minorHAnsi"/>
                <w:b/>
                <w:bCs/>
                <w:color w:val="000000"/>
                <w:shd w:val="clear" w:color="auto" w:fill="auto"/>
                <w:lang w:eastAsia="en-GB"/>
              </w:rPr>
            </w:pPr>
          </w:p>
        </w:tc>
        <w:tc>
          <w:tcPr>
            <w:tcW w:w="809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14:paraId="40330D25" w14:textId="77777777" w:rsidR="00A272E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b/>
                <w:bCs/>
                <w:color w:val="000000"/>
                <w:shd w:val="clear" w:color="auto" w:fill="auto"/>
                <w:lang w:eastAsia="en-GB"/>
              </w:rPr>
              <w:t>Month</w:t>
            </w:r>
          </w:p>
        </w:tc>
      </w:tr>
      <w:tr w:rsidR="00A272EE" w:rsidRPr="00B065F6" w14:paraId="2FAB07A8" w14:textId="77777777" w:rsidTr="009F642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BFF3D" w14:textId="77777777" w:rsidR="00A272EE" w:rsidRPr="00AA37BE" w:rsidRDefault="00A272EE" w:rsidP="009F6427">
            <w:pPr>
              <w:spacing w:after="0" w:line="240" w:lineRule="auto"/>
              <w:jc w:val="left"/>
              <w:rPr>
                <w:rFonts w:asciiTheme="minorHAnsi" w:eastAsia="Times New Roman" w:hAnsiTheme="minorHAnsi" w:cstheme="minorHAnsi"/>
                <w:b/>
                <w:bCs/>
                <w:color w:val="000000"/>
                <w:shd w:val="clear" w:color="auto" w:fill="auto"/>
                <w:lang w:eastAsia="en-GB"/>
              </w:rPr>
            </w:pPr>
            <w:r>
              <w:rPr>
                <w:rFonts w:asciiTheme="minorHAnsi" w:eastAsia="Times New Roman" w:hAnsiTheme="minorHAnsi" w:cstheme="minorHAnsi"/>
                <w:b/>
                <w:bCs/>
                <w:color w:val="000000"/>
                <w:shd w:val="clear" w:color="auto" w:fill="auto"/>
                <w:lang w:eastAsia="en-GB"/>
              </w:rPr>
              <w:t>Step: Hospital no.</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BC139"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062AC"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2</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65ECF"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3</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034FD"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4</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DCF9C"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5</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27DB3"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CF055"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7</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C981C"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8</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462F6"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9</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52359"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10</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9FF13"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11</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4B66"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12</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87D8A"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13</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51025"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14</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91C67"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15</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387C4"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C36DB"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17</w:t>
            </w:r>
          </w:p>
        </w:tc>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426D"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18</w:t>
            </w:r>
          </w:p>
        </w:tc>
        <w:tc>
          <w:tcPr>
            <w:tcW w:w="384" w:type="dxa"/>
            <w:tcBorders>
              <w:top w:val="single" w:sz="4" w:space="0" w:color="auto"/>
              <w:left w:val="single" w:sz="4" w:space="0" w:color="auto"/>
              <w:bottom w:val="single" w:sz="4" w:space="0" w:color="auto"/>
              <w:right w:val="single" w:sz="4" w:space="0" w:color="auto"/>
            </w:tcBorders>
            <w:vAlign w:val="center"/>
          </w:tcPr>
          <w:p w14:paraId="7F0E4BC0"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Pr>
                <w:rFonts w:asciiTheme="minorHAnsi" w:eastAsia="Times New Roman" w:hAnsiTheme="minorHAnsi" w:cstheme="minorHAnsi"/>
                <w:color w:val="000000"/>
                <w:sz w:val="16"/>
                <w:szCs w:val="16"/>
                <w:shd w:val="clear" w:color="auto" w:fill="auto"/>
                <w:lang w:eastAsia="en-GB"/>
              </w:rPr>
              <w:t>19</w:t>
            </w:r>
          </w:p>
        </w:tc>
        <w:tc>
          <w:tcPr>
            <w:tcW w:w="384" w:type="dxa"/>
            <w:tcBorders>
              <w:top w:val="single" w:sz="4" w:space="0" w:color="auto"/>
              <w:left w:val="single" w:sz="4" w:space="0" w:color="auto"/>
              <w:bottom w:val="single" w:sz="4" w:space="0" w:color="auto"/>
              <w:right w:val="single" w:sz="4" w:space="0" w:color="auto"/>
            </w:tcBorders>
            <w:vAlign w:val="center"/>
          </w:tcPr>
          <w:p w14:paraId="627D0420"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Pr>
                <w:rFonts w:asciiTheme="minorHAnsi" w:eastAsia="Times New Roman" w:hAnsiTheme="minorHAnsi" w:cstheme="minorHAnsi"/>
                <w:color w:val="000000"/>
                <w:sz w:val="16"/>
                <w:szCs w:val="16"/>
                <w:shd w:val="clear" w:color="auto" w:fill="auto"/>
                <w:lang w:eastAsia="en-GB"/>
              </w:rPr>
              <w:t>20</w:t>
            </w:r>
          </w:p>
        </w:tc>
        <w:tc>
          <w:tcPr>
            <w:tcW w:w="384" w:type="dxa"/>
            <w:tcBorders>
              <w:top w:val="single" w:sz="4" w:space="0" w:color="auto"/>
              <w:left w:val="single" w:sz="4" w:space="0" w:color="auto"/>
              <w:bottom w:val="single" w:sz="4" w:space="0" w:color="auto"/>
              <w:right w:val="single" w:sz="4" w:space="0" w:color="auto"/>
            </w:tcBorders>
            <w:vAlign w:val="center"/>
          </w:tcPr>
          <w:p w14:paraId="711437BB" w14:textId="77777777" w:rsidR="00A272EE" w:rsidRPr="00AA37BE" w:rsidRDefault="00A272EE" w:rsidP="009F6427">
            <w:pPr>
              <w:spacing w:after="0" w:line="240" w:lineRule="auto"/>
              <w:jc w:val="center"/>
              <w:rPr>
                <w:rFonts w:asciiTheme="minorHAnsi" w:eastAsia="Times New Roman" w:hAnsiTheme="minorHAnsi" w:cstheme="minorHAnsi"/>
                <w:color w:val="000000"/>
                <w:sz w:val="16"/>
                <w:szCs w:val="16"/>
                <w:shd w:val="clear" w:color="auto" w:fill="auto"/>
                <w:lang w:eastAsia="en-GB"/>
              </w:rPr>
            </w:pPr>
            <w:r>
              <w:rPr>
                <w:rFonts w:asciiTheme="minorHAnsi" w:eastAsia="Times New Roman" w:hAnsiTheme="minorHAnsi" w:cstheme="minorHAnsi"/>
                <w:color w:val="000000"/>
                <w:sz w:val="16"/>
                <w:szCs w:val="16"/>
                <w:shd w:val="clear" w:color="auto" w:fill="auto"/>
                <w:lang w:eastAsia="en-GB"/>
              </w:rPr>
              <w:t>21</w:t>
            </w:r>
          </w:p>
        </w:tc>
      </w:tr>
      <w:tr w:rsidR="00A272EE" w:rsidRPr="00B065F6" w14:paraId="744ADA54" w14:textId="77777777" w:rsidTr="009F642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18249" w14:textId="77777777" w:rsidR="00A272EE" w:rsidRPr="00B065F6"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Pr>
                <w:rFonts w:asciiTheme="minorHAnsi" w:eastAsia="Times New Roman" w:hAnsiTheme="minorHAnsi" w:cstheme="minorHAnsi"/>
                <w:color w:val="000000"/>
                <w:shd w:val="clear" w:color="auto" w:fill="auto"/>
                <w:lang w:eastAsia="en-GB"/>
              </w:rPr>
              <w:t xml:space="preserve">1: </w:t>
            </w:r>
            <w:r w:rsidRPr="00B065F6">
              <w:rPr>
                <w:rFonts w:asciiTheme="minorHAnsi" w:eastAsia="Times New Roman" w:hAnsiTheme="minorHAnsi" w:cstheme="minorHAnsi"/>
                <w:color w:val="000000"/>
                <w:shd w:val="clear" w:color="auto" w:fill="auto"/>
                <w:lang w:eastAsia="en-GB"/>
              </w:rPr>
              <w:t>Hospitals 1-5</w:t>
            </w:r>
          </w:p>
        </w:tc>
        <w:tc>
          <w:tcPr>
            <w:tcW w:w="42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5000496"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CBCAEB4"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D8722C8"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4E2201"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47B67EB"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4E56E6"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16875B2"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0F77F3BA"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7CDD3AE"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E3E7B05"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E027397"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F193C99"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636A422"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9436B37"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A750608"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6752DDB"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386D194E"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4C708AA5"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r w:rsidRPr="00AA37BE">
              <w:rPr>
                <w:rFonts w:asciiTheme="minorHAnsi" w:eastAsia="Times New Roman" w:hAnsiTheme="minorHAnsi" w:cstheme="minorHAnsi"/>
                <w:color w:val="000000"/>
                <w:sz w:val="16"/>
                <w:szCs w:val="16"/>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83B675"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BFB6A2B"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724A7ED" w14:textId="77777777" w:rsidR="00A272EE" w:rsidRPr="00AA37BE" w:rsidRDefault="00A272EE" w:rsidP="009F6427">
            <w:pPr>
              <w:spacing w:after="0" w:line="240" w:lineRule="auto"/>
              <w:jc w:val="left"/>
              <w:rPr>
                <w:rFonts w:asciiTheme="minorHAnsi" w:eastAsia="Times New Roman" w:hAnsiTheme="minorHAnsi" w:cstheme="minorHAnsi"/>
                <w:color w:val="000000"/>
                <w:sz w:val="16"/>
                <w:szCs w:val="16"/>
                <w:shd w:val="clear" w:color="auto" w:fill="auto"/>
                <w:lang w:eastAsia="en-GB"/>
              </w:rPr>
            </w:pPr>
          </w:p>
        </w:tc>
      </w:tr>
      <w:tr w:rsidR="00A272EE" w:rsidRPr="00B065F6" w14:paraId="77F4BB89" w14:textId="77777777" w:rsidTr="009F642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6C14C" w14:textId="77777777" w:rsidR="00A272EE" w:rsidRPr="00B065F6"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Pr>
                <w:rFonts w:asciiTheme="minorHAnsi" w:eastAsia="Times New Roman" w:hAnsiTheme="minorHAnsi" w:cstheme="minorHAnsi"/>
                <w:color w:val="000000"/>
                <w:shd w:val="clear" w:color="auto" w:fill="auto"/>
                <w:lang w:eastAsia="en-GB"/>
              </w:rPr>
              <w:t xml:space="preserve">2: </w:t>
            </w:r>
            <w:r w:rsidRPr="00B065F6">
              <w:rPr>
                <w:rFonts w:asciiTheme="minorHAnsi" w:eastAsia="Times New Roman" w:hAnsiTheme="minorHAnsi" w:cstheme="minorHAnsi"/>
                <w:color w:val="000000"/>
                <w:shd w:val="clear" w:color="auto" w:fill="auto"/>
                <w:lang w:eastAsia="en-GB"/>
              </w:rPr>
              <w:t>Hospitals 6-10</w:t>
            </w:r>
          </w:p>
        </w:tc>
        <w:tc>
          <w:tcPr>
            <w:tcW w:w="42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6527951"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5050A3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D66C311"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A563526"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841C1B4"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DB0FA7F"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86A764"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D06538"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C7F088"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7636D6B"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4C697DCF"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60C432C"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F79A1B7"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83D9BD6"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E90169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48C075E0"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1A770159"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27B672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3332443A"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A7029DB"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C0286A9"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r>
      <w:tr w:rsidR="00A272EE" w:rsidRPr="00B065F6" w14:paraId="76859417" w14:textId="77777777" w:rsidTr="009F642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B752D" w14:textId="77777777" w:rsidR="00A272EE" w:rsidRPr="00B065F6"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Pr>
                <w:rFonts w:asciiTheme="minorHAnsi" w:eastAsia="Times New Roman" w:hAnsiTheme="minorHAnsi" w:cstheme="minorHAnsi"/>
                <w:color w:val="000000"/>
                <w:shd w:val="clear" w:color="auto" w:fill="auto"/>
                <w:lang w:eastAsia="en-GB"/>
              </w:rPr>
              <w:t xml:space="preserve">3: </w:t>
            </w:r>
            <w:r w:rsidRPr="00B065F6">
              <w:rPr>
                <w:rFonts w:asciiTheme="minorHAnsi" w:eastAsia="Times New Roman" w:hAnsiTheme="minorHAnsi" w:cstheme="minorHAnsi"/>
                <w:color w:val="000000"/>
                <w:shd w:val="clear" w:color="auto" w:fill="auto"/>
                <w:lang w:eastAsia="en-GB"/>
              </w:rPr>
              <w:t>Hospitals 11-15</w:t>
            </w:r>
          </w:p>
        </w:tc>
        <w:tc>
          <w:tcPr>
            <w:tcW w:w="42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25B034F"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89ABDE1"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373127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09936A0"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0D18392"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0B16403"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0569731"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4F2ECF2"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678D7F4"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50195E4"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8E01508"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793BF80"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A268B68"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33BF0300"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1E2F855"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3B5DACD8"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13BCBDC0"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4AC83C13"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7EB5901F"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666F2B2"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6794CD7"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r>
      <w:tr w:rsidR="00A272EE" w:rsidRPr="00B065F6" w14:paraId="042B91FB" w14:textId="77777777" w:rsidTr="009F642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3B33" w14:textId="77777777" w:rsidR="00A272EE" w:rsidRPr="00B065F6"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Pr>
                <w:rFonts w:asciiTheme="minorHAnsi" w:eastAsia="Times New Roman" w:hAnsiTheme="minorHAnsi" w:cstheme="minorHAnsi"/>
                <w:color w:val="000000"/>
                <w:shd w:val="clear" w:color="auto" w:fill="auto"/>
                <w:lang w:eastAsia="en-GB"/>
              </w:rPr>
              <w:t xml:space="preserve">4: </w:t>
            </w:r>
            <w:r w:rsidRPr="00B065F6">
              <w:rPr>
                <w:rFonts w:asciiTheme="minorHAnsi" w:eastAsia="Times New Roman" w:hAnsiTheme="minorHAnsi" w:cstheme="minorHAnsi"/>
                <w:color w:val="000000"/>
                <w:shd w:val="clear" w:color="auto" w:fill="auto"/>
                <w:lang w:eastAsia="en-GB"/>
              </w:rPr>
              <w:t>Hospitals 16-20</w:t>
            </w:r>
          </w:p>
        </w:tc>
        <w:tc>
          <w:tcPr>
            <w:tcW w:w="42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ADF15AD"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B4F7B51"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33ABAC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F1D2549"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C2C410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8C88044"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EED83CC"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8E613C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D92B8DA"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0CA5623"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D577FD8"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0D03026"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D401DE"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584FE2"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D4759"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EA70EA6"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3"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19E9F71C"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3FB9A9F0"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r w:rsidRPr="00AA37BE">
              <w:rPr>
                <w:rFonts w:asciiTheme="minorHAnsi" w:eastAsia="Times New Roman" w:hAnsiTheme="minorHAnsi" w:cstheme="minorHAnsi"/>
                <w:color w:val="000000"/>
                <w:shd w:val="clear" w:color="auto" w:fill="auto"/>
                <w:lang w:eastAsia="en-GB"/>
              </w:rPr>
              <w:t> </w:t>
            </w: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50B941F0"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E2387A6"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c>
          <w:tcPr>
            <w:tcW w:w="38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417E7FC" w14:textId="77777777" w:rsidR="00A272EE" w:rsidRPr="00AA37BE" w:rsidRDefault="00A272EE" w:rsidP="009F6427">
            <w:pPr>
              <w:spacing w:after="0" w:line="240" w:lineRule="auto"/>
              <w:jc w:val="left"/>
              <w:rPr>
                <w:rFonts w:asciiTheme="minorHAnsi" w:eastAsia="Times New Roman" w:hAnsiTheme="minorHAnsi" w:cstheme="minorHAnsi"/>
                <w:color w:val="000000"/>
                <w:shd w:val="clear" w:color="auto" w:fill="auto"/>
                <w:lang w:eastAsia="en-GB"/>
              </w:rPr>
            </w:pPr>
          </w:p>
        </w:tc>
      </w:tr>
    </w:tbl>
    <w:p w14:paraId="168BFF16" w14:textId="77777777" w:rsidR="00A272EE" w:rsidRPr="00AA37BE" w:rsidRDefault="00A272EE" w:rsidP="000E71FB">
      <w:pPr>
        <w:shd w:val="clear" w:color="auto" w:fill="FFFFFF" w:themeFill="background1"/>
        <w:spacing w:after="0" w:line="240" w:lineRule="auto"/>
        <w:contextualSpacing/>
        <w:jc w:val="left"/>
        <w:rPr>
          <w:rFonts w:asciiTheme="minorHAnsi" w:eastAsia="Times New Roman" w:hAnsiTheme="minorHAnsi" w:cstheme="minorHAnsi"/>
          <w:shd w:val="clear" w:color="auto" w:fill="auto"/>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659"/>
      </w:tblGrid>
      <w:tr w:rsidR="00A272EE" w:rsidRPr="00B065F6" w14:paraId="620A2BC0" w14:textId="77777777" w:rsidTr="009F6427">
        <w:tc>
          <w:tcPr>
            <w:tcW w:w="421" w:type="dxa"/>
            <w:shd w:val="clear" w:color="auto" w:fill="92D050"/>
          </w:tcPr>
          <w:p w14:paraId="13C5AB9D" w14:textId="77777777" w:rsidR="00A272EE" w:rsidRPr="0098228B"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p>
        </w:tc>
        <w:tc>
          <w:tcPr>
            <w:tcW w:w="7659" w:type="dxa"/>
          </w:tcPr>
          <w:p w14:paraId="2155577D" w14:textId="77777777" w:rsidR="00A272EE" w:rsidRPr="0098228B"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r w:rsidRPr="0098228B">
              <w:rPr>
                <w:rFonts w:asciiTheme="minorHAnsi" w:eastAsia="Times New Roman" w:hAnsiTheme="minorHAnsi" w:cstheme="minorHAnsi"/>
                <w:shd w:val="clear" w:color="auto" w:fill="auto"/>
                <w:lang w:eastAsia="en-GB"/>
              </w:rPr>
              <w:t>Control period</w:t>
            </w:r>
            <w:r>
              <w:rPr>
                <w:rFonts w:asciiTheme="minorHAnsi" w:eastAsia="Times New Roman" w:hAnsiTheme="minorHAnsi" w:cstheme="minorHAnsi"/>
                <w:shd w:val="clear" w:color="auto" w:fill="auto"/>
                <w:lang w:eastAsia="en-GB"/>
              </w:rPr>
              <w:t xml:space="preserve"> for enrolled patients</w:t>
            </w:r>
          </w:p>
        </w:tc>
      </w:tr>
      <w:tr w:rsidR="00A272EE" w:rsidRPr="00B065F6" w14:paraId="34EF60AF" w14:textId="77777777" w:rsidTr="009F6427">
        <w:tc>
          <w:tcPr>
            <w:tcW w:w="421" w:type="dxa"/>
            <w:shd w:val="clear" w:color="auto" w:fill="00B050"/>
          </w:tcPr>
          <w:p w14:paraId="3B3D60AF" w14:textId="77777777" w:rsidR="00A272EE" w:rsidRPr="00AA37BE"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p>
        </w:tc>
        <w:tc>
          <w:tcPr>
            <w:tcW w:w="7659" w:type="dxa"/>
          </w:tcPr>
          <w:p w14:paraId="3CB2DDAF" w14:textId="77777777" w:rsidR="00A272EE" w:rsidRPr="0098228B"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r w:rsidRPr="0098228B">
              <w:rPr>
                <w:rFonts w:asciiTheme="minorHAnsi" w:eastAsia="Times New Roman" w:hAnsiTheme="minorHAnsi" w:cstheme="minorHAnsi"/>
                <w:shd w:val="clear" w:color="auto" w:fill="auto"/>
                <w:lang w:eastAsia="en-GB"/>
              </w:rPr>
              <w:t>Enhanced data collection period for consenting patients during control period</w:t>
            </w:r>
          </w:p>
        </w:tc>
      </w:tr>
      <w:tr w:rsidR="00A272EE" w:rsidRPr="00B065F6" w14:paraId="3E68B53B" w14:textId="77777777" w:rsidTr="009F6427">
        <w:tc>
          <w:tcPr>
            <w:tcW w:w="421" w:type="dxa"/>
            <w:shd w:val="clear" w:color="auto" w:fill="0070C0"/>
          </w:tcPr>
          <w:p w14:paraId="5E5CF8CE" w14:textId="77777777" w:rsidR="00A272EE" w:rsidRPr="00AA37BE"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p>
        </w:tc>
        <w:tc>
          <w:tcPr>
            <w:tcW w:w="7659" w:type="dxa"/>
          </w:tcPr>
          <w:p w14:paraId="2FC1F1DF" w14:textId="77777777" w:rsidR="00A272EE" w:rsidRPr="0098228B"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r w:rsidRPr="0098228B">
              <w:rPr>
                <w:rFonts w:asciiTheme="minorHAnsi" w:eastAsia="Times New Roman" w:hAnsiTheme="minorHAnsi" w:cstheme="minorHAnsi"/>
                <w:shd w:val="clear" w:color="auto" w:fill="auto"/>
                <w:lang w:eastAsia="en-GB"/>
              </w:rPr>
              <w:t>Intervention implementation phase</w:t>
            </w:r>
            <w:r>
              <w:rPr>
                <w:rFonts w:asciiTheme="minorHAnsi" w:eastAsia="Times New Roman" w:hAnsiTheme="minorHAnsi" w:cstheme="minorHAnsi"/>
                <w:shd w:val="clear" w:color="auto" w:fill="auto"/>
                <w:lang w:eastAsia="en-GB"/>
              </w:rPr>
              <w:t xml:space="preserve"> </w:t>
            </w:r>
          </w:p>
        </w:tc>
      </w:tr>
      <w:tr w:rsidR="00A272EE" w:rsidRPr="00B065F6" w14:paraId="34F9F767" w14:textId="77777777" w:rsidTr="009F6427">
        <w:tc>
          <w:tcPr>
            <w:tcW w:w="421" w:type="dxa"/>
            <w:shd w:val="clear" w:color="auto" w:fill="FFD966" w:themeFill="accent4" w:themeFillTint="99"/>
          </w:tcPr>
          <w:p w14:paraId="51FD5B45" w14:textId="77777777" w:rsidR="00A272EE" w:rsidRPr="00AA37BE"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p>
        </w:tc>
        <w:tc>
          <w:tcPr>
            <w:tcW w:w="7659" w:type="dxa"/>
          </w:tcPr>
          <w:p w14:paraId="7FA340CD" w14:textId="77777777" w:rsidR="00A272EE" w:rsidRPr="0098228B"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r w:rsidRPr="0098228B">
              <w:rPr>
                <w:rFonts w:asciiTheme="minorHAnsi" w:eastAsia="Times New Roman" w:hAnsiTheme="minorHAnsi" w:cstheme="minorHAnsi"/>
                <w:shd w:val="clear" w:color="auto" w:fill="auto"/>
                <w:lang w:eastAsia="en-GB"/>
              </w:rPr>
              <w:t>Intervention period</w:t>
            </w:r>
            <w:r>
              <w:rPr>
                <w:rFonts w:asciiTheme="minorHAnsi" w:eastAsia="Times New Roman" w:hAnsiTheme="minorHAnsi" w:cstheme="minorHAnsi"/>
                <w:shd w:val="clear" w:color="auto" w:fill="auto"/>
                <w:lang w:eastAsia="en-GB"/>
              </w:rPr>
              <w:t xml:space="preserve"> for enrolled patients</w:t>
            </w:r>
          </w:p>
        </w:tc>
      </w:tr>
      <w:tr w:rsidR="00A272EE" w:rsidRPr="00B065F6" w14:paraId="6068BF76" w14:textId="77777777" w:rsidTr="009F6427">
        <w:tc>
          <w:tcPr>
            <w:tcW w:w="421" w:type="dxa"/>
            <w:shd w:val="clear" w:color="auto" w:fill="FFC000"/>
          </w:tcPr>
          <w:p w14:paraId="7494F8DD" w14:textId="77777777" w:rsidR="00A272EE" w:rsidRPr="00AA37BE"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p>
        </w:tc>
        <w:tc>
          <w:tcPr>
            <w:tcW w:w="7659" w:type="dxa"/>
          </w:tcPr>
          <w:p w14:paraId="121C3D4F" w14:textId="77777777" w:rsidR="00A272EE" w:rsidRPr="0098228B"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r w:rsidRPr="0098228B">
              <w:rPr>
                <w:rFonts w:asciiTheme="minorHAnsi" w:eastAsia="Times New Roman" w:hAnsiTheme="minorHAnsi" w:cstheme="minorHAnsi"/>
                <w:shd w:val="clear" w:color="auto" w:fill="auto"/>
                <w:lang w:eastAsia="en-GB"/>
              </w:rPr>
              <w:t>Enhanced data collection period for consenting patients during intervention period</w:t>
            </w:r>
          </w:p>
        </w:tc>
      </w:tr>
      <w:tr w:rsidR="00A272EE" w:rsidRPr="00B065F6" w14:paraId="6B2E44BB" w14:textId="77777777" w:rsidTr="009F6427">
        <w:tc>
          <w:tcPr>
            <w:tcW w:w="421" w:type="dxa"/>
            <w:shd w:val="clear" w:color="auto" w:fill="C45911" w:themeFill="accent2" w:themeFillShade="BF"/>
          </w:tcPr>
          <w:p w14:paraId="2D8601D0" w14:textId="77777777" w:rsidR="00A272EE" w:rsidRPr="00AA37BE"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p>
        </w:tc>
        <w:tc>
          <w:tcPr>
            <w:tcW w:w="7659" w:type="dxa"/>
          </w:tcPr>
          <w:p w14:paraId="09004A47" w14:textId="77777777" w:rsidR="00A272EE" w:rsidRPr="0098228B" w:rsidRDefault="00A272EE" w:rsidP="009F6427">
            <w:pPr>
              <w:spacing w:after="0" w:line="240" w:lineRule="auto"/>
              <w:contextualSpacing/>
              <w:jc w:val="left"/>
              <w:rPr>
                <w:rFonts w:asciiTheme="minorHAnsi" w:eastAsia="Times New Roman" w:hAnsiTheme="minorHAnsi" w:cstheme="minorHAnsi"/>
                <w:shd w:val="clear" w:color="auto" w:fill="auto"/>
                <w:lang w:eastAsia="en-GB"/>
              </w:rPr>
            </w:pPr>
            <w:r w:rsidRPr="0098228B">
              <w:rPr>
                <w:rFonts w:asciiTheme="minorHAnsi" w:eastAsia="Times New Roman" w:hAnsiTheme="minorHAnsi" w:cstheme="minorHAnsi"/>
                <w:shd w:val="clear" w:color="auto" w:fill="auto"/>
                <w:lang w:eastAsia="en-GB"/>
              </w:rPr>
              <w:t>Follow up period post discharge for all enrolled patients</w:t>
            </w:r>
          </w:p>
        </w:tc>
      </w:tr>
    </w:tbl>
    <w:p w14:paraId="690FA9F3" w14:textId="77777777" w:rsidR="00A272EE" w:rsidRDefault="00A272EE" w:rsidP="00EE4C55">
      <w:pPr>
        <w:shd w:val="clear" w:color="auto" w:fill="FFFFFF" w:themeFill="background1"/>
        <w:spacing w:after="0" w:line="480" w:lineRule="auto"/>
        <w:jc w:val="left"/>
        <w:rPr>
          <w:rFonts w:asciiTheme="minorHAnsi" w:eastAsia="Times New Roman" w:hAnsiTheme="minorHAnsi" w:cstheme="minorBidi"/>
          <w:b/>
          <w:bCs/>
          <w:shd w:val="clear" w:color="auto" w:fill="auto"/>
          <w:lang w:eastAsia="en-GB"/>
        </w:rPr>
      </w:pPr>
    </w:p>
    <w:p w14:paraId="18F7BE66" w14:textId="77777777" w:rsidR="00A272EE" w:rsidRPr="004C70D1" w:rsidRDefault="00A272EE" w:rsidP="00B06FE4">
      <w:pPr>
        <w:shd w:val="clear" w:color="auto" w:fill="FFFFFF" w:themeFill="background1"/>
        <w:spacing w:before="480" w:after="0" w:line="480" w:lineRule="auto"/>
        <w:contextualSpacing/>
        <w:jc w:val="left"/>
        <w:rPr>
          <w:rFonts w:asciiTheme="minorHAnsi" w:eastAsia="Times New Roman" w:hAnsiTheme="minorHAnsi" w:cstheme="minorBidi"/>
          <w:b/>
          <w:bCs/>
          <w:shd w:val="clear" w:color="auto" w:fill="auto"/>
          <w:lang w:eastAsia="en-GB"/>
        </w:rPr>
      </w:pPr>
      <w:r w:rsidRPr="004C70D1">
        <w:rPr>
          <w:rFonts w:asciiTheme="minorHAnsi" w:eastAsia="Times New Roman" w:hAnsiTheme="minorHAnsi" w:cstheme="minorBidi"/>
          <w:b/>
          <w:bCs/>
          <w:shd w:val="clear" w:color="auto" w:fill="auto"/>
          <w:lang w:eastAsia="en-GB"/>
        </w:rPr>
        <w:t>Figure 1</w:t>
      </w:r>
      <w:r w:rsidRPr="004C70D1">
        <w:rPr>
          <w:rFonts w:asciiTheme="minorHAnsi" w:eastAsia="Times New Roman" w:hAnsiTheme="minorHAnsi" w:cstheme="minorBidi"/>
          <w:b/>
          <w:bCs/>
          <w:shd w:val="clear" w:color="auto" w:fill="auto"/>
          <w:lang w:eastAsia="en-GB"/>
        </w:rPr>
        <w:tab/>
        <w:t xml:space="preserve"> </w:t>
      </w:r>
      <w:r>
        <w:rPr>
          <w:rFonts w:asciiTheme="minorHAnsi" w:eastAsia="Times New Roman" w:hAnsiTheme="minorHAnsi" w:cstheme="minorBidi"/>
          <w:b/>
          <w:bCs/>
          <w:shd w:val="clear" w:color="auto" w:fill="auto"/>
          <w:lang w:eastAsia="en-GB"/>
        </w:rPr>
        <w:t>Schedule of Enrolment, Consent, Intervention and Data Collection</w:t>
      </w:r>
    </w:p>
    <w:p w14:paraId="735010D7" w14:textId="77777777" w:rsidR="00A272EE" w:rsidRDefault="00A272EE" w:rsidP="0013035E">
      <w:pPr>
        <w:rPr>
          <w:b/>
          <w:bCs/>
        </w:rPr>
      </w:pPr>
    </w:p>
    <w:bookmarkEnd w:id="27"/>
    <w:p w14:paraId="61A2F460" w14:textId="77777777" w:rsidR="00A272EE" w:rsidRPr="009752D8" w:rsidRDefault="00A272EE" w:rsidP="0013035E">
      <w:pPr>
        <w:rPr>
          <w:b/>
          <w:bCs/>
        </w:rPr>
      </w:pPr>
      <w:r w:rsidRPr="009752D8">
        <w:rPr>
          <w:b/>
          <w:bCs/>
        </w:rPr>
        <w:t>Site set up</w:t>
      </w:r>
    </w:p>
    <w:p w14:paraId="4385F2D9" w14:textId="082574D1" w:rsidR="00A272EE" w:rsidRDefault="00A272EE" w:rsidP="0013035E">
      <w:pPr>
        <w:spacing w:line="480" w:lineRule="auto"/>
      </w:pPr>
      <w:r w:rsidRPr="001301E0">
        <w:t xml:space="preserve">We will provide the Project Manager and PI </w:t>
      </w:r>
      <w:r>
        <w:t xml:space="preserve">with </w:t>
      </w:r>
      <w:r w:rsidRPr="001301E0">
        <w:t>a CHARMER intervention</w:t>
      </w:r>
      <w:r>
        <w:t xml:space="preserve"> implementation</w:t>
      </w:r>
      <w:r w:rsidRPr="001301E0">
        <w:t xml:space="preserve"> handbook, developed for the feasibility study and</w:t>
      </w:r>
      <w:r>
        <w:t xml:space="preserve"> subsequently</w:t>
      </w:r>
      <w:r w:rsidRPr="001301E0">
        <w:t xml:space="preserve"> refined</w:t>
      </w:r>
      <w:r>
        <w:t>.</w:t>
      </w:r>
      <w:r w:rsidR="00E60215">
        <w:rPr>
          <w:noProof/>
        </w:rPr>
        <w:t>[</w:t>
      </w:r>
      <w:r>
        <w:rPr>
          <w:noProof/>
        </w:rPr>
        <w:t>15</w:t>
      </w:r>
      <w:proofErr w:type="gramStart"/>
      <w:r w:rsidR="00E60215">
        <w:rPr>
          <w:noProof/>
        </w:rPr>
        <w:t>]</w:t>
      </w:r>
      <w:r>
        <w:t xml:space="preserve"> </w:t>
      </w:r>
      <w:r w:rsidRPr="001301E0">
        <w:t xml:space="preserve"> </w:t>
      </w:r>
      <w:r>
        <w:t>A</w:t>
      </w:r>
      <w:proofErr w:type="gramEnd"/>
      <w:r>
        <w:t xml:space="preserve"> </w:t>
      </w:r>
      <w:r w:rsidRPr="001301E0">
        <w:t xml:space="preserve">CHARMER </w:t>
      </w:r>
      <w:r>
        <w:t>trial handbook,</w:t>
      </w:r>
      <w:r w:rsidRPr="00333445">
        <w:t xml:space="preserve"> </w:t>
      </w:r>
      <w:r>
        <w:t xml:space="preserve">comprising instructions regarding </w:t>
      </w:r>
      <w:r w:rsidRPr="2CAD7983">
        <w:rPr>
          <w:rFonts w:eastAsia="Times New Roman"/>
          <w:lang w:eastAsia="en-GB"/>
        </w:rPr>
        <w:t>deliver</w:t>
      </w:r>
      <w:r>
        <w:rPr>
          <w:rFonts w:eastAsia="Times New Roman"/>
          <w:lang w:eastAsia="en-GB"/>
        </w:rPr>
        <w:t>ing</w:t>
      </w:r>
      <w:r>
        <w:t xml:space="preserve"> the trial and CHARMER intervention in accordance with the approved research ethics and governance processes, will be provided to the PI.</w:t>
      </w:r>
    </w:p>
    <w:p w14:paraId="04C23EDC" w14:textId="77777777" w:rsidR="00A272EE" w:rsidRPr="0013035E" w:rsidRDefault="00A272EE" w:rsidP="0013035E">
      <w:pPr>
        <w:spacing w:line="480" w:lineRule="auto"/>
      </w:pPr>
      <w:r>
        <w:t>The site will be expected to conduct the trial in compliance with the approved research protocol. The PI or their delegate will be required to document and explain any deviation from the approved protocol and communicate this to the study team at NCTU.</w:t>
      </w:r>
    </w:p>
    <w:p w14:paraId="2852683F" w14:textId="77777777" w:rsidR="00A272EE" w:rsidRPr="00EA028A" w:rsidRDefault="00A272EE" w:rsidP="00643926">
      <w:pPr>
        <w:shd w:val="clear" w:color="auto" w:fill="FFFFFF"/>
        <w:spacing w:after="0" w:line="480" w:lineRule="auto"/>
        <w:contextualSpacing/>
        <w:jc w:val="left"/>
        <w:rPr>
          <w:rFonts w:asciiTheme="minorHAnsi" w:eastAsia="Times New Roman" w:hAnsiTheme="minorHAnsi" w:cstheme="minorHAnsi"/>
          <w:color w:val="333333"/>
          <w:shd w:val="clear" w:color="auto" w:fill="auto"/>
          <w:lang w:eastAsia="en-GB"/>
        </w:rPr>
      </w:pPr>
      <w:r w:rsidRPr="00EA028A">
        <w:rPr>
          <w:rFonts w:asciiTheme="minorHAnsi" w:eastAsia="Times New Roman" w:hAnsiTheme="minorHAnsi" w:cstheme="minorHAnsi"/>
          <w:b/>
          <w:bCs/>
          <w:color w:val="333333"/>
          <w:shd w:val="clear" w:color="auto" w:fill="auto"/>
          <w:lang w:eastAsia="en-GB"/>
        </w:rPr>
        <w:t>Sample size</w:t>
      </w:r>
    </w:p>
    <w:p w14:paraId="7C75FC65" w14:textId="77777777" w:rsidR="00A272EE" w:rsidRDefault="00A272EE" w:rsidP="057C832C">
      <w:pPr>
        <w:spacing w:before="120" w:line="480" w:lineRule="auto"/>
        <w:rPr>
          <w:rFonts w:eastAsia="Calibri"/>
          <w:lang w:val="en-US"/>
        </w:rPr>
      </w:pPr>
      <w:r>
        <w:rPr>
          <w:rFonts w:eastAsia="Calibri"/>
          <w:lang w:val="en-US"/>
        </w:rPr>
        <w:t>The underpinning feasibility study showed that recruitment to an original planned cluster randomized trial would require recruitment of over 40 hospitals and was unlikely to be achieved. Consequently, the design was changed to a</w:t>
      </w:r>
      <w:r w:rsidRPr="057C832C">
        <w:rPr>
          <w:rFonts w:eastAsia="Calibri"/>
          <w:lang w:val="en-US"/>
        </w:rPr>
        <w:t xml:space="preserve"> stepped wedge</w:t>
      </w:r>
      <w:r>
        <w:rPr>
          <w:rFonts w:eastAsia="Calibri"/>
          <w:lang w:val="en-US"/>
        </w:rPr>
        <w:t xml:space="preserve"> due to the increased power provided by this design.</w:t>
      </w:r>
      <w:r w:rsidRPr="057C832C">
        <w:rPr>
          <w:rFonts w:eastAsia="Calibri"/>
          <w:lang w:val="en-US"/>
        </w:rPr>
        <w:t xml:space="preserve"> </w:t>
      </w:r>
    </w:p>
    <w:p w14:paraId="5560A1C8" w14:textId="18A53FF5" w:rsidR="00A272EE" w:rsidRPr="003B36A4" w:rsidRDefault="00A272EE" w:rsidP="057C832C">
      <w:pPr>
        <w:spacing w:before="120" w:line="480" w:lineRule="auto"/>
        <w:rPr>
          <w:rFonts w:eastAsia="Calibri"/>
          <w:lang w:val="en-US"/>
        </w:rPr>
      </w:pPr>
      <w:r>
        <w:rPr>
          <w:rFonts w:eastAsia="Calibri"/>
          <w:lang w:val="en-US"/>
        </w:rPr>
        <w:t>W</w:t>
      </w:r>
      <w:r w:rsidRPr="057C832C">
        <w:rPr>
          <w:rFonts w:eastAsia="Calibri"/>
          <w:lang w:val="en-US"/>
        </w:rPr>
        <w:t>ith a baseline step with all hospitals receiving the control followed by four separate steps, each randomising five hospitals to switch from control to intervention</w:t>
      </w:r>
      <w:r>
        <w:rPr>
          <w:rFonts w:eastAsia="Calibri"/>
          <w:lang w:val="en-US"/>
        </w:rPr>
        <w:t xml:space="preserve"> (20 hospitals in total)</w:t>
      </w:r>
      <w:r w:rsidRPr="057C832C">
        <w:rPr>
          <w:rFonts w:eastAsia="Calibri"/>
          <w:lang w:val="en-US"/>
        </w:rPr>
        <w:t xml:space="preserve"> will have 89.5% power to detect a difference of 16.7% to 13.7% of </w:t>
      </w:r>
      <w:r>
        <w:rPr>
          <w:rFonts w:eastAsia="Calibri"/>
          <w:lang w:val="en-US"/>
        </w:rPr>
        <w:t>90-day</w:t>
      </w:r>
      <w:r w:rsidRPr="057C832C">
        <w:rPr>
          <w:rFonts w:eastAsia="Calibri"/>
          <w:lang w:val="en-US"/>
        </w:rPr>
        <w:t xml:space="preserve"> re-admission rates assuming a 5% level of significance </w:t>
      </w:r>
      <w:r w:rsidRPr="00387AB9">
        <w:rPr>
          <w:rFonts w:asciiTheme="minorHAnsi" w:eastAsiaTheme="minorEastAsia" w:hAnsiTheme="minorHAnsi" w:cstheme="minorBidi"/>
          <w:lang w:val="en-US"/>
        </w:rPr>
        <w:t xml:space="preserve">and </w:t>
      </w:r>
      <w:r w:rsidRPr="00730A42">
        <w:rPr>
          <w:rFonts w:asciiTheme="minorHAnsi" w:eastAsiaTheme="minorEastAsia" w:hAnsiTheme="minorHAnsi" w:cstheme="minorBidi"/>
          <w:lang w:val="en-US"/>
        </w:rPr>
        <w:t>an intra-class correlation coefficient</w:t>
      </w:r>
      <w:r w:rsidRPr="00730A42">
        <w:rPr>
          <w:rFonts w:eastAsia="Calibri"/>
          <w:lang w:val="en-US"/>
        </w:rPr>
        <w:t xml:space="preserve"> (</w:t>
      </w:r>
      <w:r w:rsidRPr="057C832C">
        <w:rPr>
          <w:rFonts w:eastAsia="Calibri"/>
          <w:lang w:val="en-US"/>
        </w:rPr>
        <w:t>ICC) of 0.05 and 200 participants per hospital per step. The total sample size will be 20,000 participants. Th</w:t>
      </w:r>
      <w:r>
        <w:rPr>
          <w:rFonts w:eastAsia="Calibri"/>
          <w:lang w:val="en-US"/>
        </w:rPr>
        <w:t xml:space="preserve">e anticipated 3% difference </w:t>
      </w:r>
      <w:r w:rsidRPr="057C832C">
        <w:rPr>
          <w:rFonts w:eastAsia="Calibri"/>
          <w:lang w:val="en-US"/>
        </w:rPr>
        <w:t>is similar, but slightly smaller, to the difference</w:t>
      </w:r>
      <w:r>
        <w:rPr>
          <w:rFonts w:eastAsia="Calibri"/>
          <w:lang w:val="en-US"/>
        </w:rPr>
        <w:t xml:space="preserve"> reported</w:t>
      </w:r>
      <w:r w:rsidRPr="057C832C">
        <w:rPr>
          <w:rFonts w:eastAsia="Calibri"/>
          <w:lang w:val="en-US"/>
        </w:rPr>
        <w:t xml:space="preserve"> in the </w:t>
      </w:r>
      <w:proofErr w:type="spellStart"/>
      <w:r w:rsidRPr="057C832C">
        <w:rPr>
          <w:rFonts w:eastAsia="Calibri"/>
          <w:lang w:val="en-US"/>
        </w:rPr>
        <w:t>MedSafer</w:t>
      </w:r>
      <w:proofErr w:type="spellEnd"/>
      <w:r w:rsidRPr="057C832C">
        <w:rPr>
          <w:rFonts w:eastAsia="Calibri"/>
          <w:lang w:val="en-US"/>
        </w:rPr>
        <w:t xml:space="preserve"> study</w:t>
      </w:r>
      <w:r>
        <w:rPr>
          <w:rFonts w:eastAsia="Calibri"/>
          <w:lang w:val="en-US"/>
        </w:rPr>
        <w:t>.</w:t>
      </w:r>
      <w:r>
        <w:rPr>
          <w:rFonts w:eastAsia="Calibri"/>
          <w:noProof/>
          <w:lang w:val="en-US"/>
        </w:rPr>
        <w:t xml:space="preserve"> </w:t>
      </w:r>
      <w:r w:rsidR="00EB7A91">
        <w:rPr>
          <w:rFonts w:eastAsia="Calibri"/>
          <w:noProof/>
          <w:lang w:val="en-US"/>
        </w:rPr>
        <w:t>[</w:t>
      </w:r>
      <w:r>
        <w:rPr>
          <w:rFonts w:eastAsia="Calibri"/>
          <w:noProof/>
          <w:lang w:val="en-US"/>
        </w:rPr>
        <w:t>23</w:t>
      </w:r>
      <w:r w:rsidR="00EB7A91">
        <w:rPr>
          <w:rFonts w:eastAsia="Calibri"/>
          <w:noProof/>
          <w:lang w:val="en-US"/>
        </w:rPr>
        <w:t>]</w:t>
      </w:r>
    </w:p>
    <w:p w14:paraId="772B4F7E" w14:textId="77777777" w:rsidR="00A272EE" w:rsidRDefault="00A272EE" w:rsidP="004C70D1">
      <w:pPr>
        <w:shd w:val="clear" w:color="auto" w:fill="FFFFFF" w:themeFill="background1"/>
        <w:spacing w:after="0" w:line="480" w:lineRule="auto"/>
        <w:contextualSpacing/>
        <w:jc w:val="left"/>
        <w:rPr>
          <w:rFonts w:eastAsia="Calibri"/>
          <w:lang w:val="en-US"/>
        </w:rPr>
      </w:pPr>
      <w:r w:rsidRPr="2CAD7983">
        <w:rPr>
          <w:rFonts w:asciiTheme="minorHAnsi" w:eastAsia="Times New Roman" w:hAnsiTheme="minorHAnsi" w:cstheme="minorBidi"/>
          <w:shd w:val="clear" w:color="auto" w:fill="auto"/>
          <w:lang w:eastAsia="en-GB"/>
        </w:rPr>
        <w:lastRenderedPageBreak/>
        <w:t xml:space="preserve">From our feasibility study findings, we estimate that 10% of patients on study wards or consultees will provide written (or, if required, virtual) informed consent for additional patient-reported outcome data. </w:t>
      </w:r>
      <w:r w:rsidRPr="001301E0">
        <w:rPr>
          <w:rFonts w:eastAsia="Calibri"/>
          <w:lang w:val="en-US"/>
        </w:rPr>
        <w:t>For the enhanced data collection period</w:t>
      </w:r>
      <w:r>
        <w:rPr>
          <w:rFonts w:eastAsia="Calibri"/>
          <w:lang w:val="en-US"/>
        </w:rPr>
        <w:t>,</w:t>
      </w:r>
      <w:r w:rsidRPr="001301E0">
        <w:rPr>
          <w:rFonts w:eastAsia="Calibri"/>
          <w:lang w:val="en-US"/>
        </w:rPr>
        <w:t xml:space="preserve"> where medication changes are recorded in hospital</w:t>
      </w:r>
      <w:r>
        <w:rPr>
          <w:rFonts w:eastAsia="Calibri"/>
          <w:lang w:val="en-US"/>
        </w:rPr>
        <w:t>,</w:t>
      </w:r>
      <w:r w:rsidRPr="001301E0">
        <w:rPr>
          <w:rFonts w:eastAsia="Calibri"/>
          <w:lang w:val="en-US"/>
        </w:rPr>
        <w:t xml:space="preserve"> then if the sites collect data on 60 participants in each of the enhanced data collection periods the study would will have 99.99% power to detect an average change of 0.5 medications between the control and intervention phase, assuming a standard deviation of 1.5 medications, a 5% level of significance and an ICC of 0.05.</w:t>
      </w:r>
    </w:p>
    <w:p w14:paraId="2B47BABD" w14:textId="77777777" w:rsidR="00A272EE" w:rsidRPr="00C8436C" w:rsidRDefault="00A272EE" w:rsidP="00C8436C">
      <w:pPr>
        <w:shd w:val="clear" w:color="auto" w:fill="FFFFFF" w:themeFill="background1"/>
        <w:spacing w:after="0" w:line="480" w:lineRule="auto"/>
        <w:contextualSpacing/>
        <w:jc w:val="left"/>
        <w:rPr>
          <w:rFonts w:asciiTheme="minorHAnsi" w:eastAsia="Times New Roman" w:hAnsiTheme="minorHAnsi" w:cstheme="minorBidi"/>
          <w:b/>
          <w:bCs/>
          <w:shd w:val="clear" w:color="auto" w:fill="auto"/>
          <w:lang w:eastAsia="en-GB"/>
        </w:rPr>
      </w:pPr>
      <w:r w:rsidRPr="00C8436C">
        <w:rPr>
          <w:rFonts w:asciiTheme="minorHAnsi" w:eastAsia="Times New Roman" w:hAnsiTheme="minorHAnsi" w:cstheme="minorBidi"/>
          <w:b/>
          <w:bCs/>
          <w:shd w:val="clear" w:color="auto" w:fill="auto"/>
          <w:lang w:eastAsia="en-GB"/>
        </w:rPr>
        <w:t>Recruitment</w:t>
      </w:r>
    </w:p>
    <w:p w14:paraId="79D3C0D2" w14:textId="77777777" w:rsidR="00A272EE" w:rsidRDefault="00A272EE" w:rsidP="00911BAA">
      <w:pPr>
        <w:shd w:val="clear" w:color="auto" w:fill="FFFFFF" w:themeFill="background1"/>
        <w:spacing w:after="0" w:line="480" w:lineRule="auto"/>
        <w:contextualSpacing/>
        <w:jc w:val="left"/>
      </w:pPr>
      <w:r w:rsidRPr="004267D0">
        <w:t>All patients receiving treatment under the care of participating geriatricians on the study wards within the study window (1</w:t>
      </w:r>
      <w:r w:rsidRPr="004267D0">
        <w:rPr>
          <w:vertAlign w:val="superscript"/>
        </w:rPr>
        <w:t>st</w:t>
      </w:r>
      <w:r w:rsidRPr="004267D0">
        <w:t xml:space="preserve"> February 2024 to 31</w:t>
      </w:r>
      <w:r w:rsidRPr="004267D0">
        <w:rPr>
          <w:vertAlign w:val="superscript"/>
        </w:rPr>
        <w:t>st</w:t>
      </w:r>
      <w:r w:rsidRPr="004267D0">
        <w:t xml:space="preserve"> July 2025) will be </w:t>
      </w:r>
      <w:r>
        <w:t xml:space="preserve">eligible for </w:t>
      </w:r>
      <w:r w:rsidRPr="004267D0">
        <w:t>inclu</w:t>
      </w:r>
      <w:r>
        <w:t>sion</w:t>
      </w:r>
      <w:r w:rsidRPr="004267D0">
        <w:t>.</w:t>
      </w:r>
      <w:r>
        <w:t xml:space="preserve">  </w:t>
      </w:r>
    </w:p>
    <w:p w14:paraId="4B99222A" w14:textId="2EC7DA0F" w:rsidR="00A272EE" w:rsidRDefault="00A272EE" w:rsidP="00911BAA">
      <w:pPr>
        <w:shd w:val="clear" w:color="auto" w:fill="FFFFFF" w:themeFill="background1"/>
        <w:spacing w:after="0" w:line="480" w:lineRule="auto"/>
        <w:contextualSpacing/>
        <w:jc w:val="left"/>
      </w:pPr>
      <w:r>
        <w:t>With national Confidentiality Advisory Group</w:t>
      </w:r>
      <w:r>
        <w:rPr>
          <w:noProof/>
        </w:rPr>
        <w:t xml:space="preserve"> </w:t>
      </w:r>
      <w:r w:rsidR="00EB7A91">
        <w:rPr>
          <w:noProof/>
        </w:rPr>
        <w:t>[</w:t>
      </w:r>
      <w:r>
        <w:rPr>
          <w:noProof/>
        </w:rPr>
        <w:t>16</w:t>
      </w:r>
      <w:r w:rsidR="00EB7A91">
        <w:rPr>
          <w:noProof/>
        </w:rPr>
        <w:t>]</w:t>
      </w:r>
      <w:r>
        <w:t xml:space="preserve"> permission, all patients admitted to wards under the care of participating consultant geriatricians will be enrolled for routine data collection purposes, enabling collation of the primary outcome measure for all patients. </w:t>
      </w:r>
      <w:r>
        <w:rPr>
          <w:rFonts w:eastAsia="Calibri"/>
          <w:lang w:val="en-US"/>
        </w:rPr>
        <w:t>Consequently, we will not be required to enact any strategies for achieving adequate participant enrolment.</w:t>
      </w:r>
    </w:p>
    <w:p w14:paraId="4CC0720F" w14:textId="77777777" w:rsidR="00A272EE" w:rsidRDefault="00A272EE" w:rsidP="00911BAA">
      <w:pPr>
        <w:shd w:val="clear" w:color="auto" w:fill="FFFFFF"/>
        <w:spacing w:after="0" w:line="480" w:lineRule="auto"/>
        <w:contextualSpacing/>
        <w:jc w:val="left"/>
      </w:pPr>
    </w:p>
    <w:p w14:paraId="1398D388" w14:textId="49E35A02" w:rsidR="00A272EE" w:rsidRPr="004F6651" w:rsidRDefault="00A272EE" w:rsidP="00015AAD">
      <w:pPr>
        <w:shd w:val="clear" w:color="auto" w:fill="FFFFFF"/>
        <w:spacing w:after="0" w:line="480" w:lineRule="auto"/>
        <w:contextualSpacing/>
        <w:jc w:val="left"/>
        <w:rPr>
          <w:rFonts w:asciiTheme="minorHAnsi" w:eastAsia="Times New Roman" w:hAnsiTheme="minorHAnsi" w:cstheme="minorHAnsi"/>
          <w:b/>
          <w:bCs/>
          <w:kern w:val="36"/>
          <w:shd w:val="clear" w:color="auto" w:fill="auto"/>
          <w:lang w:eastAsia="en-GB"/>
        </w:rPr>
      </w:pPr>
      <w:r>
        <w:t xml:space="preserve">During enhanced data collection periods, one month during control period and one month during intervention period, patients admitted to wards under the care of participating consultant geriatricians will be approached to be consented for enhanced data collection </w:t>
      </w:r>
      <w:proofErr w:type="gramStart"/>
      <w:r>
        <w:t>i.e.</w:t>
      </w:r>
      <w:proofErr w:type="gramEnd"/>
      <w:r>
        <w:t xml:space="preserve"> non-routinely collected data needed for secondary outcome measures and process evaluation purposes. </w:t>
      </w:r>
      <w:r w:rsidRPr="004267D0">
        <w:rPr>
          <w:rFonts w:asciiTheme="minorHAnsi" w:eastAsia="Times New Roman" w:hAnsiTheme="minorHAnsi" w:cstheme="minorHAnsi"/>
          <w:shd w:val="clear" w:color="auto" w:fill="auto"/>
          <w:lang w:eastAsia="en-GB"/>
        </w:rPr>
        <w:br/>
      </w:r>
      <w:r w:rsidRPr="004F6651">
        <w:rPr>
          <w:rFonts w:asciiTheme="minorHAnsi" w:eastAsia="Times New Roman" w:hAnsiTheme="minorHAnsi" w:cstheme="minorHAnsi"/>
          <w:b/>
          <w:bCs/>
          <w:kern w:val="36"/>
          <w:shd w:val="clear" w:color="auto" w:fill="auto"/>
          <w:lang w:eastAsia="en-GB"/>
        </w:rPr>
        <w:t>Assignment of interventions: allocation</w:t>
      </w:r>
      <w:r>
        <w:rPr>
          <w:rFonts w:asciiTheme="minorHAnsi" w:eastAsia="Times New Roman" w:hAnsiTheme="minorHAnsi" w:cstheme="minorHAnsi"/>
          <w:b/>
          <w:bCs/>
          <w:kern w:val="36"/>
          <w:shd w:val="clear" w:color="auto" w:fill="auto"/>
          <w:lang w:eastAsia="en-GB"/>
        </w:rPr>
        <w:t xml:space="preserve"> </w:t>
      </w:r>
    </w:p>
    <w:p w14:paraId="68F7BBCE" w14:textId="77777777" w:rsidR="00A272EE" w:rsidRPr="00EA028A" w:rsidRDefault="00A272EE" w:rsidP="00196B9D">
      <w:pPr>
        <w:shd w:val="clear" w:color="auto" w:fill="FFFFFF"/>
        <w:spacing w:after="0" w:line="480" w:lineRule="auto"/>
        <w:contextualSpacing/>
        <w:jc w:val="left"/>
        <w:rPr>
          <w:rFonts w:asciiTheme="minorHAnsi" w:eastAsia="Times New Roman" w:hAnsiTheme="minorHAnsi" w:cstheme="minorHAnsi"/>
          <w:color w:val="333333"/>
          <w:shd w:val="clear" w:color="auto" w:fill="auto"/>
          <w:lang w:eastAsia="en-GB"/>
        </w:rPr>
      </w:pPr>
      <w:r w:rsidRPr="00EA028A">
        <w:rPr>
          <w:rFonts w:asciiTheme="minorHAnsi" w:eastAsia="Times New Roman" w:hAnsiTheme="minorHAnsi" w:cstheme="minorHAnsi"/>
          <w:b/>
          <w:bCs/>
          <w:color w:val="333333"/>
          <w:shd w:val="clear" w:color="auto" w:fill="auto"/>
          <w:lang w:eastAsia="en-GB"/>
        </w:rPr>
        <w:t>Sequence generation</w:t>
      </w:r>
    </w:p>
    <w:p w14:paraId="02ECBEE8" w14:textId="77777777" w:rsidR="00A272EE" w:rsidRDefault="00A272EE" w:rsidP="00196B9D">
      <w:pPr>
        <w:shd w:val="clear" w:color="auto" w:fill="FFFFFF"/>
        <w:spacing w:after="0" w:line="480" w:lineRule="auto"/>
        <w:contextualSpacing/>
        <w:jc w:val="left"/>
        <w:rPr>
          <w:rFonts w:eastAsia="Calibri"/>
        </w:rPr>
      </w:pPr>
      <w:r w:rsidRPr="00BA2D0B">
        <w:rPr>
          <w:rFonts w:eastAsia="Calibri"/>
        </w:rPr>
        <w:t>Sites</w:t>
      </w:r>
      <w:r>
        <w:rPr>
          <w:rFonts w:eastAsia="Calibri"/>
        </w:rPr>
        <w:t xml:space="preserve"> </w:t>
      </w:r>
      <w:r w:rsidRPr="00BA2D0B">
        <w:rPr>
          <w:rFonts w:eastAsia="Calibri"/>
        </w:rPr>
        <w:t xml:space="preserve">will be randomised to the four ‘groups’, the ‘groups’ being the step at which they started the intervention. Group 1 will start the intervention on the first step, etc. A fifth group, Group 5, is the reserve list. To ensure no two sites from the same region are randomised to the same group and thereby overwhelm the local </w:t>
      </w:r>
      <w:r>
        <w:rPr>
          <w:rFonts w:eastAsia="Calibri"/>
        </w:rPr>
        <w:t>RDN</w:t>
      </w:r>
      <w:r w:rsidRPr="00BA2D0B">
        <w:rPr>
          <w:rFonts w:eastAsia="Calibri"/>
        </w:rPr>
        <w:t xml:space="preserve"> team, randomisation will be stratified by region. Block size of 4 </w:t>
      </w:r>
      <w:r w:rsidRPr="00BA2D0B">
        <w:rPr>
          <w:rFonts w:eastAsia="Calibri"/>
        </w:rPr>
        <w:lastRenderedPageBreak/>
        <w:t>will be used so that randomisation could occur once 4 sites are recruited and concealment maintained.</w:t>
      </w:r>
    </w:p>
    <w:p w14:paraId="5DC626D0" w14:textId="77777777" w:rsidR="00A272EE" w:rsidRPr="00EA028A" w:rsidRDefault="00A272EE" w:rsidP="00196B9D">
      <w:pPr>
        <w:shd w:val="clear" w:color="auto" w:fill="FFFFFF"/>
        <w:spacing w:after="0" w:line="480" w:lineRule="auto"/>
        <w:contextualSpacing/>
        <w:jc w:val="left"/>
        <w:rPr>
          <w:rFonts w:asciiTheme="minorHAnsi" w:eastAsia="Times New Roman" w:hAnsiTheme="minorHAnsi" w:cstheme="minorHAnsi"/>
          <w:color w:val="333333"/>
          <w:shd w:val="clear" w:color="auto" w:fill="auto"/>
          <w:lang w:eastAsia="en-GB"/>
        </w:rPr>
      </w:pPr>
      <w:r w:rsidRPr="00EA028A">
        <w:rPr>
          <w:rFonts w:asciiTheme="minorHAnsi" w:eastAsia="Times New Roman" w:hAnsiTheme="minorHAnsi" w:cstheme="minorHAnsi"/>
          <w:b/>
          <w:bCs/>
          <w:color w:val="333333"/>
          <w:shd w:val="clear" w:color="auto" w:fill="auto"/>
          <w:lang w:eastAsia="en-GB"/>
        </w:rPr>
        <w:t>Concealment mechanism</w:t>
      </w:r>
      <w:r>
        <w:rPr>
          <w:rFonts w:asciiTheme="minorHAnsi" w:eastAsia="Times New Roman" w:hAnsiTheme="minorHAnsi" w:cstheme="minorHAnsi"/>
          <w:b/>
          <w:bCs/>
          <w:color w:val="333333"/>
          <w:shd w:val="clear" w:color="auto" w:fill="auto"/>
          <w:lang w:eastAsia="en-GB"/>
        </w:rPr>
        <w:t xml:space="preserve"> </w:t>
      </w:r>
    </w:p>
    <w:p w14:paraId="15CBDFD8" w14:textId="77777777" w:rsidR="00A272EE" w:rsidRPr="00B23536" w:rsidRDefault="00A272EE" w:rsidP="00BA2D0B">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057C832C">
        <w:rPr>
          <w:rFonts w:asciiTheme="minorHAnsi" w:eastAsiaTheme="minorEastAsia" w:hAnsiTheme="minorHAnsi" w:cstheme="minorBidi"/>
          <w:lang w:eastAsia="en-GB"/>
        </w:rPr>
        <w:t xml:space="preserve">Randomisation </w:t>
      </w:r>
      <w:r>
        <w:rPr>
          <w:rFonts w:asciiTheme="minorHAnsi" w:eastAsiaTheme="minorEastAsia" w:hAnsiTheme="minorHAnsi" w:cstheme="minorBidi"/>
          <w:lang w:eastAsia="en-GB"/>
        </w:rPr>
        <w:t xml:space="preserve">will </w:t>
      </w:r>
      <w:r w:rsidRPr="057C832C">
        <w:rPr>
          <w:rFonts w:asciiTheme="minorHAnsi" w:eastAsiaTheme="minorEastAsia" w:hAnsiTheme="minorHAnsi" w:cstheme="minorBidi"/>
          <w:lang w:eastAsia="en-GB"/>
        </w:rPr>
        <w:t>occur after every 4</w:t>
      </w:r>
      <w:r w:rsidRPr="057C832C">
        <w:rPr>
          <w:rFonts w:asciiTheme="minorHAnsi" w:eastAsiaTheme="minorEastAsia" w:hAnsiTheme="minorHAnsi" w:cstheme="minorBidi"/>
          <w:vertAlign w:val="superscript"/>
          <w:lang w:eastAsia="en-GB"/>
        </w:rPr>
        <w:t>th</w:t>
      </w:r>
      <w:r w:rsidRPr="057C832C">
        <w:rPr>
          <w:rFonts w:asciiTheme="minorHAnsi" w:eastAsiaTheme="minorEastAsia" w:hAnsiTheme="minorHAnsi" w:cstheme="minorBidi"/>
          <w:lang w:eastAsia="en-GB"/>
        </w:rPr>
        <w:t xml:space="preserve"> site</w:t>
      </w:r>
      <w:r>
        <w:rPr>
          <w:rFonts w:asciiTheme="minorHAnsi" w:eastAsiaTheme="minorEastAsia" w:hAnsiTheme="minorHAnsi" w:cstheme="minorBidi"/>
          <w:lang w:eastAsia="en-GB"/>
        </w:rPr>
        <w:t xml:space="preserve"> is</w:t>
      </w:r>
      <w:r w:rsidRPr="057C832C">
        <w:rPr>
          <w:rFonts w:asciiTheme="minorHAnsi" w:eastAsiaTheme="minorEastAsia" w:hAnsiTheme="minorHAnsi" w:cstheme="minorBidi"/>
          <w:lang w:eastAsia="en-GB"/>
        </w:rPr>
        <w:t xml:space="preserve"> recruited. If sites from the same region </w:t>
      </w:r>
      <w:r>
        <w:rPr>
          <w:rFonts w:asciiTheme="minorHAnsi" w:eastAsiaTheme="minorEastAsia" w:hAnsiTheme="minorHAnsi" w:cstheme="minorBidi"/>
          <w:lang w:eastAsia="en-GB"/>
        </w:rPr>
        <w:t>a</w:t>
      </w:r>
      <w:r w:rsidRPr="057C832C">
        <w:rPr>
          <w:rFonts w:asciiTheme="minorHAnsi" w:eastAsiaTheme="minorEastAsia" w:hAnsiTheme="minorHAnsi" w:cstheme="minorBidi"/>
          <w:lang w:eastAsia="en-GB"/>
        </w:rPr>
        <w:t>re participating, randomisation w</w:t>
      </w:r>
      <w:r>
        <w:rPr>
          <w:rFonts w:asciiTheme="minorHAnsi" w:eastAsiaTheme="minorEastAsia" w:hAnsiTheme="minorHAnsi" w:cstheme="minorBidi"/>
          <w:lang w:eastAsia="en-GB"/>
        </w:rPr>
        <w:t>ill be</w:t>
      </w:r>
      <w:r w:rsidRPr="057C832C">
        <w:rPr>
          <w:rFonts w:asciiTheme="minorHAnsi" w:eastAsiaTheme="minorEastAsia" w:hAnsiTheme="minorHAnsi" w:cstheme="minorBidi"/>
          <w:lang w:eastAsia="en-GB"/>
        </w:rPr>
        <w:t xml:space="preserve"> delayed until they </w:t>
      </w:r>
      <w:r>
        <w:rPr>
          <w:rFonts w:asciiTheme="minorHAnsi" w:eastAsiaTheme="minorEastAsia" w:hAnsiTheme="minorHAnsi" w:cstheme="minorBidi"/>
          <w:lang w:eastAsia="en-GB"/>
        </w:rPr>
        <w:t>can</w:t>
      </w:r>
      <w:r w:rsidRPr="057C832C">
        <w:rPr>
          <w:rFonts w:asciiTheme="minorHAnsi" w:eastAsiaTheme="minorEastAsia" w:hAnsiTheme="minorHAnsi" w:cstheme="minorBidi"/>
          <w:lang w:eastAsia="en-GB"/>
        </w:rPr>
        <w:t xml:space="preserve"> all be randomised at the same time. This process ensure</w:t>
      </w:r>
      <w:r>
        <w:rPr>
          <w:rFonts w:asciiTheme="minorHAnsi" w:eastAsiaTheme="minorEastAsia" w:hAnsiTheme="minorHAnsi" w:cstheme="minorBidi"/>
          <w:lang w:eastAsia="en-GB"/>
        </w:rPr>
        <w:t>s</w:t>
      </w:r>
      <w:r w:rsidRPr="057C832C">
        <w:rPr>
          <w:rFonts w:asciiTheme="minorHAnsi" w:eastAsiaTheme="minorEastAsia" w:hAnsiTheme="minorHAnsi" w:cstheme="minorBidi"/>
          <w:lang w:eastAsia="en-GB"/>
        </w:rPr>
        <w:t xml:space="preserve"> concealment as </w:t>
      </w:r>
      <w:r w:rsidRPr="2CAD7983">
        <w:rPr>
          <w:rFonts w:asciiTheme="minorHAnsi" w:eastAsiaTheme="minorEastAsia" w:hAnsiTheme="minorHAnsi" w:cstheme="minorBidi"/>
          <w:lang w:eastAsia="en-GB"/>
        </w:rPr>
        <w:t xml:space="preserve">the </w:t>
      </w:r>
      <w:r w:rsidRPr="057C832C">
        <w:rPr>
          <w:rFonts w:asciiTheme="minorHAnsi" w:eastAsiaTheme="minorEastAsia" w:hAnsiTheme="minorHAnsi" w:cstheme="minorBidi"/>
          <w:lang w:eastAsia="en-GB"/>
        </w:rPr>
        <w:t xml:space="preserve">recruitment team </w:t>
      </w:r>
      <w:r>
        <w:rPr>
          <w:rFonts w:asciiTheme="minorHAnsi" w:eastAsiaTheme="minorEastAsia" w:hAnsiTheme="minorHAnsi" w:cstheme="minorBidi"/>
          <w:lang w:eastAsia="en-GB"/>
        </w:rPr>
        <w:t>will be unable to</w:t>
      </w:r>
      <w:r w:rsidRPr="057C832C">
        <w:rPr>
          <w:rFonts w:asciiTheme="minorHAnsi" w:eastAsiaTheme="minorEastAsia" w:hAnsiTheme="minorHAnsi" w:cstheme="minorBidi"/>
          <w:lang w:eastAsia="en-GB"/>
        </w:rPr>
        <w:t xml:space="preserve"> predict treatment allocation.</w:t>
      </w:r>
    </w:p>
    <w:p w14:paraId="2C723D99" w14:textId="77777777" w:rsidR="00A272EE" w:rsidRPr="00EA028A" w:rsidRDefault="00A272EE" w:rsidP="0030246D">
      <w:pPr>
        <w:shd w:val="clear" w:color="auto" w:fill="FFFFFF"/>
        <w:spacing w:after="0" w:line="480" w:lineRule="auto"/>
        <w:contextualSpacing/>
        <w:jc w:val="left"/>
        <w:rPr>
          <w:rFonts w:asciiTheme="minorHAnsi" w:eastAsia="Times New Roman" w:hAnsiTheme="minorHAnsi" w:cstheme="minorHAnsi"/>
          <w:color w:val="333333"/>
          <w:shd w:val="clear" w:color="auto" w:fill="auto"/>
          <w:lang w:eastAsia="en-GB"/>
        </w:rPr>
      </w:pPr>
      <w:r w:rsidRPr="00EA028A">
        <w:rPr>
          <w:rFonts w:asciiTheme="minorHAnsi" w:eastAsia="Times New Roman" w:hAnsiTheme="minorHAnsi" w:cstheme="minorHAnsi"/>
          <w:b/>
          <w:bCs/>
          <w:color w:val="333333"/>
          <w:shd w:val="clear" w:color="auto" w:fill="auto"/>
          <w:lang w:eastAsia="en-GB"/>
        </w:rPr>
        <w:t>Implementation</w:t>
      </w:r>
      <w:r>
        <w:rPr>
          <w:rFonts w:asciiTheme="minorHAnsi" w:eastAsia="Times New Roman" w:hAnsiTheme="minorHAnsi" w:cstheme="minorHAnsi"/>
          <w:b/>
          <w:bCs/>
          <w:color w:val="333333"/>
          <w:shd w:val="clear" w:color="auto" w:fill="auto"/>
          <w:lang w:eastAsia="en-GB"/>
        </w:rPr>
        <w:t xml:space="preserve"> </w:t>
      </w:r>
    </w:p>
    <w:p w14:paraId="35B1D646" w14:textId="1A1AA813" w:rsidR="00A272EE" w:rsidRPr="00B23536" w:rsidRDefault="00A272EE" w:rsidP="0030246D">
      <w:pPr>
        <w:shd w:val="clear" w:color="auto" w:fill="FFFFFF" w:themeFill="background1"/>
        <w:spacing w:after="120" w:line="480" w:lineRule="auto"/>
        <w:jc w:val="left"/>
        <w:rPr>
          <w:rFonts w:asciiTheme="minorHAnsi" w:eastAsiaTheme="minorEastAsia" w:hAnsiTheme="minorHAnsi" w:cstheme="minorBidi"/>
          <w:lang w:eastAsia="en-GB"/>
        </w:rPr>
      </w:pPr>
      <w:r w:rsidRPr="4E2D6A35">
        <w:rPr>
          <w:rFonts w:asciiTheme="minorHAnsi" w:eastAsiaTheme="minorEastAsia" w:hAnsiTheme="minorHAnsi" w:cstheme="minorBidi"/>
          <w:lang w:eastAsia="en-GB"/>
        </w:rPr>
        <w:t>The list w</w:t>
      </w:r>
      <w:r>
        <w:rPr>
          <w:rFonts w:asciiTheme="minorHAnsi" w:eastAsiaTheme="minorEastAsia" w:hAnsiTheme="minorHAnsi" w:cstheme="minorBidi"/>
          <w:lang w:eastAsia="en-GB"/>
        </w:rPr>
        <w:t>ill be</w:t>
      </w:r>
      <w:r w:rsidRPr="4E2D6A35">
        <w:rPr>
          <w:rFonts w:asciiTheme="minorHAnsi" w:eastAsiaTheme="minorEastAsia" w:hAnsiTheme="minorHAnsi" w:cstheme="minorBidi"/>
          <w:lang w:eastAsia="en-GB"/>
        </w:rPr>
        <w:t xml:space="preserve"> generated using the Sealed Envelope online randomisation list generator</w:t>
      </w:r>
      <w:r>
        <w:rPr>
          <w:rFonts w:asciiTheme="minorHAnsi" w:eastAsiaTheme="minorEastAsia" w:hAnsiTheme="minorHAnsi" w:cstheme="minorBidi"/>
          <w:lang w:eastAsia="en-GB"/>
        </w:rPr>
        <w:t xml:space="preserve">. </w:t>
      </w:r>
      <w:r w:rsidRPr="4E2D6A35">
        <w:rPr>
          <w:rFonts w:asciiTheme="minorHAnsi" w:eastAsiaTheme="minorEastAsia" w:hAnsiTheme="minorHAnsi" w:cstheme="minorBidi"/>
          <w:lang w:eastAsia="en-GB"/>
        </w:rPr>
        <w:t>Sites w</w:t>
      </w:r>
      <w:r>
        <w:rPr>
          <w:rFonts w:asciiTheme="minorHAnsi" w:eastAsiaTheme="minorEastAsia" w:hAnsiTheme="minorHAnsi" w:cstheme="minorBidi"/>
          <w:lang w:eastAsia="en-GB"/>
        </w:rPr>
        <w:t>ill be</w:t>
      </w:r>
      <w:r w:rsidRPr="4E2D6A35">
        <w:rPr>
          <w:rFonts w:asciiTheme="minorHAnsi" w:eastAsiaTheme="minorEastAsia" w:hAnsiTheme="minorHAnsi" w:cstheme="minorBidi"/>
          <w:lang w:eastAsia="en-GB"/>
        </w:rPr>
        <w:t xml:space="preserve"> recruited and once four sites confirm </w:t>
      </w:r>
      <w:r>
        <w:rPr>
          <w:rFonts w:asciiTheme="minorHAnsi" w:eastAsiaTheme="minorEastAsia" w:hAnsiTheme="minorHAnsi" w:cstheme="minorBidi"/>
          <w:lang w:eastAsia="en-GB"/>
        </w:rPr>
        <w:t>capability and capacity to deliver the research</w:t>
      </w:r>
      <w:r w:rsidRPr="4E2D6A35">
        <w:rPr>
          <w:rFonts w:asciiTheme="minorHAnsi" w:eastAsiaTheme="minorEastAsia" w:hAnsiTheme="minorHAnsi" w:cstheme="minorBidi"/>
          <w:lang w:eastAsia="en-GB"/>
        </w:rPr>
        <w:t>, they w</w:t>
      </w:r>
      <w:r>
        <w:rPr>
          <w:rFonts w:asciiTheme="minorHAnsi" w:eastAsiaTheme="minorEastAsia" w:hAnsiTheme="minorHAnsi" w:cstheme="minorBidi"/>
          <w:lang w:eastAsia="en-GB"/>
        </w:rPr>
        <w:t>ill be</w:t>
      </w:r>
      <w:r w:rsidRPr="4E2D6A35">
        <w:rPr>
          <w:rFonts w:asciiTheme="minorHAnsi" w:eastAsiaTheme="minorEastAsia" w:hAnsiTheme="minorHAnsi" w:cstheme="minorBidi"/>
          <w:lang w:eastAsia="en-GB"/>
        </w:rPr>
        <w:t xml:space="preserve"> allocated to an intervention step by the trial manager using the </w:t>
      </w:r>
      <w:proofErr w:type="spellStart"/>
      <w:r w:rsidRPr="4E2D6A35">
        <w:rPr>
          <w:rFonts w:asciiTheme="minorHAnsi" w:eastAsiaTheme="minorEastAsia" w:hAnsiTheme="minorHAnsi" w:cstheme="minorBidi"/>
          <w:lang w:eastAsia="en-GB"/>
        </w:rPr>
        <w:t>REDCap</w:t>
      </w:r>
      <w:proofErr w:type="spellEnd"/>
      <w:r w:rsidRPr="4E2D6A35">
        <w:rPr>
          <w:rFonts w:asciiTheme="minorHAnsi" w:eastAsiaTheme="minorEastAsia" w:hAnsiTheme="minorHAnsi" w:cstheme="minorBidi"/>
          <w:lang w:eastAsia="en-GB"/>
        </w:rPr>
        <w:t xml:space="preserve"> </w:t>
      </w:r>
      <w:r w:rsidR="00EB7A91">
        <w:rPr>
          <w:rFonts w:asciiTheme="minorHAnsi" w:eastAsiaTheme="minorEastAsia" w:hAnsiTheme="minorHAnsi" w:cstheme="minorBidi"/>
          <w:noProof/>
          <w:lang w:eastAsia="en-GB"/>
        </w:rPr>
        <w:t>[</w:t>
      </w:r>
      <w:r>
        <w:rPr>
          <w:rFonts w:asciiTheme="minorHAnsi" w:eastAsiaTheme="minorEastAsia" w:hAnsiTheme="minorHAnsi" w:cstheme="minorBidi"/>
          <w:noProof/>
          <w:lang w:eastAsia="en-GB"/>
        </w:rPr>
        <w:t>24</w:t>
      </w:r>
      <w:r w:rsidR="00EB7A91">
        <w:rPr>
          <w:rFonts w:asciiTheme="minorHAnsi" w:eastAsiaTheme="minorEastAsia" w:hAnsiTheme="minorHAnsi" w:cstheme="minorBidi"/>
          <w:noProof/>
          <w:lang w:eastAsia="en-GB"/>
        </w:rPr>
        <w:t>]</w:t>
      </w:r>
      <w:r w:rsidRPr="4E2D6A35">
        <w:rPr>
          <w:rFonts w:asciiTheme="minorHAnsi" w:eastAsiaTheme="minorEastAsia" w:hAnsiTheme="minorHAnsi" w:cstheme="minorBidi"/>
          <w:lang w:eastAsia="en-GB"/>
        </w:rPr>
        <w:t xml:space="preserve"> randomisation system.</w:t>
      </w:r>
    </w:p>
    <w:p w14:paraId="039FB1D5" w14:textId="77777777" w:rsidR="00A272EE" w:rsidRPr="0030246D" w:rsidRDefault="00A272EE" w:rsidP="0030246D">
      <w:pPr>
        <w:spacing w:after="120" w:line="480" w:lineRule="auto"/>
        <w:jc w:val="left"/>
        <w:rPr>
          <w:b/>
          <w:bCs/>
        </w:rPr>
      </w:pPr>
      <w:r w:rsidRPr="0030246D">
        <w:rPr>
          <w:b/>
          <w:bCs/>
        </w:rPr>
        <w:t>Blinding</w:t>
      </w:r>
    </w:p>
    <w:p w14:paraId="2075F6F3" w14:textId="77777777" w:rsidR="00A272EE" w:rsidRPr="0030246D" w:rsidRDefault="00A272EE" w:rsidP="0030246D">
      <w:pPr>
        <w:shd w:val="clear" w:color="auto" w:fill="FFFFFF" w:themeFill="background1"/>
        <w:spacing w:after="120" w:line="480" w:lineRule="auto"/>
        <w:contextualSpacing/>
        <w:jc w:val="left"/>
        <w:rPr>
          <w:rFonts w:asciiTheme="minorHAnsi" w:eastAsia="Times New Roman" w:hAnsiTheme="minorHAnsi" w:cstheme="minorBidi"/>
          <w:shd w:val="clear" w:color="auto" w:fill="auto"/>
          <w:lang w:eastAsia="en-GB"/>
        </w:rPr>
      </w:pPr>
      <w:r w:rsidRPr="0030246D">
        <w:rPr>
          <w:rFonts w:asciiTheme="minorHAnsi" w:eastAsia="Times New Roman" w:hAnsiTheme="minorHAnsi" w:cstheme="minorBidi"/>
          <w:shd w:val="clear" w:color="auto" w:fill="auto"/>
          <w:lang w:eastAsia="en-GB"/>
        </w:rPr>
        <w:t xml:space="preserve">Due to the nature of the intervention and trial design blinding to allocation is not possible. </w:t>
      </w:r>
    </w:p>
    <w:p w14:paraId="6517BEF6" w14:textId="77777777" w:rsidR="00A272EE" w:rsidRPr="0030246D" w:rsidRDefault="00A272EE" w:rsidP="0030246D">
      <w:pPr>
        <w:spacing w:after="120" w:line="480" w:lineRule="auto"/>
        <w:rPr>
          <w:b/>
          <w:bCs/>
          <w:lang w:val="en-US"/>
        </w:rPr>
      </w:pPr>
      <w:r w:rsidRPr="0030246D">
        <w:rPr>
          <w:b/>
          <w:bCs/>
          <w:lang w:val="en-US"/>
        </w:rPr>
        <w:t>Data collection and management</w:t>
      </w:r>
    </w:p>
    <w:p w14:paraId="5B05D81B" w14:textId="77777777" w:rsidR="00A272EE" w:rsidRPr="0030246D" w:rsidRDefault="00A272EE" w:rsidP="0030246D">
      <w:pPr>
        <w:spacing w:after="120" w:line="480" w:lineRule="auto"/>
        <w:rPr>
          <w:b/>
          <w:bCs/>
          <w:lang w:val="en-US"/>
        </w:rPr>
      </w:pPr>
      <w:r w:rsidRPr="0030246D">
        <w:rPr>
          <w:b/>
          <w:bCs/>
          <w:lang w:val="en-US"/>
        </w:rPr>
        <w:t>Plan for assessment and collection of outcomes</w:t>
      </w:r>
    </w:p>
    <w:p w14:paraId="0A405D80" w14:textId="77777777" w:rsidR="00A272EE" w:rsidRPr="004267D0" w:rsidRDefault="00A272EE" w:rsidP="0030246D">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057C832C">
        <w:rPr>
          <w:rFonts w:asciiTheme="minorHAnsi" w:eastAsia="Times New Roman" w:hAnsiTheme="minorHAnsi" w:cstheme="minorBidi"/>
          <w:shd w:val="clear" w:color="auto" w:fill="auto"/>
          <w:lang w:eastAsia="en-GB"/>
        </w:rPr>
        <w:t xml:space="preserve">We will collect relevant outcome data at two levels for patients admitted to </w:t>
      </w:r>
      <w:r>
        <w:rPr>
          <w:rFonts w:asciiTheme="minorHAnsi" w:eastAsia="Times New Roman" w:hAnsiTheme="minorHAnsi" w:cstheme="minorBidi"/>
          <w:shd w:val="clear" w:color="auto" w:fill="auto"/>
          <w:lang w:eastAsia="en-GB"/>
        </w:rPr>
        <w:t>study</w:t>
      </w:r>
      <w:r w:rsidRPr="057C832C">
        <w:rPr>
          <w:rFonts w:asciiTheme="minorHAnsi" w:eastAsia="Times New Roman" w:hAnsiTheme="minorHAnsi" w:cstheme="minorBidi"/>
          <w:shd w:val="clear" w:color="auto" w:fill="auto"/>
          <w:lang w:eastAsia="en-GB"/>
        </w:rPr>
        <w:t xml:space="preserve"> wards </w:t>
      </w:r>
      <w:r>
        <w:rPr>
          <w:rFonts w:asciiTheme="minorHAnsi" w:eastAsia="Times New Roman" w:hAnsiTheme="minorHAnsi" w:cstheme="minorBidi"/>
          <w:shd w:val="clear" w:color="auto" w:fill="auto"/>
          <w:lang w:eastAsia="en-GB"/>
        </w:rPr>
        <w:t xml:space="preserve">and </w:t>
      </w:r>
      <w:r w:rsidRPr="057C832C">
        <w:rPr>
          <w:rFonts w:asciiTheme="minorHAnsi" w:eastAsia="Times New Roman" w:hAnsiTheme="minorHAnsi" w:cstheme="minorBidi"/>
          <w:shd w:val="clear" w:color="auto" w:fill="auto"/>
          <w:lang w:eastAsia="en-GB"/>
        </w:rPr>
        <w:t>under the care of participating consultant geriatricians</w:t>
      </w:r>
      <w:r>
        <w:rPr>
          <w:rFonts w:asciiTheme="minorHAnsi" w:eastAsia="Times New Roman" w:hAnsiTheme="minorHAnsi" w:cstheme="minorBidi"/>
          <w:shd w:val="clear" w:color="auto" w:fill="auto"/>
          <w:lang w:eastAsia="en-GB"/>
        </w:rPr>
        <w:t>:</w:t>
      </w:r>
      <w:r w:rsidRPr="057C832C">
        <w:rPr>
          <w:rFonts w:asciiTheme="minorHAnsi" w:eastAsia="Times New Roman" w:hAnsiTheme="minorHAnsi" w:cstheme="minorBidi"/>
          <w:shd w:val="clear" w:color="auto" w:fill="auto"/>
          <w:lang w:eastAsia="en-GB"/>
        </w:rPr>
        <w:t xml:space="preserve">  </w:t>
      </w:r>
    </w:p>
    <w:p w14:paraId="624FBB3C" w14:textId="77777777" w:rsidR="00A272EE" w:rsidRPr="004267D0" w:rsidRDefault="00A272EE" w:rsidP="0030246D">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2CAD7983">
        <w:rPr>
          <w:rFonts w:asciiTheme="minorHAnsi" w:eastAsia="Times New Roman" w:hAnsiTheme="minorHAnsi" w:cstheme="minorBidi"/>
          <w:shd w:val="clear" w:color="auto" w:fill="auto"/>
          <w:lang w:eastAsia="en-GB"/>
        </w:rPr>
        <w:t>1) routinely collected data for all patients admitted for the duration of control and intervention steps</w:t>
      </w:r>
      <w:r>
        <w:rPr>
          <w:rFonts w:asciiTheme="minorHAnsi" w:eastAsia="Times New Roman" w:hAnsiTheme="minorHAnsi" w:cstheme="minorBidi"/>
          <w:shd w:val="clear" w:color="auto" w:fill="auto"/>
          <w:lang w:eastAsia="en-GB"/>
        </w:rPr>
        <w:t>,</w:t>
      </w:r>
      <w:r w:rsidRPr="2CAD7983">
        <w:rPr>
          <w:rFonts w:asciiTheme="minorHAnsi" w:eastAsia="Times New Roman" w:hAnsiTheme="minorHAnsi" w:cstheme="minorBidi"/>
          <w:shd w:val="clear" w:color="auto" w:fill="auto"/>
          <w:lang w:eastAsia="en-GB"/>
        </w:rPr>
        <w:t xml:space="preserve"> i.e.</w:t>
      </w:r>
      <w:r>
        <w:rPr>
          <w:rFonts w:asciiTheme="minorHAnsi" w:eastAsia="Times New Roman" w:hAnsiTheme="minorHAnsi" w:cstheme="minorBidi"/>
          <w:shd w:val="clear" w:color="auto" w:fill="auto"/>
          <w:lang w:eastAsia="en-GB"/>
        </w:rPr>
        <w:t>,</w:t>
      </w:r>
      <w:r w:rsidRPr="2CAD7983">
        <w:rPr>
          <w:rFonts w:asciiTheme="minorHAnsi" w:eastAsia="Times New Roman" w:hAnsiTheme="minorHAnsi" w:cstheme="minorBidi"/>
          <w:shd w:val="clear" w:color="auto" w:fill="auto"/>
          <w:lang w:eastAsia="en-GB"/>
        </w:rPr>
        <w:t xml:space="preserve"> 18 months.</w:t>
      </w:r>
    </w:p>
    <w:p w14:paraId="27CECE6E" w14:textId="77777777" w:rsidR="00A272EE" w:rsidRPr="004267D0" w:rsidRDefault="00A272EE" w:rsidP="0030246D">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057C832C">
        <w:rPr>
          <w:rFonts w:asciiTheme="minorHAnsi" w:eastAsia="Times New Roman" w:hAnsiTheme="minorHAnsi" w:cstheme="minorBidi"/>
          <w:shd w:val="clear" w:color="auto" w:fill="auto"/>
          <w:lang w:eastAsia="en-GB"/>
        </w:rPr>
        <w:t>2) non-routinely collected data during ‘</w:t>
      </w:r>
      <w:r>
        <w:rPr>
          <w:rFonts w:asciiTheme="minorHAnsi" w:eastAsia="Times New Roman" w:hAnsiTheme="minorHAnsi" w:cstheme="minorBidi"/>
          <w:shd w:val="clear" w:color="auto" w:fill="auto"/>
          <w:lang w:eastAsia="en-GB"/>
        </w:rPr>
        <w:t>enhanced</w:t>
      </w:r>
      <w:r w:rsidRPr="057C832C">
        <w:rPr>
          <w:rFonts w:asciiTheme="minorHAnsi" w:eastAsia="Times New Roman" w:hAnsiTheme="minorHAnsi" w:cstheme="minorBidi"/>
          <w:shd w:val="clear" w:color="auto" w:fill="auto"/>
          <w:lang w:eastAsia="en-GB"/>
        </w:rPr>
        <w:t xml:space="preserve"> data collection periods’ which take place for four weeks during </w:t>
      </w:r>
      <w:r>
        <w:rPr>
          <w:rFonts w:asciiTheme="minorHAnsi" w:eastAsia="Times New Roman" w:hAnsiTheme="minorHAnsi" w:cstheme="minorBidi"/>
          <w:shd w:val="clear" w:color="auto" w:fill="auto"/>
          <w:lang w:eastAsia="en-GB"/>
        </w:rPr>
        <w:t xml:space="preserve">both </w:t>
      </w:r>
      <w:r w:rsidRPr="057C832C">
        <w:rPr>
          <w:rFonts w:asciiTheme="minorHAnsi" w:eastAsia="Times New Roman" w:hAnsiTheme="minorHAnsi" w:cstheme="minorBidi"/>
          <w:shd w:val="clear" w:color="auto" w:fill="auto"/>
          <w:lang w:eastAsia="en-GB"/>
        </w:rPr>
        <w:t xml:space="preserve">the control </w:t>
      </w:r>
      <w:r>
        <w:rPr>
          <w:rFonts w:asciiTheme="minorHAnsi" w:eastAsia="Times New Roman" w:hAnsiTheme="minorHAnsi" w:cstheme="minorBidi"/>
          <w:shd w:val="clear" w:color="auto" w:fill="auto"/>
          <w:lang w:eastAsia="en-GB"/>
        </w:rPr>
        <w:t>and intervention period</w:t>
      </w:r>
      <w:r w:rsidRPr="057C832C">
        <w:rPr>
          <w:rFonts w:asciiTheme="minorHAnsi" w:eastAsia="Times New Roman" w:hAnsiTheme="minorHAnsi" w:cstheme="minorBidi"/>
          <w:shd w:val="clear" w:color="auto" w:fill="auto"/>
          <w:lang w:eastAsia="en-GB"/>
        </w:rPr>
        <w:t xml:space="preserve">. </w:t>
      </w:r>
    </w:p>
    <w:p w14:paraId="6F0CDE7B" w14:textId="0E3FF4E4" w:rsidR="00A272EE" w:rsidRPr="009752D8" w:rsidRDefault="00A272EE" w:rsidP="007B5478">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4E2D6A35">
        <w:rPr>
          <w:rFonts w:asciiTheme="minorHAnsi" w:eastAsia="Times New Roman" w:hAnsiTheme="minorHAnsi" w:cstheme="minorBidi"/>
          <w:shd w:val="clear" w:color="auto" w:fill="auto"/>
          <w:lang w:eastAsia="en-GB"/>
        </w:rPr>
        <w:t>Routine data will be collected</w:t>
      </w:r>
      <w:r>
        <w:rPr>
          <w:rFonts w:asciiTheme="minorHAnsi" w:eastAsia="Times New Roman" w:hAnsiTheme="minorHAnsi" w:cstheme="minorBidi"/>
          <w:shd w:val="clear" w:color="auto" w:fill="auto"/>
          <w:lang w:eastAsia="en-GB"/>
        </w:rPr>
        <w:t xml:space="preserve"> by nurses employed within the national RDN</w:t>
      </w:r>
      <w:r w:rsidRPr="00815776">
        <w:rPr>
          <w:rFonts w:asciiTheme="minorHAnsi" w:eastAsia="Times New Roman" w:hAnsiTheme="minorHAnsi" w:cstheme="minorBidi"/>
          <w:shd w:val="clear" w:color="auto" w:fill="auto"/>
          <w:lang w:eastAsia="en-GB"/>
        </w:rPr>
        <w:t xml:space="preserve"> </w:t>
      </w:r>
      <w:r w:rsidR="00EB7A91">
        <w:rPr>
          <w:rFonts w:asciiTheme="minorHAnsi" w:eastAsia="Times New Roman" w:hAnsiTheme="minorHAnsi" w:cstheme="minorBidi"/>
          <w:noProof/>
          <w:shd w:val="clear" w:color="auto" w:fill="auto"/>
          <w:lang w:eastAsia="en-GB"/>
        </w:rPr>
        <w:t>[</w:t>
      </w:r>
      <w:r>
        <w:rPr>
          <w:rFonts w:asciiTheme="minorHAnsi" w:eastAsia="Times New Roman" w:hAnsiTheme="minorHAnsi" w:cstheme="minorBidi"/>
          <w:noProof/>
          <w:shd w:val="clear" w:color="auto" w:fill="auto"/>
          <w:lang w:eastAsia="en-GB"/>
        </w:rPr>
        <w:t>25</w:t>
      </w:r>
      <w:r w:rsidR="00EB7A91">
        <w:rPr>
          <w:rFonts w:asciiTheme="minorHAnsi" w:eastAsia="Times New Roman" w:hAnsiTheme="minorHAnsi" w:cstheme="minorBidi"/>
          <w:noProof/>
          <w:shd w:val="clear" w:color="auto" w:fill="auto"/>
          <w:lang w:eastAsia="en-GB"/>
        </w:rPr>
        <w:t>]</w:t>
      </w:r>
      <w:r w:rsidRPr="00246826">
        <w:rPr>
          <w:rFonts w:asciiTheme="minorHAnsi" w:eastAsia="Times New Roman" w:hAnsiTheme="minorHAnsi" w:cstheme="minorBidi"/>
          <w:color w:val="FF0000"/>
          <w:shd w:val="clear" w:color="auto" w:fill="auto"/>
          <w:lang w:eastAsia="en-GB"/>
        </w:rPr>
        <w:t xml:space="preserve"> </w:t>
      </w:r>
      <w:r w:rsidRPr="4E2D6A35">
        <w:rPr>
          <w:rFonts w:asciiTheme="minorHAnsi" w:eastAsia="Times New Roman" w:hAnsiTheme="minorHAnsi" w:cstheme="minorBidi"/>
          <w:shd w:val="clear" w:color="auto" w:fill="auto"/>
          <w:lang w:eastAsia="en-GB"/>
        </w:rPr>
        <w:t xml:space="preserve">for all patients under the care of a participating geriatrician admitted to the study wards during </w:t>
      </w:r>
      <w:r w:rsidRPr="4E2D6A35">
        <w:rPr>
          <w:rFonts w:asciiTheme="minorHAnsi" w:eastAsia="Times New Roman" w:hAnsiTheme="minorHAnsi" w:cstheme="minorBidi"/>
          <w:lang w:eastAsia="en-GB"/>
        </w:rPr>
        <w:t xml:space="preserve">the </w:t>
      </w:r>
      <w:r w:rsidRPr="4E2D6A35">
        <w:rPr>
          <w:rFonts w:asciiTheme="minorHAnsi" w:eastAsia="Times New Roman" w:hAnsiTheme="minorHAnsi" w:cstheme="minorBidi"/>
          <w:shd w:val="clear" w:color="auto" w:fill="auto"/>
          <w:lang w:eastAsia="en-GB"/>
        </w:rPr>
        <w:t xml:space="preserve">trial period and provided </w:t>
      </w:r>
      <w:r w:rsidRPr="4E2D6A35">
        <w:rPr>
          <w:rFonts w:asciiTheme="minorHAnsi" w:eastAsia="Times New Roman" w:hAnsiTheme="minorHAnsi" w:cstheme="minorBidi"/>
          <w:lang w:eastAsia="en-GB"/>
        </w:rPr>
        <w:t xml:space="preserve">anonymously </w:t>
      </w:r>
      <w:r w:rsidRPr="4E2D6A35">
        <w:rPr>
          <w:rFonts w:asciiTheme="minorHAnsi" w:eastAsia="Times New Roman" w:hAnsiTheme="minorHAnsi" w:cstheme="minorBidi"/>
          <w:shd w:val="clear" w:color="auto" w:fill="auto"/>
          <w:lang w:eastAsia="en-GB"/>
        </w:rPr>
        <w:t xml:space="preserve">to the research team </w:t>
      </w:r>
      <w:r w:rsidRPr="4E2D6A35">
        <w:rPr>
          <w:rFonts w:asciiTheme="minorHAnsi" w:eastAsia="Times New Roman" w:hAnsiTheme="minorHAnsi" w:cstheme="minorBidi"/>
          <w:lang w:eastAsia="en-GB"/>
        </w:rPr>
        <w:t xml:space="preserve">following </w:t>
      </w:r>
      <w:r w:rsidRPr="4E2D6A35">
        <w:rPr>
          <w:rFonts w:asciiTheme="minorHAnsi" w:eastAsia="Times New Roman" w:hAnsiTheme="minorHAnsi" w:cstheme="minorBidi"/>
          <w:shd w:val="clear" w:color="auto" w:fill="auto"/>
          <w:lang w:eastAsia="en-GB"/>
        </w:rPr>
        <w:t>national Confidentiality Advisory Group (CAG)</w:t>
      </w:r>
      <w:r>
        <w:rPr>
          <w:rFonts w:asciiTheme="minorHAnsi" w:eastAsia="Times New Roman" w:hAnsiTheme="minorHAnsi" w:cstheme="minorBidi"/>
          <w:noProof/>
          <w:shd w:val="clear" w:color="auto" w:fill="auto"/>
          <w:lang w:eastAsia="en-GB"/>
        </w:rPr>
        <w:t xml:space="preserve"> </w:t>
      </w:r>
      <w:r w:rsidR="00EB7A91">
        <w:rPr>
          <w:rFonts w:asciiTheme="minorHAnsi" w:eastAsia="Times New Roman" w:hAnsiTheme="minorHAnsi" w:cstheme="minorBidi"/>
          <w:noProof/>
          <w:shd w:val="clear" w:color="auto" w:fill="auto"/>
          <w:lang w:eastAsia="en-GB"/>
        </w:rPr>
        <w:t>[</w:t>
      </w:r>
      <w:r>
        <w:rPr>
          <w:rFonts w:asciiTheme="minorHAnsi" w:eastAsia="Times New Roman" w:hAnsiTheme="minorHAnsi" w:cstheme="minorBidi"/>
          <w:noProof/>
          <w:shd w:val="clear" w:color="auto" w:fill="auto"/>
          <w:lang w:eastAsia="en-GB"/>
        </w:rPr>
        <w:t>16</w:t>
      </w:r>
      <w:r w:rsidR="00EB7A91">
        <w:rPr>
          <w:rFonts w:asciiTheme="minorHAnsi" w:eastAsia="Times New Roman" w:hAnsiTheme="minorHAnsi" w:cstheme="minorBidi"/>
          <w:noProof/>
          <w:shd w:val="clear" w:color="auto" w:fill="auto"/>
          <w:lang w:eastAsia="en-GB"/>
        </w:rPr>
        <w:t>]</w:t>
      </w:r>
      <w:r w:rsidRPr="4E2D6A35">
        <w:rPr>
          <w:rFonts w:asciiTheme="minorHAnsi" w:eastAsia="Times New Roman" w:hAnsiTheme="minorHAnsi" w:cstheme="minorBidi"/>
          <w:shd w:val="clear" w:color="auto" w:fill="auto"/>
          <w:lang w:eastAsia="en-GB"/>
        </w:rPr>
        <w:t xml:space="preserve"> </w:t>
      </w:r>
      <w:r w:rsidRPr="4E2D6A35">
        <w:rPr>
          <w:rFonts w:asciiTheme="minorHAnsi" w:eastAsia="Times New Roman" w:hAnsiTheme="minorHAnsi" w:cstheme="minorBidi"/>
          <w:lang w:eastAsia="en-GB"/>
        </w:rPr>
        <w:t xml:space="preserve">permission </w:t>
      </w:r>
      <w:r w:rsidRPr="4E2D6A35">
        <w:rPr>
          <w:rFonts w:asciiTheme="minorHAnsi" w:eastAsia="Times New Roman" w:hAnsiTheme="minorHAnsi" w:cstheme="minorBidi"/>
          <w:shd w:val="clear" w:color="auto" w:fill="auto"/>
          <w:lang w:eastAsia="en-GB"/>
        </w:rPr>
        <w:t xml:space="preserve">to </w:t>
      </w:r>
      <w:r w:rsidRPr="4E2D6A35">
        <w:rPr>
          <w:rFonts w:asciiTheme="minorHAnsi" w:eastAsia="Times New Roman" w:hAnsiTheme="minorHAnsi" w:cstheme="minorBidi"/>
          <w:lang w:eastAsia="en-GB"/>
        </w:rPr>
        <w:t>collect these data without the requirement for</w:t>
      </w:r>
      <w:r w:rsidRPr="4E2D6A35">
        <w:rPr>
          <w:rFonts w:asciiTheme="minorHAnsi" w:eastAsia="Times New Roman" w:hAnsiTheme="minorHAnsi" w:cstheme="minorBidi"/>
          <w:shd w:val="clear" w:color="auto" w:fill="auto"/>
          <w:lang w:eastAsia="en-GB"/>
        </w:rPr>
        <w:t xml:space="preserve"> patient consent</w:t>
      </w:r>
      <w:r>
        <w:rPr>
          <w:rFonts w:asciiTheme="minorHAnsi" w:eastAsia="Times New Roman" w:hAnsiTheme="minorHAnsi" w:cstheme="minorBidi"/>
          <w:shd w:val="clear" w:color="auto" w:fill="auto"/>
          <w:lang w:eastAsia="en-GB"/>
        </w:rPr>
        <w:t xml:space="preserve">. </w:t>
      </w:r>
    </w:p>
    <w:p w14:paraId="71478D25" w14:textId="77777777" w:rsidR="00A272EE" w:rsidRPr="00246826" w:rsidRDefault="00A272EE" w:rsidP="007B5478">
      <w:pPr>
        <w:spacing w:after="0" w:line="480" w:lineRule="auto"/>
        <w:rPr>
          <w:b/>
          <w:bCs/>
          <w:lang w:val="en-US"/>
        </w:rPr>
      </w:pPr>
      <w:r w:rsidRPr="00246826">
        <w:rPr>
          <w:b/>
          <w:bCs/>
          <w:lang w:val="en-US"/>
        </w:rPr>
        <w:lastRenderedPageBreak/>
        <w:t>Plans to promote participation retention and complete follow-up</w:t>
      </w:r>
    </w:p>
    <w:p w14:paraId="60FEBC2D" w14:textId="77777777" w:rsidR="00A272EE" w:rsidRDefault="00A272EE" w:rsidP="007B5478">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Pr>
          <w:rFonts w:asciiTheme="minorHAnsi" w:eastAsia="Times New Roman" w:hAnsiTheme="minorHAnsi" w:cstheme="minorBidi"/>
          <w:shd w:val="clear" w:color="auto" w:fill="auto"/>
          <w:lang w:eastAsia="en-GB"/>
        </w:rPr>
        <w:t>With enrolment of all patients and collation of routinely collected data there are no plans to promote participation retention for the purposes of the primary outcome measure.</w:t>
      </w:r>
    </w:p>
    <w:p w14:paraId="5816C585" w14:textId="77777777" w:rsidR="00A272EE" w:rsidRPr="009752D8" w:rsidRDefault="00A272EE" w:rsidP="007B5478">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057C832C">
        <w:rPr>
          <w:rFonts w:asciiTheme="minorHAnsi" w:eastAsia="Times New Roman" w:hAnsiTheme="minorHAnsi" w:cstheme="minorBidi"/>
          <w:shd w:val="clear" w:color="auto" w:fill="auto"/>
          <w:lang w:eastAsia="en-GB"/>
        </w:rPr>
        <w:t>Due to the short duration of the follow-up period, three months (90 days) following discharge, the likelihood of drop-out by patients is minimal. However, as participants will be followed up in the community post</w:t>
      </w:r>
      <w:r w:rsidRPr="2CAD7983">
        <w:rPr>
          <w:rFonts w:asciiTheme="minorHAnsi" w:eastAsia="Times New Roman" w:hAnsiTheme="minorHAnsi" w:cstheme="minorBidi"/>
          <w:lang w:eastAsia="en-GB"/>
        </w:rPr>
        <w:t>-</w:t>
      </w:r>
      <w:r w:rsidRPr="057C832C">
        <w:rPr>
          <w:rFonts w:asciiTheme="minorHAnsi" w:eastAsia="Times New Roman" w:hAnsiTheme="minorHAnsi" w:cstheme="minorBidi"/>
          <w:shd w:val="clear" w:color="auto" w:fill="auto"/>
          <w:lang w:eastAsia="en-GB"/>
        </w:rPr>
        <w:t>discharge, there is a potential for loss to follow-up. Participants who agree to complete the study questionnaires will be asked to provide contact information to be contacted at the three</w:t>
      </w:r>
      <w:r>
        <w:rPr>
          <w:rFonts w:asciiTheme="minorHAnsi" w:eastAsia="Times New Roman" w:hAnsiTheme="minorHAnsi" w:cstheme="minorBidi"/>
          <w:shd w:val="clear" w:color="auto" w:fill="auto"/>
          <w:lang w:eastAsia="en-GB"/>
        </w:rPr>
        <w:t>-</w:t>
      </w:r>
      <w:r w:rsidRPr="057C832C">
        <w:rPr>
          <w:rFonts w:asciiTheme="minorHAnsi" w:eastAsia="Times New Roman" w:hAnsiTheme="minorHAnsi" w:cstheme="minorBidi"/>
          <w:shd w:val="clear" w:color="auto" w:fill="auto"/>
          <w:lang w:eastAsia="en-GB"/>
        </w:rPr>
        <w:t xml:space="preserve">months follow-up time point – telephone, postal address and/or email. Patients who do not respond to contact requests to complete follow-up questionnaires by telephone will be considered as lost to follow-up for the purposes of questionnaire completion. However, </w:t>
      </w:r>
      <w:r>
        <w:rPr>
          <w:rFonts w:asciiTheme="minorHAnsi" w:eastAsia="Times New Roman" w:hAnsiTheme="minorHAnsi" w:cstheme="minorBidi"/>
          <w:shd w:val="clear" w:color="auto" w:fill="auto"/>
          <w:lang w:eastAsia="en-GB"/>
        </w:rPr>
        <w:t xml:space="preserve">routine </w:t>
      </w:r>
      <w:r w:rsidRPr="057C832C">
        <w:rPr>
          <w:rFonts w:asciiTheme="minorHAnsi" w:eastAsia="Times New Roman" w:hAnsiTheme="minorHAnsi" w:cstheme="minorBidi"/>
          <w:shd w:val="clear" w:color="auto" w:fill="auto"/>
          <w:lang w:eastAsia="en-GB"/>
        </w:rPr>
        <w:t>clinical data will still be collected from patient records. Data will be retained for analysis.</w:t>
      </w:r>
    </w:p>
    <w:p w14:paraId="4A2ACC1D" w14:textId="77777777" w:rsidR="00A272EE" w:rsidRPr="00C8436C" w:rsidRDefault="00A272EE" w:rsidP="00544FF4">
      <w:pPr>
        <w:spacing w:line="480" w:lineRule="auto"/>
        <w:rPr>
          <w:b/>
          <w:bCs/>
          <w:lang w:val="en-US"/>
        </w:rPr>
      </w:pPr>
      <w:r w:rsidRPr="00C8436C">
        <w:rPr>
          <w:b/>
          <w:bCs/>
          <w:lang w:val="en-US"/>
        </w:rPr>
        <w:t>Data management</w:t>
      </w:r>
    </w:p>
    <w:p w14:paraId="66E55411" w14:textId="77777777" w:rsidR="00A272EE" w:rsidRPr="00B77D5B" w:rsidRDefault="00A272EE" w:rsidP="00544FF4">
      <w:pPr>
        <w:spacing w:line="480" w:lineRule="auto"/>
        <w:rPr>
          <w:lang w:val="en-US"/>
        </w:rPr>
      </w:pPr>
      <w:r w:rsidRPr="2CAD7983">
        <w:rPr>
          <w:lang w:val="en-US"/>
        </w:rPr>
        <w:t xml:space="preserve">Data will be entered under the participant’s </w:t>
      </w:r>
      <w:r>
        <w:rPr>
          <w:lang w:val="en-US"/>
        </w:rPr>
        <w:t>Identification</w:t>
      </w:r>
      <w:r w:rsidRPr="2CAD7983">
        <w:rPr>
          <w:lang w:val="en-US"/>
        </w:rPr>
        <w:t xml:space="preserve"> number onto the central database stored on NCTU servers. Access to the database will be via unique, individually assigned usernames and passwords, and only accessible to members of the </w:t>
      </w:r>
      <w:r>
        <w:t xml:space="preserve">CHARMER </w:t>
      </w:r>
      <w:r>
        <w:rPr>
          <w:lang w:val="en-US"/>
        </w:rPr>
        <w:t xml:space="preserve">research team </w:t>
      </w:r>
      <w:r w:rsidRPr="2CAD7983">
        <w:rPr>
          <w:lang w:val="en-US"/>
        </w:rPr>
        <w:t xml:space="preserve">NCTU, and external regulators if requested. </w:t>
      </w:r>
      <w:r w:rsidRPr="00B77D5B">
        <w:rPr>
          <w:lang w:val="en-US"/>
        </w:rPr>
        <w:t>The servers are protected by firewalls and are patched and maintained according to best practice. The physical location of the servers is protected physically and environmentally in accordance with University of East Anglia’s General Information Security Policy 3 (GISP3: Physical and environmental security).</w:t>
      </w:r>
    </w:p>
    <w:p w14:paraId="06D700B9" w14:textId="635C7CC8" w:rsidR="00A272EE" w:rsidRPr="00B77D5B" w:rsidRDefault="00A272EE" w:rsidP="00B77D5B">
      <w:pPr>
        <w:spacing w:line="480" w:lineRule="auto"/>
        <w:rPr>
          <w:lang w:val="en-US"/>
        </w:rPr>
      </w:pPr>
      <w:r w:rsidRPr="2CAD7983">
        <w:rPr>
          <w:lang w:val="en-US"/>
        </w:rPr>
        <w:t xml:space="preserve">The database has been developed by NCTU Data Management using </w:t>
      </w:r>
      <w:proofErr w:type="spellStart"/>
      <w:r w:rsidRPr="2CAD7983">
        <w:rPr>
          <w:lang w:val="en-US"/>
        </w:rPr>
        <w:t>REDCap</w:t>
      </w:r>
      <w:proofErr w:type="spellEnd"/>
      <w:r w:rsidRPr="2CAD7983">
        <w:rPr>
          <w:lang w:val="en-US"/>
        </w:rPr>
        <w:t>,</w:t>
      </w:r>
      <w:r>
        <w:rPr>
          <w:rFonts w:asciiTheme="minorHAnsi" w:eastAsiaTheme="minorEastAsia" w:hAnsiTheme="minorHAnsi" w:cstheme="minorBidi"/>
          <w:noProof/>
          <w:lang w:eastAsia="en-GB"/>
        </w:rPr>
        <w:t xml:space="preserve"> </w:t>
      </w:r>
      <w:r w:rsidR="00EB7A91">
        <w:rPr>
          <w:rFonts w:asciiTheme="minorHAnsi" w:eastAsiaTheme="minorEastAsia" w:hAnsiTheme="minorHAnsi" w:cstheme="minorBidi"/>
          <w:noProof/>
          <w:lang w:eastAsia="en-GB"/>
        </w:rPr>
        <w:t>[</w:t>
      </w:r>
      <w:r>
        <w:rPr>
          <w:rFonts w:asciiTheme="minorHAnsi" w:eastAsiaTheme="minorEastAsia" w:hAnsiTheme="minorHAnsi" w:cstheme="minorBidi"/>
          <w:noProof/>
          <w:lang w:eastAsia="en-GB"/>
        </w:rPr>
        <w:t>24</w:t>
      </w:r>
      <w:r w:rsidR="00EB7A91">
        <w:rPr>
          <w:rFonts w:asciiTheme="minorHAnsi" w:eastAsiaTheme="minorEastAsia" w:hAnsiTheme="minorHAnsi" w:cstheme="minorBidi"/>
          <w:noProof/>
          <w:lang w:eastAsia="en-GB"/>
        </w:rPr>
        <w:t>]</w:t>
      </w:r>
      <w:r w:rsidRPr="2CAD7983">
        <w:rPr>
          <w:lang w:val="en-US"/>
        </w:rPr>
        <w:t xml:space="preserve"> in conjunction with the </w:t>
      </w:r>
      <w:r>
        <w:t>CHARMER trial</w:t>
      </w:r>
      <w:r w:rsidRPr="2CAD7983">
        <w:rPr>
          <w:lang w:val="en-US"/>
        </w:rPr>
        <w:t xml:space="preserve"> team. The database software provides several features to help maintain data quality, including maintaining an audit trail, allowing custom validations on all data, allowing users to raise data query requests, and data quality rules to identify validation failure/ missing data.</w:t>
      </w:r>
    </w:p>
    <w:p w14:paraId="014365F2" w14:textId="372CB9DE" w:rsidR="00A272EE" w:rsidRPr="00B77D5B" w:rsidRDefault="00A272EE" w:rsidP="00B77D5B">
      <w:pPr>
        <w:spacing w:line="480" w:lineRule="auto"/>
        <w:rPr>
          <w:lang w:val="en-US"/>
        </w:rPr>
      </w:pPr>
      <w:r w:rsidRPr="2CAD7983">
        <w:rPr>
          <w:lang w:val="en-US"/>
        </w:rPr>
        <w:t>After completion of the study, the database will be retained on the servers of NCTU for ongoing ana</w:t>
      </w:r>
      <w:r w:rsidR="00015AAD">
        <w:rPr>
          <w:lang w:val="en-US"/>
        </w:rPr>
        <w:t>l</w:t>
      </w:r>
      <w:r w:rsidRPr="2CAD7983">
        <w:rPr>
          <w:lang w:val="en-US"/>
        </w:rPr>
        <w:t>ysis of secondary outcomes.</w:t>
      </w:r>
    </w:p>
    <w:p w14:paraId="57D1DB1E" w14:textId="77777777" w:rsidR="00A272EE" w:rsidRDefault="00A272EE" w:rsidP="00B77D5B">
      <w:pPr>
        <w:shd w:val="clear" w:color="auto" w:fill="FFFFFF"/>
        <w:spacing w:after="0" w:line="480" w:lineRule="auto"/>
        <w:contextualSpacing/>
        <w:jc w:val="left"/>
        <w:rPr>
          <w:rFonts w:asciiTheme="minorHAnsi" w:eastAsia="Times New Roman" w:hAnsiTheme="minorHAnsi" w:cstheme="minorHAnsi"/>
          <w:b/>
          <w:bCs/>
          <w:kern w:val="36"/>
          <w:shd w:val="clear" w:color="auto" w:fill="auto"/>
          <w:lang w:eastAsia="en-GB"/>
        </w:rPr>
      </w:pPr>
      <w:bookmarkStart w:id="28" w:name="_Hlk200023434"/>
      <w:r>
        <w:rPr>
          <w:rFonts w:asciiTheme="minorHAnsi" w:eastAsia="Times New Roman" w:hAnsiTheme="minorHAnsi" w:cstheme="minorHAnsi"/>
          <w:b/>
          <w:bCs/>
          <w:kern w:val="36"/>
          <w:shd w:val="clear" w:color="auto" w:fill="auto"/>
          <w:lang w:eastAsia="en-GB"/>
        </w:rPr>
        <w:lastRenderedPageBreak/>
        <w:t>Confidentiality</w:t>
      </w:r>
    </w:p>
    <w:p w14:paraId="28CFEC46" w14:textId="77777777" w:rsidR="00A272EE" w:rsidRDefault="00A272EE" w:rsidP="00B77D5B">
      <w:pPr>
        <w:shd w:val="clear" w:color="auto" w:fill="FFFFFF"/>
        <w:spacing w:after="0" w:line="480" w:lineRule="auto"/>
        <w:contextualSpacing/>
        <w:jc w:val="left"/>
        <w:rPr>
          <w:rFonts w:asciiTheme="minorHAnsi" w:hAnsiTheme="minorHAnsi" w:cstheme="minorHAnsi"/>
          <w:color w:val="333333"/>
        </w:rPr>
      </w:pPr>
      <w:r>
        <w:rPr>
          <w:rFonts w:asciiTheme="minorHAnsi" w:hAnsiTheme="minorHAnsi" w:cstheme="minorHAnsi"/>
          <w:color w:val="333333"/>
        </w:rPr>
        <w:t xml:space="preserve">All data will be sent to the Clinical Trials Unit which will be responsible for data analysis. Data will be stored in password protected computers and only shared in an anonymous format with the wider research team.  </w:t>
      </w:r>
    </w:p>
    <w:bookmarkEnd w:id="28"/>
    <w:p w14:paraId="4BA7F778" w14:textId="77777777" w:rsidR="00A272EE" w:rsidRDefault="00A272EE" w:rsidP="008115A2">
      <w:pPr>
        <w:spacing w:line="480" w:lineRule="auto"/>
        <w:rPr>
          <w:b/>
          <w:bCs/>
          <w:sz w:val="24"/>
          <w:szCs w:val="24"/>
          <w:lang w:eastAsia="en-GB"/>
        </w:rPr>
      </w:pPr>
    </w:p>
    <w:p w14:paraId="05CD9FB9" w14:textId="77777777" w:rsidR="00A272EE" w:rsidRPr="008115A2" w:rsidRDefault="00A272EE" w:rsidP="008115A2">
      <w:pPr>
        <w:spacing w:line="480" w:lineRule="auto"/>
        <w:rPr>
          <w:b/>
          <w:bCs/>
          <w:sz w:val="24"/>
          <w:szCs w:val="24"/>
          <w:shd w:val="clear" w:color="auto" w:fill="auto"/>
          <w:lang w:eastAsia="en-GB"/>
        </w:rPr>
      </w:pPr>
      <w:r w:rsidRPr="008115A2">
        <w:rPr>
          <w:b/>
          <w:bCs/>
          <w:sz w:val="24"/>
          <w:szCs w:val="24"/>
          <w:lang w:eastAsia="en-GB"/>
        </w:rPr>
        <w:t>Statistical methods for primary and secondary outcomes</w:t>
      </w:r>
    </w:p>
    <w:p w14:paraId="3C75299D" w14:textId="77777777" w:rsidR="00A272EE" w:rsidRPr="008115A2" w:rsidRDefault="00A272EE" w:rsidP="008115A2">
      <w:pPr>
        <w:spacing w:line="480" w:lineRule="auto"/>
        <w:rPr>
          <w:rFonts w:ascii="Segoe UI" w:hAnsi="Segoe UI" w:cs="Segoe UI"/>
          <w:b/>
          <w:bCs/>
          <w:sz w:val="18"/>
          <w:szCs w:val="18"/>
          <w:lang w:eastAsia="en-GB"/>
        </w:rPr>
      </w:pPr>
      <w:r w:rsidRPr="008115A2">
        <w:rPr>
          <w:b/>
          <w:bCs/>
          <w:lang w:eastAsia="en-GB"/>
        </w:rPr>
        <w:t>Characterising and Comparing Sites </w:t>
      </w:r>
    </w:p>
    <w:p w14:paraId="75CA48B8" w14:textId="27A6D5E9" w:rsidR="00A272EE" w:rsidRDefault="00A272EE" w:rsidP="008115A2">
      <w:pPr>
        <w:shd w:val="clear" w:color="auto" w:fill="FFFFFF"/>
        <w:spacing w:line="480" w:lineRule="auto"/>
        <w:rPr>
          <w:rFonts w:ascii="Segoe UI" w:hAnsi="Segoe UI" w:cs="Segoe UI"/>
          <w:sz w:val="18"/>
          <w:szCs w:val="18"/>
          <w:lang w:eastAsia="en-GB"/>
        </w:rPr>
      </w:pPr>
      <w:r>
        <w:rPr>
          <w:color w:val="000000"/>
          <w:lang w:eastAsia="en-GB"/>
        </w:rPr>
        <w:t>Participating hospitals and geriatricians and pharmacists will be characterised using descriptive statistics from the hospital site profile questionnaire and practitioner participant demographic questionnaire. Data will be visually compared with data captured from NHS Improvement’s hospital provider level benchmarking tool ‘model hospital’</w:t>
      </w:r>
      <w:r>
        <w:rPr>
          <w:noProof/>
          <w:color w:val="000000"/>
          <w:lang w:eastAsia="en-GB"/>
        </w:rPr>
        <w:t xml:space="preserve"> </w:t>
      </w:r>
      <w:r w:rsidR="00EB7A91">
        <w:rPr>
          <w:noProof/>
          <w:color w:val="000000"/>
          <w:lang w:eastAsia="en-GB"/>
        </w:rPr>
        <w:t>[</w:t>
      </w:r>
      <w:r>
        <w:rPr>
          <w:noProof/>
          <w:color w:val="000000"/>
          <w:lang w:eastAsia="en-GB"/>
        </w:rPr>
        <w:t>26</w:t>
      </w:r>
      <w:r w:rsidR="00EB7A91">
        <w:rPr>
          <w:noProof/>
          <w:color w:val="000000"/>
          <w:lang w:eastAsia="en-GB"/>
        </w:rPr>
        <w:t>]</w:t>
      </w:r>
      <w:r>
        <w:rPr>
          <w:color w:val="000000"/>
          <w:lang w:eastAsia="en-GB"/>
        </w:rPr>
        <w:t xml:space="preserve"> regarding the number and cost of staff on medicine for older people’s medicine wards. Demographic characteristics of patients between all study wards of the participating hospitals will be visually compared to explore whether they are comparable.  For the sample of patients in the study cohort from whom consent is obtained either from the patient or consultee for additional non-routine data to be collected, the demographic characteristics of this group will be visually compared with the wider study cohort. This will establish whether the sub-set of patients for whom additional data are collected, are a good representation of the patient cohort in the study. </w:t>
      </w:r>
    </w:p>
    <w:p w14:paraId="07CF8199" w14:textId="77777777" w:rsidR="00A272EE" w:rsidRDefault="00A272EE" w:rsidP="008115A2">
      <w:pPr>
        <w:spacing w:line="480" w:lineRule="auto"/>
        <w:rPr>
          <w:b/>
          <w:bCs/>
        </w:rPr>
      </w:pPr>
      <w:r>
        <w:rPr>
          <w:b/>
          <w:bCs/>
        </w:rPr>
        <w:t>Main effectiveness analysis</w:t>
      </w:r>
    </w:p>
    <w:p w14:paraId="3EAB80C1" w14:textId="77777777" w:rsidR="00A272EE" w:rsidRDefault="00A272EE" w:rsidP="008115A2">
      <w:pPr>
        <w:spacing w:line="480" w:lineRule="auto"/>
      </w:pPr>
      <w:r>
        <w:rPr>
          <w:lang w:eastAsia="en-GB"/>
        </w:rPr>
        <w:t>The primary analysis will be using intention-to-treat with a pre-specified statistical analysis plan agreed prior to analysis. Analysis will be at the patient level and include data from all patients</w:t>
      </w:r>
      <w:r>
        <w:t xml:space="preserve">. </w:t>
      </w:r>
    </w:p>
    <w:p w14:paraId="54775277" w14:textId="77777777" w:rsidR="00A272EE" w:rsidRDefault="00A272EE" w:rsidP="008115A2">
      <w:pPr>
        <w:spacing w:line="480" w:lineRule="auto"/>
        <w:rPr>
          <w:lang w:eastAsia="en-GB"/>
        </w:rPr>
      </w:pPr>
      <w:r>
        <w:rPr>
          <w:lang w:eastAsia="en-GB"/>
        </w:rPr>
        <w:t xml:space="preserve">Unplanned readmission at 90 days, primary outcome measure, will be compared between the treatment and control groups using a logistic mixed regression model with hospital included as a random effect, and fixed factors will include randomisation arm and time period. If a significant </w:t>
      </w:r>
      <w:r>
        <w:rPr>
          <w:lang w:eastAsia="en-GB"/>
        </w:rPr>
        <w:lastRenderedPageBreak/>
        <w:t xml:space="preserve">number have more than one readmission, then a Poisson or Negative binomial model will be used as a secondary analysis. The assumptions of the models will be checked and if appropriate a Generalised Estimating Equation approach will be used if the random effect is not normally distributed, or a non-parametric bootstrap approach will be will be used to account for missing data. </w:t>
      </w:r>
      <w:bookmarkStart w:id="29" w:name="_Hlk200023509"/>
    </w:p>
    <w:p w14:paraId="00A37DB8" w14:textId="77777777" w:rsidR="00A272EE" w:rsidRDefault="00A272EE" w:rsidP="008115A2">
      <w:pPr>
        <w:spacing w:line="480" w:lineRule="auto"/>
        <w:rPr>
          <w:b/>
          <w:bCs/>
          <w:lang w:eastAsia="en-GB"/>
        </w:rPr>
      </w:pPr>
    </w:p>
    <w:p w14:paraId="1B1AB132" w14:textId="77777777" w:rsidR="00A272EE" w:rsidRDefault="00A272EE" w:rsidP="008115A2">
      <w:pPr>
        <w:spacing w:line="480" w:lineRule="auto"/>
        <w:rPr>
          <w:b/>
          <w:bCs/>
          <w:lang w:eastAsia="en-GB"/>
        </w:rPr>
      </w:pPr>
      <w:r>
        <w:rPr>
          <w:b/>
          <w:bCs/>
          <w:lang w:eastAsia="en-GB"/>
        </w:rPr>
        <w:t>Interim analyses</w:t>
      </w:r>
    </w:p>
    <w:p w14:paraId="6A0C8B3A" w14:textId="77777777" w:rsidR="00A272EE" w:rsidRDefault="00A272EE" w:rsidP="008115A2">
      <w:pPr>
        <w:spacing w:line="480" w:lineRule="auto"/>
        <w:rPr>
          <w:lang w:eastAsia="en-GB"/>
        </w:rPr>
      </w:pPr>
      <w:r>
        <w:rPr>
          <w:lang w:eastAsia="en-GB"/>
        </w:rPr>
        <w:t>No interim analyses will be performed as the primary outcome measure will only be available once the trial is complete. The intervention is behavioural and focused on healthcare professionals, consequently it was believed to not be necessary to access the primary outcome data, relating to rehospitalisation, until the trial was completed.</w:t>
      </w:r>
    </w:p>
    <w:bookmarkEnd w:id="29"/>
    <w:p w14:paraId="636DC961" w14:textId="77777777" w:rsidR="00A272EE" w:rsidRDefault="00A272EE" w:rsidP="008115A2">
      <w:pPr>
        <w:spacing w:line="480" w:lineRule="auto"/>
        <w:rPr>
          <w:b/>
          <w:bCs/>
          <w:lang w:eastAsia="en-GB"/>
        </w:rPr>
      </w:pPr>
      <w:r>
        <w:rPr>
          <w:b/>
          <w:bCs/>
          <w:lang w:eastAsia="en-GB"/>
        </w:rPr>
        <w:t>Additional analyses</w:t>
      </w:r>
    </w:p>
    <w:p w14:paraId="05D38527" w14:textId="77777777" w:rsidR="00A272EE" w:rsidRDefault="00A272EE" w:rsidP="008115A2">
      <w:pPr>
        <w:shd w:val="clear" w:color="auto" w:fill="FFFFFF"/>
        <w:spacing w:line="480" w:lineRule="auto"/>
        <w:rPr>
          <w:lang w:eastAsia="en-GB"/>
        </w:rPr>
      </w:pPr>
      <w:r>
        <w:rPr>
          <w:color w:val="000000"/>
          <w:lang w:eastAsia="en-GB"/>
        </w:rPr>
        <w:t xml:space="preserve">A sensitivity analysis will adjust for relevant baseline characteristics </w:t>
      </w:r>
      <w:proofErr w:type="gramStart"/>
      <w:r>
        <w:rPr>
          <w:color w:val="000000"/>
          <w:lang w:eastAsia="en-GB"/>
        </w:rPr>
        <w:t>e.g.</w:t>
      </w:r>
      <w:proofErr w:type="gramEnd"/>
      <w:r>
        <w:rPr>
          <w:color w:val="000000"/>
          <w:lang w:eastAsia="en-GB"/>
        </w:rPr>
        <w:t xml:space="preserve"> age, and the number of pre-admission medicines.</w:t>
      </w:r>
    </w:p>
    <w:p w14:paraId="1EA7E6C3" w14:textId="77777777" w:rsidR="00A272EE" w:rsidRDefault="00A272EE" w:rsidP="008115A2">
      <w:pPr>
        <w:spacing w:line="480" w:lineRule="auto"/>
        <w:rPr>
          <w:lang w:eastAsia="en-GB"/>
        </w:rPr>
      </w:pPr>
      <w:r>
        <w:rPr>
          <w:lang w:eastAsia="en-GB"/>
        </w:rPr>
        <w:t>The number of medications stopped during the enhanced data collection period will be compared between the control and intervention using a linear mixed model including hospital as a random effect, and fixed factors will include randomisation arm and time period.</w:t>
      </w:r>
    </w:p>
    <w:p w14:paraId="2A4C8628" w14:textId="77777777" w:rsidR="00A272EE" w:rsidRDefault="00A272EE" w:rsidP="008115A2">
      <w:pPr>
        <w:spacing w:line="480" w:lineRule="auto"/>
        <w:rPr>
          <w:lang w:eastAsia="en-GB"/>
        </w:rPr>
      </w:pPr>
      <w:r>
        <w:rPr>
          <w:lang w:eastAsia="en-GB"/>
        </w:rPr>
        <w:t xml:space="preserve">The proportion of patients per arm where a pre-admission medicine is proactively deprescribed will be compared using logistic regression, the same model as above. </w:t>
      </w:r>
    </w:p>
    <w:p w14:paraId="54C372AA" w14:textId="77777777" w:rsidR="00A272EE" w:rsidRDefault="00A272EE" w:rsidP="008115A2">
      <w:pPr>
        <w:spacing w:line="480" w:lineRule="auto"/>
        <w:rPr>
          <w:lang w:eastAsia="en-GB"/>
        </w:rPr>
      </w:pPr>
      <w:r>
        <w:rPr>
          <w:lang w:eastAsia="en-GB"/>
        </w:rPr>
        <w:t xml:space="preserve">The QoL measures will be compared between the control and intervention using a linear mixed model including hospital as a random effect, and fixed factors will include randomisation arm and time period. </w:t>
      </w:r>
    </w:p>
    <w:p w14:paraId="0F176739" w14:textId="77777777" w:rsidR="00A272EE" w:rsidRDefault="00A272EE" w:rsidP="008115A2">
      <w:pPr>
        <w:spacing w:line="480" w:lineRule="auto"/>
        <w:rPr>
          <w:b/>
          <w:bCs/>
          <w:lang w:eastAsia="en-GB"/>
        </w:rPr>
      </w:pPr>
      <w:bookmarkStart w:id="30" w:name="_Hlk201823981"/>
      <w:r>
        <w:rPr>
          <w:b/>
          <w:bCs/>
          <w:lang w:eastAsia="en-GB"/>
        </w:rPr>
        <w:t>Handling missing data</w:t>
      </w:r>
    </w:p>
    <w:bookmarkEnd w:id="30"/>
    <w:p w14:paraId="0FDFAE22" w14:textId="77777777" w:rsidR="00A272EE" w:rsidRDefault="00A272EE" w:rsidP="008115A2">
      <w:pPr>
        <w:spacing w:line="480" w:lineRule="auto"/>
        <w:rPr>
          <w:lang w:eastAsia="en-GB"/>
        </w:rPr>
      </w:pPr>
      <w:r>
        <w:rPr>
          <w:lang w:eastAsia="en-GB"/>
        </w:rPr>
        <w:lastRenderedPageBreak/>
        <w:t>Due to the use of routinely collected data it is unlikely that there will be significant missing data for the main analysis. If appropriate, we will use imputation to account for missing data for other non-routine outcomes.</w:t>
      </w:r>
    </w:p>
    <w:p w14:paraId="1327F937" w14:textId="77777777" w:rsidR="00A272EE" w:rsidRDefault="00A272EE" w:rsidP="008115A2">
      <w:pPr>
        <w:spacing w:line="480" w:lineRule="auto"/>
        <w:rPr>
          <w:lang w:eastAsia="en-GB"/>
        </w:rPr>
      </w:pPr>
      <w:r>
        <w:rPr>
          <w:lang w:eastAsia="en-GB"/>
        </w:rPr>
        <w:t xml:space="preserve">A full statistical analysis plan (SAP) will be written prior to the start of any data analysis. As the SAP will be more detailed any discrepancies in the analysis between the SAP and the protocol, the SAP will take priority. </w:t>
      </w:r>
    </w:p>
    <w:p w14:paraId="6121EEE6" w14:textId="77777777" w:rsidR="00A272EE" w:rsidRPr="00B77D5B" w:rsidRDefault="00A272EE" w:rsidP="00B77D5B">
      <w:pPr>
        <w:spacing w:line="480" w:lineRule="auto"/>
        <w:rPr>
          <w:rFonts w:asciiTheme="minorHAnsi" w:hAnsiTheme="minorHAnsi" w:cstheme="minorBidi"/>
          <w:b/>
          <w:bCs/>
        </w:rPr>
      </w:pPr>
      <w:r w:rsidRPr="00B77D5B">
        <w:rPr>
          <w:rFonts w:asciiTheme="minorHAnsi" w:hAnsiTheme="minorHAnsi" w:cstheme="minorBidi"/>
          <w:b/>
          <w:bCs/>
        </w:rPr>
        <w:t>Health Economics</w:t>
      </w:r>
    </w:p>
    <w:p w14:paraId="6DD6DD92" w14:textId="77777777" w:rsidR="00A272EE" w:rsidRPr="00B77D5B" w:rsidRDefault="00A272EE" w:rsidP="00B77D5B">
      <w:pPr>
        <w:spacing w:line="480" w:lineRule="auto"/>
        <w:rPr>
          <w:lang w:eastAsia="en-GB"/>
        </w:rPr>
      </w:pPr>
      <w:r w:rsidRPr="057C832C">
        <w:rPr>
          <w:lang w:eastAsia="en-GB"/>
        </w:rPr>
        <w:t xml:space="preserve">A within trial economic evaluation will be undertaken from the NHS perspective to estimate whether </w:t>
      </w:r>
      <w:r>
        <w:rPr>
          <w:lang w:eastAsia="en-GB"/>
        </w:rPr>
        <w:t>deprescribing</w:t>
      </w:r>
      <w:r w:rsidRPr="057C832C">
        <w:rPr>
          <w:lang w:eastAsia="en-GB"/>
        </w:rPr>
        <w:t xml:space="preserve"> is cost-effective.</w:t>
      </w:r>
    </w:p>
    <w:p w14:paraId="66FF1915" w14:textId="77777777" w:rsidR="00A272EE" w:rsidRPr="00B77D5B" w:rsidRDefault="00A272EE" w:rsidP="7048DBE5">
      <w:pPr>
        <w:spacing w:line="480" w:lineRule="auto"/>
        <w:rPr>
          <w:rFonts w:cstheme="minorBidi"/>
          <w:lang w:eastAsia="en-GB"/>
        </w:rPr>
      </w:pPr>
      <w:r w:rsidRPr="7048DBE5">
        <w:rPr>
          <w:rFonts w:cstheme="minorBidi"/>
          <w:lang w:eastAsia="en-GB"/>
        </w:rPr>
        <w:t xml:space="preserve">Resources associated with providing the PDX intervention will be included in the evaluation. This will include staff time required for activities such as attending workshops, watching video material, attending briefings, preparing an action plan, and preparing benchmarking reports. The intervention may have on resource use associated with NHS inpatient admissions in the follow-up period, as well as medicines use, will also be investigated. For the consented sub-sample, data relating to </w:t>
      </w:r>
      <w:proofErr w:type="spellStart"/>
      <w:r w:rsidRPr="7048DBE5">
        <w:rPr>
          <w:rFonts w:cstheme="minorBidi"/>
          <w:lang w:eastAsia="en-GB"/>
        </w:rPr>
        <w:t>HRQoL</w:t>
      </w:r>
      <w:proofErr w:type="spellEnd"/>
      <w:r w:rsidRPr="7048DBE5">
        <w:rPr>
          <w:rFonts w:cstheme="minorBidi"/>
          <w:lang w:eastAsia="en-GB"/>
        </w:rPr>
        <w:t xml:space="preserve"> (EQ-5D-5L) and primary care contacts will also be collected.</w:t>
      </w:r>
    </w:p>
    <w:p w14:paraId="63721BF5" w14:textId="77777777" w:rsidR="00A272EE" w:rsidRDefault="00A272EE" w:rsidP="2CAD7983">
      <w:pPr>
        <w:spacing w:line="480" w:lineRule="auto"/>
        <w:rPr>
          <w:rFonts w:cstheme="minorBidi"/>
          <w:lang w:eastAsia="en-GB"/>
        </w:rPr>
      </w:pPr>
      <w:r w:rsidRPr="2CAD7983">
        <w:rPr>
          <w:rFonts w:cstheme="minorBidi"/>
          <w:lang w:eastAsia="en-GB"/>
        </w:rPr>
        <w:t xml:space="preserve">Resource use data collection has been informed by lessons learnt from the feasibility study. The occurrence of activities related to the intervention, such as attendance at workshops, will be recorded by means of the fidelity framework conducted as part of the process evaluation. </w:t>
      </w:r>
      <w:r>
        <w:rPr>
          <w:rFonts w:cstheme="minorBidi"/>
          <w:lang w:eastAsia="en-GB"/>
        </w:rPr>
        <w:t xml:space="preserve">The protocol for the process evaluation will be reported separately. </w:t>
      </w:r>
    </w:p>
    <w:p w14:paraId="2BA78456" w14:textId="77777777" w:rsidR="00A272EE" w:rsidRPr="00B77D5B" w:rsidRDefault="00A272EE" w:rsidP="2CAD7983">
      <w:pPr>
        <w:spacing w:line="480" w:lineRule="auto"/>
        <w:rPr>
          <w:rFonts w:cstheme="minorBidi"/>
          <w:lang w:eastAsia="en-GB"/>
        </w:rPr>
      </w:pPr>
      <w:r w:rsidRPr="2CAD7983">
        <w:rPr>
          <w:rFonts w:cstheme="minorBidi"/>
          <w:lang w:eastAsia="en-GB"/>
        </w:rPr>
        <w:t xml:space="preserve">The resource implications of these events will be costed by means of information obtained from the fidelity framework as well as additional insights gained from aspects of the feasibility study, e.g., qualitative research. Where necessary, we will elicit further information required to cost the intervention. For example, eliciting expert opinion on the typical time required for deprescribing activities. </w:t>
      </w:r>
    </w:p>
    <w:p w14:paraId="548C9428" w14:textId="46240D85" w:rsidR="00A272EE" w:rsidRPr="00B77D5B" w:rsidRDefault="00A272EE" w:rsidP="057C832C">
      <w:pPr>
        <w:shd w:val="clear" w:color="auto" w:fill="FFFFFF" w:themeFill="background1"/>
        <w:spacing w:line="480" w:lineRule="auto"/>
        <w:rPr>
          <w:rFonts w:cstheme="minorBidi"/>
          <w:lang w:eastAsia="en-GB"/>
        </w:rPr>
      </w:pPr>
      <w:r w:rsidRPr="2CAD7983">
        <w:rPr>
          <w:rFonts w:cstheme="minorBidi"/>
          <w:lang w:eastAsia="en-GB"/>
        </w:rPr>
        <w:lastRenderedPageBreak/>
        <w:t>In terms of NHS resource use data will be obtained from NHS England related to inpatient admissions and prescribing data. Additionally, data relating to the initial (recruitment) inpatient stay will be obtained from study sites. The feasibility study indicated that primary care related resource use would be difficult to collect by the methods originally planned, namely either interviews with GPs/other primary care members with a prescribing role or general practice patient records review, without adding substantially to the burden of the study. For this reason, a bespoke section was added to the drug adverse event questionnaire to collect details of the participating patient’s participant primary care use at the 90-day follow-up telephone interview. The proposed questions have been shared with the trial management team and Patient and Public Involvement (PPI) members for comment. These data would be collected from the consented sub-study only. Resources identified will be combined with appropriate unit costs data, e.g., NHS reference costs</w:t>
      </w:r>
      <w:r w:rsidRPr="2CAD7983">
        <w:rPr>
          <w:rFonts w:cstheme="minorBidi"/>
          <w:lang w:eastAsia="en-GB"/>
        </w:rPr>
        <w:fldChar w:fldCharType="begin" w:fldLock="1"/>
      </w:r>
      <w:r w:rsidRPr="2CAD7983">
        <w:rPr>
          <w:rFonts w:cstheme="minorBidi"/>
          <w:lang w:eastAsia="en-GB"/>
        </w:rPr>
        <w:instrText xml:space="preserve"> ADDIN ZOTERO_ITEM CSL_CITATION {"citationID":"WPovBcIL","properties":{"formattedCitation":"(11)","plainCitation":"(11)","noteIndex":0},"citationItems":[{"id":"XL8bf416/ncwlftaJ","uris":["http://www.mendeley.com/documents/?uuid=1e20b7b3-a300-48ed-8ae4-5c6297f23cad","http://www.mendeley.com/documents/?uuid=b991fa0b-6155-4801-8cd8-b29a31a77134"],"itemData":{"author":[{"dropping-particle":"","family":"NHS Improvement","given":"","non-dropping-particle":"","parse-names":false,"suffix":""}],"id":"ITEM-1","issued":{"date-parts":[["0"]]},"title":"Reference Costs","type":"webpage"}}],"schema":"https://github.com/citation-style-language/schema/raw/master/csl-citation.json"} </w:instrText>
      </w:r>
      <w:r w:rsidRPr="2CAD7983">
        <w:rPr>
          <w:rFonts w:cstheme="minorBidi"/>
          <w:lang w:eastAsia="en-GB"/>
        </w:rPr>
        <w:fldChar w:fldCharType="separate"/>
      </w:r>
      <w:r w:rsidR="00EB7A91">
        <w:t>[</w:t>
      </w:r>
      <w:r>
        <w:t>11</w:t>
      </w:r>
      <w:r w:rsidRPr="2CAD7983">
        <w:rPr>
          <w:rFonts w:cstheme="minorBidi"/>
          <w:lang w:eastAsia="en-GB"/>
        </w:rPr>
        <w:fldChar w:fldCharType="end"/>
      </w:r>
      <w:r w:rsidR="00EB7A91">
        <w:rPr>
          <w:rFonts w:cstheme="minorBidi"/>
          <w:lang w:eastAsia="en-GB"/>
        </w:rPr>
        <w:t>]</w:t>
      </w:r>
      <w:r w:rsidRPr="2CAD7983">
        <w:rPr>
          <w:rFonts w:cstheme="minorBidi"/>
          <w:lang w:eastAsia="en-GB"/>
        </w:rPr>
        <w:t xml:space="preserve">, to estimate the mean overall cost in each study-arm. This will enable an estimate of any differences in the cost of the de-prescribing group compared to usual care. </w:t>
      </w:r>
    </w:p>
    <w:p w14:paraId="301CB639" w14:textId="34B582AC" w:rsidR="00A272EE" w:rsidRPr="00B77D5B" w:rsidRDefault="00A272EE" w:rsidP="2CAD7983">
      <w:pPr>
        <w:spacing w:line="480" w:lineRule="auto"/>
        <w:rPr>
          <w:rFonts w:cstheme="minorBidi"/>
          <w:lang w:eastAsia="en-GB"/>
        </w:rPr>
      </w:pPr>
      <w:r w:rsidRPr="2CAD7983">
        <w:rPr>
          <w:rFonts w:cstheme="minorBidi"/>
        </w:rPr>
        <w:t xml:space="preserve">The primary health economics analysis will be a cost-effectiveness study using the studies primary outcome of re-admissions in the 90-day follow-up period. </w:t>
      </w:r>
      <w:r w:rsidRPr="2CAD7983">
        <w:rPr>
          <w:rFonts w:cstheme="minorBidi"/>
          <w:lang w:eastAsia="en-GB"/>
        </w:rPr>
        <w:t xml:space="preserve">As part of the trial, we will collect measures of </w:t>
      </w:r>
      <w:proofErr w:type="spellStart"/>
      <w:r w:rsidRPr="2CAD7983">
        <w:rPr>
          <w:rFonts w:cstheme="minorBidi"/>
          <w:lang w:eastAsia="en-GB"/>
        </w:rPr>
        <w:t>HRQoL</w:t>
      </w:r>
      <w:proofErr w:type="spellEnd"/>
      <w:r w:rsidRPr="2CAD7983">
        <w:rPr>
          <w:rFonts w:cstheme="minorBidi"/>
          <w:lang w:eastAsia="en-GB"/>
        </w:rPr>
        <w:t xml:space="preserve"> using EQ-5D-5L.</w:t>
      </w:r>
      <w:r>
        <w:rPr>
          <w:rFonts w:cstheme="minorBidi"/>
          <w:noProof/>
          <w:lang w:eastAsia="en-GB"/>
        </w:rPr>
        <w:t xml:space="preserve"> </w:t>
      </w:r>
      <w:r w:rsidR="00EB7A91">
        <w:rPr>
          <w:rFonts w:cstheme="minorBidi"/>
          <w:noProof/>
          <w:lang w:eastAsia="en-GB"/>
        </w:rPr>
        <w:t>[</w:t>
      </w:r>
      <w:r>
        <w:rPr>
          <w:rFonts w:cstheme="minorBidi"/>
          <w:noProof/>
          <w:lang w:eastAsia="en-GB"/>
        </w:rPr>
        <w:t>19</w:t>
      </w:r>
      <w:r w:rsidR="00EB7A91">
        <w:rPr>
          <w:rFonts w:cstheme="minorBidi"/>
          <w:noProof/>
          <w:lang w:eastAsia="en-GB"/>
        </w:rPr>
        <w:t>]</w:t>
      </w:r>
      <w:r>
        <w:rPr>
          <w:rFonts w:cstheme="minorBidi"/>
        </w:rPr>
        <w:t xml:space="preserve"> </w:t>
      </w:r>
      <w:r w:rsidRPr="2CAD7983">
        <w:rPr>
          <w:rFonts w:cstheme="minorBidi"/>
        </w:rPr>
        <w:t xml:space="preserve">These will be collected in the consented sub-sample at </w:t>
      </w:r>
      <w:r w:rsidRPr="2CAD7983">
        <w:rPr>
          <w:rFonts w:cstheme="minorBidi"/>
          <w:lang w:eastAsia="en-GB"/>
        </w:rPr>
        <w:t xml:space="preserve">baseline and at 90 days post-discharge, either by self-report or proxy response. This measure can be used to estimate quality adjusted life years (QALY), enabling the mean difference in QALY scores to be estimated (incremental effect). This will be carried out for the consented sub-sample and will be presented as a sensitivity analysis. As part of the analysis, we will explore whether it is sensible to use these values to impute QALY scores for the whole sample, if carried out this will also be presented as an additional sensitivity analysis. </w:t>
      </w:r>
    </w:p>
    <w:p w14:paraId="58876D91" w14:textId="1455FFBA" w:rsidR="00A272EE" w:rsidRPr="00B77D5B" w:rsidRDefault="00A272EE" w:rsidP="2CAD7983">
      <w:pPr>
        <w:spacing w:line="480" w:lineRule="auto"/>
        <w:rPr>
          <w:rFonts w:cstheme="minorBidi"/>
          <w:lang w:eastAsia="en-GB"/>
        </w:rPr>
      </w:pPr>
      <w:r w:rsidRPr="2CAD7983">
        <w:rPr>
          <w:rFonts w:cstheme="minorBidi"/>
          <w:lang w:eastAsia="en-GB"/>
        </w:rPr>
        <w:t xml:space="preserve">If the intervention arm is both less expensive e.g., due to lower medication or readmissions costs, and more effective than usual care in terms of the primary outcome of re-admissions at 90 days then it would be said to dominate usual care and would be the preferred option. If neither the intervention </w:t>
      </w:r>
      <w:r w:rsidRPr="2CAD7983">
        <w:rPr>
          <w:rFonts w:cstheme="minorBidi"/>
          <w:lang w:eastAsia="en-GB"/>
        </w:rPr>
        <w:lastRenderedPageBreak/>
        <w:t>nor the usual care is clearly preferred; we will estimate incremental cost-effectiveness ratios (ICERs) in terms of cost per re-admission prevented.</w:t>
      </w:r>
      <w:r w:rsidRPr="2CAD7983">
        <w:rPr>
          <w:rFonts w:cstheme="minorBidi"/>
          <w:lang w:eastAsia="en-GB"/>
        </w:rPr>
        <w:fldChar w:fldCharType="begin" w:fldLock="1"/>
      </w:r>
      <w:r w:rsidRPr="2CAD7983">
        <w:rPr>
          <w:rFonts w:cstheme="minorBidi"/>
          <w:lang w:eastAsia="en-GB"/>
        </w:rPr>
        <w:instrText xml:space="preserve"> ADDIN ZOTERO_ITEM CSL_CITATION {"citationID":"rmInjMzj","properties":{"formattedCitation":"(12)","plainCitation":"(12)","noteIndex":0},"citationItems":[{"id":"XL8bf416/0jCbIE05","uris":["http://www.mendeley.com/documents/?uuid=bd8bd7bb-2fef-432f-9801-c1948cd06bb2"],"itemData":{"ISBN":"0191643580","author":[{"dropping-particle":"","family":"Drummond","given":"Michael F","non-dropping-particle":"","parse-names":false,"suffix":""},{"dropping-particle":"","family":"Sculpher","given":"Mark J","non-dropping-particle":"","parse-names":false,"suffix":""},{"dropping-particle":"","family":"Claxton","given":"Karl","non-dropping-particle":"","parse-names":false,"suffix":""},{"dropping-particle":"","family":"Stoddart","given":"Greg L","non-dropping-particle":"","parse-names":false,"suffix":""},{"dropping-particle":"","family":"Torrance","given":"George W","non-dropping-particle":"","parse-names":false,"suffix":""}],"edition":"4","id":"ITEM-1","issued":{"date-parts":[["2015"]]},"publisher":"Oxford University Press","title":"Methods for the economic evaluation of health care programmes","type":"book"}}],"schema":"https://github.com/citation-style-language/schema/raw/master/csl-citation.json"} </w:instrText>
      </w:r>
      <w:r w:rsidRPr="2CAD7983">
        <w:rPr>
          <w:rFonts w:cstheme="minorBidi"/>
          <w:lang w:eastAsia="en-GB"/>
        </w:rPr>
        <w:fldChar w:fldCharType="separate"/>
      </w:r>
      <w:r w:rsidR="00EB7A91">
        <w:t>[</w:t>
      </w:r>
      <w:r>
        <w:t>12</w:t>
      </w:r>
      <w:r w:rsidR="00EB7A91">
        <w:t>]</w:t>
      </w:r>
      <w:r w:rsidRPr="2CAD7983">
        <w:rPr>
          <w:rFonts w:cstheme="minorBidi"/>
          <w:lang w:eastAsia="en-GB"/>
        </w:rPr>
        <w:fldChar w:fldCharType="end"/>
      </w:r>
      <w:r w:rsidRPr="2CAD7983">
        <w:rPr>
          <w:rFonts w:cstheme="minorBidi"/>
          <w:lang w:eastAsia="en-GB"/>
        </w:rPr>
        <w:t xml:space="preserve"> The associated level of uncertainty will be characterised by estimating cost-effectiveness acceptability curves (CEACs). Sensitivity analysis will also be undertaken to assess the robustness of results to changes in key assumptions. In line with the outcome analysis, all analyses will be conducted on an intention-to-treat basis. Appropriate actions will be taken where there is missing data, for example imputing data by means of multiple imputation. As part of the health economic analysis a health economics analysis plan (HEAP) will be written, in consultation with the CI and trial statistician and shared with team members. </w:t>
      </w:r>
    </w:p>
    <w:p w14:paraId="5E832ABE" w14:textId="77777777" w:rsidR="00A272EE" w:rsidRPr="00B77D5B" w:rsidRDefault="00A272EE" w:rsidP="057C832C">
      <w:pPr>
        <w:spacing w:line="480" w:lineRule="auto"/>
        <w:rPr>
          <w:rFonts w:cstheme="minorBidi"/>
          <w:color w:val="44546A" w:themeColor="text2"/>
        </w:rPr>
      </w:pPr>
      <w:r w:rsidRPr="057C832C">
        <w:rPr>
          <w:rFonts w:cstheme="minorBidi"/>
        </w:rPr>
        <w:t xml:space="preserve">A health economic model will be constructed to explore the effects of long-term changes in prescribing costs and mortality. The exact form of this model will be established in consultation with other members of the research team, as a clinical input to this process would be vital. A </w:t>
      </w:r>
      <w:proofErr w:type="spellStart"/>
      <w:proofErr w:type="gramStart"/>
      <w:r w:rsidRPr="057C832C">
        <w:rPr>
          <w:rFonts w:cstheme="minorBidi"/>
        </w:rPr>
        <w:t>priori,this</w:t>
      </w:r>
      <w:proofErr w:type="spellEnd"/>
      <w:proofErr w:type="gramEnd"/>
      <w:r w:rsidRPr="057C832C">
        <w:rPr>
          <w:rFonts w:cstheme="minorBidi"/>
        </w:rPr>
        <w:t xml:space="preserve"> would be expected to take the form of a Markov model estimating cost per quality adjusted life year.</w:t>
      </w:r>
    </w:p>
    <w:p w14:paraId="690B9768" w14:textId="77777777" w:rsidR="00A272EE" w:rsidRDefault="00A272EE" w:rsidP="7CAE1876">
      <w:pPr>
        <w:shd w:val="clear" w:color="auto" w:fill="FFFFFF" w:themeFill="background1"/>
        <w:spacing w:after="0" w:line="480" w:lineRule="auto"/>
        <w:contextualSpacing/>
        <w:jc w:val="left"/>
        <w:rPr>
          <w:rFonts w:asciiTheme="minorHAnsi" w:eastAsia="Times New Roman" w:hAnsiTheme="minorHAnsi" w:cstheme="minorBidi"/>
          <w:b/>
          <w:bCs/>
          <w:color w:val="333333"/>
          <w:shd w:val="clear" w:color="auto" w:fill="auto"/>
          <w:lang w:eastAsia="en-GB"/>
        </w:rPr>
      </w:pPr>
    </w:p>
    <w:p w14:paraId="7CBC6F8E" w14:textId="77777777" w:rsidR="00A272EE" w:rsidRPr="00EA028A" w:rsidRDefault="00A272EE" w:rsidP="7CAE1876">
      <w:pPr>
        <w:shd w:val="clear" w:color="auto" w:fill="FFFFFF" w:themeFill="background1"/>
        <w:spacing w:after="0" w:line="480" w:lineRule="auto"/>
        <w:contextualSpacing/>
        <w:jc w:val="left"/>
        <w:rPr>
          <w:rFonts w:asciiTheme="minorHAnsi" w:eastAsia="Times New Roman" w:hAnsiTheme="minorHAnsi" w:cstheme="minorBidi"/>
          <w:color w:val="333333"/>
          <w:shd w:val="clear" w:color="auto" w:fill="auto"/>
          <w:lang w:eastAsia="en-GB"/>
        </w:rPr>
      </w:pPr>
      <w:r>
        <w:rPr>
          <w:rFonts w:asciiTheme="minorHAnsi" w:eastAsia="Times New Roman" w:hAnsiTheme="minorHAnsi" w:cstheme="minorBidi"/>
          <w:b/>
          <w:bCs/>
          <w:color w:val="333333"/>
          <w:shd w:val="clear" w:color="auto" w:fill="auto"/>
          <w:lang w:eastAsia="en-GB"/>
        </w:rPr>
        <w:t>Data sharing</w:t>
      </w:r>
    </w:p>
    <w:p w14:paraId="6410A7AD" w14:textId="77777777" w:rsidR="00A272EE" w:rsidRPr="00EA028A" w:rsidRDefault="00A272EE" w:rsidP="2CAD7983">
      <w:pPr>
        <w:shd w:val="clear" w:color="auto" w:fill="FFFFFF" w:themeFill="background1"/>
        <w:spacing w:after="0" w:line="480" w:lineRule="auto"/>
        <w:contextualSpacing/>
        <w:jc w:val="left"/>
        <w:rPr>
          <w:rFonts w:asciiTheme="minorHAnsi" w:eastAsia="Times New Roman" w:hAnsiTheme="minorHAnsi" w:cstheme="minorBidi"/>
          <w:color w:val="333333"/>
          <w:shd w:val="clear" w:color="auto" w:fill="auto"/>
          <w:lang w:eastAsia="en-GB"/>
        </w:rPr>
      </w:pPr>
      <w:r w:rsidRPr="2CAD7983">
        <w:rPr>
          <w:rFonts w:asciiTheme="minorHAnsi" w:eastAsiaTheme="minorEastAsia" w:hAnsiTheme="minorHAnsi" w:cstheme="minorBidi"/>
          <w:color w:val="333333"/>
          <w:lang w:eastAsia="en-GB"/>
        </w:rPr>
        <w:t>The protocol will be available on the NIHR website</w:t>
      </w:r>
      <w:r>
        <w:rPr>
          <w:rFonts w:asciiTheme="minorHAnsi" w:eastAsiaTheme="minorEastAsia" w:hAnsiTheme="minorHAnsi" w:cstheme="minorBidi"/>
          <w:color w:val="333333"/>
          <w:lang w:eastAsia="en-GB"/>
        </w:rPr>
        <w:t xml:space="preserve"> and within the ISRCTN register. </w:t>
      </w:r>
      <w:r w:rsidRPr="2CAD7983">
        <w:rPr>
          <w:rFonts w:asciiTheme="minorHAnsi" w:eastAsiaTheme="minorEastAsia" w:hAnsiTheme="minorHAnsi" w:cstheme="minorBidi"/>
          <w:color w:val="333333"/>
          <w:lang w:eastAsia="en-GB"/>
        </w:rPr>
        <w:t xml:space="preserve">The datasets generated during and/or analysed during the current study are not expected to be made available due to data sharing restrictions as part of section 251 approval and NHS England governance requirements. Statistical code will be available upon request from allan.clark@uea.ac.uk. </w:t>
      </w:r>
    </w:p>
    <w:p w14:paraId="6DFD72E2" w14:textId="77777777" w:rsidR="00A272EE" w:rsidRDefault="00A272EE" w:rsidP="00196B9D">
      <w:pPr>
        <w:shd w:val="clear" w:color="auto" w:fill="FFFFFF"/>
        <w:spacing w:after="0" w:line="480" w:lineRule="auto"/>
        <w:contextualSpacing/>
        <w:jc w:val="left"/>
        <w:outlineLvl w:val="0"/>
        <w:rPr>
          <w:rFonts w:asciiTheme="minorHAnsi" w:eastAsia="Times New Roman" w:hAnsiTheme="minorHAnsi" w:cstheme="minorHAnsi"/>
          <w:b/>
          <w:bCs/>
          <w:kern w:val="36"/>
          <w:shd w:val="clear" w:color="auto" w:fill="auto"/>
          <w:lang w:eastAsia="en-GB"/>
        </w:rPr>
      </w:pPr>
    </w:p>
    <w:p w14:paraId="2F2D3C8B" w14:textId="77777777" w:rsidR="00A272EE" w:rsidRPr="009752D8" w:rsidRDefault="00A272EE" w:rsidP="00196B9D">
      <w:pPr>
        <w:shd w:val="clear" w:color="auto" w:fill="FFFFFF"/>
        <w:spacing w:after="0" w:line="480" w:lineRule="auto"/>
        <w:contextualSpacing/>
        <w:jc w:val="left"/>
        <w:outlineLvl w:val="0"/>
        <w:rPr>
          <w:rFonts w:asciiTheme="minorHAnsi" w:eastAsia="Times New Roman" w:hAnsiTheme="minorHAnsi" w:cstheme="minorHAnsi"/>
          <w:b/>
          <w:bCs/>
          <w:kern w:val="36"/>
          <w:shd w:val="clear" w:color="auto" w:fill="auto"/>
          <w:lang w:eastAsia="en-GB"/>
        </w:rPr>
      </w:pPr>
      <w:r w:rsidRPr="009752D8">
        <w:rPr>
          <w:rFonts w:asciiTheme="minorHAnsi" w:eastAsia="Times New Roman" w:hAnsiTheme="minorHAnsi" w:cstheme="minorHAnsi"/>
          <w:b/>
          <w:bCs/>
          <w:kern w:val="36"/>
          <w:shd w:val="clear" w:color="auto" w:fill="auto"/>
          <w:lang w:eastAsia="en-GB"/>
        </w:rPr>
        <w:t>Oversight and monitoring</w:t>
      </w:r>
    </w:p>
    <w:p w14:paraId="75785E75" w14:textId="77777777" w:rsidR="00A272EE" w:rsidRDefault="00A272EE" w:rsidP="057C832C">
      <w:pPr>
        <w:shd w:val="clear" w:color="auto" w:fill="FFFFFF" w:themeFill="background1"/>
        <w:spacing w:after="0" w:line="480" w:lineRule="auto"/>
        <w:contextualSpacing/>
        <w:jc w:val="left"/>
        <w:rPr>
          <w:rFonts w:asciiTheme="minorHAnsi" w:eastAsia="Times New Roman" w:hAnsiTheme="minorHAnsi" w:cstheme="minorBidi"/>
          <w:color w:val="333333"/>
          <w:shd w:val="clear" w:color="auto" w:fill="auto"/>
          <w:lang w:eastAsia="en-GB"/>
        </w:rPr>
      </w:pPr>
      <w:r w:rsidRPr="057C832C">
        <w:rPr>
          <w:rFonts w:asciiTheme="minorHAnsi" w:eastAsia="Times New Roman" w:hAnsiTheme="minorHAnsi" w:cstheme="minorBidi"/>
          <w:color w:val="333333"/>
          <w:shd w:val="clear" w:color="auto" w:fill="auto"/>
          <w:lang w:eastAsia="en-GB"/>
        </w:rPr>
        <w:t xml:space="preserve">NCTU </w:t>
      </w:r>
      <w:r w:rsidRPr="2CAD7983">
        <w:rPr>
          <w:rFonts w:asciiTheme="minorHAnsi" w:eastAsia="Times New Roman" w:hAnsiTheme="minorHAnsi" w:cstheme="minorBidi"/>
          <w:color w:val="333333"/>
          <w:lang w:eastAsia="en-GB"/>
        </w:rPr>
        <w:t xml:space="preserve">are </w:t>
      </w:r>
      <w:r w:rsidRPr="057C832C">
        <w:rPr>
          <w:rFonts w:asciiTheme="minorHAnsi" w:eastAsia="Times New Roman" w:hAnsiTheme="minorHAnsi" w:cstheme="minorBidi"/>
          <w:color w:val="333333"/>
          <w:shd w:val="clear" w:color="auto" w:fill="auto"/>
          <w:lang w:eastAsia="en-GB"/>
        </w:rPr>
        <w:t>responsible for managing the trial including operational delivery, data management, statistical analysis, health economics and quality assurance</w:t>
      </w:r>
      <w:r>
        <w:rPr>
          <w:rFonts w:asciiTheme="minorHAnsi" w:eastAsia="Times New Roman" w:hAnsiTheme="minorHAnsi" w:cstheme="minorBidi"/>
          <w:color w:val="333333"/>
          <w:shd w:val="clear" w:color="auto" w:fill="auto"/>
          <w:lang w:eastAsia="en-GB"/>
        </w:rPr>
        <w:t xml:space="preserve">. </w:t>
      </w:r>
    </w:p>
    <w:p w14:paraId="25CCB706" w14:textId="77777777" w:rsidR="00A272EE" w:rsidRDefault="00A272EE" w:rsidP="2CAD7983">
      <w:pPr>
        <w:shd w:val="clear" w:color="auto" w:fill="FFFFFF" w:themeFill="background1"/>
        <w:spacing w:after="0" w:line="480" w:lineRule="auto"/>
        <w:contextualSpacing/>
        <w:jc w:val="left"/>
        <w:rPr>
          <w:rFonts w:asciiTheme="minorHAnsi" w:eastAsia="Times New Roman" w:hAnsiTheme="minorHAnsi" w:cstheme="minorBidi"/>
          <w:color w:val="333333"/>
          <w:lang w:eastAsia="en-GB"/>
        </w:rPr>
      </w:pPr>
      <w:r w:rsidRPr="057C832C">
        <w:rPr>
          <w:rFonts w:asciiTheme="minorHAnsi" w:eastAsia="Times New Roman" w:hAnsiTheme="minorHAnsi" w:cstheme="minorBidi"/>
          <w:color w:val="333333"/>
          <w:shd w:val="clear" w:color="auto" w:fill="auto"/>
          <w:lang w:eastAsia="en-GB"/>
        </w:rPr>
        <w:t xml:space="preserve">The </w:t>
      </w:r>
      <w:r>
        <w:rPr>
          <w:rFonts w:asciiTheme="minorHAnsi" w:eastAsia="Times New Roman" w:hAnsiTheme="minorHAnsi" w:cstheme="minorBidi"/>
          <w:color w:val="333333"/>
          <w:shd w:val="clear" w:color="auto" w:fill="auto"/>
          <w:lang w:eastAsia="en-GB"/>
        </w:rPr>
        <w:t>Trial</w:t>
      </w:r>
      <w:r w:rsidRPr="057C832C">
        <w:rPr>
          <w:rFonts w:asciiTheme="minorHAnsi" w:eastAsia="Times New Roman" w:hAnsiTheme="minorHAnsi" w:cstheme="minorBidi"/>
          <w:color w:val="333333"/>
          <w:shd w:val="clear" w:color="auto" w:fill="auto"/>
          <w:lang w:eastAsia="en-GB"/>
        </w:rPr>
        <w:t xml:space="preserve"> Steering Committee responsible for overseeing the CHARMER research programme</w:t>
      </w:r>
      <w:r>
        <w:rPr>
          <w:rFonts w:asciiTheme="minorHAnsi" w:eastAsia="Times New Roman" w:hAnsiTheme="minorHAnsi" w:cstheme="minorBidi"/>
          <w:color w:val="333333"/>
          <w:shd w:val="clear" w:color="auto" w:fill="auto"/>
          <w:lang w:eastAsia="en-GB"/>
        </w:rPr>
        <w:t xml:space="preserve"> will take </w:t>
      </w:r>
      <w:r w:rsidRPr="057C832C">
        <w:rPr>
          <w:rFonts w:asciiTheme="minorHAnsi" w:eastAsia="Times New Roman" w:hAnsiTheme="minorHAnsi" w:cstheme="minorBidi"/>
          <w:color w:val="333333"/>
          <w:shd w:val="clear" w:color="auto" w:fill="auto"/>
          <w:lang w:eastAsia="en-GB"/>
        </w:rPr>
        <w:t xml:space="preserve">on the responsibilities of </w:t>
      </w:r>
      <w:r w:rsidRPr="057C832C">
        <w:rPr>
          <w:rFonts w:asciiTheme="minorHAnsi" w:eastAsia="Times New Roman" w:hAnsiTheme="minorHAnsi" w:cstheme="minorBidi"/>
          <w:color w:val="333333"/>
          <w:lang w:eastAsia="en-GB"/>
        </w:rPr>
        <w:t>the</w:t>
      </w:r>
      <w:r w:rsidRPr="057C832C">
        <w:rPr>
          <w:rFonts w:asciiTheme="minorHAnsi" w:eastAsia="Times New Roman" w:hAnsiTheme="minorHAnsi" w:cstheme="minorBidi"/>
          <w:color w:val="333333"/>
          <w:shd w:val="clear" w:color="auto" w:fill="auto"/>
          <w:lang w:eastAsia="en-GB"/>
        </w:rPr>
        <w:t xml:space="preserve"> Trial Steering Committee and Data Manag</w:t>
      </w:r>
      <w:r>
        <w:rPr>
          <w:rFonts w:asciiTheme="minorHAnsi" w:eastAsia="Times New Roman" w:hAnsiTheme="minorHAnsi" w:cstheme="minorBidi"/>
          <w:color w:val="333333"/>
          <w:shd w:val="clear" w:color="auto" w:fill="auto"/>
          <w:lang w:eastAsia="en-GB"/>
        </w:rPr>
        <w:t>e</w:t>
      </w:r>
      <w:r w:rsidRPr="057C832C">
        <w:rPr>
          <w:rFonts w:asciiTheme="minorHAnsi" w:eastAsia="Times New Roman" w:hAnsiTheme="minorHAnsi" w:cstheme="minorBidi"/>
          <w:color w:val="333333"/>
          <w:shd w:val="clear" w:color="auto" w:fill="auto"/>
          <w:lang w:eastAsia="en-GB"/>
        </w:rPr>
        <w:t>ment Committee at the beginning of th</w:t>
      </w:r>
      <w:r>
        <w:rPr>
          <w:rFonts w:asciiTheme="minorHAnsi" w:eastAsia="Times New Roman" w:hAnsiTheme="minorHAnsi" w:cstheme="minorBidi"/>
          <w:color w:val="333333"/>
          <w:shd w:val="clear" w:color="auto" w:fill="auto"/>
          <w:lang w:eastAsia="en-GB"/>
        </w:rPr>
        <w:t>e</w:t>
      </w:r>
      <w:r w:rsidRPr="057C832C">
        <w:rPr>
          <w:rFonts w:asciiTheme="minorHAnsi" w:eastAsia="Times New Roman" w:hAnsiTheme="minorHAnsi" w:cstheme="minorBidi"/>
          <w:color w:val="333333"/>
          <w:shd w:val="clear" w:color="auto" w:fill="auto"/>
          <w:lang w:eastAsia="en-GB"/>
        </w:rPr>
        <w:t xml:space="preserve"> trial. The committee consists of a research active consultant geriatrician (Chair), </w:t>
      </w:r>
      <w:r w:rsidRPr="057C832C">
        <w:rPr>
          <w:rFonts w:asciiTheme="minorHAnsi" w:eastAsia="Times New Roman" w:hAnsiTheme="minorHAnsi" w:cstheme="minorBidi"/>
          <w:color w:val="333333"/>
          <w:shd w:val="clear" w:color="auto" w:fill="auto"/>
          <w:lang w:eastAsia="en-GB"/>
        </w:rPr>
        <w:lastRenderedPageBreak/>
        <w:t xml:space="preserve">national lead for provision of clinical pharmacy services, senior medical statistician, senior clinical trialist, senior behavioural scientist and two PPI members, which are all independent of the sponsor and have no competing interests. The Committee was convened to meet </w:t>
      </w:r>
      <w:r w:rsidRPr="057C832C">
        <w:rPr>
          <w:rFonts w:asciiTheme="minorHAnsi" w:eastAsia="Times New Roman" w:hAnsiTheme="minorHAnsi" w:cstheme="minorBidi"/>
          <w:color w:val="333333"/>
          <w:lang w:eastAsia="en-GB"/>
        </w:rPr>
        <w:t xml:space="preserve">approximately </w:t>
      </w:r>
      <w:r w:rsidRPr="057C832C">
        <w:rPr>
          <w:rFonts w:asciiTheme="minorHAnsi" w:eastAsia="Times New Roman" w:hAnsiTheme="minorHAnsi" w:cstheme="minorBidi"/>
          <w:color w:val="333333"/>
          <w:shd w:val="clear" w:color="auto" w:fill="auto"/>
          <w:lang w:eastAsia="en-GB"/>
        </w:rPr>
        <w:t xml:space="preserve">six monthly </w:t>
      </w:r>
      <w:r w:rsidRPr="057C832C">
        <w:rPr>
          <w:rFonts w:asciiTheme="minorHAnsi" w:eastAsia="Times New Roman" w:hAnsiTheme="minorHAnsi" w:cstheme="minorBidi"/>
          <w:color w:val="333333"/>
          <w:lang w:eastAsia="en-GB"/>
        </w:rPr>
        <w:t xml:space="preserve">at </w:t>
      </w:r>
      <w:r w:rsidRPr="057C832C">
        <w:rPr>
          <w:rFonts w:asciiTheme="minorHAnsi" w:eastAsia="Times New Roman" w:hAnsiTheme="minorHAnsi" w:cstheme="minorBidi"/>
          <w:color w:val="333333"/>
          <w:shd w:val="clear" w:color="auto" w:fill="auto"/>
          <w:lang w:eastAsia="en-GB"/>
        </w:rPr>
        <w:t>key timepoints</w:t>
      </w:r>
      <w:r>
        <w:rPr>
          <w:rFonts w:asciiTheme="minorHAnsi" w:eastAsia="Times New Roman" w:hAnsiTheme="minorHAnsi" w:cstheme="minorBidi"/>
          <w:color w:val="333333"/>
          <w:shd w:val="clear" w:color="auto" w:fill="auto"/>
          <w:lang w:eastAsia="en-GB"/>
        </w:rPr>
        <w:t xml:space="preserve">. </w:t>
      </w:r>
      <w:r w:rsidRPr="2CAD7983">
        <w:rPr>
          <w:rFonts w:asciiTheme="minorHAnsi" w:eastAsia="Times New Roman" w:hAnsiTheme="minorHAnsi" w:cstheme="minorBidi"/>
          <w:color w:val="333333"/>
          <w:lang w:eastAsia="en-GB"/>
        </w:rPr>
        <w:t xml:space="preserve">Prof </w:t>
      </w:r>
      <w:r w:rsidRPr="057C832C">
        <w:rPr>
          <w:rFonts w:asciiTheme="minorHAnsi" w:eastAsia="Times New Roman" w:hAnsiTheme="minorHAnsi" w:cstheme="minorBidi"/>
          <w:color w:val="333333"/>
          <w:lang w:eastAsia="en-GB"/>
        </w:rPr>
        <w:t xml:space="preserve">Bhattacharya (Co-CI and award holder) and Clark (Trial Statistician) are non-independent members. </w:t>
      </w:r>
      <w:r w:rsidRPr="057C832C">
        <w:rPr>
          <w:rFonts w:asciiTheme="minorHAnsi" w:eastAsia="Times New Roman" w:hAnsiTheme="minorHAnsi" w:cstheme="minorBidi"/>
          <w:color w:val="333333"/>
          <w:shd w:val="clear" w:color="auto" w:fill="auto"/>
          <w:lang w:eastAsia="en-GB"/>
        </w:rPr>
        <w:t xml:space="preserve">At least </w:t>
      </w:r>
      <w:r w:rsidRPr="057C832C">
        <w:rPr>
          <w:rFonts w:asciiTheme="minorHAnsi" w:eastAsia="Times New Roman" w:hAnsiTheme="minorHAnsi" w:cstheme="minorBidi"/>
          <w:color w:val="333333"/>
          <w:lang w:eastAsia="en-GB"/>
        </w:rPr>
        <w:t>two r</w:t>
      </w:r>
      <w:r w:rsidRPr="057C832C">
        <w:rPr>
          <w:rFonts w:asciiTheme="minorHAnsi" w:eastAsia="Times New Roman" w:hAnsiTheme="minorHAnsi" w:cstheme="minorBidi"/>
          <w:color w:val="333333"/>
          <w:shd w:val="clear" w:color="auto" w:fill="auto"/>
          <w:lang w:eastAsia="en-GB"/>
        </w:rPr>
        <w:t>epresentatives from</w:t>
      </w:r>
      <w:r>
        <w:rPr>
          <w:rFonts w:asciiTheme="minorHAnsi" w:eastAsia="Times New Roman" w:hAnsiTheme="minorHAnsi" w:cstheme="minorBidi"/>
          <w:color w:val="333333"/>
          <w:shd w:val="clear" w:color="auto" w:fill="auto"/>
          <w:lang w:eastAsia="en-GB"/>
        </w:rPr>
        <w:t xml:space="preserve"> </w:t>
      </w:r>
      <w:r w:rsidRPr="057C832C">
        <w:rPr>
          <w:rFonts w:asciiTheme="minorHAnsi" w:eastAsia="Times New Roman" w:hAnsiTheme="minorHAnsi" w:cstheme="minorBidi"/>
          <w:color w:val="333333"/>
          <w:shd w:val="clear" w:color="auto" w:fill="auto"/>
          <w:lang w:eastAsia="en-GB"/>
        </w:rPr>
        <w:t xml:space="preserve">NCTU, the funding award body, sponsor and trial team attend as observers reporting on progress and advising as requested. </w:t>
      </w:r>
    </w:p>
    <w:p w14:paraId="39963939" w14:textId="77777777" w:rsidR="00A272EE" w:rsidRPr="009752D8" w:rsidRDefault="00A272EE" w:rsidP="2CAD7983">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2CAD7983">
        <w:rPr>
          <w:rFonts w:asciiTheme="minorHAnsi" w:eastAsia="Times New Roman" w:hAnsiTheme="minorHAnsi" w:cstheme="minorBidi"/>
          <w:color w:val="333333"/>
          <w:shd w:val="clear" w:color="auto" w:fill="auto"/>
          <w:lang w:eastAsia="en-GB"/>
        </w:rPr>
        <w:t xml:space="preserve">As the primary outcome (readmissions to hospital) is obtained from routine data retained by NHS Digital and would not be available to the research team until after the last patient has completed, it was not possible to review the safety of the intervention during the trial. </w:t>
      </w:r>
    </w:p>
    <w:p w14:paraId="531E0397" w14:textId="77777777" w:rsidR="00A272EE" w:rsidRDefault="00A272EE" w:rsidP="057C832C">
      <w:pPr>
        <w:shd w:val="clear" w:color="auto" w:fill="FFFFFF" w:themeFill="background1"/>
        <w:spacing w:after="0" w:line="480" w:lineRule="auto"/>
        <w:contextualSpacing/>
        <w:jc w:val="left"/>
        <w:rPr>
          <w:rFonts w:asciiTheme="minorHAnsi" w:eastAsia="Times New Roman" w:hAnsiTheme="minorHAnsi" w:cstheme="minorBidi"/>
          <w:b/>
          <w:bCs/>
          <w:shd w:val="clear" w:color="auto" w:fill="auto"/>
          <w:lang w:eastAsia="en-GB"/>
        </w:rPr>
      </w:pPr>
    </w:p>
    <w:p w14:paraId="417CA76D" w14:textId="77777777" w:rsidR="00A272EE" w:rsidRPr="009752D8" w:rsidRDefault="00A272EE" w:rsidP="057C832C">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057C832C">
        <w:rPr>
          <w:rFonts w:asciiTheme="minorHAnsi" w:eastAsia="Times New Roman" w:hAnsiTheme="minorHAnsi" w:cstheme="minorBidi"/>
          <w:b/>
          <w:bCs/>
          <w:shd w:val="clear" w:color="auto" w:fill="auto"/>
          <w:lang w:eastAsia="en-GB"/>
        </w:rPr>
        <w:t>Adverse event reporting and harms</w:t>
      </w:r>
    </w:p>
    <w:p w14:paraId="662FC5D4" w14:textId="4240311A" w:rsidR="00A272EE" w:rsidRDefault="00A272EE" w:rsidP="7CAE1876">
      <w:pPr>
        <w:shd w:val="clear" w:color="auto" w:fill="FFFFFF" w:themeFill="background1"/>
        <w:spacing w:after="0" w:line="480" w:lineRule="auto"/>
        <w:contextualSpacing/>
        <w:jc w:val="left"/>
        <w:rPr>
          <w:rFonts w:asciiTheme="minorHAnsi" w:eastAsia="Times New Roman" w:hAnsiTheme="minorHAnsi" w:cstheme="minorBidi"/>
          <w:b/>
          <w:bCs/>
          <w:shd w:val="clear" w:color="auto" w:fill="auto"/>
          <w:lang w:eastAsia="en-GB"/>
        </w:rPr>
      </w:pPr>
      <w:r w:rsidRPr="7CAE1876">
        <w:rPr>
          <w:rFonts w:asciiTheme="minorHAnsi" w:eastAsia="Times New Roman" w:hAnsiTheme="minorHAnsi" w:cstheme="minorBidi"/>
          <w:lang w:eastAsia="en-GB"/>
        </w:rPr>
        <w:t>Adverse events are not being collected for this trial. Potential unintended harms arising from the intervention with respect to deprescribing discussions or the stopping or reducing medications will be assessed by questionnaire in those participants who consent or for whom consultee assent is provided in the post-intervention enhanced data collection period. Harms identified will be reviewed by clinician members of the trial management group, categorised and reported as part of the trial publication. Complaints from participants, consultees, relatives or staff relating to the trial conduct will be directed to the Sponsor. NCTU will lead on investigating complaints in conjunction with the Trial Management Groups and Sponsor.</w:t>
      </w:r>
      <w:r w:rsidRPr="7CAE1876">
        <w:rPr>
          <w:rFonts w:asciiTheme="minorHAnsi" w:eastAsia="Times New Roman" w:hAnsiTheme="minorHAnsi" w:cstheme="minorBidi"/>
          <w:shd w:val="clear" w:color="auto" w:fill="auto"/>
          <w:lang w:eastAsia="en-GB"/>
        </w:rPr>
        <w:t xml:space="preserve"> </w:t>
      </w:r>
      <w:r w:rsidRPr="009752D8">
        <w:rPr>
          <w:rFonts w:asciiTheme="minorHAnsi" w:eastAsia="Times New Roman" w:hAnsiTheme="minorHAnsi" w:cstheme="minorHAnsi"/>
          <w:shd w:val="clear" w:color="auto" w:fill="auto"/>
          <w:lang w:eastAsia="en-GB"/>
        </w:rPr>
        <w:br/>
      </w:r>
    </w:p>
    <w:p w14:paraId="51C54FEC" w14:textId="77777777" w:rsidR="00A272EE" w:rsidRPr="009752D8" w:rsidRDefault="00A272EE" w:rsidP="7CAE1876">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7CAE1876">
        <w:rPr>
          <w:rFonts w:asciiTheme="minorHAnsi" w:eastAsia="Times New Roman" w:hAnsiTheme="minorHAnsi" w:cstheme="minorBidi"/>
          <w:b/>
          <w:bCs/>
          <w:shd w:val="clear" w:color="auto" w:fill="auto"/>
          <w:lang w:eastAsia="en-GB"/>
        </w:rPr>
        <w:t>Frequency and plans for auditing trial conduct</w:t>
      </w:r>
    </w:p>
    <w:p w14:paraId="1997FEE2" w14:textId="77777777" w:rsidR="00A272EE" w:rsidRDefault="00A272EE" w:rsidP="2CAD7983">
      <w:pPr>
        <w:shd w:val="clear" w:color="auto" w:fill="FFFFFF" w:themeFill="background1"/>
        <w:spacing w:after="0" w:line="480" w:lineRule="auto"/>
        <w:contextualSpacing/>
        <w:jc w:val="left"/>
        <w:rPr>
          <w:rFonts w:asciiTheme="minorHAnsi" w:eastAsia="Times New Roman" w:hAnsiTheme="minorHAnsi" w:cstheme="minorBidi"/>
          <w:b/>
          <w:bCs/>
          <w:shd w:val="clear" w:color="auto" w:fill="auto"/>
          <w:lang w:eastAsia="en-GB"/>
        </w:rPr>
      </w:pPr>
      <w:r w:rsidRPr="2CAD7983">
        <w:rPr>
          <w:rFonts w:asciiTheme="minorHAnsi" w:eastAsia="Times New Roman" w:hAnsiTheme="minorHAnsi" w:cstheme="minorBidi"/>
          <w:shd w:val="clear" w:color="auto" w:fill="auto"/>
          <w:lang w:eastAsia="en-GB"/>
        </w:rPr>
        <w:t>The delivery of the trial is overseen by NCTU Quality Assurance team (who are independent of the research team and Sponsor) on a quarterly basis. Should issues arise, a risk-based audit may be undertaken at site or coordinating centre level</w:t>
      </w:r>
      <w:r>
        <w:rPr>
          <w:rFonts w:asciiTheme="minorHAnsi" w:eastAsia="Times New Roman" w:hAnsiTheme="minorHAnsi" w:cstheme="minorBidi"/>
          <w:shd w:val="clear" w:color="auto" w:fill="auto"/>
          <w:lang w:eastAsia="en-GB"/>
        </w:rPr>
        <w:t xml:space="preserve">. </w:t>
      </w:r>
      <w:r w:rsidRPr="009752D8">
        <w:rPr>
          <w:rFonts w:asciiTheme="minorHAnsi" w:eastAsia="Times New Roman" w:hAnsiTheme="minorHAnsi" w:cstheme="minorHAnsi"/>
          <w:shd w:val="clear" w:color="auto" w:fill="auto"/>
          <w:lang w:eastAsia="en-GB"/>
        </w:rPr>
        <w:br/>
      </w:r>
      <w:bookmarkStart w:id="31" w:name="_Hlk201824182"/>
    </w:p>
    <w:p w14:paraId="7719D806" w14:textId="77777777" w:rsidR="00A272EE" w:rsidRPr="009752D8" w:rsidRDefault="00A272EE" w:rsidP="2CAD7983">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Pr>
          <w:rFonts w:asciiTheme="minorHAnsi" w:eastAsia="Times New Roman" w:hAnsiTheme="minorHAnsi" w:cstheme="minorBidi"/>
          <w:b/>
          <w:bCs/>
          <w:shd w:val="clear" w:color="auto" w:fill="auto"/>
          <w:lang w:eastAsia="en-GB"/>
        </w:rPr>
        <w:t>C</w:t>
      </w:r>
      <w:r w:rsidRPr="2CAD7983">
        <w:rPr>
          <w:rFonts w:asciiTheme="minorHAnsi" w:eastAsia="Times New Roman" w:hAnsiTheme="minorHAnsi" w:cstheme="minorBidi"/>
          <w:b/>
          <w:bCs/>
          <w:shd w:val="clear" w:color="auto" w:fill="auto"/>
          <w:lang w:eastAsia="en-GB"/>
        </w:rPr>
        <w:t>ommunicati</w:t>
      </w:r>
      <w:r>
        <w:rPr>
          <w:rFonts w:asciiTheme="minorHAnsi" w:eastAsia="Times New Roman" w:hAnsiTheme="minorHAnsi" w:cstheme="minorBidi"/>
          <w:b/>
          <w:bCs/>
          <w:shd w:val="clear" w:color="auto" w:fill="auto"/>
          <w:lang w:eastAsia="en-GB"/>
        </w:rPr>
        <w:t>on of</w:t>
      </w:r>
      <w:r w:rsidRPr="2CAD7983">
        <w:rPr>
          <w:rFonts w:asciiTheme="minorHAnsi" w:eastAsia="Times New Roman" w:hAnsiTheme="minorHAnsi" w:cstheme="minorBidi"/>
          <w:b/>
          <w:bCs/>
          <w:shd w:val="clear" w:color="auto" w:fill="auto"/>
          <w:lang w:eastAsia="en-GB"/>
        </w:rPr>
        <w:t xml:space="preserve"> protocol amendments</w:t>
      </w:r>
      <w:bookmarkEnd w:id="31"/>
    </w:p>
    <w:p w14:paraId="358159AA" w14:textId="77777777" w:rsidR="00A272EE" w:rsidRPr="009752D8" w:rsidRDefault="00A272EE" w:rsidP="748A020C">
      <w:pPr>
        <w:shd w:val="clear" w:color="auto" w:fill="FFFFFF" w:themeFill="background1"/>
        <w:spacing w:after="0" w:line="480" w:lineRule="auto"/>
        <w:contextualSpacing/>
        <w:jc w:val="left"/>
        <w:rPr>
          <w:rFonts w:asciiTheme="minorHAnsi" w:eastAsia="Times New Roman" w:hAnsiTheme="minorHAnsi" w:cstheme="minorBidi"/>
          <w:shd w:val="clear" w:color="auto" w:fill="auto"/>
          <w:lang w:eastAsia="en-GB"/>
        </w:rPr>
      </w:pPr>
      <w:r w:rsidRPr="009752D8">
        <w:rPr>
          <w:rFonts w:asciiTheme="minorHAnsi" w:eastAsia="Times New Roman" w:hAnsiTheme="minorHAnsi" w:cstheme="minorBidi"/>
          <w:shd w:val="clear" w:color="auto" w:fill="auto"/>
          <w:lang w:eastAsia="en-GB"/>
        </w:rPr>
        <w:lastRenderedPageBreak/>
        <w:t>Ethics (and Confidential Advisory Group) approval will be sought for all protocol amendments. Approved amendments will be communicated to participating sites including investigators, and where necessary trial participants. [SPIRIT guidance: Plans for communicating important protocol modifications (e</w:t>
      </w:r>
      <w:r>
        <w:rPr>
          <w:rFonts w:asciiTheme="minorHAnsi" w:eastAsia="Times New Roman" w:hAnsiTheme="minorHAnsi" w:cstheme="minorBidi"/>
          <w:shd w:val="clear" w:color="auto" w:fill="auto"/>
          <w:lang w:eastAsia="en-GB"/>
        </w:rPr>
        <w:t>.</w:t>
      </w:r>
      <w:r w:rsidRPr="009752D8">
        <w:rPr>
          <w:rFonts w:asciiTheme="minorHAnsi" w:eastAsia="Times New Roman" w:hAnsiTheme="minorHAnsi" w:cstheme="minorBidi"/>
          <w:shd w:val="clear" w:color="auto" w:fill="auto"/>
          <w:lang w:eastAsia="en-GB"/>
        </w:rPr>
        <w:t>g</w:t>
      </w:r>
      <w:r>
        <w:rPr>
          <w:rFonts w:asciiTheme="minorHAnsi" w:eastAsia="Times New Roman" w:hAnsiTheme="minorHAnsi" w:cstheme="minorBidi"/>
          <w:shd w:val="clear" w:color="auto" w:fill="auto"/>
          <w:lang w:eastAsia="en-GB"/>
        </w:rPr>
        <w:t>.,</w:t>
      </w:r>
      <w:r w:rsidRPr="009752D8">
        <w:rPr>
          <w:rFonts w:asciiTheme="minorHAnsi" w:eastAsia="Times New Roman" w:hAnsiTheme="minorHAnsi" w:cstheme="minorBidi"/>
          <w:shd w:val="clear" w:color="auto" w:fill="auto"/>
          <w:lang w:eastAsia="en-GB"/>
        </w:rPr>
        <w:t xml:space="preserve"> changes to eligibility criteria, outcomes, analyses) to relevant parties (e</w:t>
      </w:r>
      <w:r>
        <w:rPr>
          <w:rFonts w:asciiTheme="minorHAnsi" w:eastAsia="Times New Roman" w:hAnsiTheme="minorHAnsi" w:cstheme="minorBidi"/>
          <w:shd w:val="clear" w:color="auto" w:fill="auto"/>
          <w:lang w:eastAsia="en-GB"/>
        </w:rPr>
        <w:t>.</w:t>
      </w:r>
      <w:r w:rsidRPr="009752D8">
        <w:rPr>
          <w:rFonts w:asciiTheme="minorHAnsi" w:eastAsia="Times New Roman" w:hAnsiTheme="minorHAnsi" w:cstheme="minorBidi"/>
          <w:shd w:val="clear" w:color="auto" w:fill="auto"/>
          <w:lang w:eastAsia="en-GB"/>
        </w:rPr>
        <w:t>g</w:t>
      </w:r>
      <w:r>
        <w:rPr>
          <w:rFonts w:asciiTheme="minorHAnsi" w:eastAsia="Times New Roman" w:hAnsiTheme="minorHAnsi" w:cstheme="minorBidi"/>
          <w:shd w:val="clear" w:color="auto" w:fill="auto"/>
          <w:lang w:eastAsia="en-GB"/>
        </w:rPr>
        <w:t>.,</w:t>
      </w:r>
      <w:r w:rsidRPr="009752D8">
        <w:rPr>
          <w:rFonts w:asciiTheme="minorHAnsi" w:eastAsia="Times New Roman" w:hAnsiTheme="minorHAnsi" w:cstheme="minorBidi"/>
          <w:shd w:val="clear" w:color="auto" w:fill="auto"/>
          <w:lang w:eastAsia="en-GB"/>
        </w:rPr>
        <w:t xml:space="preserve"> investigators, REC/IRBs, trial participants, trial registries, journals, regulators).]</w:t>
      </w:r>
    </w:p>
    <w:p w14:paraId="3E598F6C" w14:textId="77777777" w:rsidR="00A272EE" w:rsidRDefault="00A272EE" w:rsidP="00AF598E">
      <w:pPr>
        <w:shd w:val="clear" w:color="auto" w:fill="FFFFFF"/>
        <w:spacing w:after="0" w:line="480" w:lineRule="auto"/>
        <w:contextualSpacing/>
        <w:jc w:val="left"/>
        <w:outlineLvl w:val="2"/>
        <w:rPr>
          <w:rFonts w:asciiTheme="minorHAnsi" w:eastAsia="Times New Roman" w:hAnsiTheme="minorHAnsi" w:cstheme="minorHAnsi"/>
          <w:b/>
          <w:bCs/>
          <w:color w:val="1B3051"/>
          <w:shd w:val="clear" w:color="auto" w:fill="auto"/>
          <w:lang w:eastAsia="en-GB"/>
        </w:rPr>
      </w:pPr>
    </w:p>
    <w:p w14:paraId="0CDFF2B6" w14:textId="0DDEFC75" w:rsidR="00A272EE" w:rsidRPr="00EA028A" w:rsidRDefault="00A272EE" w:rsidP="00AF598E">
      <w:pPr>
        <w:shd w:val="clear" w:color="auto" w:fill="FFFFFF"/>
        <w:spacing w:after="0" w:line="480" w:lineRule="auto"/>
        <w:contextualSpacing/>
        <w:jc w:val="left"/>
        <w:outlineLvl w:val="2"/>
        <w:rPr>
          <w:rFonts w:asciiTheme="minorHAnsi" w:eastAsia="Times New Roman" w:hAnsiTheme="minorHAnsi" w:cstheme="minorHAnsi"/>
          <w:b/>
          <w:bCs/>
          <w:color w:val="1B3051"/>
          <w:shd w:val="clear" w:color="auto" w:fill="auto"/>
          <w:lang w:eastAsia="en-GB"/>
        </w:rPr>
      </w:pPr>
      <w:r w:rsidRPr="00EA028A">
        <w:rPr>
          <w:rFonts w:asciiTheme="minorHAnsi" w:eastAsia="Times New Roman" w:hAnsiTheme="minorHAnsi" w:cstheme="minorHAnsi"/>
          <w:b/>
          <w:bCs/>
          <w:color w:val="1B3051"/>
          <w:shd w:val="clear" w:color="auto" w:fill="auto"/>
          <w:lang w:eastAsia="en-GB"/>
        </w:rPr>
        <w:t>Ethi</w:t>
      </w:r>
      <w:r>
        <w:rPr>
          <w:rFonts w:asciiTheme="minorHAnsi" w:eastAsia="Times New Roman" w:hAnsiTheme="minorHAnsi" w:cstheme="minorHAnsi"/>
          <w:b/>
          <w:bCs/>
          <w:color w:val="1B3051"/>
          <w:shd w:val="clear" w:color="auto" w:fill="auto"/>
          <w:lang w:eastAsia="en-GB"/>
        </w:rPr>
        <w:t>cs and dissemination</w:t>
      </w:r>
    </w:p>
    <w:p w14:paraId="066EE6BE" w14:textId="77777777" w:rsidR="00A272EE" w:rsidRDefault="00A272EE" w:rsidP="00AF598E">
      <w:pPr>
        <w:shd w:val="clear" w:color="auto" w:fill="FFFFFF" w:themeFill="background1"/>
        <w:spacing w:after="0" w:line="480" w:lineRule="auto"/>
        <w:contextualSpacing/>
        <w:jc w:val="left"/>
        <w:rPr>
          <w:rFonts w:asciiTheme="minorHAnsi" w:eastAsia="Times New Roman" w:hAnsiTheme="minorHAnsi" w:cstheme="minorBidi"/>
          <w:color w:val="333333"/>
          <w:shd w:val="clear" w:color="auto" w:fill="auto"/>
          <w:lang w:eastAsia="en-GB"/>
        </w:rPr>
      </w:pPr>
      <w:r w:rsidRPr="28781113">
        <w:rPr>
          <w:rFonts w:asciiTheme="minorHAnsi" w:eastAsia="Times New Roman" w:hAnsiTheme="minorHAnsi" w:cstheme="minorBidi"/>
          <w:color w:val="333333"/>
          <w:shd w:val="clear" w:color="auto" w:fill="auto"/>
          <w:lang w:eastAsia="en-GB"/>
        </w:rPr>
        <w:t>Ethical approval for the study was obtained from Wales REC2 on 04/07/2023, REF: 23/WA/0184.</w:t>
      </w:r>
    </w:p>
    <w:p w14:paraId="6796CA75" w14:textId="77777777" w:rsidR="00A272EE" w:rsidRDefault="00A272EE" w:rsidP="00AF598E">
      <w:pPr>
        <w:shd w:val="clear" w:color="auto" w:fill="FFFFFF" w:themeFill="background1"/>
        <w:spacing w:after="0" w:line="480" w:lineRule="auto"/>
        <w:contextualSpacing/>
        <w:jc w:val="left"/>
        <w:rPr>
          <w:rFonts w:asciiTheme="minorHAnsi" w:eastAsia="Times New Roman" w:hAnsiTheme="minorHAnsi" w:cstheme="minorBidi"/>
          <w:color w:val="333333"/>
          <w:shd w:val="clear" w:color="auto" w:fill="auto"/>
          <w:lang w:eastAsia="en-GB"/>
        </w:rPr>
      </w:pPr>
      <w:r w:rsidRPr="28781113">
        <w:rPr>
          <w:rFonts w:asciiTheme="minorHAnsi" w:eastAsia="Times New Roman" w:hAnsiTheme="minorHAnsi" w:cstheme="minorBidi"/>
          <w:color w:val="333333"/>
          <w:shd w:val="clear" w:color="auto" w:fill="auto"/>
          <w:lang w:eastAsia="en-GB"/>
        </w:rPr>
        <w:t>Confidential Advisory Group approval (REF: 23/CAG/0073) was obtained on 06/07/2023 to enable collection of anonymised routinely collected data for all participants during the non-enhanced data collection periods.</w:t>
      </w:r>
    </w:p>
    <w:p w14:paraId="1EE1D6A1" w14:textId="77777777" w:rsidR="00A272EE" w:rsidRDefault="00A272EE" w:rsidP="00196B9D">
      <w:pPr>
        <w:shd w:val="clear" w:color="auto" w:fill="FFFFFF"/>
        <w:spacing w:after="0" w:line="480" w:lineRule="auto"/>
        <w:contextualSpacing/>
        <w:jc w:val="left"/>
        <w:rPr>
          <w:rFonts w:asciiTheme="minorHAnsi" w:eastAsia="Times New Roman" w:hAnsiTheme="minorHAnsi" w:cstheme="minorHAnsi"/>
          <w:b/>
          <w:bCs/>
          <w:shd w:val="clear" w:color="auto" w:fill="auto"/>
          <w:lang w:eastAsia="en-GB"/>
        </w:rPr>
      </w:pPr>
    </w:p>
    <w:p w14:paraId="13D19B4B" w14:textId="38E48539" w:rsidR="00A272EE" w:rsidRDefault="00A272EE" w:rsidP="007B5478">
      <w:pPr>
        <w:shd w:val="clear" w:color="auto" w:fill="FFFFFF"/>
        <w:spacing w:line="480" w:lineRule="auto"/>
        <w:rPr>
          <w:shd w:val="clear" w:color="auto" w:fill="auto"/>
          <w:lang w:eastAsia="en-GB"/>
        </w:rPr>
      </w:pPr>
      <w:bookmarkStart w:id="32" w:name="_Hlk195608413"/>
      <w:r>
        <w:rPr>
          <w:color w:val="000000"/>
          <w:lang w:eastAsia="en-GB"/>
        </w:rPr>
        <w:t>The research team will follow the</w:t>
      </w:r>
      <w:r>
        <w:rPr>
          <w:color w:val="000000"/>
        </w:rPr>
        <w:t xml:space="preserve"> </w:t>
      </w:r>
      <w:r>
        <w:rPr>
          <w:color w:val="000000"/>
          <w:lang w:eastAsia="en-GB"/>
        </w:rPr>
        <w:t>Guide to Disseminating Research (</w:t>
      </w:r>
      <w:proofErr w:type="spellStart"/>
      <w:r>
        <w:rPr>
          <w:color w:val="000000"/>
          <w:lang w:eastAsia="en-GB"/>
        </w:rPr>
        <w:t>GuiDir</w:t>
      </w:r>
      <w:proofErr w:type="spellEnd"/>
      <w:r>
        <w:rPr>
          <w:color w:val="000000"/>
          <w:lang w:eastAsia="en-GB"/>
        </w:rPr>
        <w:t>) framework, which includes identification of target audiences for dissemination from the outset, agreeing dissemination goals, developing a dissemination plan, choosing appropriate dissemination channels and tracking the impact of the dissemination</w:t>
      </w:r>
      <w:r>
        <w:rPr>
          <w:rFonts w:asciiTheme="minorHAnsi" w:eastAsia="Times New Roman" w:hAnsiTheme="minorHAnsi" w:cstheme="minorBidi"/>
          <w:shd w:val="clear" w:color="auto" w:fill="auto"/>
          <w:lang w:eastAsia="en-GB"/>
        </w:rPr>
        <w:t>.</w:t>
      </w:r>
      <w:r>
        <w:rPr>
          <w:rFonts w:asciiTheme="minorHAnsi" w:eastAsia="Times New Roman" w:hAnsiTheme="minorHAnsi" w:cstheme="minorBidi"/>
          <w:noProof/>
          <w:shd w:val="clear" w:color="auto" w:fill="auto"/>
          <w:lang w:eastAsia="en-GB"/>
        </w:rPr>
        <w:t xml:space="preserve"> </w:t>
      </w:r>
      <w:r w:rsidR="00EB7A91">
        <w:rPr>
          <w:rFonts w:asciiTheme="minorHAnsi" w:eastAsia="Times New Roman" w:hAnsiTheme="minorHAnsi" w:cstheme="minorBidi"/>
          <w:noProof/>
          <w:shd w:val="clear" w:color="auto" w:fill="auto"/>
          <w:lang w:eastAsia="en-GB"/>
        </w:rPr>
        <w:t>[</w:t>
      </w:r>
      <w:r>
        <w:rPr>
          <w:rFonts w:asciiTheme="minorHAnsi" w:eastAsia="Times New Roman" w:hAnsiTheme="minorHAnsi" w:cstheme="minorBidi"/>
          <w:noProof/>
          <w:shd w:val="clear" w:color="auto" w:fill="auto"/>
          <w:lang w:eastAsia="en-GB"/>
        </w:rPr>
        <w:t>27</w:t>
      </w:r>
      <w:proofErr w:type="gramStart"/>
      <w:r w:rsidR="00EB7A91">
        <w:rPr>
          <w:rFonts w:asciiTheme="minorHAnsi" w:eastAsia="Times New Roman" w:hAnsiTheme="minorHAnsi" w:cstheme="minorBidi"/>
          <w:noProof/>
          <w:shd w:val="clear" w:color="auto" w:fill="auto"/>
          <w:lang w:eastAsia="en-GB"/>
        </w:rPr>
        <w:t>]</w:t>
      </w:r>
      <w:r>
        <w:rPr>
          <w:rFonts w:asciiTheme="minorHAnsi" w:eastAsia="Times New Roman" w:hAnsiTheme="minorHAnsi" w:cstheme="minorBidi"/>
          <w:shd w:val="clear" w:color="auto" w:fill="auto"/>
          <w:lang w:eastAsia="en-GB"/>
        </w:rPr>
        <w:t xml:space="preserve">  </w:t>
      </w:r>
      <w:r>
        <w:rPr>
          <w:color w:val="000000"/>
          <w:lang w:eastAsia="en-GB"/>
        </w:rPr>
        <w:t>Depending</w:t>
      </w:r>
      <w:proofErr w:type="gramEnd"/>
      <w:r>
        <w:rPr>
          <w:color w:val="000000"/>
          <w:lang w:eastAsia="en-GB"/>
        </w:rPr>
        <w:t xml:space="preserve"> on the trial result the goal would ultimately be national implementation of intervention and consequently target audiences will include service commissioners and representative bodies for the different actors within the trial.</w:t>
      </w:r>
    </w:p>
    <w:bookmarkEnd w:id="32"/>
    <w:p w14:paraId="6B3F42CB" w14:textId="77777777" w:rsidR="00A272EE" w:rsidRDefault="00A272EE" w:rsidP="00911E0C">
      <w:pPr>
        <w:shd w:val="clear" w:color="auto" w:fill="FFFFFF"/>
        <w:spacing w:after="0" w:line="480" w:lineRule="auto"/>
        <w:contextualSpacing/>
        <w:jc w:val="left"/>
        <w:outlineLvl w:val="2"/>
        <w:rPr>
          <w:rFonts w:asciiTheme="minorHAnsi" w:eastAsia="Times New Roman" w:hAnsiTheme="minorHAnsi" w:cstheme="minorHAnsi"/>
          <w:b/>
          <w:bCs/>
          <w:color w:val="1B3051"/>
          <w:shd w:val="clear" w:color="auto" w:fill="auto"/>
          <w:lang w:eastAsia="en-GB"/>
        </w:rPr>
      </w:pPr>
    </w:p>
    <w:p w14:paraId="74F24893" w14:textId="77777777" w:rsidR="00A272EE" w:rsidRPr="00EA028A" w:rsidRDefault="00A272EE" w:rsidP="00911E0C">
      <w:pPr>
        <w:shd w:val="clear" w:color="auto" w:fill="FFFFFF"/>
        <w:spacing w:after="0" w:line="480" w:lineRule="auto"/>
        <w:contextualSpacing/>
        <w:jc w:val="left"/>
        <w:outlineLvl w:val="2"/>
        <w:rPr>
          <w:rFonts w:asciiTheme="minorHAnsi" w:eastAsia="Times New Roman" w:hAnsiTheme="minorHAnsi" w:cstheme="minorHAnsi"/>
          <w:b/>
          <w:bCs/>
          <w:color w:val="1B3051"/>
          <w:shd w:val="clear" w:color="auto" w:fill="auto"/>
          <w:lang w:eastAsia="en-GB"/>
        </w:rPr>
      </w:pPr>
      <w:r w:rsidRPr="00EA028A">
        <w:rPr>
          <w:rFonts w:asciiTheme="minorHAnsi" w:eastAsia="Times New Roman" w:hAnsiTheme="minorHAnsi" w:cstheme="minorHAnsi"/>
          <w:b/>
          <w:bCs/>
          <w:color w:val="1B3051"/>
          <w:shd w:val="clear" w:color="auto" w:fill="auto"/>
          <w:lang w:eastAsia="en-GB"/>
        </w:rPr>
        <w:t>Funding</w:t>
      </w:r>
      <w:r>
        <w:rPr>
          <w:rFonts w:asciiTheme="minorHAnsi" w:eastAsia="Times New Roman" w:hAnsiTheme="minorHAnsi" w:cstheme="minorHAnsi"/>
          <w:b/>
          <w:bCs/>
          <w:color w:val="1B3051"/>
          <w:shd w:val="clear" w:color="auto" w:fill="auto"/>
          <w:lang w:eastAsia="en-GB"/>
        </w:rPr>
        <w:t xml:space="preserve"> statement</w:t>
      </w:r>
    </w:p>
    <w:p w14:paraId="0DD71FB9" w14:textId="77777777" w:rsidR="00A272EE" w:rsidRDefault="00A272EE" w:rsidP="00911E0C">
      <w:pPr>
        <w:spacing w:after="0" w:line="480" w:lineRule="auto"/>
        <w:contextualSpacing/>
      </w:pPr>
      <w:r>
        <w:t>The project was funded by the National Institute for Health and Care Research, through the Programme Grant for Applied Research funding stream. Grant number 200874.</w:t>
      </w:r>
    </w:p>
    <w:p w14:paraId="10E8BA7A" w14:textId="77777777" w:rsidR="00A272EE" w:rsidRDefault="00A272EE" w:rsidP="00911E0C">
      <w:pPr>
        <w:shd w:val="clear" w:color="auto" w:fill="FFFFFF" w:themeFill="background1"/>
        <w:spacing w:after="0" w:line="480" w:lineRule="auto"/>
        <w:contextualSpacing/>
        <w:jc w:val="left"/>
        <w:outlineLvl w:val="2"/>
        <w:rPr>
          <w:rFonts w:asciiTheme="minorHAnsi" w:eastAsia="Times New Roman" w:hAnsiTheme="minorHAnsi" w:cstheme="minorBidi"/>
          <w:b/>
          <w:bCs/>
          <w:color w:val="1B3051"/>
          <w:shd w:val="clear" w:color="auto" w:fill="auto"/>
          <w:lang w:eastAsia="en-GB"/>
        </w:rPr>
      </w:pPr>
    </w:p>
    <w:p w14:paraId="4B468B9F" w14:textId="77777777" w:rsidR="00A272EE" w:rsidRPr="00EA028A" w:rsidRDefault="00A272EE" w:rsidP="00911E0C">
      <w:pPr>
        <w:shd w:val="clear" w:color="auto" w:fill="FFFFFF" w:themeFill="background1"/>
        <w:spacing w:after="0" w:line="480" w:lineRule="auto"/>
        <w:contextualSpacing/>
        <w:jc w:val="left"/>
        <w:outlineLvl w:val="2"/>
        <w:rPr>
          <w:rFonts w:asciiTheme="minorHAnsi" w:eastAsia="Times New Roman" w:hAnsiTheme="minorHAnsi" w:cstheme="minorBidi"/>
          <w:b/>
          <w:bCs/>
          <w:color w:val="1B3051"/>
          <w:shd w:val="clear" w:color="auto" w:fill="auto"/>
          <w:lang w:eastAsia="en-GB"/>
        </w:rPr>
      </w:pPr>
      <w:r w:rsidRPr="748A020C">
        <w:rPr>
          <w:rFonts w:asciiTheme="minorHAnsi" w:eastAsia="Times New Roman" w:hAnsiTheme="minorHAnsi" w:cstheme="minorBidi"/>
          <w:b/>
          <w:bCs/>
          <w:color w:val="1B3051"/>
          <w:shd w:val="clear" w:color="auto" w:fill="auto"/>
          <w:lang w:eastAsia="en-GB"/>
        </w:rPr>
        <w:t>Availability of data and materials</w:t>
      </w:r>
    </w:p>
    <w:p w14:paraId="6C674087" w14:textId="77777777" w:rsidR="00A272EE" w:rsidRPr="00015D8E" w:rsidRDefault="00A272EE" w:rsidP="00911E0C">
      <w:pPr>
        <w:shd w:val="clear" w:color="auto" w:fill="FFFFFF" w:themeFill="background1"/>
        <w:spacing w:after="0" w:line="480" w:lineRule="auto"/>
        <w:contextualSpacing/>
        <w:jc w:val="left"/>
        <w:rPr>
          <w:rFonts w:asciiTheme="minorHAnsi" w:eastAsia="Times New Roman" w:hAnsiTheme="minorHAnsi" w:cstheme="minorBidi"/>
          <w:lang w:eastAsia="en-GB"/>
        </w:rPr>
      </w:pPr>
      <w:r w:rsidRPr="00394B88">
        <w:rPr>
          <w:rFonts w:asciiTheme="minorHAnsi" w:eastAsia="Times New Roman" w:hAnsiTheme="minorHAnsi" w:cstheme="minorBidi"/>
          <w:shd w:val="clear" w:color="auto" w:fill="auto"/>
          <w:lang w:eastAsia="en-GB"/>
        </w:rPr>
        <w:t xml:space="preserve">The final trial dataset approved for sharing will be available upon request from Bhattacharya and </w:t>
      </w:r>
      <w:r w:rsidRPr="00015D8E">
        <w:rPr>
          <w:rFonts w:asciiTheme="minorHAnsi" w:eastAsia="Times New Roman" w:hAnsiTheme="minorHAnsi" w:cstheme="minorBidi"/>
          <w:shd w:val="clear" w:color="auto" w:fill="auto"/>
          <w:lang w:eastAsia="en-GB"/>
        </w:rPr>
        <w:t xml:space="preserve">University of Leicester Sponsor’s Office. A data sharing agreement will be required between the </w:t>
      </w:r>
      <w:r w:rsidRPr="00015D8E">
        <w:rPr>
          <w:rFonts w:asciiTheme="minorHAnsi" w:eastAsia="Times New Roman" w:hAnsiTheme="minorHAnsi" w:cstheme="minorBidi"/>
          <w:shd w:val="clear" w:color="auto" w:fill="auto"/>
          <w:lang w:eastAsia="en-GB"/>
        </w:rPr>
        <w:lastRenderedPageBreak/>
        <w:t xml:space="preserve">requesting organisation and the University of Leicester. Under section 251 and NHS England contracts, it will not be possible to share individualised data provided by NHS England. </w:t>
      </w:r>
    </w:p>
    <w:p w14:paraId="50237F37" w14:textId="77777777" w:rsidR="00A272EE" w:rsidRPr="00015D8E" w:rsidRDefault="00A272EE" w:rsidP="00911E0C">
      <w:pPr>
        <w:shd w:val="clear" w:color="auto" w:fill="FFFFFF"/>
        <w:spacing w:after="0" w:line="480" w:lineRule="auto"/>
        <w:jc w:val="left"/>
        <w:outlineLvl w:val="2"/>
        <w:rPr>
          <w:rFonts w:asciiTheme="minorHAnsi" w:eastAsia="Times New Roman" w:hAnsiTheme="minorHAnsi" w:cstheme="minorHAnsi"/>
          <w:b/>
          <w:bCs/>
          <w:shd w:val="clear" w:color="auto" w:fill="auto"/>
          <w:lang w:eastAsia="en-GB"/>
        </w:rPr>
      </w:pPr>
    </w:p>
    <w:p w14:paraId="7CD44AB3" w14:textId="77777777" w:rsidR="00A272EE" w:rsidRPr="00015D8E" w:rsidRDefault="00A272EE" w:rsidP="00911E0C">
      <w:pPr>
        <w:shd w:val="clear" w:color="auto" w:fill="FFFFFF"/>
        <w:spacing w:after="0" w:line="480" w:lineRule="auto"/>
        <w:jc w:val="left"/>
        <w:outlineLvl w:val="2"/>
        <w:rPr>
          <w:rFonts w:asciiTheme="minorHAnsi" w:eastAsia="Times New Roman" w:hAnsiTheme="minorHAnsi" w:cstheme="minorHAnsi"/>
          <w:b/>
          <w:bCs/>
          <w:shd w:val="clear" w:color="auto" w:fill="auto"/>
          <w:lang w:eastAsia="en-GB"/>
        </w:rPr>
      </w:pPr>
      <w:r w:rsidRPr="00015D8E">
        <w:rPr>
          <w:rFonts w:asciiTheme="minorHAnsi" w:eastAsia="Times New Roman" w:hAnsiTheme="minorHAnsi" w:cstheme="minorHAnsi"/>
          <w:b/>
          <w:bCs/>
          <w:shd w:val="clear" w:color="auto" w:fill="auto"/>
          <w:lang w:eastAsia="en-GB"/>
        </w:rPr>
        <w:t>Competing interests</w:t>
      </w:r>
    </w:p>
    <w:p w14:paraId="7742C08A" w14:textId="77777777" w:rsidR="00A272EE" w:rsidRPr="00015D8E" w:rsidRDefault="00A272EE" w:rsidP="00911E0C">
      <w:pPr>
        <w:spacing w:line="480" w:lineRule="auto"/>
      </w:pPr>
      <w:r w:rsidRPr="00015D8E">
        <w:rPr>
          <w:rFonts w:asciiTheme="minorHAnsi" w:eastAsia="Times New Roman" w:hAnsiTheme="minorHAnsi" w:cstheme="minorHAnsi"/>
          <w:shd w:val="clear" w:color="auto" w:fill="auto"/>
          <w:lang w:eastAsia="en-GB"/>
        </w:rPr>
        <w:t>DW undertook consultancy work for Rosemont Pharmaceuticals and Desitin Pharma during the study period. All other authors report no competing interests.</w:t>
      </w:r>
      <w:r w:rsidRPr="00015D8E">
        <w:fldChar w:fldCharType="begin"/>
      </w:r>
      <w:r w:rsidRPr="00015D8E">
        <w:instrText xml:space="preserve"> ADDIN </w:instrText>
      </w:r>
      <w:r w:rsidRPr="00015D8E">
        <w:fldChar w:fldCharType="end"/>
      </w:r>
    </w:p>
    <w:p w14:paraId="7F5313E0" w14:textId="77777777" w:rsidR="00A272EE" w:rsidRDefault="00A272EE" w:rsidP="00911E0C">
      <w:pPr>
        <w:shd w:val="clear" w:color="auto" w:fill="FFFFFF"/>
        <w:spacing w:after="0" w:line="480" w:lineRule="auto"/>
        <w:contextualSpacing/>
        <w:jc w:val="left"/>
        <w:outlineLvl w:val="2"/>
        <w:rPr>
          <w:rFonts w:asciiTheme="minorHAnsi" w:eastAsia="Times New Roman" w:hAnsiTheme="minorHAnsi" w:cstheme="minorHAnsi"/>
          <w:shd w:val="clear" w:color="auto" w:fill="auto"/>
          <w:lang w:eastAsia="en-GB"/>
        </w:rPr>
      </w:pPr>
      <w:bookmarkStart w:id="33" w:name="_Toc331765722"/>
      <w:bookmarkStart w:id="34" w:name="_Toc476667175"/>
      <w:bookmarkStart w:id="35" w:name="_Toc97040528"/>
      <w:bookmarkStart w:id="36" w:name="_Toc138840780"/>
      <w:bookmarkStart w:id="37" w:name="_Toc1980531716"/>
      <w:bookmarkStart w:id="38" w:name="_Toc2079633643"/>
      <w:bookmarkStart w:id="39" w:name="_Toc1310001962"/>
      <w:bookmarkEnd w:id="0"/>
      <w:bookmarkEnd w:id="1"/>
      <w:bookmarkEnd w:id="2"/>
      <w:bookmarkEnd w:id="3"/>
      <w:bookmarkEnd w:id="4"/>
      <w:bookmarkEnd w:id="5"/>
    </w:p>
    <w:p w14:paraId="312E8671" w14:textId="5E0F25D3" w:rsidR="00A272EE" w:rsidRPr="00911E0C" w:rsidRDefault="00A272EE" w:rsidP="00911E0C">
      <w:pPr>
        <w:shd w:val="clear" w:color="auto" w:fill="FFFFFF"/>
        <w:spacing w:after="0" w:line="480" w:lineRule="auto"/>
        <w:contextualSpacing/>
        <w:jc w:val="left"/>
        <w:outlineLvl w:val="2"/>
        <w:rPr>
          <w:rFonts w:asciiTheme="minorHAnsi" w:eastAsia="Times New Roman" w:hAnsiTheme="minorHAnsi" w:cstheme="minorHAnsi"/>
          <w:color w:val="1B3051"/>
          <w:shd w:val="clear" w:color="auto" w:fill="auto"/>
          <w:lang w:eastAsia="en-GB"/>
        </w:rPr>
      </w:pPr>
      <w:r w:rsidRPr="00015D8E">
        <w:rPr>
          <w:rFonts w:asciiTheme="minorHAnsi" w:eastAsia="Times New Roman" w:hAnsiTheme="minorHAnsi" w:cstheme="minorHAnsi"/>
          <w:b/>
          <w:bCs/>
          <w:shd w:val="clear" w:color="auto" w:fill="auto"/>
          <w:lang w:eastAsia="en-GB"/>
        </w:rPr>
        <w:t>Word count (excluding Tables and Figures):</w:t>
      </w:r>
      <w:r>
        <w:rPr>
          <w:rFonts w:asciiTheme="minorHAnsi" w:eastAsia="Times New Roman" w:hAnsiTheme="minorHAnsi" w:cstheme="minorHAnsi"/>
          <w:shd w:val="clear" w:color="auto" w:fill="auto"/>
          <w:lang w:eastAsia="en-GB"/>
        </w:rPr>
        <w:t xml:space="preserve"> 5,</w:t>
      </w:r>
      <w:r w:rsidR="00015AAD">
        <w:rPr>
          <w:rFonts w:asciiTheme="minorHAnsi" w:eastAsia="Times New Roman" w:hAnsiTheme="minorHAnsi" w:cstheme="minorHAnsi"/>
          <w:shd w:val="clear" w:color="auto" w:fill="auto"/>
          <w:lang w:eastAsia="en-GB"/>
        </w:rPr>
        <w:t>2</w:t>
      </w:r>
      <w:r w:rsidR="008E4336">
        <w:rPr>
          <w:rFonts w:asciiTheme="minorHAnsi" w:eastAsia="Times New Roman" w:hAnsiTheme="minorHAnsi" w:cstheme="minorHAnsi"/>
          <w:shd w:val="clear" w:color="auto" w:fill="auto"/>
          <w:lang w:eastAsia="en-GB"/>
        </w:rPr>
        <w:t>92</w:t>
      </w:r>
      <w:r>
        <w:br w:type="page"/>
      </w:r>
    </w:p>
    <w:bookmarkEnd w:id="33"/>
    <w:bookmarkEnd w:id="34"/>
    <w:bookmarkEnd w:id="35"/>
    <w:bookmarkEnd w:id="36"/>
    <w:bookmarkEnd w:id="37"/>
    <w:bookmarkEnd w:id="38"/>
    <w:bookmarkEnd w:id="39"/>
    <w:p w14:paraId="60E85F83" w14:textId="77777777" w:rsidR="00A272EE" w:rsidRPr="007B5478" w:rsidRDefault="00A272EE" w:rsidP="0096186B">
      <w:pPr>
        <w:rPr>
          <w:b/>
          <w:bCs/>
          <w:sz w:val="24"/>
          <w:szCs w:val="24"/>
        </w:rPr>
      </w:pPr>
      <w:r w:rsidRPr="007B5478">
        <w:rPr>
          <w:b/>
          <w:bCs/>
          <w:sz w:val="24"/>
          <w:szCs w:val="24"/>
        </w:rPr>
        <w:lastRenderedPageBreak/>
        <w:t>References</w:t>
      </w:r>
    </w:p>
    <w:p w14:paraId="4DA502D9" w14:textId="77777777" w:rsidR="00A272EE" w:rsidRPr="008115A2" w:rsidRDefault="00A272EE" w:rsidP="008115A2">
      <w:pPr>
        <w:pStyle w:val="EndNoteBibliography"/>
        <w:spacing w:after="0"/>
      </w:pPr>
      <w:r w:rsidRPr="008115A2">
        <w:t>1.</w:t>
      </w:r>
      <w:r w:rsidRPr="008115A2">
        <w:tab/>
        <w:t xml:space="preserve">World Health Organization. Global Patient Safety Challenge: Medication Without Harm 2017 [Available from: </w:t>
      </w:r>
      <w:r w:rsidRPr="00A272EE">
        <w:t>http://apps.who.int/iris/bitstream/10665/255263/1/WHO-HIS-SDS-2017.6-eng.pdf?ua=1&amp;ua=1</w:t>
      </w:r>
      <w:r w:rsidRPr="008115A2">
        <w:t>.</w:t>
      </w:r>
    </w:p>
    <w:p w14:paraId="4E6B2C01" w14:textId="77777777" w:rsidR="00A272EE" w:rsidRPr="008115A2" w:rsidRDefault="00A272EE" w:rsidP="008115A2">
      <w:pPr>
        <w:pStyle w:val="EndNoteBibliography"/>
        <w:spacing w:after="0"/>
      </w:pPr>
      <w:r w:rsidRPr="008115A2">
        <w:t>2.</w:t>
      </w:r>
      <w:r w:rsidRPr="008115A2">
        <w:tab/>
        <w:t>Zaninotto P, Huang YT, Di Gessa G, Abell J, Lassale C, Steptoe A. Polypharmacy is a risk factor for hospital admission due to a fall: evidence from the English Longitudinal Study of Ageing. BMC Public Health. 2020;20(1):1804.</w:t>
      </w:r>
    </w:p>
    <w:p w14:paraId="0083EECB" w14:textId="77777777" w:rsidR="00A272EE" w:rsidRPr="008115A2" w:rsidRDefault="00A272EE" w:rsidP="008115A2">
      <w:pPr>
        <w:pStyle w:val="EndNoteBibliography"/>
        <w:spacing w:after="0"/>
      </w:pPr>
      <w:r w:rsidRPr="008115A2">
        <w:t>3.</w:t>
      </w:r>
      <w:r w:rsidRPr="008115A2">
        <w:tab/>
        <w:t>Leelakanok N, Holcombe AL, Lund BC, Gu X, Schweizer ML. Association between polypharmacy and death: A systematic review and meta-analysis. J Am Pharm Assoc (2003). 2017;57(6):729-38.e10.</w:t>
      </w:r>
    </w:p>
    <w:p w14:paraId="606C9FB6" w14:textId="77777777" w:rsidR="00A272EE" w:rsidRPr="008115A2" w:rsidRDefault="00A272EE" w:rsidP="008115A2">
      <w:pPr>
        <w:pStyle w:val="EndNoteBibliography"/>
        <w:spacing w:after="0"/>
      </w:pPr>
      <w:r w:rsidRPr="008115A2">
        <w:t>4.</w:t>
      </w:r>
      <w:r w:rsidRPr="008115A2">
        <w:tab/>
        <w:t xml:space="preserve">Ridge K. National overprescribing review report: Good for you, good for us, good for everybody: A plan to reduce overprescribing to make patient care better and safer, support the NHS, and reduce carbon emissions: Department of Health and Social Care.,; 2021 [Available from: </w:t>
      </w:r>
      <w:r w:rsidRPr="00A272EE">
        <w:t>https://www.gov.uk/government/publications/national-overprescribing-review-report</w:t>
      </w:r>
      <w:r w:rsidRPr="008115A2">
        <w:t>.</w:t>
      </w:r>
    </w:p>
    <w:p w14:paraId="4237EB46" w14:textId="77777777" w:rsidR="00A272EE" w:rsidRPr="008115A2" w:rsidRDefault="00A272EE" w:rsidP="008115A2">
      <w:pPr>
        <w:pStyle w:val="EndNoteBibliography"/>
        <w:spacing w:after="0"/>
      </w:pPr>
      <w:r w:rsidRPr="008115A2">
        <w:t>5.</w:t>
      </w:r>
      <w:r w:rsidRPr="008115A2">
        <w:tab/>
        <w:t>Bloomfield HE, Greer N, Linsky AM, Bolduc J, Naidl T, Vardeny O, et al. Deprescribing for Community-Dwelling Older Adults: a Systematic Review and Meta-analysis. J Gen Intern Med. 2020;35(11):3323-32.</w:t>
      </w:r>
    </w:p>
    <w:p w14:paraId="7649BFC8" w14:textId="77777777" w:rsidR="00A272EE" w:rsidRPr="008115A2" w:rsidRDefault="00A272EE" w:rsidP="008115A2">
      <w:pPr>
        <w:pStyle w:val="EndNoteBibliography"/>
        <w:spacing w:after="0"/>
      </w:pPr>
      <w:r w:rsidRPr="008115A2">
        <w:t>6.</w:t>
      </w:r>
      <w:r w:rsidRPr="008115A2">
        <w:tab/>
        <w:t>Gallagher P, Lang PO, Cherubini A, Topinková E, Cruz-Jentoft A, Montero Errasquín B, et al. Prevalence of potentially inappropriate prescribing in an acutely ill population of older patients admitted to six European hospitals. Eur J Clin Pharmacol. 2011;67(11):1175-88.</w:t>
      </w:r>
    </w:p>
    <w:p w14:paraId="064F5651" w14:textId="77777777" w:rsidR="00A272EE" w:rsidRPr="008115A2" w:rsidRDefault="00A272EE" w:rsidP="008115A2">
      <w:pPr>
        <w:pStyle w:val="EndNoteBibliography"/>
        <w:spacing w:after="0"/>
      </w:pPr>
      <w:r w:rsidRPr="008115A2">
        <w:t>7.</w:t>
      </w:r>
      <w:r w:rsidRPr="008115A2">
        <w:tab/>
        <w:t>Scott S, Clark A, Farrow C, May H, Patel M, Twigg MJ, et al. Deprescribing admission medication at a UK teaching hospital; a report on quantity and nature of activity. Int J Clin Pharm. 2018;40(5):991-6.</w:t>
      </w:r>
    </w:p>
    <w:p w14:paraId="2CAF223E" w14:textId="77777777" w:rsidR="00A272EE" w:rsidRPr="008115A2" w:rsidRDefault="00A272EE" w:rsidP="008115A2">
      <w:pPr>
        <w:pStyle w:val="EndNoteBibliography"/>
        <w:spacing w:after="0"/>
      </w:pPr>
      <w:r w:rsidRPr="008115A2">
        <w:t>8.</w:t>
      </w:r>
      <w:r w:rsidRPr="008115A2">
        <w:tab/>
        <w:t>Thillainadesan J, Gnjidic D, Green S, Hilmer SN. Impact of Deprescribing Interventions in Older Hospitalised Patients on Prescribing and Clinical Outcomes: A Systematic Review of Randomised Trials. Drugs Aging. 2018;35(4):303-19.</w:t>
      </w:r>
    </w:p>
    <w:p w14:paraId="55C15C92" w14:textId="77777777" w:rsidR="00A272EE" w:rsidRPr="008115A2" w:rsidRDefault="00A272EE" w:rsidP="008115A2">
      <w:pPr>
        <w:pStyle w:val="EndNoteBibliography"/>
        <w:spacing w:after="0"/>
      </w:pPr>
      <w:r w:rsidRPr="008115A2">
        <w:t>9.</w:t>
      </w:r>
      <w:r w:rsidRPr="008115A2">
        <w:tab/>
        <w:t>Hansen CR, O'Mahony D, Kearney PM, Sahm LJ, Cullinan S, Huibers CJA, et al. Identification of behaviour change techniques in deprescribing interventions: a systematic review and meta-analysis. Br J Clin Pharmacol. 2018;84(12):2716-28.</w:t>
      </w:r>
    </w:p>
    <w:p w14:paraId="760921C8" w14:textId="77777777" w:rsidR="00A272EE" w:rsidRPr="008115A2" w:rsidRDefault="00A272EE" w:rsidP="008115A2">
      <w:pPr>
        <w:pStyle w:val="EndNoteBibliography"/>
        <w:spacing w:after="0"/>
      </w:pPr>
      <w:r w:rsidRPr="008115A2">
        <w:t>10.</w:t>
      </w:r>
      <w:r w:rsidRPr="008115A2">
        <w:tab/>
        <w:t>Scott S, Atkins B, Kellar I, Taylor J, Keevil V, Alldred DP, et al. Co-design of a behaviour change intervention to equip geriatricians and pharmacists to proactively deprescribe medicines that are no longer needed or are risky to continue in hospital. Res Social Adm Pharm. 2023;19(5):707-16.</w:t>
      </w:r>
    </w:p>
    <w:p w14:paraId="5761E034" w14:textId="77777777" w:rsidR="00A272EE" w:rsidRPr="008115A2" w:rsidRDefault="00A272EE" w:rsidP="008115A2">
      <w:pPr>
        <w:pStyle w:val="EndNoteBibliography"/>
        <w:spacing w:after="0"/>
      </w:pPr>
      <w:r w:rsidRPr="008115A2">
        <w:t>11.</w:t>
      </w:r>
      <w:r w:rsidRPr="008115A2">
        <w:tab/>
        <w:t>Albarracín D, Gillette JC, Earl AN, Glasman LR, Durantini MR, Ho MH. A test of major assumptions about behavior change: a comprehensive look at the effects of passive and active HIV-prevention interventions since the beginning of the epidemic. Psychological bulletin. 2005;131(6):856-97.</w:t>
      </w:r>
    </w:p>
    <w:p w14:paraId="60E3101E" w14:textId="77777777" w:rsidR="00A272EE" w:rsidRPr="008115A2" w:rsidRDefault="00A272EE" w:rsidP="008115A2">
      <w:pPr>
        <w:pStyle w:val="EndNoteBibliography"/>
        <w:spacing w:after="0"/>
      </w:pPr>
      <w:r w:rsidRPr="008115A2">
        <w:t>12.</w:t>
      </w:r>
      <w:r w:rsidRPr="008115A2">
        <w:tab/>
        <w:t>Scott S, May H, Patel M, Wright DJ, Bhattacharya D. A practitioner behaviour change intervention for deprescribing in the hospital setting. Age and Ageing. 2020.</w:t>
      </w:r>
    </w:p>
    <w:p w14:paraId="01EE37F4" w14:textId="77777777" w:rsidR="00A272EE" w:rsidRPr="008115A2" w:rsidRDefault="00A272EE" w:rsidP="008115A2">
      <w:pPr>
        <w:pStyle w:val="EndNoteBibliography"/>
        <w:spacing w:after="0"/>
      </w:pPr>
      <w:r w:rsidRPr="008115A2">
        <w:t>13.</w:t>
      </w:r>
      <w:r w:rsidRPr="008115A2">
        <w:tab/>
        <w:t>Scott S, Twigg MJ, Clark A, Farrow C, May H, Patel M, et al. Development of a hospital deprescribing implementation framework: A focus group study with geriatricians and pharmacists. Age Ageing. 2019;49(1):102-10.</w:t>
      </w:r>
    </w:p>
    <w:p w14:paraId="2AE53215" w14:textId="77777777" w:rsidR="00A272EE" w:rsidRPr="008115A2" w:rsidRDefault="00A272EE" w:rsidP="008115A2">
      <w:pPr>
        <w:pStyle w:val="EndNoteBibliography"/>
        <w:spacing w:after="0"/>
      </w:pPr>
      <w:r w:rsidRPr="008115A2">
        <w:t>14.</w:t>
      </w:r>
      <w:r w:rsidRPr="008115A2">
        <w:tab/>
        <w:t>Skivington K, Matthews L, Simpson SA, Craig P, Baird J, Blazeby JM, et al. A new framework for developing and evaluating complex interventions: update of Medical Research Council guidance. Bmj. 2021;374:n2061.</w:t>
      </w:r>
    </w:p>
    <w:p w14:paraId="35BF0A14" w14:textId="77777777" w:rsidR="00A272EE" w:rsidRPr="008115A2" w:rsidRDefault="00A272EE" w:rsidP="008115A2">
      <w:pPr>
        <w:pStyle w:val="EndNoteBibliography"/>
        <w:spacing w:after="0"/>
      </w:pPr>
      <w:r w:rsidRPr="008115A2">
        <w:t>15.</w:t>
      </w:r>
      <w:r w:rsidRPr="008115A2">
        <w:tab/>
        <w:t>Scott S, Atkins B, Martin-Kerry JM, Pritchard M, Alldred DP, Clark AB, et al. CompreHensive geriAtRician-led MEdication Review (CHARMER): protocol for a feasibility study of a hospital deprescribing behaviour change intervention. BMJ Open. 2023;13(8):e075795.</w:t>
      </w:r>
    </w:p>
    <w:p w14:paraId="7CF25F74" w14:textId="77777777" w:rsidR="00A272EE" w:rsidRPr="008115A2" w:rsidRDefault="00A272EE" w:rsidP="008115A2">
      <w:pPr>
        <w:pStyle w:val="EndNoteBibliography"/>
        <w:spacing w:after="0"/>
      </w:pPr>
      <w:r w:rsidRPr="008115A2">
        <w:t>16.</w:t>
      </w:r>
      <w:r w:rsidRPr="008115A2">
        <w:tab/>
        <w:t xml:space="preserve">NHS Health Research Authority. Confidentiality Advisory Group 2025 [Available from: </w:t>
      </w:r>
      <w:r w:rsidRPr="00A272EE">
        <w:t>https://www.hra.nhs.uk/about-us/committees-and-services/confidentiality-advisory-group/</w:t>
      </w:r>
      <w:r w:rsidRPr="008115A2">
        <w:t>.</w:t>
      </w:r>
    </w:p>
    <w:p w14:paraId="7944DC33" w14:textId="77777777" w:rsidR="00A272EE" w:rsidRPr="008115A2" w:rsidRDefault="00A272EE" w:rsidP="008115A2">
      <w:pPr>
        <w:pStyle w:val="EndNoteBibliography"/>
        <w:spacing w:after="0"/>
      </w:pPr>
      <w:r w:rsidRPr="008115A2">
        <w:lastRenderedPageBreak/>
        <w:t>17.</w:t>
      </w:r>
      <w:r w:rsidRPr="008115A2">
        <w:tab/>
        <w:t xml:space="preserve">Clinical Research Network  [Available from: </w:t>
      </w:r>
      <w:r w:rsidRPr="00A272EE">
        <w:t>https://www.nihr.ac.uk/explore-nihr/support/clinical-research-network.htm</w:t>
      </w:r>
      <w:r w:rsidRPr="008115A2">
        <w:t>.</w:t>
      </w:r>
    </w:p>
    <w:p w14:paraId="61C0827E" w14:textId="77777777" w:rsidR="00A272EE" w:rsidRPr="008115A2" w:rsidRDefault="00A272EE" w:rsidP="008115A2">
      <w:pPr>
        <w:pStyle w:val="EndNoteBibliography"/>
        <w:spacing w:after="0"/>
      </w:pPr>
      <w:r w:rsidRPr="008115A2">
        <w:t>18.</w:t>
      </w:r>
      <w:r w:rsidRPr="008115A2">
        <w:tab/>
        <w:t>Martin-Kerry J, Taylor J, Scott S, Patel M, Wright D, Clark A, et al. Developing a core outcome set for hospital deprescribing trials for older people under the care of a geriatrician. Age Ageing. 2022;51(11).</w:t>
      </w:r>
    </w:p>
    <w:p w14:paraId="315B0041" w14:textId="77777777" w:rsidR="00A272EE" w:rsidRPr="008115A2" w:rsidRDefault="00A272EE" w:rsidP="008115A2">
      <w:pPr>
        <w:pStyle w:val="EndNoteBibliography"/>
        <w:spacing w:after="0"/>
      </w:pPr>
      <w:r w:rsidRPr="008115A2">
        <w:t>19.</w:t>
      </w:r>
      <w:r w:rsidRPr="008115A2">
        <w:tab/>
        <w:t xml:space="preserve">EQ-5D. EQ-5D-5L | Available modes of administration 2022 [Available from: </w:t>
      </w:r>
      <w:r w:rsidRPr="00A272EE">
        <w:t>https://euroqol.org/eq-5d-instruments/eq-5d-5l-available-modes-of-administration/</w:t>
      </w:r>
      <w:r w:rsidRPr="008115A2">
        <w:t>.</w:t>
      </w:r>
    </w:p>
    <w:p w14:paraId="0B258759" w14:textId="77777777" w:rsidR="00A272EE" w:rsidRPr="008115A2" w:rsidRDefault="00A272EE" w:rsidP="008115A2">
      <w:pPr>
        <w:pStyle w:val="EndNoteBibliography"/>
        <w:spacing w:after="0"/>
      </w:pPr>
      <w:r w:rsidRPr="008115A2">
        <w:t>20.</w:t>
      </w:r>
      <w:r w:rsidRPr="008115A2">
        <w:tab/>
        <w:t>Reeve E, Shakib S, Hendrix I, Roberts MS, Wiese MD. Review of deprescribing processes and development of an evidence-based, patient-centred deprescribing process. Br J Clin Pharmacol. 2014;78(4):738-47.</w:t>
      </w:r>
    </w:p>
    <w:p w14:paraId="39C60A9E" w14:textId="77777777" w:rsidR="00A272EE" w:rsidRPr="008115A2" w:rsidRDefault="00A272EE" w:rsidP="008115A2">
      <w:pPr>
        <w:pStyle w:val="EndNoteBibliography"/>
        <w:spacing w:after="0"/>
      </w:pPr>
      <w:r w:rsidRPr="008115A2">
        <w:t>21.</w:t>
      </w:r>
      <w:r w:rsidRPr="008115A2">
        <w:tab/>
        <w:t>Schoenmakers TW, Teichert M, Wensing M, de Smet PA. Evaluation of Potentially Drug-Related Patient-Reported Common Symptoms Assessed During Clinical Medication Reviews: A Cross-Sectional Observational Study. Drug Saf. 2017;40(5):419-30.</w:t>
      </w:r>
    </w:p>
    <w:p w14:paraId="7D922C75" w14:textId="77777777" w:rsidR="00A272EE" w:rsidRPr="008115A2" w:rsidRDefault="00A272EE" w:rsidP="008115A2">
      <w:pPr>
        <w:pStyle w:val="EndNoteBibliography"/>
        <w:spacing w:after="0"/>
      </w:pPr>
      <w:r w:rsidRPr="008115A2">
        <w:t>22.</w:t>
      </w:r>
      <w:r w:rsidRPr="008115A2">
        <w:tab/>
        <w:t>Scott SB, N.; Bhattacharya, D. An Internationally Derived Process of Healthcare Professionals’ Proactive Deprescribing Steps and Constituent Activities. Pharmacy. 2024;12:138.</w:t>
      </w:r>
    </w:p>
    <w:p w14:paraId="6BC07545" w14:textId="77777777" w:rsidR="00A272EE" w:rsidRPr="008115A2" w:rsidRDefault="00A272EE" w:rsidP="008115A2">
      <w:pPr>
        <w:pStyle w:val="EndNoteBibliography"/>
        <w:spacing w:after="0"/>
      </w:pPr>
      <w:r w:rsidRPr="008115A2">
        <w:t>23.</w:t>
      </w:r>
      <w:r w:rsidRPr="008115A2">
        <w:tab/>
        <w:t>McDonald EG, Wu PE, Rashidi B, Wilson MG, Bortolussi-Courval É, Atique A, et al. The MedSafer Study-Electronic Decision Support for Deprescribing in Hospitalized Older Adults: A Cluster Randomized Clinical Trial. JAMA Intern Med. 2022;182(3):265-73.</w:t>
      </w:r>
    </w:p>
    <w:p w14:paraId="515FC024" w14:textId="77777777" w:rsidR="00A272EE" w:rsidRPr="008115A2" w:rsidRDefault="00A272EE" w:rsidP="008115A2">
      <w:pPr>
        <w:pStyle w:val="EndNoteBibliography"/>
        <w:spacing w:after="0"/>
      </w:pPr>
      <w:r w:rsidRPr="008115A2">
        <w:t>24.</w:t>
      </w:r>
      <w:r w:rsidRPr="008115A2">
        <w:tab/>
        <w:t xml:space="preserve">REDCap. Research Electronic Data Capture  [Available from: </w:t>
      </w:r>
      <w:r w:rsidRPr="00A272EE">
        <w:t>https://projectredcap.org/software/</w:t>
      </w:r>
      <w:r w:rsidRPr="008115A2">
        <w:t>.</w:t>
      </w:r>
    </w:p>
    <w:p w14:paraId="615B0A74" w14:textId="77777777" w:rsidR="00A272EE" w:rsidRPr="008115A2" w:rsidRDefault="00A272EE" w:rsidP="008115A2">
      <w:pPr>
        <w:pStyle w:val="EndNoteBibliography"/>
        <w:spacing w:after="0"/>
      </w:pPr>
      <w:r w:rsidRPr="008115A2">
        <w:t>25.</w:t>
      </w:r>
      <w:r w:rsidRPr="008115A2">
        <w:tab/>
        <w:t xml:space="preserve">NIHR: National Institute for Health and care Research. Research Delivery Network: The Research Delivery Network (RDN) enables the health and care system to attract, optimise and deliver research across England. 2025 [Available from: </w:t>
      </w:r>
      <w:r w:rsidRPr="00A272EE">
        <w:t>https://www.nihr.ac.uk/support-and-services/support-for-delivering-research/research-delivery-network</w:t>
      </w:r>
      <w:r w:rsidRPr="008115A2">
        <w:t>.</w:t>
      </w:r>
    </w:p>
    <w:p w14:paraId="7CACFB20" w14:textId="77777777" w:rsidR="00A272EE" w:rsidRPr="008115A2" w:rsidRDefault="00A272EE" w:rsidP="008115A2">
      <w:pPr>
        <w:pStyle w:val="EndNoteBibliography"/>
        <w:spacing w:after="0"/>
      </w:pPr>
      <w:r w:rsidRPr="008115A2">
        <w:t>26.</w:t>
      </w:r>
      <w:r w:rsidRPr="008115A2">
        <w:tab/>
        <w:t xml:space="preserve">NHS England. The Model Health System  [Available from: </w:t>
      </w:r>
      <w:r w:rsidRPr="00A272EE">
        <w:t>https://www.england.nhs.uk/applications/model-hospital/#:~:text=The%20Model%20Health%20System%20is,continuously%20improve%20care%20for%20patients</w:t>
      </w:r>
      <w:r w:rsidRPr="008115A2">
        <w:t>.</w:t>
      </w:r>
    </w:p>
    <w:p w14:paraId="132AE58D" w14:textId="77777777" w:rsidR="00A272EE" w:rsidRPr="008115A2" w:rsidRDefault="00A272EE" w:rsidP="008115A2">
      <w:pPr>
        <w:pStyle w:val="EndNoteBibliography"/>
        <w:spacing w:after="0"/>
      </w:pPr>
      <w:r w:rsidRPr="008115A2">
        <w:t>27.</w:t>
      </w:r>
      <w:r w:rsidRPr="008115A2">
        <w:tab/>
        <w:t>Scott S, Atkins B, D'Costa T, Rendle C, Murphy K, Taylor D, et al. Development of the Guide to Disseminating Research (GuiDiR): A consolidated framework. Research in Social and Administrative Pharmacy. 2024;20(11):1047-57.</w:t>
      </w:r>
    </w:p>
    <w:p w14:paraId="6FD71D26" w14:textId="77777777" w:rsidR="00A272EE" w:rsidRDefault="00A272EE">
      <w:pPr>
        <w:spacing w:after="160" w:line="259" w:lineRule="auto"/>
        <w:jc w:val="left"/>
      </w:pPr>
      <w:r>
        <w:br w:type="page"/>
      </w:r>
    </w:p>
    <w:p w14:paraId="2A863A69" w14:textId="77777777" w:rsidR="00A272EE" w:rsidRDefault="00A272EE"/>
    <w:sectPr w:rsidR="00A272EE" w:rsidSect="00015AAD">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9465"/>
      <w:docPartObj>
        <w:docPartGallery w:val="Page Numbers (Bottom of Page)"/>
        <w:docPartUnique/>
      </w:docPartObj>
    </w:sdtPr>
    <w:sdtEndPr/>
    <w:sdtContent>
      <w:p w14:paraId="71CFF5FB" w14:textId="77777777" w:rsidR="00BC3398" w:rsidRDefault="0086635B">
        <w:pPr>
          <w:pStyle w:val="Footer"/>
          <w:jc w:val="center"/>
        </w:pPr>
        <w:r>
          <w:fldChar w:fldCharType="begin"/>
        </w:r>
        <w:r>
          <w:instrText>PAGE   \* MERGEFORMAT</w:instrText>
        </w:r>
        <w:r>
          <w:fldChar w:fldCharType="separate"/>
        </w:r>
        <w:r>
          <w:t>2</w:t>
        </w:r>
        <w:r>
          <w:fldChar w:fldCharType="end"/>
        </w:r>
      </w:p>
    </w:sdtContent>
  </w:sdt>
  <w:p w14:paraId="521C9971" w14:textId="77777777" w:rsidR="007375DA" w:rsidRDefault="0086635B" w:rsidP="0003333E">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D37C" w14:textId="77777777" w:rsidR="007375DA" w:rsidRDefault="0086635B" w:rsidP="0096186B">
    <w:pPr>
      <w:pStyle w:val="PTBodyTextBold"/>
    </w:pPr>
  </w:p>
  <w:p w14:paraId="51CB1EE0" w14:textId="77777777" w:rsidR="007375DA" w:rsidRDefault="0086635B" w:rsidP="00961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8C34"/>
    <w:multiLevelType w:val="hybridMultilevel"/>
    <w:tmpl w:val="3EE8993E"/>
    <w:lvl w:ilvl="0" w:tplc="66D462CC">
      <w:start w:val="1"/>
      <w:numFmt w:val="bullet"/>
      <w:lvlText w:val="·"/>
      <w:lvlJc w:val="left"/>
      <w:pPr>
        <w:ind w:left="720" w:hanging="360"/>
      </w:pPr>
      <w:rPr>
        <w:rFonts w:ascii="Symbol" w:hAnsi="Symbol" w:hint="default"/>
      </w:rPr>
    </w:lvl>
    <w:lvl w:ilvl="1" w:tplc="99D622C0">
      <w:start w:val="1"/>
      <w:numFmt w:val="bullet"/>
      <w:lvlText w:val="o"/>
      <w:lvlJc w:val="left"/>
      <w:pPr>
        <w:ind w:left="1440" w:hanging="360"/>
      </w:pPr>
      <w:rPr>
        <w:rFonts w:ascii="Courier New" w:hAnsi="Courier New" w:hint="default"/>
      </w:rPr>
    </w:lvl>
    <w:lvl w:ilvl="2" w:tplc="956A848C">
      <w:start w:val="1"/>
      <w:numFmt w:val="bullet"/>
      <w:lvlText w:val=""/>
      <w:lvlJc w:val="left"/>
      <w:pPr>
        <w:ind w:left="2160" w:hanging="360"/>
      </w:pPr>
      <w:rPr>
        <w:rFonts w:ascii="Wingdings" w:hAnsi="Wingdings" w:hint="default"/>
      </w:rPr>
    </w:lvl>
    <w:lvl w:ilvl="3" w:tplc="667C30BC">
      <w:start w:val="1"/>
      <w:numFmt w:val="bullet"/>
      <w:lvlText w:val=""/>
      <w:lvlJc w:val="left"/>
      <w:pPr>
        <w:ind w:left="2880" w:hanging="360"/>
      </w:pPr>
      <w:rPr>
        <w:rFonts w:ascii="Symbol" w:hAnsi="Symbol" w:hint="default"/>
      </w:rPr>
    </w:lvl>
    <w:lvl w:ilvl="4" w:tplc="26620754">
      <w:start w:val="1"/>
      <w:numFmt w:val="bullet"/>
      <w:lvlText w:val="o"/>
      <w:lvlJc w:val="left"/>
      <w:pPr>
        <w:ind w:left="3600" w:hanging="360"/>
      </w:pPr>
      <w:rPr>
        <w:rFonts w:ascii="Courier New" w:hAnsi="Courier New" w:hint="default"/>
      </w:rPr>
    </w:lvl>
    <w:lvl w:ilvl="5" w:tplc="76D67ABE">
      <w:start w:val="1"/>
      <w:numFmt w:val="bullet"/>
      <w:lvlText w:val=""/>
      <w:lvlJc w:val="left"/>
      <w:pPr>
        <w:ind w:left="4320" w:hanging="360"/>
      </w:pPr>
      <w:rPr>
        <w:rFonts w:ascii="Wingdings" w:hAnsi="Wingdings" w:hint="default"/>
      </w:rPr>
    </w:lvl>
    <w:lvl w:ilvl="6" w:tplc="278A2AAA">
      <w:start w:val="1"/>
      <w:numFmt w:val="bullet"/>
      <w:lvlText w:val=""/>
      <w:lvlJc w:val="left"/>
      <w:pPr>
        <w:ind w:left="5040" w:hanging="360"/>
      </w:pPr>
      <w:rPr>
        <w:rFonts w:ascii="Symbol" w:hAnsi="Symbol" w:hint="default"/>
      </w:rPr>
    </w:lvl>
    <w:lvl w:ilvl="7" w:tplc="370AF0F0">
      <w:start w:val="1"/>
      <w:numFmt w:val="bullet"/>
      <w:lvlText w:val="o"/>
      <w:lvlJc w:val="left"/>
      <w:pPr>
        <w:ind w:left="5760" w:hanging="360"/>
      </w:pPr>
      <w:rPr>
        <w:rFonts w:ascii="Courier New" w:hAnsi="Courier New" w:hint="default"/>
      </w:rPr>
    </w:lvl>
    <w:lvl w:ilvl="8" w:tplc="EB9690A4">
      <w:start w:val="1"/>
      <w:numFmt w:val="bullet"/>
      <w:lvlText w:val=""/>
      <w:lvlJc w:val="left"/>
      <w:pPr>
        <w:ind w:left="6480" w:hanging="360"/>
      </w:pPr>
      <w:rPr>
        <w:rFonts w:ascii="Wingdings" w:hAnsi="Wingdings" w:hint="default"/>
      </w:rPr>
    </w:lvl>
  </w:abstractNum>
  <w:abstractNum w:abstractNumId="1" w15:restartNumberingAfterBreak="0">
    <w:nsid w:val="0A871A96"/>
    <w:multiLevelType w:val="hybridMultilevel"/>
    <w:tmpl w:val="3F9A5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C45461"/>
    <w:multiLevelType w:val="hybridMultilevel"/>
    <w:tmpl w:val="3246F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35C74"/>
    <w:multiLevelType w:val="hybridMultilevel"/>
    <w:tmpl w:val="FFFFFFFF"/>
    <w:lvl w:ilvl="0" w:tplc="24BA3D40">
      <w:start w:val="1"/>
      <w:numFmt w:val="bullet"/>
      <w:lvlText w:val=""/>
      <w:lvlJc w:val="left"/>
      <w:pPr>
        <w:ind w:left="360" w:hanging="360"/>
      </w:pPr>
      <w:rPr>
        <w:rFonts w:ascii="Symbol" w:hAnsi="Symbol" w:hint="default"/>
      </w:rPr>
    </w:lvl>
    <w:lvl w:ilvl="1" w:tplc="2110D6E0">
      <w:start w:val="1"/>
      <w:numFmt w:val="bullet"/>
      <w:lvlText w:val="o"/>
      <w:lvlJc w:val="left"/>
      <w:pPr>
        <w:ind w:left="1080" w:hanging="360"/>
      </w:pPr>
      <w:rPr>
        <w:rFonts w:ascii="Courier New" w:hAnsi="Courier New" w:hint="default"/>
      </w:rPr>
    </w:lvl>
    <w:lvl w:ilvl="2" w:tplc="EB5014D2">
      <w:start w:val="1"/>
      <w:numFmt w:val="bullet"/>
      <w:lvlText w:val=""/>
      <w:lvlJc w:val="left"/>
      <w:pPr>
        <w:ind w:left="1800" w:hanging="360"/>
      </w:pPr>
      <w:rPr>
        <w:rFonts w:ascii="Wingdings" w:hAnsi="Wingdings" w:hint="default"/>
      </w:rPr>
    </w:lvl>
    <w:lvl w:ilvl="3" w:tplc="01B610AC">
      <w:start w:val="1"/>
      <w:numFmt w:val="bullet"/>
      <w:lvlText w:val=""/>
      <w:lvlJc w:val="left"/>
      <w:pPr>
        <w:ind w:left="2520" w:hanging="360"/>
      </w:pPr>
      <w:rPr>
        <w:rFonts w:ascii="Symbol" w:hAnsi="Symbol" w:hint="default"/>
      </w:rPr>
    </w:lvl>
    <w:lvl w:ilvl="4" w:tplc="DB0CF502">
      <w:start w:val="1"/>
      <w:numFmt w:val="bullet"/>
      <w:lvlText w:val="o"/>
      <w:lvlJc w:val="left"/>
      <w:pPr>
        <w:ind w:left="3240" w:hanging="360"/>
      </w:pPr>
      <w:rPr>
        <w:rFonts w:ascii="Courier New" w:hAnsi="Courier New" w:hint="default"/>
      </w:rPr>
    </w:lvl>
    <w:lvl w:ilvl="5" w:tplc="11D472D2">
      <w:start w:val="1"/>
      <w:numFmt w:val="bullet"/>
      <w:lvlText w:val=""/>
      <w:lvlJc w:val="left"/>
      <w:pPr>
        <w:ind w:left="3960" w:hanging="360"/>
      </w:pPr>
      <w:rPr>
        <w:rFonts w:ascii="Wingdings" w:hAnsi="Wingdings" w:hint="default"/>
      </w:rPr>
    </w:lvl>
    <w:lvl w:ilvl="6" w:tplc="514C22C0">
      <w:start w:val="1"/>
      <w:numFmt w:val="bullet"/>
      <w:lvlText w:val=""/>
      <w:lvlJc w:val="left"/>
      <w:pPr>
        <w:ind w:left="4680" w:hanging="360"/>
      </w:pPr>
      <w:rPr>
        <w:rFonts w:ascii="Symbol" w:hAnsi="Symbol" w:hint="default"/>
      </w:rPr>
    </w:lvl>
    <w:lvl w:ilvl="7" w:tplc="78EC76C2">
      <w:start w:val="1"/>
      <w:numFmt w:val="bullet"/>
      <w:lvlText w:val="o"/>
      <w:lvlJc w:val="left"/>
      <w:pPr>
        <w:ind w:left="5400" w:hanging="360"/>
      </w:pPr>
      <w:rPr>
        <w:rFonts w:ascii="Courier New" w:hAnsi="Courier New" w:hint="default"/>
      </w:rPr>
    </w:lvl>
    <w:lvl w:ilvl="8" w:tplc="8B0812D0">
      <w:start w:val="1"/>
      <w:numFmt w:val="bullet"/>
      <w:lvlText w:val=""/>
      <w:lvlJc w:val="left"/>
      <w:pPr>
        <w:ind w:left="6120" w:hanging="360"/>
      </w:pPr>
      <w:rPr>
        <w:rFonts w:ascii="Wingdings" w:hAnsi="Wingdings" w:hint="default"/>
      </w:rPr>
    </w:lvl>
  </w:abstractNum>
  <w:abstractNum w:abstractNumId="4" w15:restartNumberingAfterBreak="0">
    <w:nsid w:val="335F0AFB"/>
    <w:multiLevelType w:val="hybridMultilevel"/>
    <w:tmpl w:val="C86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E1D28"/>
    <w:multiLevelType w:val="hybridMultilevel"/>
    <w:tmpl w:val="90E4259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AA8DE5"/>
    <w:multiLevelType w:val="hybridMultilevel"/>
    <w:tmpl w:val="5C8CDED6"/>
    <w:lvl w:ilvl="0" w:tplc="4E6E5448">
      <w:start w:val="1"/>
      <w:numFmt w:val="bullet"/>
      <w:lvlText w:val="·"/>
      <w:lvlJc w:val="left"/>
      <w:pPr>
        <w:ind w:left="720" w:hanging="360"/>
      </w:pPr>
      <w:rPr>
        <w:rFonts w:ascii="Symbol" w:hAnsi="Symbol" w:hint="default"/>
      </w:rPr>
    </w:lvl>
    <w:lvl w:ilvl="1" w:tplc="AC2C8F7C">
      <w:start w:val="1"/>
      <w:numFmt w:val="bullet"/>
      <w:lvlText w:val="o"/>
      <w:lvlJc w:val="left"/>
      <w:pPr>
        <w:ind w:left="1440" w:hanging="360"/>
      </w:pPr>
      <w:rPr>
        <w:rFonts w:ascii="Courier New" w:hAnsi="Courier New" w:hint="default"/>
      </w:rPr>
    </w:lvl>
    <w:lvl w:ilvl="2" w:tplc="E99CA4C6">
      <w:start w:val="1"/>
      <w:numFmt w:val="bullet"/>
      <w:lvlText w:val=""/>
      <w:lvlJc w:val="left"/>
      <w:pPr>
        <w:ind w:left="2160" w:hanging="360"/>
      </w:pPr>
      <w:rPr>
        <w:rFonts w:ascii="Wingdings" w:hAnsi="Wingdings" w:hint="default"/>
      </w:rPr>
    </w:lvl>
    <w:lvl w:ilvl="3" w:tplc="BC22F35E">
      <w:start w:val="1"/>
      <w:numFmt w:val="bullet"/>
      <w:lvlText w:val=""/>
      <w:lvlJc w:val="left"/>
      <w:pPr>
        <w:ind w:left="2880" w:hanging="360"/>
      </w:pPr>
      <w:rPr>
        <w:rFonts w:ascii="Symbol" w:hAnsi="Symbol" w:hint="default"/>
      </w:rPr>
    </w:lvl>
    <w:lvl w:ilvl="4" w:tplc="F3A6D1BE">
      <w:start w:val="1"/>
      <w:numFmt w:val="bullet"/>
      <w:lvlText w:val="o"/>
      <w:lvlJc w:val="left"/>
      <w:pPr>
        <w:ind w:left="3600" w:hanging="360"/>
      </w:pPr>
      <w:rPr>
        <w:rFonts w:ascii="Courier New" w:hAnsi="Courier New" w:hint="default"/>
      </w:rPr>
    </w:lvl>
    <w:lvl w:ilvl="5" w:tplc="1DC429DA">
      <w:start w:val="1"/>
      <w:numFmt w:val="bullet"/>
      <w:lvlText w:val=""/>
      <w:lvlJc w:val="left"/>
      <w:pPr>
        <w:ind w:left="4320" w:hanging="360"/>
      </w:pPr>
      <w:rPr>
        <w:rFonts w:ascii="Wingdings" w:hAnsi="Wingdings" w:hint="default"/>
      </w:rPr>
    </w:lvl>
    <w:lvl w:ilvl="6" w:tplc="0E2AB236">
      <w:start w:val="1"/>
      <w:numFmt w:val="bullet"/>
      <w:lvlText w:val=""/>
      <w:lvlJc w:val="left"/>
      <w:pPr>
        <w:ind w:left="5040" w:hanging="360"/>
      </w:pPr>
      <w:rPr>
        <w:rFonts w:ascii="Symbol" w:hAnsi="Symbol" w:hint="default"/>
      </w:rPr>
    </w:lvl>
    <w:lvl w:ilvl="7" w:tplc="4A68DE58">
      <w:start w:val="1"/>
      <w:numFmt w:val="bullet"/>
      <w:lvlText w:val="o"/>
      <w:lvlJc w:val="left"/>
      <w:pPr>
        <w:ind w:left="5760" w:hanging="360"/>
      </w:pPr>
      <w:rPr>
        <w:rFonts w:ascii="Courier New" w:hAnsi="Courier New" w:hint="default"/>
      </w:rPr>
    </w:lvl>
    <w:lvl w:ilvl="8" w:tplc="99166140">
      <w:start w:val="1"/>
      <w:numFmt w:val="bullet"/>
      <w:lvlText w:val=""/>
      <w:lvlJc w:val="left"/>
      <w:pPr>
        <w:ind w:left="6480" w:hanging="360"/>
      </w:pPr>
      <w:rPr>
        <w:rFonts w:ascii="Wingdings" w:hAnsi="Wingdings" w:hint="default"/>
      </w:rPr>
    </w:lvl>
  </w:abstractNum>
  <w:abstractNum w:abstractNumId="7" w15:restartNumberingAfterBreak="0">
    <w:nsid w:val="6F2E0066"/>
    <w:multiLevelType w:val="hybridMultilevel"/>
    <w:tmpl w:val="CC8CD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272EE"/>
    <w:rsid w:val="00015AAD"/>
    <w:rsid w:val="006E73D5"/>
    <w:rsid w:val="0086635B"/>
    <w:rsid w:val="008E4336"/>
    <w:rsid w:val="00A272EE"/>
    <w:rsid w:val="00E60215"/>
    <w:rsid w:val="00EB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C5F"/>
  <w15:chartTrackingRefBased/>
  <w15:docId w15:val="{B21D4118-7C6E-434D-B873-84FEB4D6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2EE"/>
    <w:pPr>
      <w:spacing w:after="200" w:line="276" w:lineRule="auto"/>
      <w:jc w:val="both"/>
    </w:pPr>
    <w:rPr>
      <w:rFonts w:ascii="Calibri" w:hAnsi="Calibri" w:cs="Calibri"/>
      <w:shd w:val="clear" w:color="auto" w:fill="FFFFFF"/>
    </w:rPr>
  </w:style>
  <w:style w:type="paragraph" w:styleId="Heading1">
    <w:name w:val="heading 1"/>
    <w:basedOn w:val="Normal"/>
    <w:next w:val="Normal"/>
    <w:link w:val="Heading1Char"/>
    <w:uiPriority w:val="9"/>
    <w:qFormat/>
    <w:rsid w:val="00A272EE"/>
    <w:pPr>
      <w:keepNext/>
      <w:keepLines/>
      <w:spacing w:before="240" w:after="0"/>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A272EE"/>
    <w:pPr>
      <w:keepNext/>
      <w:keepLines/>
      <w:spacing w:before="40" w:after="0"/>
      <w:outlineLvl w:val="1"/>
    </w:pPr>
    <w:rPr>
      <w:rFonts w:ascii="Cambria" w:eastAsiaTheme="majorEastAsia" w:hAnsi="Cambria" w:cstheme="majorBidi"/>
      <w:b/>
      <w:sz w:val="26"/>
      <w:szCs w:val="26"/>
    </w:rPr>
  </w:style>
  <w:style w:type="paragraph" w:styleId="Heading3">
    <w:name w:val="heading 3"/>
    <w:basedOn w:val="Normal"/>
    <w:next w:val="Normal"/>
    <w:link w:val="Heading3Char"/>
    <w:uiPriority w:val="9"/>
    <w:unhideWhenUsed/>
    <w:qFormat/>
    <w:rsid w:val="00A272EE"/>
    <w:pPr>
      <w:keepNext/>
      <w:keepLines/>
      <w:spacing w:before="40" w:after="0"/>
      <w:outlineLvl w:val="2"/>
    </w:pPr>
    <w:rPr>
      <w:rFonts w:ascii="Cambria" w:eastAsiaTheme="majorEastAsia" w:hAnsi="Cambria" w:cstheme="majorBidi"/>
      <w:b/>
      <w:szCs w:val="24"/>
    </w:rPr>
  </w:style>
  <w:style w:type="paragraph" w:styleId="Heading4">
    <w:name w:val="heading 4"/>
    <w:basedOn w:val="Normal"/>
    <w:next w:val="Normal"/>
    <w:link w:val="Heading4Char"/>
    <w:uiPriority w:val="9"/>
    <w:unhideWhenUsed/>
    <w:qFormat/>
    <w:rsid w:val="00A272EE"/>
    <w:pPr>
      <w:keepNext/>
      <w:keepLines/>
      <w:spacing w:before="40" w:after="0"/>
      <w:outlineLvl w:val="3"/>
    </w:pPr>
    <w:rPr>
      <w:rFonts w:ascii="Cambria" w:eastAsiaTheme="majorEastAsia" w:hAnsi="Cambria" w:cstheme="majorBidi"/>
      <w:b/>
      <w:i/>
      <w:iCs/>
    </w:rPr>
  </w:style>
  <w:style w:type="paragraph" w:styleId="Heading5">
    <w:name w:val="heading 5"/>
    <w:basedOn w:val="Normal"/>
    <w:next w:val="Normal"/>
    <w:link w:val="Heading5Char"/>
    <w:uiPriority w:val="9"/>
    <w:unhideWhenUsed/>
    <w:qFormat/>
    <w:rsid w:val="00A272EE"/>
    <w:pPr>
      <w:keepNext/>
      <w:keepLines/>
      <w:spacing w:before="40" w:after="0"/>
      <w:outlineLvl w:val="4"/>
    </w:pPr>
    <w:rPr>
      <w:rFonts w:asciiTheme="majorHAnsi" w:eastAsiaTheme="majorEastAsia" w:hAnsiTheme="majorHAnsi" w:cstheme="majorBidi"/>
      <w:b/>
      <w:i/>
    </w:rPr>
  </w:style>
  <w:style w:type="character" w:default="1" w:styleId="DefaultParagraphFont">
    <w:name w:val="Default Paragraph Font"/>
    <w:uiPriority w:val="1"/>
    <w:semiHidden/>
    <w:unhideWhenUsed/>
    <w:rsid w:val="00A272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72EE"/>
  </w:style>
  <w:style w:type="character" w:customStyle="1" w:styleId="Heading1Char">
    <w:name w:val="Heading 1 Char"/>
    <w:basedOn w:val="DefaultParagraphFont"/>
    <w:link w:val="Heading1"/>
    <w:uiPriority w:val="9"/>
    <w:rsid w:val="00A272EE"/>
    <w:rPr>
      <w:rFonts w:ascii="Cambria" w:eastAsiaTheme="majorEastAsia" w:hAnsi="Cambria" w:cstheme="majorBidi"/>
      <w:b/>
      <w:sz w:val="28"/>
      <w:szCs w:val="32"/>
    </w:rPr>
  </w:style>
  <w:style w:type="character" w:customStyle="1" w:styleId="Heading2Char">
    <w:name w:val="Heading 2 Char"/>
    <w:basedOn w:val="DefaultParagraphFont"/>
    <w:link w:val="Heading2"/>
    <w:uiPriority w:val="9"/>
    <w:rsid w:val="00A272EE"/>
    <w:rPr>
      <w:rFonts w:ascii="Cambria" w:eastAsiaTheme="majorEastAsia" w:hAnsi="Cambria" w:cstheme="majorBidi"/>
      <w:b/>
      <w:sz w:val="26"/>
      <w:szCs w:val="26"/>
    </w:rPr>
  </w:style>
  <w:style w:type="character" w:customStyle="1" w:styleId="Heading3Char">
    <w:name w:val="Heading 3 Char"/>
    <w:basedOn w:val="DefaultParagraphFont"/>
    <w:link w:val="Heading3"/>
    <w:uiPriority w:val="9"/>
    <w:rsid w:val="00A272EE"/>
    <w:rPr>
      <w:rFonts w:ascii="Cambria" w:eastAsiaTheme="majorEastAsia" w:hAnsi="Cambria" w:cstheme="majorBidi"/>
      <w:b/>
      <w:szCs w:val="24"/>
    </w:rPr>
  </w:style>
  <w:style w:type="character" w:customStyle="1" w:styleId="Heading4Char">
    <w:name w:val="Heading 4 Char"/>
    <w:basedOn w:val="DefaultParagraphFont"/>
    <w:link w:val="Heading4"/>
    <w:uiPriority w:val="9"/>
    <w:rsid w:val="00A272EE"/>
    <w:rPr>
      <w:rFonts w:ascii="Cambria" w:eastAsiaTheme="majorEastAsia" w:hAnsi="Cambria" w:cstheme="majorBidi"/>
      <w:b/>
      <w:i/>
      <w:iCs/>
    </w:rPr>
  </w:style>
  <w:style w:type="character" w:customStyle="1" w:styleId="Heading5Char">
    <w:name w:val="Heading 5 Char"/>
    <w:basedOn w:val="DefaultParagraphFont"/>
    <w:link w:val="Heading5"/>
    <w:uiPriority w:val="9"/>
    <w:rsid w:val="00A272EE"/>
    <w:rPr>
      <w:rFonts w:asciiTheme="majorHAnsi" w:eastAsiaTheme="majorEastAsia" w:hAnsiTheme="majorHAnsi" w:cstheme="majorBidi"/>
      <w:b/>
      <w:i/>
    </w:rPr>
  </w:style>
  <w:style w:type="paragraph" w:styleId="Header">
    <w:name w:val="header"/>
    <w:basedOn w:val="Normal"/>
    <w:link w:val="HeaderChar"/>
    <w:uiPriority w:val="99"/>
    <w:unhideWhenUsed/>
    <w:rsid w:val="00A2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2EE"/>
    <w:rPr>
      <w:rFonts w:ascii="Calibri" w:hAnsi="Calibri" w:cs="Calibri"/>
    </w:rPr>
  </w:style>
  <w:style w:type="paragraph" w:styleId="Footer">
    <w:name w:val="footer"/>
    <w:basedOn w:val="Normal"/>
    <w:link w:val="FooterChar"/>
    <w:uiPriority w:val="99"/>
    <w:unhideWhenUsed/>
    <w:rsid w:val="00A2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2EE"/>
    <w:rPr>
      <w:rFonts w:ascii="Calibri" w:hAnsi="Calibri" w:cs="Calibri"/>
    </w:rPr>
  </w:style>
  <w:style w:type="paragraph" w:customStyle="1" w:styleId="PTBodyTextBold">
    <w:name w:val="*PT Body Text Bold"/>
    <w:basedOn w:val="Normal"/>
    <w:next w:val="Normal"/>
    <w:link w:val="PTBodyTextBoldChar"/>
    <w:qFormat/>
    <w:rsid w:val="00A272EE"/>
    <w:pPr>
      <w:spacing w:after="0" w:line="240" w:lineRule="auto"/>
    </w:pPr>
    <w:rPr>
      <w:rFonts w:eastAsia="Times New Roman" w:cs="Times New Roman"/>
      <w:b/>
      <w:bCs/>
      <w:iCs/>
      <w:noProof/>
      <w:szCs w:val="20"/>
      <w:lang w:val="en-US"/>
    </w:rPr>
  </w:style>
  <w:style w:type="character" w:customStyle="1" w:styleId="PTBodyTextBoldChar">
    <w:name w:val="*PT Body Text Bold Char"/>
    <w:link w:val="PTBodyTextBold"/>
    <w:rsid w:val="00A272EE"/>
    <w:rPr>
      <w:rFonts w:ascii="Calibri" w:eastAsia="Times New Roman" w:hAnsi="Calibri" w:cs="Times New Roman"/>
      <w:b/>
      <w:bCs/>
      <w:iCs/>
      <w:noProof/>
      <w:szCs w:val="20"/>
      <w:lang w:val="en-US"/>
    </w:rPr>
  </w:style>
  <w:style w:type="table" w:styleId="TableGrid">
    <w:name w:val="Table Grid"/>
    <w:basedOn w:val="TableNormal"/>
    <w:uiPriority w:val="39"/>
    <w:rsid w:val="00A2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272EE"/>
    <w:pPr>
      <w:spacing w:line="259" w:lineRule="auto"/>
      <w:outlineLvl w:val="9"/>
    </w:pPr>
    <w:rPr>
      <w:lang w:val="en-US"/>
    </w:rPr>
  </w:style>
  <w:style w:type="paragraph" w:styleId="ListParagraph">
    <w:name w:val="List Paragraph"/>
    <w:basedOn w:val="Normal"/>
    <w:uiPriority w:val="34"/>
    <w:qFormat/>
    <w:rsid w:val="00A272EE"/>
    <w:pPr>
      <w:ind w:left="720"/>
      <w:contextualSpacing/>
    </w:pPr>
  </w:style>
  <w:style w:type="character" w:styleId="LineNumber">
    <w:name w:val="line number"/>
    <w:basedOn w:val="DefaultParagraphFont"/>
    <w:uiPriority w:val="99"/>
    <w:semiHidden/>
    <w:unhideWhenUsed/>
    <w:rsid w:val="00A272EE"/>
  </w:style>
  <w:style w:type="paragraph" w:styleId="BalloonText">
    <w:name w:val="Balloon Text"/>
    <w:basedOn w:val="Normal"/>
    <w:link w:val="BalloonTextChar"/>
    <w:uiPriority w:val="99"/>
    <w:semiHidden/>
    <w:unhideWhenUsed/>
    <w:rsid w:val="00A27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2EE"/>
    <w:rPr>
      <w:rFonts w:ascii="Segoe UI" w:hAnsi="Segoe UI" w:cs="Segoe UI"/>
      <w:sz w:val="18"/>
      <w:szCs w:val="18"/>
    </w:rPr>
  </w:style>
  <w:style w:type="character" w:styleId="Hyperlink">
    <w:name w:val="Hyperlink"/>
    <w:basedOn w:val="DefaultParagraphFont"/>
    <w:uiPriority w:val="99"/>
    <w:unhideWhenUsed/>
    <w:rsid w:val="00A272EE"/>
    <w:rPr>
      <w:color w:val="0563C1" w:themeColor="hyperlink"/>
      <w:u w:val="single"/>
    </w:rPr>
  </w:style>
  <w:style w:type="paragraph" w:styleId="TOC1">
    <w:name w:val="toc 1"/>
    <w:basedOn w:val="Normal"/>
    <w:next w:val="Normal"/>
    <w:autoRedefine/>
    <w:uiPriority w:val="39"/>
    <w:unhideWhenUsed/>
    <w:rsid w:val="00A272EE"/>
    <w:pPr>
      <w:tabs>
        <w:tab w:val="left" w:pos="440"/>
        <w:tab w:val="right" w:leader="dot" w:pos="9016"/>
      </w:tabs>
      <w:spacing w:after="100"/>
    </w:pPr>
  </w:style>
  <w:style w:type="paragraph" w:styleId="TOC2">
    <w:name w:val="toc 2"/>
    <w:basedOn w:val="Normal"/>
    <w:next w:val="Normal"/>
    <w:autoRedefine/>
    <w:uiPriority w:val="39"/>
    <w:unhideWhenUsed/>
    <w:rsid w:val="00A272EE"/>
    <w:pPr>
      <w:tabs>
        <w:tab w:val="left" w:pos="880"/>
        <w:tab w:val="right" w:leader="dot" w:pos="9016"/>
      </w:tabs>
      <w:spacing w:after="100"/>
      <w:ind w:left="220"/>
    </w:pPr>
  </w:style>
  <w:style w:type="paragraph" w:styleId="TOC3">
    <w:name w:val="toc 3"/>
    <w:basedOn w:val="Normal"/>
    <w:next w:val="Normal"/>
    <w:autoRedefine/>
    <w:uiPriority w:val="39"/>
    <w:unhideWhenUsed/>
    <w:rsid w:val="00A272EE"/>
    <w:pPr>
      <w:spacing w:after="100"/>
      <w:ind w:left="440"/>
    </w:pPr>
  </w:style>
  <w:style w:type="paragraph" w:styleId="Title">
    <w:name w:val="Title"/>
    <w:basedOn w:val="Heading3"/>
    <w:next w:val="Normal"/>
    <w:link w:val="TitleChar"/>
    <w:uiPriority w:val="10"/>
    <w:qFormat/>
    <w:rsid w:val="00A272EE"/>
  </w:style>
  <w:style w:type="character" w:customStyle="1" w:styleId="TitleChar">
    <w:name w:val="Title Char"/>
    <w:basedOn w:val="DefaultParagraphFont"/>
    <w:link w:val="Title"/>
    <w:uiPriority w:val="10"/>
    <w:rsid w:val="00A272EE"/>
    <w:rPr>
      <w:rFonts w:ascii="Cambria" w:eastAsiaTheme="majorEastAsia" w:hAnsi="Cambria" w:cstheme="majorBidi"/>
      <w:b/>
      <w:szCs w:val="24"/>
    </w:rPr>
  </w:style>
  <w:style w:type="table" w:customStyle="1" w:styleId="TableGrid1">
    <w:name w:val="Table Grid1"/>
    <w:basedOn w:val="TableNormal"/>
    <w:next w:val="TableGrid"/>
    <w:uiPriority w:val="59"/>
    <w:rsid w:val="00A2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BodyText">
    <w:name w:val="*PT Body Text"/>
    <w:link w:val="PTBodyTextChar"/>
    <w:qFormat/>
    <w:rsid w:val="00A272EE"/>
    <w:pPr>
      <w:spacing w:after="0" w:line="240" w:lineRule="auto"/>
      <w:jc w:val="both"/>
    </w:pPr>
    <w:rPr>
      <w:rFonts w:ascii="Calibri" w:eastAsia="Times New Roman" w:hAnsi="Calibri" w:cs="Times New Roman"/>
      <w:bCs/>
      <w:iCs/>
      <w:noProof/>
      <w:szCs w:val="24"/>
      <w:lang w:val="en-US"/>
    </w:rPr>
  </w:style>
  <w:style w:type="character" w:customStyle="1" w:styleId="PTBodyTextChar">
    <w:name w:val="*PT Body Text Char"/>
    <w:link w:val="PTBodyText"/>
    <w:rsid w:val="00A272EE"/>
    <w:rPr>
      <w:rFonts w:ascii="Calibri" w:eastAsia="Times New Roman" w:hAnsi="Calibri" w:cs="Times New Roman"/>
      <w:bCs/>
      <w:iCs/>
      <w:noProof/>
      <w:szCs w:val="24"/>
      <w:lang w:val="en-US"/>
    </w:rPr>
  </w:style>
  <w:style w:type="paragraph" w:styleId="NoSpacing">
    <w:name w:val="No Spacing"/>
    <w:uiPriority w:val="1"/>
    <w:qFormat/>
    <w:rsid w:val="00A272EE"/>
    <w:pPr>
      <w:spacing w:after="0" w:line="240" w:lineRule="auto"/>
    </w:pPr>
  </w:style>
  <w:style w:type="paragraph" w:styleId="TOC4">
    <w:name w:val="toc 4"/>
    <w:basedOn w:val="Normal"/>
    <w:next w:val="Normal"/>
    <w:autoRedefine/>
    <w:uiPriority w:val="39"/>
    <w:unhideWhenUsed/>
    <w:rsid w:val="00A272EE"/>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A272EE"/>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A272EE"/>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A272EE"/>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A272EE"/>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A272EE"/>
    <w:pPr>
      <w:spacing w:after="100" w:line="259" w:lineRule="auto"/>
      <w:ind w:left="1760"/>
    </w:pPr>
    <w:rPr>
      <w:rFonts w:eastAsiaTheme="minorEastAsia"/>
      <w:lang w:eastAsia="en-GB"/>
    </w:rPr>
  </w:style>
  <w:style w:type="character" w:styleId="CommentReference">
    <w:name w:val="annotation reference"/>
    <w:basedOn w:val="DefaultParagraphFont"/>
    <w:uiPriority w:val="99"/>
    <w:semiHidden/>
    <w:unhideWhenUsed/>
    <w:rsid w:val="00A272EE"/>
    <w:rPr>
      <w:sz w:val="16"/>
      <w:szCs w:val="16"/>
    </w:rPr>
  </w:style>
  <w:style w:type="paragraph" w:styleId="CommentText">
    <w:name w:val="annotation text"/>
    <w:basedOn w:val="Normal"/>
    <w:link w:val="CommentTextChar"/>
    <w:uiPriority w:val="99"/>
    <w:unhideWhenUsed/>
    <w:rsid w:val="00A272EE"/>
    <w:pPr>
      <w:spacing w:line="240" w:lineRule="auto"/>
    </w:pPr>
    <w:rPr>
      <w:sz w:val="20"/>
      <w:szCs w:val="20"/>
    </w:rPr>
  </w:style>
  <w:style w:type="character" w:customStyle="1" w:styleId="CommentTextChar">
    <w:name w:val="Comment Text Char"/>
    <w:basedOn w:val="DefaultParagraphFont"/>
    <w:link w:val="CommentText"/>
    <w:uiPriority w:val="99"/>
    <w:rsid w:val="00A272E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72EE"/>
    <w:rPr>
      <w:b/>
      <w:bCs/>
    </w:rPr>
  </w:style>
  <w:style w:type="character" w:customStyle="1" w:styleId="CommentSubjectChar">
    <w:name w:val="Comment Subject Char"/>
    <w:basedOn w:val="CommentTextChar"/>
    <w:link w:val="CommentSubject"/>
    <w:uiPriority w:val="99"/>
    <w:semiHidden/>
    <w:rsid w:val="00A272EE"/>
    <w:rPr>
      <w:rFonts w:ascii="Calibri" w:hAnsi="Calibri" w:cs="Calibri"/>
      <w:b/>
      <w:bCs/>
      <w:sz w:val="20"/>
      <w:szCs w:val="20"/>
    </w:rPr>
  </w:style>
  <w:style w:type="character" w:styleId="PageNumber">
    <w:name w:val="page number"/>
    <w:basedOn w:val="DefaultParagraphFont"/>
    <w:uiPriority w:val="99"/>
    <w:semiHidden/>
    <w:unhideWhenUsed/>
    <w:rsid w:val="00A272EE"/>
  </w:style>
  <w:style w:type="character" w:customStyle="1" w:styleId="normaltextrun">
    <w:name w:val="normaltextrun"/>
    <w:basedOn w:val="DefaultParagraphFont"/>
    <w:rsid w:val="00A272EE"/>
  </w:style>
  <w:style w:type="character" w:customStyle="1" w:styleId="eop">
    <w:name w:val="eop"/>
    <w:basedOn w:val="DefaultParagraphFont"/>
    <w:rsid w:val="00A272EE"/>
  </w:style>
  <w:style w:type="paragraph" w:customStyle="1" w:styleId="paragraph">
    <w:name w:val="paragraph"/>
    <w:basedOn w:val="Normal"/>
    <w:rsid w:val="00A272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272EE"/>
    <w:pPr>
      <w:spacing w:after="0" w:line="240" w:lineRule="auto"/>
    </w:pPr>
  </w:style>
  <w:style w:type="character" w:customStyle="1" w:styleId="element-citation">
    <w:name w:val="element-citation"/>
    <w:basedOn w:val="DefaultParagraphFont"/>
    <w:rsid w:val="00A272EE"/>
  </w:style>
  <w:style w:type="character" w:customStyle="1" w:styleId="ref-journal">
    <w:name w:val="ref-journal"/>
    <w:basedOn w:val="DefaultParagraphFont"/>
    <w:rsid w:val="00A272EE"/>
  </w:style>
  <w:style w:type="character" w:customStyle="1" w:styleId="nowrap">
    <w:name w:val="nowrap"/>
    <w:basedOn w:val="DefaultParagraphFont"/>
    <w:rsid w:val="00A272EE"/>
  </w:style>
  <w:style w:type="character" w:customStyle="1" w:styleId="UnresolvedMention1">
    <w:name w:val="Unresolved Mention1"/>
    <w:basedOn w:val="DefaultParagraphFont"/>
    <w:uiPriority w:val="99"/>
    <w:semiHidden/>
    <w:unhideWhenUsed/>
    <w:rsid w:val="00A272EE"/>
    <w:rPr>
      <w:color w:val="605E5C"/>
      <w:shd w:val="clear" w:color="auto" w:fill="E1DFDD"/>
    </w:rPr>
  </w:style>
  <w:style w:type="character" w:customStyle="1" w:styleId="cit-pub-date">
    <w:name w:val="cit-pub-date"/>
    <w:basedOn w:val="DefaultParagraphFont"/>
    <w:rsid w:val="00A272EE"/>
  </w:style>
  <w:style w:type="character" w:customStyle="1" w:styleId="cit-vol">
    <w:name w:val="cit-vol"/>
    <w:basedOn w:val="DefaultParagraphFont"/>
    <w:rsid w:val="00A272EE"/>
  </w:style>
  <w:style w:type="character" w:customStyle="1" w:styleId="cit-fpage">
    <w:name w:val="cit-fpage"/>
    <w:basedOn w:val="DefaultParagraphFont"/>
    <w:rsid w:val="00A272EE"/>
  </w:style>
  <w:style w:type="character" w:customStyle="1" w:styleId="fieldrange">
    <w:name w:val="fieldrange"/>
    <w:basedOn w:val="DefaultParagraphFont"/>
    <w:rsid w:val="00A272EE"/>
  </w:style>
  <w:style w:type="character" w:customStyle="1" w:styleId="tabchar">
    <w:name w:val="tabchar"/>
    <w:basedOn w:val="DefaultParagraphFont"/>
    <w:rsid w:val="00A272EE"/>
  </w:style>
  <w:style w:type="character" w:styleId="Emphasis">
    <w:name w:val="Emphasis"/>
    <w:basedOn w:val="DefaultParagraphFont"/>
    <w:uiPriority w:val="20"/>
    <w:qFormat/>
    <w:rsid w:val="00A272EE"/>
    <w:rPr>
      <w:i/>
      <w:iCs/>
    </w:rPr>
  </w:style>
  <w:style w:type="character" w:styleId="Strong">
    <w:name w:val="Strong"/>
    <w:basedOn w:val="DefaultParagraphFont"/>
    <w:uiPriority w:val="22"/>
    <w:qFormat/>
    <w:rsid w:val="00A272EE"/>
    <w:rPr>
      <w:b/>
      <w:bCs/>
    </w:rPr>
  </w:style>
  <w:style w:type="character" w:styleId="FollowedHyperlink">
    <w:name w:val="FollowedHyperlink"/>
    <w:basedOn w:val="DefaultParagraphFont"/>
    <w:uiPriority w:val="99"/>
    <w:semiHidden/>
    <w:unhideWhenUsed/>
    <w:rsid w:val="00A272EE"/>
    <w:rPr>
      <w:color w:val="954F72" w:themeColor="followedHyperlink"/>
      <w:u w:val="single"/>
    </w:rPr>
  </w:style>
  <w:style w:type="character" w:customStyle="1" w:styleId="UnresolvedMention2">
    <w:name w:val="Unresolved Mention2"/>
    <w:basedOn w:val="DefaultParagraphFont"/>
    <w:uiPriority w:val="99"/>
    <w:semiHidden/>
    <w:unhideWhenUsed/>
    <w:rsid w:val="00A272EE"/>
    <w:rPr>
      <w:color w:val="605E5C"/>
      <w:shd w:val="clear" w:color="auto" w:fill="E1DFDD"/>
    </w:rPr>
  </w:style>
  <w:style w:type="character" w:customStyle="1" w:styleId="UnresolvedMention3">
    <w:name w:val="Unresolved Mention3"/>
    <w:basedOn w:val="DefaultParagraphFont"/>
    <w:uiPriority w:val="99"/>
    <w:semiHidden/>
    <w:unhideWhenUsed/>
    <w:rsid w:val="00A272EE"/>
    <w:rPr>
      <w:color w:val="605E5C"/>
      <w:shd w:val="clear" w:color="auto" w:fill="E1DFDD"/>
    </w:rPr>
  </w:style>
  <w:style w:type="character" w:customStyle="1" w:styleId="UnresolvedMention4">
    <w:name w:val="Unresolved Mention4"/>
    <w:basedOn w:val="DefaultParagraphFont"/>
    <w:uiPriority w:val="99"/>
    <w:semiHidden/>
    <w:unhideWhenUsed/>
    <w:rsid w:val="00A272EE"/>
    <w:rPr>
      <w:color w:val="605E5C"/>
      <w:shd w:val="clear" w:color="auto" w:fill="E1DFDD"/>
    </w:rPr>
  </w:style>
  <w:style w:type="character" w:customStyle="1" w:styleId="UnresolvedMention5">
    <w:name w:val="Unresolved Mention5"/>
    <w:basedOn w:val="DefaultParagraphFont"/>
    <w:uiPriority w:val="99"/>
    <w:semiHidden/>
    <w:unhideWhenUsed/>
    <w:rsid w:val="00A272EE"/>
    <w:rPr>
      <w:color w:val="605E5C"/>
      <w:shd w:val="clear" w:color="auto" w:fill="E1DFDD"/>
    </w:rPr>
  </w:style>
  <w:style w:type="character" w:styleId="UnresolvedMention">
    <w:name w:val="Unresolved Mention"/>
    <w:basedOn w:val="DefaultParagraphFont"/>
    <w:uiPriority w:val="99"/>
    <w:semiHidden/>
    <w:unhideWhenUsed/>
    <w:rsid w:val="00A272EE"/>
    <w:rPr>
      <w:color w:val="605E5C"/>
      <w:shd w:val="clear" w:color="auto" w:fill="E1DFDD"/>
    </w:rPr>
  </w:style>
  <w:style w:type="paragraph" w:customStyle="1" w:styleId="c-bibliographic-informationcitation">
    <w:name w:val="c-bibliographic-information__citation"/>
    <w:basedOn w:val="Normal"/>
    <w:rsid w:val="00A272EE"/>
    <w:pPr>
      <w:spacing w:before="100" w:beforeAutospacing="1" w:after="100" w:afterAutospacing="1" w:line="240" w:lineRule="auto"/>
      <w:jc w:val="left"/>
    </w:pPr>
    <w:rPr>
      <w:shd w:val="clear" w:color="auto" w:fill="auto"/>
      <w:lang w:eastAsia="en-GB"/>
    </w:rPr>
  </w:style>
  <w:style w:type="paragraph" w:customStyle="1" w:styleId="EndNoteBibliographyTitle">
    <w:name w:val="EndNote Bibliography Title"/>
    <w:basedOn w:val="Normal"/>
    <w:link w:val="EndNoteBibliographyTitleChar"/>
    <w:rsid w:val="00A272EE"/>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272EE"/>
    <w:rPr>
      <w:rFonts w:ascii="Calibri" w:hAnsi="Calibri" w:cs="Calibri"/>
      <w:noProof/>
      <w:lang w:val="en-US"/>
    </w:rPr>
  </w:style>
  <w:style w:type="paragraph" w:customStyle="1" w:styleId="EndNoteBibliography">
    <w:name w:val="EndNote Bibliography"/>
    <w:basedOn w:val="Normal"/>
    <w:link w:val="EndNoteBibliographyChar"/>
    <w:rsid w:val="00A272EE"/>
    <w:pPr>
      <w:spacing w:line="240" w:lineRule="auto"/>
    </w:pPr>
    <w:rPr>
      <w:noProof/>
      <w:lang w:val="en-US"/>
    </w:rPr>
  </w:style>
  <w:style w:type="character" w:customStyle="1" w:styleId="EndNoteBibliographyChar">
    <w:name w:val="EndNote Bibliography Char"/>
    <w:basedOn w:val="DefaultParagraphFont"/>
    <w:link w:val="EndNoteBibliography"/>
    <w:rsid w:val="00A272E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7483</Words>
  <Characters>42657</Characters>
  <Application>Microsoft Office Word</Application>
  <DocSecurity>0</DocSecurity>
  <Lines>355</Lines>
  <Paragraphs>100</Paragraphs>
  <ScaleCrop>false</ScaleCrop>
  <Company/>
  <LinksUpToDate>false</LinksUpToDate>
  <CharactersWithSpaces>50040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David J. (Prof.)</dc:creator>
  <cp:keywords/>
  <dc:description/>
  <cp:lastModifiedBy>Wright, David J. (Prof.)</cp:lastModifiedBy>
  <cp:revision>4</cp:revision>
  <dcterms:created xsi:type="dcterms:W3CDTF">2025-10-07T18:33:00Z</dcterms:created>
  <dcterms:modified xsi:type="dcterms:W3CDTF">2025-10-07T18:39:00Z</dcterms:modified>
</cp:coreProperties>
</file>