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spacing w:line="480" w:lineRule="auto"/>
        <w:jc w:val="center"/>
        <w:rPr>
          <w:b/>
        </w:rPr>
      </w:pPr>
      <w:bookmarkStart w:id="0" w:name="_heading=h.6w6ropzf22jo" w:colFirst="0" w:colLast="0"/>
      <w:bookmarkEnd w:id="0"/>
      <w:r>
        <w:rPr>
          <w:b/>
        </w:rPr>
        <w:t xml:space="preserve">Experiences of eating, swallowing and communication after nasopharyngeal cancer in Malaysian men: A Qualitative Study </w:t>
      </w:r>
    </w:p>
    <w:p w14:paraId="00000002">
      <w:pPr>
        <w:pBdr>
          <w:top w:val="none" w:color="auto" w:sz="0" w:space="0"/>
          <w:left w:val="none" w:color="auto" w:sz="0" w:space="0"/>
          <w:bottom w:val="none" w:color="auto" w:sz="0" w:space="0"/>
          <w:right w:val="none" w:color="auto" w:sz="0" w:space="0"/>
          <w:between w:val="none" w:color="auto" w:sz="0" w:space="0"/>
        </w:pBdr>
        <w:spacing w:after="160"/>
        <w:jc w:val="center"/>
        <w:rPr>
          <w:color w:val="000000"/>
          <w:vertAlign w:val="superscript"/>
        </w:rPr>
      </w:pPr>
      <w:r>
        <w:rPr>
          <w:color w:val="000000"/>
        </w:rPr>
        <w:t>Giuditta Smith</w:t>
      </w:r>
      <w:r>
        <w:rPr>
          <w:color w:val="000000"/>
          <w:vertAlign w:val="superscript"/>
        </w:rPr>
        <w:t>a</w:t>
      </w:r>
      <w:r>
        <w:rPr>
          <w:color w:val="000000"/>
        </w:rPr>
        <w:t>, Ting Ying Boey</w:t>
      </w:r>
      <w:r>
        <w:rPr>
          <w:color w:val="000000"/>
          <w:vertAlign w:val="superscript"/>
        </w:rPr>
        <w:t>b</w:t>
      </w:r>
      <w:r>
        <w:rPr>
          <w:color w:val="000000"/>
        </w:rPr>
        <w:t>, Shin Ying Chu</w:t>
      </w:r>
      <w:r>
        <w:rPr>
          <w:color w:val="000000"/>
          <w:vertAlign w:val="superscript"/>
        </w:rPr>
        <w:t>b*</w:t>
      </w:r>
      <w:r>
        <w:rPr>
          <w:color w:val="000000"/>
        </w:rPr>
        <w:t>, Caryn Mei Hsien Chan</w:t>
      </w:r>
      <w:r>
        <w:rPr>
          <w:color w:val="000000"/>
          <w:vertAlign w:val="superscript"/>
        </w:rPr>
        <w:t>c</w:t>
      </w:r>
      <w:r>
        <w:rPr>
          <w:color w:val="000000"/>
        </w:rPr>
        <w:t>, Siti Fathiah Masre</w:t>
      </w:r>
      <w:r>
        <w:rPr>
          <w:color w:val="000000"/>
          <w:vertAlign w:val="superscript"/>
        </w:rPr>
        <w:t>d</w:t>
      </w:r>
      <w:r>
        <w:rPr>
          <w:color w:val="000000"/>
        </w:rPr>
        <w:t>,Fuad Ismail</w:t>
      </w:r>
      <w:r>
        <w:rPr>
          <w:color w:val="000000"/>
          <w:vertAlign w:val="superscript"/>
        </w:rPr>
        <w:t>e</w:t>
      </w:r>
      <w:r>
        <w:rPr>
          <w:color w:val="000000"/>
        </w:rPr>
        <w:t>, Maria Garraffa</w:t>
      </w:r>
      <w:r>
        <w:rPr>
          <w:color w:val="000000"/>
          <w:vertAlign w:val="superscript"/>
        </w:rPr>
        <w:t>f</w:t>
      </w:r>
      <w:r>
        <w:rPr>
          <w:color w:val="000000"/>
        </w:rPr>
        <w:t>, &amp; Deborah Hersh</w:t>
      </w:r>
      <w:r>
        <w:rPr>
          <w:color w:val="000000"/>
          <w:vertAlign w:val="superscript"/>
        </w:rPr>
        <w:t>g</w:t>
      </w:r>
    </w:p>
    <w:p w14:paraId="00000003">
      <w:pPr>
        <w:spacing w:line="360" w:lineRule="auto"/>
        <w:jc w:val="both"/>
        <w:rPr>
          <w:vertAlign w:val="superscript"/>
        </w:rPr>
      </w:pPr>
      <w:bookmarkStart w:id="1" w:name="_heading=h.gjdgxs" w:colFirst="0" w:colLast="0"/>
      <w:bookmarkEnd w:id="1"/>
    </w:p>
    <w:p w14:paraId="00000004">
      <w:pPr>
        <w:widowControl w:val="0"/>
        <w:spacing w:line="360" w:lineRule="auto"/>
        <w:jc w:val="both"/>
      </w:pPr>
      <w:r>
        <w:rPr>
          <w:vertAlign w:val="superscript"/>
        </w:rPr>
        <w:t>a</w:t>
      </w:r>
      <w:r>
        <w:t xml:space="preserve">Department of Biomedical, Metabolic, and Neural Sciences, University of Modena and Reggio Emilia, Italy </w:t>
      </w:r>
      <w:r>
        <w:fldChar w:fldCharType="begin"/>
      </w:r>
      <w:r>
        <w:instrText xml:space="preserve"> HYPERLINK "mailto:Giuditta.Smith@uea.ac.uk" \h </w:instrText>
      </w:r>
      <w:r>
        <w:fldChar w:fldCharType="separate"/>
      </w:r>
      <w:r>
        <w:rPr>
          <w:color w:val="0000FF"/>
          <w:u w:val="single"/>
        </w:rPr>
        <w:t>Giuditta.Smith@uea.ac.uk</w:t>
      </w:r>
      <w:r>
        <w:rPr>
          <w:color w:val="0000FF"/>
          <w:u w:val="single"/>
        </w:rPr>
        <w:fldChar w:fldCharType="end"/>
      </w:r>
      <w:r>
        <w:t xml:space="preserve"> (G.S)</w:t>
      </w:r>
    </w:p>
    <w:p w14:paraId="00000005">
      <w:pPr>
        <w:spacing w:line="360" w:lineRule="auto"/>
        <w:jc w:val="both"/>
      </w:pPr>
      <w:r>
        <w:rPr>
          <w:vertAlign w:val="superscript"/>
        </w:rPr>
        <w:t>b</w:t>
      </w:r>
      <w:r>
        <w:t xml:space="preserve">Centre for Healthy Ageing and Wellness (H-CARE), Faculty of Health Science, Speech Science Programme, Universiti Kebangsaan Malaysia, Jalan Raja Muda Abdul Aziz, Kuala Lumpur, 50300 Malaysia; chushinying@ukm.edu.my (S.Y.C), </w:t>
      </w:r>
      <w:r>
        <w:fldChar w:fldCharType="begin"/>
      </w:r>
      <w:r>
        <w:instrText xml:space="preserve"> HYPERLINK "https://orcid.org/0000-0002-3558-0477" \h </w:instrText>
      </w:r>
      <w:r>
        <w:fldChar w:fldCharType="separate"/>
      </w:r>
      <w:r>
        <w:rPr>
          <w:color w:val="0000FF"/>
          <w:u w:val="single"/>
        </w:rPr>
        <w:t>https://orcid.org/0000-0002-3558-0477</w:t>
      </w:r>
      <w:r>
        <w:rPr>
          <w:color w:val="0000FF"/>
          <w:u w:val="single"/>
        </w:rPr>
        <w:fldChar w:fldCharType="end"/>
      </w:r>
      <w:r>
        <w:t xml:space="preserve"> boeytying@hotmail.com (T.Y.B).</w:t>
      </w:r>
    </w:p>
    <w:p w14:paraId="00000006">
      <w:pPr>
        <w:spacing w:line="360" w:lineRule="auto"/>
        <w:jc w:val="both"/>
      </w:pPr>
      <w:r>
        <w:rPr>
          <w:vertAlign w:val="superscript"/>
        </w:rPr>
        <w:t>c</w:t>
      </w:r>
      <w:r>
        <w:t>Centre for Community Health Studies (ReaCH), Faculty of Health Sciences, Clinical Psychology and Behavioural Health Programme, Universiti Kebangsaan Malaysia, Jalan Raja Muda Abdul Aziz, Kuala Lumpur, 50300 Malaysia; caryn@ukm.edu.my (C.M.H.C).</w:t>
      </w:r>
    </w:p>
    <w:p w14:paraId="00000007">
      <w:pPr>
        <w:spacing w:line="360" w:lineRule="auto"/>
        <w:jc w:val="both"/>
      </w:pPr>
      <w:r>
        <w:rPr>
          <w:vertAlign w:val="superscript"/>
        </w:rPr>
        <w:t>d</w:t>
      </w:r>
      <w:r>
        <w:t>Centre for Toxicology and Health Risk Studies, Faculty of Health Sciences, Biomedical Science Programme, Universiti Kebangsaan Malaysia, Jalan Raja Muda Abdul Aziz, Kuala Lumpur, 50300 Malaysia; sitifathiah@ukm.edu.my (S.F.M).</w:t>
      </w:r>
    </w:p>
    <w:p w14:paraId="00000008">
      <w:pPr>
        <w:spacing w:line="360" w:lineRule="auto"/>
        <w:jc w:val="both"/>
      </w:pPr>
      <w:r>
        <w:rPr>
          <w:vertAlign w:val="superscript"/>
        </w:rPr>
        <w:t>e</w:t>
      </w:r>
      <w:r>
        <w:t>Department of Oncology and Radiotherapy, Pusat Perubatan Universiti Kebangsaan Malaysia, Jalan Yaacob Latif, Kuala Lumpur, 56000 Malaysia; fuad@ppukm.ukm.my (F.I).</w:t>
      </w:r>
    </w:p>
    <w:p w14:paraId="00000009">
      <w:pPr>
        <w:spacing w:line="360" w:lineRule="auto"/>
        <w:jc w:val="both"/>
      </w:pPr>
      <w:r>
        <w:rPr>
          <w:vertAlign w:val="superscript"/>
        </w:rPr>
        <w:t>f</w:t>
      </w:r>
      <w:r>
        <w:t xml:space="preserve">Faculty of Medicine and Health Sciences, University of East Anglia, UK  </w:t>
      </w:r>
      <w:r>
        <w:fldChar w:fldCharType="begin"/>
      </w:r>
      <w:r>
        <w:instrText xml:space="preserve"> HYPERLINK "mailto:M.Garraffa@uea.ac.uk" \h </w:instrText>
      </w:r>
      <w:r>
        <w:fldChar w:fldCharType="separate"/>
      </w:r>
      <w:r>
        <w:rPr>
          <w:color w:val="0000FF"/>
          <w:u w:val="single"/>
        </w:rPr>
        <w:t>M.Garraffa@uea.ac.uk</w:t>
      </w:r>
      <w:r>
        <w:rPr>
          <w:color w:val="0000FF"/>
          <w:u w:val="single"/>
        </w:rPr>
        <w:fldChar w:fldCharType="end"/>
      </w:r>
      <w:r>
        <w:t xml:space="preserve"> (M.G) </w:t>
      </w:r>
    </w:p>
    <w:p w14:paraId="0000000A">
      <w:pPr>
        <w:spacing w:line="360" w:lineRule="auto"/>
        <w:jc w:val="both"/>
      </w:pPr>
      <w:r>
        <w:rPr>
          <w:vertAlign w:val="superscript"/>
        </w:rPr>
        <w:t>g</w:t>
      </w:r>
      <w:r>
        <w:t xml:space="preserve">Curtin School of Allied Health, Curtin University, Australia;  </w:t>
      </w:r>
      <w:r>
        <w:fldChar w:fldCharType="begin"/>
      </w:r>
      <w:r>
        <w:instrText xml:space="preserve"> HYPERLINK "mailto:deborah.hersh@curtin.edu.au" \h </w:instrText>
      </w:r>
      <w:r>
        <w:fldChar w:fldCharType="separate"/>
      </w:r>
      <w:r>
        <w:rPr>
          <w:color w:val="0000FF"/>
          <w:u w:val="single"/>
        </w:rPr>
        <w:t>deborah.hersh@curtin.edu.au</w:t>
      </w:r>
      <w:r>
        <w:rPr>
          <w:color w:val="0000FF"/>
          <w:u w:val="single"/>
        </w:rPr>
        <w:fldChar w:fldCharType="end"/>
      </w:r>
      <w:r>
        <w:t xml:space="preserve"> (D.H)</w:t>
      </w:r>
    </w:p>
    <w:p w14:paraId="0000000B">
      <w:pPr>
        <w:spacing w:line="360" w:lineRule="auto"/>
        <w:jc w:val="both"/>
      </w:pPr>
    </w:p>
    <w:p w14:paraId="0000000C">
      <w:pPr>
        <w:spacing w:line="360" w:lineRule="auto"/>
        <w:jc w:val="both"/>
      </w:pPr>
      <w:r>
        <w:rPr>
          <w:b/>
        </w:rPr>
        <w:t>Corresponding Author</w:t>
      </w:r>
      <w:r>
        <w:t xml:space="preserve">: </w:t>
      </w:r>
    </w:p>
    <w:p w14:paraId="0000000D">
      <w:pPr>
        <w:spacing w:line="360" w:lineRule="auto"/>
        <w:jc w:val="both"/>
        <w:rPr>
          <w:b/>
        </w:rPr>
      </w:pPr>
      <w:r>
        <w:rPr>
          <w:b/>
        </w:rPr>
        <w:t>Shin Ying Chu</w:t>
      </w:r>
    </w:p>
    <w:p w14:paraId="0000000E">
      <w:pPr>
        <w:spacing w:line="360" w:lineRule="auto"/>
        <w:jc w:val="both"/>
      </w:pPr>
      <w:r>
        <w:t>Faculty of Health Sciences</w:t>
      </w:r>
      <w:r>
        <w:rPr>
          <w:b/>
        </w:rPr>
        <w:t xml:space="preserve">, </w:t>
      </w:r>
      <w:r>
        <w:t>Centre for Healthy Ageing and Wellness (H-CARE)</w:t>
      </w:r>
      <w:r>
        <w:rPr>
          <w:b/>
        </w:rPr>
        <w:t xml:space="preserve">, </w:t>
      </w:r>
      <w:r>
        <w:t>Speech Sciences Programme</w:t>
      </w:r>
      <w:r>
        <w:rPr>
          <w:b/>
        </w:rPr>
        <w:t xml:space="preserve">, </w:t>
      </w:r>
      <w:r>
        <w:t>Universiti Kebangsaan Malaysia</w:t>
      </w:r>
      <w:r>
        <w:rPr>
          <w:b/>
        </w:rPr>
        <w:t xml:space="preserve">, </w:t>
      </w:r>
      <w:r>
        <w:t>Kuala Lumpur, Malaysia.</w:t>
      </w:r>
    </w:p>
    <w:p w14:paraId="0000000F">
      <w:pPr>
        <w:spacing w:line="360" w:lineRule="auto"/>
        <w:jc w:val="both"/>
      </w:pPr>
      <w:r>
        <w:fldChar w:fldCharType="begin"/>
      </w:r>
      <w:r>
        <w:instrText xml:space="preserve"> HYPERLINK "mailto:chushinying@ukm.edu.my" \h </w:instrText>
      </w:r>
      <w:r>
        <w:fldChar w:fldCharType="separate"/>
      </w:r>
      <w:r>
        <w:rPr>
          <w:color w:val="0563C1"/>
          <w:u w:val="single"/>
        </w:rPr>
        <w:t>chushinying@ukm.edu.my</w:t>
      </w:r>
      <w:r>
        <w:rPr>
          <w:color w:val="0563C1"/>
          <w:u w:val="single"/>
        </w:rPr>
        <w:fldChar w:fldCharType="end"/>
      </w:r>
    </w:p>
    <w:p w14:paraId="00000010">
      <w:pPr>
        <w:spacing w:line="480" w:lineRule="auto"/>
        <w:jc w:val="center"/>
        <w:rPr>
          <w:b/>
        </w:rPr>
      </w:pPr>
    </w:p>
    <w:p w14:paraId="00000012">
      <w:pPr>
        <w:spacing w:line="480" w:lineRule="auto"/>
        <w:jc w:val="center"/>
        <w:rPr>
          <w:b/>
        </w:rPr>
      </w:pPr>
      <w:bookmarkStart w:id="9" w:name="_GoBack"/>
      <w:r>
        <w:rPr>
          <w:b/>
        </w:rPr>
        <w:t xml:space="preserve">Experiences of eating, swallowing and communication after nasopharyngeal cancer in Malaysian men: A Qualitative Study </w:t>
      </w:r>
    </w:p>
    <w:bookmarkEnd w:id="9"/>
    <w:p w14:paraId="00000013">
      <w:pPr>
        <w:spacing w:line="480" w:lineRule="auto"/>
        <w:jc w:val="both"/>
        <w:rPr>
          <w:b/>
        </w:rPr>
      </w:pPr>
      <w:r>
        <w:rPr>
          <w:b/>
        </w:rPr>
        <w:t>Abstract</w:t>
      </w:r>
    </w:p>
    <w:p w14:paraId="00000014">
      <w:pPr>
        <w:spacing w:line="480" w:lineRule="auto"/>
        <w:jc w:val="both"/>
        <w:rPr>
          <w:b/>
        </w:rPr>
      </w:pPr>
      <w:r>
        <w:rPr>
          <w:b/>
          <w:lang w:val="en-US" w:eastAsia="zh-CN"/>
        </w:rPr>
        <w:t>Background</w:t>
      </w:r>
      <w:r>
        <w:rPr>
          <w:rFonts w:hint="eastAsia"/>
          <w:b/>
          <w:lang w:val="en-US" w:eastAsia="zh-CN"/>
        </w:rPr>
        <w:t xml:space="preserve"> </w:t>
      </w:r>
      <w:r>
        <w:t xml:space="preserve">Nasopharyngeal cancer (NPC) is a relatively common cancer in Malaysia, particularly in men, but there is little research exploring its impact from the perspective of patients, including in relation to communication, eating and swallowing. This study sought to highlight experiences from the perspectives of male patients receiving treatment for NPC in Malaysia.  </w:t>
      </w:r>
    </w:p>
    <w:p w14:paraId="00000015">
      <w:pPr>
        <w:spacing w:line="480" w:lineRule="auto"/>
        <w:jc w:val="both"/>
        <w:rPr>
          <w:b/>
        </w:rPr>
      </w:pPr>
      <w:r>
        <w:rPr>
          <w:b/>
        </w:rPr>
        <w:t xml:space="preserve">Methods </w:t>
      </w:r>
      <w:r>
        <w:t>Nine males with NPC (age range 49-73) were recruited from a single hospital in Malaysia. Individual interviews were conducted by a trained graduate research assistant and guided by a semi-structured interview guide. Transcribed data from the interviews were analyzed using thematic analysis.</w:t>
      </w:r>
    </w:p>
    <w:p w14:paraId="00000016">
      <w:pPr>
        <w:spacing w:line="480" w:lineRule="auto"/>
        <w:jc w:val="both"/>
        <w:rPr>
          <w:b/>
        </w:rPr>
      </w:pPr>
      <w:r>
        <w:rPr>
          <w:b/>
        </w:rPr>
        <w:t xml:space="preserve">Results </w:t>
      </w:r>
      <w:r>
        <w:t xml:space="preserve">Respondents identified four key themes: (1) </w:t>
      </w:r>
      <w:r>
        <w:rPr>
          <w:i/>
        </w:rPr>
        <w:t>“I was too tired even to chew”</w:t>
      </w:r>
      <w:r>
        <w:t>: challenges with chewing and swallowing; (2)</w:t>
      </w:r>
      <w:r>
        <w:rPr>
          <w:i/>
        </w:rPr>
        <w:t xml:space="preserve"> “You eat because you have to survive</w:t>
      </w:r>
      <w:r>
        <w:t>”: losing the pleasure in food, (3) “</w:t>
      </w:r>
      <w:r>
        <w:rPr>
          <w:i/>
        </w:rPr>
        <w:t>I only talked about what I wanted</w:t>
      </w:r>
      <w:r>
        <w:t>”: becoming a different communicator, and (4) “</w:t>
      </w:r>
      <w:r>
        <w:rPr>
          <w:i/>
        </w:rPr>
        <w:t>…health back. That is what I hope</w:t>
      </w:r>
      <w:r>
        <w:t>”: negotiating life after cancer. Patients reported a change in eating habits, a loss of pleasure when eating, a change in behaviour in talking, and societal withdrawal. Most of the patients reported coping mechanisms such as resorting to religion or finding support through shared experiences with other cancer patients.</w:t>
      </w:r>
    </w:p>
    <w:p w14:paraId="00000017">
      <w:pPr>
        <w:spacing w:line="480" w:lineRule="auto"/>
        <w:jc w:val="both"/>
      </w:pPr>
      <w:r>
        <w:rPr>
          <w:b/>
        </w:rPr>
        <w:t xml:space="preserve">Conclusion </w:t>
      </w:r>
      <w:r>
        <w:t>This study highlights the need to understand patient perspectives of the impact of NPC on eating, swallowing and communication in order to inform intervention and to help manage the psychosocial sequelae. Speech and language pathology services are crucial for addressing swallowing and communication challenges in patients with NPC.</w:t>
      </w:r>
    </w:p>
    <w:p w14:paraId="00000018">
      <w:pPr>
        <w:spacing w:line="480" w:lineRule="auto"/>
        <w:jc w:val="both"/>
        <w:rPr>
          <w:b/>
        </w:rPr>
      </w:pPr>
      <w:r>
        <w:rPr>
          <w:b/>
        </w:rPr>
        <w:t>Keywords</w:t>
      </w:r>
      <w:r>
        <w:rPr>
          <w:rFonts w:ascii="宋体" w:hAnsi="宋体" w:eastAsia="宋体" w:cs="宋体"/>
        </w:rPr>
        <w:t>：</w:t>
      </w:r>
      <w:r>
        <w:rPr>
          <w:i/>
        </w:rPr>
        <w:t>Nasopharyngeal cancer; Communication; Swallowing; Smoking; Malaysia</w:t>
      </w:r>
    </w:p>
    <w:p w14:paraId="0000001A">
      <w:pPr>
        <w:spacing w:line="480" w:lineRule="auto"/>
        <w:jc w:val="both"/>
        <w:rPr>
          <w:b/>
          <w:color w:val="000000"/>
        </w:rPr>
      </w:pPr>
      <w:r>
        <w:rPr>
          <w:b/>
          <w:color w:val="000000"/>
        </w:rPr>
        <w:t>Introduction</w:t>
      </w:r>
    </w:p>
    <w:p w14:paraId="0000001B">
      <w:pPr>
        <w:spacing w:line="480" w:lineRule="auto"/>
        <w:ind w:firstLine="720"/>
        <w:jc w:val="both"/>
        <w:rPr>
          <w:color w:val="000000"/>
        </w:rPr>
      </w:pPr>
      <w:r>
        <w:rPr>
          <w:color w:val="000000"/>
        </w:rPr>
        <w:t>Nasopharyngeal cancer (NPC) is a type of cancer in the head and neck area arising from the mucosal epithelium behind the nose - the nasopharynx. Worldwide, NPC is the 22nd most common cancer, but the prevalence rate varies greatly in different regions, and it is far more common in China and South-East Asia (Wei et al., 2024). It is the fifth most common cancer in Malaysian men, about twice the incidence of females, and higher in Chinese Malaysians compared to Malay and Indian Malaysians (Ahmad et al., 2021). It is usually treated through radiotherapy or chemoradiation and treatments lead to a wide range of issues including xerostomia (dry mouth), dysphagia (swallowing difficulties) and sometimes hearing impairment. In their interviews with 60 patients (Male = 42, Female = 18) with NPC in Hong Kong, Tong and colleagues (2011) found that dry mouth was the most commonly reported symptom, with many reports of food getting stuck, a feeling of choking, and having to eat more slowly. They also found that other symptoms such as difficulty chewing or nasal regurgitation were present but not necessarily viewed as part of the swallowing difficulty. This finding led the authors to conclude that lay reports of swallowing problems might not reflect those of health professionals, underestimate the real issues, and that because knowledge of swallowing was generally low in patients, health professionals should be more proactive in offering supports.</w:t>
      </w:r>
    </w:p>
    <w:p w14:paraId="0000001C">
      <w:pPr>
        <w:spacing w:line="480" w:lineRule="auto"/>
        <w:ind w:firstLine="720"/>
        <w:jc w:val="both"/>
        <w:rPr>
          <w:color w:val="000000"/>
        </w:rPr>
      </w:pPr>
      <w:r>
        <w:rPr>
          <w:color w:val="000000"/>
        </w:rPr>
        <w:t>NPC falls under the statistics of Head and Neck Cancer (HNC) more broadly, with HNC as the seventh most prevalent cancer globally with approximately 800,000 new cases annually (Bray et al., 2018). The incidence of HNC in Malaysia is reported to be 8.5 per 100,000 (Wong et al., 2015).</w:t>
      </w:r>
      <w:r>
        <w:t xml:space="preserve"> </w:t>
      </w:r>
      <w:r>
        <w:rPr>
          <w:color w:val="000000"/>
        </w:rPr>
        <w:t>Alcohol and direct and second-hand tobacco consumption (Fitzmaurice et al. 2017; Galbiatti et al. 2013; Kawakita et al. 2022; Mariano et al. 2020, 2022) are high HNC risk factors, also associated with lower patient survival rates (Hashim et al., 2019). Malaysia has a relatively high rate of smoking compared to other countries in the Asian region, with a prevalence of 21.3% or 4.8 million smokers (Kamni et al., 2024). Males have a significantly higher rate of smoking than females, and smoking-related disease has been identified as a major issue (Lim et al., 2018).</w:t>
      </w:r>
    </w:p>
    <w:p w14:paraId="0000001D">
      <w:pPr>
        <w:spacing w:line="480" w:lineRule="auto"/>
        <w:ind w:firstLine="720"/>
        <w:jc w:val="both"/>
      </w:pPr>
      <w:bookmarkStart w:id="2" w:name="_heading=h.lp8gefd8ghp7" w:colFirst="0" w:colLast="0"/>
      <w:bookmarkEnd w:id="2"/>
      <w:r>
        <w:rPr>
          <w:color w:val="000000"/>
        </w:rPr>
        <w:t>The rate of HNC diagnosis also increases with the reported rate of oral sexual activity, which is correlated with the incidence of HPV infection (Fitzmaurice et al., 2017; Galbiatti et al., 2013; Gillison et al., 2015; Kawakita et al., 2022; Kobayashi et al., 2018), and other epidemiological factors including occupational exposure (Mayne et al., 2009), infection with the Epstein-Barr virus (Chan et al., 1994), and underlying genetic disorders (Beddok et al., 2020).</w:t>
      </w:r>
    </w:p>
    <w:p w14:paraId="0000001E">
      <w:pPr>
        <w:spacing w:line="480" w:lineRule="auto"/>
        <w:ind w:firstLine="720"/>
        <w:jc w:val="both"/>
        <w:rPr>
          <w:color w:val="000000"/>
        </w:rPr>
      </w:pPr>
      <w:r>
        <w:rPr>
          <w:color w:val="000000"/>
        </w:rPr>
        <w:t>Dysphagia, swallowing difficulty, has received attention from researchers in various regions including Asia (Hussain et al., 2021; Ihara et al., 2022; Kawakita et al., 2022), Europe (Suarez-Cunqueiro et al., 2008; Clarke et al., 2016), and Africa (Yifru et al., 2021). Studies conducted in these regions have shown that dysphagia is more prevalent than speech problems in post-cancer diagnosis HNC patients, with dysphagia occurring in 75.4% of cases and speech problems in 63.8% (Suarez-Cunqueiro et al., 2008). Swallowing problems are reported to be problematic in the long term, with almost half of HNC patients reporting them at 12 months post-treatment (Roe et al., 2014). Researchers continue to explore options for dysphagia management in patients with recurrence (Brady et al., 2020).</w:t>
      </w:r>
    </w:p>
    <w:p w14:paraId="0000001F">
      <w:pPr>
        <w:spacing w:line="480" w:lineRule="auto"/>
        <w:ind w:firstLine="720"/>
        <w:jc w:val="both"/>
      </w:pPr>
      <w:r>
        <w:t>Speech difficulties (dysarthria) are also common following HNC treatment, particularly surgery and radiation therapy, and are present in 57% of patients after treatment (Dwivedi et al., 2012; Hutcheson et al., 2012; Clarke et al., 2016). There may be a decrease in the quality and clarity of speech articulation, affecting functional communication (Dwivedi et al. 2012; Crowder et al. 2021). The prominent role of impaired functional communication in overall Quality of Life (QoL) is well known in patients with motor speech disorders (Miller et al., 2006; Lirani-Silva, Mourao, &amp; Gobbi, 2015; McAuliffe, Baylor, &amp; Yorkston, 2017; Barnish et al., 2017). Chen et al. (2015) reported a loss of willingness to speak in the majority of HNC patients after treatment, particularly as a result of poor intelligibility, and a tendency to withdraw from social life, greatly affecting QoL (Dwivedi et al. 2012; Vernock-de Leeuw, 2023).</w:t>
      </w:r>
    </w:p>
    <w:p w14:paraId="00000020">
      <w:pPr>
        <w:spacing w:line="480" w:lineRule="auto"/>
        <w:ind w:firstLine="720"/>
        <w:jc w:val="both"/>
      </w:pPr>
      <w:r>
        <w:t>Speech and language therapy services are, therefore, a crucial aspect of care (Rothrie et al., 2022) for patients with HNC, including those with NPC. However, not all patients are referred (Crowder et al. 2021) and</w:t>
      </w:r>
      <w:r>
        <w:rPr>
          <w:color w:val="000000"/>
        </w:rPr>
        <w:t xml:space="preserve"> most existing studies in Malaysia have focused only on dysphagia rather than both swallowing and communication.</w:t>
      </w:r>
      <w:r>
        <w:t xml:space="preserve"> Abdul Wahab et al. (2015) found that 59.1% of Malaysian HNC patients from a Northern hospital experienced dysphagia before, during, or after cancer treatment. Hussain et al. (2021) also showed that 43.3% of Malaysian patients with HNC in tertiary public hospitals had dysphagia. </w:t>
      </w:r>
    </w:p>
    <w:p w14:paraId="00000022">
      <w:pPr>
        <w:spacing w:line="480" w:lineRule="auto"/>
        <w:ind w:firstLine="720"/>
        <w:jc w:val="both"/>
      </w:pPr>
      <w:r>
        <w:t xml:space="preserve"> In this study, we sought to address a current gap in knowledge about both the communication and swallowing experiences of Malaysian men with NPC considering the high prevalence and high rates of smoking. It is important to have local understanding of these experiences in order to develop effective, culturally sensitive interventions and improve the quality of life for these patients. Malaysian patients’ experiences and responses to illness are likely influenced by beliefs, traditional practices, and varying levels of health literacy, which may affect how they perceive, accept, and manage their diagnosis and care (Institute for Public Health, Ministry of Health Malaysia, 2019). </w:t>
      </w:r>
    </w:p>
    <w:p w14:paraId="40AACDEC">
      <w:pPr>
        <w:spacing w:line="480" w:lineRule="auto"/>
        <w:ind w:firstLine="720"/>
        <w:jc w:val="both"/>
      </w:pPr>
    </w:p>
    <w:p w14:paraId="00000023">
      <w:pPr>
        <w:spacing w:line="480" w:lineRule="auto"/>
        <w:jc w:val="both"/>
        <w:rPr>
          <w:b/>
        </w:rPr>
      </w:pPr>
      <w:r>
        <w:rPr>
          <w:b/>
        </w:rPr>
        <w:t xml:space="preserve">Materials and Methods </w:t>
      </w:r>
    </w:p>
    <w:p w14:paraId="00000024">
      <w:pPr>
        <w:spacing w:line="480" w:lineRule="auto"/>
        <w:ind w:firstLine="720"/>
        <w:jc w:val="both"/>
      </w:pPr>
      <w:r>
        <w:t>This qualitative study focused on the perspectives of changes in communication, eating, and swallowing in Malaysian patients with NPC. Data were collected through in-depth, semi-structured interviews. Purposive sampling was used to recruit participants from Hospital Canselor Tuanku Muhriz, Universiti Kebangsaan Malaysia (HCTM UKM). All recruited participants were receiving chemotherapy, radiotherapy, or both, in the Department of Oncology and Radiotherapy, HCTM UKM.</w:t>
      </w:r>
    </w:p>
    <w:p w14:paraId="00000025">
      <w:pPr>
        <w:spacing w:line="480" w:lineRule="auto"/>
        <w:ind w:firstLine="720"/>
        <w:jc w:val="both"/>
      </w:pPr>
      <w:r>
        <w:t>The inclusion criteria of the participants were as follows: (i) being a Malaysian citizen with a diagnosis of NPC and (ii) being able to communicate in Bahasa Melayu (Malaysian national language), English, or Mandarin. Participants were excluded from the study if they had a diagnosis of chronic mental health issues, or frail condition with altered mental capacity or psychiatric disorder. This study was approved by the University Kebangsaan Malaysia ethics committee (UKM PPI/111/8/JEP-2023-029) and this study was performed in accordance with relevant guidelines and regulations by the ethics board. Prior to the interviews, each participant was briefed about the procedure verbally, and informed consent was obtained from all subjects.</w:t>
      </w:r>
    </w:p>
    <w:p w14:paraId="62E9817E">
      <w:pPr>
        <w:spacing w:line="480" w:lineRule="auto"/>
        <w:ind w:firstLine="720"/>
        <w:jc w:val="both"/>
      </w:pPr>
      <w:r>
        <w:t>The interviews were conducted face-to-face in the Department of Oncology and Radiotherapy, HCTM UKM, by one of the authors, who was a fourth-year student in the Speech Science Program of UKM at the time. The interviews were conducted in Bahasa Melayu, English, or Mandarin, depending on the respondents' predominant language. The interviews comprised open-ended and closed-ended questions, with the aim of exploring how NPC and related treatment impacted the participants' communication, eating, and swallowing in their daily lives, as well as their coping strategies for these challenges (Appendix A). In addition to the audio recordings, the interviewer also noted the nonverbal expressions (e.g., laughs, sighs, facial expressions, and body gestures) made by the participants, which also contributed to the conveyance of meanings and emotions beyond words throughout the sharing of their experiences (Lucas, 2010).</w:t>
      </w:r>
    </w:p>
    <w:p w14:paraId="18BCFD46">
      <w:pPr>
        <w:spacing w:line="480" w:lineRule="auto"/>
        <w:ind w:firstLine="720"/>
        <w:jc w:val="both"/>
      </w:pPr>
    </w:p>
    <w:p w14:paraId="00000028">
      <w:pPr>
        <w:spacing w:line="480" w:lineRule="auto"/>
        <w:jc w:val="both"/>
        <w:rPr>
          <w:b/>
        </w:rPr>
      </w:pPr>
      <w:r>
        <w:rPr>
          <w:b/>
        </w:rPr>
        <w:t xml:space="preserve">Data Analysis </w:t>
      </w:r>
    </w:p>
    <w:p w14:paraId="00000029">
      <w:pPr>
        <w:spacing w:line="480" w:lineRule="auto"/>
        <w:ind w:firstLine="720"/>
        <w:jc w:val="both"/>
      </w:pPr>
      <w:r>
        <w:t>The audio recordings were transcribed verbatim by a native speaker. To check the accuracy of the data transcription, 20% of the recordings were randomly selected from each data point and transcribed by a first-year speech-language pathology student. The two versions of the transcriptions were compared, and each discrepancy was given a score of 1, whereas consensus was given a score of 0. No discrepancies were observed among the 10 transcripts, resulting in 100% agreement.</w:t>
      </w:r>
    </w:p>
    <w:p w14:paraId="0000002A">
      <w:pPr>
        <w:spacing w:line="480" w:lineRule="auto"/>
        <w:ind w:firstLine="720"/>
        <w:jc w:val="both"/>
      </w:pPr>
      <w:r>
        <w:t>This study employed Braun and Clarke's (2006) six-phase thematic analysis framework. The analysis commenced by becoming familiar with the data and generating initial codes, progressing through the identification and exploration of themes, their review, definition, and finally, the synthesis of findings. At the same time, precautions (i.e., avoiding the trap of using the main interview questions as themes or ensuring that we coded for latent rather than more superficial semantic themes) were taken to interpret and make sense of the data, so that the analysis was not simply a summary of the data (Braun &amp; Clarke, 2006; Clarke &amp; Braun, 2013). The first phase involved repeatedly reading transcripts and taking notes to capture early impressions. The second phase, which entailed generating initial codes, was carried out collaboratively by the authors using an open coding system. This involved an inductive process of developing and modifying codes along the way rather than relying on preset codes to organize the data in a meaningful and systematic manner. Themes were then generated by examining the codes and organizing them into categories that fit together. In the fourth phase, the themes were reviewed to ensure that they made sense and were supported by data. Overlapping or irrelevant categories were removed, and themes were defined in the fifth phase by identifying their essence and how they were related to each other. Finally, the results of the data analysis were reported in a write-up, marking the conclusion of the sixth and final phases of the thematic analysis.</w:t>
      </w:r>
    </w:p>
    <w:p w14:paraId="0000002C">
      <w:pPr>
        <w:spacing w:line="480" w:lineRule="auto"/>
        <w:ind w:firstLine="720"/>
        <w:jc w:val="both"/>
      </w:pPr>
      <w:r>
        <w:t>Two of the interviews were conducted in Mandarin, and the remaining interviews were conducted in English and Malay. When code-switching occurred, the interviewer continued to use a second language. All quotes were in colloquial English or standard English translated from Malay or Mandarin. Quotes were provided in this paper by the participants in colloquial English, which were reported verbatim. However, translations from the language were reported in standard English with an * at the beginning of the quote.</w:t>
      </w:r>
    </w:p>
    <w:p w14:paraId="012CDD19">
      <w:pPr>
        <w:spacing w:line="480" w:lineRule="auto"/>
        <w:ind w:firstLine="720"/>
        <w:jc w:val="both"/>
      </w:pPr>
    </w:p>
    <w:p w14:paraId="0000002D">
      <w:pPr>
        <w:spacing w:line="480" w:lineRule="auto"/>
        <w:jc w:val="both"/>
        <w:rPr>
          <w:b/>
        </w:rPr>
      </w:pPr>
      <w:bookmarkStart w:id="3" w:name="_heading=h.u5tu42rukhfp" w:colFirst="0" w:colLast="0"/>
      <w:bookmarkEnd w:id="3"/>
      <w:r>
        <w:rPr>
          <w:b/>
        </w:rPr>
        <w:t>Results</w:t>
      </w:r>
    </w:p>
    <w:p w14:paraId="0000002E">
      <w:pPr>
        <w:spacing w:line="480" w:lineRule="auto"/>
        <w:jc w:val="both"/>
        <w:rPr>
          <w:b/>
        </w:rPr>
      </w:pPr>
      <w:r>
        <w:rPr>
          <w:b/>
        </w:rPr>
        <w:t xml:space="preserve">Demographic information </w:t>
      </w:r>
    </w:p>
    <w:p w14:paraId="00000030">
      <w:pPr>
        <w:spacing w:line="480" w:lineRule="auto"/>
        <w:ind w:firstLine="720"/>
        <w:jc w:val="both"/>
      </w:pPr>
      <w:r>
        <w:t>Nine male individuals were interviewed (Table 1). Of the 9 participants, six were of Malay background, two were Chinese, and one was Indian. All participants resided in either the Federal Territory of Kuala Lumpur or the Selangor state and were able to attend their treatment appointments regularly at HCTM UKM. Participants were diagnosed with NPC. The cancer stages ranged from 2 to 4, and the duration of diagnosis ranged from two to eight years. Among the participants, five were former smokers who had smoked for over 20 years, but none of them were smokers after being diagnosed with cancer. None of the participants reported alcohol use before or after their diagnosis. Table 2 provides the details of the individual respondents and their code.</w:t>
      </w:r>
    </w:p>
    <w:p w14:paraId="6982EB01">
      <w:pPr>
        <w:spacing w:line="276" w:lineRule="auto"/>
        <w:jc w:val="both"/>
        <w:rPr>
          <w:sz w:val="22"/>
          <w:szCs w:val="22"/>
        </w:rPr>
      </w:pPr>
      <w:r>
        <w:rPr>
          <w:b/>
        </w:rPr>
        <w:t>Table 1.</w:t>
      </w:r>
      <w:r>
        <w:t xml:space="preserve"> </w:t>
      </w:r>
      <w:r>
        <w:rPr>
          <w:sz w:val="22"/>
          <w:szCs w:val="22"/>
        </w:rPr>
        <w:t xml:space="preserve">Demographic characteristics of participants (n = 9). </w:t>
      </w:r>
    </w:p>
    <w:tbl>
      <w:tblPr>
        <w:tblStyle w:val="35"/>
        <w:tblW w:w="7513" w:type="dxa"/>
        <w:tblInd w:w="0" w:type="dxa"/>
        <w:tblLayout w:type="fixed"/>
        <w:tblCellMar>
          <w:top w:w="0" w:type="dxa"/>
          <w:left w:w="0" w:type="dxa"/>
          <w:bottom w:w="0" w:type="dxa"/>
          <w:right w:w="0" w:type="dxa"/>
        </w:tblCellMar>
      </w:tblPr>
      <w:tblGrid>
        <w:gridCol w:w="3119"/>
        <w:gridCol w:w="3402"/>
        <w:gridCol w:w="992"/>
      </w:tblGrid>
      <w:tr w14:paraId="0FD6DB3F">
        <w:trPr>
          <w:trHeight w:val="315" w:hRule="atLeast"/>
        </w:trPr>
        <w:tc>
          <w:tcPr>
            <w:tcW w:w="6521" w:type="dxa"/>
            <w:gridSpan w:val="2"/>
            <w:tcBorders>
              <w:top w:val="single" w:color="000000" w:sz="6" w:space="0"/>
              <w:bottom w:val="single" w:color="000000" w:sz="6" w:space="0"/>
            </w:tcBorders>
            <w:tcMar>
              <w:top w:w="30" w:type="dxa"/>
              <w:left w:w="45" w:type="dxa"/>
              <w:bottom w:w="30" w:type="dxa"/>
              <w:right w:w="45" w:type="dxa"/>
            </w:tcMar>
            <w:vAlign w:val="bottom"/>
          </w:tcPr>
          <w:p w14:paraId="52D2B5E5">
            <w:r>
              <w:t>Variable</w:t>
            </w:r>
          </w:p>
        </w:tc>
        <w:tc>
          <w:tcPr>
            <w:tcW w:w="992" w:type="dxa"/>
            <w:tcBorders>
              <w:top w:val="single" w:color="000000" w:sz="6" w:space="0"/>
              <w:bottom w:val="single" w:color="000000" w:sz="6" w:space="0"/>
            </w:tcBorders>
            <w:tcMar>
              <w:top w:w="30" w:type="dxa"/>
              <w:left w:w="45" w:type="dxa"/>
              <w:bottom w:w="30" w:type="dxa"/>
              <w:right w:w="45" w:type="dxa"/>
            </w:tcMar>
            <w:vAlign w:val="bottom"/>
          </w:tcPr>
          <w:p w14:paraId="3BC537A4">
            <w:pPr>
              <w:jc w:val="center"/>
            </w:pPr>
            <w:r>
              <w:t>n</w:t>
            </w:r>
          </w:p>
        </w:tc>
      </w:tr>
      <w:tr w14:paraId="1B2317BA">
        <w:trPr>
          <w:trHeight w:val="315" w:hRule="atLeast"/>
        </w:trPr>
        <w:tc>
          <w:tcPr>
            <w:tcW w:w="6521" w:type="dxa"/>
            <w:gridSpan w:val="2"/>
            <w:tcMar>
              <w:top w:w="30" w:type="dxa"/>
              <w:left w:w="45" w:type="dxa"/>
              <w:bottom w:w="30" w:type="dxa"/>
              <w:right w:w="45" w:type="dxa"/>
            </w:tcMar>
            <w:vAlign w:val="bottom"/>
          </w:tcPr>
          <w:p w14:paraId="0B69AD8A">
            <w:r>
              <w:t>Stage of HNC</w:t>
            </w:r>
          </w:p>
        </w:tc>
        <w:tc>
          <w:tcPr>
            <w:tcW w:w="992" w:type="dxa"/>
            <w:tcMar>
              <w:top w:w="30" w:type="dxa"/>
              <w:left w:w="45" w:type="dxa"/>
              <w:bottom w:w="30" w:type="dxa"/>
              <w:right w:w="45" w:type="dxa"/>
            </w:tcMar>
          </w:tcPr>
          <w:p w14:paraId="6A52903B"/>
        </w:tc>
      </w:tr>
      <w:tr w14:paraId="011D504C">
        <w:trPr>
          <w:trHeight w:val="315" w:hRule="atLeast"/>
        </w:trPr>
        <w:tc>
          <w:tcPr>
            <w:tcW w:w="3119" w:type="dxa"/>
            <w:tcMar>
              <w:top w:w="30" w:type="dxa"/>
              <w:left w:w="45" w:type="dxa"/>
              <w:bottom w:w="30" w:type="dxa"/>
              <w:right w:w="45" w:type="dxa"/>
            </w:tcMar>
            <w:vAlign w:val="bottom"/>
          </w:tcPr>
          <w:p w14:paraId="41E901D2">
            <w:pPr>
              <w:rPr>
                <w:sz w:val="20"/>
                <w:szCs w:val="20"/>
              </w:rPr>
            </w:pPr>
          </w:p>
        </w:tc>
        <w:tc>
          <w:tcPr>
            <w:tcW w:w="3402" w:type="dxa"/>
            <w:tcMar>
              <w:top w:w="30" w:type="dxa"/>
              <w:left w:w="45" w:type="dxa"/>
              <w:bottom w:w="30" w:type="dxa"/>
              <w:right w:w="45" w:type="dxa"/>
            </w:tcMar>
            <w:vAlign w:val="bottom"/>
          </w:tcPr>
          <w:p w14:paraId="407E6CDC">
            <w:r>
              <w:t>2</w:t>
            </w:r>
          </w:p>
        </w:tc>
        <w:tc>
          <w:tcPr>
            <w:tcW w:w="992" w:type="dxa"/>
            <w:tcMar>
              <w:top w:w="30" w:type="dxa"/>
              <w:left w:w="45" w:type="dxa"/>
              <w:bottom w:w="30" w:type="dxa"/>
              <w:right w:w="45" w:type="dxa"/>
            </w:tcMar>
            <w:vAlign w:val="bottom"/>
          </w:tcPr>
          <w:p w14:paraId="4E1A538B">
            <w:pPr>
              <w:jc w:val="center"/>
            </w:pPr>
            <w:r>
              <w:t>4</w:t>
            </w:r>
          </w:p>
        </w:tc>
      </w:tr>
      <w:tr w14:paraId="48654C5E">
        <w:trPr>
          <w:trHeight w:val="315" w:hRule="atLeast"/>
        </w:trPr>
        <w:tc>
          <w:tcPr>
            <w:tcW w:w="3119" w:type="dxa"/>
            <w:tcMar>
              <w:top w:w="30" w:type="dxa"/>
              <w:left w:w="45" w:type="dxa"/>
              <w:bottom w:w="30" w:type="dxa"/>
              <w:right w:w="45" w:type="dxa"/>
            </w:tcMar>
            <w:vAlign w:val="bottom"/>
          </w:tcPr>
          <w:p w14:paraId="3284F516">
            <w:pPr>
              <w:jc w:val="center"/>
            </w:pPr>
          </w:p>
        </w:tc>
        <w:tc>
          <w:tcPr>
            <w:tcW w:w="3402" w:type="dxa"/>
            <w:tcMar>
              <w:top w:w="30" w:type="dxa"/>
              <w:left w:w="45" w:type="dxa"/>
              <w:bottom w:w="30" w:type="dxa"/>
              <w:right w:w="45" w:type="dxa"/>
            </w:tcMar>
            <w:vAlign w:val="bottom"/>
          </w:tcPr>
          <w:p w14:paraId="71BA92B0">
            <w:r>
              <w:t>3</w:t>
            </w:r>
          </w:p>
        </w:tc>
        <w:tc>
          <w:tcPr>
            <w:tcW w:w="992" w:type="dxa"/>
            <w:tcMar>
              <w:top w:w="30" w:type="dxa"/>
              <w:left w:w="45" w:type="dxa"/>
              <w:bottom w:w="30" w:type="dxa"/>
              <w:right w:w="45" w:type="dxa"/>
            </w:tcMar>
            <w:vAlign w:val="bottom"/>
          </w:tcPr>
          <w:p w14:paraId="182F478E">
            <w:pPr>
              <w:jc w:val="center"/>
            </w:pPr>
            <w:r>
              <w:t>3</w:t>
            </w:r>
          </w:p>
        </w:tc>
      </w:tr>
      <w:tr w14:paraId="787315C1">
        <w:trPr>
          <w:trHeight w:val="315" w:hRule="atLeast"/>
        </w:trPr>
        <w:tc>
          <w:tcPr>
            <w:tcW w:w="3119" w:type="dxa"/>
            <w:tcMar>
              <w:top w:w="30" w:type="dxa"/>
              <w:left w:w="45" w:type="dxa"/>
              <w:bottom w:w="30" w:type="dxa"/>
              <w:right w:w="45" w:type="dxa"/>
            </w:tcMar>
            <w:vAlign w:val="bottom"/>
          </w:tcPr>
          <w:p w14:paraId="372CF0F2">
            <w:pPr>
              <w:jc w:val="center"/>
            </w:pPr>
          </w:p>
        </w:tc>
        <w:tc>
          <w:tcPr>
            <w:tcW w:w="3402" w:type="dxa"/>
            <w:tcMar>
              <w:top w:w="30" w:type="dxa"/>
              <w:left w:w="45" w:type="dxa"/>
              <w:bottom w:w="30" w:type="dxa"/>
              <w:right w:w="45" w:type="dxa"/>
            </w:tcMar>
            <w:vAlign w:val="bottom"/>
          </w:tcPr>
          <w:p w14:paraId="6958AC9E">
            <w:r>
              <w:t>4</w:t>
            </w:r>
          </w:p>
        </w:tc>
        <w:tc>
          <w:tcPr>
            <w:tcW w:w="992" w:type="dxa"/>
            <w:tcMar>
              <w:top w:w="30" w:type="dxa"/>
              <w:left w:w="45" w:type="dxa"/>
              <w:bottom w:w="30" w:type="dxa"/>
              <w:right w:w="45" w:type="dxa"/>
            </w:tcMar>
            <w:vAlign w:val="bottom"/>
          </w:tcPr>
          <w:p w14:paraId="1ABC370D">
            <w:pPr>
              <w:jc w:val="center"/>
            </w:pPr>
            <w:r>
              <w:t>2</w:t>
            </w:r>
          </w:p>
        </w:tc>
      </w:tr>
      <w:tr w14:paraId="7D201DC3">
        <w:trPr>
          <w:trHeight w:val="315" w:hRule="atLeast"/>
        </w:trPr>
        <w:tc>
          <w:tcPr>
            <w:tcW w:w="6521" w:type="dxa"/>
            <w:gridSpan w:val="2"/>
            <w:tcMar>
              <w:top w:w="30" w:type="dxa"/>
              <w:left w:w="45" w:type="dxa"/>
              <w:bottom w:w="30" w:type="dxa"/>
              <w:right w:w="45" w:type="dxa"/>
            </w:tcMar>
            <w:vAlign w:val="bottom"/>
          </w:tcPr>
          <w:p w14:paraId="24FCC287">
            <w:r>
              <w:t>Duration of being diagnosed with HNC (years)</w:t>
            </w:r>
          </w:p>
        </w:tc>
        <w:tc>
          <w:tcPr>
            <w:tcW w:w="992" w:type="dxa"/>
            <w:tcMar>
              <w:top w:w="30" w:type="dxa"/>
              <w:left w:w="45" w:type="dxa"/>
              <w:bottom w:w="30" w:type="dxa"/>
              <w:right w:w="45" w:type="dxa"/>
            </w:tcMar>
          </w:tcPr>
          <w:p w14:paraId="06DE2F7C"/>
        </w:tc>
      </w:tr>
      <w:tr w14:paraId="4DD91123">
        <w:trPr>
          <w:trHeight w:val="315" w:hRule="atLeast"/>
        </w:trPr>
        <w:tc>
          <w:tcPr>
            <w:tcW w:w="3119" w:type="dxa"/>
            <w:tcMar>
              <w:top w:w="30" w:type="dxa"/>
              <w:left w:w="45" w:type="dxa"/>
              <w:bottom w:w="30" w:type="dxa"/>
              <w:right w:w="45" w:type="dxa"/>
            </w:tcMar>
            <w:vAlign w:val="bottom"/>
          </w:tcPr>
          <w:p w14:paraId="63EC0757">
            <w:pPr>
              <w:rPr>
                <w:sz w:val="20"/>
                <w:szCs w:val="20"/>
              </w:rPr>
            </w:pPr>
          </w:p>
        </w:tc>
        <w:tc>
          <w:tcPr>
            <w:tcW w:w="3402" w:type="dxa"/>
            <w:tcMar>
              <w:top w:w="30" w:type="dxa"/>
              <w:left w:w="45" w:type="dxa"/>
              <w:bottom w:w="30" w:type="dxa"/>
              <w:right w:w="45" w:type="dxa"/>
            </w:tcMar>
            <w:vAlign w:val="bottom"/>
          </w:tcPr>
          <w:p w14:paraId="2EC8E7EA">
            <w:pPr>
              <w:rPr>
                <w:rFonts w:hint="default" w:ascii="Times New Roman Regular" w:hAnsi="Times New Roman Regular" w:cs="Times New Roman Regular"/>
              </w:rPr>
            </w:pPr>
            <w:r>
              <w:rPr>
                <w:rFonts w:hint="default" w:ascii="Times New Roman Regular" w:hAnsi="Times New Roman Regular" w:cs="Times New Roman Regular"/>
              </w:rPr>
              <w:t>&lt; 1</w:t>
            </w:r>
          </w:p>
        </w:tc>
        <w:tc>
          <w:tcPr>
            <w:tcW w:w="992" w:type="dxa"/>
            <w:tcMar>
              <w:top w:w="30" w:type="dxa"/>
              <w:left w:w="45" w:type="dxa"/>
              <w:bottom w:w="30" w:type="dxa"/>
              <w:right w:w="45" w:type="dxa"/>
            </w:tcMar>
            <w:vAlign w:val="bottom"/>
          </w:tcPr>
          <w:p w14:paraId="6BE3A148">
            <w:pPr>
              <w:jc w:val="center"/>
            </w:pPr>
            <w:r>
              <w:t>5</w:t>
            </w:r>
          </w:p>
        </w:tc>
      </w:tr>
      <w:tr w14:paraId="51A2DF1A">
        <w:trPr>
          <w:trHeight w:val="315" w:hRule="atLeast"/>
        </w:trPr>
        <w:tc>
          <w:tcPr>
            <w:tcW w:w="3119" w:type="dxa"/>
            <w:tcMar>
              <w:top w:w="30" w:type="dxa"/>
              <w:left w:w="45" w:type="dxa"/>
              <w:bottom w:w="30" w:type="dxa"/>
              <w:right w:w="45" w:type="dxa"/>
            </w:tcMar>
            <w:vAlign w:val="bottom"/>
          </w:tcPr>
          <w:p w14:paraId="0FB84D25">
            <w:pPr>
              <w:jc w:val="center"/>
            </w:pPr>
          </w:p>
        </w:tc>
        <w:tc>
          <w:tcPr>
            <w:tcW w:w="3402" w:type="dxa"/>
            <w:tcMar>
              <w:top w:w="30" w:type="dxa"/>
              <w:left w:w="45" w:type="dxa"/>
              <w:bottom w:w="30" w:type="dxa"/>
              <w:right w:w="45" w:type="dxa"/>
            </w:tcMar>
            <w:vAlign w:val="bottom"/>
          </w:tcPr>
          <w:p w14:paraId="439A3AFE">
            <w:pPr>
              <w:rPr>
                <w:rFonts w:hint="default" w:ascii="Times New Roman Regular" w:hAnsi="Times New Roman Regular" w:cs="Times New Roman Regular"/>
              </w:rPr>
            </w:pPr>
            <w:sdt>
              <w:sdtPr>
                <w:rPr>
                  <w:rFonts w:hint="default" w:ascii="Times New Roman Regular" w:hAnsi="Times New Roman Regular" w:cs="Times New Roman Regular"/>
                </w:rPr>
                <w:tag w:val="goog_rdk_9"/>
                <w:id w:val="842709301"/>
              </w:sdtPr>
              <w:sdtEndPr>
                <w:rPr>
                  <w:rFonts w:hint="default" w:ascii="Times New Roman Regular" w:hAnsi="Times New Roman Regular" w:cs="Times New Roman Regular"/>
                </w:rPr>
              </w:sdtEndPr>
              <w:sdtContent>
                <w:r>
                  <w:rPr>
                    <w:rFonts w:hint="default" w:ascii="Times New Roman Regular" w:hAnsi="Times New Roman Regular" w:eastAsia="Gungsuh" w:cs="Times New Roman Regular"/>
                  </w:rPr>
                  <w:t>≥ 1</w:t>
                </w:r>
              </w:sdtContent>
            </w:sdt>
          </w:p>
        </w:tc>
        <w:tc>
          <w:tcPr>
            <w:tcW w:w="992" w:type="dxa"/>
            <w:tcMar>
              <w:top w:w="30" w:type="dxa"/>
              <w:left w:w="45" w:type="dxa"/>
              <w:bottom w:w="30" w:type="dxa"/>
              <w:right w:w="45" w:type="dxa"/>
            </w:tcMar>
            <w:vAlign w:val="bottom"/>
          </w:tcPr>
          <w:p w14:paraId="20DBD664">
            <w:pPr>
              <w:jc w:val="center"/>
            </w:pPr>
            <w:r>
              <w:t>1</w:t>
            </w:r>
          </w:p>
        </w:tc>
      </w:tr>
      <w:tr w14:paraId="6B191001">
        <w:trPr>
          <w:trHeight w:val="315" w:hRule="atLeast"/>
        </w:trPr>
        <w:tc>
          <w:tcPr>
            <w:tcW w:w="3119" w:type="dxa"/>
            <w:tcMar>
              <w:top w:w="30" w:type="dxa"/>
              <w:left w:w="45" w:type="dxa"/>
              <w:bottom w:w="30" w:type="dxa"/>
              <w:right w:w="45" w:type="dxa"/>
            </w:tcMar>
            <w:vAlign w:val="bottom"/>
          </w:tcPr>
          <w:p w14:paraId="678C8C36">
            <w:pPr>
              <w:jc w:val="center"/>
            </w:pPr>
          </w:p>
        </w:tc>
        <w:tc>
          <w:tcPr>
            <w:tcW w:w="3402" w:type="dxa"/>
            <w:tcMar>
              <w:top w:w="30" w:type="dxa"/>
              <w:left w:w="45" w:type="dxa"/>
              <w:bottom w:w="30" w:type="dxa"/>
              <w:right w:w="45" w:type="dxa"/>
            </w:tcMar>
            <w:vAlign w:val="bottom"/>
          </w:tcPr>
          <w:p w14:paraId="10CF53DF">
            <w:pPr>
              <w:rPr>
                <w:rFonts w:hint="default" w:ascii="Times New Roman Regular" w:hAnsi="Times New Roman Regular" w:cs="Times New Roman Regular"/>
              </w:rPr>
            </w:pPr>
            <w:sdt>
              <w:sdtPr>
                <w:rPr>
                  <w:rFonts w:hint="default" w:ascii="Times New Roman Regular" w:hAnsi="Times New Roman Regular" w:cs="Times New Roman Regular"/>
                </w:rPr>
                <w:tag w:val="goog_rdk_10"/>
                <w:id w:val="760569942"/>
              </w:sdtPr>
              <w:sdtEndPr>
                <w:rPr>
                  <w:rFonts w:hint="default" w:ascii="Times New Roman Regular" w:hAnsi="Times New Roman Regular" w:cs="Times New Roman Regular"/>
                </w:rPr>
              </w:sdtEndPr>
              <w:sdtContent>
                <w:r>
                  <w:rPr>
                    <w:rFonts w:hint="default" w:ascii="Times New Roman Regular" w:hAnsi="Times New Roman Regular" w:eastAsia="Gungsuh" w:cs="Times New Roman Regular"/>
                  </w:rPr>
                  <w:t>≥ 2</w:t>
                </w:r>
              </w:sdtContent>
            </w:sdt>
          </w:p>
        </w:tc>
        <w:tc>
          <w:tcPr>
            <w:tcW w:w="992" w:type="dxa"/>
            <w:tcMar>
              <w:top w:w="30" w:type="dxa"/>
              <w:left w:w="45" w:type="dxa"/>
              <w:bottom w:w="30" w:type="dxa"/>
              <w:right w:w="45" w:type="dxa"/>
            </w:tcMar>
            <w:vAlign w:val="bottom"/>
          </w:tcPr>
          <w:p w14:paraId="1E586B7D">
            <w:pPr>
              <w:jc w:val="center"/>
            </w:pPr>
            <w:r>
              <w:t>1</w:t>
            </w:r>
          </w:p>
        </w:tc>
      </w:tr>
      <w:tr w14:paraId="3FB0883A">
        <w:trPr>
          <w:trHeight w:val="315" w:hRule="atLeast"/>
        </w:trPr>
        <w:tc>
          <w:tcPr>
            <w:tcW w:w="3119" w:type="dxa"/>
            <w:tcMar>
              <w:top w:w="30" w:type="dxa"/>
              <w:left w:w="45" w:type="dxa"/>
              <w:bottom w:w="30" w:type="dxa"/>
              <w:right w:w="45" w:type="dxa"/>
            </w:tcMar>
            <w:vAlign w:val="bottom"/>
          </w:tcPr>
          <w:p w14:paraId="727572A3">
            <w:pPr>
              <w:jc w:val="center"/>
            </w:pPr>
          </w:p>
        </w:tc>
        <w:tc>
          <w:tcPr>
            <w:tcW w:w="3402" w:type="dxa"/>
            <w:tcMar>
              <w:top w:w="30" w:type="dxa"/>
              <w:left w:w="45" w:type="dxa"/>
              <w:bottom w:w="30" w:type="dxa"/>
              <w:right w:w="45" w:type="dxa"/>
            </w:tcMar>
            <w:vAlign w:val="bottom"/>
          </w:tcPr>
          <w:p w14:paraId="44257AF8">
            <w:pPr>
              <w:rPr>
                <w:rFonts w:hint="default" w:ascii="Times New Roman Regular" w:hAnsi="Times New Roman Regular" w:cs="Times New Roman Regular"/>
              </w:rPr>
            </w:pPr>
            <w:sdt>
              <w:sdtPr>
                <w:rPr>
                  <w:rFonts w:hint="default" w:ascii="Times New Roman Regular" w:hAnsi="Times New Roman Regular" w:cs="Times New Roman Regular"/>
                </w:rPr>
                <w:tag w:val="goog_rdk_11"/>
                <w:id w:val="76348250"/>
              </w:sdtPr>
              <w:sdtEndPr>
                <w:rPr>
                  <w:rFonts w:hint="default" w:ascii="Times New Roman Regular" w:hAnsi="Times New Roman Regular" w:cs="Times New Roman Regular"/>
                </w:rPr>
              </w:sdtEndPr>
              <w:sdtContent>
                <w:r>
                  <w:rPr>
                    <w:rFonts w:hint="default" w:ascii="Times New Roman Regular" w:hAnsi="Times New Roman Regular" w:eastAsia="Gungsuh" w:cs="Times New Roman Regular"/>
                  </w:rPr>
                  <w:t>≥ 3</w:t>
                </w:r>
              </w:sdtContent>
            </w:sdt>
          </w:p>
        </w:tc>
        <w:tc>
          <w:tcPr>
            <w:tcW w:w="992" w:type="dxa"/>
            <w:tcMar>
              <w:top w:w="30" w:type="dxa"/>
              <w:left w:w="45" w:type="dxa"/>
              <w:bottom w:w="30" w:type="dxa"/>
              <w:right w:w="45" w:type="dxa"/>
            </w:tcMar>
            <w:vAlign w:val="bottom"/>
          </w:tcPr>
          <w:p w14:paraId="52404E1E">
            <w:pPr>
              <w:jc w:val="center"/>
            </w:pPr>
            <w:r>
              <w:t>2</w:t>
            </w:r>
          </w:p>
        </w:tc>
      </w:tr>
      <w:tr w14:paraId="271F5BE0">
        <w:trPr>
          <w:trHeight w:val="315" w:hRule="atLeast"/>
        </w:trPr>
        <w:tc>
          <w:tcPr>
            <w:tcW w:w="6521" w:type="dxa"/>
            <w:gridSpan w:val="2"/>
            <w:tcMar>
              <w:top w:w="30" w:type="dxa"/>
              <w:left w:w="45" w:type="dxa"/>
              <w:bottom w:w="30" w:type="dxa"/>
              <w:right w:w="45" w:type="dxa"/>
            </w:tcMar>
            <w:vAlign w:val="bottom"/>
          </w:tcPr>
          <w:p w14:paraId="65B196D8">
            <w:r>
              <w:t>Age (years old)</w:t>
            </w:r>
          </w:p>
        </w:tc>
        <w:tc>
          <w:tcPr>
            <w:tcW w:w="992" w:type="dxa"/>
            <w:tcMar>
              <w:top w:w="30" w:type="dxa"/>
              <w:left w:w="45" w:type="dxa"/>
              <w:bottom w:w="30" w:type="dxa"/>
              <w:right w:w="45" w:type="dxa"/>
            </w:tcMar>
          </w:tcPr>
          <w:p w14:paraId="52197250"/>
        </w:tc>
      </w:tr>
      <w:tr w14:paraId="6A94968D">
        <w:trPr>
          <w:trHeight w:val="315" w:hRule="atLeast"/>
        </w:trPr>
        <w:tc>
          <w:tcPr>
            <w:tcW w:w="3119" w:type="dxa"/>
            <w:tcMar>
              <w:top w:w="30" w:type="dxa"/>
              <w:left w:w="45" w:type="dxa"/>
              <w:bottom w:w="30" w:type="dxa"/>
              <w:right w:w="45" w:type="dxa"/>
            </w:tcMar>
            <w:vAlign w:val="bottom"/>
          </w:tcPr>
          <w:p w14:paraId="39424CED">
            <w:pPr>
              <w:rPr>
                <w:sz w:val="20"/>
                <w:szCs w:val="20"/>
              </w:rPr>
            </w:pPr>
          </w:p>
        </w:tc>
        <w:tc>
          <w:tcPr>
            <w:tcW w:w="3402" w:type="dxa"/>
            <w:tcMar>
              <w:top w:w="30" w:type="dxa"/>
              <w:left w:w="45" w:type="dxa"/>
              <w:bottom w:w="30" w:type="dxa"/>
              <w:right w:w="45" w:type="dxa"/>
            </w:tcMar>
            <w:vAlign w:val="bottom"/>
          </w:tcPr>
          <w:p w14:paraId="0170679D">
            <w:r>
              <w:t>40 - 49</w:t>
            </w:r>
          </w:p>
        </w:tc>
        <w:tc>
          <w:tcPr>
            <w:tcW w:w="992" w:type="dxa"/>
            <w:tcMar>
              <w:top w:w="30" w:type="dxa"/>
              <w:left w:w="45" w:type="dxa"/>
              <w:bottom w:w="30" w:type="dxa"/>
              <w:right w:w="45" w:type="dxa"/>
            </w:tcMar>
            <w:vAlign w:val="bottom"/>
          </w:tcPr>
          <w:p w14:paraId="0255505B">
            <w:pPr>
              <w:jc w:val="center"/>
            </w:pPr>
            <w:r>
              <w:t>1</w:t>
            </w:r>
          </w:p>
        </w:tc>
      </w:tr>
      <w:tr w14:paraId="131D2F34">
        <w:trPr>
          <w:trHeight w:val="315" w:hRule="atLeast"/>
        </w:trPr>
        <w:tc>
          <w:tcPr>
            <w:tcW w:w="3119" w:type="dxa"/>
            <w:tcMar>
              <w:top w:w="30" w:type="dxa"/>
              <w:left w:w="45" w:type="dxa"/>
              <w:bottom w:w="30" w:type="dxa"/>
              <w:right w:w="45" w:type="dxa"/>
            </w:tcMar>
            <w:vAlign w:val="bottom"/>
          </w:tcPr>
          <w:p w14:paraId="24FA91B1">
            <w:pPr>
              <w:jc w:val="center"/>
            </w:pPr>
          </w:p>
        </w:tc>
        <w:tc>
          <w:tcPr>
            <w:tcW w:w="3402" w:type="dxa"/>
            <w:tcMar>
              <w:top w:w="30" w:type="dxa"/>
              <w:left w:w="45" w:type="dxa"/>
              <w:bottom w:w="30" w:type="dxa"/>
              <w:right w:w="45" w:type="dxa"/>
            </w:tcMar>
            <w:vAlign w:val="bottom"/>
          </w:tcPr>
          <w:p w14:paraId="6ECE87FE">
            <w:r>
              <w:t>50 - 59</w:t>
            </w:r>
          </w:p>
        </w:tc>
        <w:tc>
          <w:tcPr>
            <w:tcW w:w="992" w:type="dxa"/>
            <w:tcMar>
              <w:top w:w="30" w:type="dxa"/>
              <w:left w:w="45" w:type="dxa"/>
              <w:bottom w:w="30" w:type="dxa"/>
              <w:right w:w="45" w:type="dxa"/>
            </w:tcMar>
            <w:vAlign w:val="bottom"/>
          </w:tcPr>
          <w:p w14:paraId="61A1A9B6">
            <w:pPr>
              <w:jc w:val="center"/>
            </w:pPr>
            <w:r>
              <w:t>4</w:t>
            </w:r>
          </w:p>
        </w:tc>
      </w:tr>
      <w:tr w14:paraId="44986757">
        <w:trPr>
          <w:trHeight w:val="315" w:hRule="atLeast"/>
        </w:trPr>
        <w:tc>
          <w:tcPr>
            <w:tcW w:w="3119" w:type="dxa"/>
            <w:tcMar>
              <w:top w:w="30" w:type="dxa"/>
              <w:left w:w="45" w:type="dxa"/>
              <w:bottom w:w="30" w:type="dxa"/>
              <w:right w:w="45" w:type="dxa"/>
            </w:tcMar>
            <w:vAlign w:val="bottom"/>
          </w:tcPr>
          <w:p w14:paraId="303973A9">
            <w:pPr>
              <w:jc w:val="center"/>
            </w:pPr>
          </w:p>
        </w:tc>
        <w:tc>
          <w:tcPr>
            <w:tcW w:w="3402" w:type="dxa"/>
            <w:tcMar>
              <w:top w:w="30" w:type="dxa"/>
              <w:left w:w="45" w:type="dxa"/>
              <w:bottom w:w="30" w:type="dxa"/>
              <w:right w:w="45" w:type="dxa"/>
            </w:tcMar>
            <w:vAlign w:val="bottom"/>
          </w:tcPr>
          <w:p w14:paraId="596DD63F">
            <w:r>
              <w:t>60 - 69</w:t>
            </w:r>
          </w:p>
        </w:tc>
        <w:tc>
          <w:tcPr>
            <w:tcW w:w="992" w:type="dxa"/>
            <w:tcMar>
              <w:top w:w="30" w:type="dxa"/>
              <w:left w:w="45" w:type="dxa"/>
              <w:bottom w:w="30" w:type="dxa"/>
              <w:right w:w="45" w:type="dxa"/>
            </w:tcMar>
            <w:vAlign w:val="bottom"/>
          </w:tcPr>
          <w:p w14:paraId="25CC72EA">
            <w:pPr>
              <w:jc w:val="center"/>
            </w:pPr>
            <w:r>
              <w:t>3</w:t>
            </w:r>
          </w:p>
        </w:tc>
      </w:tr>
      <w:tr w14:paraId="5CA5A857">
        <w:trPr>
          <w:trHeight w:val="315" w:hRule="atLeast"/>
        </w:trPr>
        <w:tc>
          <w:tcPr>
            <w:tcW w:w="3119" w:type="dxa"/>
            <w:tcMar>
              <w:top w:w="30" w:type="dxa"/>
              <w:left w:w="45" w:type="dxa"/>
              <w:bottom w:w="30" w:type="dxa"/>
              <w:right w:w="45" w:type="dxa"/>
            </w:tcMar>
            <w:vAlign w:val="bottom"/>
          </w:tcPr>
          <w:p w14:paraId="4AA58CAA">
            <w:pPr>
              <w:jc w:val="center"/>
            </w:pPr>
          </w:p>
        </w:tc>
        <w:tc>
          <w:tcPr>
            <w:tcW w:w="3402" w:type="dxa"/>
            <w:tcMar>
              <w:top w:w="30" w:type="dxa"/>
              <w:left w:w="45" w:type="dxa"/>
              <w:bottom w:w="30" w:type="dxa"/>
              <w:right w:w="45" w:type="dxa"/>
            </w:tcMar>
            <w:vAlign w:val="bottom"/>
          </w:tcPr>
          <w:p w14:paraId="0640C556">
            <w:r>
              <w:t>70 - 79</w:t>
            </w:r>
          </w:p>
        </w:tc>
        <w:tc>
          <w:tcPr>
            <w:tcW w:w="992" w:type="dxa"/>
            <w:tcMar>
              <w:top w:w="30" w:type="dxa"/>
              <w:left w:w="45" w:type="dxa"/>
              <w:bottom w:w="30" w:type="dxa"/>
              <w:right w:w="45" w:type="dxa"/>
            </w:tcMar>
            <w:vAlign w:val="bottom"/>
          </w:tcPr>
          <w:p w14:paraId="14F9E04A">
            <w:pPr>
              <w:jc w:val="center"/>
            </w:pPr>
            <w:r>
              <w:t>1</w:t>
            </w:r>
          </w:p>
        </w:tc>
      </w:tr>
      <w:tr w14:paraId="0A00F8BE">
        <w:trPr>
          <w:trHeight w:val="315" w:hRule="atLeast"/>
        </w:trPr>
        <w:tc>
          <w:tcPr>
            <w:tcW w:w="6521" w:type="dxa"/>
            <w:gridSpan w:val="2"/>
            <w:tcMar>
              <w:top w:w="30" w:type="dxa"/>
              <w:left w:w="45" w:type="dxa"/>
              <w:bottom w:w="30" w:type="dxa"/>
              <w:right w:w="45" w:type="dxa"/>
            </w:tcMar>
            <w:vAlign w:val="bottom"/>
          </w:tcPr>
          <w:p w14:paraId="75478C7E">
            <w:r>
              <w:t>Gender</w:t>
            </w:r>
          </w:p>
        </w:tc>
        <w:tc>
          <w:tcPr>
            <w:tcW w:w="992" w:type="dxa"/>
            <w:tcMar>
              <w:top w:w="30" w:type="dxa"/>
              <w:left w:w="45" w:type="dxa"/>
              <w:bottom w:w="30" w:type="dxa"/>
              <w:right w:w="45" w:type="dxa"/>
            </w:tcMar>
          </w:tcPr>
          <w:p w14:paraId="66EFC093"/>
        </w:tc>
      </w:tr>
      <w:tr w14:paraId="69C84449">
        <w:trPr>
          <w:trHeight w:val="315" w:hRule="atLeast"/>
        </w:trPr>
        <w:tc>
          <w:tcPr>
            <w:tcW w:w="3119" w:type="dxa"/>
            <w:tcMar>
              <w:top w:w="30" w:type="dxa"/>
              <w:left w:w="45" w:type="dxa"/>
              <w:bottom w:w="30" w:type="dxa"/>
              <w:right w:w="45" w:type="dxa"/>
            </w:tcMar>
            <w:vAlign w:val="bottom"/>
          </w:tcPr>
          <w:p w14:paraId="696FF17A">
            <w:pPr>
              <w:rPr>
                <w:sz w:val="20"/>
                <w:szCs w:val="20"/>
              </w:rPr>
            </w:pPr>
          </w:p>
        </w:tc>
        <w:tc>
          <w:tcPr>
            <w:tcW w:w="3402" w:type="dxa"/>
            <w:tcMar>
              <w:top w:w="30" w:type="dxa"/>
              <w:left w:w="45" w:type="dxa"/>
              <w:bottom w:w="30" w:type="dxa"/>
              <w:right w:w="45" w:type="dxa"/>
            </w:tcMar>
            <w:vAlign w:val="bottom"/>
          </w:tcPr>
          <w:p w14:paraId="7839FC28">
            <w:r>
              <w:t>Male</w:t>
            </w:r>
          </w:p>
        </w:tc>
        <w:tc>
          <w:tcPr>
            <w:tcW w:w="992" w:type="dxa"/>
            <w:tcMar>
              <w:top w:w="30" w:type="dxa"/>
              <w:left w:w="45" w:type="dxa"/>
              <w:bottom w:w="30" w:type="dxa"/>
              <w:right w:w="45" w:type="dxa"/>
            </w:tcMar>
            <w:vAlign w:val="bottom"/>
          </w:tcPr>
          <w:p w14:paraId="5EA069ED">
            <w:pPr>
              <w:jc w:val="center"/>
            </w:pPr>
            <w:r>
              <w:t>9</w:t>
            </w:r>
          </w:p>
        </w:tc>
      </w:tr>
      <w:tr w14:paraId="314F5CD3">
        <w:trPr>
          <w:trHeight w:val="315" w:hRule="atLeast"/>
        </w:trPr>
        <w:tc>
          <w:tcPr>
            <w:tcW w:w="3119" w:type="dxa"/>
            <w:tcMar>
              <w:top w:w="30" w:type="dxa"/>
              <w:left w:w="45" w:type="dxa"/>
              <w:bottom w:w="30" w:type="dxa"/>
              <w:right w:w="45" w:type="dxa"/>
            </w:tcMar>
            <w:vAlign w:val="bottom"/>
          </w:tcPr>
          <w:p w14:paraId="0BAACFC4">
            <w:pPr>
              <w:jc w:val="center"/>
            </w:pPr>
          </w:p>
        </w:tc>
        <w:tc>
          <w:tcPr>
            <w:tcW w:w="3402" w:type="dxa"/>
            <w:tcMar>
              <w:top w:w="30" w:type="dxa"/>
              <w:left w:w="45" w:type="dxa"/>
              <w:bottom w:w="30" w:type="dxa"/>
              <w:right w:w="45" w:type="dxa"/>
            </w:tcMar>
            <w:vAlign w:val="bottom"/>
          </w:tcPr>
          <w:p w14:paraId="46AFFFA5">
            <w:r>
              <w:t>Female</w:t>
            </w:r>
          </w:p>
        </w:tc>
        <w:tc>
          <w:tcPr>
            <w:tcW w:w="992" w:type="dxa"/>
            <w:tcMar>
              <w:top w:w="30" w:type="dxa"/>
              <w:left w:w="45" w:type="dxa"/>
              <w:bottom w:w="30" w:type="dxa"/>
              <w:right w:w="45" w:type="dxa"/>
            </w:tcMar>
            <w:vAlign w:val="bottom"/>
          </w:tcPr>
          <w:p w14:paraId="34573BE7">
            <w:pPr>
              <w:jc w:val="center"/>
            </w:pPr>
            <w:r>
              <w:t>0</w:t>
            </w:r>
          </w:p>
        </w:tc>
      </w:tr>
      <w:tr w14:paraId="7CB36CCB">
        <w:trPr>
          <w:trHeight w:val="315" w:hRule="atLeast"/>
        </w:trPr>
        <w:tc>
          <w:tcPr>
            <w:tcW w:w="6521" w:type="dxa"/>
            <w:gridSpan w:val="2"/>
            <w:tcMar>
              <w:top w:w="30" w:type="dxa"/>
              <w:left w:w="45" w:type="dxa"/>
              <w:bottom w:w="30" w:type="dxa"/>
              <w:right w:w="45" w:type="dxa"/>
            </w:tcMar>
            <w:vAlign w:val="bottom"/>
          </w:tcPr>
          <w:p w14:paraId="76D51D83">
            <w:r>
              <w:t>Ethnicity</w:t>
            </w:r>
          </w:p>
        </w:tc>
        <w:tc>
          <w:tcPr>
            <w:tcW w:w="992" w:type="dxa"/>
            <w:tcMar>
              <w:top w:w="30" w:type="dxa"/>
              <w:left w:w="45" w:type="dxa"/>
              <w:bottom w:w="30" w:type="dxa"/>
              <w:right w:w="45" w:type="dxa"/>
            </w:tcMar>
          </w:tcPr>
          <w:p w14:paraId="47EEAE7F"/>
        </w:tc>
      </w:tr>
      <w:tr w14:paraId="30B0C6F1">
        <w:trPr>
          <w:trHeight w:val="315" w:hRule="atLeast"/>
        </w:trPr>
        <w:tc>
          <w:tcPr>
            <w:tcW w:w="3119" w:type="dxa"/>
            <w:tcMar>
              <w:top w:w="30" w:type="dxa"/>
              <w:left w:w="45" w:type="dxa"/>
              <w:bottom w:w="30" w:type="dxa"/>
              <w:right w:w="45" w:type="dxa"/>
            </w:tcMar>
            <w:vAlign w:val="bottom"/>
          </w:tcPr>
          <w:p w14:paraId="7D4B0C26">
            <w:pPr>
              <w:rPr>
                <w:sz w:val="20"/>
                <w:szCs w:val="20"/>
              </w:rPr>
            </w:pPr>
          </w:p>
        </w:tc>
        <w:tc>
          <w:tcPr>
            <w:tcW w:w="3402" w:type="dxa"/>
            <w:tcMar>
              <w:top w:w="30" w:type="dxa"/>
              <w:left w:w="45" w:type="dxa"/>
              <w:bottom w:w="30" w:type="dxa"/>
              <w:right w:w="45" w:type="dxa"/>
            </w:tcMar>
            <w:vAlign w:val="bottom"/>
          </w:tcPr>
          <w:p w14:paraId="69727EB5">
            <w:r>
              <w:t>Malay</w:t>
            </w:r>
          </w:p>
        </w:tc>
        <w:tc>
          <w:tcPr>
            <w:tcW w:w="992" w:type="dxa"/>
            <w:tcMar>
              <w:top w:w="30" w:type="dxa"/>
              <w:left w:w="45" w:type="dxa"/>
              <w:bottom w:w="30" w:type="dxa"/>
              <w:right w:w="45" w:type="dxa"/>
            </w:tcMar>
            <w:vAlign w:val="bottom"/>
          </w:tcPr>
          <w:p w14:paraId="44AAEE6F">
            <w:pPr>
              <w:jc w:val="center"/>
            </w:pPr>
            <w:r>
              <w:t>6</w:t>
            </w:r>
          </w:p>
        </w:tc>
      </w:tr>
      <w:tr w14:paraId="1BD55DDC">
        <w:trPr>
          <w:trHeight w:val="315" w:hRule="atLeast"/>
        </w:trPr>
        <w:tc>
          <w:tcPr>
            <w:tcW w:w="3119" w:type="dxa"/>
            <w:tcMar>
              <w:top w:w="30" w:type="dxa"/>
              <w:left w:w="45" w:type="dxa"/>
              <w:bottom w:w="30" w:type="dxa"/>
              <w:right w:w="45" w:type="dxa"/>
            </w:tcMar>
            <w:vAlign w:val="bottom"/>
          </w:tcPr>
          <w:p w14:paraId="4E71CEAD">
            <w:pPr>
              <w:jc w:val="center"/>
            </w:pPr>
          </w:p>
        </w:tc>
        <w:tc>
          <w:tcPr>
            <w:tcW w:w="3402" w:type="dxa"/>
            <w:tcMar>
              <w:top w:w="30" w:type="dxa"/>
              <w:left w:w="45" w:type="dxa"/>
              <w:bottom w:w="30" w:type="dxa"/>
              <w:right w:w="45" w:type="dxa"/>
            </w:tcMar>
            <w:vAlign w:val="bottom"/>
          </w:tcPr>
          <w:p w14:paraId="0F4EA816">
            <w:r>
              <w:t>Chinese</w:t>
            </w:r>
          </w:p>
        </w:tc>
        <w:tc>
          <w:tcPr>
            <w:tcW w:w="992" w:type="dxa"/>
            <w:tcMar>
              <w:top w:w="30" w:type="dxa"/>
              <w:left w:w="45" w:type="dxa"/>
              <w:bottom w:w="30" w:type="dxa"/>
              <w:right w:w="45" w:type="dxa"/>
            </w:tcMar>
            <w:vAlign w:val="bottom"/>
          </w:tcPr>
          <w:p w14:paraId="10EB5F33">
            <w:pPr>
              <w:jc w:val="center"/>
            </w:pPr>
            <w:r>
              <w:t>2</w:t>
            </w:r>
          </w:p>
        </w:tc>
      </w:tr>
      <w:tr w14:paraId="3E0F2EE3">
        <w:trPr>
          <w:trHeight w:val="315" w:hRule="atLeast"/>
        </w:trPr>
        <w:tc>
          <w:tcPr>
            <w:tcW w:w="3119" w:type="dxa"/>
            <w:tcMar>
              <w:top w:w="30" w:type="dxa"/>
              <w:left w:w="45" w:type="dxa"/>
              <w:bottom w:w="30" w:type="dxa"/>
              <w:right w:w="45" w:type="dxa"/>
            </w:tcMar>
            <w:vAlign w:val="bottom"/>
          </w:tcPr>
          <w:p w14:paraId="63B76429">
            <w:pPr>
              <w:jc w:val="center"/>
            </w:pPr>
          </w:p>
        </w:tc>
        <w:tc>
          <w:tcPr>
            <w:tcW w:w="3402" w:type="dxa"/>
            <w:tcMar>
              <w:top w:w="30" w:type="dxa"/>
              <w:left w:w="45" w:type="dxa"/>
              <w:bottom w:w="30" w:type="dxa"/>
              <w:right w:w="45" w:type="dxa"/>
            </w:tcMar>
            <w:vAlign w:val="bottom"/>
          </w:tcPr>
          <w:p w14:paraId="0FBCB81D">
            <w:r>
              <w:t>Indian</w:t>
            </w:r>
          </w:p>
        </w:tc>
        <w:tc>
          <w:tcPr>
            <w:tcW w:w="992" w:type="dxa"/>
            <w:tcMar>
              <w:top w:w="30" w:type="dxa"/>
              <w:left w:w="45" w:type="dxa"/>
              <w:bottom w:w="30" w:type="dxa"/>
              <w:right w:w="45" w:type="dxa"/>
            </w:tcMar>
            <w:vAlign w:val="bottom"/>
          </w:tcPr>
          <w:p w14:paraId="48A582EF">
            <w:pPr>
              <w:jc w:val="center"/>
            </w:pPr>
            <w:r>
              <w:t>1</w:t>
            </w:r>
          </w:p>
        </w:tc>
      </w:tr>
      <w:tr w14:paraId="0B95FA94">
        <w:trPr>
          <w:trHeight w:val="315" w:hRule="atLeast"/>
        </w:trPr>
        <w:tc>
          <w:tcPr>
            <w:tcW w:w="6521" w:type="dxa"/>
            <w:gridSpan w:val="2"/>
            <w:tcMar>
              <w:top w:w="30" w:type="dxa"/>
              <w:left w:w="45" w:type="dxa"/>
              <w:bottom w:w="30" w:type="dxa"/>
              <w:right w:w="45" w:type="dxa"/>
            </w:tcMar>
            <w:vAlign w:val="bottom"/>
          </w:tcPr>
          <w:p w14:paraId="5A732030">
            <w:r>
              <w:t>Weight (kg)</w:t>
            </w:r>
          </w:p>
        </w:tc>
        <w:tc>
          <w:tcPr>
            <w:tcW w:w="992" w:type="dxa"/>
            <w:tcMar>
              <w:top w:w="30" w:type="dxa"/>
              <w:left w:w="45" w:type="dxa"/>
              <w:bottom w:w="30" w:type="dxa"/>
              <w:right w:w="45" w:type="dxa"/>
            </w:tcMar>
          </w:tcPr>
          <w:p w14:paraId="2CA2C3FE"/>
        </w:tc>
      </w:tr>
      <w:tr w14:paraId="319D2995">
        <w:trPr>
          <w:trHeight w:val="315" w:hRule="atLeast"/>
        </w:trPr>
        <w:tc>
          <w:tcPr>
            <w:tcW w:w="3119" w:type="dxa"/>
            <w:tcMar>
              <w:top w:w="30" w:type="dxa"/>
              <w:left w:w="45" w:type="dxa"/>
              <w:bottom w:w="30" w:type="dxa"/>
              <w:right w:w="45" w:type="dxa"/>
            </w:tcMar>
            <w:vAlign w:val="bottom"/>
          </w:tcPr>
          <w:p w14:paraId="0E10DD88">
            <w:pPr>
              <w:rPr>
                <w:sz w:val="20"/>
                <w:szCs w:val="20"/>
              </w:rPr>
            </w:pPr>
          </w:p>
        </w:tc>
        <w:tc>
          <w:tcPr>
            <w:tcW w:w="3402" w:type="dxa"/>
            <w:tcMar>
              <w:top w:w="30" w:type="dxa"/>
              <w:left w:w="45" w:type="dxa"/>
              <w:bottom w:w="30" w:type="dxa"/>
              <w:right w:w="45" w:type="dxa"/>
            </w:tcMar>
            <w:vAlign w:val="bottom"/>
          </w:tcPr>
          <w:p w14:paraId="5C5F3E80">
            <w:r>
              <w:t>40 - 49</w:t>
            </w:r>
          </w:p>
        </w:tc>
        <w:tc>
          <w:tcPr>
            <w:tcW w:w="992" w:type="dxa"/>
            <w:tcMar>
              <w:top w:w="30" w:type="dxa"/>
              <w:left w:w="45" w:type="dxa"/>
              <w:bottom w:w="30" w:type="dxa"/>
              <w:right w:w="45" w:type="dxa"/>
            </w:tcMar>
            <w:vAlign w:val="bottom"/>
          </w:tcPr>
          <w:p w14:paraId="19045B36">
            <w:pPr>
              <w:jc w:val="center"/>
            </w:pPr>
            <w:r>
              <w:t>1</w:t>
            </w:r>
          </w:p>
        </w:tc>
      </w:tr>
      <w:tr w14:paraId="73EDC001">
        <w:trPr>
          <w:trHeight w:val="315" w:hRule="atLeast"/>
        </w:trPr>
        <w:tc>
          <w:tcPr>
            <w:tcW w:w="3119" w:type="dxa"/>
            <w:tcMar>
              <w:top w:w="30" w:type="dxa"/>
              <w:left w:w="45" w:type="dxa"/>
              <w:bottom w:w="30" w:type="dxa"/>
              <w:right w:w="45" w:type="dxa"/>
            </w:tcMar>
            <w:vAlign w:val="bottom"/>
          </w:tcPr>
          <w:p w14:paraId="28B50237">
            <w:pPr>
              <w:jc w:val="center"/>
            </w:pPr>
          </w:p>
        </w:tc>
        <w:tc>
          <w:tcPr>
            <w:tcW w:w="3402" w:type="dxa"/>
            <w:tcMar>
              <w:top w:w="30" w:type="dxa"/>
              <w:left w:w="45" w:type="dxa"/>
              <w:bottom w:w="30" w:type="dxa"/>
              <w:right w:w="45" w:type="dxa"/>
            </w:tcMar>
            <w:vAlign w:val="bottom"/>
          </w:tcPr>
          <w:p w14:paraId="3195E0A6">
            <w:r>
              <w:t>50 - 59</w:t>
            </w:r>
          </w:p>
        </w:tc>
        <w:tc>
          <w:tcPr>
            <w:tcW w:w="992" w:type="dxa"/>
            <w:tcMar>
              <w:top w:w="30" w:type="dxa"/>
              <w:left w:w="45" w:type="dxa"/>
              <w:bottom w:w="30" w:type="dxa"/>
              <w:right w:w="45" w:type="dxa"/>
            </w:tcMar>
            <w:vAlign w:val="bottom"/>
          </w:tcPr>
          <w:p w14:paraId="55E0CDDE">
            <w:pPr>
              <w:jc w:val="center"/>
            </w:pPr>
            <w:r>
              <w:t>0</w:t>
            </w:r>
          </w:p>
        </w:tc>
      </w:tr>
      <w:tr w14:paraId="7FECDA57">
        <w:trPr>
          <w:trHeight w:val="315" w:hRule="atLeast"/>
        </w:trPr>
        <w:tc>
          <w:tcPr>
            <w:tcW w:w="3119" w:type="dxa"/>
            <w:tcMar>
              <w:top w:w="30" w:type="dxa"/>
              <w:left w:w="45" w:type="dxa"/>
              <w:bottom w:w="30" w:type="dxa"/>
              <w:right w:w="45" w:type="dxa"/>
            </w:tcMar>
            <w:vAlign w:val="bottom"/>
          </w:tcPr>
          <w:p w14:paraId="0F70E606">
            <w:pPr>
              <w:jc w:val="center"/>
            </w:pPr>
          </w:p>
        </w:tc>
        <w:tc>
          <w:tcPr>
            <w:tcW w:w="3402" w:type="dxa"/>
            <w:tcMar>
              <w:top w:w="30" w:type="dxa"/>
              <w:left w:w="45" w:type="dxa"/>
              <w:bottom w:w="30" w:type="dxa"/>
              <w:right w:w="45" w:type="dxa"/>
            </w:tcMar>
            <w:vAlign w:val="bottom"/>
          </w:tcPr>
          <w:p w14:paraId="1C6E1D17">
            <w:r>
              <w:t>60 - 69</w:t>
            </w:r>
          </w:p>
        </w:tc>
        <w:tc>
          <w:tcPr>
            <w:tcW w:w="992" w:type="dxa"/>
            <w:tcMar>
              <w:top w:w="30" w:type="dxa"/>
              <w:left w:w="45" w:type="dxa"/>
              <w:bottom w:w="30" w:type="dxa"/>
              <w:right w:w="45" w:type="dxa"/>
            </w:tcMar>
            <w:vAlign w:val="bottom"/>
          </w:tcPr>
          <w:p w14:paraId="4FA184D3">
            <w:pPr>
              <w:jc w:val="center"/>
            </w:pPr>
            <w:r>
              <w:t>3</w:t>
            </w:r>
          </w:p>
        </w:tc>
      </w:tr>
      <w:tr w14:paraId="46345C0E">
        <w:trPr>
          <w:trHeight w:val="315" w:hRule="atLeast"/>
        </w:trPr>
        <w:tc>
          <w:tcPr>
            <w:tcW w:w="3119" w:type="dxa"/>
            <w:tcMar>
              <w:top w:w="30" w:type="dxa"/>
              <w:left w:w="45" w:type="dxa"/>
              <w:bottom w:w="30" w:type="dxa"/>
              <w:right w:w="45" w:type="dxa"/>
            </w:tcMar>
            <w:vAlign w:val="bottom"/>
          </w:tcPr>
          <w:p w14:paraId="7396B020">
            <w:pPr>
              <w:jc w:val="center"/>
            </w:pPr>
          </w:p>
        </w:tc>
        <w:tc>
          <w:tcPr>
            <w:tcW w:w="3402" w:type="dxa"/>
            <w:tcMar>
              <w:top w:w="30" w:type="dxa"/>
              <w:left w:w="45" w:type="dxa"/>
              <w:bottom w:w="30" w:type="dxa"/>
              <w:right w:w="45" w:type="dxa"/>
            </w:tcMar>
            <w:vAlign w:val="bottom"/>
          </w:tcPr>
          <w:p w14:paraId="6CB82AB4">
            <w:r>
              <w:t>70 - 79</w:t>
            </w:r>
          </w:p>
        </w:tc>
        <w:tc>
          <w:tcPr>
            <w:tcW w:w="992" w:type="dxa"/>
            <w:tcMar>
              <w:top w:w="30" w:type="dxa"/>
              <w:left w:w="45" w:type="dxa"/>
              <w:bottom w:w="30" w:type="dxa"/>
              <w:right w:w="45" w:type="dxa"/>
            </w:tcMar>
            <w:vAlign w:val="bottom"/>
          </w:tcPr>
          <w:p w14:paraId="7C226CEA">
            <w:pPr>
              <w:jc w:val="center"/>
            </w:pPr>
            <w:r>
              <w:t>1</w:t>
            </w:r>
          </w:p>
        </w:tc>
      </w:tr>
      <w:tr w14:paraId="2AB5B0DB">
        <w:trPr>
          <w:trHeight w:val="315" w:hRule="atLeast"/>
        </w:trPr>
        <w:tc>
          <w:tcPr>
            <w:tcW w:w="3119" w:type="dxa"/>
            <w:tcMar>
              <w:top w:w="30" w:type="dxa"/>
              <w:left w:w="45" w:type="dxa"/>
              <w:bottom w:w="30" w:type="dxa"/>
              <w:right w:w="45" w:type="dxa"/>
            </w:tcMar>
            <w:vAlign w:val="bottom"/>
          </w:tcPr>
          <w:p w14:paraId="2ED80C97">
            <w:pPr>
              <w:jc w:val="center"/>
              <w:rPr>
                <w:rFonts w:hint="default" w:ascii="Times New Roman Regular" w:hAnsi="Times New Roman Regular" w:cs="Times New Roman Regular"/>
              </w:rPr>
            </w:pPr>
          </w:p>
        </w:tc>
        <w:tc>
          <w:tcPr>
            <w:tcW w:w="3402" w:type="dxa"/>
            <w:tcMar>
              <w:top w:w="30" w:type="dxa"/>
              <w:left w:w="45" w:type="dxa"/>
              <w:bottom w:w="30" w:type="dxa"/>
              <w:right w:w="45" w:type="dxa"/>
            </w:tcMar>
            <w:vAlign w:val="bottom"/>
          </w:tcPr>
          <w:p w14:paraId="005E5915">
            <w:pPr>
              <w:rPr>
                <w:rFonts w:hint="default" w:ascii="Times New Roman Regular" w:hAnsi="Times New Roman Regular" w:cs="Times New Roman Regular"/>
              </w:rPr>
            </w:pPr>
            <w:sdt>
              <w:sdtPr>
                <w:rPr>
                  <w:rFonts w:hint="default" w:ascii="Times New Roman Regular" w:hAnsi="Times New Roman Regular" w:cs="Times New Roman Regular"/>
                </w:rPr>
                <w:tag w:val="goog_rdk_12"/>
                <w:id w:val="930279069"/>
              </w:sdtPr>
              <w:sdtEndPr>
                <w:rPr>
                  <w:rFonts w:hint="default" w:ascii="Times New Roman Regular" w:hAnsi="Times New Roman Regular" w:cs="Times New Roman Regular"/>
                </w:rPr>
              </w:sdtEndPr>
              <w:sdtContent>
                <w:r>
                  <w:rPr>
                    <w:rFonts w:hint="default" w:ascii="Times New Roman Regular" w:hAnsi="Times New Roman Regular" w:eastAsia="Gungsuh" w:cs="Times New Roman Regular"/>
                  </w:rPr>
                  <w:t>≥ 80</w:t>
                </w:r>
              </w:sdtContent>
            </w:sdt>
          </w:p>
        </w:tc>
        <w:tc>
          <w:tcPr>
            <w:tcW w:w="992" w:type="dxa"/>
            <w:tcMar>
              <w:top w:w="30" w:type="dxa"/>
              <w:left w:w="45" w:type="dxa"/>
              <w:bottom w:w="30" w:type="dxa"/>
              <w:right w:w="45" w:type="dxa"/>
            </w:tcMar>
            <w:vAlign w:val="bottom"/>
          </w:tcPr>
          <w:p w14:paraId="76DDC69C">
            <w:pPr>
              <w:jc w:val="center"/>
            </w:pPr>
            <w:r>
              <w:t>4</w:t>
            </w:r>
          </w:p>
        </w:tc>
      </w:tr>
      <w:tr w14:paraId="4515D1B5">
        <w:trPr>
          <w:trHeight w:val="315" w:hRule="atLeast"/>
        </w:trPr>
        <w:tc>
          <w:tcPr>
            <w:tcW w:w="6521" w:type="dxa"/>
            <w:gridSpan w:val="2"/>
            <w:tcMar>
              <w:top w:w="30" w:type="dxa"/>
              <w:left w:w="45" w:type="dxa"/>
              <w:bottom w:w="30" w:type="dxa"/>
              <w:right w:w="45" w:type="dxa"/>
            </w:tcMar>
            <w:vAlign w:val="bottom"/>
          </w:tcPr>
          <w:p w14:paraId="55EB0738">
            <w:r>
              <w:t>Height (cm)</w:t>
            </w:r>
          </w:p>
        </w:tc>
        <w:tc>
          <w:tcPr>
            <w:tcW w:w="992" w:type="dxa"/>
            <w:tcMar>
              <w:top w:w="30" w:type="dxa"/>
              <w:left w:w="45" w:type="dxa"/>
              <w:bottom w:w="30" w:type="dxa"/>
              <w:right w:w="45" w:type="dxa"/>
            </w:tcMar>
          </w:tcPr>
          <w:p w14:paraId="5C2B3AA4"/>
        </w:tc>
      </w:tr>
      <w:tr w14:paraId="5FFFA5FF">
        <w:trPr>
          <w:trHeight w:val="315" w:hRule="atLeast"/>
        </w:trPr>
        <w:tc>
          <w:tcPr>
            <w:tcW w:w="3119" w:type="dxa"/>
            <w:tcMar>
              <w:top w:w="30" w:type="dxa"/>
              <w:left w:w="45" w:type="dxa"/>
              <w:bottom w:w="30" w:type="dxa"/>
              <w:right w:w="45" w:type="dxa"/>
            </w:tcMar>
            <w:vAlign w:val="bottom"/>
          </w:tcPr>
          <w:p w14:paraId="18FAD559">
            <w:pPr>
              <w:rPr>
                <w:sz w:val="20"/>
                <w:szCs w:val="20"/>
              </w:rPr>
            </w:pPr>
          </w:p>
        </w:tc>
        <w:tc>
          <w:tcPr>
            <w:tcW w:w="3402" w:type="dxa"/>
            <w:tcMar>
              <w:top w:w="30" w:type="dxa"/>
              <w:left w:w="45" w:type="dxa"/>
              <w:bottom w:w="30" w:type="dxa"/>
              <w:right w:w="45" w:type="dxa"/>
            </w:tcMar>
            <w:vAlign w:val="bottom"/>
          </w:tcPr>
          <w:p w14:paraId="09BD42B0">
            <w:r>
              <w:t>150 - 159</w:t>
            </w:r>
          </w:p>
        </w:tc>
        <w:tc>
          <w:tcPr>
            <w:tcW w:w="992" w:type="dxa"/>
            <w:tcMar>
              <w:top w:w="30" w:type="dxa"/>
              <w:left w:w="45" w:type="dxa"/>
              <w:bottom w:w="30" w:type="dxa"/>
              <w:right w:w="45" w:type="dxa"/>
            </w:tcMar>
            <w:vAlign w:val="bottom"/>
          </w:tcPr>
          <w:p w14:paraId="24D3C8F1">
            <w:pPr>
              <w:jc w:val="center"/>
            </w:pPr>
            <w:r>
              <w:t>0</w:t>
            </w:r>
          </w:p>
        </w:tc>
      </w:tr>
      <w:tr w14:paraId="3FBD2BFC">
        <w:trPr>
          <w:trHeight w:val="315" w:hRule="atLeast"/>
        </w:trPr>
        <w:tc>
          <w:tcPr>
            <w:tcW w:w="3119" w:type="dxa"/>
            <w:tcMar>
              <w:top w:w="30" w:type="dxa"/>
              <w:left w:w="45" w:type="dxa"/>
              <w:bottom w:w="30" w:type="dxa"/>
              <w:right w:w="45" w:type="dxa"/>
            </w:tcMar>
            <w:vAlign w:val="bottom"/>
          </w:tcPr>
          <w:p w14:paraId="62BC15BD">
            <w:pPr>
              <w:jc w:val="center"/>
            </w:pPr>
          </w:p>
        </w:tc>
        <w:tc>
          <w:tcPr>
            <w:tcW w:w="3402" w:type="dxa"/>
            <w:tcMar>
              <w:top w:w="30" w:type="dxa"/>
              <w:left w:w="45" w:type="dxa"/>
              <w:bottom w:w="30" w:type="dxa"/>
              <w:right w:w="45" w:type="dxa"/>
            </w:tcMar>
            <w:vAlign w:val="bottom"/>
          </w:tcPr>
          <w:p w14:paraId="44AE590B">
            <w:r>
              <w:t>160 - 169</w:t>
            </w:r>
          </w:p>
        </w:tc>
        <w:tc>
          <w:tcPr>
            <w:tcW w:w="992" w:type="dxa"/>
            <w:tcMar>
              <w:top w:w="30" w:type="dxa"/>
              <w:left w:w="45" w:type="dxa"/>
              <w:bottom w:w="30" w:type="dxa"/>
              <w:right w:w="45" w:type="dxa"/>
            </w:tcMar>
            <w:vAlign w:val="bottom"/>
          </w:tcPr>
          <w:p w14:paraId="5A552C44">
            <w:pPr>
              <w:jc w:val="center"/>
            </w:pPr>
            <w:r>
              <w:t>3</w:t>
            </w:r>
          </w:p>
        </w:tc>
      </w:tr>
      <w:tr w14:paraId="05772800">
        <w:trPr>
          <w:trHeight w:val="315" w:hRule="atLeast"/>
        </w:trPr>
        <w:tc>
          <w:tcPr>
            <w:tcW w:w="3119" w:type="dxa"/>
            <w:tcMar>
              <w:top w:w="30" w:type="dxa"/>
              <w:left w:w="45" w:type="dxa"/>
              <w:bottom w:w="30" w:type="dxa"/>
              <w:right w:w="45" w:type="dxa"/>
            </w:tcMar>
            <w:vAlign w:val="bottom"/>
          </w:tcPr>
          <w:p w14:paraId="24CE77A4">
            <w:pPr>
              <w:jc w:val="center"/>
            </w:pPr>
          </w:p>
        </w:tc>
        <w:tc>
          <w:tcPr>
            <w:tcW w:w="3402" w:type="dxa"/>
            <w:tcMar>
              <w:top w:w="30" w:type="dxa"/>
              <w:left w:w="45" w:type="dxa"/>
              <w:bottom w:w="30" w:type="dxa"/>
              <w:right w:w="45" w:type="dxa"/>
            </w:tcMar>
            <w:vAlign w:val="bottom"/>
          </w:tcPr>
          <w:p w14:paraId="42ED06D4">
            <w:r>
              <w:t>170 - 179</w:t>
            </w:r>
          </w:p>
        </w:tc>
        <w:tc>
          <w:tcPr>
            <w:tcW w:w="992" w:type="dxa"/>
            <w:tcMar>
              <w:top w:w="30" w:type="dxa"/>
              <w:left w:w="45" w:type="dxa"/>
              <w:bottom w:w="30" w:type="dxa"/>
              <w:right w:w="45" w:type="dxa"/>
            </w:tcMar>
            <w:vAlign w:val="bottom"/>
          </w:tcPr>
          <w:p w14:paraId="3F3D6058">
            <w:pPr>
              <w:jc w:val="center"/>
            </w:pPr>
            <w:r>
              <w:t>5</w:t>
            </w:r>
          </w:p>
        </w:tc>
      </w:tr>
      <w:tr w14:paraId="4B661C9F">
        <w:trPr>
          <w:trHeight w:val="315" w:hRule="atLeast"/>
        </w:trPr>
        <w:tc>
          <w:tcPr>
            <w:tcW w:w="3119" w:type="dxa"/>
            <w:tcMar>
              <w:top w:w="30" w:type="dxa"/>
              <w:left w:w="45" w:type="dxa"/>
              <w:bottom w:w="30" w:type="dxa"/>
              <w:right w:w="45" w:type="dxa"/>
            </w:tcMar>
            <w:vAlign w:val="bottom"/>
          </w:tcPr>
          <w:p w14:paraId="00519C26">
            <w:pPr>
              <w:jc w:val="center"/>
            </w:pPr>
          </w:p>
        </w:tc>
        <w:tc>
          <w:tcPr>
            <w:tcW w:w="3402" w:type="dxa"/>
            <w:tcMar>
              <w:top w:w="30" w:type="dxa"/>
              <w:left w:w="45" w:type="dxa"/>
              <w:bottom w:w="30" w:type="dxa"/>
              <w:right w:w="45" w:type="dxa"/>
            </w:tcMar>
            <w:vAlign w:val="bottom"/>
          </w:tcPr>
          <w:p w14:paraId="324E3128">
            <w:sdt>
              <w:sdtPr>
                <w:tag w:val="goog_rdk_13"/>
                <w:id w:val="164857454"/>
              </w:sdtPr>
              <w:sdtContent>
                <w:r>
                  <w:rPr>
                    <w:rFonts w:eastAsia="Gungsuh"/>
                  </w:rPr>
                  <w:t>≥ 180</w:t>
                </w:r>
              </w:sdtContent>
            </w:sdt>
          </w:p>
        </w:tc>
        <w:tc>
          <w:tcPr>
            <w:tcW w:w="992" w:type="dxa"/>
            <w:tcMar>
              <w:top w:w="30" w:type="dxa"/>
              <w:left w:w="45" w:type="dxa"/>
              <w:bottom w:w="30" w:type="dxa"/>
              <w:right w:w="45" w:type="dxa"/>
            </w:tcMar>
            <w:vAlign w:val="bottom"/>
          </w:tcPr>
          <w:p w14:paraId="7ACE1D28">
            <w:pPr>
              <w:jc w:val="center"/>
            </w:pPr>
            <w:r>
              <w:t>1</w:t>
            </w:r>
          </w:p>
        </w:tc>
      </w:tr>
      <w:tr w14:paraId="1C49CABB">
        <w:trPr>
          <w:trHeight w:val="315" w:hRule="atLeast"/>
        </w:trPr>
        <w:tc>
          <w:tcPr>
            <w:tcW w:w="6521" w:type="dxa"/>
            <w:gridSpan w:val="2"/>
            <w:tcMar>
              <w:top w:w="30" w:type="dxa"/>
              <w:left w:w="45" w:type="dxa"/>
              <w:bottom w:w="30" w:type="dxa"/>
              <w:right w:w="45" w:type="dxa"/>
            </w:tcMar>
            <w:vAlign w:val="bottom"/>
          </w:tcPr>
          <w:p w14:paraId="472E7151">
            <w:r>
              <w:t>Smoking Status</w:t>
            </w:r>
          </w:p>
        </w:tc>
        <w:tc>
          <w:tcPr>
            <w:tcW w:w="992" w:type="dxa"/>
            <w:tcMar>
              <w:top w:w="30" w:type="dxa"/>
              <w:left w:w="45" w:type="dxa"/>
              <w:bottom w:w="30" w:type="dxa"/>
              <w:right w:w="45" w:type="dxa"/>
            </w:tcMar>
          </w:tcPr>
          <w:p w14:paraId="583365A8"/>
        </w:tc>
      </w:tr>
      <w:tr w14:paraId="361AA2B5">
        <w:trPr>
          <w:trHeight w:val="315" w:hRule="atLeast"/>
        </w:trPr>
        <w:tc>
          <w:tcPr>
            <w:tcW w:w="3119" w:type="dxa"/>
            <w:tcMar>
              <w:top w:w="30" w:type="dxa"/>
              <w:left w:w="45" w:type="dxa"/>
              <w:bottom w:w="30" w:type="dxa"/>
              <w:right w:w="45" w:type="dxa"/>
            </w:tcMar>
            <w:vAlign w:val="bottom"/>
          </w:tcPr>
          <w:p w14:paraId="3712A70F">
            <w:pPr>
              <w:rPr>
                <w:sz w:val="20"/>
                <w:szCs w:val="20"/>
              </w:rPr>
            </w:pPr>
          </w:p>
        </w:tc>
        <w:tc>
          <w:tcPr>
            <w:tcW w:w="3402" w:type="dxa"/>
            <w:tcMar>
              <w:top w:w="30" w:type="dxa"/>
              <w:left w:w="45" w:type="dxa"/>
              <w:bottom w:w="30" w:type="dxa"/>
              <w:right w:w="45" w:type="dxa"/>
            </w:tcMar>
            <w:vAlign w:val="bottom"/>
          </w:tcPr>
          <w:p w14:paraId="76232FA3">
            <w:r>
              <w:t>Never Smoked</w:t>
            </w:r>
          </w:p>
        </w:tc>
        <w:tc>
          <w:tcPr>
            <w:tcW w:w="992" w:type="dxa"/>
            <w:tcMar>
              <w:top w:w="30" w:type="dxa"/>
              <w:left w:w="45" w:type="dxa"/>
              <w:bottom w:w="30" w:type="dxa"/>
              <w:right w:w="45" w:type="dxa"/>
            </w:tcMar>
            <w:vAlign w:val="bottom"/>
          </w:tcPr>
          <w:p w14:paraId="606BD800">
            <w:pPr>
              <w:jc w:val="center"/>
            </w:pPr>
            <w:r>
              <w:t>4</w:t>
            </w:r>
          </w:p>
        </w:tc>
      </w:tr>
      <w:tr w14:paraId="3887D2D6">
        <w:trPr>
          <w:trHeight w:val="315" w:hRule="atLeast"/>
        </w:trPr>
        <w:tc>
          <w:tcPr>
            <w:tcW w:w="3119" w:type="dxa"/>
            <w:tcMar>
              <w:top w:w="30" w:type="dxa"/>
              <w:left w:w="45" w:type="dxa"/>
              <w:bottom w:w="30" w:type="dxa"/>
              <w:right w:w="45" w:type="dxa"/>
            </w:tcMar>
            <w:vAlign w:val="bottom"/>
          </w:tcPr>
          <w:p w14:paraId="78F38FC0">
            <w:pPr>
              <w:jc w:val="center"/>
            </w:pPr>
          </w:p>
        </w:tc>
        <w:tc>
          <w:tcPr>
            <w:tcW w:w="3402" w:type="dxa"/>
            <w:tcMar>
              <w:top w:w="30" w:type="dxa"/>
              <w:left w:w="45" w:type="dxa"/>
              <w:bottom w:w="30" w:type="dxa"/>
              <w:right w:w="45" w:type="dxa"/>
            </w:tcMar>
            <w:vAlign w:val="bottom"/>
          </w:tcPr>
          <w:p w14:paraId="53951489">
            <w:r>
              <w:t>Current Smoker</w:t>
            </w:r>
          </w:p>
        </w:tc>
        <w:tc>
          <w:tcPr>
            <w:tcW w:w="992" w:type="dxa"/>
            <w:tcMar>
              <w:top w:w="30" w:type="dxa"/>
              <w:left w:w="45" w:type="dxa"/>
              <w:bottom w:w="30" w:type="dxa"/>
              <w:right w:w="45" w:type="dxa"/>
            </w:tcMar>
            <w:vAlign w:val="bottom"/>
          </w:tcPr>
          <w:p w14:paraId="1B313F28">
            <w:pPr>
              <w:jc w:val="center"/>
            </w:pPr>
            <w:r>
              <w:t>0</w:t>
            </w:r>
          </w:p>
        </w:tc>
      </w:tr>
      <w:tr w14:paraId="4EBFA3D7">
        <w:trPr>
          <w:trHeight w:val="315" w:hRule="atLeast"/>
        </w:trPr>
        <w:tc>
          <w:tcPr>
            <w:tcW w:w="3119" w:type="dxa"/>
            <w:tcMar>
              <w:top w:w="30" w:type="dxa"/>
              <w:left w:w="45" w:type="dxa"/>
              <w:bottom w:w="30" w:type="dxa"/>
              <w:right w:w="45" w:type="dxa"/>
            </w:tcMar>
            <w:vAlign w:val="bottom"/>
          </w:tcPr>
          <w:p w14:paraId="7D2CF556">
            <w:pPr>
              <w:jc w:val="center"/>
            </w:pPr>
          </w:p>
        </w:tc>
        <w:tc>
          <w:tcPr>
            <w:tcW w:w="3402" w:type="dxa"/>
            <w:tcMar>
              <w:top w:w="30" w:type="dxa"/>
              <w:left w:w="45" w:type="dxa"/>
              <w:bottom w:w="30" w:type="dxa"/>
              <w:right w:w="45" w:type="dxa"/>
            </w:tcMar>
            <w:vAlign w:val="bottom"/>
          </w:tcPr>
          <w:p w14:paraId="6F4EE67B">
            <w:r>
              <w:t>Former smoker</w:t>
            </w:r>
          </w:p>
        </w:tc>
        <w:tc>
          <w:tcPr>
            <w:tcW w:w="992" w:type="dxa"/>
            <w:tcMar>
              <w:top w:w="30" w:type="dxa"/>
              <w:left w:w="45" w:type="dxa"/>
              <w:bottom w:w="30" w:type="dxa"/>
              <w:right w:w="45" w:type="dxa"/>
            </w:tcMar>
            <w:vAlign w:val="bottom"/>
          </w:tcPr>
          <w:p w14:paraId="070FB459">
            <w:pPr>
              <w:jc w:val="center"/>
            </w:pPr>
            <w:r>
              <w:t>5</w:t>
            </w:r>
          </w:p>
        </w:tc>
      </w:tr>
      <w:tr w14:paraId="3E5CBF15">
        <w:trPr>
          <w:trHeight w:val="315" w:hRule="atLeast"/>
        </w:trPr>
        <w:tc>
          <w:tcPr>
            <w:tcW w:w="3119" w:type="dxa"/>
            <w:tcMar>
              <w:top w:w="30" w:type="dxa"/>
              <w:left w:w="45" w:type="dxa"/>
              <w:bottom w:w="30" w:type="dxa"/>
              <w:right w:w="45" w:type="dxa"/>
            </w:tcMar>
            <w:vAlign w:val="bottom"/>
          </w:tcPr>
          <w:p w14:paraId="1157F07E">
            <w:r>
              <w:t>Drinking status</w:t>
            </w:r>
          </w:p>
        </w:tc>
        <w:tc>
          <w:tcPr>
            <w:tcW w:w="3402" w:type="dxa"/>
            <w:tcMar>
              <w:top w:w="30" w:type="dxa"/>
              <w:left w:w="45" w:type="dxa"/>
              <w:bottom w:w="30" w:type="dxa"/>
              <w:right w:w="45" w:type="dxa"/>
            </w:tcMar>
            <w:vAlign w:val="bottom"/>
          </w:tcPr>
          <w:p w14:paraId="11438746"/>
        </w:tc>
        <w:tc>
          <w:tcPr>
            <w:tcW w:w="992" w:type="dxa"/>
            <w:tcMar>
              <w:top w:w="30" w:type="dxa"/>
              <w:left w:w="45" w:type="dxa"/>
              <w:bottom w:w="30" w:type="dxa"/>
              <w:right w:w="45" w:type="dxa"/>
            </w:tcMar>
            <w:vAlign w:val="bottom"/>
          </w:tcPr>
          <w:p w14:paraId="3AB9C2C1">
            <w:pPr>
              <w:jc w:val="center"/>
            </w:pPr>
          </w:p>
        </w:tc>
      </w:tr>
      <w:tr w14:paraId="616706F8">
        <w:trPr>
          <w:trHeight w:val="315" w:hRule="atLeast"/>
        </w:trPr>
        <w:tc>
          <w:tcPr>
            <w:tcW w:w="3119" w:type="dxa"/>
            <w:tcMar>
              <w:top w:w="30" w:type="dxa"/>
              <w:left w:w="45" w:type="dxa"/>
              <w:bottom w:w="30" w:type="dxa"/>
              <w:right w:w="45" w:type="dxa"/>
            </w:tcMar>
            <w:vAlign w:val="bottom"/>
          </w:tcPr>
          <w:p w14:paraId="298F98A4">
            <w:pPr>
              <w:jc w:val="center"/>
            </w:pPr>
          </w:p>
        </w:tc>
        <w:tc>
          <w:tcPr>
            <w:tcW w:w="3402" w:type="dxa"/>
            <w:tcMar>
              <w:top w:w="30" w:type="dxa"/>
              <w:left w:w="45" w:type="dxa"/>
              <w:bottom w:w="30" w:type="dxa"/>
              <w:right w:w="45" w:type="dxa"/>
            </w:tcMar>
            <w:vAlign w:val="bottom"/>
          </w:tcPr>
          <w:p w14:paraId="52AB014D">
            <w:r>
              <w:t>Never a drinker</w:t>
            </w:r>
          </w:p>
        </w:tc>
        <w:tc>
          <w:tcPr>
            <w:tcW w:w="992" w:type="dxa"/>
            <w:tcMar>
              <w:top w:w="30" w:type="dxa"/>
              <w:left w:w="45" w:type="dxa"/>
              <w:bottom w:w="30" w:type="dxa"/>
              <w:right w:w="45" w:type="dxa"/>
            </w:tcMar>
            <w:vAlign w:val="bottom"/>
          </w:tcPr>
          <w:p w14:paraId="0B57DF6B">
            <w:pPr>
              <w:jc w:val="center"/>
            </w:pPr>
            <w:r>
              <w:t>9</w:t>
            </w:r>
          </w:p>
        </w:tc>
      </w:tr>
      <w:tr w14:paraId="4CAC9381">
        <w:trPr>
          <w:trHeight w:val="315" w:hRule="atLeast"/>
        </w:trPr>
        <w:tc>
          <w:tcPr>
            <w:tcW w:w="3119" w:type="dxa"/>
            <w:tcMar>
              <w:top w:w="30" w:type="dxa"/>
              <w:left w:w="45" w:type="dxa"/>
              <w:bottom w:w="30" w:type="dxa"/>
              <w:right w:w="45" w:type="dxa"/>
            </w:tcMar>
            <w:vAlign w:val="bottom"/>
          </w:tcPr>
          <w:p w14:paraId="38B2CD38">
            <w:pPr>
              <w:jc w:val="center"/>
            </w:pPr>
          </w:p>
        </w:tc>
        <w:tc>
          <w:tcPr>
            <w:tcW w:w="3402" w:type="dxa"/>
            <w:tcMar>
              <w:top w:w="30" w:type="dxa"/>
              <w:left w:w="45" w:type="dxa"/>
              <w:bottom w:w="30" w:type="dxa"/>
              <w:right w:w="45" w:type="dxa"/>
            </w:tcMar>
            <w:vAlign w:val="bottom"/>
          </w:tcPr>
          <w:p w14:paraId="4D9E3EAC">
            <w:r>
              <w:t>Currently a drinker</w:t>
            </w:r>
          </w:p>
        </w:tc>
        <w:tc>
          <w:tcPr>
            <w:tcW w:w="992" w:type="dxa"/>
            <w:tcMar>
              <w:top w:w="30" w:type="dxa"/>
              <w:left w:w="45" w:type="dxa"/>
              <w:bottom w:w="30" w:type="dxa"/>
              <w:right w:w="45" w:type="dxa"/>
            </w:tcMar>
            <w:vAlign w:val="bottom"/>
          </w:tcPr>
          <w:p w14:paraId="07A01D09">
            <w:pPr>
              <w:jc w:val="center"/>
            </w:pPr>
            <w:r>
              <w:t>0</w:t>
            </w:r>
          </w:p>
        </w:tc>
      </w:tr>
      <w:tr w14:paraId="27FF70CC">
        <w:trPr>
          <w:trHeight w:val="315" w:hRule="atLeast"/>
        </w:trPr>
        <w:tc>
          <w:tcPr>
            <w:tcW w:w="3119" w:type="dxa"/>
            <w:tcMar>
              <w:top w:w="30" w:type="dxa"/>
              <w:left w:w="45" w:type="dxa"/>
              <w:bottom w:w="30" w:type="dxa"/>
              <w:right w:w="45" w:type="dxa"/>
            </w:tcMar>
            <w:vAlign w:val="bottom"/>
          </w:tcPr>
          <w:p w14:paraId="284B8A2D">
            <w:pPr>
              <w:jc w:val="center"/>
            </w:pPr>
          </w:p>
        </w:tc>
        <w:tc>
          <w:tcPr>
            <w:tcW w:w="3402" w:type="dxa"/>
            <w:tcMar>
              <w:top w:w="30" w:type="dxa"/>
              <w:left w:w="45" w:type="dxa"/>
              <w:bottom w:w="30" w:type="dxa"/>
              <w:right w:w="45" w:type="dxa"/>
            </w:tcMar>
            <w:vAlign w:val="bottom"/>
          </w:tcPr>
          <w:p w14:paraId="4A230073">
            <w:sdt>
              <w:sdtPr>
                <w:tag w:val="goog_rdk_14"/>
                <w:id w:val="505324748"/>
              </w:sdtPr>
              <w:sdtContent/>
            </w:sdt>
            <w:sdt>
              <w:sdtPr>
                <w:tag w:val="goog_rdk_15"/>
                <w:id w:val="842699398"/>
              </w:sdtPr>
              <w:sdtContent/>
            </w:sdt>
            <w:r>
              <w:t>Formerly a drinker</w:t>
            </w:r>
          </w:p>
        </w:tc>
        <w:tc>
          <w:tcPr>
            <w:tcW w:w="992" w:type="dxa"/>
            <w:tcMar>
              <w:top w:w="30" w:type="dxa"/>
              <w:left w:w="45" w:type="dxa"/>
              <w:bottom w:w="30" w:type="dxa"/>
              <w:right w:w="45" w:type="dxa"/>
            </w:tcMar>
            <w:vAlign w:val="bottom"/>
          </w:tcPr>
          <w:p w14:paraId="484F9E67">
            <w:pPr>
              <w:jc w:val="center"/>
            </w:pPr>
            <w:r>
              <w:t>0</w:t>
            </w:r>
          </w:p>
        </w:tc>
      </w:tr>
    </w:tbl>
    <w:p w14:paraId="1212EB52">
      <w:pPr>
        <w:spacing w:line="480" w:lineRule="auto"/>
        <w:jc w:val="both"/>
        <w:rPr>
          <w:b/>
        </w:rPr>
      </w:pPr>
    </w:p>
    <w:p w14:paraId="6CFCA5B2">
      <w:pPr>
        <w:spacing w:line="276" w:lineRule="auto"/>
        <w:jc w:val="both"/>
        <w:rPr>
          <w:sz w:val="22"/>
          <w:szCs w:val="22"/>
        </w:rPr>
      </w:pPr>
      <w:r>
        <w:rPr>
          <w:rFonts w:hint="default" w:ascii="Times New Roman Bold" w:hAnsi="Times New Roman Bold" w:cs="Times New Roman Bold"/>
          <w:b/>
          <w:bCs/>
          <w:sz w:val="24"/>
          <w:szCs w:val="24"/>
        </w:rPr>
        <w:t xml:space="preserve">Table 2. </w:t>
      </w:r>
      <w:r>
        <w:rPr>
          <w:sz w:val="22"/>
          <w:szCs w:val="22"/>
        </w:rPr>
        <w:t>Detailed demographic information for each participant</w:t>
      </w:r>
    </w:p>
    <w:tbl>
      <w:tblPr>
        <w:tblStyle w:val="36"/>
        <w:tblpPr w:leftFromText="180" w:rightFromText="180" w:vertAnchor="text" w:tblpY="46"/>
        <w:tblW w:w="10488" w:type="dxa"/>
        <w:tblInd w:w="0" w:type="dxa"/>
        <w:tblLayout w:type="fixed"/>
        <w:tblCellMar>
          <w:top w:w="0" w:type="dxa"/>
          <w:left w:w="0" w:type="dxa"/>
          <w:bottom w:w="0" w:type="dxa"/>
          <w:right w:w="0" w:type="dxa"/>
        </w:tblCellMar>
      </w:tblPr>
      <w:tblGrid>
        <w:gridCol w:w="1224"/>
        <w:gridCol w:w="9264"/>
      </w:tblGrid>
      <w:tr w14:paraId="3EC98BC0">
        <w:trPr>
          <w:trHeight w:val="315" w:hRule="atLeast"/>
        </w:trPr>
        <w:tc>
          <w:tcPr>
            <w:tcW w:w="1224" w:type="dxa"/>
            <w:tcBorders>
              <w:top w:val="single" w:color="000000" w:sz="6" w:space="0"/>
              <w:bottom w:val="single" w:color="000000" w:sz="6" w:space="0"/>
            </w:tcBorders>
            <w:tcMar>
              <w:top w:w="30" w:type="dxa"/>
              <w:left w:w="45" w:type="dxa"/>
              <w:bottom w:w="30" w:type="dxa"/>
              <w:right w:w="45" w:type="dxa"/>
            </w:tcMar>
          </w:tcPr>
          <w:p w14:paraId="7BF116B4">
            <w:pPr>
              <w:spacing w:line="480" w:lineRule="auto"/>
              <w:rPr>
                <w:sz w:val="22"/>
                <w:szCs w:val="22"/>
              </w:rPr>
            </w:pPr>
            <w:r>
              <w:rPr>
                <w:sz w:val="22"/>
                <w:szCs w:val="22"/>
              </w:rPr>
              <w:t>Participants</w:t>
            </w:r>
          </w:p>
        </w:tc>
        <w:tc>
          <w:tcPr>
            <w:tcW w:w="9264" w:type="dxa"/>
            <w:tcBorders>
              <w:top w:val="single" w:color="000000" w:sz="6" w:space="0"/>
              <w:bottom w:val="single" w:color="000000" w:sz="6" w:space="0"/>
            </w:tcBorders>
            <w:tcMar>
              <w:top w:w="30" w:type="dxa"/>
              <w:left w:w="45" w:type="dxa"/>
              <w:bottom w:w="30" w:type="dxa"/>
              <w:right w:w="45" w:type="dxa"/>
            </w:tcMar>
          </w:tcPr>
          <w:p w14:paraId="515ACA18">
            <w:pPr>
              <w:spacing w:line="276" w:lineRule="auto"/>
              <w:rPr>
                <w:sz w:val="22"/>
                <w:szCs w:val="22"/>
              </w:rPr>
            </w:pPr>
            <w:r>
              <w:rPr>
                <w:sz w:val="22"/>
                <w:szCs w:val="22"/>
              </w:rPr>
              <w:t>Demographic Information (type of cancer, stage of cancer, duration of being diagnosed with cancer, age, gender, ethnicity, smoking status).</w:t>
            </w:r>
          </w:p>
        </w:tc>
      </w:tr>
      <w:tr w14:paraId="720C6BA5">
        <w:trPr>
          <w:trHeight w:val="315" w:hRule="atLeast"/>
        </w:trPr>
        <w:tc>
          <w:tcPr>
            <w:tcW w:w="1224" w:type="dxa"/>
            <w:tcMar>
              <w:top w:w="30" w:type="dxa"/>
              <w:left w:w="45" w:type="dxa"/>
              <w:bottom w:w="30" w:type="dxa"/>
              <w:right w:w="45" w:type="dxa"/>
            </w:tcMar>
          </w:tcPr>
          <w:p w14:paraId="7C6183A3">
            <w:pPr>
              <w:spacing w:line="480" w:lineRule="auto"/>
              <w:rPr>
                <w:sz w:val="22"/>
                <w:szCs w:val="22"/>
              </w:rPr>
            </w:pPr>
            <w:r>
              <w:rPr>
                <w:sz w:val="22"/>
                <w:szCs w:val="22"/>
              </w:rPr>
              <w:t>P1</w:t>
            </w:r>
          </w:p>
        </w:tc>
        <w:tc>
          <w:tcPr>
            <w:tcW w:w="9264" w:type="dxa"/>
            <w:tcMar>
              <w:top w:w="30" w:type="dxa"/>
              <w:left w:w="45" w:type="dxa"/>
              <w:bottom w:w="30" w:type="dxa"/>
              <w:right w:w="45" w:type="dxa"/>
            </w:tcMar>
          </w:tcPr>
          <w:p w14:paraId="4ED6BDD5">
            <w:pPr>
              <w:spacing w:line="480" w:lineRule="auto"/>
              <w:rPr>
                <w:sz w:val="22"/>
                <w:szCs w:val="22"/>
              </w:rPr>
            </w:pPr>
            <w:r>
              <w:rPr>
                <w:sz w:val="22"/>
                <w:szCs w:val="22"/>
              </w:rPr>
              <w:t>NPC, stage 2, diagnosed for more than 2 years, 62 years old, male, Malay, former smoker</w:t>
            </w:r>
          </w:p>
        </w:tc>
      </w:tr>
      <w:tr w14:paraId="18F27012">
        <w:trPr>
          <w:trHeight w:val="315" w:hRule="atLeast"/>
        </w:trPr>
        <w:tc>
          <w:tcPr>
            <w:tcW w:w="1224" w:type="dxa"/>
            <w:tcMar>
              <w:top w:w="30" w:type="dxa"/>
              <w:left w:w="45" w:type="dxa"/>
              <w:bottom w:w="30" w:type="dxa"/>
              <w:right w:w="45" w:type="dxa"/>
            </w:tcMar>
          </w:tcPr>
          <w:p w14:paraId="68DBC721">
            <w:pPr>
              <w:spacing w:line="480" w:lineRule="auto"/>
              <w:rPr>
                <w:sz w:val="22"/>
                <w:szCs w:val="22"/>
              </w:rPr>
            </w:pPr>
            <w:r>
              <w:rPr>
                <w:sz w:val="22"/>
                <w:szCs w:val="22"/>
              </w:rPr>
              <w:t>P2</w:t>
            </w:r>
          </w:p>
        </w:tc>
        <w:tc>
          <w:tcPr>
            <w:tcW w:w="9264" w:type="dxa"/>
            <w:tcMar>
              <w:top w:w="30" w:type="dxa"/>
              <w:left w:w="45" w:type="dxa"/>
              <w:bottom w:w="30" w:type="dxa"/>
              <w:right w:w="45" w:type="dxa"/>
            </w:tcMar>
          </w:tcPr>
          <w:p w14:paraId="5D0B93D4">
            <w:pPr>
              <w:spacing w:line="480" w:lineRule="auto"/>
              <w:rPr>
                <w:sz w:val="22"/>
                <w:szCs w:val="22"/>
              </w:rPr>
            </w:pPr>
            <w:r>
              <w:rPr>
                <w:sz w:val="22"/>
                <w:szCs w:val="22"/>
              </w:rPr>
              <w:t>NPC, stage 3, diagnosed for more than 3 years, 73 years old, male, Malay, never smoked</w:t>
            </w:r>
          </w:p>
        </w:tc>
      </w:tr>
      <w:tr w14:paraId="3022F8CC">
        <w:trPr>
          <w:trHeight w:val="315" w:hRule="atLeast"/>
        </w:trPr>
        <w:tc>
          <w:tcPr>
            <w:tcW w:w="1224" w:type="dxa"/>
            <w:tcMar>
              <w:top w:w="30" w:type="dxa"/>
              <w:left w:w="45" w:type="dxa"/>
              <w:bottom w:w="30" w:type="dxa"/>
              <w:right w:w="45" w:type="dxa"/>
            </w:tcMar>
          </w:tcPr>
          <w:p w14:paraId="583ACB08">
            <w:pPr>
              <w:spacing w:line="480" w:lineRule="auto"/>
              <w:rPr>
                <w:sz w:val="22"/>
                <w:szCs w:val="22"/>
              </w:rPr>
            </w:pPr>
            <w:r>
              <w:rPr>
                <w:sz w:val="22"/>
                <w:szCs w:val="22"/>
              </w:rPr>
              <w:t>P3</w:t>
            </w:r>
          </w:p>
        </w:tc>
        <w:tc>
          <w:tcPr>
            <w:tcW w:w="9264" w:type="dxa"/>
            <w:tcMar>
              <w:top w:w="30" w:type="dxa"/>
              <w:left w:w="45" w:type="dxa"/>
              <w:bottom w:w="30" w:type="dxa"/>
              <w:right w:w="45" w:type="dxa"/>
            </w:tcMar>
          </w:tcPr>
          <w:p w14:paraId="536B81F3">
            <w:pPr>
              <w:spacing w:line="480" w:lineRule="auto"/>
              <w:rPr>
                <w:sz w:val="22"/>
                <w:szCs w:val="22"/>
              </w:rPr>
            </w:pPr>
            <w:r>
              <w:rPr>
                <w:sz w:val="22"/>
                <w:szCs w:val="22"/>
              </w:rPr>
              <w:t>NPC, stage 2, diagnosed for more than 3 years, 52 years old, male, Chinese, former smoker</w:t>
            </w:r>
          </w:p>
        </w:tc>
      </w:tr>
      <w:tr w14:paraId="42BDD944">
        <w:trPr>
          <w:trHeight w:val="315" w:hRule="atLeast"/>
        </w:trPr>
        <w:tc>
          <w:tcPr>
            <w:tcW w:w="1224" w:type="dxa"/>
            <w:tcMar>
              <w:top w:w="30" w:type="dxa"/>
              <w:left w:w="45" w:type="dxa"/>
              <w:bottom w:w="30" w:type="dxa"/>
              <w:right w:w="45" w:type="dxa"/>
            </w:tcMar>
          </w:tcPr>
          <w:p w14:paraId="74605F6D">
            <w:pPr>
              <w:spacing w:line="480" w:lineRule="auto"/>
              <w:rPr>
                <w:sz w:val="22"/>
                <w:szCs w:val="22"/>
              </w:rPr>
            </w:pPr>
            <w:r>
              <w:rPr>
                <w:sz w:val="22"/>
                <w:szCs w:val="22"/>
              </w:rPr>
              <w:t>P4</w:t>
            </w:r>
          </w:p>
        </w:tc>
        <w:tc>
          <w:tcPr>
            <w:tcW w:w="9264" w:type="dxa"/>
            <w:tcMar>
              <w:top w:w="30" w:type="dxa"/>
              <w:left w:w="45" w:type="dxa"/>
              <w:bottom w:w="30" w:type="dxa"/>
              <w:right w:w="45" w:type="dxa"/>
            </w:tcMar>
          </w:tcPr>
          <w:p w14:paraId="7A08DB17">
            <w:pPr>
              <w:spacing w:line="480" w:lineRule="auto"/>
              <w:rPr>
                <w:sz w:val="22"/>
                <w:szCs w:val="22"/>
              </w:rPr>
            </w:pPr>
            <w:r>
              <w:rPr>
                <w:sz w:val="22"/>
                <w:szCs w:val="22"/>
              </w:rPr>
              <w:t>NPC, stage 3, diagnosed for less than 1 year, 49 years old, male, Indian, never smoked</w:t>
            </w:r>
          </w:p>
        </w:tc>
      </w:tr>
      <w:tr w14:paraId="022271F4">
        <w:trPr>
          <w:trHeight w:val="315" w:hRule="atLeast"/>
        </w:trPr>
        <w:tc>
          <w:tcPr>
            <w:tcW w:w="1224" w:type="dxa"/>
            <w:tcMar>
              <w:top w:w="30" w:type="dxa"/>
              <w:left w:w="45" w:type="dxa"/>
              <w:bottom w:w="30" w:type="dxa"/>
              <w:right w:w="45" w:type="dxa"/>
            </w:tcMar>
          </w:tcPr>
          <w:p w14:paraId="76D08C8C">
            <w:pPr>
              <w:spacing w:line="480" w:lineRule="auto"/>
              <w:rPr>
                <w:sz w:val="22"/>
                <w:szCs w:val="22"/>
              </w:rPr>
            </w:pPr>
            <w:r>
              <w:rPr>
                <w:sz w:val="22"/>
                <w:szCs w:val="22"/>
              </w:rPr>
              <w:t>P5</w:t>
            </w:r>
          </w:p>
        </w:tc>
        <w:tc>
          <w:tcPr>
            <w:tcW w:w="9264" w:type="dxa"/>
            <w:tcMar>
              <w:top w:w="30" w:type="dxa"/>
              <w:left w:w="45" w:type="dxa"/>
              <w:bottom w:w="30" w:type="dxa"/>
              <w:right w:w="45" w:type="dxa"/>
            </w:tcMar>
          </w:tcPr>
          <w:p w14:paraId="5F6B7B91">
            <w:pPr>
              <w:spacing w:line="480" w:lineRule="auto"/>
              <w:rPr>
                <w:sz w:val="22"/>
                <w:szCs w:val="22"/>
              </w:rPr>
            </w:pPr>
            <w:r>
              <w:rPr>
                <w:sz w:val="22"/>
                <w:szCs w:val="22"/>
              </w:rPr>
              <w:t>NPC, stage 3, diagnosed for less than 1 year, 51 years old, male, Malay, never smoked</w:t>
            </w:r>
          </w:p>
        </w:tc>
      </w:tr>
      <w:tr w14:paraId="0E85A3F4">
        <w:trPr>
          <w:trHeight w:val="315" w:hRule="atLeast"/>
        </w:trPr>
        <w:tc>
          <w:tcPr>
            <w:tcW w:w="1224" w:type="dxa"/>
            <w:tcMar>
              <w:top w:w="30" w:type="dxa"/>
              <w:left w:w="45" w:type="dxa"/>
              <w:bottom w:w="30" w:type="dxa"/>
              <w:right w:w="45" w:type="dxa"/>
            </w:tcMar>
          </w:tcPr>
          <w:p w14:paraId="11A90B08">
            <w:pPr>
              <w:spacing w:line="480" w:lineRule="auto"/>
              <w:rPr>
                <w:sz w:val="22"/>
                <w:szCs w:val="22"/>
              </w:rPr>
            </w:pPr>
            <w:r>
              <w:rPr>
                <w:sz w:val="22"/>
                <w:szCs w:val="22"/>
              </w:rPr>
              <w:t>P6</w:t>
            </w:r>
          </w:p>
        </w:tc>
        <w:tc>
          <w:tcPr>
            <w:tcW w:w="9264" w:type="dxa"/>
            <w:tcMar>
              <w:top w:w="30" w:type="dxa"/>
              <w:left w:w="45" w:type="dxa"/>
              <w:bottom w:w="30" w:type="dxa"/>
              <w:right w:w="45" w:type="dxa"/>
            </w:tcMar>
          </w:tcPr>
          <w:p w14:paraId="7E3ADAB7">
            <w:pPr>
              <w:spacing w:line="480" w:lineRule="auto"/>
              <w:rPr>
                <w:sz w:val="22"/>
                <w:szCs w:val="22"/>
              </w:rPr>
            </w:pPr>
            <w:r>
              <w:rPr>
                <w:sz w:val="22"/>
                <w:szCs w:val="22"/>
              </w:rPr>
              <w:t>NPC, stage 4, diagnosed for less than 1 year, 60 years old, male, Malay, never smoked</w:t>
            </w:r>
          </w:p>
        </w:tc>
      </w:tr>
      <w:tr w14:paraId="4B036DA0">
        <w:trPr>
          <w:trHeight w:val="315" w:hRule="atLeast"/>
        </w:trPr>
        <w:tc>
          <w:tcPr>
            <w:tcW w:w="1224" w:type="dxa"/>
            <w:tcMar>
              <w:top w:w="30" w:type="dxa"/>
              <w:left w:w="45" w:type="dxa"/>
              <w:bottom w:w="30" w:type="dxa"/>
              <w:right w:w="45" w:type="dxa"/>
            </w:tcMar>
          </w:tcPr>
          <w:p w14:paraId="773A8AF2">
            <w:pPr>
              <w:spacing w:line="480" w:lineRule="auto"/>
              <w:rPr>
                <w:sz w:val="22"/>
                <w:szCs w:val="22"/>
              </w:rPr>
            </w:pPr>
            <w:r>
              <w:rPr>
                <w:sz w:val="22"/>
                <w:szCs w:val="22"/>
              </w:rPr>
              <w:t>P7</w:t>
            </w:r>
          </w:p>
        </w:tc>
        <w:tc>
          <w:tcPr>
            <w:tcW w:w="9264" w:type="dxa"/>
            <w:tcMar>
              <w:top w:w="30" w:type="dxa"/>
              <w:left w:w="45" w:type="dxa"/>
              <w:bottom w:w="30" w:type="dxa"/>
              <w:right w:w="45" w:type="dxa"/>
            </w:tcMar>
          </w:tcPr>
          <w:p w14:paraId="33115726">
            <w:pPr>
              <w:spacing w:line="480" w:lineRule="auto"/>
              <w:rPr>
                <w:sz w:val="22"/>
                <w:szCs w:val="22"/>
              </w:rPr>
            </w:pPr>
            <w:r>
              <w:rPr>
                <w:sz w:val="22"/>
                <w:szCs w:val="22"/>
              </w:rPr>
              <w:t>NPC, stage 2, diagnosed for less than 1 year, 60 years old, male, Malay, former smoker</w:t>
            </w:r>
          </w:p>
        </w:tc>
      </w:tr>
      <w:tr w14:paraId="5E92AF8C">
        <w:trPr>
          <w:trHeight w:val="315" w:hRule="atLeast"/>
        </w:trPr>
        <w:tc>
          <w:tcPr>
            <w:tcW w:w="1224" w:type="dxa"/>
            <w:tcMar>
              <w:top w:w="30" w:type="dxa"/>
              <w:left w:w="45" w:type="dxa"/>
              <w:bottom w:w="30" w:type="dxa"/>
              <w:right w:w="45" w:type="dxa"/>
            </w:tcMar>
          </w:tcPr>
          <w:p w14:paraId="6E9B85E4">
            <w:pPr>
              <w:spacing w:line="480" w:lineRule="auto"/>
              <w:rPr>
                <w:sz w:val="22"/>
                <w:szCs w:val="22"/>
              </w:rPr>
            </w:pPr>
            <w:r>
              <w:rPr>
                <w:sz w:val="22"/>
                <w:szCs w:val="22"/>
              </w:rPr>
              <w:t>P8</w:t>
            </w:r>
          </w:p>
        </w:tc>
        <w:tc>
          <w:tcPr>
            <w:tcW w:w="9264" w:type="dxa"/>
            <w:tcMar>
              <w:top w:w="30" w:type="dxa"/>
              <w:left w:w="45" w:type="dxa"/>
              <w:bottom w:w="30" w:type="dxa"/>
              <w:right w:w="45" w:type="dxa"/>
            </w:tcMar>
          </w:tcPr>
          <w:p w14:paraId="6A944D14">
            <w:pPr>
              <w:spacing w:line="480" w:lineRule="auto"/>
              <w:rPr>
                <w:sz w:val="22"/>
                <w:szCs w:val="22"/>
              </w:rPr>
            </w:pPr>
            <w:r>
              <w:rPr>
                <w:sz w:val="22"/>
                <w:szCs w:val="22"/>
              </w:rPr>
              <w:t>NPC, stage 4, diagnosed for more than 1 year, 57 years old, male, Chinese, former smoker</w:t>
            </w:r>
          </w:p>
        </w:tc>
      </w:tr>
      <w:tr w14:paraId="6735DA0C">
        <w:trPr>
          <w:trHeight w:val="315" w:hRule="atLeast"/>
        </w:trPr>
        <w:tc>
          <w:tcPr>
            <w:tcW w:w="1224" w:type="dxa"/>
            <w:tcBorders>
              <w:bottom w:val="single" w:color="000000" w:sz="6" w:space="0"/>
            </w:tcBorders>
            <w:tcMar>
              <w:top w:w="30" w:type="dxa"/>
              <w:left w:w="45" w:type="dxa"/>
              <w:bottom w:w="30" w:type="dxa"/>
              <w:right w:w="45" w:type="dxa"/>
            </w:tcMar>
          </w:tcPr>
          <w:p w14:paraId="653EE53E">
            <w:pPr>
              <w:spacing w:line="480" w:lineRule="auto"/>
              <w:rPr>
                <w:sz w:val="22"/>
                <w:szCs w:val="22"/>
              </w:rPr>
            </w:pPr>
            <w:r>
              <w:rPr>
                <w:sz w:val="22"/>
                <w:szCs w:val="22"/>
              </w:rPr>
              <w:t>P9</w:t>
            </w:r>
          </w:p>
        </w:tc>
        <w:tc>
          <w:tcPr>
            <w:tcW w:w="9264" w:type="dxa"/>
            <w:tcBorders>
              <w:bottom w:val="single" w:color="000000" w:sz="6" w:space="0"/>
            </w:tcBorders>
            <w:tcMar>
              <w:top w:w="30" w:type="dxa"/>
              <w:left w:w="45" w:type="dxa"/>
              <w:bottom w:w="30" w:type="dxa"/>
              <w:right w:w="45" w:type="dxa"/>
            </w:tcMar>
          </w:tcPr>
          <w:p w14:paraId="496CD0FD">
            <w:pPr>
              <w:spacing w:line="480" w:lineRule="auto"/>
              <w:rPr>
                <w:sz w:val="22"/>
                <w:szCs w:val="22"/>
              </w:rPr>
            </w:pPr>
            <w:r>
              <w:rPr>
                <w:sz w:val="22"/>
                <w:szCs w:val="22"/>
              </w:rPr>
              <w:t>NPC, stage 2, diagnosed for less than 1 year, 57 years old, male, Malay, former smoker</w:t>
            </w:r>
          </w:p>
        </w:tc>
      </w:tr>
    </w:tbl>
    <w:p w14:paraId="57327632">
      <w:pPr>
        <w:spacing w:line="480" w:lineRule="auto"/>
        <w:jc w:val="both"/>
      </w:pPr>
    </w:p>
    <w:p w14:paraId="00000033">
      <w:pPr>
        <w:spacing w:line="480" w:lineRule="auto"/>
        <w:jc w:val="both"/>
        <w:rPr>
          <w:b/>
        </w:rPr>
      </w:pPr>
      <w:r>
        <w:rPr>
          <w:b/>
        </w:rPr>
        <w:t>Themes</w:t>
      </w:r>
    </w:p>
    <w:p w14:paraId="354CBCA5">
      <w:pPr>
        <w:spacing w:line="480" w:lineRule="auto"/>
        <w:jc w:val="both"/>
      </w:pPr>
      <w:r>
        <w:t xml:space="preserve">Four key themes and several sub/themes were obtained from the interviews with the patients, summarised in Table 3. </w:t>
      </w:r>
    </w:p>
    <w:p w14:paraId="324CACE3">
      <w:pPr>
        <w:spacing w:line="276" w:lineRule="auto"/>
        <w:jc w:val="both"/>
        <w:rPr>
          <w:sz w:val="22"/>
          <w:szCs w:val="22"/>
        </w:rPr>
      </w:pPr>
      <w:r>
        <w:rPr>
          <w:rFonts w:hint="default" w:ascii="Times New Roman Bold" w:hAnsi="Times New Roman Bold" w:cs="Times New Roman Bold"/>
          <w:b/>
          <w:bCs/>
          <w:sz w:val="24"/>
          <w:szCs w:val="24"/>
        </w:rPr>
        <w:t xml:space="preserve">Table 3. </w:t>
      </w:r>
      <w:r>
        <w:rPr>
          <w:sz w:val="22"/>
          <w:szCs w:val="22"/>
        </w:rPr>
        <w:t>Themes and sub-themes of semi-structured interviews.</w:t>
      </w:r>
    </w:p>
    <w:tbl>
      <w:tblPr>
        <w:tblStyle w:val="37"/>
        <w:tblpPr w:leftFromText="180" w:rightFromText="180" w:vertAnchor="text" w:tblpY="224"/>
        <w:tblW w:w="9356" w:type="dxa"/>
        <w:tblInd w:w="0" w:type="dxa"/>
        <w:tblLayout w:type="fixed"/>
        <w:tblCellMar>
          <w:top w:w="0" w:type="dxa"/>
          <w:left w:w="115" w:type="dxa"/>
          <w:bottom w:w="0" w:type="dxa"/>
          <w:right w:w="115" w:type="dxa"/>
        </w:tblCellMar>
      </w:tblPr>
      <w:tblGrid>
        <w:gridCol w:w="4111"/>
        <w:gridCol w:w="5245"/>
      </w:tblGrid>
      <w:tr w14:paraId="77114944">
        <w:trPr>
          <w:trHeight w:val="260" w:hRule="atLeast"/>
        </w:trPr>
        <w:tc>
          <w:tcPr>
            <w:tcW w:w="4111" w:type="dxa"/>
            <w:tcBorders>
              <w:top w:val="single" w:color="000000" w:sz="4" w:space="0"/>
              <w:left w:val="nil"/>
              <w:bottom w:val="single" w:color="000000" w:sz="4" w:space="0"/>
              <w:right w:val="nil"/>
            </w:tcBorders>
            <w:vAlign w:val="bottom"/>
          </w:tcPr>
          <w:p w14:paraId="371844CD">
            <w:pPr>
              <w:spacing w:line="480" w:lineRule="auto"/>
              <w:rPr>
                <w:sz w:val="20"/>
                <w:szCs w:val="20"/>
              </w:rPr>
            </w:pPr>
            <w:r>
              <w:rPr>
                <w:sz w:val="20"/>
                <w:szCs w:val="20"/>
              </w:rPr>
              <w:t>Main Themes</w:t>
            </w:r>
          </w:p>
        </w:tc>
        <w:tc>
          <w:tcPr>
            <w:tcW w:w="5245" w:type="dxa"/>
            <w:tcBorders>
              <w:top w:val="single" w:color="000000" w:sz="4" w:space="0"/>
              <w:left w:val="nil"/>
              <w:bottom w:val="single" w:color="000000" w:sz="4" w:space="0"/>
              <w:right w:val="nil"/>
            </w:tcBorders>
            <w:vAlign w:val="bottom"/>
          </w:tcPr>
          <w:p w14:paraId="20651105">
            <w:pPr>
              <w:spacing w:line="480" w:lineRule="auto"/>
              <w:rPr>
                <w:sz w:val="20"/>
                <w:szCs w:val="20"/>
              </w:rPr>
            </w:pPr>
            <w:r>
              <w:rPr>
                <w:sz w:val="20"/>
                <w:szCs w:val="20"/>
              </w:rPr>
              <w:t xml:space="preserve">Sub-Themes </w:t>
            </w:r>
          </w:p>
        </w:tc>
      </w:tr>
      <w:tr w14:paraId="2B8E1F4D">
        <w:trPr>
          <w:trHeight w:val="260" w:hRule="atLeast"/>
        </w:trPr>
        <w:tc>
          <w:tcPr>
            <w:tcW w:w="4111" w:type="dxa"/>
            <w:tcBorders>
              <w:top w:val="nil"/>
              <w:left w:val="nil"/>
              <w:bottom w:val="nil"/>
              <w:right w:val="nil"/>
            </w:tcBorders>
            <w:vAlign w:val="bottom"/>
          </w:tcPr>
          <w:p w14:paraId="1577D90D">
            <w:pPr>
              <w:spacing w:line="276" w:lineRule="auto"/>
              <w:rPr>
                <w:sz w:val="20"/>
                <w:szCs w:val="20"/>
              </w:rPr>
            </w:pPr>
            <w:r>
              <w:rPr>
                <w:sz w:val="20"/>
                <w:szCs w:val="20"/>
              </w:rPr>
              <w:t>“I was too tired even to chew”: challenges with chewing and swallowing</w:t>
            </w:r>
          </w:p>
        </w:tc>
        <w:tc>
          <w:tcPr>
            <w:tcW w:w="5245" w:type="dxa"/>
            <w:tcBorders>
              <w:top w:val="nil"/>
              <w:left w:val="nil"/>
              <w:bottom w:val="nil"/>
              <w:right w:val="nil"/>
            </w:tcBorders>
            <w:vAlign w:val="bottom"/>
          </w:tcPr>
          <w:p w14:paraId="565DE130">
            <w:pPr>
              <w:spacing w:line="480" w:lineRule="auto"/>
              <w:rPr>
                <w:sz w:val="20"/>
                <w:szCs w:val="20"/>
              </w:rPr>
            </w:pPr>
            <w:r>
              <w:rPr>
                <w:sz w:val="20"/>
                <w:szCs w:val="20"/>
              </w:rPr>
              <w:t>Increased effort in masticating or swallowing abilities</w:t>
            </w:r>
          </w:p>
        </w:tc>
      </w:tr>
      <w:tr w14:paraId="256FD01E">
        <w:trPr>
          <w:trHeight w:val="260" w:hRule="atLeast"/>
        </w:trPr>
        <w:tc>
          <w:tcPr>
            <w:tcW w:w="4111" w:type="dxa"/>
            <w:tcBorders>
              <w:top w:val="nil"/>
              <w:left w:val="nil"/>
              <w:bottom w:val="nil"/>
              <w:right w:val="nil"/>
            </w:tcBorders>
            <w:vAlign w:val="bottom"/>
          </w:tcPr>
          <w:p w14:paraId="26B88734">
            <w:pPr>
              <w:spacing w:line="276" w:lineRule="auto"/>
              <w:rPr>
                <w:sz w:val="20"/>
                <w:szCs w:val="20"/>
              </w:rPr>
            </w:pPr>
          </w:p>
        </w:tc>
        <w:tc>
          <w:tcPr>
            <w:tcW w:w="5245" w:type="dxa"/>
            <w:tcBorders>
              <w:top w:val="nil"/>
              <w:left w:val="nil"/>
              <w:bottom w:val="nil"/>
              <w:right w:val="nil"/>
            </w:tcBorders>
            <w:vAlign w:val="bottom"/>
          </w:tcPr>
          <w:p w14:paraId="4C9DE51D">
            <w:pPr>
              <w:spacing w:line="480" w:lineRule="auto"/>
              <w:rPr>
                <w:sz w:val="20"/>
                <w:szCs w:val="20"/>
              </w:rPr>
            </w:pPr>
            <w:r>
              <w:rPr>
                <w:sz w:val="20"/>
                <w:szCs w:val="20"/>
              </w:rPr>
              <w:t>Modification of diet</w:t>
            </w:r>
          </w:p>
        </w:tc>
      </w:tr>
      <w:tr w14:paraId="0D9D2603">
        <w:trPr>
          <w:trHeight w:val="260" w:hRule="atLeast"/>
        </w:trPr>
        <w:tc>
          <w:tcPr>
            <w:tcW w:w="4111" w:type="dxa"/>
            <w:tcBorders>
              <w:top w:val="nil"/>
              <w:left w:val="nil"/>
              <w:bottom w:val="nil"/>
              <w:right w:val="nil"/>
            </w:tcBorders>
            <w:vAlign w:val="bottom"/>
          </w:tcPr>
          <w:p w14:paraId="250B6531">
            <w:pPr>
              <w:spacing w:line="276" w:lineRule="auto"/>
              <w:rPr>
                <w:sz w:val="20"/>
                <w:szCs w:val="20"/>
              </w:rPr>
            </w:pPr>
          </w:p>
        </w:tc>
        <w:tc>
          <w:tcPr>
            <w:tcW w:w="5245" w:type="dxa"/>
            <w:tcBorders>
              <w:top w:val="nil"/>
              <w:left w:val="nil"/>
              <w:bottom w:val="nil"/>
              <w:right w:val="nil"/>
            </w:tcBorders>
            <w:vAlign w:val="bottom"/>
          </w:tcPr>
          <w:p w14:paraId="07429C81">
            <w:pPr>
              <w:spacing w:line="480" w:lineRule="auto"/>
              <w:rPr>
                <w:sz w:val="20"/>
                <w:szCs w:val="20"/>
              </w:rPr>
            </w:pPr>
            <w:r>
              <w:rPr>
                <w:sz w:val="20"/>
                <w:szCs w:val="20"/>
              </w:rPr>
              <w:t>Modified sensitivity to food</w:t>
            </w:r>
          </w:p>
        </w:tc>
      </w:tr>
      <w:tr w14:paraId="56A921D5">
        <w:trPr>
          <w:trHeight w:val="260" w:hRule="atLeast"/>
        </w:trPr>
        <w:tc>
          <w:tcPr>
            <w:tcW w:w="4111" w:type="dxa"/>
            <w:tcBorders>
              <w:top w:val="nil"/>
              <w:left w:val="nil"/>
              <w:bottom w:val="nil"/>
              <w:right w:val="nil"/>
            </w:tcBorders>
            <w:vAlign w:val="bottom"/>
          </w:tcPr>
          <w:p w14:paraId="458BCA6B">
            <w:pPr>
              <w:spacing w:line="276" w:lineRule="auto"/>
              <w:rPr>
                <w:sz w:val="20"/>
                <w:szCs w:val="20"/>
              </w:rPr>
            </w:pPr>
            <w:bookmarkStart w:id="4" w:name="_heading=h.clj002aolnph" w:colFirst="0" w:colLast="0"/>
            <w:bookmarkEnd w:id="4"/>
            <w:r>
              <w:rPr>
                <w:sz w:val="20"/>
                <w:szCs w:val="20"/>
              </w:rPr>
              <w:t>“You eat because you have to survive”: losing the pleasure in food</w:t>
            </w:r>
          </w:p>
        </w:tc>
        <w:tc>
          <w:tcPr>
            <w:tcW w:w="5245" w:type="dxa"/>
            <w:tcBorders>
              <w:top w:val="nil"/>
              <w:left w:val="nil"/>
              <w:bottom w:val="nil"/>
              <w:right w:val="nil"/>
            </w:tcBorders>
            <w:vAlign w:val="bottom"/>
          </w:tcPr>
          <w:p w14:paraId="532A973B">
            <w:pPr>
              <w:spacing w:line="480" w:lineRule="auto"/>
              <w:rPr>
                <w:sz w:val="20"/>
                <w:szCs w:val="20"/>
              </w:rPr>
            </w:pPr>
            <w:r>
              <w:rPr>
                <w:sz w:val="20"/>
                <w:szCs w:val="20"/>
              </w:rPr>
              <w:t>Frustration with eating</w:t>
            </w:r>
          </w:p>
        </w:tc>
      </w:tr>
      <w:tr w14:paraId="14A321BB">
        <w:trPr>
          <w:trHeight w:val="260" w:hRule="atLeast"/>
        </w:trPr>
        <w:tc>
          <w:tcPr>
            <w:tcW w:w="4111" w:type="dxa"/>
            <w:tcBorders>
              <w:top w:val="nil"/>
              <w:left w:val="nil"/>
              <w:bottom w:val="nil"/>
              <w:right w:val="nil"/>
            </w:tcBorders>
            <w:vAlign w:val="bottom"/>
          </w:tcPr>
          <w:p w14:paraId="3CC426CB">
            <w:pPr>
              <w:spacing w:line="480" w:lineRule="auto"/>
              <w:rPr>
                <w:sz w:val="20"/>
                <w:szCs w:val="20"/>
              </w:rPr>
            </w:pPr>
          </w:p>
        </w:tc>
        <w:tc>
          <w:tcPr>
            <w:tcW w:w="5245" w:type="dxa"/>
            <w:tcBorders>
              <w:top w:val="nil"/>
              <w:left w:val="nil"/>
              <w:bottom w:val="nil"/>
              <w:right w:val="nil"/>
            </w:tcBorders>
            <w:vAlign w:val="bottom"/>
          </w:tcPr>
          <w:p w14:paraId="69468F19">
            <w:pPr>
              <w:spacing w:line="480" w:lineRule="auto"/>
              <w:rPr>
                <w:sz w:val="20"/>
                <w:szCs w:val="20"/>
              </w:rPr>
            </w:pPr>
            <w:r>
              <w:rPr>
                <w:sz w:val="20"/>
                <w:szCs w:val="20"/>
              </w:rPr>
              <w:t>Change in purpose of eating</w:t>
            </w:r>
          </w:p>
        </w:tc>
      </w:tr>
      <w:tr w14:paraId="7091A9FD">
        <w:trPr>
          <w:trHeight w:val="260" w:hRule="atLeast"/>
        </w:trPr>
        <w:tc>
          <w:tcPr>
            <w:tcW w:w="4111" w:type="dxa"/>
            <w:tcBorders>
              <w:top w:val="nil"/>
              <w:left w:val="nil"/>
              <w:bottom w:val="nil"/>
              <w:right w:val="nil"/>
            </w:tcBorders>
            <w:vAlign w:val="bottom"/>
          </w:tcPr>
          <w:p w14:paraId="152002B7">
            <w:pPr>
              <w:spacing w:line="480" w:lineRule="auto"/>
              <w:rPr>
                <w:sz w:val="20"/>
                <w:szCs w:val="20"/>
                <w:highlight w:val="yellow"/>
              </w:rPr>
            </w:pPr>
          </w:p>
        </w:tc>
        <w:tc>
          <w:tcPr>
            <w:tcW w:w="5245" w:type="dxa"/>
            <w:tcBorders>
              <w:top w:val="nil"/>
              <w:left w:val="nil"/>
              <w:bottom w:val="nil"/>
              <w:right w:val="nil"/>
            </w:tcBorders>
            <w:vAlign w:val="bottom"/>
          </w:tcPr>
          <w:p w14:paraId="607D8ED1">
            <w:pPr>
              <w:spacing w:line="480" w:lineRule="auto"/>
              <w:rPr>
                <w:sz w:val="20"/>
                <w:szCs w:val="20"/>
              </w:rPr>
            </w:pPr>
            <w:r>
              <w:rPr>
                <w:sz w:val="20"/>
                <w:szCs w:val="20"/>
              </w:rPr>
              <w:t>Change in social habits</w:t>
            </w:r>
          </w:p>
        </w:tc>
      </w:tr>
      <w:tr w14:paraId="3DE86A30">
        <w:trPr>
          <w:trHeight w:val="549" w:hRule="atLeast"/>
        </w:trPr>
        <w:tc>
          <w:tcPr>
            <w:tcW w:w="4111" w:type="dxa"/>
            <w:tcBorders>
              <w:top w:val="nil"/>
              <w:left w:val="nil"/>
              <w:bottom w:val="nil"/>
              <w:right w:val="nil"/>
            </w:tcBorders>
            <w:vAlign w:val="bottom"/>
          </w:tcPr>
          <w:p w14:paraId="7F138691">
            <w:pPr>
              <w:spacing w:line="276" w:lineRule="auto"/>
              <w:rPr>
                <w:sz w:val="20"/>
                <w:szCs w:val="20"/>
                <w:highlight w:val="yellow"/>
              </w:rPr>
            </w:pPr>
            <w:bookmarkStart w:id="5" w:name="_heading=h.g703muwg0u1x" w:colFirst="0" w:colLast="0"/>
            <w:bookmarkEnd w:id="5"/>
            <w:r>
              <w:rPr>
                <w:sz w:val="20"/>
                <w:szCs w:val="20"/>
              </w:rPr>
              <w:t>“I only talked about what I wanted”: becoming a different communicator</w:t>
            </w:r>
          </w:p>
        </w:tc>
        <w:tc>
          <w:tcPr>
            <w:tcW w:w="5245" w:type="dxa"/>
            <w:tcBorders>
              <w:top w:val="nil"/>
              <w:left w:val="nil"/>
              <w:bottom w:val="nil"/>
              <w:right w:val="nil"/>
            </w:tcBorders>
          </w:tcPr>
          <w:p w14:paraId="32411EA9">
            <w:pPr>
              <w:spacing w:line="480" w:lineRule="auto"/>
              <w:rPr>
                <w:sz w:val="20"/>
                <w:szCs w:val="20"/>
              </w:rPr>
            </w:pPr>
            <w:r>
              <w:rPr>
                <w:sz w:val="20"/>
                <w:szCs w:val="20"/>
              </w:rPr>
              <w:t>Deterioration of speech quality</w:t>
            </w:r>
          </w:p>
        </w:tc>
      </w:tr>
      <w:tr w14:paraId="1BBD43B4">
        <w:trPr>
          <w:trHeight w:val="260" w:hRule="atLeast"/>
        </w:trPr>
        <w:tc>
          <w:tcPr>
            <w:tcW w:w="4111" w:type="dxa"/>
            <w:tcBorders>
              <w:top w:val="nil"/>
              <w:left w:val="nil"/>
              <w:bottom w:val="nil"/>
              <w:right w:val="nil"/>
            </w:tcBorders>
            <w:vAlign w:val="bottom"/>
          </w:tcPr>
          <w:p w14:paraId="5F7DA0DD">
            <w:pPr>
              <w:spacing w:line="480" w:lineRule="auto"/>
              <w:rPr>
                <w:sz w:val="20"/>
                <w:szCs w:val="20"/>
              </w:rPr>
            </w:pPr>
          </w:p>
        </w:tc>
        <w:tc>
          <w:tcPr>
            <w:tcW w:w="5245" w:type="dxa"/>
            <w:tcBorders>
              <w:top w:val="nil"/>
              <w:left w:val="nil"/>
              <w:bottom w:val="nil"/>
              <w:right w:val="nil"/>
            </w:tcBorders>
            <w:vAlign w:val="bottom"/>
          </w:tcPr>
          <w:p w14:paraId="6AD6AC23">
            <w:pPr>
              <w:spacing w:line="480" w:lineRule="auto"/>
              <w:rPr>
                <w:sz w:val="20"/>
                <w:szCs w:val="20"/>
              </w:rPr>
            </w:pPr>
            <w:r>
              <w:rPr>
                <w:sz w:val="20"/>
                <w:szCs w:val="20"/>
              </w:rPr>
              <w:t>Changes in communication habits</w:t>
            </w:r>
          </w:p>
        </w:tc>
      </w:tr>
      <w:tr w14:paraId="4B0224CE">
        <w:trPr>
          <w:trHeight w:val="260" w:hRule="atLeast"/>
        </w:trPr>
        <w:tc>
          <w:tcPr>
            <w:tcW w:w="4111" w:type="dxa"/>
            <w:tcBorders>
              <w:top w:val="nil"/>
              <w:left w:val="nil"/>
              <w:bottom w:val="nil"/>
              <w:right w:val="nil"/>
            </w:tcBorders>
            <w:vAlign w:val="bottom"/>
          </w:tcPr>
          <w:p w14:paraId="5C2EFC5C">
            <w:pPr>
              <w:spacing w:line="480" w:lineRule="auto"/>
              <w:rPr>
                <w:sz w:val="20"/>
                <w:szCs w:val="20"/>
              </w:rPr>
            </w:pPr>
          </w:p>
        </w:tc>
        <w:tc>
          <w:tcPr>
            <w:tcW w:w="5245" w:type="dxa"/>
            <w:tcBorders>
              <w:top w:val="nil"/>
              <w:left w:val="nil"/>
              <w:bottom w:val="nil"/>
              <w:right w:val="nil"/>
            </w:tcBorders>
            <w:vAlign w:val="bottom"/>
          </w:tcPr>
          <w:p w14:paraId="3FC8B2B2">
            <w:pPr>
              <w:spacing w:line="480" w:lineRule="auto"/>
              <w:rPr>
                <w:sz w:val="20"/>
                <w:szCs w:val="20"/>
              </w:rPr>
            </w:pPr>
            <w:r>
              <w:rPr>
                <w:sz w:val="20"/>
                <w:szCs w:val="20"/>
              </w:rPr>
              <w:t>Frustration with deterioration of speech quality</w:t>
            </w:r>
          </w:p>
        </w:tc>
      </w:tr>
      <w:tr w14:paraId="0A9E8016">
        <w:trPr>
          <w:trHeight w:val="260" w:hRule="atLeast"/>
        </w:trPr>
        <w:tc>
          <w:tcPr>
            <w:tcW w:w="4111" w:type="dxa"/>
            <w:tcBorders>
              <w:top w:val="nil"/>
              <w:left w:val="nil"/>
              <w:bottom w:val="nil"/>
              <w:right w:val="nil"/>
            </w:tcBorders>
            <w:vAlign w:val="bottom"/>
          </w:tcPr>
          <w:p w14:paraId="12B8688D">
            <w:pPr>
              <w:spacing w:line="480" w:lineRule="auto"/>
              <w:rPr>
                <w:sz w:val="20"/>
                <w:szCs w:val="20"/>
              </w:rPr>
            </w:pPr>
          </w:p>
        </w:tc>
        <w:tc>
          <w:tcPr>
            <w:tcW w:w="5245" w:type="dxa"/>
            <w:tcBorders>
              <w:top w:val="nil"/>
              <w:left w:val="nil"/>
              <w:bottom w:val="nil"/>
              <w:right w:val="nil"/>
            </w:tcBorders>
            <w:vAlign w:val="bottom"/>
          </w:tcPr>
          <w:p w14:paraId="008DA602">
            <w:pPr>
              <w:spacing w:line="480" w:lineRule="auto"/>
              <w:rPr>
                <w:sz w:val="20"/>
                <w:szCs w:val="20"/>
              </w:rPr>
            </w:pPr>
            <w:r>
              <w:rPr>
                <w:sz w:val="20"/>
                <w:szCs w:val="20"/>
              </w:rPr>
              <w:t>Deterioration in hearing abilities</w:t>
            </w:r>
          </w:p>
        </w:tc>
      </w:tr>
      <w:tr w14:paraId="581A9714">
        <w:trPr>
          <w:trHeight w:val="260" w:hRule="atLeast"/>
        </w:trPr>
        <w:tc>
          <w:tcPr>
            <w:tcW w:w="4111" w:type="dxa"/>
            <w:tcBorders>
              <w:top w:val="nil"/>
              <w:left w:val="nil"/>
              <w:bottom w:val="nil"/>
              <w:right w:val="nil"/>
            </w:tcBorders>
            <w:vAlign w:val="bottom"/>
          </w:tcPr>
          <w:p w14:paraId="089FC368">
            <w:pPr>
              <w:jc w:val="both"/>
              <w:rPr>
                <w:sz w:val="20"/>
                <w:szCs w:val="20"/>
              </w:rPr>
            </w:pPr>
            <w:bookmarkStart w:id="6" w:name="_heading=h.dmtl5i7ox3fj" w:colFirst="0" w:colLast="0"/>
            <w:bookmarkEnd w:id="6"/>
            <w:r>
              <w:rPr>
                <w:sz w:val="20"/>
                <w:szCs w:val="20"/>
              </w:rPr>
              <w:t>“…health back. That is what I hope”: negotiating life after cancer</w:t>
            </w:r>
          </w:p>
        </w:tc>
        <w:tc>
          <w:tcPr>
            <w:tcW w:w="5245" w:type="dxa"/>
            <w:tcBorders>
              <w:top w:val="nil"/>
              <w:left w:val="nil"/>
              <w:bottom w:val="nil"/>
              <w:right w:val="nil"/>
            </w:tcBorders>
            <w:vAlign w:val="bottom"/>
          </w:tcPr>
          <w:p w14:paraId="6D582161">
            <w:pPr>
              <w:spacing w:line="480" w:lineRule="auto"/>
              <w:rPr>
                <w:sz w:val="20"/>
                <w:szCs w:val="20"/>
              </w:rPr>
            </w:pPr>
            <w:r>
              <w:rPr>
                <w:sz w:val="20"/>
                <w:szCs w:val="20"/>
              </w:rPr>
              <w:t>Depression</w:t>
            </w:r>
          </w:p>
        </w:tc>
      </w:tr>
      <w:tr w14:paraId="38139E49">
        <w:trPr>
          <w:trHeight w:val="260" w:hRule="atLeast"/>
        </w:trPr>
        <w:tc>
          <w:tcPr>
            <w:tcW w:w="4111" w:type="dxa"/>
            <w:tcBorders>
              <w:top w:val="nil"/>
              <w:left w:val="nil"/>
              <w:bottom w:val="nil"/>
              <w:right w:val="nil"/>
            </w:tcBorders>
            <w:vAlign w:val="bottom"/>
          </w:tcPr>
          <w:p w14:paraId="617DD3A2">
            <w:pPr>
              <w:spacing w:line="480" w:lineRule="auto"/>
              <w:rPr>
                <w:sz w:val="20"/>
                <w:szCs w:val="20"/>
                <w:highlight w:val="yellow"/>
              </w:rPr>
            </w:pPr>
          </w:p>
        </w:tc>
        <w:tc>
          <w:tcPr>
            <w:tcW w:w="5245" w:type="dxa"/>
            <w:tcBorders>
              <w:top w:val="nil"/>
              <w:left w:val="nil"/>
              <w:bottom w:val="nil"/>
              <w:right w:val="nil"/>
            </w:tcBorders>
            <w:vAlign w:val="bottom"/>
          </w:tcPr>
          <w:p w14:paraId="39D8EA38">
            <w:pPr>
              <w:spacing w:line="480" w:lineRule="auto"/>
              <w:rPr>
                <w:sz w:val="20"/>
                <w:szCs w:val="20"/>
              </w:rPr>
            </w:pPr>
            <w:r>
              <w:rPr>
                <w:sz w:val="20"/>
                <w:szCs w:val="20"/>
              </w:rPr>
              <w:t>Regret about their previous habits</w:t>
            </w:r>
          </w:p>
        </w:tc>
      </w:tr>
      <w:tr w14:paraId="6B0B2B6B">
        <w:trPr>
          <w:trHeight w:val="260" w:hRule="atLeast"/>
        </w:trPr>
        <w:tc>
          <w:tcPr>
            <w:tcW w:w="4111" w:type="dxa"/>
            <w:tcBorders>
              <w:top w:val="nil"/>
              <w:left w:val="nil"/>
              <w:bottom w:val="nil"/>
              <w:right w:val="nil"/>
            </w:tcBorders>
            <w:vAlign w:val="bottom"/>
          </w:tcPr>
          <w:p w14:paraId="2DCC97DE">
            <w:pPr>
              <w:spacing w:line="480" w:lineRule="auto"/>
              <w:rPr>
                <w:sz w:val="20"/>
                <w:szCs w:val="20"/>
                <w:highlight w:val="yellow"/>
              </w:rPr>
            </w:pPr>
          </w:p>
        </w:tc>
        <w:tc>
          <w:tcPr>
            <w:tcW w:w="5245" w:type="dxa"/>
            <w:tcBorders>
              <w:top w:val="nil"/>
              <w:left w:val="nil"/>
              <w:bottom w:val="nil"/>
              <w:right w:val="nil"/>
            </w:tcBorders>
            <w:vAlign w:val="bottom"/>
          </w:tcPr>
          <w:p w14:paraId="0C14CC04">
            <w:pPr>
              <w:spacing w:line="480" w:lineRule="auto"/>
              <w:rPr>
                <w:sz w:val="20"/>
                <w:szCs w:val="20"/>
              </w:rPr>
            </w:pPr>
            <w:r>
              <w:rPr>
                <w:sz w:val="20"/>
                <w:szCs w:val="20"/>
              </w:rPr>
              <w:t>Maintaining a positive outlook</w:t>
            </w:r>
          </w:p>
        </w:tc>
      </w:tr>
      <w:tr w14:paraId="273BEF1D">
        <w:trPr>
          <w:trHeight w:val="260" w:hRule="atLeast"/>
        </w:trPr>
        <w:tc>
          <w:tcPr>
            <w:tcW w:w="4111" w:type="dxa"/>
            <w:tcBorders>
              <w:top w:val="nil"/>
              <w:left w:val="nil"/>
              <w:right w:val="nil"/>
            </w:tcBorders>
            <w:vAlign w:val="bottom"/>
          </w:tcPr>
          <w:p w14:paraId="6E297F7D">
            <w:pPr>
              <w:spacing w:line="480" w:lineRule="auto"/>
              <w:rPr>
                <w:sz w:val="20"/>
                <w:szCs w:val="20"/>
                <w:highlight w:val="yellow"/>
              </w:rPr>
            </w:pPr>
          </w:p>
        </w:tc>
        <w:tc>
          <w:tcPr>
            <w:tcW w:w="5245" w:type="dxa"/>
            <w:tcBorders>
              <w:top w:val="nil"/>
              <w:left w:val="nil"/>
              <w:right w:val="nil"/>
            </w:tcBorders>
            <w:vAlign w:val="bottom"/>
          </w:tcPr>
          <w:p w14:paraId="64349B24">
            <w:pPr>
              <w:spacing w:line="480" w:lineRule="auto"/>
              <w:rPr>
                <w:sz w:val="20"/>
                <w:szCs w:val="20"/>
              </w:rPr>
            </w:pPr>
            <w:r>
              <w:rPr>
                <w:sz w:val="20"/>
                <w:szCs w:val="20"/>
              </w:rPr>
              <w:t>Emotional support</w:t>
            </w:r>
          </w:p>
        </w:tc>
      </w:tr>
      <w:tr w14:paraId="53A239CA">
        <w:trPr>
          <w:trHeight w:val="260" w:hRule="atLeast"/>
        </w:trPr>
        <w:tc>
          <w:tcPr>
            <w:tcW w:w="4111" w:type="dxa"/>
            <w:tcBorders>
              <w:top w:val="nil"/>
              <w:left w:val="nil"/>
              <w:bottom w:val="single" w:color="000000" w:sz="4" w:space="0"/>
              <w:right w:val="nil"/>
            </w:tcBorders>
            <w:vAlign w:val="bottom"/>
          </w:tcPr>
          <w:p w14:paraId="0D4AE947">
            <w:pPr>
              <w:spacing w:line="480" w:lineRule="auto"/>
              <w:rPr>
                <w:sz w:val="20"/>
                <w:szCs w:val="20"/>
                <w:highlight w:val="yellow"/>
              </w:rPr>
            </w:pPr>
          </w:p>
        </w:tc>
        <w:tc>
          <w:tcPr>
            <w:tcW w:w="5245" w:type="dxa"/>
            <w:tcBorders>
              <w:top w:val="nil"/>
              <w:left w:val="nil"/>
              <w:bottom w:val="single" w:color="000000" w:sz="4" w:space="0"/>
              <w:right w:val="nil"/>
            </w:tcBorders>
            <w:vAlign w:val="bottom"/>
          </w:tcPr>
          <w:p w14:paraId="1895EFE1">
            <w:pPr>
              <w:spacing w:line="480" w:lineRule="auto"/>
              <w:rPr>
                <w:sz w:val="20"/>
                <w:szCs w:val="20"/>
              </w:rPr>
            </w:pPr>
            <w:r>
              <w:rPr>
                <w:sz w:val="20"/>
                <w:szCs w:val="20"/>
              </w:rPr>
              <w:t>Becoming a messenger for better lifestyle choices</w:t>
            </w:r>
          </w:p>
        </w:tc>
      </w:tr>
    </w:tbl>
    <w:p w14:paraId="7F52A083">
      <w:pPr>
        <w:spacing w:line="480" w:lineRule="auto"/>
        <w:jc w:val="both"/>
      </w:pPr>
    </w:p>
    <w:p w14:paraId="00000037">
      <w:pPr>
        <w:spacing w:line="480" w:lineRule="auto"/>
        <w:jc w:val="both"/>
        <w:rPr>
          <w:b/>
          <w:i/>
        </w:rPr>
      </w:pPr>
      <w:r>
        <w:rPr>
          <w:b/>
          <w:i/>
        </w:rPr>
        <w:t xml:space="preserve">“I was too tired even to chew”: </w:t>
      </w:r>
      <w:r>
        <w:rPr>
          <w:b/>
        </w:rPr>
        <w:t>challenges with chewing and swallowing</w:t>
      </w:r>
    </w:p>
    <w:p w14:paraId="00000038">
      <w:pPr>
        <w:spacing w:line="480" w:lineRule="auto"/>
        <w:jc w:val="both"/>
      </w:pPr>
      <w:r>
        <w:t xml:space="preserve">Among the reported impacts of NPC, eating and swallowing difficulties were mentioned the most frequently. For four participants, </w:t>
      </w:r>
      <w:r>
        <w:rPr>
          <w:b/>
          <w:i/>
        </w:rPr>
        <w:t>modified sensitivity to food</w:t>
      </w:r>
      <w:r>
        <w:t xml:space="preserve"> and changes in taste perception occurred post-diagnosis or post-treatment. P1 reported:</w:t>
      </w:r>
    </w:p>
    <w:p w14:paraId="00000039">
      <w:pPr>
        <w:spacing w:line="480" w:lineRule="auto"/>
        <w:ind w:left="720"/>
        <w:jc w:val="both"/>
      </w:pPr>
      <w:r>
        <w:t xml:space="preserve">“Eating, early stage during chemo time, around one or two weeks or three weeks, one-month after chemo, tasteless, all the food….” </w:t>
      </w:r>
    </w:p>
    <w:p w14:paraId="7EBB7127">
      <w:pPr>
        <w:spacing w:line="480" w:lineRule="auto"/>
        <w:jc w:val="both"/>
        <w:rPr>
          <w:color w:val="000000"/>
        </w:rPr>
      </w:pPr>
      <w:r>
        <w:t>P8 also reported that, “I couldn’t taste the food, my wife had to cook it extra salty, so that I could taste the saltiness in it.” On the other hand, P2 was extremely sensitive to food temperature post-diagnosis: “</w:t>
      </w:r>
      <w:r>
        <w:rPr>
          <w:color w:val="000000"/>
        </w:rPr>
        <w:t>If I take other types (of liquid) than water, (it feels too) hot, like curry, hot. I cannot take hot (food)</w:t>
      </w:r>
      <w:r>
        <w:t>”</w:t>
      </w:r>
      <w:r>
        <w:rPr>
          <w:color w:val="000000"/>
        </w:rPr>
        <w:t>.</w:t>
      </w:r>
    </w:p>
    <w:p w14:paraId="0000003B">
      <w:pPr>
        <w:spacing w:line="480" w:lineRule="auto"/>
        <w:jc w:val="both"/>
      </w:pPr>
      <w:r>
        <w:t xml:space="preserve">Besides having different sensations as compared to the pre-diagnosis or pre-treatment period, some patients experienced </w:t>
      </w:r>
      <w:r>
        <w:rPr>
          <w:b/>
          <w:i/>
        </w:rPr>
        <w:t>increased effort in masticating or swallowing abilities</w:t>
      </w:r>
      <w:r>
        <w:t>. P5 noted “Unlike previously, I had difficulties in chewing and swallowing dry and hard food”. P3 said:</w:t>
      </w:r>
    </w:p>
    <w:p w14:paraId="0000003C">
      <w:pPr>
        <w:spacing w:line="480" w:lineRule="auto"/>
        <w:ind w:left="720"/>
        <w:jc w:val="both"/>
      </w:pPr>
      <w:r>
        <w:t xml:space="preserve">“I couldn't bite into pork or chicken because I didn't have teeth. They felt like chewing gum. I chewed on it for half an hour and still couldn’t swallow it… It took me two hours (to eat a fish)”. </w:t>
      </w:r>
    </w:p>
    <w:p w14:paraId="0000003E">
      <w:pPr>
        <w:spacing w:line="480" w:lineRule="auto"/>
        <w:jc w:val="both"/>
      </w:pPr>
      <w:r>
        <w:t xml:space="preserve">Patients reported having to </w:t>
      </w:r>
      <w:r>
        <w:rPr>
          <w:b/>
          <w:i/>
        </w:rPr>
        <w:t>modify the diet</w:t>
      </w:r>
      <w:r>
        <w:t xml:space="preserve"> when they encountered eating and swallowing problems. P9 reported that he “ate softer food, such as minced rice in the soup or porridge” post-treatment, due to pain in swallowing. P5 also commented, “Rice was okay. But I stopped taking food which was hard to chew”, while P3 said that “I no longer ate rice since I couldn’t. I ate only porridge, biscuits, and Milo (a type of chocolate-flavoured malt drink).”</w:t>
      </w:r>
    </w:p>
    <w:p w14:paraId="0000003F">
      <w:pPr>
        <w:spacing w:line="480" w:lineRule="auto"/>
        <w:jc w:val="both"/>
        <w:rPr>
          <w:b/>
          <w:i/>
        </w:rPr>
      </w:pPr>
      <w:r>
        <w:rPr>
          <w:b/>
          <w:i/>
        </w:rPr>
        <w:t xml:space="preserve">“You eat because you have to survive”: </w:t>
      </w:r>
      <w:r>
        <w:rPr>
          <w:b/>
        </w:rPr>
        <w:t>losing the pleasure in food</w:t>
      </w:r>
    </w:p>
    <w:p w14:paraId="00000040">
      <w:pPr>
        <w:spacing w:line="480" w:lineRule="auto"/>
        <w:ind w:firstLine="720"/>
        <w:jc w:val="both"/>
      </w:pPr>
      <w:r>
        <w:t xml:space="preserve">Feelings of </w:t>
      </w:r>
      <w:r>
        <w:rPr>
          <w:b/>
          <w:i/>
        </w:rPr>
        <w:t>frustration with eating</w:t>
      </w:r>
      <w:r>
        <w:t xml:space="preserve"> were frequently reported. P3 stated: “Sometimes I couldn't swallow even after trying and I was like, Forget it, I'm not eating!” and P6 reported “I felt very dejected because I could not eat. I didn’t have the appetite.” For P3, the level of frustration with eating even impacted on his choice to attend and comply with treatment:</w:t>
      </w:r>
    </w:p>
    <w:p w14:paraId="00000041">
      <w:pPr>
        <w:spacing w:line="480" w:lineRule="auto"/>
        <w:ind w:left="720"/>
        <w:jc w:val="both"/>
      </w:pPr>
      <w:r>
        <w:t>“Previously, I didn't understand. I would come every week for chemo and as a result, couldn’t eat anything. Now, I don’t care anymore, I would come one week, and skip the next, just so that I would have time to eat.”</w:t>
      </w:r>
    </w:p>
    <w:p w14:paraId="00000042">
      <w:pPr>
        <w:spacing w:line="480" w:lineRule="auto"/>
        <w:jc w:val="both"/>
      </w:pPr>
      <w:r>
        <w:t xml:space="preserve">The effort of eating meant a </w:t>
      </w:r>
      <w:r>
        <w:rPr>
          <w:b/>
          <w:i/>
        </w:rPr>
        <w:t>change in the purpose of eating</w:t>
      </w:r>
      <w:r>
        <w:t>, suggesting that it was something required for survival rather than a pleasurable activity:</w:t>
      </w:r>
    </w:p>
    <w:p w14:paraId="00000044">
      <w:pPr>
        <w:spacing w:line="480" w:lineRule="auto"/>
        <w:ind w:left="720"/>
        <w:jc w:val="both"/>
        <w:rPr>
          <w:color w:val="FF00FF"/>
        </w:rPr>
      </w:pPr>
      <w:r>
        <w:rPr>
          <w:color w:val="000000"/>
        </w:rPr>
        <w:t>“You eat, because you have to survive, that’s all. Not eating because you are hav(ing) a good taste, you eat because you have to survive. Not because (it’s) tasty, tastiness (is of) another question, because you don’t have any taste anymore. If you drink coffee, you don’t taste the coffee. If you drink Milo, (you will wonder), ‘What drink is that, huh? Drink what? No taste at all.” (</w:t>
      </w:r>
      <w:r>
        <w:t>P2)</w:t>
      </w:r>
    </w:p>
    <w:p w14:paraId="00000046">
      <w:pPr>
        <w:spacing w:line="480" w:lineRule="auto"/>
        <w:jc w:val="both"/>
        <w:rPr>
          <w:rFonts w:ascii="Arial" w:hAnsi="Arial" w:eastAsia="Arial" w:cs="Arial"/>
          <w:sz w:val="20"/>
          <w:szCs w:val="20"/>
        </w:rPr>
      </w:pPr>
      <w:r>
        <w:t xml:space="preserve">Every participant experienced </w:t>
      </w:r>
      <w:r>
        <w:rPr>
          <w:b/>
          <w:i/>
        </w:rPr>
        <w:t xml:space="preserve">a change in their social habits </w:t>
      </w:r>
      <w:r>
        <w:t xml:space="preserve">related to eating. For example, P7 said, “I stopped seeing my co-workers, who were also my good friends. We had always met up for tea but now that I can’t eat as I wished, I didn’t feel like meeting them” P9 also commented on his withdrawal from social contact: “Yes, I had to stop my gatherings with my co-workers. I didn’t feel like eating most of the time, so the gatherings were quite (in) vain for me.” </w:t>
      </w:r>
    </w:p>
    <w:p w14:paraId="00000047">
      <w:pPr>
        <w:spacing w:line="480" w:lineRule="auto"/>
        <w:jc w:val="both"/>
        <w:rPr>
          <w:b/>
          <w:i/>
        </w:rPr>
      </w:pPr>
      <w:r>
        <w:rPr>
          <w:b/>
          <w:i/>
        </w:rPr>
        <w:t xml:space="preserve">“I only talked about what I wanted”: </w:t>
      </w:r>
      <w:r>
        <w:rPr>
          <w:b/>
        </w:rPr>
        <w:t>becoming a different communicator</w:t>
      </w:r>
    </w:p>
    <w:p w14:paraId="00000048">
      <w:pPr>
        <w:spacing w:line="480" w:lineRule="auto"/>
        <w:ind w:firstLine="720"/>
        <w:jc w:val="both"/>
        <w:rPr>
          <w:b/>
          <w:i/>
        </w:rPr>
      </w:pPr>
      <w:r>
        <w:t xml:space="preserve">Several participants mentioned changes in communication modes and functions despite having remained verbal communicators. Most prominently, the participants reported </w:t>
      </w:r>
      <w:r>
        <w:rPr>
          <w:b/>
          <w:i/>
        </w:rPr>
        <w:t>a deterioration in speech intelligibility</w:t>
      </w:r>
      <w:r>
        <w:t xml:space="preserve">. P7 mentioned, “The others couldn’t hear me on the phone, and even when I talked face-to-face to them, they asked me to repeat twice or thrice”. P3 reported his voice having become “hoarse” after treatment for his cancer, and sometimes, “People couldn’t hear me clearly when I gave instructions.” P5 also reported that “The voice was like someone suffering from the cold, hyper-nasal.” These changes were both frustrating and sometimes painful, as reported by P6, who worked as a police officer: “I felt pain in my neck when speaking loudly, especially at work.” A </w:t>
      </w:r>
      <w:r>
        <w:rPr>
          <w:b/>
          <w:i/>
        </w:rPr>
        <w:t>deterioration in hearing ability</w:t>
      </w:r>
      <w:r>
        <w:t xml:space="preserve"> was also observed in some participants. P2 realized that his hearing had decreased, and people had to speak slower and louder to him: “Actually, (after) I took my radiation, my hearing also (became) less.” P5 experienced tinnitus: “Sometimes, there was ringing sound in my left ear, but I could still hear what people said. The ringing sound came occasionally and sometimes it felt like water had entered my ear.”</w:t>
      </w:r>
    </w:p>
    <w:p w14:paraId="0000004A">
      <w:pPr>
        <w:spacing w:line="480" w:lineRule="auto"/>
        <w:ind w:firstLine="720"/>
        <w:jc w:val="both"/>
      </w:pPr>
      <w:r>
        <w:t xml:space="preserve">The deterioration in communication was accompanied by feelings of </w:t>
      </w:r>
      <w:r>
        <w:rPr>
          <w:b/>
          <w:i/>
        </w:rPr>
        <w:t xml:space="preserve">frustration. </w:t>
      </w:r>
      <w:r>
        <w:t xml:space="preserve">P1 also said that he “felt very frustrated and stressed when people couldn’t hear the words clearly.” A </w:t>
      </w:r>
      <w:r>
        <w:rPr>
          <w:b/>
          <w:i/>
        </w:rPr>
        <w:t>change in their communication habits</w:t>
      </w:r>
      <w:r>
        <w:t xml:space="preserve"> to tackle communication breakdowns was reported by seven of the participants. Some patients reported only talking to communicate basic needs, and opted to reduce their sentence length: “If I talked, I talked only about what I wanted. I talked only in small chunks, talking in long sentences…hmm (shook his head)” (P2); </w:t>
      </w:r>
      <w:r>
        <w:rPr>
          <w:i/>
        </w:rPr>
        <w:t>“</w:t>
      </w:r>
      <w:r>
        <w:t>I stopped talking to my family, unless I needed something</w:t>
      </w:r>
      <w:r>
        <w:rPr>
          <w:i/>
        </w:rPr>
        <w:t>”</w:t>
      </w:r>
      <w:r>
        <w:t xml:space="preserve"> (P4); </w:t>
      </w:r>
      <w:r>
        <w:rPr>
          <w:i/>
        </w:rPr>
        <w:t>“</w:t>
      </w:r>
      <w:r>
        <w:t>I only spoke to my daughter when I needed to attend treatment in the hospital</w:t>
      </w:r>
      <w:r>
        <w:rPr>
          <w:i/>
        </w:rPr>
        <w:t>.”</w:t>
      </w:r>
      <w:r>
        <w:t xml:space="preserve"> (P9). P7 reported resorting to texting instead: “I just gave up talking on the phone and sent messages about the orders instead”. This in turn also led to a change in social habits both with families and at work: “…it affected the efficiency of my job as a food deliverer” (P7).</w:t>
      </w:r>
    </w:p>
    <w:p w14:paraId="0000004B">
      <w:pPr>
        <w:spacing w:line="480" w:lineRule="auto"/>
        <w:jc w:val="both"/>
        <w:rPr>
          <w:b/>
          <w:i/>
        </w:rPr>
      </w:pPr>
      <w:r>
        <w:rPr>
          <w:b/>
          <w:i/>
        </w:rPr>
        <w:t xml:space="preserve">“…health back. That is what I hope”: </w:t>
      </w:r>
      <w:r>
        <w:rPr>
          <w:b/>
        </w:rPr>
        <w:t>negotiating life after cancer</w:t>
      </w:r>
    </w:p>
    <w:p w14:paraId="0000004C">
      <w:pPr>
        <w:spacing w:line="480" w:lineRule="auto"/>
        <w:ind w:firstLine="720"/>
        <w:jc w:val="both"/>
      </w:pPr>
      <w:r>
        <w:t xml:space="preserve">The diagnosis as well as its consequences had an impact on the psychological wellbeing of the participants. Most of them reported feelings of </w:t>
      </w:r>
      <w:r>
        <w:rPr>
          <w:b/>
          <w:i/>
        </w:rPr>
        <w:t>depression</w:t>
      </w:r>
      <w:r>
        <w:t xml:space="preserve">, with P6 saying that he was stressed about his condition: “Emotionally, I was a little affected. It was quite a bad feeling to know about the diagnosis”. P7 also admitted that he “threw a tantrum on the others.” P2 declared he felt prepared to pay a big sum in exchange for a total cure: </w:t>
      </w:r>
    </w:p>
    <w:p w14:paraId="0000004D">
      <w:pPr>
        <w:spacing w:line="480" w:lineRule="auto"/>
        <w:ind w:left="720"/>
        <w:jc w:val="both"/>
      </w:pPr>
      <w:r>
        <w:t>“That was why I said, if another person said that “Okay, what sickness you had gotten? Cancer? Okay, take this one. But you would need to pay me a big amount of money. It’s a hundred percent guarantee... I (would be) willing to pay. Until that type of position. You ask everybody here, ask everybody…”</w:t>
      </w:r>
    </w:p>
    <w:p w14:paraId="0000004E">
      <w:pPr>
        <w:tabs>
          <w:tab w:val="left" w:pos="972"/>
        </w:tabs>
        <w:spacing w:line="480" w:lineRule="auto"/>
        <w:jc w:val="both"/>
      </w:pPr>
      <w:r>
        <w:t xml:space="preserve">Those participants who had been smokers all talked of </w:t>
      </w:r>
      <w:r>
        <w:rPr>
          <w:b/>
          <w:i/>
        </w:rPr>
        <w:t>regret</w:t>
      </w:r>
      <w:r>
        <w:t xml:space="preserve"> </w:t>
      </w:r>
      <w:r>
        <w:rPr>
          <w:b/>
          <w:i/>
        </w:rPr>
        <w:t>about their habit</w:t>
      </w:r>
      <w:r>
        <w:t xml:space="preserve">. P1 said: </w:t>
      </w:r>
    </w:p>
    <w:p w14:paraId="0000004F">
      <w:pPr>
        <w:tabs>
          <w:tab w:val="left" w:pos="972"/>
        </w:tabs>
        <w:spacing w:line="480" w:lineRule="auto"/>
        <w:ind w:left="720"/>
        <w:jc w:val="both"/>
      </w:pPr>
      <w:r>
        <w:t xml:space="preserve">“So, for me, I’m quite surprised why I smoked for the 35 years, wasting my money, wasting my energy, you know? Then I got the symptoms, I feel that, guilty, yeah, guilty to myself.” </w:t>
      </w:r>
    </w:p>
    <w:p w14:paraId="00000050">
      <w:pPr>
        <w:tabs>
          <w:tab w:val="left" w:pos="972"/>
        </w:tabs>
        <w:spacing w:line="480" w:lineRule="auto"/>
        <w:jc w:val="both"/>
      </w:pPr>
      <w:r>
        <w:t xml:space="preserve">P8 stated “Yes, smoking was known to be bad for health, but I realized it a little too late, and I felt quite bad for it”. P3, a Chinese Malaysian, who had smoked for many years took a different view: “No, you don't have to regret what you've done in your life. Smoking is bad, I knew, but I still did it. Now I'm sick, and that's okay.” However, he also suggested that smoking was an issue in the Malay community and that there might have been other factors influencing his cancer: </w:t>
      </w:r>
    </w:p>
    <w:p w14:paraId="00000052">
      <w:pPr>
        <w:tabs>
          <w:tab w:val="left" w:pos="972"/>
        </w:tabs>
        <w:spacing w:line="480" w:lineRule="auto"/>
        <w:ind w:left="720"/>
        <w:jc w:val="both"/>
      </w:pPr>
      <w:r>
        <w:t>“My symptom is mostly, because this is… nasopharynx cancer, mostly (happening) on the Chinese, not Malays. Because Chinese, they like the, what do you call that, the salty fish, but for Malays, more likely (that) it’s on the smoking”.</w:t>
      </w:r>
    </w:p>
    <w:p w14:paraId="00000053">
      <w:pPr>
        <w:keepNext w:val="0"/>
        <w:keepLines w:val="0"/>
        <w:pageBreakBefore w:val="0"/>
        <w:widowControl/>
        <w:tabs>
          <w:tab w:val="left" w:pos="972"/>
        </w:tabs>
        <w:kinsoku/>
        <w:wordWrap/>
        <w:overflowPunct/>
        <w:topLinePunct w:val="0"/>
        <w:autoSpaceDE/>
        <w:autoSpaceDN/>
        <w:bidi w:val="0"/>
        <w:adjustRightInd/>
        <w:snapToGrid/>
        <w:spacing w:line="480" w:lineRule="auto"/>
        <w:ind w:firstLine="720"/>
        <w:jc w:val="both"/>
        <w:textAlignment w:val="auto"/>
      </w:pPr>
      <w:r>
        <w:t xml:space="preserve">None of the participants had received any professional counselling or psychological intervention to help them deal with their communication, eating, and swallowing difficulties and the impacts on their social or work lives. Participants reported mostly relying on </w:t>
      </w:r>
      <w:r>
        <w:rPr>
          <w:b/>
          <w:i/>
        </w:rPr>
        <w:t>emotional support</w:t>
      </w:r>
      <w:r>
        <w:t xml:space="preserve"> to find comfort after cancer. Six participants, all of Malay ethnicity, relied heavily on their religion for comfort:</w:t>
      </w:r>
    </w:p>
    <w:p w14:paraId="00000054">
      <w:pPr>
        <w:tabs>
          <w:tab w:val="left" w:pos="972"/>
        </w:tabs>
        <w:spacing w:line="480" w:lineRule="auto"/>
        <w:ind w:left="720"/>
        <w:jc w:val="both"/>
        <w:rPr>
          <w:color w:val="000000"/>
        </w:rPr>
      </w:pPr>
      <w:r>
        <w:t xml:space="preserve"> “</w:t>
      </w:r>
      <w:r>
        <w:rPr>
          <w:color w:val="000000"/>
        </w:rPr>
        <w:t xml:space="preserve">Ah, he (God) gave me sickness, he create me, not other human being create me, He create me, God create me, then he create the sickness, so maybe (he gave me this) sickness, because I had done bad things before, so now it’s a good time for me to pray to him, (to) say sorry (or) whatever, and regret what had been done before, and then (by) this, I mean, (can) get me (to be) healthy back. That is (what) I hope”. (P1) </w:t>
      </w:r>
    </w:p>
    <w:p w14:paraId="00000055">
      <w:pPr>
        <w:tabs>
          <w:tab w:val="left" w:pos="972"/>
        </w:tabs>
        <w:spacing w:line="480" w:lineRule="auto"/>
        <w:jc w:val="both"/>
      </w:pPr>
      <w:bookmarkStart w:id="7" w:name="_heading=h.9a8vbg1bbq30" w:colFirst="0" w:colLast="0"/>
      <w:bookmarkEnd w:id="7"/>
      <w:r>
        <w:t>This reliance on religion led to an increase in religious practices, as expressed by P8, who said, “The frequency I went to the mosque and prayed had increased, as compared to previously”. P9 said: “Yes, praying happened more often after the sickness.” Some patients also revealed finding comfort in sharing their testimonies with other cancer patients, like in cancer support groups (“It’s not me alone, I asked my friends around me, they said the same thing as my answer. ‘Same.’ They will answer, ‘same’” (P2).</w:t>
      </w:r>
    </w:p>
    <w:p w14:paraId="00000057">
      <w:pPr>
        <w:spacing w:line="480" w:lineRule="auto"/>
        <w:ind w:firstLine="720"/>
        <w:jc w:val="both"/>
      </w:pPr>
      <w:r>
        <w:t xml:space="preserve">All the participants agreed that they had </w:t>
      </w:r>
      <w:r>
        <w:rPr>
          <w:b/>
          <w:i/>
        </w:rPr>
        <w:t>become messengers for better lifestyle choices</w:t>
      </w:r>
      <w:r>
        <w:t xml:space="preserve">. For instance, P1 advised his friends to “please avoid this type of food, you know, all the, these junk food” and “please stop smoking.” P8 also told his co-workers, “It might be the smoking that caused this cancer to happen to me, so you should stop smoking”. Despite feelings of depression and regret being prominent, in fact, some patients promoting </w:t>
      </w:r>
      <w:r>
        <w:rPr>
          <w:b/>
          <w:i/>
        </w:rPr>
        <w:t>maintaining a positive outlook:</w:t>
      </w:r>
      <w:r>
        <w:t xml:space="preserve"> “Yes, if something was over, I would remember the beautiful part, and I might think about the not-so-beautiful parts for a while, but I wouldn’t dwell on them too long” (P3).</w:t>
      </w:r>
    </w:p>
    <w:p w14:paraId="723FCF46">
      <w:pPr>
        <w:spacing w:line="480" w:lineRule="auto"/>
        <w:ind w:firstLine="720"/>
        <w:jc w:val="both"/>
      </w:pPr>
    </w:p>
    <w:p w14:paraId="00000058">
      <w:pPr>
        <w:tabs>
          <w:tab w:val="left" w:pos="972"/>
        </w:tabs>
        <w:spacing w:line="480" w:lineRule="auto"/>
        <w:jc w:val="both"/>
        <w:rPr>
          <w:b/>
        </w:rPr>
      </w:pPr>
      <w:r>
        <w:rPr>
          <w:b/>
        </w:rPr>
        <w:t>Discussion</w:t>
      </w:r>
    </w:p>
    <w:p w14:paraId="0000005A">
      <w:pPr>
        <w:spacing w:line="480" w:lineRule="auto"/>
        <w:jc w:val="both"/>
      </w:pPr>
      <w:r>
        <w:t>This study is novel in its focus on capturing patients’ experiences of communication, eating and swallowing following NPC in Malaysia. While there are a number of studies that have considered related Malaysian research such as risk factors for NPC (Linton et al., 2021), medical presentation of NPC (Aziz et al., 2017), and quality of life after NPC (Leong et al., 2020), little qualitative work has been done to date. This has implications for services for these patients, not only to address their eating and swallowing difficulties but also in relation to communication which is less well researched. Services may be more obvious for those patients with other forms of head and neck cancer who have had glossectomy or laryngeal involvement, but even though patients with NPC may still be verbal, this work highlights that there are still communication-related impacts on their social lives and employment.</w:t>
      </w:r>
    </w:p>
    <w:p w14:paraId="0000005B">
      <w:pPr>
        <w:spacing w:line="480" w:lineRule="auto"/>
        <w:ind w:firstLine="720"/>
        <w:jc w:val="both"/>
      </w:pPr>
      <w:r>
        <w:t xml:space="preserve">This research has also shown that the Malaysian experience of NPC is influenced by local cultural values, religious beliefs, and lay understandings, particularly in explaining and coming to terms with the cancer. Malaysia has relatively high rates of NPC alongside high rates of smoking, particularly in men, the focus of this paper. It may be useful for local services to raise awareness of the links between smoking and NPC – while people may be more aware of lung cancer due to smoking, head and neck cancers may be less well understood, and this links with reports of late presentation to medical services (Aziz et al., 2017). </w:t>
      </w:r>
    </w:p>
    <w:p w14:paraId="0000005C">
      <w:pPr>
        <w:spacing w:line="480" w:lineRule="auto"/>
        <w:ind w:firstLine="720"/>
        <w:jc w:val="both"/>
      </w:pPr>
      <w:r>
        <w:t>The thematic analysis suggests that the chewing, swallowing, taste and speech intelligibility issues negatively impact patients’ quality of life and lead to social withdrawal. None of the patients reported any formal counselling or psychological help for managing these changes; some people also had to manage the guilt of knowing that their smoking habit may have contributed to their diagnosis. Some of the men in the study found comfort in religion, shared experiences, and maintaining a positive outlook.</w:t>
      </w:r>
    </w:p>
    <w:p w14:paraId="0000005D">
      <w:pPr>
        <w:spacing w:line="480" w:lineRule="auto"/>
        <w:jc w:val="both"/>
        <w:rPr>
          <w:b/>
        </w:rPr>
      </w:pPr>
      <w:r>
        <w:rPr>
          <w:b/>
        </w:rPr>
        <w:t>Eating challenges: a less pleasurable and social lifestyle</w:t>
      </w:r>
    </w:p>
    <w:p w14:paraId="0000005E">
      <w:pPr>
        <w:spacing w:line="480" w:lineRule="auto"/>
        <w:ind w:firstLine="720"/>
        <w:jc w:val="both"/>
        <w:rPr>
          <w:i/>
        </w:rPr>
      </w:pPr>
      <w:r>
        <w:t>All the participants in this study developed new eating habits due to chewing and swallowing impairments. Among these are dietary changes to accommodate decreased mastication strength and diminished eating with consequent weight loss. Most participants lamented frustration with eating as a consequence, determining a change in perspective in relation to eating, which they now considered a mechanical act needed for survival rather than enjoyment. This was followed by a withdrawal from social events related to food, particularly in the workplace. Diminished pleasure in eating may mean that people are no longer comfortable in social gatherings previously centered around food as a means of bonding and pleasure. Changes in social eating problems over time have been linked to several factors including swallowing, nutritional status, tumour subsite, and depressive symptoms (Ninfa et al. 2023). This sense of exclusion may intensify, with the cancer impacting the joy of eating, but also profoundly affected social interactions and relationships. Speech and language problems can significantly affect a person's quality of life, and also clearly have safety and nutritional implications (Masuda et al., 2021).</w:t>
      </w:r>
    </w:p>
    <w:p w14:paraId="0000005F">
      <w:pPr>
        <w:spacing w:line="480" w:lineRule="auto"/>
        <w:jc w:val="both"/>
        <w:rPr>
          <w:b/>
        </w:rPr>
      </w:pPr>
      <w:r>
        <w:rPr>
          <w:b/>
        </w:rPr>
        <w:t>Challenges with intelligibility: talking less</w:t>
      </w:r>
    </w:p>
    <w:p w14:paraId="00000060">
      <w:pPr>
        <w:spacing w:line="480" w:lineRule="auto"/>
        <w:ind w:firstLine="720"/>
        <w:jc w:val="both"/>
      </w:pPr>
      <w:r>
        <w:t xml:space="preserve">Another crucial consequence of HNC is a decrease in the quality of speech, particularly affecting intelligibility, even in patients who remained verbal. This led to adjustments on the part of the patients, from speaking sentences of smaller units to skipping oral communication when possible. Importantly, this was linked to the further effects of withdrawal from social life. Functional communication plays a crucial role in individuals’ QoL, as reported across several conditions, including amyotrophic lateral sclerosis and Parkinson’s disease (Felgoise et al., 2015). Despite this, none of the participants in this study had undergone professional </w:t>
      </w:r>
      <w:r>
        <w:rPr>
          <w:lang w:val="en-US" w:eastAsia="zh-CN"/>
        </w:rPr>
        <w:t>Speech-Language Pathologist (SLP)</w:t>
      </w:r>
      <w:r>
        <w:rPr>
          <w:rFonts w:hint="eastAsia"/>
          <w:lang w:val="en-US" w:eastAsia="zh-CN"/>
        </w:rPr>
        <w:t xml:space="preserve"> </w:t>
      </w:r>
      <w:r>
        <w:t>screening or comprehensive assessment of their speech and language abilities. Therefore, this study highlights the need for systematic guidelines for referring these patients to SLPs for the assessment and treatment of communication, eating, and swallowing strategies to provide them with comprehensive interventions that address functionality, participation, and quality of life (Zuydam et al., 2023).</w:t>
      </w:r>
    </w:p>
    <w:p w14:paraId="00000061">
      <w:pPr>
        <w:spacing w:line="480" w:lineRule="auto"/>
        <w:rPr>
          <w:b/>
        </w:rPr>
      </w:pPr>
      <w:r>
        <w:rPr>
          <w:b/>
        </w:rPr>
        <w:t>Outlook on life and coping after NPC</w:t>
      </w:r>
    </w:p>
    <w:p w14:paraId="00000062">
      <w:pPr>
        <w:spacing w:line="480" w:lineRule="auto"/>
        <w:ind w:firstLine="720"/>
        <w:jc w:val="both"/>
      </w:pPr>
      <w:r>
        <w:t>The participants in our study exhibited a range of feelings and coping strategies. A shared feeling was that of sadness or depression arising from disruptions in speech clarity and the necessary changes in daily routines, confirming the negative effect of poor communication on QoL. These feelings are common in patients with HNC after diagnosis and treatment (Verdonck-de Leeuw et al., 2022). Crucially, a feeling of remorse and regret was common among former smokers, also reported in previous literature (LoConte et al., 2008).</w:t>
      </w:r>
    </w:p>
    <w:p w14:paraId="00000063">
      <w:pPr>
        <w:spacing w:line="480" w:lineRule="auto"/>
        <w:ind w:firstLine="720"/>
        <w:jc w:val="both"/>
      </w:pPr>
      <w:r>
        <w:t>These feelings of depression and/or shame are often overlooked in cancer patients (Deleemans et al., 2020). In fact, participants were not referred to professional counseling services provided by licensed healthcare workers, further highlighting a need to better support them to assess, intervene, or prevent further breakdowns in their psychological well-being.</w:t>
      </w:r>
    </w:p>
    <w:p w14:paraId="00000065">
      <w:pPr>
        <w:spacing w:line="480" w:lineRule="auto"/>
        <w:ind w:firstLine="720"/>
        <w:jc w:val="both"/>
      </w:pPr>
      <w:r>
        <w:t>On a positive note, however, the overall outlook on life was not entirely negative in NPC patients, despite hardships, similar to those noted in the work by Crowder et al. (2021). Some declared offering health-related guidance to their acquaintances and loved ones, sparking feelings of regret for their lifestyle choices. This inclination reflects a poignant desire to derive value from their experiences, shield others from facing similar circumstances, and ultimately prevent them from traversing a comparable path. Moreover, participants employed coping strategies to manage their psychological health, for example, by relying on religion, seeking support from loved ones, or sharing experiences with other cancer patients.</w:t>
      </w:r>
    </w:p>
    <w:p w14:paraId="4C044D80">
      <w:pPr>
        <w:spacing w:line="480" w:lineRule="auto"/>
        <w:ind w:firstLine="720"/>
        <w:jc w:val="both"/>
      </w:pPr>
    </w:p>
    <w:p w14:paraId="00000066">
      <w:pPr>
        <w:spacing w:line="480" w:lineRule="auto"/>
        <w:jc w:val="both"/>
        <w:rPr>
          <w:b/>
        </w:rPr>
      </w:pPr>
      <w:r>
        <w:rPr>
          <w:b/>
        </w:rPr>
        <w:t>Limitations</w:t>
      </w:r>
    </w:p>
    <w:p w14:paraId="00000068">
      <w:pPr>
        <w:spacing w:line="480" w:lineRule="auto"/>
        <w:ind w:firstLine="720"/>
        <w:jc w:val="both"/>
      </w:pPr>
      <w:r>
        <w:t>This study was conducted at a single site located in an urban area in Malaysia. Therefore, the results are limited to patients living in urban areas with better access to healthcare services. Future research should also explore the feelings and quality of life of patients with NPC in rural areas. Additionally, the study only recruited patients from the day care ward, which may have resulted in biased and limited data. While we deliberately focused this study on men because of their high prevalence of NPC, future research should include female patients with NPC and HNC more broadly. Research by Bickford et al. (2018) suggests that women with HNC, particularly those who are non-smokers, are poorly understood and face particular stigma and challenges.</w:t>
      </w:r>
    </w:p>
    <w:p w14:paraId="63FBA782">
      <w:pPr>
        <w:spacing w:line="480" w:lineRule="auto"/>
        <w:ind w:firstLine="720"/>
        <w:jc w:val="both"/>
      </w:pPr>
    </w:p>
    <w:p w14:paraId="00000069">
      <w:pPr>
        <w:spacing w:line="480" w:lineRule="auto"/>
        <w:jc w:val="both"/>
        <w:rPr>
          <w:b/>
        </w:rPr>
      </w:pPr>
      <w:r>
        <w:rPr>
          <w:b/>
        </w:rPr>
        <w:t>Conclusion</w:t>
      </w:r>
    </w:p>
    <w:p w14:paraId="0000006A">
      <w:pPr>
        <w:spacing w:line="480" w:lineRule="auto"/>
        <w:jc w:val="both"/>
      </w:pPr>
      <w:r>
        <w:t xml:space="preserve">This study adds to the existing research literature by exploring the eating, swallowing and communication experiences of Malaysian men following treatment for NPC. The study developed four main themes: (1) </w:t>
      </w:r>
      <w:r>
        <w:rPr>
          <w:i/>
        </w:rPr>
        <w:t>“I was too tired even to chew”</w:t>
      </w:r>
      <w:r>
        <w:t>: challenges with chewing and swallowing; (2)</w:t>
      </w:r>
      <w:r>
        <w:rPr>
          <w:i/>
        </w:rPr>
        <w:t xml:space="preserve"> “You eat because you have to survive</w:t>
      </w:r>
      <w:r>
        <w:t>”: losing the pleasure in food, (3) “</w:t>
      </w:r>
      <w:r>
        <w:rPr>
          <w:i/>
        </w:rPr>
        <w:t>I only talked about what I wanted</w:t>
      </w:r>
      <w:r>
        <w:t>”: becoming a different communicator, and (4) “</w:t>
      </w:r>
      <w:r>
        <w:rPr>
          <w:i/>
        </w:rPr>
        <w:t>…health back. That is what I hope</w:t>
      </w:r>
      <w:r>
        <w:t>”: negotiating life after cancer. Patients reported a change in eating habits, a loss of pleasure when eating, a change in behaviour in talking, and societal withdrawal. Most of the patients reported coping mechanisms such as resorting to religion or finding support through shared experiences with other cancer patients. This work is useful in informing health professionals’ responses to NPC and to addressing the current gaps in psychosocial supports and timely referrals to speech and language therapy. It contributes to a body of work within Malaysia to understand the local implications of NPC considering its high prevalence and long term impact.</w:t>
      </w:r>
    </w:p>
    <w:p w14:paraId="6488D1EF">
      <w:pPr>
        <w:spacing w:line="480" w:lineRule="auto"/>
        <w:jc w:val="both"/>
      </w:pPr>
    </w:p>
    <w:p w14:paraId="2DE4574C">
      <w:pPr>
        <w:spacing w:line="480" w:lineRule="auto"/>
        <w:jc w:val="both"/>
        <w:rPr>
          <w:rFonts w:hint="default"/>
          <w:b/>
        </w:rPr>
      </w:pPr>
      <w:r>
        <w:rPr>
          <w:rFonts w:hint="default"/>
          <w:b/>
        </w:rPr>
        <w:t>List of abbreviations</w:t>
      </w:r>
    </w:p>
    <w:p w14:paraId="64F7A2CB">
      <w:pPr>
        <w:spacing w:line="480" w:lineRule="auto"/>
        <w:jc w:val="both"/>
      </w:pPr>
      <w:r>
        <w:t xml:space="preserve"> NPC</w:t>
      </w:r>
      <w:r>
        <w:rPr>
          <w:rFonts w:hint="eastAsia" w:eastAsia="宋体"/>
          <w:lang w:val="en-US" w:eastAsia="zh-CN"/>
        </w:rPr>
        <w:t xml:space="preserve">                      </w:t>
      </w:r>
      <w:r>
        <w:t>Nasopharyngeal cancer</w:t>
      </w:r>
    </w:p>
    <w:p w14:paraId="0CC7E861">
      <w:pPr>
        <w:spacing w:line="480" w:lineRule="auto"/>
        <w:jc w:val="both"/>
        <w:rPr>
          <w:color w:val="000000"/>
        </w:rPr>
      </w:pPr>
      <w:r>
        <w:rPr>
          <w:color w:val="000000"/>
        </w:rPr>
        <w:t>HNC</w:t>
      </w:r>
      <w:r>
        <w:rPr>
          <w:rFonts w:hint="eastAsia" w:eastAsia="宋体"/>
          <w:color w:val="000000"/>
          <w:lang w:val="en-US" w:eastAsia="zh-CN"/>
        </w:rPr>
        <w:t xml:space="preserve">                       </w:t>
      </w:r>
      <w:r>
        <w:rPr>
          <w:color w:val="000000"/>
        </w:rPr>
        <w:t xml:space="preserve">Head and Neck Cancer </w:t>
      </w:r>
    </w:p>
    <w:p w14:paraId="45868165">
      <w:pPr>
        <w:spacing w:line="480" w:lineRule="auto"/>
        <w:jc w:val="both"/>
      </w:pPr>
      <w:r>
        <w:t>QoL</w:t>
      </w:r>
      <w:r>
        <w:rPr>
          <w:rFonts w:hint="eastAsia" w:eastAsia="宋体"/>
          <w:lang w:val="en-US" w:eastAsia="zh-CN"/>
        </w:rPr>
        <w:t xml:space="preserve">                        </w:t>
      </w:r>
      <w:r>
        <w:t xml:space="preserve">Quality of Life </w:t>
      </w:r>
    </w:p>
    <w:p w14:paraId="51FC22CD">
      <w:pPr>
        <w:spacing w:line="480" w:lineRule="auto"/>
        <w:jc w:val="both"/>
      </w:pPr>
      <w:r>
        <w:t>HCTM UKM</w:t>
      </w:r>
      <w:r>
        <w:rPr>
          <w:rFonts w:hint="eastAsia" w:eastAsia="宋体"/>
          <w:lang w:val="en-US" w:eastAsia="zh-CN"/>
        </w:rPr>
        <w:t xml:space="preserve">          </w:t>
      </w:r>
      <w:r>
        <w:t xml:space="preserve">Hospital Canselor Tuanku Muhriz, Universiti Kebangsaan Malaysia </w:t>
      </w:r>
    </w:p>
    <w:p w14:paraId="403F6048">
      <w:pPr>
        <w:spacing w:line="480" w:lineRule="auto"/>
        <w:jc w:val="both"/>
      </w:pPr>
      <w:r>
        <w:rPr>
          <w:lang w:val="en-US" w:eastAsia="zh-CN"/>
        </w:rPr>
        <w:t>SLP</w:t>
      </w:r>
      <w:r>
        <w:rPr>
          <w:rFonts w:hint="eastAsia"/>
          <w:lang w:val="en-US" w:eastAsia="zh-CN"/>
        </w:rPr>
        <w:t xml:space="preserve">                      </w:t>
      </w:r>
      <w:r>
        <w:rPr>
          <w:lang w:val="en-US" w:eastAsia="zh-CN"/>
        </w:rPr>
        <w:t xml:space="preserve">Speech-Language Pathologist </w:t>
      </w:r>
    </w:p>
    <w:p w14:paraId="3B9E230E">
      <w:pPr>
        <w:spacing w:line="480" w:lineRule="auto"/>
      </w:pPr>
    </w:p>
    <w:p w14:paraId="570CE066">
      <w:pPr>
        <w:spacing w:line="480" w:lineRule="auto"/>
        <w:jc w:val="both"/>
        <w:rPr>
          <w:b/>
        </w:rPr>
      </w:pPr>
      <w:r>
        <w:rPr>
          <w:rFonts w:hint="default"/>
          <w:b/>
        </w:rPr>
        <w:t>Declarations</w:t>
      </w:r>
    </w:p>
    <w:p w14:paraId="5D9D8922">
      <w:pPr>
        <w:spacing w:line="480" w:lineRule="auto"/>
        <w:rPr>
          <w:rFonts w:hint="default" w:ascii="Times New Roman Bold" w:hAnsi="Times New Roman Bold" w:eastAsia="宋体" w:cs="Times New Roman Bold"/>
          <w:b/>
          <w:bCs/>
          <w:lang w:val="en-US" w:eastAsia="zh-CN"/>
        </w:rPr>
      </w:pPr>
      <w:r>
        <w:rPr>
          <w:rFonts w:hint="default" w:ascii="Times New Roman Bold" w:hAnsi="Times New Roman Bold" w:cs="Times New Roman Bold"/>
          <w:b/>
          <w:bCs/>
        </w:rPr>
        <w:t>Ethics approval and consent to participate</w:t>
      </w:r>
      <w:r>
        <w:rPr>
          <w:rFonts w:hint="default" w:ascii="Times New Roman Bold" w:hAnsi="Times New Roman Bold" w:cs="Times New Roman Bold"/>
          <w:b/>
          <w:bCs/>
          <w:lang w:val="en-US"/>
        </w:rPr>
        <w:t>:</w:t>
      </w:r>
      <w:r>
        <w:t>This study was approved by the University Kebangsaan Malaysia ethics committee (UKM PPI/111/8/JEP-2023-029)</w:t>
      </w:r>
      <w:r>
        <w:rPr>
          <w:rFonts w:hint="default"/>
          <w:lang w:val="en-US"/>
        </w:rPr>
        <w:t>.</w:t>
      </w:r>
    </w:p>
    <w:p w14:paraId="3DD7BD7C">
      <w:pPr>
        <w:spacing w:line="480" w:lineRule="auto"/>
        <w:rPr>
          <w:rFonts w:hint="eastAsia" w:ascii="Times New Roman Bold" w:hAnsi="Times New Roman Bold" w:eastAsia="宋体" w:cs="Times New Roman Bold"/>
          <w:b/>
          <w:bCs/>
          <w:lang w:val="en-US" w:eastAsia="zh-CN"/>
        </w:rPr>
      </w:pPr>
      <w:r>
        <w:rPr>
          <w:rFonts w:hint="default" w:ascii="Times New Roman Bold" w:hAnsi="Times New Roman Bold" w:cs="Times New Roman Bold"/>
          <w:b/>
          <w:bCs/>
        </w:rPr>
        <w:t>Consent for publication</w:t>
      </w:r>
      <w:r>
        <w:rPr>
          <w:rFonts w:hint="default" w:ascii="Times New Roman Bold" w:hAnsi="Times New Roman Bold" w:cs="Times New Roman Bold"/>
          <w:b/>
          <w:bCs/>
          <w:lang w:val="en-US"/>
        </w:rPr>
        <w:t>:</w:t>
      </w:r>
      <w:r>
        <w:rPr>
          <w:rFonts w:hint="eastAsia"/>
          <w:lang w:val="en-US" w:eastAsia="zh-CN"/>
        </w:rPr>
        <w:t xml:space="preserve"> </w:t>
      </w:r>
      <w:r>
        <w:rPr>
          <w:lang w:val="en-US" w:eastAsia="zh-CN"/>
        </w:rPr>
        <w:t>Written informed consent for publication of anonymized interview data was obtained from all participants.</w:t>
      </w:r>
    </w:p>
    <w:p w14:paraId="6A60B08C">
      <w:pPr>
        <w:spacing w:line="480" w:lineRule="auto"/>
      </w:pPr>
      <w:r>
        <w:rPr>
          <w:rFonts w:hint="default" w:ascii="Times New Roman Bold" w:hAnsi="Times New Roman Bold" w:cs="Times New Roman Bold"/>
          <w:b/>
          <w:bCs/>
        </w:rPr>
        <w:t>Availability of data and materials</w:t>
      </w:r>
      <w:r>
        <w:rPr>
          <w:rFonts w:hint="default" w:ascii="Times New Roman Bold" w:hAnsi="Times New Roman Bold" w:cs="Times New Roman Bold"/>
          <w:b/>
          <w:bCs/>
          <w:lang w:val="en-US"/>
        </w:rPr>
        <w:t>:</w:t>
      </w:r>
      <w:r>
        <w:rPr>
          <w:rFonts w:hint="default"/>
          <w:lang w:val="en-US"/>
        </w:rPr>
        <w:t xml:space="preserve"> </w:t>
      </w:r>
      <w:r>
        <w:t>The datasets generated and/or analysed during the current study are not publicly available due patient’s privacy but are available from the corresponding author on reasonable request.</w:t>
      </w:r>
    </w:p>
    <w:p w14:paraId="221B50B4">
      <w:pPr>
        <w:spacing w:line="480" w:lineRule="auto"/>
      </w:pPr>
      <w:r>
        <w:rPr>
          <w:rFonts w:hint="default" w:ascii="Times New Roman Bold" w:hAnsi="Times New Roman Bold" w:cs="Times New Roman Bold"/>
          <w:b/>
          <w:bCs/>
        </w:rPr>
        <w:t>Competing interests</w:t>
      </w:r>
      <w:r>
        <w:rPr>
          <w:rFonts w:hint="default" w:ascii="Times New Roman Bold" w:hAnsi="Times New Roman Bold" w:cs="Times New Roman Bold"/>
          <w:b/>
          <w:bCs/>
          <w:lang w:val="en-US"/>
        </w:rPr>
        <w:t xml:space="preserve">: </w:t>
      </w:r>
      <w:r>
        <w:t>No potential conflict of interest was reported by all author(s).</w:t>
      </w:r>
    </w:p>
    <w:p w14:paraId="0000006B">
      <w:pPr>
        <w:spacing w:line="480" w:lineRule="auto"/>
        <w:jc w:val="both"/>
      </w:pPr>
      <w:r>
        <w:rPr>
          <w:b/>
        </w:rPr>
        <w:t xml:space="preserve">Funding: </w:t>
      </w:r>
      <w:r>
        <w:t>This research was partially funded by the Malaysia Ministry of Higher Education, Fundamental Research Scheme (FRGS/1/2023/SKK06/UKM/02/2, SYC), UKM (NN-2025- 011), and the Dana Mutiara Research Grant (TYB)</w:t>
      </w:r>
      <w:r>
        <w:rPr>
          <w:rFonts w:hint="default"/>
          <w:lang w:val="en-US"/>
        </w:rPr>
        <w:t>.</w:t>
      </w:r>
    </w:p>
    <w:p w14:paraId="00000072">
      <w:pPr>
        <w:spacing w:line="480" w:lineRule="auto"/>
        <w:jc w:val="both"/>
      </w:pPr>
      <w:r>
        <w:rPr>
          <w:b/>
        </w:rPr>
        <w:t>Author contributions</w:t>
      </w:r>
      <w:r>
        <w:t>: SYC, CMHC, CFM, and FI designed the study protocol. TYB collected the data. GS, TYB and SYC ran the data analysis.  FI recruited and referred patients to this study. GS, TYB, SYC, CMHC, MG and DH drafted and edited the manuscript. All authors have provided commentary and critical revisions to the draft and approved the final version of the manuscript for publication</w:t>
      </w:r>
      <w:r>
        <w:rPr>
          <w:rFonts w:hint="default"/>
          <w:lang w:val="en-US"/>
        </w:rPr>
        <w:t>.</w:t>
      </w:r>
    </w:p>
    <w:p w14:paraId="00000074">
      <w:pPr>
        <w:spacing w:line="480" w:lineRule="auto"/>
        <w:jc w:val="both"/>
      </w:pPr>
      <w:r>
        <w:rPr>
          <w:b/>
        </w:rPr>
        <w:t>Acknowledgment</w:t>
      </w:r>
      <w:bookmarkStart w:id="8" w:name="_heading=h.ad7zs535ahfy" w:colFirst="0" w:colLast="0"/>
      <w:bookmarkEnd w:id="8"/>
      <w:r>
        <w:rPr>
          <w:rFonts w:hint="default"/>
          <w:b/>
          <w:lang w:val="en-US"/>
        </w:rPr>
        <w:t xml:space="preserve">: </w:t>
      </w:r>
      <w:r>
        <w:t xml:space="preserve">We would like to thank all participants for joining and sharing their views, especially during this difficult time in fighting their cancer and chemotherapy sessions. </w:t>
      </w:r>
    </w:p>
    <w:p w14:paraId="107838F4">
      <w:pPr>
        <w:spacing w:line="480" w:lineRule="auto"/>
        <w:jc w:val="both"/>
        <w:rPr>
          <w:b/>
        </w:rPr>
      </w:pPr>
    </w:p>
    <w:p w14:paraId="00000076">
      <w:pPr>
        <w:spacing w:line="480" w:lineRule="auto"/>
        <w:jc w:val="both"/>
        <w:rPr>
          <w:b/>
        </w:rPr>
      </w:pPr>
      <w:r>
        <w:rPr>
          <w:b/>
        </w:rPr>
        <w:t xml:space="preserve">References </w:t>
      </w:r>
    </w:p>
    <w:p w14:paraId="00000077">
      <w:pPr>
        <w:spacing w:line="480" w:lineRule="auto"/>
        <w:ind w:left="720" w:hanging="720"/>
      </w:pPr>
      <w:r>
        <w:t xml:space="preserve">Abdul Wahab N, Ko L, Nasir NF (2015) Prevalence of dysphagia in patients with head and neck cancer at dental clinic, Hospital USM. The Journal of the School of Dental Sciences Universiti Sains Malaysia 10(1):10-16. </w:t>
      </w:r>
    </w:p>
    <w:p w14:paraId="00000078">
      <w:pPr>
        <w:spacing w:line="480" w:lineRule="auto"/>
        <w:ind w:left="720" w:hanging="720"/>
      </w:pPr>
      <w:r>
        <w:t>Ahmad, A., Yassin, W. M., Rahman, N. A. A., Leman, W. I., Rosla, L., Paul, M., Syed Yussof, S. N. E., Mohamed Awang, K., Abdullah, K., &amp; Kaderi, M. A. (2021). The Incidence of Nasopharyngeal Carcinoma in Pahang State of Malaysia from 2012 to 2017. </w:t>
      </w:r>
      <w:r>
        <w:rPr>
          <w:i/>
        </w:rPr>
        <w:t>The Malaysian Journal of Medical Sciences : MJMS</w:t>
      </w:r>
      <w:r>
        <w:t>, </w:t>
      </w:r>
      <w:r>
        <w:rPr>
          <w:i/>
        </w:rPr>
        <w:t>28</w:t>
      </w:r>
      <w:r>
        <w:t>(1), 66–74. https://doi.org/10.21315/mjms2021.28.1.9</w:t>
      </w:r>
    </w:p>
    <w:p w14:paraId="00000079">
      <w:pPr>
        <w:spacing w:line="480" w:lineRule="auto"/>
        <w:ind w:left="720" w:hanging="720"/>
      </w:pPr>
      <w:r>
        <w:t>Aziz, A., Ramli, R.R., Mohamad, I. et al. (2017). Young nasopharyngeal carcinoma: a review of an 8-year experience in the East Coast Malaysia Hospital. </w:t>
      </w:r>
      <w:r>
        <w:rPr>
          <w:i/>
        </w:rPr>
        <w:t>Egypt J Otolaryngol</w:t>
      </w:r>
      <w:r>
        <w:t> </w:t>
      </w:r>
      <w:r>
        <w:rPr>
          <w:b/>
        </w:rPr>
        <w:t>33</w:t>
      </w:r>
      <w:r>
        <w:t>, 490–494. https://doi.org/10.4103/1012-5574.206021</w:t>
      </w:r>
    </w:p>
    <w:p w14:paraId="0000007A">
      <w:pPr>
        <w:spacing w:line="480" w:lineRule="auto"/>
        <w:ind w:left="720" w:hanging="720"/>
      </w:pPr>
      <w:r>
        <w:t xml:space="preserve">Beddok A, Krieger S, Castera L, Stoppa-Lyonnet D, Thariat J (2020). Management of Fanconi Anemia patients with head and neck carcinoma: Diagnosis and treatment adaptation. Oral Oncology 108. </w:t>
      </w:r>
      <w:r>
        <w:fldChar w:fldCharType="begin"/>
      </w:r>
      <w:r>
        <w:instrText xml:space="preserve"> HYPERLINK "https://doi.org/10.1016/J.ORALONCOLOGY.2020.104816" \h </w:instrText>
      </w:r>
      <w:r>
        <w:fldChar w:fldCharType="separate"/>
      </w:r>
      <w:r>
        <w:rPr>
          <w:color w:val="0000FF"/>
          <w:u w:val="single"/>
        </w:rPr>
        <w:t>https://doi.org/10.1016/J.ORALONCOLOGY.2020.104816</w:t>
      </w:r>
      <w:r>
        <w:rPr>
          <w:color w:val="0000FF"/>
          <w:u w:val="single"/>
        </w:rPr>
        <w:fldChar w:fldCharType="end"/>
      </w:r>
    </w:p>
    <w:p w14:paraId="0000007B">
      <w:pPr>
        <w:spacing w:line="480" w:lineRule="auto"/>
        <w:ind w:left="720" w:hanging="720"/>
      </w:pPr>
      <w:r>
        <w:t>Bickford JM, Coveney J, Baker J, Hersh D (2018). Self-expression and identity after total laryngectomy: Implications for support. Psycho-oncology 27(11):2638–2644. https://doi.org/10.1002/pon.4818</w:t>
      </w:r>
    </w:p>
    <w:p w14:paraId="0000007C">
      <w:pPr>
        <w:spacing w:line="480" w:lineRule="auto"/>
        <w:ind w:left="720" w:hanging="720"/>
      </w:pPr>
      <w:r>
        <w:t xml:space="preserve">Brady GC, Hardman JC, Paleri V, Harrington KJ, Roe JWG (2020) Changing paradigms in the treatment of residual/recurrent head and neck cancer: implications for dysphagia management. Current Opinion in Otolaryngology &amp; Head and Neck Surgery 28(3):165–171. </w:t>
      </w:r>
      <w:r>
        <w:fldChar w:fldCharType="begin"/>
      </w:r>
      <w:r>
        <w:instrText xml:space="preserve"> HYPERLINK "https://doi.org/10.1097/MOO.0000000000000620" \h </w:instrText>
      </w:r>
      <w:r>
        <w:fldChar w:fldCharType="separate"/>
      </w:r>
      <w:r>
        <w:rPr>
          <w:color w:val="0000FF"/>
          <w:u w:val="single"/>
        </w:rPr>
        <w:t>https://doi.org/10.1097/MOO.0000000000000620</w:t>
      </w:r>
      <w:r>
        <w:rPr>
          <w:color w:val="0000FF"/>
          <w:u w:val="single"/>
        </w:rPr>
        <w:fldChar w:fldCharType="end"/>
      </w:r>
      <w:r>
        <w:t xml:space="preserve"> </w:t>
      </w:r>
    </w:p>
    <w:p w14:paraId="0000007D">
      <w:pPr>
        <w:spacing w:line="480" w:lineRule="auto"/>
        <w:ind w:left="720" w:hanging="720"/>
      </w:pPr>
      <w:r>
        <w:t>Braun V, Clarke V (2006) Using thematic analysis in psychology. Qualitative Research in Psychology 3(2):77–101. https://doi.org/10.1191/1478088706qp063oa</w:t>
      </w:r>
    </w:p>
    <w:p w14:paraId="0000007E">
      <w:pPr>
        <w:spacing w:line="480" w:lineRule="auto"/>
        <w:ind w:left="720" w:hanging="720"/>
      </w:pPr>
      <w:r>
        <w:t xml:space="preserve">Bray F, Ferlay J, Soerjomataram I, Siegel RL, Torre LA, Jemal A (2018) Global cancer statistics 2018: GLOBOCAN estimates of incidence and mortality worldwide for 36 cancers in 185 countries. </w:t>
      </w:r>
      <w:r>
        <w:rPr>
          <w:i/>
        </w:rPr>
        <w:t>CA: A Cancer Journal for Clinicians</w:t>
      </w:r>
      <w:r>
        <w:t xml:space="preserve"> 68(6):394–424. https://doi.org/10.3322/CAAC.21492</w:t>
      </w:r>
    </w:p>
    <w:p w14:paraId="0000007F">
      <w:pPr>
        <w:spacing w:line="480" w:lineRule="auto"/>
        <w:ind w:left="720" w:hanging="720"/>
      </w:pPr>
      <w:r>
        <w:t>Chan JK, Yip TT, Tsang WY, Poon YF, Wong CS, Ma VW (1994) Specific association of Epstein-Barr virus with lymphoepithelial carcinoma among tumors and tumorlike lesions of the salivary gland. Archives of Pathology &amp; Laboratory Medicine 118(10):994–997.</w:t>
      </w:r>
    </w:p>
    <w:p w14:paraId="00000080">
      <w:pPr>
        <w:spacing w:line="480" w:lineRule="auto"/>
        <w:ind w:left="720" w:hanging="720"/>
      </w:pPr>
      <w:r>
        <w:t xml:space="preserve">Chen SC, Yu PJ, Hong MY, Chen MH, Chu PY, Chen YJ, Wang CP, Lai YH (2015) Communication dysfunction, body image, and symptom severity in postoperative head and neck cancer patients: factors associated with the amount of speaking after treatment. </w:t>
      </w:r>
      <w:r>
        <w:rPr>
          <w:i/>
        </w:rPr>
        <w:t>Supportive Care in Cancer</w:t>
      </w:r>
      <w:r>
        <w:t xml:space="preserve"> 23(8):2375–2382. https://doi.org/10.1007/S00520-014-2587-3</w:t>
      </w:r>
    </w:p>
    <w:p w14:paraId="00000081">
      <w:pPr>
        <w:spacing w:line="480" w:lineRule="auto"/>
        <w:ind w:left="720" w:hanging="720"/>
      </w:pPr>
      <w:r>
        <w:t xml:space="preserve">Clarke P, Radford K, Coffey M, Stewart M (2016) Speech and swallow rehabilitation in head and neck cancer: United Kingdom National Multidisciplinary Guidelines. </w:t>
      </w:r>
      <w:r>
        <w:rPr>
          <w:i/>
        </w:rPr>
        <w:t>The Journal of Laryngology and Otology</w:t>
      </w:r>
      <w:r>
        <w:t xml:space="preserve"> 130(2):S176. https://doi.org/10.1017/S0022215116000608</w:t>
      </w:r>
    </w:p>
    <w:p w14:paraId="00000082">
      <w:pPr>
        <w:spacing w:line="480" w:lineRule="auto"/>
        <w:ind w:left="720" w:hanging="720"/>
      </w:pPr>
      <w:r>
        <w:t xml:space="preserve">Clarke V, Braun V (2013) Teaching thematic analysis: Overcoming challenges and developing strategies for effective learning. </w:t>
      </w:r>
      <w:r>
        <w:rPr>
          <w:i/>
        </w:rPr>
        <w:t>The Psychologist</w:t>
      </w:r>
      <w:r>
        <w:t xml:space="preserve"> 26(2):120–123.</w:t>
      </w:r>
    </w:p>
    <w:p w14:paraId="00000083">
      <w:pPr>
        <w:spacing w:line="480" w:lineRule="auto"/>
        <w:ind w:left="720" w:hanging="720"/>
      </w:pPr>
      <w:r>
        <w:t xml:space="preserve">Crowder SL, Najam N, Sarma KP, Fiese BH, Arthur AE (2021) Quality of life, coping strategies, and supportive care needs in head and neck cancer survivors: a qualitative study. </w:t>
      </w:r>
      <w:r>
        <w:rPr>
          <w:i/>
        </w:rPr>
        <w:t>Supportive Care in Cancer</w:t>
      </w:r>
      <w:r>
        <w:t xml:space="preserve"> 29(8):4349–4356. https://doi.org/10.1007/s00520-020-05981-1</w:t>
      </w:r>
    </w:p>
    <w:p w14:paraId="00000084">
      <w:pPr>
        <w:spacing w:line="480" w:lineRule="auto"/>
        <w:ind w:left="720" w:hanging="720"/>
      </w:pPr>
      <w:r>
        <w:t xml:space="preserve">Deleemans JM, Mothersill K, Bultz BD, Schulte F (2020) Ethical considerations in screening head and neck cancer patients for psychosocial distress. Supportive Care in Cancer 28(2):617–624. </w:t>
      </w:r>
      <w:r>
        <w:fldChar w:fldCharType="begin"/>
      </w:r>
      <w:r>
        <w:instrText xml:space="preserve"> HYPERLINK "https://doi.org/10.1007/S00520-019-04860-8/METRICS" \h </w:instrText>
      </w:r>
      <w:r>
        <w:fldChar w:fldCharType="separate"/>
      </w:r>
      <w:r>
        <w:rPr>
          <w:color w:val="0000FF"/>
          <w:u w:val="single"/>
        </w:rPr>
        <w:t>https://doi.org/10.1007/S00520-019-04860-8/METRICS</w:t>
      </w:r>
      <w:r>
        <w:rPr>
          <w:color w:val="0000FF"/>
          <w:u w:val="single"/>
        </w:rPr>
        <w:fldChar w:fldCharType="end"/>
      </w:r>
    </w:p>
    <w:p w14:paraId="00000085">
      <w:pPr>
        <w:spacing w:line="480" w:lineRule="auto"/>
        <w:ind w:left="720" w:hanging="720"/>
      </w:pPr>
      <w:r>
        <w:t xml:space="preserve">Dwivedi RC, St Rose S, Chisholm EJ et al (2012) Evaluation of speech outcomes using English version of the Speech Handicap Index in a cohort of head and neck cancer patients. Oral Oncol 48:547–553. </w:t>
      </w:r>
      <w:r>
        <w:fldChar w:fldCharType="begin"/>
      </w:r>
      <w:r>
        <w:instrText xml:space="preserve"> HYPERLINK "https://doi.org/10.1016/j.oraloncology.2012.01.001" \h </w:instrText>
      </w:r>
      <w:r>
        <w:fldChar w:fldCharType="separate"/>
      </w:r>
      <w:r>
        <w:rPr>
          <w:color w:val="0000FF"/>
          <w:u w:val="single"/>
        </w:rPr>
        <w:t>https://doi.org/10.1016/j.oraloncology.2012.01.001</w:t>
      </w:r>
      <w:r>
        <w:rPr>
          <w:color w:val="0000FF"/>
          <w:u w:val="single"/>
        </w:rPr>
        <w:fldChar w:fldCharType="end"/>
      </w:r>
    </w:p>
    <w:p w14:paraId="00000086">
      <w:pPr>
        <w:spacing w:line="480" w:lineRule="auto"/>
        <w:ind w:left="720" w:hanging="720"/>
      </w:pPr>
      <w:r>
        <w:t>Felgoise SH, Zaccheo V, Duff J, Simmons Z (2015) Verbal communication impacts quality of life in patients with amyotrophic lateral sclerosis. Amyotrophic Lateral Sclerosis and Frontotemporal Degeneration 17(3–4):179–183. https://doi.org/10.3109/21678421.2015.1125499</w:t>
      </w:r>
    </w:p>
    <w:p w14:paraId="00000087">
      <w:pPr>
        <w:spacing w:line="480" w:lineRule="auto"/>
        <w:ind w:left="720" w:hanging="720"/>
      </w:pPr>
      <w:r>
        <w:t>Fitzmaurice C, Allen C, Barber RM, Barregard L, Bhutta ZA, Brenner H, Dicker DJ, Chimed-Orchir O, Dandona R, Dandona L, Fleming T, Forouzanfar MH, Hancock J, Hay RJ, Hunter-Merrill R, Huynh C, Hosgood HD, Johnson CO, Jonas JB et al (2017) Global, regional, and national cancer incidence, mortality, years of life lost, years lived with disability, and disability-adjusted life-years for 32 cancer groups, 1990 to 2015: A Systematic Analysis for the Global Burden of Disease Study Global Burden of Disease Cancer Collaboration. JAMA Oncology 3(4):524–548. https://doi.org/10.1001/JAMAONCOL.2016.5688</w:t>
      </w:r>
    </w:p>
    <w:p w14:paraId="00000088">
      <w:pPr>
        <w:spacing w:line="480" w:lineRule="auto"/>
        <w:ind w:left="720" w:hanging="720"/>
      </w:pPr>
      <w:r>
        <w:t>Galbiatti ALS, Padovani-Junior JA, Maníglia JV, Rodrigues CDS, Pavarino ÉC, Goloni-Bertollo EM (2013) Head and neck cancer: causes, prevention and treatment. Brazilian Journal of Otorhinolaryngology 79(2):239–247. https://doi.org/10.5935/1808-8694.20130041</w:t>
      </w:r>
    </w:p>
    <w:p w14:paraId="00000089">
      <w:pPr>
        <w:spacing w:line="480" w:lineRule="auto"/>
        <w:ind w:left="720" w:hanging="720"/>
      </w:pPr>
      <w:r>
        <w:t>Ghirotto L, Catania G, Camera H, D’Adamo C, Ignone D, Rizzuto A, Stevanin S, Losi E et al (2023) Surviving cancer following total laryngectomy: a phenomenological study. Supportive Care in Cancer 31(8):457. https://doi.org/10.1007/S00520-023-07931-Z/METRICS</w:t>
      </w:r>
    </w:p>
    <w:p w14:paraId="0000008A">
      <w:pPr>
        <w:spacing w:line="480" w:lineRule="auto"/>
        <w:ind w:left="720" w:hanging="720"/>
      </w:pPr>
      <w:r>
        <w:t>Gillison ML, Chaturved AK, Anderson WF, Fakhry C (2015) Epidemiology of Human Papillomavirus–Positive Head and Neck Squamous Cell Carcinoma. Journal of Clinical Oncology 33(29):3235. https://doi.org/10.1200/JCO.2015.61.6995</w:t>
      </w:r>
    </w:p>
    <w:p w14:paraId="0000008B">
      <w:pPr>
        <w:spacing w:line="480" w:lineRule="auto"/>
        <w:ind w:left="720" w:hanging="720"/>
      </w:pPr>
      <w:r>
        <w:t>Hashim D, Genden E, Posner M, Hashibe M, Boffetta P (2019) Head and neck cancer prevention: from primary prevention to impact of clinicians on reducing burden. Annals of Oncology : Official Journal of the European Society for Medical Oncology 30(5):744–756. https://doi.org/10.1093/ANNONC/MDZ084</w:t>
      </w:r>
    </w:p>
    <w:p w14:paraId="0000008C">
      <w:pPr>
        <w:spacing w:line="480" w:lineRule="auto"/>
        <w:ind w:left="720" w:hanging="720"/>
      </w:pPr>
      <w:r>
        <w:t xml:space="preserve">Head &amp; Neck Cancer (2022) PORTAL MyHEALTH. (n.d.). </w:t>
      </w:r>
      <w:r>
        <w:fldChar w:fldCharType="begin"/>
      </w:r>
      <w:r>
        <w:instrText xml:space="preserve"> HYPERLINK "http://www.myhealth.gov.my/en/head-a-neck-cancer/" \h </w:instrText>
      </w:r>
      <w:r>
        <w:fldChar w:fldCharType="separate"/>
      </w:r>
      <w:r>
        <w:rPr>
          <w:color w:val="0000FF"/>
          <w:u w:val="single"/>
        </w:rPr>
        <w:t>http://www.myhealth.gov.my/en/head-a-neck-cancer/</w:t>
      </w:r>
      <w:r>
        <w:rPr>
          <w:color w:val="0000FF"/>
          <w:u w:val="single"/>
        </w:rPr>
        <w:fldChar w:fldCharType="end"/>
      </w:r>
      <w:r>
        <w:t>. Accessed 30 October 2022.</w:t>
      </w:r>
    </w:p>
    <w:p w14:paraId="0000008D">
      <w:pPr>
        <w:spacing w:line="480" w:lineRule="auto"/>
        <w:ind w:left="720" w:hanging="720"/>
      </w:pPr>
      <w:r>
        <w:t>Hersh D (2022) Special issue: Qualitative research and innovation in speech-language pathology. International Journal of Speech-Language Pathology 24(5):447–448. https://doi.org/10.1080/17549507.2022.2125074</w:t>
      </w:r>
    </w:p>
    <w:p w14:paraId="0000008E">
      <w:pPr>
        <w:spacing w:line="480" w:lineRule="auto"/>
        <w:ind w:left="720" w:hanging="720"/>
      </w:pPr>
      <w:r>
        <w:t>Hussain H, Ahmad K, Yahaya Z, Wan Puteh SE, Mohd Ibrahim H (2021) The prevalence of Dysphagia among head and neck cancer patients in tertiary public hospitals in Malaysia. Medical Journal of Malaysia 76(6):837–844.</w:t>
      </w:r>
    </w:p>
    <w:p w14:paraId="0000008F">
      <w:pPr>
        <w:spacing w:line="480" w:lineRule="auto"/>
        <w:ind w:left="720" w:hanging="720"/>
      </w:pPr>
      <w:r>
        <w:t xml:space="preserve">Hutcheson KA, Alvarez CP, Barringer DA et al (2012) Outcomes of elective total laryngectomy for laryngopharyngeal dysfunction in disease-free head and neck cancer survivors. Otolaryngol Head Neck Surg 146:585–590. </w:t>
      </w:r>
      <w:r>
        <w:fldChar w:fldCharType="begin"/>
      </w:r>
      <w:r>
        <w:instrText xml:space="preserve"> HYPERLINK "https://doi.org/10.1177/0194599811432264" \h </w:instrText>
      </w:r>
      <w:r>
        <w:fldChar w:fldCharType="separate"/>
      </w:r>
      <w:r>
        <w:rPr>
          <w:color w:val="0000FF"/>
          <w:u w:val="single"/>
        </w:rPr>
        <w:t>https://doi.org/10.1177/0194599811432264</w:t>
      </w:r>
      <w:r>
        <w:rPr>
          <w:color w:val="0000FF"/>
          <w:u w:val="single"/>
        </w:rPr>
        <w:fldChar w:fldCharType="end"/>
      </w:r>
    </w:p>
    <w:p w14:paraId="00000090">
      <w:pPr>
        <w:spacing w:line="480" w:lineRule="auto"/>
        <w:ind w:left="720" w:hanging="720"/>
      </w:pPr>
      <w:r>
        <w:t xml:space="preserve">Ihara Y, Kato H, Tashimo Y, Iizumi Y, Fukunishi Y, Sato H, Shimane T, Takahashi K (2022) Changes in oral function, swallowing function, and quality of life in patients with head and neck cancer: a prospective cohort study. BMC Oral Health 22(1):1–10. </w:t>
      </w:r>
      <w:r>
        <w:fldChar w:fldCharType="begin"/>
      </w:r>
      <w:r>
        <w:instrText xml:space="preserve"> HYPERLINK "https://doi.org/10.1186/S12903-022-02329-5/TABLES/3" \h </w:instrText>
      </w:r>
      <w:r>
        <w:fldChar w:fldCharType="separate"/>
      </w:r>
      <w:r>
        <w:rPr>
          <w:color w:val="0000FF"/>
          <w:u w:val="single"/>
        </w:rPr>
        <w:t>https://doi.org/10.1186/S12903-022-02329-5/TABLES/3</w:t>
      </w:r>
      <w:r>
        <w:rPr>
          <w:color w:val="0000FF"/>
          <w:u w:val="single"/>
        </w:rPr>
        <w:fldChar w:fldCharType="end"/>
      </w:r>
    </w:p>
    <w:p w14:paraId="00000091">
      <w:pPr>
        <w:spacing w:line="480" w:lineRule="auto"/>
        <w:ind w:left="720" w:hanging="720"/>
      </w:pPr>
      <w:r>
        <w:t>Institute for Public Health, Ministry of Health Malaysia. (2019). National Health and Morbidity Survey (NHMS) 2019: Non-Communicable Diseases, Healthcare Demand, and Health Literacy. Institute for Public Health, National Institutes of Health, Ministry of Health Malaysia.</w:t>
      </w:r>
    </w:p>
    <w:p w14:paraId="00000092">
      <w:pPr>
        <w:spacing w:line="480" w:lineRule="auto"/>
        <w:ind w:left="720" w:hanging="720"/>
      </w:pPr>
      <w:r>
        <w:t>Kamni, S. N. A., Saiful Bahron, N. A. N., Zulkifli, A., Uny, I., O’Donnell, R., Suryo Prabandari, Y. ... Semple, S. (2024). Knowledge, beliefs, perceptions and barriers related to implementing smoke-free home practices in two rural settlement areas in Malaysia. </w:t>
      </w:r>
      <w:r>
        <w:rPr>
          <w:i/>
        </w:rPr>
        <w:t>Tobacco Prevention &amp; Cessation</w:t>
      </w:r>
      <w:r>
        <w:t>, 10(November), 60. https://doi.org/10.18332/tpc/195460</w:t>
      </w:r>
    </w:p>
    <w:p w14:paraId="00000093">
      <w:pPr>
        <w:spacing w:line="480" w:lineRule="auto"/>
        <w:ind w:left="720" w:hanging="720"/>
      </w:pPr>
      <w:r>
        <w:t>Kawakita D, Oze I, Iwasaki S, Matsuda T, Matsuo K, Ito H (2022) Trends in the incidence of head and neck cancer by subsite between 1993 and 2015 in Japan. Cancer Medicine 11(6):1553. https://doi.org/10.1002/CAM4.4539</w:t>
      </w:r>
    </w:p>
    <w:p w14:paraId="00000094">
      <w:pPr>
        <w:spacing w:line="480" w:lineRule="auto"/>
        <w:ind w:left="720" w:hanging="720"/>
      </w:pPr>
      <w:r>
        <w:t xml:space="preserve">Kobayashi K, Hisamatsu K, Suzui N, Hara A, Tomita H, Miyazaki T (2018) A Review of HPV-Related Head and Neck Cancer. Journal of Clinical Medicine 7(9):241. </w:t>
      </w:r>
      <w:r>
        <w:fldChar w:fldCharType="begin"/>
      </w:r>
      <w:r>
        <w:instrText xml:space="preserve"> HYPERLINK "https://doi.org/10.3390/JCM7090241" \h </w:instrText>
      </w:r>
      <w:r>
        <w:fldChar w:fldCharType="separate"/>
      </w:r>
      <w:r>
        <w:rPr>
          <w:color w:val="0000FF"/>
          <w:u w:val="single"/>
        </w:rPr>
        <w:t>https://doi.org/10.3390/JCM7090241</w:t>
      </w:r>
      <w:r>
        <w:rPr>
          <w:color w:val="0000FF"/>
          <w:u w:val="single"/>
        </w:rPr>
        <w:fldChar w:fldCharType="end"/>
      </w:r>
    </w:p>
    <w:p w14:paraId="00000095">
      <w:pPr>
        <w:spacing w:line="480" w:lineRule="auto"/>
        <w:ind w:left="720" w:hanging="720"/>
      </w:pPr>
      <w:r>
        <w:t xml:space="preserve">Leong, K.Y., Azman, M., &amp; Kong, M.H. (2020). Quality of life outcome among nasopharyngeal carcinoma survivors in Kuala Lumpur. </w:t>
      </w:r>
      <w:r>
        <w:rPr>
          <w:i/>
        </w:rPr>
        <w:t>Annals of Nasopharynx Cancer</w:t>
      </w:r>
      <w:r>
        <w:t>, 4, https://anpc.amegroups.org/article/view/5668</w:t>
      </w:r>
    </w:p>
    <w:p w14:paraId="00000096">
      <w:pPr>
        <w:spacing w:line="480" w:lineRule="auto"/>
        <w:ind w:left="720" w:hanging="720"/>
      </w:pPr>
      <w:r>
        <w:t>Lim, K. H., Teh, C. H., Pan, S., Ling, M. Y., Yusoff, M. F., Ghazali, S. M. ... Lim, H. L. (2018). Prevalence and factor/s associated with smoking among adults in Malaysia - Findings from the National Health and Morbidity Survey (NHMS) 2015. </w:t>
      </w:r>
      <w:r>
        <w:rPr>
          <w:i/>
        </w:rPr>
        <w:t>Tobacco Induced Diseases</w:t>
      </w:r>
      <w:r>
        <w:t xml:space="preserve">, 16(January), 1. </w:t>
      </w:r>
      <w:r>
        <w:fldChar w:fldCharType="begin"/>
      </w:r>
      <w:r>
        <w:instrText xml:space="preserve"> HYPERLINK "https://doi.org/10.18332/tid/82190" \h </w:instrText>
      </w:r>
      <w:r>
        <w:fldChar w:fldCharType="separate"/>
      </w:r>
      <w:r>
        <w:rPr>
          <w:color w:val="0000FF"/>
          <w:u w:val="single"/>
        </w:rPr>
        <w:t>https://doi.org/10.18332/tid/82190</w:t>
      </w:r>
      <w:r>
        <w:rPr>
          <w:color w:val="0000FF"/>
          <w:u w:val="single"/>
        </w:rPr>
        <w:fldChar w:fldCharType="end"/>
      </w:r>
    </w:p>
    <w:p w14:paraId="00000097">
      <w:pPr>
        <w:spacing w:line="480" w:lineRule="auto"/>
        <w:ind w:left="720" w:hanging="720"/>
      </w:pPr>
      <w:r>
        <w:t xml:space="preserve">Linton, R. E., Daker, M., Khoo, A. S., Choo, D. C. Y., Viljoen, M., &amp; Neilsen, P. M. (2021). Nasopharyngeal carcinoma among the Bidayuh of Sarawak, Malaysia: History and risk factors. </w:t>
      </w:r>
      <w:r>
        <w:rPr>
          <w:i/>
        </w:rPr>
        <w:t>Oncology letters, 22</w:t>
      </w:r>
      <w:r>
        <w:t>(1), 514. https://doi.org/10.3892/ol.2021.12775</w:t>
      </w:r>
    </w:p>
    <w:p w14:paraId="00000098">
      <w:pPr>
        <w:spacing w:line="480" w:lineRule="auto"/>
        <w:ind w:left="720" w:hanging="720"/>
        <w:rPr>
          <w:color w:val="366091"/>
        </w:rPr>
      </w:pPr>
      <w:r>
        <w:t>LoConte, N. K., Else-Quest, N. M., Eickhoff, J., Hyde, J., &amp; Schiller, J. H. (2008). Assessment of guilt and shame in patients with non–small-cell lung cancer compared with patients with breast and prostate cancer. </w:t>
      </w:r>
      <w:r>
        <w:rPr>
          <w:i/>
        </w:rPr>
        <w:t>Clinical Lung Cancer</w:t>
      </w:r>
      <w:r>
        <w:t>, </w:t>
      </w:r>
      <w:r>
        <w:rPr>
          <w:i/>
        </w:rPr>
        <w:t>9</w:t>
      </w:r>
      <w:r>
        <w:t xml:space="preserve">(3), 171-178. </w:t>
      </w:r>
      <w:r>
        <w:fldChar w:fldCharType="begin"/>
      </w:r>
      <w:r>
        <w:instrText xml:space="preserve"> HYPERLINK "https://doi.org/10.3816/CLC.2008.n.026" \h </w:instrText>
      </w:r>
      <w:r>
        <w:fldChar w:fldCharType="separate"/>
      </w:r>
      <w:r>
        <w:rPr>
          <w:color w:val="0000BF"/>
          <w:u w:val="single"/>
        </w:rPr>
        <w:t>https://doi.org/10.3816/CLC.2008.n.026</w:t>
      </w:r>
      <w:r>
        <w:rPr>
          <w:color w:val="0000BF"/>
          <w:u w:val="single"/>
        </w:rPr>
        <w:fldChar w:fldCharType="end"/>
      </w:r>
      <w:r>
        <w:rPr>
          <w:color w:val="366091"/>
        </w:rPr>
        <w:t xml:space="preserve"> </w:t>
      </w:r>
    </w:p>
    <w:p w14:paraId="00000099">
      <w:pPr>
        <w:spacing w:line="480" w:lineRule="auto"/>
        <w:ind w:left="720" w:hanging="720"/>
      </w:pPr>
      <w:r>
        <w:t>Lucas K (2010) A Waste of Time? The Value and Promise of Researcher Completed Qualitative Data Transcribing. Northeastern Educational Research Association (NERA) Annual Conference Proceeding 24. https://opencommons.uconn.edu/cgi/viewcontent.cgi?article=1008&amp;context=nera_2010</w:t>
      </w:r>
    </w:p>
    <w:p w14:paraId="0000009A">
      <w:pPr>
        <w:spacing w:line="480" w:lineRule="auto"/>
        <w:ind w:left="720" w:hanging="720"/>
      </w:pPr>
      <w:r>
        <w:t>Mariano LC, Warnakulasuriya S, Straif K, Monteiro L (2022) Second hand smoke exposure and oral cancer risk: a systematic review and meta-analysis. Tobacco Control 31(5):597–607. https://doi.org/10.1136/TOBACCOCONTROL-2020-056393</w:t>
      </w:r>
    </w:p>
    <w:p w14:paraId="0000009B">
      <w:pPr>
        <w:spacing w:line="480" w:lineRule="auto"/>
        <w:ind w:left="720" w:hanging="720"/>
      </w:pPr>
      <w:r>
        <w:t>Masuda H, Ueha R, Sato T, Goto T, Koyama M, Yamauchi A, Kaneoka A, Suzuki S, Yamasoba T (2021) Risk Factors for Aspiration Pneumonia After Receiving Liquid-Thickening Recommendations. Otolaryngol Head Neck Surg 167(1):125–132. https://doi.org/10.1177/01945998211049114</w:t>
      </w:r>
    </w:p>
    <w:p w14:paraId="0000009C">
      <w:pPr>
        <w:spacing w:line="480" w:lineRule="auto"/>
        <w:ind w:left="720" w:hanging="720"/>
      </w:pPr>
      <w:r>
        <w:t>Mayne ST, Morse DE, Winn DM (2009) Cancers of the Oral Cavity and Pharynx. In: David S, Joseph FF (eds) Cancer Epidemiology and Prevention, 3rd edn. Oxford Academic, New York https://doi.org/10.1093/acprof:oso/9780195149616.003.0035https://doi.org/10.1093/ACPROF:OSO/9780195149616.003.0035</w:t>
      </w:r>
    </w:p>
    <w:p w14:paraId="0000009D">
      <w:pPr>
        <w:spacing w:line="480" w:lineRule="auto"/>
        <w:ind w:left="720" w:hanging="720"/>
      </w:pPr>
      <w:r>
        <w:t xml:space="preserve">Ninfa A, Jansen F, Delle Fave A, Lissenberg-Witte BI, Pizzorni N, Baatenburg de Jong RJ, Lamers F, Leemans CR, Takes RP, Terhaard CHJ, Schindler A, Verdonck-de Leeuw IM (2023) The Change in Social Eating over Time in People with Head and Neck Cancer Treated with Primary (Chemo)Radiotherapy: The Role of Swallowing, Oral Function, and Nutritional Status. </w:t>
      </w:r>
      <w:r>
        <w:rPr>
          <w:i/>
        </w:rPr>
        <w:t>Cancers</w:t>
      </w:r>
      <w:r>
        <w:t xml:space="preserve"> 15(5):1603. https://doi.org/10.3390/CANCERS15051603</w:t>
      </w:r>
    </w:p>
    <w:p w14:paraId="0000009E">
      <w:pPr>
        <w:spacing w:line="480" w:lineRule="auto"/>
        <w:ind w:left="720" w:hanging="720"/>
      </w:pPr>
      <w:r>
        <w:t>Roe JW, Drinnan MJ, Carding PN, Harrington KJ, Nutting CM (2014) Patient-reported outcomes following parotid-sparing intensity-modulated radiotherapy for head and neck cancer. How important is dysphagia? Oral Oncology 50(12):1182–1187. https://doi.org/10.1016/j.oraloncology.2014.09.009</w:t>
      </w:r>
    </w:p>
    <w:p w14:paraId="0000009F">
      <w:pPr>
        <w:spacing w:line="480" w:lineRule="auto"/>
        <w:ind w:left="720" w:hanging="720"/>
      </w:pPr>
      <w:r>
        <w:t>Rothrie S, Fitzgerald E, Brady GC, Roe JWG (2022) The role of the speech and language therapist in the rehabilitation of speech, swallowing, voice and trismus in people diagnosed with head and neck cancer. British Dental Journal 233(9):801–805. https://doi.org/10.1038/s41415-022-5145-2</w:t>
      </w:r>
    </w:p>
    <w:p w14:paraId="000000A0">
      <w:pPr>
        <w:spacing w:line="480" w:lineRule="auto"/>
        <w:ind w:left="720" w:hanging="720"/>
      </w:pPr>
      <w:r>
        <w:t>Suarez-Cunqueiro MM, Schramm A, Schoen R, Seoane-Lestón J, Otero-Cepeda XL, Bormann KH, Kokemueller H, Metzger M, Diz-Dios P, Gellrich NC (2008) Speech and Swallowing Impairment After Treatment for Oral and Oropharyngeal Cancer. Archives of Otolaryngology–Head &amp; Neck Surgery 134(12):1299–1304. https://doi.org/10.1001/ARCHOTOL.134.12.1299</w:t>
      </w:r>
    </w:p>
    <w:p w14:paraId="000000A1">
      <w:pPr>
        <w:spacing w:line="480" w:lineRule="auto"/>
        <w:ind w:left="720" w:hanging="720"/>
      </w:pPr>
      <w:r>
        <w:t xml:space="preserve">Tong, M.C.F., Lee, K.Y.S., Yuen, M.T.Y. and Lo, P.S.Y. (2011). Perceptions and experiences of post-irradiation swallowing difficulties in nasopharyngeal cancer survivors. </w:t>
      </w:r>
      <w:r>
        <w:rPr>
          <w:i/>
        </w:rPr>
        <w:t>European Journal of Cancer Care</w:t>
      </w:r>
      <w:r>
        <w:t>, 20: 170-178. </w:t>
      </w:r>
      <w:r>
        <w:fldChar w:fldCharType="begin"/>
      </w:r>
      <w:r>
        <w:instrText xml:space="preserve"> HYPERLINK "https://doi.org/10.1111/j.1365-2354.2010.01183.x" \h </w:instrText>
      </w:r>
      <w:r>
        <w:fldChar w:fldCharType="separate"/>
      </w:r>
      <w:r>
        <w:rPr>
          <w:color w:val="0000FF"/>
          <w:u w:val="single"/>
        </w:rPr>
        <w:t>https://doi.org/10.1111/j.1365-2354.2010.01183.x</w:t>
      </w:r>
      <w:r>
        <w:rPr>
          <w:color w:val="0000FF"/>
          <w:u w:val="single"/>
        </w:rPr>
        <w:fldChar w:fldCharType="end"/>
      </w:r>
    </w:p>
    <w:p w14:paraId="000000A2">
      <w:pPr>
        <w:spacing w:line="480" w:lineRule="auto"/>
        <w:ind w:left="720" w:hanging="720"/>
      </w:pPr>
      <w:r>
        <w:t>Verdonck-de Leeuw I, Dawson C, Licitra L, Eriksen JG, Hosal S, Singer S, Laverty DP, Golusinski W, Machczynski P, Varges Gomes A, Girvalaki C, Simon C, Leemans CR (2022) European Head and Neck Society recommendations for head and neck cancer survivorship care. Oral Oncology 133:106047. https://doi.org/10.1016/J.ORALONCOLOGY.2022.106047</w:t>
      </w:r>
    </w:p>
    <w:p w14:paraId="000000A3">
      <w:pPr>
        <w:spacing w:line="480" w:lineRule="auto"/>
        <w:ind w:left="720" w:hanging="720"/>
      </w:pPr>
      <w:r>
        <w:t>Verdonck-de Leeuw IM, Korsten LHA, van Nieuwenhuizen A, Baatenburg de Jong RJ, Brakenhoff RH, Buffart LM, Lamers F, Langendijk JA, Leemans CR, Smit JH, Sprangers MA et al (2023) The course of health-related quality of life in the first 2 years after a diagnosis of head and neck cancer: the role of personal, clinical, psychological, physical, social, lifestyle, disease-related, and biological factors. Supportive Care Cancer 31(8):458. https://doi.org/10.1007/S00520-023-07918-W</w:t>
      </w:r>
    </w:p>
    <w:p w14:paraId="000000A4">
      <w:pPr>
        <w:spacing w:line="480" w:lineRule="auto"/>
        <w:ind w:left="720" w:hanging="720"/>
      </w:pPr>
      <w:r>
        <w:t>Wei, X., Chen, B., Wang, Z. </w:t>
      </w:r>
      <w:r>
        <w:rPr>
          <w:i/>
        </w:rPr>
        <w:t>et al.</w:t>
      </w:r>
      <w:r>
        <w:t> (2024). Nasopharyngeal cancer risk assessment by country or region worldwide from 1990 to 2019. </w:t>
      </w:r>
      <w:r>
        <w:rPr>
          <w:i/>
        </w:rPr>
        <w:t>BMC Public Health</w:t>
      </w:r>
      <w:r>
        <w:t> </w:t>
      </w:r>
      <w:r>
        <w:rPr>
          <w:b/>
        </w:rPr>
        <w:t>24</w:t>
      </w:r>
      <w:r>
        <w:t>, 1931. https://doi.org/10.1186/s12889-024-19228-9</w:t>
      </w:r>
    </w:p>
    <w:p w14:paraId="000000A5">
      <w:pPr>
        <w:spacing w:line="480" w:lineRule="auto"/>
        <w:ind w:left="720" w:hanging="720"/>
      </w:pPr>
      <w:r>
        <w:t>Wong YF, Md Yusof M, Ishak WZW, Alip A, Phua VCE (2015) Treatment outcome for head and neck squamous cell carcinoma in a developing country: University Malaya Medical Centre, Malaysia from 2003-2010. Asian Pacific Journal of Cancer Prevention 16(7):2903–2908. https://doi.org/10.7314/APJCP.2015.16.7.2903</w:t>
      </w:r>
    </w:p>
    <w:p w14:paraId="000000A6">
      <w:pPr>
        <w:spacing w:line="480" w:lineRule="auto"/>
        <w:ind w:left="720" w:hanging="720"/>
      </w:pPr>
      <w:r>
        <w:t>Yifru TA, Kisa S, Dinegde NG, Atnafu NT (2021) Dysphagia and its impact on the quality of life of head and neck cancer patients: institution-based cross-sectional study. BMC Research Notes 14(1):1–7. https://doi.org/10.1186/S13104-020-05440-4/TABLES/3</w:t>
      </w:r>
    </w:p>
    <w:p w14:paraId="000000A7">
      <w:pPr>
        <w:spacing w:line="480" w:lineRule="auto"/>
        <w:ind w:left="720" w:hanging="720"/>
      </w:pPr>
      <w:r>
        <w:t>Zuydam AC, Rogers SN, Roe JWG (2023) Addressing patients’ concerns in speech and language therapy consultations following the diagnosis and treatment of head and neck cancer. Current Opinion in Otolaryngology and Head and Neck Surgery 31(3):159–164. https://doi.org/10.1097/MOO.0000000000000881</w:t>
      </w:r>
    </w:p>
    <w:p w14:paraId="000000AA">
      <w:pPr>
        <w:spacing w:line="480" w:lineRule="auto"/>
        <w:ind w:left="720" w:hanging="720"/>
      </w:pPr>
      <w:r>
        <w:br w:type="page"/>
      </w:r>
    </w:p>
    <w:p w14:paraId="0000016C">
      <w:pPr>
        <w:spacing w:line="480" w:lineRule="auto"/>
        <w:jc w:val="both"/>
      </w:pPr>
      <w:r>
        <w:rPr>
          <w:b/>
        </w:rPr>
        <w:t xml:space="preserve">Appendix A. </w:t>
      </w:r>
      <w:r>
        <w:t xml:space="preserve">Key interview questions for semi-structured interviews. </w:t>
      </w:r>
    </w:p>
    <w:tbl>
      <w:tblPr>
        <w:tblStyle w:val="38"/>
        <w:tblW w:w="93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75"/>
        <w:gridCol w:w="4675"/>
      </w:tblGrid>
      <w:tr w14:paraId="3FFA9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51" w:hRule="atLeast"/>
        </w:trPr>
        <w:tc>
          <w:tcPr>
            <w:tcW w:w="4675" w:type="dxa"/>
          </w:tcPr>
          <w:p w14:paraId="0000016D">
            <w:pPr>
              <w:spacing w:line="360" w:lineRule="auto"/>
              <w:jc w:val="both"/>
              <w:rPr>
                <w:color w:val="000000"/>
                <w:sz w:val="22"/>
                <w:szCs w:val="22"/>
              </w:rPr>
            </w:pPr>
            <w:r>
              <w:rPr>
                <w:color w:val="000000"/>
                <w:sz w:val="22"/>
                <w:szCs w:val="22"/>
              </w:rPr>
              <w:t>Questions</w:t>
            </w:r>
          </w:p>
        </w:tc>
        <w:tc>
          <w:tcPr>
            <w:tcW w:w="4675" w:type="dxa"/>
          </w:tcPr>
          <w:p w14:paraId="0000016E">
            <w:pPr>
              <w:spacing w:line="360" w:lineRule="auto"/>
              <w:jc w:val="both"/>
              <w:rPr>
                <w:color w:val="000000"/>
                <w:sz w:val="22"/>
                <w:szCs w:val="22"/>
              </w:rPr>
            </w:pPr>
            <w:r>
              <w:rPr>
                <w:color w:val="000000"/>
                <w:sz w:val="22"/>
                <w:szCs w:val="22"/>
              </w:rPr>
              <w:t>Prompts</w:t>
            </w:r>
          </w:p>
        </w:tc>
      </w:tr>
      <w:tr w14:paraId="0C15D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75" w:type="dxa"/>
          </w:tcPr>
          <w:p w14:paraId="0000016F">
            <w:pPr>
              <w:spacing w:line="360" w:lineRule="auto"/>
              <w:jc w:val="both"/>
              <w:rPr>
                <w:color w:val="000000"/>
                <w:sz w:val="22"/>
                <w:szCs w:val="22"/>
              </w:rPr>
            </w:pPr>
            <w:r>
              <w:rPr>
                <w:color w:val="000000"/>
                <w:sz w:val="22"/>
                <w:szCs w:val="22"/>
              </w:rPr>
              <w:t>How has your cancer influenced your life in terms of communication?</w:t>
            </w:r>
          </w:p>
          <w:p w14:paraId="00000170">
            <w:pPr>
              <w:spacing w:line="360" w:lineRule="auto"/>
              <w:jc w:val="both"/>
              <w:rPr>
                <w:color w:val="000000"/>
                <w:sz w:val="22"/>
                <w:szCs w:val="22"/>
              </w:rPr>
            </w:pPr>
          </w:p>
        </w:tc>
        <w:tc>
          <w:tcPr>
            <w:tcW w:w="4675" w:type="dxa"/>
          </w:tcPr>
          <w:p w14:paraId="00000171">
            <w:pPr>
              <w:spacing w:line="360" w:lineRule="auto"/>
              <w:jc w:val="both"/>
              <w:rPr>
                <w:color w:val="000000"/>
                <w:sz w:val="22"/>
                <w:szCs w:val="22"/>
              </w:rPr>
            </w:pPr>
            <w:r>
              <w:rPr>
                <w:color w:val="000000"/>
                <w:sz w:val="22"/>
                <w:szCs w:val="22"/>
              </w:rPr>
              <w:t xml:space="preserve">i.e. while conversing with friends and family </w:t>
            </w:r>
          </w:p>
          <w:p w14:paraId="00000172">
            <w:pPr>
              <w:spacing w:line="360" w:lineRule="auto"/>
              <w:jc w:val="both"/>
              <w:rPr>
                <w:color w:val="000000"/>
                <w:sz w:val="22"/>
                <w:szCs w:val="22"/>
              </w:rPr>
            </w:pPr>
            <w:r>
              <w:rPr>
                <w:color w:val="000000"/>
                <w:sz w:val="22"/>
                <w:szCs w:val="22"/>
              </w:rPr>
              <w:t>Has your work become affected, what other activities are affected due to communication issues?</w:t>
            </w:r>
          </w:p>
          <w:p w14:paraId="00000173">
            <w:pPr>
              <w:spacing w:line="360" w:lineRule="auto"/>
              <w:jc w:val="both"/>
              <w:rPr>
                <w:color w:val="000000"/>
                <w:sz w:val="22"/>
                <w:szCs w:val="22"/>
              </w:rPr>
            </w:pPr>
            <w:r>
              <w:rPr>
                <w:color w:val="000000"/>
                <w:sz w:val="22"/>
                <w:szCs w:val="22"/>
              </w:rPr>
              <w:t>What are some ways you found to cope with this issue?</w:t>
            </w:r>
          </w:p>
        </w:tc>
      </w:tr>
      <w:tr w14:paraId="3C1FB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75" w:type="dxa"/>
          </w:tcPr>
          <w:p w14:paraId="00000174">
            <w:pPr>
              <w:spacing w:line="360" w:lineRule="auto"/>
              <w:jc w:val="both"/>
              <w:rPr>
                <w:color w:val="000000"/>
                <w:sz w:val="22"/>
                <w:szCs w:val="22"/>
              </w:rPr>
            </w:pPr>
            <w:r>
              <w:rPr>
                <w:color w:val="000000"/>
                <w:sz w:val="22"/>
                <w:szCs w:val="22"/>
              </w:rPr>
              <w:t xml:space="preserve">How has your cancer influenced your life in terms of eating? </w:t>
            </w:r>
          </w:p>
        </w:tc>
        <w:tc>
          <w:tcPr>
            <w:tcW w:w="4675" w:type="dxa"/>
          </w:tcPr>
          <w:p w14:paraId="00000175">
            <w:pPr>
              <w:spacing w:line="360" w:lineRule="auto"/>
              <w:jc w:val="both"/>
              <w:rPr>
                <w:color w:val="000000"/>
                <w:sz w:val="22"/>
                <w:szCs w:val="22"/>
              </w:rPr>
            </w:pPr>
            <w:r>
              <w:rPr>
                <w:color w:val="000000"/>
                <w:sz w:val="22"/>
                <w:szCs w:val="22"/>
              </w:rPr>
              <w:t xml:space="preserve">Do you have difficulty swallowing or pain during mealtimes? </w:t>
            </w:r>
          </w:p>
        </w:tc>
      </w:tr>
      <w:tr w14:paraId="27835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75" w:type="dxa"/>
          </w:tcPr>
          <w:p w14:paraId="00000176">
            <w:pPr>
              <w:spacing w:line="360" w:lineRule="auto"/>
              <w:jc w:val="both"/>
              <w:rPr>
                <w:color w:val="000000"/>
                <w:sz w:val="22"/>
                <w:szCs w:val="22"/>
              </w:rPr>
            </w:pPr>
            <w:r>
              <w:rPr>
                <w:color w:val="000000"/>
                <w:sz w:val="22"/>
                <w:szCs w:val="22"/>
              </w:rPr>
              <w:t xml:space="preserve">How have the communication and eating i.e. swallowing issues affected you psychologically?  </w:t>
            </w:r>
          </w:p>
        </w:tc>
        <w:tc>
          <w:tcPr>
            <w:tcW w:w="4675" w:type="dxa"/>
          </w:tcPr>
          <w:p w14:paraId="00000177">
            <w:pPr>
              <w:spacing w:line="360" w:lineRule="auto"/>
              <w:jc w:val="both"/>
              <w:rPr>
                <w:color w:val="000000"/>
                <w:sz w:val="22"/>
                <w:szCs w:val="22"/>
              </w:rPr>
            </w:pPr>
            <w:r>
              <w:rPr>
                <w:color w:val="000000"/>
                <w:sz w:val="22"/>
                <w:szCs w:val="22"/>
              </w:rPr>
              <w:t>How have your perspectives and priorities in life changed since your diagnosis?</w:t>
            </w:r>
          </w:p>
        </w:tc>
      </w:tr>
    </w:tbl>
    <w:p w14:paraId="00000178">
      <w:pPr>
        <w:spacing w:line="480" w:lineRule="auto"/>
        <w:jc w:val="both"/>
        <w:rPr>
          <w:b/>
        </w:rPr>
      </w:pPr>
    </w:p>
    <w:p w14:paraId="00000179">
      <w:pPr>
        <w:spacing w:line="480" w:lineRule="auto"/>
        <w:jc w:val="both"/>
      </w:pPr>
    </w:p>
    <w:sectPr>
      <w:headerReference r:id="rId3" w:type="default"/>
      <w:pgSz w:w="12240" w:h="15840"/>
      <w:pgMar w:top="1440" w:right="1440" w:bottom="1440" w:left="1440"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embedRegular r:id="rId1" w:fontKey="{78820DC2-E611-B520-40E0-04698370C885}"/>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Segoe UI">
    <w:altName w:val="苹方-简"/>
    <w:panose1 w:val="020B0502040204020203"/>
    <w:charset w:val="00"/>
    <w:family w:val="swiss"/>
    <w:pitch w:val="default"/>
    <w:sig w:usb0="00000000" w:usb1="00000000" w:usb2="00000009" w:usb3="00000000" w:csb0="200001FF" w:csb1="00000000"/>
  </w:font>
  <w:font w:name="Gungsuh">
    <w:panose1 w:val="02030600000101010101"/>
    <w:charset w:val="81"/>
    <w:family w:val="roman"/>
    <w:pitch w:val="default"/>
    <w:sig w:usb0="B00002AF" w:usb1="69D77CFB" w:usb2="00000030" w:usb3="00000000" w:csb0="4008009F" w:csb1="DFD70000"/>
    <w:embedRegular r:id="rId2" w:fontKey="{E426D143-D129-B9FD-40E0-0469299E9FB2}"/>
  </w:font>
  <w:font w:name="Times New Roman Bold">
    <w:panose1 w:val="02020603050405020304"/>
    <w:charset w:val="00"/>
    <w:family w:val="auto"/>
    <w:pitch w:val="default"/>
    <w:sig w:usb0="E0002AEF" w:usb1="C0007841" w:usb2="00000009" w:usb3="00000000" w:csb0="400001FF" w:csb1="FFFF0000"/>
    <w:embedRegular r:id="rId3" w:fontKey="{ADA8D5D8-212B-6DA4-40E0-0469A666C217}"/>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冬青黑体简体中文">
    <w:panose1 w:val="020B0300000000000000"/>
    <w:charset w:val="86"/>
    <w:family w:val="auto"/>
    <w:pitch w:val="default"/>
    <w:sig w:usb0="A00002BF" w:usb1="1ACF7CFA" w:usb2="00000016" w:usb3="00000000" w:csb0="00060007"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 w:name="Times New Roman Regular">
    <w:panose1 w:val="02020603050405020304"/>
    <w:charset w:val="00"/>
    <w:family w:val="auto"/>
    <w:pitch w:val="default"/>
    <w:sig w:usb0="E0002AEF" w:usb1="C0007841" w:usb2="00000009" w:usb3="00000000" w:csb0="400001FF" w:csb1="FFFF0000"/>
    <w:embedRegular r:id="rId4" w:fontKey="{27500219-A7E3-1083-40E0-046963821D08}"/>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17A">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jc w:val="right"/>
      <w:rPr>
        <w:color w:val="000000"/>
      </w:rPr>
    </w:pPr>
    <w:r>
      <w:rPr>
        <w:color w:val="000000"/>
      </w:rPr>
      <w:t xml:space="preserve">Communication, eating and swallowing experiences in nasopharyngeal cancer </w:t>
    </w:r>
    <w:r>
      <w:rPr>
        <w:color w:val="000000"/>
      </w:rPr>
      <w:fldChar w:fldCharType="begin"/>
    </w:r>
    <w:r>
      <w:rPr>
        <w:color w:val="000000"/>
      </w:rPr>
      <w:instrText xml:space="preserve">PAGE</w:instrText>
    </w:r>
    <w:r>
      <w:rPr>
        <w:color w:val="000000"/>
      </w:rPr>
      <w:fldChar w:fldCharType="separate"/>
    </w:r>
    <w:r>
      <w:rPr>
        <w:color w:val="000000"/>
      </w:rPr>
      <w:t>1</w:t>
    </w:r>
    <w:r>
      <w:rPr>
        <w:color w:val="000000"/>
      </w:rPr>
      <w:fldChar w:fldCharType="end"/>
    </w:r>
  </w:p>
  <w:p w14:paraId="0000017B">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4E1"/>
    <w:rsid w:val="000D46FE"/>
    <w:rsid w:val="00434BBC"/>
    <w:rsid w:val="00673040"/>
    <w:rsid w:val="006804E1"/>
    <w:rsid w:val="0092778E"/>
    <w:rsid w:val="00CB5B8C"/>
    <w:rsid w:val="00F71DB6"/>
    <w:rsid w:val="3EF727C2"/>
    <w:rsid w:val="3F573A24"/>
    <w:rsid w:val="4EF7CA18"/>
    <w:rsid w:val="4FC79827"/>
    <w:rsid w:val="5B1F920C"/>
    <w:rsid w:val="5BBFF7B4"/>
    <w:rsid w:val="5E7944D6"/>
    <w:rsid w:val="65DD7FA2"/>
    <w:rsid w:val="6FBFB8E2"/>
    <w:rsid w:val="765B9F2C"/>
    <w:rsid w:val="797D1E59"/>
    <w:rsid w:val="7CDA03C1"/>
    <w:rsid w:val="7CE7E868"/>
    <w:rsid w:val="7EFF39B8"/>
    <w:rsid w:val="7FFFB682"/>
    <w:rsid w:val="7FFFE901"/>
    <w:rsid w:val="8BDE275A"/>
    <w:rsid w:val="8F7F00A2"/>
    <w:rsid w:val="9EFBE3E8"/>
    <w:rsid w:val="9FFFD206"/>
    <w:rsid w:val="ADB760CA"/>
    <w:rsid w:val="B47FFB22"/>
    <w:rsid w:val="C6BFDEF0"/>
    <w:rsid w:val="D75F810A"/>
    <w:rsid w:val="D7DF72BF"/>
    <w:rsid w:val="D7FB78CF"/>
    <w:rsid w:val="D9E787A1"/>
    <w:rsid w:val="DF3D294E"/>
    <w:rsid w:val="EF3FC0C5"/>
    <w:rsid w:val="F6AF1B23"/>
    <w:rsid w:val="F8DEA527"/>
    <w:rsid w:val="FB7E0282"/>
    <w:rsid w:val="FFA31CB0"/>
    <w:rsid w:val="FFFD7680"/>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GB" w:eastAsia="zh-CN" w:bidi="ar-SA"/>
    </w:rPr>
  </w:style>
  <w:style w:type="paragraph" w:styleId="2">
    <w:name w:val="heading 1"/>
    <w:basedOn w:val="1"/>
    <w:next w:val="1"/>
    <w:qFormat/>
    <w:uiPriority w:val="9"/>
    <w:pPr>
      <w:keepNext/>
      <w:keepLines/>
      <w:spacing w:before="400" w:after="120"/>
      <w:outlineLvl w:val="0"/>
    </w:pPr>
    <w:rPr>
      <w:sz w:val="40"/>
      <w:szCs w:val="40"/>
    </w:rPr>
  </w:style>
  <w:style w:type="paragraph" w:styleId="3">
    <w:name w:val="heading 2"/>
    <w:basedOn w:val="1"/>
    <w:next w:val="1"/>
    <w:semiHidden/>
    <w:unhideWhenUsed/>
    <w:qFormat/>
    <w:uiPriority w:val="9"/>
    <w:pPr>
      <w:keepNext/>
      <w:keepLines/>
      <w:spacing w:before="360" w:after="120"/>
      <w:outlineLvl w:val="1"/>
    </w:pPr>
    <w:rPr>
      <w:sz w:val="32"/>
      <w:szCs w:val="32"/>
    </w:rPr>
  </w:style>
  <w:style w:type="paragraph" w:styleId="4">
    <w:name w:val="heading 3"/>
    <w:basedOn w:val="1"/>
    <w:next w:val="1"/>
    <w:semiHidden/>
    <w:unhideWhenUsed/>
    <w:qFormat/>
    <w:uiPriority w:val="9"/>
    <w:pPr>
      <w:keepNext/>
      <w:keepLines/>
      <w:spacing w:before="320" w:after="80"/>
      <w:outlineLvl w:val="2"/>
    </w:pPr>
    <w:rPr>
      <w:color w:val="434343"/>
      <w:sz w:val="28"/>
      <w:szCs w:val="28"/>
    </w:rPr>
  </w:style>
  <w:style w:type="paragraph" w:styleId="5">
    <w:name w:val="heading 4"/>
    <w:basedOn w:val="1"/>
    <w:next w:val="1"/>
    <w:semiHidden/>
    <w:unhideWhenUsed/>
    <w:qFormat/>
    <w:uiPriority w:val="9"/>
    <w:pPr>
      <w:keepNext/>
      <w:keepLines/>
      <w:spacing w:before="280" w:after="80"/>
      <w:outlineLvl w:val="3"/>
    </w:pPr>
    <w:rPr>
      <w:color w:val="666666"/>
    </w:rPr>
  </w:style>
  <w:style w:type="paragraph" w:styleId="6">
    <w:name w:val="heading 5"/>
    <w:basedOn w:val="1"/>
    <w:next w:val="1"/>
    <w:semiHidden/>
    <w:unhideWhenUsed/>
    <w:qFormat/>
    <w:uiPriority w:val="9"/>
    <w:pPr>
      <w:keepNext/>
      <w:keepLines/>
      <w:spacing w:before="240" w:after="80"/>
      <w:outlineLvl w:val="4"/>
    </w:pPr>
    <w:rPr>
      <w:color w:val="666666"/>
    </w:rPr>
  </w:style>
  <w:style w:type="paragraph" w:styleId="7">
    <w:name w:val="heading 6"/>
    <w:basedOn w:val="1"/>
    <w:next w:val="1"/>
    <w:semiHidden/>
    <w:unhideWhenUsed/>
    <w:qFormat/>
    <w:uiPriority w:val="9"/>
    <w:pPr>
      <w:keepNext/>
      <w:keepLines/>
      <w:spacing w:before="240" w:after="80"/>
      <w:outlineLvl w:val="5"/>
    </w:pPr>
    <w:rPr>
      <w:i/>
      <w:color w:val="666666"/>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8">
    <w:name w:val="annotation text"/>
    <w:basedOn w:val="1"/>
    <w:link w:val="26"/>
    <w:unhideWhenUsed/>
    <w:qFormat/>
    <w:uiPriority w:val="99"/>
    <w:rPr>
      <w:sz w:val="20"/>
      <w:szCs w:val="20"/>
    </w:rPr>
  </w:style>
  <w:style w:type="paragraph" w:styleId="9">
    <w:name w:val="Balloon Text"/>
    <w:basedOn w:val="1"/>
    <w:link w:val="34"/>
    <w:semiHidden/>
    <w:unhideWhenUsed/>
    <w:qFormat/>
    <w:uiPriority w:val="99"/>
    <w:rPr>
      <w:rFonts w:ascii="Segoe UI" w:hAnsi="Segoe UI" w:cs="Segoe UI"/>
      <w:sz w:val="18"/>
      <w:szCs w:val="18"/>
    </w:rPr>
  </w:style>
  <w:style w:type="paragraph" w:styleId="10">
    <w:name w:val="footer"/>
    <w:basedOn w:val="1"/>
    <w:link w:val="30"/>
    <w:unhideWhenUsed/>
    <w:qFormat/>
    <w:uiPriority w:val="99"/>
    <w:pPr>
      <w:tabs>
        <w:tab w:val="center" w:pos="4513"/>
        <w:tab w:val="right" w:pos="9026"/>
      </w:tabs>
    </w:pPr>
  </w:style>
  <w:style w:type="paragraph" w:styleId="11">
    <w:name w:val="header"/>
    <w:basedOn w:val="1"/>
    <w:link w:val="29"/>
    <w:unhideWhenUsed/>
    <w:qFormat/>
    <w:uiPriority w:val="99"/>
    <w:pPr>
      <w:tabs>
        <w:tab w:val="center" w:pos="4513"/>
        <w:tab w:val="right" w:pos="9026"/>
      </w:tabs>
    </w:pPr>
  </w:style>
  <w:style w:type="paragraph" w:styleId="12">
    <w:name w:val="Subtitle"/>
    <w:basedOn w:val="1"/>
    <w:next w:val="1"/>
    <w:qFormat/>
    <w:uiPriority w:val="11"/>
    <w:pPr>
      <w:keepNext/>
      <w:keepLines/>
      <w:spacing w:after="320"/>
    </w:pPr>
    <w:rPr>
      <w:color w:val="666666"/>
      <w:sz w:val="30"/>
      <w:szCs w:val="30"/>
    </w:rPr>
  </w:style>
  <w:style w:type="paragraph" w:styleId="13">
    <w:name w:val="Normal (Web)"/>
    <w:basedOn w:val="1"/>
    <w:unhideWhenUsed/>
    <w:qFormat/>
    <w:uiPriority w:val="99"/>
    <w:pPr>
      <w:spacing w:before="100" w:beforeAutospacing="1" w:after="100" w:afterAutospacing="1"/>
    </w:pPr>
  </w:style>
  <w:style w:type="paragraph" w:styleId="14">
    <w:name w:val="Title"/>
    <w:basedOn w:val="1"/>
    <w:next w:val="1"/>
    <w:qFormat/>
    <w:uiPriority w:val="10"/>
    <w:pPr>
      <w:keepNext/>
      <w:keepLines/>
      <w:spacing w:after="60"/>
    </w:pPr>
    <w:rPr>
      <w:sz w:val="52"/>
      <w:szCs w:val="52"/>
    </w:rPr>
  </w:style>
  <w:style w:type="paragraph" w:styleId="15">
    <w:name w:val="annotation subject"/>
    <w:basedOn w:val="8"/>
    <w:next w:val="8"/>
    <w:link w:val="27"/>
    <w:semiHidden/>
    <w:unhideWhenUsed/>
    <w:qFormat/>
    <w:uiPriority w:val="99"/>
    <w:rPr>
      <w:b/>
      <w:bCs/>
    </w:rPr>
  </w:style>
  <w:style w:type="table" w:styleId="17">
    <w:name w:val="Table Grid"/>
    <w:basedOn w:val="16"/>
    <w:qFormat/>
    <w:uiPriority w:val="39"/>
    <w:rPr>
      <w:rFonts w:eastAsia="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rPr>
  </w:style>
  <w:style w:type="character" w:styleId="20">
    <w:name w:val="Hyperlink"/>
    <w:basedOn w:val="18"/>
    <w:unhideWhenUsed/>
    <w:qFormat/>
    <w:uiPriority w:val="99"/>
    <w:rPr>
      <w:color w:val="0000FF" w:themeColor="hyperlink"/>
      <w:u w:val="single"/>
      <w14:textFill>
        <w14:solidFill>
          <w14:schemeClr w14:val="hlink"/>
        </w14:solidFill>
      </w14:textFill>
    </w:rPr>
  </w:style>
  <w:style w:type="character" w:styleId="21">
    <w:name w:val="annotation reference"/>
    <w:basedOn w:val="18"/>
    <w:semiHidden/>
    <w:unhideWhenUsed/>
    <w:qFormat/>
    <w:uiPriority w:val="99"/>
    <w:rPr>
      <w:sz w:val="16"/>
      <w:szCs w:val="16"/>
    </w:rPr>
  </w:style>
  <w:style w:type="table" w:customStyle="1" w:styleId="22">
    <w:name w:val="TableNormal"/>
    <w:qFormat/>
    <w:uiPriority w:val="0"/>
    <w:tblPr>
      <w:tblCellMar>
        <w:top w:w="100" w:type="dxa"/>
        <w:left w:w="100" w:type="dxa"/>
        <w:bottom w:w="100" w:type="dxa"/>
        <w:right w:w="100" w:type="dxa"/>
      </w:tblCellMar>
    </w:tblPr>
  </w:style>
  <w:style w:type="character" w:styleId="23">
    <w:name w:val="Placeholder Text"/>
    <w:basedOn w:val="18"/>
    <w:semiHidden/>
    <w:qFormat/>
    <w:uiPriority w:val="99"/>
    <w:rPr>
      <w:color w:val="808080"/>
    </w:rPr>
  </w:style>
  <w:style w:type="character" w:customStyle="1" w:styleId="24">
    <w:name w:val="apple-converted-space"/>
    <w:basedOn w:val="18"/>
    <w:qFormat/>
    <w:uiPriority w:val="0"/>
  </w:style>
  <w:style w:type="paragraph" w:styleId="25">
    <w:name w:val="List Paragraph"/>
    <w:basedOn w:val="1"/>
    <w:qFormat/>
    <w:uiPriority w:val="34"/>
    <w:pPr>
      <w:ind w:left="720"/>
      <w:contextualSpacing/>
    </w:pPr>
  </w:style>
  <w:style w:type="character" w:customStyle="1" w:styleId="26">
    <w:name w:val="Comment Text Char"/>
    <w:basedOn w:val="18"/>
    <w:link w:val="8"/>
    <w:qFormat/>
    <w:uiPriority w:val="99"/>
    <w:rPr>
      <w:rFonts w:ascii="Times New Roman" w:hAnsi="Times New Roman" w:eastAsia="Times New Roman" w:cs="Times New Roman"/>
      <w:sz w:val="20"/>
      <w:szCs w:val="20"/>
      <w:lang w:val="en-MY"/>
    </w:rPr>
  </w:style>
  <w:style w:type="character" w:customStyle="1" w:styleId="27">
    <w:name w:val="Comment Subject Char"/>
    <w:basedOn w:val="26"/>
    <w:link w:val="15"/>
    <w:semiHidden/>
    <w:qFormat/>
    <w:uiPriority w:val="99"/>
    <w:rPr>
      <w:rFonts w:ascii="Times New Roman" w:hAnsi="Times New Roman" w:eastAsia="Times New Roman" w:cs="Times New Roman"/>
      <w:b/>
      <w:bCs/>
      <w:sz w:val="20"/>
      <w:szCs w:val="20"/>
      <w:lang w:val="en-MY"/>
    </w:rPr>
  </w:style>
  <w:style w:type="paragraph" w:customStyle="1" w:styleId="28">
    <w:name w:val="Revision"/>
    <w:hidden/>
    <w:semiHidden/>
    <w:qFormat/>
    <w:uiPriority w:val="99"/>
    <w:rPr>
      <w:rFonts w:ascii="Times New Roman" w:hAnsi="Times New Roman" w:eastAsia="Times New Roman" w:cs="Times New Roman"/>
      <w:sz w:val="24"/>
      <w:szCs w:val="24"/>
      <w:lang w:val="en-MY" w:eastAsia="zh-CN" w:bidi="ar-SA"/>
    </w:rPr>
  </w:style>
  <w:style w:type="character" w:customStyle="1" w:styleId="29">
    <w:name w:val="Header Char"/>
    <w:basedOn w:val="18"/>
    <w:link w:val="11"/>
    <w:qFormat/>
    <w:uiPriority w:val="99"/>
    <w:rPr>
      <w:rFonts w:ascii="Times New Roman" w:hAnsi="Times New Roman" w:eastAsia="Times New Roman" w:cs="Times New Roman"/>
      <w:sz w:val="24"/>
      <w:szCs w:val="24"/>
      <w:lang w:val="en-MY"/>
    </w:rPr>
  </w:style>
  <w:style w:type="character" w:customStyle="1" w:styleId="30">
    <w:name w:val="Footer Char"/>
    <w:basedOn w:val="18"/>
    <w:link w:val="10"/>
    <w:qFormat/>
    <w:uiPriority w:val="99"/>
    <w:rPr>
      <w:rFonts w:ascii="Times New Roman" w:hAnsi="Times New Roman" w:eastAsia="Times New Roman" w:cs="Times New Roman"/>
      <w:sz w:val="24"/>
      <w:szCs w:val="24"/>
      <w:lang w:val="en-MY"/>
    </w:rPr>
  </w:style>
  <w:style w:type="character" w:customStyle="1" w:styleId="31">
    <w:name w:val="Unresolved Mention"/>
    <w:basedOn w:val="18"/>
    <w:semiHidden/>
    <w:unhideWhenUsed/>
    <w:qFormat/>
    <w:uiPriority w:val="99"/>
    <w:rPr>
      <w:color w:val="605E5C"/>
      <w:shd w:val="clear" w:color="auto" w:fill="E1DFDD"/>
    </w:rPr>
  </w:style>
  <w:style w:type="paragraph" w:customStyle="1" w:styleId="32">
    <w:name w:val="pf0"/>
    <w:basedOn w:val="1"/>
    <w:qFormat/>
    <w:uiPriority w:val="0"/>
    <w:pPr>
      <w:spacing w:before="100" w:beforeAutospacing="1" w:after="100" w:afterAutospacing="1"/>
    </w:pPr>
  </w:style>
  <w:style w:type="character" w:customStyle="1" w:styleId="33">
    <w:name w:val="cf01"/>
    <w:basedOn w:val="18"/>
    <w:qFormat/>
    <w:uiPriority w:val="0"/>
    <w:rPr>
      <w:rFonts w:hint="default" w:ascii="Segoe UI" w:hAnsi="Segoe UI" w:cs="Segoe UI"/>
      <w:sz w:val="18"/>
      <w:szCs w:val="18"/>
    </w:rPr>
  </w:style>
  <w:style w:type="character" w:customStyle="1" w:styleId="34">
    <w:name w:val="Balloon Text Char"/>
    <w:basedOn w:val="18"/>
    <w:link w:val="9"/>
    <w:semiHidden/>
    <w:qFormat/>
    <w:uiPriority w:val="99"/>
    <w:rPr>
      <w:rFonts w:ascii="Segoe UI" w:hAnsi="Segoe UI" w:eastAsia="Times New Roman" w:cs="Segoe UI"/>
      <w:sz w:val="18"/>
      <w:szCs w:val="18"/>
      <w:lang w:val="en-MY"/>
    </w:rPr>
  </w:style>
  <w:style w:type="table" w:customStyle="1" w:styleId="35">
    <w:name w:val="_Style 33"/>
    <w:basedOn w:val="16"/>
    <w:qFormat/>
    <w:uiPriority w:val="0"/>
    <w:tblPr>
      <w:tblCellMar>
        <w:left w:w="0" w:type="dxa"/>
        <w:right w:w="0" w:type="dxa"/>
      </w:tblCellMar>
    </w:tblPr>
  </w:style>
  <w:style w:type="table" w:customStyle="1" w:styleId="36">
    <w:name w:val="_Style 34"/>
    <w:basedOn w:val="16"/>
    <w:qFormat/>
    <w:uiPriority w:val="0"/>
    <w:tblPr>
      <w:tblCellMar>
        <w:left w:w="0" w:type="dxa"/>
        <w:right w:w="0" w:type="dxa"/>
      </w:tblCellMar>
    </w:tblPr>
  </w:style>
  <w:style w:type="table" w:customStyle="1" w:styleId="37">
    <w:name w:val="_Style 35"/>
    <w:basedOn w:val="16"/>
    <w:qFormat/>
    <w:uiPriority w:val="0"/>
    <w:tblPr>
      <w:tblCellMar>
        <w:left w:w="115" w:type="dxa"/>
        <w:right w:w="115" w:type="dxa"/>
      </w:tblCellMar>
    </w:tblPr>
  </w:style>
  <w:style w:type="table" w:customStyle="1" w:styleId="38">
    <w:name w:val="_Style 36"/>
    <w:basedOn w:val="16"/>
    <w:qFormat/>
    <w:uiPriority w:val="0"/>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uri="GoogleDocsCustomDataVersion2">
  <go:docsCustomData xmlns:go="http://customooxmlschemas.google.com/" roundtripDataSignature="AMtx7mjPKN05Sm3CyIQ1tBiw7HwfgUd+/Q==">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</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30</Pages>
  <Words>7692</Words>
  <Characters>43537</Characters>
  <Lines>837</Lines>
  <Paragraphs>326</Paragraphs>
  <TotalTime>10</TotalTime>
  <ScaleCrop>false</ScaleCrop>
  <LinksUpToDate>false</LinksUpToDate>
  <CharactersWithSpaces>50903</CharactersWithSpaces>
  <Application>WPS Office_7.5.1.8994_F1E327BC-269C-435d-A152-05C5408002CA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2025-08-27T22:45:00Z</dcterms:created>
  <dc:creator>Giuditta Smith</dc:creator>
  <cp:lastModifiedBy>Feng Jing</cp:lastModifiedBy>
  <dcterms:modified xsi:type="dcterms:W3CDTF">2025-11-01T00:13:52Z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d481889d9c30214afeadca93595d4977973fe5c58c27666b711923ab412965de</vt:lpwstr>
  </property>
  <property fmtid="{D5CDD505-2E9C-101B-9397-08002B2CF9AE}" pid="3" name="KSOProductBuildVer">
    <vt:lpwstr>2052-7.5.1.8994</vt:lpwstr>
  </property>
  <property fmtid="{D5CDD505-2E9C-101B-9397-08002B2CF9AE}" pid="4" name="ICV">
    <vt:lpwstr>49EB2F0C91D6604CF2900369BEB3597B_42</vt:lpwstr>
  </property>
</Properties>
</file>