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A8C1" w14:textId="0A0352B2" w:rsidR="007A1781" w:rsidRDefault="007A1781" w:rsidP="00C503BC">
      <w:pPr>
        <w:spacing w:before="100" w:beforeAutospacing="1" w:line="480" w:lineRule="auto"/>
        <w:jc w:val="center"/>
        <w:rPr>
          <w:rFonts w:ascii="Garamond" w:hAnsi="Garamond" w:cs="Arial"/>
          <w:b/>
          <w:bCs/>
        </w:rPr>
      </w:pPr>
      <w:r w:rsidRPr="007A1781">
        <w:rPr>
          <w:rFonts w:ascii="Garamond" w:hAnsi="Garamond" w:cs="Arial"/>
          <w:b/>
          <w:bCs/>
        </w:rPr>
        <w:t xml:space="preserve">Structured Approaches to </w:t>
      </w:r>
      <w:r w:rsidR="003355C9">
        <w:rPr>
          <w:rFonts w:ascii="Garamond" w:hAnsi="Garamond" w:cs="Arial"/>
          <w:b/>
          <w:bCs/>
        </w:rPr>
        <w:t>Reflection</w:t>
      </w:r>
      <w:r w:rsidRPr="007A1781">
        <w:rPr>
          <w:rFonts w:ascii="Garamond" w:hAnsi="Garamond" w:cs="Arial"/>
          <w:b/>
          <w:bCs/>
        </w:rPr>
        <w:t>: Models and Applications for Clinical Educators' Professional Development.</w:t>
      </w:r>
    </w:p>
    <w:p w14:paraId="46A342C8" w14:textId="77777777" w:rsidR="00A81888" w:rsidRPr="007A1781" w:rsidRDefault="00A81888" w:rsidP="00CF26BF">
      <w:pPr>
        <w:spacing w:line="480" w:lineRule="auto"/>
        <w:jc w:val="center"/>
        <w:rPr>
          <w:rFonts w:ascii="Garamond" w:hAnsi="Garamond" w:cs="Arial"/>
          <w:b/>
          <w:bCs/>
        </w:rPr>
      </w:pPr>
    </w:p>
    <w:p w14:paraId="7EB408BC" w14:textId="288006E8" w:rsidR="00412E43" w:rsidRPr="007A1781" w:rsidRDefault="00D94821">
      <w:pPr>
        <w:spacing w:before="100" w:beforeAutospacing="1" w:line="480" w:lineRule="auto"/>
        <w:rPr>
          <w:rFonts w:ascii="Garamond" w:hAnsi="Garamond" w:cs="Arial"/>
          <w:b/>
          <w:sz w:val="22"/>
          <w:szCs w:val="22"/>
        </w:rPr>
      </w:pPr>
      <w:r w:rsidRPr="007A1781">
        <w:rPr>
          <w:rFonts w:ascii="Garamond" w:hAnsi="Garamond" w:cs="Arial"/>
          <w:b/>
          <w:sz w:val="22"/>
          <w:szCs w:val="22"/>
        </w:rPr>
        <w:t>Abstract</w:t>
      </w:r>
    </w:p>
    <w:p w14:paraId="43D15B5B" w14:textId="66FB57DC" w:rsidR="00F95E4F" w:rsidRDefault="001F55F1" w:rsidP="009B0D2E">
      <w:pPr>
        <w:spacing w:line="480" w:lineRule="auto"/>
        <w:jc w:val="both"/>
        <w:rPr>
          <w:rFonts w:ascii="Garamond" w:hAnsi="Garamond" w:cs="Arial"/>
          <w:sz w:val="22"/>
          <w:szCs w:val="22"/>
        </w:rPr>
      </w:pPr>
      <w:r w:rsidRPr="001F55F1">
        <w:rPr>
          <w:rFonts w:ascii="Garamond" w:hAnsi="Garamond" w:cs="Arial"/>
          <w:sz w:val="22"/>
          <w:szCs w:val="22"/>
        </w:rPr>
        <w:t>Reflective practice is essential for dental educators</w:t>
      </w:r>
      <w:r w:rsidR="009B0D2E">
        <w:rPr>
          <w:rFonts w:ascii="Garamond" w:hAnsi="Garamond" w:cs="Arial"/>
          <w:sz w:val="22"/>
          <w:szCs w:val="22"/>
        </w:rPr>
        <w:t>’</w:t>
      </w:r>
      <w:r w:rsidRPr="001F55F1">
        <w:rPr>
          <w:rFonts w:ascii="Garamond" w:hAnsi="Garamond" w:cs="Arial"/>
          <w:sz w:val="22"/>
          <w:szCs w:val="22"/>
        </w:rPr>
        <w:t xml:space="preserve"> professional development, </w:t>
      </w:r>
      <w:r w:rsidR="00101C2C">
        <w:rPr>
          <w:rFonts w:ascii="Garamond" w:hAnsi="Garamond" w:cs="Arial"/>
          <w:sz w:val="22"/>
          <w:szCs w:val="22"/>
        </w:rPr>
        <w:t xml:space="preserve">academic and clinical </w:t>
      </w:r>
      <w:r w:rsidRPr="001F55F1">
        <w:rPr>
          <w:rFonts w:ascii="Garamond" w:hAnsi="Garamond" w:cs="Arial"/>
          <w:sz w:val="22"/>
          <w:szCs w:val="22"/>
        </w:rPr>
        <w:t>performance, decision-making, and problem-solving skills. It bridges the gap between theory and practice, fostering competency development and encouraging a deeper approach to learning. Reflective practice offers educators an opportunity to reflect on how their actions impact both teaching and learning. However, without proper guidance on how to reflect effectively, reflection often becomes anecdotal and lacks meaningful insights, which can lead to reluctance in engaging with the process.</w:t>
      </w:r>
      <w:r>
        <w:rPr>
          <w:rFonts w:ascii="Garamond" w:hAnsi="Garamond" w:cs="Arial"/>
          <w:sz w:val="22"/>
          <w:szCs w:val="22"/>
        </w:rPr>
        <w:t xml:space="preserve"> </w:t>
      </w:r>
      <w:r w:rsidR="00906B3E" w:rsidRPr="00906B3E">
        <w:rPr>
          <w:rFonts w:ascii="Garamond" w:hAnsi="Garamond" w:cs="Arial"/>
          <w:bCs/>
          <w:sz w:val="22"/>
          <w:szCs w:val="22"/>
        </w:rPr>
        <w:t xml:space="preserve">Recognising the significance of reflection for </w:t>
      </w:r>
      <w:r w:rsidR="00906B3E">
        <w:rPr>
          <w:rFonts w:ascii="Garamond" w:hAnsi="Garamond" w:cs="Arial"/>
          <w:bCs/>
          <w:sz w:val="22"/>
          <w:szCs w:val="22"/>
        </w:rPr>
        <w:t>dental</w:t>
      </w:r>
      <w:r w:rsidR="00906B3E" w:rsidRPr="00906B3E">
        <w:rPr>
          <w:rFonts w:ascii="Garamond" w:hAnsi="Garamond" w:cs="Arial"/>
          <w:bCs/>
          <w:sz w:val="22"/>
          <w:szCs w:val="22"/>
        </w:rPr>
        <w:t xml:space="preserve"> educators’ professional development and the necessity of facilitating </w:t>
      </w:r>
      <w:r w:rsidR="009B0D2E">
        <w:rPr>
          <w:rFonts w:ascii="Garamond" w:hAnsi="Garamond" w:cs="Arial"/>
          <w:bCs/>
          <w:sz w:val="22"/>
          <w:szCs w:val="22"/>
        </w:rPr>
        <w:t>the process</w:t>
      </w:r>
      <w:r w:rsidR="00906B3E">
        <w:rPr>
          <w:rFonts w:ascii="Garamond" w:hAnsi="Garamond" w:cs="Arial"/>
          <w:sz w:val="22"/>
          <w:szCs w:val="22"/>
        </w:rPr>
        <w:t>, t</w:t>
      </w:r>
      <w:r w:rsidR="005739A4" w:rsidRPr="005739A4">
        <w:rPr>
          <w:rFonts w:ascii="Garamond" w:hAnsi="Garamond" w:cs="Arial"/>
          <w:sz w:val="22"/>
          <w:szCs w:val="22"/>
        </w:rPr>
        <w:t xml:space="preserve">his </w:t>
      </w:r>
      <w:r w:rsidR="00906B3E">
        <w:rPr>
          <w:rFonts w:ascii="Garamond" w:hAnsi="Garamond" w:cs="Arial"/>
          <w:sz w:val="22"/>
          <w:szCs w:val="22"/>
        </w:rPr>
        <w:t>commentary</w:t>
      </w:r>
      <w:r w:rsidR="005739A4" w:rsidRPr="005739A4">
        <w:rPr>
          <w:rFonts w:ascii="Garamond" w:hAnsi="Garamond" w:cs="Arial"/>
          <w:sz w:val="22"/>
          <w:szCs w:val="22"/>
        </w:rPr>
        <w:t xml:space="preserve"> </w:t>
      </w:r>
      <w:r>
        <w:rPr>
          <w:rFonts w:ascii="Garamond" w:hAnsi="Garamond" w:cs="Arial"/>
          <w:sz w:val="22"/>
          <w:szCs w:val="22"/>
        </w:rPr>
        <w:t>explores</w:t>
      </w:r>
      <w:r w:rsidR="005739A4" w:rsidRPr="005739A4">
        <w:rPr>
          <w:rFonts w:ascii="Garamond" w:hAnsi="Garamond" w:cs="Arial"/>
          <w:sz w:val="22"/>
          <w:szCs w:val="22"/>
        </w:rPr>
        <w:t xml:space="preserve"> the importance of reflective practice and highlights the value of structured models in enhancing teaching </w:t>
      </w:r>
      <w:r w:rsidR="00946DA1">
        <w:rPr>
          <w:rFonts w:ascii="Garamond" w:hAnsi="Garamond" w:cs="Arial"/>
          <w:sz w:val="22"/>
          <w:szCs w:val="22"/>
        </w:rPr>
        <w:t>practice</w:t>
      </w:r>
      <w:r w:rsidR="005739A4" w:rsidRPr="005739A4">
        <w:rPr>
          <w:rFonts w:ascii="Garamond" w:hAnsi="Garamond" w:cs="Arial"/>
          <w:sz w:val="22"/>
          <w:szCs w:val="22"/>
        </w:rPr>
        <w:t xml:space="preserve">. We focus on four widely used models—Gibbs' Reflective Cycle, Kolb's Experiential Learning Cycle, Schön’s Reflection in and on Action, and Rolfe’s Framework for Reflective Practice—discussing their structure, applicability, </w:t>
      </w:r>
      <w:r w:rsidR="00946DA1">
        <w:rPr>
          <w:rFonts w:ascii="Garamond" w:hAnsi="Garamond" w:cs="Arial"/>
          <w:sz w:val="22"/>
          <w:szCs w:val="22"/>
        </w:rPr>
        <w:t xml:space="preserve">and </w:t>
      </w:r>
      <w:r w:rsidR="005739A4" w:rsidRPr="005739A4">
        <w:rPr>
          <w:rFonts w:ascii="Garamond" w:hAnsi="Garamond" w:cs="Arial"/>
          <w:sz w:val="22"/>
          <w:szCs w:val="22"/>
        </w:rPr>
        <w:t xml:space="preserve">strengths and limitations for </w:t>
      </w:r>
      <w:r w:rsidR="00906B3E">
        <w:rPr>
          <w:rFonts w:ascii="Garamond" w:hAnsi="Garamond" w:cs="Arial"/>
          <w:sz w:val="22"/>
          <w:szCs w:val="22"/>
        </w:rPr>
        <w:t>dental</w:t>
      </w:r>
      <w:r w:rsidR="005739A4" w:rsidRPr="005739A4">
        <w:rPr>
          <w:rFonts w:ascii="Garamond" w:hAnsi="Garamond" w:cs="Arial"/>
          <w:sz w:val="22"/>
          <w:szCs w:val="22"/>
        </w:rPr>
        <w:t xml:space="preserve"> educators</w:t>
      </w:r>
      <w:r w:rsidR="00906B3E">
        <w:rPr>
          <w:rFonts w:ascii="Garamond" w:hAnsi="Garamond" w:cs="Arial"/>
          <w:sz w:val="22"/>
          <w:szCs w:val="22"/>
        </w:rPr>
        <w:t xml:space="preserve"> and practitioners</w:t>
      </w:r>
      <w:r w:rsidR="005739A4" w:rsidRPr="005739A4">
        <w:rPr>
          <w:rFonts w:ascii="Garamond" w:hAnsi="Garamond" w:cs="Arial"/>
          <w:sz w:val="22"/>
          <w:szCs w:val="22"/>
        </w:rPr>
        <w:t xml:space="preserve">. Practical resources and examples are provided to help educators integrate these models into their practice, aiming to enhance both teaching and clinical skills while fostering continuous professional growth. The models </w:t>
      </w:r>
      <w:r>
        <w:rPr>
          <w:rFonts w:ascii="Garamond" w:hAnsi="Garamond" w:cs="Arial"/>
          <w:sz w:val="22"/>
          <w:szCs w:val="22"/>
        </w:rPr>
        <w:t>offer structured</w:t>
      </w:r>
      <w:r w:rsidR="005739A4" w:rsidRPr="005739A4">
        <w:rPr>
          <w:rFonts w:ascii="Garamond" w:hAnsi="Garamond" w:cs="Arial"/>
          <w:sz w:val="22"/>
          <w:szCs w:val="22"/>
        </w:rPr>
        <w:t xml:space="preserve"> </w:t>
      </w:r>
      <w:r w:rsidR="00ED6D74" w:rsidRPr="0094767D">
        <w:rPr>
          <w:rFonts w:ascii="Garamond" w:hAnsi="Garamond" w:cs="Arial"/>
          <w:bCs/>
          <w:sz w:val="22"/>
          <w:szCs w:val="22"/>
        </w:rPr>
        <w:t>frameworks that educators can use to engage in a reflective process, allowing them to critically assess both positive and negative experiences, examine their actions, and deepen their understanding</w:t>
      </w:r>
      <w:r w:rsidR="00ED6D74" w:rsidRPr="005739A4">
        <w:rPr>
          <w:rFonts w:ascii="Garamond" w:hAnsi="Garamond" w:cs="Arial"/>
          <w:sz w:val="22"/>
          <w:szCs w:val="22"/>
        </w:rPr>
        <w:t xml:space="preserve"> </w:t>
      </w:r>
      <w:r w:rsidR="005739A4" w:rsidRPr="005739A4">
        <w:rPr>
          <w:rFonts w:ascii="Garamond" w:hAnsi="Garamond" w:cs="Arial"/>
          <w:sz w:val="22"/>
          <w:szCs w:val="22"/>
        </w:rPr>
        <w:t xml:space="preserve">of </w:t>
      </w:r>
      <w:r w:rsidR="00ED6D74">
        <w:rPr>
          <w:rFonts w:ascii="Garamond" w:hAnsi="Garamond" w:cs="Arial"/>
          <w:sz w:val="22"/>
          <w:szCs w:val="22"/>
        </w:rPr>
        <w:t xml:space="preserve">educational </w:t>
      </w:r>
      <w:r w:rsidR="005739A4" w:rsidRPr="005739A4">
        <w:rPr>
          <w:rFonts w:ascii="Garamond" w:hAnsi="Garamond" w:cs="Arial"/>
          <w:sz w:val="22"/>
          <w:szCs w:val="22"/>
        </w:rPr>
        <w:t xml:space="preserve">practice. By utilising these models, educators can refine their teaching methods and contribute to the ongoing improvement of the </w:t>
      </w:r>
      <w:r w:rsidR="002E6DA4">
        <w:rPr>
          <w:rFonts w:ascii="Garamond" w:hAnsi="Garamond" w:cs="Arial"/>
          <w:sz w:val="22"/>
          <w:szCs w:val="22"/>
        </w:rPr>
        <w:t xml:space="preserve">clinical </w:t>
      </w:r>
      <w:r w:rsidR="005739A4" w:rsidRPr="005739A4">
        <w:rPr>
          <w:rFonts w:ascii="Garamond" w:hAnsi="Garamond" w:cs="Arial"/>
          <w:sz w:val="22"/>
          <w:szCs w:val="22"/>
        </w:rPr>
        <w:t>learning environment.</w:t>
      </w:r>
    </w:p>
    <w:p w14:paraId="7D64B81F" w14:textId="77777777" w:rsidR="009B0D2E" w:rsidRDefault="009B0D2E" w:rsidP="009B0D2E">
      <w:pPr>
        <w:spacing w:line="480" w:lineRule="auto"/>
        <w:jc w:val="both"/>
        <w:rPr>
          <w:rFonts w:ascii="Garamond" w:hAnsi="Garamond" w:cs="Arial"/>
          <w:sz w:val="22"/>
          <w:szCs w:val="22"/>
        </w:rPr>
      </w:pPr>
    </w:p>
    <w:p w14:paraId="0A7FE022" w14:textId="61109C77" w:rsidR="00412E43" w:rsidRPr="0052047F" w:rsidRDefault="00D94821">
      <w:pPr>
        <w:spacing w:line="480" w:lineRule="auto"/>
        <w:rPr>
          <w:rFonts w:ascii="Garamond" w:hAnsi="Garamond" w:cstheme="minorBidi"/>
          <w:color w:val="000000"/>
          <w:sz w:val="22"/>
          <w:szCs w:val="22"/>
        </w:rPr>
      </w:pPr>
      <w:r w:rsidRPr="007A1781">
        <w:rPr>
          <w:rFonts w:ascii="Garamond" w:hAnsi="Garamond" w:cs="Arial"/>
          <w:sz w:val="22"/>
          <w:szCs w:val="22"/>
        </w:rPr>
        <w:t xml:space="preserve">Keywords: </w:t>
      </w:r>
      <w:r w:rsidR="00537A7F" w:rsidRPr="0052047F">
        <w:rPr>
          <w:rFonts w:ascii="Garamond" w:hAnsi="Garamond" w:cs="Arial"/>
          <w:color w:val="000000"/>
          <w:sz w:val="22"/>
          <w:szCs w:val="22"/>
        </w:rPr>
        <w:t>Faculty; Professional education; Reflective practice; Staff development.</w:t>
      </w:r>
    </w:p>
    <w:p w14:paraId="784B3436" w14:textId="77777777" w:rsidR="00642F0F" w:rsidRDefault="00642F0F">
      <w:pPr>
        <w:spacing w:line="480" w:lineRule="auto"/>
        <w:rPr>
          <w:rFonts w:ascii="Garamond" w:hAnsi="Garamond" w:cs="Arial"/>
          <w:b/>
          <w:color w:val="0070C0"/>
          <w:sz w:val="22"/>
          <w:szCs w:val="22"/>
        </w:rPr>
      </w:pPr>
    </w:p>
    <w:p w14:paraId="1C28CB2D" w14:textId="77777777" w:rsidR="009B0D2E" w:rsidRDefault="009B0D2E">
      <w:pPr>
        <w:spacing w:line="480" w:lineRule="auto"/>
        <w:rPr>
          <w:rFonts w:ascii="Garamond" w:hAnsi="Garamond" w:cs="Arial"/>
          <w:b/>
          <w:color w:val="0070C0"/>
          <w:sz w:val="22"/>
          <w:szCs w:val="22"/>
        </w:rPr>
      </w:pPr>
    </w:p>
    <w:p w14:paraId="66C634F7" w14:textId="2AF7314E" w:rsidR="00412E43" w:rsidRPr="002E6DA4" w:rsidRDefault="00D43B15">
      <w:pPr>
        <w:spacing w:line="480" w:lineRule="auto"/>
        <w:rPr>
          <w:rFonts w:ascii="Garamond" w:hAnsi="Garamond" w:cs="Arial"/>
          <w:b/>
          <w:sz w:val="22"/>
          <w:szCs w:val="22"/>
        </w:rPr>
      </w:pPr>
      <w:r>
        <w:rPr>
          <w:rFonts w:ascii="Garamond" w:hAnsi="Garamond" w:cs="Arial"/>
          <w:b/>
          <w:sz w:val="22"/>
          <w:szCs w:val="22"/>
        </w:rPr>
        <w:lastRenderedPageBreak/>
        <w:t>Background</w:t>
      </w:r>
    </w:p>
    <w:p w14:paraId="5CEAE5E9" w14:textId="77777777" w:rsidR="00412E43" w:rsidRPr="0052047F" w:rsidRDefault="00412E43">
      <w:pPr>
        <w:spacing w:line="480" w:lineRule="auto"/>
        <w:rPr>
          <w:rFonts w:ascii="Garamond" w:hAnsi="Garamond" w:cs="Arial"/>
          <w:b/>
          <w:color w:val="0070C0"/>
          <w:sz w:val="22"/>
          <w:szCs w:val="22"/>
        </w:rPr>
      </w:pPr>
    </w:p>
    <w:p w14:paraId="7F964A59" w14:textId="57F1C7D7" w:rsidR="003051F3" w:rsidRPr="002E6DA4" w:rsidRDefault="000709F8" w:rsidP="002E6DA4">
      <w:pPr>
        <w:spacing w:line="480" w:lineRule="auto"/>
        <w:jc w:val="both"/>
        <w:rPr>
          <w:rFonts w:ascii="Garamond" w:hAnsi="Garamond" w:cs="Arial"/>
          <w:color w:val="000000"/>
          <w:sz w:val="22"/>
          <w:szCs w:val="22"/>
        </w:rPr>
      </w:pPr>
      <w:r w:rsidRPr="002E6DA4">
        <w:rPr>
          <w:rFonts w:ascii="Garamond" w:hAnsi="Garamond" w:cs="Arial"/>
          <w:color w:val="000000"/>
          <w:sz w:val="22"/>
          <w:szCs w:val="22"/>
        </w:rPr>
        <w:t xml:space="preserve">Reflective practice is fundamental to the continuing professional development of </w:t>
      </w:r>
      <w:r w:rsidR="00923B9D">
        <w:rPr>
          <w:rFonts w:ascii="Garamond" w:hAnsi="Garamond" w:cs="Arial"/>
          <w:color w:val="000000"/>
          <w:sz w:val="22"/>
          <w:szCs w:val="22"/>
        </w:rPr>
        <w:t xml:space="preserve">dental </w:t>
      </w:r>
      <w:r w:rsidRPr="002E6DA4">
        <w:rPr>
          <w:rFonts w:ascii="Garamond" w:hAnsi="Garamond" w:cs="Arial"/>
          <w:color w:val="000000"/>
          <w:sz w:val="22"/>
          <w:szCs w:val="22"/>
        </w:rPr>
        <w:t>educators</w:t>
      </w:r>
      <w:r w:rsidR="00923B9D">
        <w:rPr>
          <w:rFonts w:ascii="Garamond" w:hAnsi="Garamond" w:cs="Arial"/>
          <w:color w:val="000000"/>
          <w:sz w:val="22"/>
          <w:szCs w:val="22"/>
        </w:rPr>
        <w:t xml:space="preserve"> and practitioners</w:t>
      </w:r>
      <w:r w:rsidRPr="002E6DA4">
        <w:rPr>
          <w:rFonts w:ascii="Garamond" w:hAnsi="Garamond" w:cs="Arial"/>
          <w:color w:val="000000"/>
          <w:sz w:val="22"/>
          <w:szCs w:val="22"/>
        </w:rPr>
        <w:t xml:space="preserve"> </w:t>
      </w:r>
      <w:r w:rsidR="004C67EF" w:rsidRPr="002E6DA4">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{"citationItems":[{"id":"ITEM-1","itemData":{"DOI":"10.1080/0142159X.2023.2259071","ISSN":"0142-159X","abstract":"Reflective practice is an essential aspect of the professional development of all health professions educators, with the intention to enhance both learning and teaching. This Guide presents an overview of reflective practice for educators and provides a practical and developmental reflective practice approach for health professions educators. The importance of structured thinking frameworks to stimulate greater understanding of both learning and teaching situations is highlighted. Medical Educator Reflective Practice Sets (MERPS) is an innovative approach for enhancing learning and teaching in health professions education that integrates lesson study and action learning. The key features of the approach are participation in three collaborative sessions, the use of structured thinking frameworks, and solution-focussed teaching in response to the identified problem. The MERPS approach is flexible and can be adapted for implementation across the continuum of health professions education, from undergraduate to postgraduate and continuing professional development.","author":[{"dropping-particle":"","family":"Sandars","given":"John","non-dropping-particle":"","parse-names":false,"suffix":""},{"dropping-particle":"","family":"Allan","given":"David","non-dropping-particle":"","parse-names":false,"suffix":""},{"dropping-particle":"","family":"Price","given":"Jim","non-dropping-particle":"","parse-names":false,"suffix":""}],"container-title":"Medical Teacher","id":"ITEM-1","issue":"7","issued":{"date-parts":[["2024","7","2"]]},"note":"doi: 10.1080/0142159X.2023.2259071","page":"864-873","publisher":"Taylor &amp; Francis","title":"Reflective practice by health professions educators to enhance learning and teaching: AMEE Guide No. 166","type":"article-journal","volume":"46"},"uris":["http://www.mendeley.com/documents/?uuid=fe3913b1-3c35-4086-9f39-447bcef5d308"]},{"id":"ITEM-2","itemData":{"author":[{"dropping-particle":"","family":"General Dental Council (GDC)","given":"","non-dropping-particle":"","parse-names":false,"suffix":""}],"id":"ITEM-2","issued":{"date-parts":[["2023"]]},"publisher-place":"London","title":"The Safe Practitioner: A framework of behaviours and outcomes for dental professional education (Dentist).","type":"report"},"uris":["http://www.mendeley.com/documents/?uuid=e63fc0b8-f428-4dbf-90fd-739cae2cf585"]},{"id":"ITEM-3","itemData":{"author":[{"dropping-particle":"","family":"General Dental Council (GDC)","given":"","non-dropping-particle":"","parse-names":false,"suffix":""}],"id":"ITEM-3","issued":{"date-parts":[["2019"]]},"publisher-place":"London","title":"Reflective practice, Benefits of becoming a reflective practitioner","type":"report"},"uris":["http://www.mendeley.com/documents/?uuid=ba314770-e791-4ec4-b4b1-5badc547983b"]}],"mendeley":{"formattedCitation":"[1–3]","plainTextFormattedCitation":"[1–3]","previouslyFormattedCitation":"[1–3]"},"properties":{"noteIndex":0},"schema":"https://github.com/citation-style-language/schema/raw/master/csl-citation.json"}</w:instrText>
      </w:r>
      <w:r w:rsidR="004C67EF" w:rsidRPr="002E6DA4">
        <w:rPr>
          <w:rFonts w:ascii="Garamond" w:hAnsi="Garamond" w:cs="Arial"/>
          <w:color w:val="000000"/>
          <w:sz w:val="22"/>
          <w:szCs w:val="22"/>
        </w:rPr>
        <w:fldChar w:fldCharType="separate"/>
      </w:r>
      <w:r w:rsidR="00196A95" w:rsidRPr="00196A95">
        <w:rPr>
          <w:rFonts w:ascii="Garamond" w:hAnsi="Garamond" w:cs="Arial"/>
          <w:noProof/>
          <w:color w:val="000000"/>
          <w:sz w:val="22"/>
          <w:szCs w:val="22"/>
        </w:rPr>
        <w:t>[1–3]</w:t>
      </w:r>
      <w:r w:rsidR="004C67EF" w:rsidRPr="002E6DA4">
        <w:rPr>
          <w:rFonts w:ascii="Garamond" w:hAnsi="Garamond" w:cs="Arial"/>
          <w:color w:val="000000"/>
          <w:sz w:val="22"/>
          <w:szCs w:val="22"/>
        </w:rPr>
        <w:fldChar w:fldCharType="end"/>
      </w:r>
      <w:r w:rsidR="004C67EF" w:rsidRPr="002E6DA4">
        <w:rPr>
          <w:rFonts w:ascii="Garamond" w:hAnsi="Garamond" w:cs="Arial"/>
          <w:color w:val="000000"/>
          <w:sz w:val="22"/>
          <w:szCs w:val="22"/>
        </w:rPr>
        <w:t xml:space="preserve">. </w:t>
      </w:r>
      <w:r w:rsidRPr="002E6DA4">
        <w:rPr>
          <w:rFonts w:ascii="Garamond" w:hAnsi="Garamond" w:cs="Arial"/>
          <w:color w:val="000000"/>
          <w:sz w:val="22"/>
          <w:szCs w:val="22"/>
        </w:rPr>
        <w:t>It serves as a bridge between theory and practice, each informing the other, fostering competency development</w:t>
      </w:r>
      <w:r w:rsidR="008033D1" w:rsidRPr="002E6DA4">
        <w:rPr>
          <w:rFonts w:ascii="Garamond" w:hAnsi="Garamond" w:cs="Arial"/>
          <w:color w:val="000000"/>
          <w:sz w:val="22"/>
          <w:szCs w:val="22"/>
        </w:rPr>
        <w:t xml:space="preserve"> and a deeper approach to learning</w:t>
      </w:r>
      <w:r w:rsidRPr="002E6DA4">
        <w:rPr>
          <w:rFonts w:ascii="Garamond" w:hAnsi="Garamond" w:cs="Arial"/>
          <w:color w:val="000000"/>
          <w:sz w:val="22"/>
          <w:szCs w:val="22"/>
        </w:rPr>
        <w:t xml:space="preserve"> while offering educators the opportunity to reflect on how their actions impact both teaching and learning </w:t>
      </w:r>
      <w:r w:rsidR="008033D1" w:rsidRPr="002E6DA4">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{"citationItems":[{"id":"ITEM-1","itemData":{"ISBN":"9781483361000","author":[{"dropping-particle":"","family":"Osterman","given":"K F","non-dropping-particle":"","parse-names":false,"suffix":""},{"dropping-particle":"","family":"Kottkamp","given":"R B","non-dropping-particle":"","parse-names":false,"suffix":""}],"id":"ITEM-1","issued":{"date-parts":[["2004"]]},"publisher":"SAGE Publications","title":"Reflective Practice for Educators: Professional Development to Improve Student Learning","type":"book"},"uris":["http://www.mendeley.com/documents/?uuid=de2fa8d0-058d-47e1-b072-e97637be5eb6"]},{"id":"ITEM-2","itemData":{"ISSN":"0142159X","abstract":"Reflection is a metacognitive process that creates a greater understanding of both the self and the situation so that future actions can be informed by this understanding. Self-regulated and lifelong learning have reflection as an essential aspect, and it is also required to develop both a therapeutic relationship and professional expertise. There are a variety of educational approaches in undergraduate, postgraduate and continuing medical education that can be used to facilitate reflection, from text based reflective journals and critical incident reports to the creative use of digital media and storytelling. The choice of approach varies with the intended outcomes, but it should also be determined by the user since everyone has a preferred style. Guided reflection, with supportive challenge from a mentor or facilitator, is important so that underlying assumptions can be challenged and new perspectives considered. Feedback also has an important role to enhance reflection. There is little research evidence to suggest that reflection improves quality of care but the process of care can be enhanced. [ABSTRACT FROM AUTHOR]","author":[{"dropping-particle":"","family":"Sandars","given":"John","non-dropping-particle":"","parse-names":false,"suffix":""}],"container-title":"Medical Teacher","id":"ITEM-2","issue":"8","issued":{"date-parts":[["2009","8"]]},"note":"Accession Number: 43662099; Sandars, John 1; Email Address: j.e.sandars@leeds.ac.uk; Source Information: Aug2009, Vol. 31 Issue 8, p685; Subject: METACOGNITIVE therapy; Subject: MEDICAL education; Subject: KNOWLEDGE base; Subject: SELF-perception; Subject: METACOGNITION; Subject: PROFESSIONAL education; Subject: DIGITAL media; Subject: LEARNING; Subject: DIGITAL communications -- Universities &amp;amp; colleges; Number of Pages: 11p; Illustrations: 2 Diagrams, 3 Charts; Document Type: Article","page":"685-695","publisher":"Taylor &amp; Francis Ltd","title":"The use of reflection in medical education: AMEE Guide No. 44.","type":"article-journal","volume":"31"},"uris":["http://www.mendeley.com/documents/?uuid=6f159a81-d487-4679-8851-dbb4f879f1f1"]}],"mendeley":{"formattedCitation":"[4,5]","plainTextFormattedCitation":"[4,5]","previouslyFormattedCitation":"[4,5]"},"properties":{"noteIndex":0},"schema":"https://github.com/citation-style-language/schema/raw/master/csl-citation.json"}</w:instrText>
      </w:r>
      <w:r w:rsidR="008033D1" w:rsidRPr="002E6DA4">
        <w:rPr>
          <w:rFonts w:ascii="Garamond" w:hAnsi="Garamond" w:cs="Arial"/>
          <w:color w:val="000000"/>
          <w:sz w:val="22"/>
          <w:szCs w:val="22"/>
        </w:rPr>
        <w:fldChar w:fldCharType="separate"/>
      </w:r>
      <w:r w:rsidR="00196A95" w:rsidRPr="00196A95">
        <w:rPr>
          <w:rFonts w:ascii="Garamond" w:hAnsi="Garamond" w:cs="Arial"/>
          <w:noProof/>
          <w:color w:val="000000"/>
          <w:sz w:val="22"/>
          <w:szCs w:val="22"/>
        </w:rPr>
        <w:t>[4,5]</w:t>
      </w:r>
      <w:r w:rsidR="008033D1" w:rsidRPr="002E6DA4">
        <w:rPr>
          <w:rFonts w:ascii="Garamond" w:hAnsi="Garamond" w:cs="Arial"/>
          <w:color w:val="000000"/>
          <w:sz w:val="22"/>
          <w:szCs w:val="22"/>
        </w:rPr>
        <w:fldChar w:fldCharType="end"/>
      </w:r>
      <w:r w:rsidR="004C67EF" w:rsidRPr="002E6DA4">
        <w:rPr>
          <w:rFonts w:ascii="Garamond" w:hAnsi="Garamond" w:cs="Arial"/>
          <w:color w:val="000000"/>
          <w:sz w:val="22"/>
          <w:szCs w:val="22"/>
        </w:rPr>
        <w:t>.</w:t>
      </w:r>
      <w:r w:rsidRPr="002E6DA4">
        <w:rPr>
          <w:rFonts w:ascii="Garamond" w:hAnsi="Garamond" w:cs="Arial"/>
          <w:color w:val="000000"/>
          <w:sz w:val="22"/>
          <w:szCs w:val="22"/>
        </w:rPr>
        <w:t xml:space="preserve"> At its core, reflective practice is a metacognitive process, where individuals critically analyse events or experiences before, during, and/or after they occur</w:t>
      </w:r>
      <w:r w:rsidR="000D542E">
        <w:rPr>
          <w:rFonts w:ascii="Garamond" w:hAnsi="Garamond" w:cs="Arial"/>
          <w:color w:val="000000"/>
          <w:sz w:val="22"/>
          <w:szCs w:val="22"/>
        </w:rPr>
        <w:t xml:space="preserve"> </w:t>
      </w:r>
      <w:r w:rsidR="000D542E">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{"citationItems":[{"id":"ITEM-1","itemData":{"ISSN":"1396-5883","author":[{"dropping-particle":"","family":"Botelho","given":"Michael","non-dropping-particle":"","parse-names":false,"suffix":""},{"dropping-particle":"","family":"Bhuyan","given":"Sangeeta Y","non-dropping-particle":"","parse-names":false,"suffix":""}],"container-title":"European journal of dental education","id":"ITEM-1","issue":"3","issued":{"date-parts":[["2021"]]},"page":"480-487","publisher":"Wiley Online Library","title":"Reflection before and after clinical practice—Enhancing and broadening experience through self</w:instrText>
      </w:r>
      <w:r w:rsidR="00F92CB5">
        <w:rPr>
          <w:rFonts w:ascii="Cambria Math" w:hAnsi="Cambria Math" w:cs="Cambria Math"/>
          <w:color w:val="000000"/>
          <w:sz w:val="22"/>
          <w:szCs w:val="22"/>
        </w:rPr>
        <w:instrText>‐</w:instrText>
      </w:r>
      <w:r w:rsidR="00F92CB5">
        <w:rPr>
          <w:rFonts w:ascii="Garamond" w:hAnsi="Garamond" w:cs="Arial"/>
          <w:color w:val="000000"/>
          <w:sz w:val="22"/>
          <w:szCs w:val="22"/>
        </w:rPr>
        <w:instrText>, peer</w:instrText>
      </w:r>
      <w:r w:rsidR="00F92CB5">
        <w:rPr>
          <w:rFonts w:ascii="Cambria Math" w:hAnsi="Cambria Math" w:cs="Cambria Math"/>
          <w:color w:val="000000"/>
          <w:sz w:val="22"/>
          <w:szCs w:val="22"/>
        </w:rPr>
        <w:instrText>‐</w:instrText>
      </w:r>
      <w:r w:rsidR="00F92CB5">
        <w:rPr>
          <w:rFonts w:ascii="Garamond" w:hAnsi="Garamond" w:cs="Arial"/>
          <w:color w:val="000000"/>
          <w:sz w:val="22"/>
          <w:szCs w:val="22"/>
        </w:rPr>
        <w:instrText>and teacher</w:instrText>
      </w:r>
      <w:r w:rsidR="00F92CB5">
        <w:rPr>
          <w:rFonts w:ascii="Cambria Math" w:hAnsi="Cambria Math" w:cs="Cambria Math"/>
          <w:color w:val="000000"/>
          <w:sz w:val="22"/>
          <w:szCs w:val="22"/>
        </w:rPr>
        <w:instrText>‐</w:instrText>
      </w:r>
      <w:r w:rsidR="00F92CB5">
        <w:rPr>
          <w:rFonts w:ascii="Garamond" w:hAnsi="Garamond" w:cs="Arial"/>
          <w:color w:val="000000"/>
          <w:sz w:val="22"/>
          <w:szCs w:val="22"/>
        </w:rPr>
        <w:instrText>guided learning","type":"article-journal","volume":"25"},"uris":["http://www.mendeley.com/documents/?uuid=a246c787-4375-419d-b845-f0ebb786db87"]}],"mendeley":{"formattedCitation":"[6]","plainTextFormattedCitation":"[6]","previouslyFormattedCitation":"[6]"},"properties":{"noteIndex":0},"schema":"https://github.com/citation-style-language/schema/raw/master/csl-citation.json"}</w:instrText>
      </w:r>
      <w:r w:rsidR="000D542E">
        <w:rPr>
          <w:rFonts w:ascii="Garamond" w:hAnsi="Garamond" w:cs="Arial"/>
          <w:color w:val="000000"/>
          <w:sz w:val="22"/>
          <w:szCs w:val="22"/>
        </w:rPr>
        <w:fldChar w:fldCharType="separate"/>
      </w:r>
      <w:r w:rsidR="00196A95" w:rsidRPr="00196A95">
        <w:rPr>
          <w:rFonts w:ascii="Garamond" w:hAnsi="Garamond" w:cs="Arial"/>
          <w:noProof/>
          <w:color w:val="000000"/>
          <w:sz w:val="22"/>
          <w:szCs w:val="22"/>
        </w:rPr>
        <w:t>[6]</w:t>
      </w:r>
      <w:r w:rsidR="000D542E">
        <w:rPr>
          <w:rFonts w:ascii="Garamond" w:hAnsi="Garamond" w:cs="Arial"/>
          <w:color w:val="000000"/>
          <w:sz w:val="22"/>
          <w:szCs w:val="22"/>
        </w:rPr>
        <w:fldChar w:fldCharType="end"/>
      </w:r>
      <w:r w:rsidRPr="002E6DA4">
        <w:rPr>
          <w:rFonts w:ascii="Garamond" w:hAnsi="Garamond" w:cs="Arial"/>
          <w:color w:val="000000"/>
          <w:sz w:val="22"/>
          <w:szCs w:val="22"/>
        </w:rPr>
        <w:t xml:space="preserve">. This reflective analysis enables educators to develop a deeper understanding of both personal and situational factors, gaining insights that can maintain effective practice or lead to improvements where needed </w:t>
      </w:r>
      <w:r w:rsidRPr="002E6DA4">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{"citationItems":[{"id":"ITEM-1","itemData":{"author":[{"dropping-particle":"","family":"Colleges/COPMeD","given":"Academy of Medical Royal","non-dropping-particle":"","parse-names":false,"suffix":""}],"id":"ITEM-1","issued":{"date-parts":[["2018"]]},"title":"Reflective practice toolkit","type":"report"},"uris":["http://www.mendeley.com/documents/?uuid=b54c90fb-c9db-47d7-9b56-119ac0c3f2c5"]},{"id":"ITEM-2","itemData":{"ISSN":"0142159X","abstract":"Reflection is a metacognitive process that creates a greater understanding of both the self and the situation so that future actions can be informed by this understanding. Self-regulated and lifelong learning have reflection as an essential aspect, and it is also required to develop both a therapeutic relationship and professional expertise. There are a variety of educational approaches in undergraduate, postgraduate and continuing medical education that can be used to facilitate reflection, from text based reflective journals and critical incident reports to the creative use of digital media and storytelling. The choice of approach varies with the intended outcomes, but it should also be determined by the user since everyone has a preferred style. Guided reflection, with supportive challenge from a mentor or facilitator, is important so that underlying assumptions can be challenged and new perspectives considered. Feedback also has an important role to enhance reflection. There is little research evidence to suggest that reflection improves quality of care but the process of care can be enhanced. [ABSTRACT FROM AUTHOR]","author":[{"dropping-particle":"","family":"Sandars","given":"John","non-dropping-particle":"","parse-names":false,"suffix":""}],"container-title":"Medical Teacher","id":"ITEM-2","issue":"8","issued":{"date-parts":[["2009","8"]]},"note":"Accession Number: 43662099; Sandars, John 1; Email Address: j.e.sandars@leeds.ac.uk; Source Information: Aug2009, Vol. 31 Issue 8, p685; Subject: METACOGNITIVE therapy; Subject: MEDICAL education; Subject: KNOWLEDGE base; Subject: SELF-perception; Subject: METACOGNITION; Subject: PROFESSIONAL education; Subject: DIGITAL media; Subject: LEARNING; Subject: DIGITAL communications -- Universities &amp;amp; colleges; Number of Pages: 11p; Illustrations: 2 Diagrams, 3 Charts; Document Type: Article","page":"685-695","publisher":"Taylor &amp; Francis Ltd","title":"The use of reflection in medical education: AMEE Guide No. 44.","type":"article-journal","volume":"31"},"uris":["http://www.mendeley.com/documents/?uuid=6f159a81-d487-4679-8851-dbb4f879f1f1"]}],"mendeley":{"formattedCitation":"[5,7]","plainTextFormattedCitation":"[5,7]","previouslyFormattedCitation":"[5,7]"},"properties":{"noteIndex":0},"schema":"https://github.com/citation-style-language/schema/raw/master/csl-citation.json"}</w:instrText>
      </w:r>
      <w:r w:rsidRPr="002E6DA4">
        <w:rPr>
          <w:rFonts w:ascii="Garamond" w:hAnsi="Garamond" w:cs="Arial"/>
          <w:color w:val="000000"/>
          <w:sz w:val="22"/>
          <w:szCs w:val="22"/>
        </w:rPr>
        <w:fldChar w:fldCharType="separate"/>
      </w:r>
      <w:r w:rsidR="00196A95" w:rsidRPr="00196A95">
        <w:rPr>
          <w:rFonts w:ascii="Garamond" w:hAnsi="Garamond" w:cs="Arial"/>
          <w:noProof/>
          <w:color w:val="000000"/>
          <w:sz w:val="22"/>
          <w:szCs w:val="22"/>
        </w:rPr>
        <w:t>[5,7]</w:t>
      </w:r>
      <w:r w:rsidRPr="002E6DA4">
        <w:rPr>
          <w:rFonts w:ascii="Garamond" w:hAnsi="Garamond" w:cs="Arial"/>
          <w:color w:val="000000"/>
          <w:sz w:val="22"/>
          <w:szCs w:val="22"/>
        </w:rPr>
        <w:fldChar w:fldCharType="end"/>
      </w:r>
      <w:r w:rsidRPr="002E6DA4">
        <w:rPr>
          <w:rFonts w:ascii="Garamond" w:hAnsi="Garamond" w:cs="Arial"/>
          <w:color w:val="000000"/>
          <w:sz w:val="22"/>
          <w:szCs w:val="22"/>
        </w:rPr>
        <w:t xml:space="preserve">. </w:t>
      </w:r>
      <w:r w:rsidR="008033D1" w:rsidRPr="002E6DA4">
        <w:rPr>
          <w:rFonts w:ascii="Garamond" w:hAnsi="Garamond" w:cs="Arial"/>
          <w:color w:val="000000"/>
          <w:sz w:val="22"/>
          <w:szCs w:val="22"/>
        </w:rPr>
        <w:t>As part of an educator</w:t>
      </w:r>
      <w:r w:rsidR="00E3538F" w:rsidRPr="002E6DA4">
        <w:rPr>
          <w:rFonts w:ascii="Garamond" w:hAnsi="Garamond" w:cs="Arial"/>
          <w:color w:val="000000"/>
          <w:sz w:val="22"/>
          <w:szCs w:val="22"/>
        </w:rPr>
        <w:t>’</w:t>
      </w:r>
      <w:r w:rsidR="008033D1" w:rsidRPr="002E6DA4">
        <w:rPr>
          <w:rFonts w:ascii="Garamond" w:hAnsi="Garamond" w:cs="Arial"/>
          <w:color w:val="000000"/>
          <w:sz w:val="22"/>
          <w:szCs w:val="22"/>
        </w:rPr>
        <w:t>s everyday practice, m</w:t>
      </w:r>
      <w:r w:rsidRPr="002E6DA4">
        <w:rPr>
          <w:rFonts w:ascii="Garamond" w:hAnsi="Garamond" w:cs="Arial"/>
          <w:color w:val="000000"/>
          <w:sz w:val="22"/>
          <w:szCs w:val="22"/>
        </w:rPr>
        <w:t>eaningful reflection requires examining and challenging firmly held beliefs and accepting that things can be done differently</w:t>
      </w:r>
      <w:r w:rsidR="008033D1" w:rsidRPr="002E6DA4">
        <w:rPr>
          <w:rFonts w:ascii="Garamond" w:hAnsi="Garamond" w:cs="Arial"/>
          <w:color w:val="000000"/>
          <w:sz w:val="22"/>
          <w:szCs w:val="22"/>
        </w:rPr>
        <w:t xml:space="preserve"> as a process of continuous self-assessment, </w:t>
      </w:r>
      <w:r w:rsidRPr="002E6DA4">
        <w:rPr>
          <w:rFonts w:ascii="Garamond" w:hAnsi="Garamond" w:cs="Arial"/>
          <w:color w:val="000000"/>
          <w:sz w:val="22"/>
          <w:szCs w:val="22"/>
        </w:rPr>
        <w:t>practice development</w:t>
      </w:r>
      <w:r w:rsidR="008033D1" w:rsidRPr="002E6DA4">
        <w:rPr>
          <w:rFonts w:ascii="Garamond" w:hAnsi="Garamond" w:cs="Arial"/>
          <w:color w:val="000000"/>
          <w:sz w:val="22"/>
          <w:szCs w:val="22"/>
        </w:rPr>
        <w:t>, and better understanding of different situations</w:t>
      </w:r>
      <w:r w:rsidRPr="002E6DA4">
        <w:rPr>
          <w:rFonts w:ascii="Garamond" w:hAnsi="Garamond" w:cs="Arial"/>
          <w:color w:val="000000"/>
          <w:sz w:val="22"/>
          <w:szCs w:val="22"/>
        </w:rPr>
        <w:t>.</w:t>
      </w:r>
      <w:r w:rsidR="00D04272">
        <w:rPr>
          <w:rFonts w:ascii="Garamond" w:hAnsi="Garamond" w:cs="Arial"/>
          <w:color w:val="000000"/>
          <w:sz w:val="22"/>
          <w:szCs w:val="22"/>
        </w:rPr>
        <w:t xml:space="preserve"> This contributes to improved teaching strategies and better understanding of </w:t>
      </w:r>
      <w:r w:rsidR="00196A95">
        <w:rPr>
          <w:rFonts w:ascii="Garamond" w:hAnsi="Garamond" w:cs="Arial"/>
          <w:color w:val="000000"/>
          <w:sz w:val="22"/>
          <w:szCs w:val="22"/>
        </w:rPr>
        <w:t>students’</w:t>
      </w:r>
      <w:r w:rsidR="00D04272">
        <w:rPr>
          <w:rFonts w:ascii="Garamond" w:hAnsi="Garamond" w:cs="Arial"/>
          <w:color w:val="000000"/>
          <w:sz w:val="22"/>
          <w:szCs w:val="22"/>
        </w:rPr>
        <w:t xml:space="preserve"> needs, ultimately enhancing educational outcomes </w:t>
      </w:r>
      <w:r w:rsidR="00D04272">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{"citationItems":[{"id":"ITEM-1","itemData":{"ISSN":"1396-5883","author":[{"dropping-particle":"","family":"Wassif","given":"Hoda S","non-dropping-particle":"","parse-names":false,"suffix":""}],"container-title":"European Journal of Dental Education","id":"ITEM-1","issue":"4","issued":{"date-parts":[["2024"]]},"page":"938-942","publisher":"Wiley Online Library","title":"I reflect, therefore I am!, Exploring the use of a Voluntary Online Reflective Journal as a learning tool among postgraduate dental students","type":"article-journal","volume":"28"},"uris":["http://www.mendeley.com/documents/?uuid=835e4acf-97e8-448a-a7b0-f801ad1c85f6"]}],"mendeley":{"formattedCitation":"[8]","plainTextFormattedCitation":"[8]","previouslyFormattedCitation":"[8]"},"properties":{"noteIndex":0},"schema":"https://github.com/citation-style-language/schema/raw/master/csl-citation.json"}</w:instrText>
      </w:r>
      <w:r w:rsidR="00D04272">
        <w:rPr>
          <w:rFonts w:ascii="Garamond" w:hAnsi="Garamond" w:cs="Arial"/>
          <w:color w:val="000000"/>
          <w:sz w:val="22"/>
          <w:szCs w:val="22"/>
        </w:rPr>
        <w:fldChar w:fldCharType="separate"/>
      </w:r>
      <w:r w:rsidR="00196A95" w:rsidRPr="00196A95">
        <w:rPr>
          <w:rFonts w:ascii="Garamond" w:hAnsi="Garamond" w:cs="Arial"/>
          <w:noProof/>
          <w:color w:val="000000"/>
          <w:sz w:val="22"/>
          <w:szCs w:val="22"/>
        </w:rPr>
        <w:t>[8]</w:t>
      </w:r>
      <w:r w:rsidR="00D04272">
        <w:rPr>
          <w:rFonts w:ascii="Garamond" w:hAnsi="Garamond" w:cs="Arial"/>
          <w:color w:val="000000"/>
          <w:sz w:val="22"/>
          <w:szCs w:val="22"/>
        </w:rPr>
        <w:fldChar w:fldCharType="end"/>
      </w:r>
      <w:r w:rsidR="00D04272">
        <w:rPr>
          <w:rFonts w:ascii="Garamond" w:hAnsi="Garamond" w:cs="Arial"/>
          <w:color w:val="000000"/>
          <w:sz w:val="22"/>
          <w:szCs w:val="22"/>
        </w:rPr>
        <w:t>.</w:t>
      </w:r>
      <w:r w:rsidR="00F87E3A">
        <w:rPr>
          <w:rFonts w:ascii="Garamond" w:hAnsi="Garamond" w:cs="Arial"/>
          <w:color w:val="000000"/>
          <w:sz w:val="22"/>
          <w:szCs w:val="22"/>
        </w:rPr>
        <w:t xml:space="preserve"> </w:t>
      </w:r>
      <w:r w:rsidR="009E7BB6" w:rsidRPr="009E7BB6">
        <w:rPr>
          <w:rFonts w:ascii="Garamond" w:hAnsi="Garamond" w:cs="Arial"/>
          <w:color w:val="000000"/>
          <w:sz w:val="22"/>
          <w:szCs w:val="22"/>
        </w:rPr>
        <w:t>Reflective practice is also a critical teaching skill, as educators play a key role in facilitating this process for trainees</w:t>
      </w:r>
      <w:r w:rsidR="009E7BB6">
        <w:rPr>
          <w:rFonts w:ascii="Garamond" w:hAnsi="Garamond" w:cs="Arial"/>
          <w:color w:val="000000"/>
          <w:sz w:val="22"/>
          <w:szCs w:val="22"/>
        </w:rPr>
        <w:t>.</w:t>
      </w:r>
      <w:r w:rsidR="00F87E3A">
        <w:rPr>
          <w:rFonts w:ascii="Garamond" w:hAnsi="Garamond" w:cs="Arial"/>
          <w:color w:val="000000"/>
          <w:sz w:val="22"/>
          <w:szCs w:val="22"/>
        </w:rPr>
        <w:t xml:space="preserve"> </w:t>
      </w:r>
      <w:r w:rsidR="009E7BB6" w:rsidRPr="009E7BB6">
        <w:rPr>
          <w:rFonts w:ascii="Garamond" w:hAnsi="Garamond" w:cs="Arial"/>
          <w:color w:val="000000"/>
          <w:sz w:val="22"/>
          <w:szCs w:val="22"/>
        </w:rPr>
        <w:t xml:space="preserve">The literature highlights several benefits </w:t>
      </w:r>
      <w:r w:rsidR="009E7BB6">
        <w:rPr>
          <w:rFonts w:ascii="Garamond" w:hAnsi="Garamond" w:cs="Arial"/>
          <w:color w:val="000000"/>
          <w:sz w:val="22"/>
          <w:szCs w:val="22"/>
        </w:rPr>
        <w:t>of reflective practice for</w:t>
      </w:r>
      <w:r w:rsidR="009E7BB6" w:rsidRPr="009E7BB6">
        <w:rPr>
          <w:rFonts w:ascii="Garamond" w:hAnsi="Garamond" w:cs="Arial"/>
          <w:color w:val="000000"/>
          <w:sz w:val="22"/>
          <w:szCs w:val="22"/>
        </w:rPr>
        <w:t xml:space="preserve"> trainees, including improvements in competencies related to social dentistry and oral health promotion</w:t>
      </w:r>
      <w:r w:rsidR="009E7BB6">
        <w:rPr>
          <w:rFonts w:ascii="Garamond" w:hAnsi="Garamond" w:cs="Arial"/>
          <w:color w:val="000000"/>
          <w:sz w:val="22"/>
          <w:szCs w:val="22"/>
        </w:rPr>
        <w:t xml:space="preserve"> </w:t>
      </w:r>
      <w:r w:rsidR="00067AC1">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{"citationItems":[{"id":"ITEM-1","itemData":{"DOI":"10.1111/j.1600-0579.2012.00766.x","ISSN":"1600-0579","abstract":"\n\nIntroduction\n\nDisparity exists between the growing consensus about the positive effects of reflection on performance and the scarcity of empirical evidence demonstrating this effect. Portfolios are considered a useful instrument to assess and supervise competence-based education and to stimulate reflection. The present study describes the introduction of a portfolio in a social dentistry and oral health promotion course and investigates student reflection as a predictor for the acquisition of the other competences in the course.\n\n\nMethods\n\nFourth year undergraduate dental students (n = 110) in the course ‘Society and Health’ between 2008 and 2011 collected evidence in their portfolios, demonstrating the acquisition of five competences: the ability to (1) assess the oral health profile of a target group; (2) integrate theoretical models in health promotion; (3) search for and apply scientific evidence; (4) work trans-, multi- and/or trans-disciplinarily; (5) reflect on personal development. Linear regression analysis was used to investigate the predictive value of reflection on the other course related competences.\n\n\nResults\n\nReflection scores proved to significantly predict other course-related competences, when analysing all students between 2008 and 2011 and for each year separately, explaining between 10.7% and 25.5% of the variance in the other competences.\n\n\nConclusion\n\nUndergraduate dental students' competences related to social dentistry and oral health promotion were significantly predicted by the reflection scores obtained in a portfolio-based context. In line with the growing consensus about the benefits of reflection for dental students and professionals, results suggest the value to further develop the integration of reflection in dental education and practice.\n","author":[{"dropping-particle":"","family":"Koole","given":"S","non-dropping-particle":"","parse-names":false,"suffix":""},{"dropping-particle":"","family":"Vanobbergen","given":"J","non-dropping-particle":"","parse-names":false,"suffix":""},{"dropping-particle":"","family":"Visschere","given":"L","non-dropping-particle":"De","parse-names":false,"suffix":""},{"dropping-particle":"","family":"Aper","given":"L","non-dropping-particle":"","parse-names":false,"suffix":""},{"dropping-particle":"","family":"Dornan","given":"T","non-dropping-particle":"","parse-names":false,"suffix":""},{"dropping-particle":"","family":"Derese","given":"A","non-dropping-particle":"","parse-names":false,"suffix":""}],"container-title":"European Journal of Dental Education","id":"ITEM-1","issue":"1","issued":{"date-parts":[["2013","2","1"]]},"page":"e93-e99","title":"The influence of reflection on portfolio learning in undergraduate dental education","type":"article-journal","volume":"17"},"uris":["http://www.mendeley.com/documents/?uuid=6bf20476-f342-4972-91bf-c11335026a1f"]}],"mendeley":{"formattedCitation":"[9]","plainTextFormattedCitation":"[9]","previouslyFormattedCitation":"[9]"},"properties":{"noteIndex":0},"schema":"https://github.com/citation-style-language/schema/raw/master/csl-citation.json"}</w:instrText>
      </w:r>
      <w:r w:rsidR="00067AC1">
        <w:rPr>
          <w:rFonts w:ascii="Garamond" w:hAnsi="Garamond" w:cs="Arial"/>
          <w:color w:val="000000"/>
          <w:sz w:val="22"/>
          <w:szCs w:val="22"/>
        </w:rPr>
        <w:fldChar w:fldCharType="separate"/>
      </w:r>
      <w:r w:rsidR="00196A95" w:rsidRPr="00196A95">
        <w:rPr>
          <w:rFonts w:ascii="Garamond" w:hAnsi="Garamond" w:cs="Arial"/>
          <w:noProof/>
          <w:color w:val="000000"/>
          <w:sz w:val="22"/>
          <w:szCs w:val="22"/>
        </w:rPr>
        <w:t>[9]</w:t>
      </w:r>
      <w:r w:rsidR="00067AC1">
        <w:rPr>
          <w:rFonts w:ascii="Garamond" w:hAnsi="Garamond" w:cs="Arial"/>
          <w:color w:val="000000"/>
          <w:sz w:val="22"/>
          <w:szCs w:val="22"/>
        </w:rPr>
        <w:fldChar w:fldCharType="end"/>
      </w:r>
      <w:r w:rsidR="00067AC1">
        <w:rPr>
          <w:rFonts w:ascii="Garamond" w:hAnsi="Garamond" w:cs="Arial"/>
          <w:color w:val="000000"/>
          <w:sz w:val="22"/>
          <w:szCs w:val="22"/>
        </w:rPr>
        <w:t xml:space="preserve">, enhanced cognitive performance </w:t>
      </w:r>
      <w:r w:rsidR="00067AC1">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{"citationItems":[{"id":"ITEM-1","itemData":{"ISSN":"0142-159X","author":[{"dropping-particle":"","family":"Sobral","given":"Dejano T","non-dropping-particle":"","parse-names":false,"suffix":""}],"container-title":"Medical teacher","id":"ITEM-1","issue":"5","issued":{"date-parts":[["2001"]]},"page":"508-513","publisher":"Taylor &amp; Francis","title":"Medical students' reflection in learning in relation to approaches to study and academic achievement","type":"article-journal","volume":"23"},"uris":["http://www.mendeley.com/documents/?uuid=ec8f0727-8753-426a-9523-49b0499013ac"]}],"mendeley":{"formattedCitation":"[10]","plainTextFormattedCitation":"[10]","previouslyFormattedCitation":"[10]"},"properties":{"noteIndex":0},"schema":"https://github.com/citation-style-language/schema/raw/master/csl-citation.json"}</w:instrText>
      </w:r>
      <w:r w:rsidR="00067AC1">
        <w:rPr>
          <w:rFonts w:ascii="Garamond" w:hAnsi="Garamond" w:cs="Arial"/>
          <w:color w:val="000000"/>
          <w:sz w:val="22"/>
          <w:szCs w:val="22"/>
        </w:rPr>
        <w:fldChar w:fldCharType="separate"/>
      </w:r>
      <w:r w:rsidR="00196A95" w:rsidRPr="00196A95">
        <w:rPr>
          <w:rFonts w:ascii="Garamond" w:hAnsi="Garamond" w:cs="Arial"/>
          <w:noProof/>
          <w:color w:val="000000"/>
          <w:sz w:val="22"/>
          <w:szCs w:val="22"/>
        </w:rPr>
        <w:t>[10]</w:t>
      </w:r>
      <w:r w:rsidR="00067AC1">
        <w:rPr>
          <w:rFonts w:ascii="Garamond" w:hAnsi="Garamond" w:cs="Arial"/>
          <w:color w:val="000000"/>
          <w:sz w:val="22"/>
          <w:szCs w:val="22"/>
        </w:rPr>
        <w:fldChar w:fldCharType="end"/>
      </w:r>
      <w:r w:rsidR="00067AC1">
        <w:rPr>
          <w:rFonts w:ascii="Garamond" w:hAnsi="Garamond" w:cs="Arial"/>
          <w:color w:val="000000"/>
          <w:sz w:val="22"/>
          <w:szCs w:val="22"/>
        </w:rPr>
        <w:t xml:space="preserve">, </w:t>
      </w:r>
      <w:r w:rsidR="009E7BB6" w:rsidRPr="009E7BB6">
        <w:rPr>
          <w:rFonts w:ascii="Garamond" w:hAnsi="Garamond" w:cs="Arial"/>
          <w:color w:val="000000"/>
          <w:sz w:val="22"/>
          <w:szCs w:val="22"/>
        </w:rPr>
        <w:t>strengthened critical thinking and reasoning abilities</w:t>
      </w:r>
      <w:r w:rsidR="009E7BB6">
        <w:rPr>
          <w:rFonts w:ascii="Garamond" w:hAnsi="Garamond" w:cs="Arial"/>
          <w:color w:val="000000"/>
          <w:sz w:val="22"/>
          <w:szCs w:val="22"/>
        </w:rPr>
        <w:t xml:space="preserve"> </w:t>
      </w:r>
      <w:r w:rsidR="00067AC1">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{"citationItems":[{"id":"ITEM-1","itemData":{"DOI":"10.1111/j.1600-0579.2006.00390.x","ISSN":"1600-0579","abstract":"Abstract  The aim of this study was to explore undergraduate and postgraduate dental students’ understanding of a good learning experience by using ‘reflection on learning’ as described by Schon. Four groups of Year 4 BDS students and one group of postgraduate students in dental public health took part in a series of focus group discussions. The responses were grouped into four broad themes (a) active, practical and positive learning; (b) interactive/together learning; (c) personal learning; (d) theory into practice. Six educational models of good learning proposed by the students are described.","author":[{"dropping-particle":"","family":"Ashley","given":"F A","non-dropping-particle":"","parse-names":false,"suffix":""},{"dropping-particle":"","family":"Gibson","given":"B","non-dropping-particle":"","parse-names":false,"suffix":""},{"dropping-particle":"","family":"Daly","given":"B","non-dropping-particle":"","parse-names":false,"suffix":""},{"dropping-particle":"","family":"Lygo Baker","given":"S","non-dropping-particle":"","parse-names":false,"suffix":""},{"dropping-particle":"","family":"Newton","given":"J T","non-dropping-particle":"","parse-names":false,"suffix":""}],"container-title":"European Journal of Dental Education","id":"ITEM-1","issue":"1","issued":{"date-parts":[["2006","2","1"]]},"page":"10-19","publisher":"Munksgaard International Publishers","title":"Undergraduate and postgraduate dental students’‘reflection on learning’: a qualitative study","type":"article-journal","volume":"10"},"uris":["http://www.mendeley.com/documents/?uuid=7652613f-6c41-4e0d-b007-7129a9583258"]},{"id":"ITEM-2","itemData":{"ISSN":"1396-5883","author":[{"dropping-particle":"","family":"Penlington","given":"Chris","non-dropping-particle":"","parse-names":false,"suffix":""},{"dropping-particle":"","family":"Lyttle","given":"Ross","non-dropping-particle":"","parse-names":false,"suffix":""},{"dropping-particle":"","family":"Dillon","given":"Megan","non-dropping-particle":"","parse-names":false,"suffix":""},{"dropping-particle":"","family":"Ali","given":"Adam","non-dropping-particle":"","parse-names":false,"suffix":""},{"dropping-particle":"","family":"Waterhouse","given":"Paula","non-dropping-particle":"","parse-names":false,"suffix":""}],"container-title":"European Journal of Dental Education","id":"ITEM-2","issue":"4","issued":{"date-parts":[["2023"]]},"page":"869-878","publisher":"Wiley Online Library","title":"“I think that comes with experience”: A thematic analysis exploring how dental students at a transitional stage of training understand and engage with reflection","type":"article-journal","volume":"27"},"uris":["http://www.mendeley.com/documents/?uuid=e60e758e-a53c-46db-ad7d-66519fa208a7"]}],"mendeley":{"formattedCitation":"[11,12]","plainTextFormattedCitation":"[11,12]","previouslyFormattedCitation":"[11,12]"},"properties":{"noteIndex":0},"schema":"https://github.com/citation-style-language/schema/raw/master/csl-citation.json"}</w:instrText>
      </w:r>
      <w:r w:rsidR="00067AC1">
        <w:rPr>
          <w:rFonts w:ascii="Garamond" w:hAnsi="Garamond" w:cs="Arial"/>
          <w:color w:val="000000"/>
          <w:sz w:val="22"/>
          <w:szCs w:val="22"/>
        </w:rPr>
        <w:fldChar w:fldCharType="separate"/>
      </w:r>
      <w:r w:rsidR="00196A95" w:rsidRPr="00196A95">
        <w:rPr>
          <w:rFonts w:ascii="Garamond" w:hAnsi="Garamond" w:cs="Arial"/>
          <w:noProof/>
          <w:color w:val="000000"/>
          <w:sz w:val="22"/>
          <w:szCs w:val="22"/>
        </w:rPr>
        <w:t>[11,12]</w:t>
      </w:r>
      <w:r w:rsidR="00067AC1">
        <w:rPr>
          <w:rFonts w:ascii="Garamond" w:hAnsi="Garamond" w:cs="Arial"/>
          <w:color w:val="000000"/>
          <w:sz w:val="22"/>
          <w:szCs w:val="22"/>
        </w:rPr>
        <w:fldChar w:fldCharType="end"/>
      </w:r>
      <w:r w:rsidR="00067AC1">
        <w:rPr>
          <w:rFonts w:ascii="Garamond" w:hAnsi="Garamond" w:cs="Arial"/>
          <w:color w:val="000000"/>
          <w:sz w:val="22"/>
          <w:szCs w:val="22"/>
        </w:rPr>
        <w:t xml:space="preserve">, </w:t>
      </w:r>
      <w:r w:rsidR="009E7BB6" w:rsidRPr="009E7BB6">
        <w:rPr>
          <w:rFonts w:ascii="Garamond" w:hAnsi="Garamond" w:cs="Arial"/>
          <w:color w:val="000000"/>
          <w:sz w:val="22"/>
          <w:szCs w:val="22"/>
        </w:rPr>
        <w:t>improved clinical competence and patient care</w:t>
      </w:r>
      <w:r w:rsidR="00D04272">
        <w:rPr>
          <w:rFonts w:ascii="Garamond" w:hAnsi="Garamond" w:cs="Arial"/>
          <w:color w:val="000000"/>
          <w:sz w:val="22"/>
          <w:szCs w:val="22"/>
        </w:rPr>
        <w:t xml:space="preserve"> </w:t>
      </w:r>
      <w:r w:rsidR="00D04272">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{"citationItems":[{"id":"ITEM-1","itemData":{"ISSN":"1396-5883","author":[{"dropping-particle":"","family":"Marsden","given":"Jonathan E","non-dropping-particle":"","parse-names":false,"suffix":""},{"dropping-particle":"","family":"Deboo","given":"Stephen P","non-dropping-particle":"","parse-names":false,"suffix":""},{"dropping-particle":"","family":"Cripps","given":"Matt","non-dropping-particle":"","parse-names":false,"suffix":""},{"dropping-particle":"","family":"Longridge","given":"Nicholas N","non-dropping-particle":"","parse-names":false,"suffix":""},{"dropping-particle":"","family":"Aspden","given":"Michael","non-dropping-particle":"","parse-names":false,"suffix":""},{"dropping-particle":"","family":"Fox","given":"Kathryn","non-dropping-particle":"","parse-names":false,"suffix":""}],"container-title":"European Journal of Dental Education","id":"ITEM-1","issue":"1","issued":{"date-parts":[["2025"]]},"page":"104-115","publisher":"Wiley Online Library","title":"Improving dental student confidence through the use of simulated patient cases","type":"article-journal","volume":"29"},"uris":["http://www.mendeley.com/documents/?uuid=e3edfd50-0c59-4250-b32d-54b711d774ce"]}],"mendeley":{"formattedCitation":"[13]","plainTextFormattedCitation":"[13]","previouslyFormattedCitation":"[13]"},"properties":{"noteIndex":0},"schema":"https://github.com/citation-style-language/schema/raw/master/csl-citation.json"}</w:instrText>
      </w:r>
      <w:r w:rsidR="00D04272">
        <w:rPr>
          <w:rFonts w:ascii="Garamond" w:hAnsi="Garamond" w:cs="Arial"/>
          <w:color w:val="000000"/>
          <w:sz w:val="22"/>
          <w:szCs w:val="22"/>
        </w:rPr>
        <w:fldChar w:fldCharType="separate"/>
      </w:r>
      <w:r w:rsidR="00196A95" w:rsidRPr="00196A95">
        <w:rPr>
          <w:rFonts w:ascii="Garamond" w:hAnsi="Garamond" w:cs="Arial"/>
          <w:noProof/>
          <w:color w:val="000000"/>
          <w:sz w:val="22"/>
          <w:szCs w:val="22"/>
        </w:rPr>
        <w:t>[13]</w:t>
      </w:r>
      <w:r w:rsidR="00D04272">
        <w:rPr>
          <w:rFonts w:ascii="Garamond" w:hAnsi="Garamond" w:cs="Arial"/>
          <w:color w:val="000000"/>
          <w:sz w:val="22"/>
          <w:szCs w:val="22"/>
        </w:rPr>
        <w:fldChar w:fldCharType="end"/>
      </w:r>
      <w:r w:rsidR="00C92E81">
        <w:rPr>
          <w:rFonts w:ascii="Garamond" w:hAnsi="Garamond" w:cs="Arial"/>
          <w:color w:val="000000"/>
          <w:sz w:val="22"/>
          <w:szCs w:val="22"/>
        </w:rPr>
        <w:t xml:space="preserve">, </w:t>
      </w:r>
      <w:r w:rsidR="009E7BB6" w:rsidRPr="009E7BB6">
        <w:rPr>
          <w:rFonts w:ascii="Garamond" w:hAnsi="Garamond" w:cs="Arial"/>
          <w:color w:val="000000"/>
          <w:sz w:val="22"/>
          <w:szCs w:val="22"/>
        </w:rPr>
        <w:t>and increased self-awareness</w:t>
      </w:r>
      <w:r w:rsidR="009E7BB6">
        <w:rPr>
          <w:rFonts w:ascii="Garamond" w:hAnsi="Garamond" w:cs="Arial"/>
          <w:color w:val="000000"/>
          <w:sz w:val="22"/>
          <w:szCs w:val="22"/>
        </w:rPr>
        <w:t xml:space="preserve"> </w:t>
      </w:r>
      <w:r w:rsidR="009E7BB6">
        <w:rPr>
          <w:rFonts w:ascii="Garamond" w:hAnsi="Garamond" w:cs="Arial"/>
          <w:color w:val="000000"/>
          <w:sz w:val="22"/>
          <w:szCs w:val="22"/>
        </w:rPr>
        <w:fldChar w:fldCharType="begin" w:fldLock="1"/>
      </w:r>
      <w:r w:rsidR="00F92CB5">
        <w:rPr>
          <w:rFonts w:ascii="Garamond" w:hAnsi="Garamond" w:cs="Arial"/>
          <w:color w:val="000000"/>
          <w:sz w:val="22"/>
          <w:szCs w:val="22"/>
        </w:rPr>
        <w:instrText>ADDIN CSL_CITATION {"citationItems":[{"id":"ITEM-1","itemData":{"ISSN":"1396-5883","author":[{"dropping-particle":"","family":"Nasseripour","given":"Melanie","non-dropping-particle":"","parse-names":false,"suffix":""},{"dropping-particle":"","family":"Gallagher","given":"Jennifer","non-dropping-particle":"","parse-names":false,"suffix":""},{"dropping-particle":"","family":"Ranauta","given":"Amitha","non-dropping-particle":"","parse-names":false,"suffix":""}],"container-title":"European Journal of Dental Education","id":"ITEM-1","issue":"1","issued":{"date-parts":[["2022"]]},"page":"11-20","publisher":"Wiley Online Library","title":"Reflect and develop: A pilot study to explore perceptions and to test the impact of a short course on reflective practice amongst dental practitioners undertaking continuing professional","type":"article-journal","volume":"26"},"uris":["http://www.mendeley.com/documents/?uuid=57ed8078-280c-48a0-b908-d6cdf635131a"]}],"mendeley":{"formattedCitation":"[14]","plainTextFormattedCitation":"[14]","previouslyFormattedCitation":"[14]"},"properties":{"noteIndex":0},"schema":"https://github.com/citation-style-language/schema/raw/master/csl-citation.json"}</w:instrText>
      </w:r>
      <w:r w:rsidR="009E7BB6">
        <w:rPr>
          <w:rFonts w:ascii="Garamond" w:hAnsi="Garamond" w:cs="Arial"/>
          <w:color w:val="000000"/>
          <w:sz w:val="22"/>
          <w:szCs w:val="22"/>
        </w:rPr>
        <w:fldChar w:fldCharType="separate"/>
      </w:r>
      <w:r w:rsidR="00196A95" w:rsidRPr="00196A95">
        <w:rPr>
          <w:rFonts w:ascii="Garamond" w:hAnsi="Garamond" w:cs="Arial"/>
          <w:noProof/>
          <w:color w:val="000000"/>
          <w:sz w:val="22"/>
          <w:szCs w:val="22"/>
        </w:rPr>
        <w:t>[14]</w:t>
      </w:r>
      <w:r w:rsidR="009E7BB6">
        <w:rPr>
          <w:rFonts w:ascii="Garamond" w:hAnsi="Garamond" w:cs="Arial"/>
          <w:color w:val="000000"/>
          <w:sz w:val="22"/>
          <w:szCs w:val="22"/>
        </w:rPr>
        <w:fldChar w:fldCharType="end"/>
      </w:r>
      <w:r w:rsidR="009E7BB6" w:rsidRPr="009E7BB6">
        <w:rPr>
          <w:rFonts w:ascii="Garamond" w:hAnsi="Garamond" w:cs="Arial"/>
          <w:color w:val="000000"/>
          <w:sz w:val="22"/>
          <w:szCs w:val="22"/>
        </w:rPr>
        <w:t>, among</w:t>
      </w:r>
      <w:r w:rsidR="00A95E8C">
        <w:rPr>
          <w:rFonts w:ascii="Garamond" w:hAnsi="Garamond" w:cs="Arial"/>
          <w:color w:val="000000"/>
          <w:sz w:val="22"/>
          <w:szCs w:val="22"/>
        </w:rPr>
        <w:t>st</w:t>
      </w:r>
      <w:r w:rsidR="009E7BB6" w:rsidRPr="009E7BB6">
        <w:rPr>
          <w:rFonts w:ascii="Garamond" w:hAnsi="Garamond" w:cs="Arial"/>
          <w:color w:val="000000"/>
          <w:sz w:val="22"/>
          <w:szCs w:val="22"/>
        </w:rPr>
        <w:t xml:space="preserve"> others</w:t>
      </w:r>
      <w:r w:rsidR="00C92E81">
        <w:rPr>
          <w:rFonts w:ascii="Garamond" w:hAnsi="Garamond" w:cs="Arial"/>
          <w:color w:val="000000"/>
          <w:sz w:val="22"/>
          <w:szCs w:val="22"/>
        </w:rPr>
        <w:t>.</w:t>
      </w:r>
      <w:r w:rsidR="009E7BB6">
        <w:rPr>
          <w:rFonts w:ascii="Garamond" w:hAnsi="Garamond" w:cs="Arial"/>
          <w:color w:val="000000"/>
          <w:sz w:val="22"/>
          <w:szCs w:val="22"/>
        </w:rPr>
        <w:t xml:space="preserve"> </w:t>
      </w:r>
    </w:p>
    <w:p w14:paraId="6E68DBB4" w14:textId="2788F94F" w:rsidR="000E5DAE" w:rsidRDefault="00E77E29" w:rsidP="00C503BC">
      <w:pPr>
        <w:spacing w:line="480" w:lineRule="auto"/>
        <w:jc w:val="both"/>
        <w:rPr>
          <w:rFonts w:ascii="Garamond" w:hAnsi="Garamond" w:cs="Arial"/>
          <w:sz w:val="22"/>
          <w:szCs w:val="22"/>
        </w:rPr>
      </w:pPr>
      <w:r w:rsidRPr="0052047F">
        <w:rPr>
          <w:rFonts w:ascii="Garamond" w:hAnsi="Garamond" w:cs="Arial"/>
          <w:sz w:val="22"/>
          <w:szCs w:val="22"/>
        </w:rPr>
        <w:tab/>
        <w:t xml:space="preserve">Reflection is therefore recognised as an essential </w:t>
      </w:r>
      <w:r w:rsidR="00042648" w:rsidRPr="0052047F">
        <w:rPr>
          <w:rFonts w:ascii="Garamond" w:hAnsi="Garamond" w:cs="Arial"/>
          <w:sz w:val="22"/>
          <w:szCs w:val="22"/>
        </w:rPr>
        <w:t>skill</w:t>
      </w:r>
      <w:r w:rsidRPr="0052047F">
        <w:rPr>
          <w:rFonts w:ascii="Garamond" w:hAnsi="Garamond" w:cs="Arial"/>
          <w:sz w:val="22"/>
          <w:szCs w:val="22"/>
        </w:rPr>
        <w:t xml:space="preserve"> for </w:t>
      </w:r>
      <w:r w:rsidR="00815C2A">
        <w:rPr>
          <w:rFonts w:ascii="Garamond" w:hAnsi="Garamond" w:cs="Arial"/>
          <w:sz w:val="22"/>
          <w:szCs w:val="22"/>
        </w:rPr>
        <w:t>clinical</w:t>
      </w:r>
      <w:r w:rsidRPr="0052047F">
        <w:rPr>
          <w:rFonts w:ascii="Garamond" w:hAnsi="Garamond" w:cs="Arial"/>
          <w:sz w:val="22"/>
          <w:szCs w:val="22"/>
        </w:rPr>
        <w:t xml:space="preserve"> educators, underpinning lifelong personal and professional growth. It is often guided by professional standards and competency frameworks, serving as a </w:t>
      </w:r>
      <w:r w:rsidR="00163E84">
        <w:rPr>
          <w:rFonts w:ascii="Garamond" w:hAnsi="Garamond" w:cs="Arial"/>
          <w:sz w:val="22"/>
          <w:szCs w:val="22"/>
        </w:rPr>
        <w:t>critical</w:t>
      </w:r>
      <w:r w:rsidRPr="0052047F">
        <w:rPr>
          <w:rFonts w:ascii="Garamond" w:hAnsi="Garamond" w:cs="Arial"/>
          <w:sz w:val="22"/>
          <w:szCs w:val="22"/>
        </w:rPr>
        <w:t xml:space="preserve"> criterion for career progression</w:t>
      </w:r>
      <w:r w:rsidR="00042648" w:rsidRPr="0052047F">
        <w:rPr>
          <w:rFonts w:ascii="Garamond" w:hAnsi="Garamond" w:cs="Arial"/>
          <w:sz w:val="22"/>
          <w:szCs w:val="22"/>
        </w:rPr>
        <w:t>,</w:t>
      </w:r>
      <w:r w:rsidR="00A01DBD" w:rsidRPr="0052047F">
        <w:rPr>
          <w:rFonts w:ascii="Garamond" w:hAnsi="Garamond" w:cs="Arial"/>
          <w:sz w:val="22"/>
          <w:szCs w:val="22"/>
        </w:rPr>
        <w:t xml:space="preserve"> appraisal,</w:t>
      </w:r>
      <w:r w:rsidR="00042648" w:rsidRPr="0052047F">
        <w:rPr>
          <w:rFonts w:ascii="Garamond" w:hAnsi="Garamond" w:cs="Arial"/>
          <w:sz w:val="22"/>
          <w:szCs w:val="22"/>
        </w:rPr>
        <w:t xml:space="preserve"> revalidation</w:t>
      </w:r>
      <w:r w:rsidRPr="0052047F">
        <w:rPr>
          <w:rFonts w:ascii="Garamond" w:hAnsi="Garamond" w:cs="Arial"/>
          <w:sz w:val="22"/>
          <w:szCs w:val="22"/>
        </w:rPr>
        <w:t xml:space="preserve"> and professional recognition</w:t>
      </w:r>
      <w:r w:rsidR="004E0713" w:rsidRPr="0052047F">
        <w:rPr>
          <w:rFonts w:ascii="Garamond" w:hAnsi="Garamond" w:cs="Arial"/>
          <w:sz w:val="22"/>
          <w:szCs w:val="22"/>
        </w:rPr>
        <w:t xml:space="preserve"> schemes</w:t>
      </w:r>
      <w:r w:rsidRPr="0052047F">
        <w:rPr>
          <w:rFonts w:ascii="Garamond" w:hAnsi="Garamond" w:cs="Arial"/>
          <w:sz w:val="22"/>
          <w:szCs w:val="22"/>
        </w:rPr>
        <w:t xml:space="preserve">. </w:t>
      </w:r>
      <w:r w:rsidR="00042648" w:rsidRPr="0052047F">
        <w:rPr>
          <w:rFonts w:ascii="Garamond" w:hAnsi="Garamond" w:cs="Arial"/>
          <w:sz w:val="22"/>
          <w:szCs w:val="22"/>
        </w:rPr>
        <w:t xml:space="preserve">Notable examples include </w:t>
      </w:r>
      <w:r w:rsidRPr="0052047F">
        <w:rPr>
          <w:rFonts w:ascii="Garamond" w:hAnsi="Garamond" w:cs="Arial"/>
          <w:sz w:val="22"/>
          <w:szCs w:val="22"/>
        </w:rPr>
        <w:t>the Professiona</w:t>
      </w:r>
      <w:r w:rsidR="004E0713" w:rsidRPr="0052047F">
        <w:rPr>
          <w:rFonts w:ascii="Garamond" w:hAnsi="Garamond" w:cs="Arial"/>
          <w:sz w:val="22"/>
          <w:szCs w:val="22"/>
        </w:rPr>
        <w:t>l</w:t>
      </w:r>
      <w:r w:rsidRPr="0052047F">
        <w:rPr>
          <w:rFonts w:ascii="Garamond" w:hAnsi="Garamond" w:cs="Arial"/>
          <w:sz w:val="22"/>
          <w:szCs w:val="22"/>
        </w:rPr>
        <w:t xml:space="preserve"> Standards Framework for </w:t>
      </w:r>
      <w:r w:rsidR="00E3538F">
        <w:rPr>
          <w:rFonts w:ascii="Garamond" w:hAnsi="Garamond" w:cs="Arial"/>
          <w:sz w:val="22"/>
          <w:szCs w:val="22"/>
        </w:rPr>
        <w:t>T</w:t>
      </w:r>
      <w:r w:rsidRPr="0052047F">
        <w:rPr>
          <w:rFonts w:ascii="Garamond" w:hAnsi="Garamond" w:cs="Arial"/>
          <w:sz w:val="22"/>
          <w:szCs w:val="22"/>
        </w:rPr>
        <w:t xml:space="preserve">eaching and </w:t>
      </w:r>
      <w:r w:rsidR="00E3538F">
        <w:rPr>
          <w:rFonts w:ascii="Garamond" w:hAnsi="Garamond" w:cs="Arial"/>
          <w:sz w:val="22"/>
          <w:szCs w:val="22"/>
        </w:rPr>
        <w:t>S</w:t>
      </w:r>
      <w:r w:rsidRPr="0052047F">
        <w:rPr>
          <w:rFonts w:ascii="Garamond" w:hAnsi="Garamond" w:cs="Arial"/>
          <w:sz w:val="22"/>
          <w:szCs w:val="22"/>
        </w:rPr>
        <w:t xml:space="preserve">upporting </w:t>
      </w:r>
      <w:r w:rsidR="00E3538F">
        <w:rPr>
          <w:rFonts w:ascii="Garamond" w:hAnsi="Garamond" w:cs="Arial"/>
          <w:sz w:val="22"/>
          <w:szCs w:val="22"/>
        </w:rPr>
        <w:t>L</w:t>
      </w:r>
      <w:r w:rsidRPr="0052047F">
        <w:rPr>
          <w:rFonts w:ascii="Garamond" w:hAnsi="Garamond" w:cs="Arial"/>
          <w:sz w:val="22"/>
          <w:szCs w:val="22"/>
        </w:rPr>
        <w:t xml:space="preserve">earning in </w:t>
      </w:r>
      <w:r w:rsidR="00E3538F">
        <w:rPr>
          <w:rFonts w:ascii="Garamond" w:hAnsi="Garamond" w:cs="Arial"/>
          <w:sz w:val="22"/>
          <w:szCs w:val="22"/>
        </w:rPr>
        <w:t>H</w:t>
      </w:r>
      <w:r w:rsidRPr="0052047F">
        <w:rPr>
          <w:rFonts w:ascii="Garamond" w:hAnsi="Garamond" w:cs="Arial"/>
          <w:sz w:val="22"/>
          <w:szCs w:val="22"/>
        </w:rPr>
        <w:t xml:space="preserve">igher </w:t>
      </w:r>
      <w:r w:rsidR="00E3538F">
        <w:rPr>
          <w:rFonts w:ascii="Garamond" w:hAnsi="Garamond" w:cs="Arial"/>
          <w:sz w:val="22"/>
          <w:szCs w:val="22"/>
        </w:rPr>
        <w:t>E</w:t>
      </w:r>
      <w:r w:rsidRPr="0052047F">
        <w:rPr>
          <w:rFonts w:ascii="Garamond" w:hAnsi="Garamond" w:cs="Arial"/>
          <w:sz w:val="22"/>
          <w:szCs w:val="22"/>
        </w:rPr>
        <w:t xml:space="preserve">ducation from </w:t>
      </w:r>
      <w:proofErr w:type="spellStart"/>
      <w:r w:rsidRPr="0052047F">
        <w:rPr>
          <w:rFonts w:ascii="Garamond" w:hAnsi="Garamond" w:cs="Arial"/>
          <w:sz w:val="22"/>
          <w:szCs w:val="22"/>
        </w:rPr>
        <w:t>AdvanceHE</w:t>
      </w:r>
      <w:proofErr w:type="spellEnd"/>
      <w:r w:rsidRPr="0052047F">
        <w:rPr>
          <w:rFonts w:ascii="Garamond" w:hAnsi="Garamond" w:cs="Arial"/>
          <w:sz w:val="22"/>
          <w:szCs w:val="22"/>
        </w:rPr>
        <w:t xml:space="preserve"> </w:t>
      </w:r>
      <w:r w:rsidR="00344953" w:rsidRPr="0052047F">
        <w:rPr>
          <w:rFonts w:ascii="Garamond" w:hAnsi="Garamond" w:cs="Arial"/>
          <w:sz w:val="22"/>
          <w:szCs w:val="22"/>
        </w:rPr>
        <w:fldChar w:fldCharType="begin" w:fldLock="1"/>
      </w:r>
      <w:r w:rsidR="00F92CB5">
        <w:rPr>
          <w:rFonts w:ascii="Garamond" w:hAnsi="Garamond" w:cs="Arial"/>
          <w:sz w:val="22"/>
          <w:szCs w:val="22"/>
        </w:rPr>
        <w:instrText>ADDIN CSL_CITATION {"citationItems":[{"id":"ITEM-1","itemData":{"author":[{"dropping-particle":"","family":"AdvanceHE","given":"","non-dropping-particle":"","parse-names":false,"suffix":""}],"id":"ITEM-1","issued":{"date-parts":[["2023"]]},"publisher-place":"York","title":"Professional Standards for teaching and supporting learning in higher education 2023","type":"report"},"uris":["http://www.mendeley.com/documents/?uuid=d6fe28b9-cea0-47a3-abcd-04ee4d92c4f0"]}],"mendeley":{"formattedCitation":"[15]","plainTextFormattedCitation":"[15]","previouslyFormattedCitation":"[15]"},"properties":{"noteIndex":0},"schema":"https://github.com/citation-style-language/schema/raw/master/csl-citation.json"}</w:instrText>
      </w:r>
      <w:r w:rsidR="00344953" w:rsidRPr="0052047F">
        <w:rPr>
          <w:rFonts w:ascii="Garamond" w:hAnsi="Garamond" w:cs="Arial"/>
          <w:sz w:val="22"/>
          <w:szCs w:val="22"/>
        </w:rPr>
        <w:fldChar w:fldCharType="separate"/>
      </w:r>
      <w:r w:rsidR="00196A95" w:rsidRPr="00196A95">
        <w:rPr>
          <w:rFonts w:ascii="Garamond" w:hAnsi="Garamond" w:cs="Arial"/>
          <w:noProof/>
          <w:sz w:val="22"/>
          <w:szCs w:val="22"/>
        </w:rPr>
        <w:t>[15]</w:t>
      </w:r>
      <w:r w:rsidR="00344953" w:rsidRPr="0052047F">
        <w:rPr>
          <w:rFonts w:ascii="Garamond" w:hAnsi="Garamond" w:cs="Arial"/>
          <w:sz w:val="22"/>
          <w:szCs w:val="22"/>
        </w:rPr>
        <w:fldChar w:fldCharType="end"/>
      </w:r>
      <w:r w:rsidRPr="0052047F">
        <w:rPr>
          <w:rFonts w:ascii="Garamond" w:hAnsi="Garamond" w:cs="Arial"/>
          <w:sz w:val="22"/>
          <w:szCs w:val="22"/>
        </w:rPr>
        <w:t xml:space="preserve"> and the Professional Standards for </w:t>
      </w:r>
      <w:r w:rsidR="00E3538F">
        <w:rPr>
          <w:rFonts w:ascii="Garamond" w:hAnsi="Garamond" w:cs="Arial"/>
          <w:sz w:val="22"/>
          <w:szCs w:val="22"/>
        </w:rPr>
        <w:t>M</w:t>
      </w:r>
      <w:r w:rsidRPr="0052047F">
        <w:rPr>
          <w:rFonts w:ascii="Garamond" w:hAnsi="Garamond" w:cs="Arial"/>
          <w:sz w:val="22"/>
          <w:szCs w:val="22"/>
        </w:rPr>
        <w:t xml:space="preserve">edical, </w:t>
      </w:r>
      <w:r w:rsidR="00E3538F">
        <w:rPr>
          <w:rFonts w:ascii="Garamond" w:hAnsi="Garamond" w:cs="Arial"/>
          <w:sz w:val="22"/>
          <w:szCs w:val="22"/>
        </w:rPr>
        <w:t>D</w:t>
      </w:r>
      <w:r w:rsidRPr="0052047F">
        <w:rPr>
          <w:rFonts w:ascii="Garamond" w:hAnsi="Garamond" w:cs="Arial"/>
          <w:sz w:val="22"/>
          <w:szCs w:val="22"/>
        </w:rPr>
        <w:t xml:space="preserve">ental and </w:t>
      </w:r>
      <w:r w:rsidR="00E3538F">
        <w:rPr>
          <w:rFonts w:ascii="Garamond" w:hAnsi="Garamond" w:cs="Arial"/>
          <w:sz w:val="22"/>
          <w:szCs w:val="22"/>
        </w:rPr>
        <w:t>V</w:t>
      </w:r>
      <w:r w:rsidR="00674F32" w:rsidRPr="0052047F">
        <w:rPr>
          <w:rFonts w:ascii="Garamond" w:hAnsi="Garamond" w:cs="Arial"/>
          <w:sz w:val="22"/>
          <w:szCs w:val="22"/>
        </w:rPr>
        <w:t>eterinary</w:t>
      </w:r>
      <w:r w:rsidRPr="0052047F">
        <w:rPr>
          <w:rFonts w:ascii="Garamond" w:hAnsi="Garamond" w:cs="Arial"/>
          <w:sz w:val="22"/>
          <w:szCs w:val="22"/>
        </w:rPr>
        <w:t xml:space="preserve"> </w:t>
      </w:r>
      <w:r w:rsidR="00E3538F">
        <w:rPr>
          <w:rFonts w:ascii="Garamond" w:hAnsi="Garamond" w:cs="Arial"/>
          <w:sz w:val="22"/>
          <w:szCs w:val="22"/>
        </w:rPr>
        <w:t>E</w:t>
      </w:r>
      <w:r w:rsidRPr="0052047F">
        <w:rPr>
          <w:rFonts w:ascii="Garamond" w:hAnsi="Garamond" w:cs="Arial"/>
          <w:sz w:val="22"/>
          <w:szCs w:val="22"/>
        </w:rPr>
        <w:t>ducators from the Academy of Medical Educators</w:t>
      </w:r>
      <w:r w:rsidR="004E0713" w:rsidRPr="0052047F">
        <w:rPr>
          <w:rFonts w:ascii="Garamond" w:hAnsi="Garamond" w:cs="Arial"/>
          <w:sz w:val="22"/>
          <w:szCs w:val="22"/>
        </w:rPr>
        <w:t xml:space="preserve"> </w:t>
      </w:r>
      <w:r w:rsidRPr="0052047F">
        <w:rPr>
          <w:rFonts w:ascii="Garamond" w:hAnsi="Garamond" w:cs="Arial"/>
          <w:sz w:val="22"/>
          <w:szCs w:val="22"/>
        </w:rPr>
        <w:t xml:space="preserve">(AoME) </w:t>
      </w:r>
      <w:r w:rsidR="00344953" w:rsidRPr="0052047F">
        <w:rPr>
          <w:rFonts w:ascii="Garamond" w:hAnsi="Garamond" w:cs="Arial"/>
          <w:sz w:val="22"/>
          <w:szCs w:val="22"/>
        </w:rPr>
        <w:fldChar w:fldCharType="begin" w:fldLock="1"/>
      </w:r>
      <w:r w:rsidR="00F92CB5">
        <w:rPr>
          <w:rFonts w:ascii="Garamond" w:hAnsi="Garamond" w:cs="Arial"/>
          <w:sz w:val="22"/>
          <w:szCs w:val="22"/>
        </w:rPr>
        <w:instrText>ADDIN CSL_CITATION {"citationItems":[{"id":"ITEM-1","itemData":{"author":[{"dropping-particle":"","family":"'Academy of Medical Educators'","given":"","non-dropping-particle":"","parse-names":false,"suffix":""}],"id":"ITEM-1","issued":{"date-parts":[["2022"]]},"publisher-place":"Cardiff","title":"Professional Standards for medical, dental and veterinary educators","type":"report"},"uris":["http://www.mendeley.com/documents/?uuid=92797af6-6093-4057-b09e-7b6bc2d270af"]}],"mendeley":{"formattedCitation":"[16]","plainTextFormattedCitation":"[16]","previouslyFormattedCitation":"[16]"},"properties":{"noteIndex":0},"schema":"https://github.com/citation-style-language/schema/raw/master/csl-citation.json"}</w:instrText>
      </w:r>
      <w:r w:rsidR="00344953" w:rsidRPr="0052047F">
        <w:rPr>
          <w:rFonts w:ascii="Garamond" w:hAnsi="Garamond" w:cs="Arial"/>
          <w:sz w:val="22"/>
          <w:szCs w:val="22"/>
        </w:rPr>
        <w:fldChar w:fldCharType="separate"/>
      </w:r>
      <w:r w:rsidR="00196A95" w:rsidRPr="00196A95">
        <w:rPr>
          <w:rFonts w:ascii="Garamond" w:hAnsi="Garamond" w:cs="Arial"/>
          <w:noProof/>
          <w:sz w:val="22"/>
          <w:szCs w:val="22"/>
        </w:rPr>
        <w:t>[16]</w:t>
      </w:r>
      <w:r w:rsidR="00344953" w:rsidRPr="0052047F">
        <w:rPr>
          <w:rFonts w:ascii="Garamond" w:hAnsi="Garamond" w:cs="Arial"/>
          <w:sz w:val="22"/>
          <w:szCs w:val="22"/>
        </w:rPr>
        <w:fldChar w:fldCharType="end"/>
      </w:r>
      <w:r w:rsidR="004E0713" w:rsidRPr="0052047F">
        <w:rPr>
          <w:rFonts w:ascii="Garamond" w:hAnsi="Garamond" w:cs="Arial"/>
          <w:sz w:val="22"/>
          <w:szCs w:val="22"/>
        </w:rPr>
        <w:t xml:space="preserve">. </w:t>
      </w:r>
      <w:r w:rsidR="00042648" w:rsidRPr="0052047F">
        <w:rPr>
          <w:rFonts w:ascii="Garamond" w:hAnsi="Garamond" w:cs="Arial"/>
          <w:sz w:val="22"/>
          <w:szCs w:val="22"/>
        </w:rPr>
        <w:t xml:space="preserve">Both frameworks position reflection as a core element within their professional values and practice domains, emphasising its role in evaluating the impact of educational practices and informing educators’ ongoing professional </w:t>
      </w:r>
      <w:r w:rsidR="00042648" w:rsidRPr="0052047F">
        <w:rPr>
          <w:rFonts w:ascii="Garamond" w:hAnsi="Garamond" w:cs="Arial"/>
          <w:sz w:val="22"/>
          <w:szCs w:val="22"/>
        </w:rPr>
        <w:lastRenderedPageBreak/>
        <w:t>development.</w:t>
      </w:r>
      <w:r w:rsidR="004A6489">
        <w:rPr>
          <w:rFonts w:ascii="Garamond" w:hAnsi="Garamond" w:cs="Arial"/>
          <w:sz w:val="22"/>
          <w:szCs w:val="22"/>
        </w:rPr>
        <w:t xml:space="preserve"> In addition, reflective practice </w:t>
      </w:r>
      <w:r w:rsidR="00F52AD9">
        <w:rPr>
          <w:rFonts w:ascii="Garamond" w:hAnsi="Garamond" w:cs="Arial"/>
          <w:sz w:val="22"/>
          <w:szCs w:val="22"/>
        </w:rPr>
        <w:t>is also</w:t>
      </w:r>
      <w:r w:rsidR="004A6489">
        <w:rPr>
          <w:rFonts w:ascii="Garamond" w:hAnsi="Garamond" w:cs="Arial"/>
          <w:sz w:val="22"/>
          <w:szCs w:val="22"/>
        </w:rPr>
        <w:t xml:space="preserve"> part of the core learning outcomes for </w:t>
      </w:r>
      <w:r w:rsidR="0065082A">
        <w:rPr>
          <w:rFonts w:ascii="Garamond" w:hAnsi="Garamond" w:cs="Arial"/>
          <w:sz w:val="22"/>
          <w:szCs w:val="22"/>
        </w:rPr>
        <w:t xml:space="preserve">all dental professionals </w:t>
      </w:r>
      <w:r w:rsidR="004A6489">
        <w:rPr>
          <w:rFonts w:ascii="Garamond" w:hAnsi="Garamond" w:cs="Arial"/>
          <w:sz w:val="22"/>
          <w:szCs w:val="22"/>
        </w:rPr>
        <w:t>in the UK, as set by the General Dental Council’s Safe Practitioner Framework</w:t>
      </w:r>
      <w:r w:rsidR="00F92CB5">
        <w:rPr>
          <w:rFonts w:ascii="Garamond" w:hAnsi="Garamond" w:cs="Arial"/>
          <w:sz w:val="22"/>
          <w:szCs w:val="22"/>
        </w:rPr>
        <w:t xml:space="preserve"> </w:t>
      </w:r>
      <w:r w:rsidR="00F92CB5">
        <w:rPr>
          <w:rFonts w:ascii="Garamond" w:hAnsi="Garamond" w:cs="Arial"/>
          <w:sz w:val="22"/>
          <w:szCs w:val="22"/>
        </w:rPr>
        <w:fldChar w:fldCharType="begin" w:fldLock="1"/>
      </w:r>
      <w:r w:rsidR="00F92CB5">
        <w:rPr>
          <w:rFonts w:ascii="Garamond" w:hAnsi="Garamond" w:cs="Arial"/>
          <w:sz w:val="22"/>
          <w:szCs w:val="22"/>
        </w:rPr>
        <w:instrText>ADDIN CSL_CITATION {"citationItems":[{"id":"ITEM-1","itemData":{"URL":"https://www.gdc-uk.org/education-cpd/dental-education/quality-assurance/learning-outcomes-and-behaviours#safe","accessed":{"date-parts":[["2025","6","16"]]},"author":[{"dropping-particle":"","family":"General Dental Council (GDC)","given":"","non-dropping-particle":"","parse-names":false,"suffix":""}],"id":"ITEM-1","issued":{"date-parts":[["2024"]]},"title":"Learning outcomes and behaviours: The Safe Practitioner Framework","type":"webpage"},"uris":["http://www.mendeley.com/documents/?uuid=29f470a4-d2c1-433e-b189-8a46d7baafad"]}],"mendeley":{"formattedCitation":"[17]","plainTextFormattedCitation":"[17]","previouslyFormattedCitation":"[17]"},"properties":{"noteIndex":0},"schema":"https://github.com/citation-style-language/schema/raw/master/csl-citation.json"}</w:instrText>
      </w:r>
      <w:r w:rsidR="00F92CB5">
        <w:rPr>
          <w:rFonts w:ascii="Garamond" w:hAnsi="Garamond" w:cs="Arial"/>
          <w:sz w:val="22"/>
          <w:szCs w:val="22"/>
        </w:rPr>
        <w:fldChar w:fldCharType="separate"/>
      </w:r>
      <w:r w:rsidR="00F92CB5" w:rsidRPr="00F92CB5">
        <w:rPr>
          <w:rFonts w:ascii="Garamond" w:hAnsi="Garamond" w:cs="Arial"/>
          <w:noProof/>
          <w:sz w:val="22"/>
          <w:szCs w:val="22"/>
        </w:rPr>
        <w:t>[17]</w:t>
      </w:r>
      <w:r w:rsidR="00F92CB5">
        <w:rPr>
          <w:rFonts w:ascii="Garamond" w:hAnsi="Garamond" w:cs="Arial"/>
          <w:sz w:val="22"/>
          <w:szCs w:val="22"/>
        </w:rPr>
        <w:fldChar w:fldCharType="end"/>
      </w:r>
      <w:r w:rsidR="004A6489">
        <w:rPr>
          <w:rFonts w:ascii="Garamond" w:hAnsi="Garamond" w:cs="Arial"/>
          <w:sz w:val="22"/>
          <w:szCs w:val="22"/>
        </w:rPr>
        <w:t>, specifically in the subdomain of Reflection, Continued, and Self-Directed Learning</w:t>
      </w:r>
      <w:r w:rsidR="000E5DAE">
        <w:rPr>
          <w:rFonts w:ascii="Garamond" w:hAnsi="Garamond" w:cs="Arial"/>
          <w:sz w:val="22"/>
          <w:szCs w:val="22"/>
        </w:rPr>
        <w:t xml:space="preserve"> </w:t>
      </w:r>
      <w:r w:rsidR="000E5DAE">
        <w:rPr>
          <w:rFonts w:ascii="Garamond" w:hAnsi="Garamond" w:cs="Arial"/>
          <w:sz w:val="22"/>
          <w:szCs w:val="22"/>
        </w:rPr>
        <w:fldChar w:fldCharType="begin" w:fldLock="1"/>
      </w:r>
      <w:r w:rsidR="000E5DAE">
        <w:rPr>
          <w:rFonts w:ascii="Garamond" w:hAnsi="Garamond" w:cs="Arial"/>
          <w:sz w:val="22"/>
          <w:szCs w:val="22"/>
        </w:rPr>
        <w:instrText>ADDIN CSL_CITATION {"citationItems":[{"id":"ITEM-1","itemData":{"author":[{"dropping-particle":"","family":"General Dental Council (GDC)","given":"","non-dropping-particle":"","parse-names":false,"suffix":""}],"id":"ITEM-1","issued":{"date-parts":[["2023"]]},"publisher-place":"London","title":"The Safe Practitioner: A framework of behaviours and outcomes for dental professional education (Dentist).","type":"report"},"uris":["http://www.mendeley.com/documents/?uuid=e63fc0b8-f428-4dbf-90fd-739cae2cf585"]}],"mendeley":{"formattedCitation":"[2]","plainTextFormattedCitation":"[2]","previouslyFormattedCitation":"[2]"},"properties":{"noteIndex":0},"schema":"https://github.com/citation-style-language/schema/raw/master/csl-citation.json"}</w:instrText>
      </w:r>
      <w:r w:rsidR="000E5DAE">
        <w:rPr>
          <w:rFonts w:ascii="Garamond" w:hAnsi="Garamond" w:cs="Arial"/>
          <w:sz w:val="22"/>
          <w:szCs w:val="22"/>
        </w:rPr>
        <w:fldChar w:fldCharType="separate"/>
      </w:r>
      <w:r w:rsidR="000E5DAE" w:rsidRPr="00F87E3A">
        <w:rPr>
          <w:rFonts w:ascii="Garamond" w:hAnsi="Garamond" w:cs="Arial"/>
          <w:noProof/>
          <w:sz w:val="22"/>
          <w:szCs w:val="22"/>
        </w:rPr>
        <w:t>[2]</w:t>
      </w:r>
      <w:r w:rsidR="000E5DAE">
        <w:rPr>
          <w:rFonts w:ascii="Garamond" w:hAnsi="Garamond" w:cs="Arial"/>
          <w:sz w:val="22"/>
          <w:szCs w:val="22"/>
        </w:rPr>
        <w:fldChar w:fldCharType="end"/>
      </w:r>
      <w:r w:rsidR="004A6489">
        <w:rPr>
          <w:rFonts w:ascii="Garamond" w:hAnsi="Garamond" w:cs="Arial"/>
          <w:sz w:val="22"/>
          <w:szCs w:val="22"/>
        </w:rPr>
        <w:t xml:space="preserve">. These learning outcomes emphasise the importance of describing an appropriate model for self-reflection in professional development and link reflective practice with dental practitioners’ ongoing improvement. </w:t>
      </w:r>
      <w:r w:rsidR="00B57B14" w:rsidRPr="00B57B14">
        <w:rPr>
          <w:rFonts w:ascii="Garamond" w:hAnsi="Garamond" w:cs="Arial"/>
          <w:sz w:val="22"/>
          <w:szCs w:val="22"/>
        </w:rPr>
        <w:t xml:space="preserve">Within these frameworks, reflection can be documented in various forms, including personal </w:t>
      </w:r>
      <w:r w:rsidR="004C10ED">
        <w:rPr>
          <w:rFonts w:ascii="Garamond" w:hAnsi="Garamond" w:cs="Arial"/>
          <w:sz w:val="22"/>
          <w:szCs w:val="22"/>
        </w:rPr>
        <w:t>continuing professional development (</w:t>
      </w:r>
      <w:r w:rsidR="00B57B14" w:rsidRPr="00B57B14">
        <w:rPr>
          <w:rFonts w:ascii="Garamond" w:hAnsi="Garamond" w:cs="Arial"/>
          <w:sz w:val="22"/>
          <w:szCs w:val="22"/>
        </w:rPr>
        <w:t>CPD</w:t>
      </w:r>
      <w:r w:rsidR="004C10ED">
        <w:rPr>
          <w:rFonts w:ascii="Garamond" w:hAnsi="Garamond" w:cs="Arial"/>
          <w:sz w:val="22"/>
          <w:szCs w:val="22"/>
        </w:rPr>
        <w:t>)</w:t>
      </w:r>
      <w:r w:rsidR="00B57B14" w:rsidRPr="00B57B14">
        <w:rPr>
          <w:rFonts w:ascii="Garamond" w:hAnsi="Garamond" w:cs="Arial"/>
          <w:sz w:val="22"/>
          <w:szCs w:val="22"/>
        </w:rPr>
        <w:t xml:space="preserve"> notes, appraisal/training portfolios, reflective case studies,</w:t>
      </w:r>
      <w:r w:rsidR="002C3696">
        <w:rPr>
          <w:rFonts w:ascii="Garamond" w:hAnsi="Garamond" w:cs="Arial"/>
          <w:sz w:val="22"/>
          <w:szCs w:val="22"/>
        </w:rPr>
        <w:t xml:space="preserve"> reflective journals</w:t>
      </w:r>
      <w:r w:rsidR="00B57B14" w:rsidRPr="00B57B14">
        <w:rPr>
          <w:rFonts w:ascii="Garamond" w:hAnsi="Garamond" w:cs="Arial"/>
          <w:sz w:val="22"/>
          <w:szCs w:val="22"/>
        </w:rPr>
        <w:t xml:space="preserve"> and workplace-based evaluations. This documentation should focus on analytical thinking, insights gained from discussions or experiences, and action planning, emphasising the learning derived from events rather than merely superficially describing specific cases. However, without proper guidance and </w:t>
      </w:r>
      <w:r w:rsidR="00F52AD9">
        <w:rPr>
          <w:rFonts w:ascii="Garamond" w:hAnsi="Garamond" w:cs="Arial"/>
          <w:sz w:val="22"/>
          <w:szCs w:val="22"/>
        </w:rPr>
        <w:t>direction</w:t>
      </w:r>
      <w:r w:rsidR="00B57B14" w:rsidRPr="00B57B14">
        <w:rPr>
          <w:rFonts w:ascii="Garamond" w:hAnsi="Garamond" w:cs="Arial"/>
          <w:sz w:val="22"/>
          <w:szCs w:val="22"/>
        </w:rPr>
        <w:t xml:space="preserve"> on how to reflect effectively, it is common for reflection notes to be anecdotal and lack meaningful insights. </w:t>
      </w:r>
    </w:p>
    <w:p w14:paraId="52E32ADF" w14:textId="436AAC82" w:rsidR="00B57B14" w:rsidRDefault="000E5DAE" w:rsidP="000E5DAE">
      <w:pPr>
        <w:spacing w:line="480" w:lineRule="auto"/>
        <w:ind w:firstLine="800"/>
        <w:jc w:val="both"/>
        <w:rPr>
          <w:rFonts w:ascii="Garamond" w:hAnsi="Garamond" w:cs="Arial"/>
          <w:sz w:val="22"/>
          <w:szCs w:val="22"/>
        </w:rPr>
      </w:pPr>
      <w:r w:rsidRPr="00A92872">
        <w:rPr>
          <w:rFonts w:ascii="Garamond" w:hAnsi="Garamond" w:cs="Arial"/>
          <w:sz w:val="22"/>
          <w:szCs w:val="22"/>
        </w:rPr>
        <w:t xml:space="preserve">Although reflective practice is endorsed by regulatory frameworks and professional standards, its implementation across dental education remains inconsistent. In the UK, a recent evaluation by Campbell </w:t>
      </w:r>
      <w:r>
        <w:rPr>
          <w:rFonts w:ascii="Garamond" w:hAnsi="Garamond" w:cs="Arial"/>
          <w:sz w:val="22"/>
          <w:szCs w:val="22"/>
        </w:rPr>
        <w:t xml:space="preserve">et al </w:t>
      </w:r>
      <w:r>
        <w:rPr>
          <w:rFonts w:ascii="Garamond" w:hAnsi="Garamond" w:cs="Arial"/>
          <w:sz w:val="22"/>
          <w:szCs w:val="22"/>
        </w:rPr>
        <w:fldChar w:fldCharType="begin" w:fldLock="1"/>
      </w:r>
      <w:r>
        <w:rPr>
          <w:rFonts w:ascii="Garamond" w:hAnsi="Garamond" w:cs="Arial"/>
          <w:sz w:val="22"/>
          <w:szCs w:val="22"/>
        </w:rPr>
        <w:instrText>ADDIN CSL_CITATION {"citationItems":[{"id":"ITEM-1","itemData":{"ISSN":"2304-6767","author":[{"dropping-particle":"","family":"Campbell","given":"Faith","non-dropping-particle":"","parse-names":false,"suffix":""},{"dropping-particle":"","family":"Jack","given":"Kirsten","non-dropping-particle":"","parse-names":false,"suffix":""},{"dropping-particle":"","family":"Rogers","given":"Helen","non-dropping-particle":"","parse-names":false,"suffix":""}],"container-title":"Dentistry journal","id":"ITEM-1","issue":"1","issued":{"date-parts":[["2021"]]},"page":"1","publisher":"MDPI","title":"A qualitative exploration of existing reflective practices used by undergraduate dental students in paediatric dentistry","type":"article-journal","volume":"10"},"uris":["http://www.mendeley.com/documents/?uuid=0bfe4e1d-8beb-4835-b627-d2172ca05de7"]}],"mendeley":{"formattedCitation":"[18]","plainTextFormattedCitation":"[18]","previouslyFormattedCitation":"[18]"},"properties":{"noteIndex":0},"schema":"https://github.com/citation-style-language/schema/raw/master/csl-citation.json"}</w:instrText>
      </w:r>
      <w:r>
        <w:rPr>
          <w:rFonts w:ascii="Garamond" w:hAnsi="Garamond" w:cs="Arial"/>
          <w:sz w:val="22"/>
          <w:szCs w:val="22"/>
        </w:rPr>
        <w:fldChar w:fldCharType="separate"/>
      </w:r>
      <w:r w:rsidRPr="00A7134C">
        <w:rPr>
          <w:rFonts w:ascii="Garamond" w:hAnsi="Garamond" w:cs="Arial"/>
          <w:noProof/>
          <w:sz w:val="22"/>
          <w:szCs w:val="22"/>
        </w:rPr>
        <w:t>[18]</w:t>
      </w:r>
      <w:r>
        <w:rPr>
          <w:rFonts w:ascii="Garamond" w:hAnsi="Garamond" w:cs="Arial"/>
          <w:sz w:val="22"/>
          <w:szCs w:val="22"/>
        </w:rPr>
        <w:fldChar w:fldCharType="end"/>
      </w:r>
      <w:r w:rsidRPr="00A92872">
        <w:rPr>
          <w:rFonts w:ascii="Garamond" w:hAnsi="Garamond" w:cs="Arial"/>
          <w:sz w:val="22"/>
          <w:szCs w:val="22"/>
        </w:rPr>
        <w:t xml:space="preserve"> revealed that dental educators’ engagement with reflective practice was largely informal and self-directed, with limited structured support from institutions. This observation aligns with broader trends reported in health professions education, where reflective models are more frequently adopted by motivated individuals rather than embedded within institutional processes </w:t>
      </w:r>
      <w:r>
        <w:rPr>
          <w:rFonts w:ascii="Garamond" w:hAnsi="Garamond" w:cs="Arial"/>
          <w:sz w:val="22"/>
          <w:szCs w:val="22"/>
        </w:rPr>
        <w:fldChar w:fldCharType="begin" w:fldLock="1"/>
      </w:r>
      <w:r>
        <w:rPr>
          <w:rFonts w:ascii="Garamond" w:hAnsi="Garamond" w:cs="Arial"/>
          <w:sz w:val="22"/>
          <w:szCs w:val="22"/>
        </w:rPr>
        <w:instrText>ADDIN CSL_CITATION {"citationItems":[{"id":"ITEM-1","itemData":{"ISSN":"1382-4996","author":[{"dropping-particle":"","family":"Mann","given":"Karen","non-dropping-particle":"","parse-names":false,"suffix":""},{"dropping-particle":"","family":"Gordon","given":"Jill","non-dropping-particle":"","parse-names":false,"suffix":""},{"dropping-particle":"","family":"MacLeod","given":"Anna","non-dropping-particle":"","parse-names":false,"suffix":""}],"container-title":"Advances in health sciences education","id":"ITEM-1","issued":{"date-parts":[["2009"]]},"page":"595-621","publisher":"Springer","title":"Reflection and reflective practice in health professions education: a systematic review","type":"article-journal","volume":"14"},"uris":["http://www.mendeley.com/documents/?uuid=e87d74ea-8c26-4a44-b86e-b9c12958c83d"]},{"id":"ITEM-2","itemData":{"ISSN":"0142159X","abstract":"Reflection is a metacognitive process that creates a greater understanding of both the self and the situation so that future actions can be informed by this understanding. Self-regulated and lifelong learning have reflection as an essential aspect, and it is also required to develop both a therapeutic relationship and professional expertise. There are a variety of educational approaches in undergraduate, postgraduate and continuing medical education that can be used to facilitate reflection, from text based reflective journals and critical incident reports to the creative use of digital media and storytelling. The choice of approach varies with the intended outcomes, but it should also be determined by the user since everyone has a preferred style. Guided reflection, with supportive challenge from a mentor or facilitator, is important so that underlying assumptions can be challenged and new perspectives considered. Feedback also has an important role to enhance reflection. There is little research evidence to suggest that reflection improves quality of care but the process of care can be enhanced. [ABSTRACT FROM AUTHOR]","author":[{"dropping-particle":"","family":"Sandars","given":"John","non-dropping-particle":"","parse-names":false,"suffix":""}],"container-title":"Medical Teacher","id":"ITEM-2","issue":"8","issued":{"date-parts":[["2009","8"]]},"note":"Accession Number: 43662099; Sandars, John 1; Email Address: j.e.sandars@leeds.ac.uk; Source Information: Aug2009, Vol. 31 Issue 8, p685; Subject: METACOGNITIVE therapy; Subject: MEDICAL education; Subject: KNOWLEDGE base; Subject: SELF-perception; Subject: METACOGNITION; Subject: PROFESSIONAL education; Subject: DIGITAL media; Subject: LEARNING; Subject: DIGITAL communications -- Universities &amp;amp; colleges; Number of Pages: 11p; Illustrations: 2 Diagrams, 3 Charts; Document Type: Article","page":"685-695","publisher":"Taylor &amp; Francis Ltd","title":"The use of reflection in medical education: AMEE Guide No. 44.","type":"article-journal","volume":"31"},"uris":["http://www.mendeley.com/documents/?uuid=6f159a81-d487-4679-8851-dbb4f879f1f1"]}],"mendeley":{"formattedCitation":"[5,19]","plainTextFormattedCitation":"[5,19]","previouslyFormattedCitation":"[5,19]"},"properties":{"noteIndex":0},"schema":"https://github.com/citation-style-language/schema/raw/master/csl-citation.json"}</w:instrText>
      </w:r>
      <w:r>
        <w:rPr>
          <w:rFonts w:ascii="Garamond" w:hAnsi="Garamond" w:cs="Arial"/>
          <w:sz w:val="22"/>
          <w:szCs w:val="22"/>
        </w:rPr>
        <w:fldChar w:fldCharType="separate"/>
      </w:r>
      <w:r w:rsidRPr="00A7134C">
        <w:rPr>
          <w:rFonts w:ascii="Garamond" w:hAnsi="Garamond" w:cs="Arial"/>
          <w:noProof/>
          <w:sz w:val="22"/>
          <w:szCs w:val="22"/>
        </w:rPr>
        <w:t>[5,19]</w:t>
      </w:r>
      <w:r>
        <w:rPr>
          <w:rFonts w:ascii="Garamond" w:hAnsi="Garamond" w:cs="Arial"/>
          <w:sz w:val="22"/>
          <w:szCs w:val="22"/>
        </w:rPr>
        <w:fldChar w:fldCharType="end"/>
      </w:r>
      <w:r w:rsidRPr="00A92872">
        <w:rPr>
          <w:rFonts w:ascii="Garamond" w:hAnsi="Garamond" w:cs="Arial"/>
          <w:sz w:val="22"/>
          <w:szCs w:val="22"/>
        </w:rPr>
        <w:t xml:space="preserve">. In contrast, evidence from medical education indicates that structured, supported approaches to reflection—particularly when institutionally endorsed—can enhance educator engagement and the depth of reflection </w:t>
      </w:r>
      <w:r>
        <w:rPr>
          <w:rFonts w:ascii="Garamond" w:hAnsi="Garamond" w:cs="Arial"/>
          <w:sz w:val="22"/>
          <w:szCs w:val="22"/>
        </w:rPr>
        <w:fldChar w:fldCharType="begin" w:fldLock="1"/>
      </w:r>
      <w:r>
        <w:rPr>
          <w:rFonts w:ascii="Garamond" w:hAnsi="Garamond" w:cs="Arial"/>
          <w:sz w:val="22"/>
          <w:szCs w:val="22"/>
        </w:rPr>
        <w:instrText>ADDIN CSL_CITATION {"citationItems":[{"id":"ITEM-1","itemData":{"DOI":"10.3109/0142159X.2010.507714","ISSN":"0142-159X","abstract":"Background: Review of studies published in medical education journals over the last decade reveals a diversity of pedagogical approaches and educational goals related to teaching reflection. Aim: The following tips outline an approach to the design, implementation, and evaluation of reflection in medical education. Method: The method is based on the available literature and the author's experience. They are organized in the sequence that an educator might use in developing a reflective activity. Results: The 12 tips provide guidance from conceptualization and structure of the reflective exercise to implementation and feedback and assessment. The final tip relates to the development of the faculty member's own reflective ability. Conclusion: With a better understanding of the conceptual frameworks underlying critical reflection and greater advance planning, medical educators will be able to create exercises and longitudinal curricula that not only enable greater learning from the experience being reflected upon but also develop reflective skills for life-long learning.","author":[{"dropping-particle":"","family":"Aronson","given":"Louise","non-dropping-particle":"","parse-names":false,"suffix":""}],"container-title":"Medical Teacher","id":"ITEM-1","issue":"3","issued":{"date-parts":[["2011","3","1"]]},"note":"doi: 10.3109/0142159X.2010.507714","page":"200-205","publisher":"Taylor &amp; Francis","title":"Twelve tips for teaching reflection at all levels of medical education","type":"article-journal","volume":"33"},"uris":["http://www.mendeley.com/documents/?uuid=c7abd065-3c09-4713-acf2-ae6fb6ae52b4"]}],"mendeley":{"formattedCitation":"[20]","plainTextFormattedCitation":"[20]","previouslyFormattedCitation":"[20]"},"properties":{"noteIndex":0},"schema":"https://github.com/citation-style-language/schema/raw/master/csl-citation.json"}</w:instrText>
      </w:r>
      <w:r>
        <w:rPr>
          <w:rFonts w:ascii="Garamond" w:hAnsi="Garamond" w:cs="Arial"/>
          <w:sz w:val="22"/>
          <w:szCs w:val="22"/>
        </w:rPr>
        <w:fldChar w:fldCharType="separate"/>
      </w:r>
      <w:r w:rsidRPr="00DF1C28">
        <w:rPr>
          <w:rFonts w:ascii="Garamond" w:hAnsi="Garamond" w:cs="Arial"/>
          <w:noProof/>
          <w:sz w:val="22"/>
          <w:szCs w:val="22"/>
        </w:rPr>
        <w:t>[20]</w:t>
      </w:r>
      <w:r>
        <w:rPr>
          <w:rFonts w:ascii="Garamond" w:hAnsi="Garamond" w:cs="Arial"/>
          <w:sz w:val="22"/>
          <w:szCs w:val="22"/>
        </w:rPr>
        <w:fldChar w:fldCharType="end"/>
      </w:r>
      <w:r w:rsidRPr="00A92872">
        <w:rPr>
          <w:rFonts w:ascii="Garamond" w:hAnsi="Garamond" w:cs="Arial"/>
          <w:sz w:val="22"/>
          <w:szCs w:val="22"/>
        </w:rPr>
        <w:t>. These insights suggest that clearer institutional guidance and integration of reflective models into professional development frameworks could help foster more consistent and meaningful reflection among dental educators.</w:t>
      </w:r>
      <w:r>
        <w:rPr>
          <w:rFonts w:ascii="Garamond" w:hAnsi="Garamond" w:cs="Arial"/>
          <w:sz w:val="22"/>
          <w:szCs w:val="22"/>
        </w:rPr>
        <w:t xml:space="preserve"> </w:t>
      </w:r>
      <w:r w:rsidR="00B57B14" w:rsidRPr="00B57B14">
        <w:rPr>
          <w:rFonts w:ascii="Garamond" w:hAnsi="Garamond" w:cs="Arial"/>
          <w:sz w:val="22"/>
          <w:szCs w:val="22"/>
        </w:rPr>
        <w:t>This gap contributes to the reluctance of some individuals to engage in reflective practice</w:t>
      </w:r>
      <w:r w:rsidR="00B57B14">
        <w:rPr>
          <w:rFonts w:ascii="Garamond" w:hAnsi="Garamond" w:cs="Arial"/>
          <w:sz w:val="22"/>
          <w:szCs w:val="22"/>
        </w:rPr>
        <w:t xml:space="preserve"> </w:t>
      </w:r>
      <w:r w:rsidR="00B57B14" w:rsidRPr="0052047F">
        <w:rPr>
          <w:rFonts w:ascii="Garamond" w:hAnsi="Garamond" w:cs="Arial"/>
          <w:color w:val="000000"/>
          <w:sz w:val="22"/>
          <w:szCs w:val="22"/>
        </w:rPr>
        <w:fldChar w:fldCharType="begin" w:fldLock="1"/>
      </w:r>
      <w:r w:rsidR="00B57B14" w:rsidRPr="0052047F">
        <w:rPr>
          <w:rFonts w:ascii="Garamond" w:hAnsi="Garamond" w:cs="Arial"/>
          <w:color w:val="000000"/>
          <w:sz w:val="22"/>
          <w:szCs w:val="22"/>
        </w:rPr>
        <w:instrText>ADDIN CSL_CITATION {"citationItems":[{"id":"ITEM-1","itemData":{"DOI":"10.1080/0142159X.2023.2259071","ISSN":"0142-159X","abstract":"Reflective practice is an essential aspect of the professional development of all health professions educators, with the intention to enhance both learning and teaching. This Guide presents an overview of reflective practice for educators and provides a practical and developmental reflective practice approach for health professions educators. The importance of structured thinking frameworks to stimulate greater understanding of both learning and teaching situations is highlighted. Medical Educator Reflective Practice Sets (MERPS) is an innovative approach for enhancing learning and teaching in health professions education that integrates lesson study and action learning. The key features of the approach are participation in three collaborative sessions, the use of structured thinking frameworks, and solution-focussed teaching in response to the identified problem. The MERPS approach is flexible and can be adapted for implementation across the continuum of health professions education, from undergraduate to postgraduate and continuing professional development.","author":[{"dropping-particle":"","family":"Sandars","given":"John","non-dropping-particle":"","parse-names":false,"suffix":""},{"dropping-particle":"","family":"Allan","given":"David","non-dropping-particle":"","parse-names":false,"suffix":""},{"dropping-particle":"","family":"Price","given":"Jim","non-dropping-particle":"","parse-names":false,"suffix":""}],"container-title":"Medical Teacher","id":"ITEM-1","issue":"7","issued":{"date-parts":[["2024","7","2"]]},"note":"doi: 10.1080/0142159X.2023.2259071","page":"864-873","publisher":"Taylor &amp; Francis","title":"Reflective practice by health professions educators to enhance learning and teaching: AMEE Guide No. 166","type":"article-journal","volume":"46"},"uris":["http://www.mendeley.com/documents/?uuid=fe3913b1-3c35-4086-9f39-447bcef5d308"]}],"mendeley":{"formattedCitation":"[1]","plainTextFormattedCitation":"[1]","previouslyFormattedCitation":"[1]"},"properties":{"noteIndex":0},"schema":"https://github.com/citation-style-language/schema/raw/master/csl-citation.json"}</w:instrText>
      </w:r>
      <w:r w:rsidR="00B57B14" w:rsidRPr="0052047F">
        <w:rPr>
          <w:rFonts w:ascii="Garamond" w:hAnsi="Garamond" w:cs="Arial"/>
          <w:color w:val="000000"/>
          <w:sz w:val="22"/>
          <w:szCs w:val="22"/>
        </w:rPr>
        <w:fldChar w:fldCharType="separate"/>
      </w:r>
      <w:r w:rsidR="00B57B14" w:rsidRPr="0052047F">
        <w:rPr>
          <w:rFonts w:ascii="Garamond" w:hAnsi="Garamond" w:cs="Arial"/>
          <w:noProof/>
          <w:color w:val="000000"/>
          <w:sz w:val="22"/>
          <w:szCs w:val="22"/>
        </w:rPr>
        <w:t>[1]</w:t>
      </w:r>
      <w:r w:rsidR="00B57B14" w:rsidRPr="0052047F">
        <w:rPr>
          <w:rFonts w:ascii="Garamond" w:hAnsi="Garamond" w:cs="Arial"/>
          <w:color w:val="000000"/>
          <w:sz w:val="22"/>
          <w:szCs w:val="22"/>
        </w:rPr>
        <w:fldChar w:fldCharType="end"/>
      </w:r>
      <w:r w:rsidR="00B57B14" w:rsidRPr="00B57B14">
        <w:rPr>
          <w:rFonts w:ascii="Garamond" w:hAnsi="Garamond" w:cs="Arial"/>
          <w:sz w:val="22"/>
          <w:szCs w:val="22"/>
        </w:rPr>
        <w:t xml:space="preserve">. To address this issue and enhance the quality of reflection, several structured approaches and reflective models have been developed. These </w:t>
      </w:r>
      <w:r w:rsidR="00163E84">
        <w:rPr>
          <w:rFonts w:ascii="Garamond" w:hAnsi="Garamond" w:cs="Arial"/>
          <w:sz w:val="22"/>
          <w:szCs w:val="22"/>
        </w:rPr>
        <w:t>models</w:t>
      </w:r>
      <w:r w:rsidR="00B57B14" w:rsidRPr="00B57B14">
        <w:rPr>
          <w:rFonts w:ascii="Garamond" w:hAnsi="Garamond" w:cs="Arial"/>
          <w:sz w:val="22"/>
          <w:szCs w:val="22"/>
        </w:rPr>
        <w:t xml:space="preserve"> assist practitioners</w:t>
      </w:r>
      <w:r w:rsidR="00F87E3A">
        <w:rPr>
          <w:rFonts w:ascii="Garamond" w:hAnsi="Garamond" w:cs="Arial"/>
          <w:sz w:val="22"/>
          <w:szCs w:val="22"/>
        </w:rPr>
        <w:t xml:space="preserve"> and educators</w:t>
      </w:r>
      <w:r w:rsidR="00B57B14" w:rsidRPr="00B57B14">
        <w:rPr>
          <w:rFonts w:ascii="Garamond" w:hAnsi="Garamond" w:cs="Arial"/>
          <w:sz w:val="22"/>
          <w:szCs w:val="22"/>
        </w:rPr>
        <w:t xml:space="preserve"> in engaging in deeper and more meaningful reflection, ultimately facilitating their professional growth and development.</w:t>
      </w:r>
    </w:p>
    <w:p w14:paraId="6E5BAA82" w14:textId="41B88E1A" w:rsidR="007B3760" w:rsidRDefault="00EF285E" w:rsidP="002E6DA4">
      <w:pPr>
        <w:spacing w:line="480" w:lineRule="auto"/>
        <w:ind w:firstLine="800"/>
        <w:jc w:val="both"/>
        <w:rPr>
          <w:rFonts w:ascii="Garamond" w:hAnsi="Garamond" w:cs="Arial"/>
          <w:bCs/>
          <w:sz w:val="22"/>
          <w:szCs w:val="22"/>
        </w:rPr>
      </w:pPr>
      <w:r w:rsidRPr="00EF285E">
        <w:rPr>
          <w:rFonts w:ascii="Garamond" w:hAnsi="Garamond" w:cs="Arial"/>
          <w:bCs/>
          <w:sz w:val="22"/>
          <w:szCs w:val="22"/>
        </w:rPr>
        <w:t xml:space="preserve">Recognising the importance of reflection for clinical educators’ professional development and the need to facilitate reflective practice, this commentary explores four of the most widely used structured </w:t>
      </w:r>
      <w:r w:rsidRPr="00EF285E">
        <w:rPr>
          <w:rFonts w:ascii="Garamond" w:hAnsi="Garamond" w:cs="Arial"/>
          <w:bCs/>
          <w:sz w:val="22"/>
          <w:szCs w:val="22"/>
        </w:rPr>
        <w:lastRenderedPageBreak/>
        <w:t>reflection models</w:t>
      </w:r>
      <w:r w:rsidR="004C10ED" w:rsidRPr="004C10ED">
        <w:rPr>
          <w:rFonts w:ascii="Garamond" w:hAnsi="Garamond" w:cs="Arial"/>
          <w:bCs/>
          <w:sz w:val="22"/>
          <w:szCs w:val="22"/>
        </w:rPr>
        <w:t xml:space="preserve">. </w:t>
      </w:r>
      <w:r w:rsidRPr="00EF285E">
        <w:rPr>
          <w:rFonts w:ascii="Garamond" w:hAnsi="Garamond" w:cs="Arial"/>
          <w:bCs/>
          <w:sz w:val="22"/>
          <w:szCs w:val="22"/>
        </w:rPr>
        <w:t>We examine their transferability and practical applications to dental education,</w:t>
      </w:r>
      <w:r w:rsidR="004C10ED" w:rsidRPr="004C10ED">
        <w:rPr>
          <w:rFonts w:ascii="Garamond" w:hAnsi="Garamond" w:cs="Arial"/>
          <w:bCs/>
          <w:sz w:val="22"/>
          <w:szCs w:val="22"/>
        </w:rPr>
        <w:t xml:space="preserve"> focusing on Gibbs' Reflective Cycle</w:t>
      </w:r>
      <w:r w:rsidR="004C10ED">
        <w:rPr>
          <w:rFonts w:ascii="Garamond" w:hAnsi="Garamond" w:cs="Arial"/>
          <w:bCs/>
          <w:sz w:val="22"/>
          <w:szCs w:val="22"/>
        </w:rPr>
        <w:t xml:space="preserve"> </w:t>
      </w:r>
      <w:r w:rsidR="004C10ED" w:rsidRPr="004C10ED">
        <w:rPr>
          <w:rFonts w:ascii="Garamond" w:hAnsi="Garamond"/>
          <w:b/>
          <w:spacing w:val="-2"/>
          <w:sz w:val="22"/>
          <w:szCs w:val="22"/>
        </w:rPr>
        <w:fldChar w:fldCharType="begin" w:fldLock="1"/>
      </w:r>
      <w:r w:rsidR="005A09D1">
        <w:rPr>
          <w:rFonts w:ascii="Garamond" w:hAnsi="Garamond"/>
          <w:b/>
          <w:spacing w:val="-2"/>
          <w:sz w:val="22"/>
          <w:szCs w:val="22"/>
        </w:rPr>
        <w:instrText>ADDIN CSL_CITATION {"citationItems":[{"id":"ITEM-1","itemData":{"ISBN":"9781853380716","author":[{"dropping-particle":"","family":"Gibbs","given":"G","non-dropping-particle":"","parse-names":false,"suffix":""},{"dropping-particle":"","family":"Unit","given":"Great Britain. Further Education","non-dropping-particle":"","parse-names":false,"suffix":""}],"id":"ITEM-1","issued":{"date-parts":[["1988"]]},"publisher":"FEU","title":"Learning by Doing: A Guide to Teaching and Learning Methods","type":"book"},"uris":["http://www.mendeley.com/documents/?uuid=3ba17878-e91b-447b-9640-a7baa2013ef3"]}],"mendeley":{"formattedCitation":"[21]","plainTextFormattedCitation":"[21]","previouslyFormattedCitation":"[21]"},"properties":{"noteIndex":0},"schema":"https://github.com/citation-style-language/schema/raw/master/csl-citation.json"}</w:instrText>
      </w:r>
      <w:r w:rsidR="004C10ED" w:rsidRPr="004C10ED">
        <w:rPr>
          <w:rFonts w:ascii="Garamond" w:hAnsi="Garamond"/>
          <w:b/>
          <w:spacing w:val="-2"/>
          <w:sz w:val="22"/>
          <w:szCs w:val="22"/>
        </w:rPr>
        <w:fldChar w:fldCharType="separate"/>
      </w:r>
      <w:r w:rsidR="00DF1C28" w:rsidRPr="00DF1C28">
        <w:rPr>
          <w:rFonts w:ascii="Garamond" w:hAnsi="Garamond"/>
          <w:noProof/>
          <w:spacing w:val="-2"/>
          <w:sz w:val="22"/>
          <w:szCs w:val="22"/>
        </w:rPr>
        <w:t>[21]</w:t>
      </w:r>
      <w:r w:rsidR="004C10ED" w:rsidRPr="004C10ED">
        <w:rPr>
          <w:rFonts w:ascii="Garamond" w:hAnsi="Garamond"/>
          <w:b/>
          <w:spacing w:val="-2"/>
          <w:sz w:val="22"/>
          <w:szCs w:val="22"/>
        </w:rPr>
        <w:fldChar w:fldCharType="end"/>
      </w:r>
      <w:r w:rsidR="004C10ED" w:rsidRPr="004C10ED">
        <w:rPr>
          <w:rFonts w:ascii="Garamond" w:hAnsi="Garamond" w:cs="Arial"/>
          <w:bCs/>
          <w:sz w:val="22"/>
          <w:szCs w:val="22"/>
        </w:rPr>
        <w:t>, Kolb’s Experiential Learning Cycle</w:t>
      </w:r>
      <w:r w:rsidR="004C10ED">
        <w:rPr>
          <w:rFonts w:ascii="Garamond" w:hAnsi="Garamond" w:cs="Arial"/>
          <w:bCs/>
          <w:sz w:val="22"/>
          <w:szCs w:val="22"/>
        </w:rPr>
        <w:t xml:space="preserve"> </w:t>
      </w:r>
      <w:r w:rsidR="004C10ED" w:rsidRPr="004C10ED">
        <w:rPr>
          <w:rFonts w:ascii="Garamond" w:hAnsi="Garamond" w:cs="Arial"/>
          <w:b/>
          <w:bCs/>
          <w:sz w:val="22"/>
          <w:szCs w:val="22"/>
        </w:rPr>
        <w:fldChar w:fldCharType="begin" w:fldLock="1"/>
      </w:r>
      <w:r w:rsidR="005A09D1">
        <w:rPr>
          <w:rFonts w:ascii="Garamond" w:hAnsi="Garamond" w:cs="Arial"/>
          <w:b/>
          <w:bCs/>
          <w:sz w:val="22"/>
          <w:szCs w:val="22"/>
        </w:rPr>
        <w:instrText>ADDIN CSL_CITATION {"citationItems":[{"id":"ITEM-1","itemData":{"ISBN":"9780133892406","author":[{"dropping-particle":"","family":"Kolb","given":"D A","non-dropping-particle":"","parse-names":false,"suffix":""}],"id":"ITEM-1","issued":{"date-parts":[["2015"]]},"publisher":"Pearson Education","title":"Experiential Learning: Experience as the Source of Learning and Development","type":"book"},"uris":["http://www.mendeley.com/documents/?uuid=d45e70de-b23b-470e-b2de-dd2b8d56e6de"]}],"mendeley":{"formattedCitation":"[22]","plainTextFormattedCitation":"[22]","previouslyFormattedCitation":"[22]"},"properties":{"noteIndex":0},"schema":"https://github.com/citation-style-language/schema/raw/master/csl-citation.json"}</w:instrText>
      </w:r>
      <w:r w:rsidR="004C10ED" w:rsidRPr="004C10ED">
        <w:rPr>
          <w:rFonts w:ascii="Garamond" w:hAnsi="Garamond" w:cs="Arial"/>
          <w:b/>
          <w:bCs/>
          <w:sz w:val="22"/>
          <w:szCs w:val="22"/>
        </w:rPr>
        <w:fldChar w:fldCharType="separate"/>
      </w:r>
      <w:r w:rsidR="00DF1C28" w:rsidRPr="00DF1C28">
        <w:rPr>
          <w:rFonts w:ascii="Garamond" w:hAnsi="Garamond" w:cs="Arial"/>
          <w:bCs/>
          <w:noProof/>
          <w:sz w:val="22"/>
          <w:szCs w:val="22"/>
        </w:rPr>
        <w:t>[22]</w:t>
      </w:r>
      <w:r w:rsidR="004C10ED" w:rsidRPr="004C10ED">
        <w:rPr>
          <w:rFonts w:ascii="Garamond" w:hAnsi="Garamond" w:cs="Arial"/>
          <w:bCs/>
          <w:sz w:val="22"/>
          <w:szCs w:val="22"/>
        </w:rPr>
        <w:fldChar w:fldCharType="end"/>
      </w:r>
      <w:r w:rsidR="004C10ED" w:rsidRPr="004C10ED">
        <w:rPr>
          <w:rFonts w:ascii="Garamond" w:hAnsi="Garamond" w:cs="Arial"/>
          <w:bCs/>
          <w:sz w:val="22"/>
          <w:szCs w:val="22"/>
        </w:rPr>
        <w:t>, Schön’s Model for Reflection in and on Action</w:t>
      </w:r>
      <w:r w:rsidR="004C10ED">
        <w:rPr>
          <w:rFonts w:ascii="Garamond" w:hAnsi="Garamond" w:cs="Arial"/>
          <w:bCs/>
          <w:sz w:val="22"/>
          <w:szCs w:val="22"/>
        </w:rPr>
        <w:t xml:space="preserve"> </w:t>
      </w:r>
      <w:r w:rsidR="004C10ED" w:rsidRPr="004C10ED">
        <w:rPr>
          <w:rFonts w:ascii="Garamond" w:hAnsi="Garamond" w:cs="Arial"/>
          <w:b/>
          <w:bCs/>
          <w:sz w:val="22"/>
          <w:szCs w:val="22"/>
        </w:rPr>
        <w:fldChar w:fldCharType="begin" w:fldLock="1"/>
      </w:r>
      <w:r w:rsidR="005A09D1">
        <w:rPr>
          <w:rFonts w:ascii="Garamond" w:hAnsi="Garamond" w:cs="Arial"/>
          <w:b/>
          <w:bCs/>
          <w:sz w:val="22"/>
          <w:szCs w:val="22"/>
        </w:rPr>
        <w:instrText>ADDIN CSL_CITATION {"citationItems":[{"id":"ITEM-1","itemData":{"ISBN":"1315237474","author":[{"dropping-particle":"","family":"Schön","given":"Donald A","non-dropping-particle":"","parse-names":false,"suffix":""}],"id":"ITEM-1","issued":{"date-parts":[["2017"]]},"publisher":"Routledge","title":"The reflective practitioner: How professionals think in action","type":"book"},"uris":["http://www.mendeley.com/documents/?uuid=67285f64-a5dc-4ca0-8edd-f310e5c5bb08"]}],"mendeley":{"formattedCitation":"[23]","plainTextFormattedCitation":"[23]","previouslyFormattedCitation":"[23]"},"properties":{"noteIndex":0},"schema":"https://github.com/citation-style-language/schema/raw/master/csl-citation.json"}</w:instrText>
      </w:r>
      <w:r w:rsidR="004C10ED" w:rsidRPr="004C10ED">
        <w:rPr>
          <w:rFonts w:ascii="Garamond" w:hAnsi="Garamond" w:cs="Arial"/>
          <w:b/>
          <w:bCs/>
          <w:sz w:val="22"/>
          <w:szCs w:val="22"/>
        </w:rPr>
        <w:fldChar w:fldCharType="separate"/>
      </w:r>
      <w:r w:rsidR="00DF1C28" w:rsidRPr="00DF1C28">
        <w:rPr>
          <w:rFonts w:ascii="Garamond" w:hAnsi="Garamond" w:cs="Arial"/>
          <w:bCs/>
          <w:noProof/>
          <w:sz w:val="22"/>
          <w:szCs w:val="22"/>
        </w:rPr>
        <w:t>[23]</w:t>
      </w:r>
      <w:r w:rsidR="004C10ED" w:rsidRPr="004C10ED">
        <w:rPr>
          <w:rFonts w:ascii="Garamond" w:hAnsi="Garamond" w:cs="Arial"/>
          <w:bCs/>
          <w:sz w:val="22"/>
          <w:szCs w:val="22"/>
        </w:rPr>
        <w:fldChar w:fldCharType="end"/>
      </w:r>
      <w:r w:rsidR="004C10ED" w:rsidRPr="004C10ED">
        <w:rPr>
          <w:rFonts w:ascii="Garamond" w:hAnsi="Garamond" w:cs="Arial"/>
          <w:bCs/>
          <w:sz w:val="22"/>
          <w:szCs w:val="22"/>
        </w:rPr>
        <w:t>, and Rolfe’s Framework for Reflective Practice</w:t>
      </w:r>
      <w:r w:rsidR="004C10ED">
        <w:rPr>
          <w:rFonts w:ascii="Garamond" w:hAnsi="Garamond" w:cs="Arial"/>
          <w:bCs/>
          <w:sz w:val="22"/>
          <w:szCs w:val="22"/>
        </w:rPr>
        <w:t xml:space="preserve"> </w:t>
      </w:r>
      <w:r w:rsidR="004C10ED" w:rsidRPr="004C10ED">
        <w:rPr>
          <w:rFonts w:ascii="Garamond" w:hAnsi="Garamond" w:cs="Arial"/>
          <w:b/>
          <w:bCs/>
          <w:sz w:val="22"/>
          <w:szCs w:val="22"/>
        </w:rPr>
        <w:fldChar w:fldCharType="begin" w:fldLock="1"/>
      </w:r>
      <w:r w:rsidR="005A09D1">
        <w:rPr>
          <w:rFonts w:ascii="Garamond" w:hAnsi="Garamond" w:cs="Arial"/>
          <w:b/>
          <w:bCs/>
          <w:sz w:val="22"/>
          <w:szCs w:val="22"/>
        </w:rPr>
        <w:instrText>ADDIN CSL_CITATION {"citationItems":[{"id":"ITEM-1","itemData":{"author":[{"dropping-particle":"","family":"Rolfe","given":"Gary","non-dropping-particle":"","parse-names":false,"suffix":""},{"dropping-particle":"","family":"Freshwater","given":"Dawn","non-dropping-particle":"","parse-names":false,"suffix":""},{"dropping-particle":"","family":"Jasper","given":"Melanie","non-dropping-particle":"","parse-names":false,"suffix":""}],"id":"ITEM-1","issued":{"date-parts":[["2001"]]},"title":"Critical reflection for nursing and the helping professions: A user's guide","type":"article-journal"},"uris":["http://www.mendeley.com/documents/?uuid=27e8bdbd-d8c6-4f40-bfd6-b3214089741a"]}],"mendeley":{"formattedCitation":"[24]","plainTextFormattedCitation":"[24]","previouslyFormattedCitation":"[24]"},"properties":{"noteIndex":0},"schema":"https://github.com/citation-style-language/schema/raw/master/csl-citation.json"}</w:instrText>
      </w:r>
      <w:r w:rsidR="004C10ED" w:rsidRPr="004C10ED">
        <w:rPr>
          <w:rFonts w:ascii="Garamond" w:hAnsi="Garamond" w:cs="Arial"/>
          <w:b/>
          <w:bCs/>
          <w:sz w:val="22"/>
          <w:szCs w:val="22"/>
        </w:rPr>
        <w:fldChar w:fldCharType="separate"/>
      </w:r>
      <w:r w:rsidR="00DF1C28" w:rsidRPr="00DF1C28">
        <w:rPr>
          <w:rFonts w:ascii="Garamond" w:hAnsi="Garamond" w:cs="Arial"/>
          <w:bCs/>
          <w:noProof/>
          <w:sz w:val="22"/>
          <w:szCs w:val="22"/>
        </w:rPr>
        <w:t>[24]</w:t>
      </w:r>
      <w:r w:rsidR="004C10ED" w:rsidRPr="004C10ED">
        <w:rPr>
          <w:rFonts w:ascii="Garamond" w:hAnsi="Garamond" w:cs="Arial"/>
          <w:bCs/>
          <w:sz w:val="22"/>
          <w:szCs w:val="22"/>
        </w:rPr>
        <w:fldChar w:fldCharType="end"/>
      </w:r>
      <w:r w:rsidR="004C10ED" w:rsidRPr="004C10ED">
        <w:rPr>
          <w:rFonts w:ascii="Garamond" w:hAnsi="Garamond" w:cs="Arial"/>
          <w:bCs/>
          <w:sz w:val="22"/>
          <w:szCs w:val="22"/>
        </w:rPr>
        <w:t xml:space="preserve">. </w:t>
      </w:r>
      <w:r w:rsidR="007B3760" w:rsidRPr="007B3760">
        <w:rPr>
          <w:rFonts w:ascii="Garamond" w:hAnsi="Garamond" w:cs="Arial"/>
          <w:bCs/>
          <w:sz w:val="22"/>
          <w:szCs w:val="22"/>
        </w:rPr>
        <w:t>These models were selected based on their widespread use in health professions education, varied structural characteristics, and their suitability for the diverse contexts encountered in clinical and dental education. Dental educators often navigate a complex interplay of procedural teaching, patient communication, and real-time decision-making—contexts that benefit from reflective approaches that are structured, accessible, and adaptable. The selected models represent different dimensions of reflective practice (e.g., cyclical, experiential, real-time, and prompt-based), allowing educators to select or combine them based on the demands of their teaching environment. These models are also commonly used in faculty development programmes and are supported by empirical literature, reinforcing their value in developing reflective competence within dental education.</w:t>
      </w:r>
    </w:p>
    <w:p w14:paraId="71F7BAB2" w14:textId="69BE15DB" w:rsidR="00B57B14" w:rsidRDefault="001F66F6" w:rsidP="00C503BC">
      <w:pPr>
        <w:spacing w:line="480" w:lineRule="auto"/>
        <w:ind w:firstLine="800"/>
        <w:jc w:val="both"/>
        <w:rPr>
          <w:rFonts w:ascii="Garamond" w:hAnsi="Garamond" w:cs="Arial"/>
          <w:sz w:val="22"/>
          <w:szCs w:val="22"/>
        </w:rPr>
      </w:pPr>
      <w:r w:rsidRPr="001F66F6">
        <w:rPr>
          <w:rFonts w:ascii="Garamond" w:hAnsi="Garamond" w:cs="Arial"/>
          <w:bCs/>
          <w:sz w:val="22"/>
          <w:szCs w:val="22"/>
        </w:rPr>
        <w:t>A summary resource in Table 1 outlines each model’s structure, reflection prompts, graphic representation, and key strengths and limitations. Appendices 1–4 provide practical examples demonstrating how these models can facilitate reflective practice across varied dental education contexts. These resources aim to support clinical educators’ reflections, CPD requirements, training logs, appraisal portfolios, and reflective notes, while also aligning with expectations set by Professional Bodies. In addition, they offer guidance for learners in clinical and health professions education programmes and contribute to broader faculty development efforts. Beyond their role as illustrative aids, the worked examples can also be used as practical teaching tools to support both staff and student understanding of reflective practice. They can help demystify the reflective process, clarify the application of each model, and encourage deeper levels of reflection—moving beyond description toward critical and developmental insights. Educators may find them valuable in the context of faculty development workshops, one-to-one mentorship, or sessions aimed at introducing students to structured reflection, allowing for adaptation to their own clinical teaching environments.</w:t>
      </w:r>
    </w:p>
    <w:p w14:paraId="482016CC" w14:textId="77777777" w:rsidR="000D6851" w:rsidRDefault="000D6851" w:rsidP="00913FEA">
      <w:pPr>
        <w:spacing w:line="480" w:lineRule="auto"/>
        <w:rPr>
          <w:rFonts w:ascii="Garamond" w:hAnsi="Garamond" w:cs="Arial"/>
          <w:b/>
          <w:iCs/>
          <w:sz w:val="22"/>
          <w:szCs w:val="22"/>
        </w:rPr>
      </w:pPr>
    </w:p>
    <w:p w14:paraId="6844CFB0" w14:textId="77777777" w:rsidR="000D6851" w:rsidRDefault="000D6851" w:rsidP="00913FEA">
      <w:pPr>
        <w:spacing w:line="480" w:lineRule="auto"/>
        <w:rPr>
          <w:rFonts w:ascii="Garamond" w:hAnsi="Garamond" w:cs="Arial"/>
          <w:b/>
          <w:iCs/>
          <w:sz w:val="22"/>
          <w:szCs w:val="22"/>
        </w:rPr>
      </w:pPr>
    </w:p>
    <w:p w14:paraId="4BC9CAAE" w14:textId="083805D7" w:rsidR="00913FEA" w:rsidRPr="00853027" w:rsidRDefault="00AB13D4" w:rsidP="00913FEA">
      <w:pPr>
        <w:spacing w:line="480" w:lineRule="auto"/>
        <w:rPr>
          <w:rFonts w:ascii="Garamond" w:hAnsi="Garamond" w:cs="Arial"/>
          <w:b/>
          <w:iCs/>
          <w:sz w:val="22"/>
          <w:szCs w:val="22"/>
        </w:rPr>
      </w:pPr>
      <w:r w:rsidRPr="00853027">
        <w:rPr>
          <w:rFonts w:ascii="Garamond" w:hAnsi="Garamond" w:cs="Arial"/>
          <w:b/>
          <w:iCs/>
          <w:sz w:val="22"/>
          <w:szCs w:val="22"/>
        </w:rPr>
        <w:lastRenderedPageBreak/>
        <w:t>Four structured r</w:t>
      </w:r>
      <w:r w:rsidR="00913FEA" w:rsidRPr="00853027">
        <w:rPr>
          <w:rFonts w:ascii="Garamond" w:hAnsi="Garamond" w:cs="Arial"/>
          <w:b/>
          <w:iCs/>
          <w:sz w:val="22"/>
          <w:szCs w:val="22"/>
        </w:rPr>
        <w:t>eflective practice models for the clinical educator</w:t>
      </w:r>
    </w:p>
    <w:p w14:paraId="025D2243" w14:textId="77777777" w:rsidR="00DB20B4" w:rsidRPr="0052047F" w:rsidRDefault="00DB20B4" w:rsidP="00D2160C">
      <w:pPr>
        <w:spacing w:line="480" w:lineRule="auto"/>
        <w:rPr>
          <w:rFonts w:ascii="Garamond" w:hAnsi="Garamond" w:cs="Arial"/>
          <w:color w:val="000000"/>
          <w:sz w:val="22"/>
          <w:szCs w:val="22"/>
        </w:rPr>
      </w:pPr>
    </w:p>
    <w:p w14:paraId="1211FA2D" w14:textId="36711FD9" w:rsidR="006B6F9D" w:rsidRDefault="000D0099" w:rsidP="005A0454">
      <w:pPr>
        <w:spacing w:line="480" w:lineRule="auto"/>
        <w:jc w:val="both"/>
        <w:rPr>
          <w:rFonts w:ascii="Garamond" w:hAnsi="Garamond" w:cs="Arial"/>
          <w:sz w:val="22"/>
          <w:szCs w:val="22"/>
        </w:rPr>
      </w:pPr>
      <w:r w:rsidRPr="000D0099">
        <w:rPr>
          <w:rFonts w:ascii="Garamond" w:hAnsi="Garamond" w:cs="Arial"/>
          <w:sz w:val="22"/>
          <w:szCs w:val="22"/>
        </w:rPr>
        <w:t>Reflective practice is a personal learning journey that can be challenging, with different approaches being more suited to individual preferences and specific settings. Consequently, structured models are essential to guide and support educators. The following four models aim to assist educators in organising and structuring their reflective practice, whether verbal or written, spontaneous or planned, and for personal development or formal requirements</w:t>
      </w:r>
      <w:r>
        <w:rPr>
          <w:rFonts w:ascii="Garamond" w:hAnsi="Garamond" w:cs="Arial"/>
          <w:sz w:val="22"/>
          <w:szCs w:val="22"/>
        </w:rPr>
        <w:t xml:space="preserve"> </w:t>
      </w:r>
      <w:r w:rsidR="00B76FC6" w:rsidRPr="0052047F">
        <w:rPr>
          <w:rFonts w:ascii="Garamond" w:hAnsi="Garamond" w:cs="Arial"/>
          <w:b/>
          <w:bCs/>
          <w:color w:val="000000"/>
          <w:sz w:val="22"/>
          <w:szCs w:val="22"/>
        </w:rPr>
        <w:fldChar w:fldCharType="begin" w:fldLock="1"/>
      </w:r>
      <w:r w:rsidR="005A09D1">
        <w:rPr>
          <w:rFonts w:ascii="Garamond" w:hAnsi="Garamond" w:cs="Arial"/>
          <w:b/>
          <w:bCs/>
          <w:color w:val="000000"/>
          <w:sz w:val="22"/>
          <w:szCs w:val="22"/>
        </w:rPr>
        <w:instrText>ADDIN CSL_CITATION {"citationItems":[{"id":"ITEM-1","itemData":{"DOI":"10.3109/0142159X.2010.507714","ISSN":"0142-159X","abstract":"Background: Review of studies published in medical education journals over the last decade reveals a diversity of pedagogical approaches and educational goals related to teaching reflection. Aim: The following tips outline an approach to the design, implementation, and evaluation of reflection in medical education. Method: The method is based on the available literature and the author's experience. They are organized in the sequence that an educator might use in developing a reflective activity. Results: The 12 tips provide guidance from conceptualization and structure of the reflective exercise to implementation and feedback and assessment. The final tip relates to the development of the faculty member's own reflective ability. Conclusion: With a better understanding of the conceptual frameworks underlying critical reflection and greater advance planning, medical educators will be able to create exercises and longitudinal curricula that not only enable greater learning from the experience being reflected upon but also develop reflective skills for life-long learning.","author":[{"dropping-particle":"","family":"Aronson","given":"Louise","non-dropping-particle":"","parse-names":false,"suffix":""}],"container-title":"Medical Teacher","id":"ITEM-1","issue":"3","issued":{"date-parts":[["2011","3","1"]]},"note":"doi: 10.3109/0142159X.2010.507714","page":"200-205","publisher":"Taylor &amp; Francis","title":"Twelve tips for teaching reflection at all levels of medical education","type":"article-journal","volume":"33"},"uris":["http://www.mendeley.com/documents/?uuid=c7abd065-3c09-4713-acf2-ae6fb6ae52b4"]}],"mendeley":{"formattedCitation":"[20]","plainTextFormattedCitation":"[20]","previouslyFormattedCitation":"[20]"},"properties":{"noteIndex":0},"schema":"https://github.com/citation-style-language/schema/raw/master/csl-citation.json"}</w:instrText>
      </w:r>
      <w:r w:rsidR="00B76FC6" w:rsidRPr="0052047F">
        <w:rPr>
          <w:rFonts w:ascii="Garamond" w:hAnsi="Garamond" w:cs="Arial"/>
          <w:b/>
          <w:bCs/>
          <w:color w:val="000000"/>
          <w:sz w:val="22"/>
          <w:szCs w:val="22"/>
        </w:rPr>
        <w:fldChar w:fldCharType="separate"/>
      </w:r>
      <w:r w:rsidR="00DF1C28" w:rsidRPr="00DF1C28">
        <w:rPr>
          <w:rFonts w:ascii="Garamond" w:hAnsi="Garamond" w:cs="Arial"/>
          <w:bCs/>
          <w:noProof/>
          <w:color w:val="000000"/>
          <w:sz w:val="22"/>
          <w:szCs w:val="22"/>
        </w:rPr>
        <w:t>[20]</w:t>
      </w:r>
      <w:r w:rsidR="00B76FC6" w:rsidRPr="0052047F">
        <w:rPr>
          <w:rFonts w:ascii="Garamond" w:hAnsi="Garamond" w:cs="Arial"/>
          <w:b/>
          <w:bCs/>
          <w:color w:val="000000"/>
          <w:sz w:val="22"/>
          <w:szCs w:val="22"/>
        </w:rPr>
        <w:fldChar w:fldCharType="end"/>
      </w:r>
      <w:r w:rsidR="00B76FC6">
        <w:rPr>
          <w:rFonts w:ascii="Garamond" w:hAnsi="Garamond" w:cs="Arial"/>
          <w:sz w:val="22"/>
          <w:szCs w:val="22"/>
        </w:rPr>
        <w:t xml:space="preserve">. </w:t>
      </w:r>
      <w:r w:rsidRPr="000D0099">
        <w:rPr>
          <w:rFonts w:ascii="Garamond" w:hAnsi="Garamond" w:cs="Arial"/>
          <w:sz w:val="22"/>
          <w:szCs w:val="22"/>
        </w:rPr>
        <w:t>While these models vary, they all share core steps for effective reflection: self-awareness (analysing feelings and assessing the influence of the situation), description (recognising, recalling, and recording key aspects), critical analysis (challenging assumptions and considering multiple perspectives), synthesis (integrating new and existing knowledge), and evaluation (judging the situation or experience)</w:t>
      </w:r>
      <w:r w:rsidR="00F52AD9">
        <w:rPr>
          <w:rFonts w:ascii="Garamond" w:hAnsi="Garamond" w:cs="Arial"/>
          <w:sz w:val="22"/>
          <w:szCs w:val="22"/>
        </w:rPr>
        <w:t xml:space="preserve"> </w:t>
      </w:r>
      <w:r w:rsidR="00F52AD9">
        <w:rPr>
          <w:rFonts w:ascii="Garamond" w:hAnsi="Garamond" w:cs="Arial"/>
          <w:sz w:val="22"/>
          <w:szCs w:val="22"/>
        </w:rPr>
        <w:fldChar w:fldCharType="begin" w:fldLock="1"/>
      </w:r>
      <w:r w:rsidR="00A7134C">
        <w:rPr>
          <w:rFonts w:ascii="Garamond" w:hAnsi="Garamond" w:cs="Arial"/>
          <w:sz w:val="22"/>
          <w:szCs w:val="22"/>
        </w:rPr>
        <w:instrText>ADDIN CSL_CITATION {"citationItems":[{"id":"ITEM-1","itemData":{"ISSN":"0309-2402","author":[{"dropping-particle":"","family":"Atkins","given":"Sue","non-dropping-particle":"","parse-names":false,"suffix":""},{"dropping-particle":"","family":"Murphy","given":"Kathy","non-dropping-particle":"","parse-names":false,"suffix":""}],"container-title":"Journal of advanced nursing","id":"ITEM-1","issue":"8","issued":{"date-parts":[["1993"]]},"page":"1188-1192","publisher":"Wiley Online Library","title":"Reflection: a review of the literature","type":"article-journal","volume":"18"},"uris":["http://www.mendeley.com/documents/?uuid=c6c10cf4-ef83-445f-afe7-965ab114d9a2"]}],"mendeley":{"formattedCitation":"[25]","plainTextFormattedCitation":"[25]","previouslyFormattedCitation":"[25]"},"properties":{"noteIndex":0},"schema":"https://github.com/citation-style-language/schema/raw/master/csl-citation.json"}</w:instrText>
      </w:r>
      <w:r w:rsidR="00F52AD9">
        <w:rPr>
          <w:rFonts w:ascii="Garamond" w:hAnsi="Garamond" w:cs="Arial"/>
          <w:sz w:val="22"/>
          <w:szCs w:val="22"/>
        </w:rPr>
        <w:fldChar w:fldCharType="separate"/>
      </w:r>
      <w:r w:rsidR="00A7134C" w:rsidRPr="00A7134C">
        <w:rPr>
          <w:rFonts w:ascii="Garamond" w:hAnsi="Garamond" w:cs="Arial"/>
          <w:noProof/>
          <w:sz w:val="22"/>
          <w:szCs w:val="22"/>
        </w:rPr>
        <w:t>[25]</w:t>
      </w:r>
      <w:r w:rsidR="00F52AD9">
        <w:rPr>
          <w:rFonts w:ascii="Garamond" w:hAnsi="Garamond" w:cs="Arial"/>
          <w:sz w:val="22"/>
          <w:szCs w:val="22"/>
        </w:rPr>
        <w:fldChar w:fldCharType="end"/>
      </w:r>
      <w:r w:rsidR="009126B1" w:rsidRPr="009126B1">
        <w:rPr>
          <w:rFonts w:ascii="Garamond" w:hAnsi="Garamond" w:cs="Arial"/>
          <w:sz w:val="22"/>
          <w:szCs w:val="22"/>
        </w:rPr>
        <w:t>.</w:t>
      </w:r>
    </w:p>
    <w:p w14:paraId="2E088A76" w14:textId="4620DE17" w:rsidR="005A0454" w:rsidRDefault="005A0454" w:rsidP="00342AA4">
      <w:pPr>
        <w:spacing w:line="480" w:lineRule="auto"/>
        <w:ind w:firstLine="800"/>
        <w:jc w:val="both"/>
        <w:rPr>
          <w:rFonts w:ascii="Garamond" w:hAnsi="Garamond" w:cs="Arial"/>
          <w:sz w:val="22"/>
          <w:szCs w:val="22"/>
        </w:rPr>
      </w:pPr>
      <w:r w:rsidRPr="005A0454">
        <w:rPr>
          <w:rFonts w:ascii="Garamond" w:hAnsi="Garamond" w:cs="Arial"/>
          <w:b/>
          <w:bCs/>
          <w:sz w:val="22"/>
          <w:szCs w:val="22"/>
        </w:rPr>
        <w:t>Gibbs' Reflective Cycle</w:t>
      </w:r>
      <w:r w:rsidRPr="005A0454">
        <w:rPr>
          <w:rFonts w:ascii="Garamond" w:hAnsi="Garamond" w:cs="Arial"/>
          <w:b/>
          <w:sz w:val="22"/>
          <w:szCs w:val="22"/>
        </w:rPr>
        <w:t xml:space="preserve"> </w:t>
      </w:r>
      <w:r w:rsidRPr="005A0454">
        <w:rPr>
          <w:rFonts w:ascii="Garamond" w:hAnsi="Garamond" w:cs="Arial"/>
          <w:b/>
          <w:sz w:val="22"/>
          <w:szCs w:val="22"/>
        </w:rPr>
        <w:fldChar w:fldCharType="begin" w:fldLock="1"/>
      </w:r>
      <w:r w:rsidR="005A09D1">
        <w:rPr>
          <w:rFonts w:ascii="Garamond" w:hAnsi="Garamond" w:cs="Arial"/>
          <w:b/>
          <w:sz w:val="22"/>
          <w:szCs w:val="22"/>
        </w:rPr>
        <w:instrText>ADDIN CSL_CITATION {"citationItems":[{"id":"ITEM-1","itemData":{"ISBN":"9781853380716","author":[{"dropping-particle":"","family":"Gibbs","given":"G","non-dropping-particle":"","parse-names":false,"suffix":""},{"dropping-particle":"","family":"Unit","given":"Great Britain. Further Education","non-dropping-particle":"","parse-names":false,"suffix":""}],"id":"ITEM-1","issued":{"date-parts":[["1988"]]},"publisher":"FEU","title":"Learning by Doing: A Guide to Teaching and Learning Methods","type":"book"},"uris":["http://www.mendeley.com/documents/?uuid=3ba17878-e91b-447b-9640-a7baa2013ef3"]}],"mendeley":{"formattedCitation":"[21]","plainTextFormattedCitation":"[21]","previouslyFormattedCitation":"[21]"},"properties":{"noteIndex":0},"schema":"https://github.com/citation-style-language/schema/raw/master/csl-citation.json"}</w:instrText>
      </w:r>
      <w:r w:rsidRPr="005A0454">
        <w:rPr>
          <w:rFonts w:ascii="Garamond" w:hAnsi="Garamond" w:cs="Arial"/>
          <w:b/>
          <w:sz w:val="22"/>
          <w:szCs w:val="22"/>
        </w:rPr>
        <w:fldChar w:fldCharType="separate"/>
      </w:r>
      <w:r w:rsidR="00DF1C28" w:rsidRPr="00DF1C28">
        <w:rPr>
          <w:rFonts w:ascii="Garamond" w:hAnsi="Garamond" w:cs="Arial"/>
          <w:noProof/>
          <w:sz w:val="22"/>
          <w:szCs w:val="22"/>
        </w:rPr>
        <w:t>[21]</w:t>
      </w:r>
      <w:r w:rsidRPr="005A0454">
        <w:rPr>
          <w:rFonts w:ascii="Garamond" w:hAnsi="Garamond" w:cs="Arial"/>
          <w:sz w:val="22"/>
          <w:szCs w:val="22"/>
        </w:rPr>
        <w:fldChar w:fldCharType="end"/>
      </w:r>
      <w:r w:rsidRPr="005A0454">
        <w:rPr>
          <w:rFonts w:ascii="Garamond" w:hAnsi="Garamond" w:cs="Arial"/>
          <w:sz w:val="22"/>
          <w:szCs w:val="22"/>
        </w:rPr>
        <w:t xml:space="preserve"> </w:t>
      </w:r>
      <w:r w:rsidR="007C1F77" w:rsidRPr="007C1F77">
        <w:rPr>
          <w:rFonts w:ascii="Garamond" w:hAnsi="Garamond" w:cs="Arial"/>
          <w:sz w:val="22"/>
          <w:szCs w:val="22"/>
        </w:rPr>
        <w:t xml:space="preserve">is a structured framework consisting of six stages designed for reflecting on repeated experiences, activities, or situations: Description, Feelings, Evaluation, Analysis, Conclusion, and Action Plan, each with specific prompts (Table 1). In the </w:t>
      </w:r>
      <w:r w:rsidR="007C1F77" w:rsidRPr="007C1F77">
        <w:rPr>
          <w:rFonts w:ascii="Garamond" w:hAnsi="Garamond" w:cs="Arial"/>
          <w:i/>
          <w:iCs/>
          <w:sz w:val="22"/>
          <w:szCs w:val="22"/>
        </w:rPr>
        <w:t>Description stage</w:t>
      </w:r>
      <w:r w:rsidR="007C1F77" w:rsidRPr="007C1F77">
        <w:rPr>
          <w:rFonts w:ascii="Garamond" w:hAnsi="Garamond" w:cs="Arial"/>
          <w:sz w:val="22"/>
          <w:szCs w:val="22"/>
        </w:rPr>
        <w:t xml:space="preserve">, individuals recount the experience in a neutral manner. The </w:t>
      </w:r>
      <w:r w:rsidR="007C1F77" w:rsidRPr="007C1F77">
        <w:rPr>
          <w:rFonts w:ascii="Garamond" w:hAnsi="Garamond" w:cs="Arial"/>
          <w:i/>
          <w:iCs/>
          <w:sz w:val="22"/>
          <w:szCs w:val="22"/>
        </w:rPr>
        <w:t>Feelings stage</w:t>
      </w:r>
      <w:r w:rsidR="007C1F77" w:rsidRPr="007C1F77">
        <w:rPr>
          <w:rFonts w:ascii="Garamond" w:hAnsi="Garamond" w:cs="Arial"/>
          <w:sz w:val="22"/>
          <w:szCs w:val="22"/>
        </w:rPr>
        <w:t xml:space="preserve"> involves reflecting on emotional responses before, during, and after the event. During </w:t>
      </w:r>
      <w:r w:rsidR="00680256">
        <w:rPr>
          <w:rFonts w:ascii="Garamond" w:hAnsi="Garamond" w:cs="Arial"/>
          <w:sz w:val="22"/>
          <w:szCs w:val="22"/>
        </w:rPr>
        <w:t xml:space="preserve">the </w:t>
      </w:r>
      <w:r w:rsidR="007C1F77" w:rsidRPr="007C1F77">
        <w:rPr>
          <w:rFonts w:ascii="Garamond" w:hAnsi="Garamond" w:cs="Arial"/>
          <w:i/>
          <w:iCs/>
          <w:sz w:val="22"/>
          <w:szCs w:val="22"/>
        </w:rPr>
        <w:t>Evaluation</w:t>
      </w:r>
      <w:r w:rsidR="00680256">
        <w:rPr>
          <w:rFonts w:ascii="Garamond" w:hAnsi="Garamond" w:cs="Arial"/>
          <w:i/>
          <w:iCs/>
          <w:sz w:val="22"/>
          <w:szCs w:val="22"/>
        </w:rPr>
        <w:t xml:space="preserve"> stage</w:t>
      </w:r>
      <w:r w:rsidR="007C1F77" w:rsidRPr="007C1F77">
        <w:rPr>
          <w:rFonts w:ascii="Garamond" w:hAnsi="Garamond" w:cs="Arial"/>
          <w:sz w:val="22"/>
          <w:szCs w:val="22"/>
        </w:rPr>
        <w:t xml:space="preserve">, individuals assess what went well and what did not, identifying both successes and areas for improvement. In </w:t>
      </w:r>
      <w:r w:rsidR="007C1F77" w:rsidRPr="007C1F77">
        <w:rPr>
          <w:rFonts w:ascii="Garamond" w:hAnsi="Garamond" w:cs="Arial"/>
          <w:i/>
          <w:iCs/>
          <w:sz w:val="22"/>
          <w:szCs w:val="22"/>
        </w:rPr>
        <w:t>Analysis</w:t>
      </w:r>
      <w:r w:rsidR="007C1F77" w:rsidRPr="007C1F77">
        <w:rPr>
          <w:rFonts w:ascii="Garamond" w:hAnsi="Garamond" w:cs="Arial"/>
          <w:sz w:val="22"/>
          <w:szCs w:val="22"/>
        </w:rPr>
        <w:t xml:space="preserve">, individuals explore the reasons behind the outcomes, deepening their understanding. In the </w:t>
      </w:r>
      <w:r w:rsidR="007C1F77" w:rsidRPr="007C1F77">
        <w:rPr>
          <w:rFonts w:ascii="Garamond" w:hAnsi="Garamond" w:cs="Arial"/>
          <w:i/>
          <w:iCs/>
          <w:sz w:val="22"/>
          <w:szCs w:val="22"/>
        </w:rPr>
        <w:t>Conclusion stage</w:t>
      </w:r>
      <w:r w:rsidR="007C1F77" w:rsidRPr="007C1F77">
        <w:rPr>
          <w:rFonts w:ascii="Garamond" w:hAnsi="Garamond" w:cs="Arial"/>
          <w:sz w:val="22"/>
          <w:szCs w:val="22"/>
        </w:rPr>
        <w:t xml:space="preserve">, they summarise the learning and identify what could have been done differently. Finally, the </w:t>
      </w:r>
      <w:r w:rsidR="007C1F77" w:rsidRPr="007C1F77">
        <w:rPr>
          <w:rFonts w:ascii="Garamond" w:hAnsi="Garamond" w:cs="Arial"/>
          <w:i/>
          <w:iCs/>
          <w:sz w:val="22"/>
          <w:szCs w:val="22"/>
        </w:rPr>
        <w:t>Action Plan stage</w:t>
      </w:r>
      <w:r w:rsidR="007C1F77" w:rsidRPr="007C1F77">
        <w:rPr>
          <w:rFonts w:ascii="Garamond" w:hAnsi="Garamond" w:cs="Arial"/>
          <w:sz w:val="22"/>
          <w:szCs w:val="22"/>
        </w:rPr>
        <w:t xml:space="preserve"> involves creating strategies to apply the learning to future situations, ensuring continuous improvement. Gibbs' Reflective Cycle is highly structured, making it easy to use both individually and as part of a team. Its cyclic nature is especially useful for repeated experiences, whether direct (firsthand experience) or indirect (based on observation). However, it has limitations</w:t>
      </w:r>
      <w:r w:rsidR="00680256">
        <w:rPr>
          <w:rFonts w:ascii="Garamond" w:hAnsi="Garamond" w:cs="Arial"/>
          <w:sz w:val="22"/>
          <w:szCs w:val="22"/>
        </w:rPr>
        <w:t xml:space="preserve"> as</w:t>
      </w:r>
      <w:r w:rsidR="007C1F77" w:rsidRPr="007C1F77">
        <w:rPr>
          <w:rFonts w:ascii="Garamond" w:hAnsi="Garamond" w:cs="Arial"/>
          <w:sz w:val="22"/>
          <w:szCs w:val="22"/>
        </w:rPr>
        <w:t xml:space="preserve"> it is less applicable in stand-alone situations, can be time-consuming, and offers restricted freedom due to its detailed structure. </w:t>
      </w:r>
      <w:r w:rsidR="00680256">
        <w:rPr>
          <w:rFonts w:ascii="Garamond" w:hAnsi="Garamond" w:cs="Arial"/>
          <w:sz w:val="22"/>
          <w:szCs w:val="22"/>
        </w:rPr>
        <w:t>Appendix</w:t>
      </w:r>
      <w:r w:rsidR="007C1F77" w:rsidRPr="007C1F77">
        <w:rPr>
          <w:rFonts w:ascii="Garamond" w:hAnsi="Garamond" w:cs="Arial"/>
          <w:sz w:val="22"/>
          <w:szCs w:val="22"/>
        </w:rPr>
        <w:t xml:space="preserve"> </w:t>
      </w:r>
      <w:r w:rsidR="00680256">
        <w:rPr>
          <w:rFonts w:ascii="Garamond" w:hAnsi="Garamond" w:cs="Arial"/>
          <w:sz w:val="22"/>
          <w:szCs w:val="22"/>
        </w:rPr>
        <w:t>1</w:t>
      </w:r>
      <w:r w:rsidR="007C1F77" w:rsidRPr="007C1F77">
        <w:rPr>
          <w:rFonts w:ascii="Garamond" w:hAnsi="Garamond" w:cs="Arial"/>
          <w:sz w:val="22"/>
          <w:szCs w:val="22"/>
        </w:rPr>
        <w:t xml:space="preserve"> provides an example of</w:t>
      </w:r>
      <w:r w:rsidR="001B5DAC">
        <w:rPr>
          <w:rFonts w:ascii="Garamond" w:hAnsi="Garamond" w:cs="Arial"/>
          <w:sz w:val="22"/>
          <w:szCs w:val="22"/>
        </w:rPr>
        <w:t xml:space="preserve"> how</w:t>
      </w:r>
      <w:r w:rsidR="007C1F77" w:rsidRPr="007C1F77">
        <w:rPr>
          <w:rFonts w:ascii="Garamond" w:hAnsi="Garamond" w:cs="Arial"/>
          <w:sz w:val="22"/>
          <w:szCs w:val="22"/>
        </w:rPr>
        <w:t xml:space="preserve"> </w:t>
      </w:r>
      <w:r w:rsidR="001B5DAC">
        <w:rPr>
          <w:rFonts w:ascii="Garamond" w:hAnsi="Garamond" w:cs="Arial"/>
          <w:iCs/>
          <w:sz w:val="22"/>
          <w:szCs w:val="22"/>
        </w:rPr>
        <w:t>a</w:t>
      </w:r>
      <w:r w:rsidR="001B5DAC" w:rsidRPr="001B5DAC">
        <w:rPr>
          <w:rFonts w:ascii="Garamond" w:hAnsi="Garamond" w:cs="Arial"/>
          <w:iCs/>
          <w:sz w:val="22"/>
          <w:szCs w:val="22"/>
        </w:rPr>
        <w:t xml:space="preserve"> novice </w:t>
      </w:r>
      <w:r w:rsidR="001B5DAC">
        <w:rPr>
          <w:rFonts w:ascii="Garamond" w:hAnsi="Garamond" w:cs="Arial"/>
          <w:iCs/>
          <w:sz w:val="22"/>
          <w:szCs w:val="22"/>
        </w:rPr>
        <w:t>d</w:t>
      </w:r>
      <w:r w:rsidR="001B5DAC" w:rsidRPr="001B5DAC">
        <w:rPr>
          <w:rFonts w:ascii="Garamond" w:hAnsi="Garamond" w:cs="Arial"/>
          <w:iCs/>
          <w:sz w:val="22"/>
          <w:szCs w:val="22"/>
        </w:rPr>
        <w:t xml:space="preserve">ental </w:t>
      </w:r>
      <w:r w:rsidR="001B5DAC">
        <w:rPr>
          <w:rFonts w:ascii="Garamond" w:hAnsi="Garamond" w:cs="Arial"/>
          <w:iCs/>
          <w:sz w:val="22"/>
          <w:szCs w:val="22"/>
        </w:rPr>
        <w:t>e</w:t>
      </w:r>
      <w:r w:rsidR="001B5DAC" w:rsidRPr="001B5DAC">
        <w:rPr>
          <w:rFonts w:ascii="Garamond" w:hAnsi="Garamond" w:cs="Arial"/>
          <w:iCs/>
          <w:sz w:val="22"/>
          <w:szCs w:val="22"/>
        </w:rPr>
        <w:t>ducator reflect</w:t>
      </w:r>
      <w:r w:rsidR="001B5DAC">
        <w:rPr>
          <w:rFonts w:ascii="Garamond" w:hAnsi="Garamond" w:cs="Arial"/>
          <w:iCs/>
          <w:sz w:val="22"/>
          <w:szCs w:val="22"/>
        </w:rPr>
        <w:t>s</w:t>
      </w:r>
      <w:r w:rsidR="000D0099">
        <w:rPr>
          <w:rFonts w:ascii="Garamond" w:hAnsi="Garamond" w:cs="Arial"/>
          <w:iCs/>
          <w:sz w:val="22"/>
          <w:szCs w:val="22"/>
        </w:rPr>
        <w:t xml:space="preserve">, </w:t>
      </w:r>
      <w:r w:rsidR="000D0099" w:rsidRPr="007C1F77">
        <w:rPr>
          <w:rFonts w:ascii="Garamond" w:hAnsi="Garamond" w:cs="Arial"/>
          <w:sz w:val="22"/>
          <w:szCs w:val="22"/>
        </w:rPr>
        <w:t>using</w:t>
      </w:r>
      <w:r w:rsidR="000D0099">
        <w:rPr>
          <w:rFonts w:ascii="Garamond" w:hAnsi="Garamond" w:cs="Arial"/>
          <w:sz w:val="22"/>
          <w:szCs w:val="22"/>
        </w:rPr>
        <w:t xml:space="preserve"> the</w:t>
      </w:r>
      <w:r w:rsidR="000D0099" w:rsidRPr="007C1F77">
        <w:rPr>
          <w:rFonts w:ascii="Garamond" w:hAnsi="Garamond" w:cs="Arial"/>
          <w:sz w:val="22"/>
          <w:szCs w:val="22"/>
        </w:rPr>
        <w:t xml:space="preserve"> Gibbs’ Reflective Cycle</w:t>
      </w:r>
      <w:r w:rsidR="000D0099">
        <w:rPr>
          <w:rFonts w:ascii="Garamond" w:hAnsi="Garamond" w:cs="Arial"/>
          <w:sz w:val="22"/>
          <w:szCs w:val="22"/>
        </w:rPr>
        <w:t>,</w:t>
      </w:r>
      <w:r w:rsidR="001B5DAC" w:rsidRPr="001B5DAC">
        <w:rPr>
          <w:rFonts w:ascii="Garamond" w:hAnsi="Garamond" w:cs="Arial"/>
          <w:iCs/>
          <w:sz w:val="22"/>
          <w:szCs w:val="22"/>
        </w:rPr>
        <w:t xml:space="preserve"> on recurring challenges when teaching dental students in the emergency department</w:t>
      </w:r>
      <w:r w:rsidR="007C1F77" w:rsidRPr="007C1F77">
        <w:rPr>
          <w:rFonts w:ascii="Garamond" w:hAnsi="Garamond" w:cs="Arial"/>
          <w:sz w:val="22"/>
          <w:szCs w:val="22"/>
        </w:rPr>
        <w:t>.</w:t>
      </w:r>
    </w:p>
    <w:p w14:paraId="2BD22C80" w14:textId="3F14232F" w:rsidR="00897153" w:rsidRPr="00AA7C5D" w:rsidRDefault="00AA7C5D" w:rsidP="00897153">
      <w:pPr>
        <w:spacing w:line="480" w:lineRule="auto"/>
        <w:ind w:firstLine="800"/>
        <w:jc w:val="both"/>
        <w:rPr>
          <w:rFonts w:ascii="Garamond" w:hAnsi="Garamond" w:cs="Arial"/>
          <w:sz w:val="22"/>
          <w:szCs w:val="22"/>
        </w:rPr>
      </w:pPr>
      <w:r w:rsidRPr="00AA7C5D">
        <w:rPr>
          <w:rFonts w:ascii="Garamond" w:hAnsi="Garamond" w:cs="Arial"/>
          <w:b/>
          <w:bCs/>
          <w:sz w:val="22"/>
          <w:szCs w:val="22"/>
        </w:rPr>
        <w:lastRenderedPageBreak/>
        <w:t>Kolb's Experiential Learning Cycle</w:t>
      </w:r>
      <w:r>
        <w:rPr>
          <w:rFonts w:ascii="Garamond" w:hAnsi="Garamond" w:cs="Arial"/>
          <w:b/>
          <w:bCs/>
          <w:sz w:val="22"/>
          <w:szCs w:val="22"/>
        </w:rPr>
        <w:t xml:space="preserve"> </w:t>
      </w:r>
      <w:r w:rsidRPr="004D4EEA">
        <w:rPr>
          <w:rFonts w:ascii="Garamond" w:hAnsi="Garamond" w:cs="Arial"/>
          <w:sz w:val="22"/>
          <w:szCs w:val="22"/>
        </w:rPr>
        <w:fldChar w:fldCharType="begin" w:fldLock="1"/>
      </w:r>
      <w:r w:rsidR="005A09D1">
        <w:rPr>
          <w:rFonts w:ascii="Garamond" w:hAnsi="Garamond" w:cs="Arial"/>
          <w:sz w:val="22"/>
          <w:szCs w:val="22"/>
        </w:rPr>
        <w:instrText>ADDIN CSL_CITATION {"citationItems":[{"id":"ITEM-1","itemData":{"ISBN":"9780133892406","author":[{"dropping-particle":"","family":"Kolb","given":"D A","non-dropping-particle":"","parse-names":false,"suffix":""}],"id":"ITEM-1","issued":{"date-parts":[["2015"]]},"publisher":"Pearson Education","title":"Experiential Learning: Experience as the Source of Learning and Development","type":"book"},"uris":["http://www.mendeley.com/documents/?uuid=d45e70de-b23b-470e-b2de-dd2b8d56e6de"]}],"mendeley":{"formattedCitation":"[22]","plainTextFormattedCitation":"[22]","previouslyFormattedCitation":"[22]"},"properties":{"noteIndex":0},"schema":"https://github.com/citation-style-language/schema/raw/master/csl-citation.json"}</w:instrText>
      </w:r>
      <w:r w:rsidRPr="004D4EEA">
        <w:rPr>
          <w:rFonts w:ascii="Garamond" w:hAnsi="Garamond" w:cs="Arial"/>
          <w:sz w:val="22"/>
          <w:szCs w:val="22"/>
        </w:rPr>
        <w:fldChar w:fldCharType="separate"/>
      </w:r>
      <w:r w:rsidR="00DF1C28" w:rsidRPr="00DF1C28">
        <w:rPr>
          <w:rFonts w:ascii="Garamond" w:hAnsi="Garamond" w:cs="Arial"/>
          <w:noProof/>
          <w:sz w:val="22"/>
          <w:szCs w:val="22"/>
        </w:rPr>
        <w:t>[22]</w:t>
      </w:r>
      <w:r w:rsidRPr="004D4EEA">
        <w:rPr>
          <w:rFonts w:ascii="Garamond" w:hAnsi="Garamond" w:cs="Arial"/>
          <w:sz w:val="22"/>
          <w:szCs w:val="22"/>
        </w:rPr>
        <w:fldChar w:fldCharType="end"/>
      </w:r>
      <w:r w:rsidRPr="00AA7C5D">
        <w:rPr>
          <w:rFonts w:ascii="Garamond" w:hAnsi="Garamond" w:cs="Arial"/>
          <w:sz w:val="22"/>
          <w:szCs w:val="22"/>
        </w:rPr>
        <w:t xml:space="preserve"> is a foundational model in educational theory that explains how individuals convert experiences into knowledge. The cycle consists of four stages: Concrete Experience, Reflective Observation, Abstract Conceptualization, and Active Experimentation (Table 1). It begins with </w:t>
      </w:r>
      <w:r w:rsidRPr="00AA7C5D">
        <w:rPr>
          <w:rFonts w:ascii="Garamond" w:hAnsi="Garamond" w:cs="Arial"/>
          <w:i/>
          <w:iCs/>
          <w:sz w:val="22"/>
          <w:szCs w:val="22"/>
        </w:rPr>
        <w:t>Concrete Experience</w:t>
      </w:r>
      <w:r w:rsidRPr="00AA7C5D">
        <w:rPr>
          <w:rFonts w:ascii="Garamond" w:hAnsi="Garamond" w:cs="Arial"/>
          <w:sz w:val="22"/>
          <w:szCs w:val="22"/>
        </w:rPr>
        <w:t>, where individuals actively engage in a task that requires direct involvement rather than passive observation, which distinguishes it from other models. Following this, in the </w:t>
      </w:r>
      <w:r w:rsidRPr="00AA7C5D">
        <w:rPr>
          <w:rFonts w:ascii="Garamond" w:hAnsi="Garamond" w:cs="Arial"/>
          <w:i/>
          <w:iCs/>
          <w:sz w:val="22"/>
          <w:szCs w:val="22"/>
        </w:rPr>
        <w:t>Reflective Observation stage</w:t>
      </w:r>
      <w:r w:rsidRPr="00AA7C5D">
        <w:rPr>
          <w:rFonts w:ascii="Garamond" w:hAnsi="Garamond" w:cs="Arial"/>
          <w:sz w:val="22"/>
          <w:szCs w:val="22"/>
        </w:rPr>
        <w:t>, individuals reflect on their experiences from various perspectives to gain deeper insights. In </w:t>
      </w:r>
      <w:r w:rsidRPr="00AA7C5D">
        <w:rPr>
          <w:rFonts w:ascii="Garamond" w:hAnsi="Garamond" w:cs="Arial"/>
          <w:i/>
          <w:iCs/>
          <w:sz w:val="22"/>
          <w:szCs w:val="22"/>
        </w:rPr>
        <w:t>Abstract Conceptualization</w:t>
      </w:r>
      <w:r w:rsidRPr="00AA7C5D">
        <w:rPr>
          <w:rFonts w:ascii="Garamond" w:hAnsi="Garamond" w:cs="Arial"/>
          <w:sz w:val="22"/>
          <w:szCs w:val="22"/>
        </w:rPr>
        <w:t>, the individual integrates these experiences with existing knowledge, drawing comparisons to theories or prior learning. Finally, in the </w:t>
      </w:r>
      <w:r w:rsidRPr="00AA7C5D">
        <w:rPr>
          <w:rFonts w:ascii="Garamond" w:hAnsi="Garamond" w:cs="Arial"/>
          <w:i/>
          <w:iCs/>
          <w:sz w:val="22"/>
          <w:szCs w:val="22"/>
        </w:rPr>
        <w:t>Active Experimentation stage</w:t>
      </w:r>
      <w:r w:rsidRPr="00AA7C5D">
        <w:rPr>
          <w:rFonts w:ascii="Garamond" w:hAnsi="Garamond" w:cs="Arial"/>
          <w:sz w:val="22"/>
          <w:szCs w:val="22"/>
        </w:rPr>
        <w:t>, the newly formed concepts are applied in practice to test their effectiveness, leading to new experiences and restarting the cycle.</w:t>
      </w:r>
      <w:r>
        <w:rPr>
          <w:rFonts w:ascii="Garamond" w:hAnsi="Garamond" w:cs="Arial"/>
          <w:sz w:val="22"/>
          <w:szCs w:val="22"/>
        </w:rPr>
        <w:t xml:space="preserve"> </w:t>
      </w:r>
      <w:r w:rsidRPr="00AA7C5D">
        <w:rPr>
          <w:rFonts w:ascii="Garamond" w:hAnsi="Garamond" w:cs="Arial"/>
          <w:sz w:val="22"/>
          <w:szCs w:val="22"/>
        </w:rPr>
        <w:t xml:space="preserve">A key strength of Kolb's model is its ability to differentiate the stages of reflection and learning, providing a clear and structured framework for both individual and team development. It offers a detailed approach to reflecting on concrete experiences, facilitating in-depth learning. However, the model also has limitations. It can be emotionally demanding for novices without proper mentorship, potentially leading to frustration. The process is time-consuming and requires self-discipline and motivation. Moreover, it is more suited to reflecting on concrete experiences or actions and may be less effective for reflections based solely on observation. </w:t>
      </w:r>
      <w:r w:rsidR="001B5DAC">
        <w:rPr>
          <w:rFonts w:ascii="Garamond" w:hAnsi="Garamond" w:cs="Arial"/>
          <w:sz w:val="22"/>
          <w:szCs w:val="22"/>
        </w:rPr>
        <w:t>Appendix</w:t>
      </w:r>
      <w:r w:rsidRPr="00AA7C5D">
        <w:rPr>
          <w:rFonts w:ascii="Garamond" w:hAnsi="Garamond" w:cs="Arial"/>
          <w:sz w:val="22"/>
          <w:szCs w:val="22"/>
        </w:rPr>
        <w:t xml:space="preserve"> </w:t>
      </w:r>
      <w:r w:rsidR="001B5DAC">
        <w:rPr>
          <w:rFonts w:ascii="Garamond" w:hAnsi="Garamond" w:cs="Arial"/>
          <w:sz w:val="22"/>
          <w:szCs w:val="22"/>
        </w:rPr>
        <w:t>2</w:t>
      </w:r>
      <w:r w:rsidRPr="00AA7C5D">
        <w:rPr>
          <w:rFonts w:ascii="Garamond" w:hAnsi="Garamond" w:cs="Arial"/>
          <w:sz w:val="22"/>
          <w:szCs w:val="22"/>
        </w:rPr>
        <w:t xml:space="preserve"> provides an example </w:t>
      </w:r>
      <w:r w:rsidR="00897153">
        <w:rPr>
          <w:rFonts w:ascii="Garamond" w:hAnsi="Garamond" w:cs="Arial"/>
          <w:iCs/>
          <w:sz w:val="22"/>
          <w:szCs w:val="22"/>
        </w:rPr>
        <w:t>of a</w:t>
      </w:r>
      <w:r w:rsidR="00897153" w:rsidRPr="00897153">
        <w:rPr>
          <w:rFonts w:ascii="Garamond" w:hAnsi="Garamond" w:cs="Arial"/>
          <w:iCs/>
          <w:sz w:val="22"/>
          <w:szCs w:val="22"/>
        </w:rPr>
        <w:t xml:space="preserve"> middle-career Dental Educator </w:t>
      </w:r>
      <w:r w:rsidR="00897153" w:rsidRPr="00AA7C5D">
        <w:rPr>
          <w:rFonts w:ascii="Garamond" w:hAnsi="Garamond" w:cs="Arial"/>
          <w:sz w:val="22"/>
          <w:szCs w:val="22"/>
        </w:rPr>
        <w:t>using Kolb’s Experiential Learning Cycle</w:t>
      </w:r>
      <w:r w:rsidR="00897153">
        <w:rPr>
          <w:rFonts w:ascii="Garamond" w:hAnsi="Garamond" w:cs="Arial"/>
          <w:sz w:val="22"/>
          <w:szCs w:val="22"/>
        </w:rPr>
        <w:t xml:space="preserve"> to reflect on challenges when</w:t>
      </w:r>
      <w:r w:rsidR="00897153" w:rsidRPr="00897153">
        <w:rPr>
          <w:rFonts w:ascii="Garamond" w:hAnsi="Garamond" w:cs="Arial"/>
          <w:iCs/>
          <w:sz w:val="22"/>
          <w:szCs w:val="22"/>
        </w:rPr>
        <w:t xml:space="preserve"> teaching in a preclinical simulation laboratory with undergraduate students learning precise cavity preparation</w:t>
      </w:r>
      <w:r w:rsidR="00897153">
        <w:rPr>
          <w:rFonts w:ascii="Garamond" w:hAnsi="Garamond" w:cs="Arial"/>
          <w:iCs/>
          <w:sz w:val="22"/>
          <w:szCs w:val="22"/>
        </w:rPr>
        <w:t>s</w:t>
      </w:r>
      <w:r w:rsidR="00897153" w:rsidRPr="00897153">
        <w:rPr>
          <w:rFonts w:ascii="Garamond" w:hAnsi="Garamond" w:cs="Arial"/>
          <w:iCs/>
          <w:sz w:val="22"/>
          <w:szCs w:val="22"/>
        </w:rPr>
        <w:t xml:space="preserve"> on phantom heads.</w:t>
      </w:r>
    </w:p>
    <w:p w14:paraId="0AB1C568" w14:textId="265AA7B9" w:rsidR="005B339B" w:rsidRDefault="00AA7C5D" w:rsidP="005B339B">
      <w:pPr>
        <w:spacing w:line="480" w:lineRule="auto"/>
        <w:ind w:firstLine="800"/>
        <w:jc w:val="both"/>
        <w:rPr>
          <w:rFonts w:ascii="Garamond" w:hAnsi="Garamond" w:cs="Arial"/>
          <w:bCs/>
          <w:sz w:val="22"/>
          <w:szCs w:val="22"/>
        </w:rPr>
      </w:pPr>
      <w:r w:rsidRPr="00AA7C5D">
        <w:rPr>
          <w:rFonts w:ascii="Garamond" w:hAnsi="Garamond" w:cs="Arial"/>
          <w:b/>
          <w:sz w:val="22"/>
          <w:szCs w:val="22"/>
        </w:rPr>
        <w:t xml:space="preserve">Schön’s Model for Reflection in and on Action </w:t>
      </w:r>
      <w:r w:rsidRPr="00AA7C5D">
        <w:rPr>
          <w:rFonts w:ascii="Garamond" w:hAnsi="Garamond" w:cs="Arial"/>
          <w:b/>
          <w:sz w:val="22"/>
          <w:szCs w:val="22"/>
        </w:rPr>
        <w:fldChar w:fldCharType="begin" w:fldLock="1"/>
      </w:r>
      <w:r w:rsidR="005A09D1">
        <w:rPr>
          <w:rFonts w:ascii="Garamond" w:hAnsi="Garamond" w:cs="Arial"/>
          <w:b/>
          <w:sz w:val="22"/>
          <w:szCs w:val="22"/>
        </w:rPr>
        <w:instrText>ADDIN CSL_CITATION {"citationItems":[{"id":"ITEM-1","itemData":{"ISBN":"1315237474","author":[{"dropping-particle":"","family":"Schön","given":"Donald A","non-dropping-particle":"","parse-names":false,"suffix":""}],"id":"ITEM-1","issued":{"date-parts":[["2017"]]},"publisher":"Routledge","title":"The reflective practitioner: How professionals think in action","type":"book"},"uris":["http://www.mendeley.com/documents/?uuid=67285f64-a5dc-4ca0-8edd-f310e5c5bb08"]}],"mendeley":{"formattedCitation":"[23]","plainTextFormattedCitation":"[23]","previouslyFormattedCitation":"[23]"},"properties":{"noteIndex":0},"schema":"https://github.com/citation-style-language/schema/raw/master/csl-citation.json"}</w:instrText>
      </w:r>
      <w:r w:rsidRPr="00AA7C5D">
        <w:rPr>
          <w:rFonts w:ascii="Garamond" w:hAnsi="Garamond" w:cs="Arial"/>
          <w:b/>
          <w:sz w:val="22"/>
          <w:szCs w:val="22"/>
        </w:rPr>
        <w:fldChar w:fldCharType="separate"/>
      </w:r>
      <w:r w:rsidR="00DF1C28" w:rsidRPr="00DF1C28">
        <w:rPr>
          <w:rFonts w:ascii="Garamond" w:hAnsi="Garamond" w:cs="Arial"/>
          <w:noProof/>
          <w:sz w:val="22"/>
          <w:szCs w:val="22"/>
        </w:rPr>
        <w:t>[23]</w:t>
      </w:r>
      <w:r w:rsidRPr="00AA7C5D">
        <w:rPr>
          <w:rFonts w:ascii="Garamond" w:hAnsi="Garamond" w:cs="Arial"/>
          <w:sz w:val="22"/>
          <w:szCs w:val="22"/>
        </w:rPr>
        <w:fldChar w:fldCharType="end"/>
      </w:r>
      <w:r w:rsidR="00572E93">
        <w:rPr>
          <w:rFonts w:ascii="Garamond" w:hAnsi="Garamond" w:cs="Arial"/>
          <w:sz w:val="22"/>
          <w:szCs w:val="22"/>
        </w:rPr>
        <w:t xml:space="preserve"> </w:t>
      </w:r>
      <w:r w:rsidR="00572E93" w:rsidRPr="00572E93">
        <w:rPr>
          <w:rFonts w:ascii="Garamond" w:hAnsi="Garamond" w:cs="Arial"/>
          <w:sz w:val="22"/>
          <w:szCs w:val="22"/>
        </w:rPr>
        <w:t>is a framework designed to guide in reflecting both during and after practice. The model is centred around two key components: reflection-in-action and reflection-on-action</w:t>
      </w:r>
      <w:r w:rsidR="00572E93">
        <w:rPr>
          <w:rFonts w:ascii="Garamond" w:hAnsi="Garamond" w:cs="Arial"/>
          <w:sz w:val="22"/>
          <w:szCs w:val="22"/>
        </w:rPr>
        <w:t xml:space="preserve"> </w:t>
      </w:r>
      <w:r w:rsidR="00572E93" w:rsidRPr="00AA7C5D">
        <w:rPr>
          <w:rFonts w:ascii="Garamond" w:hAnsi="Garamond" w:cs="Arial"/>
          <w:sz w:val="22"/>
          <w:szCs w:val="22"/>
        </w:rPr>
        <w:t>(Table 1)</w:t>
      </w:r>
      <w:r w:rsidR="00572E93" w:rsidRPr="00572E93">
        <w:rPr>
          <w:rFonts w:ascii="Garamond" w:hAnsi="Garamond" w:cs="Arial"/>
          <w:sz w:val="22"/>
          <w:szCs w:val="22"/>
        </w:rPr>
        <w:t xml:space="preserve">. Reflection-in-action occurs during the activity itself, allowing </w:t>
      </w:r>
      <w:r w:rsidR="00674F32">
        <w:rPr>
          <w:rFonts w:ascii="Garamond" w:hAnsi="Garamond" w:cs="Arial"/>
          <w:sz w:val="22"/>
          <w:szCs w:val="22"/>
        </w:rPr>
        <w:t>individuals</w:t>
      </w:r>
      <w:r w:rsidR="00572E93" w:rsidRPr="00572E93">
        <w:rPr>
          <w:rFonts w:ascii="Garamond" w:hAnsi="Garamond" w:cs="Arial"/>
          <w:sz w:val="22"/>
          <w:szCs w:val="22"/>
        </w:rPr>
        <w:t xml:space="preserve"> to think critically about their actions in real</w:t>
      </w:r>
      <w:r w:rsidR="00E3538F">
        <w:rPr>
          <w:rFonts w:ascii="Garamond" w:hAnsi="Garamond" w:cs="Arial"/>
          <w:sz w:val="22"/>
          <w:szCs w:val="22"/>
        </w:rPr>
        <w:t xml:space="preserve"> </w:t>
      </w:r>
      <w:r w:rsidR="00572E93" w:rsidRPr="00572E93">
        <w:rPr>
          <w:rFonts w:ascii="Garamond" w:hAnsi="Garamond" w:cs="Arial"/>
          <w:sz w:val="22"/>
          <w:szCs w:val="22"/>
        </w:rPr>
        <w:t xml:space="preserve">time, </w:t>
      </w:r>
      <w:proofErr w:type="gramStart"/>
      <w:r w:rsidR="00572E93" w:rsidRPr="00572E93">
        <w:rPr>
          <w:rFonts w:ascii="Garamond" w:hAnsi="Garamond" w:cs="Arial"/>
          <w:sz w:val="22"/>
          <w:szCs w:val="22"/>
        </w:rPr>
        <w:t>making adjustments</w:t>
      </w:r>
      <w:proofErr w:type="gramEnd"/>
      <w:r w:rsidR="00572E93" w:rsidRPr="00572E93">
        <w:rPr>
          <w:rFonts w:ascii="Garamond" w:hAnsi="Garamond" w:cs="Arial"/>
          <w:sz w:val="22"/>
          <w:szCs w:val="22"/>
        </w:rPr>
        <w:t xml:space="preserve"> and decisions as the situation unfolds. This aspect of reflection enables immediate problem-solving and on-the-spot learning. Reflection-on-action, on the other hand, takes place after the event, where individuals analyse and reflect on their experience, drawing insights that can inform future practice and decision-making.</w:t>
      </w:r>
      <w:r w:rsidR="00572E93">
        <w:rPr>
          <w:rFonts w:ascii="Garamond" w:hAnsi="Garamond" w:cs="Arial"/>
          <w:sz w:val="22"/>
          <w:szCs w:val="22"/>
        </w:rPr>
        <w:t xml:space="preserve"> </w:t>
      </w:r>
      <w:r w:rsidR="00572E93" w:rsidRPr="00572E93">
        <w:rPr>
          <w:rFonts w:ascii="Garamond" w:hAnsi="Garamond" w:cs="Arial"/>
          <w:sz w:val="22"/>
          <w:szCs w:val="22"/>
        </w:rPr>
        <w:t xml:space="preserve">A key strength of Schön’s model is its flexibility and simplicity, which make it a time-efficient method for reflecting on concrete, individual experiences or actions. The ability to reflect while actively engaged in the task, rather </w:t>
      </w:r>
      <w:r w:rsidR="00572E93" w:rsidRPr="00572E93">
        <w:rPr>
          <w:rFonts w:ascii="Garamond" w:hAnsi="Garamond" w:cs="Arial"/>
          <w:sz w:val="22"/>
          <w:szCs w:val="22"/>
        </w:rPr>
        <w:lastRenderedPageBreak/>
        <w:t xml:space="preserve">than solely after the event, makes the model particularly valuable for enhancing problem-solving abilities. However, there are limitations. The model’s focus on individual reflection can limit its applicability in team-based settings. Additionally, it is primarily suited to reflecting on concrete experiences or actions, making it less effective for reflections based on observation. </w:t>
      </w:r>
      <w:proofErr w:type="spellStart"/>
      <w:r w:rsidR="00572E93" w:rsidRPr="00572E93">
        <w:rPr>
          <w:rFonts w:ascii="Garamond" w:hAnsi="Garamond" w:cs="Arial"/>
          <w:sz w:val="22"/>
          <w:szCs w:val="22"/>
        </w:rPr>
        <w:t>Its</w:t>
      </w:r>
      <w:proofErr w:type="spellEnd"/>
      <w:r w:rsidR="00572E93" w:rsidRPr="00572E93">
        <w:rPr>
          <w:rFonts w:ascii="Garamond" w:hAnsi="Garamond" w:cs="Arial"/>
          <w:sz w:val="22"/>
          <w:szCs w:val="22"/>
        </w:rPr>
        <w:t xml:space="preserve"> simple structure, while beneficial for ease of use, may lack the rigo</w:t>
      </w:r>
      <w:r w:rsidR="00BA1147">
        <w:rPr>
          <w:rFonts w:ascii="Garamond" w:hAnsi="Garamond" w:cs="Arial"/>
          <w:sz w:val="22"/>
          <w:szCs w:val="22"/>
        </w:rPr>
        <w:t>u</w:t>
      </w:r>
      <w:r w:rsidR="00572E93" w:rsidRPr="00572E93">
        <w:rPr>
          <w:rFonts w:ascii="Garamond" w:hAnsi="Garamond" w:cs="Arial"/>
          <w:sz w:val="22"/>
          <w:szCs w:val="22"/>
        </w:rPr>
        <w:t>r required by novices, potentially limiting its depth in some contexts.</w:t>
      </w:r>
      <w:r w:rsidR="00572E93">
        <w:rPr>
          <w:rFonts w:ascii="Garamond" w:hAnsi="Garamond" w:cs="Arial"/>
          <w:sz w:val="22"/>
          <w:szCs w:val="22"/>
        </w:rPr>
        <w:t xml:space="preserve"> </w:t>
      </w:r>
      <w:r w:rsidR="005B339B">
        <w:rPr>
          <w:rFonts w:ascii="Garamond" w:hAnsi="Garamond" w:cs="Arial"/>
          <w:sz w:val="22"/>
          <w:szCs w:val="22"/>
        </w:rPr>
        <w:t>Appendix 3</w:t>
      </w:r>
      <w:r w:rsidR="00572E93" w:rsidRPr="00AA7C5D">
        <w:rPr>
          <w:rFonts w:ascii="Garamond" w:hAnsi="Garamond" w:cs="Arial"/>
          <w:sz w:val="22"/>
          <w:szCs w:val="22"/>
        </w:rPr>
        <w:t xml:space="preserve"> provides an example </w:t>
      </w:r>
      <w:r w:rsidR="005B339B">
        <w:rPr>
          <w:rFonts w:ascii="Garamond" w:hAnsi="Garamond" w:cs="Arial"/>
          <w:bCs/>
          <w:iCs/>
          <w:sz w:val="22"/>
          <w:szCs w:val="22"/>
        </w:rPr>
        <w:t xml:space="preserve">of an </w:t>
      </w:r>
      <w:r w:rsidR="005B339B" w:rsidRPr="005B339B">
        <w:rPr>
          <w:rFonts w:ascii="Garamond" w:hAnsi="Garamond" w:cs="Arial"/>
          <w:bCs/>
          <w:iCs/>
          <w:sz w:val="22"/>
          <w:szCs w:val="22"/>
        </w:rPr>
        <w:t xml:space="preserve">experienced Dental Educator </w:t>
      </w:r>
      <w:r w:rsidR="005B339B" w:rsidRPr="00AA7C5D">
        <w:rPr>
          <w:rFonts w:ascii="Garamond" w:hAnsi="Garamond" w:cs="Arial"/>
          <w:sz w:val="22"/>
          <w:szCs w:val="22"/>
        </w:rPr>
        <w:t>using</w:t>
      </w:r>
      <w:r w:rsidR="005B339B">
        <w:rPr>
          <w:rFonts w:ascii="Garamond" w:hAnsi="Garamond" w:cs="Arial"/>
          <w:sz w:val="22"/>
          <w:szCs w:val="22"/>
        </w:rPr>
        <w:t xml:space="preserve"> </w:t>
      </w:r>
      <w:r w:rsidR="005B339B" w:rsidRPr="00572E93">
        <w:rPr>
          <w:rFonts w:ascii="Garamond" w:hAnsi="Garamond" w:cs="Arial"/>
          <w:bCs/>
          <w:sz w:val="22"/>
          <w:szCs w:val="22"/>
        </w:rPr>
        <w:t xml:space="preserve">Schön’s Model </w:t>
      </w:r>
      <w:r w:rsidR="005B339B">
        <w:rPr>
          <w:rFonts w:ascii="Garamond" w:hAnsi="Garamond" w:cs="Arial"/>
          <w:bCs/>
          <w:iCs/>
          <w:sz w:val="22"/>
          <w:szCs w:val="22"/>
        </w:rPr>
        <w:t xml:space="preserve">to reflect in and on </w:t>
      </w:r>
      <w:r w:rsidR="005B339B" w:rsidRPr="005B339B">
        <w:rPr>
          <w:rFonts w:ascii="Garamond" w:hAnsi="Garamond" w:cs="Arial"/>
          <w:bCs/>
          <w:iCs/>
          <w:sz w:val="22"/>
          <w:szCs w:val="22"/>
        </w:rPr>
        <w:t xml:space="preserve">a practical teaching session with senior dental students performing multiple extractions </w:t>
      </w:r>
      <w:r w:rsidR="005B339B">
        <w:rPr>
          <w:rFonts w:ascii="Garamond" w:hAnsi="Garamond" w:cs="Arial"/>
          <w:bCs/>
          <w:iCs/>
          <w:sz w:val="22"/>
          <w:szCs w:val="22"/>
        </w:rPr>
        <w:t xml:space="preserve">where the teaching strategy had to be adjusted </w:t>
      </w:r>
      <w:r w:rsidR="005B339B" w:rsidRPr="005B339B">
        <w:rPr>
          <w:rFonts w:ascii="Garamond" w:hAnsi="Garamond" w:cs="Arial"/>
          <w:bCs/>
          <w:iCs/>
          <w:sz w:val="22"/>
          <w:szCs w:val="22"/>
        </w:rPr>
        <w:t>on the spot to ensure effective learning while managing the clinical situation.</w:t>
      </w:r>
    </w:p>
    <w:p w14:paraId="617C3394" w14:textId="6B4C0348" w:rsidR="00984834" w:rsidRDefault="00597E79" w:rsidP="00984834">
      <w:pPr>
        <w:spacing w:line="480" w:lineRule="auto"/>
        <w:ind w:firstLine="800"/>
        <w:jc w:val="both"/>
        <w:rPr>
          <w:rFonts w:ascii="Garamond" w:hAnsi="Garamond" w:cs="Arial"/>
          <w:iCs/>
          <w:sz w:val="22"/>
          <w:szCs w:val="22"/>
        </w:rPr>
      </w:pPr>
      <w:r w:rsidRPr="00597E79">
        <w:rPr>
          <w:rFonts w:ascii="Garamond" w:hAnsi="Garamond" w:cs="Arial"/>
          <w:b/>
          <w:bCs/>
          <w:sz w:val="22"/>
          <w:szCs w:val="22"/>
        </w:rPr>
        <w:t xml:space="preserve">Rolfe’s Framework for Reflective Practice </w:t>
      </w:r>
      <w:r w:rsidRPr="00597E79">
        <w:rPr>
          <w:rFonts w:ascii="Garamond" w:hAnsi="Garamond" w:cs="Arial"/>
          <w:b/>
          <w:bCs/>
          <w:sz w:val="22"/>
          <w:szCs w:val="22"/>
        </w:rPr>
        <w:fldChar w:fldCharType="begin" w:fldLock="1"/>
      </w:r>
      <w:r w:rsidR="005A09D1">
        <w:rPr>
          <w:rFonts w:ascii="Garamond" w:hAnsi="Garamond" w:cs="Arial"/>
          <w:b/>
          <w:bCs/>
          <w:sz w:val="22"/>
          <w:szCs w:val="22"/>
        </w:rPr>
        <w:instrText>ADDIN CSL_CITATION {"citationItems":[{"id":"ITEM-1","itemData":{"author":[{"dropping-particle":"","family":"Rolfe","given":"Gary","non-dropping-particle":"","parse-names":false,"suffix":""},{"dropping-particle":"","family":"Freshwater","given":"Dawn","non-dropping-particle":"","parse-names":false,"suffix":""},{"dropping-particle":"","family":"Jasper","given":"Melanie","non-dropping-particle":"","parse-names":false,"suffix":""}],"id":"ITEM-1","issued":{"date-parts":[["2001"]]},"title":"Critical reflection for nursing and the helping professions: A user's guide","type":"article-journal"},"uris":["http://www.mendeley.com/documents/?uuid=27e8bdbd-d8c6-4f40-bfd6-b3214089741a"]}],"mendeley":{"formattedCitation":"[24]","plainTextFormattedCitation":"[24]","previouslyFormattedCitation":"[24]"},"properties":{"noteIndex":0},"schema":"https://github.com/citation-style-language/schema/raw/master/csl-citation.json"}</w:instrText>
      </w:r>
      <w:r w:rsidRPr="00597E79">
        <w:rPr>
          <w:rFonts w:ascii="Garamond" w:hAnsi="Garamond" w:cs="Arial"/>
          <w:b/>
          <w:bCs/>
          <w:sz w:val="22"/>
          <w:szCs w:val="22"/>
        </w:rPr>
        <w:fldChar w:fldCharType="separate"/>
      </w:r>
      <w:r w:rsidR="00DF1C28" w:rsidRPr="00DF1C28">
        <w:rPr>
          <w:rFonts w:ascii="Garamond" w:hAnsi="Garamond" w:cs="Arial"/>
          <w:bCs/>
          <w:noProof/>
          <w:sz w:val="22"/>
          <w:szCs w:val="22"/>
        </w:rPr>
        <w:t>[24]</w:t>
      </w:r>
      <w:r w:rsidRPr="00597E79">
        <w:rPr>
          <w:rFonts w:ascii="Garamond" w:hAnsi="Garamond" w:cs="Arial"/>
          <w:bCs/>
          <w:sz w:val="22"/>
          <w:szCs w:val="22"/>
        </w:rPr>
        <w:fldChar w:fldCharType="end"/>
      </w:r>
      <w:r w:rsidR="00F10C0B">
        <w:rPr>
          <w:rFonts w:ascii="Garamond" w:hAnsi="Garamond" w:cs="Arial"/>
          <w:bCs/>
          <w:sz w:val="22"/>
          <w:szCs w:val="22"/>
        </w:rPr>
        <w:t xml:space="preserve"> </w:t>
      </w:r>
      <w:r w:rsidR="00F10C0B" w:rsidRPr="00F10C0B">
        <w:rPr>
          <w:rFonts w:ascii="Garamond" w:hAnsi="Garamond" w:cs="Arial"/>
          <w:bCs/>
          <w:sz w:val="22"/>
          <w:szCs w:val="22"/>
        </w:rPr>
        <w:t>is a structured model designed to guide individuals through reflective thinking. The framework revolves around three fundamental questions that prompt deeper analysis of an experience</w:t>
      </w:r>
      <w:r w:rsidR="00F10C0B">
        <w:rPr>
          <w:rFonts w:ascii="Garamond" w:hAnsi="Garamond" w:cs="Arial"/>
          <w:bCs/>
          <w:sz w:val="22"/>
          <w:szCs w:val="22"/>
        </w:rPr>
        <w:t xml:space="preserve"> (Table 1)</w:t>
      </w:r>
      <w:r w:rsidR="00F10C0B" w:rsidRPr="00F10C0B">
        <w:rPr>
          <w:rFonts w:ascii="Garamond" w:hAnsi="Garamond" w:cs="Arial"/>
          <w:bCs/>
          <w:sz w:val="22"/>
          <w:szCs w:val="22"/>
        </w:rPr>
        <w:t>. The first question, </w:t>
      </w:r>
      <w:proofErr w:type="gramStart"/>
      <w:r w:rsidR="00F10C0B" w:rsidRPr="00F10C0B">
        <w:rPr>
          <w:rFonts w:ascii="Garamond" w:hAnsi="Garamond" w:cs="Arial"/>
          <w:i/>
          <w:iCs/>
          <w:sz w:val="22"/>
          <w:szCs w:val="22"/>
        </w:rPr>
        <w:t>What?</w:t>
      </w:r>
      <w:r w:rsidR="00F10C0B" w:rsidRPr="00F10C0B">
        <w:rPr>
          <w:rFonts w:ascii="Garamond" w:hAnsi="Garamond" w:cs="Arial"/>
          <w:bCs/>
          <w:sz w:val="22"/>
          <w:szCs w:val="22"/>
        </w:rPr>
        <w:t>,</w:t>
      </w:r>
      <w:proofErr w:type="gramEnd"/>
      <w:r w:rsidR="00F10C0B" w:rsidRPr="00F10C0B">
        <w:rPr>
          <w:rFonts w:ascii="Garamond" w:hAnsi="Garamond" w:cs="Arial"/>
          <w:bCs/>
          <w:sz w:val="22"/>
          <w:szCs w:val="22"/>
        </w:rPr>
        <w:t xml:space="preserve"> encourages individuals to describe the experience or situation in a neutral, factual manner. This is followed by the question </w:t>
      </w:r>
      <w:r w:rsidR="00F10C0B" w:rsidRPr="00F10C0B">
        <w:rPr>
          <w:rFonts w:ascii="Garamond" w:hAnsi="Garamond" w:cs="Arial"/>
          <w:i/>
          <w:iCs/>
          <w:sz w:val="22"/>
          <w:szCs w:val="22"/>
        </w:rPr>
        <w:t xml:space="preserve">So </w:t>
      </w:r>
      <w:proofErr w:type="gramStart"/>
      <w:r w:rsidR="00F10C0B" w:rsidRPr="00F10C0B">
        <w:rPr>
          <w:rFonts w:ascii="Garamond" w:hAnsi="Garamond" w:cs="Arial"/>
          <w:i/>
          <w:iCs/>
          <w:sz w:val="22"/>
          <w:szCs w:val="22"/>
        </w:rPr>
        <w:t>What?</w:t>
      </w:r>
      <w:r w:rsidR="00F10C0B" w:rsidRPr="00F10C0B">
        <w:rPr>
          <w:rFonts w:ascii="Garamond" w:hAnsi="Garamond" w:cs="Arial"/>
          <w:bCs/>
          <w:sz w:val="22"/>
          <w:szCs w:val="22"/>
        </w:rPr>
        <w:t>,</w:t>
      </w:r>
      <w:proofErr w:type="gramEnd"/>
      <w:r w:rsidR="00F10C0B" w:rsidRPr="00F10C0B">
        <w:rPr>
          <w:rFonts w:ascii="Garamond" w:hAnsi="Garamond" w:cs="Arial"/>
          <w:bCs/>
          <w:sz w:val="22"/>
          <w:szCs w:val="22"/>
        </w:rPr>
        <w:t xml:space="preserve"> which invites individuals to analyse the significance of the experience, examining feelings, thoughts, and implications. The final question, </w:t>
      </w:r>
      <w:r w:rsidR="00F10C0B" w:rsidRPr="00F10C0B">
        <w:rPr>
          <w:rFonts w:ascii="Garamond" w:hAnsi="Garamond" w:cs="Arial"/>
          <w:i/>
          <w:iCs/>
          <w:sz w:val="22"/>
          <w:szCs w:val="22"/>
        </w:rPr>
        <w:t xml:space="preserve">Now </w:t>
      </w:r>
      <w:proofErr w:type="gramStart"/>
      <w:r w:rsidR="00F10C0B" w:rsidRPr="00F10C0B">
        <w:rPr>
          <w:rFonts w:ascii="Garamond" w:hAnsi="Garamond" w:cs="Arial"/>
          <w:i/>
          <w:iCs/>
          <w:sz w:val="22"/>
          <w:szCs w:val="22"/>
        </w:rPr>
        <w:t>What?</w:t>
      </w:r>
      <w:r w:rsidR="00F10C0B" w:rsidRPr="00F10C0B">
        <w:rPr>
          <w:rFonts w:ascii="Garamond" w:hAnsi="Garamond" w:cs="Arial"/>
          <w:bCs/>
          <w:sz w:val="22"/>
          <w:szCs w:val="22"/>
        </w:rPr>
        <w:t>,</w:t>
      </w:r>
      <w:proofErr w:type="gramEnd"/>
      <w:r w:rsidR="00F10C0B" w:rsidRPr="00F10C0B">
        <w:rPr>
          <w:rFonts w:ascii="Garamond" w:hAnsi="Garamond" w:cs="Arial"/>
          <w:bCs/>
          <w:sz w:val="22"/>
          <w:szCs w:val="22"/>
        </w:rPr>
        <w:t xml:space="preserve"> focuses on the actions that can be taken in response to the reflection, including plans for future actions or adjustments to practice.</w:t>
      </w:r>
      <w:r w:rsidR="00F10C0B">
        <w:rPr>
          <w:rFonts w:ascii="Garamond" w:hAnsi="Garamond" w:cs="Arial"/>
          <w:bCs/>
          <w:sz w:val="22"/>
          <w:szCs w:val="22"/>
        </w:rPr>
        <w:t xml:space="preserve"> </w:t>
      </w:r>
      <w:r w:rsidR="00F10C0B" w:rsidRPr="00F10C0B">
        <w:rPr>
          <w:rFonts w:ascii="Garamond" w:hAnsi="Garamond" w:cs="Arial"/>
          <w:bCs/>
          <w:sz w:val="22"/>
          <w:szCs w:val="22"/>
        </w:rPr>
        <w:t xml:space="preserve">This process promotes continuous learning and personal development, helping </w:t>
      </w:r>
      <w:r w:rsidR="00F10C0B">
        <w:rPr>
          <w:rFonts w:ascii="Garamond" w:hAnsi="Garamond" w:cs="Arial"/>
          <w:bCs/>
          <w:sz w:val="22"/>
          <w:szCs w:val="22"/>
        </w:rPr>
        <w:t>educators</w:t>
      </w:r>
      <w:r w:rsidR="00F10C0B" w:rsidRPr="00F10C0B">
        <w:rPr>
          <w:rFonts w:ascii="Garamond" w:hAnsi="Garamond" w:cs="Arial"/>
          <w:bCs/>
          <w:sz w:val="22"/>
          <w:szCs w:val="22"/>
        </w:rPr>
        <w:t xml:space="preserve"> integrate new insights into their professional practice. One of the strengths of Rolfe's model is its simplicity and flexibility, making it easy to apply to both direct experiences and more indirect situations. It is adaptable, accommodating repeated or stand-alone experiences and fitting a wide range of learning needs and time constraints. </w:t>
      </w:r>
      <w:r w:rsidR="007B1246">
        <w:rPr>
          <w:rFonts w:ascii="Garamond" w:hAnsi="Garamond" w:cs="Arial"/>
          <w:bCs/>
          <w:sz w:val="22"/>
          <w:szCs w:val="22"/>
        </w:rPr>
        <w:t>Amongst</w:t>
      </w:r>
      <w:r w:rsidR="00F10C0B">
        <w:rPr>
          <w:rFonts w:ascii="Garamond" w:hAnsi="Garamond" w:cs="Arial"/>
          <w:bCs/>
          <w:sz w:val="22"/>
          <w:szCs w:val="22"/>
        </w:rPr>
        <w:t xml:space="preserve"> the</w:t>
      </w:r>
      <w:r w:rsidR="00F10C0B" w:rsidRPr="00F10C0B">
        <w:rPr>
          <w:rFonts w:ascii="Garamond" w:hAnsi="Garamond" w:cs="Arial"/>
          <w:bCs/>
          <w:sz w:val="22"/>
          <w:szCs w:val="22"/>
        </w:rPr>
        <w:t xml:space="preserve"> limitations</w:t>
      </w:r>
      <w:r w:rsidR="00F10C0B">
        <w:rPr>
          <w:rFonts w:ascii="Garamond" w:hAnsi="Garamond" w:cs="Arial"/>
          <w:bCs/>
          <w:sz w:val="22"/>
          <w:szCs w:val="22"/>
        </w:rPr>
        <w:t>,</w:t>
      </w:r>
      <w:r w:rsidR="00F10C0B" w:rsidRPr="00F10C0B">
        <w:rPr>
          <w:rFonts w:ascii="Garamond" w:hAnsi="Garamond" w:cs="Arial"/>
          <w:bCs/>
          <w:sz w:val="22"/>
          <w:szCs w:val="22"/>
        </w:rPr>
        <w:t xml:space="preserve"> </w:t>
      </w:r>
      <w:r w:rsidR="00F10C0B">
        <w:rPr>
          <w:rFonts w:ascii="Garamond" w:hAnsi="Garamond" w:cs="Arial"/>
          <w:bCs/>
          <w:sz w:val="22"/>
          <w:szCs w:val="22"/>
        </w:rPr>
        <w:t>i</w:t>
      </w:r>
      <w:r w:rsidR="00F10C0B" w:rsidRPr="00F10C0B">
        <w:rPr>
          <w:rFonts w:ascii="Garamond" w:hAnsi="Garamond" w:cs="Arial"/>
          <w:bCs/>
          <w:sz w:val="22"/>
          <w:szCs w:val="22"/>
        </w:rPr>
        <w:t>ts focus on individual reflection may limit its application in team-based settings. Additionally, the model is primarily suited for reflection-on-action activities and may not be as effective for real-time, reflection-in-action. The simplicity of the framework, while useful, may lack the depth and rigo</w:t>
      </w:r>
      <w:r w:rsidR="00946DA1">
        <w:rPr>
          <w:rFonts w:ascii="Garamond" w:hAnsi="Garamond" w:cs="Arial"/>
          <w:bCs/>
          <w:sz w:val="22"/>
          <w:szCs w:val="22"/>
        </w:rPr>
        <w:t>u</w:t>
      </w:r>
      <w:r w:rsidR="00F10C0B" w:rsidRPr="00F10C0B">
        <w:rPr>
          <w:rFonts w:ascii="Garamond" w:hAnsi="Garamond" w:cs="Arial"/>
          <w:bCs/>
          <w:sz w:val="22"/>
          <w:szCs w:val="22"/>
        </w:rPr>
        <w:t>r needed for novices to engage in more complex reflective processes.</w:t>
      </w:r>
      <w:r w:rsidR="00F10C0B">
        <w:rPr>
          <w:rFonts w:ascii="Garamond" w:hAnsi="Garamond" w:cs="Arial"/>
          <w:bCs/>
          <w:sz w:val="22"/>
          <w:szCs w:val="22"/>
        </w:rPr>
        <w:t xml:space="preserve"> </w:t>
      </w:r>
      <w:r w:rsidR="00511487">
        <w:rPr>
          <w:rFonts w:ascii="Garamond" w:hAnsi="Garamond" w:cs="Arial"/>
          <w:sz w:val="22"/>
          <w:szCs w:val="22"/>
        </w:rPr>
        <w:t>Appendix 4</w:t>
      </w:r>
      <w:r w:rsidR="00511487" w:rsidRPr="00511487">
        <w:rPr>
          <w:rFonts w:ascii="Garamond" w:hAnsi="Garamond" w:cs="Arial"/>
          <w:sz w:val="22"/>
          <w:szCs w:val="22"/>
        </w:rPr>
        <w:t xml:space="preserve"> presents an example of an experienced Dental Educator using Rolfe’s Framework to reflect on observing a novice educator struggling to maintain the group’s engagement wh</w:t>
      </w:r>
      <w:r w:rsidR="000D0099">
        <w:rPr>
          <w:rFonts w:ascii="Garamond" w:hAnsi="Garamond" w:cs="Arial"/>
          <w:sz w:val="22"/>
          <w:szCs w:val="22"/>
        </w:rPr>
        <w:t>en</w:t>
      </w:r>
      <w:r w:rsidR="00511487" w:rsidRPr="00511487">
        <w:rPr>
          <w:rFonts w:ascii="Garamond" w:hAnsi="Garamond" w:cs="Arial"/>
          <w:sz w:val="22"/>
          <w:szCs w:val="22"/>
        </w:rPr>
        <w:t xml:space="preserve"> conducting a teaching session with dental students on history-taking and communication skills</w:t>
      </w:r>
      <w:r w:rsidR="00984834" w:rsidRPr="00984834">
        <w:rPr>
          <w:rFonts w:ascii="Garamond" w:hAnsi="Garamond" w:cs="Arial"/>
          <w:iCs/>
          <w:sz w:val="22"/>
          <w:szCs w:val="22"/>
        </w:rPr>
        <w:t xml:space="preserve">. </w:t>
      </w:r>
    </w:p>
    <w:p w14:paraId="33560D78" w14:textId="77777777" w:rsidR="00B9516C" w:rsidRDefault="00B9516C" w:rsidP="00B9516C">
      <w:pPr>
        <w:spacing w:line="480" w:lineRule="auto"/>
        <w:ind w:firstLine="800"/>
        <w:jc w:val="both"/>
        <w:rPr>
          <w:rFonts w:ascii="Garamond" w:hAnsi="Garamond" w:cs="Arial"/>
          <w:sz w:val="22"/>
          <w:szCs w:val="22"/>
        </w:rPr>
      </w:pPr>
      <w:r>
        <w:rPr>
          <w:rFonts w:ascii="Garamond" w:hAnsi="Garamond" w:cs="Arial"/>
          <w:sz w:val="22"/>
          <w:szCs w:val="22"/>
        </w:rPr>
        <w:lastRenderedPageBreak/>
        <w:t xml:space="preserve">These four reflective practice models provide template options to trigger and facilitate clinical educators’ reflection depending on personal preference, career stage, the situation/activity or concrete experience to reflect in/on, direct or indirect involvement, or need for structured or simple frameworks. It is recommendable for the novice educator, in initial reflective practice tasks, to follow the structure of these practical frameworks, however, as experience is gained, educators may subsequently adapt and develop the models to their preferred style. </w:t>
      </w:r>
    </w:p>
    <w:p w14:paraId="280E72CD" w14:textId="4544F27F" w:rsidR="00451600" w:rsidRDefault="00451600" w:rsidP="00984834">
      <w:pPr>
        <w:spacing w:line="480" w:lineRule="auto"/>
        <w:ind w:firstLine="800"/>
        <w:jc w:val="both"/>
        <w:rPr>
          <w:rFonts w:ascii="Garamond" w:hAnsi="Garamond" w:cs="Arial"/>
          <w:sz w:val="22"/>
          <w:szCs w:val="22"/>
        </w:rPr>
      </w:pPr>
      <w:r w:rsidRPr="00451600">
        <w:rPr>
          <w:rFonts w:ascii="Garamond" w:hAnsi="Garamond" w:cs="Arial"/>
          <w:sz w:val="22"/>
          <w:szCs w:val="22"/>
        </w:rPr>
        <w:t>While Table</w:t>
      </w:r>
      <w:r w:rsidRPr="00451600">
        <w:rPr>
          <w:sz w:val="22"/>
          <w:szCs w:val="22"/>
        </w:rPr>
        <w:t> </w:t>
      </w:r>
      <w:r w:rsidRPr="00451600">
        <w:rPr>
          <w:rFonts w:ascii="Garamond" w:hAnsi="Garamond" w:cs="Arial"/>
          <w:sz w:val="22"/>
          <w:szCs w:val="22"/>
        </w:rPr>
        <w:t xml:space="preserve">1 summarises the individual strengths and limitations of each model, it is also useful to compare them critically. </w:t>
      </w:r>
      <w:proofErr w:type="gramStart"/>
      <w:r w:rsidRPr="00451600">
        <w:rPr>
          <w:rFonts w:ascii="Garamond" w:hAnsi="Garamond" w:cs="Arial"/>
          <w:sz w:val="22"/>
          <w:szCs w:val="22"/>
        </w:rPr>
        <w:t>Gibbs’</w:t>
      </w:r>
      <w:proofErr w:type="gramEnd"/>
      <w:r w:rsidRPr="00451600">
        <w:rPr>
          <w:rFonts w:ascii="Garamond" w:hAnsi="Garamond" w:cs="Arial"/>
          <w:sz w:val="22"/>
          <w:szCs w:val="22"/>
        </w:rPr>
        <w:t xml:space="preserve"> and Rolfe’s models are often favoured for their simplicity and structured prompts, making them accessible for novices or for documenting reflections in written portfolios. However, these models tend to promote descriptive rather than critically analytical reflections unless accompanied by guided support. In contrast, Kolb’s experiential cycle and Schön’s reflection-in-action model are more conducive to developing deeper reflective insights and clinical reasoning, particularly in real-time or practical contexts. Kolb’s emphasis on conceptual integration and experimentation lends itself well to structured teaching and self-directed improvement, while Schön’s model is uniquely suited for experienced educators navigating unpredictable clinical learning environments. Educators may therefore select different models depending on the teaching setting, learner experience, or desired outcome—from initial reflection-building to critical pedagogical evaluation.</w:t>
      </w:r>
    </w:p>
    <w:p w14:paraId="4FFC5980" w14:textId="0767B2DD" w:rsidR="00F946FE" w:rsidRPr="00F946FE" w:rsidRDefault="006B57AB" w:rsidP="00F946FE">
      <w:pPr>
        <w:spacing w:line="480" w:lineRule="auto"/>
        <w:ind w:firstLine="800"/>
        <w:jc w:val="both"/>
        <w:rPr>
          <w:rFonts w:ascii="Garamond" w:hAnsi="Garamond" w:cs="Arial"/>
          <w:sz w:val="22"/>
          <w:szCs w:val="22"/>
        </w:rPr>
      </w:pPr>
      <w:r>
        <w:rPr>
          <w:rFonts w:ascii="Garamond" w:hAnsi="Garamond" w:cs="Arial"/>
          <w:sz w:val="22"/>
          <w:szCs w:val="22"/>
        </w:rPr>
        <w:t>T</w:t>
      </w:r>
      <w:r w:rsidR="00F946FE" w:rsidRPr="00F946FE">
        <w:rPr>
          <w:rFonts w:ascii="Garamond" w:hAnsi="Garamond" w:cs="Arial"/>
          <w:sz w:val="22"/>
          <w:szCs w:val="22"/>
        </w:rPr>
        <w:t xml:space="preserve">he models presented in this commentary primarily support individual reflective development, </w:t>
      </w:r>
      <w:r>
        <w:rPr>
          <w:rFonts w:ascii="Garamond" w:hAnsi="Garamond" w:cs="Arial"/>
          <w:sz w:val="22"/>
          <w:szCs w:val="22"/>
        </w:rPr>
        <w:t xml:space="preserve">however </w:t>
      </w:r>
      <w:r w:rsidR="00F946FE" w:rsidRPr="00F946FE">
        <w:rPr>
          <w:rFonts w:ascii="Garamond" w:hAnsi="Garamond" w:cs="Arial"/>
          <w:sz w:val="22"/>
          <w:szCs w:val="22"/>
        </w:rPr>
        <w:t>recent literature highlights the growing importance of collective reflective practice. This approach positions reflection as a social and collaborative process, where dental students, educators, and auxiliary staff engage in shared reflection to explore common challenges and build mutual understanding. Collective reflection has been shown to foster professional dialogue, strengthen learning communities, and support identity formation through shared experience</w:t>
      </w:r>
      <w:r w:rsidR="00F946FE">
        <w:rPr>
          <w:rFonts w:ascii="Garamond" w:hAnsi="Garamond" w:cs="Arial"/>
          <w:sz w:val="22"/>
          <w:szCs w:val="22"/>
        </w:rPr>
        <w:t xml:space="preserve"> </w:t>
      </w:r>
      <w:r w:rsidR="00F946FE">
        <w:rPr>
          <w:rFonts w:ascii="Garamond" w:hAnsi="Garamond" w:cs="Arial"/>
          <w:sz w:val="22"/>
          <w:szCs w:val="22"/>
        </w:rPr>
        <w:fldChar w:fldCharType="begin" w:fldLock="1"/>
      </w:r>
      <w:r w:rsidR="00F946FE">
        <w:rPr>
          <w:rFonts w:ascii="Garamond" w:hAnsi="Garamond" w:cs="Arial"/>
          <w:sz w:val="22"/>
          <w:szCs w:val="22"/>
        </w:rPr>
        <w:instrText>ADDIN CSL_CITATION {"citationItems":[{"id":"ITEM-1","itemData":{"ISSN":"1472-6920","author":[{"dropping-particle":"","family":"Phua","given":"Gillian Li Gek","non-dropping-particle":"","parse-names":false,"suffix":""},{"dropping-particle":"","family":"Owyong","given":"Jasmine Lerk Juan","non-dropping-particle":"","parse-names":false,"suffix":""},{"dropping-particle":"","family":"Leong","given":"Ian Tze Yong","non-dropping-particle":"","parse-names":false,"suffix":""},{"dropping-particle":"","family":"Goh","given":"Suzanne","non-dropping-particle":"","parse-names":false,"suffix":""},{"dropping-particle":"","family":"Somasundaram","given":"Nagavalli","non-dropping-particle":"","parse-names":false,"suffix":""},{"dropping-particle":"","family":"Poon","given":"Eileen Yi Ling","non-dropping-particle":"","parse-names":false,"suffix":""},{"dropping-particle":"","family":"Chowdhury","given":"Anupama Roy","non-dropping-particle":"","parse-names":false,"suffix":""},{"dropping-particle":"","family":"Ong","given":"Simon Yew Kuang","non-dropping-particle":"","parse-names":false,"suffix":""},{"dropping-particle":"","family":"Lim","given":"Crystal","non-dropping-particle":"","parse-names":false,"suffix":""},{"dropping-particle":"","family":"Murugam","given":"Vengadasalam","non-dropping-particle":"","parse-names":false,"suffix":""}],"container-title":"BMC Medical Education","id":"ITEM-1","issue":"1","issued":{"date-parts":[["2024"]]},"page":"398","publisher":"Springer","title":"A systematic scoping review of group reflection in medical education","type":"article-journal","volume":"24"},"uris":["http://www.mendeley.com/documents/?uuid=8e532555-2999-42e9-b9fc-1432763f7ae4"]}],"mendeley":{"formattedCitation":"[26]","plainTextFormattedCitation":"[26]","previouslyFormattedCitation":"[26]"},"properties":{"noteIndex":0},"schema":"https://github.com/citation-style-language/schema/raw/master/csl-citation.json"}</w:instrText>
      </w:r>
      <w:r w:rsidR="00F946FE">
        <w:rPr>
          <w:rFonts w:ascii="Garamond" w:hAnsi="Garamond" w:cs="Arial"/>
          <w:sz w:val="22"/>
          <w:szCs w:val="22"/>
        </w:rPr>
        <w:fldChar w:fldCharType="separate"/>
      </w:r>
      <w:r w:rsidR="00F946FE" w:rsidRPr="005A09D1">
        <w:rPr>
          <w:rFonts w:ascii="Garamond" w:hAnsi="Garamond" w:cs="Arial"/>
          <w:noProof/>
          <w:sz w:val="22"/>
          <w:szCs w:val="22"/>
        </w:rPr>
        <w:t>[26]</w:t>
      </w:r>
      <w:r w:rsidR="00F946FE">
        <w:rPr>
          <w:rFonts w:ascii="Garamond" w:hAnsi="Garamond" w:cs="Arial"/>
          <w:sz w:val="22"/>
          <w:szCs w:val="22"/>
        </w:rPr>
        <w:fldChar w:fldCharType="end"/>
      </w:r>
      <w:r w:rsidR="00F946FE" w:rsidRPr="00F946FE">
        <w:rPr>
          <w:rFonts w:ascii="Garamond" w:hAnsi="Garamond" w:cs="Arial"/>
          <w:sz w:val="22"/>
          <w:szCs w:val="22"/>
        </w:rPr>
        <w:t>. In dental education—where teamwork, interprofessional collaboration, and co-located clinical learning are common—creating space for structured group reflection may offer benefits beyond individual insight, encouraging team-based professional development and a more cohesive educational culture.</w:t>
      </w:r>
    </w:p>
    <w:p w14:paraId="1F0271A6" w14:textId="65222596" w:rsidR="00F946FE" w:rsidRPr="00F946FE" w:rsidRDefault="00F946FE" w:rsidP="00F946FE">
      <w:pPr>
        <w:spacing w:line="480" w:lineRule="auto"/>
        <w:ind w:firstLine="800"/>
        <w:jc w:val="both"/>
        <w:rPr>
          <w:rFonts w:ascii="Garamond" w:hAnsi="Garamond" w:cs="Arial"/>
          <w:sz w:val="22"/>
          <w:szCs w:val="22"/>
        </w:rPr>
      </w:pPr>
      <w:r w:rsidRPr="00F946FE">
        <w:rPr>
          <w:rFonts w:ascii="Garamond" w:hAnsi="Garamond" w:cs="Arial"/>
          <w:sz w:val="22"/>
          <w:szCs w:val="22"/>
        </w:rPr>
        <w:lastRenderedPageBreak/>
        <w:t xml:space="preserve">At the same time, while reflective models are well-established in medical education, limited work has explored their practical transferability to dental education. This commentary contributes to current debates by offering a structured synthesis of four widely used models contextualised for clinical dental education, along with realistic, practice-based examples. The comparative summary (Table 1) and appendices provide a flexible toolkit for educators, supporting both self-directed reflection and institutional faculty development. By combining theoretical rigour with applied examples, the paper addresses a gap between abstract understanding and the realities of clinical teaching in dentistry </w:t>
      </w:r>
      <w:r>
        <w:rPr>
          <w:rFonts w:ascii="Garamond" w:hAnsi="Garamond" w:cs="Arial"/>
          <w:sz w:val="22"/>
          <w:szCs w:val="22"/>
        </w:rPr>
        <w:t>[18]</w:t>
      </w:r>
      <w:r w:rsidRPr="00F946FE">
        <w:rPr>
          <w:rFonts w:ascii="Garamond" w:hAnsi="Garamond" w:cs="Arial"/>
          <w:sz w:val="22"/>
          <w:szCs w:val="22"/>
        </w:rPr>
        <w:t>.</w:t>
      </w:r>
    </w:p>
    <w:p w14:paraId="24503FBB" w14:textId="77777777" w:rsidR="00F946FE" w:rsidRPr="00984834" w:rsidRDefault="00F946FE" w:rsidP="00984834">
      <w:pPr>
        <w:spacing w:line="480" w:lineRule="auto"/>
        <w:ind w:firstLine="800"/>
        <w:jc w:val="both"/>
        <w:rPr>
          <w:rFonts w:ascii="Garamond" w:hAnsi="Garamond" w:cs="Arial"/>
          <w:sz w:val="22"/>
          <w:szCs w:val="22"/>
        </w:rPr>
      </w:pPr>
    </w:p>
    <w:p w14:paraId="58418C4F" w14:textId="77777777" w:rsidR="00D508E3" w:rsidRPr="00006D49" w:rsidRDefault="00D508E3" w:rsidP="00D508E3">
      <w:pPr>
        <w:spacing w:line="480" w:lineRule="auto"/>
        <w:rPr>
          <w:rFonts w:ascii="Garamond" w:hAnsi="Garamond" w:cs="Arial"/>
          <w:b/>
          <w:iCs/>
          <w:sz w:val="22"/>
          <w:szCs w:val="22"/>
          <w:lang w:eastAsia="en-US"/>
        </w:rPr>
      </w:pPr>
      <w:r w:rsidRPr="00006D49">
        <w:rPr>
          <w:rFonts w:ascii="Garamond" w:hAnsi="Garamond" w:cs="Arial"/>
          <w:b/>
          <w:iCs/>
          <w:sz w:val="22"/>
          <w:szCs w:val="22"/>
        </w:rPr>
        <w:t>Conclusion</w:t>
      </w:r>
    </w:p>
    <w:p w14:paraId="20C2CE31" w14:textId="77777777" w:rsidR="00D508E3" w:rsidRDefault="00D508E3" w:rsidP="001A3D00">
      <w:pPr>
        <w:spacing w:line="480" w:lineRule="auto"/>
        <w:jc w:val="both"/>
        <w:rPr>
          <w:rFonts w:ascii="Garamond" w:hAnsi="Garamond" w:cs="Arial"/>
          <w:bCs/>
          <w:sz w:val="22"/>
          <w:szCs w:val="22"/>
        </w:rPr>
      </w:pPr>
    </w:p>
    <w:p w14:paraId="6001DE6A" w14:textId="6F132692" w:rsidR="001A3D00" w:rsidRDefault="0094767D" w:rsidP="0094767D">
      <w:pPr>
        <w:spacing w:line="480" w:lineRule="auto"/>
        <w:jc w:val="both"/>
        <w:rPr>
          <w:rFonts w:ascii="Garamond" w:eastAsia="Batang" w:hAnsi="Garamond" w:cs="Courier New"/>
          <w:color w:val="42C7F1"/>
          <w:sz w:val="22"/>
          <w:szCs w:val="22"/>
          <w:lang w:val="en-US" w:eastAsia="en-US"/>
        </w:rPr>
      </w:pPr>
      <w:r w:rsidRPr="0094767D">
        <w:rPr>
          <w:rFonts w:ascii="Garamond" w:hAnsi="Garamond" w:cs="Arial"/>
          <w:bCs/>
          <w:sz w:val="22"/>
          <w:szCs w:val="22"/>
        </w:rPr>
        <w:t xml:space="preserve">Reflective practice is vital </w:t>
      </w:r>
      <w:r w:rsidR="00BA1147">
        <w:rPr>
          <w:rFonts w:ascii="Garamond" w:hAnsi="Garamond" w:cs="Arial"/>
          <w:bCs/>
          <w:sz w:val="22"/>
          <w:szCs w:val="22"/>
        </w:rPr>
        <w:t>to</w:t>
      </w:r>
      <w:r w:rsidRPr="0094767D">
        <w:rPr>
          <w:rFonts w:ascii="Garamond" w:hAnsi="Garamond" w:cs="Arial"/>
          <w:bCs/>
          <w:sz w:val="22"/>
          <w:szCs w:val="22"/>
        </w:rPr>
        <w:t xml:space="preserve"> clinical educators' professional development, enhancing performance, decision-making, and problem-solving skills in practice. While reflection can be initiated by the individual and guided by a supervisor or mentor, employing structured reflective practice models supports this process and ensures that all critical areas of reflection are addressed. Documented evidence of reflection underscores a professional commitment to maintaining high educational standards, demonstrating the ability to learn from and enhance individual and system-wide practices. The four models described serve as frameworks that educators can use to engage in a reflective process, allowing them to critically assess both positive and negative experiences, examine their actions, and deepen their understanding of these </w:t>
      </w:r>
      <w:r w:rsidR="00946DA1">
        <w:rPr>
          <w:rFonts w:ascii="Garamond" w:hAnsi="Garamond" w:cs="Arial"/>
          <w:bCs/>
          <w:sz w:val="22"/>
          <w:szCs w:val="22"/>
        </w:rPr>
        <w:t>situations</w:t>
      </w:r>
      <w:r w:rsidRPr="0094767D">
        <w:rPr>
          <w:rFonts w:ascii="Garamond" w:hAnsi="Garamond" w:cs="Arial"/>
          <w:bCs/>
          <w:sz w:val="22"/>
          <w:szCs w:val="22"/>
        </w:rPr>
        <w:t xml:space="preserve">. By utilising these models, educators can continue </w:t>
      </w:r>
      <w:r w:rsidR="00946DA1">
        <w:rPr>
          <w:rFonts w:ascii="Garamond" w:hAnsi="Garamond" w:cs="Arial"/>
          <w:bCs/>
          <w:sz w:val="22"/>
          <w:szCs w:val="22"/>
        </w:rPr>
        <w:t>developing</w:t>
      </w:r>
      <w:r w:rsidRPr="0094767D">
        <w:rPr>
          <w:rFonts w:ascii="Garamond" w:hAnsi="Garamond" w:cs="Arial"/>
          <w:bCs/>
          <w:sz w:val="22"/>
          <w:szCs w:val="22"/>
        </w:rPr>
        <w:t xml:space="preserve"> their practice and contribut</w:t>
      </w:r>
      <w:r w:rsidR="00946DA1">
        <w:rPr>
          <w:rFonts w:ascii="Garamond" w:hAnsi="Garamond" w:cs="Arial"/>
          <w:bCs/>
          <w:sz w:val="22"/>
          <w:szCs w:val="22"/>
        </w:rPr>
        <w:t>ing</w:t>
      </w:r>
      <w:r w:rsidRPr="0094767D">
        <w:rPr>
          <w:rFonts w:ascii="Garamond" w:hAnsi="Garamond" w:cs="Arial"/>
          <w:bCs/>
          <w:sz w:val="22"/>
          <w:szCs w:val="22"/>
        </w:rPr>
        <w:t xml:space="preserve"> to the ongoing improvement of the </w:t>
      </w:r>
      <w:r w:rsidR="00511487">
        <w:rPr>
          <w:rFonts w:ascii="Garamond" w:hAnsi="Garamond" w:cs="Arial"/>
          <w:bCs/>
          <w:sz w:val="22"/>
          <w:szCs w:val="22"/>
        </w:rPr>
        <w:t xml:space="preserve">clinical </w:t>
      </w:r>
      <w:r w:rsidRPr="0094767D">
        <w:rPr>
          <w:rFonts w:ascii="Garamond" w:hAnsi="Garamond" w:cs="Arial"/>
          <w:bCs/>
          <w:sz w:val="22"/>
          <w:szCs w:val="22"/>
        </w:rPr>
        <w:t>learning environment.</w:t>
      </w:r>
    </w:p>
    <w:p w14:paraId="2298B636" w14:textId="3FE6BD5E" w:rsidR="00597E79" w:rsidRDefault="00597E79" w:rsidP="00D508E3">
      <w:pPr>
        <w:spacing w:line="480" w:lineRule="auto"/>
        <w:jc w:val="both"/>
        <w:rPr>
          <w:rFonts w:ascii="Garamond" w:hAnsi="Garamond" w:cs="Arial"/>
          <w:sz w:val="22"/>
          <w:szCs w:val="22"/>
        </w:rPr>
      </w:pPr>
    </w:p>
    <w:p w14:paraId="60F5D253" w14:textId="77777777" w:rsidR="00412E43" w:rsidRPr="0052047F" w:rsidRDefault="00412E43">
      <w:pPr>
        <w:spacing w:line="480" w:lineRule="auto"/>
        <w:rPr>
          <w:rFonts w:ascii="Garamond" w:hAnsi="Garamond" w:cs="Arial"/>
          <w:b/>
          <w:iCs/>
          <w:color w:val="0070C0"/>
          <w:sz w:val="22"/>
          <w:szCs w:val="22"/>
        </w:rPr>
      </w:pPr>
    </w:p>
    <w:p w14:paraId="2EB8ED43" w14:textId="77777777" w:rsidR="00CF26BF" w:rsidRDefault="00CF26BF">
      <w:pPr>
        <w:spacing w:line="480" w:lineRule="auto"/>
        <w:rPr>
          <w:rFonts w:ascii="Garamond" w:hAnsi="Garamond" w:cs="Arial"/>
          <w:b/>
          <w:iCs/>
          <w:sz w:val="22"/>
          <w:szCs w:val="22"/>
          <w:lang w:val="es-ES"/>
        </w:rPr>
      </w:pPr>
    </w:p>
    <w:p w14:paraId="61172301" w14:textId="77777777" w:rsidR="00CF26BF" w:rsidRDefault="00CF26BF">
      <w:pPr>
        <w:spacing w:line="480" w:lineRule="auto"/>
        <w:rPr>
          <w:rFonts w:ascii="Garamond" w:hAnsi="Garamond" w:cs="Arial"/>
          <w:b/>
          <w:iCs/>
          <w:sz w:val="22"/>
          <w:szCs w:val="22"/>
          <w:lang w:val="es-ES"/>
        </w:rPr>
      </w:pPr>
    </w:p>
    <w:p w14:paraId="49C957D2" w14:textId="77777777" w:rsidR="00CF26BF" w:rsidRDefault="00CF26BF">
      <w:pPr>
        <w:spacing w:line="480" w:lineRule="auto"/>
        <w:rPr>
          <w:rFonts w:ascii="Garamond" w:hAnsi="Garamond" w:cs="Arial"/>
          <w:b/>
          <w:iCs/>
          <w:sz w:val="22"/>
          <w:szCs w:val="22"/>
          <w:lang w:val="es-ES"/>
        </w:rPr>
      </w:pPr>
    </w:p>
    <w:p w14:paraId="0CD2CF37" w14:textId="77777777" w:rsidR="00CF26BF" w:rsidRDefault="00CF26BF">
      <w:pPr>
        <w:spacing w:line="480" w:lineRule="auto"/>
        <w:rPr>
          <w:rFonts w:ascii="Garamond" w:hAnsi="Garamond" w:cs="Arial"/>
          <w:b/>
          <w:iCs/>
          <w:sz w:val="22"/>
          <w:szCs w:val="22"/>
          <w:lang w:val="es-ES"/>
        </w:rPr>
      </w:pPr>
    </w:p>
    <w:p w14:paraId="6A4AC322" w14:textId="77777777" w:rsidR="00C76CEF" w:rsidRDefault="00C76CEF">
      <w:pPr>
        <w:spacing w:line="480" w:lineRule="auto"/>
        <w:rPr>
          <w:rFonts w:ascii="Garamond" w:hAnsi="Garamond" w:cs="Arial"/>
          <w:b/>
          <w:iCs/>
          <w:sz w:val="22"/>
          <w:szCs w:val="22"/>
          <w:lang w:val="es-ES"/>
        </w:rPr>
      </w:pPr>
    </w:p>
    <w:p w14:paraId="3EAAC8E9" w14:textId="77777777" w:rsidR="00C76CEF" w:rsidRDefault="00C76CEF">
      <w:pPr>
        <w:spacing w:line="480" w:lineRule="auto"/>
        <w:rPr>
          <w:rFonts w:ascii="Garamond" w:hAnsi="Garamond" w:cs="Arial"/>
          <w:b/>
          <w:iCs/>
          <w:sz w:val="22"/>
          <w:szCs w:val="22"/>
          <w:lang w:val="es-ES"/>
        </w:rPr>
      </w:pPr>
    </w:p>
    <w:p w14:paraId="5B556C9C" w14:textId="77777777" w:rsidR="00C76CEF" w:rsidRDefault="00C76CEF">
      <w:pPr>
        <w:spacing w:line="480" w:lineRule="auto"/>
        <w:rPr>
          <w:rFonts w:ascii="Garamond" w:hAnsi="Garamond" w:cs="Arial"/>
          <w:b/>
          <w:iCs/>
          <w:sz w:val="22"/>
          <w:szCs w:val="22"/>
          <w:lang w:val="es-ES"/>
        </w:rPr>
      </w:pPr>
    </w:p>
    <w:p w14:paraId="34AA5AA1" w14:textId="77777777" w:rsidR="00C76CEF" w:rsidRDefault="00C76CEF">
      <w:pPr>
        <w:spacing w:line="480" w:lineRule="auto"/>
        <w:rPr>
          <w:rFonts w:ascii="Garamond" w:hAnsi="Garamond" w:cs="Arial"/>
          <w:b/>
          <w:iCs/>
          <w:sz w:val="22"/>
          <w:szCs w:val="22"/>
          <w:lang w:val="es-ES"/>
        </w:rPr>
      </w:pPr>
    </w:p>
    <w:p w14:paraId="39F09784" w14:textId="77777777" w:rsidR="00C76CEF" w:rsidRDefault="00C76CEF">
      <w:pPr>
        <w:spacing w:line="480" w:lineRule="auto"/>
        <w:rPr>
          <w:rFonts w:ascii="Garamond" w:hAnsi="Garamond" w:cs="Arial"/>
          <w:b/>
          <w:iCs/>
          <w:sz w:val="22"/>
          <w:szCs w:val="22"/>
          <w:lang w:val="es-ES"/>
        </w:rPr>
      </w:pPr>
    </w:p>
    <w:p w14:paraId="12353DFC" w14:textId="77777777" w:rsidR="00C76CEF" w:rsidRDefault="00C76CEF">
      <w:pPr>
        <w:spacing w:line="480" w:lineRule="auto"/>
        <w:rPr>
          <w:rFonts w:ascii="Garamond" w:hAnsi="Garamond" w:cs="Arial"/>
          <w:b/>
          <w:iCs/>
          <w:sz w:val="22"/>
          <w:szCs w:val="22"/>
          <w:lang w:val="es-ES"/>
        </w:rPr>
      </w:pPr>
    </w:p>
    <w:p w14:paraId="16B7C54C" w14:textId="77777777" w:rsidR="00C76CEF" w:rsidRDefault="00C76CEF">
      <w:pPr>
        <w:spacing w:line="480" w:lineRule="auto"/>
        <w:rPr>
          <w:rFonts w:ascii="Garamond" w:hAnsi="Garamond" w:cs="Arial"/>
          <w:b/>
          <w:iCs/>
          <w:sz w:val="22"/>
          <w:szCs w:val="22"/>
          <w:lang w:val="es-ES"/>
        </w:rPr>
      </w:pPr>
    </w:p>
    <w:p w14:paraId="2784DFB6" w14:textId="77777777" w:rsidR="00C76CEF" w:rsidRDefault="00C76CEF">
      <w:pPr>
        <w:spacing w:line="480" w:lineRule="auto"/>
        <w:rPr>
          <w:rFonts w:ascii="Garamond" w:hAnsi="Garamond" w:cs="Arial"/>
          <w:b/>
          <w:iCs/>
          <w:sz w:val="22"/>
          <w:szCs w:val="22"/>
          <w:lang w:val="es-ES"/>
        </w:rPr>
      </w:pPr>
    </w:p>
    <w:p w14:paraId="6BEDBE59" w14:textId="77777777" w:rsidR="00C76CEF" w:rsidRDefault="00C76CEF">
      <w:pPr>
        <w:spacing w:line="480" w:lineRule="auto"/>
        <w:rPr>
          <w:rFonts w:ascii="Garamond" w:hAnsi="Garamond" w:cs="Arial"/>
          <w:b/>
          <w:iCs/>
          <w:sz w:val="22"/>
          <w:szCs w:val="22"/>
          <w:lang w:val="es-ES"/>
        </w:rPr>
      </w:pPr>
    </w:p>
    <w:p w14:paraId="4D8CD7C2" w14:textId="4C3AF4EC" w:rsidR="00412E43" w:rsidRPr="00853027" w:rsidRDefault="00D94821">
      <w:pPr>
        <w:spacing w:line="480" w:lineRule="auto"/>
        <w:rPr>
          <w:rFonts w:ascii="Garamond" w:hAnsi="Garamond" w:cs="Arial"/>
          <w:b/>
          <w:iCs/>
          <w:sz w:val="22"/>
          <w:szCs w:val="22"/>
        </w:rPr>
      </w:pPr>
      <w:r w:rsidRPr="00853027">
        <w:rPr>
          <w:rFonts w:ascii="Garamond" w:hAnsi="Garamond" w:cs="Arial"/>
          <w:b/>
          <w:iCs/>
          <w:sz w:val="22"/>
          <w:szCs w:val="22"/>
        </w:rPr>
        <w:t>References</w:t>
      </w:r>
    </w:p>
    <w:p w14:paraId="16E5BAB0" w14:textId="7DE92CC7" w:rsidR="00C76CEF" w:rsidRPr="00C76CEF" w:rsidRDefault="00754685" w:rsidP="00C76CEF">
      <w:pPr>
        <w:widowControl w:val="0"/>
        <w:autoSpaceDE w:val="0"/>
        <w:autoSpaceDN w:val="0"/>
        <w:adjustRightInd w:val="0"/>
        <w:spacing w:line="480" w:lineRule="auto"/>
        <w:ind w:left="640" w:hanging="640"/>
        <w:rPr>
          <w:rFonts w:ascii="Garamond" w:hAnsi="Garamond"/>
          <w:noProof/>
          <w:sz w:val="22"/>
        </w:rPr>
      </w:pPr>
      <w:r>
        <w:rPr>
          <w:rFonts w:ascii="Garamond" w:hAnsi="Garamond" w:cs="Arial"/>
          <w:b/>
          <w:iCs/>
          <w:color w:val="0070C0"/>
          <w:sz w:val="22"/>
          <w:szCs w:val="22"/>
        </w:rPr>
        <w:fldChar w:fldCharType="begin" w:fldLock="1"/>
      </w:r>
      <w:r>
        <w:rPr>
          <w:rFonts w:ascii="Garamond" w:hAnsi="Garamond" w:cs="Arial"/>
          <w:b/>
          <w:iCs/>
          <w:color w:val="0070C0"/>
          <w:sz w:val="22"/>
          <w:szCs w:val="22"/>
        </w:rPr>
        <w:instrText xml:space="preserve">ADDIN Mendeley Bibliography CSL_BIBLIOGRAPHY </w:instrText>
      </w:r>
      <w:r>
        <w:rPr>
          <w:rFonts w:ascii="Garamond" w:hAnsi="Garamond" w:cs="Arial"/>
          <w:b/>
          <w:iCs/>
          <w:color w:val="0070C0"/>
          <w:sz w:val="22"/>
          <w:szCs w:val="22"/>
        </w:rPr>
        <w:fldChar w:fldCharType="separate"/>
      </w:r>
      <w:r w:rsidR="00C76CEF" w:rsidRPr="00C76CEF">
        <w:rPr>
          <w:rFonts w:ascii="Garamond" w:hAnsi="Garamond"/>
          <w:noProof/>
          <w:sz w:val="22"/>
        </w:rPr>
        <w:t xml:space="preserve">1. </w:t>
      </w:r>
      <w:r w:rsidR="00C76CEF" w:rsidRPr="00C76CEF">
        <w:rPr>
          <w:rFonts w:ascii="Garamond" w:hAnsi="Garamond"/>
          <w:noProof/>
          <w:sz w:val="22"/>
        </w:rPr>
        <w:tab/>
      </w:r>
      <w:r w:rsidR="00C76CEF" w:rsidRPr="00196A95">
        <w:rPr>
          <w:rFonts w:ascii="Garamond" w:hAnsi="Garamond"/>
          <w:noProof/>
          <w:sz w:val="22"/>
        </w:rPr>
        <w:t>Sandars J, Allan D,</w:t>
      </w:r>
      <w:r w:rsidR="00C76CEF">
        <w:rPr>
          <w:rFonts w:ascii="Garamond" w:hAnsi="Garamond"/>
          <w:noProof/>
          <w:sz w:val="22"/>
        </w:rPr>
        <w:t xml:space="preserve"> and</w:t>
      </w:r>
      <w:r w:rsidR="00C76CEF" w:rsidRPr="00196A95">
        <w:rPr>
          <w:rFonts w:ascii="Garamond" w:hAnsi="Garamond"/>
          <w:noProof/>
          <w:sz w:val="22"/>
        </w:rPr>
        <w:t xml:space="preserve"> Price J. Reflective practice by health professions educators to enhance learning and teaching: AMEE Guide No. 166. Med</w:t>
      </w:r>
      <w:r w:rsidR="00C76CEF">
        <w:rPr>
          <w:rFonts w:ascii="Garamond" w:hAnsi="Garamond"/>
          <w:noProof/>
          <w:sz w:val="22"/>
        </w:rPr>
        <w:t>ical</w:t>
      </w:r>
      <w:r w:rsidR="00C76CEF" w:rsidRPr="00196A95">
        <w:rPr>
          <w:rFonts w:ascii="Garamond" w:hAnsi="Garamond"/>
          <w:noProof/>
          <w:sz w:val="22"/>
        </w:rPr>
        <w:t xml:space="preserve"> Teach</w:t>
      </w:r>
      <w:r w:rsidR="00C76CEF">
        <w:rPr>
          <w:rFonts w:ascii="Garamond" w:hAnsi="Garamond"/>
          <w:noProof/>
          <w:sz w:val="22"/>
        </w:rPr>
        <w:t>er</w:t>
      </w:r>
      <w:r w:rsidR="00C76CEF" w:rsidRPr="00196A95">
        <w:rPr>
          <w:rFonts w:ascii="Garamond" w:hAnsi="Garamond"/>
          <w:noProof/>
          <w:sz w:val="22"/>
        </w:rPr>
        <w:t>. 46</w:t>
      </w:r>
      <w:r w:rsidR="00C76CEF">
        <w:rPr>
          <w:rFonts w:ascii="Garamond" w:hAnsi="Garamond"/>
          <w:noProof/>
          <w:sz w:val="22"/>
        </w:rPr>
        <w:t xml:space="preserve">, no. </w:t>
      </w:r>
      <w:r w:rsidR="00C76CEF" w:rsidRPr="00196A95">
        <w:rPr>
          <w:rFonts w:ascii="Garamond" w:hAnsi="Garamond"/>
          <w:noProof/>
          <w:sz w:val="22"/>
        </w:rPr>
        <w:t>7</w:t>
      </w:r>
      <w:r w:rsidR="00C76CEF">
        <w:rPr>
          <w:rFonts w:ascii="Garamond" w:hAnsi="Garamond"/>
          <w:noProof/>
          <w:sz w:val="22"/>
        </w:rPr>
        <w:t xml:space="preserve"> (2023): </w:t>
      </w:r>
      <w:r w:rsidR="00C76CEF" w:rsidRPr="00196A95">
        <w:rPr>
          <w:rFonts w:ascii="Garamond" w:hAnsi="Garamond"/>
          <w:noProof/>
          <w:sz w:val="22"/>
        </w:rPr>
        <w:t>864–</w:t>
      </w:r>
      <w:r w:rsidR="00C76CEF">
        <w:rPr>
          <w:rFonts w:ascii="Garamond" w:hAnsi="Garamond"/>
          <w:noProof/>
          <w:sz w:val="22"/>
        </w:rPr>
        <w:t>8</w:t>
      </w:r>
      <w:r w:rsidR="00C76CEF" w:rsidRPr="00196A95">
        <w:rPr>
          <w:rFonts w:ascii="Garamond" w:hAnsi="Garamond"/>
          <w:noProof/>
          <w:sz w:val="22"/>
        </w:rPr>
        <w:t>73. https://doi.org/10.1080/0142159X.2023.2259071</w:t>
      </w:r>
    </w:p>
    <w:p w14:paraId="06379CBA" w14:textId="31388F48"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2. </w:t>
      </w:r>
      <w:r w:rsidRPr="00C76CEF">
        <w:rPr>
          <w:rFonts w:ascii="Garamond" w:hAnsi="Garamond"/>
          <w:noProof/>
          <w:sz w:val="22"/>
        </w:rPr>
        <w:tab/>
        <w:t>General Dental Council (GDC). The Safe Practitioner: A framework of behaviours and outcomes for dental professional education (Dentist). London; 2023. Available from: https://www.gdc-uk.org/docs/default-source/education-and-cpd/safe-practitoner/spf-dentist.pdf?sfvrsn=c198211d_5</w:t>
      </w:r>
    </w:p>
    <w:p w14:paraId="1E84342F" w14:textId="67BE87DD"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3. </w:t>
      </w:r>
      <w:r w:rsidRPr="00C76CEF">
        <w:rPr>
          <w:rFonts w:ascii="Garamond" w:hAnsi="Garamond"/>
          <w:noProof/>
          <w:sz w:val="22"/>
        </w:rPr>
        <w:tab/>
        <w:t>General Dental Council (GDC). Reflective practice, Benefits of becoming a reflective practitioner. London; 2019. Available from: https://www.gdc-uk.org/education-cpd/cpd/reflective-practice</w:t>
      </w:r>
    </w:p>
    <w:p w14:paraId="50D2B3C8" w14:textId="4A042355"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4. </w:t>
      </w:r>
      <w:r w:rsidRPr="00C76CEF">
        <w:rPr>
          <w:rFonts w:ascii="Garamond" w:hAnsi="Garamond"/>
          <w:noProof/>
          <w:sz w:val="22"/>
        </w:rPr>
        <w:tab/>
      </w:r>
      <w:r w:rsidRPr="00990F42">
        <w:rPr>
          <w:rFonts w:ascii="Garamond" w:hAnsi="Garamond"/>
          <w:noProof/>
          <w:sz w:val="22"/>
        </w:rPr>
        <w:t>Osterman KF, and Kottkamp RB. Reflective Practice for Educators: Professional Development to Improve Student Learning. SAGE Publications; 2004.</w:t>
      </w:r>
    </w:p>
    <w:p w14:paraId="3E47EF26" w14:textId="10E98A52"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5. </w:t>
      </w:r>
      <w:r w:rsidRPr="00C76CEF">
        <w:rPr>
          <w:rFonts w:ascii="Garamond" w:hAnsi="Garamond"/>
          <w:noProof/>
          <w:sz w:val="22"/>
        </w:rPr>
        <w:tab/>
      </w:r>
      <w:r w:rsidRPr="00196A95">
        <w:rPr>
          <w:rFonts w:ascii="Garamond" w:hAnsi="Garamond"/>
          <w:noProof/>
          <w:sz w:val="22"/>
        </w:rPr>
        <w:t>Sandars J. The use of reflection in medical education: AMEE Guide No. 44. Med</w:t>
      </w:r>
      <w:r>
        <w:rPr>
          <w:rFonts w:ascii="Garamond" w:hAnsi="Garamond"/>
          <w:noProof/>
          <w:sz w:val="22"/>
        </w:rPr>
        <w:t>ical</w:t>
      </w:r>
      <w:r w:rsidRPr="00196A95">
        <w:rPr>
          <w:rFonts w:ascii="Garamond" w:hAnsi="Garamond"/>
          <w:noProof/>
          <w:sz w:val="22"/>
        </w:rPr>
        <w:t xml:space="preserve"> Teach</w:t>
      </w:r>
      <w:r>
        <w:rPr>
          <w:rFonts w:ascii="Garamond" w:hAnsi="Garamond"/>
          <w:noProof/>
          <w:sz w:val="22"/>
        </w:rPr>
        <w:t>er</w:t>
      </w:r>
      <w:r w:rsidRPr="00196A95">
        <w:rPr>
          <w:rFonts w:ascii="Garamond" w:hAnsi="Garamond"/>
          <w:noProof/>
          <w:sz w:val="22"/>
        </w:rPr>
        <w:t>.</w:t>
      </w:r>
      <w:r>
        <w:rPr>
          <w:rFonts w:ascii="Garamond" w:hAnsi="Garamond"/>
          <w:noProof/>
          <w:sz w:val="22"/>
        </w:rPr>
        <w:t xml:space="preserve"> </w:t>
      </w:r>
      <w:r w:rsidRPr="00196A95">
        <w:rPr>
          <w:rFonts w:ascii="Garamond" w:hAnsi="Garamond"/>
          <w:noProof/>
          <w:sz w:val="22"/>
        </w:rPr>
        <w:t>31</w:t>
      </w:r>
      <w:r>
        <w:rPr>
          <w:rFonts w:ascii="Garamond" w:hAnsi="Garamond"/>
          <w:noProof/>
          <w:sz w:val="22"/>
        </w:rPr>
        <w:t xml:space="preserve">, no. </w:t>
      </w:r>
      <w:r w:rsidRPr="00196A95">
        <w:rPr>
          <w:rFonts w:ascii="Garamond" w:hAnsi="Garamond"/>
          <w:noProof/>
          <w:sz w:val="22"/>
        </w:rPr>
        <w:t>8</w:t>
      </w:r>
      <w:r>
        <w:rPr>
          <w:rFonts w:ascii="Garamond" w:hAnsi="Garamond"/>
          <w:noProof/>
          <w:sz w:val="22"/>
        </w:rPr>
        <w:t xml:space="preserve"> (2009): </w:t>
      </w:r>
      <w:r w:rsidRPr="00196A95">
        <w:rPr>
          <w:rFonts w:ascii="Garamond" w:hAnsi="Garamond"/>
          <w:noProof/>
          <w:sz w:val="22"/>
        </w:rPr>
        <w:t>685–</w:t>
      </w:r>
      <w:r>
        <w:rPr>
          <w:rFonts w:ascii="Garamond" w:hAnsi="Garamond"/>
          <w:noProof/>
          <w:sz w:val="22"/>
        </w:rPr>
        <w:t>6</w:t>
      </w:r>
      <w:r w:rsidRPr="00196A95">
        <w:rPr>
          <w:rFonts w:ascii="Garamond" w:hAnsi="Garamond"/>
          <w:noProof/>
          <w:sz w:val="22"/>
        </w:rPr>
        <w:t xml:space="preserve">95. </w:t>
      </w:r>
      <w:r w:rsidRPr="004751A6">
        <w:rPr>
          <w:rFonts w:ascii="Garamond" w:hAnsi="Garamond"/>
          <w:noProof/>
          <w:sz w:val="22"/>
        </w:rPr>
        <w:t>https://doi.org/</w:t>
      </w:r>
      <w:r w:rsidRPr="00196A95">
        <w:rPr>
          <w:rFonts w:ascii="Garamond" w:hAnsi="Garamond"/>
          <w:noProof/>
          <w:sz w:val="22"/>
        </w:rPr>
        <w:t>10.1080/01421590903050374</w:t>
      </w:r>
    </w:p>
    <w:p w14:paraId="68AE696E" w14:textId="52F2ACB2"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6. </w:t>
      </w:r>
      <w:r w:rsidRPr="00C76CEF">
        <w:rPr>
          <w:rFonts w:ascii="Garamond" w:hAnsi="Garamond"/>
          <w:noProof/>
          <w:sz w:val="22"/>
        </w:rPr>
        <w:tab/>
      </w:r>
      <w:r w:rsidRPr="00196A95">
        <w:rPr>
          <w:rFonts w:ascii="Garamond" w:hAnsi="Garamond"/>
          <w:noProof/>
          <w:sz w:val="22"/>
        </w:rPr>
        <w:t xml:space="preserve">Botelho M, </w:t>
      </w:r>
      <w:r>
        <w:rPr>
          <w:rFonts w:ascii="Garamond" w:hAnsi="Garamond"/>
          <w:noProof/>
          <w:sz w:val="22"/>
        </w:rPr>
        <w:t xml:space="preserve">and </w:t>
      </w:r>
      <w:r w:rsidRPr="00196A95">
        <w:rPr>
          <w:rFonts w:ascii="Garamond" w:hAnsi="Garamond"/>
          <w:noProof/>
          <w:sz w:val="22"/>
        </w:rPr>
        <w:t>Bhuyan SY. Reflection before and after clinical practice—Enhancing and broadening experience through self</w:t>
      </w:r>
      <w:r w:rsidRPr="00196A95">
        <w:rPr>
          <w:rFonts w:ascii="Cambria Math" w:hAnsi="Cambria Math" w:cs="Cambria Math"/>
          <w:noProof/>
          <w:sz w:val="22"/>
        </w:rPr>
        <w:t>‐</w:t>
      </w:r>
      <w:r w:rsidRPr="00196A95">
        <w:rPr>
          <w:rFonts w:ascii="Garamond" w:hAnsi="Garamond"/>
          <w:noProof/>
          <w:sz w:val="22"/>
        </w:rPr>
        <w:t>, peer</w:t>
      </w:r>
      <w:r w:rsidRPr="00196A95">
        <w:rPr>
          <w:rFonts w:ascii="Cambria Math" w:hAnsi="Cambria Math" w:cs="Cambria Math"/>
          <w:noProof/>
          <w:sz w:val="22"/>
        </w:rPr>
        <w:t>‐</w:t>
      </w:r>
      <w:r w:rsidRPr="00196A95">
        <w:rPr>
          <w:rFonts w:ascii="Garamond" w:hAnsi="Garamond"/>
          <w:noProof/>
          <w:sz w:val="22"/>
        </w:rPr>
        <w:t>and teacher</w:t>
      </w:r>
      <w:r w:rsidRPr="00196A95">
        <w:rPr>
          <w:rFonts w:ascii="Cambria Math" w:hAnsi="Cambria Math" w:cs="Cambria Math"/>
          <w:noProof/>
          <w:sz w:val="22"/>
        </w:rPr>
        <w:t>‐</w:t>
      </w:r>
      <w:r w:rsidRPr="00196A95">
        <w:rPr>
          <w:rFonts w:ascii="Garamond" w:hAnsi="Garamond"/>
          <w:noProof/>
          <w:sz w:val="22"/>
        </w:rPr>
        <w:t>guided learning.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 25</w:t>
      </w:r>
      <w:r>
        <w:rPr>
          <w:rFonts w:ascii="Garamond" w:hAnsi="Garamond"/>
          <w:noProof/>
          <w:sz w:val="22"/>
        </w:rPr>
        <w:t xml:space="preserve">, no </w:t>
      </w:r>
      <w:r w:rsidRPr="00196A95">
        <w:rPr>
          <w:rFonts w:ascii="Garamond" w:hAnsi="Garamond"/>
          <w:noProof/>
          <w:sz w:val="22"/>
        </w:rPr>
        <w:t>3</w:t>
      </w:r>
      <w:r>
        <w:rPr>
          <w:rFonts w:ascii="Garamond" w:hAnsi="Garamond"/>
          <w:noProof/>
          <w:sz w:val="22"/>
        </w:rPr>
        <w:t xml:space="preserve"> (2021)</w:t>
      </w:r>
      <w:r w:rsidRPr="00196A95">
        <w:rPr>
          <w:rFonts w:ascii="Garamond" w:hAnsi="Garamond"/>
          <w:noProof/>
          <w:sz w:val="22"/>
        </w:rPr>
        <w:t>:480–</w:t>
      </w:r>
      <w:r>
        <w:rPr>
          <w:rFonts w:ascii="Garamond" w:hAnsi="Garamond"/>
          <w:noProof/>
          <w:sz w:val="22"/>
        </w:rPr>
        <w:t>48</w:t>
      </w:r>
      <w:r w:rsidRPr="00196A95">
        <w:rPr>
          <w:rFonts w:ascii="Garamond" w:hAnsi="Garamond"/>
          <w:noProof/>
          <w:sz w:val="22"/>
        </w:rPr>
        <w:t>7.</w:t>
      </w:r>
      <w:r w:rsidRPr="00C76CEF">
        <w:rPr>
          <w:rFonts w:ascii="Garamond" w:hAnsi="Garamond"/>
          <w:noProof/>
          <w:sz w:val="22"/>
        </w:rPr>
        <w:t xml:space="preserve"> </w:t>
      </w:r>
    </w:p>
    <w:p w14:paraId="060F9EFF" w14:textId="225D426F"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7. </w:t>
      </w:r>
      <w:r w:rsidRPr="00C76CEF">
        <w:rPr>
          <w:rFonts w:ascii="Garamond" w:hAnsi="Garamond"/>
          <w:noProof/>
          <w:sz w:val="22"/>
        </w:rPr>
        <w:tab/>
      </w:r>
      <w:r>
        <w:rPr>
          <w:rFonts w:ascii="Garamond" w:hAnsi="Garamond"/>
          <w:noProof/>
          <w:sz w:val="22"/>
        </w:rPr>
        <w:t>Academy of Medical Royal Colleges</w:t>
      </w:r>
      <w:r w:rsidRPr="00196A95">
        <w:rPr>
          <w:rFonts w:ascii="Garamond" w:hAnsi="Garamond"/>
          <w:noProof/>
          <w:sz w:val="22"/>
        </w:rPr>
        <w:t>. Reflective practice toolkit. 2018. Available from: https://www.aomrc.org.uk/publication/reflective-practice-toolkit/</w:t>
      </w:r>
    </w:p>
    <w:p w14:paraId="20533DAF" w14:textId="2FF57F1A"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lastRenderedPageBreak/>
        <w:t xml:space="preserve">8. </w:t>
      </w:r>
      <w:r w:rsidRPr="00C76CEF">
        <w:rPr>
          <w:rFonts w:ascii="Garamond" w:hAnsi="Garamond"/>
          <w:noProof/>
          <w:sz w:val="22"/>
        </w:rPr>
        <w:tab/>
      </w:r>
      <w:r w:rsidRPr="00196A95">
        <w:rPr>
          <w:rFonts w:ascii="Garamond" w:hAnsi="Garamond"/>
          <w:noProof/>
          <w:sz w:val="22"/>
        </w:rPr>
        <w:t>Wassif HS. I reflect, therefore I am!, Exploring the use of a Voluntary Online Reflective Journal as a learning tool among postgraduate dental students.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w:t>
      </w:r>
      <w:r>
        <w:rPr>
          <w:rFonts w:ascii="Garamond" w:hAnsi="Garamond"/>
          <w:noProof/>
          <w:sz w:val="22"/>
        </w:rPr>
        <w:t xml:space="preserve"> </w:t>
      </w:r>
      <w:r w:rsidRPr="00196A95">
        <w:rPr>
          <w:rFonts w:ascii="Garamond" w:hAnsi="Garamond"/>
          <w:noProof/>
          <w:sz w:val="22"/>
        </w:rPr>
        <w:t>28</w:t>
      </w:r>
      <w:r>
        <w:rPr>
          <w:rFonts w:ascii="Garamond" w:hAnsi="Garamond"/>
          <w:noProof/>
          <w:sz w:val="22"/>
        </w:rPr>
        <w:t xml:space="preserve">, no </w:t>
      </w:r>
      <w:r w:rsidRPr="00196A95">
        <w:rPr>
          <w:rFonts w:ascii="Garamond" w:hAnsi="Garamond"/>
          <w:noProof/>
          <w:sz w:val="22"/>
        </w:rPr>
        <w:t>4</w:t>
      </w:r>
      <w:r>
        <w:rPr>
          <w:rFonts w:ascii="Garamond" w:hAnsi="Garamond"/>
          <w:noProof/>
          <w:sz w:val="22"/>
        </w:rPr>
        <w:t xml:space="preserve"> (2024)</w:t>
      </w:r>
      <w:r w:rsidRPr="00196A95">
        <w:rPr>
          <w:rFonts w:ascii="Garamond" w:hAnsi="Garamond"/>
          <w:noProof/>
          <w:sz w:val="22"/>
        </w:rPr>
        <w:t>:938–</w:t>
      </w:r>
      <w:r>
        <w:rPr>
          <w:rFonts w:ascii="Garamond" w:hAnsi="Garamond"/>
          <w:noProof/>
          <w:sz w:val="22"/>
        </w:rPr>
        <w:t>9</w:t>
      </w:r>
      <w:r w:rsidRPr="00196A95">
        <w:rPr>
          <w:rFonts w:ascii="Garamond" w:hAnsi="Garamond"/>
          <w:noProof/>
          <w:sz w:val="22"/>
        </w:rPr>
        <w:t xml:space="preserve">42. </w:t>
      </w:r>
      <w:r w:rsidRPr="004751A6">
        <w:rPr>
          <w:rFonts w:ascii="Garamond" w:hAnsi="Garamond"/>
          <w:noProof/>
          <w:sz w:val="22"/>
        </w:rPr>
        <w:t>https://doi.org/10.1111/eje.13029</w:t>
      </w:r>
      <w:r w:rsidRPr="00C76CEF">
        <w:rPr>
          <w:rFonts w:ascii="Garamond" w:hAnsi="Garamond"/>
          <w:noProof/>
          <w:sz w:val="22"/>
        </w:rPr>
        <w:t xml:space="preserve"> </w:t>
      </w:r>
    </w:p>
    <w:p w14:paraId="34721A06" w14:textId="43E4865B"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9. </w:t>
      </w:r>
      <w:r w:rsidRPr="00C76CEF">
        <w:rPr>
          <w:rFonts w:ascii="Garamond" w:hAnsi="Garamond"/>
          <w:noProof/>
          <w:sz w:val="22"/>
        </w:rPr>
        <w:tab/>
      </w:r>
      <w:r w:rsidRPr="00196A95">
        <w:rPr>
          <w:rFonts w:ascii="Garamond" w:hAnsi="Garamond"/>
          <w:noProof/>
          <w:sz w:val="22"/>
        </w:rPr>
        <w:t xml:space="preserve">Koole S, Vanobbergen J, De Visschere L, Aper L, Dornan T, </w:t>
      </w:r>
      <w:r>
        <w:rPr>
          <w:rFonts w:ascii="Garamond" w:hAnsi="Garamond"/>
          <w:noProof/>
          <w:sz w:val="22"/>
        </w:rPr>
        <w:t xml:space="preserve">and </w:t>
      </w:r>
      <w:r w:rsidRPr="00196A95">
        <w:rPr>
          <w:rFonts w:ascii="Garamond" w:hAnsi="Garamond"/>
          <w:noProof/>
          <w:sz w:val="22"/>
        </w:rPr>
        <w:t>Derese A. The influence of reflection on portfolio learning in undergraduate dental education.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w:t>
      </w:r>
      <w:r>
        <w:rPr>
          <w:rFonts w:ascii="Garamond" w:hAnsi="Garamond"/>
          <w:noProof/>
          <w:sz w:val="22"/>
        </w:rPr>
        <w:t xml:space="preserve"> </w:t>
      </w:r>
      <w:r w:rsidRPr="00196A95">
        <w:rPr>
          <w:rFonts w:ascii="Garamond" w:hAnsi="Garamond"/>
          <w:noProof/>
          <w:sz w:val="22"/>
        </w:rPr>
        <w:t>17</w:t>
      </w:r>
      <w:r>
        <w:rPr>
          <w:rFonts w:ascii="Garamond" w:hAnsi="Garamond"/>
          <w:noProof/>
          <w:sz w:val="22"/>
        </w:rPr>
        <w:t>, no 1 (2013</w:t>
      </w:r>
      <w:r w:rsidRPr="00196A95">
        <w:rPr>
          <w:rFonts w:ascii="Garamond" w:hAnsi="Garamond"/>
          <w:noProof/>
          <w:sz w:val="22"/>
        </w:rPr>
        <w:t>):e93–9. http://dx.doi.org/10.1111/j.1600-0579.2012.00766.x</w:t>
      </w:r>
    </w:p>
    <w:p w14:paraId="185D1B8B" w14:textId="6283D944"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10. </w:t>
      </w:r>
      <w:r w:rsidRPr="00C76CEF">
        <w:rPr>
          <w:rFonts w:ascii="Garamond" w:hAnsi="Garamond"/>
          <w:noProof/>
          <w:sz w:val="22"/>
        </w:rPr>
        <w:tab/>
      </w:r>
      <w:r w:rsidRPr="00196A95">
        <w:rPr>
          <w:rFonts w:ascii="Garamond" w:hAnsi="Garamond"/>
          <w:noProof/>
          <w:sz w:val="22"/>
        </w:rPr>
        <w:t>Sobral DT. Medical students’ reflection in learning in relation to approaches to study and academic achievement. Med</w:t>
      </w:r>
      <w:r>
        <w:rPr>
          <w:rFonts w:ascii="Garamond" w:hAnsi="Garamond"/>
          <w:noProof/>
          <w:sz w:val="22"/>
        </w:rPr>
        <w:t>ical</w:t>
      </w:r>
      <w:r w:rsidRPr="00196A95">
        <w:rPr>
          <w:rFonts w:ascii="Garamond" w:hAnsi="Garamond"/>
          <w:noProof/>
          <w:sz w:val="22"/>
        </w:rPr>
        <w:t xml:space="preserve"> Teach</w:t>
      </w:r>
      <w:r>
        <w:rPr>
          <w:rFonts w:ascii="Garamond" w:hAnsi="Garamond"/>
          <w:noProof/>
          <w:sz w:val="22"/>
        </w:rPr>
        <w:t>er</w:t>
      </w:r>
      <w:r w:rsidRPr="00196A95">
        <w:rPr>
          <w:rFonts w:ascii="Garamond" w:hAnsi="Garamond"/>
          <w:noProof/>
          <w:sz w:val="22"/>
        </w:rPr>
        <w:t>. 23</w:t>
      </w:r>
      <w:r>
        <w:rPr>
          <w:rFonts w:ascii="Garamond" w:hAnsi="Garamond"/>
          <w:noProof/>
          <w:sz w:val="22"/>
        </w:rPr>
        <w:t xml:space="preserve">, no </w:t>
      </w:r>
      <w:r w:rsidRPr="00196A95">
        <w:rPr>
          <w:rFonts w:ascii="Garamond" w:hAnsi="Garamond"/>
          <w:noProof/>
          <w:sz w:val="22"/>
        </w:rPr>
        <w:t>5</w:t>
      </w:r>
      <w:r>
        <w:rPr>
          <w:rFonts w:ascii="Garamond" w:hAnsi="Garamond"/>
          <w:noProof/>
          <w:sz w:val="22"/>
        </w:rPr>
        <w:t xml:space="preserve"> (2001</w:t>
      </w:r>
      <w:r w:rsidRPr="00196A95">
        <w:rPr>
          <w:rFonts w:ascii="Garamond" w:hAnsi="Garamond"/>
          <w:noProof/>
          <w:sz w:val="22"/>
        </w:rPr>
        <w:t>):508–</w:t>
      </w:r>
      <w:r>
        <w:rPr>
          <w:rFonts w:ascii="Garamond" w:hAnsi="Garamond"/>
          <w:noProof/>
          <w:sz w:val="22"/>
        </w:rPr>
        <w:t>5</w:t>
      </w:r>
      <w:r w:rsidRPr="00196A95">
        <w:rPr>
          <w:rFonts w:ascii="Garamond" w:hAnsi="Garamond"/>
          <w:noProof/>
          <w:sz w:val="22"/>
        </w:rPr>
        <w:t>13.</w:t>
      </w:r>
      <w:r w:rsidRPr="00C76CEF">
        <w:rPr>
          <w:rFonts w:ascii="Garamond" w:hAnsi="Garamond"/>
          <w:noProof/>
          <w:sz w:val="22"/>
        </w:rPr>
        <w:t xml:space="preserve"> </w:t>
      </w:r>
    </w:p>
    <w:p w14:paraId="46F66249" w14:textId="40B667E7"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11. </w:t>
      </w:r>
      <w:r w:rsidRPr="00C76CEF">
        <w:rPr>
          <w:rFonts w:ascii="Garamond" w:hAnsi="Garamond"/>
          <w:noProof/>
          <w:sz w:val="22"/>
        </w:rPr>
        <w:tab/>
      </w:r>
      <w:r w:rsidRPr="00196A95">
        <w:rPr>
          <w:rFonts w:ascii="Garamond" w:hAnsi="Garamond"/>
          <w:noProof/>
          <w:sz w:val="22"/>
        </w:rPr>
        <w:t xml:space="preserve">Ashley FA, Gibson B, Daly B, Lygo Baker S, </w:t>
      </w:r>
      <w:r>
        <w:rPr>
          <w:rFonts w:ascii="Garamond" w:hAnsi="Garamond"/>
          <w:noProof/>
          <w:sz w:val="22"/>
        </w:rPr>
        <w:t xml:space="preserve">and </w:t>
      </w:r>
      <w:r w:rsidRPr="00196A95">
        <w:rPr>
          <w:rFonts w:ascii="Garamond" w:hAnsi="Garamond"/>
          <w:noProof/>
          <w:sz w:val="22"/>
        </w:rPr>
        <w:t>Newton JT. Undergraduate and postgraduate dental students’‘reflection on learning’: a qualitative study.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w:t>
      </w:r>
      <w:r>
        <w:rPr>
          <w:rFonts w:ascii="Garamond" w:hAnsi="Garamond"/>
          <w:noProof/>
          <w:sz w:val="22"/>
        </w:rPr>
        <w:t xml:space="preserve"> </w:t>
      </w:r>
      <w:r w:rsidRPr="00196A95">
        <w:rPr>
          <w:rFonts w:ascii="Garamond" w:hAnsi="Garamond"/>
          <w:noProof/>
          <w:sz w:val="22"/>
        </w:rPr>
        <w:t>10</w:t>
      </w:r>
      <w:r>
        <w:rPr>
          <w:rFonts w:ascii="Garamond" w:hAnsi="Garamond"/>
          <w:noProof/>
          <w:sz w:val="22"/>
        </w:rPr>
        <w:t xml:space="preserve">, no. </w:t>
      </w:r>
      <w:r w:rsidRPr="00196A95">
        <w:rPr>
          <w:rFonts w:ascii="Garamond" w:hAnsi="Garamond"/>
          <w:noProof/>
          <w:sz w:val="22"/>
        </w:rPr>
        <w:t>1</w:t>
      </w:r>
      <w:r>
        <w:rPr>
          <w:rFonts w:ascii="Garamond" w:hAnsi="Garamond"/>
          <w:noProof/>
          <w:sz w:val="22"/>
        </w:rPr>
        <w:t xml:space="preserve"> (2006)</w:t>
      </w:r>
      <w:r w:rsidRPr="00196A95">
        <w:rPr>
          <w:rFonts w:ascii="Garamond" w:hAnsi="Garamond"/>
          <w:noProof/>
          <w:sz w:val="22"/>
        </w:rPr>
        <w:t>:10–</w:t>
      </w:r>
      <w:r>
        <w:rPr>
          <w:rFonts w:ascii="Garamond" w:hAnsi="Garamond"/>
          <w:noProof/>
          <w:sz w:val="22"/>
        </w:rPr>
        <w:t>1</w:t>
      </w:r>
      <w:r w:rsidRPr="00196A95">
        <w:rPr>
          <w:rFonts w:ascii="Garamond" w:hAnsi="Garamond"/>
          <w:noProof/>
          <w:sz w:val="22"/>
        </w:rPr>
        <w:t>9. http://dx.doi.org/10.1111/j.1600-0579.2006.00390.x</w:t>
      </w:r>
    </w:p>
    <w:p w14:paraId="75256C99" w14:textId="3D76CEA1"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12. </w:t>
      </w:r>
      <w:r w:rsidRPr="00C76CEF">
        <w:rPr>
          <w:rFonts w:ascii="Garamond" w:hAnsi="Garamond"/>
          <w:noProof/>
          <w:sz w:val="22"/>
        </w:rPr>
        <w:tab/>
      </w:r>
      <w:r w:rsidRPr="00196A95">
        <w:rPr>
          <w:rFonts w:ascii="Garamond" w:hAnsi="Garamond"/>
          <w:noProof/>
          <w:sz w:val="22"/>
        </w:rPr>
        <w:t xml:space="preserve">Penlington C, Lyttle R, Dillon M, Ali A, </w:t>
      </w:r>
      <w:r>
        <w:rPr>
          <w:rFonts w:ascii="Garamond" w:hAnsi="Garamond"/>
          <w:noProof/>
          <w:sz w:val="22"/>
        </w:rPr>
        <w:t xml:space="preserve">and </w:t>
      </w:r>
      <w:r w:rsidRPr="00196A95">
        <w:rPr>
          <w:rFonts w:ascii="Garamond" w:hAnsi="Garamond"/>
          <w:noProof/>
          <w:sz w:val="22"/>
        </w:rPr>
        <w:t>Waterhouse P. “I think that comes with experience”: A thematic analysis exploring how dental students at a transitional stage of training understand and engage with reflection.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 27</w:t>
      </w:r>
      <w:r>
        <w:rPr>
          <w:rFonts w:ascii="Garamond" w:hAnsi="Garamond"/>
          <w:noProof/>
          <w:sz w:val="22"/>
        </w:rPr>
        <w:t xml:space="preserve">, no. </w:t>
      </w:r>
      <w:r w:rsidRPr="00196A95">
        <w:rPr>
          <w:rFonts w:ascii="Garamond" w:hAnsi="Garamond"/>
          <w:noProof/>
          <w:sz w:val="22"/>
        </w:rPr>
        <w:t>4</w:t>
      </w:r>
      <w:r>
        <w:rPr>
          <w:rFonts w:ascii="Garamond" w:hAnsi="Garamond"/>
          <w:noProof/>
          <w:sz w:val="22"/>
        </w:rPr>
        <w:t xml:space="preserve"> (2023)</w:t>
      </w:r>
      <w:r w:rsidRPr="00196A95">
        <w:rPr>
          <w:rFonts w:ascii="Garamond" w:hAnsi="Garamond"/>
          <w:noProof/>
          <w:sz w:val="22"/>
        </w:rPr>
        <w:t>:869–</w:t>
      </w:r>
      <w:r>
        <w:rPr>
          <w:rFonts w:ascii="Garamond" w:hAnsi="Garamond"/>
          <w:noProof/>
          <w:sz w:val="22"/>
        </w:rPr>
        <w:t>8</w:t>
      </w:r>
      <w:r w:rsidRPr="00196A95">
        <w:rPr>
          <w:rFonts w:ascii="Garamond" w:hAnsi="Garamond"/>
          <w:noProof/>
          <w:sz w:val="22"/>
        </w:rPr>
        <w:t xml:space="preserve">78. </w:t>
      </w:r>
      <w:r w:rsidRPr="004751A6">
        <w:rPr>
          <w:rFonts w:ascii="Garamond" w:hAnsi="Garamond"/>
          <w:noProof/>
          <w:sz w:val="22"/>
        </w:rPr>
        <w:t>https://doi.org/</w:t>
      </w:r>
      <w:r w:rsidRPr="006E1CA8">
        <w:rPr>
          <w:rFonts w:ascii="Garamond" w:hAnsi="Garamond"/>
          <w:noProof/>
          <w:sz w:val="22"/>
        </w:rPr>
        <w:t>10.1111/eje.12877</w:t>
      </w:r>
      <w:r w:rsidRPr="00C76CEF">
        <w:rPr>
          <w:rFonts w:ascii="Garamond" w:hAnsi="Garamond"/>
          <w:noProof/>
          <w:sz w:val="22"/>
        </w:rPr>
        <w:t xml:space="preserve"> </w:t>
      </w:r>
    </w:p>
    <w:p w14:paraId="37C420DE" w14:textId="6EB56424"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13. </w:t>
      </w:r>
      <w:r w:rsidRPr="00C76CEF">
        <w:rPr>
          <w:rFonts w:ascii="Garamond" w:hAnsi="Garamond"/>
          <w:noProof/>
          <w:sz w:val="22"/>
        </w:rPr>
        <w:tab/>
      </w:r>
      <w:r w:rsidRPr="00196A95">
        <w:rPr>
          <w:rFonts w:ascii="Garamond" w:hAnsi="Garamond"/>
          <w:noProof/>
          <w:sz w:val="22"/>
        </w:rPr>
        <w:t xml:space="preserve">Marsden JE, Deboo SP, Cripps M, Longridge NN, Aspden M, </w:t>
      </w:r>
      <w:r>
        <w:rPr>
          <w:rFonts w:ascii="Garamond" w:hAnsi="Garamond"/>
          <w:noProof/>
          <w:sz w:val="22"/>
        </w:rPr>
        <w:t xml:space="preserve">and </w:t>
      </w:r>
      <w:r w:rsidRPr="00196A95">
        <w:rPr>
          <w:rFonts w:ascii="Garamond" w:hAnsi="Garamond"/>
          <w:noProof/>
          <w:sz w:val="22"/>
        </w:rPr>
        <w:t>Fox K. Improving dental student confidence through the use of simulated patient cases.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 29</w:t>
      </w:r>
      <w:r>
        <w:rPr>
          <w:rFonts w:ascii="Garamond" w:hAnsi="Garamond"/>
          <w:noProof/>
          <w:sz w:val="22"/>
        </w:rPr>
        <w:t xml:space="preserve">, no. </w:t>
      </w:r>
      <w:r w:rsidRPr="00196A95">
        <w:rPr>
          <w:rFonts w:ascii="Garamond" w:hAnsi="Garamond"/>
          <w:noProof/>
          <w:sz w:val="22"/>
        </w:rPr>
        <w:t>1</w:t>
      </w:r>
      <w:r>
        <w:rPr>
          <w:rFonts w:ascii="Garamond" w:hAnsi="Garamond"/>
          <w:noProof/>
          <w:sz w:val="22"/>
        </w:rPr>
        <w:t xml:space="preserve"> (2025)</w:t>
      </w:r>
      <w:r w:rsidRPr="00196A95">
        <w:rPr>
          <w:rFonts w:ascii="Garamond" w:hAnsi="Garamond"/>
          <w:noProof/>
          <w:sz w:val="22"/>
        </w:rPr>
        <w:t>:104–</w:t>
      </w:r>
      <w:r>
        <w:rPr>
          <w:rFonts w:ascii="Garamond" w:hAnsi="Garamond"/>
          <w:noProof/>
          <w:sz w:val="22"/>
        </w:rPr>
        <w:t>1</w:t>
      </w:r>
      <w:r w:rsidRPr="00196A95">
        <w:rPr>
          <w:rFonts w:ascii="Garamond" w:hAnsi="Garamond"/>
          <w:noProof/>
          <w:sz w:val="22"/>
        </w:rPr>
        <w:t>15.</w:t>
      </w:r>
      <w:r w:rsidRPr="00990F42">
        <w:t xml:space="preserve"> </w:t>
      </w:r>
      <w:r w:rsidRPr="004751A6">
        <w:rPr>
          <w:rFonts w:ascii="Garamond" w:hAnsi="Garamond"/>
          <w:noProof/>
          <w:sz w:val="22"/>
        </w:rPr>
        <w:t>https://doi.org/</w:t>
      </w:r>
      <w:r w:rsidRPr="00990F42">
        <w:rPr>
          <w:rFonts w:ascii="Garamond" w:hAnsi="Garamond"/>
          <w:noProof/>
          <w:sz w:val="22"/>
        </w:rPr>
        <w:t>10.1111/eje.12867</w:t>
      </w:r>
      <w:r w:rsidRPr="00C76CEF">
        <w:rPr>
          <w:rFonts w:ascii="Garamond" w:hAnsi="Garamond"/>
          <w:noProof/>
          <w:sz w:val="22"/>
        </w:rPr>
        <w:t xml:space="preserve"> </w:t>
      </w:r>
    </w:p>
    <w:p w14:paraId="7A2DC514" w14:textId="38E08282"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14. </w:t>
      </w:r>
      <w:r w:rsidRPr="00C76CEF">
        <w:rPr>
          <w:rFonts w:ascii="Garamond" w:hAnsi="Garamond"/>
          <w:noProof/>
          <w:sz w:val="22"/>
        </w:rPr>
        <w:tab/>
      </w:r>
      <w:r w:rsidRPr="00196A95">
        <w:rPr>
          <w:rFonts w:ascii="Garamond" w:hAnsi="Garamond"/>
          <w:noProof/>
          <w:sz w:val="22"/>
        </w:rPr>
        <w:t xml:space="preserve">Nasseripour M, Gallagher J, </w:t>
      </w:r>
      <w:r>
        <w:rPr>
          <w:rFonts w:ascii="Garamond" w:hAnsi="Garamond"/>
          <w:noProof/>
          <w:sz w:val="22"/>
        </w:rPr>
        <w:t xml:space="preserve">and </w:t>
      </w:r>
      <w:r w:rsidRPr="00196A95">
        <w:rPr>
          <w:rFonts w:ascii="Garamond" w:hAnsi="Garamond"/>
          <w:noProof/>
          <w:sz w:val="22"/>
        </w:rPr>
        <w:t>Ranauta A. Reflect and develop: A pilot study to explore perceptions and to test the impact of a short course on reflective practice amongst dental practitioners undertaking continuing professional. Eur</w:t>
      </w:r>
      <w:r>
        <w:rPr>
          <w:rFonts w:ascii="Garamond" w:hAnsi="Garamond"/>
          <w:noProof/>
          <w:sz w:val="22"/>
        </w:rPr>
        <w:t>opean</w:t>
      </w:r>
      <w:r w:rsidRPr="00196A95">
        <w:rPr>
          <w:rFonts w:ascii="Garamond" w:hAnsi="Garamond"/>
          <w:noProof/>
          <w:sz w:val="22"/>
        </w:rPr>
        <w:t xml:space="preserve"> J</w:t>
      </w:r>
      <w:r>
        <w:rPr>
          <w:rFonts w:ascii="Garamond" w:hAnsi="Garamond"/>
          <w:noProof/>
          <w:sz w:val="22"/>
        </w:rPr>
        <w:t>ournal of</w:t>
      </w:r>
      <w:r w:rsidRPr="00196A95">
        <w:rPr>
          <w:rFonts w:ascii="Garamond" w:hAnsi="Garamond"/>
          <w:noProof/>
          <w:sz w:val="22"/>
        </w:rPr>
        <w:t xml:space="preserve"> Dent</w:t>
      </w:r>
      <w:r>
        <w:rPr>
          <w:rFonts w:ascii="Garamond" w:hAnsi="Garamond"/>
          <w:noProof/>
          <w:sz w:val="22"/>
        </w:rPr>
        <w:t>al</w:t>
      </w:r>
      <w:r w:rsidRPr="00196A95">
        <w:rPr>
          <w:rFonts w:ascii="Garamond" w:hAnsi="Garamond"/>
          <w:noProof/>
          <w:sz w:val="22"/>
        </w:rPr>
        <w:t xml:space="preserve"> Educ</w:t>
      </w:r>
      <w:r>
        <w:rPr>
          <w:rFonts w:ascii="Garamond" w:hAnsi="Garamond"/>
          <w:noProof/>
          <w:sz w:val="22"/>
        </w:rPr>
        <w:t>ation</w:t>
      </w:r>
      <w:r w:rsidRPr="00196A95">
        <w:rPr>
          <w:rFonts w:ascii="Garamond" w:hAnsi="Garamond"/>
          <w:noProof/>
          <w:sz w:val="22"/>
        </w:rPr>
        <w:t>. 26</w:t>
      </w:r>
      <w:r>
        <w:rPr>
          <w:rFonts w:ascii="Garamond" w:hAnsi="Garamond"/>
          <w:noProof/>
          <w:sz w:val="22"/>
        </w:rPr>
        <w:t xml:space="preserve">, no. </w:t>
      </w:r>
      <w:r w:rsidRPr="00196A95">
        <w:rPr>
          <w:rFonts w:ascii="Garamond" w:hAnsi="Garamond"/>
          <w:noProof/>
          <w:sz w:val="22"/>
        </w:rPr>
        <w:t>1</w:t>
      </w:r>
      <w:r>
        <w:rPr>
          <w:rFonts w:ascii="Garamond" w:hAnsi="Garamond"/>
          <w:noProof/>
          <w:sz w:val="22"/>
        </w:rPr>
        <w:t xml:space="preserve"> (2022)</w:t>
      </w:r>
      <w:r w:rsidRPr="00196A95">
        <w:rPr>
          <w:rFonts w:ascii="Garamond" w:hAnsi="Garamond"/>
          <w:noProof/>
          <w:sz w:val="22"/>
        </w:rPr>
        <w:t>:11–20.</w:t>
      </w:r>
      <w:r>
        <w:rPr>
          <w:rFonts w:ascii="Garamond" w:hAnsi="Garamond"/>
          <w:noProof/>
          <w:sz w:val="22"/>
        </w:rPr>
        <w:t xml:space="preserve"> </w:t>
      </w:r>
      <w:r w:rsidRPr="004751A6">
        <w:rPr>
          <w:rFonts w:ascii="Garamond" w:hAnsi="Garamond"/>
          <w:noProof/>
          <w:sz w:val="22"/>
        </w:rPr>
        <w:t>https://doi.org/</w:t>
      </w:r>
      <w:r w:rsidRPr="00990F42">
        <w:rPr>
          <w:rFonts w:ascii="Garamond" w:hAnsi="Garamond"/>
          <w:noProof/>
          <w:sz w:val="22"/>
        </w:rPr>
        <w:t>10.1111/eje.12667</w:t>
      </w:r>
      <w:r w:rsidRPr="00C76CEF">
        <w:rPr>
          <w:rFonts w:ascii="Garamond" w:hAnsi="Garamond"/>
          <w:noProof/>
          <w:sz w:val="22"/>
        </w:rPr>
        <w:t xml:space="preserve"> </w:t>
      </w:r>
    </w:p>
    <w:p w14:paraId="48EE87B3" w14:textId="4A3E010A"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15. </w:t>
      </w:r>
      <w:r w:rsidRPr="00C76CEF">
        <w:rPr>
          <w:rFonts w:ascii="Garamond" w:hAnsi="Garamond"/>
          <w:noProof/>
          <w:sz w:val="22"/>
        </w:rPr>
        <w:tab/>
      </w:r>
      <w:r w:rsidRPr="00196A95">
        <w:rPr>
          <w:rFonts w:ascii="Garamond" w:hAnsi="Garamond"/>
          <w:noProof/>
          <w:sz w:val="22"/>
        </w:rPr>
        <w:t>AdvanceHE. Professional Standards for teaching and supporting learning in higher education 2023. York; 2023. Available from: https://documents.advance-he.ac.uk/download/file/document/10539</w:t>
      </w:r>
    </w:p>
    <w:p w14:paraId="01D8CC67" w14:textId="5194CAF6"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16. </w:t>
      </w:r>
      <w:r w:rsidRPr="00C76CEF">
        <w:rPr>
          <w:rFonts w:ascii="Garamond" w:hAnsi="Garamond"/>
          <w:noProof/>
          <w:sz w:val="22"/>
        </w:rPr>
        <w:tab/>
      </w:r>
      <w:r w:rsidRPr="00196A95">
        <w:rPr>
          <w:rFonts w:ascii="Garamond" w:hAnsi="Garamond"/>
          <w:noProof/>
          <w:sz w:val="22"/>
        </w:rPr>
        <w:t xml:space="preserve">Academy of Medical Educators. Professional Standards for medical, dental and veterinary educators. Cardiff; 2022. Available from: </w:t>
      </w:r>
      <w:r w:rsidRPr="00196A95">
        <w:rPr>
          <w:rFonts w:ascii="Garamond" w:hAnsi="Garamond"/>
          <w:noProof/>
          <w:sz w:val="22"/>
        </w:rPr>
        <w:lastRenderedPageBreak/>
        <w:t>https://medicaleducators.org/write/MediaManager/Documents/AoME_Professional_Standards_4th_edition_1.0_(web_full_single_page_spreads).pdf</w:t>
      </w:r>
    </w:p>
    <w:p w14:paraId="75262DE2" w14:textId="363DACB7" w:rsidR="00C76CEF" w:rsidRPr="007F2F85" w:rsidRDefault="00C76CEF" w:rsidP="00C76CEF">
      <w:pPr>
        <w:widowControl w:val="0"/>
        <w:autoSpaceDE w:val="0"/>
        <w:autoSpaceDN w:val="0"/>
        <w:adjustRightInd w:val="0"/>
        <w:spacing w:line="480" w:lineRule="auto"/>
        <w:ind w:left="640" w:hanging="640"/>
        <w:rPr>
          <w:rFonts w:ascii="Garamond" w:hAnsi="Garamond"/>
          <w:noProof/>
          <w:sz w:val="22"/>
        </w:rPr>
      </w:pPr>
      <w:r w:rsidRPr="007F2F85">
        <w:rPr>
          <w:rFonts w:ascii="Garamond" w:hAnsi="Garamond"/>
          <w:noProof/>
          <w:sz w:val="22"/>
        </w:rPr>
        <w:t xml:space="preserve">17. </w:t>
      </w:r>
      <w:r w:rsidRPr="007F2F85">
        <w:rPr>
          <w:rFonts w:ascii="Garamond" w:hAnsi="Garamond"/>
          <w:noProof/>
          <w:sz w:val="22"/>
        </w:rPr>
        <w:tab/>
        <w:t>General Dental Council (GDC). Learning outcomes and behaviours: The Safe Practitioner Framework. 2024. Available from: https://www.gdc-uk.org/education-cpd/dental-education/quality-assurance/learning-outcomes-and-behaviours#safe</w:t>
      </w:r>
    </w:p>
    <w:p w14:paraId="54BB2639" w14:textId="5E908F5F"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7F2F85">
        <w:rPr>
          <w:rFonts w:ascii="Garamond" w:hAnsi="Garamond"/>
          <w:noProof/>
          <w:sz w:val="22"/>
        </w:rPr>
        <w:t xml:space="preserve">18. </w:t>
      </w:r>
      <w:r w:rsidRPr="007F2F85">
        <w:rPr>
          <w:rFonts w:ascii="Garamond" w:hAnsi="Garamond"/>
          <w:noProof/>
          <w:sz w:val="22"/>
        </w:rPr>
        <w:tab/>
        <w:t xml:space="preserve">Campbell F, Jack K, Rogers H. A qualitative exploration of existing reflective practices used by undergraduate dental students in paediatric dentistry. Dent J. 2021;10(1):1. </w:t>
      </w:r>
      <w:r w:rsidR="007F2F85" w:rsidRPr="007F2F85">
        <w:rPr>
          <w:rFonts w:ascii="Garamond" w:hAnsi="Garamond"/>
          <w:noProof/>
          <w:sz w:val="22"/>
        </w:rPr>
        <w:t>https://doi.org/</w:t>
      </w:r>
      <w:r w:rsidR="007F2F85" w:rsidRPr="007F2F85">
        <w:t xml:space="preserve"> </w:t>
      </w:r>
      <w:r w:rsidR="007F2F85" w:rsidRPr="007F2F85">
        <w:rPr>
          <w:rFonts w:ascii="Garamond" w:hAnsi="Garamond"/>
          <w:noProof/>
          <w:sz w:val="22"/>
        </w:rPr>
        <w:t>10.3390/dj10010001</w:t>
      </w:r>
    </w:p>
    <w:p w14:paraId="2AB63180" w14:textId="38BFB9BE" w:rsidR="00C76CEF" w:rsidRPr="007F2F85" w:rsidRDefault="00C76CEF" w:rsidP="00C76CEF">
      <w:pPr>
        <w:widowControl w:val="0"/>
        <w:autoSpaceDE w:val="0"/>
        <w:autoSpaceDN w:val="0"/>
        <w:adjustRightInd w:val="0"/>
        <w:spacing w:line="480" w:lineRule="auto"/>
        <w:ind w:left="640" w:hanging="640"/>
        <w:rPr>
          <w:rFonts w:ascii="Garamond" w:hAnsi="Garamond"/>
          <w:noProof/>
          <w:sz w:val="22"/>
        </w:rPr>
      </w:pPr>
      <w:r w:rsidRPr="007F2F85">
        <w:rPr>
          <w:rFonts w:ascii="Garamond" w:hAnsi="Garamond"/>
          <w:noProof/>
          <w:sz w:val="22"/>
        </w:rPr>
        <w:t xml:space="preserve">19. </w:t>
      </w:r>
      <w:r w:rsidRPr="007F2F85">
        <w:rPr>
          <w:rFonts w:ascii="Garamond" w:hAnsi="Garamond"/>
          <w:noProof/>
          <w:sz w:val="22"/>
        </w:rPr>
        <w:tab/>
        <w:t xml:space="preserve">Mann K, Gordon J, MacLeod A. Reflection and reflective practice in health professions education: a systematic review. Adv Heal Sci Educ. 2009;14:595–621. </w:t>
      </w:r>
      <w:r w:rsidR="007F2F85" w:rsidRPr="007F2F85">
        <w:rPr>
          <w:rFonts w:ascii="Garamond" w:hAnsi="Garamond"/>
          <w:noProof/>
          <w:sz w:val="22"/>
        </w:rPr>
        <w:t>https://doi.org/</w:t>
      </w:r>
      <w:r w:rsidR="007F2F85" w:rsidRPr="007F2F85">
        <w:t xml:space="preserve"> </w:t>
      </w:r>
      <w:r w:rsidR="007F2F85" w:rsidRPr="007F2F85">
        <w:rPr>
          <w:rFonts w:ascii="Garamond" w:hAnsi="Garamond"/>
          <w:noProof/>
          <w:sz w:val="22"/>
        </w:rPr>
        <w:t>10.1007/s10459-007-9090-2</w:t>
      </w:r>
    </w:p>
    <w:p w14:paraId="2A95B858" w14:textId="21DB6A8E"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7F2F85">
        <w:rPr>
          <w:rFonts w:ascii="Garamond" w:hAnsi="Garamond"/>
          <w:noProof/>
          <w:sz w:val="22"/>
        </w:rPr>
        <w:t xml:space="preserve">20. </w:t>
      </w:r>
      <w:r w:rsidRPr="007F2F85">
        <w:rPr>
          <w:rFonts w:ascii="Garamond" w:hAnsi="Garamond"/>
          <w:noProof/>
          <w:sz w:val="22"/>
        </w:rPr>
        <w:tab/>
      </w:r>
      <w:r w:rsidR="007F2F85" w:rsidRPr="007F2F85">
        <w:rPr>
          <w:rFonts w:ascii="Garamond" w:hAnsi="Garamond"/>
          <w:noProof/>
          <w:sz w:val="22"/>
        </w:rPr>
        <w:t>Aronson L. Twelve tips for teaching reflection at all levels of medical education. Medical Teacher. 33, no. 3 (2011):200–205. https://doi.org/10.3109/0142159X.2010.507714</w:t>
      </w:r>
    </w:p>
    <w:p w14:paraId="4CCDCE53" w14:textId="4D75E2ED"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21. </w:t>
      </w:r>
      <w:r w:rsidRPr="00C76CEF">
        <w:rPr>
          <w:rFonts w:ascii="Garamond" w:hAnsi="Garamond"/>
          <w:noProof/>
          <w:sz w:val="22"/>
        </w:rPr>
        <w:tab/>
      </w:r>
      <w:r w:rsidRPr="00196A95">
        <w:rPr>
          <w:rFonts w:ascii="Garamond" w:hAnsi="Garamond"/>
          <w:noProof/>
          <w:sz w:val="22"/>
        </w:rPr>
        <w:t>Gibbs G. Learning by Doing: A Guide to Teaching and Learning Methods. FEU; 1988.</w:t>
      </w:r>
    </w:p>
    <w:p w14:paraId="0E713580" w14:textId="1628CC8E"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22. </w:t>
      </w:r>
      <w:r w:rsidRPr="00C76CEF">
        <w:rPr>
          <w:rFonts w:ascii="Garamond" w:hAnsi="Garamond"/>
          <w:noProof/>
          <w:sz w:val="22"/>
        </w:rPr>
        <w:tab/>
        <w:t>Kolb DA. Experiential Learning: Experience as the Source of Learning and Development. Pearson Education; 2015.</w:t>
      </w:r>
    </w:p>
    <w:p w14:paraId="281E1FD5" w14:textId="5D693F32"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23. </w:t>
      </w:r>
      <w:r w:rsidRPr="00C76CEF">
        <w:rPr>
          <w:rFonts w:ascii="Garamond" w:hAnsi="Garamond"/>
          <w:noProof/>
          <w:sz w:val="22"/>
        </w:rPr>
        <w:tab/>
        <w:t xml:space="preserve">Schön DA. The reflective practitioner: How professionals think in action. Routledge; 2017. </w:t>
      </w:r>
    </w:p>
    <w:p w14:paraId="26B7E7ED" w14:textId="59916468"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24. </w:t>
      </w:r>
      <w:r w:rsidRPr="00C76CEF">
        <w:rPr>
          <w:rFonts w:ascii="Garamond" w:hAnsi="Garamond"/>
          <w:noProof/>
          <w:sz w:val="22"/>
        </w:rPr>
        <w:tab/>
        <w:t xml:space="preserve">Rolfe G, Freshwater D, and Jasper M. Critical reflection for nursing and the helping professions: A user’s guide. Palgrave; 2001. </w:t>
      </w:r>
    </w:p>
    <w:p w14:paraId="784935C0" w14:textId="25909CD1"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C76CEF">
        <w:rPr>
          <w:rFonts w:ascii="Garamond" w:hAnsi="Garamond"/>
          <w:noProof/>
          <w:sz w:val="22"/>
        </w:rPr>
        <w:t xml:space="preserve">25. </w:t>
      </w:r>
      <w:r w:rsidRPr="00C76CEF">
        <w:rPr>
          <w:rFonts w:ascii="Garamond" w:hAnsi="Garamond"/>
          <w:noProof/>
          <w:sz w:val="22"/>
        </w:rPr>
        <w:tab/>
        <w:t xml:space="preserve">Atkins S, and Murphy K. Reflection: a review of the literature. Journal of Advanced Nursing. 18, no. 8 (1993):1188–1192. https://doi.org/10.1046/j.1365-2648.1993.18081188.x. </w:t>
      </w:r>
    </w:p>
    <w:p w14:paraId="2BA011F8" w14:textId="6AE56314" w:rsidR="00C76CEF" w:rsidRPr="00C76CEF" w:rsidRDefault="00C76CEF" w:rsidP="00C76CEF">
      <w:pPr>
        <w:widowControl w:val="0"/>
        <w:autoSpaceDE w:val="0"/>
        <w:autoSpaceDN w:val="0"/>
        <w:adjustRightInd w:val="0"/>
        <w:spacing w:line="480" w:lineRule="auto"/>
        <w:ind w:left="640" w:hanging="640"/>
        <w:rPr>
          <w:rFonts w:ascii="Garamond" w:hAnsi="Garamond"/>
          <w:noProof/>
          <w:sz w:val="22"/>
        </w:rPr>
      </w:pPr>
      <w:r w:rsidRPr="007F2F85">
        <w:rPr>
          <w:rFonts w:ascii="Garamond" w:hAnsi="Garamond"/>
          <w:noProof/>
          <w:sz w:val="22"/>
        </w:rPr>
        <w:t xml:space="preserve">26. </w:t>
      </w:r>
      <w:r w:rsidRPr="007F2F85">
        <w:rPr>
          <w:rFonts w:ascii="Garamond" w:hAnsi="Garamond"/>
          <w:noProof/>
          <w:sz w:val="22"/>
        </w:rPr>
        <w:tab/>
        <w:t xml:space="preserve">Phua GL, Owyong JL, Leong IT, Goh S, Somasundaram N, Poon EY, et al. A systematic scoping review of group reflection in medical education. BMC Med Educ. 2024;24(1):398. </w:t>
      </w:r>
      <w:r w:rsidR="007F2F85" w:rsidRPr="007F2F85">
        <w:rPr>
          <w:rFonts w:ascii="Garamond" w:hAnsi="Garamond"/>
          <w:noProof/>
          <w:sz w:val="22"/>
        </w:rPr>
        <w:t>https://doi.org/</w:t>
      </w:r>
      <w:r w:rsidR="007F2F85" w:rsidRPr="007F2F85">
        <w:rPr>
          <w:rFonts w:ascii="Merriweather Sans" w:hAnsi="Merriweather Sans"/>
          <w:color w:val="222222"/>
          <w:shd w:val="clear" w:color="auto" w:fill="FFFFFF"/>
        </w:rPr>
        <w:t xml:space="preserve"> </w:t>
      </w:r>
      <w:r w:rsidR="007F2F85" w:rsidRPr="007F2F85">
        <w:rPr>
          <w:rFonts w:ascii="Garamond" w:hAnsi="Garamond"/>
          <w:noProof/>
          <w:sz w:val="22"/>
        </w:rPr>
        <w:t>10.1186/s12909-024-05203-w</w:t>
      </w:r>
    </w:p>
    <w:p w14:paraId="45D6333F" w14:textId="36DE1D4D" w:rsidR="00CE3844" w:rsidRPr="00AB7853" w:rsidRDefault="00754685" w:rsidP="00C76CEF">
      <w:pPr>
        <w:widowControl w:val="0"/>
        <w:autoSpaceDE w:val="0"/>
        <w:autoSpaceDN w:val="0"/>
        <w:adjustRightInd w:val="0"/>
        <w:spacing w:line="480" w:lineRule="auto"/>
        <w:ind w:left="640" w:hanging="640"/>
        <w:rPr>
          <w:rFonts w:ascii="Garamond" w:hAnsi="Garamond" w:cs="Arial"/>
          <w:b/>
          <w:iCs/>
          <w:color w:val="0070C0"/>
          <w:sz w:val="22"/>
          <w:szCs w:val="22"/>
        </w:rPr>
      </w:pPr>
      <w:r>
        <w:rPr>
          <w:rFonts w:ascii="Garamond" w:hAnsi="Garamond" w:cs="Arial"/>
          <w:b/>
          <w:iCs/>
          <w:color w:val="0070C0"/>
          <w:sz w:val="22"/>
          <w:szCs w:val="22"/>
        </w:rPr>
        <w:fldChar w:fldCharType="end"/>
      </w:r>
    </w:p>
    <w:p w14:paraId="449FFA6F" w14:textId="77777777" w:rsidR="00CE3844" w:rsidRPr="0052047F" w:rsidRDefault="00CE3844">
      <w:pPr>
        <w:spacing w:line="480" w:lineRule="auto"/>
        <w:rPr>
          <w:rFonts w:ascii="Garamond" w:hAnsi="Garamond"/>
          <w:sz w:val="22"/>
          <w:szCs w:val="22"/>
        </w:rPr>
      </w:pPr>
    </w:p>
    <w:p w14:paraId="021862DC" w14:textId="77777777" w:rsidR="007E1F68" w:rsidRPr="0052047F" w:rsidRDefault="007E1F68" w:rsidP="00AA2FD4">
      <w:pPr>
        <w:pStyle w:val="Caption"/>
        <w:keepNext/>
        <w:rPr>
          <w:rFonts w:ascii="Garamond" w:hAnsi="Garamond" w:cs="Arial"/>
          <w:iCs/>
          <w:sz w:val="22"/>
          <w:szCs w:val="22"/>
        </w:rPr>
      </w:pPr>
    </w:p>
    <w:sectPr w:rsidR="007E1F68" w:rsidRPr="0052047F" w:rsidSect="00AA2FD4">
      <w:footerReference w:type="default" r:id="rId8"/>
      <w:pgSz w:w="11901" w:h="16817"/>
      <w:pgMar w:top="1701" w:right="1440" w:bottom="1701"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C44C" w14:textId="77777777" w:rsidR="00917F51" w:rsidRDefault="00917F51">
      <w:r>
        <w:separator/>
      </w:r>
    </w:p>
  </w:endnote>
  <w:endnote w:type="continuationSeparator" w:id="0">
    <w:p w14:paraId="4DDB830F" w14:textId="77777777" w:rsidR="00917F51" w:rsidRDefault="0091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Open Sans">
    <w:panose1 w:val="020B0604020202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28009F" w:csb1="00000000"/>
  </w:font>
  <w:font w:name="Cambria Math">
    <w:panose1 w:val="02040503050406030204"/>
    <w:charset w:val="00"/>
    <w:family w:val="roman"/>
    <w:pitch w:val="variable"/>
    <w:sig w:usb0="E00002FF" w:usb1="420024FF" w:usb2="00000000" w:usb3="00000000" w:csb0="0000019F" w:csb1="00000000"/>
  </w:font>
  <w:font w:name="Merriweather Sans">
    <w:panose1 w:val="00000000000000000000"/>
    <w:charset w:val="4D"/>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3F66" w14:textId="37090D19" w:rsidR="00412E43" w:rsidRDefault="00412E43" w:rsidP="00AA2FD4">
    <w:pPr>
      <w:pStyle w:val="Footer"/>
    </w:pPr>
  </w:p>
  <w:p w14:paraId="4B0A0A17" w14:textId="77777777" w:rsidR="00412E43" w:rsidRDefault="00412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9554" w14:textId="77777777" w:rsidR="00917F51" w:rsidRDefault="00917F51">
      <w:r>
        <w:separator/>
      </w:r>
    </w:p>
  </w:footnote>
  <w:footnote w:type="continuationSeparator" w:id="0">
    <w:p w14:paraId="581AE59C" w14:textId="77777777" w:rsidR="00917F51" w:rsidRDefault="00917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564"/>
    <w:multiLevelType w:val="hybridMultilevel"/>
    <w:tmpl w:val="7EC86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C4067"/>
    <w:multiLevelType w:val="hybridMultilevel"/>
    <w:tmpl w:val="8CB6BE74"/>
    <w:lvl w:ilvl="0" w:tplc="F360623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33CDE"/>
    <w:multiLevelType w:val="hybridMultilevel"/>
    <w:tmpl w:val="A18AD2EC"/>
    <w:lvl w:ilvl="0" w:tplc="40F2D2E8">
      <w:start w:val="1"/>
      <w:numFmt w:val="decimal"/>
      <w:lvlText w:val="%1."/>
      <w:lvlJc w:val="left"/>
      <w:pPr>
        <w:ind w:left="720" w:hanging="360"/>
      </w:pPr>
      <w:rPr>
        <w:rFonts w:hint="default"/>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A023A"/>
    <w:multiLevelType w:val="multilevel"/>
    <w:tmpl w:val="12D2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07931"/>
    <w:multiLevelType w:val="hybridMultilevel"/>
    <w:tmpl w:val="F03002C4"/>
    <w:lvl w:ilvl="0" w:tplc="9C864A6C">
      <w:start w:val="1"/>
      <w:numFmt w:val="decimal"/>
      <w:lvlText w:val="%1."/>
      <w:lvlJc w:val="left"/>
      <w:pPr>
        <w:ind w:left="432" w:hanging="193"/>
      </w:pPr>
      <w:rPr>
        <w:rFonts w:ascii="Garamond" w:eastAsia="Open Sans" w:hAnsi="Garamond" w:cs="Open Sans" w:hint="default"/>
        <w:b w:val="0"/>
        <w:bCs w:val="0"/>
        <w:i w:val="0"/>
        <w:iCs w:val="0"/>
        <w:spacing w:val="-1"/>
        <w:w w:val="103"/>
        <w:sz w:val="20"/>
        <w:szCs w:val="20"/>
        <w:lang w:val="en-US" w:eastAsia="en-US" w:bidi="ar-SA"/>
      </w:rPr>
    </w:lvl>
    <w:lvl w:ilvl="1" w:tplc="9CBC8738">
      <w:numFmt w:val="bullet"/>
      <w:lvlText w:val="•"/>
      <w:lvlJc w:val="left"/>
      <w:pPr>
        <w:ind w:left="984" w:hanging="193"/>
      </w:pPr>
      <w:rPr>
        <w:rFonts w:hint="default"/>
        <w:lang w:val="en-US" w:eastAsia="en-US" w:bidi="ar-SA"/>
      </w:rPr>
    </w:lvl>
    <w:lvl w:ilvl="2" w:tplc="F02EA41C">
      <w:numFmt w:val="bullet"/>
      <w:lvlText w:val="•"/>
      <w:lvlJc w:val="left"/>
      <w:pPr>
        <w:ind w:left="1529" w:hanging="193"/>
      </w:pPr>
      <w:rPr>
        <w:rFonts w:hint="default"/>
        <w:lang w:val="en-US" w:eastAsia="en-US" w:bidi="ar-SA"/>
      </w:rPr>
    </w:lvl>
    <w:lvl w:ilvl="3" w:tplc="5142D988">
      <w:numFmt w:val="bullet"/>
      <w:lvlText w:val="•"/>
      <w:lvlJc w:val="left"/>
      <w:pPr>
        <w:ind w:left="2074" w:hanging="193"/>
      </w:pPr>
      <w:rPr>
        <w:rFonts w:hint="default"/>
        <w:lang w:val="en-US" w:eastAsia="en-US" w:bidi="ar-SA"/>
      </w:rPr>
    </w:lvl>
    <w:lvl w:ilvl="4" w:tplc="D6703F3A">
      <w:numFmt w:val="bullet"/>
      <w:lvlText w:val="•"/>
      <w:lvlJc w:val="left"/>
      <w:pPr>
        <w:ind w:left="2619" w:hanging="193"/>
      </w:pPr>
      <w:rPr>
        <w:rFonts w:hint="default"/>
        <w:lang w:val="en-US" w:eastAsia="en-US" w:bidi="ar-SA"/>
      </w:rPr>
    </w:lvl>
    <w:lvl w:ilvl="5" w:tplc="FCACFC5C">
      <w:numFmt w:val="bullet"/>
      <w:lvlText w:val="•"/>
      <w:lvlJc w:val="left"/>
      <w:pPr>
        <w:ind w:left="3164" w:hanging="193"/>
      </w:pPr>
      <w:rPr>
        <w:rFonts w:hint="default"/>
        <w:lang w:val="en-US" w:eastAsia="en-US" w:bidi="ar-SA"/>
      </w:rPr>
    </w:lvl>
    <w:lvl w:ilvl="6" w:tplc="1F2E68AE">
      <w:numFmt w:val="bullet"/>
      <w:lvlText w:val="•"/>
      <w:lvlJc w:val="left"/>
      <w:pPr>
        <w:ind w:left="3708" w:hanging="193"/>
      </w:pPr>
      <w:rPr>
        <w:rFonts w:hint="default"/>
        <w:lang w:val="en-US" w:eastAsia="en-US" w:bidi="ar-SA"/>
      </w:rPr>
    </w:lvl>
    <w:lvl w:ilvl="7" w:tplc="3C0E57EE">
      <w:numFmt w:val="bullet"/>
      <w:lvlText w:val="•"/>
      <w:lvlJc w:val="left"/>
      <w:pPr>
        <w:ind w:left="4253" w:hanging="193"/>
      </w:pPr>
      <w:rPr>
        <w:rFonts w:hint="default"/>
        <w:lang w:val="en-US" w:eastAsia="en-US" w:bidi="ar-SA"/>
      </w:rPr>
    </w:lvl>
    <w:lvl w:ilvl="8" w:tplc="C4848710">
      <w:numFmt w:val="bullet"/>
      <w:lvlText w:val="•"/>
      <w:lvlJc w:val="left"/>
      <w:pPr>
        <w:ind w:left="4798" w:hanging="193"/>
      </w:pPr>
      <w:rPr>
        <w:rFonts w:hint="default"/>
        <w:lang w:val="en-US" w:eastAsia="en-US" w:bidi="ar-SA"/>
      </w:rPr>
    </w:lvl>
  </w:abstractNum>
  <w:abstractNum w:abstractNumId="5" w15:restartNumberingAfterBreak="0">
    <w:nsid w:val="0FA02CC6"/>
    <w:multiLevelType w:val="hybridMultilevel"/>
    <w:tmpl w:val="D3062F00"/>
    <w:lvl w:ilvl="0" w:tplc="79D09306">
      <w:start w:val="1"/>
      <w:numFmt w:val="bullet"/>
      <w:lvlText w:val="-"/>
      <w:lvlJc w:val="left"/>
      <w:pPr>
        <w:ind w:left="720" w:hanging="360"/>
      </w:pPr>
      <w:rPr>
        <w:rFonts w:ascii="Garamond" w:eastAsiaTheme="minorEastAsia" w:hAnsi="Garamond"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5136A"/>
    <w:multiLevelType w:val="hybridMultilevel"/>
    <w:tmpl w:val="D1123604"/>
    <w:lvl w:ilvl="0" w:tplc="92BEF9C6">
      <w:start w:val="1"/>
      <w:numFmt w:val="decimal"/>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C4915"/>
    <w:multiLevelType w:val="hybridMultilevel"/>
    <w:tmpl w:val="7B7A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A4259"/>
    <w:multiLevelType w:val="hybridMultilevel"/>
    <w:tmpl w:val="099AD664"/>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9" w15:restartNumberingAfterBreak="0">
    <w:nsid w:val="15811919"/>
    <w:multiLevelType w:val="hybridMultilevel"/>
    <w:tmpl w:val="048C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BF62F8"/>
    <w:multiLevelType w:val="hybridMultilevel"/>
    <w:tmpl w:val="8B387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A32802"/>
    <w:multiLevelType w:val="hybridMultilevel"/>
    <w:tmpl w:val="CFD0EB3C"/>
    <w:lvl w:ilvl="0" w:tplc="970ACA8C">
      <w:start w:val="1"/>
      <w:numFmt w:val="bullet"/>
      <w:lvlText w:val="-"/>
      <w:lvlJc w:val="left"/>
      <w:pPr>
        <w:ind w:left="720" w:hanging="360"/>
      </w:pPr>
      <w:rPr>
        <w:rFonts w:ascii="Garamond" w:eastAsiaTheme="minorEastAsia" w:hAnsi="Garamond"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3034E"/>
    <w:multiLevelType w:val="hybridMultilevel"/>
    <w:tmpl w:val="EB6E8956"/>
    <w:lvl w:ilvl="0" w:tplc="79D09306">
      <w:start w:val="1"/>
      <w:numFmt w:val="bullet"/>
      <w:lvlText w:val="-"/>
      <w:lvlJc w:val="left"/>
      <w:pPr>
        <w:ind w:left="819" w:hanging="360"/>
      </w:pPr>
      <w:rPr>
        <w:rFonts w:ascii="Garamond" w:eastAsiaTheme="minorEastAsia" w:hAnsi="Garamond" w:cs="Arial" w:hint="default"/>
      </w:rPr>
    </w:lvl>
    <w:lvl w:ilvl="1" w:tplc="08090003" w:tentative="1">
      <w:start w:val="1"/>
      <w:numFmt w:val="bullet"/>
      <w:lvlText w:val="o"/>
      <w:lvlJc w:val="left"/>
      <w:pPr>
        <w:ind w:left="1539" w:hanging="360"/>
      </w:pPr>
      <w:rPr>
        <w:rFonts w:ascii="Courier New" w:hAnsi="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3" w15:restartNumberingAfterBreak="0">
    <w:nsid w:val="2CD3634D"/>
    <w:multiLevelType w:val="hybridMultilevel"/>
    <w:tmpl w:val="5DFA9698"/>
    <w:lvl w:ilvl="0" w:tplc="E78EBA6E">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0A546D"/>
    <w:multiLevelType w:val="multilevel"/>
    <w:tmpl w:val="3BE4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95B6C"/>
    <w:multiLevelType w:val="multilevel"/>
    <w:tmpl w:val="110EB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CE03E8"/>
    <w:multiLevelType w:val="hybridMultilevel"/>
    <w:tmpl w:val="0A44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76DEF"/>
    <w:multiLevelType w:val="multilevel"/>
    <w:tmpl w:val="8E04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281110"/>
    <w:multiLevelType w:val="multilevel"/>
    <w:tmpl w:val="6A80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3B1283"/>
    <w:multiLevelType w:val="hybridMultilevel"/>
    <w:tmpl w:val="7B32D15E"/>
    <w:lvl w:ilvl="0" w:tplc="8F3088C4">
      <w:start w:val="1"/>
      <w:numFmt w:val="decimal"/>
      <w:lvlText w:val="%1."/>
      <w:lvlJc w:val="left"/>
      <w:pPr>
        <w:ind w:left="598" w:hanging="195"/>
      </w:pPr>
      <w:rPr>
        <w:rFonts w:ascii="Garamond" w:eastAsia="Open Sans" w:hAnsi="Garamond" w:cs="Open Sans" w:hint="default"/>
        <w:b w:val="0"/>
        <w:bCs w:val="0"/>
        <w:i w:val="0"/>
        <w:iCs w:val="0"/>
        <w:spacing w:val="-1"/>
        <w:w w:val="100"/>
        <w:sz w:val="21"/>
        <w:szCs w:val="21"/>
        <w:lang w:val="en-US" w:eastAsia="en-US" w:bidi="ar-SA"/>
      </w:rPr>
    </w:lvl>
    <w:lvl w:ilvl="1" w:tplc="A376907E">
      <w:numFmt w:val="bullet"/>
      <w:lvlText w:val="•"/>
      <w:lvlJc w:val="left"/>
      <w:pPr>
        <w:ind w:left="1128" w:hanging="195"/>
      </w:pPr>
      <w:rPr>
        <w:rFonts w:hint="default"/>
        <w:lang w:val="en-US" w:eastAsia="en-US" w:bidi="ar-SA"/>
      </w:rPr>
    </w:lvl>
    <w:lvl w:ilvl="2" w:tplc="AF9475CE">
      <w:numFmt w:val="bullet"/>
      <w:lvlText w:val="•"/>
      <w:lvlJc w:val="left"/>
      <w:pPr>
        <w:ind w:left="1657" w:hanging="195"/>
      </w:pPr>
      <w:rPr>
        <w:rFonts w:hint="default"/>
        <w:lang w:val="en-US" w:eastAsia="en-US" w:bidi="ar-SA"/>
      </w:rPr>
    </w:lvl>
    <w:lvl w:ilvl="3" w:tplc="C1D6C6EA">
      <w:numFmt w:val="bullet"/>
      <w:lvlText w:val="•"/>
      <w:lvlJc w:val="left"/>
      <w:pPr>
        <w:ind w:left="2186" w:hanging="195"/>
      </w:pPr>
      <w:rPr>
        <w:rFonts w:hint="default"/>
        <w:lang w:val="en-US" w:eastAsia="en-US" w:bidi="ar-SA"/>
      </w:rPr>
    </w:lvl>
    <w:lvl w:ilvl="4" w:tplc="71A2E68C">
      <w:numFmt w:val="bullet"/>
      <w:lvlText w:val="•"/>
      <w:lvlJc w:val="left"/>
      <w:pPr>
        <w:ind w:left="2715" w:hanging="195"/>
      </w:pPr>
      <w:rPr>
        <w:rFonts w:hint="default"/>
        <w:lang w:val="en-US" w:eastAsia="en-US" w:bidi="ar-SA"/>
      </w:rPr>
    </w:lvl>
    <w:lvl w:ilvl="5" w:tplc="44C25B0C">
      <w:numFmt w:val="bullet"/>
      <w:lvlText w:val="•"/>
      <w:lvlJc w:val="left"/>
      <w:pPr>
        <w:ind w:left="3244" w:hanging="195"/>
      </w:pPr>
      <w:rPr>
        <w:rFonts w:hint="default"/>
        <w:lang w:val="en-US" w:eastAsia="en-US" w:bidi="ar-SA"/>
      </w:rPr>
    </w:lvl>
    <w:lvl w:ilvl="6" w:tplc="786C61EE">
      <w:numFmt w:val="bullet"/>
      <w:lvlText w:val="•"/>
      <w:lvlJc w:val="left"/>
      <w:pPr>
        <w:ind w:left="3772" w:hanging="195"/>
      </w:pPr>
      <w:rPr>
        <w:rFonts w:hint="default"/>
        <w:lang w:val="en-US" w:eastAsia="en-US" w:bidi="ar-SA"/>
      </w:rPr>
    </w:lvl>
    <w:lvl w:ilvl="7" w:tplc="5D70021C">
      <w:numFmt w:val="bullet"/>
      <w:lvlText w:val="•"/>
      <w:lvlJc w:val="left"/>
      <w:pPr>
        <w:ind w:left="4301" w:hanging="195"/>
      </w:pPr>
      <w:rPr>
        <w:rFonts w:hint="default"/>
        <w:lang w:val="en-US" w:eastAsia="en-US" w:bidi="ar-SA"/>
      </w:rPr>
    </w:lvl>
    <w:lvl w:ilvl="8" w:tplc="57108CDA">
      <w:numFmt w:val="bullet"/>
      <w:lvlText w:val="•"/>
      <w:lvlJc w:val="left"/>
      <w:pPr>
        <w:ind w:left="4830" w:hanging="195"/>
      </w:pPr>
      <w:rPr>
        <w:rFonts w:hint="default"/>
        <w:lang w:val="en-US" w:eastAsia="en-US" w:bidi="ar-SA"/>
      </w:rPr>
    </w:lvl>
  </w:abstractNum>
  <w:abstractNum w:abstractNumId="20" w15:restartNumberingAfterBreak="0">
    <w:nsid w:val="41E65F32"/>
    <w:multiLevelType w:val="multilevel"/>
    <w:tmpl w:val="91120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792D57"/>
    <w:multiLevelType w:val="hybridMultilevel"/>
    <w:tmpl w:val="48DC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892171"/>
    <w:multiLevelType w:val="multilevel"/>
    <w:tmpl w:val="4754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3628F6"/>
    <w:multiLevelType w:val="hybridMultilevel"/>
    <w:tmpl w:val="51B4E7E2"/>
    <w:lvl w:ilvl="0" w:tplc="4D0415DA">
      <w:start w:val="1"/>
      <w:numFmt w:val="decimal"/>
      <w:lvlText w:val="%1."/>
      <w:lvlJc w:val="left"/>
      <w:pPr>
        <w:ind w:left="531" w:hanging="195"/>
      </w:pPr>
      <w:rPr>
        <w:rFonts w:ascii="Open Sans" w:eastAsia="Open Sans" w:hAnsi="Open Sans" w:cs="Open Sans" w:hint="default"/>
        <w:b w:val="0"/>
        <w:bCs w:val="0"/>
        <w:i w:val="0"/>
        <w:iCs w:val="0"/>
        <w:spacing w:val="-1"/>
        <w:w w:val="100"/>
        <w:sz w:val="21"/>
        <w:szCs w:val="21"/>
        <w:lang w:val="en-US" w:eastAsia="en-US" w:bidi="ar-SA"/>
      </w:rPr>
    </w:lvl>
    <w:lvl w:ilvl="1" w:tplc="AF444E76">
      <w:numFmt w:val="bullet"/>
      <w:lvlText w:val="•"/>
      <w:lvlJc w:val="left"/>
      <w:pPr>
        <w:ind w:left="1074" w:hanging="195"/>
      </w:pPr>
      <w:rPr>
        <w:rFonts w:hint="default"/>
        <w:lang w:val="en-US" w:eastAsia="en-US" w:bidi="ar-SA"/>
      </w:rPr>
    </w:lvl>
    <w:lvl w:ilvl="2" w:tplc="88049702">
      <w:numFmt w:val="bullet"/>
      <w:lvlText w:val="•"/>
      <w:lvlJc w:val="left"/>
      <w:pPr>
        <w:ind w:left="1609" w:hanging="195"/>
      </w:pPr>
      <w:rPr>
        <w:rFonts w:hint="default"/>
        <w:lang w:val="en-US" w:eastAsia="en-US" w:bidi="ar-SA"/>
      </w:rPr>
    </w:lvl>
    <w:lvl w:ilvl="3" w:tplc="D6A06F76">
      <w:numFmt w:val="bullet"/>
      <w:lvlText w:val="•"/>
      <w:lvlJc w:val="left"/>
      <w:pPr>
        <w:ind w:left="2144" w:hanging="195"/>
      </w:pPr>
      <w:rPr>
        <w:rFonts w:hint="default"/>
        <w:lang w:val="en-US" w:eastAsia="en-US" w:bidi="ar-SA"/>
      </w:rPr>
    </w:lvl>
    <w:lvl w:ilvl="4" w:tplc="83FE3C60">
      <w:numFmt w:val="bullet"/>
      <w:lvlText w:val="•"/>
      <w:lvlJc w:val="left"/>
      <w:pPr>
        <w:ind w:left="2679" w:hanging="195"/>
      </w:pPr>
      <w:rPr>
        <w:rFonts w:hint="default"/>
        <w:lang w:val="en-US" w:eastAsia="en-US" w:bidi="ar-SA"/>
      </w:rPr>
    </w:lvl>
    <w:lvl w:ilvl="5" w:tplc="B6B27766">
      <w:numFmt w:val="bullet"/>
      <w:lvlText w:val="•"/>
      <w:lvlJc w:val="left"/>
      <w:pPr>
        <w:ind w:left="3214" w:hanging="195"/>
      </w:pPr>
      <w:rPr>
        <w:rFonts w:hint="default"/>
        <w:lang w:val="en-US" w:eastAsia="en-US" w:bidi="ar-SA"/>
      </w:rPr>
    </w:lvl>
    <w:lvl w:ilvl="6" w:tplc="096A6E2E">
      <w:numFmt w:val="bullet"/>
      <w:lvlText w:val="•"/>
      <w:lvlJc w:val="left"/>
      <w:pPr>
        <w:ind w:left="3748" w:hanging="195"/>
      </w:pPr>
      <w:rPr>
        <w:rFonts w:hint="default"/>
        <w:lang w:val="en-US" w:eastAsia="en-US" w:bidi="ar-SA"/>
      </w:rPr>
    </w:lvl>
    <w:lvl w:ilvl="7" w:tplc="4BB26138">
      <w:numFmt w:val="bullet"/>
      <w:lvlText w:val="•"/>
      <w:lvlJc w:val="left"/>
      <w:pPr>
        <w:ind w:left="4283" w:hanging="195"/>
      </w:pPr>
      <w:rPr>
        <w:rFonts w:hint="default"/>
        <w:lang w:val="en-US" w:eastAsia="en-US" w:bidi="ar-SA"/>
      </w:rPr>
    </w:lvl>
    <w:lvl w:ilvl="8" w:tplc="1952CC46">
      <w:numFmt w:val="bullet"/>
      <w:lvlText w:val="•"/>
      <w:lvlJc w:val="left"/>
      <w:pPr>
        <w:ind w:left="4818" w:hanging="195"/>
      </w:pPr>
      <w:rPr>
        <w:rFonts w:hint="default"/>
        <w:lang w:val="en-US" w:eastAsia="en-US" w:bidi="ar-SA"/>
      </w:rPr>
    </w:lvl>
  </w:abstractNum>
  <w:abstractNum w:abstractNumId="24" w15:restartNumberingAfterBreak="0">
    <w:nsid w:val="56F53EA3"/>
    <w:multiLevelType w:val="hybridMultilevel"/>
    <w:tmpl w:val="7B40E2DA"/>
    <w:lvl w:ilvl="0" w:tplc="7B4C8FA8">
      <w:start w:val="1"/>
      <w:numFmt w:val="bullet"/>
      <w:lvlText w:val=""/>
      <w:lvlJc w:val="left"/>
      <w:pPr>
        <w:ind w:left="1245" w:hanging="360"/>
      </w:pPr>
      <w:rPr>
        <w:rFonts w:ascii="Symbol" w:hAnsi="Symbol" w:hint="default"/>
        <w:sz w:val="18"/>
        <w:szCs w:val="18"/>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5" w15:restartNumberingAfterBreak="0">
    <w:nsid w:val="595719CC"/>
    <w:multiLevelType w:val="hybridMultilevel"/>
    <w:tmpl w:val="C348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91448A"/>
    <w:multiLevelType w:val="hybridMultilevel"/>
    <w:tmpl w:val="13283292"/>
    <w:lvl w:ilvl="0" w:tplc="8FCC2A26">
      <w:start w:val="1"/>
      <w:numFmt w:val="decimal"/>
      <w:lvlText w:val="%1."/>
      <w:lvlJc w:val="left"/>
      <w:pPr>
        <w:ind w:left="531" w:hanging="195"/>
      </w:pPr>
      <w:rPr>
        <w:rFonts w:ascii="Garamond" w:eastAsia="Open Sans" w:hAnsi="Garamond" w:cs="Open Sans" w:hint="default"/>
        <w:b w:val="0"/>
        <w:bCs w:val="0"/>
        <w:i w:val="0"/>
        <w:iCs w:val="0"/>
        <w:spacing w:val="-1"/>
        <w:w w:val="100"/>
        <w:sz w:val="21"/>
        <w:szCs w:val="21"/>
        <w:lang w:val="en-US" w:eastAsia="en-US" w:bidi="ar-SA"/>
      </w:rPr>
    </w:lvl>
    <w:lvl w:ilvl="1" w:tplc="8BE8C122">
      <w:numFmt w:val="bullet"/>
      <w:lvlText w:val="•"/>
      <w:lvlJc w:val="left"/>
      <w:pPr>
        <w:ind w:left="1074" w:hanging="195"/>
      </w:pPr>
      <w:rPr>
        <w:rFonts w:hint="default"/>
        <w:lang w:val="en-US" w:eastAsia="en-US" w:bidi="ar-SA"/>
      </w:rPr>
    </w:lvl>
    <w:lvl w:ilvl="2" w:tplc="BAEC752A">
      <w:numFmt w:val="bullet"/>
      <w:lvlText w:val="•"/>
      <w:lvlJc w:val="left"/>
      <w:pPr>
        <w:ind w:left="1609" w:hanging="195"/>
      </w:pPr>
      <w:rPr>
        <w:rFonts w:hint="default"/>
        <w:lang w:val="en-US" w:eastAsia="en-US" w:bidi="ar-SA"/>
      </w:rPr>
    </w:lvl>
    <w:lvl w:ilvl="3" w:tplc="6C24221C">
      <w:numFmt w:val="bullet"/>
      <w:lvlText w:val="•"/>
      <w:lvlJc w:val="left"/>
      <w:pPr>
        <w:ind w:left="2144" w:hanging="195"/>
      </w:pPr>
      <w:rPr>
        <w:rFonts w:hint="default"/>
        <w:lang w:val="en-US" w:eastAsia="en-US" w:bidi="ar-SA"/>
      </w:rPr>
    </w:lvl>
    <w:lvl w:ilvl="4" w:tplc="14CA0B16">
      <w:numFmt w:val="bullet"/>
      <w:lvlText w:val="•"/>
      <w:lvlJc w:val="left"/>
      <w:pPr>
        <w:ind w:left="2679" w:hanging="195"/>
      </w:pPr>
      <w:rPr>
        <w:rFonts w:hint="default"/>
        <w:lang w:val="en-US" w:eastAsia="en-US" w:bidi="ar-SA"/>
      </w:rPr>
    </w:lvl>
    <w:lvl w:ilvl="5" w:tplc="C058AB08">
      <w:numFmt w:val="bullet"/>
      <w:lvlText w:val="•"/>
      <w:lvlJc w:val="left"/>
      <w:pPr>
        <w:ind w:left="3214" w:hanging="195"/>
      </w:pPr>
      <w:rPr>
        <w:rFonts w:hint="default"/>
        <w:lang w:val="en-US" w:eastAsia="en-US" w:bidi="ar-SA"/>
      </w:rPr>
    </w:lvl>
    <w:lvl w:ilvl="6" w:tplc="01E2B6C6">
      <w:numFmt w:val="bullet"/>
      <w:lvlText w:val="•"/>
      <w:lvlJc w:val="left"/>
      <w:pPr>
        <w:ind w:left="3748" w:hanging="195"/>
      </w:pPr>
      <w:rPr>
        <w:rFonts w:hint="default"/>
        <w:lang w:val="en-US" w:eastAsia="en-US" w:bidi="ar-SA"/>
      </w:rPr>
    </w:lvl>
    <w:lvl w:ilvl="7" w:tplc="44C228F6">
      <w:numFmt w:val="bullet"/>
      <w:lvlText w:val="•"/>
      <w:lvlJc w:val="left"/>
      <w:pPr>
        <w:ind w:left="4283" w:hanging="195"/>
      </w:pPr>
      <w:rPr>
        <w:rFonts w:hint="default"/>
        <w:lang w:val="en-US" w:eastAsia="en-US" w:bidi="ar-SA"/>
      </w:rPr>
    </w:lvl>
    <w:lvl w:ilvl="8" w:tplc="AB1254EC">
      <w:numFmt w:val="bullet"/>
      <w:lvlText w:val="•"/>
      <w:lvlJc w:val="left"/>
      <w:pPr>
        <w:ind w:left="4818" w:hanging="195"/>
      </w:pPr>
      <w:rPr>
        <w:rFonts w:hint="default"/>
        <w:lang w:val="en-US" w:eastAsia="en-US" w:bidi="ar-SA"/>
      </w:rPr>
    </w:lvl>
  </w:abstractNum>
  <w:abstractNum w:abstractNumId="27" w15:restartNumberingAfterBreak="0">
    <w:nsid w:val="63EA5155"/>
    <w:multiLevelType w:val="multilevel"/>
    <w:tmpl w:val="D6F28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2423FB"/>
    <w:multiLevelType w:val="hybridMultilevel"/>
    <w:tmpl w:val="0E26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97D79"/>
    <w:multiLevelType w:val="hybridMultilevel"/>
    <w:tmpl w:val="B6BA9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8D3E64"/>
    <w:multiLevelType w:val="multilevel"/>
    <w:tmpl w:val="6F56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483835"/>
    <w:multiLevelType w:val="hybridMultilevel"/>
    <w:tmpl w:val="7EC865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81749E"/>
    <w:multiLevelType w:val="hybridMultilevel"/>
    <w:tmpl w:val="E0F24040"/>
    <w:lvl w:ilvl="0" w:tplc="545E016A">
      <w:start w:val="1"/>
      <w:numFmt w:val="decimal"/>
      <w:lvlText w:val="%1."/>
      <w:lvlJc w:val="left"/>
      <w:pPr>
        <w:ind w:left="472" w:hanging="195"/>
      </w:pPr>
      <w:rPr>
        <w:rFonts w:ascii="Garamond" w:eastAsia="Open Sans" w:hAnsi="Garamond" w:cs="Open Sans" w:hint="default"/>
        <w:b w:val="0"/>
        <w:bCs w:val="0"/>
        <w:i w:val="0"/>
        <w:iCs w:val="0"/>
        <w:spacing w:val="-1"/>
        <w:w w:val="100"/>
        <w:sz w:val="21"/>
        <w:szCs w:val="21"/>
        <w:lang w:val="en-US" w:eastAsia="en-US" w:bidi="ar-SA"/>
      </w:rPr>
    </w:lvl>
    <w:lvl w:ilvl="1" w:tplc="D99249D6">
      <w:numFmt w:val="bullet"/>
      <w:lvlText w:val="•"/>
      <w:lvlJc w:val="left"/>
      <w:pPr>
        <w:ind w:left="1020" w:hanging="195"/>
      </w:pPr>
      <w:rPr>
        <w:rFonts w:hint="default"/>
        <w:lang w:val="en-US" w:eastAsia="en-US" w:bidi="ar-SA"/>
      </w:rPr>
    </w:lvl>
    <w:lvl w:ilvl="2" w:tplc="172435DA">
      <w:numFmt w:val="bullet"/>
      <w:lvlText w:val="•"/>
      <w:lvlJc w:val="left"/>
      <w:pPr>
        <w:ind w:left="1561" w:hanging="195"/>
      </w:pPr>
      <w:rPr>
        <w:rFonts w:hint="default"/>
        <w:lang w:val="en-US" w:eastAsia="en-US" w:bidi="ar-SA"/>
      </w:rPr>
    </w:lvl>
    <w:lvl w:ilvl="3" w:tplc="32CC05C2">
      <w:numFmt w:val="bullet"/>
      <w:lvlText w:val="•"/>
      <w:lvlJc w:val="left"/>
      <w:pPr>
        <w:ind w:left="2102" w:hanging="195"/>
      </w:pPr>
      <w:rPr>
        <w:rFonts w:hint="default"/>
        <w:lang w:val="en-US" w:eastAsia="en-US" w:bidi="ar-SA"/>
      </w:rPr>
    </w:lvl>
    <w:lvl w:ilvl="4" w:tplc="5C6401BE">
      <w:numFmt w:val="bullet"/>
      <w:lvlText w:val="•"/>
      <w:lvlJc w:val="left"/>
      <w:pPr>
        <w:ind w:left="2643" w:hanging="195"/>
      </w:pPr>
      <w:rPr>
        <w:rFonts w:hint="default"/>
        <w:lang w:val="en-US" w:eastAsia="en-US" w:bidi="ar-SA"/>
      </w:rPr>
    </w:lvl>
    <w:lvl w:ilvl="5" w:tplc="2C1A3E5C">
      <w:numFmt w:val="bullet"/>
      <w:lvlText w:val="•"/>
      <w:lvlJc w:val="left"/>
      <w:pPr>
        <w:ind w:left="3184" w:hanging="195"/>
      </w:pPr>
      <w:rPr>
        <w:rFonts w:hint="default"/>
        <w:lang w:val="en-US" w:eastAsia="en-US" w:bidi="ar-SA"/>
      </w:rPr>
    </w:lvl>
    <w:lvl w:ilvl="6" w:tplc="A196A318">
      <w:numFmt w:val="bullet"/>
      <w:lvlText w:val="•"/>
      <w:lvlJc w:val="left"/>
      <w:pPr>
        <w:ind w:left="3724" w:hanging="195"/>
      </w:pPr>
      <w:rPr>
        <w:rFonts w:hint="default"/>
        <w:lang w:val="en-US" w:eastAsia="en-US" w:bidi="ar-SA"/>
      </w:rPr>
    </w:lvl>
    <w:lvl w:ilvl="7" w:tplc="6FD4B378">
      <w:numFmt w:val="bullet"/>
      <w:lvlText w:val="•"/>
      <w:lvlJc w:val="left"/>
      <w:pPr>
        <w:ind w:left="4265" w:hanging="195"/>
      </w:pPr>
      <w:rPr>
        <w:rFonts w:hint="default"/>
        <w:lang w:val="en-US" w:eastAsia="en-US" w:bidi="ar-SA"/>
      </w:rPr>
    </w:lvl>
    <w:lvl w:ilvl="8" w:tplc="930495F8">
      <w:numFmt w:val="bullet"/>
      <w:lvlText w:val="•"/>
      <w:lvlJc w:val="left"/>
      <w:pPr>
        <w:ind w:left="4806" w:hanging="195"/>
      </w:pPr>
      <w:rPr>
        <w:rFonts w:hint="default"/>
        <w:lang w:val="en-US" w:eastAsia="en-US" w:bidi="ar-SA"/>
      </w:rPr>
    </w:lvl>
  </w:abstractNum>
  <w:abstractNum w:abstractNumId="33" w15:restartNumberingAfterBreak="0">
    <w:nsid w:val="6FDE63BF"/>
    <w:multiLevelType w:val="hybridMultilevel"/>
    <w:tmpl w:val="FED28A4A"/>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34" w15:restartNumberingAfterBreak="0">
    <w:nsid w:val="75C14E62"/>
    <w:multiLevelType w:val="multilevel"/>
    <w:tmpl w:val="A9E6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246788"/>
    <w:multiLevelType w:val="multilevel"/>
    <w:tmpl w:val="170C8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AA4BFD"/>
    <w:multiLevelType w:val="hybridMultilevel"/>
    <w:tmpl w:val="2AC89ACE"/>
    <w:lvl w:ilvl="0" w:tplc="7FE02A92">
      <w:start w:val="1"/>
      <w:numFmt w:val="bullet"/>
      <w:lvlText w:val=""/>
      <w:lvlJc w:val="left"/>
      <w:pPr>
        <w:ind w:left="1266" w:hanging="360"/>
      </w:pPr>
      <w:rPr>
        <w:rFonts w:ascii="Symbol" w:hAnsi="Symbol" w:hint="default"/>
        <w:sz w:val="18"/>
        <w:szCs w:val="18"/>
      </w:rPr>
    </w:lvl>
    <w:lvl w:ilvl="1" w:tplc="08090003" w:tentative="1">
      <w:start w:val="1"/>
      <w:numFmt w:val="bullet"/>
      <w:lvlText w:val="o"/>
      <w:lvlJc w:val="left"/>
      <w:pPr>
        <w:ind w:left="1986" w:hanging="360"/>
      </w:pPr>
      <w:rPr>
        <w:rFonts w:ascii="Courier New" w:hAnsi="Courier New" w:cs="Courier New" w:hint="default"/>
      </w:rPr>
    </w:lvl>
    <w:lvl w:ilvl="2" w:tplc="08090005" w:tentative="1">
      <w:start w:val="1"/>
      <w:numFmt w:val="bullet"/>
      <w:lvlText w:val=""/>
      <w:lvlJc w:val="left"/>
      <w:pPr>
        <w:ind w:left="2706" w:hanging="360"/>
      </w:pPr>
      <w:rPr>
        <w:rFonts w:ascii="Wingdings" w:hAnsi="Wingdings" w:hint="default"/>
      </w:rPr>
    </w:lvl>
    <w:lvl w:ilvl="3" w:tplc="08090001" w:tentative="1">
      <w:start w:val="1"/>
      <w:numFmt w:val="bullet"/>
      <w:lvlText w:val=""/>
      <w:lvlJc w:val="left"/>
      <w:pPr>
        <w:ind w:left="3426" w:hanging="360"/>
      </w:pPr>
      <w:rPr>
        <w:rFonts w:ascii="Symbol" w:hAnsi="Symbol" w:hint="default"/>
      </w:rPr>
    </w:lvl>
    <w:lvl w:ilvl="4" w:tplc="08090003" w:tentative="1">
      <w:start w:val="1"/>
      <w:numFmt w:val="bullet"/>
      <w:lvlText w:val="o"/>
      <w:lvlJc w:val="left"/>
      <w:pPr>
        <w:ind w:left="4146" w:hanging="360"/>
      </w:pPr>
      <w:rPr>
        <w:rFonts w:ascii="Courier New" w:hAnsi="Courier New" w:cs="Courier New" w:hint="default"/>
      </w:rPr>
    </w:lvl>
    <w:lvl w:ilvl="5" w:tplc="08090005" w:tentative="1">
      <w:start w:val="1"/>
      <w:numFmt w:val="bullet"/>
      <w:lvlText w:val=""/>
      <w:lvlJc w:val="left"/>
      <w:pPr>
        <w:ind w:left="4866" w:hanging="360"/>
      </w:pPr>
      <w:rPr>
        <w:rFonts w:ascii="Wingdings" w:hAnsi="Wingdings" w:hint="default"/>
      </w:rPr>
    </w:lvl>
    <w:lvl w:ilvl="6" w:tplc="08090001" w:tentative="1">
      <w:start w:val="1"/>
      <w:numFmt w:val="bullet"/>
      <w:lvlText w:val=""/>
      <w:lvlJc w:val="left"/>
      <w:pPr>
        <w:ind w:left="5586" w:hanging="360"/>
      </w:pPr>
      <w:rPr>
        <w:rFonts w:ascii="Symbol" w:hAnsi="Symbol" w:hint="default"/>
      </w:rPr>
    </w:lvl>
    <w:lvl w:ilvl="7" w:tplc="08090003" w:tentative="1">
      <w:start w:val="1"/>
      <w:numFmt w:val="bullet"/>
      <w:lvlText w:val="o"/>
      <w:lvlJc w:val="left"/>
      <w:pPr>
        <w:ind w:left="6306" w:hanging="360"/>
      </w:pPr>
      <w:rPr>
        <w:rFonts w:ascii="Courier New" w:hAnsi="Courier New" w:cs="Courier New" w:hint="default"/>
      </w:rPr>
    </w:lvl>
    <w:lvl w:ilvl="8" w:tplc="08090005" w:tentative="1">
      <w:start w:val="1"/>
      <w:numFmt w:val="bullet"/>
      <w:lvlText w:val=""/>
      <w:lvlJc w:val="left"/>
      <w:pPr>
        <w:ind w:left="7026" w:hanging="360"/>
      </w:pPr>
      <w:rPr>
        <w:rFonts w:ascii="Wingdings" w:hAnsi="Wingdings" w:hint="default"/>
      </w:rPr>
    </w:lvl>
  </w:abstractNum>
  <w:abstractNum w:abstractNumId="37" w15:restartNumberingAfterBreak="0">
    <w:nsid w:val="7E695147"/>
    <w:multiLevelType w:val="hybridMultilevel"/>
    <w:tmpl w:val="9856B7FA"/>
    <w:lvl w:ilvl="0" w:tplc="A9C8DA08">
      <w:start w:val="1"/>
      <w:numFmt w:val="decimal"/>
      <w:lvlText w:val="%1."/>
      <w:lvlJc w:val="left"/>
      <w:pPr>
        <w:ind w:left="472" w:hanging="195"/>
      </w:pPr>
      <w:rPr>
        <w:rFonts w:ascii="Open Sans" w:eastAsia="Open Sans" w:hAnsi="Open Sans" w:cs="Open Sans" w:hint="default"/>
        <w:b w:val="0"/>
        <w:bCs w:val="0"/>
        <w:i w:val="0"/>
        <w:iCs w:val="0"/>
        <w:spacing w:val="-1"/>
        <w:w w:val="100"/>
        <w:sz w:val="21"/>
        <w:szCs w:val="21"/>
        <w:lang w:val="en-US" w:eastAsia="en-US" w:bidi="ar-SA"/>
      </w:rPr>
    </w:lvl>
    <w:lvl w:ilvl="1" w:tplc="FDCC1F80">
      <w:numFmt w:val="bullet"/>
      <w:lvlText w:val="•"/>
      <w:lvlJc w:val="left"/>
      <w:pPr>
        <w:ind w:left="1020" w:hanging="195"/>
      </w:pPr>
      <w:rPr>
        <w:rFonts w:hint="default"/>
        <w:lang w:val="en-US" w:eastAsia="en-US" w:bidi="ar-SA"/>
      </w:rPr>
    </w:lvl>
    <w:lvl w:ilvl="2" w:tplc="C7EC2C54">
      <w:numFmt w:val="bullet"/>
      <w:lvlText w:val="•"/>
      <w:lvlJc w:val="left"/>
      <w:pPr>
        <w:ind w:left="1561" w:hanging="195"/>
      </w:pPr>
      <w:rPr>
        <w:rFonts w:hint="default"/>
        <w:lang w:val="en-US" w:eastAsia="en-US" w:bidi="ar-SA"/>
      </w:rPr>
    </w:lvl>
    <w:lvl w:ilvl="3" w:tplc="0FBAD4AA">
      <w:numFmt w:val="bullet"/>
      <w:lvlText w:val="•"/>
      <w:lvlJc w:val="left"/>
      <w:pPr>
        <w:ind w:left="2102" w:hanging="195"/>
      </w:pPr>
      <w:rPr>
        <w:rFonts w:hint="default"/>
        <w:lang w:val="en-US" w:eastAsia="en-US" w:bidi="ar-SA"/>
      </w:rPr>
    </w:lvl>
    <w:lvl w:ilvl="4" w:tplc="0B9E1C98">
      <w:numFmt w:val="bullet"/>
      <w:lvlText w:val="•"/>
      <w:lvlJc w:val="left"/>
      <w:pPr>
        <w:ind w:left="2643" w:hanging="195"/>
      </w:pPr>
      <w:rPr>
        <w:rFonts w:hint="default"/>
        <w:lang w:val="en-US" w:eastAsia="en-US" w:bidi="ar-SA"/>
      </w:rPr>
    </w:lvl>
    <w:lvl w:ilvl="5" w:tplc="38B6F22A">
      <w:numFmt w:val="bullet"/>
      <w:lvlText w:val="•"/>
      <w:lvlJc w:val="left"/>
      <w:pPr>
        <w:ind w:left="3184" w:hanging="195"/>
      </w:pPr>
      <w:rPr>
        <w:rFonts w:hint="default"/>
        <w:lang w:val="en-US" w:eastAsia="en-US" w:bidi="ar-SA"/>
      </w:rPr>
    </w:lvl>
    <w:lvl w:ilvl="6" w:tplc="DCC40376">
      <w:numFmt w:val="bullet"/>
      <w:lvlText w:val="•"/>
      <w:lvlJc w:val="left"/>
      <w:pPr>
        <w:ind w:left="3724" w:hanging="195"/>
      </w:pPr>
      <w:rPr>
        <w:rFonts w:hint="default"/>
        <w:lang w:val="en-US" w:eastAsia="en-US" w:bidi="ar-SA"/>
      </w:rPr>
    </w:lvl>
    <w:lvl w:ilvl="7" w:tplc="2CDAFE64">
      <w:numFmt w:val="bullet"/>
      <w:lvlText w:val="•"/>
      <w:lvlJc w:val="left"/>
      <w:pPr>
        <w:ind w:left="4265" w:hanging="195"/>
      </w:pPr>
      <w:rPr>
        <w:rFonts w:hint="default"/>
        <w:lang w:val="en-US" w:eastAsia="en-US" w:bidi="ar-SA"/>
      </w:rPr>
    </w:lvl>
    <w:lvl w:ilvl="8" w:tplc="03B8FCF4">
      <w:numFmt w:val="bullet"/>
      <w:lvlText w:val="•"/>
      <w:lvlJc w:val="left"/>
      <w:pPr>
        <w:ind w:left="4806" w:hanging="195"/>
      </w:pPr>
      <w:rPr>
        <w:rFonts w:hint="default"/>
        <w:lang w:val="en-US" w:eastAsia="en-US" w:bidi="ar-SA"/>
      </w:rPr>
    </w:lvl>
  </w:abstractNum>
  <w:num w:numId="1" w16cid:durableId="1900437213">
    <w:abstractNumId w:val="36"/>
  </w:num>
  <w:num w:numId="2" w16cid:durableId="1204095909">
    <w:abstractNumId w:val="8"/>
  </w:num>
  <w:num w:numId="3" w16cid:durableId="864246623">
    <w:abstractNumId w:val="33"/>
  </w:num>
  <w:num w:numId="4" w16cid:durableId="1205019129">
    <w:abstractNumId w:val="7"/>
  </w:num>
  <w:num w:numId="5" w16cid:durableId="435709286">
    <w:abstractNumId w:val="21"/>
  </w:num>
  <w:num w:numId="6" w16cid:durableId="465128544">
    <w:abstractNumId w:val="9"/>
  </w:num>
  <w:num w:numId="7" w16cid:durableId="1562137973">
    <w:abstractNumId w:val="29"/>
  </w:num>
  <w:num w:numId="8" w16cid:durableId="884877196">
    <w:abstractNumId w:val="28"/>
  </w:num>
  <w:num w:numId="9" w16cid:durableId="1954440865">
    <w:abstractNumId w:val="24"/>
  </w:num>
  <w:num w:numId="10" w16cid:durableId="1347175207">
    <w:abstractNumId w:val="25"/>
  </w:num>
  <w:num w:numId="11" w16cid:durableId="384833523">
    <w:abstractNumId w:val="19"/>
  </w:num>
  <w:num w:numId="12" w16cid:durableId="1949434137">
    <w:abstractNumId w:val="26"/>
  </w:num>
  <w:num w:numId="13" w16cid:durableId="2033067245">
    <w:abstractNumId w:val="16"/>
  </w:num>
  <w:num w:numId="14" w16cid:durableId="2013752934">
    <w:abstractNumId w:val="32"/>
  </w:num>
  <w:num w:numId="15" w16cid:durableId="1284581228">
    <w:abstractNumId w:val="1"/>
  </w:num>
  <w:num w:numId="16" w16cid:durableId="488595570">
    <w:abstractNumId w:val="4"/>
  </w:num>
  <w:num w:numId="17" w16cid:durableId="805272576">
    <w:abstractNumId w:val="23"/>
  </w:num>
  <w:num w:numId="18" w16cid:durableId="1406761263">
    <w:abstractNumId w:val="37"/>
  </w:num>
  <w:num w:numId="19" w16cid:durableId="1474518157">
    <w:abstractNumId w:val="27"/>
  </w:num>
  <w:num w:numId="20" w16cid:durableId="306403184">
    <w:abstractNumId w:val="5"/>
  </w:num>
  <w:num w:numId="21" w16cid:durableId="1195117873">
    <w:abstractNumId w:val="11"/>
  </w:num>
  <w:num w:numId="22" w16cid:durableId="1357658573">
    <w:abstractNumId w:val="15"/>
  </w:num>
  <w:num w:numId="23" w16cid:durableId="485586406">
    <w:abstractNumId w:val="22"/>
  </w:num>
  <w:num w:numId="24" w16cid:durableId="1329557782">
    <w:abstractNumId w:val="34"/>
  </w:num>
  <w:num w:numId="25" w16cid:durableId="944384411">
    <w:abstractNumId w:val="30"/>
  </w:num>
  <w:num w:numId="26" w16cid:durableId="1257908527">
    <w:abstractNumId w:val="12"/>
  </w:num>
  <w:num w:numId="27" w16cid:durableId="486021477">
    <w:abstractNumId w:val="18"/>
  </w:num>
  <w:num w:numId="28" w16cid:durableId="542257449">
    <w:abstractNumId w:val="14"/>
  </w:num>
  <w:num w:numId="29" w16cid:durableId="1217397884">
    <w:abstractNumId w:val="10"/>
  </w:num>
  <w:num w:numId="30" w16cid:durableId="433940595">
    <w:abstractNumId w:val="13"/>
  </w:num>
  <w:num w:numId="31" w16cid:durableId="493301143">
    <w:abstractNumId w:val="0"/>
  </w:num>
  <w:num w:numId="32" w16cid:durableId="1448768043">
    <w:abstractNumId w:val="17"/>
  </w:num>
  <w:num w:numId="33" w16cid:durableId="756941781">
    <w:abstractNumId w:val="2"/>
  </w:num>
  <w:num w:numId="34" w16cid:durableId="1011834227">
    <w:abstractNumId w:val="20"/>
  </w:num>
  <w:num w:numId="35" w16cid:durableId="107362429">
    <w:abstractNumId w:val="31"/>
  </w:num>
  <w:num w:numId="36" w16cid:durableId="223761134">
    <w:abstractNumId w:val="6"/>
  </w:num>
  <w:num w:numId="37" w16cid:durableId="826701831">
    <w:abstractNumId w:val="3"/>
  </w:num>
  <w:num w:numId="38" w16cid:durableId="5856982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removePersonalInformation/>
  <w:bordersDoNotSurroundHeader/>
  <w:bordersDoNotSurroundFooter/>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43"/>
    <w:rsid w:val="0000419A"/>
    <w:rsid w:val="00006825"/>
    <w:rsid w:val="00006D49"/>
    <w:rsid w:val="00007CA3"/>
    <w:rsid w:val="00016FA1"/>
    <w:rsid w:val="00021B80"/>
    <w:rsid w:val="00035A8C"/>
    <w:rsid w:val="00037FB6"/>
    <w:rsid w:val="00040F84"/>
    <w:rsid w:val="00042648"/>
    <w:rsid w:val="00053BAE"/>
    <w:rsid w:val="00065241"/>
    <w:rsid w:val="00067AC1"/>
    <w:rsid w:val="000709F8"/>
    <w:rsid w:val="00087F5C"/>
    <w:rsid w:val="000D0099"/>
    <w:rsid w:val="000D28A7"/>
    <w:rsid w:val="000D542E"/>
    <w:rsid w:val="000D6851"/>
    <w:rsid w:val="000E5DAE"/>
    <w:rsid w:val="000F2117"/>
    <w:rsid w:val="00101C2C"/>
    <w:rsid w:val="00147567"/>
    <w:rsid w:val="00153310"/>
    <w:rsid w:val="00163E84"/>
    <w:rsid w:val="0018087F"/>
    <w:rsid w:val="00187246"/>
    <w:rsid w:val="00196A95"/>
    <w:rsid w:val="00196E45"/>
    <w:rsid w:val="001A3D00"/>
    <w:rsid w:val="001B1D22"/>
    <w:rsid w:val="001B5DAC"/>
    <w:rsid w:val="001F55F1"/>
    <w:rsid w:val="001F66F6"/>
    <w:rsid w:val="00200198"/>
    <w:rsid w:val="002555F7"/>
    <w:rsid w:val="00282B41"/>
    <w:rsid w:val="00283288"/>
    <w:rsid w:val="002A2C3A"/>
    <w:rsid w:val="002A2CEF"/>
    <w:rsid w:val="002C0FC7"/>
    <w:rsid w:val="002C3696"/>
    <w:rsid w:val="002E6DA4"/>
    <w:rsid w:val="002E6ECD"/>
    <w:rsid w:val="003051F3"/>
    <w:rsid w:val="0031690D"/>
    <w:rsid w:val="003355C9"/>
    <w:rsid w:val="00342AA4"/>
    <w:rsid w:val="00344953"/>
    <w:rsid w:val="003A69B0"/>
    <w:rsid w:val="003B723A"/>
    <w:rsid w:val="00405E31"/>
    <w:rsid w:val="00412E43"/>
    <w:rsid w:val="00441913"/>
    <w:rsid w:val="00451600"/>
    <w:rsid w:val="0045311B"/>
    <w:rsid w:val="00464851"/>
    <w:rsid w:val="00464E19"/>
    <w:rsid w:val="004751A6"/>
    <w:rsid w:val="004A6489"/>
    <w:rsid w:val="004B2903"/>
    <w:rsid w:val="004C10ED"/>
    <w:rsid w:val="004C2A86"/>
    <w:rsid w:val="004C67EF"/>
    <w:rsid w:val="004D4EEA"/>
    <w:rsid w:val="004D5C23"/>
    <w:rsid w:val="004E0713"/>
    <w:rsid w:val="004E6684"/>
    <w:rsid w:val="004F32CF"/>
    <w:rsid w:val="0050116C"/>
    <w:rsid w:val="00511487"/>
    <w:rsid w:val="0052047F"/>
    <w:rsid w:val="00537A7F"/>
    <w:rsid w:val="00572E93"/>
    <w:rsid w:val="005739A4"/>
    <w:rsid w:val="00574357"/>
    <w:rsid w:val="00574A23"/>
    <w:rsid w:val="0058514B"/>
    <w:rsid w:val="00595B0E"/>
    <w:rsid w:val="00597E79"/>
    <w:rsid w:val="005A0454"/>
    <w:rsid w:val="005A09D1"/>
    <w:rsid w:val="005B339B"/>
    <w:rsid w:val="005B5EDB"/>
    <w:rsid w:val="005B6A4E"/>
    <w:rsid w:val="005C1C0D"/>
    <w:rsid w:val="005C4D2E"/>
    <w:rsid w:val="005D59E4"/>
    <w:rsid w:val="005D7AD1"/>
    <w:rsid w:val="005F4125"/>
    <w:rsid w:val="00614345"/>
    <w:rsid w:val="00642F0F"/>
    <w:rsid w:val="00644096"/>
    <w:rsid w:val="0065082A"/>
    <w:rsid w:val="00674F32"/>
    <w:rsid w:val="00674F9B"/>
    <w:rsid w:val="00680256"/>
    <w:rsid w:val="00680E2A"/>
    <w:rsid w:val="006852E0"/>
    <w:rsid w:val="0069030E"/>
    <w:rsid w:val="006951D1"/>
    <w:rsid w:val="006A7691"/>
    <w:rsid w:val="006B2193"/>
    <w:rsid w:val="006B57AB"/>
    <w:rsid w:val="006B6F9D"/>
    <w:rsid w:val="006C09F4"/>
    <w:rsid w:val="006D0757"/>
    <w:rsid w:val="006E1CA8"/>
    <w:rsid w:val="00707CFB"/>
    <w:rsid w:val="00717473"/>
    <w:rsid w:val="00730183"/>
    <w:rsid w:val="007316EE"/>
    <w:rsid w:val="007375A6"/>
    <w:rsid w:val="00754685"/>
    <w:rsid w:val="00761D74"/>
    <w:rsid w:val="007A1781"/>
    <w:rsid w:val="007B1246"/>
    <w:rsid w:val="007B3760"/>
    <w:rsid w:val="007B576A"/>
    <w:rsid w:val="007C1F77"/>
    <w:rsid w:val="007C46D5"/>
    <w:rsid w:val="007C7A67"/>
    <w:rsid w:val="007E1F68"/>
    <w:rsid w:val="007E4D0B"/>
    <w:rsid w:val="007F2F85"/>
    <w:rsid w:val="008033D1"/>
    <w:rsid w:val="0080601C"/>
    <w:rsid w:val="00806CE0"/>
    <w:rsid w:val="00815C2A"/>
    <w:rsid w:val="00835F28"/>
    <w:rsid w:val="0084389C"/>
    <w:rsid w:val="00853027"/>
    <w:rsid w:val="00892831"/>
    <w:rsid w:val="00897153"/>
    <w:rsid w:val="008B3F88"/>
    <w:rsid w:val="008D12E6"/>
    <w:rsid w:val="008D6360"/>
    <w:rsid w:val="008E55A8"/>
    <w:rsid w:val="00906B3E"/>
    <w:rsid w:val="009126B1"/>
    <w:rsid w:val="00913FEA"/>
    <w:rsid w:val="00917166"/>
    <w:rsid w:val="00917F51"/>
    <w:rsid w:val="00923B9D"/>
    <w:rsid w:val="00946DA1"/>
    <w:rsid w:val="0094767D"/>
    <w:rsid w:val="00984834"/>
    <w:rsid w:val="00990F42"/>
    <w:rsid w:val="009A0946"/>
    <w:rsid w:val="009B0D2E"/>
    <w:rsid w:val="009C2DEE"/>
    <w:rsid w:val="009C414C"/>
    <w:rsid w:val="009E7BB6"/>
    <w:rsid w:val="00A01C00"/>
    <w:rsid w:val="00A01DBD"/>
    <w:rsid w:val="00A1411C"/>
    <w:rsid w:val="00A21EC6"/>
    <w:rsid w:val="00A41E3D"/>
    <w:rsid w:val="00A51756"/>
    <w:rsid w:val="00A7134C"/>
    <w:rsid w:val="00A80CF3"/>
    <w:rsid w:val="00A81888"/>
    <w:rsid w:val="00A87721"/>
    <w:rsid w:val="00A879CB"/>
    <w:rsid w:val="00A92872"/>
    <w:rsid w:val="00A95E8C"/>
    <w:rsid w:val="00AA2FD4"/>
    <w:rsid w:val="00AA7C5D"/>
    <w:rsid w:val="00AB13D4"/>
    <w:rsid w:val="00AB7853"/>
    <w:rsid w:val="00AE25CE"/>
    <w:rsid w:val="00AF4018"/>
    <w:rsid w:val="00B10EB3"/>
    <w:rsid w:val="00B5292D"/>
    <w:rsid w:val="00B57B14"/>
    <w:rsid w:val="00B63B1D"/>
    <w:rsid w:val="00B6711B"/>
    <w:rsid w:val="00B76FC6"/>
    <w:rsid w:val="00B9516C"/>
    <w:rsid w:val="00BA0DBF"/>
    <w:rsid w:val="00BA1147"/>
    <w:rsid w:val="00BB131A"/>
    <w:rsid w:val="00BC1784"/>
    <w:rsid w:val="00BF0478"/>
    <w:rsid w:val="00BF0A54"/>
    <w:rsid w:val="00C17084"/>
    <w:rsid w:val="00C25E43"/>
    <w:rsid w:val="00C35F59"/>
    <w:rsid w:val="00C503BC"/>
    <w:rsid w:val="00C566F1"/>
    <w:rsid w:val="00C76CEF"/>
    <w:rsid w:val="00C82400"/>
    <w:rsid w:val="00C911A5"/>
    <w:rsid w:val="00C9241F"/>
    <w:rsid w:val="00C92E81"/>
    <w:rsid w:val="00CA21F8"/>
    <w:rsid w:val="00CC1512"/>
    <w:rsid w:val="00CE2ADF"/>
    <w:rsid w:val="00CE3844"/>
    <w:rsid w:val="00CF26BF"/>
    <w:rsid w:val="00D04272"/>
    <w:rsid w:val="00D04AE2"/>
    <w:rsid w:val="00D04EFA"/>
    <w:rsid w:val="00D2160C"/>
    <w:rsid w:val="00D25D4C"/>
    <w:rsid w:val="00D43B15"/>
    <w:rsid w:val="00D508E3"/>
    <w:rsid w:val="00D94821"/>
    <w:rsid w:val="00DA4C01"/>
    <w:rsid w:val="00DB20B4"/>
    <w:rsid w:val="00DB66BA"/>
    <w:rsid w:val="00DE552E"/>
    <w:rsid w:val="00DE5A29"/>
    <w:rsid w:val="00DE72CE"/>
    <w:rsid w:val="00DF1C28"/>
    <w:rsid w:val="00E07A04"/>
    <w:rsid w:val="00E12465"/>
    <w:rsid w:val="00E127B3"/>
    <w:rsid w:val="00E1336B"/>
    <w:rsid w:val="00E320A5"/>
    <w:rsid w:val="00E3538F"/>
    <w:rsid w:val="00E77E29"/>
    <w:rsid w:val="00E819F5"/>
    <w:rsid w:val="00E94F6D"/>
    <w:rsid w:val="00EA5AA8"/>
    <w:rsid w:val="00EA74AA"/>
    <w:rsid w:val="00ED5870"/>
    <w:rsid w:val="00ED6D74"/>
    <w:rsid w:val="00EF285E"/>
    <w:rsid w:val="00EF54DA"/>
    <w:rsid w:val="00F036AB"/>
    <w:rsid w:val="00F10C0B"/>
    <w:rsid w:val="00F41CD3"/>
    <w:rsid w:val="00F52AD9"/>
    <w:rsid w:val="00F82D64"/>
    <w:rsid w:val="00F87E3A"/>
    <w:rsid w:val="00F92CB5"/>
    <w:rsid w:val="00F946FE"/>
    <w:rsid w:val="00F95E4F"/>
    <w:rsid w:val="00FF65B2"/>
    <w:rsid w:val="00FF75D5"/>
  </w:rsids>
  <m:mathPr>
    <m:mathFont m:val="Cambria Math"/>
    <m:brkBin m:val="before"/>
    <m:brkBinSub m:val="--"/>
    <m:smallFrac/>
    <m:dispDef/>
    <m:lMargin m:val="0"/>
    <m:rMargin m:val="0"/>
    <m:defJc m:val="centerGroup"/>
    <m:wrapIndent m:val="0"/>
    <m:intLim m:val="subSup"/>
    <m:naryLim m:val="undOvr"/>
  </m:mathPr>
  <w:themeFontLang w:val="en-NZ"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1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EastAsia" w:hAnsi="Garamond" w:cstheme="minorBidi"/>
        <w:color w:val="C00000"/>
        <w:kern w:val="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F5C"/>
    <w:pPr>
      <w:spacing w:after="0" w:line="240" w:lineRule="auto"/>
      <w:jc w:val="left"/>
    </w:pPr>
    <w:rPr>
      <w:rFonts w:ascii="Times New Roman" w:eastAsia="Times New Roman" w:hAnsi="Times New Roman" w:cs="Times New Roman"/>
      <w:color w:val="auto"/>
      <w:kern w:val="0"/>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character" w:customStyle="1" w:styleId="apple-converted-space">
    <w:name w:val="apple-converted-space"/>
    <w:basedOn w:val="DefaultParagraphFont"/>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pPr>
    <w:rPr>
      <w:lang w:eastAsia="en-US"/>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pPr>
      <w:spacing w:after="200"/>
    </w:pPr>
    <w:rPr>
      <w:b/>
      <w:bCs/>
      <w:color w:val="5B9BD5"/>
      <w:sz w:val="18"/>
      <w:szCs w:val="18"/>
    </w:rPr>
  </w:style>
  <w:style w:type="paragraph" w:styleId="PlainText">
    <w:name w:val="Plain Text"/>
    <w:basedOn w:val="Normal"/>
    <w:link w:val="PlainTextChar"/>
    <w:uiPriority w:val="99"/>
    <w:unhideWhenUsed/>
    <w:rPr>
      <w:rFonts w:ascii="Consolas" w:eastAsia="Batang" w:hAnsi="Consolas"/>
      <w:sz w:val="21"/>
      <w:szCs w:val="21"/>
      <w:lang w:eastAsia="en-US"/>
    </w:rPr>
  </w:style>
  <w:style w:type="character" w:customStyle="1" w:styleId="PlainTextChar">
    <w:name w:val="Plain Text Char"/>
    <w:basedOn w:val="DefaultParagraphFont"/>
    <w:link w:val="PlainText"/>
    <w:uiPriority w:val="99"/>
    <w:rPr>
      <w:rFonts w:ascii="Consolas" w:eastAsia="Batang" w:hAnsi="Consolas"/>
      <w:color w:val="auto"/>
      <w:kern w:val="0"/>
      <w:sz w:val="21"/>
      <w:szCs w:val="21"/>
      <w:lang w:eastAsia="en-US"/>
    </w:rPr>
  </w:style>
  <w:style w:type="paragraph" w:styleId="BalloonText">
    <w:name w:val="Balloon Text"/>
    <w:basedOn w:val="Normal"/>
    <w:link w:val="BalloonTextChar"/>
    <w:uiPriority w:val="99"/>
    <w:semiHidden/>
    <w:unhideWhenUse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Pr>
      <w:rFonts w:asciiTheme="majorHAnsi" w:eastAsiaTheme="majorEastAsia" w:hAnsiTheme="majorHAnsi" w:cstheme="majorBidi"/>
      <w:sz w:val="18"/>
      <w:szCs w:val="18"/>
    </w:rPr>
  </w:style>
  <w:style w:type="paragraph" w:customStyle="1" w:styleId="AbstractTitle">
    <w:name w:val="AbstractTitle"/>
    <w:basedOn w:val="Normal"/>
    <w:next w:val="Normal"/>
    <w:pPr>
      <w:spacing w:before="120" w:line="240" w:lineRule="exact"/>
      <w:outlineLvl w:val="1"/>
    </w:pPr>
    <w:rPr>
      <w:b/>
      <w:sz w:val="26"/>
      <w:lang w:eastAsia="en-US"/>
    </w:rPr>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acopre">
    <w:name w:val="acopre"/>
    <w:basedOn w:val="DefaultParagraphFont"/>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customStyle="1" w:styleId="1">
    <w:name w:val="확인되지 않은 멘션1"/>
    <w:basedOn w:val="DefaultParagraphFont"/>
    <w:uiPriority w:val="99"/>
    <w:semiHidden/>
    <w:unhideWhenUsed/>
    <w:rPr>
      <w:color w:val="605E5C"/>
      <w:shd w:val="clear" w:color="auto" w:fill="E1DFDD"/>
    </w:rPr>
  </w:style>
  <w:style w:type="character" w:styleId="FollowedHyperlink">
    <w:name w:val="FollowedHyperlink"/>
    <w:basedOn w:val="DefaultParagraphFont"/>
    <w:semiHidden/>
    <w:unhideWhenUsed/>
    <w:rsid w:val="00DB66BA"/>
    <w:rPr>
      <w:color w:val="954F72" w:themeColor="followedHyperlink"/>
      <w:u w:val="single"/>
    </w:rPr>
  </w:style>
  <w:style w:type="paragraph" w:customStyle="1" w:styleId="TableParagraph">
    <w:name w:val="Table Paragraph"/>
    <w:basedOn w:val="Normal"/>
    <w:uiPriority w:val="1"/>
    <w:qFormat/>
    <w:rsid w:val="00C911A5"/>
    <w:rPr>
      <w:rFonts w:ascii="Open Sans" w:eastAsia="Open Sans" w:hAnsi="Open Sans" w:cs="Open Sans"/>
      <w:sz w:val="22"/>
      <w:szCs w:val="22"/>
      <w:lang w:eastAsia="en-US"/>
    </w:rPr>
  </w:style>
  <w:style w:type="paragraph" w:styleId="NoSpacing">
    <w:name w:val="No Spacing"/>
    <w:uiPriority w:val="1"/>
    <w:qFormat/>
    <w:rsid w:val="00C911A5"/>
    <w:pPr>
      <w:spacing w:after="0" w:line="240" w:lineRule="auto"/>
      <w:jc w:val="left"/>
    </w:pPr>
    <w:rPr>
      <w:rFonts w:asciiTheme="minorHAnsi" w:eastAsiaTheme="minorHAnsi" w:hAnsiTheme="minorHAnsi"/>
      <w:color w:val="auto"/>
      <w:kern w:val="0"/>
      <w:sz w:val="24"/>
      <w:szCs w:val="24"/>
      <w:lang w:val="en-GB" w:eastAsia="en-US"/>
    </w:rPr>
  </w:style>
  <w:style w:type="character" w:styleId="UnresolvedMention">
    <w:name w:val="Unresolved Mention"/>
    <w:basedOn w:val="DefaultParagraphFont"/>
    <w:uiPriority w:val="99"/>
    <w:semiHidden/>
    <w:unhideWhenUsed/>
    <w:rsid w:val="00BA1147"/>
    <w:rPr>
      <w:color w:val="605E5C"/>
      <w:shd w:val="clear" w:color="auto" w:fill="E1DFDD"/>
    </w:rPr>
  </w:style>
  <w:style w:type="paragraph" w:styleId="Revision">
    <w:name w:val="Revision"/>
    <w:hidden/>
    <w:semiHidden/>
    <w:rsid w:val="00A81888"/>
    <w:pPr>
      <w:spacing w:after="0" w:line="240" w:lineRule="auto"/>
      <w:jc w:val="left"/>
    </w:pPr>
    <w:rPr>
      <w:rFonts w:ascii="Times New Roman" w:eastAsia="Times New Roman" w:hAnsi="Times New Roman" w:cs="Times New Roman"/>
      <w:color w:val="auto"/>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4214">
      <w:bodyDiv w:val="1"/>
      <w:marLeft w:val="0"/>
      <w:marRight w:val="0"/>
      <w:marTop w:val="0"/>
      <w:marBottom w:val="0"/>
      <w:divBdr>
        <w:top w:val="none" w:sz="0" w:space="0" w:color="auto"/>
        <w:left w:val="none" w:sz="0" w:space="0" w:color="auto"/>
        <w:bottom w:val="none" w:sz="0" w:space="0" w:color="auto"/>
        <w:right w:val="none" w:sz="0" w:space="0" w:color="auto"/>
      </w:divBdr>
      <w:divsChild>
        <w:div w:id="662928466">
          <w:marLeft w:val="0"/>
          <w:marRight w:val="0"/>
          <w:marTop w:val="0"/>
          <w:marBottom w:val="0"/>
          <w:divBdr>
            <w:top w:val="none" w:sz="0" w:space="0" w:color="auto"/>
            <w:left w:val="none" w:sz="0" w:space="0" w:color="auto"/>
            <w:bottom w:val="none" w:sz="0" w:space="0" w:color="auto"/>
            <w:right w:val="none" w:sz="0" w:space="0" w:color="auto"/>
          </w:divBdr>
          <w:divsChild>
            <w:div w:id="298415136">
              <w:marLeft w:val="0"/>
              <w:marRight w:val="0"/>
              <w:marTop w:val="0"/>
              <w:marBottom w:val="0"/>
              <w:divBdr>
                <w:top w:val="none" w:sz="0" w:space="0" w:color="auto"/>
                <w:left w:val="none" w:sz="0" w:space="0" w:color="auto"/>
                <w:bottom w:val="none" w:sz="0" w:space="0" w:color="auto"/>
                <w:right w:val="none" w:sz="0" w:space="0" w:color="auto"/>
              </w:divBdr>
              <w:divsChild>
                <w:div w:id="12100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903">
      <w:bodyDiv w:val="1"/>
      <w:marLeft w:val="0"/>
      <w:marRight w:val="0"/>
      <w:marTop w:val="0"/>
      <w:marBottom w:val="0"/>
      <w:divBdr>
        <w:top w:val="none" w:sz="0" w:space="0" w:color="auto"/>
        <w:left w:val="none" w:sz="0" w:space="0" w:color="auto"/>
        <w:bottom w:val="none" w:sz="0" w:space="0" w:color="auto"/>
        <w:right w:val="none" w:sz="0" w:space="0" w:color="auto"/>
      </w:divBdr>
    </w:div>
    <w:div w:id="93677198">
      <w:bodyDiv w:val="1"/>
      <w:marLeft w:val="0"/>
      <w:marRight w:val="0"/>
      <w:marTop w:val="0"/>
      <w:marBottom w:val="0"/>
      <w:divBdr>
        <w:top w:val="none" w:sz="0" w:space="0" w:color="auto"/>
        <w:left w:val="none" w:sz="0" w:space="0" w:color="auto"/>
        <w:bottom w:val="none" w:sz="0" w:space="0" w:color="auto"/>
        <w:right w:val="none" w:sz="0" w:space="0" w:color="auto"/>
      </w:divBdr>
      <w:divsChild>
        <w:div w:id="1676952047">
          <w:marLeft w:val="0"/>
          <w:marRight w:val="0"/>
          <w:marTop w:val="0"/>
          <w:marBottom w:val="0"/>
          <w:divBdr>
            <w:top w:val="none" w:sz="0" w:space="0" w:color="auto"/>
            <w:left w:val="none" w:sz="0" w:space="0" w:color="auto"/>
            <w:bottom w:val="none" w:sz="0" w:space="0" w:color="auto"/>
            <w:right w:val="none" w:sz="0" w:space="0" w:color="auto"/>
          </w:divBdr>
          <w:divsChild>
            <w:div w:id="1435899201">
              <w:marLeft w:val="0"/>
              <w:marRight w:val="0"/>
              <w:marTop w:val="0"/>
              <w:marBottom w:val="0"/>
              <w:divBdr>
                <w:top w:val="none" w:sz="0" w:space="0" w:color="auto"/>
                <w:left w:val="none" w:sz="0" w:space="0" w:color="auto"/>
                <w:bottom w:val="none" w:sz="0" w:space="0" w:color="auto"/>
                <w:right w:val="none" w:sz="0" w:space="0" w:color="auto"/>
              </w:divBdr>
              <w:divsChild>
                <w:div w:id="51098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0817">
      <w:bodyDiv w:val="1"/>
      <w:marLeft w:val="0"/>
      <w:marRight w:val="0"/>
      <w:marTop w:val="0"/>
      <w:marBottom w:val="0"/>
      <w:divBdr>
        <w:top w:val="none" w:sz="0" w:space="0" w:color="auto"/>
        <w:left w:val="none" w:sz="0" w:space="0" w:color="auto"/>
        <w:bottom w:val="none" w:sz="0" w:space="0" w:color="auto"/>
        <w:right w:val="none" w:sz="0" w:space="0" w:color="auto"/>
      </w:divBdr>
    </w:div>
    <w:div w:id="112142437">
      <w:bodyDiv w:val="1"/>
      <w:marLeft w:val="0"/>
      <w:marRight w:val="0"/>
      <w:marTop w:val="0"/>
      <w:marBottom w:val="0"/>
      <w:divBdr>
        <w:top w:val="none" w:sz="0" w:space="0" w:color="auto"/>
        <w:left w:val="none" w:sz="0" w:space="0" w:color="auto"/>
        <w:bottom w:val="none" w:sz="0" w:space="0" w:color="auto"/>
        <w:right w:val="none" w:sz="0" w:space="0" w:color="auto"/>
      </w:divBdr>
      <w:divsChild>
        <w:div w:id="493572218">
          <w:marLeft w:val="0"/>
          <w:marRight w:val="0"/>
          <w:marTop w:val="0"/>
          <w:marBottom w:val="0"/>
          <w:divBdr>
            <w:top w:val="none" w:sz="0" w:space="0" w:color="auto"/>
            <w:left w:val="none" w:sz="0" w:space="0" w:color="auto"/>
            <w:bottom w:val="none" w:sz="0" w:space="0" w:color="auto"/>
            <w:right w:val="none" w:sz="0" w:space="0" w:color="auto"/>
          </w:divBdr>
          <w:divsChild>
            <w:div w:id="1650549134">
              <w:marLeft w:val="0"/>
              <w:marRight w:val="0"/>
              <w:marTop w:val="0"/>
              <w:marBottom w:val="0"/>
              <w:divBdr>
                <w:top w:val="none" w:sz="0" w:space="0" w:color="auto"/>
                <w:left w:val="none" w:sz="0" w:space="0" w:color="auto"/>
                <w:bottom w:val="none" w:sz="0" w:space="0" w:color="auto"/>
                <w:right w:val="none" w:sz="0" w:space="0" w:color="auto"/>
              </w:divBdr>
              <w:divsChild>
                <w:div w:id="150524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8651">
      <w:bodyDiv w:val="1"/>
      <w:marLeft w:val="0"/>
      <w:marRight w:val="0"/>
      <w:marTop w:val="0"/>
      <w:marBottom w:val="0"/>
      <w:divBdr>
        <w:top w:val="none" w:sz="0" w:space="0" w:color="auto"/>
        <w:left w:val="none" w:sz="0" w:space="0" w:color="auto"/>
        <w:bottom w:val="none" w:sz="0" w:space="0" w:color="auto"/>
        <w:right w:val="none" w:sz="0" w:space="0" w:color="auto"/>
      </w:divBdr>
      <w:divsChild>
        <w:div w:id="976758844">
          <w:marLeft w:val="0"/>
          <w:marRight w:val="0"/>
          <w:marTop w:val="0"/>
          <w:marBottom w:val="0"/>
          <w:divBdr>
            <w:top w:val="none" w:sz="0" w:space="0" w:color="auto"/>
            <w:left w:val="none" w:sz="0" w:space="0" w:color="auto"/>
            <w:bottom w:val="none" w:sz="0" w:space="0" w:color="auto"/>
            <w:right w:val="none" w:sz="0" w:space="0" w:color="auto"/>
          </w:divBdr>
          <w:divsChild>
            <w:div w:id="1613630740">
              <w:marLeft w:val="0"/>
              <w:marRight w:val="0"/>
              <w:marTop w:val="0"/>
              <w:marBottom w:val="0"/>
              <w:divBdr>
                <w:top w:val="none" w:sz="0" w:space="0" w:color="auto"/>
                <w:left w:val="none" w:sz="0" w:space="0" w:color="auto"/>
                <w:bottom w:val="none" w:sz="0" w:space="0" w:color="auto"/>
                <w:right w:val="none" w:sz="0" w:space="0" w:color="auto"/>
              </w:divBdr>
              <w:divsChild>
                <w:div w:id="36032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8766">
      <w:bodyDiv w:val="1"/>
      <w:marLeft w:val="0"/>
      <w:marRight w:val="0"/>
      <w:marTop w:val="0"/>
      <w:marBottom w:val="0"/>
      <w:divBdr>
        <w:top w:val="none" w:sz="0" w:space="0" w:color="auto"/>
        <w:left w:val="none" w:sz="0" w:space="0" w:color="auto"/>
        <w:bottom w:val="none" w:sz="0" w:space="0" w:color="auto"/>
        <w:right w:val="none" w:sz="0" w:space="0" w:color="auto"/>
      </w:divBdr>
      <w:divsChild>
        <w:div w:id="208033912">
          <w:marLeft w:val="0"/>
          <w:marRight w:val="0"/>
          <w:marTop w:val="0"/>
          <w:marBottom w:val="0"/>
          <w:divBdr>
            <w:top w:val="none" w:sz="0" w:space="0" w:color="auto"/>
            <w:left w:val="none" w:sz="0" w:space="0" w:color="auto"/>
            <w:bottom w:val="none" w:sz="0" w:space="0" w:color="auto"/>
            <w:right w:val="none" w:sz="0" w:space="0" w:color="auto"/>
          </w:divBdr>
          <w:divsChild>
            <w:div w:id="191111904">
              <w:marLeft w:val="0"/>
              <w:marRight w:val="0"/>
              <w:marTop w:val="0"/>
              <w:marBottom w:val="0"/>
              <w:divBdr>
                <w:top w:val="none" w:sz="0" w:space="0" w:color="auto"/>
                <w:left w:val="none" w:sz="0" w:space="0" w:color="auto"/>
                <w:bottom w:val="none" w:sz="0" w:space="0" w:color="auto"/>
                <w:right w:val="none" w:sz="0" w:space="0" w:color="auto"/>
              </w:divBdr>
              <w:divsChild>
                <w:div w:id="8607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9687">
      <w:bodyDiv w:val="1"/>
      <w:marLeft w:val="0"/>
      <w:marRight w:val="0"/>
      <w:marTop w:val="0"/>
      <w:marBottom w:val="0"/>
      <w:divBdr>
        <w:top w:val="none" w:sz="0" w:space="0" w:color="auto"/>
        <w:left w:val="none" w:sz="0" w:space="0" w:color="auto"/>
        <w:bottom w:val="none" w:sz="0" w:space="0" w:color="auto"/>
        <w:right w:val="none" w:sz="0" w:space="0" w:color="auto"/>
      </w:divBdr>
      <w:divsChild>
        <w:div w:id="380371354">
          <w:marLeft w:val="0"/>
          <w:marRight w:val="0"/>
          <w:marTop w:val="0"/>
          <w:marBottom w:val="0"/>
          <w:divBdr>
            <w:top w:val="none" w:sz="0" w:space="0" w:color="auto"/>
            <w:left w:val="none" w:sz="0" w:space="0" w:color="auto"/>
            <w:bottom w:val="none" w:sz="0" w:space="0" w:color="auto"/>
            <w:right w:val="none" w:sz="0" w:space="0" w:color="auto"/>
          </w:divBdr>
          <w:divsChild>
            <w:div w:id="411126806">
              <w:marLeft w:val="0"/>
              <w:marRight w:val="0"/>
              <w:marTop w:val="0"/>
              <w:marBottom w:val="0"/>
              <w:divBdr>
                <w:top w:val="none" w:sz="0" w:space="0" w:color="auto"/>
                <w:left w:val="none" w:sz="0" w:space="0" w:color="auto"/>
                <w:bottom w:val="none" w:sz="0" w:space="0" w:color="auto"/>
                <w:right w:val="none" w:sz="0" w:space="0" w:color="auto"/>
              </w:divBdr>
              <w:divsChild>
                <w:div w:id="187180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2240">
      <w:bodyDiv w:val="1"/>
      <w:marLeft w:val="0"/>
      <w:marRight w:val="0"/>
      <w:marTop w:val="0"/>
      <w:marBottom w:val="0"/>
      <w:divBdr>
        <w:top w:val="none" w:sz="0" w:space="0" w:color="auto"/>
        <w:left w:val="none" w:sz="0" w:space="0" w:color="auto"/>
        <w:bottom w:val="none" w:sz="0" w:space="0" w:color="auto"/>
        <w:right w:val="none" w:sz="0" w:space="0" w:color="auto"/>
      </w:divBdr>
      <w:divsChild>
        <w:div w:id="1740470592">
          <w:marLeft w:val="0"/>
          <w:marRight w:val="0"/>
          <w:marTop w:val="0"/>
          <w:marBottom w:val="180"/>
          <w:divBdr>
            <w:top w:val="none" w:sz="0" w:space="0" w:color="auto"/>
            <w:left w:val="none" w:sz="0" w:space="0" w:color="auto"/>
            <w:bottom w:val="none" w:sz="0" w:space="0" w:color="auto"/>
            <w:right w:val="none" w:sz="0" w:space="0" w:color="auto"/>
          </w:divBdr>
        </w:div>
        <w:div w:id="1951474574">
          <w:marLeft w:val="0"/>
          <w:marRight w:val="0"/>
          <w:marTop w:val="0"/>
          <w:marBottom w:val="0"/>
          <w:divBdr>
            <w:top w:val="none" w:sz="0" w:space="0" w:color="auto"/>
            <w:left w:val="none" w:sz="0" w:space="0" w:color="auto"/>
            <w:bottom w:val="none" w:sz="0" w:space="0" w:color="auto"/>
            <w:right w:val="none" w:sz="0" w:space="0" w:color="auto"/>
          </w:divBdr>
        </w:div>
      </w:divsChild>
    </w:div>
    <w:div w:id="232739123">
      <w:bodyDiv w:val="1"/>
      <w:marLeft w:val="0"/>
      <w:marRight w:val="0"/>
      <w:marTop w:val="0"/>
      <w:marBottom w:val="0"/>
      <w:divBdr>
        <w:top w:val="none" w:sz="0" w:space="0" w:color="auto"/>
        <w:left w:val="none" w:sz="0" w:space="0" w:color="auto"/>
        <w:bottom w:val="none" w:sz="0" w:space="0" w:color="auto"/>
        <w:right w:val="none" w:sz="0" w:space="0" w:color="auto"/>
      </w:divBdr>
    </w:div>
    <w:div w:id="233661000">
      <w:bodyDiv w:val="1"/>
      <w:marLeft w:val="0"/>
      <w:marRight w:val="0"/>
      <w:marTop w:val="0"/>
      <w:marBottom w:val="0"/>
      <w:divBdr>
        <w:top w:val="none" w:sz="0" w:space="0" w:color="auto"/>
        <w:left w:val="none" w:sz="0" w:space="0" w:color="auto"/>
        <w:bottom w:val="none" w:sz="0" w:space="0" w:color="auto"/>
        <w:right w:val="none" w:sz="0" w:space="0" w:color="auto"/>
      </w:divBdr>
      <w:divsChild>
        <w:div w:id="1060596844">
          <w:marLeft w:val="0"/>
          <w:marRight w:val="0"/>
          <w:marTop w:val="0"/>
          <w:marBottom w:val="0"/>
          <w:divBdr>
            <w:top w:val="none" w:sz="0" w:space="0" w:color="auto"/>
            <w:left w:val="none" w:sz="0" w:space="0" w:color="auto"/>
            <w:bottom w:val="none" w:sz="0" w:space="0" w:color="auto"/>
            <w:right w:val="none" w:sz="0" w:space="0" w:color="auto"/>
          </w:divBdr>
          <w:divsChild>
            <w:div w:id="550917808">
              <w:marLeft w:val="0"/>
              <w:marRight w:val="0"/>
              <w:marTop w:val="0"/>
              <w:marBottom w:val="0"/>
              <w:divBdr>
                <w:top w:val="none" w:sz="0" w:space="0" w:color="auto"/>
                <w:left w:val="none" w:sz="0" w:space="0" w:color="auto"/>
                <w:bottom w:val="none" w:sz="0" w:space="0" w:color="auto"/>
                <w:right w:val="none" w:sz="0" w:space="0" w:color="auto"/>
              </w:divBdr>
              <w:divsChild>
                <w:div w:id="3686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66047">
      <w:bodyDiv w:val="1"/>
      <w:marLeft w:val="0"/>
      <w:marRight w:val="0"/>
      <w:marTop w:val="0"/>
      <w:marBottom w:val="0"/>
      <w:divBdr>
        <w:top w:val="none" w:sz="0" w:space="0" w:color="auto"/>
        <w:left w:val="none" w:sz="0" w:space="0" w:color="auto"/>
        <w:bottom w:val="none" w:sz="0" w:space="0" w:color="auto"/>
        <w:right w:val="none" w:sz="0" w:space="0" w:color="auto"/>
      </w:divBdr>
      <w:divsChild>
        <w:div w:id="1755780681">
          <w:marLeft w:val="0"/>
          <w:marRight w:val="0"/>
          <w:marTop w:val="0"/>
          <w:marBottom w:val="0"/>
          <w:divBdr>
            <w:top w:val="none" w:sz="0" w:space="0" w:color="auto"/>
            <w:left w:val="none" w:sz="0" w:space="0" w:color="auto"/>
            <w:bottom w:val="none" w:sz="0" w:space="0" w:color="auto"/>
            <w:right w:val="none" w:sz="0" w:space="0" w:color="auto"/>
          </w:divBdr>
          <w:divsChild>
            <w:div w:id="1049063404">
              <w:marLeft w:val="0"/>
              <w:marRight w:val="0"/>
              <w:marTop w:val="0"/>
              <w:marBottom w:val="0"/>
              <w:divBdr>
                <w:top w:val="none" w:sz="0" w:space="0" w:color="auto"/>
                <w:left w:val="none" w:sz="0" w:space="0" w:color="auto"/>
                <w:bottom w:val="none" w:sz="0" w:space="0" w:color="auto"/>
                <w:right w:val="none" w:sz="0" w:space="0" w:color="auto"/>
              </w:divBdr>
              <w:divsChild>
                <w:div w:id="17760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01972">
      <w:bodyDiv w:val="1"/>
      <w:marLeft w:val="0"/>
      <w:marRight w:val="0"/>
      <w:marTop w:val="0"/>
      <w:marBottom w:val="0"/>
      <w:divBdr>
        <w:top w:val="none" w:sz="0" w:space="0" w:color="auto"/>
        <w:left w:val="none" w:sz="0" w:space="0" w:color="auto"/>
        <w:bottom w:val="none" w:sz="0" w:space="0" w:color="auto"/>
        <w:right w:val="none" w:sz="0" w:space="0" w:color="auto"/>
      </w:divBdr>
      <w:divsChild>
        <w:div w:id="378552582">
          <w:marLeft w:val="0"/>
          <w:marRight w:val="0"/>
          <w:marTop w:val="0"/>
          <w:marBottom w:val="0"/>
          <w:divBdr>
            <w:top w:val="none" w:sz="0" w:space="0" w:color="auto"/>
            <w:left w:val="none" w:sz="0" w:space="0" w:color="auto"/>
            <w:bottom w:val="none" w:sz="0" w:space="0" w:color="auto"/>
            <w:right w:val="none" w:sz="0" w:space="0" w:color="auto"/>
          </w:divBdr>
          <w:divsChild>
            <w:div w:id="1998025089">
              <w:marLeft w:val="0"/>
              <w:marRight w:val="0"/>
              <w:marTop w:val="0"/>
              <w:marBottom w:val="0"/>
              <w:divBdr>
                <w:top w:val="none" w:sz="0" w:space="0" w:color="auto"/>
                <w:left w:val="none" w:sz="0" w:space="0" w:color="auto"/>
                <w:bottom w:val="none" w:sz="0" w:space="0" w:color="auto"/>
                <w:right w:val="none" w:sz="0" w:space="0" w:color="auto"/>
              </w:divBdr>
              <w:divsChild>
                <w:div w:id="12373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91073">
      <w:bodyDiv w:val="1"/>
      <w:marLeft w:val="0"/>
      <w:marRight w:val="0"/>
      <w:marTop w:val="0"/>
      <w:marBottom w:val="0"/>
      <w:divBdr>
        <w:top w:val="none" w:sz="0" w:space="0" w:color="auto"/>
        <w:left w:val="none" w:sz="0" w:space="0" w:color="auto"/>
        <w:bottom w:val="none" w:sz="0" w:space="0" w:color="auto"/>
        <w:right w:val="none" w:sz="0" w:space="0" w:color="auto"/>
      </w:divBdr>
      <w:divsChild>
        <w:div w:id="1270702374">
          <w:marLeft w:val="0"/>
          <w:marRight w:val="0"/>
          <w:marTop w:val="0"/>
          <w:marBottom w:val="0"/>
          <w:divBdr>
            <w:top w:val="none" w:sz="0" w:space="0" w:color="auto"/>
            <w:left w:val="none" w:sz="0" w:space="0" w:color="auto"/>
            <w:bottom w:val="none" w:sz="0" w:space="0" w:color="auto"/>
            <w:right w:val="none" w:sz="0" w:space="0" w:color="auto"/>
          </w:divBdr>
          <w:divsChild>
            <w:div w:id="1911572327">
              <w:marLeft w:val="0"/>
              <w:marRight w:val="0"/>
              <w:marTop w:val="0"/>
              <w:marBottom w:val="0"/>
              <w:divBdr>
                <w:top w:val="none" w:sz="0" w:space="0" w:color="auto"/>
                <w:left w:val="none" w:sz="0" w:space="0" w:color="auto"/>
                <w:bottom w:val="none" w:sz="0" w:space="0" w:color="auto"/>
                <w:right w:val="none" w:sz="0" w:space="0" w:color="auto"/>
              </w:divBdr>
              <w:divsChild>
                <w:div w:id="61421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4041">
      <w:bodyDiv w:val="1"/>
      <w:marLeft w:val="0"/>
      <w:marRight w:val="0"/>
      <w:marTop w:val="0"/>
      <w:marBottom w:val="0"/>
      <w:divBdr>
        <w:top w:val="none" w:sz="0" w:space="0" w:color="auto"/>
        <w:left w:val="none" w:sz="0" w:space="0" w:color="auto"/>
        <w:bottom w:val="none" w:sz="0" w:space="0" w:color="auto"/>
        <w:right w:val="none" w:sz="0" w:space="0" w:color="auto"/>
      </w:divBdr>
      <w:divsChild>
        <w:div w:id="1459494498">
          <w:marLeft w:val="0"/>
          <w:marRight w:val="0"/>
          <w:marTop w:val="0"/>
          <w:marBottom w:val="0"/>
          <w:divBdr>
            <w:top w:val="none" w:sz="0" w:space="0" w:color="auto"/>
            <w:left w:val="none" w:sz="0" w:space="0" w:color="auto"/>
            <w:bottom w:val="none" w:sz="0" w:space="0" w:color="auto"/>
            <w:right w:val="none" w:sz="0" w:space="0" w:color="auto"/>
          </w:divBdr>
          <w:divsChild>
            <w:div w:id="783962050">
              <w:marLeft w:val="0"/>
              <w:marRight w:val="0"/>
              <w:marTop w:val="0"/>
              <w:marBottom w:val="0"/>
              <w:divBdr>
                <w:top w:val="none" w:sz="0" w:space="0" w:color="auto"/>
                <w:left w:val="none" w:sz="0" w:space="0" w:color="auto"/>
                <w:bottom w:val="none" w:sz="0" w:space="0" w:color="auto"/>
                <w:right w:val="none" w:sz="0" w:space="0" w:color="auto"/>
              </w:divBdr>
              <w:divsChild>
                <w:div w:id="1540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63635">
      <w:bodyDiv w:val="1"/>
      <w:marLeft w:val="0"/>
      <w:marRight w:val="0"/>
      <w:marTop w:val="0"/>
      <w:marBottom w:val="0"/>
      <w:divBdr>
        <w:top w:val="none" w:sz="0" w:space="0" w:color="auto"/>
        <w:left w:val="none" w:sz="0" w:space="0" w:color="auto"/>
        <w:bottom w:val="none" w:sz="0" w:space="0" w:color="auto"/>
        <w:right w:val="none" w:sz="0" w:space="0" w:color="auto"/>
      </w:divBdr>
      <w:divsChild>
        <w:div w:id="14159743">
          <w:marLeft w:val="0"/>
          <w:marRight w:val="0"/>
          <w:marTop w:val="0"/>
          <w:marBottom w:val="0"/>
          <w:divBdr>
            <w:top w:val="none" w:sz="0" w:space="0" w:color="auto"/>
            <w:left w:val="none" w:sz="0" w:space="0" w:color="auto"/>
            <w:bottom w:val="none" w:sz="0" w:space="0" w:color="auto"/>
            <w:right w:val="none" w:sz="0" w:space="0" w:color="auto"/>
          </w:divBdr>
          <w:divsChild>
            <w:div w:id="617688697">
              <w:marLeft w:val="0"/>
              <w:marRight w:val="0"/>
              <w:marTop w:val="0"/>
              <w:marBottom w:val="0"/>
              <w:divBdr>
                <w:top w:val="none" w:sz="0" w:space="0" w:color="auto"/>
                <w:left w:val="none" w:sz="0" w:space="0" w:color="auto"/>
                <w:bottom w:val="none" w:sz="0" w:space="0" w:color="auto"/>
                <w:right w:val="none" w:sz="0" w:space="0" w:color="auto"/>
              </w:divBdr>
              <w:divsChild>
                <w:div w:id="1541504557">
                  <w:marLeft w:val="0"/>
                  <w:marRight w:val="0"/>
                  <w:marTop w:val="0"/>
                  <w:marBottom w:val="0"/>
                  <w:divBdr>
                    <w:top w:val="none" w:sz="0" w:space="0" w:color="auto"/>
                    <w:left w:val="none" w:sz="0" w:space="0" w:color="auto"/>
                    <w:bottom w:val="none" w:sz="0" w:space="0" w:color="auto"/>
                    <w:right w:val="none" w:sz="0" w:space="0" w:color="auto"/>
                  </w:divBdr>
                  <w:divsChild>
                    <w:div w:id="5996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8799">
      <w:bodyDiv w:val="1"/>
      <w:marLeft w:val="0"/>
      <w:marRight w:val="0"/>
      <w:marTop w:val="0"/>
      <w:marBottom w:val="0"/>
      <w:divBdr>
        <w:top w:val="none" w:sz="0" w:space="0" w:color="auto"/>
        <w:left w:val="none" w:sz="0" w:space="0" w:color="auto"/>
        <w:bottom w:val="none" w:sz="0" w:space="0" w:color="auto"/>
        <w:right w:val="none" w:sz="0" w:space="0" w:color="auto"/>
      </w:divBdr>
      <w:divsChild>
        <w:div w:id="926890919">
          <w:marLeft w:val="0"/>
          <w:marRight w:val="0"/>
          <w:marTop w:val="0"/>
          <w:marBottom w:val="0"/>
          <w:divBdr>
            <w:top w:val="none" w:sz="0" w:space="0" w:color="auto"/>
            <w:left w:val="none" w:sz="0" w:space="0" w:color="auto"/>
            <w:bottom w:val="none" w:sz="0" w:space="0" w:color="auto"/>
            <w:right w:val="none" w:sz="0" w:space="0" w:color="auto"/>
          </w:divBdr>
          <w:divsChild>
            <w:div w:id="202405958">
              <w:marLeft w:val="0"/>
              <w:marRight w:val="0"/>
              <w:marTop w:val="0"/>
              <w:marBottom w:val="0"/>
              <w:divBdr>
                <w:top w:val="none" w:sz="0" w:space="0" w:color="auto"/>
                <w:left w:val="none" w:sz="0" w:space="0" w:color="auto"/>
                <w:bottom w:val="none" w:sz="0" w:space="0" w:color="auto"/>
                <w:right w:val="none" w:sz="0" w:space="0" w:color="auto"/>
              </w:divBdr>
              <w:divsChild>
                <w:div w:id="20454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0420">
      <w:bodyDiv w:val="1"/>
      <w:marLeft w:val="0"/>
      <w:marRight w:val="0"/>
      <w:marTop w:val="0"/>
      <w:marBottom w:val="0"/>
      <w:divBdr>
        <w:top w:val="none" w:sz="0" w:space="0" w:color="auto"/>
        <w:left w:val="none" w:sz="0" w:space="0" w:color="auto"/>
        <w:bottom w:val="none" w:sz="0" w:space="0" w:color="auto"/>
        <w:right w:val="none" w:sz="0" w:space="0" w:color="auto"/>
      </w:divBdr>
      <w:divsChild>
        <w:div w:id="351612802">
          <w:marLeft w:val="0"/>
          <w:marRight w:val="0"/>
          <w:marTop w:val="0"/>
          <w:marBottom w:val="0"/>
          <w:divBdr>
            <w:top w:val="none" w:sz="0" w:space="0" w:color="auto"/>
            <w:left w:val="none" w:sz="0" w:space="0" w:color="auto"/>
            <w:bottom w:val="none" w:sz="0" w:space="0" w:color="auto"/>
            <w:right w:val="none" w:sz="0" w:space="0" w:color="auto"/>
          </w:divBdr>
          <w:divsChild>
            <w:div w:id="848761491">
              <w:marLeft w:val="0"/>
              <w:marRight w:val="0"/>
              <w:marTop w:val="0"/>
              <w:marBottom w:val="0"/>
              <w:divBdr>
                <w:top w:val="none" w:sz="0" w:space="0" w:color="auto"/>
                <w:left w:val="none" w:sz="0" w:space="0" w:color="auto"/>
                <w:bottom w:val="none" w:sz="0" w:space="0" w:color="auto"/>
                <w:right w:val="none" w:sz="0" w:space="0" w:color="auto"/>
              </w:divBdr>
              <w:divsChild>
                <w:div w:id="178355717">
                  <w:marLeft w:val="0"/>
                  <w:marRight w:val="0"/>
                  <w:marTop w:val="0"/>
                  <w:marBottom w:val="0"/>
                  <w:divBdr>
                    <w:top w:val="none" w:sz="0" w:space="0" w:color="auto"/>
                    <w:left w:val="none" w:sz="0" w:space="0" w:color="auto"/>
                    <w:bottom w:val="none" w:sz="0" w:space="0" w:color="auto"/>
                    <w:right w:val="none" w:sz="0" w:space="0" w:color="auto"/>
                  </w:divBdr>
                  <w:divsChild>
                    <w:div w:id="9990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63255">
      <w:bodyDiv w:val="1"/>
      <w:marLeft w:val="0"/>
      <w:marRight w:val="0"/>
      <w:marTop w:val="0"/>
      <w:marBottom w:val="0"/>
      <w:divBdr>
        <w:top w:val="none" w:sz="0" w:space="0" w:color="auto"/>
        <w:left w:val="none" w:sz="0" w:space="0" w:color="auto"/>
        <w:bottom w:val="none" w:sz="0" w:space="0" w:color="auto"/>
        <w:right w:val="none" w:sz="0" w:space="0" w:color="auto"/>
      </w:divBdr>
      <w:divsChild>
        <w:div w:id="1823885101">
          <w:marLeft w:val="0"/>
          <w:marRight w:val="0"/>
          <w:marTop w:val="0"/>
          <w:marBottom w:val="0"/>
          <w:divBdr>
            <w:top w:val="none" w:sz="0" w:space="0" w:color="auto"/>
            <w:left w:val="none" w:sz="0" w:space="0" w:color="auto"/>
            <w:bottom w:val="none" w:sz="0" w:space="0" w:color="auto"/>
            <w:right w:val="none" w:sz="0" w:space="0" w:color="auto"/>
          </w:divBdr>
          <w:divsChild>
            <w:div w:id="1935624490">
              <w:marLeft w:val="0"/>
              <w:marRight w:val="0"/>
              <w:marTop w:val="0"/>
              <w:marBottom w:val="0"/>
              <w:divBdr>
                <w:top w:val="none" w:sz="0" w:space="0" w:color="auto"/>
                <w:left w:val="none" w:sz="0" w:space="0" w:color="auto"/>
                <w:bottom w:val="none" w:sz="0" w:space="0" w:color="auto"/>
                <w:right w:val="none" w:sz="0" w:space="0" w:color="auto"/>
              </w:divBdr>
              <w:divsChild>
                <w:div w:id="7632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10230">
      <w:bodyDiv w:val="1"/>
      <w:marLeft w:val="0"/>
      <w:marRight w:val="0"/>
      <w:marTop w:val="0"/>
      <w:marBottom w:val="0"/>
      <w:divBdr>
        <w:top w:val="none" w:sz="0" w:space="0" w:color="auto"/>
        <w:left w:val="none" w:sz="0" w:space="0" w:color="auto"/>
        <w:bottom w:val="none" w:sz="0" w:space="0" w:color="auto"/>
        <w:right w:val="none" w:sz="0" w:space="0" w:color="auto"/>
      </w:divBdr>
    </w:div>
    <w:div w:id="581138499">
      <w:bodyDiv w:val="1"/>
      <w:marLeft w:val="0"/>
      <w:marRight w:val="0"/>
      <w:marTop w:val="0"/>
      <w:marBottom w:val="0"/>
      <w:divBdr>
        <w:top w:val="none" w:sz="0" w:space="0" w:color="auto"/>
        <w:left w:val="none" w:sz="0" w:space="0" w:color="auto"/>
        <w:bottom w:val="none" w:sz="0" w:space="0" w:color="auto"/>
        <w:right w:val="none" w:sz="0" w:space="0" w:color="auto"/>
      </w:divBdr>
      <w:divsChild>
        <w:div w:id="199437079">
          <w:marLeft w:val="0"/>
          <w:marRight w:val="0"/>
          <w:marTop w:val="0"/>
          <w:marBottom w:val="0"/>
          <w:divBdr>
            <w:top w:val="none" w:sz="0" w:space="0" w:color="auto"/>
            <w:left w:val="none" w:sz="0" w:space="0" w:color="auto"/>
            <w:bottom w:val="none" w:sz="0" w:space="0" w:color="auto"/>
            <w:right w:val="none" w:sz="0" w:space="0" w:color="auto"/>
          </w:divBdr>
          <w:divsChild>
            <w:div w:id="1591893933">
              <w:marLeft w:val="0"/>
              <w:marRight w:val="0"/>
              <w:marTop w:val="0"/>
              <w:marBottom w:val="0"/>
              <w:divBdr>
                <w:top w:val="none" w:sz="0" w:space="0" w:color="auto"/>
                <w:left w:val="none" w:sz="0" w:space="0" w:color="auto"/>
                <w:bottom w:val="none" w:sz="0" w:space="0" w:color="auto"/>
                <w:right w:val="none" w:sz="0" w:space="0" w:color="auto"/>
              </w:divBdr>
              <w:divsChild>
                <w:div w:id="17841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77989">
      <w:bodyDiv w:val="1"/>
      <w:marLeft w:val="0"/>
      <w:marRight w:val="0"/>
      <w:marTop w:val="0"/>
      <w:marBottom w:val="0"/>
      <w:divBdr>
        <w:top w:val="none" w:sz="0" w:space="0" w:color="auto"/>
        <w:left w:val="none" w:sz="0" w:space="0" w:color="auto"/>
        <w:bottom w:val="none" w:sz="0" w:space="0" w:color="auto"/>
        <w:right w:val="none" w:sz="0" w:space="0" w:color="auto"/>
      </w:divBdr>
      <w:divsChild>
        <w:div w:id="129330348">
          <w:marLeft w:val="0"/>
          <w:marRight w:val="0"/>
          <w:marTop w:val="0"/>
          <w:marBottom w:val="0"/>
          <w:divBdr>
            <w:top w:val="none" w:sz="0" w:space="0" w:color="auto"/>
            <w:left w:val="none" w:sz="0" w:space="0" w:color="auto"/>
            <w:bottom w:val="none" w:sz="0" w:space="0" w:color="auto"/>
            <w:right w:val="none" w:sz="0" w:space="0" w:color="auto"/>
          </w:divBdr>
          <w:divsChild>
            <w:div w:id="391084344">
              <w:marLeft w:val="0"/>
              <w:marRight w:val="0"/>
              <w:marTop w:val="0"/>
              <w:marBottom w:val="0"/>
              <w:divBdr>
                <w:top w:val="none" w:sz="0" w:space="0" w:color="auto"/>
                <w:left w:val="none" w:sz="0" w:space="0" w:color="auto"/>
                <w:bottom w:val="none" w:sz="0" w:space="0" w:color="auto"/>
                <w:right w:val="none" w:sz="0" w:space="0" w:color="auto"/>
              </w:divBdr>
              <w:divsChild>
                <w:div w:id="19484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75242">
      <w:bodyDiv w:val="1"/>
      <w:marLeft w:val="0"/>
      <w:marRight w:val="0"/>
      <w:marTop w:val="0"/>
      <w:marBottom w:val="0"/>
      <w:divBdr>
        <w:top w:val="none" w:sz="0" w:space="0" w:color="auto"/>
        <w:left w:val="none" w:sz="0" w:space="0" w:color="auto"/>
        <w:bottom w:val="none" w:sz="0" w:space="0" w:color="auto"/>
        <w:right w:val="none" w:sz="0" w:space="0" w:color="auto"/>
      </w:divBdr>
    </w:div>
    <w:div w:id="736127601">
      <w:bodyDiv w:val="1"/>
      <w:marLeft w:val="0"/>
      <w:marRight w:val="0"/>
      <w:marTop w:val="0"/>
      <w:marBottom w:val="0"/>
      <w:divBdr>
        <w:top w:val="none" w:sz="0" w:space="0" w:color="auto"/>
        <w:left w:val="none" w:sz="0" w:space="0" w:color="auto"/>
        <w:bottom w:val="none" w:sz="0" w:space="0" w:color="auto"/>
        <w:right w:val="none" w:sz="0" w:space="0" w:color="auto"/>
      </w:divBdr>
      <w:divsChild>
        <w:div w:id="1647197132">
          <w:marLeft w:val="0"/>
          <w:marRight w:val="0"/>
          <w:marTop w:val="0"/>
          <w:marBottom w:val="0"/>
          <w:divBdr>
            <w:top w:val="none" w:sz="0" w:space="0" w:color="auto"/>
            <w:left w:val="none" w:sz="0" w:space="0" w:color="auto"/>
            <w:bottom w:val="none" w:sz="0" w:space="0" w:color="auto"/>
            <w:right w:val="none" w:sz="0" w:space="0" w:color="auto"/>
          </w:divBdr>
          <w:divsChild>
            <w:div w:id="295919031">
              <w:marLeft w:val="0"/>
              <w:marRight w:val="0"/>
              <w:marTop w:val="0"/>
              <w:marBottom w:val="0"/>
              <w:divBdr>
                <w:top w:val="none" w:sz="0" w:space="0" w:color="auto"/>
                <w:left w:val="none" w:sz="0" w:space="0" w:color="auto"/>
                <w:bottom w:val="none" w:sz="0" w:space="0" w:color="auto"/>
                <w:right w:val="none" w:sz="0" w:space="0" w:color="auto"/>
              </w:divBdr>
              <w:divsChild>
                <w:div w:id="6536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0631">
      <w:bodyDiv w:val="1"/>
      <w:marLeft w:val="0"/>
      <w:marRight w:val="0"/>
      <w:marTop w:val="0"/>
      <w:marBottom w:val="0"/>
      <w:divBdr>
        <w:top w:val="none" w:sz="0" w:space="0" w:color="auto"/>
        <w:left w:val="none" w:sz="0" w:space="0" w:color="auto"/>
        <w:bottom w:val="none" w:sz="0" w:space="0" w:color="auto"/>
        <w:right w:val="none" w:sz="0" w:space="0" w:color="auto"/>
      </w:divBdr>
      <w:divsChild>
        <w:div w:id="253249128">
          <w:marLeft w:val="0"/>
          <w:marRight w:val="0"/>
          <w:marTop w:val="0"/>
          <w:marBottom w:val="0"/>
          <w:divBdr>
            <w:top w:val="none" w:sz="0" w:space="0" w:color="auto"/>
            <w:left w:val="none" w:sz="0" w:space="0" w:color="auto"/>
            <w:bottom w:val="none" w:sz="0" w:space="0" w:color="auto"/>
            <w:right w:val="none" w:sz="0" w:space="0" w:color="auto"/>
          </w:divBdr>
          <w:divsChild>
            <w:div w:id="732048427">
              <w:marLeft w:val="0"/>
              <w:marRight w:val="0"/>
              <w:marTop w:val="0"/>
              <w:marBottom w:val="0"/>
              <w:divBdr>
                <w:top w:val="none" w:sz="0" w:space="0" w:color="auto"/>
                <w:left w:val="none" w:sz="0" w:space="0" w:color="auto"/>
                <w:bottom w:val="none" w:sz="0" w:space="0" w:color="auto"/>
                <w:right w:val="none" w:sz="0" w:space="0" w:color="auto"/>
              </w:divBdr>
              <w:divsChild>
                <w:div w:id="18907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79052">
      <w:bodyDiv w:val="1"/>
      <w:marLeft w:val="0"/>
      <w:marRight w:val="0"/>
      <w:marTop w:val="0"/>
      <w:marBottom w:val="0"/>
      <w:divBdr>
        <w:top w:val="none" w:sz="0" w:space="0" w:color="auto"/>
        <w:left w:val="none" w:sz="0" w:space="0" w:color="auto"/>
        <w:bottom w:val="none" w:sz="0" w:space="0" w:color="auto"/>
        <w:right w:val="none" w:sz="0" w:space="0" w:color="auto"/>
      </w:divBdr>
      <w:divsChild>
        <w:div w:id="2145850374">
          <w:marLeft w:val="0"/>
          <w:marRight w:val="0"/>
          <w:marTop w:val="0"/>
          <w:marBottom w:val="0"/>
          <w:divBdr>
            <w:top w:val="none" w:sz="0" w:space="0" w:color="auto"/>
            <w:left w:val="none" w:sz="0" w:space="0" w:color="auto"/>
            <w:bottom w:val="none" w:sz="0" w:space="0" w:color="auto"/>
            <w:right w:val="none" w:sz="0" w:space="0" w:color="auto"/>
          </w:divBdr>
          <w:divsChild>
            <w:div w:id="841697385">
              <w:marLeft w:val="0"/>
              <w:marRight w:val="0"/>
              <w:marTop w:val="0"/>
              <w:marBottom w:val="0"/>
              <w:divBdr>
                <w:top w:val="none" w:sz="0" w:space="0" w:color="auto"/>
                <w:left w:val="none" w:sz="0" w:space="0" w:color="auto"/>
                <w:bottom w:val="none" w:sz="0" w:space="0" w:color="auto"/>
                <w:right w:val="none" w:sz="0" w:space="0" w:color="auto"/>
              </w:divBdr>
              <w:divsChild>
                <w:div w:id="143728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79767">
      <w:bodyDiv w:val="1"/>
      <w:marLeft w:val="0"/>
      <w:marRight w:val="0"/>
      <w:marTop w:val="0"/>
      <w:marBottom w:val="0"/>
      <w:divBdr>
        <w:top w:val="none" w:sz="0" w:space="0" w:color="auto"/>
        <w:left w:val="none" w:sz="0" w:space="0" w:color="auto"/>
        <w:bottom w:val="none" w:sz="0" w:space="0" w:color="auto"/>
        <w:right w:val="none" w:sz="0" w:space="0" w:color="auto"/>
      </w:divBdr>
      <w:divsChild>
        <w:div w:id="2125152315">
          <w:marLeft w:val="0"/>
          <w:marRight w:val="0"/>
          <w:marTop w:val="0"/>
          <w:marBottom w:val="0"/>
          <w:divBdr>
            <w:top w:val="none" w:sz="0" w:space="0" w:color="auto"/>
            <w:left w:val="none" w:sz="0" w:space="0" w:color="auto"/>
            <w:bottom w:val="none" w:sz="0" w:space="0" w:color="auto"/>
            <w:right w:val="none" w:sz="0" w:space="0" w:color="auto"/>
          </w:divBdr>
          <w:divsChild>
            <w:div w:id="82772265">
              <w:marLeft w:val="0"/>
              <w:marRight w:val="0"/>
              <w:marTop w:val="0"/>
              <w:marBottom w:val="0"/>
              <w:divBdr>
                <w:top w:val="none" w:sz="0" w:space="0" w:color="auto"/>
                <w:left w:val="none" w:sz="0" w:space="0" w:color="auto"/>
                <w:bottom w:val="none" w:sz="0" w:space="0" w:color="auto"/>
                <w:right w:val="none" w:sz="0" w:space="0" w:color="auto"/>
              </w:divBdr>
              <w:divsChild>
                <w:div w:id="187184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92204">
      <w:bodyDiv w:val="1"/>
      <w:marLeft w:val="0"/>
      <w:marRight w:val="0"/>
      <w:marTop w:val="0"/>
      <w:marBottom w:val="0"/>
      <w:divBdr>
        <w:top w:val="none" w:sz="0" w:space="0" w:color="auto"/>
        <w:left w:val="none" w:sz="0" w:space="0" w:color="auto"/>
        <w:bottom w:val="none" w:sz="0" w:space="0" w:color="auto"/>
        <w:right w:val="none" w:sz="0" w:space="0" w:color="auto"/>
      </w:divBdr>
      <w:divsChild>
        <w:div w:id="1465385879">
          <w:marLeft w:val="0"/>
          <w:marRight w:val="0"/>
          <w:marTop w:val="0"/>
          <w:marBottom w:val="0"/>
          <w:divBdr>
            <w:top w:val="none" w:sz="0" w:space="0" w:color="auto"/>
            <w:left w:val="none" w:sz="0" w:space="0" w:color="auto"/>
            <w:bottom w:val="none" w:sz="0" w:space="0" w:color="auto"/>
            <w:right w:val="none" w:sz="0" w:space="0" w:color="auto"/>
          </w:divBdr>
          <w:divsChild>
            <w:div w:id="617836806">
              <w:marLeft w:val="0"/>
              <w:marRight w:val="0"/>
              <w:marTop w:val="0"/>
              <w:marBottom w:val="0"/>
              <w:divBdr>
                <w:top w:val="none" w:sz="0" w:space="0" w:color="auto"/>
                <w:left w:val="none" w:sz="0" w:space="0" w:color="auto"/>
                <w:bottom w:val="none" w:sz="0" w:space="0" w:color="auto"/>
                <w:right w:val="none" w:sz="0" w:space="0" w:color="auto"/>
              </w:divBdr>
              <w:divsChild>
                <w:div w:id="2027171432">
                  <w:marLeft w:val="0"/>
                  <w:marRight w:val="0"/>
                  <w:marTop w:val="0"/>
                  <w:marBottom w:val="0"/>
                  <w:divBdr>
                    <w:top w:val="none" w:sz="0" w:space="0" w:color="auto"/>
                    <w:left w:val="none" w:sz="0" w:space="0" w:color="auto"/>
                    <w:bottom w:val="none" w:sz="0" w:space="0" w:color="auto"/>
                    <w:right w:val="none" w:sz="0" w:space="0" w:color="auto"/>
                  </w:divBdr>
                </w:div>
                <w:div w:id="1941643280">
                  <w:marLeft w:val="0"/>
                  <w:marRight w:val="0"/>
                  <w:marTop w:val="0"/>
                  <w:marBottom w:val="0"/>
                  <w:divBdr>
                    <w:top w:val="none" w:sz="0" w:space="0" w:color="auto"/>
                    <w:left w:val="none" w:sz="0" w:space="0" w:color="auto"/>
                    <w:bottom w:val="none" w:sz="0" w:space="0" w:color="auto"/>
                    <w:right w:val="none" w:sz="0" w:space="0" w:color="auto"/>
                  </w:divBdr>
                </w:div>
              </w:divsChild>
            </w:div>
            <w:div w:id="1992055840">
              <w:marLeft w:val="0"/>
              <w:marRight w:val="0"/>
              <w:marTop w:val="0"/>
              <w:marBottom w:val="0"/>
              <w:divBdr>
                <w:top w:val="none" w:sz="0" w:space="0" w:color="auto"/>
                <w:left w:val="none" w:sz="0" w:space="0" w:color="auto"/>
                <w:bottom w:val="none" w:sz="0" w:space="0" w:color="auto"/>
                <w:right w:val="none" w:sz="0" w:space="0" w:color="auto"/>
              </w:divBdr>
              <w:divsChild>
                <w:div w:id="7950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25225">
      <w:bodyDiv w:val="1"/>
      <w:marLeft w:val="0"/>
      <w:marRight w:val="0"/>
      <w:marTop w:val="0"/>
      <w:marBottom w:val="0"/>
      <w:divBdr>
        <w:top w:val="none" w:sz="0" w:space="0" w:color="auto"/>
        <w:left w:val="none" w:sz="0" w:space="0" w:color="auto"/>
        <w:bottom w:val="none" w:sz="0" w:space="0" w:color="auto"/>
        <w:right w:val="none" w:sz="0" w:space="0" w:color="auto"/>
      </w:divBdr>
      <w:divsChild>
        <w:div w:id="1922256699">
          <w:marLeft w:val="0"/>
          <w:marRight w:val="0"/>
          <w:marTop w:val="0"/>
          <w:marBottom w:val="0"/>
          <w:divBdr>
            <w:top w:val="none" w:sz="0" w:space="0" w:color="auto"/>
            <w:left w:val="none" w:sz="0" w:space="0" w:color="auto"/>
            <w:bottom w:val="none" w:sz="0" w:space="0" w:color="auto"/>
            <w:right w:val="none" w:sz="0" w:space="0" w:color="auto"/>
          </w:divBdr>
          <w:divsChild>
            <w:div w:id="471673401">
              <w:marLeft w:val="0"/>
              <w:marRight w:val="0"/>
              <w:marTop w:val="0"/>
              <w:marBottom w:val="0"/>
              <w:divBdr>
                <w:top w:val="none" w:sz="0" w:space="0" w:color="auto"/>
                <w:left w:val="none" w:sz="0" w:space="0" w:color="auto"/>
                <w:bottom w:val="none" w:sz="0" w:space="0" w:color="auto"/>
                <w:right w:val="none" w:sz="0" w:space="0" w:color="auto"/>
              </w:divBdr>
              <w:divsChild>
                <w:div w:id="19870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704801">
      <w:bodyDiv w:val="1"/>
      <w:marLeft w:val="0"/>
      <w:marRight w:val="0"/>
      <w:marTop w:val="0"/>
      <w:marBottom w:val="0"/>
      <w:divBdr>
        <w:top w:val="none" w:sz="0" w:space="0" w:color="auto"/>
        <w:left w:val="none" w:sz="0" w:space="0" w:color="auto"/>
        <w:bottom w:val="none" w:sz="0" w:space="0" w:color="auto"/>
        <w:right w:val="none" w:sz="0" w:space="0" w:color="auto"/>
      </w:divBdr>
      <w:divsChild>
        <w:div w:id="1370765024">
          <w:marLeft w:val="0"/>
          <w:marRight w:val="0"/>
          <w:marTop w:val="0"/>
          <w:marBottom w:val="0"/>
          <w:divBdr>
            <w:top w:val="none" w:sz="0" w:space="0" w:color="auto"/>
            <w:left w:val="none" w:sz="0" w:space="0" w:color="auto"/>
            <w:bottom w:val="none" w:sz="0" w:space="0" w:color="auto"/>
            <w:right w:val="none" w:sz="0" w:space="0" w:color="auto"/>
          </w:divBdr>
          <w:divsChild>
            <w:div w:id="825633467">
              <w:marLeft w:val="0"/>
              <w:marRight w:val="0"/>
              <w:marTop w:val="0"/>
              <w:marBottom w:val="0"/>
              <w:divBdr>
                <w:top w:val="none" w:sz="0" w:space="0" w:color="auto"/>
                <w:left w:val="none" w:sz="0" w:space="0" w:color="auto"/>
                <w:bottom w:val="none" w:sz="0" w:space="0" w:color="auto"/>
                <w:right w:val="none" w:sz="0" w:space="0" w:color="auto"/>
              </w:divBdr>
              <w:divsChild>
                <w:div w:id="10869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6031">
      <w:bodyDiv w:val="1"/>
      <w:marLeft w:val="0"/>
      <w:marRight w:val="0"/>
      <w:marTop w:val="0"/>
      <w:marBottom w:val="0"/>
      <w:divBdr>
        <w:top w:val="none" w:sz="0" w:space="0" w:color="auto"/>
        <w:left w:val="none" w:sz="0" w:space="0" w:color="auto"/>
        <w:bottom w:val="none" w:sz="0" w:space="0" w:color="auto"/>
        <w:right w:val="none" w:sz="0" w:space="0" w:color="auto"/>
      </w:divBdr>
      <w:divsChild>
        <w:div w:id="516581702">
          <w:marLeft w:val="0"/>
          <w:marRight w:val="0"/>
          <w:marTop w:val="0"/>
          <w:marBottom w:val="0"/>
          <w:divBdr>
            <w:top w:val="none" w:sz="0" w:space="0" w:color="auto"/>
            <w:left w:val="none" w:sz="0" w:space="0" w:color="auto"/>
            <w:bottom w:val="none" w:sz="0" w:space="0" w:color="auto"/>
            <w:right w:val="none" w:sz="0" w:space="0" w:color="auto"/>
          </w:divBdr>
          <w:divsChild>
            <w:div w:id="97989449">
              <w:marLeft w:val="0"/>
              <w:marRight w:val="0"/>
              <w:marTop w:val="0"/>
              <w:marBottom w:val="0"/>
              <w:divBdr>
                <w:top w:val="none" w:sz="0" w:space="0" w:color="auto"/>
                <w:left w:val="none" w:sz="0" w:space="0" w:color="auto"/>
                <w:bottom w:val="none" w:sz="0" w:space="0" w:color="auto"/>
                <w:right w:val="none" w:sz="0" w:space="0" w:color="auto"/>
              </w:divBdr>
              <w:divsChild>
                <w:div w:id="193018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621455">
      <w:bodyDiv w:val="1"/>
      <w:marLeft w:val="0"/>
      <w:marRight w:val="0"/>
      <w:marTop w:val="0"/>
      <w:marBottom w:val="0"/>
      <w:divBdr>
        <w:top w:val="none" w:sz="0" w:space="0" w:color="auto"/>
        <w:left w:val="none" w:sz="0" w:space="0" w:color="auto"/>
        <w:bottom w:val="none" w:sz="0" w:space="0" w:color="auto"/>
        <w:right w:val="none" w:sz="0" w:space="0" w:color="auto"/>
      </w:divBdr>
      <w:divsChild>
        <w:div w:id="1779526708">
          <w:marLeft w:val="0"/>
          <w:marRight w:val="0"/>
          <w:marTop w:val="0"/>
          <w:marBottom w:val="0"/>
          <w:divBdr>
            <w:top w:val="none" w:sz="0" w:space="0" w:color="auto"/>
            <w:left w:val="none" w:sz="0" w:space="0" w:color="auto"/>
            <w:bottom w:val="none" w:sz="0" w:space="0" w:color="auto"/>
            <w:right w:val="none" w:sz="0" w:space="0" w:color="auto"/>
          </w:divBdr>
          <w:divsChild>
            <w:div w:id="1615672033">
              <w:marLeft w:val="0"/>
              <w:marRight w:val="0"/>
              <w:marTop w:val="0"/>
              <w:marBottom w:val="0"/>
              <w:divBdr>
                <w:top w:val="none" w:sz="0" w:space="0" w:color="auto"/>
                <w:left w:val="none" w:sz="0" w:space="0" w:color="auto"/>
                <w:bottom w:val="none" w:sz="0" w:space="0" w:color="auto"/>
                <w:right w:val="none" w:sz="0" w:space="0" w:color="auto"/>
              </w:divBdr>
              <w:divsChild>
                <w:div w:id="14286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5338">
      <w:bodyDiv w:val="1"/>
      <w:marLeft w:val="0"/>
      <w:marRight w:val="0"/>
      <w:marTop w:val="0"/>
      <w:marBottom w:val="0"/>
      <w:divBdr>
        <w:top w:val="none" w:sz="0" w:space="0" w:color="auto"/>
        <w:left w:val="none" w:sz="0" w:space="0" w:color="auto"/>
        <w:bottom w:val="none" w:sz="0" w:space="0" w:color="auto"/>
        <w:right w:val="none" w:sz="0" w:space="0" w:color="auto"/>
      </w:divBdr>
    </w:div>
    <w:div w:id="1030375094">
      <w:bodyDiv w:val="1"/>
      <w:marLeft w:val="0"/>
      <w:marRight w:val="0"/>
      <w:marTop w:val="0"/>
      <w:marBottom w:val="0"/>
      <w:divBdr>
        <w:top w:val="none" w:sz="0" w:space="0" w:color="auto"/>
        <w:left w:val="none" w:sz="0" w:space="0" w:color="auto"/>
        <w:bottom w:val="none" w:sz="0" w:space="0" w:color="auto"/>
        <w:right w:val="none" w:sz="0" w:space="0" w:color="auto"/>
      </w:divBdr>
    </w:div>
    <w:div w:id="1092631930">
      <w:bodyDiv w:val="1"/>
      <w:marLeft w:val="0"/>
      <w:marRight w:val="0"/>
      <w:marTop w:val="0"/>
      <w:marBottom w:val="0"/>
      <w:divBdr>
        <w:top w:val="none" w:sz="0" w:space="0" w:color="auto"/>
        <w:left w:val="none" w:sz="0" w:space="0" w:color="auto"/>
        <w:bottom w:val="none" w:sz="0" w:space="0" w:color="auto"/>
        <w:right w:val="none" w:sz="0" w:space="0" w:color="auto"/>
      </w:divBdr>
      <w:divsChild>
        <w:div w:id="2048525527">
          <w:marLeft w:val="0"/>
          <w:marRight w:val="0"/>
          <w:marTop w:val="0"/>
          <w:marBottom w:val="0"/>
          <w:divBdr>
            <w:top w:val="none" w:sz="0" w:space="0" w:color="auto"/>
            <w:left w:val="none" w:sz="0" w:space="0" w:color="auto"/>
            <w:bottom w:val="none" w:sz="0" w:space="0" w:color="auto"/>
            <w:right w:val="none" w:sz="0" w:space="0" w:color="auto"/>
          </w:divBdr>
          <w:divsChild>
            <w:div w:id="1743676873">
              <w:marLeft w:val="0"/>
              <w:marRight w:val="0"/>
              <w:marTop w:val="0"/>
              <w:marBottom w:val="0"/>
              <w:divBdr>
                <w:top w:val="none" w:sz="0" w:space="0" w:color="auto"/>
                <w:left w:val="none" w:sz="0" w:space="0" w:color="auto"/>
                <w:bottom w:val="none" w:sz="0" w:space="0" w:color="auto"/>
                <w:right w:val="none" w:sz="0" w:space="0" w:color="auto"/>
              </w:divBdr>
              <w:divsChild>
                <w:div w:id="2832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10848">
      <w:bodyDiv w:val="1"/>
      <w:marLeft w:val="0"/>
      <w:marRight w:val="0"/>
      <w:marTop w:val="0"/>
      <w:marBottom w:val="0"/>
      <w:divBdr>
        <w:top w:val="none" w:sz="0" w:space="0" w:color="auto"/>
        <w:left w:val="none" w:sz="0" w:space="0" w:color="auto"/>
        <w:bottom w:val="none" w:sz="0" w:space="0" w:color="auto"/>
        <w:right w:val="none" w:sz="0" w:space="0" w:color="auto"/>
      </w:divBdr>
      <w:divsChild>
        <w:div w:id="1274822792">
          <w:marLeft w:val="0"/>
          <w:marRight w:val="0"/>
          <w:marTop w:val="0"/>
          <w:marBottom w:val="0"/>
          <w:divBdr>
            <w:top w:val="single" w:sz="2" w:space="0" w:color="E3E3E3"/>
            <w:left w:val="single" w:sz="2" w:space="0" w:color="E3E3E3"/>
            <w:bottom w:val="single" w:sz="2" w:space="0" w:color="E3E3E3"/>
            <w:right w:val="single" w:sz="2" w:space="0" w:color="E3E3E3"/>
          </w:divBdr>
          <w:divsChild>
            <w:div w:id="1138644012">
              <w:marLeft w:val="0"/>
              <w:marRight w:val="0"/>
              <w:marTop w:val="0"/>
              <w:marBottom w:val="0"/>
              <w:divBdr>
                <w:top w:val="single" w:sz="2" w:space="0" w:color="E3E3E3"/>
                <w:left w:val="single" w:sz="2" w:space="0" w:color="E3E3E3"/>
                <w:bottom w:val="single" w:sz="2" w:space="0" w:color="E3E3E3"/>
                <w:right w:val="single" w:sz="2" w:space="0" w:color="E3E3E3"/>
              </w:divBdr>
              <w:divsChild>
                <w:div w:id="1100880362">
                  <w:marLeft w:val="0"/>
                  <w:marRight w:val="0"/>
                  <w:marTop w:val="0"/>
                  <w:marBottom w:val="0"/>
                  <w:divBdr>
                    <w:top w:val="single" w:sz="2" w:space="2" w:color="E3E3E3"/>
                    <w:left w:val="single" w:sz="2" w:space="0" w:color="E3E3E3"/>
                    <w:bottom w:val="single" w:sz="2" w:space="0" w:color="E3E3E3"/>
                    <w:right w:val="single" w:sz="2" w:space="0" w:color="E3E3E3"/>
                  </w:divBdr>
                  <w:divsChild>
                    <w:div w:id="15091772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6774182">
          <w:marLeft w:val="0"/>
          <w:marRight w:val="0"/>
          <w:marTop w:val="0"/>
          <w:marBottom w:val="0"/>
          <w:divBdr>
            <w:top w:val="single" w:sz="2" w:space="0" w:color="E3E3E3"/>
            <w:left w:val="single" w:sz="2" w:space="0" w:color="E3E3E3"/>
            <w:bottom w:val="single" w:sz="2" w:space="0" w:color="E3E3E3"/>
            <w:right w:val="single" w:sz="2" w:space="0" w:color="E3E3E3"/>
          </w:divBdr>
          <w:divsChild>
            <w:div w:id="1300383567">
              <w:marLeft w:val="0"/>
              <w:marRight w:val="0"/>
              <w:marTop w:val="0"/>
              <w:marBottom w:val="0"/>
              <w:divBdr>
                <w:top w:val="single" w:sz="2" w:space="0" w:color="E3E3E3"/>
                <w:left w:val="single" w:sz="2" w:space="0" w:color="E3E3E3"/>
                <w:bottom w:val="single" w:sz="2" w:space="0" w:color="E3E3E3"/>
                <w:right w:val="single" w:sz="2" w:space="0" w:color="E3E3E3"/>
              </w:divBdr>
              <w:divsChild>
                <w:div w:id="2005624127">
                  <w:marLeft w:val="0"/>
                  <w:marRight w:val="0"/>
                  <w:marTop w:val="0"/>
                  <w:marBottom w:val="0"/>
                  <w:divBdr>
                    <w:top w:val="single" w:sz="2" w:space="0" w:color="E3E3E3"/>
                    <w:left w:val="single" w:sz="2" w:space="0" w:color="E3E3E3"/>
                    <w:bottom w:val="single" w:sz="2" w:space="0" w:color="E3E3E3"/>
                    <w:right w:val="single" w:sz="2" w:space="0" w:color="E3E3E3"/>
                  </w:divBdr>
                  <w:divsChild>
                    <w:div w:id="7107622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2719700">
      <w:bodyDiv w:val="1"/>
      <w:marLeft w:val="0"/>
      <w:marRight w:val="0"/>
      <w:marTop w:val="0"/>
      <w:marBottom w:val="0"/>
      <w:divBdr>
        <w:top w:val="none" w:sz="0" w:space="0" w:color="auto"/>
        <w:left w:val="none" w:sz="0" w:space="0" w:color="auto"/>
        <w:bottom w:val="none" w:sz="0" w:space="0" w:color="auto"/>
        <w:right w:val="none" w:sz="0" w:space="0" w:color="auto"/>
      </w:divBdr>
    </w:div>
    <w:div w:id="1183714251">
      <w:bodyDiv w:val="1"/>
      <w:marLeft w:val="0"/>
      <w:marRight w:val="0"/>
      <w:marTop w:val="0"/>
      <w:marBottom w:val="0"/>
      <w:divBdr>
        <w:top w:val="none" w:sz="0" w:space="0" w:color="auto"/>
        <w:left w:val="none" w:sz="0" w:space="0" w:color="auto"/>
        <w:bottom w:val="none" w:sz="0" w:space="0" w:color="auto"/>
        <w:right w:val="none" w:sz="0" w:space="0" w:color="auto"/>
      </w:divBdr>
      <w:divsChild>
        <w:div w:id="1723360812">
          <w:marLeft w:val="0"/>
          <w:marRight w:val="0"/>
          <w:marTop w:val="0"/>
          <w:marBottom w:val="0"/>
          <w:divBdr>
            <w:top w:val="none" w:sz="0" w:space="0" w:color="auto"/>
            <w:left w:val="none" w:sz="0" w:space="0" w:color="auto"/>
            <w:bottom w:val="none" w:sz="0" w:space="0" w:color="auto"/>
            <w:right w:val="none" w:sz="0" w:space="0" w:color="auto"/>
          </w:divBdr>
          <w:divsChild>
            <w:div w:id="413161904">
              <w:marLeft w:val="0"/>
              <w:marRight w:val="0"/>
              <w:marTop w:val="0"/>
              <w:marBottom w:val="0"/>
              <w:divBdr>
                <w:top w:val="none" w:sz="0" w:space="0" w:color="auto"/>
                <w:left w:val="none" w:sz="0" w:space="0" w:color="auto"/>
                <w:bottom w:val="none" w:sz="0" w:space="0" w:color="auto"/>
                <w:right w:val="none" w:sz="0" w:space="0" w:color="auto"/>
              </w:divBdr>
              <w:divsChild>
                <w:div w:id="19402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76451">
      <w:bodyDiv w:val="1"/>
      <w:marLeft w:val="0"/>
      <w:marRight w:val="0"/>
      <w:marTop w:val="0"/>
      <w:marBottom w:val="0"/>
      <w:divBdr>
        <w:top w:val="none" w:sz="0" w:space="0" w:color="auto"/>
        <w:left w:val="none" w:sz="0" w:space="0" w:color="auto"/>
        <w:bottom w:val="none" w:sz="0" w:space="0" w:color="auto"/>
        <w:right w:val="none" w:sz="0" w:space="0" w:color="auto"/>
      </w:divBdr>
    </w:div>
    <w:div w:id="1199858704">
      <w:bodyDiv w:val="1"/>
      <w:marLeft w:val="0"/>
      <w:marRight w:val="0"/>
      <w:marTop w:val="0"/>
      <w:marBottom w:val="0"/>
      <w:divBdr>
        <w:top w:val="none" w:sz="0" w:space="0" w:color="auto"/>
        <w:left w:val="none" w:sz="0" w:space="0" w:color="auto"/>
        <w:bottom w:val="none" w:sz="0" w:space="0" w:color="auto"/>
        <w:right w:val="none" w:sz="0" w:space="0" w:color="auto"/>
      </w:divBdr>
      <w:divsChild>
        <w:div w:id="1471633709">
          <w:marLeft w:val="0"/>
          <w:marRight w:val="0"/>
          <w:marTop w:val="0"/>
          <w:marBottom w:val="0"/>
          <w:divBdr>
            <w:top w:val="none" w:sz="0" w:space="0" w:color="auto"/>
            <w:left w:val="none" w:sz="0" w:space="0" w:color="auto"/>
            <w:bottom w:val="none" w:sz="0" w:space="0" w:color="auto"/>
            <w:right w:val="none" w:sz="0" w:space="0" w:color="auto"/>
          </w:divBdr>
          <w:divsChild>
            <w:div w:id="1836528345">
              <w:marLeft w:val="0"/>
              <w:marRight w:val="0"/>
              <w:marTop w:val="0"/>
              <w:marBottom w:val="0"/>
              <w:divBdr>
                <w:top w:val="none" w:sz="0" w:space="0" w:color="auto"/>
                <w:left w:val="none" w:sz="0" w:space="0" w:color="auto"/>
                <w:bottom w:val="none" w:sz="0" w:space="0" w:color="auto"/>
                <w:right w:val="none" w:sz="0" w:space="0" w:color="auto"/>
              </w:divBdr>
              <w:divsChild>
                <w:div w:id="2786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23181">
      <w:bodyDiv w:val="1"/>
      <w:marLeft w:val="0"/>
      <w:marRight w:val="0"/>
      <w:marTop w:val="0"/>
      <w:marBottom w:val="0"/>
      <w:divBdr>
        <w:top w:val="none" w:sz="0" w:space="0" w:color="auto"/>
        <w:left w:val="none" w:sz="0" w:space="0" w:color="auto"/>
        <w:bottom w:val="none" w:sz="0" w:space="0" w:color="auto"/>
        <w:right w:val="none" w:sz="0" w:space="0" w:color="auto"/>
      </w:divBdr>
      <w:divsChild>
        <w:div w:id="213468360">
          <w:marLeft w:val="0"/>
          <w:marRight w:val="0"/>
          <w:marTop w:val="0"/>
          <w:marBottom w:val="0"/>
          <w:divBdr>
            <w:top w:val="none" w:sz="0" w:space="0" w:color="auto"/>
            <w:left w:val="none" w:sz="0" w:space="0" w:color="auto"/>
            <w:bottom w:val="none" w:sz="0" w:space="0" w:color="auto"/>
            <w:right w:val="none" w:sz="0" w:space="0" w:color="auto"/>
          </w:divBdr>
          <w:divsChild>
            <w:div w:id="1449736733">
              <w:marLeft w:val="0"/>
              <w:marRight w:val="0"/>
              <w:marTop w:val="0"/>
              <w:marBottom w:val="0"/>
              <w:divBdr>
                <w:top w:val="none" w:sz="0" w:space="0" w:color="auto"/>
                <w:left w:val="none" w:sz="0" w:space="0" w:color="auto"/>
                <w:bottom w:val="none" w:sz="0" w:space="0" w:color="auto"/>
                <w:right w:val="none" w:sz="0" w:space="0" w:color="auto"/>
              </w:divBdr>
              <w:divsChild>
                <w:div w:id="15342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93131">
      <w:bodyDiv w:val="1"/>
      <w:marLeft w:val="0"/>
      <w:marRight w:val="0"/>
      <w:marTop w:val="0"/>
      <w:marBottom w:val="0"/>
      <w:divBdr>
        <w:top w:val="none" w:sz="0" w:space="0" w:color="auto"/>
        <w:left w:val="none" w:sz="0" w:space="0" w:color="auto"/>
        <w:bottom w:val="none" w:sz="0" w:space="0" w:color="auto"/>
        <w:right w:val="none" w:sz="0" w:space="0" w:color="auto"/>
      </w:divBdr>
      <w:divsChild>
        <w:div w:id="1116869638">
          <w:marLeft w:val="0"/>
          <w:marRight w:val="0"/>
          <w:marTop w:val="0"/>
          <w:marBottom w:val="0"/>
          <w:divBdr>
            <w:top w:val="none" w:sz="0" w:space="0" w:color="auto"/>
            <w:left w:val="none" w:sz="0" w:space="0" w:color="auto"/>
            <w:bottom w:val="none" w:sz="0" w:space="0" w:color="auto"/>
            <w:right w:val="none" w:sz="0" w:space="0" w:color="auto"/>
          </w:divBdr>
          <w:divsChild>
            <w:div w:id="578489630">
              <w:marLeft w:val="0"/>
              <w:marRight w:val="0"/>
              <w:marTop w:val="0"/>
              <w:marBottom w:val="0"/>
              <w:divBdr>
                <w:top w:val="none" w:sz="0" w:space="0" w:color="auto"/>
                <w:left w:val="none" w:sz="0" w:space="0" w:color="auto"/>
                <w:bottom w:val="none" w:sz="0" w:space="0" w:color="auto"/>
                <w:right w:val="none" w:sz="0" w:space="0" w:color="auto"/>
              </w:divBdr>
              <w:divsChild>
                <w:div w:id="5891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536231">
      <w:bodyDiv w:val="1"/>
      <w:marLeft w:val="0"/>
      <w:marRight w:val="0"/>
      <w:marTop w:val="0"/>
      <w:marBottom w:val="0"/>
      <w:divBdr>
        <w:top w:val="none" w:sz="0" w:space="0" w:color="auto"/>
        <w:left w:val="none" w:sz="0" w:space="0" w:color="auto"/>
        <w:bottom w:val="none" w:sz="0" w:space="0" w:color="auto"/>
        <w:right w:val="none" w:sz="0" w:space="0" w:color="auto"/>
      </w:divBdr>
      <w:divsChild>
        <w:div w:id="939484753">
          <w:marLeft w:val="0"/>
          <w:marRight w:val="0"/>
          <w:marTop w:val="0"/>
          <w:marBottom w:val="0"/>
          <w:divBdr>
            <w:top w:val="none" w:sz="0" w:space="0" w:color="auto"/>
            <w:left w:val="none" w:sz="0" w:space="0" w:color="auto"/>
            <w:bottom w:val="none" w:sz="0" w:space="0" w:color="auto"/>
            <w:right w:val="none" w:sz="0" w:space="0" w:color="auto"/>
          </w:divBdr>
          <w:divsChild>
            <w:div w:id="2083597657">
              <w:marLeft w:val="0"/>
              <w:marRight w:val="0"/>
              <w:marTop w:val="0"/>
              <w:marBottom w:val="0"/>
              <w:divBdr>
                <w:top w:val="none" w:sz="0" w:space="0" w:color="auto"/>
                <w:left w:val="none" w:sz="0" w:space="0" w:color="auto"/>
                <w:bottom w:val="none" w:sz="0" w:space="0" w:color="auto"/>
                <w:right w:val="none" w:sz="0" w:space="0" w:color="auto"/>
              </w:divBdr>
              <w:divsChild>
                <w:div w:id="1746220596">
                  <w:marLeft w:val="0"/>
                  <w:marRight w:val="0"/>
                  <w:marTop w:val="0"/>
                  <w:marBottom w:val="0"/>
                  <w:divBdr>
                    <w:top w:val="none" w:sz="0" w:space="0" w:color="auto"/>
                    <w:left w:val="none" w:sz="0" w:space="0" w:color="auto"/>
                    <w:bottom w:val="none" w:sz="0" w:space="0" w:color="auto"/>
                    <w:right w:val="none" w:sz="0" w:space="0" w:color="auto"/>
                  </w:divBdr>
                  <w:divsChild>
                    <w:div w:id="12142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986228">
      <w:bodyDiv w:val="1"/>
      <w:marLeft w:val="0"/>
      <w:marRight w:val="0"/>
      <w:marTop w:val="0"/>
      <w:marBottom w:val="0"/>
      <w:divBdr>
        <w:top w:val="none" w:sz="0" w:space="0" w:color="auto"/>
        <w:left w:val="none" w:sz="0" w:space="0" w:color="auto"/>
        <w:bottom w:val="none" w:sz="0" w:space="0" w:color="auto"/>
        <w:right w:val="none" w:sz="0" w:space="0" w:color="auto"/>
      </w:divBdr>
      <w:divsChild>
        <w:div w:id="790130341">
          <w:marLeft w:val="0"/>
          <w:marRight w:val="0"/>
          <w:marTop w:val="0"/>
          <w:marBottom w:val="0"/>
          <w:divBdr>
            <w:top w:val="none" w:sz="0" w:space="0" w:color="auto"/>
            <w:left w:val="none" w:sz="0" w:space="0" w:color="auto"/>
            <w:bottom w:val="none" w:sz="0" w:space="0" w:color="auto"/>
            <w:right w:val="none" w:sz="0" w:space="0" w:color="auto"/>
          </w:divBdr>
          <w:divsChild>
            <w:div w:id="1159349197">
              <w:marLeft w:val="0"/>
              <w:marRight w:val="0"/>
              <w:marTop w:val="0"/>
              <w:marBottom w:val="0"/>
              <w:divBdr>
                <w:top w:val="none" w:sz="0" w:space="0" w:color="auto"/>
                <w:left w:val="none" w:sz="0" w:space="0" w:color="auto"/>
                <w:bottom w:val="none" w:sz="0" w:space="0" w:color="auto"/>
                <w:right w:val="none" w:sz="0" w:space="0" w:color="auto"/>
              </w:divBdr>
              <w:divsChild>
                <w:div w:id="1403410416">
                  <w:marLeft w:val="0"/>
                  <w:marRight w:val="0"/>
                  <w:marTop w:val="0"/>
                  <w:marBottom w:val="0"/>
                  <w:divBdr>
                    <w:top w:val="none" w:sz="0" w:space="0" w:color="auto"/>
                    <w:left w:val="none" w:sz="0" w:space="0" w:color="auto"/>
                    <w:bottom w:val="none" w:sz="0" w:space="0" w:color="auto"/>
                    <w:right w:val="none" w:sz="0" w:space="0" w:color="auto"/>
                  </w:divBdr>
                  <w:divsChild>
                    <w:div w:id="1468742178">
                      <w:marLeft w:val="0"/>
                      <w:marRight w:val="0"/>
                      <w:marTop w:val="0"/>
                      <w:marBottom w:val="0"/>
                      <w:divBdr>
                        <w:top w:val="none" w:sz="0" w:space="0" w:color="auto"/>
                        <w:left w:val="none" w:sz="0" w:space="0" w:color="auto"/>
                        <w:bottom w:val="none" w:sz="0" w:space="0" w:color="auto"/>
                        <w:right w:val="none" w:sz="0" w:space="0" w:color="auto"/>
                      </w:divBdr>
                      <w:divsChild>
                        <w:div w:id="1777940970">
                          <w:marLeft w:val="0"/>
                          <w:marRight w:val="0"/>
                          <w:marTop w:val="0"/>
                          <w:marBottom w:val="0"/>
                          <w:divBdr>
                            <w:top w:val="none" w:sz="0" w:space="0" w:color="auto"/>
                            <w:left w:val="none" w:sz="0" w:space="0" w:color="auto"/>
                            <w:bottom w:val="none" w:sz="0" w:space="0" w:color="auto"/>
                            <w:right w:val="none" w:sz="0" w:space="0" w:color="auto"/>
                          </w:divBdr>
                          <w:divsChild>
                            <w:div w:id="13296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663836">
      <w:bodyDiv w:val="1"/>
      <w:marLeft w:val="0"/>
      <w:marRight w:val="0"/>
      <w:marTop w:val="0"/>
      <w:marBottom w:val="0"/>
      <w:divBdr>
        <w:top w:val="none" w:sz="0" w:space="0" w:color="auto"/>
        <w:left w:val="none" w:sz="0" w:space="0" w:color="auto"/>
        <w:bottom w:val="none" w:sz="0" w:space="0" w:color="auto"/>
        <w:right w:val="none" w:sz="0" w:space="0" w:color="auto"/>
      </w:divBdr>
      <w:divsChild>
        <w:div w:id="61368059">
          <w:marLeft w:val="0"/>
          <w:marRight w:val="0"/>
          <w:marTop w:val="0"/>
          <w:marBottom w:val="0"/>
          <w:divBdr>
            <w:top w:val="none" w:sz="0" w:space="0" w:color="auto"/>
            <w:left w:val="none" w:sz="0" w:space="0" w:color="auto"/>
            <w:bottom w:val="none" w:sz="0" w:space="0" w:color="auto"/>
            <w:right w:val="none" w:sz="0" w:space="0" w:color="auto"/>
          </w:divBdr>
          <w:divsChild>
            <w:div w:id="1058628732">
              <w:marLeft w:val="0"/>
              <w:marRight w:val="0"/>
              <w:marTop w:val="0"/>
              <w:marBottom w:val="0"/>
              <w:divBdr>
                <w:top w:val="none" w:sz="0" w:space="0" w:color="auto"/>
                <w:left w:val="none" w:sz="0" w:space="0" w:color="auto"/>
                <w:bottom w:val="none" w:sz="0" w:space="0" w:color="auto"/>
                <w:right w:val="none" w:sz="0" w:space="0" w:color="auto"/>
              </w:divBdr>
              <w:divsChild>
                <w:div w:id="15667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5485">
      <w:bodyDiv w:val="1"/>
      <w:marLeft w:val="0"/>
      <w:marRight w:val="0"/>
      <w:marTop w:val="0"/>
      <w:marBottom w:val="0"/>
      <w:divBdr>
        <w:top w:val="none" w:sz="0" w:space="0" w:color="auto"/>
        <w:left w:val="none" w:sz="0" w:space="0" w:color="auto"/>
        <w:bottom w:val="none" w:sz="0" w:space="0" w:color="auto"/>
        <w:right w:val="none" w:sz="0" w:space="0" w:color="auto"/>
      </w:divBdr>
      <w:divsChild>
        <w:div w:id="321469486">
          <w:marLeft w:val="0"/>
          <w:marRight w:val="0"/>
          <w:marTop w:val="0"/>
          <w:marBottom w:val="0"/>
          <w:divBdr>
            <w:top w:val="none" w:sz="0" w:space="0" w:color="auto"/>
            <w:left w:val="none" w:sz="0" w:space="0" w:color="auto"/>
            <w:bottom w:val="none" w:sz="0" w:space="0" w:color="auto"/>
            <w:right w:val="none" w:sz="0" w:space="0" w:color="auto"/>
          </w:divBdr>
          <w:divsChild>
            <w:div w:id="207304581">
              <w:marLeft w:val="0"/>
              <w:marRight w:val="0"/>
              <w:marTop w:val="0"/>
              <w:marBottom w:val="0"/>
              <w:divBdr>
                <w:top w:val="none" w:sz="0" w:space="0" w:color="auto"/>
                <w:left w:val="none" w:sz="0" w:space="0" w:color="auto"/>
                <w:bottom w:val="none" w:sz="0" w:space="0" w:color="auto"/>
                <w:right w:val="none" w:sz="0" w:space="0" w:color="auto"/>
              </w:divBdr>
              <w:divsChild>
                <w:div w:id="18466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860248">
      <w:bodyDiv w:val="1"/>
      <w:marLeft w:val="0"/>
      <w:marRight w:val="0"/>
      <w:marTop w:val="0"/>
      <w:marBottom w:val="0"/>
      <w:divBdr>
        <w:top w:val="none" w:sz="0" w:space="0" w:color="auto"/>
        <w:left w:val="none" w:sz="0" w:space="0" w:color="auto"/>
        <w:bottom w:val="none" w:sz="0" w:space="0" w:color="auto"/>
        <w:right w:val="none" w:sz="0" w:space="0" w:color="auto"/>
      </w:divBdr>
      <w:divsChild>
        <w:div w:id="143862615">
          <w:marLeft w:val="0"/>
          <w:marRight w:val="0"/>
          <w:marTop w:val="0"/>
          <w:marBottom w:val="0"/>
          <w:divBdr>
            <w:top w:val="none" w:sz="0" w:space="0" w:color="auto"/>
            <w:left w:val="none" w:sz="0" w:space="0" w:color="auto"/>
            <w:bottom w:val="none" w:sz="0" w:space="0" w:color="auto"/>
            <w:right w:val="none" w:sz="0" w:space="0" w:color="auto"/>
          </w:divBdr>
          <w:divsChild>
            <w:div w:id="324943416">
              <w:marLeft w:val="0"/>
              <w:marRight w:val="0"/>
              <w:marTop w:val="0"/>
              <w:marBottom w:val="0"/>
              <w:divBdr>
                <w:top w:val="none" w:sz="0" w:space="0" w:color="auto"/>
                <w:left w:val="none" w:sz="0" w:space="0" w:color="auto"/>
                <w:bottom w:val="none" w:sz="0" w:space="0" w:color="auto"/>
                <w:right w:val="none" w:sz="0" w:space="0" w:color="auto"/>
              </w:divBdr>
              <w:divsChild>
                <w:div w:id="17824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58257">
      <w:bodyDiv w:val="1"/>
      <w:marLeft w:val="0"/>
      <w:marRight w:val="0"/>
      <w:marTop w:val="0"/>
      <w:marBottom w:val="0"/>
      <w:divBdr>
        <w:top w:val="none" w:sz="0" w:space="0" w:color="auto"/>
        <w:left w:val="none" w:sz="0" w:space="0" w:color="auto"/>
        <w:bottom w:val="none" w:sz="0" w:space="0" w:color="auto"/>
        <w:right w:val="none" w:sz="0" w:space="0" w:color="auto"/>
      </w:divBdr>
      <w:divsChild>
        <w:div w:id="1994336251">
          <w:marLeft w:val="0"/>
          <w:marRight w:val="0"/>
          <w:marTop w:val="0"/>
          <w:marBottom w:val="0"/>
          <w:divBdr>
            <w:top w:val="none" w:sz="0" w:space="0" w:color="auto"/>
            <w:left w:val="none" w:sz="0" w:space="0" w:color="auto"/>
            <w:bottom w:val="none" w:sz="0" w:space="0" w:color="auto"/>
            <w:right w:val="none" w:sz="0" w:space="0" w:color="auto"/>
          </w:divBdr>
          <w:divsChild>
            <w:div w:id="1177116058">
              <w:marLeft w:val="0"/>
              <w:marRight w:val="0"/>
              <w:marTop w:val="0"/>
              <w:marBottom w:val="0"/>
              <w:divBdr>
                <w:top w:val="none" w:sz="0" w:space="0" w:color="auto"/>
                <w:left w:val="none" w:sz="0" w:space="0" w:color="auto"/>
                <w:bottom w:val="none" w:sz="0" w:space="0" w:color="auto"/>
                <w:right w:val="none" w:sz="0" w:space="0" w:color="auto"/>
              </w:divBdr>
              <w:divsChild>
                <w:div w:id="16415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370649">
      <w:bodyDiv w:val="1"/>
      <w:marLeft w:val="0"/>
      <w:marRight w:val="0"/>
      <w:marTop w:val="0"/>
      <w:marBottom w:val="0"/>
      <w:divBdr>
        <w:top w:val="none" w:sz="0" w:space="0" w:color="auto"/>
        <w:left w:val="none" w:sz="0" w:space="0" w:color="auto"/>
        <w:bottom w:val="none" w:sz="0" w:space="0" w:color="auto"/>
        <w:right w:val="none" w:sz="0" w:space="0" w:color="auto"/>
      </w:divBdr>
      <w:divsChild>
        <w:div w:id="609244972">
          <w:marLeft w:val="0"/>
          <w:marRight w:val="0"/>
          <w:marTop w:val="0"/>
          <w:marBottom w:val="0"/>
          <w:divBdr>
            <w:top w:val="none" w:sz="0" w:space="0" w:color="auto"/>
            <w:left w:val="none" w:sz="0" w:space="0" w:color="auto"/>
            <w:bottom w:val="none" w:sz="0" w:space="0" w:color="auto"/>
            <w:right w:val="none" w:sz="0" w:space="0" w:color="auto"/>
          </w:divBdr>
          <w:divsChild>
            <w:div w:id="2060204470">
              <w:marLeft w:val="0"/>
              <w:marRight w:val="0"/>
              <w:marTop w:val="0"/>
              <w:marBottom w:val="0"/>
              <w:divBdr>
                <w:top w:val="none" w:sz="0" w:space="0" w:color="auto"/>
                <w:left w:val="none" w:sz="0" w:space="0" w:color="auto"/>
                <w:bottom w:val="none" w:sz="0" w:space="0" w:color="auto"/>
                <w:right w:val="none" w:sz="0" w:space="0" w:color="auto"/>
              </w:divBdr>
              <w:divsChild>
                <w:div w:id="7342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4772">
      <w:bodyDiv w:val="1"/>
      <w:marLeft w:val="0"/>
      <w:marRight w:val="0"/>
      <w:marTop w:val="0"/>
      <w:marBottom w:val="0"/>
      <w:divBdr>
        <w:top w:val="none" w:sz="0" w:space="0" w:color="auto"/>
        <w:left w:val="none" w:sz="0" w:space="0" w:color="auto"/>
        <w:bottom w:val="none" w:sz="0" w:space="0" w:color="auto"/>
        <w:right w:val="none" w:sz="0" w:space="0" w:color="auto"/>
      </w:divBdr>
    </w:div>
    <w:div w:id="1434860075">
      <w:bodyDiv w:val="1"/>
      <w:marLeft w:val="0"/>
      <w:marRight w:val="0"/>
      <w:marTop w:val="0"/>
      <w:marBottom w:val="0"/>
      <w:divBdr>
        <w:top w:val="none" w:sz="0" w:space="0" w:color="auto"/>
        <w:left w:val="none" w:sz="0" w:space="0" w:color="auto"/>
        <w:bottom w:val="none" w:sz="0" w:space="0" w:color="auto"/>
        <w:right w:val="none" w:sz="0" w:space="0" w:color="auto"/>
      </w:divBdr>
      <w:divsChild>
        <w:div w:id="964192309">
          <w:marLeft w:val="0"/>
          <w:marRight w:val="0"/>
          <w:marTop w:val="0"/>
          <w:marBottom w:val="0"/>
          <w:divBdr>
            <w:top w:val="none" w:sz="0" w:space="0" w:color="auto"/>
            <w:left w:val="none" w:sz="0" w:space="0" w:color="auto"/>
            <w:bottom w:val="none" w:sz="0" w:space="0" w:color="auto"/>
            <w:right w:val="none" w:sz="0" w:space="0" w:color="auto"/>
          </w:divBdr>
          <w:divsChild>
            <w:div w:id="1197694861">
              <w:marLeft w:val="0"/>
              <w:marRight w:val="0"/>
              <w:marTop w:val="0"/>
              <w:marBottom w:val="0"/>
              <w:divBdr>
                <w:top w:val="none" w:sz="0" w:space="0" w:color="auto"/>
                <w:left w:val="none" w:sz="0" w:space="0" w:color="auto"/>
                <w:bottom w:val="none" w:sz="0" w:space="0" w:color="auto"/>
                <w:right w:val="none" w:sz="0" w:space="0" w:color="auto"/>
              </w:divBdr>
              <w:divsChild>
                <w:div w:id="1065180839">
                  <w:marLeft w:val="0"/>
                  <w:marRight w:val="0"/>
                  <w:marTop w:val="0"/>
                  <w:marBottom w:val="0"/>
                  <w:divBdr>
                    <w:top w:val="none" w:sz="0" w:space="0" w:color="auto"/>
                    <w:left w:val="none" w:sz="0" w:space="0" w:color="auto"/>
                    <w:bottom w:val="none" w:sz="0" w:space="0" w:color="auto"/>
                    <w:right w:val="none" w:sz="0" w:space="0" w:color="auto"/>
                  </w:divBdr>
                  <w:divsChild>
                    <w:div w:id="14758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496973">
      <w:bodyDiv w:val="1"/>
      <w:marLeft w:val="0"/>
      <w:marRight w:val="0"/>
      <w:marTop w:val="0"/>
      <w:marBottom w:val="0"/>
      <w:divBdr>
        <w:top w:val="none" w:sz="0" w:space="0" w:color="auto"/>
        <w:left w:val="none" w:sz="0" w:space="0" w:color="auto"/>
        <w:bottom w:val="none" w:sz="0" w:space="0" w:color="auto"/>
        <w:right w:val="none" w:sz="0" w:space="0" w:color="auto"/>
      </w:divBdr>
      <w:divsChild>
        <w:div w:id="257829846">
          <w:marLeft w:val="0"/>
          <w:marRight w:val="0"/>
          <w:marTop w:val="0"/>
          <w:marBottom w:val="0"/>
          <w:divBdr>
            <w:top w:val="none" w:sz="0" w:space="0" w:color="auto"/>
            <w:left w:val="none" w:sz="0" w:space="0" w:color="auto"/>
            <w:bottom w:val="none" w:sz="0" w:space="0" w:color="auto"/>
            <w:right w:val="none" w:sz="0" w:space="0" w:color="auto"/>
          </w:divBdr>
          <w:divsChild>
            <w:div w:id="687759754">
              <w:marLeft w:val="0"/>
              <w:marRight w:val="0"/>
              <w:marTop w:val="0"/>
              <w:marBottom w:val="0"/>
              <w:divBdr>
                <w:top w:val="none" w:sz="0" w:space="0" w:color="auto"/>
                <w:left w:val="none" w:sz="0" w:space="0" w:color="auto"/>
                <w:bottom w:val="none" w:sz="0" w:space="0" w:color="auto"/>
                <w:right w:val="none" w:sz="0" w:space="0" w:color="auto"/>
              </w:divBdr>
              <w:divsChild>
                <w:div w:id="1036924826">
                  <w:marLeft w:val="0"/>
                  <w:marRight w:val="0"/>
                  <w:marTop w:val="0"/>
                  <w:marBottom w:val="0"/>
                  <w:divBdr>
                    <w:top w:val="none" w:sz="0" w:space="0" w:color="auto"/>
                    <w:left w:val="none" w:sz="0" w:space="0" w:color="auto"/>
                    <w:bottom w:val="none" w:sz="0" w:space="0" w:color="auto"/>
                    <w:right w:val="none" w:sz="0" w:space="0" w:color="auto"/>
                  </w:divBdr>
                  <w:divsChild>
                    <w:div w:id="10198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909575">
      <w:bodyDiv w:val="1"/>
      <w:marLeft w:val="0"/>
      <w:marRight w:val="0"/>
      <w:marTop w:val="0"/>
      <w:marBottom w:val="0"/>
      <w:divBdr>
        <w:top w:val="none" w:sz="0" w:space="0" w:color="auto"/>
        <w:left w:val="none" w:sz="0" w:space="0" w:color="auto"/>
        <w:bottom w:val="none" w:sz="0" w:space="0" w:color="auto"/>
        <w:right w:val="none" w:sz="0" w:space="0" w:color="auto"/>
      </w:divBdr>
      <w:divsChild>
        <w:div w:id="321392910">
          <w:marLeft w:val="0"/>
          <w:marRight w:val="0"/>
          <w:marTop w:val="0"/>
          <w:marBottom w:val="0"/>
          <w:divBdr>
            <w:top w:val="none" w:sz="0" w:space="0" w:color="auto"/>
            <w:left w:val="none" w:sz="0" w:space="0" w:color="auto"/>
            <w:bottom w:val="none" w:sz="0" w:space="0" w:color="auto"/>
            <w:right w:val="none" w:sz="0" w:space="0" w:color="auto"/>
          </w:divBdr>
          <w:divsChild>
            <w:div w:id="1478033985">
              <w:marLeft w:val="0"/>
              <w:marRight w:val="0"/>
              <w:marTop w:val="0"/>
              <w:marBottom w:val="0"/>
              <w:divBdr>
                <w:top w:val="none" w:sz="0" w:space="0" w:color="auto"/>
                <w:left w:val="none" w:sz="0" w:space="0" w:color="auto"/>
                <w:bottom w:val="none" w:sz="0" w:space="0" w:color="auto"/>
                <w:right w:val="none" w:sz="0" w:space="0" w:color="auto"/>
              </w:divBdr>
              <w:divsChild>
                <w:div w:id="14774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93952">
      <w:bodyDiv w:val="1"/>
      <w:marLeft w:val="0"/>
      <w:marRight w:val="0"/>
      <w:marTop w:val="0"/>
      <w:marBottom w:val="0"/>
      <w:divBdr>
        <w:top w:val="none" w:sz="0" w:space="0" w:color="auto"/>
        <w:left w:val="none" w:sz="0" w:space="0" w:color="auto"/>
        <w:bottom w:val="none" w:sz="0" w:space="0" w:color="auto"/>
        <w:right w:val="none" w:sz="0" w:space="0" w:color="auto"/>
      </w:divBdr>
      <w:divsChild>
        <w:div w:id="6910880">
          <w:marLeft w:val="0"/>
          <w:marRight w:val="0"/>
          <w:marTop w:val="0"/>
          <w:marBottom w:val="0"/>
          <w:divBdr>
            <w:top w:val="none" w:sz="0" w:space="0" w:color="auto"/>
            <w:left w:val="none" w:sz="0" w:space="0" w:color="auto"/>
            <w:bottom w:val="none" w:sz="0" w:space="0" w:color="auto"/>
            <w:right w:val="none" w:sz="0" w:space="0" w:color="auto"/>
          </w:divBdr>
          <w:divsChild>
            <w:div w:id="460998714">
              <w:marLeft w:val="0"/>
              <w:marRight w:val="0"/>
              <w:marTop w:val="0"/>
              <w:marBottom w:val="0"/>
              <w:divBdr>
                <w:top w:val="none" w:sz="0" w:space="0" w:color="auto"/>
                <w:left w:val="none" w:sz="0" w:space="0" w:color="auto"/>
                <w:bottom w:val="none" w:sz="0" w:space="0" w:color="auto"/>
                <w:right w:val="none" w:sz="0" w:space="0" w:color="auto"/>
              </w:divBdr>
              <w:divsChild>
                <w:div w:id="400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83769">
      <w:bodyDiv w:val="1"/>
      <w:marLeft w:val="0"/>
      <w:marRight w:val="0"/>
      <w:marTop w:val="0"/>
      <w:marBottom w:val="0"/>
      <w:divBdr>
        <w:top w:val="none" w:sz="0" w:space="0" w:color="auto"/>
        <w:left w:val="none" w:sz="0" w:space="0" w:color="auto"/>
        <w:bottom w:val="none" w:sz="0" w:space="0" w:color="auto"/>
        <w:right w:val="none" w:sz="0" w:space="0" w:color="auto"/>
      </w:divBdr>
    </w:div>
    <w:div w:id="1683622867">
      <w:bodyDiv w:val="1"/>
      <w:marLeft w:val="0"/>
      <w:marRight w:val="0"/>
      <w:marTop w:val="0"/>
      <w:marBottom w:val="0"/>
      <w:divBdr>
        <w:top w:val="none" w:sz="0" w:space="0" w:color="auto"/>
        <w:left w:val="none" w:sz="0" w:space="0" w:color="auto"/>
        <w:bottom w:val="none" w:sz="0" w:space="0" w:color="auto"/>
        <w:right w:val="none" w:sz="0" w:space="0" w:color="auto"/>
      </w:divBdr>
      <w:divsChild>
        <w:div w:id="1585920784">
          <w:marLeft w:val="0"/>
          <w:marRight w:val="0"/>
          <w:marTop w:val="0"/>
          <w:marBottom w:val="0"/>
          <w:divBdr>
            <w:top w:val="none" w:sz="0" w:space="0" w:color="auto"/>
            <w:left w:val="none" w:sz="0" w:space="0" w:color="auto"/>
            <w:bottom w:val="none" w:sz="0" w:space="0" w:color="auto"/>
            <w:right w:val="none" w:sz="0" w:space="0" w:color="auto"/>
          </w:divBdr>
          <w:divsChild>
            <w:div w:id="1282615505">
              <w:marLeft w:val="0"/>
              <w:marRight w:val="0"/>
              <w:marTop w:val="0"/>
              <w:marBottom w:val="0"/>
              <w:divBdr>
                <w:top w:val="none" w:sz="0" w:space="0" w:color="auto"/>
                <w:left w:val="none" w:sz="0" w:space="0" w:color="auto"/>
                <w:bottom w:val="none" w:sz="0" w:space="0" w:color="auto"/>
                <w:right w:val="none" w:sz="0" w:space="0" w:color="auto"/>
              </w:divBdr>
              <w:divsChild>
                <w:div w:id="4517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78042">
      <w:bodyDiv w:val="1"/>
      <w:marLeft w:val="0"/>
      <w:marRight w:val="0"/>
      <w:marTop w:val="0"/>
      <w:marBottom w:val="0"/>
      <w:divBdr>
        <w:top w:val="none" w:sz="0" w:space="0" w:color="auto"/>
        <w:left w:val="none" w:sz="0" w:space="0" w:color="auto"/>
        <w:bottom w:val="none" w:sz="0" w:space="0" w:color="auto"/>
        <w:right w:val="none" w:sz="0" w:space="0" w:color="auto"/>
      </w:divBdr>
      <w:divsChild>
        <w:div w:id="1005010834">
          <w:marLeft w:val="0"/>
          <w:marRight w:val="0"/>
          <w:marTop w:val="0"/>
          <w:marBottom w:val="0"/>
          <w:divBdr>
            <w:top w:val="none" w:sz="0" w:space="0" w:color="auto"/>
            <w:left w:val="none" w:sz="0" w:space="0" w:color="auto"/>
            <w:bottom w:val="none" w:sz="0" w:space="0" w:color="auto"/>
            <w:right w:val="none" w:sz="0" w:space="0" w:color="auto"/>
          </w:divBdr>
          <w:divsChild>
            <w:div w:id="298653008">
              <w:marLeft w:val="0"/>
              <w:marRight w:val="0"/>
              <w:marTop w:val="0"/>
              <w:marBottom w:val="0"/>
              <w:divBdr>
                <w:top w:val="none" w:sz="0" w:space="0" w:color="auto"/>
                <w:left w:val="none" w:sz="0" w:space="0" w:color="auto"/>
                <w:bottom w:val="none" w:sz="0" w:space="0" w:color="auto"/>
                <w:right w:val="none" w:sz="0" w:space="0" w:color="auto"/>
              </w:divBdr>
              <w:divsChild>
                <w:div w:id="46512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90703">
      <w:bodyDiv w:val="1"/>
      <w:marLeft w:val="0"/>
      <w:marRight w:val="0"/>
      <w:marTop w:val="0"/>
      <w:marBottom w:val="0"/>
      <w:divBdr>
        <w:top w:val="none" w:sz="0" w:space="0" w:color="auto"/>
        <w:left w:val="none" w:sz="0" w:space="0" w:color="auto"/>
        <w:bottom w:val="none" w:sz="0" w:space="0" w:color="auto"/>
        <w:right w:val="none" w:sz="0" w:space="0" w:color="auto"/>
      </w:divBdr>
    </w:div>
    <w:div w:id="1737387284">
      <w:bodyDiv w:val="1"/>
      <w:marLeft w:val="0"/>
      <w:marRight w:val="0"/>
      <w:marTop w:val="0"/>
      <w:marBottom w:val="0"/>
      <w:divBdr>
        <w:top w:val="none" w:sz="0" w:space="0" w:color="auto"/>
        <w:left w:val="none" w:sz="0" w:space="0" w:color="auto"/>
        <w:bottom w:val="none" w:sz="0" w:space="0" w:color="auto"/>
        <w:right w:val="none" w:sz="0" w:space="0" w:color="auto"/>
      </w:divBdr>
    </w:div>
    <w:div w:id="1771776113">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sChild>
        <w:div w:id="529219214">
          <w:marLeft w:val="0"/>
          <w:marRight w:val="0"/>
          <w:marTop w:val="0"/>
          <w:marBottom w:val="0"/>
          <w:divBdr>
            <w:top w:val="none" w:sz="0" w:space="0" w:color="auto"/>
            <w:left w:val="none" w:sz="0" w:space="0" w:color="auto"/>
            <w:bottom w:val="none" w:sz="0" w:space="0" w:color="auto"/>
            <w:right w:val="none" w:sz="0" w:space="0" w:color="auto"/>
          </w:divBdr>
          <w:divsChild>
            <w:div w:id="78796160">
              <w:marLeft w:val="0"/>
              <w:marRight w:val="0"/>
              <w:marTop w:val="0"/>
              <w:marBottom w:val="0"/>
              <w:divBdr>
                <w:top w:val="none" w:sz="0" w:space="0" w:color="auto"/>
                <w:left w:val="none" w:sz="0" w:space="0" w:color="auto"/>
                <w:bottom w:val="none" w:sz="0" w:space="0" w:color="auto"/>
                <w:right w:val="none" w:sz="0" w:space="0" w:color="auto"/>
              </w:divBdr>
              <w:divsChild>
                <w:div w:id="812720894">
                  <w:marLeft w:val="0"/>
                  <w:marRight w:val="0"/>
                  <w:marTop w:val="0"/>
                  <w:marBottom w:val="0"/>
                  <w:divBdr>
                    <w:top w:val="none" w:sz="0" w:space="0" w:color="auto"/>
                    <w:left w:val="none" w:sz="0" w:space="0" w:color="auto"/>
                    <w:bottom w:val="none" w:sz="0" w:space="0" w:color="auto"/>
                    <w:right w:val="none" w:sz="0" w:space="0" w:color="auto"/>
                  </w:divBdr>
                  <w:divsChild>
                    <w:div w:id="493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222902">
      <w:bodyDiv w:val="1"/>
      <w:marLeft w:val="0"/>
      <w:marRight w:val="0"/>
      <w:marTop w:val="0"/>
      <w:marBottom w:val="0"/>
      <w:divBdr>
        <w:top w:val="none" w:sz="0" w:space="0" w:color="auto"/>
        <w:left w:val="none" w:sz="0" w:space="0" w:color="auto"/>
        <w:bottom w:val="none" w:sz="0" w:space="0" w:color="auto"/>
        <w:right w:val="none" w:sz="0" w:space="0" w:color="auto"/>
      </w:divBdr>
      <w:divsChild>
        <w:div w:id="1664626050">
          <w:marLeft w:val="0"/>
          <w:marRight w:val="0"/>
          <w:marTop w:val="0"/>
          <w:marBottom w:val="0"/>
          <w:divBdr>
            <w:top w:val="none" w:sz="0" w:space="0" w:color="auto"/>
            <w:left w:val="none" w:sz="0" w:space="0" w:color="auto"/>
            <w:bottom w:val="none" w:sz="0" w:space="0" w:color="auto"/>
            <w:right w:val="none" w:sz="0" w:space="0" w:color="auto"/>
          </w:divBdr>
          <w:divsChild>
            <w:div w:id="986789437">
              <w:marLeft w:val="0"/>
              <w:marRight w:val="0"/>
              <w:marTop w:val="0"/>
              <w:marBottom w:val="0"/>
              <w:divBdr>
                <w:top w:val="none" w:sz="0" w:space="0" w:color="auto"/>
                <w:left w:val="none" w:sz="0" w:space="0" w:color="auto"/>
                <w:bottom w:val="none" w:sz="0" w:space="0" w:color="auto"/>
                <w:right w:val="none" w:sz="0" w:space="0" w:color="auto"/>
              </w:divBdr>
              <w:divsChild>
                <w:div w:id="653531519">
                  <w:marLeft w:val="0"/>
                  <w:marRight w:val="0"/>
                  <w:marTop w:val="0"/>
                  <w:marBottom w:val="0"/>
                  <w:divBdr>
                    <w:top w:val="none" w:sz="0" w:space="0" w:color="auto"/>
                    <w:left w:val="none" w:sz="0" w:space="0" w:color="auto"/>
                    <w:bottom w:val="none" w:sz="0" w:space="0" w:color="auto"/>
                    <w:right w:val="none" w:sz="0" w:space="0" w:color="auto"/>
                  </w:divBdr>
                  <w:divsChild>
                    <w:div w:id="9672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812790">
      <w:bodyDiv w:val="1"/>
      <w:marLeft w:val="0"/>
      <w:marRight w:val="0"/>
      <w:marTop w:val="0"/>
      <w:marBottom w:val="0"/>
      <w:divBdr>
        <w:top w:val="none" w:sz="0" w:space="0" w:color="auto"/>
        <w:left w:val="none" w:sz="0" w:space="0" w:color="auto"/>
        <w:bottom w:val="none" w:sz="0" w:space="0" w:color="auto"/>
        <w:right w:val="none" w:sz="0" w:space="0" w:color="auto"/>
      </w:divBdr>
      <w:divsChild>
        <w:div w:id="19866526">
          <w:marLeft w:val="0"/>
          <w:marRight w:val="0"/>
          <w:marTop w:val="0"/>
          <w:marBottom w:val="0"/>
          <w:divBdr>
            <w:top w:val="none" w:sz="0" w:space="0" w:color="auto"/>
            <w:left w:val="none" w:sz="0" w:space="0" w:color="auto"/>
            <w:bottom w:val="none" w:sz="0" w:space="0" w:color="auto"/>
            <w:right w:val="none" w:sz="0" w:space="0" w:color="auto"/>
          </w:divBdr>
          <w:divsChild>
            <w:div w:id="1946572916">
              <w:marLeft w:val="0"/>
              <w:marRight w:val="0"/>
              <w:marTop w:val="0"/>
              <w:marBottom w:val="0"/>
              <w:divBdr>
                <w:top w:val="none" w:sz="0" w:space="0" w:color="auto"/>
                <w:left w:val="none" w:sz="0" w:space="0" w:color="auto"/>
                <w:bottom w:val="none" w:sz="0" w:space="0" w:color="auto"/>
                <w:right w:val="none" w:sz="0" w:space="0" w:color="auto"/>
              </w:divBdr>
              <w:divsChild>
                <w:div w:id="6745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20847">
      <w:bodyDiv w:val="1"/>
      <w:marLeft w:val="0"/>
      <w:marRight w:val="0"/>
      <w:marTop w:val="0"/>
      <w:marBottom w:val="0"/>
      <w:divBdr>
        <w:top w:val="none" w:sz="0" w:space="0" w:color="auto"/>
        <w:left w:val="none" w:sz="0" w:space="0" w:color="auto"/>
        <w:bottom w:val="none" w:sz="0" w:space="0" w:color="auto"/>
        <w:right w:val="none" w:sz="0" w:space="0" w:color="auto"/>
      </w:divBdr>
      <w:divsChild>
        <w:div w:id="831023735">
          <w:marLeft w:val="0"/>
          <w:marRight w:val="0"/>
          <w:marTop w:val="0"/>
          <w:marBottom w:val="0"/>
          <w:divBdr>
            <w:top w:val="none" w:sz="0" w:space="0" w:color="auto"/>
            <w:left w:val="none" w:sz="0" w:space="0" w:color="auto"/>
            <w:bottom w:val="none" w:sz="0" w:space="0" w:color="auto"/>
            <w:right w:val="none" w:sz="0" w:space="0" w:color="auto"/>
          </w:divBdr>
          <w:divsChild>
            <w:div w:id="42019984">
              <w:marLeft w:val="0"/>
              <w:marRight w:val="0"/>
              <w:marTop w:val="0"/>
              <w:marBottom w:val="0"/>
              <w:divBdr>
                <w:top w:val="none" w:sz="0" w:space="0" w:color="auto"/>
                <w:left w:val="none" w:sz="0" w:space="0" w:color="auto"/>
                <w:bottom w:val="none" w:sz="0" w:space="0" w:color="auto"/>
                <w:right w:val="none" w:sz="0" w:space="0" w:color="auto"/>
              </w:divBdr>
              <w:divsChild>
                <w:div w:id="12368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82056">
      <w:bodyDiv w:val="1"/>
      <w:marLeft w:val="0"/>
      <w:marRight w:val="0"/>
      <w:marTop w:val="0"/>
      <w:marBottom w:val="0"/>
      <w:divBdr>
        <w:top w:val="none" w:sz="0" w:space="0" w:color="auto"/>
        <w:left w:val="none" w:sz="0" w:space="0" w:color="auto"/>
        <w:bottom w:val="none" w:sz="0" w:space="0" w:color="auto"/>
        <w:right w:val="none" w:sz="0" w:space="0" w:color="auto"/>
      </w:divBdr>
      <w:divsChild>
        <w:div w:id="1525941889">
          <w:marLeft w:val="0"/>
          <w:marRight w:val="0"/>
          <w:marTop w:val="0"/>
          <w:marBottom w:val="0"/>
          <w:divBdr>
            <w:top w:val="none" w:sz="0" w:space="0" w:color="auto"/>
            <w:left w:val="none" w:sz="0" w:space="0" w:color="auto"/>
            <w:bottom w:val="none" w:sz="0" w:space="0" w:color="auto"/>
            <w:right w:val="none" w:sz="0" w:space="0" w:color="auto"/>
          </w:divBdr>
          <w:divsChild>
            <w:div w:id="2063558025">
              <w:marLeft w:val="0"/>
              <w:marRight w:val="0"/>
              <w:marTop w:val="0"/>
              <w:marBottom w:val="0"/>
              <w:divBdr>
                <w:top w:val="none" w:sz="0" w:space="0" w:color="auto"/>
                <w:left w:val="none" w:sz="0" w:space="0" w:color="auto"/>
                <w:bottom w:val="none" w:sz="0" w:space="0" w:color="auto"/>
                <w:right w:val="none" w:sz="0" w:space="0" w:color="auto"/>
              </w:divBdr>
              <w:divsChild>
                <w:div w:id="14315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60720">
      <w:bodyDiv w:val="1"/>
      <w:marLeft w:val="0"/>
      <w:marRight w:val="0"/>
      <w:marTop w:val="0"/>
      <w:marBottom w:val="0"/>
      <w:divBdr>
        <w:top w:val="none" w:sz="0" w:space="0" w:color="auto"/>
        <w:left w:val="none" w:sz="0" w:space="0" w:color="auto"/>
        <w:bottom w:val="none" w:sz="0" w:space="0" w:color="auto"/>
        <w:right w:val="none" w:sz="0" w:space="0" w:color="auto"/>
      </w:divBdr>
    </w:div>
    <w:div w:id="2081556312">
      <w:bodyDiv w:val="1"/>
      <w:marLeft w:val="0"/>
      <w:marRight w:val="0"/>
      <w:marTop w:val="0"/>
      <w:marBottom w:val="0"/>
      <w:divBdr>
        <w:top w:val="none" w:sz="0" w:space="0" w:color="auto"/>
        <w:left w:val="none" w:sz="0" w:space="0" w:color="auto"/>
        <w:bottom w:val="none" w:sz="0" w:space="0" w:color="auto"/>
        <w:right w:val="none" w:sz="0" w:space="0" w:color="auto"/>
      </w:divBdr>
      <w:divsChild>
        <w:div w:id="227957659">
          <w:marLeft w:val="0"/>
          <w:marRight w:val="0"/>
          <w:marTop w:val="0"/>
          <w:marBottom w:val="0"/>
          <w:divBdr>
            <w:top w:val="none" w:sz="0" w:space="0" w:color="auto"/>
            <w:left w:val="none" w:sz="0" w:space="0" w:color="auto"/>
            <w:bottom w:val="none" w:sz="0" w:space="0" w:color="auto"/>
            <w:right w:val="none" w:sz="0" w:space="0" w:color="auto"/>
          </w:divBdr>
          <w:divsChild>
            <w:div w:id="1340349272">
              <w:marLeft w:val="0"/>
              <w:marRight w:val="0"/>
              <w:marTop w:val="0"/>
              <w:marBottom w:val="0"/>
              <w:divBdr>
                <w:top w:val="none" w:sz="0" w:space="0" w:color="auto"/>
                <w:left w:val="none" w:sz="0" w:space="0" w:color="auto"/>
                <w:bottom w:val="none" w:sz="0" w:space="0" w:color="auto"/>
                <w:right w:val="none" w:sz="0" w:space="0" w:color="auto"/>
              </w:divBdr>
              <w:divsChild>
                <w:div w:id="1945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49828">
      <w:bodyDiv w:val="1"/>
      <w:marLeft w:val="0"/>
      <w:marRight w:val="0"/>
      <w:marTop w:val="0"/>
      <w:marBottom w:val="0"/>
      <w:divBdr>
        <w:top w:val="none" w:sz="0" w:space="0" w:color="auto"/>
        <w:left w:val="none" w:sz="0" w:space="0" w:color="auto"/>
        <w:bottom w:val="none" w:sz="0" w:space="0" w:color="auto"/>
        <w:right w:val="none" w:sz="0" w:space="0" w:color="auto"/>
      </w:divBdr>
      <w:divsChild>
        <w:div w:id="1468818669">
          <w:marLeft w:val="0"/>
          <w:marRight w:val="0"/>
          <w:marTop w:val="0"/>
          <w:marBottom w:val="0"/>
          <w:divBdr>
            <w:top w:val="none" w:sz="0" w:space="0" w:color="auto"/>
            <w:left w:val="none" w:sz="0" w:space="0" w:color="auto"/>
            <w:bottom w:val="none" w:sz="0" w:space="0" w:color="auto"/>
            <w:right w:val="none" w:sz="0" w:space="0" w:color="auto"/>
          </w:divBdr>
          <w:divsChild>
            <w:div w:id="353195663">
              <w:marLeft w:val="0"/>
              <w:marRight w:val="0"/>
              <w:marTop w:val="0"/>
              <w:marBottom w:val="0"/>
              <w:divBdr>
                <w:top w:val="none" w:sz="0" w:space="0" w:color="auto"/>
                <w:left w:val="none" w:sz="0" w:space="0" w:color="auto"/>
                <w:bottom w:val="none" w:sz="0" w:space="0" w:color="auto"/>
                <w:right w:val="none" w:sz="0" w:space="0" w:color="auto"/>
              </w:divBdr>
              <w:divsChild>
                <w:div w:id="12325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83572-490E-4743-9BAF-355089865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10582</Words>
  <Characters>60322</Characters>
  <Application>Microsoft Office Word</Application>
  <DocSecurity>0</DocSecurity>
  <Lines>502</Lines>
  <Paragraphs>141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LinksUpToDate>false</LinksUpToDate>
  <CharactersWithSpaces>70763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2024-07-31T06:40:00Z</dcterms:created>
  <dcterms:modified xsi:type="dcterms:W3CDTF">2025-09-29T12:17:00Z</dcterms:modifi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e45c6646-4bad-3c3e-a254-6a0732e4f752</vt:lpwstr>
  </property>
  <property fmtid="{D5CDD505-2E9C-101B-9397-08002B2CF9AE}" pid="24" name="Mendeley Citation Style_1">
    <vt:lpwstr>http://www.zotero.org/styles/vancouver-brackets</vt:lpwstr>
  </property>
</Properties>
</file>