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CB288D" w14:textId="7B71A1FF" w:rsidR="00B14B05" w:rsidRDefault="00B14B05">
      <w:pPr>
        <w:spacing w:line="360" w:lineRule="exact"/>
        <w:rPr>
          <w:color w:val="auto"/>
          <w:lang w:eastAsia="en-GB"/>
        </w:rPr>
      </w:pPr>
      <w:r>
        <w:rPr>
          <w:noProof/>
        </w:rPr>
        <w:drawing>
          <wp:anchor distT="0" distB="0" distL="0" distR="0" simplePos="0" relativeHeight="251658240" behindDoc="1" locked="0" layoutInCell="1" allowOverlap="1" wp14:anchorId="1B7B5F65" wp14:editId="457A2F33">
            <wp:simplePos x="0" y="0"/>
            <wp:positionH relativeFrom="margin">
              <wp:posOffset>636905</wp:posOffset>
            </wp:positionH>
            <wp:positionV relativeFrom="margin">
              <wp:posOffset>0</wp:posOffset>
            </wp:positionV>
            <wp:extent cx="1935480" cy="746760"/>
            <wp:effectExtent l="0" t="0" r="0" b="0"/>
            <wp:wrapNone/>
            <wp:docPr id="11163025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35480" cy="746760"/>
                    </a:xfrm>
                    <a:prstGeom prst="rect">
                      <a:avLst/>
                    </a:prstGeom>
                    <a:noFill/>
                  </pic:spPr>
                </pic:pic>
              </a:graphicData>
            </a:graphic>
            <wp14:sizeRelH relativeFrom="page">
              <wp14:pctWidth>0</wp14:pctWidth>
            </wp14:sizeRelH>
            <wp14:sizeRelV relativeFrom="page">
              <wp14:pctHeight>0</wp14:pctHeight>
            </wp14:sizeRelV>
          </wp:anchor>
        </w:drawing>
      </w:r>
    </w:p>
    <w:p w14:paraId="13DF889C" w14:textId="77777777" w:rsidR="00B14B05" w:rsidRDefault="00B14B05">
      <w:pPr>
        <w:spacing w:line="360" w:lineRule="exact"/>
        <w:rPr>
          <w:color w:val="auto"/>
          <w:lang w:eastAsia="en-GB"/>
        </w:rPr>
      </w:pPr>
    </w:p>
    <w:p w14:paraId="018884EB" w14:textId="77777777" w:rsidR="00B14B05" w:rsidRDefault="00B14B05">
      <w:pPr>
        <w:spacing w:after="455" w:line="1" w:lineRule="exact"/>
        <w:rPr>
          <w:color w:val="auto"/>
          <w:lang w:eastAsia="en-GB"/>
        </w:rPr>
      </w:pPr>
    </w:p>
    <w:p w14:paraId="6D5FE058" w14:textId="77777777" w:rsidR="00B14B05" w:rsidRDefault="00B14B05">
      <w:pPr>
        <w:spacing w:line="1" w:lineRule="exact"/>
        <w:rPr>
          <w:color w:val="auto"/>
          <w:lang w:eastAsia="en-GB"/>
        </w:rPr>
        <w:sectPr w:rsidR="00000000">
          <w:footerReference w:type="default" r:id="rId8"/>
          <w:pgSz w:w="12149" w:h="16834"/>
          <w:pgMar w:top="805" w:right="999" w:bottom="1063" w:left="44" w:header="377" w:footer="3" w:gutter="0"/>
          <w:pgNumType w:start="1"/>
          <w:cols w:space="720"/>
          <w:noEndnote/>
          <w:docGrid w:linePitch="360"/>
        </w:sectPr>
      </w:pPr>
    </w:p>
    <w:p w14:paraId="122E79EC" w14:textId="3A169B8A" w:rsidR="00B14B05" w:rsidRDefault="00B14B05">
      <w:pPr>
        <w:pStyle w:val="Style8"/>
        <w:spacing w:after="280"/>
        <w:rPr>
          <w:rFonts w:ascii="Times New Roman" w:hAnsi="Times New Roman" w:cs="Times New Roman"/>
          <w:color w:val="auto"/>
          <w:sz w:val="24"/>
          <w:szCs w:val="24"/>
        </w:rPr>
      </w:pPr>
      <w:r>
        <w:rPr>
          <w:noProof/>
        </w:rPr>
        <mc:AlternateContent>
          <mc:Choice Requires="wps">
            <w:drawing>
              <wp:anchor distT="0" distB="0" distL="114300" distR="114300" simplePos="0" relativeHeight="251659264" behindDoc="0" locked="0" layoutInCell="1" allowOverlap="1" wp14:anchorId="6707618F" wp14:editId="22B94EF4">
                <wp:simplePos x="0" y="0"/>
                <wp:positionH relativeFrom="margin">
                  <wp:posOffset>6038215</wp:posOffset>
                </wp:positionH>
                <wp:positionV relativeFrom="paragraph">
                  <wp:posOffset>12700</wp:posOffset>
                </wp:positionV>
                <wp:extent cx="247015" cy="133985"/>
                <wp:effectExtent l="1905" t="3810" r="0" b="0"/>
                <wp:wrapSquare wrapText="left"/>
                <wp:docPr id="205412242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015"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1640EA" w14:textId="77777777" w:rsidR="00B14B05" w:rsidRDefault="00B14B05">
                            <w:pPr>
                              <w:pStyle w:val="Style8"/>
                              <w:shd w:val="clear" w:color="auto" w:fill="246B41"/>
                              <w:spacing w:after="0"/>
                              <w:jc w:val="right"/>
                              <w:rPr>
                                <w:rFonts w:ascii="Times New Roman" w:hAnsi="Times New Roman" w:cs="Times New Roman"/>
                                <w:color w:val="auto"/>
                                <w:sz w:val="24"/>
                                <w:szCs w:val="24"/>
                              </w:rPr>
                            </w:pPr>
                            <w:r>
                              <w:rPr>
                                <w:rStyle w:val="CharStyle9"/>
                                <w:color w:val="FFFFFF"/>
                                <w:lang w:eastAsia="en-US"/>
                              </w:rPr>
                              <w:t>Article</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07618F" id="_x0000_t202" coordsize="21600,21600" o:spt="202" path="m,l,21600r21600,l21600,xe">
                <v:stroke joinstyle="miter"/>
                <v:path gradientshapeok="t" o:connecttype="rect"/>
              </v:shapetype>
              <v:shape id="Text Box 4" o:spid="_x0000_s1026" type="#_x0000_t202" style="position:absolute;margin-left:475.45pt;margin-top:1pt;width:19.45pt;height:10.55pt;z-index:251659264;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" filled="f" stroked="f">
                <v:textbox inset="0,0,0,0">
                  <w:txbxContent>
                    <w:p w14:paraId="381640EA" w14:textId="77777777" w:rsidR="00B14B05" w:rsidRDefault="00B14B05">
                      <w:pPr>
                        <w:pStyle w:val="Style8"/>
                        <w:shd w:val="clear" w:color="auto" w:fill="246B41"/>
                        <w:spacing w:after="0"/>
                        <w:jc w:val="right"/>
                        <w:rPr>
                          <w:rFonts w:ascii="Times New Roman" w:hAnsi="Times New Roman" w:cs="Times New Roman"/>
                          <w:color w:val="auto"/>
                          <w:sz w:val="24"/>
                          <w:szCs w:val="24"/>
                        </w:rPr>
                      </w:pPr>
                      <w:r>
                        <w:rPr>
                          <w:rStyle w:val="CharStyle9"/>
                          <w:color w:val="FFFFFF"/>
                          <w:lang w:eastAsia="en-US"/>
                        </w:rPr>
                        <w:t>Article</w:t>
                      </w:r>
                    </w:p>
                  </w:txbxContent>
                </v:textbox>
                <w10:wrap type="square" side="left" anchorx="margin"/>
              </v:shape>
            </w:pict>
          </mc:Fallback>
        </mc:AlternateContent>
      </w:r>
      <w:r>
        <w:rPr>
          <w:rStyle w:val="CharStyle9"/>
          <w:lang w:eastAsia="en-US"/>
        </w:rPr>
        <w:t>pubs.acs.org/est</w:t>
      </w:r>
    </w:p>
    <w:p w14:paraId="1C080B9C" w14:textId="77777777" w:rsidR="00B14B05" w:rsidRDefault="00B14B05">
      <w:pPr>
        <w:pStyle w:val="Style31"/>
        <w:keepNext/>
        <w:keepLines/>
        <w:rPr>
          <w:rFonts w:ascii="Times New Roman" w:hAnsi="Times New Roman" w:cs="Times New Roman"/>
          <w:b w:val="0"/>
          <w:bCs w:val="0"/>
          <w:sz w:val="24"/>
          <w:szCs w:val="24"/>
        </w:rPr>
      </w:pPr>
      <w:bookmarkStart w:id="0" w:name="bookmark4"/>
      <w:r>
        <w:rPr>
          <w:rStyle w:val="CharStyle32"/>
          <w:b/>
          <w:bCs/>
          <w:lang w:eastAsia="en-US"/>
        </w:rPr>
        <w:t>DSMG-Chip: A High-Throughput Degenerate qPCR Chip for Profiling Microbial DMSP and Related Organic Sulfur Metabolic Genes in Diverse Environments</w:t>
      </w:r>
      <w:bookmarkEnd w:id="0"/>
    </w:p>
    <w:p w14:paraId="7BB20DF9" w14:textId="77777777" w:rsidR="00B14B05" w:rsidRDefault="00B14B05">
      <w:pPr>
        <w:pStyle w:val="Style33"/>
        <w:keepNext/>
        <w:keepLines/>
        <w:rPr>
          <w:rFonts w:ascii="Times New Roman" w:hAnsi="Times New Roman" w:cs="Times New Roman"/>
          <w:sz w:val="24"/>
          <w:szCs w:val="24"/>
        </w:rPr>
      </w:pPr>
      <w:hyperlink r:id="rId9" w:history="1">
        <w:bookmarkStart w:id="1" w:name="bookmark6"/>
        <w:r>
          <w:rPr>
            <w:rStyle w:val="CharStyle34"/>
            <w:lang w:eastAsia="en-US"/>
          </w:rPr>
          <w:t>Dong Liu,</w:t>
        </w:r>
      </w:hyperlink>
      <w:hyperlink r:id="rId10" w:history="1">
        <w:r>
          <w:rPr>
            <w:rStyle w:val="CharStyle34"/>
            <w:lang w:eastAsia="en-US"/>
          </w:rPr>
          <w:t xml:space="preserve"> Yunhui Zhang,</w:t>
        </w:r>
      </w:hyperlink>
      <w:hyperlink r:id="rId11" w:history="1">
        <w:r>
          <w:rPr>
            <w:rStyle w:val="CharStyle34"/>
            <w:lang w:eastAsia="en-US"/>
          </w:rPr>
          <w:t xml:space="preserve"> Hai Shi,</w:t>
        </w:r>
      </w:hyperlink>
      <w:hyperlink r:id="rId12" w:history="1">
        <w:r>
          <w:rPr>
            <w:rStyle w:val="CharStyle34"/>
            <w:lang w:eastAsia="en-US"/>
          </w:rPr>
          <w:t xml:space="preserve"> Zihua Guo,</w:t>
        </w:r>
      </w:hyperlink>
      <w:hyperlink r:id="rId13" w:history="1">
        <w:r>
          <w:rPr>
            <w:rStyle w:val="CharStyle34"/>
            <w:lang w:eastAsia="en-US"/>
          </w:rPr>
          <w:t xml:space="preserve"> Gary Rowley,</w:t>
        </w:r>
      </w:hyperlink>
      <w:hyperlink r:id="rId14" w:history="1">
        <w:r>
          <w:rPr>
            <w:rStyle w:val="CharStyle34"/>
            <w:lang w:eastAsia="en-US"/>
          </w:rPr>
          <w:t xml:space="preserve"> Jonathan D. Todd,</w:t>
        </w:r>
      </w:hyperlink>
      <w:hyperlink r:id="rId15" w:history="1">
        <w:r>
          <w:rPr>
            <w:rStyle w:val="CharStyle34"/>
            <w:lang w:eastAsia="en-US"/>
          </w:rPr>
          <w:t xml:space="preserve"> and Xiao-Hua Zhang</w:t>
        </w:r>
      </w:hyperlink>
      <w:r>
        <w:rPr>
          <w:rStyle w:val="CharStyle34"/>
          <w:color w:val="0D54A6"/>
          <w:sz w:val="22"/>
          <w:szCs w:val="22"/>
          <w:lang w:eastAsia="en-US"/>
        </w:rPr>
        <w:t>*</w:t>
      </w:r>
      <w:bookmarkEnd w:id="1"/>
    </w:p>
    <w:p w14:paraId="78CF1366" w14:textId="21909E9A" w:rsidR="00B14B05" w:rsidRDefault="00B14B05">
      <w:pPr>
        <w:pStyle w:val="Style11"/>
        <w:pBdr>
          <w:bottom w:val="single" w:sz="4" w:space="0" w:color="auto"/>
        </w:pBdr>
        <w:spacing w:line="240" w:lineRule="auto"/>
        <w:ind w:firstLine="480"/>
        <w:rPr>
          <w:rFonts w:ascii="Times New Roman" w:hAnsi="Times New Roman" w:cs="Times New Roman"/>
          <w:sz w:val="24"/>
          <w:szCs w:val="24"/>
        </w:rPr>
      </w:pPr>
      <w:r>
        <w:rPr>
          <w:noProof/>
        </w:rPr>
        <mc:AlternateContent>
          <mc:Choice Requires="wps">
            <w:drawing>
              <wp:anchor distT="0" distB="0" distL="114300" distR="114300" simplePos="0" relativeHeight="251660288" behindDoc="0" locked="0" layoutInCell="1" allowOverlap="1" wp14:anchorId="213689D0" wp14:editId="216101D9">
                <wp:simplePos x="0" y="0"/>
                <wp:positionH relativeFrom="margin">
                  <wp:posOffset>3636010</wp:posOffset>
                </wp:positionH>
                <wp:positionV relativeFrom="paragraph">
                  <wp:posOffset>12700</wp:posOffset>
                </wp:positionV>
                <wp:extent cx="629920" cy="155575"/>
                <wp:effectExtent l="0" t="0" r="0" b="0"/>
                <wp:wrapSquare wrapText="left"/>
                <wp:docPr id="208533330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920" cy="155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045B4B" w14:textId="77777777" w:rsidR="00B14B05" w:rsidRDefault="00B14B05">
                            <w:pPr>
                              <w:pStyle w:val="Style11"/>
                              <w:spacing w:line="240" w:lineRule="auto"/>
                              <w:ind w:firstLine="0"/>
                              <w:rPr>
                                <w:rFonts w:ascii="Times New Roman" w:hAnsi="Times New Roman" w:cs="Times New Roman"/>
                                <w:sz w:val="24"/>
                                <w:szCs w:val="24"/>
                              </w:rPr>
                            </w:pPr>
                            <w:hyperlink r:id="rId16" w:history="1">
                              <w:r>
                                <w:rPr>
                                  <w:rStyle w:val="CharStyle12"/>
                                  <w:b/>
                                  <w:bCs/>
                                  <w:color w:val="1F4CA1"/>
                                  <w:sz w:val="17"/>
                                  <w:szCs w:val="17"/>
                                  <w:lang w:eastAsia="en-US"/>
                                </w:rPr>
                                <w:t>Read Online</w:t>
                              </w:r>
                            </w:hyperlink>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3689D0" id="Text Box 5" o:spid="_x0000_s1027" type="#_x0000_t202" style="position:absolute;left:0;text-align:left;margin-left:286.3pt;margin-top:1pt;width:49.6pt;height:12.25pt;z-index:251660288;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" filled="f" stroked="f">
                <v:textbox inset="0,0,0,0">
                  <w:txbxContent>
                    <w:p w14:paraId="4C045B4B" w14:textId="77777777" w:rsidR="00B14B05" w:rsidRDefault="00B14B05">
                      <w:pPr>
                        <w:pStyle w:val="Style11"/>
                        <w:spacing w:line="240" w:lineRule="auto"/>
                        <w:ind w:firstLine="0"/>
                        <w:rPr>
                          <w:rFonts w:ascii="Times New Roman" w:hAnsi="Times New Roman" w:cs="Times New Roman"/>
                          <w:sz w:val="24"/>
                          <w:szCs w:val="24"/>
                        </w:rPr>
                      </w:pPr>
                      <w:hyperlink r:id="rId17" w:history="1">
                        <w:r>
                          <w:rPr>
                            <w:rStyle w:val="CharStyle12"/>
                            <w:b/>
                            <w:bCs/>
                            <w:color w:val="1F4CA1"/>
                            <w:sz w:val="17"/>
                            <w:szCs w:val="17"/>
                            <w:lang w:eastAsia="en-US"/>
                          </w:rPr>
                          <w:t>Read Online</w:t>
                        </w:r>
                      </w:hyperlink>
                    </w:p>
                  </w:txbxContent>
                </v:textbox>
                <w10:wrap type="square" side="left" anchorx="margin"/>
              </v:shape>
            </w:pict>
          </mc:Fallback>
        </mc:AlternateContent>
      </w:r>
      <w:r>
        <w:rPr>
          <w:rStyle w:val="CharStyle12"/>
          <w:b/>
          <w:bCs/>
          <w:sz w:val="17"/>
          <w:szCs w:val="17"/>
          <w:lang w:eastAsia="en-US"/>
        </w:rPr>
        <w:t xml:space="preserve">Cite This: </w:t>
      </w:r>
      <w:r>
        <w:rPr>
          <w:rStyle w:val="CharStyle12"/>
          <w:color w:val="1F4CA1"/>
          <w:sz w:val="17"/>
          <w:szCs w:val="17"/>
          <w:lang w:eastAsia="en-US"/>
        </w:rPr>
        <w:t>https://doi.org/10.1021/acs.est.5c10820</w:t>
      </w:r>
    </w:p>
    <w:p w14:paraId="3B281954" w14:textId="14A77C44" w:rsidR="00B14B05" w:rsidRDefault="00B14B05">
      <w:pPr>
        <w:spacing w:line="1" w:lineRule="exact"/>
        <w:rPr>
          <w:color w:val="auto"/>
          <w:lang w:eastAsia="en-GB"/>
        </w:rPr>
        <w:sectPr w:rsidR="00000000">
          <w:type w:val="continuous"/>
          <w:pgSz w:w="12149" w:h="16834"/>
          <w:pgMar w:top="780" w:right="999" w:bottom="690" w:left="1009" w:header="0" w:footer="3" w:gutter="0"/>
          <w:cols w:space="720"/>
          <w:noEndnote/>
          <w:docGrid w:linePitch="360"/>
        </w:sectPr>
      </w:pPr>
      <w:r>
        <w:rPr>
          <w:noProof/>
        </w:rPr>
        <mc:AlternateContent>
          <mc:Choice Requires="wps">
            <w:drawing>
              <wp:anchor distT="288290" distB="2383790" distL="0" distR="0" simplePos="0" relativeHeight="251661312" behindDoc="0" locked="0" layoutInCell="1" allowOverlap="1" wp14:anchorId="4451A264" wp14:editId="17042260">
                <wp:simplePos x="0" y="0"/>
                <wp:positionH relativeFrom="margin">
                  <wp:posOffset>-612775</wp:posOffset>
                </wp:positionH>
                <wp:positionV relativeFrom="paragraph">
                  <wp:posOffset>288290</wp:posOffset>
                </wp:positionV>
                <wp:extent cx="240665" cy="4148455"/>
                <wp:effectExtent l="0" t="2540" r="0" b="1905"/>
                <wp:wrapTopAndBottom/>
                <wp:docPr id="83972281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665" cy="4148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2B534B" w14:textId="77777777" w:rsidR="00B14B05" w:rsidRDefault="00B14B05">
                            <w:pPr>
                              <w:pStyle w:val="Style14"/>
                              <w:spacing w:line="240" w:lineRule="auto"/>
                              <w:jc w:val="center"/>
                              <w:rPr>
                                <w:sz w:val="24"/>
                                <w:szCs w:val="24"/>
                              </w:rPr>
                            </w:pPr>
                            <w:r>
                              <w:rPr>
                                <w:rStyle w:val="CharStyle15"/>
                                <w:lang w:eastAsia="en-US"/>
                              </w:rPr>
                              <w:t>Downloaded via UNIV OF EAST ANGLIA on November 4, 2025 at 15:10:55 (UTC).</w:t>
                            </w:r>
                          </w:p>
                          <w:p w14:paraId="06274A9A" w14:textId="77777777" w:rsidR="00B14B05" w:rsidRDefault="00B14B05">
                            <w:pPr>
                              <w:pStyle w:val="Style14"/>
                              <w:spacing w:line="230" w:lineRule="auto"/>
                              <w:rPr>
                                <w:sz w:val="24"/>
                                <w:szCs w:val="24"/>
                              </w:rPr>
                            </w:pPr>
                            <w:r>
                              <w:rPr>
                                <w:rStyle w:val="CharStyle15"/>
                                <w:lang w:eastAsia="en-US"/>
                              </w:rPr>
                              <w:t xml:space="preserve">See </w:t>
                            </w:r>
                            <w:hyperlink r:id="rId18" w:history="1">
                              <w:r>
                                <w:rPr>
                                  <w:rStyle w:val="CharStyle15"/>
                                  <w:lang w:eastAsia="en-US"/>
                                </w:rPr>
                                <w:t>https://pubs.acs.org/sharingguidelines</w:t>
                              </w:r>
                            </w:hyperlink>
                            <w:r>
                              <w:rPr>
                                <w:rStyle w:val="CharStyle15"/>
                                <w:lang w:eastAsia="en-US"/>
                              </w:rPr>
                              <w:t xml:space="preserve"> for options on how to legitimately share published articles.</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51A264" id="Text Box 6" o:spid="_x0000_s1028" type="#_x0000_t202" style="position:absolute;margin-left:-48.25pt;margin-top:22.7pt;width:18.95pt;height:326.65pt;z-index:251661312;visibility:visible;mso-wrap-style:square;mso-width-percent:0;mso-height-percent:0;mso-wrap-distance-left:0;mso-wrap-distance-top:22.7pt;mso-wrap-distance-right:0;mso-wrap-distance-bottom:187.7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" filled="f" stroked="f">
                <v:textbox style="layout-flow:vertical;mso-layout-flow-alt:bottom-to-top" inset="0,0,0,0">
                  <w:txbxContent>
                    <w:p w14:paraId="512B534B" w14:textId="77777777" w:rsidR="00B14B05" w:rsidRDefault="00B14B05">
                      <w:pPr>
                        <w:pStyle w:val="Style14"/>
                        <w:spacing w:line="240" w:lineRule="auto"/>
                        <w:jc w:val="center"/>
                        <w:rPr>
                          <w:sz w:val="24"/>
                          <w:szCs w:val="24"/>
                        </w:rPr>
                      </w:pPr>
                      <w:r>
                        <w:rPr>
                          <w:rStyle w:val="CharStyle15"/>
                          <w:lang w:eastAsia="en-US"/>
                        </w:rPr>
                        <w:t>Downloaded via UNIV OF EAST ANGLIA on November 4, 2025 at 15:10:55 (UTC).</w:t>
                      </w:r>
                    </w:p>
                    <w:p w14:paraId="06274A9A" w14:textId="77777777" w:rsidR="00B14B05" w:rsidRDefault="00B14B05">
                      <w:pPr>
                        <w:pStyle w:val="Style14"/>
                        <w:spacing w:line="230" w:lineRule="auto"/>
                        <w:rPr>
                          <w:sz w:val="24"/>
                          <w:szCs w:val="24"/>
                        </w:rPr>
                      </w:pPr>
                      <w:r>
                        <w:rPr>
                          <w:rStyle w:val="CharStyle15"/>
                          <w:lang w:eastAsia="en-US"/>
                        </w:rPr>
                        <w:t xml:space="preserve">See </w:t>
                      </w:r>
                      <w:hyperlink r:id="rId19" w:history="1">
                        <w:r>
                          <w:rPr>
                            <w:rStyle w:val="CharStyle15"/>
                            <w:lang w:eastAsia="en-US"/>
                          </w:rPr>
                          <w:t>https://pubs.acs.org/sharingguidelines</w:t>
                        </w:r>
                      </w:hyperlink>
                      <w:r>
                        <w:rPr>
                          <w:rStyle w:val="CharStyle15"/>
                          <w:lang w:eastAsia="en-US"/>
                        </w:rPr>
                        <w:t xml:space="preserve"> for options on how to legitimately share published articles.</w:t>
                      </w:r>
                    </w:p>
                  </w:txbxContent>
                </v:textbox>
                <w10:wrap type="topAndBottom" anchorx="margin"/>
              </v:shape>
            </w:pict>
          </mc:Fallback>
        </mc:AlternateContent>
      </w:r>
      <w:r>
        <w:rPr>
          <w:noProof/>
        </w:rPr>
        <mc:AlternateContent>
          <mc:Choice Requires="wps">
            <w:drawing>
              <wp:anchor distT="127000" distB="6428105" distL="0" distR="0" simplePos="0" relativeHeight="251662336" behindDoc="0" locked="0" layoutInCell="1" allowOverlap="1" wp14:anchorId="0ACFA827" wp14:editId="36BB5FB3">
                <wp:simplePos x="0" y="0"/>
                <wp:positionH relativeFrom="margin">
                  <wp:posOffset>12065</wp:posOffset>
                </wp:positionH>
                <wp:positionV relativeFrom="paragraph">
                  <wp:posOffset>127000</wp:posOffset>
                </wp:positionV>
                <wp:extent cx="679450" cy="265430"/>
                <wp:effectExtent l="0" t="3175" r="1270" b="0"/>
                <wp:wrapTopAndBottom/>
                <wp:docPr id="178760730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9450" cy="265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D39DE3" w14:textId="77777777" w:rsidR="00B14B05" w:rsidRDefault="00B14B05">
                            <w:pPr>
                              <w:pStyle w:val="Style16"/>
                              <w:keepNext/>
                              <w:keepLines/>
                              <w:rPr>
                                <w:rFonts w:ascii="Times New Roman" w:hAnsi="Times New Roman" w:cs="Times New Roman"/>
                                <w:color w:val="auto"/>
                                <w:sz w:val="24"/>
                                <w:szCs w:val="24"/>
                              </w:rPr>
                            </w:pPr>
                            <w:bookmarkStart w:id="2" w:name="bookmark0"/>
                            <w:r>
                              <w:rPr>
                                <w:rStyle w:val="CharStyle17"/>
                                <w:lang w:eastAsia="en-US"/>
                              </w:rPr>
                              <w:t>ACCESS</w:t>
                            </w:r>
                            <w:bookmarkEnd w:id="2"/>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CFA827" id="Text Box 7" o:spid="_x0000_s1029" type="#_x0000_t202" style="position:absolute;margin-left:.95pt;margin-top:10pt;width:53.5pt;height:20.9pt;z-index:251662336;visibility:visible;mso-wrap-style:none;mso-width-percent:0;mso-height-percent:0;mso-wrap-distance-left:0;mso-wrap-distance-top:10pt;mso-wrap-distance-right:0;mso-wrap-distance-bottom:506.1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" filled="f" stroked="f">
                <v:textbox inset="0,0,0,0">
                  <w:txbxContent>
                    <w:p w14:paraId="53D39DE3" w14:textId="77777777" w:rsidR="00B14B05" w:rsidRDefault="00B14B05">
                      <w:pPr>
                        <w:pStyle w:val="Style16"/>
                        <w:keepNext/>
                        <w:keepLines/>
                        <w:rPr>
                          <w:rFonts w:ascii="Times New Roman" w:hAnsi="Times New Roman" w:cs="Times New Roman"/>
                          <w:color w:val="auto"/>
                          <w:sz w:val="24"/>
                          <w:szCs w:val="24"/>
                        </w:rPr>
                      </w:pPr>
                      <w:bookmarkStart w:id="3" w:name="bookmark0"/>
                      <w:r>
                        <w:rPr>
                          <w:rStyle w:val="CharStyle17"/>
                          <w:lang w:eastAsia="en-US"/>
                        </w:rPr>
                        <w:t>ACCESS</w:t>
                      </w:r>
                      <w:bookmarkEnd w:id="3"/>
                    </w:p>
                  </w:txbxContent>
                </v:textbox>
                <w10:wrap type="topAndBottom" anchorx="margin"/>
              </v:shape>
            </w:pict>
          </mc:Fallback>
        </mc:AlternateContent>
      </w:r>
      <w:r>
        <w:rPr>
          <w:noProof/>
        </w:rPr>
        <mc:AlternateContent>
          <mc:Choice Requires="wps">
            <w:drawing>
              <wp:anchor distT="209550" distB="6452235" distL="0" distR="0" simplePos="0" relativeHeight="251663360" behindDoc="0" locked="0" layoutInCell="1" allowOverlap="1" wp14:anchorId="5B72A121" wp14:editId="2CC88CEF">
                <wp:simplePos x="0" y="0"/>
                <wp:positionH relativeFrom="margin">
                  <wp:posOffset>1344295</wp:posOffset>
                </wp:positionH>
                <wp:positionV relativeFrom="paragraph">
                  <wp:posOffset>209550</wp:posOffset>
                </wp:positionV>
                <wp:extent cx="683260" cy="158750"/>
                <wp:effectExtent l="3810" t="0" r="0" b="3175"/>
                <wp:wrapTopAndBottom/>
                <wp:docPr id="203802830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260" cy="158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055749" w14:textId="77777777" w:rsidR="00B14B05" w:rsidRDefault="00B14B05">
                            <w:pPr>
                              <w:pStyle w:val="Style11"/>
                              <w:spacing w:line="240" w:lineRule="auto"/>
                              <w:ind w:firstLine="0"/>
                              <w:rPr>
                                <w:rFonts w:ascii="Times New Roman" w:hAnsi="Times New Roman" w:cs="Times New Roman"/>
                                <w:sz w:val="24"/>
                                <w:szCs w:val="24"/>
                              </w:rPr>
                            </w:pPr>
                            <w:hyperlink r:id="rId20" w:history="1">
                              <w:r>
                                <w:rPr>
                                  <w:rStyle w:val="CharStyle12"/>
                                  <w:sz w:val="16"/>
                                  <w:szCs w:val="16"/>
                                  <w:lang w:eastAsia="en-US"/>
                                </w:rPr>
                                <w:t>Metrics &amp; More</w:t>
                              </w:r>
                            </w:hyperlink>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72A121" id="Text Box 8" o:spid="_x0000_s1030" type="#_x0000_t202" style="position:absolute;margin-left:105.85pt;margin-top:16.5pt;width:53.8pt;height:12.5pt;z-index:251663360;visibility:visible;mso-wrap-style:none;mso-width-percent:0;mso-height-percent:0;mso-wrap-distance-left:0;mso-wrap-distance-top:16.5pt;mso-wrap-distance-right:0;mso-wrap-distance-bottom:508.0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" filled="f" stroked="f">
                <v:textbox inset="0,0,0,0">
                  <w:txbxContent>
                    <w:p w14:paraId="21055749" w14:textId="77777777" w:rsidR="00B14B05" w:rsidRDefault="00B14B05">
                      <w:pPr>
                        <w:pStyle w:val="Style11"/>
                        <w:spacing w:line="240" w:lineRule="auto"/>
                        <w:ind w:firstLine="0"/>
                        <w:rPr>
                          <w:rFonts w:ascii="Times New Roman" w:hAnsi="Times New Roman" w:cs="Times New Roman"/>
                          <w:sz w:val="24"/>
                          <w:szCs w:val="24"/>
                        </w:rPr>
                      </w:pPr>
                      <w:hyperlink r:id="rId21" w:history="1">
                        <w:r>
                          <w:rPr>
                            <w:rStyle w:val="CharStyle12"/>
                            <w:sz w:val="16"/>
                            <w:szCs w:val="16"/>
                            <w:lang w:eastAsia="en-US"/>
                          </w:rPr>
                          <w:t>Metrics &amp; More</w:t>
                        </w:r>
                      </w:hyperlink>
                    </w:p>
                  </w:txbxContent>
                </v:textbox>
                <w10:wrap type="topAndBottom" anchorx="margin"/>
              </v:shape>
            </w:pict>
          </mc:Fallback>
        </mc:AlternateContent>
      </w:r>
      <w:r>
        <w:rPr>
          <w:noProof/>
        </w:rPr>
        <mc:AlternateContent>
          <mc:Choice Requires="wps">
            <w:drawing>
              <wp:anchor distT="209550" distB="6464935" distL="0" distR="0" simplePos="0" relativeHeight="251664384" behindDoc="0" locked="0" layoutInCell="1" allowOverlap="1" wp14:anchorId="579C5B55" wp14:editId="39BE3FEB">
                <wp:simplePos x="0" y="0"/>
                <wp:positionH relativeFrom="margin">
                  <wp:posOffset>3011170</wp:posOffset>
                </wp:positionH>
                <wp:positionV relativeFrom="paragraph">
                  <wp:posOffset>209550</wp:posOffset>
                </wp:positionV>
                <wp:extent cx="1157605" cy="146050"/>
                <wp:effectExtent l="3810" t="0" r="635" b="0"/>
                <wp:wrapTopAndBottom/>
                <wp:docPr id="133255847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760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1711EE" w14:textId="77777777" w:rsidR="00B14B05" w:rsidRDefault="00B14B05">
                            <w:pPr>
                              <w:pStyle w:val="Style11"/>
                              <w:spacing w:line="240" w:lineRule="auto"/>
                              <w:ind w:firstLine="0"/>
                              <w:rPr>
                                <w:rFonts w:ascii="Times New Roman" w:hAnsi="Times New Roman" w:cs="Times New Roman"/>
                                <w:sz w:val="24"/>
                                <w:szCs w:val="24"/>
                              </w:rPr>
                            </w:pPr>
                            <w:r>
                              <w:rPr>
                                <w:rStyle w:val="CharStyle12"/>
                                <w:sz w:val="16"/>
                                <w:szCs w:val="16"/>
                                <w:lang w:eastAsia="en-US"/>
                              </w:rPr>
                              <w:t>Article Recommendations</w:t>
                            </w: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9C5B55" id="Text Box 9" o:spid="_x0000_s1031" type="#_x0000_t202" style="position:absolute;margin-left:237.1pt;margin-top:16.5pt;width:91.15pt;height:11.5pt;z-index:251664384;visibility:visible;mso-wrap-style:none;mso-width-percent:0;mso-height-percent:0;mso-wrap-distance-left:0;mso-wrap-distance-top:16.5pt;mso-wrap-distance-right:0;mso-wrap-distance-bottom:509.0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" filled="f" stroked="f">
                <v:textbox inset="0,0,0,0">
                  <w:txbxContent>
                    <w:p w14:paraId="3C1711EE" w14:textId="77777777" w:rsidR="00B14B05" w:rsidRDefault="00B14B05">
                      <w:pPr>
                        <w:pStyle w:val="Style11"/>
                        <w:spacing w:line="240" w:lineRule="auto"/>
                        <w:ind w:firstLine="0"/>
                        <w:rPr>
                          <w:rFonts w:ascii="Times New Roman" w:hAnsi="Times New Roman" w:cs="Times New Roman"/>
                          <w:sz w:val="24"/>
                          <w:szCs w:val="24"/>
                        </w:rPr>
                      </w:pPr>
                      <w:r>
                        <w:rPr>
                          <w:rStyle w:val="CharStyle12"/>
                          <w:sz w:val="16"/>
                          <w:szCs w:val="16"/>
                          <w:lang w:eastAsia="en-US"/>
                        </w:rPr>
                        <w:t>Article Recommendations</w:t>
                      </w:r>
                    </w:p>
                  </w:txbxContent>
                </v:textbox>
                <w10:wrap type="topAndBottom" anchorx="margin"/>
              </v:shape>
            </w:pict>
          </mc:Fallback>
        </mc:AlternateContent>
      </w:r>
      <w:r>
        <w:rPr>
          <w:noProof/>
        </w:rPr>
        <mc:AlternateContent>
          <mc:Choice Requires="wps">
            <w:drawing>
              <wp:anchor distT="203200" distB="6440805" distL="0" distR="0" simplePos="0" relativeHeight="251665408" behindDoc="0" locked="0" layoutInCell="1" allowOverlap="1" wp14:anchorId="2468BEBF" wp14:editId="6E9979F7">
                <wp:simplePos x="0" y="0"/>
                <wp:positionH relativeFrom="margin">
                  <wp:posOffset>4831080</wp:posOffset>
                </wp:positionH>
                <wp:positionV relativeFrom="paragraph">
                  <wp:posOffset>203200</wp:posOffset>
                </wp:positionV>
                <wp:extent cx="1109980" cy="176530"/>
                <wp:effectExtent l="4445" t="3175" r="0" b="1270"/>
                <wp:wrapTopAndBottom/>
                <wp:docPr id="145318687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9980" cy="1765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F3E8E8" w14:textId="77777777" w:rsidR="00B14B05" w:rsidRDefault="00B14B05">
                            <w:pPr>
                              <w:pStyle w:val="Style11"/>
                              <w:spacing w:line="240" w:lineRule="auto"/>
                              <w:ind w:firstLine="0"/>
                              <w:jc w:val="right"/>
                              <w:rPr>
                                <w:rFonts w:ascii="Times New Roman" w:hAnsi="Times New Roman" w:cs="Times New Roman"/>
                                <w:sz w:val="24"/>
                                <w:szCs w:val="24"/>
                              </w:rPr>
                            </w:pPr>
                            <w:r>
                              <w:rPr>
                                <w:rStyle w:val="CharStyle12"/>
                                <w:rFonts w:ascii="Times New Roman" w:hAnsi="Times New Roman" w:cs="Times New Roman"/>
                                <w:color w:val="EBEBEB"/>
                                <w:sz w:val="14"/>
                                <w:szCs w:val="14"/>
                                <w:lang w:eastAsia="en-US"/>
                              </w:rPr>
                              <w:t>s</w:t>
                            </w:r>
                            <w:r>
                              <w:rPr>
                                <w:rStyle w:val="CharStyle12"/>
                                <w:rFonts w:ascii="Times New Roman" w:hAnsi="Times New Roman" w:cs="Times New Roman"/>
                                <w:color w:val="EBEBEB"/>
                                <w:sz w:val="14"/>
                                <w:szCs w:val="14"/>
                                <w:lang w:eastAsia="en-US"/>
                              </w:rPr>
                              <w:t>ı</w:t>
                            </w:r>
                            <w:r>
                              <w:rPr>
                                <w:rStyle w:val="CharStyle12"/>
                                <w:rFonts w:ascii="Times New Roman" w:hAnsi="Times New Roman" w:cs="Times New Roman"/>
                                <w:color w:val="EBEBEB"/>
                                <w:sz w:val="14"/>
                                <w:szCs w:val="14"/>
                                <w:lang w:eastAsia="en-US"/>
                              </w:rPr>
                              <w:t xml:space="preserve"> </w:t>
                            </w:r>
                            <w:hyperlink r:id="rId22" w:history="1">
                              <w:r>
                                <w:rPr>
                                  <w:rStyle w:val="CharStyle12"/>
                                  <w:sz w:val="16"/>
                                  <w:szCs w:val="16"/>
                                  <w:lang w:eastAsia="en-US"/>
                                </w:rPr>
                                <w:t>Supporting Information</w:t>
                              </w:r>
                            </w:hyperlink>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68BEBF" id="Text Box 10" o:spid="_x0000_s1032" type="#_x0000_t202" style="position:absolute;margin-left:380.4pt;margin-top:16pt;width:87.4pt;height:13.9pt;z-index:251665408;visibility:visible;mso-wrap-style:none;mso-width-percent:0;mso-height-percent:0;mso-wrap-distance-left:0;mso-wrap-distance-top:16pt;mso-wrap-distance-right:0;mso-wrap-distance-bottom:507.1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" filled="f" stroked="f">
                <v:textbox inset="0,0,0,0">
                  <w:txbxContent>
                    <w:p w14:paraId="13F3E8E8" w14:textId="77777777" w:rsidR="00B14B05" w:rsidRDefault="00B14B05">
                      <w:pPr>
                        <w:pStyle w:val="Style11"/>
                        <w:spacing w:line="240" w:lineRule="auto"/>
                        <w:ind w:firstLine="0"/>
                        <w:jc w:val="right"/>
                        <w:rPr>
                          <w:rFonts w:ascii="Times New Roman" w:hAnsi="Times New Roman" w:cs="Times New Roman"/>
                          <w:sz w:val="24"/>
                          <w:szCs w:val="24"/>
                        </w:rPr>
                      </w:pPr>
                      <w:r>
                        <w:rPr>
                          <w:rStyle w:val="CharStyle12"/>
                          <w:rFonts w:ascii="Times New Roman" w:hAnsi="Times New Roman" w:cs="Times New Roman"/>
                          <w:color w:val="EBEBEB"/>
                          <w:sz w:val="14"/>
                          <w:szCs w:val="14"/>
                          <w:lang w:eastAsia="en-US"/>
                        </w:rPr>
                        <w:t>s</w:t>
                      </w:r>
                      <w:r>
                        <w:rPr>
                          <w:rStyle w:val="CharStyle12"/>
                          <w:rFonts w:ascii="Times New Roman" w:hAnsi="Times New Roman" w:cs="Times New Roman"/>
                          <w:color w:val="EBEBEB"/>
                          <w:sz w:val="14"/>
                          <w:szCs w:val="14"/>
                          <w:lang w:eastAsia="en-US"/>
                        </w:rPr>
                        <w:t>ı</w:t>
                      </w:r>
                      <w:r>
                        <w:rPr>
                          <w:rStyle w:val="CharStyle12"/>
                          <w:rFonts w:ascii="Times New Roman" w:hAnsi="Times New Roman" w:cs="Times New Roman"/>
                          <w:color w:val="EBEBEB"/>
                          <w:sz w:val="14"/>
                          <w:szCs w:val="14"/>
                          <w:lang w:eastAsia="en-US"/>
                        </w:rPr>
                        <w:t xml:space="preserve"> </w:t>
                      </w:r>
                      <w:hyperlink r:id="rId23" w:history="1">
                        <w:r>
                          <w:rPr>
                            <w:rStyle w:val="CharStyle12"/>
                            <w:sz w:val="16"/>
                            <w:szCs w:val="16"/>
                            <w:lang w:eastAsia="en-US"/>
                          </w:rPr>
                          <w:t>Supporting Information</w:t>
                        </w:r>
                      </w:hyperlink>
                    </w:p>
                  </w:txbxContent>
                </v:textbox>
                <w10:wrap type="topAndBottom" anchorx="margin"/>
              </v:shape>
            </w:pict>
          </mc:Fallback>
        </mc:AlternateContent>
      </w:r>
      <w:r>
        <w:rPr>
          <w:noProof/>
        </w:rPr>
        <mc:AlternateContent>
          <mc:Choice Requires="wps">
            <w:drawing>
              <wp:anchor distT="516890" distB="4474845" distL="0" distR="0" simplePos="0" relativeHeight="251666432" behindDoc="0" locked="0" layoutInCell="1" allowOverlap="1" wp14:anchorId="616A6A52" wp14:editId="5869AFC8">
                <wp:simplePos x="0" y="0"/>
                <wp:positionH relativeFrom="margin">
                  <wp:posOffset>-12065</wp:posOffset>
                </wp:positionH>
                <wp:positionV relativeFrom="paragraph">
                  <wp:posOffset>516890</wp:posOffset>
                </wp:positionV>
                <wp:extent cx="4014470" cy="1828800"/>
                <wp:effectExtent l="0" t="2540" r="0" b="0"/>
                <wp:wrapTopAndBottom/>
                <wp:docPr id="98762826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4470" cy="182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0639B2" w14:textId="77777777" w:rsidR="00B14B05" w:rsidRDefault="00B14B05">
                            <w:pPr>
                              <w:pStyle w:val="Style11"/>
                              <w:pBdr>
                                <w:top w:val="single" w:sz="4" w:space="0" w:color="auto"/>
                              </w:pBdr>
                              <w:ind w:firstLine="0"/>
                              <w:jc w:val="both"/>
                              <w:rPr>
                                <w:rFonts w:ascii="Times New Roman" w:hAnsi="Times New Roman" w:cs="Times New Roman"/>
                                <w:sz w:val="24"/>
                                <w:szCs w:val="24"/>
                              </w:rPr>
                            </w:pPr>
                            <w:r>
                              <w:rPr>
                                <w:rStyle w:val="CharStyle12"/>
                                <w:color w:val="246B42"/>
                                <w:lang w:eastAsia="en-US"/>
                              </w:rPr>
                              <w:t xml:space="preserve">ABSTRACT: </w:t>
                            </w:r>
                            <w:r>
                              <w:rPr>
                                <w:rStyle w:val="CharStyle12"/>
                                <w:lang w:eastAsia="en-US"/>
                              </w:rPr>
                              <w:t>The organosulfur cycle involves active microbial transformations of dimethylsulfoniopropionate (DMSP) to yield the climate active gas dimethyl sulfide (DMS) and other compounds. The lack of rapid and accurate methods to quantify the DMSP metabolic potential hinders a deeper understanding of this cycling. We developed a high-throughput qPCR (HT-qPCR) chip, DSMG-chip, to quantify the absolute abundance of DMSP and related organic sulfur metabolic genes. DSMG-chip contains 42 degenerate primer sets targeting 2</w:t>
                            </w:r>
                            <w:r>
                              <w:rPr>
                                <w:rStyle w:val="CharStyle12"/>
                                <w:lang w:eastAsia="en-US"/>
                              </w:rPr>
                              <w:t xml:space="preserve">7 organosulfur metabolic genes, with the 16S rRNA gene as a reference, allowing for the detection of 41 environmental samples simultaneously. </w:t>
                            </w:r>
                            <w:r>
                              <w:rPr>
                                <w:rStyle w:val="CharStyle12"/>
                                <w:i/>
                                <w:iCs/>
                                <w:lang w:eastAsia="en-US"/>
                              </w:rPr>
                              <w:t>In silico</w:t>
                            </w:r>
                            <w:r>
                              <w:rPr>
                                <w:rStyle w:val="CharStyle12"/>
                                <w:lang w:eastAsia="en-US"/>
                              </w:rPr>
                              <w:t xml:space="preserve"> analysis indicated that the DSMG-chip possesses broad taxonomic coverage (1.4</w:t>
                            </w:r>
                            <w:r>
                              <w:rPr>
                                <w:rStyle w:val="CharStyle12"/>
                                <w:sz w:val="17"/>
                                <w:szCs w:val="17"/>
                                <w:lang w:eastAsia="en-US"/>
                              </w:rPr>
                              <w:t>-</w:t>
                            </w:r>
                            <w:r>
                              <w:rPr>
                                <w:rStyle w:val="CharStyle12"/>
                                <w:lang w:eastAsia="en-US"/>
                              </w:rPr>
                              <w:t>91.3%, spanning 12 phyla and 275 genera) and high specificity (44.4</w:t>
                            </w:r>
                            <w:r>
                              <w:rPr>
                                <w:rStyle w:val="CharStyle12"/>
                                <w:sz w:val="17"/>
                                <w:szCs w:val="17"/>
                                <w:lang w:eastAsia="en-US"/>
                              </w:rPr>
                              <w:t>-</w:t>
                            </w:r>
                            <w:r>
                              <w:rPr>
                                <w:rStyle w:val="CharStyle12"/>
                                <w:lang w:eastAsia="en-US"/>
                              </w:rPr>
                              <w:t>100%, mean: 85.34%). Validation experiments using conventional PCR, qPCR, and HT-qPCR confirmed the primers’ strict specificity, robust amplification efficiency (0.677 to 0.997,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6A6A52" id="Text Box 11" o:spid="_x0000_s1033" type="#_x0000_t202" style="position:absolute;margin-left:-.95pt;margin-top:40.7pt;width:316.1pt;height:2in;z-index:251666432;visibility:visible;mso-wrap-style:square;mso-width-percent:0;mso-height-percent:0;mso-wrap-distance-left:0;mso-wrap-distance-top:40.7pt;mso-wrap-distance-right:0;mso-wrap-distance-bottom:352.3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" filled="f" stroked="f">
                <v:textbox inset="0,0,0,0">
                  <w:txbxContent>
                    <w:p w14:paraId="5D0639B2" w14:textId="77777777" w:rsidR="00B14B05" w:rsidRDefault="00B14B05">
                      <w:pPr>
                        <w:pStyle w:val="Style11"/>
                        <w:pBdr>
                          <w:top w:val="single" w:sz="4" w:space="0" w:color="auto"/>
                        </w:pBdr>
                        <w:ind w:firstLine="0"/>
                        <w:jc w:val="both"/>
                        <w:rPr>
                          <w:rFonts w:ascii="Times New Roman" w:hAnsi="Times New Roman" w:cs="Times New Roman"/>
                          <w:sz w:val="24"/>
                          <w:szCs w:val="24"/>
                        </w:rPr>
                      </w:pPr>
                      <w:r>
                        <w:rPr>
                          <w:rStyle w:val="CharStyle12"/>
                          <w:color w:val="246B42"/>
                          <w:lang w:eastAsia="en-US"/>
                        </w:rPr>
                        <w:t xml:space="preserve">ABSTRACT: </w:t>
                      </w:r>
                      <w:r>
                        <w:rPr>
                          <w:rStyle w:val="CharStyle12"/>
                          <w:lang w:eastAsia="en-US"/>
                        </w:rPr>
                        <w:t>The organosulfur cycle involves active microbial transformations of dimethylsulfoniopropionate (DMSP) to yield the climate active gas dimethyl sulfide (DMS) and other compounds. The lack of rapid and accurate methods to quantify the DMSP metabolic potential hinders a deeper understanding of this cycling. We developed a high-throughput qPCR (HT-qPCR) chip, DSMG-chip, to quantify the absolute abundance of DMSP and related organic sulfur metabolic genes. DSMG-chip contains 42 degenerate primer sets targeting 2</w:t>
                      </w:r>
                      <w:r>
                        <w:rPr>
                          <w:rStyle w:val="CharStyle12"/>
                          <w:lang w:eastAsia="en-US"/>
                        </w:rPr>
                        <w:t xml:space="preserve">7 organosulfur metabolic genes, with the 16S rRNA gene as a reference, allowing for the detection of 41 environmental samples simultaneously. </w:t>
                      </w:r>
                      <w:r>
                        <w:rPr>
                          <w:rStyle w:val="CharStyle12"/>
                          <w:i/>
                          <w:iCs/>
                          <w:lang w:eastAsia="en-US"/>
                        </w:rPr>
                        <w:t>In silico</w:t>
                      </w:r>
                      <w:r>
                        <w:rPr>
                          <w:rStyle w:val="CharStyle12"/>
                          <w:lang w:eastAsia="en-US"/>
                        </w:rPr>
                        <w:t xml:space="preserve"> analysis indicated that the DSMG-chip possesses broad taxonomic coverage (1.4</w:t>
                      </w:r>
                      <w:r>
                        <w:rPr>
                          <w:rStyle w:val="CharStyle12"/>
                          <w:sz w:val="17"/>
                          <w:szCs w:val="17"/>
                          <w:lang w:eastAsia="en-US"/>
                        </w:rPr>
                        <w:t>-</w:t>
                      </w:r>
                      <w:r>
                        <w:rPr>
                          <w:rStyle w:val="CharStyle12"/>
                          <w:lang w:eastAsia="en-US"/>
                        </w:rPr>
                        <w:t>91.3%, spanning 12 phyla and 275 genera) and high specificity (44.4</w:t>
                      </w:r>
                      <w:r>
                        <w:rPr>
                          <w:rStyle w:val="CharStyle12"/>
                          <w:sz w:val="17"/>
                          <w:szCs w:val="17"/>
                          <w:lang w:eastAsia="en-US"/>
                        </w:rPr>
                        <w:t>-</w:t>
                      </w:r>
                      <w:r>
                        <w:rPr>
                          <w:rStyle w:val="CharStyle12"/>
                          <w:lang w:eastAsia="en-US"/>
                        </w:rPr>
                        <w:t>100%, mean: 85.34%). Validation experiments using conventional PCR, qPCR, and HT-qPCR confirmed the primers’ strict specificity, robust amplification efficiency (0.677 to 0.997,</w:t>
                      </w:r>
                    </w:p>
                  </w:txbxContent>
                </v:textbox>
                <w10:wrap type="topAndBottom" anchorx="margin"/>
              </v:shape>
            </w:pict>
          </mc:Fallback>
        </mc:AlternateContent>
      </w:r>
      <w:r>
        <w:rPr>
          <w:noProof/>
        </w:rPr>
        <w:drawing>
          <wp:anchor distT="529590" distB="4590415" distL="0" distR="0" simplePos="0" relativeHeight="251667456" behindDoc="1" locked="0" layoutInCell="1" allowOverlap="1" wp14:anchorId="4A7DA9D3" wp14:editId="3953AE30">
            <wp:simplePos x="0" y="0"/>
            <wp:positionH relativeFrom="margin">
              <wp:posOffset>4081145</wp:posOffset>
            </wp:positionH>
            <wp:positionV relativeFrom="paragraph">
              <wp:posOffset>529590</wp:posOffset>
            </wp:positionV>
            <wp:extent cx="2331720" cy="1700530"/>
            <wp:effectExtent l="0" t="0" r="0" b="0"/>
            <wp:wrapTopAndBottom/>
            <wp:docPr id="1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331720" cy="170053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2348865" distB="3700780" distL="0" distR="0" simplePos="0" relativeHeight="251668480" behindDoc="0" locked="0" layoutInCell="1" allowOverlap="1" wp14:anchorId="51E8DBEB" wp14:editId="0C14B4F2">
                <wp:simplePos x="0" y="0"/>
                <wp:positionH relativeFrom="margin">
                  <wp:posOffset>-12065</wp:posOffset>
                </wp:positionH>
                <wp:positionV relativeFrom="paragraph">
                  <wp:posOffset>2348865</wp:posOffset>
                </wp:positionV>
                <wp:extent cx="6452870" cy="770890"/>
                <wp:effectExtent l="0" t="0" r="0" b="4445"/>
                <wp:wrapTopAndBottom/>
                <wp:docPr id="121194083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52870" cy="770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091F7B" w14:textId="77777777" w:rsidR="00B14B05" w:rsidRDefault="00B14B05">
                            <w:pPr>
                              <w:pStyle w:val="Style11"/>
                              <w:ind w:firstLine="0"/>
                              <w:jc w:val="both"/>
                              <w:rPr>
                                <w:rFonts w:ascii="Times New Roman" w:hAnsi="Times New Roman" w:cs="Times New Roman"/>
                                <w:sz w:val="24"/>
                                <w:szCs w:val="24"/>
                              </w:rPr>
                            </w:pPr>
                            <w:r>
                              <w:rPr>
                                <w:rStyle w:val="CharStyle12"/>
                                <w:lang w:eastAsia="en-US"/>
                              </w:rPr>
                              <w:t xml:space="preserve">mean: 0.771), and excellent accuracy, correlating well with conventional qPCR (Pearson’s </w:t>
                            </w:r>
                            <w:r>
                              <w:rPr>
                                <w:rStyle w:val="CharStyle12"/>
                                <w:i/>
                                <w:iCs/>
                                <w:lang w:eastAsia="en-US"/>
                              </w:rPr>
                              <w:t>r</w:t>
                            </w:r>
                            <w:r>
                              <w:rPr>
                                <w:rStyle w:val="CharStyle12"/>
                                <w:lang w:eastAsia="en-US"/>
                              </w:rPr>
                              <w:t xml:space="preserve"> = 0.914). Finally, application of the DSMG-chip accurately reflected variations in DMSP metabolism across diverse seawater and sediment samples, highlighting the active microbial DMSP cycling in Pacific Ocean (section P) seawater and the contribution of the methanethiol (MeSH) methylation pathway (via </w:t>
                            </w:r>
                            <w:r>
                              <w:rPr>
                                <w:rStyle w:val="CharStyle12"/>
                                <w:i/>
                                <w:iCs/>
                                <w:lang w:eastAsia="en-US"/>
                              </w:rPr>
                              <w:t>mddA</w:t>
                            </w:r>
                            <w:r>
                              <w:rPr>
                                <w:rStyle w:val="CharStyle12"/>
                                <w:lang w:eastAsia="en-US"/>
                              </w:rPr>
                              <w:t>) in sediments. Our findings provide a powerful, novel tool for studying the organosulfur cycle.</w:t>
                            </w:r>
                          </w:p>
                          <w:p w14:paraId="6D096874" w14:textId="77777777" w:rsidR="00B14B05" w:rsidRDefault="00B14B05">
                            <w:pPr>
                              <w:pStyle w:val="Style11"/>
                              <w:ind w:firstLine="0"/>
                              <w:jc w:val="both"/>
                              <w:rPr>
                                <w:rFonts w:ascii="Times New Roman" w:hAnsi="Times New Roman" w:cs="Times New Roman"/>
                                <w:sz w:val="24"/>
                                <w:szCs w:val="24"/>
                              </w:rPr>
                            </w:pPr>
                            <w:r>
                              <w:rPr>
                                <w:rStyle w:val="CharStyle12"/>
                                <w:color w:val="246B42"/>
                                <w:lang w:eastAsia="en-US"/>
                              </w:rPr>
                              <w:t xml:space="preserve">KEYWORDS: </w:t>
                            </w:r>
                            <w:r>
                              <w:rPr>
                                <w:rStyle w:val="CharStyle12"/>
                                <w:i/>
                                <w:iCs/>
                                <w:lang w:eastAsia="en-US"/>
                              </w:rPr>
                              <w:t>DSMG-Chip, DMSP/DMS, organic sulfur cycling, high-throughput qPCR, microbial cycling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E8DBEB" id="Text Box 13" o:spid="_x0000_s1034" type="#_x0000_t202" style="position:absolute;margin-left:-.95pt;margin-top:184.95pt;width:508.1pt;height:60.7pt;z-index:251668480;visibility:visible;mso-wrap-style:square;mso-width-percent:0;mso-height-percent:0;mso-wrap-distance-left:0;mso-wrap-distance-top:184.95pt;mso-wrap-distance-right:0;mso-wrap-distance-bottom:291.4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" filled="f" stroked="f">
                <v:textbox inset="0,0,0,0">
                  <w:txbxContent>
                    <w:p w14:paraId="04091F7B" w14:textId="77777777" w:rsidR="00B14B05" w:rsidRDefault="00B14B05">
                      <w:pPr>
                        <w:pStyle w:val="Style11"/>
                        <w:ind w:firstLine="0"/>
                        <w:jc w:val="both"/>
                        <w:rPr>
                          <w:rFonts w:ascii="Times New Roman" w:hAnsi="Times New Roman" w:cs="Times New Roman"/>
                          <w:sz w:val="24"/>
                          <w:szCs w:val="24"/>
                        </w:rPr>
                      </w:pPr>
                      <w:r>
                        <w:rPr>
                          <w:rStyle w:val="CharStyle12"/>
                          <w:lang w:eastAsia="en-US"/>
                        </w:rPr>
                        <w:t xml:space="preserve">mean: 0.771), and excellent accuracy, correlating well with conventional qPCR (Pearson’s </w:t>
                      </w:r>
                      <w:r>
                        <w:rPr>
                          <w:rStyle w:val="CharStyle12"/>
                          <w:i/>
                          <w:iCs/>
                          <w:lang w:eastAsia="en-US"/>
                        </w:rPr>
                        <w:t>r</w:t>
                      </w:r>
                      <w:r>
                        <w:rPr>
                          <w:rStyle w:val="CharStyle12"/>
                          <w:lang w:eastAsia="en-US"/>
                        </w:rPr>
                        <w:t xml:space="preserve"> = 0.914). Finally, application of the DSMG-chip accurately reflected variations in DMSP metabolism across diverse seawater and sediment samples, highlighting the active microbial DMSP cycling in Pacific Ocean (section P) seawater and the contribution of the methanethiol (MeSH) methylation pathway (via </w:t>
                      </w:r>
                      <w:r>
                        <w:rPr>
                          <w:rStyle w:val="CharStyle12"/>
                          <w:i/>
                          <w:iCs/>
                          <w:lang w:eastAsia="en-US"/>
                        </w:rPr>
                        <w:t>mddA</w:t>
                      </w:r>
                      <w:r>
                        <w:rPr>
                          <w:rStyle w:val="CharStyle12"/>
                          <w:lang w:eastAsia="en-US"/>
                        </w:rPr>
                        <w:t>) in sediments. Our findings provide a powerful, novel tool for studying the organosulfur cycle.</w:t>
                      </w:r>
                    </w:p>
                    <w:p w14:paraId="6D096874" w14:textId="77777777" w:rsidR="00B14B05" w:rsidRDefault="00B14B05">
                      <w:pPr>
                        <w:pStyle w:val="Style11"/>
                        <w:ind w:firstLine="0"/>
                        <w:jc w:val="both"/>
                        <w:rPr>
                          <w:rFonts w:ascii="Times New Roman" w:hAnsi="Times New Roman" w:cs="Times New Roman"/>
                          <w:sz w:val="24"/>
                          <w:szCs w:val="24"/>
                        </w:rPr>
                      </w:pPr>
                      <w:r>
                        <w:rPr>
                          <w:rStyle w:val="CharStyle12"/>
                          <w:color w:val="246B42"/>
                          <w:lang w:eastAsia="en-US"/>
                        </w:rPr>
                        <w:t xml:space="preserve">KEYWORDS: </w:t>
                      </w:r>
                      <w:r>
                        <w:rPr>
                          <w:rStyle w:val="CharStyle12"/>
                          <w:i/>
                          <w:iCs/>
                          <w:lang w:eastAsia="en-US"/>
                        </w:rPr>
                        <w:t>DSMG-Chip, DMSP/DMS, organic sulfur cycling, high-throughput qPCR, microbial cycling</w:t>
                      </w:r>
                    </w:p>
                  </w:txbxContent>
                </v:textbox>
                <w10:wrap type="topAndBottom" anchorx="margin"/>
              </v:shape>
            </w:pict>
          </mc:Fallback>
        </mc:AlternateContent>
      </w:r>
      <w:r>
        <w:rPr>
          <w:noProof/>
        </w:rPr>
        <mc:AlternateContent>
          <mc:Choice Requires="wps">
            <w:drawing>
              <wp:anchor distT="3354705" distB="0" distL="0" distR="0" simplePos="0" relativeHeight="251669504" behindDoc="0" locked="0" layoutInCell="1" allowOverlap="1" wp14:anchorId="6D499F29" wp14:editId="2AD7F6DC">
                <wp:simplePos x="0" y="0"/>
                <wp:positionH relativeFrom="margin">
                  <wp:posOffset>635</wp:posOffset>
                </wp:positionH>
                <wp:positionV relativeFrom="paragraph">
                  <wp:posOffset>3354705</wp:posOffset>
                </wp:positionV>
                <wp:extent cx="3096895" cy="3465830"/>
                <wp:effectExtent l="3175" t="1905" r="0" b="0"/>
                <wp:wrapTopAndBottom/>
                <wp:docPr id="1597608383"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96895" cy="3465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957268" w14:textId="77777777" w:rsidR="00B14B05" w:rsidRDefault="00B14B05">
                            <w:pPr>
                              <w:pStyle w:val="Style23"/>
                              <w:keepNext/>
                              <w:keepLines/>
                              <w:spacing w:after="80" w:line="240" w:lineRule="auto"/>
                              <w:jc w:val="both"/>
                              <w:rPr>
                                <w:rFonts w:ascii="Times New Roman" w:hAnsi="Times New Roman" w:cs="Times New Roman"/>
                                <w:b w:val="0"/>
                                <w:bCs w:val="0"/>
                                <w:color w:val="auto"/>
                                <w:sz w:val="24"/>
                                <w:szCs w:val="24"/>
                              </w:rPr>
                            </w:pPr>
                            <w:bookmarkStart w:id="4" w:name="bookmark2"/>
                            <w:r>
                              <w:rPr>
                                <w:rStyle w:val="CharStyle24"/>
                                <w:b/>
                                <w:bCs/>
                                <w:lang w:eastAsia="en-US"/>
                              </w:rPr>
                              <w:t>1. INTRODUCTION</w:t>
                            </w:r>
                            <w:bookmarkEnd w:id="4"/>
                          </w:p>
                          <w:p w14:paraId="2C52C611" w14:textId="77777777" w:rsidR="00B14B05" w:rsidRDefault="00B14B05">
                            <w:pPr>
                              <w:pStyle w:val="Style11"/>
                              <w:spacing w:line="305" w:lineRule="auto"/>
                              <w:ind w:firstLine="0"/>
                              <w:jc w:val="both"/>
                              <w:rPr>
                                <w:rFonts w:ascii="Times New Roman" w:hAnsi="Times New Roman" w:cs="Times New Roman"/>
                                <w:sz w:val="24"/>
                                <w:szCs w:val="24"/>
                              </w:rPr>
                            </w:pPr>
                            <w:r>
                              <w:rPr>
                                <w:rStyle w:val="CharStyle12"/>
                                <w:lang w:eastAsia="en-US"/>
                              </w:rPr>
                              <w:t>Dimethylsulfoniopropionate (DMSP) is one of Earth’s most abundant organic sulfur compounds, found throughout marine as well as terrestrial environments.</w:t>
                            </w:r>
                            <w:r>
                              <w:rPr>
                                <w:rStyle w:val="CharStyle12"/>
                                <w:color w:val="0D54A6"/>
                                <w:vertAlign w:val="superscript"/>
                                <w:lang w:eastAsia="en-US"/>
                              </w:rPr>
                              <w:t>1</w:t>
                            </w:r>
                            <w:r>
                              <w:rPr>
                                <w:rStyle w:val="CharStyle12"/>
                                <w:vertAlign w:val="superscript"/>
                                <w:lang w:eastAsia="en-US"/>
                              </w:rPr>
                              <w:t>,</w:t>
                            </w:r>
                            <w:r>
                              <w:rPr>
                                <w:rStyle w:val="CharStyle12"/>
                                <w:color w:val="0D54A6"/>
                                <w:vertAlign w:val="superscript"/>
                                <w:lang w:eastAsia="en-US"/>
                              </w:rPr>
                              <w:t>2</w:t>
                            </w:r>
                            <w:r>
                              <w:rPr>
                                <w:rStyle w:val="CharStyle12"/>
                                <w:color w:val="0D54A6"/>
                                <w:lang w:eastAsia="en-US"/>
                              </w:rPr>
                              <w:t xml:space="preserve"> </w:t>
                            </w:r>
                            <w:r>
                              <w:rPr>
                                <w:rStyle w:val="CharStyle12"/>
                                <w:lang w:eastAsia="en-US"/>
                              </w:rPr>
                              <w:t xml:space="preserve">Marine algae (e.g., </w:t>
                            </w:r>
                            <w:r>
                              <w:rPr>
                                <w:rStyle w:val="CharStyle12"/>
                                <w:i/>
                                <w:iCs/>
                                <w:lang w:eastAsia="en-US"/>
                              </w:rPr>
                              <w:t>Emiliania huxleyi</w:t>
                            </w:r>
                            <w:r>
                              <w:rPr>
                                <w:rStyle w:val="CharStyle12"/>
                                <w:lang w:eastAsia="en-US"/>
                              </w:rPr>
                              <w:t xml:space="preserve">), bacteria (e.g., </w:t>
                            </w:r>
                            <w:r>
                              <w:rPr>
                                <w:rStyle w:val="CharStyle12"/>
                                <w:i/>
                                <w:iCs/>
                                <w:lang w:eastAsia="en-US"/>
                              </w:rPr>
                              <w:t>Roseobacter</w:t>
                            </w:r>
                            <w:r>
                              <w:rPr>
                                <w:rStyle w:val="CharStyle12"/>
                                <w:lang w:eastAsia="en-US"/>
                              </w:rPr>
                              <w:t xml:space="preserve">), corals (e.g., </w:t>
                            </w:r>
                            <w:r>
                              <w:rPr>
                                <w:rStyle w:val="CharStyle12"/>
                                <w:i/>
                                <w:iCs/>
                                <w:lang w:eastAsia="en-US"/>
                              </w:rPr>
                              <w:t>Symbiodinum</w:t>
                            </w:r>
                            <w:r>
                              <w:rPr>
                                <w:rStyle w:val="CharStyle12"/>
                                <w:lang w:eastAsia="en-US"/>
                              </w:rPr>
                              <w:t xml:space="preserve">, a coral symbiotic alga), and plants (e.g., </w:t>
                            </w:r>
                            <w:r>
                              <w:rPr>
                                <w:rStyle w:val="CharStyle12"/>
                                <w:i/>
                                <w:iCs/>
                                <w:lang w:eastAsia="en-US"/>
                              </w:rPr>
                              <w:t>Spartina alterniflora</w:t>
                            </w:r>
                            <w:r>
                              <w:rPr>
                                <w:rStyle w:val="CharStyle12"/>
                                <w:lang w:eastAsia="en-US"/>
                              </w:rPr>
                              <w:t>) can produce DMSP from</w:t>
                            </w:r>
                            <w:r>
                              <w:rPr>
                                <w:rStyle w:val="CharStyle12"/>
                                <w:lang w:eastAsia="en-US"/>
                              </w:rPr>
                              <w:t xml:space="preserve"> methionine (Met) via three distinct pathways: methylation, transamination, and decarboxylation.</w:t>
                            </w:r>
                            <w:r>
                              <w:rPr>
                                <w:rStyle w:val="CharStyle12"/>
                                <w:color w:val="0D54A6"/>
                                <w:vertAlign w:val="superscript"/>
                                <w:lang w:eastAsia="en-US"/>
                              </w:rPr>
                              <w:t>3</w:t>
                            </w:r>
                            <w:r>
                              <w:rPr>
                                <w:rStyle w:val="CharStyle12"/>
                                <w:vertAlign w:val="superscript"/>
                                <w:lang w:eastAsia="en-US"/>
                              </w:rPr>
                              <w:t>,</w:t>
                            </w:r>
                            <w:r>
                              <w:rPr>
                                <w:rStyle w:val="CharStyle12"/>
                                <w:color w:val="0D54A6"/>
                                <w:vertAlign w:val="superscript"/>
                                <w:lang w:eastAsia="en-US"/>
                              </w:rPr>
                              <w:t>4</w:t>
                            </w:r>
                            <w:r>
                              <w:rPr>
                                <w:rStyle w:val="CharStyle12"/>
                                <w:color w:val="0D54A6"/>
                                <w:lang w:eastAsia="en-US"/>
                              </w:rPr>
                              <w:t xml:space="preserve"> </w:t>
                            </w:r>
                            <w:r>
                              <w:rPr>
                                <w:rStyle w:val="CharStyle12"/>
                                <w:lang w:eastAsia="en-US"/>
                              </w:rPr>
                              <w:t xml:space="preserve">Diverse </w:t>
                            </w:r>
                            <w:r>
                              <w:rPr>
                                <w:rStyle w:val="CharStyle12"/>
                                <w:i/>
                                <w:iCs/>
                                <w:lang w:eastAsia="en-US"/>
                              </w:rPr>
                              <w:t>S</w:t>
                            </w:r>
                            <w:r>
                              <w:rPr>
                                <w:rStyle w:val="CharStyle12"/>
                                <w:lang w:eastAsia="en-US"/>
                              </w:rPr>
                              <w:t>-methyltransferase enzymes in</w:t>
                            </w:r>
                            <w:r>
                              <w:rPr>
                                <w:rStyle w:val="CharStyle12"/>
                                <w:lang w:eastAsia="en-US"/>
                              </w:rPr>
                              <w:softHyphen/>
                              <w:t>volved in DMSP synthesis have been identified in bacteria (DsyB, DsyG, DsyGD, and MmtN) and algae and corals (DSYB, TpMMT, and DsyE).</w:t>
                            </w:r>
                            <w:r>
                              <w:rPr>
                                <w:rStyle w:val="CharStyle12"/>
                                <w:color w:val="0D54A6"/>
                                <w:vertAlign w:val="superscript"/>
                                <w:lang w:eastAsia="en-US"/>
                              </w:rPr>
                              <w:t>5</w:t>
                            </w:r>
                            <w:r>
                              <w:rPr>
                                <w:rStyle w:val="CharStyle12"/>
                                <w:color w:val="0D54A6"/>
                                <w:lang w:eastAsia="en-US"/>
                              </w:rPr>
                              <w:t xml:space="preserve"> </w:t>
                            </w:r>
                            <w:r>
                              <w:rPr>
                                <w:rStyle w:val="CharStyle12"/>
                                <w:lang w:eastAsia="en-US"/>
                              </w:rPr>
                              <w:t>Within organisms, DMSP has reported functions as an osmoprotectant,</w:t>
                            </w:r>
                            <w:r>
                              <w:rPr>
                                <w:rStyle w:val="CharStyle12"/>
                                <w:color w:val="0D54A6"/>
                                <w:vertAlign w:val="superscript"/>
                                <w:lang w:eastAsia="en-US"/>
                              </w:rPr>
                              <w:t>6</w:t>
                            </w:r>
                            <w:r>
                              <w:rPr>
                                <w:rStyle w:val="CharStyle12"/>
                                <w:vertAlign w:val="superscript"/>
                                <w:lang w:eastAsia="en-US"/>
                              </w:rPr>
                              <w:t>,</w:t>
                            </w:r>
                            <w:r>
                              <w:rPr>
                                <w:rStyle w:val="CharStyle12"/>
                                <w:color w:val="0D54A6"/>
                                <w:vertAlign w:val="superscript"/>
                                <w:lang w:eastAsia="en-US"/>
                              </w:rPr>
                              <w:t>7</w:t>
                            </w:r>
                            <w:r>
                              <w:rPr>
                                <w:rStyle w:val="CharStyle12"/>
                                <w:color w:val="0D54A6"/>
                                <w:lang w:eastAsia="en-US"/>
                              </w:rPr>
                              <w:t xml:space="preserve"> </w:t>
                            </w:r>
                            <w:r>
                              <w:rPr>
                                <w:rStyle w:val="CharStyle12"/>
                                <w:lang w:eastAsia="en-US"/>
                              </w:rPr>
                              <w:t>antioxidant,</w:t>
                            </w:r>
                            <w:r>
                              <w:rPr>
                                <w:rStyle w:val="CharStyle12"/>
                                <w:color w:val="0D54A6"/>
                                <w:vertAlign w:val="superscript"/>
                                <w:lang w:eastAsia="en-US"/>
                              </w:rPr>
                              <w:t>8</w:t>
                            </w:r>
                            <w:r>
                              <w:rPr>
                                <w:rStyle w:val="CharStyle12"/>
                                <w:vertAlign w:val="superscript"/>
                                <w:lang w:eastAsia="en-US"/>
                              </w:rPr>
                              <w:t>,</w:t>
                            </w:r>
                            <w:r>
                              <w:rPr>
                                <w:rStyle w:val="CharStyle12"/>
                                <w:color w:val="0D54A6"/>
                                <w:vertAlign w:val="superscript"/>
                                <w:lang w:eastAsia="en-US"/>
                              </w:rPr>
                              <w:t xml:space="preserve">9 </w:t>
                            </w:r>
                            <w:r>
                              <w:rPr>
                                <w:rStyle w:val="CharStyle12"/>
                                <w:lang w:eastAsia="en-US"/>
                              </w:rPr>
                              <w:t>cryoprotectant,</w:t>
                            </w:r>
                            <w:r>
                              <w:rPr>
                                <w:rStyle w:val="CharStyle12"/>
                                <w:color w:val="0D54A6"/>
                                <w:vertAlign w:val="superscript"/>
                                <w:lang w:eastAsia="en-US"/>
                              </w:rPr>
                              <w:t>10</w:t>
                            </w:r>
                            <w:r>
                              <w:rPr>
                                <w:rStyle w:val="CharStyle12"/>
                                <w:color w:val="0D54A6"/>
                                <w:lang w:eastAsia="en-US"/>
                              </w:rPr>
                              <w:t xml:space="preserve"> </w:t>
                            </w:r>
                            <w:r>
                              <w:rPr>
                                <w:rStyle w:val="CharStyle12"/>
                                <w:lang w:eastAsia="en-US"/>
                              </w:rPr>
                              <w:t>predator deterrent,</w:t>
                            </w:r>
                            <w:r>
                              <w:rPr>
                                <w:rStyle w:val="CharStyle12"/>
                                <w:color w:val="0D54A6"/>
                                <w:vertAlign w:val="superscript"/>
                                <w:lang w:eastAsia="en-US"/>
                              </w:rPr>
                              <w:t>11</w:t>
                            </w:r>
                            <w:r>
                              <w:rPr>
                                <w:rStyle w:val="CharStyle12"/>
                                <w:color w:val="0D54A6"/>
                                <w:lang w:eastAsia="en-US"/>
                              </w:rPr>
                              <w:t xml:space="preserve"> </w:t>
                            </w:r>
                            <w:r>
                              <w:rPr>
                                <w:rStyle w:val="CharStyle12"/>
                                <w:lang w:eastAsia="en-US"/>
                              </w:rPr>
                              <w:t xml:space="preserve">and hydrostatic pres- </w:t>
                            </w:r>
                            <w:r>
                              <w:rPr>
                                <w:rStyle w:val="CharStyle12"/>
                                <w:color w:val="0D54A6"/>
                                <w:sz w:val="10"/>
                                <w:szCs w:val="10"/>
                                <w:lang w:eastAsia="en-US"/>
                              </w:rPr>
                              <w:t>12</w:t>
                            </w:r>
                          </w:p>
                          <w:p w14:paraId="7E853C2F" w14:textId="77777777" w:rsidR="00B14B05" w:rsidRDefault="00B14B05">
                            <w:pPr>
                              <w:pStyle w:val="Style11"/>
                              <w:spacing w:line="290" w:lineRule="auto"/>
                              <w:ind w:firstLine="0"/>
                              <w:jc w:val="both"/>
                              <w:rPr>
                                <w:rFonts w:ascii="Times New Roman" w:hAnsi="Times New Roman" w:cs="Times New Roman"/>
                                <w:sz w:val="24"/>
                                <w:szCs w:val="24"/>
                              </w:rPr>
                            </w:pPr>
                            <w:r>
                              <w:rPr>
                                <w:rStyle w:val="CharStyle12"/>
                                <w:lang w:eastAsia="en-US"/>
                              </w:rPr>
                              <w:t>sure protectant.</w:t>
                            </w:r>
                          </w:p>
                          <w:p w14:paraId="5862D840" w14:textId="77777777" w:rsidR="00B14B05" w:rsidRDefault="00B14B05">
                            <w:pPr>
                              <w:pStyle w:val="Style11"/>
                              <w:spacing w:line="302" w:lineRule="auto"/>
                              <w:jc w:val="both"/>
                              <w:rPr>
                                <w:rFonts w:ascii="Times New Roman" w:hAnsi="Times New Roman" w:cs="Times New Roman"/>
                                <w:sz w:val="24"/>
                                <w:szCs w:val="24"/>
                              </w:rPr>
                            </w:pPr>
                            <w:r>
                              <w:rPr>
                                <w:rStyle w:val="CharStyle12"/>
                                <w:lang w:eastAsia="en-US"/>
                              </w:rPr>
                              <w:t>Importantly, DMSP is estimated to constitute 3.8 Pg C a</w:t>
                            </w:r>
                            <w:r>
                              <w:rPr>
                                <w:rStyle w:val="CharStyle12"/>
                                <w:sz w:val="11"/>
                                <w:szCs w:val="11"/>
                                <w:vertAlign w:val="superscript"/>
                                <w:lang w:eastAsia="en-US"/>
                              </w:rPr>
                              <w:t>-</w:t>
                            </w:r>
                            <w:r>
                              <w:rPr>
                                <w:rStyle w:val="CharStyle12"/>
                                <w:vertAlign w:val="superscript"/>
                                <w:lang w:eastAsia="en-US"/>
                              </w:rPr>
                              <w:t xml:space="preserve">1 </w:t>
                            </w:r>
                            <w:r>
                              <w:rPr>
                                <w:rStyle w:val="CharStyle12"/>
                                <w:lang w:eastAsia="en-US"/>
                              </w:rPr>
                              <w:t>or 2.0 Pg S a</w:t>
                            </w:r>
                            <w:r>
                              <w:rPr>
                                <w:rStyle w:val="CharStyle12"/>
                                <w:sz w:val="11"/>
                                <w:szCs w:val="11"/>
                                <w:vertAlign w:val="superscript"/>
                                <w:lang w:eastAsia="en-US"/>
                              </w:rPr>
                              <w:t>-</w:t>
                            </w:r>
                            <w:r>
                              <w:rPr>
                                <w:rStyle w:val="CharStyle12"/>
                                <w:vertAlign w:val="superscript"/>
                                <w:lang w:eastAsia="en-US"/>
                              </w:rPr>
                              <w:t>1</w:t>
                            </w:r>
                            <w:r>
                              <w:rPr>
                                <w:rStyle w:val="CharStyle12"/>
                                <w:lang w:eastAsia="en-US"/>
                              </w:rPr>
                              <w:t>, and its catabolism provides a significant source of reduced carbon and sulfur for heterotrophic bacteria.</w:t>
                            </w:r>
                            <w:r>
                              <w:rPr>
                                <w:rStyle w:val="CharStyle12"/>
                                <w:color w:val="0D54A6"/>
                                <w:vertAlign w:val="superscript"/>
                                <w:lang w:eastAsia="en-US"/>
                              </w:rPr>
                              <w:t xml:space="preserve">13 </w:t>
                            </w:r>
                            <w:r>
                              <w:rPr>
                                <w:rStyle w:val="CharStyle12"/>
                                <w:lang w:eastAsia="en-US"/>
                              </w:rPr>
                              <w:t>DMSP can be cleaved to dimethylsulfide (DMS) plus C</w:t>
                            </w:r>
                            <w:r>
                              <w:rPr>
                                <w:rStyle w:val="CharStyle12"/>
                                <w:vertAlign w:val="subscript"/>
                                <w:lang w:eastAsia="en-US"/>
                              </w:rPr>
                              <w:t xml:space="preserve">3 </w:t>
                            </w:r>
                            <w:r>
                              <w:rPr>
                                <w:rStyle w:val="CharStyle12"/>
                                <w:lang w:eastAsia="en-US"/>
                              </w:rPr>
                              <w:t>coproducts via diverse DMSP lyase enzymes in bacteria and fungi (</w:t>
                            </w:r>
                            <w:r>
                              <w:rPr>
                                <w:rStyle w:val="CharStyle12"/>
                                <w:i/>
                                <w:iCs/>
                                <w:lang w:eastAsia="en-US"/>
                              </w:rPr>
                              <w:t>ddd</w:t>
                            </w:r>
                            <w:r>
                              <w:rPr>
                                <w:rStyle w:val="CharStyle12"/>
                                <w:lang w:eastAsia="en-US"/>
                              </w:rPr>
                              <w:t xml:space="preserve"> gene products) or algae and corals (</w:t>
                            </w:r>
                            <w:r>
                              <w:rPr>
                                <w:rStyle w:val="CharStyle12"/>
                                <w:i/>
                                <w:iCs/>
                                <w:lang w:eastAsia="en-US"/>
                              </w:rPr>
                              <w:t>Alma</w:t>
                            </w:r>
                            <w:r>
                              <w:rPr>
                                <w:rStyle w:val="CharStyle12"/>
                                <w:lang w:eastAsia="en-US"/>
                              </w:rPr>
                              <w:t xml:space="preserve"> gene products).</w:t>
                            </w:r>
                            <w:r>
                              <w:rPr>
                                <w:rStyle w:val="CharStyle12"/>
                                <w:color w:val="0D54A6"/>
                                <w:vertAlign w:val="superscript"/>
                                <w:lang w:eastAsia="en-US"/>
                              </w:rPr>
                              <w:t>14</w:t>
                            </w:r>
                            <w:r>
                              <w:rPr>
                                <w:rStyle w:val="CharStyle12"/>
                                <w:sz w:val="11"/>
                                <w:szCs w:val="11"/>
                                <w:vertAlign w:val="superscript"/>
                                <w:lang w:eastAsia="en-US"/>
                              </w:rPr>
                              <w:t>-</w:t>
                            </w:r>
                            <w:r>
                              <w:rPr>
                                <w:rStyle w:val="CharStyle12"/>
                                <w:color w:val="0D54A6"/>
                                <w:vertAlign w:val="superscript"/>
                                <w:lang w:eastAsia="en-US"/>
                              </w:rPr>
                              <w:t>22</w:t>
                            </w:r>
                            <w:r>
                              <w:rPr>
                                <w:rStyle w:val="CharStyle12"/>
                                <w:color w:val="0D54A6"/>
                                <w:lang w:eastAsia="en-US"/>
                              </w:rPr>
                              <w:t xml:space="preserve"> </w:t>
                            </w:r>
                            <w:r>
                              <w:rPr>
                                <w:rStyle w:val="CharStyle12"/>
                                <w:lang w:eastAsia="en-US"/>
                              </w:rPr>
                              <w:t xml:space="preserve">DMSP cleavage can be utilized for carbon assimilation and/or in signaling to attract or ward off </w:t>
                            </w:r>
                            <w:r>
                              <w:rPr>
                                <w:rStyle w:val="CharStyle12"/>
                                <w:color w:val="0D54A6"/>
                                <w:sz w:val="10"/>
                                <w:szCs w:val="10"/>
                                <w:lang w:eastAsia="en-US"/>
                              </w:rPr>
                              <w:t>23</w:t>
                            </w:r>
                          </w:p>
                          <w:p w14:paraId="630EEEC8" w14:textId="77777777" w:rsidR="00B14B05" w:rsidRDefault="00B14B05">
                            <w:pPr>
                              <w:pStyle w:val="Style11"/>
                              <w:spacing w:line="180" w:lineRule="auto"/>
                              <w:ind w:firstLine="0"/>
                              <w:jc w:val="both"/>
                              <w:rPr>
                                <w:rFonts w:ascii="Times New Roman" w:hAnsi="Times New Roman" w:cs="Times New Roman"/>
                                <w:sz w:val="24"/>
                                <w:szCs w:val="24"/>
                              </w:rPr>
                            </w:pPr>
                            <w:r>
                              <w:rPr>
                                <w:rStyle w:val="CharStyle12"/>
                                <w:lang w:eastAsia="en-US"/>
                              </w:rPr>
                              <w:t>organisms Currently, 9 distinct Ddd and diverse Alma-family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499F29" id="Text Box 14" o:spid="_x0000_s1035" type="#_x0000_t202" style="position:absolute;margin-left:.05pt;margin-top:264.15pt;width:243.85pt;height:272.9pt;z-index:251669504;visibility:visible;mso-wrap-style:square;mso-width-percent:0;mso-height-percent:0;mso-wrap-distance-left:0;mso-wrap-distance-top:264.15pt;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" filled="f" stroked="f">
                <v:textbox inset="0,0,0,0">
                  <w:txbxContent>
                    <w:p w14:paraId="1C957268" w14:textId="77777777" w:rsidR="00B14B05" w:rsidRDefault="00B14B05">
                      <w:pPr>
                        <w:pStyle w:val="Style23"/>
                        <w:keepNext/>
                        <w:keepLines/>
                        <w:spacing w:after="80" w:line="240" w:lineRule="auto"/>
                        <w:jc w:val="both"/>
                        <w:rPr>
                          <w:rFonts w:ascii="Times New Roman" w:hAnsi="Times New Roman" w:cs="Times New Roman"/>
                          <w:b w:val="0"/>
                          <w:bCs w:val="0"/>
                          <w:color w:val="auto"/>
                          <w:sz w:val="24"/>
                          <w:szCs w:val="24"/>
                        </w:rPr>
                      </w:pPr>
                      <w:bookmarkStart w:id="5" w:name="bookmark2"/>
                      <w:r>
                        <w:rPr>
                          <w:rStyle w:val="CharStyle24"/>
                          <w:b/>
                          <w:bCs/>
                          <w:lang w:eastAsia="en-US"/>
                        </w:rPr>
                        <w:t>1. INTRODUCTION</w:t>
                      </w:r>
                      <w:bookmarkEnd w:id="5"/>
                    </w:p>
                    <w:p w14:paraId="2C52C611" w14:textId="77777777" w:rsidR="00B14B05" w:rsidRDefault="00B14B05">
                      <w:pPr>
                        <w:pStyle w:val="Style11"/>
                        <w:spacing w:line="305" w:lineRule="auto"/>
                        <w:ind w:firstLine="0"/>
                        <w:jc w:val="both"/>
                        <w:rPr>
                          <w:rFonts w:ascii="Times New Roman" w:hAnsi="Times New Roman" w:cs="Times New Roman"/>
                          <w:sz w:val="24"/>
                          <w:szCs w:val="24"/>
                        </w:rPr>
                      </w:pPr>
                      <w:r>
                        <w:rPr>
                          <w:rStyle w:val="CharStyle12"/>
                          <w:lang w:eastAsia="en-US"/>
                        </w:rPr>
                        <w:t>Dimethylsulfoniopropionate (DMSP) is one of Earth’s most abundant organic sulfur compounds, found throughout marine as well as terrestrial environments.</w:t>
                      </w:r>
                      <w:r>
                        <w:rPr>
                          <w:rStyle w:val="CharStyle12"/>
                          <w:color w:val="0D54A6"/>
                          <w:vertAlign w:val="superscript"/>
                          <w:lang w:eastAsia="en-US"/>
                        </w:rPr>
                        <w:t>1</w:t>
                      </w:r>
                      <w:r>
                        <w:rPr>
                          <w:rStyle w:val="CharStyle12"/>
                          <w:vertAlign w:val="superscript"/>
                          <w:lang w:eastAsia="en-US"/>
                        </w:rPr>
                        <w:t>,</w:t>
                      </w:r>
                      <w:r>
                        <w:rPr>
                          <w:rStyle w:val="CharStyle12"/>
                          <w:color w:val="0D54A6"/>
                          <w:vertAlign w:val="superscript"/>
                          <w:lang w:eastAsia="en-US"/>
                        </w:rPr>
                        <w:t>2</w:t>
                      </w:r>
                      <w:r>
                        <w:rPr>
                          <w:rStyle w:val="CharStyle12"/>
                          <w:color w:val="0D54A6"/>
                          <w:lang w:eastAsia="en-US"/>
                        </w:rPr>
                        <w:t xml:space="preserve"> </w:t>
                      </w:r>
                      <w:r>
                        <w:rPr>
                          <w:rStyle w:val="CharStyle12"/>
                          <w:lang w:eastAsia="en-US"/>
                        </w:rPr>
                        <w:t xml:space="preserve">Marine algae (e.g., </w:t>
                      </w:r>
                      <w:r>
                        <w:rPr>
                          <w:rStyle w:val="CharStyle12"/>
                          <w:i/>
                          <w:iCs/>
                          <w:lang w:eastAsia="en-US"/>
                        </w:rPr>
                        <w:t>Emiliania huxleyi</w:t>
                      </w:r>
                      <w:r>
                        <w:rPr>
                          <w:rStyle w:val="CharStyle12"/>
                          <w:lang w:eastAsia="en-US"/>
                        </w:rPr>
                        <w:t xml:space="preserve">), bacteria (e.g., </w:t>
                      </w:r>
                      <w:r>
                        <w:rPr>
                          <w:rStyle w:val="CharStyle12"/>
                          <w:i/>
                          <w:iCs/>
                          <w:lang w:eastAsia="en-US"/>
                        </w:rPr>
                        <w:t>Roseobacter</w:t>
                      </w:r>
                      <w:r>
                        <w:rPr>
                          <w:rStyle w:val="CharStyle12"/>
                          <w:lang w:eastAsia="en-US"/>
                        </w:rPr>
                        <w:t xml:space="preserve">), corals (e.g., </w:t>
                      </w:r>
                      <w:r>
                        <w:rPr>
                          <w:rStyle w:val="CharStyle12"/>
                          <w:i/>
                          <w:iCs/>
                          <w:lang w:eastAsia="en-US"/>
                        </w:rPr>
                        <w:t>Symbiodinum</w:t>
                      </w:r>
                      <w:r>
                        <w:rPr>
                          <w:rStyle w:val="CharStyle12"/>
                          <w:lang w:eastAsia="en-US"/>
                        </w:rPr>
                        <w:t xml:space="preserve">, a coral symbiotic alga), and plants (e.g., </w:t>
                      </w:r>
                      <w:r>
                        <w:rPr>
                          <w:rStyle w:val="CharStyle12"/>
                          <w:i/>
                          <w:iCs/>
                          <w:lang w:eastAsia="en-US"/>
                        </w:rPr>
                        <w:t>Spartina alterniflora</w:t>
                      </w:r>
                      <w:r>
                        <w:rPr>
                          <w:rStyle w:val="CharStyle12"/>
                          <w:lang w:eastAsia="en-US"/>
                        </w:rPr>
                        <w:t>) can produce DMSP from</w:t>
                      </w:r>
                      <w:r>
                        <w:rPr>
                          <w:rStyle w:val="CharStyle12"/>
                          <w:lang w:eastAsia="en-US"/>
                        </w:rPr>
                        <w:t xml:space="preserve"> methionine (Met) via three distinct pathways: methylation, transamination, and decarboxylation.</w:t>
                      </w:r>
                      <w:r>
                        <w:rPr>
                          <w:rStyle w:val="CharStyle12"/>
                          <w:color w:val="0D54A6"/>
                          <w:vertAlign w:val="superscript"/>
                          <w:lang w:eastAsia="en-US"/>
                        </w:rPr>
                        <w:t>3</w:t>
                      </w:r>
                      <w:r>
                        <w:rPr>
                          <w:rStyle w:val="CharStyle12"/>
                          <w:vertAlign w:val="superscript"/>
                          <w:lang w:eastAsia="en-US"/>
                        </w:rPr>
                        <w:t>,</w:t>
                      </w:r>
                      <w:r>
                        <w:rPr>
                          <w:rStyle w:val="CharStyle12"/>
                          <w:color w:val="0D54A6"/>
                          <w:vertAlign w:val="superscript"/>
                          <w:lang w:eastAsia="en-US"/>
                        </w:rPr>
                        <w:t>4</w:t>
                      </w:r>
                      <w:r>
                        <w:rPr>
                          <w:rStyle w:val="CharStyle12"/>
                          <w:color w:val="0D54A6"/>
                          <w:lang w:eastAsia="en-US"/>
                        </w:rPr>
                        <w:t xml:space="preserve"> </w:t>
                      </w:r>
                      <w:r>
                        <w:rPr>
                          <w:rStyle w:val="CharStyle12"/>
                          <w:lang w:eastAsia="en-US"/>
                        </w:rPr>
                        <w:t xml:space="preserve">Diverse </w:t>
                      </w:r>
                      <w:r>
                        <w:rPr>
                          <w:rStyle w:val="CharStyle12"/>
                          <w:i/>
                          <w:iCs/>
                          <w:lang w:eastAsia="en-US"/>
                        </w:rPr>
                        <w:t>S</w:t>
                      </w:r>
                      <w:r>
                        <w:rPr>
                          <w:rStyle w:val="CharStyle12"/>
                          <w:lang w:eastAsia="en-US"/>
                        </w:rPr>
                        <w:t>-methyltransferase enzymes in</w:t>
                      </w:r>
                      <w:r>
                        <w:rPr>
                          <w:rStyle w:val="CharStyle12"/>
                          <w:lang w:eastAsia="en-US"/>
                        </w:rPr>
                        <w:softHyphen/>
                        <w:t>volved in DMSP synthesis have been identified in bacteria (DsyB, DsyG, DsyGD, and MmtN) and algae and corals (DSYB, TpMMT, and DsyE).</w:t>
                      </w:r>
                      <w:r>
                        <w:rPr>
                          <w:rStyle w:val="CharStyle12"/>
                          <w:color w:val="0D54A6"/>
                          <w:vertAlign w:val="superscript"/>
                          <w:lang w:eastAsia="en-US"/>
                        </w:rPr>
                        <w:t>5</w:t>
                      </w:r>
                      <w:r>
                        <w:rPr>
                          <w:rStyle w:val="CharStyle12"/>
                          <w:color w:val="0D54A6"/>
                          <w:lang w:eastAsia="en-US"/>
                        </w:rPr>
                        <w:t xml:space="preserve"> </w:t>
                      </w:r>
                      <w:r>
                        <w:rPr>
                          <w:rStyle w:val="CharStyle12"/>
                          <w:lang w:eastAsia="en-US"/>
                        </w:rPr>
                        <w:t>Within organisms, DMSP has reported functions as an osmoprotectant,</w:t>
                      </w:r>
                      <w:r>
                        <w:rPr>
                          <w:rStyle w:val="CharStyle12"/>
                          <w:color w:val="0D54A6"/>
                          <w:vertAlign w:val="superscript"/>
                          <w:lang w:eastAsia="en-US"/>
                        </w:rPr>
                        <w:t>6</w:t>
                      </w:r>
                      <w:r>
                        <w:rPr>
                          <w:rStyle w:val="CharStyle12"/>
                          <w:vertAlign w:val="superscript"/>
                          <w:lang w:eastAsia="en-US"/>
                        </w:rPr>
                        <w:t>,</w:t>
                      </w:r>
                      <w:r>
                        <w:rPr>
                          <w:rStyle w:val="CharStyle12"/>
                          <w:color w:val="0D54A6"/>
                          <w:vertAlign w:val="superscript"/>
                          <w:lang w:eastAsia="en-US"/>
                        </w:rPr>
                        <w:t>7</w:t>
                      </w:r>
                      <w:r>
                        <w:rPr>
                          <w:rStyle w:val="CharStyle12"/>
                          <w:color w:val="0D54A6"/>
                          <w:lang w:eastAsia="en-US"/>
                        </w:rPr>
                        <w:t xml:space="preserve"> </w:t>
                      </w:r>
                      <w:r>
                        <w:rPr>
                          <w:rStyle w:val="CharStyle12"/>
                          <w:lang w:eastAsia="en-US"/>
                        </w:rPr>
                        <w:t>antioxidant,</w:t>
                      </w:r>
                      <w:r>
                        <w:rPr>
                          <w:rStyle w:val="CharStyle12"/>
                          <w:color w:val="0D54A6"/>
                          <w:vertAlign w:val="superscript"/>
                          <w:lang w:eastAsia="en-US"/>
                        </w:rPr>
                        <w:t>8</w:t>
                      </w:r>
                      <w:r>
                        <w:rPr>
                          <w:rStyle w:val="CharStyle12"/>
                          <w:vertAlign w:val="superscript"/>
                          <w:lang w:eastAsia="en-US"/>
                        </w:rPr>
                        <w:t>,</w:t>
                      </w:r>
                      <w:r>
                        <w:rPr>
                          <w:rStyle w:val="CharStyle12"/>
                          <w:color w:val="0D54A6"/>
                          <w:vertAlign w:val="superscript"/>
                          <w:lang w:eastAsia="en-US"/>
                        </w:rPr>
                        <w:t xml:space="preserve">9 </w:t>
                      </w:r>
                      <w:r>
                        <w:rPr>
                          <w:rStyle w:val="CharStyle12"/>
                          <w:lang w:eastAsia="en-US"/>
                        </w:rPr>
                        <w:t>cryoprotectant,</w:t>
                      </w:r>
                      <w:r>
                        <w:rPr>
                          <w:rStyle w:val="CharStyle12"/>
                          <w:color w:val="0D54A6"/>
                          <w:vertAlign w:val="superscript"/>
                          <w:lang w:eastAsia="en-US"/>
                        </w:rPr>
                        <w:t>10</w:t>
                      </w:r>
                      <w:r>
                        <w:rPr>
                          <w:rStyle w:val="CharStyle12"/>
                          <w:color w:val="0D54A6"/>
                          <w:lang w:eastAsia="en-US"/>
                        </w:rPr>
                        <w:t xml:space="preserve"> </w:t>
                      </w:r>
                      <w:r>
                        <w:rPr>
                          <w:rStyle w:val="CharStyle12"/>
                          <w:lang w:eastAsia="en-US"/>
                        </w:rPr>
                        <w:t>predator deterrent,</w:t>
                      </w:r>
                      <w:r>
                        <w:rPr>
                          <w:rStyle w:val="CharStyle12"/>
                          <w:color w:val="0D54A6"/>
                          <w:vertAlign w:val="superscript"/>
                          <w:lang w:eastAsia="en-US"/>
                        </w:rPr>
                        <w:t>11</w:t>
                      </w:r>
                      <w:r>
                        <w:rPr>
                          <w:rStyle w:val="CharStyle12"/>
                          <w:color w:val="0D54A6"/>
                          <w:lang w:eastAsia="en-US"/>
                        </w:rPr>
                        <w:t xml:space="preserve"> </w:t>
                      </w:r>
                      <w:r>
                        <w:rPr>
                          <w:rStyle w:val="CharStyle12"/>
                          <w:lang w:eastAsia="en-US"/>
                        </w:rPr>
                        <w:t xml:space="preserve">and hydrostatic pres- </w:t>
                      </w:r>
                      <w:r>
                        <w:rPr>
                          <w:rStyle w:val="CharStyle12"/>
                          <w:color w:val="0D54A6"/>
                          <w:sz w:val="10"/>
                          <w:szCs w:val="10"/>
                          <w:lang w:eastAsia="en-US"/>
                        </w:rPr>
                        <w:t>12</w:t>
                      </w:r>
                    </w:p>
                    <w:p w14:paraId="7E853C2F" w14:textId="77777777" w:rsidR="00B14B05" w:rsidRDefault="00B14B05">
                      <w:pPr>
                        <w:pStyle w:val="Style11"/>
                        <w:spacing w:line="290" w:lineRule="auto"/>
                        <w:ind w:firstLine="0"/>
                        <w:jc w:val="both"/>
                        <w:rPr>
                          <w:rFonts w:ascii="Times New Roman" w:hAnsi="Times New Roman" w:cs="Times New Roman"/>
                          <w:sz w:val="24"/>
                          <w:szCs w:val="24"/>
                        </w:rPr>
                      </w:pPr>
                      <w:r>
                        <w:rPr>
                          <w:rStyle w:val="CharStyle12"/>
                          <w:lang w:eastAsia="en-US"/>
                        </w:rPr>
                        <w:t>sure protectant.</w:t>
                      </w:r>
                    </w:p>
                    <w:p w14:paraId="5862D840" w14:textId="77777777" w:rsidR="00B14B05" w:rsidRDefault="00B14B05">
                      <w:pPr>
                        <w:pStyle w:val="Style11"/>
                        <w:spacing w:line="302" w:lineRule="auto"/>
                        <w:jc w:val="both"/>
                        <w:rPr>
                          <w:rFonts w:ascii="Times New Roman" w:hAnsi="Times New Roman" w:cs="Times New Roman"/>
                          <w:sz w:val="24"/>
                          <w:szCs w:val="24"/>
                        </w:rPr>
                      </w:pPr>
                      <w:r>
                        <w:rPr>
                          <w:rStyle w:val="CharStyle12"/>
                          <w:lang w:eastAsia="en-US"/>
                        </w:rPr>
                        <w:t>Importantly, DMSP is estimated to constitute 3.8 Pg C a</w:t>
                      </w:r>
                      <w:r>
                        <w:rPr>
                          <w:rStyle w:val="CharStyle12"/>
                          <w:sz w:val="11"/>
                          <w:szCs w:val="11"/>
                          <w:vertAlign w:val="superscript"/>
                          <w:lang w:eastAsia="en-US"/>
                        </w:rPr>
                        <w:t>-</w:t>
                      </w:r>
                      <w:r>
                        <w:rPr>
                          <w:rStyle w:val="CharStyle12"/>
                          <w:vertAlign w:val="superscript"/>
                          <w:lang w:eastAsia="en-US"/>
                        </w:rPr>
                        <w:t xml:space="preserve">1 </w:t>
                      </w:r>
                      <w:r>
                        <w:rPr>
                          <w:rStyle w:val="CharStyle12"/>
                          <w:lang w:eastAsia="en-US"/>
                        </w:rPr>
                        <w:t>or 2.0 Pg S a</w:t>
                      </w:r>
                      <w:r>
                        <w:rPr>
                          <w:rStyle w:val="CharStyle12"/>
                          <w:sz w:val="11"/>
                          <w:szCs w:val="11"/>
                          <w:vertAlign w:val="superscript"/>
                          <w:lang w:eastAsia="en-US"/>
                        </w:rPr>
                        <w:t>-</w:t>
                      </w:r>
                      <w:r>
                        <w:rPr>
                          <w:rStyle w:val="CharStyle12"/>
                          <w:vertAlign w:val="superscript"/>
                          <w:lang w:eastAsia="en-US"/>
                        </w:rPr>
                        <w:t>1</w:t>
                      </w:r>
                      <w:r>
                        <w:rPr>
                          <w:rStyle w:val="CharStyle12"/>
                          <w:lang w:eastAsia="en-US"/>
                        </w:rPr>
                        <w:t>, and its catabolism provides a significant source of reduced carbon and sulfur for heterotrophic bacteria.</w:t>
                      </w:r>
                      <w:r>
                        <w:rPr>
                          <w:rStyle w:val="CharStyle12"/>
                          <w:color w:val="0D54A6"/>
                          <w:vertAlign w:val="superscript"/>
                          <w:lang w:eastAsia="en-US"/>
                        </w:rPr>
                        <w:t xml:space="preserve">13 </w:t>
                      </w:r>
                      <w:r>
                        <w:rPr>
                          <w:rStyle w:val="CharStyle12"/>
                          <w:lang w:eastAsia="en-US"/>
                        </w:rPr>
                        <w:t>DMSP can be cleaved to dimethylsulfide (DMS) plus C</w:t>
                      </w:r>
                      <w:r>
                        <w:rPr>
                          <w:rStyle w:val="CharStyle12"/>
                          <w:vertAlign w:val="subscript"/>
                          <w:lang w:eastAsia="en-US"/>
                        </w:rPr>
                        <w:t xml:space="preserve">3 </w:t>
                      </w:r>
                      <w:r>
                        <w:rPr>
                          <w:rStyle w:val="CharStyle12"/>
                          <w:lang w:eastAsia="en-US"/>
                        </w:rPr>
                        <w:t>coproducts via diverse DMSP lyase enzymes in bacteria and fungi (</w:t>
                      </w:r>
                      <w:r>
                        <w:rPr>
                          <w:rStyle w:val="CharStyle12"/>
                          <w:i/>
                          <w:iCs/>
                          <w:lang w:eastAsia="en-US"/>
                        </w:rPr>
                        <w:t>ddd</w:t>
                      </w:r>
                      <w:r>
                        <w:rPr>
                          <w:rStyle w:val="CharStyle12"/>
                          <w:lang w:eastAsia="en-US"/>
                        </w:rPr>
                        <w:t xml:space="preserve"> gene products) or algae and corals (</w:t>
                      </w:r>
                      <w:r>
                        <w:rPr>
                          <w:rStyle w:val="CharStyle12"/>
                          <w:i/>
                          <w:iCs/>
                          <w:lang w:eastAsia="en-US"/>
                        </w:rPr>
                        <w:t>Alma</w:t>
                      </w:r>
                      <w:r>
                        <w:rPr>
                          <w:rStyle w:val="CharStyle12"/>
                          <w:lang w:eastAsia="en-US"/>
                        </w:rPr>
                        <w:t xml:space="preserve"> gene products).</w:t>
                      </w:r>
                      <w:r>
                        <w:rPr>
                          <w:rStyle w:val="CharStyle12"/>
                          <w:color w:val="0D54A6"/>
                          <w:vertAlign w:val="superscript"/>
                          <w:lang w:eastAsia="en-US"/>
                        </w:rPr>
                        <w:t>14</w:t>
                      </w:r>
                      <w:r>
                        <w:rPr>
                          <w:rStyle w:val="CharStyle12"/>
                          <w:sz w:val="11"/>
                          <w:szCs w:val="11"/>
                          <w:vertAlign w:val="superscript"/>
                          <w:lang w:eastAsia="en-US"/>
                        </w:rPr>
                        <w:t>-</w:t>
                      </w:r>
                      <w:r>
                        <w:rPr>
                          <w:rStyle w:val="CharStyle12"/>
                          <w:color w:val="0D54A6"/>
                          <w:vertAlign w:val="superscript"/>
                          <w:lang w:eastAsia="en-US"/>
                        </w:rPr>
                        <w:t>22</w:t>
                      </w:r>
                      <w:r>
                        <w:rPr>
                          <w:rStyle w:val="CharStyle12"/>
                          <w:color w:val="0D54A6"/>
                          <w:lang w:eastAsia="en-US"/>
                        </w:rPr>
                        <w:t xml:space="preserve"> </w:t>
                      </w:r>
                      <w:r>
                        <w:rPr>
                          <w:rStyle w:val="CharStyle12"/>
                          <w:lang w:eastAsia="en-US"/>
                        </w:rPr>
                        <w:t xml:space="preserve">DMSP cleavage can be utilized for carbon assimilation and/or in signaling to attract or ward off </w:t>
                      </w:r>
                      <w:r>
                        <w:rPr>
                          <w:rStyle w:val="CharStyle12"/>
                          <w:color w:val="0D54A6"/>
                          <w:sz w:val="10"/>
                          <w:szCs w:val="10"/>
                          <w:lang w:eastAsia="en-US"/>
                        </w:rPr>
                        <w:t>23</w:t>
                      </w:r>
                    </w:p>
                    <w:p w14:paraId="630EEEC8" w14:textId="77777777" w:rsidR="00B14B05" w:rsidRDefault="00B14B05">
                      <w:pPr>
                        <w:pStyle w:val="Style11"/>
                        <w:spacing w:line="180" w:lineRule="auto"/>
                        <w:ind w:firstLine="0"/>
                        <w:jc w:val="both"/>
                        <w:rPr>
                          <w:rFonts w:ascii="Times New Roman" w:hAnsi="Times New Roman" w:cs="Times New Roman"/>
                          <w:sz w:val="24"/>
                          <w:szCs w:val="24"/>
                        </w:rPr>
                      </w:pPr>
                      <w:r>
                        <w:rPr>
                          <w:rStyle w:val="CharStyle12"/>
                          <w:lang w:eastAsia="en-US"/>
                        </w:rPr>
                        <w:t>organisms Currently, 9 distinct Ddd and diverse Alma-family</w:t>
                      </w:r>
                    </w:p>
                  </w:txbxContent>
                </v:textbox>
                <w10:wrap type="topAndBottom" anchorx="margin"/>
              </v:shape>
            </w:pict>
          </mc:Fallback>
        </mc:AlternateContent>
      </w:r>
      <w:r>
        <w:rPr>
          <w:noProof/>
        </w:rPr>
        <mc:AlternateContent>
          <mc:Choice Requires="wps">
            <w:drawing>
              <wp:anchor distT="3366770" distB="1067435" distL="0" distR="0" simplePos="0" relativeHeight="251670528" behindDoc="0" locked="0" layoutInCell="1" allowOverlap="1" wp14:anchorId="3C6BCB1A" wp14:editId="3D47206F">
                <wp:simplePos x="0" y="0"/>
                <wp:positionH relativeFrom="margin">
                  <wp:posOffset>3355975</wp:posOffset>
                </wp:positionH>
                <wp:positionV relativeFrom="paragraph">
                  <wp:posOffset>3366770</wp:posOffset>
                </wp:positionV>
                <wp:extent cx="3084830" cy="2386330"/>
                <wp:effectExtent l="0" t="4445" r="0" b="0"/>
                <wp:wrapTopAndBottom/>
                <wp:docPr id="1844785609"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4830" cy="2386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AFFAA0" w14:textId="77777777" w:rsidR="00B14B05" w:rsidRDefault="00B14B05">
                            <w:pPr>
                              <w:pStyle w:val="Style11"/>
                              <w:spacing w:line="322" w:lineRule="auto"/>
                              <w:ind w:firstLine="0"/>
                              <w:jc w:val="both"/>
                              <w:rPr>
                                <w:rFonts w:ascii="Times New Roman" w:hAnsi="Times New Roman" w:cs="Times New Roman"/>
                                <w:sz w:val="24"/>
                                <w:szCs w:val="24"/>
                              </w:rPr>
                            </w:pPr>
                            <w:r>
                              <w:rPr>
                                <w:rStyle w:val="CharStyle12"/>
                                <w:lang w:eastAsia="en-US"/>
                              </w:rPr>
                              <w:t>lyases have been identified, and these span 5 different protein families.</w:t>
                            </w:r>
                            <w:r>
                              <w:rPr>
                                <w:rStyle w:val="CharStyle12"/>
                                <w:color w:val="0D54A6"/>
                                <w:vertAlign w:val="superscript"/>
                                <w:lang w:eastAsia="en-US"/>
                              </w:rPr>
                              <w:t>14</w:t>
                            </w:r>
                            <w:r>
                              <w:rPr>
                                <w:rStyle w:val="CharStyle12"/>
                                <w:vertAlign w:val="superscript"/>
                                <w:lang w:eastAsia="en-US"/>
                              </w:rPr>
                              <w:t>,</w:t>
                            </w:r>
                            <w:r>
                              <w:rPr>
                                <w:rStyle w:val="CharStyle12"/>
                                <w:color w:val="0D54A6"/>
                                <w:vertAlign w:val="superscript"/>
                                <w:lang w:eastAsia="en-US"/>
                              </w:rPr>
                              <w:t>15</w:t>
                            </w:r>
                            <w:r>
                              <w:rPr>
                                <w:rStyle w:val="CharStyle12"/>
                                <w:vertAlign w:val="superscript"/>
                                <w:lang w:eastAsia="en-US"/>
                              </w:rPr>
                              <w:t>,</w:t>
                            </w:r>
                            <w:r>
                              <w:rPr>
                                <w:rStyle w:val="CharStyle12"/>
                                <w:color w:val="0D54A6"/>
                                <w:vertAlign w:val="superscript"/>
                                <w:lang w:eastAsia="en-US"/>
                              </w:rPr>
                              <w:t>17</w:t>
                            </w:r>
                            <w:r>
                              <w:rPr>
                                <w:rStyle w:val="CharStyle12"/>
                                <w:sz w:val="11"/>
                                <w:szCs w:val="11"/>
                                <w:vertAlign w:val="superscript"/>
                                <w:lang w:eastAsia="en-US"/>
                              </w:rPr>
                              <w:t>-</w:t>
                            </w:r>
                            <w:r>
                              <w:rPr>
                                <w:rStyle w:val="CharStyle12"/>
                                <w:color w:val="0D54A6"/>
                                <w:vertAlign w:val="superscript"/>
                                <w:lang w:eastAsia="en-US"/>
                              </w:rPr>
                              <w:t>22</w:t>
                            </w:r>
                            <w:r>
                              <w:rPr>
                                <w:rStyle w:val="CharStyle12"/>
                                <w:vertAlign w:val="superscript"/>
                                <w:lang w:eastAsia="en-US"/>
                              </w:rPr>
                              <w:t>,</w:t>
                            </w:r>
                            <w:r>
                              <w:rPr>
                                <w:rStyle w:val="CharStyle12"/>
                                <w:color w:val="0D54A6"/>
                                <w:vertAlign w:val="superscript"/>
                                <w:lang w:eastAsia="en-US"/>
                              </w:rPr>
                              <w:t>24</w:t>
                            </w:r>
                            <w:r>
                              <w:rPr>
                                <w:rStyle w:val="CharStyle12"/>
                                <w:vertAlign w:val="superscript"/>
                                <w:lang w:eastAsia="en-US"/>
                              </w:rPr>
                              <w:t>,</w:t>
                            </w:r>
                            <w:r>
                              <w:rPr>
                                <w:rStyle w:val="CharStyle12"/>
                                <w:color w:val="0D54A6"/>
                                <w:vertAlign w:val="superscript"/>
                                <w:lang w:eastAsia="en-US"/>
                              </w:rPr>
                              <w:t>25</w:t>
                            </w:r>
                            <w:r>
                              <w:rPr>
                                <w:rStyle w:val="CharStyle12"/>
                                <w:color w:val="0D54A6"/>
                                <w:lang w:eastAsia="en-US"/>
                              </w:rPr>
                              <w:t xml:space="preserve"> </w:t>
                            </w:r>
                            <w:r>
                              <w:rPr>
                                <w:rStyle w:val="CharStyle12"/>
                                <w:lang w:eastAsia="en-US"/>
                              </w:rPr>
                              <w:t>The major DMSP catabolic pathway in marine environments is demethylation, driven by the bacterial DMSP demethylase enzyme DmdA,</w:t>
                            </w:r>
                            <w:r>
                              <w:rPr>
                                <w:rStyle w:val="CharStyle12"/>
                                <w:color w:val="0D54A6"/>
                                <w:vertAlign w:val="superscript"/>
                                <w:lang w:eastAsia="en-US"/>
                              </w:rPr>
                              <w:t>26</w:t>
                            </w:r>
                            <w:r>
                              <w:rPr>
                                <w:rStyle w:val="CharStyle12"/>
                                <w:vertAlign w:val="superscript"/>
                                <w:lang w:eastAsia="en-US"/>
                              </w:rPr>
                              <w:t>,</w:t>
                            </w:r>
                            <w:r>
                              <w:rPr>
                                <w:rStyle w:val="CharStyle12"/>
                                <w:color w:val="0D54A6"/>
                                <w:vertAlign w:val="superscript"/>
                                <w:lang w:eastAsia="en-US"/>
                              </w:rPr>
                              <w:t>27</w:t>
                            </w:r>
                            <w:r>
                              <w:rPr>
                                <w:rStyle w:val="CharStyle12"/>
                                <w:color w:val="0D54A6"/>
                                <w:lang w:eastAsia="en-US"/>
                              </w:rPr>
                              <w:t xml:space="preserve"> </w:t>
                            </w:r>
                            <w:r>
                              <w:rPr>
                                <w:rStyle w:val="CharStyle12"/>
                                <w:lang w:eastAsia="en-US"/>
                              </w:rPr>
                              <w:t xml:space="preserve">which is predicted to account for </w:t>
                            </w:r>
                            <w:r>
                              <w:rPr>
                                <w:rStyle w:val="CharStyle12"/>
                                <w:rFonts w:ascii="Cambria Math" w:hAnsi="Cambria Math" w:cs="Cambria Math"/>
                                <w:sz w:val="17"/>
                                <w:szCs w:val="17"/>
                                <w:lang w:eastAsia="en-US"/>
                              </w:rPr>
                              <w:t>∼</w:t>
                            </w:r>
                            <w:r>
                              <w:rPr>
                                <w:rStyle w:val="CharStyle12"/>
                                <w:lang w:eastAsia="en-US"/>
                              </w:rPr>
                              <w:t>80% of marine DMSP catabolism.</w:t>
                            </w:r>
                            <w:r>
                              <w:rPr>
                                <w:rStyle w:val="CharStyle12"/>
                                <w:color w:val="0D54A6"/>
                                <w:vertAlign w:val="superscript"/>
                                <w:lang w:eastAsia="en-US"/>
                              </w:rPr>
                              <w:t>26</w:t>
                            </w:r>
                            <w:r>
                              <w:rPr>
                                <w:rStyle w:val="CharStyle12"/>
                                <w:vertAlign w:val="superscript"/>
                                <w:lang w:eastAsia="en-US"/>
                              </w:rPr>
                              <w:t>,</w:t>
                            </w:r>
                            <w:r>
                              <w:rPr>
                                <w:rStyle w:val="CharStyle12"/>
                                <w:color w:val="0D54A6"/>
                                <w:vertAlign w:val="superscript"/>
                                <w:lang w:eastAsia="en-US"/>
                              </w:rPr>
                              <w:t>28</w:t>
                            </w:r>
                            <w:r>
                              <w:rPr>
                                <w:rStyle w:val="CharStyle12"/>
                                <w:color w:val="0D54A6"/>
                                <w:lang w:eastAsia="en-US"/>
                              </w:rPr>
                              <w:t xml:space="preserve"> </w:t>
                            </w:r>
                            <w:r>
                              <w:rPr>
                                <w:rStyle w:val="CharStyle12"/>
                                <w:lang w:eastAsia="en-US"/>
                              </w:rPr>
                              <w:t>DMSP demethylation can yield methanethiol (MeSH) and is utilized for the assimilation of carbon and sulfur from DMSP. Notably, DMSP catabolism is a major source of DMS and MeSH, which are climate-cooling gases and contribute to aerosol formation and climate regulation.</w:t>
                            </w:r>
                            <w:r>
                              <w:rPr>
                                <w:rStyle w:val="CharStyle12"/>
                                <w:color w:val="0D54A6"/>
                                <w:vertAlign w:val="superscript"/>
                                <w:lang w:eastAsia="en-US"/>
                              </w:rPr>
                              <w:t>23</w:t>
                            </w:r>
                          </w:p>
                          <w:p w14:paraId="182E9076" w14:textId="77777777" w:rsidR="00B14B05" w:rsidRDefault="00B14B05">
                            <w:pPr>
                              <w:pStyle w:val="Style11"/>
                              <w:pBdr>
                                <w:bottom w:val="single" w:sz="4" w:space="0" w:color="auto"/>
                              </w:pBdr>
                              <w:spacing w:line="322" w:lineRule="auto"/>
                              <w:ind w:firstLine="180"/>
                              <w:jc w:val="both"/>
                              <w:rPr>
                                <w:rFonts w:ascii="Times New Roman" w:hAnsi="Times New Roman" w:cs="Times New Roman"/>
                                <w:sz w:val="24"/>
                                <w:szCs w:val="24"/>
                              </w:rPr>
                            </w:pPr>
                            <w:r>
                              <w:rPr>
                                <w:rStyle w:val="CharStyle12"/>
                                <w:lang w:eastAsia="en-US"/>
                              </w:rPr>
                              <w:t>The ubiquitous amino acid Met can be converted into MeSH via the Met gamma lyase enzyme MegL.</w:t>
                            </w:r>
                            <w:r>
                              <w:rPr>
                                <w:rStyle w:val="CharStyle12"/>
                                <w:color w:val="0D54A6"/>
                                <w:vertAlign w:val="superscript"/>
                                <w:lang w:eastAsia="en-US"/>
                              </w:rPr>
                              <w:t>24</w:t>
                            </w:r>
                            <w:r>
                              <w:rPr>
                                <w:rStyle w:val="CharStyle12"/>
                                <w:vertAlign w:val="superscript"/>
                                <w:lang w:eastAsia="en-US"/>
                              </w:rPr>
                              <w:t>,</w:t>
                            </w:r>
                            <w:r>
                              <w:rPr>
                                <w:rStyle w:val="CharStyle12"/>
                                <w:color w:val="0D54A6"/>
                                <w:vertAlign w:val="superscript"/>
                                <w:lang w:eastAsia="en-US"/>
                              </w:rPr>
                              <w:t xml:space="preserve">29 </w:t>
                            </w:r>
                            <w:r>
                              <w:rPr>
                                <w:rStyle w:val="CharStyle12"/>
                                <w:lang w:eastAsia="en-US"/>
                              </w:rPr>
                              <w:t>Furthermore, DMS can be produced from H</w:t>
                            </w:r>
                            <w:r>
                              <w:rPr>
                                <w:rStyle w:val="CharStyle12"/>
                                <w:vertAlign w:val="subscript"/>
                                <w:lang w:eastAsia="en-US"/>
                              </w:rPr>
                              <w:t>2</w:t>
                            </w:r>
                            <w:r>
                              <w:rPr>
                                <w:rStyle w:val="CharStyle12"/>
                                <w:lang w:eastAsia="en-US"/>
                              </w:rPr>
                              <w:t xml:space="preserve">S, often abundant in sediment environments due to sulfate reducing respiration, and MeSH, via diverse </w:t>
                            </w:r>
                            <w:r>
                              <w:rPr>
                                <w:rStyle w:val="CharStyle12"/>
                                <w:i/>
                                <w:iCs/>
                                <w:lang w:eastAsia="en-US"/>
                              </w:rPr>
                              <w:t>S</w:t>
                            </w:r>
                            <w:r>
                              <w:rPr>
                                <w:rStyle w:val="CharStyle12"/>
                                <w:lang w:eastAsia="en-US"/>
                              </w:rPr>
                              <w:t xml:space="preserve">-methylating Mdd enzymes, which are widespread in marine (predominantly </w:t>
                            </w:r>
                            <w:r>
                              <w:rPr>
                                <w:rStyle w:val="CharStyle12"/>
                                <w:i/>
                                <w:iCs/>
                                <w:lang w:eastAsia="en-US"/>
                              </w:rPr>
                              <w:t>mddH</w:t>
                            </w:r>
                            <w:r>
                              <w:rPr>
                                <w:rStyle w:val="CharStyle12"/>
                                <w:lang w:eastAsia="en-US"/>
                              </w:rPr>
                              <w:t>) and terrestrial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6BCB1A" id="Text Box 15" o:spid="_x0000_s1036" type="#_x0000_t202" style="position:absolute;margin-left:264.25pt;margin-top:265.1pt;width:242.9pt;height:187.9pt;z-index:251670528;visibility:visible;mso-wrap-style:square;mso-width-percent:0;mso-height-percent:0;mso-wrap-distance-left:0;mso-wrap-distance-top:265.1pt;mso-wrap-distance-right:0;mso-wrap-distance-bottom:84.0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" filled="f" stroked="f">
                <v:textbox inset="0,0,0,0">
                  <w:txbxContent>
                    <w:p w14:paraId="36AFFAA0" w14:textId="77777777" w:rsidR="00B14B05" w:rsidRDefault="00B14B05">
                      <w:pPr>
                        <w:pStyle w:val="Style11"/>
                        <w:spacing w:line="322" w:lineRule="auto"/>
                        <w:ind w:firstLine="0"/>
                        <w:jc w:val="both"/>
                        <w:rPr>
                          <w:rFonts w:ascii="Times New Roman" w:hAnsi="Times New Roman" w:cs="Times New Roman"/>
                          <w:sz w:val="24"/>
                          <w:szCs w:val="24"/>
                        </w:rPr>
                      </w:pPr>
                      <w:r>
                        <w:rPr>
                          <w:rStyle w:val="CharStyle12"/>
                          <w:lang w:eastAsia="en-US"/>
                        </w:rPr>
                        <w:t>lyases have been identified, and these span 5 different protein families.</w:t>
                      </w:r>
                      <w:r>
                        <w:rPr>
                          <w:rStyle w:val="CharStyle12"/>
                          <w:color w:val="0D54A6"/>
                          <w:vertAlign w:val="superscript"/>
                          <w:lang w:eastAsia="en-US"/>
                        </w:rPr>
                        <w:t>14</w:t>
                      </w:r>
                      <w:r>
                        <w:rPr>
                          <w:rStyle w:val="CharStyle12"/>
                          <w:vertAlign w:val="superscript"/>
                          <w:lang w:eastAsia="en-US"/>
                        </w:rPr>
                        <w:t>,</w:t>
                      </w:r>
                      <w:r>
                        <w:rPr>
                          <w:rStyle w:val="CharStyle12"/>
                          <w:color w:val="0D54A6"/>
                          <w:vertAlign w:val="superscript"/>
                          <w:lang w:eastAsia="en-US"/>
                        </w:rPr>
                        <w:t>15</w:t>
                      </w:r>
                      <w:r>
                        <w:rPr>
                          <w:rStyle w:val="CharStyle12"/>
                          <w:vertAlign w:val="superscript"/>
                          <w:lang w:eastAsia="en-US"/>
                        </w:rPr>
                        <w:t>,</w:t>
                      </w:r>
                      <w:r>
                        <w:rPr>
                          <w:rStyle w:val="CharStyle12"/>
                          <w:color w:val="0D54A6"/>
                          <w:vertAlign w:val="superscript"/>
                          <w:lang w:eastAsia="en-US"/>
                        </w:rPr>
                        <w:t>17</w:t>
                      </w:r>
                      <w:r>
                        <w:rPr>
                          <w:rStyle w:val="CharStyle12"/>
                          <w:sz w:val="11"/>
                          <w:szCs w:val="11"/>
                          <w:vertAlign w:val="superscript"/>
                          <w:lang w:eastAsia="en-US"/>
                        </w:rPr>
                        <w:t>-</w:t>
                      </w:r>
                      <w:r>
                        <w:rPr>
                          <w:rStyle w:val="CharStyle12"/>
                          <w:color w:val="0D54A6"/>
                          <w:vertAlign w:val="superscript"/>
                          <w:lang w:eastAsia="en-US"/>
                        </w:rPr>
                        <w:t>22</w:t>
                      </w:r>
                      <w:r>
                        <w:rPr>
                          <w:rStyle w:val="CharStyle12"/>
                          <w:vertAlign w:val="superscript"/>
                          <w:lang w:eastAsia="en-US"/>
                        </w:rPr>
                        <w:t>,</w:t>
                      </w:r>
                      <w:r>
                        <w:rPr>
                          <w:rStyle w:val="CharStyle12"/>
                          <w:color w:val="0D54A6"/>
                          <w:vertAlign w:val="superscript"/>
                          <w:lang w:eastAsia="en-US"/>
                        </w:rPr>
                        <w:t>24</w:t>
                      </w:r>
                      <w:r>
                        <w:rPr>
                          <w:rStyle w:val="CharStyle12"/>
                          <w:vertAlign w:val="superscript"/>
                          <w:lang w:eastAsia="en-US"/>
                        </w:rPr>
                        <w:t>,</w:t>
                      </w:r>
                      <w:r>
                        <w:rPr>
                          <w:rStyle w:val="CharStyle12"/>
                          <w:color w:val="0D54A6"/>
                          <w:vertAlign w:val="superscript"/>
                          <w:lang w:eastAsia="en-US"/>
                        </w:rPr>
                        <w:t>25</w:t>
                      </w:r>
                      <w:r>
                        <w:rPr>
                          <w:rStyle w:val="CharStyle12"/>
                          <w:color w:val="0D54A6"/>
                          <w:lang w:eastAsia="en-US"/>
                        </w:rPr>
                        <w:t xml:space="preserve"> </w:t>
                      </w:r>
                      <w:r>
                        <w:rPr>
                          <w:rStyle w:val="CharStyle12"/>
                          <w:lang w:eastAsia="en-US"/>
                        </w:rPr>
                        <w:t>The major DMSP catabolic pathway in marine environments is demethylation, driven by the bacterial DMSP demethylase enzyme DmdA,</w:t>
                      </w:r>
                      <w:r>
                        <w:rPr>
                          <w:rStyle w:val="CharStyle12"/>
                          <w:color w:val="0D54A6"/>
                          <w:vertAlign w:val="superscript"/>
                          <w:lang w:eastAsia="en-US"/>
                        </w:rPr>
                        <w:t>26</w:t>
                      </w:r>
                      <w:r>
                        <w:rPr>
                          <w:rStyle w:val="CharStyle12"/>
                          <w:vertAlign w:val="superscript"/>
                          <w:lang w:eastAsia="en-US"/>
                        </w:rPr>
                        <w:t>,</w:t>
                      </w:r>
                      <w:r>
                        <w:rPr>
                          <w:rStyle w:val="CharStyle12"/>
                          <w:color w:val="0D54A6"/>
                          <w:vertAlign w:val="superscript"/>
                          <w:lang w:eastAsia="en-US"/>
                        </w:rPr>
                        <w:t>27</w:t>
                      </w:r>
                      <w:r>
                        <w:rPr>
                          <w:rStyle w:val="CharStyle12"/>
                          <w:color w:val="0D54A6"/>
                          <w:lang w:eastAsia="en-US"/>
                        </w:rPr>
                        <w:t xml:space="preserve"> </w:t>
                      </w:r>
                      <w:r>
                        <w:rPr>
                          <w:rStyle w:val="CharStyle12"/>
                          <w:lang w:eastAsia="en-US"/>
                        </w:rPr>
                        <w:t xml:space="preserve">which is predicted to account for </w:t>
                      </w:r>
                      <w:r>
                        <w:rPr>
                          <w:rStyle w:val="CharStyle12"/>
                          <w:rFonts w:ascii="Cambria Math" w:hAnsi="Cambria Math" w:cs="Cambria Math"/>
                          <w:sz w:val="17"/>
                          <w:szCs w:val="17"/>
                          <w:lang w:eastAsia="en-US"/>
                        </w:rPr>
                        <w:t>∼</w:t>
                      </w:r>
                      <w:r>
                        <w:rPr>
                          <w:rStyle w:val="CharStyle12"/>
                          <w:lang w:eastAsia="en-US"/>
                        </w:rPr>
                        <w:t>80% of marine DMSP catabolism.</w:t>
                      </w:r>
                      <w:r>
                        <w:rPr>
                          <w:rStyle w:val="CharStyle12"/>
                          <w:color w:val="0D54A6"/>
                          <w:vertAlign w:val="superscript"/>
                          <w:lang w:eastAsia="en-US"/>
                        </w:rPr>
                        <w:t>26</w:t>
                      </w:r>
                      <w:r>
                        <w:rPr>
                          <w:rStyle w:val="CharStyle12"/>
                          <w:vertAlign w:val="superscript"/>
                          <w:lang w:eastAsia="en-US"/>
                        </w:rPr>
                        <w:t>,</w:t>
                      </w:r>
                      <w:r>
                        <w:rPr>
                          <w:rStyle w:val="CharStyle12"/>
                          <w:color w:val="0D54A6"/>
                          <w:vertAlign w:val="superscript"/>
                          <w:lang w:eastAsia="en-US"/>
                        </w:rPr>
                        <w:t>28</w:t>
                      </w:r>
                      <w:r>
                        <w:rPr>
                          <w:rStyle w:val="CharStyle12"/>
                          <w:color w:val="0D54A6"/>
                          <w:lang w:eastAsia="en-US"/>
                        </w:rPr>
                        <w:t xml:space="preserve"> </w:t>
                      </w:r>
                      <w:r>
                        <w:rPr>
                          <w:rStyle w:val="CharStyle12"/>
                          <w:lang w:eastAsia="en-US"/>
                        </w:rPr>
                        <w:t>DMSP demethylation can yield methanethiol (MeSH) and is utilized for the assimilation of carbon and sulfur from DMSP. Notably, DMSP catabolism is a major source of DMS and MeSH, which are climate-cooling gases and contribute to aerosol formation and climate regulation.</w:t>
                      </w:r>
                      <w:r>
                        <w:rPr>
                          <w:rStyle w:val="CharStyle12"/>
                          <w:color w:val="0D54A6"/>
                          <w:vertAlign w:val="superscript"/>
                          <w:lang w:eastAsia="en-US"/>
                        </w:rPr>
                        <w:t>23</w:t>
                      </w:r>
                    </w:p>
                    <w:p w14:paraId="182E9076" w14:textId="77777777" w:rsidR="00B14B05" w:rsidRDefault="00B14B05">
                      <w:pPr>
                        <w:pStyle w:val="Style11"/>
                        <w:pBdr>
                          <w:bottom w:val="single" w:sz="4" w:space="0" w:color="auto"/>
                        </w:pBdr>
                        <w:spacing w:line="322" w:lineRule="auto"/>
                        <w:ind w:firstLine="180"/>
                        <w:jc w:val="both"/>
                        <w:rPr>
                          <w:rFonts w:ascii="Times New Roman" w:hAnsi="Times New Roman" w:cs="Times New Roman"/>
                          <w:sz w:val="24"/>
                          <w:szCs w:val="24"/>
                        </w:rPr>
                      </w:pPr>
                      <w:r>
                        <w:rPr>
                          <w:rStyle w:val="CharStyle12"/>
                          <w:lang w:eastAsia="en-US"/>
                        </w:rPr>
                        <w:t>The ubiquitous amino acid Met can be converted into MeSH via the Met gamma lyase enzyme MegL.</w:t>
                      </w:r>
                      <w:r>
                        <w:rPr>
                          <w:rStyle w:val="CharStyle12"/>
                          <w:color w:val="0D54A6"/>
                          <w:vertAlign w:val="superscript"/>
                          <w:lang w:eastAsia="en-US"/>
                        </w:rPr>
                        <w:t>24</w:t>
                      </w:r>
                      <w:r>
                        <w:rPr>
                          <w:rStyle w:val="CharStyle12"/>
                          <w:vertAlign w:val="superscript"/>
                          <w:lang w:eastAsia="en-US"/>
                        </w:rPr>
                        <w:t>,</w:t>
                      </w:r>
                      <w:r>
                        <w:rPr>
                          <w:rStyle w:val="CharStyle12"/>
                          <w:color w:val="0D54A6"/>
                          <w:vertAlign w:val="superscript"/>
                          <w:lang w:eastAsia="en-US"/>
                        </w:rPr>
                        <w:t xml:space="preserve">29 </w:t>
                      </w:r>
                      <w:r>
                        <w:rPr>
                          <w:rStyle w:val="CharStyle12"/>
                          <w:lang w:eastAsia="en-US"/>
                        </w:rPr>
                        <w:t>Furthermore, DMS can be produced from H</w:t>
                      </w:r>
                      <w:r>
                        <w:rPr>
                          <w:rStyle w:val="CharStyle12"/>
                          <w:vertAlign w:val="subscript"/>
                          <w:lang w:eastAsia="en-US"/>
                        </w:rPr>
                        <w:t>2</w:t>
                      </w:r>
                      <w:r>
                        <w:rPr>
                          <w:rStyle w:val="CharStyle12"/>
                          <w:lang w:eastAsia="en-US"/>
                        </w:rPr>
                        <w:t xml:space="preserve">S, often abundant in sediment environments due to sulfate reducing respiration, and MeSH, via diverse </w:t>
                      </w:r>
                      <w:r>
                        <w:rPr>
                          <w:rStyle w:val="CharStyle12"/>
                          <w:i/>
                          <w:iCs/>
                          <w:lang w:eastAsia="en-US"/>
                        </w:rPr>
                        <w:t>S</w:t>
                      </w:r>
                      <w:r>
                        <w:rPr>
                          <w:rStyle w:val="CharStyle12"/>
                          <w:lang w:eastAsia="en-US"/>
                        </w:rPr>
                        <w:t xml:space="preserve">-methylating Mdd enzymes, which are widespread in marine (predominantly </w:t>
                      </w:r>
                      <w:r>
                        <w:rPr>
                          <w:rStyle w:val="CharStyle12"/>
                          <w:i/>
                          <w:iCs/>
                          <w:lang w:eastAsia="en-US"/>
                        </w:rPr>
                        <w:t>mddH</w:t>
                      </w:r>
                      <w:r>
                        <w:rPr>
                          <w:rStyle w:val="CharStyle12"/>
                          <w:lang w:eastAsia="en-US"/>
                        </w:rPr>
                        <w:t>) and terrestrial</w:t>
                      </w:r>
                    </w:p>
                  </w:txbxContent>
                </v:textbox>
                <w10:wrap type="topAndBottom" anchorx="margin"/>
              </v:shape>
            </w:pict>
          </mc:Fallback>
        </mc:AlternateContent>
      </w:r>
      <w:r>
        <w:rPr>
          <w:noProof/>
        </w:rPr>
        <mc:AlternateContent>
          <mc:Choice Requires="wps">
            <w:drawing>
              <wp:anchor distT="5906135" distB="475615" distL="0" distR="0" simplePos="0" relativeHeight="251671552" behindDoc="0" locked="0" layoutInCell="1" allowOverlap="1" wp14:anchorId="0E5B6ACE" wp14:editId="2A127956">
                <wp:simplePos x="0" y="0"/>
                <wp:positionH relativeFrom="margin">
                  <wp:posOffset>3355975</wp:posOffset>
                </wp:positionH>
                <wp:positionV relativeFrom="paragraph">
                  <wp:posOffset>5906135</wp:posOffset>
                </wp:positionV>
                <wp:extent cx="1377950" cy="438785"/>
                <wp:effectExtent l="0" t="635" r="0" b="0"/>
                <wp:wrapTopAndBottom/>
                <wp:docPr id="78922692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950" cy="4387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548030" w14:textId="77777777" w:rsidR="00B14B05" w:rsidRDefault="00B14B05">
                            <w:pPr>
                              <w:pStyle w:val="Style28"/>
                              <w:spacing w:line="240" w:lineRule="auto"/>
                              <w:rPr>
                                <w:sz w:val="24"/>
                                <w:szCs w:val="24"/>
                              </w:rPr>
                            </w:pPr>
                            <w:r>
                              <w:rPr>
                                <w:rStyle w:val="CharStyle29"/>
                                <w:rFonts w:ascii="Arial" w:hAnsi="Arial" w:cs="Arial"/>
                                <w:color w:val="246B42"/>
                                <w:sz w:val="12"/>
                                <w:szCs w:val="12"/>
                                <w:lang w:eastAsia="en-US"/>
                              </w:rPr>
                              <w:t xml:space="preserve">Received: </w:t>
                            </w:r>
                            <w:r>
                              <w:rPr>
                                <w:rStyle w:val="CharStyle29"/>
                                <w:lang w:eastAsia="en-US"/>
                              </w:rPr>
                              <w:t>August 6, 2025</w:t>
                            </w:r>
                          </w:p>
                          <w:p w14:paraId="6CC6873A" w14:textId="77777777" w:rsidR="00B14B05" w:rsidRDefault="00B14B05">
                            <w:pPr>
                              <w:pStyle w:val="Style28"/>
                              <w:tabs>
                                <w:tab w:val="left" w:pos="874"/>
                              </w:tabs>
                              <w:spacing w:line="240" w:lineRule="auto"/>
                              <w:rPr>
                                <w:sz w:val="24"/>
                                <w:szCs w:val="24"/>
                              </w:rPr>
                            </w:pPr>
                            <w:r>
                              <w:rPr>
                                <w:rStyle w:val="CharStyle29"/>
                                <w:rFonts w:ascii="Arial" w:hAnsi="Arial" w:cs="Arial"/>
                                <w:color w:val="246B42"/>
                                <w:sz w:val="12"/>
                                <w:szCs w:val="12"/>
                                <w:lang w:eastAsia="en-US"/>
                              </w:rPr>
                              <w:t>Revised:</w:t>
                            </w:r>
                            <w:r>
                              <w:rPr>
                                <w:rStyle w:val="CharStyle29"/>
                                <w:rFonts w:ascii="Arial" w:hAnsi="Arial" w:cs="Arial"/>
                                <w:color w:val="246B42"/>
                                <w:sz w:val="12"/>
                                <w:szCs w:val="12"/>
                                <w:lang w:eastAsia="en-US"/>
                              </w:rPr>
                              <w:tab/>
                            </w:r>
                            <w:r>
                              <w:rPr>
                                <w:rStyle w:val="CharStyle29"/>
                                <w:lang w:eastAsia="en-US"/>
                              </w:rPr>
                              <w:t>October 24, 2025</w:t>
                            </w:r>
                          </w:p>
                          <w:p w14:paraId="173EBB74" w14:textId="77777777" w:rsidR="00B14B05" w:rsidRDefault="00B14B05">
                            <w:pPr>
                              <w:pStyle w:val="Style28"/>
                              <w:spacing w:line="240" w:lineRule="auto"/>
                              <w:rPr>
                                <w:sz w:val="24"/>
                                <w:szCs w:val="24"/>
                              </w:rPr>
                            </w:pPr>
                            <w:r>
                              <w:rPr>
                                <w:rStyle w:val="CharStyle29"/>
                                <w:rFonts w:ascii="Arial" w:hAnsi="Arial" w:cs="Arial"/>
                                <w:color w:val="246B42"/>
                                <w:sz w:val="12"/>
                                <w:szCs w:val="12"/>
                                <w:lang w:eastAsia="en-US"/>
                              </w:rPr>
                              <w:t xml:space="preserve">Accepted: </w:t>
                            </w:r>
                            <w:r>
                              <w:rPr>
                                <w:rStyle w:val="CharStyle29"/>
                                <w:lang w:eastAsia="en-US"/>
                              </w:rPr>
                              <w:t>October 27, 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5B6ACE" id="Text Box 16" o:spid="_x0000_s1037" type="#_x0000_t202" style="position:absolute;margin-left:264.25pt;margin-top:465.05pt;width:108.5pt;height:34.55pt;z-index:251671552;visibility:visible;mso-wrap-style:square;mso-width-percent:0;mso-height-percent:0;mso-wrap-distance-left:0;mso-wrap-distance-top:465.05pt;mso-wrap-distance-right:0;mso-wrap-distance-bottom:37.45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" filled="f" stroked="f">
                <v:textbox inset="0,0,0,0">
                  <w:txbxContent>
                    <w:p w14:paraId="48548030" w14:textId="77777777" w:rsidR="00B14B05" w:rsidRDefault="00B14B05">
                      <w:pPr>
                        <w:pStyle w:val="Style28"/>
                        <w:spacing w:line="240" w:lineRule="auto"/>
                        <w:rPr>
                          <w:sz w:val="24"/>
                          <w:szCs w:val="24"/>
                        </w:rPr>
                      </w:pPr>
                      <w:r>
                        <w:rPr>
                          <w:rStyle w:val="CharStyle29"/>
                          <w:rFonts w:ascii="Arial" w:hAnsi="Arial" w:cs="Arial"/>
                          <w:color w:val="246B42"/>
                          <w:sz w:val="12"/>
                          <w:szCs w:val="12"/>
                          <w:lang w:eastAsia="en-US"/>
                        </w:rPr>
                        <w:t xml:space="preserve">Received: </w:t>
                      </w:r>
                      <w:r>
                        <w:rPr>
                          <w:rStyle w:val="CharStyle29"/>
                          <w:lang w:eastAsia="en-US"/>
                        </w:rPr>
                        <w:t>August 6, 2025</w:t>
                      </w:r>
                    </w:p>
                    <w:p w14:paraId="6CC6873A" w14:textId="77777777" w:rsidR="00B14B05" w:rsidRDefault="00B14B05">
                      <w:pPr>
                        <w:pStyle w:val="Style28"/>
                        <w:tabs>
                          <w:tab w:val="left" w:pos="874"/>
                        </w:tabs>
                        <w:spacing w:line="240" w:lineRule="auto"/>
                        <w:rPr>
                          <w:sz w:val="24"/>
                          <w:szCs w:val="24"/>
                        </w:rPr>
                      </w:pPr>
                      <w:r>
                        <w:rPr>
                          <w:rStyle w:val="CharStyle29"/>
                          <w:rFonts w:ascii="Arial" w:hAnsi="Arial" w:cs="Arial"/>
                          <w:color w:val="246B42"/>
                          <w:sz w:val="12"/>
                          <w:szCs w:val="12"/>
                          <w:lang w:eastAsia="en-US"/>
                        </w:rPr>
                        <w:t>Revised:</w:t>
                      </w:r>
                      <w:r>
                        <w:rPr>
                          <w:rStyle w:val="CharStyle29"/>
                          <w:rFonts w:ascii="Arial" w:hAnsi="Arial" w:cs="Arial"/>
                          <w:color w:val="246B42"/>
                          <w:sz w:val="12"/>
                          <w:szCs w:val="12"/>
                          <w:lang w:eastAsia="en-US"/>
                        </w:rPr>
                        <w:tab/>
                      </w:r>
                      <w:r>
                        <w:rPr>
                          <w:rStyle w:val="CharStyle29"/>
                          <w:lang w:eastAsia="en-US"/>
                        </w:rPr>
                        <w:t>October 24, 2025</w:t>
                      </w:r>
                    </w:p>
                    <w:p w14:paraId="173EBB74" w14:textId="77777777" w:rsidR="00B14B05" w:rsidRDefault="00B14B05">
                      <w:pPr>
                        <w:pStyle w:val="Style28"/>
                        <w:spacing w:line="240" w:lineRule="auto"/>
                        <w:rPr>
                          <w:sz w:val="24"/>
                          <w:szCs w:val="24"/>
                        </w:rPr>
                      </w:pPr>
                      <w:r>
                        <w:rPr>
                          <w:rStyle w:val="CharStyle29"/>
                          <w:rFonts w:ascii="Arial" w:hAnsi="Arial" w:cs="Arial"/>
                          <w:color w:val="246B42"/>
                          <w:sz w:val="12"/>
                          <w:szCs w:val="12"/>
                          <w:lang w:eastAsia="en-US"/>
                        </w:rPr>
                        <w:t xml:space="preserve">Accepted: </w:t>
                      </w:r>
                      <w:r>
                        <w:rPr>
                          <w:rStyle w:val="CharStyle29"/>
                          <w:lang w:eastAsia="en-US"/>
                        </w:rPr>
                        <w:t>October 27, 2025</w:t>
                      </w:r>
                    </w:p>
                  </w:txbxContent>
                </v:textbox>
                <w10:wrap type="topAndBottom" anchorx="margin"/>
              </v:shape>
            </w:pict>
          </mc:Fallback>
        </mc:AlternateContent>
      </w:r>
    </w:p>
    <w:p w14:paraId="0C608D4D" w14:textId="77777777" w:rsidR="00B14B05" w:rsidRDefault="00B14B05">
      <w:pPr>
        <w:pStyle w:val="Style38"/>
        <w:rPr>
          <w:rFonts w:ascii="Times New Roman" w:hAnsi="Times New Roman" w:cs="Times New Roman"/>
          <w:sz w:val="24"/>
          <w:szCs w:val="24"/>
        </w:rPr>
      </w:pPr>
      <w:r>
        <w:rPr>
          <w:rStyle w:val="CharStyle39"/>
          <w:lang w:eastAsia="en-US"/>
        </w:rPr>
        <w:t>©</w:t>
      </w:r>
      <w:r>
        <w:rPr>
          <w:rStyle w:val="CharStyle39"/>
          <w:lang w:eastAsia="en-US"/>
        </w:rPr>
        <w:t xml:space="preserve"> XXXX The Authors. Published by</w:t>
      </w:r>
    </w:p>
    <w:p w14:paraId="6F197805" w14:textId="77777777" w:rsidR="00B14B05" w:rsidRDefault="00B14B05">
      <w:pPr>
        <w:pStyle w:val="Style38"/>
        <w:spacing w:line="218" w:lineRule="auto"/>
        <w:ind w:left="3140"/>
        <w:rPr>
          <w:rFonts w:ascii="Times New Roman" w:hAnsi="Times New Roman" w:cs="Times New Roman"/>
          <w:sz w:val="24"/>
          <w:szCs w:val="24"/>
        </w:rPr>
      </w:pPr>
      <w:r>
        <w:rPr>
          <w:rStyle w:val="CharStyle39"/>
          <w:lang w:eastAsia="en-US"/>
        </w:rPr>
        <w:t>American Chemical Society</w:t>
      </w:r>
    </w:p>
    <w:p w14:paraId="3F1E48BC" w14:textId="77777777" w:rsidR="00B14B05" w:rsidRDefault="00B14B05">
      <w:pPr>
        <w:pStyle w:val="Style28"/>
        <w:spacing w:line="185" w:lineRule="auto"/>
        <w:jc w:val="center"/>
        <w:rPr>
          <w:sz w:val="24"/>
          <w:szCs w:val="24"/>
        </w:rPr>
        <w:sectPr w:rsidR="00000000">
          <w:type w:val="continuous"/>
          <w:pgSz w:w="12149" w:h="16834"/>
          <w:pgMar w:top="780" w:right="999" w:bottom="690" w:left="1009" w:header="0" w:footer="3" w:gutter="0"/>
          <w:cols w:space="720"/>
          <w:noEndnote/>
          <w:docGrid w:linePitch="360"/>
        </w:sectPr>
      </w:pPr>
      <w:r>
        <w:rPr>
          <w:rStyle w:val="CharStyle29"/>
          <w:lang w:eastAsia="en-US"/>
        </w:rPr>
        <w:t>A</w:t>
      </w:r>
    </w:p>
    <w:p w14:paraId="07D923F3" w14:textId="74A05BB3" w:rsidR="00B14B05" w:rsidRDefault="00B14B05">
      <w:pPr>
        <w:spacing w:line="1" w:lineRule="exact"/>
        <w:rPr>
          <w:color w:val="auto"/>
          <w:lang w:eastAsia="en-GB"/>
        </w:rPr>
      </w:pPr>
      <w:r>
        <w:rPr>
          <w:noProof/>
        </w:rPr>
        <w:lastRenderedPageBreak/>
        <w:drawing>
          <wp:anchor distT="88900" distB="638175" distL="1123315" distR="422275" simplePos="0" relativeHeight="251672576" behindDoc="1" locked="0" layoutInCell="1" allowOverlap="1" wp14:anchorId="641D29D0" wp14:editId="3E3AE643">
            <wp:simplePos x="0" y="0"/>
            <wp:positionH relativeFrom="margin">
              <wp:posOffset>1009650</wp:posOffset>
            </wp:positionH>
            <wp:positionV relativeFrom="paragraph">
              <wp:posOffset>6553200</wp:posOffset>
            </wp:positionV>
            <wp:extent cx="4416425" cy="1959610"/>
            <wp:effectExtent l="0" t="0" r="0" b="0"/>
            <wp:wrapTopAndBottom/>
            <wp:docPr id="2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16425" cy="195961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0" distR="0" simplePos="0" relativeHeight="251673600" behindDoc="0" locked="0" layoutInCell="1" allowOverlap="1" wp14:anchorId="4DDA0D9E" wp14:editId="0D283BDA">
                <wp:simplePos x="0" y="0"/>
                <wp:positionH relativeFrom="margin">
                  <wp:posOffset>635</wp:posOffset>
                </wp:positionH>
                <wp:positionV relativeFrom="paragraph">
                  <wp:posOffset>8729345</wp:posOffset>
                </wp:positionV>
                <wp:extent cx="5733415" cy="167640"/>
                <wp:effectExtent l="0" t="0" r="635" b="0"/>
                <wp:wrapNone/>
                <wp:docPr id="325332988"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341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49810B" w14:textId="77777777" w:rsidR="00B14B05" w:rsidRDefault="00B14B05">
                            <w:pPr>
                              <w:pStyle w:val="Style40"/>
                              <w:spacing w:line="240" w:lineRule="auto"/>
                              <w:rPr>
                                <w:sz w:val="24"/>
                                <w:szCs w:val="24"/>
                              </w:rPr>
                            </w:pPr>
                            <w:r>
                              <w:rPr>
                                <w:rStyle w:val="CharStyle41"/>
                                <w:rFonts w:ascii="Arial" w:hAnsi="Arial" w:cs="Arial"/>
                                <w:sz w:val="12"/>
                                <w:szCs w:val="12"/>
                                <w:lang w:eastAsia="en-US"/>
                              </w:rPr>
                              <w:t xml:space="preserve">Figure 2. </w:t>
                            </w:r>
                            <w:r>
                              <w:rPr>
                                <w:rStyle w:val="CharStyle41"/>
                                <w:lang w:eastAsia="en-US"/>
                              </w:rPr>
                              <w:t>Flowchart of major steps in the development of the DSMG-chip including design validation and application modules.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DA0D9E" id="Text Box 25" o:spid="_x0000_s1038" type="#_x0000_t202" style="position:absolute;margin-left:.05pt;margin-top:687.35pt;width:451.45pt;height:13.2pt;z-index:251673600;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" filled="f" stroked="f">
                <v:textbox inset="0,0,0,0">
                  <w:txbxContent>
                    <w:p w14:paraId="0049810B" w14:textId="77777777" w:rsidR="00B14B05" w:rsidRDefault="00B14B05">
                      <w:pPr>
                        <w:pStyle w:val="Style40"/>
                        <w:spacing w:line="240" w:lineRule="auto"/>
                        <w:rPr>
                          <w:sz w:val="24"/>
                          <w:szCs w:val="24"/>
                        </w:rPr>
                      </w:pPr>
                      <w:r>
                        <w:rPr>
                          <w:rStyle w:val="CharStyle41"/>
                          <w:rFonts w:ascii="Arial" w:hAnsi="Arial" w:cs="Arial"/>
                          <w:sz w:val="12"/>
                          <w:szCs w:val="12"/>
                          <w:lang w:eastAsia="en-US"/>
                        </w:rPr>
                        <w:t xml:space="preserve">Figure 2. </w:t>
                      </w:r>
                      <w:r>
                        <w:rPr>
                          <w:rStyle w:val="CharStyle41"/>
                          <w:lang w:eastAsia="en-US"/>
                        </w:rPr>
                        <w:t>Flowchart of major steps in the development of the DSMG-chip including design validation and application modules.</w:t>
                      </w:r>
                    </w:p>
                  </w:txbxContent>
                </v:textbox>
                <w10:wrap anchorx="margin"/>
              </v:shape>
            </w:pict>
          </mc:Fallback>
        </mc:AlternateContent>
      </w:r>
    </w:p>
    <w:p w14:paraId="3044D7FA" w14:textId="77777777" w:rsidR="00B14B05" w:rsidRDefault="00B14B05">
      <w:pPr>
        <w:pStyle w:val="Style11"/>
        <w:pBdr>
          <w:bottom w:val="single" w:sz="4" w:space="0" w:color="auto"/>
        </w:pBdr>
        <w:spacing w:after="240" w:line="312" w:lineRule="auto"/>
        <w:ind w:firstLine="0"/>
        <w:jc w:val="both"/>
        <w:rPr>
          <w:rFonts w:ascii="Times New Roman" w:hAnsi="Times New Roman" w:cs="Times New Roman"/>
          <w:sz w:val="24"/>
          <w:szCs w:val="24"/>
        </w:rPr>
      </w:pPr>
      <w:r>
        <w:rPr>
          <w:rStyle w:val="CharStyle12"/>
          <w:lang w:eastAsia="en-US"/>
        </w:rPr>
        <w:t xml:space="preserve">(predominantly </w:t>
      </w:r>
      <w:r>
        <w:rPr>
          <w:rStyle w:val="CharStyle12"/>
          <w:i/>
          <w:iCs/>
          <w:lang w:eastAsia="en-US"/>
        </w:rPr>
        <w:t>mddA</w:t>
      </w:r>
      <w:r>
        <w:rPr>
          <w:rStyle w:val="CharStyle12"/>
          <w:lang w:eastAsia="en-US"/>
        </w:rPr>
        <w:t>) bacteria and environments.</w:t>
      </w:r>
      <w:r>
        <w:rPr>
          <w:rStyle w:val="CharStyle12"/>
          <w:color w:val="0D54A6"/>
          <w:vertAlign w:val="superscript"/>
          <w:lang w:eastAsia="en-US"/>
        </w:rPr>
        <w:t>24</w:t>
      </w:r>
      <w:r>
        <w:rPr>
          <w:rStyle w:val="CharStyle12"/>
          <w:vertAlign w:val="superscript"/>
          <w:lang w:eastAsia="en-US"/>
        </w:rPr>
        <w:t>,</w:t>
      </w:r>
      <w:r>
        <w:rPr>
          <w:rStyle w:val="CharStyle12"/>
          <w:color w:val="0D54A6"/>
          <w:vertAlign w:val="superscript"/>
          <w:lang w:eastAsia="en-US"/>
        </w:rPr>
        <w:t xml:space="preserve">30 </w:t>
      </w:r>
      <w:r>
        <w:rPr>
          <w:rStyle w:val="CharStyle12"/>
          <w:lang w:eastAsia="en-US"/>
        </w:rPr>
        <w:t>Dimethyl sulfoxide (DMSO) also undergoes enzymatic interconversion with DMS through redox processes</w:t>
      </w:r>
      <w:r>
        <w:rPr>
          <w:rStyle w:val="CharStyle12"/>
          <w:color w:val="0D54A6"/>
          <w:vertAlign w:val="superscript"/>
          <w:lang w:eastAsia="en-US"/>
        </w:rPr>
        <w:t>31</w:t>
      </w:r>
      <w:r>
        <w:rPr>
          <w:rStyle w:val="CharStyle12"/>
          <w:color w:val="0D54A6"/>
          <w:lang w:eastAsia="en-US"/>
        </w:rPr>
        <w:t xml:space="preserve"> </w:t>
      </w:r>
      <w:r>
        <w:rPr>
          <w:rStyle w:val="CharStyle12"/>
          <w:lang w:eastAsia="en-US"/>
        </w:rPr>
        <w:t>driven by the DdhA, DsoB,</w:t>
      </w:r>
      <w:r>
        <w:rPr>
          <w:rStyle w:val="CharStyle12"/>
          <w:lang w:eastAsia="en-US"/>
        </w:rPr>
        <w:t xml:space="preserve"> Tmm, DorA, and DsmA enzymes.</w:t>
      </w:r>
      <w:r>
        <w:rPr>
          <w:rStyle w:val="CharStyle12"/>
          <w:color w:val="0D54A6"/>
          <w:vertAlign w:val="superscript"/>
          <w:lang w:eastAsia="en-US"/>
        </w:rPr>
        <w:t>32</w:t>
      </w:r>
      <w:r>
        <w:rPr>
          <w:rStyle w:val="CharStyle12"/>
          <w:sz w:val="11"/>
          <w:szCs w:val="11"/>
          <w:vertAlign w:val="superscript"/>
          <w:lang w:eastAsia="en-US"/>
        </w:rPr>
        <w:t>-</w:t>
      </w:r>
      <w:r>
        <w:rPr>
          <w:rStyle w:val="CharStyle12"/>
          <w:color w:val="0D54A6"/>
          <w:vertAlign w:val="superscript"/>
          <w:lang w:eastAsia="en-US"/>
        </w:rPr>
        <w:t xml:space="preserve">36 </w:t>
      </w:r>
      <w:r>
        <w:rPr>
          <w:rStyle w:val="CharStyle12"/>
          <w:lang w:eastAsia="en-US"/>
        </w:rPr>
        <w:t>DMSO has also been shown to be generated via cleavage of a recently reported organic sulfur compound, dimethylsulfoxo</w:t>
      </w:r>
      <w:r>
        <w:rPr>
          <w:rStyle w:val="CharStyle12"/>
          <w:lang w:eastAsia="en-US"/>
        </w:rPr>
        <w:softHyphen/>
        <w:t>nium propionate (DMSOP), by DMSP lyase enzymes.</w:t>
      </w:r>
      <w:r>
        <w:rPr>
          <w:rStyle w:val="CharStyle12"/>
          <w:color w:val="0D54A6"/>
          <w:vertAlign w:val="superscript"/>
          <w:lang w:eastAsia="en-US"/>
        </w:rPr>
        <w:t xml:space="preserve">37 </w:t>
      </w:r>
      <w:r>
        <w:rPr>
          <w:rStyle w:val="CharStyle12"/>
          <w:lang w:eastAsia="en-US"/>
        </w:rPr>
        <w:t>Together, this complex network of microbially driven trans</w:t>
      </w:r>
      <w:r>
        <w:rPr>
          <w:rStyle w:val="CharStyle12"/>
          <w:lang w:eastAsia="en-US"/>
        </w:rPr>
        <w:softHyphen/>
        <w:t>formations constitutes organosulfur cycling related to DMSP (</w:t>
      </w:r>
      <w:r>
        <w:rPr>
          <w:rStyle w:val="CharStyle12"/>
          <w:color w:val="0D54A6"/>
          <w:lang w:eastAsia="en-US"/>
        </w:rPr>
        <w:t>Figure 1</w:t>
      </w:r>
      <w:r>
        <w:rPr>
          <w:rStyle w:val="CharStyle12"/>
          <w:lang w:eastAsia="en-US"/>
        </w:rPr>
        <w:t>) and profoundly influences the global sulfur cycle and climate.</w:t>
      </w:r>
    </w:p>
    <w:p w14:paraId="5C1E5C39" w14:textId="19A5AB21" w:rsidR="00B14B05" w:rsidRDefault="00B14B05">
      <w:pPr>
        <w:jc w:val="center"/>
        <w:rPr>
          <w:color w:val="auto"/>
          <w:lang w:eastAsia="en-GB"/>
        </w:rPr>
      </w:pPr>
      <w:r>
        <w:rPr>
          <w:noProof/>
          <w:color w:val="auto"/>
          <w:lang w:eastAsia="en-GB"/>
        </w:rPr>
        <w:drawing>
          <wp:inline distT="0" distB="0" distL="0" distR="0" wp14:anchorId="4149464F" wp14:editId="67C55DA0">
            <wp:extent cx="3019425" cy="1857375"/>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19425" cy="1857375"/>
                    </a:xfrm>
                    <a:prstGeom prst="rect">
                      <a:avLst/>
                    </a:prstGeom>
                    <a:noFill/>
                    <a:ln>
                      <a:noFill/>
                    </a:ln>
                  </pic:spPr>
                </pic:pic>
              </a:graphicData>
            </a:graphic>
          </wp:inline>
        </w:drawing>
      </w:r>
    </w:p>
    <w:p w14:paraId="13C4DEB6" w14:textId="77777777" w:rsidR="00B14B05" w:rsidRDefault="00B14B05">
      <w:pPr>
        <w:pStyle w:val="Style40"/>
        <w:jc w:val="both"/>
        <w:rPr>
          <w:sz w:val="24"/>
          <w:szCs w:val="24"/>
        </w:rPr>
      </w:pPr>
      <w:r>
        <w:rPr>
          <w:rStyle w:val="CharStyle41"/>
          <w:rFonts w:ascii="Arial" w:hAnsi="Arial" w:cs="Arial"/>
          <w:sz w:val="12"/>
          <w:szCs w:val="12"/>
          <w:lang w:eastAsia="en-US"/>
        </w:rPr>
        <w:t xml:space="preserve">Figure 1. </w:t>
      </w:r>
      <w:r>
        <w:rPr>
          <w:rStyle w:val="CharStyle41"/>
          <w:lang w:eastAsia="en-US"/>
        </w:rPr>
        <w:t>Key metabolic pathways and their catalytic enzymes in organosulfur compound metabolism. All genes were included in the DSMG-chip design.</w:t>
      </w:r>
    </w:p>
    <w:p w14:paraId="02A0A418" w14:textId="77777777" w:rsidR="00B14B05" w:rsidRDefault="00B14B05">
      <w:pPr>
        <w:spacing w:after="239" w:line="1" w:lineRule="exact"/>
        <w:rPr>
          <w:color w:val="auto"/>
          <w:lang w:eastAsia="en-GB"/>
        </w:rPr>
      </w:pPr>
    </w:p>
    <w:p w14:paraId="67C3D421" w14:textId="77777777" w:rsidR="00B14B05" w:rsidRDefault="00B14B05">
      <w:pPr>
        <w:pStyle w:val="Style11"/>
        <w:jc w:val="both"/>
        <w:rPr>
          <w:rFonts w:ascii="Times New Roman" w:hAnsi="Times New Roman" w:cs="Times New Roman"/>
          <w:sz w:val="24"/>
          <w:szCs w:val="24"/>
        </w:rPr>
      </w:pPr>
      <w:r>
        <w:rPr>
          <w:rStyle w:val="CharStyle12"/>
          <w:lang w:eastAsia="en-US"/>
        </w:rPr>
        <w:t>Given the importance of DMSP and related cycling in marine environments, the microbial metabolic potential to conduct these processes has been extensively investigated. A suite of molecular tools, including traditional gene probing and modern multiomics approaches like metagenomics and metatranscriptomics, has been applied to samples from diverse environments such as nearshore waters and deep-sea trenches, revealing considerable spatial variations in gene diversity and relative abundance. While powerful, th</w:t>
      </w:r>
      <w:r>
        <w:rPr>
          <w:rStyle w:val="CharStyle12"/>
          <w:lang w:eastAsia="en-US"/>
        </w:rPr>
        <w:t>ese methods often present a trade-off between throughput and the ability to provide absolute quantification, highlighting the need for a more integrated approach.</w:t>
      </w:r>
      <w:r>
        <w:rPr>
          <w:rStyle w:val="CharStyle12"/>
          <w:color w:val="0D54A6"/>
          <w:vertAlign w:val="superscript"/>
          <w:lang w:eastAsia="en-US"/>
        </w:rPr>
        <w:t>38</w:t>
      </w:r>
      <w:r>
        <w:rPr>
          <w:rStyle w:val="CharStyle12"/>
          <w:sz w:val="11"/>
          <w:szCs w:val="11"/>
          <w:vertAlign w:val="superscript"/>
          <w:lang w:eastAsia="en-US"/>
        </w:rPr>
        <w:t>-</w:t>
      </w:r>
      <w:r>
        <w:rPr>
          <w:rStyle w:val="CharStyle12"/>
          <w:color w:val="0D54A6"/>
          <w:vertAlign w:val="superscript"/>
          <w:lang w:eastAsia="en-US"/>
        </w:rPr>
        <w:t>41</w:t>
      </w:r>
      <w:r>
        <w:rPr>
          <w:rStyle w:val="CharStyle12"/>
          <w:color w:val="0D54A6"/>
          <w:lang w:eastAsia="en-US"/>
        </w:rPr>
        <w:t xml:space="preserve"> </w:t>
      </w:r>
      <w:r>
        <w:rPr>
          <w:rStyle w:val="CharStyle12"/>
          <w:lang w:eastAsia="en-US"/>
        </w:rPr>
        <w:t>Most gene probing studies use quantitative PCR (qPCR), which can achieve absolute gene quantification, but its utility is constrained by low sample throughput and batch-to-batch variation. Furthermore, pub</w:t>
      </w:r>
      <w:r>
        <w:rPr>
          <w:rStyle w:val="CharStyle12"/>
          <w:lang w:eastAsia="en-US"/>
        </w:rPr>
        <w:softHyphen/>
        <w:t xml:space="preserve">lished gene probing work to date rarely uses primer sets for more than one step of DMSP cycling, mainly DMSP synthesis via </w:t>
      </w:r>
      <w:r>
        <w:rPr>
          <w:rStyle w:val="CharStyle12"/>
          <w:i/>
          <w:iCs/>
          <w:lang w:eastAsia="en-US"/>
        </w:rPr>
        <w:t>dsyB</w:t>
      </w:r>
      <w:r>
        <w:rPr>
          <w:rStyle w:val="CharStyle12"/>
          <w:lang w:eastAsia="en-US"/>
        </w:rPr>
        <w:t xml:space="preserve"> or </w:t>
      </w:r>
      <w:r>
        <w:rPr>
          <w:rStyle w:val="CharStyle12"/>
          <w:i/>
          <w:iCs/>
          <w:lang w:eastAsia="en-US"/>
        </w:rPr>
        <w:t>mmtN</w:t>
      </w:r>
      <w:r>
        <w:rPr>
          <w:rStyle w:val="CharStyle12"/>
          <w:lang w:eastAsia="en-US"/>
        </w:rPr>
        <w:t xml:space="preserve"> or</w:t>
      </w:r>
      <w:r>
        <w:rPr>
          <w:rStyle w:val="CharStyle12"/>
          <w:lang w:eastAsia="en-US"/>
        </w:rPr>
        <w:t xml:space="preserve"> DMSP catabolism via </w:t>
      </w:r>
      <w:r>
        <w:rPr>
          <w:rStyle w:val="CharStyle12"/>
          <w:i/>
          <w:iCs/>
          <w:lang w:eastAsia="en-US"/>
        </w:rPr>
        <w:t>dmdA</w:t>
      </w:r>
      <w:r>
        <w:rPr>
          <w:rStyle w:val="CharStyle12"/>
          <w:lang w:eastAsia="en-US"/>
        </w:rPr>
        <w:t xml:space="preserve"> or </w:t>
      </w:r>
      <w:r>
        <w:rPr>
          <w:rStyle w:val="CharStyle12"/>
          <w:i/>
          <w:iCs/>
          <w:lang w:eastAsia="en-US"/>
        </w:rPr>
        <w:t>dddP</w:t>
      </w:r>
      <w:r>
        <w:rPr>
          <w:rStyle w:val="CharStyle12"/>
          <w:lang w:eastAsia="en-US"/>
        </w:rPr>
        <w:t>.</w:t>
      </w:r>
      <w:r>
        <w:rPr>
          <w:rStyle w:val="CharStyle12"/>
          <w:color w:val="0D54A6"/>
          <w:vertAlign w:val="superscript"/>
          <w:lang w:eastAsia="en-US"/>
        </w:rPr>
        <w:t>42</w:t>
      </w:r>
      <w:r>
        <w:rPr>
          <w:rStyle w:val="CharStyle12"/>
          <w:sz w:val="11"/>
          <w:szCs w:val="11"/>
          <w:vertAlign w:val="superscript"/>
          <w:lang w:eastAsia="en-US"/>
        </w:rPr>
        <w:t>-</w:t>
      </w:r>
      <w:r>
        <w:rPr>
          <w:rStyle w:val="CharStyle12"/>
          <w:color w:val="0D54A6"/>
          <w:vertAlign w:val="superscript"/>
          <w:lang w:eastAsia="en-US"/>
        </w:rPr>
        <w:t xml:space="preserve">44 </w:t>
      </w:r>
      <w:r>
        <w:rPr>
          <w:rStyle w:val="CharStyle12"/>
          <w:lang w:eastAsia="en-US"/>
        </w:rPr>
        <w:t xml:space="preserve">More importantly, for many newly discovered and highly diverse organic sulfur metabolic genes, traditional specific primers fail to provide comprehensive coverage. The use of degenerate primers with broad coverage and high specificity, therefore, </w:t>
      </w:r>
      <w:r>
        <w:rPr>
          <w:rStyle w:val="CharStyle12"/>
          <w:lang w:eastAsia="en-US"/>
        </w:rPr>
        <w:t>offers a pivotal approach for their quantitative detection. However, such degenerate primer sets for many key genes are still lacking, which prevents the accurate quantification of these important functional genes via tradi</w:t>
      </w:r>
      <w:r>
        <w:rPr>
          <w:rStyle w:val="CharStyle12"/>
          <w:lang w:eastAsia="en-US"/>
        </w:rPr>
        <w:softHyphen/>
        <w:t>t</w:t>
      </w:r>
      <w:r>
        <w:rPr>
          <w:rStyle w:val="CharStyle12"/>
          <w:lang w:eastAsia="en-US"/>
        </w:rPr>
        <w:t xml:space="preserve">ional qPCR methods. By comparison, metagenomics and metatranscriptomics do consider all DMSP-related genes but are costly, time-consuming, involve complex bioinformatic pipelines, and heavily rely on sequencing depth and the abundance of the genes in question. These factors can make such multiomics unsuitable for the rapid screening of multiple samples and absolute quantification. Thus, there is a pressing need for a method to quickly and robustly profile microbial DMSP and related organic sulfur metabolic </w:t>
      </w:r>
      <w:r>
        <w:rPr>
          <w:rStyle w:val="CharStyle12"/>
          <w:lang w:eastAsia="en-US"/>
        </w:rPr>
        <w:t>potentials across diverse marine environments. High-throughput qPCR (HT- qPCR) coupled with high-coverage degenerate primers targeting key genes may offer an effective solution.</w:t>
      </w:r>
    </w:p>
    <w:p w14:paraId="5EADE4A8" w14:textId="77777777" w:rsidR="00B14B05" w:rsidRDefault="00B14B05">
      <w:pPr>
        <w:pStyle w:val="Style11"/>
        <w:spacing w:after="140" w:line="310" w:lineRule="auto"/>
        <w:jc w:val="both"/>
        <w:rPr>
          <w:rFonts w:ascii="Times New Roman" w:hAnsi="Times New Roman" w:cs="Times New Roman"/>
          <w:sz w:val="24"/>
          <w:szCs w:val="24"/>
        </w:rPr>
      </w:pPr>
      <w:r>
        <w:rPr>
          <w:rStyle w:val="CharStyle12"/>
          <w:lang w:eastAsia="en-US"/>
        </w:rPr>
        <w:t>HT-qPCR simultaneously performs thousands of independ</w:t>
      </w:r>
      <w:r>
        <w:rPr>
          <w:rStyle w:val="CharStyle12"/>
          <w:lang w:eastAsia="en-US"/>
        </w:rPr>
        <w:softHyphen/>
        <w:t>ent qPCR reactions in a nanoliter-scale system, enabling the synchronous, rapid, and precise absolute quantification of hundreds of functional genes.</w:t>
      </w:r>
      <w:r>
        <w:rPr>
          <w:rStyle w:val="CharStyle12"/>
          <w:color w:val="0D54A6"/>
          <w:vertAlign w:val="superscript"/>
          <w:lang w:eastAsia="en-US"/>
        </w:rPr>
        <w:t>45</w:t>
      </w:r>
      <w:r>
        <w:rPr>
          <w:rStyle w:val="CharStyle12"/>
          <w:color w:val="0D54A6"/>
          <w:lang w:eastAsia="en-US"/>
        </w:rPr>
        <w:t xml:space="preserve"> </w:t>
      </w:r>
      <w:r>
        <w:rPr>
          <w:rStyle w:val="CharStyle12"/>
          <w:lang w:eastAsia="en-US"/>
        </w:rPr>
        <w:t>Owing to its high throughput, low cost, and high sensitivity, HT-qPCR has been used in the fields of biogeochemical cycling,</w:t>
      </w:r>
      <w:r>
        <w:rPr>
          <w:rStyle w:val="CharStyle12"/>
          <w:color w:val="0D54A6"/>
          <w:vertAlign w:val="superscript"/>
          <w:lang w:eastAsia="en-US"/>
        </w:rPr>
        <w:t>46</w:t>
      </w:r>
      <w:r>
        <w:rPr>
          <w:rStyle w:val="CharStyle12"/>
          <w:vertAlign w:val="superscript"/>
          <w:lang w:eastAsia="en-US"/>
        </w:rPr>
        <w:t>,</w:t>
      </w:r>
      <w:r>
        <w:rPr>
          <w:rStyle w:val="CharStyle12"/>
          <w:color w:val="0D54A6"/>
          <w:vertAlign w:val="superscript"/>
          <w:lang w:eastAsia="en-US"/>
        </w:rPr>
        <w:t>47</w:t>
      </w:r>
      <w:r>
        <w:rPr>
          <w:rStyle w:val="CharStyle12"/>
          <w:color w:val="0D54A6"/>
          <w:lang w:eastAsia="en-US"/>
        </w:rPr>
        <w:t xml:space="preserve"> </w:t>
      </w:r>
      <w:r>
        <w:rPr>
          <w:rStyle w:val="CharStyle12"/>
          <w:lang w:eastAsia="en-US"/>
        </w:rPr>
        <w:t>antimicrobial resistance,</w:t>
      </w:r>
      <w:r>
        <w:rPr>
          <w:rStyle w:val="CharStyle12"/>
          <w:color w:val="0D54A6"/>
          <w:vertAlign w:val="superscript"/>
          <w:lang w:eastAsia="en-US"/>
        </w:rPr>
        <w:t xml:space="preserve">48 </w:t>
      </w:r>
      <w:r>
        <w:rPr>
          <w:rStyle w:val="CharStyle12"/>
          <w:lang w:eastAsia="en-US"/>
        </w:rPr>
        <w:t>and environmental contamination.</w:t>
      </w:r>
      <w:r>
        <w:rPr>
          <w:rStyle w:val="CharStyle12"/>
          <w:color w:val="0D54A6"/>
          <w:vertAlign w:val="superscript"/>
          <w:lang w:eastAsia="en-US"/>
        </w:rPr>
        <w:t>49</w:t>
      </w:r>
      <w:r>
        <w:rPr>
          <w:rStyle w:val="CharStyle12"/>
          <w:vertAlign w:val="superscript"/>
          <w:lang w:eastAsia="en-US"/>
        </w:rPr>
        <w:t>,</w:t>
      </w:r>
      <w:r>
        <w:rPr>
          <w:rStyle w:val="CharStyle12"/>
          <w:color w:val="0D54A6"/>
          <w:vertAlign w:val="superscript"/>
          <w:lang w:eastAsia="en-US"/>
        </w:rPr>
        <w:t>50</w:t>
      </w:r>
      <w:r>
        <w:rPr>
          <w:rStyle w:val="CharStyle12"/>
          <w:color w:val="0D54A6"/>
          <w:lang w:eastAsia="en-US"/>
        </w:rPr>
        <w:t xml:space="preserve"> </w:t>
      </w:r>
      <w:r>
        <w:rPr>
          <w:rStyle w:val="CharStyle12"/>
          <w:lang w:eastAsia="en-US"/>
        </w:rPr>
        <w:t>To advance the application of high-throughput quantitative PCR (HT-qPCR) in marine organic sulfur cycle research, we developed a novel HT-qPCR chip, designated the</w:t>
      </w:r>
      <w:r>
        <w:rPr>
          <w:rStyle w:val="CharStyle12"/>
          <w:lang w:eastAsia="en-US"/>
        </w:rPr>
        <w:t xml:space="preserve"> DSMG-chip. This chip integrates 42 degenerate primer pairs</w:t>
      </w:r>
      <w:r>
        <w:rPr>
          <w:rStyle w:val="CharStyle12"/>
          <w:sz w:val="19"/>
          <w:szCs w:val="19"/>
          <w:lang w:eastAsia="en-US"/>
        </w:rPr>
        <w:t></w:t>
      </w:r>
      <w:r>
        <w:rPr>
          <w:rStyle w:val="CharStyle12"/>
          <w:lang w:eastAsia="en-US"/>
        </w:rPr>
        <w:t>40 newly designed and 2 previously reported sets</w:t>
      </w:r>
      <w:r>
        <w:rPr>
          <w:rStyle w:val="CharStyle12"/>
          <w:sz w:val="19"/>
          <w:szCs w:val="19"/>
          <w:lang w:eastAsia="en-US"/>
        </w:rPr>
        <w:t></w:t>
      </w:r>
      <w:r>
        <w:rPr>
          <w:rStyle w:val="CharStyle12"/>
          <w:lang w:eastAsia="en-US"/>
        </w:rPr>
        <w:t>to target 27 key functional genes. This suite of genes was selected to represent key functional markers and provide comprehensive coverage across all major known pathways of the marine DMSP cycle. Based on the Takara SmartChip Real-Time PCR system’s capacity for 5,184 simultaneous reactions,</w:t>
      </w:r>
      <w:r>
        <w:rPr>
          <w:rStyle w:val="CharStyle12"/>
          <w:color w:val="0D54A6"/>
          <w:vertAlign w:val="superscript"/>
          <w:lang w:eastAsia="en-US"/>
        </w:rPr>
        <w:t>51</w:t>
      </w:r>
      <w:r>
        <w:rPr>
          <w:rStyle w:val="CharStyle12"/>
          <w:color w:val="0D54A6"/>
          <w:lang w:eastAsia="en-US"/>
        </w:rPr>
        <w:t xml:space="preserve"> </w:t>
      </w:r>
      <w:r>
        <w:rPr>
          <w:rStyle w:val="CharStyle12"/>
          <w:lang w:eastAsia="en-US"/>
        </w:rPr>
        <w:t>the DSMG-chip enables the quantitative profiling of these genes across 41 environmental samples in triplicate within a single run. The environmental relevance of this chip was validated by using diverse marine samples</w:t>
      </w:r>
      <w:r>
        <w:rPr>
          <w:rStyle w:val="CharStyle12"/>
          <w:lang w:eastAsia="en-US"/>
        </w:rPr>
        <w:t xml:space="preserve"> from various sources. The DSMG-chip will serve as a powerful tool for the rapid and accurate assessment of microbial DMSP and related organic sulfur metabolic potential in diverse environments. Its applicability extends beyond marine systems to include soil, freshwater, and wastewater, providing critical data to better understand and predict biogeochemical cycling and climate-active gas production.</w:t>
      </w:r>
    </w:p>
    <w:p w14:paraId="5029FCBD" w14:textId="77777777" w:rsidR="00B14B05" w:rsidRDefault="00B14B05">
      <w:pPr>
        <w:pStyle w:val="Style23"/>
        <w:keepNext/>
        <w:keepLines/>
        <w:numPr>
          <w:ilvl w:val="0"/>
          <w:numId w:val="1"/>
        </w:numPr>
        <w:tabs>
          <w:tab w:val="left" w:pos="289"/>
        </w:tabs>
        <w:spacing w:after="40" w:line="240" w:lineRule="auto"/>
        <w:jc w:val="both"/>
        <w:rPr>
          <w:b w:val="0"/>
          <w:bCs w:val="0"/>
          <w:color w:val="auto"/>
          <w:sz w:val="24"/>
          <w:szCs w:val="24"/>
        </w:rPr>
      </w:pPr>
      <w:bookmarkStart w:id="6" w:name="bookmark8"/>
      <w:r>
        <w:rPr>
          <w:rStyle w:val="CharStyle24"/>
          <w:b/>
          <w:bCs/>
          <w:lang w:eastAsia="en-US"/>
        </w:rPr>
        <w:t>MATERIAL AND METHODS</w:t>
      </w:r>
      <w:bookmarkEnd w:id="6"/>
    </w:p>
    <w:p w14:paraId="75D1B43A" w14:textId="77777777" w:rsidR="00B14B05" w:rsidRDefault="00B14B05">
      <w:pPr>
        <w:pStyle w:val="Style11"/>
        <w:numPr>
          <w:ilvl w:val="1"/>
          <w:numId w:val="1"/>
        </w:numPr>
        <w:tabs>
          <w:tab w:val="left" w:pos="670"/>
        </w:tabs>
        <w:spacing w:line="302" w:lineRule="auto"/>
        <w:ind w:firstLine="220"/>
        <w:jc w:val="both"/>
        <w:rPr>
          <w:sz w:val="24"/>
          <w:szCs w:val="24"/>
        </w:rPr>
      </w:pPr>
      <w:r>
        <w:rPr>
          <w:rStyle w:val="CharStyle12"/>
          <w:b/>
          <w:bCs/>
          <w:sz w:val="18"/>
          <w:szCs w:val="18"/>
          <w:lang w:eastAsia="en-US"/>
        </w:rPr>
        <w:t xml:space="preserve">Design of the DSMG-Chip. </w:t>
      </w:r>
      <w:r>
        <w:rPr>
          <w:rStyle w:val="CharStyle12"/>
          <w:i/>
          <w:iCs/>
          <w:sz w:val="18"/>
          <w:szCs w:val="18"/>
          <w:lang w:eastAsia="en-US"/>
        </w:rPr>
        <w:t>2.1.1. Selection of Target Genes and Sequence Retrieval.</w:t>
      </w:r>
      <w:r>
        <w:rPr>
          <w:rStyle w:val="CharStyle12"/>
          <w:lang w:eastAsia="en-US"/>
        </w:rPr>
        <w:t xml:space="preserve"> An overview of the major steps</w:t>
      </w:r>
      <w:r>
        <w:rPr>
          <w:rStyle w:val="CharStyle12"/>
          <w:lang w:eastAsia="en-US"/>
        </w:rPr>
        <w:t xml:space="preserve"> for the development of DSMG-chip, including design, validation, and application modules, is depicted in </w:t>
      </w:r>
      <w:r>
        <w:rPr>
          <w:rStyle w:val="CharStyle12"/>
          <w:color w:val="0D54A6"/>
          <w:lang w:eastAsia="en-US"/>
        </w:rPr>
        <w:t>Figure 2</w:t>
      </w:r>
      <w:r>
        <w:rPr>
          <w:rStyle w:val="CharStyle12"/>
          <w:lang w:eastAsia="en-US"/>
        </w:rPr>
        <w:t>. A total of 27 candidate genes were selected for the chip, including those involved in the interconversion pathways of DMSP, DMS, MeSH, and DMSO (</w:t>
      </w:r>
      <w:r>
        <w:rPr>
          <w:rStyle w:val="CharStyle12"/>
          <w:color w:val="0D54A6"/>
          <w:lang w:eastAsia="en-US"/>
        </w:rPr>
        <w:t xml:space="preserve">Figure 1 </w:t>
      </w:r>
      <w:r>
        <w:rPr>
          <w:rStyle w:val="CharStyle12"/>
          <w:lang w:eastAsia="en-US"/>
        </w:rPr>
        <w:lastRenderedPageBreak/>
        <w:t xml:space="preserve">and </w:t>
      </w:r>
      <w:hyperlink w:anchor="bookmark10" w:tooltip="Current Document" w:history="1">
        <w:r>
          <w:rPr>
            <w:rStyle w:val="CharStyle12"/>
            <w:color w:val="0D54A6"/>
            <w:lang w:eastAsia="en-US"/>
          </w:rPr>
          <w:t>Table 1</w:t>
        </w:r>
      </w:hyperlink>
      <w:r>
        <w:rPr>
          <w:rStyle w:val="CharStyle12"/>
          <w:lang w:eastAsia="en-US"/>
        </w:rPr>
        <w:t>).A Primer Validation Database was constructed as follows: published experimentally validated gene and protein sequences served as “seed sequences”. By performing BLAST searches against the NCBI nonredundant (nr) and UniProtKB protein databases with these seed sequences, homologous protein sequences exhibiting &gt;40% identity were retrieved. Further</w:t>
      </w:r>
      <w:r>
        <w:rPr>
          <w:rStyle w:val="CharStyle12"/>
          <w:lang w:eastAsia="en-US"/>
        </w:rPr>
        <w:softHyphen/>
        <w:t>more, a Hidden Markov Model (HMM) profile was constructed for each gene and used in an HMM search (HMMER v3.4).</w:t>
      </w:r>
      <w:r>
        <w:rPr>
          <w:rStyle w:val="CharStyle12"/>
          <w:color w:val="0D54A6"/>
          <w:vertAlign w:val="superscript"/>
          <w:lang w:eastAsia="en-US"/>
        </w:rPr>
        <w:t>58</w:t>
      </w:r>
      <w:r>
        <w:rPr>
          <w:rStyle w:val="CharStyle12"/>
          <w:color w:val="0D54A6"/>
          <w:lang w:eastAsia="en-US"/>
        </w:rPr>
        <w:t xml:space="preserve"> </w:t>
      </w:r>
      <w:r>
        <w:rPr>
          <w:rStyle w:val="CharStyle12"/>
          <w:lang w:eastAsia="en-US"/>
        </w:rPr>
        <w:t xml:space="preserve">Only sequences meeting an E-value cutoff of &lt;1 </w:t>
      </w:r>
      <w:r>
        <w:rPr>
          <w:rStyle w:val="CharStyle12"/>
          <w:sz w:val="17"/>
          <w:szCs w:val="17"/>
          <w:lang w:eastAsia="en-US"/>
        </w:rPr>
        <w:t>×</w:t>
      </w:r>
      <w:r>
        <w:rPr>
          <w:rStyle w:val="CharStyle12"/>
          <w:sz w:val="17"/>
          <w:szCs w:val="17"/>
          <w:lang w:eastAsia="en-US"/>
        </w:rPr>
        <w:t xml:space="preserve"> </w:t>
      </w:r>
      <w:r>
        <w:rPr>
          <w:rStyle w:val="CharStyle12"/>
          <w:lang w:eastAsia="en-US"/>
        </w:rPr>
        <w:t>10</w:t>
      </w:r>
      <w:r>
        <w:rPr>
          <w:rStyle w:val="CharStyle12"/>
          <w:sz w:val="11"/>
          <w:szCs w:val="11"/>
          <w:vertAlign w:val="superscript"/>
          <w:lang w:eastAsia="en-US"/>
        </w:rPr>
        <w:t>-</w:t>
      </w:r>
      <w:r>
        <w:rPr>
          <w:rStyle w:val="CharStyle12"/>
          <w:vertAlign w:val="superscript"/>
          <w:lang w:eastAsia="en-US"/>
        </w:rPr>
        <w:t>20</w:t>
      </w:r>
      <w:r>
        <w:rPr>
          <w:rStyle w:val="CharStyle12"/>
          <w:lang w:eastAsia="en-US"/>
        </w:rPr>
        <w:t xml:space="preserve"> in the HMM search were retained</w:t>
      </w:r>
      <w:r>
        <w:rPr>
          <w:rStyle w:val="CharStyle12"/>
          <w:lang w:eastAsia="en-US"/>
        </w:rPr>
        <w:t xml:space="preserve"> for this Primer Validation Database. To optimize the database for degenerate primer design, a Primer Design Database was constructed based on the dereplicated protein sequences at a 99% identity threshold using CD-HIT (v4.8.1) from the Primer Validation Database. Only 1</w:t>
      </w:r>
      <w:r>
        <w:rPr>
          <w:rStyle w:val="CharStyle12"/>
          <w:sz w:val="17"/>
          <w:szCs w:val="17"/>
          <w:lang w:eastAsia="en-US"/>
        </w:rPr>
        <w:t>-</w:t>
      </w:r>
      <w:r>
        <w:rPr>
          <w:rStyle w:val="CharStyle12"/>
          <w:lang w:eastAsia="en-US"/>
        </w:rPr>
        <w:t>3 representative sequences per species were retained, with a maximum of 400 sequences per gene. The resulting Primer Design Database comprised 7,746 amino acid sequences and corresponding 7,270 nucleotide sequences, which is publicly availa</w:t>
      </w:r>
      <w:r>
        <w:rPr>
          <w:rStyle w:val="CharStyle12"/>
          <w:lang w:eastAsia="en-US"/>
        </w:rPr>
        <w:t>ble at [</w:t>
      </w:r>
      <w:hyperlink r:id="rId27" w:history="1">
        <w:r>
          <w:rPr>
            <w:rStyle w:val="CharStyle12"/>
            <w:color w:val="0D54A6"/>
            <w:lang w:eastAsia="en-US"/>
          </w:rPr>
          <w:t>https://github.com/zerooooooooooooooo/DSMG-Chip</w:t>
        </w:r>
      </w:hyperlink>
      <w:r>
        <w:rPr>
          <w:rStyle w:val="CharStyle12"/>
          <w:lang w:eastAsia="en-US"/>
        </w:rPr>
        <w:t>].</w:t>
      </w:r>
    </w:p>
    <w:p w14:paraId="08FBFF8C" w14:textId="77777777" w:rsidR="00B14B05" w:rsidRDefault="00B14B05">
      <w:pPr>
        <w:pStyle w:val="Style11"/>
        <w:numPr>
          <w:ilvl w:val="2"/>
          <w:numId w:val="1"/>
        </w:numPr>
        <w:tabs>
          <w:tab w:val="left" w:pos="750"/>
        </w:tabs>
        <w:spacing w:line="305" w:lineRule="auto"/>
        <w:ind w:firstLine="220"/>
        <w:jc w:val="both"/>
        <w:rPr>
          <w:sz w:val="24"/>
          <w:szCs w:val="24"/>
        </w:rPr>
      </w:pPr>
      <w:r>
        <w:rPr>
          <w:rStyle w:val="CharStyle12"/>
          <w:i/>
          <w:iCs/>
          <w:sz w:val="18"/>
          <w:szCs w:val="18"/>
          <w:lang w:eastAsia="en-US"/>
        </w:rPr>
        <w:t>Degenerate Primer Design.</w:t>
      </w:r>
      <w:r>
        <w:rPr>
          <w:rStyle w:val="CharStyle12"/>
          <w:lang w:eastAsia="en-US"/>
        </w:rPr>
        <w:t xml:space="preserve"> The degenerate primers were designed based on the Primer Design Database. For each target gene, the nucleotide sequences were aligned using MAFFT (v7.526).</w:t>
      </w:r>
      <w:r>
        <w:rPr>
          <w:rStyle w:val="CharStyle12"/>
          <w:color w:val="0D54A6"/>
          <w:vertAlign w:val="superscript"/>
          <w:lang w:eastAsia="en-US"/>
        </w:rPr>
        <w:t>59</w:t>
      </w:r>
      <w:r>
        <w:rPr>
          <w:rStyle w:val="CharStyle12"/>
          <w:color w:val="0D54A6"/>
          <w:lang w:eastAsia="en-US"/>
        </w:rPr>
        <w:t xml:space="preserve"> </w:t>
      </w:r>
      <w:r>
        <w:rPr>
          <w:rStyle w:val="CharStyle12"/>
          <w:lang w:eastAsia="en-US"/>
        </w:rPr>
        <w:t>A phylogenetic tree was constructed from the alignment using iqtree (v2.0.7)</w:t>
      </w:r>
      <w:r>
        <w:rPr>
          <w:rStyle w:val="CharStyle12"/>
          <w:color w:val="0D54A6"/>
          <w:vertAlign w:val="superscript"/>
          <w:lang w:eastAsia="en-US"/>
        </w:rPr>
        <w:t>60</w:t>
      </w:r>
      <w:r>
        <w:rPr>
          <w:rStyle w:val="CharStyle12"/>
          <w:color w:val="0D54A6"/>
          <w:lang w:eastAsia="en-US"/>
        </w:rPr>
        <w:t xml:space="preserve"> </w:t>
      </w:r>
      <w:r>
        <w:rPr>
          <w:rStyle w:val="CharStyle12"/>
          <w:lang w:eastAsia="en-US"/>
        </w:rPr>
        <w:t>with 1000 bootstrap replicates. Based on the tree, sequences were grouped into different clades, and primers for each clade were designed separately. For highly conserved gene sequences, we used larger clades or the entire set of sequences as candidates for primer design. D</w:t>
      </w:r>
      <w:r>
        <w:rPr>
          <w:rStyle w:val="CharStyle12"/>
          <w:lang w:eastAsia="en-US"/>
        </w:rPr>
        <w:t>egenerate primers were designed for the conserved domains of the aligned sequences using Geneious Prime 2023.</w:t>
      </w:r>
      <w:r>
        <w:rPr>
          <w:rStyle w:val="CharStyle12"/>
          <w:color w:val="0D54A6"/>
          <w:vertAlign w:val="superscript"/>
          <w:lang w:eastAsia="en-US"/>
        </w:rPr>
        <w:t>61</w:t>
      </w:r>
      <w:r>
        <w:rPr>
          <w:rStyle w:val="CharStyle12"/>
          <w:color w:val="0D54A6"/>
          <w:lang w:eastAsia="en-US"/>
        </w:rPr>
        <w:t xml:space="preserve"> </w:t>
      </w:r>
      <w:r>
        <w:rPr>
          <w:rStyle w:val="CharStyle12"/>
          <w:lang w:eastAsia="en-US"/>
        </w:rPr>
        <w:t>Following established HT-qPCR protocols,</w:t>
      </w:r>
      <w:r>
        <w:rPr>
          <w:rStyle w:val="CharStyle12"/>
          <w:color w:val="0D54A6"/>
          <w:vertAlign w:val="superscript"/>
          <w:lang w:eastAsia="en-US"/>
        </w:rPr>
        <w:t>43</w:t>
      </w:r>
      <w:r>
        <w:rPr>
          <w:rStyle w:val="CharStyle12"/>
          <w:vertAlign w:val="superscript"/>
          <w:lang w:eastAsia="en-US"/>
        </w:rPr>
        <w:t>,</w:t>
      </w:r>
      <w:r>
        <w:rPr>
          <w:rStyle w:val="CharStyle12"/>
          <w:color w:val="0D54A6"/>
          <w:vertAlign w:val="superscript"/>
          <w:lang w:eastAsia="en-US"/>
        </w:rPr>
        <w:t xml:space="preserve">50 </w:t>
      </w:r>
      <w:r>
        <w:rPr>
          <w:rStyle w:val="CharStyle12"/>
          <w:lang w:eastAsia="en-US"/>
        </w:rPr>
        <w:t>we adopted the following parameters for primer design: (1) primer length of 18</w:t>
      </w:r>
      <w:r>
        <w:rPr>
          <w:rStyle w:val="CharStyle12"/>
          <w:sz w:val="17"/>
          <w:szCs w:val="17"/>
          <w:lang w:eastAsia="en-US"/>
        </w:rPr>
        <w:t>-</w:t>
      </w:r>
      <w:r>
        <w:rPr>
          <w:rStyle w:val="CharStyle12"/>
          <w:lang w:eastAsia="en-US"/>
        </w:rPr>
        <w:t>35 mer; (2) melting temperature (</w:t>
      </w:r>
      <w:r>
        <w:rPr>
          <w:rStyle w:val="CharStyle12"/>
          <w:i/>
          <w:iCs/>
          <w:lang w:eastAsia="en-US"/>
        </w:rPr>
        <w:t>T</w:t>
      </w:r>
      <w:r>
        <w:rPr>
          <w:rStyle w:val="CharStyle12"/>
          <w:vertAlign w:val="subscript"/>
          <w:lang w:eastAsia="en-US"/>
        </w:rPr>
        <w:t>m</w:t>
      </w:r>
      <w:r>
        <w:rPr>
          <w:rStyle w:val="CharStyle12"/>
          <w:lang w:eastAsia="en-US"/>
        </w:rPr>
        <w:t>) of 58</w:t>
      </w:r>
      <w:r>
        <w:rPr>
          <w:rStyle w:val="CharStyle12"/>
          <w:sz w:val="17"/>
          <w:szCs w:val="17"/>
          <w:lang w:eastAsia="en-US"/>
        </w:rPr>
        <w:t>-</w:t>
      </w:r>
      <w:r>
        <w:rPr>
          <w:rStyle w:val="CharStyle12"/>
          <w:lang w:eastAsia="en-US"/>
        </w:rPr>
        <w:t xml:space="preserve">62 </w:t>
      </w:r>
      <w:r>
        <w:rPr>
          <w:rStyle w:val="CharStyle12"/>
          <w:sz w:val="17"/>
          <w:szCs w:val="17"/>
          <w:lang w:eastAsia="en-US"/>
        </w:rPr>
        <w:t>°</w:t>
      </w:r>
      <w:r>
        <w:rPr>
          <w:rStyle w:val="CharStyle12"/>
          <w:lang w:eastAsia="en-US"/>
        </w:rPr>
        <w:t xml:space="preserve">C (preferably 60 </w:t>
      </w:r>
      <w:r>
        <w:rPr>
          <w:rStyle w:val="CharStyle12"/>
          <w:sz w:val="17"/>
          <w:szCs w:val="17"/>
          <w:lang w:eastAsia="en-US"/>
        </w:rPr>
        <w:t>°</w:t>
      </w:r>
      <w:r>
        <w:rPr>
          <w:rStyle w:val="CharStyle12"/>
          <w:lang w:eastAsia="en-US"/>
        </w:rPr>
        <w:t>C to ensure uniform annealing); (3) GC content of 40</w:t>
      </w:r>
      <w:r>
        <w:rPr>
          <w:rStyle w:val="CharStyle12"/>
          <w:sz w:val="17"/>
          <w:szCs w:val="17"/>
          <w:lang w:eastAsia="en-US"/>
        </w:rPr>
        <w:t>-</w:t>
      </w:r>
      <w:r>
        <w:rPr>
          <w:rStyle w:val="CharStyle12"/>
          <w:lang w:eastAsia="en-US"/>
        </w:rPr>
        <w:t>60%; (4) maximum degeneracy of 256; and (5) amplicon length of 80</w:t>
      </w:r>
      <w:r>
        <w:rPr>
          <w:rStyle w:val="CharStyle12"/>
          <w:sz w:val="17"/>
          <w:szCs w:val="17"/>
          <w:lang w:eastAsia="en-US"/>
        </w:rPr>
        <w:t>-</w:t>
      </w:r>
      <w:r>
        <w:rPr>
          <w:rStyle w:val="CharStyle12"/>
          <w:lang w:eastAsia="en-US"/>
        </w:rPr>
        <w:t>400 bp. From this process, 610 candidate degenerate primer pairs were obtained. These, toge</w:t>
      </w:r>
      <w:r>
        <w:rPr>
          <w:rStyle w:val="CharStyle12"/>
          <w:lang w:eastAsia="en-US"/>
        </w:rPr>
        <w:t>ther with 7 previously published primer sets, were advanced to the validation stage (</w:t>
      </w:r>
      <w:hyperlink r:id="rId28" w:history="1">
        <w:r>
          <w:rPr>
            <w:rStyle w:val="CharStyle12"/>
            <w:color w:val="0D54A6"/>
            <w:lang w:eastAsia="en-US"/>
          </w:rPr>
          <w:t>Figure S1</w:t>
        </w:r>
      </w:hyperlink>
      <w:r>
        <w:rPr>
          <w:rStyle w:val="CharStyle12"/>
          <w:lang w:eastAsia="en-US"/>
        </w:rPr>
        <w:t>).</w:t>
      </w:r>
    </w:p>
    <w:p w14:paraId="468755AE" w14:textId="77777777" w:rsidR="00B14B05" w:rsidRDefault="00B14B05">
      <w:pPr>
        <w:pStyle w:val="Style50"/>
        <w:numPr>
          <w:ilvl w:val="1"/>
          <w:numId w:val="1"/>
        </w:numPr>
        <w:tabs>
          <w:tab w:val="left" w:pos="863"/>
        </w:tabs>
        <w:jc w:val="both"/>
        <w:rPr>
          <w:b w:val="0"/>
          <w:bCs w:val="0"/>
          <w:sz w:val="24"/>
          <w:szCs w:val="24"/>
        </w:rPr>
      </w:pPr>
      <w:r>
        <w:rPr>
          <w:rStyle w:val="CharStyle51"/>
          <w:b/>
          <w:bCs/>
          <w:lang w:eastAsia="en-US"/>
        </w:rPr>
        <w:t>Experimental Validation of the DSMG-Chip.</w:t>
      </w:r>
    </w:p>
    <w:p w14:paraId="50EEDA6A" w14:textId="77777777" w:rsidR="00B14B05" w:rsidRDefault="00B14B05">
      <w:pPr>
        <w:pStyle w:val="Style11"/>
        <w:numPr>
          <w:ilvl w:val="2"/>
          <w:numId w:val="1"/>
        </w:numPr>
        <w:tabs>
          <w:tab w:val="left" w:pos="548"/>
        </w:tabs>
        <w:spacing w:line="293" w:lineRule="auto"/>
        <w:ind w:firstLine="0"/>
        <w:jc w:val="both"/>
        <w:rPr>
          <w:sz w:val="24"/>
          <w:szCs w:val="24"/>
        </w:rPr>
      </w:pPr>
      <w:r>
        <w:rPr>
          <w:rStyle w:val="CharStyle12"/>
          <w:i/>
          <w:iCs/>
          <w:sz w:val="18"/>
          <w:szCs w:val="18"/>
          <w:lang w:eastAsia="en-US"/>
        </w:rPr>
        <w:t>Validation of Primer Specificity.</w:t>
      </w:r>
      <w:r>
        <w:rPr>
          <w:rStyle w:val="CharStyle12"/>
          <w:lang w:eastAsia="en-US"/>
        </w:rPr>
        <w:t xml:space="preserve"> A multitiered approach was</w:t>
      </w:r>
      <w:r>
        <w:rPr>
          <w:rStyle w:val="CharStyle12"/>
          <w:lang w:eastAsia="en-US"/>
        </w:rPr>
        <w:t xml:space="preserve"> employed to experimentally validate the specificity of all candidate primer sets. First, each primer pair was screened by a conventional polymerase chain reaction (PCR). To ensure broad template diversity and minimize sample-specific amplification biases, we used a pooled environmental DNA template. This template was prepared by combining DNA extracted from nearshore seawater and sediment samples using a phenol-chloroform protocol,</w:t>
      </w:r>
      <w:r>
        <w:rPr>
          <w:rStyle w:val="CharStyle12"/>
          <w:color w:val="0D54A6"/>
          <w:vertAlign w:val="superscript"/>
          <w:lang w:eastAsia="en-US"/>
        </w:rPr>
        <w:t>62</w:t>
      </w:r>
      <w:r>
        <w:rPr>
          <w:rStyle w:val="CharStyle12"/>
          <w:color w:val="0D54A6"/>
          <w:lang w:eastAsia="en-US"/>
        </w:rPr>
        <w:t xml:space="preserve"> </w:t>
      </w:r>
      <w:r>
        <w:rPr>
          <w:rStyle w:val="CharStyle12"/>
          <w:lang w:eastAsia="en-US"/>
        </w:rPr>
        <w:t>with three replicate extrac</w:t>
      </w:r>
      <w:r>
        <w:rPr>
          <w:rStyle w:val="CharStyle12"/>
          <w:lang w:eastAsia="en-US"/>
        </w:rPr>
        <w:softHyphen/>
        <w:t>tions quantified, pooled in equimolar amounts</w:t>
      </w:r>
      <w:r>
        <w:rPr>
          <w:rStyle w:val="CharStyle12"/>
          <w:lang w:eastAsia="en-US"/>
        </w:rPr>
        <w:t>, and stand</w:t>
      </w:r>
      <w:r>
        <w:rPr>
          <w:rStyle w:val="CharStyle12"/>
          <w:lang w:eastAsia="en-US"/>
        </w:rPr>
        <w:softHyphen/>
        <w:t>ardized as the final template. For two low-abundance target genes (</w:t>
      </w:r>
      <w:r>
        <w:rPr>
          <w:rStyle w:val="CharStyle12"/>
          <w:i/>
          <w:iCs/>
          <w:lang w:eastAsia="en-US"/>
        </w:rPr>
        <w:t>burB</w:t>
      </w:r>
      <w:r>
        <w:rPr>
          <w:rStyle w:val="CharStyle12"/>
          <w:lang w:eastAsia="en-US"/>
        </w:rPr>
        <w:t xml:space="preserve"> and </w:t>
      </w:r>
      <w:r>
        <w:rPr>
          <w:rStyle w:val="CharStyle12"/>
          <w:i/>
          <w:iCs/>
          <w:lang w:eastAsia="en-US"/>
        </w:rPr>
        <w:t>dsyGD</w:t>
      </w:r>
      <w:r>
        <w:rPr>
          <w:rStyle w:val="CharStyle12"/>
          <w:lang w:eastAsia="en-US"/>
        </w:rPr>
        <w:t>), we substituted the environmental template with DNA from bacterial strains confirmed to harbor homologous genes. The quality and concentration of all extracted DNA were assessed using a NanoDrop 2000 spectrophotometer (Thermo Fisher Scientific, Waltham, MA, USA) and a Qubit 3.0 Fluorometer (Thermo Fisher Scientific, Waltham, MA, USA), respectively.</w:t>
      </w:r>
    </w:p>
    <w:p w14:paraId="763DE50E" w14:textId="77777777" w:rsidR="00B14B05" w:rsidRDefault="00B14B05">
      <w:pPr>
        <w:pStyle w:val="Style11"/>
        <w:spacing w:line="305" w:lineRule="auto"/>
        <w:ind w:firstLine="220"/>
        <w:jc w:val="both"/>
        <w:rPr>
          <w:rFonts w:ascii="Times New Roman" w:hAnsi="Times New Roman" w:cs="Times New Roman"/>
          <w:sz w:val="24"/>
          <w:szCs w:val="24"/>
        </w:rPr>
      </w:pPr>
      <w:r>
        <w:rPr>
          <w:rStyle w:val="CharStyle12"/>
          <w:lang w:eastAsia="en-US"/>
        </w:rPr>
        <w:t xml:space="preserve">Conventional PCR was performed in 25 </w:t>
      </w:r>
      <w:r>
        <w:rPr>
          <w:rStyle w:val="CharStyle12"/>
          <w:i/>
          <w:iCs/>
          <w:sz w:val="16"/>
          <w:szCs w:val="16"/>
          <w:lang w:eastAsia="en-US"/>
        </w:rPr>
        <w:t>μ</w:t>
      </w:r>
      <w:r>
        <w:rPr>
          <w:rStyle w:val="CharStyle12"/>
          <w:lang w:eastAsia="en-US"/>
        </w:rPr>
        <w:t xml:space="preserve">L reactions containing 12.5 </w:t>
      </w:r>
      <w:r>
        <w:rPr>
          <w:rStyle w:val="CharStyle12"/>
          <w:i/>
          <w:iCs/>
          <w:sz w:val="16"/>
          <w:szCs w:val="16"/>
          <w:lang w:eastAsia="en-US"/>
        </w:rPr>
        <w:t>μ</w:t>
      </w:r>
      <w:r>
        <w:rPr>
          <w:rStyle w:val="CharStyle12"/>
          <w:lang w:eastAsia="en-US"/>
        </w:rPr>
        <w:t xml:space="preserve">L of Premix Taq (Takara Biomedical Technology, Beijing, China), 0.4 </w:t>
      </w:r>
      <w:r>
        <w:rPr>
          <w:rStyle w:val="CharStyle12"/>
          <w:i/>
          <w:iCs/>
          <w:sz w:val="16"/>
          <w:szCs w:val="16"/>
          <w:lang w:eastAsia="en-US"/>
        </w:rPr>
        <w:t>μ</w:t>
      </w:r>
      <w:r>
        <w:rPr>
          <w:rStyle w:val="CharStyle12"/>
          <w:lang w:eastAsia="en-US"/>
        </w:rPr>
        <w:t xml:space="preserve">M of each primer, and 50 ng of template DNA. The thermal cycling program consisted of an initial denaturation at 95 </w:t>
      </w:r>
      <w:r>
        <w:rPr>
          <w:rStyle w:val="CharStyle12"/>
          <w:sz w:val="17"/>
          <w:szCs w:val="17"/>
          <w:lang w:eastAsia="en-US"/>
        </w:rPr>
        <w:t>°</w:t>
      </w:r>
      <w:r>
        <w:rPr>
          <w:rStyle w:val="CharStyle12"/>
          <w:lang w:eastAsia="en-US"/>
        </w:rPr>
        <w:t xml:space="preserve">C for 5 min and 30 cycles of denaturation at 94 </w:t>
      </w:r>
      <w:r>
        <w:rPr>
          <w:rStyle w:val="CharStyle12"/>
          <w:sz w:val="17"/>
          <w:szCs w:val="17"/>
          <w:lang w:eastAsia="en-US"/>
        </w:rPr>
        <w:t>°</w:t>
      </w:r>
      <w:r>
        <w:rPr>
          <w:rStyle w:val="CharStyle12"/>
          <w:lang w:eastAsia="en-US"/>
        </w:rPr>
        <w:t xml:space="preserve">C for 30 s, annealing at 60 </w:t>
      </w:r>
      <w:r>
        <w:rPr>
          <w:rStyle w:val="CharStyle12"/>
          <w:sz w:val="17"/>
          <w:szCs w:val="17"/>
          <w:lang w:eastAsia="en-US"/>
        </w:rPr>
        <w:t>°</w:t>
      </w:r>
      <w:r>
        <w:rPr>
          <w:rStyle w:val="CharStyle12"/>
          <w:lang w:eastAsia="en-US"/>
        </w:rPr>
        <w:t xml:space="preserve">C for 30 s, and extension at 72 </w:t>
      </w:r>
      <w:r>
        <w:rPr>
          <w:rStyle w:val="CharStyle12"/>
          <w:sz w:val="17"/>
          <w:szCs w:val="17"/>
          <w:lang w:eastAsia="en-US"/>
        </w:rPr>
        <w:t>°</w:t>
      </w:r>
      <w:r>
        <w:rPr>
          <w:rStyle w:val="CharStyle12"/>
          <w:lang w:eastAsia="en-US"/>
        </w:rPr>
        <w:t xml:space="preserve">C for 60 s, followed by a final extension at 72 </w:t>
      </w:r>
      <w:r>
        <w:rPr>
          <w:rStyle w:val="CharStyle12"/>
          <w:sz w:val="17"/>
          <w:szCs w:val="17"/>
          <w:lang w:eastAsia="en-US"/>
        </w:rPr>
        <w:t>°</w:t>
      </w:r>
      <w:r>
        <w:rPr>
          <w:rStyle w:val="CharStyle12"/>
          <w:lang w:eastAsia="en-US"/>
        </w:rPr>
        <w:t>C for 5 min. Amplification products were visualized by agarose gel electrophoresis, and only primer pairs yielding a single band of the expected size were subjected to further validation.</w:t>
      </w:r>
    </w:p>
    <w:p w14:paraId="3F892E0A" w14:textId="77777777" w:rsidR="00B14B05" w:rsidRDefault="00B14B05">
      <w:pPr>
        <w:pStyle w:val="Style11"/>
        <w:spacing w:line="305" w:lineRule="auto"/>
        <w:ind w:firstLine="220"/>
        <w:jc w:val="both"/>
        <w:rPr>
          <w:rFonts w:ascii="Times New Roman" w:hAnsi="Times New Roman" w:cs="Times New Roman"/>
          <w:sz w:val="24"/>
          <w:szCs w:val="24"/>
        </w:rPr>
      </w:pPr>
      <w:r>
        <w:rPr>
          <w:rStyle w:val="CharStyle12"/>
          <w:lang w:eastAsia="en-US"/>
        </w:rPr>
        <w:t>The specificity of the prescreened primer pairs</w:t>
      </w:r>
      <w:r>
        <w:rPr>
          <w:rStyle w:val="CharStyle12"/>
          <w:lang w:eastAsia="en-US"/>
        </w:rPr>
        <w:t xml:space="preserve"> was further assessed by quantitative PCR (qPCR) on an Applied Biosystems QuantStudio 5 system (Thermo Fisher Scientific, USA). The 25 </w:t>
      </w:r>
      <w:r>
        <w:rPr>
          <w:rStyle w:val="CharStyle12"/>
          <w:i/>
          <w:iCs/>
          <w:sz w:val="16"/>
          <w:szCs w:val="16"/>
          <w:lang w:eastAsia="en-US"/>
        </w:rPr>
        <w:t>μ</w:t>
      </w:r>
      <w:r>
        <w:rPr>
          <w:rStyle w:val="CharStyle12"/>
          <w:lang w:eastAsia="en-US"/>
        </w:rPr>
        <w:t xml:space="preserve">L qPCR reactions </w:t>
      </w:r>
      <w:r>
        <w:rPr>
          <w:rStyle w:val="CharStyle12"/>
          <w:lang w:eastAsia="en-US"/>
        </w:rPr>
        <w:t xml:space="preserve">contained 12.5 </w:t>
      </w:r>
      <w:r>
        <w:rPr>
          <w:rStyle w:val="CharStyle12"/>
          <w:i/>
          <w:iCs/>
          <w:sz w:val="16"/>
          <w:szCs w:val="16"/>
          <w:lang w:eastAsia="en-US"/>
        </w:rPr>
        <w:t>μ</w:t>
      </w:r>
      <w:r>
        <w:rPr>
          <w:rStyle w:val="CharStyle12"/>
          <w:lang w:eastAsia="en-US"/>
        </w:rPr>
        <w:t>L of TB Green Fast qPCR Master Mix (2</w:t>
      </w:r>
      <w:r>
        <w:rPr>
          <w:rStyle w:val="CharStyle12"/>
          <w:sz w:val="17"/>
          <w:szCs w:val="17"/>
          <w:lang w:eastAsia="en-US"/>
        </w:rPr>
        <w:t>×</w:t>
      </w:r>
      <w:r>
        <w:rPr>
          <w:rStyle w:val="CharStyle12"/>
          <w:lang w:eastAsia="en-US"/>
        </w:rPr>
        <w:t xml:space="preserve">) (Takara Biomedical Technology, Beijing, China), 0.5 </w:t>
      </w:r>
      <w:r>
        <w:rPr>
          <w:rStyle w:val="CharStyle12"/>
          <w:i/>
          <w:iCs/>
          <w:sz w:val="16"/>
          <w:szCs w:val="16"/>
          <w:lang w:eastAsia="en-US"/>
        </w:rPr>
        <w:t>μ</w:t>
      </w:r>
      <w:r>
        <w:rPr>
          <w:rStyle w:val="CharStyle12"/>
          <w:lang w:eastAsia="en-US"/>
        </w:rPr>
        <w:t xml:space="preserve">M primer, and 50 ng of template DNA. The thermal profile included an initial hold at 95 </w:t>
      </w:r>
      <w:r>
        <w:rPr>
          <w:rStyle w:val="CharStyle12"/>
          <w:sz w:val="17"/>
          <w:szCs w:val="17"/>
          <w:lang w:eastAsia="en-US"/>
        </w:rPr>
        <w:t>°</w:t>
      </w:r>
      <w:r>
        <w:rPr>
          <w:rStyle w:val="CharStyle12"/>
          <w:lang w:eastAsia="en-US"/>
        </w:rPr>
        <w:t xml:space="preserve">C for 2 min, followed by 40 cycles of 95 </w:t>
      </w:r>
      <w:r>
        <w:rPr>
          <w:rStyle w:val="CharStyle12"/>
          <w:sz w:val="17"/>
          <w:szCs w:val="17"/>
          <w:lang w:eastAsia="en-US"/>
        </w:rPr>
        <w:t>°</w:t>
      </w:r>
      <w:r>
        <w:rPr>
          <w:rStyle w:val="CharStyle12"/>
          <w:lang w:eastAsia="en-US"/>
        </w:rPr>
        <w:t xml:space="preserve">C for 5 s, 60 </w:t>
      </w:r>
      <w:r>
        <w:rPr>
          <w:rStyle w:val="CharStyle12"/>
          <w:sz w:val="17"/>
          <w:szCs w:val="17"/>
          <w:lang w:eastAsia="en-US"/>
        </w:rPr>
        <w:t>°</w:t>
      </w:r>
      <w:r>
        <w:rPr>
          <w:rStyle w:val="CharStyle12"/>
          <w:lang w:eastAsia="en-US"/>
        </w:rPr>
        <w:t xml:space="preserve">C for 30 s, and 72 </w:t>
      </w:r>
      <w:r>
        <w:rPr>
          <w:rStyle w:val="CharStyle12"/>
          <w:sz w:val="17"/>
          <w:szCs w:val="17"/>
          <w:lang w:eastAsia="en-US"/>
        </w:rPr>
        <w:t>°</w:t>
      </w:r>
      <w:r>
        <w:rPr>
          <w:rStyle w:val="CharStyle12"/>
          <w:lang w:eastAsia="en-US"/>
        </w:rPr>
        <w:t xml:space="preserve">C for 10 s. Following amplification, a melting curve analysis was performed from 60 to 95 </w:t>
      </w:r>
      <w:r>
        <w:rPr>
          <w:rStyle w:val="CharStyle12"/>
          <w:sz w:val="17"/>
          <w:szCs w:val="17"/>
          <w:lang w:eastAsia="en-US"/>
        </w:rPr>
        <w:t>°</w:t>
      </w:r>
      <w:r>
        <w:rPr>
          <w:rStyle w:val="CharStyle12"/>
          <w:lang w:eastAsia="en-US"/>
        </w:rPr>
        <w:t xml:space="preserve">C with fluorescence data collected at 0.5 </w:t>
      </w:r>
      <w:r>
        <w:rPr>
          <w:rStyle w:val="CharStyle12"/>
          <w:sz w:val="17"/>
          <w:szCs w:val="17"/>
          <w:lang w:eastAsia="en-US"/>
        </w:rPr>
        <w:t>°</w:t>
      </w:r>
      <w:r>
        <w:rPr>
          <w:rStyle w:val="CharStyle12"/>
          <w:lang w:eastAsia="en-US"/>
        </w:rPr>
        <w:t>C increments to confirm primer specificity.</w:t>
      </w:r>
    </w:p>
    <w:p w14:paraId="0CB81B77" w14:textId="77777777" w:rsidR="00B14B05" w:rsidRDefault="00B14B05">
      <w:pPr>
        <w:pStyle w:val="Style11"/>
        <w:ind w:firstLine="220"/>
        <w:jc w:val="both"/>
        <w:rPr>
          <w:rFonts w:ascii="Times New Roman" w:hAnsi="Times New Roman" w:cs="Times New Roman"/>
          <w:sz w:val="24"/>
          <w:szCs w:val="24"/>
        </w:rPr>
      </w:pPr>
      <w:r>
        <w:rPr>
          <w:rStyle w:val="CharStyle12"/>
          <w:lang w:eastAsia="en-US"/>
        </w:rPr>
        <w:t>Finally, amplicons generated from the pooled environmental DNA were purified using an EZ-10 Spin Column PCR Product Purification Kit (Sangon Biotech, Shanghai, China) a</w:t>
      </w:r>
      <w:r>
        <w:rPr>
          <w:rStyle w:val="CharStyle12"/>
          <w:lang w:eastAsia="en-US"/>
        </w:rPr>
        <w:t xml:space="preserve">nd subjected to high-throughput sequencing on an Illumina HiSeq 2500 platform (Guangdong Magigene Biotechnology, Guangzhou, China). After quality filtering of the raw reads, nucleotide sequences were translated into protein sequences across all six open reading frames (ORFs). These resulting protein sequences were aligned against the curated primer design database for each respective gene, with a match confirmed if the sequence similarity was </w:t>
      </w:r>
      <w:r>
        <w:rPr>
          <w:rStyle w:val="CharStyle12"/>
          <w:sz w:val="17"/>
          <w:szCs w:val="17"/>
          <w:lang w:eastAsia="en-US"/>
        </w:rPr>
        <w:t>≥</w:t>
      </w:r>
      <w:r>
        <w:rPr>
          <w:rStyle w:val="CharStyle12"/>
          <w:lang w:eastAsia="en-US"/>
        </w:rPr>
        <w:t>80%. The specificity rate here refers to the ratio of matched amplicon sequences to the total amplicon sequences.</w:t>
      </w:r>
    </w:p>
    <w:p w14:paraId="0E0251F1" w14:textId="77777777" w:rsidR="00B14B05" w:rsidRDefault="00B14B05">
      <w:pPr>
        <w:pStyle w:val="Style11"/>
        <w:numPr>
          <w:ilvl w:val="2"/>
          <w:numId w:val="1"/>
        </w:numPr>
        <w:tabs>
          <w:tab w:val="left" w:pos="750"/>
        </w:tabs>
        <w:spacing w:line="300" w:lineRule="auto"/>
        <w:ind w:firstLine="220"/>
        <w:jc w:val="both"/>
        <w:rPr>
          <w:sz w:val="24"/>
          <w:szCs w:val="24"/>
        </w:rPr>
        <w:sectPr w:rsidR="00000000">
          <w:headerReference w:type="default" r:id="rId29"/>
          <w:footerReference w:type="default" r:id="rId30"/>
          <w:headerReference w:type="first" r:id="rId31"/>
          <w:footerReference w:type="first" r:id="rId32"/>
          <w:pgSz w:w="12149" w:h="16834"/>
          <w:pgMar w:top="1518" w:right="985" w:bottom="1315" w:left="1004" w:header="0" w:footer="3" w:gutter="0"/>
          <w:cols w:num="2" w:space="374"/>
          <w:noEndnote/>
          <w:titlePg/>
          <w:docGrid w:linePitch="360"/>
        </w:sectPr>
      </w:pPr>
      <w:r>
        <w:rPr>
          <w:rStyle w:val="CharStyle12"/>
          <w:i/>
          <w:iCs/>
          <w:sz w:val="18"/>
          <w:szCs w:val="18"/>
          <w:lang w:eastAsia="en-US"/>
        </w:rPr>
        <w:t>Determination of Amplification Efficiency, Sensi</w:t>
      </w:r>
      <w:r>
        <w:rPr>
          <w:rStyle w:val="CharStyle12"/>
          <w:i/>
          <w:iCs/>
          <w:sz w:val="18"/>
          <w:szCs w:val="18"/>
          <w:lang w:eastAsia="en-US"/>
        </w:rPr>
        <w:softHyphen/>
        <w:t>tivity, and Accuracy.</w:t>
      </w:r>
      <w:r>
        <w:rPr>
          <w:rStyle w:val="CharStyle12"/>
          <w:lang w:eastAsia="en-US"/>
        </w:rPr>
        <w:t xml:space="preserve"> The amplification efficiency, sensitivity, and accuracy of each primer set were evaluated using standard curves generated from 10-fold serial dilutions of synthesized plasmid standards. Gene fragments corresponding to the target amplicons for each primer pair were synthesized and cloned into the pUC57 plasmid vector (Tsingke Biotechnology, Beijing, China). For conventional qPCR, each plasmid was individually diluted to 10</w:t>
      </w:r>
      <w:r>
        <w:rPr>
          <w:rStyle w:val="CharStyle12"/>
          <w:vertAlign w:val="superscript"/>
          <w:lang w:eastAsia="en-US"/>
        </w:rPr>
        <w:t>9</w:t>
      </w:r>
      <w:r>
        <w:rPr>
          <w:rStyle w:val="CharStyle12"/>
          <w:lang w:eastAsia="en-US"/>
        </w:rPr>
        <w:t xml:space="preserve"> copies/</w:t>
      </w:r>
      <w:r>
        <w:rPr>
          <w:rStyle w:val="CharStyle12"/>
          <w:i/>
          <w:iCs/>
          <w:sz w:val="16"/>
          <w:szCs w:val="16"/>
          <w:lang w:eastAsia="en-US"/>
        </w:rPr>
        <w:t>μ</w:t>
      </w:r>
      <w:r>
        <w:rPr>
          <w:rStyle w:val="CharStyle12"/>
          <w:lang w:eastAsia="en-US"/>
        </w:rPr>
        <w:t>L and then serially diluted 10-fold to 10</w:t>
      </w:r>
      <w:r>
        <w:rPr>
          <w:rStyle w:val="CharStyle12"/>
          <w:vertAlign w:val="superscript"/>
          <w:lang w:eastAsia="en-US"/>
        </w:rPr>
        <w:t>2</w:t>
      </w:r>
      <w:r>
        <w:rPr>
          <w:rStyle w:val="CharStyle12"/>
          <w:lang w:eastAsia="en-US"/>
        </w:rPr>
        <w:t xml:space="preserve"> copies/</w:t>
      </w:r>
      <w:r>
        <w:rPr>
          <w:rStyle w:val="CharStyle12"/>
          <w:i/>
          <w:iCs/>
          <w:sz w:val="16"/>
          <w:szCs w:val="16"/>
          <w:lang w:eastAsia="en-US"/>
        </w:rPr>
        <w:t>μ</w:t>
      </w:r>
      <w:r>
        <w:rPr>
          <w:rStyle w:val="CharStyle12"/>
          <w:lang w:eastAsia="en-US"/>
        </w:rPr>
        <w:t xml:space="preserve">L to generate standard curves. For performance assessment on the high-throughput qPCR (HT- qPCR) platform, all individual plasmid standards were quantified and mixed at an equal copy number to create a composite stock solution with an initial concentration of 1 </w:t>
      </w:r>
      <w:r>
        <w:rPr>
          <w:rStyle w:val="CharStyle12"/>
          <w:sz w:val="17"/>
          <w:szCs w:val="17"/>
          <w:lang w:eastAsia="en-US"/>
        </w:rPr>
        <w:t xml:space="preserve">× </w:t>
      </w:r>
      <w:r>
        <w:rPr>
          <w:rStyle w:val="CharStyle12"/>
          <w:lang w:eastAsia="en-US"/>
        </w:rPr>
        <w:t>10</w:t>
      </w:r>
      <w:r>
        <w:rPr>
          <w:rStyle w:val="CharStyle12"/>
          <w:vertAlign w:val="superscript"/>
          <w:lang w:eastAsia="en-US"/>
        </w:rPr>
        <w:t>8</w:t>
      </w:r>
      <w:r>
        <w:rPr>
          <w:rStyle w:val="CharStyle12"/>
          <w:lang w:eastAsia="en-US"/>
        </w:rPr>
        <w:t xml:space="preserve"> copies/</w:t>
      </w:r>
      <w:r>
        <w:rPr>
          <w:rStyle w:val="CharStyle12"/>
          <w:i/>
          <w:iCs/>
          <w:sz w:val="16"/>
          <w:szCs w:val="16"/>
          <w:lang w:eastAsia="en-US"/>
        </w:rPr>
        <w:t>μ</w:t>
      </w:r>
      <w:r>
        <w:rPr>
          <w:rStyle w:val="CharStyle12"/>
          <w:lang w:eastAsia="en-US"/>
        </w:rPr>
        <w:t>L (21 ng/</w:t>
      </w:r>
      <w:r>
        <w:rPr>
          <w:rStyle w:val="CharStyle12"/>
          <w:i/>
          <w:iCs/>
          <w:sz w:val="16"/>
          <w:szCs w:val="16"/>
          <w:lang w:eastAsia="en-US"/>
        </w:rPr>
        <w:t>μ</w:t>
      </w:r>
      <w:r>
        <w:rPr>
          <w:rStyle w:val="CharStyle12"/>
          <w:lang w:eastAsia="en-US"/>
        </w:rPr>
        <w:t>L). This mixture was subsequently serially diluted 10-fold down to 10</w:t>
      </w:r>
      <w:r>
        <w:rPr>
          <w:rStyle w:val="CharStyle12"/>
          <w:vertAlign w:val="superscript"/>
          <w:lang w:eastAsia="en-US"/>
        </w:rPr>
        <w:t>2</w:t>
      </w:r>
      <w:r>
        <w:rPr>
          <w:rStyle w:val="CharStyle12"/>
          <w:lang w:eastAsia="en-US"/>
        </w:rPr>
        <w:t xml:space="preserve"> copies/</w:t>
      </w:r>
      <w:r>
        <w:rPr>
          <w:rStyle w:val="CharStyle12"/>
          <w:i/>
          <w:iCs/>
          <w:sz w:val="16"/>
          <w:szCs w:val="16"/>
          <w:lang w:eastAsia="en-US"/>
        </w:rPr>
        <w:t>μ</w:t>
      </w:r>
      <w:r>
        <w:rPr>
          <w:rStyle w:val="CharStyle12"/>
          <w:lang w:eastAsia="en-US"/>
        </w:rPr>
        <w:t>L to generate standard curves. HT-qPCR was performed on a SmartChip</w:t>
      </w:r>
    </w:p>
    <w:p w14:paraId="0A0E3663" w14:textId="77777777" w:rsidR="00B14B05" w:rsidRDefault="00B14B05">
      <w:pPr>
        <w:pStyle w:val="Style53"/>
        <w:rPr>
          <w:rFonts w:ascii="Times New Roman" w:hAnsi="Times New Roman" w:cs="Times New Roman"/>
          <w:b w:val="0"/>
          <w:bCs w:val="0"/>
          <w:sz w:val="24"/>
          <w:szCs w:val="24"/>
        </w:rPr>
      </w:pPr>
      <w:bookmarkStart w:id="7" w:name="bookmark10"/>
      <w:r>
        <w:rPr>
          <w:rStyle w:val="CharStyle54"/>
          <w:b/>
          <w:bCs/>
          <w:lang w:eastAsia="en-US"/>
        </w:rPr>
        <w:lastRenderedPageBreak/>
        <w:t xml:space="preserve">Table 1. Summary </w:t>
      </w:r>
      <w:r>
        <w:rPr>
          <w:rStyle w:val="CharStyle54"/>
          <w:b/>
          <w:bCs/>
          <w:lang w:eastAsia="en-US"/>
        </w:rPr>
        <w:t xml:space="preserve">of Genes on the DSMG-Chip and Related Functions </w:t>
      </w:r>
      <w:r>
        <w:rPr>
          <w:rStyle w:val="CharStyle54"/>
          <w:i/>
          <w:iCs/>
          <w:sz w:val="11"/>
          <w:szCs w:val="11"/>
          <w:lang w:val="el-GR" w:eastAsia="el-GR"/>
        </w:rPr>
        <w:t xml:space="preserve">(Ν </w:t>
      </w:r>
      <w:r>
        <w:rPr>
          <w:rStyle w:val="CharStyle54"/>
          <w:i/>
          <w:iCs/>
          <w:sz w:val="11"/>
          <w:szCs w:val="11"/>
          <w:lang w:eastAsia="en-US"/>
        </w:rPr>
        <w:t>=</w:t>
      </w:r>
      <w:r>
        <w:rPr>
          <w:rStyle w:val="CharStyle54"/>
          <w:b/>
          <w:bCs/>
          <w:lang w:eastAsia="en-US"/>
        </w:rPr>
        <w:t xml:space="preserve"> 27)</w:t>
      </w:r>
      <w:bookmarkEnd w:id="7"/>
    </w:p>
    <w:tbl>
      <w:tblPr>
        <w:tblW w:w="0" w:type="auto"/>
        <w:jc w:val="center"/>
        <w:tblLayout w:type="fixed"/>
        <w:tblCellMar>
          <w:left w:w="0" w:type="dxa"/>
          <w:right w:w="0" w:type="dxa"/>
        </w:tblCellMar>
        <w:tblLook w:val="0000" w:firstRow="0" w:lastRow="0" w:firstColumn="0" w:lastColumn="0" w:noHBand="0" w:noVBand="0"/>
      </w:tblPr>
      <w:tblGrid>
        <w:gridCol w:w="523"/>
        <w:gridCol w:w="1325"/>
        <w:gridCol w:w="9029"/>
        <w:gridCol w:w="2534"/>
        <w:gridCol w:w="341"/>
      </w:tblGrid>
      <w:tr w:rsidR="00000000" w14:paraId="7CFB372C" w14:textId="77777777">
        <w:tblPrEx>
          <w:tblCellMar>
            <w:top w:w="0" w:type="dxa"/>
            <w:left w:w="0" w:type="dxa"/>
            <w:bottom w:w="0" w:type="dxa"/>
            <w:right w:w="0" w:type="dxa"/>
          </w:tblCellMar>
        </w:tblPrEx>
        <w:trPr>
          <w:trHeight w:hRule="exact" w:val="269"/>
          <w:jc w:val="center"/>
        </w:trPr>
        <w:tc>
          <w:tcPr>
            <w:tcW w:w="523" w:type="dxa"/>
            <w:tcBorders>
              <w:top w:val="nil"/>
              <w:left w:val="nil"/>
              <w:bottom w:val="nil"/>
              <w:right w:val="nil"/>
            </w:tcBorders>
            <w:shd w:val="clear" w:color="auto" w:fill="E7E7E7"/>
            <w:vAlign w:val="bottom"/>
          </w:tcPr>
          <w:p w14:paraId="5E493168" w14:textId="77777777" w:rsidR="00B14B05" w:rsidRDefault="00B14B05">
            <w:pPr>
              <w:pStyle w:val="Style56"/>
              <w:spacing w:line="240" w:lineRule="auto"/>
              <w:ind w:firstLine="0"/>
              <w:jc w:val="both"/>
              <w:rPr>
                <w:rFonts w:ascii="Times New Roman" w:hAnsi="Times New Roman" w:cs="Times New Roman"/>
                <w:sz w:val="24"/>
                <w:szCs w:val="24"/>
              </w:rPr>
            </w:pPr>
            <w:r>
              <w:rPr>
                <w:rStyle w:val="CharStyle57"/>
                <w:rFonts w:ascii="Times New Roman" w:hAnsi="Times New Roman" w:cs="Times New Roman"/>
                <w:sz w:val="14"/>
                <w:szCs w:val="14"/>
                <w:lang w:val="it-IT" w:eastAsia="it-IT"/>
              </w:rPr>
              <w:t>Gene</w:t>
            </w:r>
          </w:p>
        </w:tc>
        <w:tc>
          <w:tcPr>
            <w:tcW w:w="1325" w:type="dxa"/>
            <w:tcBorders>
              <w:top w:val="nil"/>
              <w:left w:val="nil"/>
              <w:bottom w:val="nil"/>
              <w:right w:val="nil"/>
            </w:tcBorders>
            <w:shd w:val="clear" w:color="auto" w:fill="E7E7E7"/>
            <w:vAlign w:val="bottom"/>
          </w:tcPr>
          <w:p w14:paraId="38F93A86" w14:textId="77777777" w:rsidR="00B14B05" w:rsidRDefault="00B14B05">
            <w:pPr>
              <w:pStyle w:val="Style56"/>
              <w:spacing w:line="240" w:lineRule="auto"/>
              <w:ind w:firstLine="420"/>
              <w:rPr>
                <w:rFonts w:ascii="Times New Roman" w:hAnsi="Times New Roman" w:cs="Times New Roman"/>
                <w:sz w:val="24"/>
                <w:szCs w:val="24"/>
              </w:rPr>
            </w:pPr>
            <w:r>
              <w:rPr>
                <w:rStyle w:val="CharStyle57"/>
                <w:rFonts w:ascii="Times New Roman" w:hAnsi="Times New Roman" w:cs="Times New Roman"/>
                <w:sz w:val="14"/>
                <w:szCs w:val="14"/>
                <w:lang w:eastAsia="en-US"/>
              </w:rPr>
              <w:t>Pathway</w:t>
            </w:r>
          </w:p>
        </w:tc>
        <w:tc>
          <w:tcPr>
            <w:tcW w:w="9029" w:type="dxa"/>
            <w:tcBorders>
              <w:top w:val="nil"/>
              <w:left w:val="nil"/>
              <w:bottom w:val="nil"/>
              <w:right w:val="nil"/>
            </w:tcBorders>
            <w:shd w:val="clear" w:color="auto" w:fill="E7E7E7"/>
            <w:vAlign w:val="bottom"/>
          </w:tcPr>
          <w:p w14:paraId="4C46F50E" w14:textId="77777777" w:rsidR="00B14B05" w:rsidRDefault="00B14B05">
            <w:pPr>
              <w:pStyle w:val="Style56"/>
              <w:spacing w:line="240" w:lineRule="auto"/>
              <w:ind w:firstLine="0"/>
              <w:jc w:val="center"/>
              <w:rPr>
                <w:rFonts w:ascii="Times New Roman" w:hAnsi="Times New Roman" w:cs="Times New Roman"/>
                <w:sz w:val="24"/>
                <w:szCs w:val="24"/>
              </w:rPr>
            </w:pPr>
            <w:r>
              <w:rPr>
                <w:rStyle w:val="CharStyle57"/>
                <w:rFonts w:ascii="Times New Roman" w:hAnsi="Times New Roman" w:cs="Times New Roman"/>
                <w:sz w:val="14"/>
                <w:szCs w:val="14"/>
                <w:lang w:eastAsia="en-US"/>
              </w:rPr>
              <w:t>Function</w:t>
            </w:r>
          </w:p>
        </w:tc>
        <w:tc>
          <w:tcPr>
            <w:tcW w:w="2534" w:type="dxa"/>
            <w:tcBorders>
              <w:top w:val="nil"/>
              <w:left w:val="nil"/>
              <w:bottom w:val="nil"/>
              <w:right w:val="nil"/>
            </w:tcBorders>
            <w:shd w:val="clear" w:color="auto" w:fill="E7E7E7"/>
            <w:vAlign w:val="bottom"/>
          </w:tcPr>
          <w:p w14:paraId="5933F3C6" w14:textId="77777777" w:rsidR="00B14B05" w:rsidRDefault="00B14B05">
            <w:pPr>
              <w:pStyle w:val="Style56"/>
              <w:spacing w:line="240" w:lineRule="auto"/>
              <w:ind w:firstLine="400"/>
              <w:rPr>
                <w:rFonts w:ascii="Times New Roman" w:hAnsi="Times New Roman" w:cs="Times New Roman"/>
                <w:sz w:val="24"/>
                <w:szCs w:val="24"/>
              </w:rPr>
            </w:pPr>
            <w:r>
              <w:rPr>
                <w:rStyle w:val="CharStyle57"/>
                <w:rFonts w:ascii="Times New Roman" w:hAnsi="Times New Roman" w:cs="Times New Roman"/>
                <w:sz w:val="14"/>
                <w:szCs w:val="14"/>
                <w:lang w:eastAsia="en-US"/>
              </w:rPr>
              <w:t>Protein family/Superfamily</w:t>
            </w:r>
          </w:p>
        </w:tc>
        <w:tc>
          <w:tcPr>
            <w:tcW w:w="341" w:type="dxa"/>
            <w:tcBorders>
              <w:top w:val="nil"/>
              <w:left w:val="nil"/>
              <w:bottom w:val="nil"/>
              <w:right w:val="nil"/>
            </w:tcBorders>
            <w:shd w:val="clear" w:color="auto" w:fill="E7E7E7"/>
            <w:vAlign w:val="bottom"/>
          </w:tcPr>
          <w:p w14:paraId="391BDD07" w14:textId="77777777" w:rsidR="00B14B05" w:rsidRDefault="00B14B05">
            <w:pPr>
              <w:pStyle w:val="Style56"/>
              <w:spacing w:line="240" w:lineRule="auto"/>
              <w:ind w:firstLine="0"/>
              <w:jc w:val="right"/>
              <w:rPr>
                <w:rFonts w:ascii="Times New Roman" w:hAnsi="Times New Roman" w:cs="Times New Roman"/>
                <w:sz w:val="24"/>
                <w:szCs w:val="24"/>
              </w:rPr>
            </w:pPr>
            <w:r>
              <w:rPr>
                <w:rStyle w:val="CharStyle57"/>
                <w:rFonts w:ascii="Times New Roman" w:hAnsi="Times New Roman" w:cs="Times New Roman"/>
                <w:sz w:val="14"/>
                <w:szCs w:val="14"/>
                <w:lang w:eastAsia="en-US"/>
              </w:rPr>
              <w:t>Ref</w:t>
            </w:r>
          </w:p>
        </w:tc>
      </w:tr>
      <w:tr w:rsidR="00000000" w14:paraId="1700E6E7" w14:textId="77777777">
        <w:tblPrEx>
          <w:tblCellMar>
            <w:top w:w="0" w:type="dxa"/>
            <w:left w:w="0" w:type="dxa"/>
            <w:bottom w:w="0" w:type="dxa"/>
            <w:right w:w="0" w:type="dxa"/>
          </w:tblCellMar>
        </w:tblPrEx>
        <w:trPr>
          <w:trHeight w:hRule="exact" w:val="389"/>
          <w:jc w:val="center"/>
        </w:trPr>
        <w:tc>
          <w:tcPr>
            <w:tcW w:w="523" w:type="dxa"/>
            <w:tcBorders>
              <w:top w:val="nil"/>
              <w:left w:val="nil"/>
              <w:bottom w:val="nil"/>
              <w:right w:val="nil"/>
            </w:tcBorders>
          </w:tcPr>
          <w:p w14:paraId="4C8086D3" w14:textId="77777777" w:rsidR="00B14B05" w:rsidRDefault="00B14B05">
            <w:pPr>
              <w:pStyle w:val="Style56"/>
              <w:spacing w:line="240" w:lineRule="auto"/>
              <w:ind w:firstLine="0"/>
              <w:jc w:val="both"/>
              <w:rPr>
                <w:rFonts w:ascii="Times New Roman" w:hAnsi="Times New Roman" w:cs="Times New Roman"/>
                <w:sz w:val="24"/>
                <w:szCs w:val="24"/>
              </w:rPr>
            </w:pPr>
            <w:r>
              <w:rPr>
                <w:rStyle w:val="CharStyle57"/>
                <w:rFonts w:ascii="Times New Roman" w:hAnsi="Times New Roman" w:cs="Times New Roman"/>
                <w:b/>
                <w:bCs/>
                <w:i/>
                <w:iCs/>
                <w:sz w:val="14"/>
                <w:szCs w:val="14"/>
                <w:lang w:eastAsia="en-US"/>
              </w:rPr>
              <w:t>dsyB</w:t>
            </w:r>
          </w:p>
        </w:tc>
        <w:tc>
          <w:tcPr>
            <w:tcW w:w="1325" w:type="dxa"/>
            <w:tcBorders>
              <w:top w:val="nil"/>
              <w:left w:val="nil"/>
              <w:bottom w:val="nil"/>
              <w:right w:val="nil"/>
            </w:tcBorders>
            <w:vAlign w:val="bottom"/>
          </w:tcPr>
          <w:p w14:paraId="79C11F98" w14:textId="77777777" w:rsidR="00B14B05" w:rsidRDefault="00B14B05">
            <w:pPr>
              <w:pStyle w:val="Style56"/>
              <w:spacing w:line="240" w:lineRule="auto"/>
              <w:ind w:left="220" w:hanging="220"/>
              <w:rPr>
                <w:rFonts w:ascii="Times New Roman" w:hAnsi="Times New Roman" w:cs="Times New Roman"/>
                <w:sz w:val="24"/>
                <w:szCs w:val="24"/>
              </w:rPr>
            </w:pPr>
            <w:r>
              <w:rPr>
                <w:rStyle w:val="CharStyle57"/>
                <w:rFonts w:ascii="Times New Roman" w:hAnsi="Times New Roman" w:cs="Times New Roman"/>
                <w:sz w:val="14"/>
                <w:szCs w:val="14"/>
                <w:lang w:eastAsia="en-US"/>
              </w:rPr>
              <w:t>DMSP biosynthesis</w:t>
            </w:r>
          </w:p>
        </w:tc>
        <w:tc>
          <w:tcPr>
            <w:tcW w:w="9029" w:type="dxa"/>
            <w:tcBorders>
              <w:top w:val="nil"/>
              <w:left w:val="nil"/>
              <w:bottom w:val="nil"/>
              <w:right w:val="nil"/>
            </w:tcBorders>
          </w:tcPr>
          <w:p w14:paraId="00E60D59"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sz w:val="14"/>
                <w:szCs w:val="14"/>
                <w:lang w:eastAsia="en-US"/>
              </w:rPr>
              <w:t>Catalyzes the methylation of</w:t>
            </w:r>
            <w:r>
              <w:rPr>
                <w:rStyle w:val="CharStyle57"/>
                <w:rFonts w:ascii="Times New Roman" w:hAnsi="Times New Roman" w:cs="Times New Roman"/>
                <w:sz w:val="14"/>
                <w:szCs w:val="14"/>
                <w:lang w:eastAsia="en-US"/>
              </w:rPr>
              <w:t xml:space="preserve"> 4-methylthio-2-hydroxybutyrate (MTHB) to produce 4-dimethylsulfonio-2-hydroxybutyrate (DMSHB)</w:t>
            </w:r>
          </w:p>
        </w:tc>
        <w:tc>
          <w:tcPr>
            <w:tcW w:w="2534" w:type="dxa"/>
            <w:tcBorders>
              <w:top w:val="nil"/>
              <w:left w:val="nil"/>
              <w:bottom w:val="nil"/>
              <w:right w:val="nil"/>
            </w:tcBorders>
          </w:tcPr>
          <w:p w14:paraId="149ABE04"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sz w:val="14"/>
                <w:szCs w:val="14"/>
                <w:lang w:eastAsia="en-US"/>
              </w:rPr>
              <w:t>DsyB/DSYB protein family</w:t>
            </w:r>
          </w:p>
        </w:tc>
        <w:tc>
          <w:tcPr>
            <w:tcW w:w="341" w:type="dxa"/>
            <w:tcBorders>
              <w:top w:val="nil"/>
              <w:left w:val="nil"/>
              <w:bottom w:val="nil"/>
              <w:right w:val="nil"/>
            </w:tcBorders>
          </w:tcPr>
          <w:p w14:paraId="0F785927"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color w:val="0D54A6"/>
                <w:sz w:val="14"/>
                <w:szCs w:val="14"/>
                <w:lang w:eastAsia="en-US"/>
              </w:rPr>
              <w:t>28</w:t>
            </w:r>
          </w:p>
        </w:tc>
      </w:tr>
      <w:tr w:rsidR="00000000" w14:paraId="41498050" w14:textId="77777777">
        <w:tblPrEx>
          <w:tblCellMar>
            <w:top w:w="0" w:type="dxa"/>
            <w:left w:w="0" w:type="dxa"/>
            <w:bottom w:w="0" w:type="dxa"/>
            <w:right w:w="0" w:type="dxa"/>
          </w:tblCellMar>
        </w:tblPrEx>
        <w:trPr>
          <w:trHeight w:hRule="exact" w:val="389"/>
          <w:jc w:val="center"/>
        </w:trPr>
        <w:tc>
          <w:tcPr>
            <w:tcW w:w="523" w:type="dxa"/>
            <w:tcBorders>
              <w:top w:val="nil"/>
              <w:left w:val="nil"/>
              <w:bottom w:val="nil"/>
              <w:right w:val="nil"/>
            </w:tcBorders>
          </w:tcPr>
          <w:p w14:paraId="18A6F0D1" w14:textId="77777777" w:rsidR="00B14B05" w:rsidRDefault="00B14B05">
            <w:pPr>
              <w:pStyle w:val="Style56"/>
              <w:spacing w:line="240" w:lineRule="auto"/>
              <w:ind w:firstLine="0"/>
              <w:jc w:val="both"/>
              <w:rPr>
                <w:rFonts w:ascii="Times New Roman" w:hAnsi="Times New Roman" w:cs="Times New Roman"/>
                <w:sz w:val="24"/>
                <w:szCs w:val="24"/>
              </w:rPr>
            </w:pPr>
            <w:r>
              <w:rPr>
                <w:rStyle w:val="CharStyle57"/>
                <w:rFonts w:ascii="Times New Roman" w:hAnsi="Times New Roman" w:cs="Times New Roman"/>
                <w:i/>
                <w:iCs/>
                <w:sz w:val="14"/>
                <w:szCs w:val="14"/>
                <w:lang w:eastAsia="en-US"/>
              </w:rPr>
              <w:t>burB</w:t>
            </w:r>
          </w:p>
        </w:tc>
        <w:tc>
          <w:tcPr>
            <w:tcW w:w="1325" w:type="dxa"/>
            <w:tcBorders>
              <w:top w:val="nil"/>
              <w:left w:val="nil"/>
              <w:bottom w:val="nil"/>
              <w:right w:val="nil"/>
            </w:tcBorders>
            <w:vAlign w:val="bottom"/>
          </w:tcPr>
          <w:p w14:paraId="5771494B" w14:textId="77777777" w:rsidR="00B14B05" w:rsidRDefault="00B14B05">
            <w:pPr>
              <w:pStyle w:val="Style56"/>
              <w:spacing w:line="240" w:lineRule="auto"/>
              <w:ind w:left="220" w:hanging="220"/>
              <w:rPr>
                <w:rFonts w:ascii="Times New Roman" w:hAnsi="Times New Roman" w:cs="Times New Roman"/>
                <w:sz w:val="24"/>
                <w:szCs w:val="24"/>
              </w:rPr>
            </w:pPr>
            <w:r>
              <w:rPr>
                <w:rStyle w:val="CharStyle57"/>
                <w:rFonts w:ascii="Times New Roman" w:hAnsi="Times New Roman" w:cs="Times New Roman"/>
                <w:sz w:val="14"/>
                <w:szCs w:val="14"/>
                <w:lang w:eastAsia="en-US"/>
              </w:rPr>
              <w:t>DMSP biosynthesis</w:t>
            </w:r>
          </w:p>
        </w:tc>
        <w:tc>
          <w:tcPr>
            <w:tcW w:w="9029" w:type="dxa"/>
            <w:tcBorders>
              <w:top w:val="nil"/>
              <w:left w:val="nil"/>
              <w:bottom w:val="nil"/>
              <w:right w:val="nil"/>
            </w:tcBorders>
          </w:tcPr>
          <w:p w14:paraId="3015AFC1"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sz w:val="14"/>
                <w:szCs w:val="14"/>
                <w:lang w:eastAsia="en-US"/>
              </w:rPr>
              <w:t>Catalyzes the methylation of Met to produce S-methylmethionine (SMM)</w:t>
            </w:r>
          </w:p>
        </w:tc>
        <w:tc>
          <w:tcPr>
            <w:tcW w:w="2534" w:type="dxa"/>
            <w:tcBorders>
              <w:top w:val="nil"/>
              <w:left w:val="nil"/>
              <w:bottom w:val="nil"/>
              <w:right w:val="nil"/>
            </w:tcBorders>
            <w:vAlign w:val="bottom"/>
          </w:tcPr>
          <w:p w14:paraId="4B0457AE" w14:textId="77777777" w:rsidR="00B14B05" w:rsidRDefault="00B14B05">
            <w:pPr>
              <w:pStyle w:val="Style56"/>
              <w:spacing w:line="240" w:lineRule="auto"/>
              <w:ind w:left="180" w:hanging="180"/>
              <w:rPr>
                <w:rFonts w:ascii="Times New Roman" w:hAnsi="Times New Roman" w:cs="Times New Roman"/>
                <w:sz w:val="24"/>
                <w:szCs w:val="24"/>
              </w:rPr>
            </w:pPr>
            <w:r>
              <w:rPr>
                <w:rStyle w:val="CharStyle57"/>
                <w:rFonts w:ascii="Times New Roman" w:hAnsi="Times New Roman" w:cs="Times New Roman"/>
                <w:sz w:val="14"/>
                <w:szCs w:val="14"/>
                <w:lang w:eastAsia="en-US"/>
              </w:rPr>
              <w:t>S-adenosyl-L-methionine-dependent methyltransferase superfamily</w:t>
            </w:r>
          </w:p>
        </w:tc>
        <w:tc>
          <w:tcPr>
            <w:tcW w:w="341" w:type="dxa"/>
            <w:tcBorders>
              <w:top w:val="nil"/>
              <w:left w:val="nil"/>
              <w:bottom w:val="nil"/>
              <w:right w:val="nil"/>
            </w:tcBorders>
          </w:tcPr>
          <w:p w14:paraId="00A47C84"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color w:val="0D54A6"/>
                <w:sz w:val="14"/>
                <w:szCs w:val="14"/>
                <w:lang w:eastAsia="en-US"/>
              </w:rPr>
              <w:t>52</w:t>
            </w:r>
          </w:p>
        </w:tc>
      </w:tr>
      <w:tr w:rsidR="00000000" w14:paraId="179E0AC6" w14:textId="77777777">
        <w:tblPrEx>
          <w:tblCellMar>
            <w:top w:w="0" w:type="dxa"/>
            <w:left w:w="0" w:type="dxa"/>
            <w:bottom w:w="0" w:type="dxa"/>
            <w:right w:w="0" w:type="dxa"/>
          </w:tblCellMar>
        </w:tblPrEx>
        <w:trPr>
          <w:trHeight w:hRule="exact" w:val="389"/>
          <w:jc w:val="center"/>
        </w:trPr>
        <w:tc>
          <w:tcPr>
            <w:tcW w:w="523" w:type="dxa"/>
            <w:tcBorders>
              <w:top w:val="nil"/>
              <w:left w:val="nil"/>
              <w:bottom w:val="nil"/>
              <w:right w:val="nil"/>
            </w:tcBorders>
          </w:tcPr>
          <w:p w14:paraId="3BCC44EC" w14:textId="77777777" w:rsidR="00B14B05" w:rsidRDefault="00B14B05">
            <w:pPr>
              <w:pStyle w:val="Style56"/>
              <w:spacing w:line="240" w:lineRule="auto"/>
              <w:ind w:firstLine="0"/>
              <w:jc w:val="both"/>
              <w:rPr>
                <w:rFonts w:ascii="Times New Roman" w:hAnsi="Times New Roman" w:cs="Times New Roman"/>
                <w:sz w:val="24"/>
                <w:szCs w:val="24"/>
              </w:rPr>
            </w:pPr>
            <w:r>
              <w:rPr>
                <w:rStyle w:val="CharStyle57"/>
                <w:rFonts w:ascii="Times New Roman" w:hAnsi="Times New Roman" w:cs="Times New Roman"/>
                <w:i/>
                <w:iCs/>
                <w:sz w:val="14"/>
                <w:szCs w:val="14"/>
                <w:lang w:eastAsia="en-US"/>
              </w:rPr>
              <w:t>mmtN</w:t>
            </w:r>
          </w:p>
        </w:tc>
        <w:tc>
          <w:tcPr>
            <w:tcW w:w="1325" w:type="dxa"/>
            <w:tcBorders>
              <w:top w:val="nil"/>
              <w:left w:val="nil"/>
              <w:bottom w:val="nil"/>
              <w:right w:val="nil"/>
            </w:tcBorders>
            <w:vAlign w:val="bottom"/>
          </w:tcPr>
          <w:p w14:paraId="267CD818" w14:textId="77777777" w:rsidR="00B14B05" w:rsidRDefault="00B14B05">
            <w:pPr>
              <w:pStyle w:val="Style56"/>
              <w:spacing w:line="240" w:lineRule="auto"/>
              <w:ind w:left="220" w:hanging="220"/>
              <w:rPr>
                <w:rFonts w:ascii="Times New Roman" w:hAnsi="Times New Roman" w:cs="Times New Roman"/>
                <w:sz w:val="24"/>
                <w:szCs w:val="24"/>
              </w:rPr>
            </w:pPr>
            <w:r>
              <w:rPr>
                <w:rStyle w:val="CharStyle57"/>
                <w:rFonts w:ascii="Times New Roman" w:hAnsi="Times New Roman" w:cs="Times New Roman"/>
                <w:sz w:val="14"/>
                <w:szCs w:val="14"/>
                <w:lang w:eastAsia="en-US"/>
              </w:rPr>
              <w:t>DMSP biosynthesis</w:t>
            </w:r>
          </w:p>
        </w:tc>
        <w:tc>
          <w:tcPr>
            <w:tcW w:w="9029" w:type="dxa"/>
            <w:tcBorders>
              <w:top w:val="nil"/>
              <w:left w:val="nil"/>
              <w:bottom w:val="nil"/>
              <w:right w:val="nil"/>
            </w:tcBorders>
          </w:tcPr>
          <w:p w14:paraId="1E7AD9B4"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sz w:val="14"/>
                <w:szCs w:val="14"/>
                <w:lang w:eastAsia="en-US"/>
              </w:rPr>
              <w:t>Catalyzes the methylation of methionine (Met) to produce S-methylmethionine (SMM)</w:t>
            </w:r>
          </w:p>
        </w:tc>
        <w:tc>
          <w:tcPr>
            <w:tcW w:w="2534" w:type="dxa"/>
            <w:tcBorders>
              <w:top w:val="nil"/>
              <w:left w:val="nil"/>
              <w:bottom w:val="nil"/>
              <w:right w:val="nil"/>
            </w:tcBorders>
            <w:vAlign w:val="bottom"/>
          </w:tcPr>
          <w:p w14:paraId="69FE7EB8" w14:textId="77777777" w:rsidR="00B14B05" w:rsidRDefault="00B14B05">
            <w:pPr>
              <w:pStyle w:val="Style56"/>
              <w:spacing w:line="240" w:lineRule="auto"/>
              <w:ind w:left="180" w:hanging="180"/>
              <w:rPr>
                <w:rFonts w:ascii="Times New Roman" w:hAnsi="Times New Roman" w:cs="Times New Roman"/>
                <w:sz w:val="24"/>
                <w:szCs w:val="24"/>
              </w:rPr>
            </w:pPr>
            <w:r>
              <w:rPr>
                <w:rStyle w:val="CharStyle57"/>
                <w:rFonts w:ascii="Times New Roman" w:hAnsi="Times New Roman" w:cs="Times New Roman"/>
                <w:sz w:val="14"/>
                <w:szCs w:val="14"/>
                <w:lang w:eastAsia="en-US"/>
              </w:rPr>
              <w:t>S-adenosyl-L-methionine-dependent</w:t>
            </w:r>
            <w:r>
              <w:rPr>
                <w:rStyle w:val="CharStyle57"/>
                <w:rFonts w:ascii="Times New Roman" w:hAnsi="Times New Roman" w:cs="Times New Roman"/>
                <w:sz w:val="14"/>
                <w:szCs w:val="14"/>
                <w:lang w:eastAsia="en-US"/>
              </w:rPr>
              <w:t xml:space="preserve"> methyltransferase superfamily</w:t>
            </w:r>
          </w:p>
        </w:tc>
        <w:tc>
          <w:tcPr>
            <w:tcW w:w="341" w:type="dxa"/>
            <w:tcBorders>
              <w:top w:val="nil"/>
              <w:left w:val="nil"/>
              <w:bottom w:val="nil"/>
              <w:right w:val="nil"/>
            </w:tcBorders>
          </w:tcPr>
          <w:p w14:paraId="635038C0"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color w:val="0D54A6"/>
                <w:sz w:val="14"/>
                <w:szCs w:val="14"/>
                <w:lang w:eastAsia="en-US"/>
              </w:rPr>
              <w:t>42</w:t>
            </w:r>
          </w:p>
        </w:tc>
      </w:tr>
      <w:tr w:rsidR="00000000" w14:paraId="5D9E0DAE" w14:textId="77777777">
        <w:tblPrEx>
          <w:tblCellMar>
            <w:top w:w="0" w:type="dxa"/>
            <w:left w:w="0" w:type="dxa"/>
            <w:bottom w:w="0" w:type="dxa"/>
            <w:right w:w="0" w:type="dxa"/>
          </w:tblCellMar>
        </w:tblPrEx>
        <w:trPr>
          <w:trHeight w:hRule="exact" w:val="360"/>
          <w:jc w:val="center"/>
        </w:trPr>
        <w:tc>
          <w:tcPr>
            <w:tcW w:w="523" w:type="dxa"/>
            <w:tcBorders>
              <w:top w:val="nil"/>
              <w:left w:val="nil"/>
              <w:bottom w:val="nil"/>
              <w:right w:val="nil"/>
            </w:tcBorders>
          </w:tcPr>
          <w:p w14:paraId="25100C6C" w14:textId="77777777" w:rsidR="00B14B05" w:rsidRDefault="00B14B05">
            <w:pPr>
              <w:pStyle w:val="Style56"/>
              <w:spacing w:line="240" w:lineRule="auto"/>
              <w:ind w:firstLine="0"/>
              <w:jc w:val="both"/>
              <w:rPr>
                <w:rFonts w:ascii="Times New Roman" w:hAnsi="Times New Roman" w:cs="Times New Roman"/>
                <w:sz w:val="24"/>
                <w:szCs w:val="24"/>
              </w:rPr>
            </w:pPr>
            <w:r>
              <w:rPr>
                <w:rStyle w:val="CharStyle57"/>
                <w:rFonts w:ascii="Times New Roman" w:hAnsi="Times New Roman" w:cs="Times New Roman"/>
                <w:i/>
                <w:iCs/>
                <w:sz w:val="14"/>
                <w:szCs w:val="14"/>
                <w:lang w:eastAsia="en-US"/>
              </w:rPr>
              <w:t>dsyGD</w:t>
            </w:r>
          </w:p>
        </w:tc>
        <w:tc>
          <w:tcPr>
            <w:tcW w:w="1325" w:type="dxa"/>
            <w:tcBorders>
              <w:top w:val="nil"/>
              <w:left w:val="nil"/>
              <w:bottom w:val="nil"/>
              <w:right w:val="nil"/>
            </w:tcBorders>
            <w:vAlign w:val="bottom"/>
          </w:tcPr>
          <w:p w14:paraId="73B95170" w14:textId="77777777" w:rsidR="00B14B05" w:rsidRDefault="00B14B05">
            <w:pPr>
              <w:pStyle w:val="Style56"/>
              <w:spacing w:line="240" w:lineRule="auto"/>
              <w:ind w:left="220" w:hanging="220"/>
              <w:rPr>
                <w:rFonts w:ascii="Times New Roman" w:hAnsi="Times New Roman" w:cs="Times New Roman"/>
                <w:sz w:val="24"/>
                <w:szCs w:val="24"/>
              </w:rPr>
            </w:pPr>
            <w:r>
              <w:rPr>
                <w:rStyle w:val="CharStyle57"/>
                <w:rFonts w:ascii="Times New Roman" w:hAnsi="Times New Roman" w:cs="Times New Roman"/>
                <w:sz w:val="14"/>
                <w:szCs w:val="14"/>
                <w:lang w:eastAsia="en-US"/>
              </w:rPr>
              <w:t>DMSP biosynthesis</w:t>
            </w:r>
          </w:p>
        </w:tc>
        <w:tc>
          <w:tcPr>
            <w:tcW w:w="9029" w:type="dxa"/>
            <w:tcBorders>
              <w:top w:val="nil"/>
              <w:left w:val="nil"/>
              <w:bottom w:val="nil"/>
              <w:right w:val="nil"/>
            </w:tcBorders>
            <w:vAlign w:val="bottom"/>
          </w:tcPr>
          <w:p w14:paraId="27763D76" w14:textId="77777777" w:rsidR="00B14B05" w:rsidRDefault="00B14B05">
            <w:pPr>
              <w:pStyle w:val="Style56"/>
              <w:spacing w:line="240" w:lineRule="auto"/>
              <w:ind w:left="220" w:hanging="220"/>
              <w:rPr>
                <w:rFonts w:ascii="Times New Roman" w:hAnsi="Times New Roman" w:cs="Times New Roman"/>
                <w:sz w:val="24"/>
                <w:szCs w:val="24"/>
              </w:rPr>
            </w:pPr>
            <w:r>
              <w:rPr>
                <w:rStyle w:val="CharStyle57"/>
                <w:rFonts w:ascii="Times New Roman" w:hAnsi="Times New Roman" w:cs="Times New Roman"/>
                <w:sz w:val="14"/>
                <w:szCs w:val="14"/>
                <w:lang w:eastAsia="en-US"/>
              </w:rPr>
              <w:t>A bifunctional enzyme; the N-terminal domain (DsyG) has MTHB S-methyltransferase activity, and the C-terminal domain (DsyD) has DMSHB decarboxylase activity</w:t>
            </w:r>
          </w:p>
        </w:tc>
        <w:tc>
          <w:tcPr>
            <w:tcW w:w="2534" w:type="dxa"/>
            <w:tcBorders>
              <w:top w:val="nil"/>
              <w:left w:val="nil"/>
              <w:bottom w:val="nil"/>
              <w:right w:val="nil"/>
            </w:tcBorders>
            <w:vAlign w:val="bottom"/>
          </w:tcPr>
          <w:p w14:paraId="7E20906F" w14:textId="77777777" w:rsidR="00B14B05" w:rsidRDefault="00B14B05">
            <w:pPr>
              <w:pStyle w:val="Style56"/>
              <w:spacing w:line="240" w:lineRule="auto"/>
              <w:ind w:left="180" w:hanging="180"/>
              <w:rPr>
                <w:rFonts w:ascii="Times New Roman" w:hAnsi="Times New Roman" w:cs="Times New Roman"/>
                <w:sz w:val="24"/>
                <w:szCs w:val="24"/>
              </w:rPr>
            </w:pPr>
            <w:r>
              <w:rPr>
                <w:rStyle w:val="CharStyle57"/>
                <w:rFonts w:ascii="Times New Roman" w:hAnsi="Times New Roman" w:cs="Times New Roman"/>
                <w:sz w:val="14"/>
                <w:szCs w:val="14"/>
                <w:lang w:eastAsia="en-US"/>
              </w:rPr>
              <w:t>DsyG: DsyG family; DsyD: ureidoglycolate lyase family</w:t>
            </w:r>
          </w:p>
        </w:tc>
        <w:tc>
          <w:tcPr>
            <w:tcW w:w="341" w:type="dxa"/>
            <w:tcBorders>
              <w:top w:val="nil"/>
              <w:left w:val="nil"/>
              <w:bottom w:val="nil"/>
              <w:right w:val="nil"/>
            </w:tcBorders>
          </w:tcPr>
          <w:p w14:paraId="4251F7D9"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color w:val="0D54A6"/>
                <w:sz w:val="14"/>
                <w:szCs w:val="14"/>
                <w:lang w:eastAsia="en-US"/>
              </w:rPr>
              <w:t>4</w:t>
            </w:r>
          </w:p>
        </w:tc>
      </w:tr>
      <w:tr w:rsidR="00000000" w14:paraId="3E833154" w14:textId="77777777">
        <w:tblPrEx>
          <w:tblCellMar>
            <w:top w:w="0" w:type="dxa"/>
            <w:left w:w="0" w:type="dxa"/>
            <w:bottom w:w="0" w:type="dxa"/>
            <w:right w:w="0" w:type="dxa"/>
          </w:tblCellMar>
        </w:tblPrEx>
        <w:trPr>
          <w:trHeight w:hRule="exact" w:val="374"/>
          <w:jc w:val="center"/>
        </w:trPr>
        <w:tc>
          <w:tcPr>
            <w:tcW w:w="523" w:type="dxa"/>
            <w:tcBorders>
              <w:top w:val="nil"/>
              <w:left w:val="nil"/>
              <w:bottom w:val="nil"/>
              <w:right w:val="nil"/>
            </w:tcBorders>
          </w:tcPr>
          <w:p w14:paraId="137FC1DA" w14:textId="77777777" w:rsidR="00B14B05" w:rsidRDefault="00B14B05">
            <w:pPr>
              <w:pStyle w:val="Style56"/>
              <w:spacing w:line="240" w:lineRule="auto"/>
              <w:ind w:firstLine="0"/>
              <w:jc w:val="both"/>
              <w:rPr>
                <w:rFonts w:ascii="Times New Roman" w:hAnsi="Times New Roman" w:cs="Times New Roman"/>
                <w:sz w:val="24"/>
                <w:szCs w:val="24"/>
              </w:rPr>
            </w:pPr>
            <w:r>
              <w:rPr>
                <w:rStyle w:val="CharStyle57"/>
                <w:rFonts w:ascii="Times New Roman" w:hAnsi="Times New Roman" w:cs="Times New Roman"/>
                <w:i/>
                <w:iCs/>
                <w:sz w:val="14"/>
                <w:szCs w:val="14"/>
                <w:lang w:eastAsia="en-US"/>
              </w:rPr>
              <w:t>megL</w:t>
            </w:r>
          </w:p>
        </w:tc>
        <w:tc>
          <w:tcPr>
            <w:tcW w:w="1325" w:type="dxa"/>
            <w:tcBorders>
              <w:top w:val="nil"/>
              <w:left w:val="nil"/>
              <w:bottom w:val="nil"/>
              <w:right w:val="nil"/>
            </w:tcBorders>
            <w:vAlign w:val="bottom"/>
          </w:tcPr>
          <w:p w14:paraId="273C826B" w14:textId="77777777" w:rsidR="00B14B05" w:rsidRDefault="00B14B05">
            <w:pPr>
              <w:pStyle w:val="Style56"/>
              <w:spacing w:line="240" w:lineRule="auto"/>
              <w:ind w:left="220" w:hanging="220"/>
              <w:rPr>
                <w:rFonts w:ascii="Times New Roman" w:hAnsi="Times New Roman" w:cs="Times New Roman"/>
                <w:sz w:val="24"/>
                <w:szCs w:val="24"/>
              </w:rPr>
            </w:pPr>
            <w:r>
              <w:rPr>
                <w:rStyle w:val="CharStyle57"/>
                <w:rFonts w:ascii="Times New Roman" w:hAnsi="Times New Roman" w:cs="Times New Roman"/>
                <w:sz w:val="14"/>
                <w:szCs w:val="14"/>
                <w:lang w:eastAsia="en-US"/>
              </w:rPr>
              <w:t>MeSH biosynthesis</w:t>
            </w:r>
          </w:p>
        </w:tc>
        <w:tc>
          <w:tcPr>
            <w:tcW w:w="9029" w:type="dxa"/>
            <w:tcBorders>
              <w:top w:val="nil"/>
              <w:left w:val="nil"/>
              <w:bottom w:val="nil"/>
              <w:right w:val="nil"/>
            </w:tcBorders>
          </w:tcPr>
          <w:p w14:paraId="5763FB84"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sz w:val="14"/>
                <w:szCs w:val="14"/>
                <w:lang w:eastAsia="en-US"/>
              </w:rPr>
              <w:t>Catalyzes the S-methylation of MeSH and H</w:t>
            </w:r>
            <w:r>
              <w:rPr>
                <w:rStyle w:val="CharStyle57"/>
                <w:rFonts w:ascii="Times New Roman" w:hAnsi="Times New Roman" w:cs="Times New Roman"/>
                <w:sz w:val="14"/>
                <w:szCs w:val="14"/>
                <w:vertAlign w:val="subscript"/>
                <w:lang w:eastAsia="en-US"/>
              </w:rPr>
              <w:t>2</w:t>
            </w:r>
            <w:r>
              <w:rPr>
                <w:rStyle w:val="CharStyle57"/>
                <w:rFonts w:ascii="Times New Roman" w:hAnsi="Times New Roman" w:cs="Times New Roman"/>
                <w:sz w:val="14"/>
                <w:szCs w:val="14"/>
                <w:lang w:eastAsia="en-US"/>
              </w:rPr>
              <w:t>S to produce DMS</w:t>
            </w:r>
          </w:p>
        </w:tc>
        <w:tc>
          <w:tcPr>
            <w:tcW w:w="2534" w:type="dxa"/>
            <w:tcBorders>
              <w:top w:val="nil"/>
              <w:left w:val="nil"/>
              <w:bottom w:val="nil"/>
              <w:right w:val="nil"/>
            </w:tcBorders>
          </w:tcPr>
          <w:p w14:paraId="31B4DD15"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sz w:val="14"/>
                <w:szCs w:val="14"/>
                <w:lang w:eastAsia="en-US"/>
              </w:rPr>
              <w:t>Trans-sulfuration enzymes family</w:t>
            </w:r>
          </w:p>
        </w:tc>
        <w:tc>
          <w:tcPr>
            <w:tcW w:w="341" w:type="dxa"/>
            <w:tcBorders>
              <w:top w:val="nil"/>
              <w:left w:val="nil"/>
              <w:bottom w:val="nil"/>
              <w:right w:val="nil"/>
            </w:tcBorders>
          </w:tcPr>
          <w:p w14:paraId="02923836"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color w:val="0D54A6"/>
                <w:sz w:val="14"/>
                <w:szCs w:val="14"/>
                <w:lang w:eastAsia="en-US"/>
              </w:rPr>
              <w:t>29</w:t>
            </w:r>
          </w:p>
        </w:tc>
      </w:tr>
      <w:tr w:rsidR="00000000" w14:paraId="7AE5D937" w14:textId="77777777">
        <w:tblPrEx>
          <w:tblCellMar>
            <w:top w:w="0" w:type="dxa"/>
            <w:left w:w="0" w:type="dxa"/>
            <w:bottom w:w="0" w:type="dxa"/>
            <w:right w:w="0" w:type="dxa"/>
          </w:tblCellMar>
        </w:tblPrEx>
        <w:trPr>
          <w:trHeight w:hRule="exact" w:val="389"/>
          <w:jc w:val="center"/>
        </w:trPr>
        <w:tc>
          <w:tcPr>
            <w:tcW w:w="523" w:type="dxa"/>
            <w:tcBorders>
              <w:top w:val="nil"/>
              <w:left w:val="nil"/>
              <w:bottom w:val="nil"/>
              <w:right w:val="nil"/>
            </w:tcBorders>
          </w:tcPr>
          <w:p w14:paraId="4A0848D2" w14:textId="77777777" w:rsidR="00B14B05" w:rsidRDefault="00B14B05">
            <w:pPr>
              <w:pStyle w:val="Style56"/>
              <w:spacing w:line="240" w:lineRule="auto"/>
              <w:ind w:firstLine="0"/>
              <w:jc w:val="both"/>
              <w:rPr>
                <w:rFonts w:ascii="Times New Roman" w:hAnsi="Times New Roman" w:cs="Times New Roman"/>
                <w:sz w:val="24"/>
                <w:szCs w:val="24"/>
              </w:rPr>
            </w:pPr>
            <w:r>
              <w:rPr>
                <w:rStyle w:val="CharStyle57"/>
                <w:rFonts w:ascii="Times New Roman" w:hAnsi="Times New Roman" w:cs="Times New Roman"/>
                <w:b/>
                <w:bCs/>
                <w:i/>
                <w:iCs/>
                <w:sz w:val="14"/>
                <w:szCs w:val="14"/>
                <w:lang w:eastAsia="en-US"/>
              </w:rPr>
              <w:t>dddD</w:t>
            </w:r>
          </w:p>
        </w:tc>
        <w:tc>
          <w:tcPr>
            <w:tcW w:w="1325" w:type="dxa"/>
            <w:tcBorders>
              <w:top w:val="nil"/>
              <w:left w:val="nil"/>
              <w:bottom w:val="nil"/>
              <w:right w:val="nil"/>
            </w:tcBorders>
            <w:vAlign w:val="bottom"/>
          </w:tcPr>
          <w:p w14:paraId="3ADE80F2" w14:textId="77777777" w:rsidR="00B14B05" w:rsidRDefault="00B14B05">
            <w:pPr>
              <w:pStyle w:val="Style56"/>
              <w:spacing w:line="240" w:lineRule="auto"/>
              <w:ind w:left="220" w:hanging="220"/>
              <w:rPr>
                <w:rFonts w:ascii="Times New Roman" w:hAnsi="Times New Roman" w:cs="Times New Roman"/>
                <w:sz w:val="24"/>
                <w:szCs w:val="24"/>
              </w:rPr>
            </w:pPr>
            <w:r>
              <w:rPr>
                <w:rStyle w:val="CharStyle57"/>
                <w:rFonts w:ascii="Times New Roman" w:hAnsi="Times New Roman" w:cs="Times New Roman"/>
                <w:sz w:val="14"/>
                <w:szCs w:val="14"/>
                <w:lang w:eastAsia="en-US"/>
              </w:rPr>
              <w:t>DMSP/DMSOP cleavage</w:t>
            </w:r>
          </w:p>
        </w:tc>
        <w:tc>
          <w:tcPr>
            <w:tcW w:w="9029" w:type="dxa"/>
            <w:tcBorders>
              <w:top w:val="nil"/>
              <w:left w:val="nil"/>
              <w:bottom w:val="nil"/>
              <w:right w:val="nil"/>
            </w:tcBorders>
          </w:tcPr>
          <w:p w14:paraId="0505A9E5"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sz w:val="14"/>
                <w:szCs w:val="14"/>
                <w:lang w:eastAsia="en-US"/>
              </w:rPr>
              <w:t>Catalyzes the cleavage of DMSP</w:t>
            </w:r>
            <w:r>
              <w:rPr>
                <w:rStyle w:val="CharStyle57"/>
                <w:rFonts w:ascii="Times New Roman" w:hAnsi="Times New Roman" w:cs="Times New Roman"/>
                <w:sz w:val="14"/>
                <w:szCs w:val="14"/>
                <w:lang w:eastAsia="en-US"/>
              </w:rPr>
              <w:t xml:space="preserve"> or DMSOP to produce DMS or DMSO and 3-hydroxypropio</w:t>
            </w:r>
            <w:r>
              <w:rPr>
                <w:rStyle w:val="CharStyle57"/>
                <w:rFonts w:ascii="Times New Roman" w:hAnsi="Times New Roman" w:cs="Times New Roman"/>
                <w:sz w:val="14"/>
                <w:szCs w:val="14"/>
                <w:lang w:val="it-IT" w:eastAsia="it-IT"/>
              </w:rPr>
              <w:t>nate</w:t>
            </w:r>
          </w:p>
        </w:tc>
        <w:tc>
          <w:tcPr>
            <w:tcW w:w="2534" w:type="dxa"/>
            <w:tcBorders>
              <w:top w:val="nil"/>
              <w:left w:val="nil"/>
              <w:bottom w:val="nil"/>
              <w:right w:val="nil"/>
            </w:tcBorders>
          </w:tcPr>
          <w:p w14:paraId="455371D6"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sz w:val="14"/>
                <w:szCs w:val="14"/>
                <w:lang w:eastAsia="en-US"/>
              </w:rPr>
              <w:t>CoA-transferase III family</w:t>
            </w:r>
          </w:p>
        </w:tc>
        <w:tc>
          <w:tcPr>
            <w:tcW w:w="341" w:type="dxa"/>
            <w:tcBorders>
              <w:top w:val="nil"/>
              <w:left w:val="nil"/>
              <w:bottom w:val="nil"/>
              <w:right w:val="nil"/>
            </w:tcBorders>
          </w:tcPr>
          <w:p w14:paraId="2D42E8B3"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color w:val="0D54A6"/>
                <w:sz w:val="14"/>
                <w:szCs w:val="14"/>
                <w:lang w:eastAsia="en-US"/>
              </w:rPr>
              <w:t>14</w:t>
            </w:r>
          </w:p>
        </w:tc>
      </w:tr>
      <w:tr w:rsidR="00000000" w14:paraId="404A304D" w14:textId="77777777">
        <w:tblPrEx>
          <w:tblCellMar>
            <w:top w:w="0" w:type="dxa"/>
            <w:left w:w="0" w:type="dxa"/>
            <w:bottom w:w="0" w:type="dxa"/>
            <w:right w:w="0" w:type="dxa"/>
          </w:tblCellMar>
        </w:tblPrEx>
        <w:trPr>
          <w:trHeight w:hRule="exact" w:val="389"/>
          <w:jc w:val="center"/>
        </w:trPr>
        <w:tc>
          <w:tcPr>
            <w:tcW w:w="523" w:type="dxa"/>
            <w:tcBorders>
              <w:top w:val="nil"/>
              <w:left w:val="nil"/>
              <w:bottom w:val="nil"/>
              <w:right w:val="nil"/>
            </w:tcBorders>
          </w:tcPr>
          <w:p w14:paraId="5ECB0A0A" w14:textId="77777777" w:rsidR="00B14B05" w:rsidRDefault="00B14B05">
            <w:pPr>
              <w:pStyle w:val="Style56"/>
              <w:spacing w:line="240" w:lineRule="auto"/>
              <w:ind w:firstLine="0"/>
              <w:jc w:val="both"/>
              <w:rPr>
                <w:rFonts w:ascii="Times New Roman" w:hAnsi="Times New Roman" w:cs="Times New Roman"/>
                <w:sz w:val="24"/>
                <w:szCs w:val="24"/>
              </w:rPr>
            </w:pPr>
            <w:r>
              <w:rPr>
                <w:rStyle w:val="CharStyle57"/>
                <w:rFonts w:ascii="Times New Roman" w:hAnsi="Times New Roman" w:cs="Times New Roman"/>
                <w:b/>
                <w:bCs/>
                <w:i/>
                <w:iCs/>
                <w:sz w:val="14"/>
                <w:szCs w:val="14"/>
                <w:lang w:eastAsia="en-US"/>
              </w:rPr>
              <w:t>dddL</w:t>
            </w:r>
          </w:p>
        </w:tc>
        <w:tc>
          <w:tcPr>
            <w:tcW w:w="1325" w:type="dxa"/>
            <w:tcBorders>
              <w:top w:val="nil"/>
              <w:left w:val="nil"/>
              <w:bottom w:val="nil"/>
              <w:right w:val="nil"/>
            </w:tcBorders>
            <w:vAlign w:val="bottom"/>
          </w:tcPr>
          <w:p w14:paraId="2E4D139A" w14:textId="77777777" w:rsidR="00B14B05" w:rsidRDefault="00B14B05">
            <w:pPr>
              <w:pStyle w:val="Style56"/>
              <w:spacing w:line="240" w:lineRule="auto"/>
              <w:ind w:left="220" w:hanging="220"/>
              <w:rPr>
                <w:rFonts w:ascii="Times New Roman" w:hAnsi="Times New Roman" w:cs="Times New Roman"/>
                <w:sz w:val="24"/>
                <w:szCs w:val="24"/>
              </w:rPr>
            </w:pPr>
            <w:r>
              <w:rPr>
                <w:rStyle w:val="CharStyle57"/>
                <w:rFonts w:ascii="Times New Roman" w:hAnsi="Times New Roman" w:cs="Times New Roman"/>
                <w:sz w:val="14"/>
                <w:szCs w:val="14"/>
                <w:lang w:eastAsia="en-US"/>
              </w:rPr>
              <w:t>DMSP/DMSOP cleavage</w:t>
            </w:r>
          </w:p>
        </w:tc>
        <w:tc>
          <w:tcPr>
            <w:tcW w:w="9029" w:type="dxa"/>
            <w:tcBorders>
              <w:top w:val="nil"/>
              <w:left w:val="nil"/>
              <w:bottom w:val="nil"/>
              <w:right w:val="nil"/>
            </w:tcBorders>
          </w:tcPr>
          <w:p w14:paraId="5DF5B8FC"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sz w:val="14"/>
                <w:szCs w:val="14"/>
                <w:lang w:eastAsia="en-US"/>
              </w:rPr>
              <w:t>Catalyzes the cleavage of DMSP or DMSOP to produce DMS or DMSO and acrylate</w:t>
            </w:r>
          </w:p>
        </w:tc>
        <w:tc>
          <w:tcPr>
            <w:tcW w:w="2534" w:type="dxa"/>
            <w:tcBorders>
              <w:top w:val="nil"/>
              <w:left w:val="nil"/>
              <w:bottom w:val="nil"/>
              <w:right w:val="nil"/>
            </w:tcBorders>
          </w:tcPr>
          <w:p w14:paraId="36C684AC"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sz w:val="14"/>
                <w:szCs w:val="14"/>
                <w:lang w:eastAsia="en-US"/>
              </w:rPr>
              <w:t>Cupin superfamily</w:t>
            </w:r>
          </w:p>
        </w:tc>
        <w:tc>
          <w:tcPr>
            <w:tcW w:w="341" w:type="dxa"/>
            <w:tcBorders>
              <w:top w:val="nil"/>
              <w:left w:val="nil"/>
              <w:bottom w:val="nil"/>
              <w:right w:val="nil"/>
            </w:tcBorders>
          </w:tcPr>
          <w:p w14:paraId="78DC8E40"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color w:val="0D54A6"/>
                <w:sz w:val="14"/>
                <w:szCs w:val="14"/>
                <w:lang w:eastAsia="en-US"/>
              </w:rPr>
              <w:t>15</w:t>
            </w:r>
          </w:p>
        </w:tc>
      </w:tr>
      <w:tr w:rsidR="00000000" w14:paraId="52BE8159" w14:textId="77777777">
        <w:tblPrEx>
          <w:tblCellMar>
            <w:top w:w="0" w:type="dxa"/>
            <w:left w:w="0" w:type="dxa"/>
            <w:bottom w:w="0" w:type="dxa"/>
            <w:right w:w="0" w:type="dxa"/>
          </w:tblCellMar>
        </w:tblPrEx>
        <w:trPr>
          <w:trHeight w:hRule="exact" w:val="374"/>
          <w:jc w:val="center"/>
        </w:trPr>
        <w:tc>
          <w:tcPr>
            <w:tcW w:w="523" w:type="dxa"/>
            <w:tcBorders>
              <w:top w:val="nil"/>
              <w:left w:val="nil"/>
              <w:bottom w:val="nil"/>
              <w:right w:val="nil"/>
            </w:tcBorders>
          </w:tcPr>
          <w:p w14:paraId="792BC7F8" w14:textId="77777777" w:rsidR="00B14B05" w:rsidRDefault="00B14B05">
            <w:pPr>
              <w:pStyle w:val="Style56"/>
              <w:spacing w:line="240" w:lineRule="auto"/>
              <w:ind w:firstLine="0"/>
              <w:jc w:val="both"/>
              <w:rPr>
                <w:rFonts w:ascii="Times New Roman" w:hAnsi="Times New Roman" w:cs="Times New Roman"/>
                <w:sz w:val="24"/>
                <w:szCs w:val="24"/>
              </w:rPr>
            </w:pPr>
            <w:r>
              <w:rPr>
                <w:rStyle w:val="CharStyle57"/>
                <w:rFonts w:ascii="Times New Roman" w:hAnsi="Times New Roman" w:cs="Times New Roman"/>
                <w:b/>
                <w:bCs/>
                <w:i/>
                <w:iCs/>
                <w:sz w:val="14"/>
                <w:szCs w:val="14"/>
                <w:lang w:eastAsia="en-US"/>
              </w:rPr>
              <w:t>dddP</w:t>
            </w:r>
          </w:p>
        </w:tc>
        <w:tc>
          <w:tcPr>
            <w:tcW w:w="1325" w:type="dxa"/>
            <w:tcBorders>
              <w:top w:val="nil"/>
              <w:left w:val="nil"/>
              <w:bottom w:val="nil"/>
              <w:right w:val="nil"/>
            </w:tcBorders>
            <w:vAlign w:val="bottom"/>
          </w:tcPr>
          <w:p w14:paraId="1FA378AC" w14:textId="77777777" w:rsidR="00B14B05" w:rsidRDefault="00B14B05">
            <w:pPr>
              <w:pStyle w:val="Style56"/>
              <w:spacing w:line="240" w:lineRule="auto"/>
              <w:ind w:left="220" w:hanging="220"/>
              <w:rPr>
                <w:rFonts w:ascii="Times New Roman" w:hAnsi="Times New Roman" w:cs="Times New Roman"/>
                <w:sz w:val="24"/>
                <w:szCs w:val="24"/>
              </w:rPr>
            </w:pPr>
            <w:r>
              <w:rPr>
                <w:rStyle w:val="CharStyle57"/>
                <w:rFonts w:ascii="Times New Roman" w:hAnsi="Times New Roman" w:cs="Times New Roman"/>
                <w:sz w:val="14"/>
                <w:szCs w:val="14"/>
                <w:lang w:eastAsia="en-US"/>
              </w:rPr>
              <w:t>DMSP/DMSOP cleavage</w:t>
            </w:r>
          </w:p>
        </w:tc>
        <w:tc>
          <w:tcPr>
            <w:tcW w:w="9029" w:type="dxa"/>
            <w:tcBorders>
              <w:top w:val="nil"/>
              <w:left w:val="nil"/>
              <w:bottom w:val="nil"/>
              <w:right w:val="nil"/>
            </w:tcBorders>
          </w:tcPr>
          <w:p w14:paraId="5D591076"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sz w:val="14"/>
                <w:szCs w:val="14"/>
                <w:lang w:eastAsia="en-US"/>
              </w:rPr>
              <w:t>Catalyzes the cleavage of DMSP or DMSOP to produce DMS or DMSO and acrylate</w:t>
            </w:r>
          </w:p>
        </w:tc>
        <w:tc>
          <w:tcPr>
            <w:tcW w:w="2534" w:type="dxa"/>
            <w:tcBorders>
              <w:top w:val="nil"/>
              <w:left w:val="nil"/>
              <w:bottom w:val="nil"/>
              <w:right w:val="nil"/>
            </w:tcBorders>
          </w:tcPr>
          <w:p w14:paraId="3CD95EA0"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sz w:val="14"/>
                <w:szCs w:val="14"/>
                <w:lang w:eastAsia="en-US"/>
              </w:rPr>
              <w:t>M24B peptidase superfamily</w:t>
            </w:r>
          </w:p>
        </w:tc>
        <w:tc>
          <w:tcPr>
            <w:tcW w:w="341" w:type="dxa"/>
            <w:tcBorders>
              <w:top w:val="nil"/>
              <w:left w:val="nil"/>
              <w:bottom w:val="nil"/>
              <w:right w:val="nil"/>
            </w:tcBorders>
          </w:tcPr>
          <w:p w14:paraId="7A0FFF35"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color w:val="0D54A6"/>
                <w:sz w:val="14"/>
                <w:szCs w:val="14"/>
                <w:lang w:eastAsia="en-US"/>
              </w:rPr>
              <w:t>16</w:t>
            </w:r>
          </w:p>
        </w:tc>
      </w:tr>
      <w:tr w:rsidR="00000000" w14:paraId="62C4D0B1" w14:textId="77777777">
        <w:tblPrEx>
          <w:tblCellMar>
            <w:top w:w="0" w:type="dxa"/>
            <w:left w:w="0" w:type="dxa"/>
            <w:bottom w:w="0" w:type="dxa"/>
            <w:right w:w="0" w:type="dxa"/>
          </w:tblCellMar>
        </w:tblPrEx>
        <w:trPr>
          <w:trHeight w:hRule="exact" w:val="374"/>
          <w:jc w:val="center"/>
        </w:trPr>
        <w:tc>
          <w:tcPr>
            <w:tcW w:w="523" w:type="dxa"/>
            <w:tcBorders>
              <w:top w:val="nil"/>
              <w:left w:val="nil"/>
              <w:bottom w:val="nil"/>
              <w:right w:val="nil"/>
            </w:tcBorders>
          </w:tcPr>
          <w:p w14:paraId="71751F27" w14:textId="77777777" w:rsidR="00B14B05" w:rsidRDefault="00B14B05">
            <w:pPr>
              <w:pStyle w:val="Style56"/>
              <w:spacing w:line="240" w:lineRule="auto"/>
              <w:ind w:firstLine="0"/>
              <w:jc w:val="both"/>
              <w:rPr>
                <w:rFonts w:ascii="Times New Roman" w:hAnsi="Times New Roman" w:cs="Times New Roman"/>
                <w:sz w:val="24"/>
                <w:szCs w:val="24"/>
              </w:rPr>
            </w:pPr>
            <w:r>
              <w:rPr>
                <w:rStyle w:val="CharStyle57"/>
                <w:rFonts w:ascii="Times New Roman" w:hAnsi="Times New Roman" w:cs="Times New Roman"/>
                <w:i/>
                <w:iCs/>
                <w:sz w:val="14"/>
                <w:szCs w:val="14"/>
                <w:lang w:eastAsia="en-US"/>
              </w:rPr>
              <w:t>dddQ</w:t>
            </w:r>
          </w:p>
        </w:tc>
        <w:tc>
          <w:tcPr>
            <w:tcW w:w="1325" w:type="dxa"/>
            <w:tcBorders>
              <w:top w:val="nil"/>
              <w:left w:val="nil"/>
              <w:bottom w:val="nil"/>
              <w:right w:val="nil"/>
            </w:tcBorders>
            <w:vAlign w:val="bottom"/>
          </w:tcPr>
          <w:p w14:paraId="3539039E" w14:textId="77777777" w:rsidR="00B14B05" w:rsidRDefault="00B14B05">
            <w:pPr>
              <w:pStyle w:val="Style56"/>
              <w:spacing w:line="240" w:lineRule="auto"/>
              <w:ind w:left="220" w:hanging="220"/>
              <w:rPr>
                <w:rFonts w:ascii="Times New Roman" w:hAnsi="Times New Roman" w:cs="Times New Roman"/>
                <w:sz w:val="24"/>
                <w:szCs w:val="24"/>
              </w:rPr>
            </w:pPr>
            <w:r>
              <w:rPr>
                <w:rStyle w:val="CharStyle57"/>
                <w:rFonts w:ascii="Times New Roman" w:hAnsi="Times New Roman" w:cs="Times New Roman"/>
                <w:sz w:val="14"/>
                <w:szCs w:val="14"/>
                <w:lang w:eastAsia="en-US"/>
              </w:rPr>
              <w:t>DMSP/DMSOP cleavage</w:t>
            </w:r>
          </w:p>
        </w:tc>
        <w:tc>
          <w:tcPr>
            <w:tcW w:w="9029" w:type="dxa"/>
            <w:tcBorders>
              <w:top w:val="nil"/>
              <w:left w:val="nil"/>
              <w:bottom w:val="nil"/>
              <w:right w:val="nil"/>
            </w:tcBorders>
          </w:tcPr>
          <w:p w14:paraId="674CA654"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sz w:val="14"/>
                <w:szCs w:val="14"/>
                <w:lang w:eastAsia="en-US"/>
              </w:rPr>
              <w:t>Catalyzes the cleavage of DMSP or DMSOP to produce DMS or DMSO and acrylate</w:t>
            </w:r>
          </w:p>
        </w:tc>
        <w:tc>
          <w:tcPr>
            <w:tcW w:w="2534" w:type="dxa"/>
            <w:tcBorders>
              <w:top w:val="nil"/>
              <w:left w:val="nil"/>
              <w:bottom w:val="nil"/>
              <w:right w:val="nil"/>
            </w:tcBorders>
          </w:tcPr>
          <w:p w14:paraId="0295CDDE"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sz w:val="14"/>
                <w:szCs w:val="14"/>
                <w:lang w:eastAsia="en-US"/>
              </w:rPr>
              <w:t>Cupin superfamily</w:t>
            </w:r>
          </w:p>
        </w:tc>
        <w:tc>
          <w:tcPr>
            <w:tcW w:w="341" w:type="dxa"/>
            <w:tcBorders>
              <w:top w:val="nil"/>
              <w:left w:val="nil"/>
              <w:bottom w:val="nil"/>
              <w:right w:val="nil"/>
            </w:tcBorders>
          </w:tcPr>
          <w:p w14:paraId="48077FF6"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color w:val="0D54A6"/>
                <w:sz w:val="14"/>
                <w:szCs w:val="14"/>
                <w:lang w:eastAsia="en-US"/>
              </w:rPr>
              <w:t>18</w:t>
            </w:r>
          </w:p>
        </w:tc>
      </w:tr>
      <w:tr w:rsidR="00000000" w14:paraId="1F3A3008" w14:textId="77777777">
        <w:tblPrEx>
          <w:tblCellMar>
            <w:top w:w="0" w:type="dxa"/>
            <w:left w:w="0" w:type="dxa"/>
            <w:bottom w:w="0" w:type="dxa"/>
            <w:right w:w="0" w:type="dxa"/>
          </w:tblCellMar>
        </w:tblPrEx>
        <w:trPr>
          <w:trHeight w:hRule="exact" w:val="374"/>
          <w:jc w:val="center"/>
        </w:trPr>
        <w:tc>
          <w:tcPr>
            <w:tcW w:w="523" w:type="dxa"/>
            <w:tcBorders>
              <w:top w:val="nil"/>
              <w:left w:val="nil"/>
              <w:bottom w:val="nil"/>
              <w:right w:val="nil"/>
            </w:tcBorders>
          </w:tcPr>
          <w:p w14:paraId="3386FC5B" w14:textId="77777777" w:rsidR="00B14B05" w:rsidRDefault="00B14B05">
            <w:pPr>
              <w:pStyle w:val="Style56"/>
              <w:spacing w:line="240" w:lineRule="auto"/>
              <w:ind w:firstLine="0"/>
              <w:jc w:val="both"/>
              <w:rPr>
                <w:rFonts w:ascii="Times New Roman" w:hAnsi="Times New Roman" w:cs="Times New Roman"/>
                <w:sz w:val="24"/>
                <w:szCs w:val="24"/>
              </w:rPr>
            </w:pPr>
            <w:r>
              <w:rPr>
                <w:rStyle w:val="CharStyle57"/>
                <w:rFonts w:ascii="Times New Roman" w:hAnsi="Times New Roman" w:cs="Times New Roman"/>
                <w:b/>
                <w:bCs/>
                <w:i/>
                <w:iCs/>
                <w:sz w:val="14"/>
                <w:szCs w:val="14"/>
                <w:lang w:eastAsia="en-US"/>
              </w:rPr>
              <w:t>dddW</w:t>
            </w:r>
          </w:p>
        </w:tc>
        <w:tc>
          <w:tcPr>
            <w:tcW w:w="1325" w:type="dxa"/>
            <w:tcBorders>
              <w:top w:val="nil"/>
              <w:left w:val="nil"/>
              <w:bottom w:val="nil"/>
              <w:right w:val="nil"/>
            </w:tcBorders>
            <w:vAlign w:val="bottom"/>
          </w:tcPr>
          <w:p w14:paraId="5C8BF1AB" w14:textId="77777777" w:rsidR="00B14B05" w:rsidRDefault="00B14B05">
            <w:pPr>
              <w:pStyle w:val="Style56"/>
              <w:spacing w:line="240" w:lineRule="auto"/>
              <w:ind w:left="220" w:hanging="220"/>
              <w:rPr>
                <w:rFonts w:ascii="Times New Roman" w:hAnsi="Times New Roman" w:cs="Times New Roman"/>
                <w:sz w:val="24"/>
                <w:szCs w:val="24"/>
              </w:rPr>
            </w:pPr>
            <w:r>
              <w:rPr>
                <w:rStyle w:val="CharStyle57"/>
                <w:rFonts w:ascii="Times New Roman" w:hAnsi="Times New Roman" w:cs="Times New Roman"/>
                <w:sz w:val="14"/>
                <w:szCs w:val="14"/>
                <w:lang w:eastAsia="en-US"/>
              </w:rPr>
              <w:t>DMSP/DMSOP cleavage</w:t>
            </w:r>
          </w:p>
        </w:tc>
        <w:tc>
          <w:tcPr>
            <w:tcW w:w="9029" w:type="dxa"/>
            <w:tcBorders>
              <w:top w:val="nil"/>
              <w:left w:val="nil"/>
              <w:bottom w:val="nil"/>
              <w:right w:val="nil"/>
            </w:tcBorders>
          </w:tcPr>
          <w:p w14:paraId="7FC31950"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sz w:val="14"/>
                <w:szCs w:val="14"/>
                <w:lang w:eastAsia="en-US"/>
              </w:rPr>
              <w:t>Catalyzes the cleavage of DMSP or DMSOP to produce DMS or DMSO and acrylate</w:t>
            </w:r>
          </w:p>
        </w:tc>
        <w:tc>
          <w:tcPr>
            <w:tcW w:w="2534" w:type="dxa"/>
            <w:tcBorders>
              <w:top w:val="nil"/>
              <w:left w:val="nil"/>
              <w:bottom w:val="nil"/>
              <w:right w:val="nil"/>
            </w:tcBorders>
          </w:tcPr>
          <w:p w14:paraId="7AAF1D5A"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sz w:val="14"/>
                <w:szCs w:val="14"/>
                <w:lang w:eastAsia="en-US"/>
              </w:rPr>
              <w:t>Cupin superfamily</w:t>
            </w:r>
          </w:p>
        </w:tc>
        <w:tc>
          <w:tcPr>
            <w:tcW w:w="341" w:type="dxa"/>
            <w:tcBorders>
              <w:top w:val="nil"/>
              <w:left w:val="nil"/>
              <w:bottom w:val="nil"/>
              <w:right w:val="nil"/>
            </w:tcBorders>
          </w:tcPr>
          <w:p w14:paraId="2B05F950"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color w:val="0D54A6"/>
                <w:sz w:val="14"/>
                <w:szCs w:val="14"/>
                <w:lang w:eastAsia="en-US"/>
              </w:rPr>
              <w:t>19</w:t>
            </w:r>
          </w:p>
        </w:tc>
      </w:tr>
      <w:tr w:rsidR="00000000" w14:paraId="3F0BE859" w14:textId="77777777">
        <w:tblPrEx>
          <w:tblCellMar>
            <w:top w:w="0" w:type="dxa"/>
            <w:left w:w="0" w:type="dxa"/>
            <w:bottom w:w="0" w:type="dxa"/>
            <w:right w:w="0" w:type="dxa"/>
          </w:tblCellMar>
        </w:tblPrEx>
        <w:trPr>
          <w:trHeight w:hRule="exact" w:val="374"/>
          <w:jc w:val="center"/>
        </w:trPr>
        <w:tc>
          <w:tcPr>
            <w:tcW w:w="523" w:type="dxa"/>
            <w:tcBorders>
              <w:top w:val="nil"/>
              <w:left w:val="nil"/>
              <w:bottom w:val="nil"/>
              <w:right w:val="nil"/>
            </w:tcBorders>
          </w:tcPr>
          <w:p w14:paraId="16515EB4" w14:textId="77777777" w:rsidR="00B14B05" w:rsidRDefault="00B14B05">
            <w:pPr>
              <w:pStyle w:val="Style56"/>
              <w:spacing w:line="240" w:lineRule="auto"/>
              <w:ind w:firstLine="0"/>
              <w:jc w:val="both"/>
              <w:rPr>
                <w:rFonts w:ascii="Times New Roman" w:hAnsi="Times New Roman" w:cs="Times New Roman"/>
                <w:sz w:val="24"/>
                <w:szCs w:val="24"/>
              </w:rPr>
            </w:pPr>
            <w:r>
              <w:rPr>
                <w:rStyle w:val="CharStyle57"/>
                <w:rFonts w:ascii="Times New Roman" w:hAnsi="Times New Roman" w:cs="Times New Roman"/>
                <w:b/>
                <w:bCs/>
                <w:i/>
                <w:iCs/>
                <w:sz w:val="14"/>
                <w:szCs w:val="14"/>
                <w:lang w:eastAsia="en-US"/>
              </w:rPr>
              <w:t>dddY</w:t>
            </w:r>
          </w:p>
        </w:tc>
        <w:tc>
          <w:tcPr>
            <w:tcW w:w="1325" w:type="dxa"/>
            <w:tcBorders>
              <w:top w:val="nil"/>
              <w:left w:val="nil"/>
              <w:bottom w:val="nil"/>
              <w:right w:val="nil"/>
            </w:tcBorders>
            <w:vAlign w:val="bottom"/>
          </w:tcPr>
          <w:p w14:paraId="4AAAD0EB" w14:textId="77777777" w:rsidR="00B14B05" w:rsidRDefault="00B14B05">
            <w:pPr>
              <w:pStyle w:val="Style56"/>
              <w:spacing w:line="240" w:lineRule="auto"/>
              <w:ind w:left="220" w:hanging="220"/>
              <w:rPr>
                <w:rFonts w:ascii="Times New Roman" w:hAnsi="Times New Roman" w:cs="Times New Roman"/>
                <w:sz w:val="24"/>
                <w:szCs w:val="24"/>
              </w:rPr>
            </w:pPr>
            <w:r>
              <w:rPr>
                <w:rStyle w:val="CharStyle57"/>
                <w:rFonts w:ascii="Times New Roman" w:hAnsi="Times New Roman" w:cs="Times New Roman"/>
                <w:sz w:val="14"/>
                <w:szCs w:val="14"/>
                <w:lang w:eastAsia="en-US"/>
              </w:rPr>
              <w:t>DMSP/DMSOP cleavage</w:t>
            </w:r>
          </w:p>
        </w:tc>
        <w:tc>
          <w:tcPr>
            <w:tcW w:w="9029" w:type="dxa"/>
            <w:tcBorders>
              <w:top w:val="nil"/>
              <w:left w:val="nil"/>
              <w:bottom w:val="nil"/>
              <w:right w:val="nil"/>
            </w:tcBorders>
          </w:tcPr>
          <w:p w14:paraId="161DA3B0"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sz w:val="14"/>
                <w:szCs w:val="14"/>
                <w:lang w:eastAsia="en-US"/>
              </w:rPr>
              <w:t>Catalyzes the cleavage of DMSP</w:t>
            </w:r>
            <w:r>
              <w:rPr>
                <w:rStyle w:val="CharStyle57"/>
                <w:rFonts w:ascii="Times New Roman" w:hAnsi="Times New Roman" w:cs="Times New Roman"/>
                <w:sz w:val="14"/>
                <w:szCs w:val="14"/>
                <w:lang w:eastAsia="en-US"/>
              </w:rPr>
              <w:t xml:space="preserve"> or DMSOP to produce DMS or DMSO and acrylate</w:t>
            </w:r>
          </w:p>
        </w:tc>
        <w:tc>
          <w:tcPr>
            <w:tcW w:w="2534" w:type="dxa"/>
            <w:tcBorders>
              <w:top w:val="nil"/>
              <w:left w:val="nil"/>
              <w:bottom w:val="nil"/>
              <w:right w:val="nil"/>
            </w:tcBorders>
          </w:tcPr>
          <w:p w14:paraId="0A1D4206"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sz w:val="14"/>
                <w:szCs w:val="14"/>
                <w:lang w:eastAsia="en-US"/>
              </w:rPr>
              <w:t>Cupin superfamily</w:t>
            </w:r>
          </w:p>
        </w:tc>
        <w:tc>
          <w:tcPr>
            <w:tcW w:w="341" w:type="dxa"/>
            <w:tcBorders>
              <w:top w:val="nil"/>
              <w:left w:val="nil"/>
              <w:bottom w:val="nil"/>
              <w:right w:val="nil"/>
            </w:tcBorders>
          </w:tcPr>
          <w:p w14:paraId="1F7AA4AB"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color w:val="0D54A6"/>
                <w:sz w:val="14"/>
                <w:szCs w:val="14"/>
                <w:lang w:eastAsia="en-US"/>
              </w:rPr>
              <w:t>17</w:t>
            </w:r>
          </w:p>
        </w:tc>
      </w:tr>
      <w:tr w:rsidR="00000000" w14:paraId="0D7577BC" w14:textId="77777777">
        <w:tblPrEx>
          <w:tblCellMar>
            <w:top w:w="0" w:type="dxa"/>
            <w:left w:w="0" w:type="dxa"/>
            <w:bottom w:w="0" w:type="dxa"/>
            <w:right w:w="0" w:type="dxa"/>
          </w:tblCellMar>
        </w:tblPrEx>
        <w:trPr>
          <w:trHeight w:hRule="exact" w:val="389"/>
          <w:jc w:val="center"/>
        </w:trPr>
        <w:tc>
          <w:tcPr>
            <w:tcW w:w="523" w:type="dxa"/>
            <w:tcBorders>
              <w:top w:val="nil"/>
              <w:left w:val="nil"/>
              <w:bottom w:val="nil"/>
              <w:right w:val="nil"/>
            </w:tcBorders>
          </w:tcPr>
          <w:p w14:paraId="46DD68F6" w14:textId="77777777" w:rsidR="00B14B05" w:rsidRDefault="00B14B05">
            <w:pPr>
              <w:pStyle w:val="Style56"/>
              <w:spacing w:line="240" w:lineRule="auto"/>
              <w:ind w:firstLine="0"/>
              <w:jc w:val="both"/>
              <w:rPr>
                <w:rFonts w:ascii="Times New Roman" w:hAnsi="Times New Roman" w:cs="Times New Roman"/>
                <w:sz w:val="24"/>
                <w:szCs w:val="24"/>
              </w:rPr>
            </w:pPr>
            <w:r>
              <w:rPr>
                <w:rStyle w:val="CharStyle57"/>
                <w:rFonts w:ascii="Times New Roman" w:hAnsi="Times New Roman" w:cs="Times New Roman"/>
                <w:b/>
                <w:bCs/>
                <w:i/>
                <w:iCs/>
                <w:sz w:val="14"/>
                <w:szCs w:val="14"/>
                <w:lang w:eastAsia="en-US"/>
              </w:rPr>
              <w:t>dddK</w:t>
            </w:r>
          </w:p>
        </w:tc>
        <w:tc>
          <w:tcPr>
            <w:tcW w:w="1325" w:type="dxa"/>
            <w:tcBorders>
              <w:top w:val="nil"/>
              <w:left w:val="nil"/>
              <w:bottom w:val="nil"/>
              <w:right w:val="nil"/>
            </w:tcBorders>
            <w:vAlign w:val="bottom"/>
          </w:tcPr>
          <w:p w14:paraId="37107BE9" w14:textId="77777777" w:rsidR="00B14B05" w:rsidRDefault="00B14B05">
            <w:pPr>
              <w:pStyle w:val="Style56"/>
              <w:spacing w:line="240" w:lineRule="auto"/>
              <w:ind w:left="220" w:hanging="220"/>
              <w:rPr>
                <w:rFonts w:ascii="Times New Roman" w:hAnsi="Times New Roman" w:cs="Times New Roman"/>
                <w:sz w:val="24"/>
                <w:szCs w:val="24"/>
              </w:rPr>
            </w:pPr>
            <w:r>
              <w:rPr>
                <w:rStyle w:val="CharStyle57"/>
                <w:rFonts w:ascii="Times New Roman" w:hAnsi="Times New Roman" w:cs="Times New Roman"/>
                <w:sz w:val="14"/>
                <w:szCs w:val="14"/>
                <w:lang w:eastAsia="en-US"/>
              </w:rPr>
              <w:t>DMSP/DMSOP cleavage</w:t>
            </w:r>
          </w:p>
        </w:tc>
        <w:tc>
          <w:tcPr>
            <w:tcW w:w="9029" w:type="dxa"/>
            <w:tcBorders>
              <w:top w:val="nil"/>
              <w:left w:val="nil"/>
              <w:bottom w:val="nil"/>
              <w:right w:val="nil"/>
            </w:tcBorders>
          </w:tcPr>
          <w:p w14:paraId="0E6E6B9F"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sz w:val="14"/>
                <w:szCs w:val="14"/>
                <w:lang w:eastAsia="en-US"/>
              </w:rPr>
              <w:t>Catalyzes the cleavage of DMSP or DMSOP to produce DMS or DMSO and acrylate</w:t>
            </w:r>
          </w:p>
        </w:tc>
        <w:tc>
          <w:tcPr>
            <w:tcW w:w="2534" w:type="dxa"/>
            <w:tcBorders>
              <w:top w:val="nil"/>
              <w:left w:val="nil"/>
              <w:bottom w:val="nil"/>
              <w:right w:val="nil"/>
            </w:tcBorders>
          </w:tcPr>
          <w:p w14:paraId="3D235B4C"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sz w:val="14"/>
                <w:szCs w:val="14"/>
                <w:lang w:eastAsia="en-US"/>
              </w:rPr>
              <w:t>Cupin superfamily</w:t>
            </w:r>
          </w:p>
        </w:tc>
        <w:tc>
          <w:tcPr>
            <w:tcW w:w="341" w:type="dxa"/>
            <w:tcBorders>
              <w:top w:val="nil"/>
              <w:left w:val="nil"/>
              <w:bottom w:val="nil"/>
              <w:right w:val="nil"/>
            </w:tcBorders>
          </w:tcPr>
          <w:p w14:paraId="107256B8"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color w:val="0D54A6"/>
                <w:sz w:val="14"/>
                <w:szCs w:val="14"/>
                <w:lang w:eastAsia="en-US"/>
              </w:rPr>
              <w:t>20</w:t>
            </w:r>
          </w:p>
        </w:tc>
      </w:tr>
      <w:tr w:rsidR="00000000" w14:paraId="4C17CA95" w14:textId="77777777">
        <w:tblPrEx>
          <w:tblCellMar>
            <w:top w:w="0" w:type="dxa"/>
            <w:left w:w="0" w:type="dxa"/>
            <w:bottom w:w="0" w:type="dxa"/>
            <w:right w:w="0" w:type="dxa"/>
          </w:tblCellMar>
        </w:tblPrEx>
        <w:trPr>
          <w:trHeight w:hRule="exact" w:val="389"/>
          <w:jc w:val="center"/>
        </w:trPr>
        <w:tc>
          <w:tcPr>
            <w:tcW w:w="523" w:type="dxa"/>
            <w:tcBorders>
              <w:top w:val="nil"/>
              <w:left w:val="nil"/>
              <w:bottom w:val="nil"/>
              <w:right w:val="nil"/>
            </w:tcBorders>
          </w:tcPr>
          <w:p w14:paraId="6E7F252F" w14:textId="77777777" w:rsidR="00B14B05" w:rsidRDefault="00B14B05">
            <w:pPr>
              <w:pStyle w:val="Style56"/>
              <w:spacing w:line="240" w:lineRule="auto"/>
              <w:ind w:firstLine="0"/>
              <w:jc w:val="both"/>
              <w:rPr>
                <w:rFonts w:ascii="Times New Roman" w:hAnsi="Times New Roman" w:cs="Times New Roman"/>
                <w:sz w:val="24"/>
                <w:szCs w:val="24"/>
              </w:rPr>
            </w:pPr>
            <w:r>
              <w:rPr>
                <w:rStyle w:val="CharStyle57"/>
                <w:rFonts w:ascii="Times New Roman" w:hAnsi="Times New Roman" w:cs="Times New Roman"/>
                <w:b/>
                <w:bCs/>
                <w:i/>
                <w:iCs/>
                <w:sz w:val="14"/>
                <w:szCs w:val="14"/>
                <w:lang w:eastAsia="en-US"/>
              </w:rPr>
              <w:t>dddU</w:t>
            </w:r>
          </w:p>
        </w:tc>
        <w:tc>
          <w:tcPr>
            <w:tcW w:w="1325" w:type="dxa"/>
            <w:tcBorders>
              <w:top w:val="nil"/>
              <w:left w:val="nil"/>
              <w:bottom w:val="nil"/>
              <w:right w:val="nil"/>
            </w:tcBorders>
            <w:vAlign w:val="bottom"/>
          </w:tcPr>
          <w:p w14:paraId="1EC27DA1" w14:textId="77777777" w:rsidR="00B14B05" w:rsidRDefault="00B14B05">
            <w:pPr>
              <w:pStyle w:val="Style56"/>
              <w:spacing w:line="240" w:lineRule="auto"/>
              <w:ind w:left="220" w:hanging="220"/>
              <w:rPr>
                <w:rFonts w:ascii="Times New Roman" w:hAnsi="Times New Roman" w:cs="Times New Roman"/>
                <w:sz w:val="24"/>
                <w:szCs w:val="24"/>
              </w:rPr>
            </w:pPr>
            <w:r>
              <w:rPr>
                <w:rStyle w:val="CharStyle57"/>
                <w:rFonts w:ascii="Times New Roman" w:hAnsi="Times New Roman" w:cs="Times New Roman"/>
                <w:sz w:val="14"/>
                <w:szCs w:val="14"/>
                <w:lang w:eastAsia="en-US"/>
              </w:rPr>
              <w:t>DMSP/DMSOP cleavage</w:t>
            </w:r>
          </w:p>
        </w:tc>
        <w:tc>
          <w:tcPr>
            <w:tcW w:w="9029" w:type="dxa"/>
            <w:tcBorders>
              <w:top w:val="nil"/>
              <w:left w:val="nil"/>
              <w:bottom w:val="nil"/>
              <w:right w:val="nil"/>
            </w:tcBorders>
          </w:tcPr>
          <w:p w14:paraId="265A3F37"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sz w:val="14"/>
                <w:szCs w:val="14"/>
                <w:lang w:eastAsia="en-US"/>
              </w:rPr>
              <w:t>Catalyzes the cleavage of DMSP or DMSOP to produce DMS or DMSO and acrylate</w:t>
            </w:r>
          </w:p>
        </w:tc>
        <w:tc>
          <w:tcPr>
            <w:tcW w:w="2534" w:type="dxa"/>
            <w:tcBorders>
              <w:top w:val="nil"/>
              <w:left w:val="nil"/>
              <w:bottom w:val="nil"/>
              <w:right w:val="nil"/>
            </w:tcBorders>
          </w:tcPr>
          <w:p w14:paraId="6F37DD85"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sz w:val="14"/>
                <w:szCs w:val="14"/>
                <w:lang w:eastAsia="en-US"/>
              </w:rPr>
              <w:t>Cupin superfamily</w:t>
            </w:r>
          </w:p>
        </w:tc>
        <w:tc>
          <w:tcPr>
            <w:tcW w:w="341" w:type="dxa"/>
            <w:tcBorders>
              <w:top w:val="nil"/>
              <w:left w:val="nil"/>
              <w:bottom w:val="nil"/>
              <w:right w:val="nil"/>
            </w:tcBorders>
          </w:tcPr>
          <w:p w14:paraId="4D3A2E87"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color w:val="0D54A6"/>
                <w:sz w:val="14"/>
                <w:szCs w:val="14"/>
                <w:lang w:eastAsia="en-US"/>
              </w:rPr>
              <w:t>21</w:t>
            </w:r>
          </w:p>
        </w:tc>
      </w:tr>
      <w:tr w:rsidR="00000000" w14:paraId="021477B4" w14:textId="77777777">
        <w:tblPrEx>
          <w:tblCellMar>
            <w:top w:w="0" w:type="dxa"/>
            <w:left w:w="0" w:type="dxa"/>
            <w:bottom w:w="0" w:type="dxa"/>
            <w:right w:w="0" w:type="dxa"/>
          </w:tblCellMar>
        </w:tblPrEx>
        <w:trPr>
          <w:trHeight w:hRule="exact" w:val="374"/>
          <w:jc w:val="center"/>
        </w:trPr>
        <w:tc>
          <w:tcPr>
            <w:tcW w:w="523" w:type="dxa"/>
            <w:tcBorders>
              <w:top w:val="nil"/>
              <w:left w:val="nil"/>
              <w:bottom w:val="nil"/>
              <w:right w:val="nil"/>
            </w:tcBorders>
          </w:tcPr>
          <w:p w14:paraId="47C3924A" w14:textId="77777777" w:rsidR="00B14B05" w:rsidRDefault="00B14B05">
            <w:pPr>
              <w:pStyle w:val="Style56"/>
              <w:spacing w:line="240" w:lineRule="auto"/>
              <w:ind w:firstLine="0"/>
              <w:jc w:val="both"/>
              <w:rPr>
                <w:rFonts w:ascii="Times New Roman" w:hAnsi="Times New Roman" w:cs="Times New Roman"/>
                <w:sz w:val="24"/>
                <w:szCs w:val="24"/>
              </w:rPr>
            </w:pPr>
            <w:r>
              <w:rPr>
                <w:rStyle w:val="CharStyle57"/>
                <w:rFonts w:ascii="Times New Roman" w:hAnsi="Times New Roman" w:cs="Times New Roman"/>
                <w:b/>
                <w:bCs/>
                <w:i/>
                <w:iCs/>
                <w:sz w:val="14"/>
                <w:szCs w:val="14"/>
                <w:lang w:eastAsia="en-US"/>
              </w:rPr>
              <w:t>dddX</w:t>
            </w:r>
          </w:p>
        </w:tc>
        <w:tc>
          <w:tcPr>
            <w:tcW w:w="1325" w:type="dxa"/>
            <w:tcBorders>
              <w:top w:val="nil"/>
              <w:left w:val="nil"/>
              <w:bottom w:val="nil"/>
              <w:right w:val="nil"/>
            </w:tcBorders>
            <w:vAlign w:val="bottom"/>
          </w:tcPr>
          <w:p w14:paraId="34D00AC2" w14:textId="77777777" w:rsidR="00B14B05" w:rsidRDefault="00B14B05">
            <w:pPr>
              <w:pStyle w:val="Style56"/>
              <w:spacing w:line="240" w:lineRule="auto"/>
              <w:ind w:left="220" w:hanging="220"/>
              <w:rPr>
                <w:rFonts w:ascii="Times New Roman" w:hAnsi="Times New Roman" w:cs="Times New Roman"/>
                <w:sz w:val="24"/>
                <w:szCs w:val="24"/>
              </w:rPr>
            </w:pPr>
            <w:r>
              <w:rPr>
                <w:rStyle w:val="CharStyle57"/>
                <w:rFonts w:ascii="Times New Roman" w:hAnsi="Times New Roman" w:cs="Times New Roman"/>
                <w:sz w:val="14"/>
                <w:szCs w:val="14"/>
                <w:lang w:eastAsia="en-US"/>
              </w:rPr>
              <w:t>DMSP/DMSOP cleavage</w:t>
            </w:r>
          </w:p>
        </w:tc>
        <w:tc>
          <w:tcPr>
            <w:tcW w:w="9029" w:type="dxa"/>
            <w:tcBorders>
              <w:top w:val="nil"/>
              <w:left w:val="nil"/>
              <w:bottom w:val="nil"/>
              <w:right w:val="nil"/>
            </w:tcBorders>
          </w:tcPr>
          <w:p w14:paraId="2C398134"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sz w:val="14"/>
                <w:szCs w:val="14"/>
                <w:lang w:eastAsia="en-US"/>
              </w:rPr>
              <w:t>Catalyzes the ATP-dependent</w:t>
            </w:r>
            <w:r>
              <w:rPr>
                <w:rStyle w:val="CharStyle57"/>
                <w:rFonts w:ascii="Times New Roman" w:hAnsi="Times New Roman" w:cs="Times New Roman"/>
                <w:sz w:val="14"/>
                <w:szCs w:val="14"/>
                <w:lang w:eastAsia="en-US"/>
              </w:rPr>
              <w:t xml:space="preserve"> cleavage of DMSP or DMSOP to produce DMS or DMSO and acryloyl-CoA</w:t>
            </w:r>
          </w:p>
        </w:tc>
        <w:tc>
          <w:tcPr>
            <w:tcW w:w="2534" w:type="dxa"/>
            <w:tcBorders>
              <w:top w:val="nil"/>
              <w:left w:val="nil"/>
              <w:bottom w:val="nil"/>
              <w:right w:val="nil"/>
            </w:tcBorders>
          </w:tcPr>
          <w:p w14:paraId="351E81BB"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sz w:val="14"/>
                <w:szCs w:val="14"/>
                <w:lang w:eastAsia="en-US"/>
              </w:rPr>
              <w:t>Acyl-CoA synthetase superfamily</w:t>
            </w:r>
          </w:p>
        </w:tc>
        <w:tc>
          <w:tcPr>
            <w:tcW w:w="341" w:type="dxa"/>
            <w:tcBorders>
              <w:top w:val="nil"/>
              <w:left w:val="nil"/>
              <w:bottom w:val="nil"/>
              <w:right w:val="nil"/>
            </w:tcBorders>
          </w:tcPr>
          <w:p w14:paraId="6E63B49A"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color w:val="0D54A6"/>
                <w:sz w:val="14"/>
                <w:szCs w:val="14"/>
                <w:lang w:eastAsia="en-US"/>
              </w:rPr>
              <w:t>22</w:t>
            </w:r>
          </w:p>
        </w:tc>
      </w:tr>
      <w:tr w:rsidR="00000000" w14:paraId="0F9D9430" w14:textId="77777777">
        <w:tblPrEx>
          <w:tblCellMar>
            <w:top w:w="0" w:type="dxa"/>
            <w:left w:w="0" w:type="dxa"/>
            <w:bottom w:w="0" w:type="dxa"/>
            <w:right w:w="0" w:type="dxa"/>
          </w:tblCellMar>
        </w:tblPrEx>
        <w:trPr>
          <w:trHeight w:hRule="exact" w:val="374"/>
          <w:jc w:val="center"/>
        </w:trPr>
        <w:tc>
          <w:tcPr>
            <w:tcW w:w="523" w:type="dxa"/>
            <w:tcBorders>
              <w:top w:val="nil"/>
              <w:left w:val="nil"/>
              <w:bottom w:val="nil"/>
              <w:right w:val="nil"/>
            </w:tcBorders>
          </w:tcPr>
          <w:p w14:paraId="6640DC53" w14:textId="77777777" w:rsidR="00B14B05" w:rsidRDefault="00B14B05">
            <w:pPr>
              <w:pStyle w:val="Style56"/>
              <w:spacing w:line="240" w:lineRule="auto"/>
              <w:ind w:firstLine="0"/>
              <w:jc w:val="both"/>
              <w:rPr>
                <w:rFonts w:ascii="Times New Roman" w:hAnsi="Times New Roman" w:cs="Times New Roman"/>
                <w:sz w:val="24"/>
                <w:szCs w:val="24"/>
              </w:rPr>
            </w:pPr>
            <w:r>
              <w:rPr>
                <w:rStyle w:val="CharStyle57"/>
                <w:rFonts w:ascii="Times New Roman" w:hAnsi="Times New Roman" w:cs="Times New Roman"/>
                <w:i/>
                <w:iCs/>
                <w:sz w:val="14"/>
                <w:szCs w:val="14"/>
                <w:lang w:eastAsia="en-US"/>
              </w:rPr>
              <w:t>dmdA</w:t>
            </w:r>
          </w:p>
        </w:tc>
        <w:tc>
          <w:tcPr>
            <w:tcW w:w="1325" w:type="dxa"/>
            <w:tcBorders>
              <w:top w:val="nil"/>
              <w:left w:val="nil"/>
              <w:bottom w:val="nil"/>
              <w:right w:val="nil"/>
            </w:tcBorders>
            <w:vAlign w:val="bottom"/>
          </w:tcPr>
          <w:p w14:paraId="6151553D" w14:textId="77777777" w:rsidR="00B14B05" w:rsidRDefault="00B14B05">
            <w:pPr>
              <w:pStyle w:val="Style56"/>
              <w:spacing w:line="240" w:lineRule="auto"/>
              <w:ind w:left="220" w:hanging="220"/>
              <w:rPr>
                <w:rFonts w:ascii="Times New Roman" w:hAnsi="Times New Roman" w:cs="Times New Roman"/>
                <w:sz w:val="24"/>
                <w:szCs w:val="24"/>
              </w:rPr>
            </w:pPr>
            <w:r>
              <w:rPr>
                <w:rStyle w:val="CharStyle57"/>
                <w:rFonts w:ascii="Times New Roman" w:hAnsi="Times New Roman" w:cs="Times New Roman"/>
                <w:sz w:val="14"/>
                <w:szCs w:val="14"/>
                <w:lang w:eastAsia="en-US"/>
              </w:rPr>
              <w:t>DMSP demethylation</w:t>
            </w:r>
          </w:p>
        </w:tc>
        <w:tc>
          <w:tcPr>
            <w:tcW w:w="9029" w:type="dxa"/>
            <w:tcBorders>
              <w:top w:val="nil"/>
              <w:left w:val="nil"/>
              <w:bottom w:val="nil"/>
              <w:right w:val="nil"/>
            </w:tcBorders>
          </w:tcPr>
          <w:p w14:paraId="083FE406"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sz w:val="14"/>
                <w:szCs w:val="14"/>
                <w:lang w:eastAsia="en-US"/>
              </w:rPr>
              <w:t>Demethylates DMSP to produce methylmercaptopropionate (MMPA)</w:t>
            </w:r>
          </w:p>
        </w:tc>
        <w:tc>
          <w:tcPr>
            <w:tcW w:w="2534" w:type="dxa"/>
            <w:tcBorders>
              <w:top w:val="nil"/>
              <w:left w:val="nil"/>
              <w:bottom w:val="nil"/>
              <w:right w:val="nil"/>
            </w:tcBorders>
          </w:tcPr>
          <w:p w14:paraId="161B6C03"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sz w:val="14"/>
                <w:szCs w:val="14"/>
                <w:lang w:eastAsia="en-US"/>
              </w:rPr>
              <w:t xml:space="preserve">Glycine cleavage system </w:t>
            </w:r>
            <w:r>
              <w:rPr>
                <w:rStyle w:val="CharStyle57"/>
                <w:rFonts w:ascii="Times New Roman" w:hAnsi="Times New Roman" w:cs="Times New Roman"/>
                <w:sz w:val="14"/>
                <w:szCs w:val="14"/>
                <w:lang w:val="el-GR" w:eastAsia="el-GR"/>
              </w:rPr>
              <w:t xml:space="preserve">Τ </w:t>
            </w:r>
            <w:r>
              <w:rPr>
                <w:rStyle w:val="CharStyle57"/>
                <w:rFonts w:ascii="Times New Roman" w:hAnsi="Times New Roman" w:cs="Times New Roman"/>
                <w:sz w:val="14"/>
                <w:szCs w:val="14"/>
                <w:lang w:eastAsia="en-US"/>
              </w:rPr>
              <w:t>family</w:t>
            </w:r>
          </w:p>
        </w:tc>
        <w:tc>
          <w:tcPr>
            <w:tcW w:w="341" w:type="dxa"/>
            <w:tcBorders>
              <w:top w:val="nil"/>
              <w:left w:val="nil"/>
              <w:bottom w:val="nil"/>
              <w:right w:val="nil"/>
            </w:tcBorders>
          </w:tcPr>
          <w:p w14:paraId="350B5A8D"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color w:val="0D54A6"/>
                <w:sz w:val="14"/>
                <w:szCs w:val="14"/>
                <w:lang w:eastAsia="en-US"/>
              </w:rPr>
              <w:t>27</w:t>
            </w:r>
          </w:p>
        </w:tc>
      </w:tr>
      <w:tr w:rsidR="00000000" w14:paraId="593F9B66" w14:textId="77777777">
        <w:tblPrEx>
          <w:tblCellMar>
            <w:top w:w="0" w:type="dxa"/>
            <w:left w:w="0" w:type="dxa"/>
            <w:bottom w:w="0" w:type="dxa"/>
            <w:right w:w="0" w:type="dxa"/>
          </w:tblCellMar>
        </w:tblPrEx>
        <w:trPr>
          <w:trHeight w:hRule="exact" w:val="374"/>
          <w:jc w:val="center"/>
        </w:trPr>
        <w:tc>
          <w:tcPr>
            <w:tcW w:w="523" w:type="dxa"/>
            <w:tcBorders>
              <w:top w:val="nil"/>
              <w:left w:val="nil"/>
              <w:bottom w:val="nil"/>
              <w:right w:val="nil"/>
            </w:tcBorders>
          </w:tcPr>
          <w:p w14:paraId="2B4ABB6C" w14:textId="77777777" w:rsidR="00B14B05" w:rsidRDefault="00B14B05">
            <w:pPr>
              <w:pStyle w:val="Style56"/>
              <w:spacing w:line="240" w:lineRule="auto"/>
              <w:ind w:firstLine="0"/>
              <w:jc w:val="both"/>
              <w:rPr>
                <w:rFonts w:ascii="Times New Roman" w:hAnsi="Times New Roman" w:cs="Times New Roman"/>
                <w:sz w:val="24"/>
                <w:szCs w:val="24"/>
              </w:rPr>
            </w:pPr>
            <w:r>
              <w:rPr>
                <w:rStyle w:val="CharStyle57"/>
                <w:rFonts w:ascii="Times New Roman" w:hAnsi="Times New Roman" w:cs="Times New Roman"/>
                <w:i/>
                <w:iCs/>
                <w:sz w:val="14"/>
                <w:szCs w:val="14"/>
                <w:lang w:eastAsia="en-US"/>
              </w:rPr>
              <w:t>dmdD</w:t>
            </w:r>
          </w:p>
        </w:tc>
        <w:tc>
          <w:tcPr>
            <w:tcW w:w="1325" w:type="dxa"/>
            <w:tcBorders>
              <w:top w:val="nil"/>
              <w:left w:val="nil"/>
              <w:bottom w:val="nil"/>
              <w:right w:val="nil"/>
            </w:tcBorders>
            <w:vAlign w:val="bottom"/>
          </w:tcPr>
          <w:p w14:paraId="6D04EABC" w14:textId="77777777" w:rsidR="00B14B05" w:rsidRDefault="00B14B05">
            <w:pPr>
              <w:pStyle w:val="Style56"/>
              <w:spacing w:line="240" w:lineRule="auto"/>
              <w:ind w:left="220" w:hanging="220"/>
              <w:rPr>
                <w:rFonts w:ascii="Times New Roman" w:hAnsi="Times New Roman" w:cs="Times New Roman"/>
                <w:sz w:val="24"/>
                <w:szCs w:val="24"/>
              </w:rPr>
            </w:pPr>
            <w:r>
              <w:rPr>
                <w:rStyle w:val="CharStyle57"/>
                <w:rFonts w:ascii="Times New Roman" w:hAnsi="Times New Roman" w:cs="Times New Roman"/>
                <w:sz w:val="14"/>
                <w:szCs w:val="14"/>
                <w:lang w:eastAsia="en-US"/>
              </w:rPr>
              <w:t>MMPA to MeSH conversion</w:t>
            </w:r>
          </w:p>
        </w:tc>
        <w:tc>
          <w:tcPr>
            <w:tcW w:w="9029" w:type="dxa"/>
            <w:tcBorders>
              <w:top w:val="nil"/>
              <w:left w:val="nil"/>
              <w:bottom w:val="nil"/>
              <w:right w:val="nil"/>
            </w:tcBorders>
          </w:tcPr>
          <w:p w14:paraId="70AE1997"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sz w:val="14"/>
                <w:szCs w:val="14"/>
                <w:lang w:eastAsia="en-US"/>
              </w:rPr>
              <w:t>Catalyzes the hydration and hydrolysis of MTA-CoA to ultimately produce MeSH</w:t>
            </w:r>
          </w:p>
        </w:tc>
        <w:tc>
          <w:tcPr>
            <w:tcW w:w="2534" w:type="dxa"/>
            <w:tcBorders>
              <w:top w:val="nil"/>
              <w:left w:val="nil"/>
              <w:bottom w:val="nil"/>
              <w:right w:val="nil"/>
            </w:tcBorders>
            <w:vAlign w:val="bottom"/>
          </w:tcPr>
          <w:p w14:paraId="6218BA41" w14:textId="77777777" w:rsidR="00B14B05" w:rsidRDefault="00B14B05">
            <w:pPr>
              <w:pStyle w:val="Style56"/>
              <w:spacing w:line="240" w:lineRule="auto"/>
              <w:ind w:left="180" w:hanging="180"/>
              <w:rPr>
                <w:rFonts w:ascii="Times New Roman" w:hAnsi="Times New Roman" w:cs="Times New Roman"/>
                <w:sz w:val="24"/>
                <w:szCs w:val="24"/>
              </w:rPr>
            </w:pPr>
            <w:r>
              <w:rPr>
                <w:rStyle w:val="CharStyle57"/>
                <w:rFonts w:ascii="Times New Roman" w:hAnsi="Times New Roman" w:cs="Times New Roman"/>
                <w:sz w:val="14"/>
                <w:szCs w:val="14"/>
                <w:lang w:eastAsia="en-US"/>
              </w:rPr>
              <w:t>Enoyl-CoA hydratase/isomerase family</w:t>
            </w:r>
          </w:p>
        </w:tc>
        <w:tc>
          <w:tcPr>
            <w:tcW w:w="341" w:type="dxa"/>
            <w:tcBorders>
              <w:top w:val="nil"/>
              <w:left w:val="nil"/>
              <w:bottom w:val="nil"/>
              <w:right w:val="nil"/>
            </w:tcBorders>
          </w:tcPr>
          <w:p w14:paraId="69AE27F4"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color w:val="0D54A6"/>
                <w:sz w:val="14"/>
                <w:szCs w:val="14"/>
                <w:lang w:eastAsia="en-US"/>
              </w:rPr>
              <w:t>53</w:t>
            </w:r>
          </w:p>
        </w:tc>
      </w:tr>
      <w:tr w:rsidR="00000000" w14:paraId="34CADD76" w14:textId="77777777">
        <w:tblPrEx>
          <w:tblCellMar>
            <w:top w:w="0" w:type="dxa"/>
            <w:left w:w="0" w:type="dxa"/>
            <w:bottom w:w="0" w:type="dxa"/>
            <w:right w:w="0" w:type="dxa"/>
          </w:tblCellMar>
        </w:tblPrEx>
        <w:trPr>
          <w:trHeight w:hRule="exact" w:val="389"/>
          <w:jc w:val="center"/>
        </w:trPr>
        <w:tc>
          <w:tcPr>
            <w:tcW w:w="523" w:type="dxa"/>
            <w:tcBorders>
              <w:top w:val="nil"/>
              <w:left w:val="nil"/>
              <w:bottom w:val="nil"/>
              <w:right w:val="nil"/>
            </w:tcBorders>
          </w:tcPr>
          <w:p w14:paraId="78397723" w14:textId="77777777" w:rsidR="00B14B05" w:rsidRDefault="00B14B05">
            <w:pPr>
              <w:pStyle w:val="Style56"/>
              <w:spacing w:line="240" w:lineRule="auto"/>
              <w:ind w:firstLine="0"/>
              <w:jc w:val="both"/>
              <w:rPr>
                <w:rFonts w:ascii="Times New Roman" w:hAnsi="Times New Roman" w:cs="Times New Roman"/>
                <w:sz w:val="24"/>
                <w:szCs w:val="24"/>
              </w:rPr>
            </w:pPr>
            <w:r>
              <w:rPr>
                <w:rStyle w:val="CharStyle57"/>
                <w:rFonts w:ascii="Times New Roman" w:hAnsi="Times New Roman" w:cs="Times New Roman"/>
                <w:i/>
                <w:iCs/>
                <w:sz w:val="14"/>
                <w:szCs w:val="14"/>
                <w:lang w:eastAsia="en-US"/>
              </w:rPr>
              <w:t>acuH</w:t>
            </w:r>
          </w:p>
        </w:tc>
        <w:tc>
          <w:tcPr>
            <w:tcW w:w="1325" w:type="dxa"/>
            <w:tcBorders>
              <w:top w:val="nil"/>
              <w:left w:val="nil"/>
              <w:bottom w:val="nil"/>
              <w:right w:val="nil"/>
            </w:tcBorders>
            <w:vAlign w:val="bottom"/>
          </w:tcPr>
          <w:p w14:paraId="4F9C66CF" w14:textId="77777777" w:rsidR="00B14B05" w:rsidRDefault="00B14B05">
            <w:pPr>
              <w:pStyle w:val="Style56"/>
              <w:spacing w:line="240" w:lineRule="auto"/>
              <w:ind w:left="220" w:hanging="220"/>
              <w:rPr>
                <w:rFonts w:ascii="Times New Roman" w:hAnsi="Times New Roman" w:cs="Times New Roman"/>
                <w:sz w:val="24"/>
                <w:szCs w:val="24"/>
              </w:rPr>
            </w:pPr>
            <w:r>
              <w:rPr>
                <w:rStyle w:val="CharStyle57"/>
                <w:rFonts w:ascii="Times New Roman" w:hAnsi="Times New Roman" w:cs="Times New Roman"/>
                <w:sz w:val="14"/>
                <w:szCs w:val="14"/>
                <w:lang w:eastAsia="en-US"/>
              </w:rPr>
              <w:t>MMPA to MeSH conversion</w:t>
            </w:r>
          </w:p>
        </w:tc>
        <w:tc>
          <w:tcPr>
            <w:tcW w:w="9029" w:type="dxa"/>
            <w:tcBorders>
              <w:top w:val="nil"/>
              <w:left w:val="nil"/>
              <w:bottom w:val="nil"/>
              <w:right w:val="nil"/>
            </w:tcBorders>
          </w:tcPr>
          <w:p w14:paraId="3E20FF05"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sz w:val="14"/>
                <w:szCs w:val="14"/>
                <w:lang w:eastAsia="en-US"/>
              </w:rPr>
              <w:t>Catalyzes the hydration and</w:t>
            </w:r>
            <w:r>
              <w:rPr>
                <w:rStyle w:val="CharStyle57"/>
                <w:rFonts w:ascii="Times New Roman" w:hAnsi="Times New Roman" w:cs="Times New Roman"/>
                <w:sz w:val="14"/>
                <w:szCs w:val="14"/>
                <w:lang w:eastAsia="en-US"/>
              </w:rPr>
              <w:t xml:space="preserve"> hydrolysis of MTA-CoA to ultimately produce MeSH</w:t>
            </w:r>
          </w:p>
        </w:tc>
        <w:tc>
          <w:tcPr>
            <w:tcW w:w="2534" w:type="dxa"/>
            <w:tcBorders>
              <w:top w:val="nil"/>
              <w:left w:val="nil"/>
              <w:bottom w:val="nil"/>
              <w:right w:val="nil"/>
            </w:tcBorders>
            <w:vAlign w:val="bottom"/>
          </w:tcPr>
          <w:p w14:paraId="12E44B45" w14:textId="77777777" w:rsidR="00B14B05" w:rsidRDefault="00B14B05">
            <w:pPr>
              <w:pStyle w:val="Style56"/>
              <w:spacing w:line="240" w:lineRule="auto"/>
              <w:ind w:left="180" w:hanging="180"/>
              <w:rPr>
                <w:rFonts w:ascii="Times New Roman" w:hAnsi="Times New Roman" w:cs="Times New Roman"/>
                <w:sz w:val="24"/>
                <w:szCs w:val="24"/>
              </w:rPr>
            </w:pPr>
            <w:r>
              <w:rPr>
                <w:rStyle w:val="CharStyle57"/>
                <w:rFonts w:ascii="Times New Roman" w:hAnsi="Times New Roman" w:cs="Times New Roman"/>
                <w:sz w:val="14"/>
                <w:szCs w:val="14"/>
                <w:lang w:eastAsia="en-US"/>
              </w:rPr>
              <w:t>Enoyl-CoA hydratase/isomerase family</w:t>
            </w:r>
          </w:p>
        </w:tc>
        <w:tc>
          <w:tcPr>
            <w:tcW w:w="341" w:type="dxa"/>
            <w:tcBorders>
              <w:top w:val="nil"/>
              <w:left w:val="nil"/>
              <w:bottom w:val="nil"/>
              <w:right w:val="nil"/>
            </w:tcBorders>
          </w:tcPr>
          <w:p w14:paraId="5B28517C"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color w:val="0D54A6"/>
                <w:sz w:val="14"/>
                <w:szCs w:val="14"/>
                <w:lang w:eastAsia="en-US"/>
              </w:rPr>
              <w:t>54</w:t>
            </w:r>
          </w:p>
        </w:tc>
      </w:tr>
      <w:tr w:rsidR="00000000" w14:paraId="5FEDB4A8" w14:textId="77777777">
        <w:tblPrEx>
          <w:tblCellMar>
            <w:top w:w="0" w:type="dxa"/>
            <w:left w:w="0" w:type="dxa"/>
            <w:bottom w:w="0" w:type="dxa"/>
            <w:right w:w="0" w:type="dxa"/>
          </w:tblCellMar>
        </w:tblPrEx>
        <w:trPr>
          <w:trHeight w:hRule="exact" w:val="216"/>
          <w:jc w:val="center"/>
        </w:trPr>
        <w:tc>
          <w:tcPr>
            <w:tcW w:w="523" w:type="dxa"/>
            <w:tcBorders>
              <w:top w:val="nil"/>
              <w:left w:val="nil"/>
              <w:bottom w:val="nil"/>
              <w:right w:val="nil"/>
            </w:tcBorders>
            <w:vAlign w:val="bottom"/>
          </w:tcPr>
          <w:p w14:paraId="659EC26B" w14:textId="77777777" w:rsidR="00B14B05" w:rsidRDefault="00B14B05">
            <w:pPr>
              <w:pStyle w:val="Style56"/>
              <w:spacing w:line="240" w:lineRule="auto"/>
              <w:ind w:firstLine="0"/>
              <w:jc w:val="both"/>
              <w:rPr>
                <w:rFonts w:ascii="Times New Roman" w:hAnsi="Times New Roman" w:cs="Times New Roman"/>
                <w:sz w:val="24"/>
                <w:szCs w:val="24"/>
              </w:rPr>
            </w:pPr>
            <w:r>
              <w:rPr>
                <w:rStyle w:val="CharStyle57"/>
                <w:rFonts w:ascii="Times New Roman" w:hAnsi="Times New Roman" w:cs="Times New Roman"/>
                <w:i/>
                <w:iCs/>
                <w:sz w:val="14"/>
                <w:szCs w:val="14"/>
                <w:lang w:eastAsia="en-US"/>
              </w:rPr>
              <w:t>mtoX</w:t>
            </w:r>
          </w:p>
        </w:tc>
        <w:tc>
          <w:tcPr>
            <w:tcW w:w="1325" w:type="dxa"/>
            <w:tcBorders>
              <w:top w:val="nil"/>
              <w:left w:val="nil"/>
              <w:bottom w:val="nil"/>
              <w:right w:val="nil"/>
            </w:tcBorders>
            <w:vAlign w:val="bottom"/>
          </w:tcPr>
          <w:p w14:paraId="169578D0" w14:textId="77777777" w:rsidR="00B14B05" w:rsidRDefault="00B14B05">
            <w:pPr>
              <w:pStyle w:val="Style56"/>
              <w:spacing w:line="240" w:lineRule="auto"/>
              <w:ind w:firstLine="0"/>
              <w:jc w:val="both"/>
              <w:rPr>
                <w:rFonts w:ascii="Times New Roman" w:hAnsi="Times New Roman" w:cs="Times New Roman"/>
                <w:sz w:val="24"/>
                <w:szCs w:val="24"/>
              </w:rPr>
            </w:pPr>
            <w:r>
              <w:rPr>
                <w:rStyle w:val="CharStyle57"/>
                <w:rFonts w:ascii="Times New Roman" w:hAnsi="Times New Roman" w:cs="Times New Roman"/>
                <w:sz w:val="14"/>
                <w:szCs w:val="14"/>
                <w:lang w:eastAsia="en-US"/>
              </w:rPr>
              <w:t>MeSH oxidation</w:t>
            </w:r>
          </w:p>
        </w:tc>
        <w:tc>
          <w:tcPr>
            <w:tcW w:w="9029" w:type="dxa"/>
            <w:tcBorders>
              <w:top w:val="nil"/>
              <w:left w:val="nil"/>
              <w:bottom w:val="nil"/>
              <w:right w:val="nil"/>
            </w:tcBorders>
            <w:vAlign w:val="bottom"/>
          </w:tcPr>
          <w:p w14:paraId="7F48734A"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sz w:val="14"/>
                <w:szCs w:val="14"/>
                <w:lang w:eastAsia="en-US"/>
              </w:rPr>
              <w:t>Catalyzes the oxidation of MeSH to formaldehyde</w:t>
            </w:r>
          </w:p>
        </w:tc>
        <w:tc>
          <w:tcPr>
            <w:tcW w:w="2534" w:type="dxa"/>
            <w:tcBorders>
              <w:top w:val="nil"/>
              <w:left w:val="nil"/>
              <w:bottom w:val="nil"/>
              <w:right w:val="nil"/>
            </w:tcBorders>
            <w:vAlign w:val="bottom"/>
          </w:tcPr>
          <w:p w14:paraId="197BD2C6"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sz w:val="14"/>
                <w:szCs w:val="14"/>
                <w:lang w:eastAsia="en-US"/>
              </w:rPr>
              <w:t>Selenium-binding protein family</w:t>
            </w:r>
          </w:p>
        </w:tc>
        <w:tc>
          <w:tcPr>
            <w:tcW w:w="341" w:type="dxa"/>
            <w:tcBorders>
              <w:top w:val="nil"/>
              <w:left w:val="nil"/>
              <w:bottom w:val="nil"/>
              <w:right w:val="nil"/>
            </w:tcBorders>
            <w:vAlign w:val="bottom"/>
          </w:tcPr>
          <w:p w14:paraId="3E51B731"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color w:val="0D54A6"/>
                <w:sz w:val="14"/>
                <w:szCs w:val="14"/>
                <w:lang w:eastAsia="en-US"/>
              </w:rPr>
              <w:t>55</w:t>
            </w:r>
          </w:p>
        </w:tc>
      </w:tr>
      <w:tr w:rsidR="00000000" w14:paraId="792E74C9" w14:textId="77777777">
        <w:tblPrEx>
          <w:tblCellMar>
            <w:top w:w="0" w:type="dxa"/>
            <w:left w:w="0" w:type="dxa"/>
            <w:bottom w:w="0" w:type="dxa"/>
            <w:right w:w="0" w:type="dxa"/>
          </w:tblCellMar>
        </w:tblPrEx>
        <w:trPr>
          <w:trHeight w:hRule="exact" w:val="389"/>
          <w:jc w:val="center"/>
        </w:trPr>
        <w:tc>
          <w:tcPr>
            <w:tcW w:w="523" w:type="dxa"/>
            <w:tcBorders>
              <w:top w:val="nil"/>
              <w:left w:val="nil"/>
              <w:bottom w:val="nil"/>
              <w:right w:val="nil"/>
            </w:tcBorders>
          </w:tcPr>
          <w:p w14:paraId="3D38736A" w14:textId="77777777" w:rsidR="00B14B05" w:rsidRDefault="00B14B05">
            <w:pPr>
              <w:pStyle w:val="Style56"/>
              <w:spacing w:line="240" w:lineRule="auto"/>
              <w:ind w:firstLine="0"/>
              <w:jc w:val="both"/>
              <w:rPr>
                <w:rFonts w:ascii="Times New Roman" w:hAnsi="Times New Roman" w:cs="Times New Roman"/>
                <w:sz w:val="24"/>
                <w:szCs w:val="24"/>
              </w:rPr>
            </w:pPr>
            <w:r>
              <w:rPr>
                <w:rStyle w:val="CharStyle57"/>
                <w:rFonts w:ascii="Times New Roman" w:hAnsi="Times New Roman" w:cs="Times New Roman"/>
                <w:i/>
                <w:iCs/>
                <w:sz w:val="14"/>
                <w:szCs w:val="14"/>
                <w:lang w:eastAsia="en-US"/>
              </w:rPr>
              <w:t>mtsA</w:t>
            </w:r>
          </w:p>
        </w:tc>
        <w:tc>
          <w:tcPr>
            <w:tcW w:w="1325" w:type="dxa"/>
            <w:tcBorders>
              <w:top w:val="nil"/>
              <w:left w:val="nil"/>
              <w:bottom w:val="nil"/>
              <w:right w:val="nil"/>
            </w:tcBorders>
          </w:tcPr>
          <w:p w14:paraId="39B06FF1" w14:textId="77777777" w:rsidR="00B14B05" w:rsidRDefault="00B14B05">
            <w:pPr>
              <w:pStyle w:val="Style56"/>
              <w:spacing w:line="240" w:lineRule="auto"/>
              <w:ind w:firstLine="0"/>
              <w:jc w:val="both"/>
              <w:rPr>
                <w:rFonts w:ascii="Times New Roman" w:hAnsi="Times New Roman" w:cs="Times New Roman"/>
                <w:sz w:val="24"/>
                <w:szCs w:val="24"/>
              </w:rPr>
            </w:pPr>
            <w:r>
              <w:rPr>
                <w:rStyle w:val="CharStyle57"/>
                <w:rFonts w:ascii="Times New Roman" w:hAnsi="Times New Roman" w:cs="Times New Roman"/>
                <w:sz w:val="14"/>
                <w:szCs w:val="14"/>
                <w:lang w:eastAsia="en-US"/>
              </w:rPr>
              <w:t>MeSH oxidation</w:t>
            </w:r>
          </w:p>
        </w:tc>
        <w:tc>
          <w:tcPr>
            <w:tcW w:w="9029" w:type="dxa"/>
            <w:tcBorders>
              <w:top w:val="nil"/>
              <w:left w:val="nil"/>
              <w:bottom w:val="nil"/>
              <w:right w:val="nil"/>
            </w:tcBorders>
            <w:vAlign w:val="bottom"/>
          </w:tcPr>
          <w:p w14:paraId="40C34080" w14:textId="77777777" w:rsidR="00B14B05" w:rsidRDefault="00B14B05">
            <w:pPr>
              <w:pStyle w:val="Style56"/>
              <w:spacing w:line="240" w:lineRule="auto"/>
              <w:ind w:left="220" w:hanging="220"/>
              <w:rPr>
                <w:rFonts w:ascii="Times New Roman" w:hAnsi="Times New Roman" w:cs="Times New Roman"/>
                <w:sz w:val="24"/>
                <w:szCs w:val="24"/>
              </w:rPr>
            </w:pPr>
            <w:r>
              <w:rPr>
                <w:rStyle w:val="CharStyle57"/>
                <w:rFonts w:ascii="Times New Roman" w:hAnsi="Times New Roman" w:cs="Times New Roman"/>
                <w:sz w:val="14"/>
                <w:szCs w:val="14"/>
                <w:lang w:eastAsia="en-US"/>
              </w:rPr>
              <w:t>Mediates the transfer of a methyl group from the substrate to the cobalt cofactor of a methylated-thiol-specific corrinoid protein (MtsB) and the subsequent transfer of the methyl group from the corrinoid protein to coenzyme M</w:t>
            </w:r>
          </w:p>
        </w:tc>
        <w:tc>
          <w:tcPr>
            <w:tcW w:w="2534" w:type="dxa"/>
            <w:tcBorders>
              <w:top w:val="nil"/>
              <w:left w:val="nil"/>
              <w:bottom w:val="nil"/>
              <w:right w:val="nil"/>
            </w:tcBorders>
            <w:vAlign w:val="bottom"/>
          </w:tcPr>
          <w:p w14:paraId="1D8E4113" w14:textId="77777777" w:rsidR="00B14B05" w:rsidRDefault="00B14B05">
            <w:pPr>
              <w:pStyle w:val="Style56"/>
              <w:spacing w:line="240" w:lineRule="auto"/>
              <w:ind w:left="180" w:hanging="180"/>
              <w:rPr>
                <w:rFonts w:ascii="Times New Roman" w:hAnsi="Times New Roman" w:cs="Times New Roman"/>
                <w:sz w:val="24"/>
                <w:szCs w:val="24"/>
              </w:rPr>
            </w:pPr>
            <w:r>
              <w:rPr>
                <w:rStyle w:val="CharStyle57"/>
                <w:rFonts w:ascii="Times New Roman" w:hAnsi="Times New Roman" w:cs="Times New Roman"/>
                <w:sz w:val="14"/>
                <w:szCs w:val="14"/>
                <w:lang w:eastAsia="en-US"/>
              </w:rPr>
              <w:t>Uroporphyrinogen decarboxylase family</w:t>
            </w:r>
          </w:p>
        </w:tc>
        <w:tc>
          <w:tcPr>
            <w:tcW w:w="341" w:type="dxa"/>
            <w:tcBorders>
              <w:top w:val="nil"/>
              <w:left w:val="nil"/>
              <w:bottom w:val="nil"/>
              <w:right w:val="nil"/>
            </w:tcBorders>
          </w:tcPr>
          <w:p w14:paraId="75632FD2"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color w:val="0D54A6"/>
                <w:sz w:val="14"/>
                <w:szCs w:val="14"/>
                <w:lang w:eastAsia="en-US"/>
              </w:rPr>
              <w:t>56</w:t>
            </w:r>
          </w:p>
        </w:tc>
      </w:tr>
      <w:tr w:rsidR="00000000" w14:paraId="0C3C701F" w14:textId="77777777">
        <w:tblPrEx>
          <w:tblCellMar>
            <w:top w:w="0" w:type="dxa"/>
            <w:left w:w="0" w:type="dxa"/>
            <w:bottom w:w="0" w:type="dxa"/>
            <w:right w:w="0" w:type="dxa"/>
          </w:tblCellMar>
        </w:tblPrEx>
        <w:trPr>
          <w:trHeight w:hRule="exact" w:val="360"/>
          <w:jc w:val="center"/>
        </w:trPr>
        <w:tc>
          <w:tcPr>
            <w:tcW w:w="523" w:type="dxa"/>
            <w:tcBorders>
              <w:top w:val="nil"/>
              <w:left w:val="nil"/>
              <w:bottom w:val="nil"/>
              <w:right w:val="nil"/>
            </w:tcBorders>
          </w:tcPr>
          <w:p w14:paraId="064339A3" w14:textId="77777777" w:rsidR="00B14B05" w:rsidRDefault="00B14B05">
            <w:pPr>
              <w:pStyle w:val="Style56"/>
              <w:spacing w:line="240" w:lineRule="auto"/>
              <w:ind w:firstLine="0"/>
              <w:jc w:val="both"/>
              <w:rPr>
                <w:rFonts w:ascii="Times New Roman" w:hAnsi="Times New Roman" w:cs="Times New Roman"/>
                <w:sz w:val="24"/>
                <w:szCs w:val="24"/>
              </w:rPr>
            </w:pPr>
            <w:r>
              <w:rPr>
                <w:rStyle w:val="CharStyle57"/>
                <w:rFonts w:ascii="Times New Roman" w:hAnsi="Times New Roman" w:cs="Times New Roman"/>
                <w:i/>
                <w:iCs/>
                <w:sz w:val="14"/>
                <w:szCs w:val="14"/>
                <w:lang w:eastAsia="en-US"/>
              </w:rPr>
              <w:t>mddA</w:t>
            </w:r>
          </w:p>
        </w:tc>
        <w:tc>
          <w:tcPr>
            <w:tcW w:w="1325" w:type="dxa"/>
            <w:tcBorders>
              <w:top w:val="nil"/>
              <w:left w:val="nil"/>
              <w:bottom w:val="nil"/>
              <w:right w:val="nil"/>
            </w:tcBorders>
            <w:vAlign w:val="bottom"/>
          </w:tcPr>
          <w:p w14:paraId="5C06C402" w14:textId="77777777" w:rsidR="00B14B05" w:rsidRDefault="00B14B05">
            <w:pPr>
              <w:pStyle w:val="Style56"/>
              <w:spacing w:line="240" w:lineRule="auto"/>
              <w:ind w:left="220" w:hanging="220"/>
              <w:rPr>
                <w:rFonts w:ascii="Times New Roman" w:hAnsi="Times New Roman" w:cs="Times New Roman"/>
                <w:sz w:val="24"/>
                <w:szCs w:val="24"/>
              </w:rPr>
            </w:pPr>
            <w:r>
              <w:rPr>
                <w:rStyle w:val="CharStyle57"/>
                <w:rFonts w:ascii="Times New Roman" w:hAnsi="Times New Roman" w:cs="Times New Roman"/>
                <w:sz w:val="14"/>
                <w:szCs w:val="14"/>
                <w:lang w:eastAsia="en-US"/>
              </w:rPr>
              <w:t>MeSH/H</w:t>
            </w:r>
            <w:r>
              <w:rPr>
                <w:rStyle w:val="CharStyle57"/>
                <w:rFonts w:ascii="Times New Roman" w:hAnsi="Times New Roman" w:cs="Times New Roman"/>
                <w:sz w:val="14"/>
                <w:szCs w:val="14"/>
                <w:vertAlign w:val="subscript"/>
                <w:lang w:eastAsia="en-US"/>
              </w:rPr>
              <w:t>2</w:t>
            </w:r>
            <w:r>
              <w:rPr>
                <w:rStyle w:val="CharStyle57"/>
                <w:rFonts w:ascii="Times New Roman" w:hAnsi="Times New Roman" w:cs="Times New Roman"/>
                <w:sz w:val="14"/>
                <w:szCs w:val="14"/>
                <w:lang w:eastAsia="en-US"/>
              </w:rPr>
              <w:t>S S- methylation</w:t>
            </w:r>
          </w:p>
        </w:tc>
        <w:tc>
          <w:tcPr>
            <w:tcW w:w="9029" w:type="dxa"/>
            <w:tcBorders>
              <w:top w:val="nil"/>
              <w:left w:val="nil"/>
              <w:bottom w:val="nil"/>
              <w:right w:val="nil"/>
            </w:tcBorders>
          </w:tcPr>
          <w:p w14:paraId="0A9A577F"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sz w:val="14"/>
                <w:szCs w:val="14"/>
                <w:lang w:eastAsia="en-US"/>
              </w:rPr>
              <w:t>Catalyzes the S-methylation of MeSH and H2S to produce DMS</w:t>
            </w:r>
          </w:p>
        </w:tc>
        <w:tc>
          <w:tcPr>
            <w:tcW w:w="2534" w:type="dxa"/>
            <w:tcBorders>
              <w:top w:val="nil"/>
              <w:left w:val="nil"/>
              <w:bottom w:val="nil"/>
              <w:right w:val="nil"/>
            </w:tcBorders>
          </w:tcPr>
          <w:p w14:paraId="5E1B63A6"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sz w:val="14"/>
                <w:szCs w:val="14"/>
                <w:lang w:eastAsia="en-US"/>
              </w:rPr>
              <w:t>SAM-dependent methyltransferase</w:t>
            </w:r>
          </w:p>
        </w:tc>
        <w:tc>
          <w:tcPr>
            <w:tcW w:w="341" w:type="dxa"/>
            <w:tcBorders>
              <w:top w:val="nil"/>
              <w:left w:val="nil"/>
              <w:bottom w:val="nil"/>
              <w:right w:val="nil"/>
            </w:tcBorders>
          </w:tcPr>
          <w:p w14:paraId="5BCAC034"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color w:val="0D54A6"/>
                <w:sz w:val="14"/>
                <w:szCs w:val="14"/>
                <w:lang w:eastAsia="en-US"/>
              </w:rPr>
              <w:t>24</w:t>
            </w:r>
          </w:p>
        </w:tc>
      </w:tr>
      <w:tr w:rsidR="00000000" w14:paraId="5D09F173" w14:textId="77777777">
        <w:tblPrEx>
          <w:tblCellMar>
            <w:top w:w="0" w:type="dxa"/>
            <w:left w:w="0" w:type="dxa"/>
            <w:bottom w:w="0" w:type="dxa"/>
            <w:right w:w="0" w:type="dxa"/>
          </w:tblCellMar>
        </w:tblPrEx>
        <w:trPr>
          <w:trHeight w:hRule="exact" w:val="389"/>
          <w:jc w:val="center"/>
        </w:trPr>
        <w:tc>
          <w:tcPr>
            <w:tcW w:w="523" w:type="dxa"/>
            <w:tcBorders>
              <w:top w:val="nil"/>
              <w:left w:val="nil"/>
              <w:bottom w:val="nil"/>
              <w:right w:val="nil"/>
            </w:tcBorders>
          </w:tcPr>
          <w:p w14:paraId="05A617F4" w14:textId="77777777" w:rsidR="00B14B05" w:rsidRDefault="00B14B05">
            <w:pPr>
              <w:pStyle w:val="Style56"/>
              <w:spacing w:line="240" w:lineRule="auto"/>
              <w:ind w:firstLine="0"/>
              <w:jc w:val="both"/>
              <w:rPr>
                <w:rFonts w:ascii="Times New Roman" w:hAnsi="Times New Roman" w:cs="Times New Roman"/>
                <w:sz w:val="24"/>
                <w:szCs w:val="24"/>
              </w:rPr>
            </w:pPr>
            <w:r>
              <w:rPr>
                <w:rStyle w:val="CharStyle57"/>
                <w:rFonts w:ascii="Times New Roman" w:hAnsi="Times New Roman" w:cs="Times New Roman"/>
                <w:i/>
                <w:iCs/>
                <w:sz w:val="14"/>
                <w:szCs w:val="14"/>
                <w:lang w:eastAsia="en-US"/>
              </w:rPr>
              <w:t>mddH</w:t>
            </w:r>
          </w:p>
        </w:tc>
        <w:tc>
          <w:tcPr>
            <w:tcW w:w="1325" w:type="dxa"/>
            <w:tcBorders>
              <w:top w:val="nil"/>
              <w:left w:val="nil"/>
              <w:bottom w:val="nil"/>
              <w:right w:val="nil"/>
            </w:tcBorders>
            <w:vAlign w:val="bottom"/>
          </w:tcPr>
          <w:p w14:paraId="4FF19214" w14:textId="77777777" w:rsidR="00B14B05" w:rsidRDefault="00B14B05">
            <w:pPr>
              <w:pStyle w:val="Style56"/>
              <w:spacing w:line="240" w:lineRule="auto"/>
              <w:ind w:left="220" w:hanging="220"/>
              <w:rPr>
                <w:rFonts w:ascii="Times New Roman" w:hAnsi="Times New Roman" w:cs="Times New Roman"/>
                <w:sz w:val="24"/>
                <w:szCs w:val="24"/>
              </w:rPr>
            </w:pPr>
            <w:r>
              <w:rPr>
                <w:rStyle w:val="CharStyle57"/>
                <w:rFonts w:ascii="Times New Roman" w:hAnsi="Times New Roman" w:cs="Times New Roman"/>
                <w:sz w:val="14"/>
                <w:szCs w:val="14"/>
                <w:lang w:eastAsia="en-US"/>
              </w:rPr>
              <w:t>MeSH/H</w:t>
            </w:r>
            <w:r>
              <w:rPr>
                <w:rStyle w:val="CharStyle57"/>
                <w:rFonts w:ascii="Times New Roman" w:hAnsi="Times New Roman" w:cs="Times New Roman"/>
                <w:sz w:val="14"/>
                <w:szCs w:val="14"/>
                <w:vertAlign w:val="subscript"/>
                <w:lang w:eastAsia="en-US"/>
              </w:rPr>
              <w:t>2</w:t>
            </w:r>
            <w:r>
              <w:rPr>
                <w:rStyle w:val="CharStyle57"/>
                <w:rFonts w:ascii="Times New Roman" w:hAnsi="Times New Roman" w:cs="Times New Roman"/>
                <w:sz w:val="14"/>
                <w:szCs w:val="14"/>
                <w:lang w:eastAsia="en-US"/>
              </w:rPr>
              <w:t xml:space="preserve">S </w:t>
            </w:r>
            <w:r>
              <w:rPr>
                <w:rStyle w:val="CharStyle57"/>
                <w:rFonts w:ascii="Times New Roman" w:hAnsi="Times New Roman" w:cs="Times New Roman"/>
                <w:i/>
                <w:iCs/>
                <w:sz w:val="14"/>
                <w:szCs w:val="14"/>
                <w:lang w:eastAsia="en-US"/>
              </w:rPr>
              <w:t xml:space="preserve">S- </w:t>
            </w:r>
            <w:r>
              <w:rPr>
                <w:rStyle w:val="CharStyle57"/>
                <w:rFonts w:ascii="Times New Roman" w:hAnsi="Times New Roman" w:cs="Times New Roman"/>
                <w:sz w:val="14"/>
                <w:szCs w:val="14"/>
                <w:lang w:eastAsia="en-US"/>
              </w:rPr>
              <w:t>methylation</w:t>
            </w:r>
          </w:p>
        </w:tc>
        <w:tc>
          <w:tcPr>
            <w:tcW w:w="9029" w:type="dxa"/>
            <w:tcBorders>
              <w:top w:val="nil"/>
              <w:left w:val="nil"/>
              <w:bottom w:val="nil"/>
              <w:right w:val="nil"/>
            </w:tcBorders>
          </w:tcPr>
          <w:p w14:paraId="017DEA14"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sz w:val="14"/>
                <w:szCs w:val="14"/>
                <w:lang w:eastAsia="en-US"/>
              </w:rPr>
              <w:t>Catalyzes the S-methylation of MeSH and H2S to produce DMS</w:t>
            </w:r>
          </w:p>
        </w:tc>
        <w:tc>
          <w:tcPr>
            <w:tcW w:w="2534" w:type="dxa"/>
            <w:tcBorders>
              <w:top w:val="nil"/>
              <w:left w:val="nil"/>
              <w:bottom w:val="nil"/>
              <w:right w:val="nil"/>
            </w:tcBorders>
          </w:tcPr>
          <w:p w14:paraId="5689A874"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sz w:val="14"/>
                <w:szCs w:val="14"/>
                <w:lang w:eastAsia="en-US"/>
              </w:rPr>
              <w:t>UbiE family methyltransferase</w:t>
            </w:r>
          </w:p>
        </w:tc>
        <w:tc>
          <w:tcPr>
            <w:tcW w:w="341" w:type="dxa"/>
            <w:tcBorders>
              <w:top w:val="nil"/>
              <w:left w:val="nil"/>
              <w:bottom w:val="nil"/>
              <w:right w:val="nil"/>
            </w:tcBorders>
          </w:tcPr>
          <w:p w14:paraId="7A1043E7"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color w:val="0D54A6"/>
                <w:sz w:val="14"/>
                <w:szCs w:val="14"/>
                <w:lang w:eastAsia="en-US"/>
              </w:rPr>
              <w:t>30</w:t>
            </w:r>
          </w:p>
        </w:tc>
      </w:tr>
      <w:tr w:rsidR="00000000" w14:paraId="67E3E697" w14:textId="77777777">
        <w:tblPrEx>
          <w:tblCellMar>
            <w:top w:w="0" w:type="dxa"/>
            <w:left w:w="0" w:type="dxa"/>
            <w:bottom w:w="0" w:type="dxa"/>
            <w:right w:w="0" w:type="dxa"/>
          </w:tblCellMar>
        </w:tblPrEx>
        <w:trPr>
          <w:trHeight w:hRule="exact" w:val="360"/>
          <w:jc w:val="center"/>
        </w:trPr>
        <w:tc>
          <w:tcPr>
            <w:tcW w:w="523" w:type="dxa"/>
            <w:tcBorders>
              <w:top w:val="nil"/>
              <w:left w:val="nil"/>
              <w:bottom w:val="nil"/>
              <w:right w:val="nil"/>
            </w:tcBorders>
          </w:tcPr>
          <w:p w14:paraId="61809E6B" w14:textId="77777777" w:rsidR="00B14B05" w:rsidRDefault="00B14B05">
            <w:pPr>
              <w:pStyle w:val="Style56"/>
              <w:spacing w:line="240" w:lineRule="auto"/>
              <w:ind w:firstLine="0"/>
              <w:jc w:val="both"/>
              <w:rPr>
                <w:rFonts w:ascii="Times New Roman" w:hAnsi="Times New Roman" w:cs="Times New Roman"/>
                <w:sz w:val="24"/>
                <w:szCs w:val="24"/>
              </w:rPr>
            </w:pPr>
            <w:r>
              <w:rPr>
                <w:rStyle w:val="CharStyle57"/>
                <w:rFonts w:ascii="Times New Roman" w:hAnsi="Times New Roman" w:cs="Times New Roman"/>
                <w:i/>
                <w:iCs/>
                <w:sz w:val="14"/>
                <w:szCs w:val="14"/>
                <w:lang w:eastAsia="en-US"/>
              </w:rPr>
              <w:t>dmoA</w:t>
            </w:r>
          </w:p>
        </w:tc>
        <w:tc>
          <w:tcPr>
            <w:tcW w:w="1325" w:type="dxa"/>
            <w:tcBorders>
              <w:top w:val="nil"/>
              <w:left w:val="nil"/>
              <w:bottom w:val="nil"/>
              <w:right w:val="nil"/>
            </w:tcBorders>
          </w:tcPr>
          <w:p w14:paraId="1E4A6051"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sz w:val="14"/>
                <w:szCs w:val="14"/>
                <w:lang w:eastAsia="en-US"/>
              </w:rPr>
              <w:t>DMS oxidation</w:t>
            </w:r>
          </w:p>
        </w:tc>
        <w:tc>
          <w:tcPr>
            <w:tcW w:w="9029" w:type="dxa"/>
            <w:tcBorders>
              <w:top w:val="nil"/>
              <w:left w:val="nil"/>
              <w:bottom w:val="nil"/>
              <w:right w:val="nil"/>
            </w:tcBorders>
          </w:tcPr>
          <w:p w14:paraId="265DB70E"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sz w:val="14"/>
                <w:szCs w:val="14"/>
                <w:lang w:eastAsia="en-US"/>
              </w:rPr>
              <w:t>Catalyzes the oxidation of DMS to MeSH</w:t>
            </w:r>
          </w:p>
        </w:tc>
        <w:tc>
          <w:tcPr>
            <w:tcW w:w="2534" w:type="dxa"/>
            <w:tcBorders>
              <w:top w:val="nil"/>
              <w:left w:val="nil"/>
              <w:bottom w:val="nil"/>
              <w:right w:val="nil"/>
            </w:tcBorders>
            <w:vAlign w:val="bottom"/>
          </w:tcPr>
          <w:p w14:paraId="74444D54" w14:textId="77777777" w:rsidR="00B14B05" w:rsidRDefault="00B14B05">
            <w:pPr>
              <w:pStyle w:val="Style56"/>
              <w:spacing w:line="240" w:lineRule="auto"/>
              <w:ind w:left="180" w:hanging="180"/>
              <w:rPr>
                <w:rFonts w:ascii="Times New Roman" w:hAnsi="Times New Roman" w:cs="Times New Roman"/>
                <w:sz w:val="24"/>
                <w:szCs w:val="24"/>
              </w:rPr>
            </w:pPr>
            <w:r>
              <w:rPr>
                <w:rStyle w:val="CharStyle57"/>
                <w:rFonts w:ascii="Times New Roman" w:hAnsi="Times New Roman" w:cs="Times New Roman"/>
                <w:sz w:val="14"/>
                <w:szCs w:val="14"/>
                <w:lang w:eastAsia="en-US"/>
              </w:rPr>
              <w:t>NtaA/SnaA/DszA monooxygenase family</w:t>
            </w:r>
          </w:p>
        </w:tc>
        <w:tc>
          <w:tcPr>
            <w:tcW w:w="341" w:type="dxa"/>
            <w:tcBorders>
              <w:top w:val="nil"/>
              <w:left w:val="nil"/>
              <w:bottom w:val="nil"/>
              <w:right w:val="nil"/>
            </w:tcBorders>
          </w:tcPr>
          <w:p w14:paraId="7B578706"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color w:val="0D54A6"/>
                <w:sz w:val="14"/>
                <w:szCs w:val="14"/>
                <w:lang w:eastAsia="en-US"/>
              </w:rPr>
              <w:t>57</w:t>
            </w:r>
          </w:p>
        </w:tc>
      </w:tr>
      <w:tr w:rsidR="00000000" w14:paraId="11D9678F" w14:textId="77777777">
        <w:tblPrEx>
          <w:tblCellMar>
            <w:top w:w="0" w:type="dxa"/>
            <w:left w:w="0" w:type="dxa"/>
            <w:bottom w:w="0" w:type="dxa"/>
            <w:right w:w="0" w:type="dxa"/>
          </w:tblCellMar>
        </w:tblPrEx>
        <w:trPr>
          <w:trHeight w:hRule="exact" w:val="389"/>
          <w:jc w:val="center"/>
        </w:trPr>
        <w:tc>
          <w:tcPr>
            <w:tcW w:w="523" w:type="dxa"/>
            <w:tcBorders>
              <w:top w:val="nil"/>
              <w:left w:val="nil"/>
              <w:bottom w:val="nil"/>
              <w:right w:val="nil"/>
            </w:tcBorders>
          </w:tcPr>
          <w:p w14:paraId="2D1220F9" w14:textId="77777777" w:rsidR="00B14B05" w:rsidRDefault="00B14B05">
            <w:pPr>
              <w:pStyle w:val="Style56"/>
              <w:spacing w:line="240" w:lineRule="auto"/>
              <w:ind w:firstLine="0"/>
              <w:jc w:val="both"/>
              <w:rPr>
                <w:rFonts w:ascii="Times New Roman" w:hAnsi="Times New Roman" w:cs="Times New Roman"/>
                <w:sz w:val="24"/>
                <w:szCs w:val="24"/>
              </w:rPr>
            </w:pPr>
            <w:r>
              <w:rPr>
                <w:rStyle w:val="CharStyle57"/>
                <w:rFonts w:ascii="Times New Roman" w:hAnsi="Times New Roman" w:cs="Times New Roman"/>
                <w:i/>
                <w:iCs/>
                <w:sz w:val="14"/>
                <w:szCs w:val="14"/>
                <w:lang w:eastAsia="en-US"/>
              </w:rPr>
              <w:t>ddhA</w:t>
            </w:r>
          </w:p>
        </w:tc>
        <w:tc>
          <w:tcPr>
            <w:tcW w:w="1325" w:type="dxa"/>
            <w:tcBorders>
              <w:top w:val="nil"/>
              <w:left w:val="nil"/>
              <w:bottom w:val="nil"/>
              <w:right w:val="nil"/>
            </w:tcBorders>
          </w:tcPr>
          <w:p w14:paraId="2B87BC70"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sz w:val="14"/>
                <w:szCs w:val="14"/>
                <w:lang w:eastAsia="en-US"/>
              </w:rPr>
              <w:t>DMS oxidation</w:t>
            </w:r>
          </w:p>
        </w:tc>
        <w:tc>
          <w:tcPr>
            <w:tcW w:w="9029" w:type="dxa"/>
            <w:tcBorders>
              <w:top w:val="nil"/>
              <w:left w:val="nil"/>
              <w:bottom w:val="nil"/>
              <w:right w:val="nil"/>
            </w:tcBorders>
          </w:tcPr>
          <w:p w14:paraId="1154CF36"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sz w:val="14"/>
                <w:szCs w:val="14"/>
                <w:lang w:eastAsia="en-US"/>
              </w:rPr>
              <w:t>Catalyzes the oxidation of DMS to DMSO</w:t>
            </w:r>
          </w:p>
        </w:tc>
        <w:tc>
          <w:tcPr>
            <w:tcW w:w="2534" w:type="dxa"/>
            <w:tcBorders>
              <w:top w:val="nil"/>
              <w:left w:val="nil"/>
              <w:bottom w:val="nil"/>
              <w:right w:val="nil"/>
            </w:tcBorders>
            <w:vAlign w:val="bottom"/>
          </w:tcPr>
          <w:p w14:paraId="7D9DF8C5" w14:textId="77777777" w:rsidR="00B14B05" w:rsidRDefault="00B14B05">
            <w:pPr>
              <w:pStyle w:val="Style56"/>
              <w:spacing w:line="240" w:lineRule="auto"/>
              <w:ind w:left="180" w:hanging="180"/>
              <w:rPr>
                <w:rFonts w:ascii="Times New Roman" w:hAnsi="Times New Roman" w:cs="Times New Roman"/>
                <w:sz w:val="24"/>
                <w:szCs w:val="24"/>
              </w:rPr>
            </w:pPr>
            <w:r>
              <w:rPr>
                <w:rStyle w:val="CharStyle57"/>
                <w:rFonts w:ascii="Times New Roman" w:hAnsi="Times New Roman" w:cs="Times New Roman"/>
                <w:sz w:val="14"/>
                <w:szCs w:val="14"/>
                <w:lang w:eastAsia="en-US"/>
              </w:rPr>
              <w:t>Prokaryotic molybdopterin-containing oxidoreductase family</w:t>
            </w:r>
          </w:p>
        </w:tc>
        <w:tc>
          <w:tcPr>
            <w:tcW w:w="341" w:type="dxa"/>
            <w:tcBorders>
              <w:top w:val="nil"/>
              <w:left w:val="nil"/>
              <w:bottom w:val="nil"/>
              <w:right w:val="nil"/>
            </w:tcBorders>
          </w:tcPr>
          <w:p w14:paraId="305D9993"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color w:val="0D54A6"/>
                <w:sz w:val="14"/>
                <w:szCs w:val="14"/>
                <w:lang w:eastAsia="en-US"/>
              </w:rPr>
              <w:t>32</w:t>
            </w:r>
          </w:p>
        </w:tc>
      </w:tr>
      <w:tr w:rsidR="00000000" w14:paraId="3474D607" w14:textId="77777777">
        <w:tblPrEx>
          <w:tblCellMar>
            <w:top w:w="0" w:type="dxa"/>
            <w:left w:w="0" w:type="dxa"/>
            <w:bottom w:w="0" w:type="dxa"/>
            <w:right w:w="0" w:type="dxa"/>
          </w:tblCellMar>
        </w:tblPrEx>
        <w:trPr>
          <w:trHeight w:hRule="exact" w:val="389"/>
          <w:jc w:val="center"/>
        </w:trPr>
        <w:tc>
          <w:tcPr>
            <w:tcW w:w="523" w:type="dxa"/>
            <w:tcBorders>
              <w:top w:val="nil"/>
              <w:left w:val="nil"/>
              <w:bottom w:val="nil"/>
              <w:right w:val="nil"/>
            </w:tcBorders>
          </w:tcPr>
          <w:p w14:paraId="5C66938B" w14:textId="77777777" w:rsidR="00B14B05" w:rsidRDefault="00B14B05">
            <w:pPr>
              <w:pStyle w:val="Style56"/>
              <w:spacing w:line="240" w:lineRule="auto"/>
              <w:ind w:firstLine="0"/>
              <w:jc w:val="both"/>
              <w:rPr>
                <w:rFonts w:ascii="Times New Roman" w:hAnsi="Times New Roman" w:cs="Times New Roman"/>
                <w:sz w:val="24"/>
                <w:szCs w:val="24"/>
              </w:rPr>
            </w:pPr>
            <w:r>
              <w:rPr>
                <w:rStyle w:val="CharStyle57"/>
                <w:rFonts w:ascii="Times New Roman" w:hAnsi="Times New Roman" w:cs="Times New Roman"/>
                <w:i/>
                <w:iCs/>
                <w:sz w:val="14"/>
                <w:szCs w:val="14"/>
                <w:lang w:eastAsia="en-US"/>
              </w:rPr>
              <w:t>dsoB</w:t>
            </w:r>
          </w:p>
        </w:tc>
        <w:tc>
          <w:tcPr>
            <w:tcW w:w="1325" w:type="dxa"/>
            <w:tcBorders>
              <w:top w:val="nil"/>
              <w:left w:val="nil"/>
              <w:bottom w:val="nil"/>
              <w:right w:val="nil"/>
            </w:tcBorders>
          </w:tcPr>
          <w:p w14:paraId="663716FB"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sz w:val="14"/>
                <w:szCs w:val="14"/>
                <w:lang w:eastAsia="en-US"/>
              </w:rPr>
              <w:t>DMS oxidation</w:t>
            </w:r>
          </w:p>
        </w:tc>
        <w:tc>
          <w:tcPr>
            <w:tcW w:w="9029" w:type="dxa"/>
            <w:tcBorders>
              <w:top w:val="nil"/>
              <w:left w:val="nil"/>
              <w:bottom w:val="nil"/>
              <w:right w:val="nil"/>
            </w:tcBorders>
          </w:tcPr>
          <w:p w14:paraId="6A799311"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sz w:val="14"/>
                <w:szCs w:val="14"/>
                <w:lang w:eastAsia="en-US"/>
              </w:rPr>
              <w:t>Catalyzes the oxidation of DMS to DMSO</w:t>
            </w:r>
          </w:p>
        </w:tc>
        <w:tc>
          <w:tcPr>
            <w:tcW w:w="2534" w:type="dxa"/>
            <w:tcBorders>
              <w:top w:val="nil"/>
              <w:left w:val="nil"/>
              <w:bottom w:val="nil"/>
              <w:right w:val="nil"/>
            </w:tcBorders>
            <w:vAlign w:val="bottom"/>
          </w:tcPr>
          <w:p w14:paraId="550BE4FE" w14:textId="77777777" w:rsidR="00B14B05" w:rsidRDefault="00B14B05">
            <w:pPr>
              <w:pStyle w:val="Style56"/>
              <w:spacing w:line="240" w:lineRule="auto"/>
              <w:ind w:left="180" w:hanging="180"/>
              <w:rPr>
                <w:rFonts w:ascii="Times New Roman" w:hAnsi="Times New Roman" w:cs="Times New Roman"/>
                <w:sz w:val="24"/>
                <w:szCs w:val="24"/>
              </w:rPr>
            </w:pPr>
            <w:r>
              <w:rPr>
                <w:rStyle w:val="CharStyle57"/>
                <w:rFonts w:ascii="Times New Roman" w:hAnsi="Times New Roman" w:cs="Times New Roman"/>
                <w:sz w:val="14"/>
                <w:szCs w:val="14"/>
                <w:lang w:eastAsia="en-US"/>
              </w:rPr>
              <w:t>Methane/phenol monooxygenase, hydroxylase component</w:t>
            </w:r>
          </w:p>
        </w:tc>
        <w:tc>
          <w:tcPr>
            <w:tcW w:w="341" w:type="dxa"/>
            <w:tcBorders>
              <w:top w:val="nil"/>
              <w:left w:val="nil"/>
              <w:bottom w:val="nil"/>
              <w:right w:val="nil"/>
            </w:tcBorders>
          </w:tcPr>
          <w:p w14:paraId="445CBABE"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color w:val="0D54A6"/>
                <w:sz w:val="14"/>
                <w:szCs w:val="14"/>
                <w:lang w:eastAsia="en-US"/>
              </w:rPr>
              <w:t>33</w:t>
            </w:r>
          </w:p>
        </w:tc>
      </w:tr>
      <w:tr w:rsidR="00000000" w14:paraId="352DD176" w14:textId="77777777">
        <w:tblPrEx>
          <w:tblCellMar>
            <w:top w:w="0" w:type="dxa"/>
            <w:left w:w="0" w:type="dxa"/>
            <w:bottom w:w="0" w:type="dxa"/>
            <w:right w:w="0" w:type="dxa"/>
          </w:tblCellMar>
        </w:tblPrEx>
        <w:trPr>
          <w:trHeight w:hRule="exact" w:val="221"/>
          <w:jc w:val="center"/>
        </w:trPr>
        <w:tc>
          <w:tcPr>
            <w:tcW w:w="523" w:type="dxa"/>
            <w:tcBorders>
              <w:top w:val="nil"/>
              <w:left w:val="nil"/>
              <w:bottom w:val="nil"/>
              <w:right w:val="nil"/>
            </w:tcBorders>
          </w:tcPr>
          <w:p w14:paraId="01439D91" w14:textId="77777777" w:rsidR="00B14B05" w:rsidRDefault="00B14B05">
            <w:pPr>
              <w:pStyle w:val="Style56"/>
              <w:spacing w:line="240" w:lineRule="auto"/>
              <w:ind w:firstLine="0"/>
              <w:jc w:val="both"/>
              <w:rPr>
                <w:rFonts w:ascii="Times New Roman" w:hAnsi="Times New Roman" w:cs="Times New Roman"/>
                <w:sz w:val="24"/>
                <w:szCs w:val="24"/>
              </w:rPr>
            </w:pPr>
            <w:r>
              <w:rPr>
                <w:rStyle w:val="CharStyle57"/>
                <w:rFonts w:ascii="Times New Roman" w:hAnsi="Times New Roman" w:cs="Times New Roman"/>
                <w:i/>
                <w:iCs/>
                <w:sz w:val="14"/>
                <w:szCs w:val="14"/>
                <w:lang w:eastAsia="en-US"/>
              </w:rPr>
              <w:t>tmm</w:t>
            </w:r>
          </w:p>
        </w:tc>
        <w:tc>
          <w:tcPr>
            <w:tcW w:w="1325" w:type="dxa"/>
            <w:tcBorders>
              <w:top w:val="nil"/>
              <w:left w:val="nil"/>
              <w:bottom w:val="nil"/>
              <w:right w:val="nil"/>
            </w:tcBorders>
          </w:tcPr>
          <w:p w14:paraId="1A00810B"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sz w:val="14"/>
                <w:szCs w:val="14"/>
                <w:lang w:eastAsia="en-US"/>
              </w:rPr>
              <w:t>DMS oxidation</w:t>
            </w:r>
          </w:p>
        </w:tc>
        <w:tc>
          <w:tcPr>
            <w:tcW w:w="9029" w:type="dxa"/>
            <w:tcBorders>
              <w:top w:val="nil"/>
              <w:left w:val="nil"/>
              <w:bottom w:val="nil"/>
              <w:right w:val="nil"/>
            </w:tcBorders>
          </w:tcPr>
          <w:p w14:paraId="206353C6"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sz w:val="14"/>
                <w:szCs w:val="14"/>
                <w:lang w:eastAsia="en-US"/>
              </w:rPr>
              <w:t>Catalyzes the oxidation of DMS to DMSO</w:t>
            </w:r>
          </w:p>
        </w:tc>
        <w:tc>
          <w:tcPr>
            <w:tcW w:w="2534" w:type="dxa"/>
            <w:tcBorders>
              <w:top w:val="nil"/>
              <w:left w:val="nil"/>
              <w:bottom w:val="nil"/>
              <w:right w:val="nil"/>
            </w:tcBorders>
          </w:tcPr>
          <w:p w14:paraId="1D918A91"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sz w:val="14"/>
                <w:szCs w:val="14"/>
                <w:lang w:eastAsia="en-US"/>
              </w:rPr>
              <w:t>FMO family</w:t>
            </w:r>
          </w:p>
        </w:tc>
        <w:tc>
          <w:tcPr>
            <w:tcW w:w="341" w:type="dxa"/>
            <w:tcBorders>
              <w:top w:val="nil"/>
              <w:left w:val="nil"/>
              <w:bottom w:val="nil"/>
              <w:right w:val="nil"/>
            </w:tcBorders>
          </w:tcPr>
          <w:p w14:paraId="737D9E46" w14:textId="77777777" w:rsidR="00B14B05" w:rsidRDefault="00B14B05">
            <w:pPr>
              <w:pStyle w:val="Style56"/>
              <w:spacing w:line="240" w:lineRule="auto"/>
              <w:ind w:firstLine="0"/>
              <w:rPr>
                <w:rFonts w:ascii="Times New Roman" w:hAnsi="Times New Roman" w:cs="Times New Roman"/>
                <w:sz w:val="24"/>
                <w:szCs w:val="24"/>
              </w:rPr>
            </w:pPr>
            <w:r>
              <w:rPr>
                <w:rStyle w:val="CharStyle57"/>
                <w:rFonts w:ascii="Times New Roman" w:hAnsi="Times New Roman" w:cs="Times New Roman"/>
                <w:color w:val="0D54A6"/>
                <w:sz w:val="14"/>
                <w:szCs w:val="14"/>
                <w:lang w:eastAsia="en-US"/>
              </w:rPr>
              <w:t>34</w:t>
            </w:r>
          </w:p>
        </w:tc>
      </w:tr>
    </w:tbl>
    <w:p w14:paraId="39C97EFF" w14:textId="77777777" w:rsidR="00B14B05" w:rsidRDefault="00B14B05">
      <w:pPr>
        <w:pStyle w:val="Style53"/>
        <w:rPr>
          <w:rFonts w:ascii="Times New Roman" w:hAnsi="Times New Roman" w:cs="Times New Roman"/>
          <w:b w:val="0"/>
          <w:bCs w:val="0"/>
          <w:sz w:val="24"/>
          <w:szCs w:val="24"/>
        </w:rPr>
        <w:sectPr w:rsidR="00000000">
          <w:headerReference w:type="default" r:id="rId33"/>
          <w:footerReference w:type="default" r:id="rId34"/>
          <w:pgSz w:w="16834" w:h="12149" w:orient="landscape"/>
          <w:pgMar w:top="1066" w:right="1611" w:bottom="706" w:left="1369" w:header="638" w:footer="278" w:gutter="0"/>
          <w:cols w:space="720"/>
          <w:noEndnote/>
          <w:docGrid w:linePitch="360"/>
        </w:sectPr>
      </w:pPr>
    </w:p>
    <w:p w14:paraId="0219E265" w14:textId="77777777" w:rsidR="00B14B05" w:rsidRDefault="00B14B05">
      <w:pPr>
        <w:pStyle w:val="Style11"/>
        <w:ind w:firstLine="0"/>
        <w:jc w:val="both"/>
        <w:rPr>
          <w:rFonts w:ascii="Times New Roman" w:hAnsi="Times New Roman" w:cs="Times New Roman"/>
          <w:sz w:val="24"/>
          <w:szCs w:val="24"/>
        </w:rPr>
      </w:pPr>
      <w:r>
        <w:rPr>
          <w:rStyle w:val="CharStyle12"/>
          <w:lang w:eastAsia="en-US"/>
        </w:rPr>
        <w:lastRenderedPageBreak/>
        <w:t>Real-time PCR System (Takara</w:t>
      </w:r>
      <w:r>
        <w:rPr>
          <w:rStyle w:val="CharStyle12"/>
          <w:lang w:eastAsia="en-US"/>
        </w:rPr>
        <w:t xml:space="preserve"> Biomedical Technology, Beijing, China). Each 100 nL reaction mixture contained 1</w:t>
      </w:r>
      <w:r>
        <w:rPr>
          <w:rStyle w:val="CharStyle12"/>
          <w:sz w:val="17"/>
          <w:szCs w:val="17"/>
          <w:lang w:eastAsia="en-US"/>
        </w:rPr>
        <w:t xml:space="preserve">× </w:t>
      </w:r>
      <w:r>
        <w:rPr>
          <w:rStyle w:val="CharStyle12"/>
          <w:lang w:eastAsia="en-US"/>
        </w:rPr>
        <w:t xml:space="preserve">LightCycler 480 SYBR Green I Master Mix (Roche Applied Sciences, Indianapolis, IN), 0.4 </w:t>
      </w:r>
      <w:r>
        <w:rPr>
          <w:rStyle w:val="CharStyle12"/>
          <w:i/>
          <w:iCs/>
          <w:sz w:val="16"/>
          <w:szCs w:val="16"/>
          <w:lang w:eastAsia="en-US"/>
        </w:rPr>
        <w:t>μ</w:t>
      </w:r>
      <w:r>
        <w:rPr>
          <w:rStyle w:val="CharStyle12"/>
          <w:lang w:eastAsia="en-US"/>
        </w:rPr>
        <w:t>M primer, and the serially diluted plasmid mixture (10</w:t>
      </w:r>
      <w:r>
        <w:rPr>
          <w:rStyle w:val="CharStyle12"/>
          <w:vertAlign w:val="superscript"/>
          <w:lang w:eastAsia="en-US"/>
        </w:rPr>
        <w:t>2</w:t>
      </w:r>
      <w:r>
        <w:rPr>
          <w:rStyle w:val="CharStyle12"/>
          <w:sz w:val="17"/>
          <w:szCs w:val="17"/>
          <w:lang w:eastAsia="en-US"/>
        </w:rPr>
        <w:t>-</w:t>
      </w:r>
      <w:r>
        <w:rPr>
          <w:rStyle w:val="CharStyle12"/>
          <w:lang w:eastAsia="en-US"/>
        </w:rPr>
        <w:t>10</w:t>
      </w:r>
      <w:r>
        <w:rPr>
          <w:rStyle w:val="CharStyle12"/>
          <w:vertAlign w:val="superscript"/>
          <w:lang w:eastAsia="en-US"/>
        </w:rPr>
        <w:t>8</w:t>
      </w:r>
      <w:r>
        <w:rPr>
          <w:rStyle w:val="CharStyle12"/>
          <w:lang w:eastAsia="en-US"/>
        </w:rPr>
        <w:t xml:space="preserve"> copies/</w:t>
      </w:r>
      <w:r>
        <w:rPr>
          <w:rStyle w:val="CharStyle12"/>
          <w:i/>
          <w:iCs/>
          <w:sz w:val="16"/>
          <w:szCs w:val="16"/>
          <w:lang w:eastAsia="en-US"/>
        </w:rPr>
        <w:t>μ</w:t>
      </w:r>
      <w:r>
        <w:rPr>
          <w:rStyle w:val="CharStyle12"/>
          <w:lang w:eastAsia="en-US"/>
        </w:rPr>
        <w:t>L). The amplifica</w:t>
      </w:r>
      <w:r>
        <w:rPr>
          <w:rStyle w:val="CharStyle12"/>
          <w:lang w:eastAsia="en-US"/>
        </w:rPr>
        <w:softHyphen/>
        <w:t xml:space="preserve">tion program was as follows: an initial denaturation at 95 </w:t>
      </w:r>
      <w:r>
        <w:rPr>
          <w:rStyle w:val="CharStyle12"/>
          <w:sz w:val="17"/>
          <w:szCs w:val="17"/>
          <w:lang w:eastAsia="en-US"/>
        </w:rPr>
        <w:t>°</w:t>
      </w:r>
      <w:r>
        <w:rPr>
          <w:rStyle w:val="CharStyle12"/>
          <w:lang w:eastAsia="en-US"/>
        </w:rPr>
        <w:t xml:space="preserve">C for 5 min, followed by 40 cycles of 95 </w:t>
      </w:r>
      <w:r>
        <w:rPr>
          <w:rStyle w:val="CharStyle12"/>
          <w:sz w:val="17"/>
          <w:szCs w:val="17"/>
          <w:lang w:eastAsia="en-US"/>
        </w:rPr>
        <w:t>°</w:t>
      </w:r>
      <w:r>
        <w:rPr>
          <w:rStyle w:val="CharStyle12"/>
          <w:lang w:eastAsia="en-US"/>
        </w:rPr>
        <w:t xml:space="preserve">C for 30 s, annealing at 60 </w:t>
      </w:r>
      <w:r>
        <w:rPr>
          <w:rStyle w:val="CharStyle12"/>
          <w:sz w:val="17"/>
          <w:szCs w:val="17"/>
          <w:lang w:eastAsia="en-US"/>
        </w:rPr>
        <w:t>°</w:t>
      </w:r>
      <w:r>
        <w:rPr>
          <w:rStyle w:val="CharStyle12"/>
          <w:lang w:eastAsia="en-US"/>
        </w:rPr>
        <w:t xml:space="preserve">C for 30 s, and extension at 72 </w:t>
      </w:r>
      <w:r>
        <w:rPr>
          <w:rStyle w:val="CharStyle12"/>
          <w:sz w:val="17"/>
          <w:szCs w:val="17"/>
          <w:lang w:eastAsia="en-US"/>
        </w:rPr>
        <w:t>°</w:t>
      </w:r>
      <w:r>
        <w:rPr>
          <w:rStyle w:val="CharStyle12"/>
          <w:lang w:eastAsia="en-US"/>
        </w:rPr>
        <w:t>C for 30 s. All reactions were performed in triplicate, with a no-template control (NTC) included in each run. A sample was recorded as positive if amplification was detected in at least two of the three technical replicates.</w:t>
      </w:r>
    </w:p>
    <w:p w14:paraId="360EE36E" w14:textId="77777777" w:rsidR="00B14B05" w:rsidRDefault="00B14B05">
      <w:pPr>
        <w:pStyle w:val="Style11"/>
        <w:ind w:firstLine="220"/>
        <w:jc w:val="both"/>
        <w:rPr>
          <w:rFonts w:ascii="Times New Roman" w:hAnsi="Times New Roman" w:cs="Times New Roman"/>
          <w:sz w:val="24"/>
          <w:szCs w:val="24"/>
        </w:rPr>
      </w:pPr>
      <w:r>
        <w:rPr>
          <w:rStyle w:val="CharStyle12"/>
          <w:lang w:eastAsia="en-US"/>
        </w:rPr>
        <w:t>Linear regression analysis of the standard curves was performed using GraphPad Prism 9. The amplificatio</w:t>
      </w:r>
      <w:r>
        <w:rPr>
          <w:rStyle w:val="CharStyle12"/>
          <w:lang w:eastAsia="en-US"/>
        </w:rPr>
        <w:t>n efficiency (Eff) was calculated from the slope of the standard curve using the equation: Eff = 10</w:t>
      </w:r>
      <w:r>
        <w:rPr>
          <w:rStyle w:val="CharStyle12"/>
          <w:vertAlign w:val="superscript"/>
          <w:lang w:eastAsia="en-US"/>
        </w:rPr>
        <w:t>(</w:t>
      </w:r>
      <w:r>
        <w:rPr>
          <w:rStyle w:val="CharStyle12"/>
          <w:sz w:val="11"/>
          <w:szCs w:val="11"/>
          <w:vertAlign w:val="superscript"/>
          <w:lang w:eastAsia="en-US"/>
        </w:rPr>
        <w:t>-</w:t>
      </w:r>
      <w:r>
        <w:rPr>
          <w:rStyle w:val="CharStyle12"/>
          <w:vertAlign w:val="superscript"/>
          <w:lang w:eastAsia="en-US"/>
        </w:rPr>
        <w:t>1/slope)</w:t>
      </w:r>
      <w:r>
        <w:rPr>
          <w:rStyle w:val="CharStyle12"/>
          <w:sz w:val="17"/>
          <w:szCs w:val="17"/>
          <w:lang w:eastAsia="en-US"/>
        </w:rPr>
        <w:t>-</w:t>
      </w:r>
      <w:r>
        <w:rPr>
          <w:rStyle w:val="CharStyle12"/>
          <w:lang w:eastAsia="en-US"/>
        </w:rPr>
        <w:t>1.</w:t>
      </w:r>
      <w:r>
        <w:rPr>
          <w:rStyle w:val="CharStyle12"/>
          <w:color w:val="0D54A6"/>
          <w:vertAlign w:val="superscript"/>
          <w:lang w:eastAsia="en-US"/>
        </w:rPr>
        <w:t>63</w:t>
      </w:r>
      <w:r>
        <w:rPr>
          <w:rStyle w:val="CharStyle12"/>
          <w:color w:val="0D54A6"/>
          <w:lang w:eastAsia="en-US"/>
        </w:rPr>
        <w:t xml:space="preserve"> </w:t>
      </w:r>
      <w:r>
        <w:rPr>
          <w:rStyle w:val="CharStyle12"/>
          <w:lang w:eastAsia="en-US"/>
        </w:rPr>
        <w:t>The limit of quantification (LoQ) was opera</w:t>
      </w:r>
      <w:r>
        <w:rPr>
          <w:rStyle w:val="CharStyle12"/>
          <w:lang w:eastAsia="en-US"/>
        </w:rPr>
        <w:t>tionally defined as the lowest plasmid concentration in the standard curve for which the technical replicates could be quantified with high reproduci</w:t>
      </w:r>
      <w:r>
        <w:rPr>
          <w:rStyle w:val="CharStyle12"/>
          <w:lang w:eastAsia="en-US"/>
        </w:rPr>
        <w:softHyphen/>
        <w:t>bility, specifically, a coefficient of variation (CV) of less than 25%. The quantification cycle cutoff (Cqcutoff) was then determined as the average Cq value corresponding to this LoQ concentration.</w:t>
      </w:r>
      <w:r>
        <w:rPr>
          <w:rStyle w:val="CharStyle12"/>
          <w:color w:val="0D54A6"/>
          <w:vertAlign w:val="superscript"/>
          <w:lang w:eastAsia="en-US"/>
        </w:rPr>
        <w:t>46</w:t>
      </w:r>
      <w:r>
        <w:rPr>
          <w:rStyle w:val="CharStyle12"/>
          <w:vertAlign w:val="superscript"/>
          <w:lang w:eastAsia="en-US"/>
        </w:rPr>
        <w:t>,</w:t>
      </w:r>
      <w:r>
        <w:rPr>
          <w:rStyle w:val="CharStyle12"/>
          <w:color w:val="0D54A6"/>
          <w:vertAlign w:val="superscript"/>
          <w:lang w:eastAsia="en-US"/>
        </w:rPr>
        <w:t>50</w:t>
      </w:r>
      <w:r>
        <w:rPr>
          <w:rStyle w:val="CharStyle12"/>
          <w:color w:val="0D54A6"/>
          <w:lang w:eastAsia="en-US"/>
        </w:rPr>
        <w:t xml:space="preserve"> </w:t>
      </w:r>
      <w:r>
        <w:rPr>
          <w:rStyle w:val="CharStyle12"/>
          <w:lang w:eastAsia="en-US"/>
        </w:rPr>
        <w:t>The overall sensitivity of the HT-qPCR assay was assessed based on the calculated LoQ values. The accuracy of the HT-qPCR chip was evaluated by comparing its</w:t>
      </w:r>
      <w:r>
        <w:rPr>
          <w:rStyle w:val="CharStyle12"/>
          <w:lang w:eastAsia="en-US"/>
        </w:rPr>
        <w:t xml:space="preserve"> quantification results to those from a conventional qPCR platform via linear regression analysis.</w:t>
      </w:r>
    </w:p>
    <w:p w14:paraId="7437C947" w14:textId="77777777" w:rsidR="00B14B05" w:rsidRDefault="00B14B05">
      <w:pPr>
        <w:pStyle w:val="Style11"/>
        <w:numPr>
          <w:ilvl w:val="2"/>
          <w:numId w:val="1"/>
        </w:numPr>
        <w:tabs>
          <w:tab w:val="left" w:pos="750"/>
        </w:tabs>
        <w:spacing w:line="305" w:lineRule="auto"/>
        <w:ind w:firstLine="220"/>
        <w:jc w:val="both"/>
        <w:rPr>
          <w:sz w:val="24"/>
          <w:szCs w:val="24"/>
        </w:rPr>
      </w:pPr>
      <w:r>
        <w:rPr>
          <w:rStyle w:val="CharStyle12"/>
          <w:i/>
          <w:iCs/>
          <w:sz w:val="18"/>
          <w:szCs w:val="18"/>
          <w:lang w:eastAsia="en-US"/>
        </w:rPr>
        <w:t>In Silico Evaluation.</w:t>
      </w:r>
      <w:r>
        <w:rPr>
          <w:rStyle w:val="CharStyle12"/>
          <w:lang w:eastAsia="en-US"/>
        </w:rPr>
        <w:t xml:space="preserve"> The coverage of the primer sets was evaluated against the Primer Design Database for each gene. Each primer pair was aligned against its target gene database, allowing a maximum of two mismatches. Coverage was defined as the percentage of sequences in the target database that matched both the forward and reverse primers. To more accurately assess specificity, we used the larger Primer Validation Database to check the specificity, false-positive rate, and amplification overlap. The sequences matched by the </w:t>
      </w:r>
      <w:r>
        <w:rPr>
          <w:rStyle w:val="CharStyle12"/>
          <w:lang w:eastAsia="en-US"/>
        </w:rPr>
        <w:t xml:space="preserve">primer pairs were aligned against the sequences of the target gene. A sequence with </w:t>
      </w:r>
      <w:r>
        <w:rPr>
          <w:rStyle w:val="CharStyle12"/>
          <w:sz w:val="17"/>
          <w:szCs w:val="17"/>
          <w:lang w:eastAsia="en-US"/>
        </w:rPr>
        <w:t>≥</w:t>
      </w:r>
      <w:r>
        <w:rPr>
          <w:rStyle w:val="CharStyle12"/>
          <w:lang w:eastAsia="en-US"/>
        </w:rPr>
        <w:t>80% similarity was defined as a true</w:t>
      </w:r>
      <w:r>
        <w:rPr>
          <w:rStyle w:val="CharStyle12"/>
          <w:lang w:eastAsia="en-US"/>
        </w:rPr>
        <w:softHyphen/>
        <w:t xml:space="preserve">positive sequence, while one with &lt;80% similarity was considered a false-positive. The specificity and false-positive rate were calculated as follows: Specificity = true-positives/ (true-positives + false-positives); false-positive rate = false- positives/(total sequences in database </w:t>
      </w:r>
      <w:r>
        <w:rPr>
          <w:rStyle w:val="CharStyle12"/>
          <w:sz w:val="17"/>
          <w:szCs w:val="17"/>
          <w:lang w:eastAsia="en-US"/>
        </w:rPr>
        <w:t xml:space="preserve">- </w:t>
      </w:r>
      <w:r>
        <w:rPr>
          <w:rStyle w:val="CharStyle12"/>
          <w:lang w:eastAsia="en-US"/>
        </w:rPr>
        <w:t xml:space="preserve">target gene sequences). For genes with multiple primer pairs, we assessed the potential for amplification overlap. If two different primer pairs amplified the same target sequence, it was </w:t>
      </w:r>
      <w:r>
        <w:rPr>
          <w:rStyle w:val="CharStyle12"/>
          <w:lang w:eastAsia="en-US"/>
        </w:rPr>
        <w:t>counted as an overlap. The overlap rate was calculated as overlap rate = number of overlapping sequences/total number of matched sequence results.</w:t>
      </w:r>
    </w:p>
    <w:p w14:paraId="1B31A33A" w14:textId="270780A0" w:rsidR="00B14B05" w:rsidRDefault="00B14B05">
      <w:pPr>
        <w:pStyle w:val="Style11"/>
        <w:numPr>
          <w:ilvl w:val="1"/>
          <w:numId w:val="1"/>
        </w:numPr>
        <w:tabs>
          <w:tab w:val="left" w:pos="667"/>
        </w:tabs>
        <w:spacing w:line="300" w:lineRule="auto"/>
        <w:ind w:firstLine="220"/>
        <w:jc w:val="both"/>
        <w:rPr>
          <w:sz w:val="24"/>
          <w:szCs w:val="24"/>
        </w:rPr>
        <w:sectPr w:rsidR="00000000">
          <w:headerReference w:type="default" r:id="rId35"/>
          <w:footerReference w:type="default" r:id="rId36"/>
          <w:pgSz w:w="12149" w:h="16834"/>
          <w:pgMar w:top="1547" w:right="975" w:bottom="1315" w:left="6274" w:header="0" w:footer="3" w:gutter="0"/>
          <w:cols w:space="720"/>
          <w:noEndnote/>
          <w:docGrid w:linePitch="360"/>
        </w:sectPr>
      </w:pPr>
      <w:r>
        <w:rPr>
          <w:noProof/>
        </w:rPr>
        <mc:AlternateContent>
          <mc:Choice Requires="wps">
            <w:drawing>
              <wp:anchor distT="0" distB="0" distL="114300" distR="114300" simplePos="0" relativeHeight="251674624" behindDoc="0" locked="0" layoutInCell="1" allowOverlap="1" wp14:anchorId="331B0B5C" wp14:editId="6519BA28">
                <wp:simplePos x="0" y="0"/>
                <wp:positionH relativeFrom="margin">
                  <wp:posOffset>-3295015</wp:posOffset>
                </wp:positionH>
                <wp:positionV relativeFrom="paragraph">
                  <wp:posOffset>939800</wp:posOffset>
                </wp:positionV>
                <wp:extent cx="125095" cy="1009015"/>
                <wp:effectExtent l="3175" t="3175" r="0" b="0"/>
                <wp:wrapSquare wrapText="bothSides"/>
                <wp:docPr id="730347154"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095" cy="1009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22ECCA" w14:textId="77777777" w:rsidR="00B14B05" w:rsidRDefault="00B14B05">
                            <w:pPr>
                              <w:pStyle w:val="Style11"/>
                              <w:spacing w:line="240" w:lineRule="auto"/>
                              <w:ind w:firstLine="0"/>
                              <w:rPr>
                                <w:rFonts w:ascii="Times New Roman" w:hAnsi="Times New Roman" w:cs="Times New Roman"/>
                                <w:sz w:val="24"/>
                                <w:szCs w:val="24"/>
                              </w:rPr>
                            </w:pPr>
                            <w:r>
                              <w:rPr>
                                <w:rStyle w:val="CharStyle12"/>
                                <w:lang w:eastAsia="en-US"/>
                              </w:rPr>
                              <w:t>Table 1. continued</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1B0B5C" id="Text Box 29" o:spid="_x0000_s1039" type="#_x0000_t202" style="position:absolute;left:0;text-align:left;margin-left:-259.45pt;margin-top:74pt;width:9.85pt;height:79.45pt;z-index:2516746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" filled="f" stroked="f">
                <v:textbox style="layout-flow:vertical;mso-layout-flow-alt:bottom-to-top" inset="0,0,0,0">
                  <w:txbxContent>
                    <w:p w14:paraId="4B22ECCA" w14:textId="77777777" w:rsidR="00B14B05" w:rsidRDefault="00B14B05">
                      <w:pPr>
                        <w:pStyle w:val="Style11"/>
                        <w:spacing w:line="240" w:lineRule="auto"/>
                        <w:ind w:firstLine="0"/>
                        <w:rPr>
                          <w:rFonts w:ascii="Times New Roman" w:hAnsi="Times New Roman" w:cs="Times New Roman"/>
                          <w:sz w:val="24"/>
                          <w:szCs w:val="24"/>
                        </w:rPr>
                      </w:pPr>
                      <w:r>
                        <w:rPr>
                          <w:rStyle w:val="CharStyle12"/>
                          <w:lang w:eastAsia="en-US"/>
                        </w:rPr>
                        <w:t>Table 1. continued</w:t>
                      </w:r>
                    </w:p>
                  </w:txbxContent>
                </v:textbox>
                <w10:wrap type="square" anchorx="margin"/>
              </v:shape>
            </w:pict>
          </mc:Fallback>
        </mc:AlternateContent>
      </w:r>
      <w:r>
        <w:rPr>
          <w:rStyle w:val="CharStyle12"/>
          <w:b/>
          <w:bCs/>
          <w:sz w:val="18"/>
          <w:szCs w:val="18"/>
          <w:lang w:eastAsia="en-US"/>
        </w:rPr>
        <w:t xml:space="preserve">Application of the DSMG-Chip to Diverse Marine Environments. </w:t>
      </w:r>
      <w:r>
        <w:rPr>
          <w:rStyle w:val="CharStyle12"/>
          <w:lang w:eastAsia="en-US"/>
        </w:rPr>
        <w:t xml:space="preserve">To demonstrate the performance and broad applicability of DSMG-Chip, a diverse suite of environmental samples was analyzed. Detailed information on sample collection sites is provided in </w:t>
      </w:r>
      <w:hyperlink r:id="rId37" w:history="1">
        <w:r>
          <w:rPr>
            <w:rStyle w:val="CharStyle12"/>
            <w:color w:val="0D54A6"/>
            <w:lang w:eastAsia="en-US"/>
          </w:rPr>
          <w:t>Table S1</w:t>
        </w:r>
      </w:hyperlink>
      <w:r>
        <w:rPr>
          <w:rStyle w:val="CharStyle12"/>
          <w:lang w:eastAsia="en-US"/>
        </w:rPr>
        <w:t>. The sample set was selected to ensure comprehensive coverage of marine ecosystems and included seawater samples collected from various depths in the Pacific, Atlantic, and Indian Oceans, as well as the Southern Ocean. To further challenge the chip’s performance in unique biogeochemical settings, sediment samples from extreme environments, including hydrothermal vents, cold seeps, and deep-sea trenches, were also incorporated into the analysis (</w:t>
      </w:r>
      <w:hyperlink r:id="rId38" w:history="1">
        <w:r>
          <w:rPr>
            <w:rStyle w:val="CharStyle12"/>
            <w:color w:val="0D54A6"/>
            <w:lang w:eastAsia="en-US"/>
          </w:rPr>
          <w:t>Figure S2</w:t>
        </w:r>
      </w:hyperlink>
      <w:r>
        <w:rPr>
          <w:rStyle w:val="CharStyle12"/>
          <w:lang w:eastAsia="en-US"/>
        </w:rPr>
        <w:t>). DNA was extracted from all samples and subjected to quality control using the</w:t>
      </w:r>
    </w:p>
    <w:p w14:paraId="5A4FBA6A" w14:textId="77777777" w:rsidR="00B14B05" w:rsidRDefault="00B14B05">
      <w:pPr>
        <w:pStyle w:val="Style11"/>
        <w:ind w:firstLine="0"/>
        <w:jc w:val="both"/>
        <w:rPr>
          <w:rFonts w:ascii="Times New Roman" w:hAnsi="Times New Roman" w:cs="Times New Roman"/>
          <w:sz w:val="24"/>
          <w:szCs w:val="24"/>
        </w:rPr>
      </w:pPr>
      <w:r>
        <w:rPr>
          <w:rStyle w:val="CharStyle12"/>
          <w:lang w:eastAsia="en-US"/>
        </w:rPr>
        <w:lastRenderedPageBreak/>
        <w:t xml:space="preserve">methods previously described in </w:t>
      </w:r>
      <w:r>
        <w:rPr>
          <w:rStyle w:val="CharStyle12"/>
          <w:color w:val="0D54A6"/>
          <w:lang w:eastAsia="en-US"/>
        </w:rPr>
        <w:t xml:space="preserve">Section 2.2 </w:t>
      </w:r>
      <w:r>
        <w:rPr>
          <w:rStyle w:val="CharStyle12"/>
          <w:lang w:eastAsia="en-US"/>
        </w:rPr>
        <w:t>Validation of the Primer Specificity (</w:t>
      </w:r>
      <w:hyperlink r:id="rId39" w:history="1">
        <w:r>
          <w:rPr>
            <w:rStyle w:val="CharStyle12"/>
            <w:color w:val="0D54A6"/>
            <w:lang w:eastAsia="en-US"/>
          </w:rPr>
          <w:t>Table S2</w:t>
        </w:r>
      </w:hyperlink>
      <w:r>
        <w:rPr>
          <w:rStyle w:val="CharStyle12"/>
          <w:lang w:eastAsia="en-US"/>
        </w:rPr>
        <w:t xml:space="preserve">). The HT-qPCR reaction setup, amplification program, and instrumentation were identical to those described for the standard curve analysis in </w:t>
      </w:r>
      <w:r>
        <w:rPr>
          <w:rStyle w:val="CharStyle12"/>
          <w:color w:val="0D54A6"/>
          <w:lang w:eastAsia="en-US"/>
        </w:rPr>
        <w:t xml:space="preserve">Section 2.2 </w:t>
      </w:r>
      <w:r>
        <w:rPr>
          <w:rStyle w:val="CharStyle12"/>
          <w:lang w:eastAsia="en-US"/>
        </w:rPr>
        <w:t>for the Determination of Amplification Efficiency, Sensitivity, and Accuracy.</w:t>
      </w:r>
    </w:p>
    <w:p w14:paraId="3FAF6640" w14:textId="77777777" w:rsidR="00B14B05" w:rsidRDefault="00B14B05">
      <w:pPr>
        <w:pStyle w:val="Style11"/>
        <w:ind w:firstLine="220"/>
        <w:jc w:val="both"/>
        <w:rPr>
          <w:rFonts w:ascii="Times New Roman" w:hAnsi="Times New Roman" w:cs="Times New Roman"/>
          <w:sz w:val="24"/>
          <w:szCs w:val="24"/>
        </w:rPr>
      </w:pPr>
      <w:r>
        <w:rPr>
          <w:rStyle w:val="CharStyle12"/>
          <w:lang w:eastAsia="en-US"/>
        </w:rPr>
        <w:t>Raw amplification data from the SmartChip Real-Time PCR System were processed to determine the quantification cycle (Cq) for each reaction. The abundance of target genes was expressed using both absolute and normalized metrics (relative abundance).</w:t>
      </w:r>
    </w:p>
    <w:p w14:paraId="46F274C0" w14:textId="77777777" w:rsidR="00B14B05" w:rsidRDefault="00B14B05">
      <w:pPr>
        <w:pStyle w:val="Style11"/>
        <w:ind w:firstLine="220"/>
        <w:jc w:val="both"/>
        <w:rPr>
          <w:rFonts w:ascii="Times New Roman" w:hAnsi="Times New Roman" w:cs="Times New Roman"/>
          <w:sz w:val="24"/>
          <w:szCs w:val="24"/>
        </w:rPr>
      </w:pPr>
      <w:r>
        <w:rPr>
          <w:rStyle w:val="CharStyle12"/>
          <w:lang w:eastAsia="en-US"/>
        </w:rPr>
        <w:t>The absolute abundance (copies per gram of sediment or milliliter of seawater) of each target gene was calculated based on its respective plasmid standard curve. For normalization across samples with varying microbial biomass, a primer set targeting the 16S rRNA gene was included in the assay.</w:t>
      </w:r>
      <w:r>
        <w:rPr>
          <w:rStyle w:val="CharStyle12"/>
          <w:color w:val="0D54A6"/>
          <w:vertAlign w:val="superscript"/>
          <w:lang w:eastAsia="en-US"/>
        </w:rPr>
        <w:t>47</w:t>
      </w:r>
    </w:p>
    <w:p w14:paraId="5E75B8DF" w14:textId="77777777" w:rsidR="00B14B05" w:rsidRDefault="00B14B05">
      <w:pPr>
        <w:pStyle w:val="Style11"/>
        <w:spacing w:after="140"/>
        <w:ind w:firstLine="220"/>
        <w:jc w:val="both"/>
        <w:rPr>
          <w:rFonts w:ascii="Times New Roman" w:hAnsi="Times New Roman" w:cs="Times New Roman"/>
          <w:sz w:val="24"/>
          <w:szCs w:val="24"/>
        </w:rPr>
      </w:pPr>
      <w:r>
        <w:rPr>
          <w:rStyle w:val="CharStyle12"/>
          <w:lang w:eastAsia="en-US"/>
        </w:rPr>
        <w:t>A comparative absolute abundance for each DSMG was also calculated to provide a normalized estimate of gene copies per 16S rRNA gene copy. This calculation followed established protocols.</w:t>
      </w:r>
      <w:r>
        <w:rPr>
          <w:rStyle w:val="CharStyle12"/>
          <w:color w:val="0D54A6"/>
          <w:vertAlign w:val="superscript"/>
          <w:lang w:eastAsia="en-US"/>
        </w:rPr>
        <w:t>64</w:t>
      </w:r>
      <w:r>
        <w:rPr>
          <w:rStyle w:val="CharStyle12"/>
          <w:vertAlign w:val="superscript"/>
          <w:lang w:eastAsia="en-US"/>
        </w:rPr>
        <w:t>,</w:t>
      </w:r>
      <w:r>
        <w:rPr>
          <w:rStyle w:val="CharStyle12"/>
          <w:color w:val="0D54A6"/>
          <w:vertAlign w:val="superscript"/>
          <w:lang w:eastAsia="en-US"/>
        </w:rPr>
        <w:t>65</w:t>
      </w:r>
      <w:r>
        <w:rPr>
          <w:rStyle w:val="CharStyle12"/>
          <w:color w:val="0D54A6"/>
          <w:lang w:eastAsia="en-US"/>
        </w:rPr>
        <w:t xml:space="preserve"> </w:t>
      </w:r>
      <w:r>
        <w:rPr>
          <w:rStyle w:val="CharStyle12"/>
          <w:lang w:eastAsia="en-US"/>
        </w:rPr>
        <w:t>First, a relative gene copy number was calculated for each target and for the 16S rRNA gene using the following formula:</w:t>
      </w:r>
    </w:p>
    <w:p w14:paraId="65423C05" w14:textId="77777777" w:rsidR="00B14B05" w:rsidRDefault="00B14B05">
      <w:pPr>
        <w:pStyle w:val="Style11"/>
        <w:spacing w:after="140"/>
        <w:rPr>
          <w:rFonts w:ascii="Times New Roman" w:hAnsi="Times New Roman" w:cs="Times New Roman"/>
          <w:sz w:val="24"/>
          <w:szCs w:val="24"/>
        </w:rPr>
      </w:pPr>
      <w:r>
        <w:rPr>
          <w:rStyle w:val="CharStyle12"/>
          <w:lang w:eastAsia="en-US"/>
        </w:rPr>
        <w:t xml:space="preserve">Relative Gene Copy Number </w:t>
      </w:r>
      <w:r>
        <w:rPr>
          <w:rStyle w:val="CharStyle12"/>
          <w:sz w:val="17"/>
          <w:szCs w:val="17"/>
          <w:lang w:eastAsia="en-US"/>
        </w:rPr>
        <w:t xml:space="preserve">= </w:t>
      </w:r>
      <w:r>
        <w:rPr>
          <w:rStyle w:val="CharStyle12"/>
          <w:lang w:eastAsia="en-US"/>
        </w:rPr>
        <w:t>10</w:t>
      </w:r>
      <w:r>
        <w:rPr>
          <w:rStyle w:val="CharStyle12"/>
          <w:vertAlign w:val="superscript"/>
          <w:lang w:eastAsia="en-US"/>
        </w:rPr>
        <w:t>(Cqcutoff Cq)/(10/3)</w:t>
      </w:r>
    </w:p>
    <w:p w14:paraId="39057311" w14:textId="77777777" w:rsidR="00B14B05" w:rsidRDefault="00B14B05">
      <w:pPr>
        <w:pStyle w:val="Style11"/>
        <w:spacing w:after="140"/>
        <w:ind w:firstLine="220"/>
        <w:jc w:val="both"/>
        <w:rPr>
          <w:rFonts w:ascii="Times New Roman" w:hAnsi="Times New Roman" w:cs="Times New Roman"/>
          <w:sz w:val="24"/>
          <w:szCs w:val="24"/>
        </w:rPr>
      </w:pPr>
      <w:r>
        <w:rPr>
          <w:rStyle w:val="CharStyle12"/>
          <w:lang w:eastAsia="en-US"/>
        </w:rPr>
        <w:t>In this equation, Cq represents</w:t>
      </w:r>
      <w:r>
        <w:rPr>
          <w:rStyle w:val="CharStyle12"/>
          <w:lang w:eastAsia="en-US"/>
        </w:rPr>
        <w:t xml:space="preserve"> the quantification cycle for a specific sample, and Cqcutoff is the empirically determined optimal cutoff value for that primer pair, as established during the validation phase. The relative abundance of each DSMG was then determined by normalizing its relative copy number to that of the 16S rRNA gene. Finally, the comparative absolute abundance was calculated as</w:t>
      </w:r>
    </w:p>
    <w:p w14:paraId="211C388E" w14:textId="77777777" w:rsidR="00B14B05" w:rsidRDefault="00B14B05">
      <w:pPr>
        <w:pStyle w:val="Style11"/>
        <w:spacing w:after="60"/>
        <w:rPr>
          <w:rFonts w:ascii="Times New Roman" w:hAnsi="Times New Roman" w:cs="Times New Roman"/>
          <w:sz w:val="24"/>
          <w:szCs w:val="24"/>
        </w:rPr>
      </w:pPr>
      <w:r>
        <w:rPr>
          <w:rStyle w:val="CharStyle12"/>
          <w:lang w:eastAsia="en-US"/>
        </w:rPr>
        <w:t>Comparative Absolute Abundance</w:t>
      </w:r>
    </w:p>
    <w:p w14:paraId="52B27035" w14:textId="77777777" w:rsidR="00B14B05" w:rsidRDefault="00B14B05">
      <w:pPr>
        <w:pStyle w:val="Style11"/>
        <w:spacing w:after="60" w:line="271" w:lineRule="auto"/>
        <w:ind w:firstLine="460"/>
        <w:rPr>
          <w:rFonts w:ascii="Times New Roman" w:hAnsi="Times New Roman" w:cs="Times New Roman"/>
          <w:sz w:val="24"/>
          <w:szCs w:val="24"/>
        </w:rPr>
      </w:pPr>
      <w:r>
        <w:rPr>
          <w:rStyle w:val="CharStyle12"/>
          <w:sz w:val="17"/>
          <w:szCs w:val="17"/>
          <w:lang w:eastAsia="en-US"/>
        </w:rPr>
        <w:t xml:space="preserve">= </w:t>
      </w:r>
      <w:r>
        <w:rPr>
          <w:rStyle w:val="CharStyle12"/>
          <w:lang w:eastAsia="en-US"/>
        </w:rPr>
        <w:t xml:space="preserve">Relative DSMG Abundance </w:t>
      </w:r>
      <w:r>
        <w:rPr>
          <w:rStyle w:val="CharStyle12"/>
          <w:sz w:val="17"/>
          <w:szCs w:val="17"/>
          <w:lang w:eastAsia="en-US"/>
        </w:rPr>
        <w:t xml:space="preserve">× </w:t>
      </w:r>
      <w:r>
        <w:rPr>
          <w:rStyle w:val="CharStyle12"/>
          <w:lang w:eastAsia="en-US"/>
        </w:rPr>
        <w:t>Absolute 16</w:t>
      </w:r>
    </w:p>
    <w:p w14:paraId="22878C2E" w14:textId="77777777" w:rsidR="00B14B05" w:rsidRDefault="00B14B05">
      <w:pPr>
        <w:pStyle w:val="Style11"/>
        <w:spacing w:after="60"/>
        <w:ind w:firstLine="660"/>
        <w:rPr>
          <w:rFonts w:ascii="Times New Roman" w:hAnsi="Times New Roman" w:cs="Times New Roman"/>
          <w:sz w:val="24"/>
          <w:szCs w:val="24"/>
        </w:rPr>
      </w:pPr>
      <w:r>
        <w:rPr>
          <w:rStyle w:val="CharStyle12"/>
          <w:lang w:eastAsia="en-US"/>
        </w:rPr>
        <w:t>SrRNA Gene Abundance</w:t>
      </w:r>
    </w:p>
    <w:p w14:paraId="45197BE8" w14:textId="77777777" w:rsidR="00B14B05" w:rsidRDefault="00B14B05">
      <w:pPr>
        <w:pStyle w:val="Style11"/>
        <w:numPr>
          <w:ilvl w:val="1"/>
          <w:numId w:val="1"/>
        </w:numPr>
        <w:tabs>
          <w:tab w:val="left" w:pos="649"/>
        </w:tabs>
        <w:spacing w:after="140" w:line="302" w:lineRule="auto"/>
        <w:ind w:firstLine="220"/>
        <w:jc w:val="both"/>
        <w:rPr>
          <w:sz w:val="24"/>
          <w:szCs w:val="24"/>
        </w:rPr>
      </w:pPr>
      <w:r>
        <w:rPr>
          <w:rStyle w:val="CharStyle12"/>
          <w:b/>
          <w:bCs/>
          <w:sz w:val="18"/>
          <w:szCs w:val="18"/>
          <w:lang w:eastAsia="en-US"/>
        </w:rPr>
        <w:t xml:space="preserve">Statistical Analysis. </w:t>
      </w:r>
      <w:r>
        <w:rPr>
          <w:rStyle w:val="CharStyle12"/>
          <w:lang w:eastAsia="en-US"/>
        </w:rPr>
        <w:t>All data calculations and integrations were performed using Microsoft Excel 2022. The frequency distribution histogram for amplification efficiency, heatmaps for relative, absolute, and comparative absolute abundances, and the bar chart for the number of detected genes were generated using GraphPad Prism 9. Nonmetric multidimensional scaling (NMDS) analysis, based on the absolute abundance of DSMGs, was conducted using the vegan package in R, and the results were visualized with the ggplot2 package. Permuta</w:t>
      </w:r>
      <w:r>
        <w:rPr>
          <w:rStyle w:val="CharStyle12"/>
          <w:lang w:eastAsia="en-US"/>
        </w:rPr>
        <w:t>tional multivariate analysis of variance (PERMANOVA) was used to test for significant differences among the sample groups. The standard curve box plot, sampling site depth plot, and accuracy scatter plot were generated by using Origin 2022. The workflow diagram was created by using IODraw.</w:t>
      </w:r>
    </w:p>
    <w:p w14:paraId="7DB339C9" w14:textId="77777777" w:rsidR="00B14B05" w:rsidRDefault="00B14B05">
      <w:pPr>
        <w:pStyle w:val="Style23"/>
        <w:keepNext/>
        <w:keepLines/>
        <w:numPr>
          <w:ilvl w:val="0"/>
          <w:numId w:val="1"/>
        </w:numPr>
        <w:tabs>
          <w:tab w:val="left" w:pos="289"/>
        </w:tabs>
        <w:spacing w:after="60" w:line="240" w:lineRule="auto"/>
        <w:rPr>
          <w:b w:val="0"/>
          <w:bCs w:val="0"/>
          <w:color w:val="auto"/>
          <w:sz w:val="24"/>
          <w:szCs w:val="24"/>
        </w:rPr>
      </w:pPr>
      <w:bookmarkStart w:id="8" w:name="bookmark11"/>
      <w:r>
        <w:rPr>
          <w:rStyle w:val="CharStyle24"/>
          <w:b/>
          <w:bCs/>
          <w:lang w:eastAsia="en-US"/>
        </w:rPr>
        <w:t>RESULT AND DISCUSSION</w:t>
      </w:r>
      <w:bookmarkEnd w:id="8"/>
    </w:p>
    <w:p w14:paraId="5FBCD14C" w14:textId="77777777" w:rsidR="00B14B05" w:rsidRDefault="00B14B05">
      <w:pPr>
        <w:pStyle w:val="Style11"/>
        <w:numPr>
          <w:ilvl w:val="1"/>
          <w:numId w:val="1"/>
        </w:numPr>
        <w:tabs>
          <w:tab w:val="left" w:pos="639"/>
        </w:tabs>
        <w:spacing w:after="140" w:line="293" w:lineRule="auto"/>
        <w:ind w:firstLine="220"/>
        <w:jc w:val="both"/>
        <w:rPr>
          <w:sz w:val="24"/>
          <w:szCs w:val="24"/>
        </w:rPr>
      </w:pPr>
      <w:r>
        <w:rPr>
          <w:rStyle w:val="CharStyle12"/>
          <w:b/>
          <w:bCs/>
          <w:sz w:val="18"/>
          <w:szCs w:val="18"/>
          <w:lang w:eastAsia="en-US"/>
        </w:rPr>
        <w:t xml:space="preserve">Degenerate Primer Design and Overview of the DSMG-Chip. </w:t>
      </w:r>
      <w:r>
        <w:rPr>
          <w:rStyle w:val="CharStyle12"/>
          <w:lang w:eastAsia="en-US"/>
        </w:rPr>
        <w:t>To enable high-throughput and accurate quantification of key function</w:t>
      </w:r>
      <w:r>
        <w:rPr>
          <w:rStyle w:val="CharStyle12"/>
          <w:lang w:eastAsia="en-US"/>
        </w:rPr>
        <w:t>al microorganisms in the marine DMSP and related organic sulfur cycle, degenerate primers of 27 key metabolic genes (</w:t>
      </w:r>
      <w:hyperlink w:anchor="bookmark10" w:tooltip="Current Document" w:history="1">
        <w:r>
          <w:rPr>
            <w:rStyle w:val="CharStyle12"/>
            <w:color w:val="0D54A6"/>
            <w:lang w:eastAsia="en-US"/>
          </w:rPr>
          <w:t>Table 1</w:t>
        </w:r>
      </w:hyperlink>
      <w:r>
        <w:rPr>
          <w:rStyle w:val="CharStyle12"/>
          <w:lang w:eastAsia="en-US"/>
        </w:rPr>
        <w:t xml:space="preserve">) were designed for the DSMG-chip. We first comprehensively evaluated published degenerate primer sets targeting key organic sulfur metabolic genes such as </w:t>
      </w:r>
      <w:r>
        <w:rPr>
          <w:rStyle w:val="CharStyle12"/>
          <w:i/>
          <w:iCs/>
          <w:lang w:eastAsia="en-US"/>
        </w:rPr>
        <w:t>mmtN</w:t>
      </w:r>
      <w:r>
        <w:rPr>
          <w:rStyle w:val="CharStyle12"/>
          <w:lang w:eastAsia="en-US"/>
        </w:rPr>
        <w:t xml:space="preserve">, </w:t>
      </w:r>
      <w:r>
        <w:rPr>
          <w:rStyle w:val="CharStyle12"/>
          <w:i/>
          <w:iCs/>
          <w:lang w:eastAsia="en-US"/>
        </w:rPr>
        <w:t>dddP</w:t>
      </w:r>
      <w:r>
        <w:rPr>
          <w:rStyle w:val="CharStyle12"/>
          <w:lang w:eastAsia="en-US"/>
        </w:rPr>
        <w:t xml:space="preserve">, </w:t>
      </w:r>
      <w:r>
        <w:rPr>
          <w:rStyle w:val="CharStyle12"/>
          <w:i/>
          <w:iCs/>
          <w:lang w:eastAsia="en-US"/>
        </w:rPr>
        <w:t>dmdA</w:t>
      </w:r>
      <w:r>
        <w:rPr>
          <w:rStyle w:val="CharStyle12"/>
          <w:lang w:eastAsia="en-US"/>
        </w:rPr>
        <w:t xml:space="preserve">, and </w:t>
      </w:r>
      <w:r>
        <w:rPr>
          <w:rStyle w:val="CharStyle12"/>
          <w:i/>
          <w:iCs/>
          <w:lang w:eastAsia="en-US"/>
        </w:rPr>
        <w:t>mtoX</w:t>
      </w:r>
      <w:r>
        <w:rPr>
          <w:rStyle w:val="CharStyle12"/>
          <w:lang w:eastAsia="en-US"/>
        </w:rPr>
        <w:t>.</w:t>
      </w:r>
      <w:r>
        <w:rPr>
          <w:rStyle w:val="CharStyle12"/>
          <w:color w:val="0D54A6"/>
          <w:vertAlign w:val="superscript"/>
          <w:lang w:eastAsia="en-US"/>
        </w:rPr>
        <w:t>42</w:t>
      </w:r>
      <w:r>
        <w:rPr>
          <w:rStyle w:val="CharStyle12"/>
          <w:sz w:val="11"/>
          <w:szCs w:val="11"/>
          <w:vertAlign w:val="superscript"/>
          <w:lang w:eastAsia="en-US"/>
        </w:rPr>
        <w:t>-</w:t>
      </w:r>
      <w:r>
        <w:rPr>
          <w:rStyle w:val="CharStyle12"/>
          <w:color w:val="0D54A6"/>
          <w:vertAlign w:val="superscript"/>
          <w:lang w:eastAsia="en-US"/>
        </w:rPr>
        <w:t>44</w:t>
      </w:r>
      <w:r>
        <w:rPr>
          <w:rStyle w:val="CharStyle12"/>
          <w:vertAlign w:val="superscript"/>
          <w:lang w:eastAsia="en-US"/>
        </w:rPr>
        <w:t>,</w:t>
      </w:r>
      <w:r>
        <w:rPr>
          <w:rStyle w:val="CharStyle12"/>
          <w:color w:val="0D54A6"/>
          <w:vertAlign w:val="superscript"/>
          <w:lang w:eastAsia="en-US"/>
        </w:rPr>
        <w:t>55</w:t>
      </w:r>
      <w:r>
        <w:rPr>
          <w:rStyle w:val="CharStyle12"/>
          <w:color w:val="0D54A6"/>
          <w:lang w:eastAsia="en-US"/>
        </w:rPr>
        <w:t xml:space="preserve"> </w:t>
      </w:r>
      <w:r>
        <w:rPr>
          <w:rStyle w:val="CharStyle12"/>
          <w:lang w:eastAsia="en-US"/>
        </w:rPr>
        <w:t>However, the majority of existing primers were suboptimal, with issues</w:t>
      </w:r>
    </w:p>
    <w:p w14:paraId="69B6456C" w14:textId="77777777" w:rsidR="00B14B05" w:rsidRDefault="00B14B05">
      <w:pPr>
        <w:pStyle w:val="Style28"/>
        <w:spacing w:after="140" w:line="329" w:lineRule="auto"/>
        <w:jc w:val="right"/>
        <w:rPr>
          <w:sz w:val="24"/>
          <w:szCs w:val="24"/>
        </w:rPr>
      </w:pPr>
      <w:r>
        <w:rPr>
          <w:rStyle w:val="CharStyle29"/>
          <w:lang w:eastAsia="en-US"/>
        </w:rPr>
        <w:t>F</w:t>
      </w:r>
    </w:p>
    <w:p w14:paraId="109220E5" w14:textId="77777777" w:rsidR="00B14B05" w:rsidRDefault="00B14B05">
      <w:pPr>
        <w:pStyle w:val="Style11"/>
        <w:spacing w:line="310" w:lineRule="auto"/>
        <w:ind w:firstLine="0"/>
        <w:jc w:val="both"/>
        <w:rPr>
          <w:rFonts w:ascii="Times New Roman" w:hAnsi="Times New Roman" w:cs="Times New Roman"/>
          <w:sz w:val="24"/>
          <w:szCs w:val="24"/>
        </w:rPr>
      </w:pPr>
      <w:r>
        <w:rPr>
          <w:rStyle w:val="CharStyle12"/>
          <w:lang w:eastAsia="en-US"/>
        </w:rPr>
        <w:t>including primer-dimer formation</w:t>
      </w:r>
      <w:r>
        <w:rPr>
          <w:rStyle w:val="CharStyle12"/>
          <w:lang w:eastAsia="en-US"/>
        </w:rPr>
        <w:t xml:space="preserve"> and nonspecific amplifica</w:t>
      </w:r>
      <w:r>
        <w:rPr>
          <w:rStyle w:val="CharStyle12"/>
          <w:lang w:eastAsia="en-US"/>
        </w:rPr>
        <w:softHyphen/>
        <w:t xml:space="preserve">tion. Additionally, the annealing temperatures of several primer pairs were incompatible with the uniform cycling conditions required for the DSMG-Chip. Consequently, with the exception of the </w:t>
      </w:r>
      <w:r>
        <w:rPr>
          <w:rStyle w:val="CharStyle12"/>
          <w:i/>
          <w:iCs/>
          <w:lang w:eastAsia="en-US"/>
        </w:rPr>
        <w:t>dsyB</w:t>
      </w:r>
      <w:r>
        <w:rPr>
          <w:rStyle w:val="CharStyle12"/>
          <w:lang w:eastAsia="en-US"/>
        </w:rPr>
        <w:t xml:space="preserve"> gene,</w:t>
      </w:r>
      <w:r>
        <w:rPr>
          <w:rStyle w:val="CharStyle12"/>
          <w:color w:val="0D54A6"/>
          <w:vertAlign w:val="superscript"/>
          <w:lang w:eastAsia="en-US"/>
        </w:rPr>
        <w:t>28</w:t>
      </w:r>
      <w:r>
        <w:rPr>
          <w:rStyle w:val="CharStyle12"/>
          <w:color w:val="0D54A6"/>
          <w:lang w:eastAsia="en-US"/>
        </w:rPr>
        <w:t xml:space="preserve"> </w:t>
      </w:r>
      <w:r>
        <w:rPr>
          <w:rStyle w:val="CharStyle12"/>
          <w:lang w:eastAsia="en-US"/>
        </w:rPr>
        <w:t>primers for all other targets were designed de novo and rigorously validated in this study.</w:t>
      </w:r>
    </w:p>
    <w:p w14:paraId="5104B0CE" w14:textId="77777777" w:rsidR="00B14B05" w:rsidRDefault="00B14B05">
      <w:pPr>
        <w:pStyle w:val="Style11"/>
        <w:spacing w:line="310" w:lineRule="auto"/>
        <w:jc w:val="both"/>
        <w:rPr>
          <w:rFonts w:ascii="Times New Roman" w:hAnsi="Times New Roman" w:cs="Times New Roman"/>
          <w:sz w:val="24"/>
          <w:szCs w:val="24"/>
        </w:rPr>
      </w:pPr>
      <w:r>
        <w:rPr>
          <w:rStyle w:val="CharStyle12"/>
          <w:lang w:eastAsia="en-US"/>
        </w:rPr>
        <w:t>Recognizing that the high sequence diversity of functional genes in environmental samples poses a significant challenge, we utilized a degenerate primer strategy to enhance detection brea</w:t>
      </w:r>
      <w:r>
        <w:rPr>
          <w:rStyle w:val="CharStyle12"/>
          <w:lang w:eastAsia="en-US"/>
        </w:rPr>
        <w:t>dth, addressing a common bottleneck in previous HT- qPCR studies.</w:t>
      </w:r>
      <w:r>
        <w:rPr>
          <w:rStyle w:val="CharStyle12"/>
          <w:color w:val="0D54A6"/>
          <w:vertAlign w:val="superscript"/>
          <w:lang w:eastAsia="en-US"/>
        </w:rPr>
        <w:t>66</w:t>
      </w:r>
      <w:r>
        <w:rPr>
          <w:rStyle w:val="CharStyle12"/>
          <w:color w:val="0D54A6"/>
          <w:lang w:eastAsia="en-US"/>
        </w:rPr>
        <w:t xml:space="preserve"> </w:t>
      </w:r>
      <w:r>
        <w:rPr>
          <w:rStyle w:val="CharStyle12"/>
          <w:lang w:eastAsia="en-US"/>
        </w:rPr>
        <w:t xml:space="preserve">The constructed </w:t>
      </w:r>
      <w:r>
        <w:rPr>
          <w:rStyle w:val="CharStyle12"/>
          <w:lang w:eastAsia="en-US"/>
        </w:rPr>
        <w:t>Primer Design Database contained 7,746 amino acid sequences and 7,270 correspond</w:t>
      </w:r>
      <w:r>
        <w:rPr>
          <w:rStyle w:val="CharStyle12"/>
          <w:lang w:eastAsia="en-US"/>
        </w:rPr>
        <w:softHyphen/>
        <w:t>ing nucleotide sequences, covering representative sequences of organic sulfur metabolic genes. We initially obtained 610 candidate degenerate primer pairs in total, and after rigorous multistage validation, 41 primer pairs meeting all established criteria were ultimately selected (</w:t>
      </w:r>
      <w:hyperlink r:id="rId40" w:history="1">
        <w:r>
          <w:rPr>
            <w:rStyle w:val="CharStyle12"/>
            <w:color w:val="0D54A6"/>
            <w:lang w:eastAsia="en-US"/>
          </w:rPr>
          <w:t>Figure S1</w:t>
        </w:r>
      </w:hyperlink>
      <w:r>
        <w:rPr>
          <w:rStyle w:val="CharStyle12"/>
          <w:lang w:eastAsia="en-US"/>
        </w:rPr>
        <w:t>) with a previously reported primer set for the 16S rRNA gene</w:t>
      </w:r>
      <w:r>
        <w:rPr>
          <w:rStyle w:val="CharStyle12"/>
          <w:color w:val="0D54A6"/>
          <w:vertAlign w:val="superscript"/>
          <w:lang w:eastAsia="en-US"/>
        </w:rPr>
        <w:t>47</w:t>
      </w:r>
      <w:r>
        <w:rPr>
          <w:rStyle w:val="CharStyle12"/>
          <w:color w:val="0D54A6"/>
          <w:lang w:eastAsia="en-US"/>
        </w:rPr>
        <w:t xml:space="preserve"> </w:t>
      </w:r>
      <w:r>
        <w:rPr>
          <w:rStyle w:val="CharStyle12"/>
          <w:lang w:eastAsia="en-US"/>
        </w:rPr>
        <w:t xml:space="preserve">used as a reference gene. For genes with relatively conserved sequences, 16 universal primer sets were designed. For highly variable genes, such as </w:t>
      </w:r>
      <w:r>
        <w:rPr>
          <w:rStyle w:val="CharStyle12"/>
          <w:i/>
          <w:iCs/>
          <w:lang w:eastAsia="en-US"/>
        </w:rPr>
        <w:t>dmdA</w:t>
      </w:r>
      <w:r>
        <w:rPr>
          <w:rStyle w:val="CharStyle12"/>
          <w:lang w:eastAsia="en-US"/>
        </w:rPr>
        <w:t xml:space="preserve"> and </w:t>
      </w:r>
      <w:r>
        <w:rPr>
          <w:rStyle w:val="CharStyle12"/>
          <w:i/>
          <w:iCs/>
          <w:lang w:eastAsia="en-US"/>
        </w:rPr>
        <w:t>mddH</w:t>
      </w:r>
      <w:r>
        <w:rPr>
          <w:rStyle w:val="CharStyle12"/>
          <w:lang w:eastAsia="en-US"/>
        </w:rPr>
        <w:t>, specific primers were designed to delineate distinct evolutionary clades, resulting in 26 group</w:t>
      </w:r>
      <w:r>
        <w:rPr>
          <w:rStyle w:val="CharStyle12"/>
          <w:lang w:eastAsia="en-US"/>
        </w:rPr>
        <w:softHyphen/>
        <w:t>specific primer sets that enhanced detection coverage for these more diverse gene families. Ultimately, among the 41 primer sets for DSMGs on the DSMG-chip, 39 are newly designed degenerate</w:t>
      </w:r>
      <w:r>
        <w:rPr>
          <w:rStyle w:val="CharStyle12"/>
          <w:lang w:eastAsia="en-US"/>
        </w:rPr>
        <w:t xml:space="preserve"> primers, and one is a new specific primer set for </w:t>
      </w:r>
      <w:r>
        <w:rPr>
          <w:rStyle w:val="CharStyle12"/>
          <w:i/>
          <w:iCs/>
          <w:lang w:eastAsia="en-US"/>
        </w:rPr>
        <w:t>dsyGD</w:t>
      </w:r>
      <w:r>
        <w:rPr>
          <w:rStyle w:val="CharStyle12"/>
          <w:lang w:eastAsia="en-US"/>
        </w:rPr>
        <w:t>. The amplicon sizes generated by all primer sets range from 85 to 398 bp, a length well-suited for efficient qPCR amplification (</w:t>
      </w:r>
      <w:hyperlink r:id="rId41" w:history="1">
        <w:r>
          <w:rPr>
            <w:rStyle w:val="CharStyle12"/>
            <w:color w:val="0D54A6"/>
            <w:lang w:eastAsia="en-US"/>
          </w:rPr>
          <w:t>Table S3</w:t>
        </w:r>
      </w:hyperlink>
      <w:r>
        <w:rPr>
          <w:rStyle w:val="CharStyle12"/>
          <w:lang w:eastAsia="en-US"/>
        </w:rPr>
        <w:t>).</w:t>
      </w:r>
    </w:p>
    <w:p w14:paraId="3BFFB0D8" w14:textId="77777777" w:rsidR="00B14B05" w:rsidRDefault="00B14B05">
      <w:pPr>
        <w:pStyle w:val="Style11"/>
        <w:numPr>
          <w:ilvl w:val="1"/>
          <w:numId w:val="1"/>
        </w:numPr>
        <w:tabs>
          <w:tab w:val="left" w:pos="644"/>
        </w:tabs>
        <w:spacing w:line="305" w:lineRule="auto"/>
        <w:jc w:val="both"/>
        <w:rPr>
          <w:sz w:val="24"/>
          <w:szCs w:val="24"/>
        </w:rPr>
      </w:pPr>
      <w:r>
        <w:rPr>
          <w:rStyle w:val="CharStyle12"/>
          <w:b/>
          <w:bCs/>
          <w:i/>
          <w:iCs/>
          <w:sz w:val="18"/>
          <w:szCs w:val="18"/>
          <w:lang w:eastAsia="en-US"/>
        </w:rPr>
        <w:t>In Silico</w:t>
      </w:r>
      <w:r>
        <w:rPr>
          <w:rStyle w:val="CharStyle12"/>
          <w:b/>
          <w:bCs/>
          <w:sz w:val="18"/>
          <w:szCs w:val="18"/>
          <w:lang w:eastAsia="en-US"/>
        </w:rPr>
        <w:t xml:space="preserve"> Evaluation of Coverage and Specificity. </w:t>
      </w:r>
      <w:r>
        <w:rPr>
          <w:rStyle w:val="CharStyle12"/>
          <w:lang w:eastAsia="en-US"/>
        </w:rPr>
        <w:t xml:space="preserve">The performance of these 42 primers was first assessed through an </w:t>
      </w:r>
      <w:r>
        <w:rPr>
          <w:rStyle w:val="CharStyle12"/>
          <w:i/>
          <w:iCs/>
          <w:lang w:eastAsia="en-US"/>
        </w:rPr>
        <w:t>in silico</w:t>
      </w:r>
      <w:r>
        <w:rPr>
          <w:rStyle w:val="CharStyle12"/>
          <w:lang w:eastAsia="en-US"/>
        </w:rPr>
        <w:t xml:space="preserve"> evaluation of their coverage. Based on the Primer Design Database containing over 7,000 sequences, the 41 functional gene primer sets on the DSMG-chip achieved a theoretical total coverage of approximately 30.18%, with each individual primer set coverage ranging from 1.4% to 91.3% (</w:t>
      </w:r>
      <w:hyperlink r:id="rId42" w:history="1">
        <w:r>
          <w:rPr>
            <w:rStyle w:val="CharStyle12"/>
            <w:color w:val="0D54A6"/>
            <w:lang w:eastAsia="en-US"/>
          </w:rPr>
          <w:t>Table S4</w:t>
        </w:r>
      </w:hyperlink>
      <w:r>
        <w:rPr>
          <w:rStyle w:val="CharStyle12"/>
          <w:lang w:eastAsia="en-US"/>
        </w:rPr>
        <w:t>). These primers targeted bacteria and archaea from 12 phyla, 18 classes, 43 orders, 88 families, and 275 genera; 96.6% of the targeted sequences belonged to Bacteria, primarily comprising Alphaproteobacteria (64.6%), Gammap</w:t>
      </w:r>
      <w:r>
        <w:rPr>
          <w:rStyle w:val="CharStyle12"/>
          <w:lang w:eastAsia="en-US"/>
        </w:rPr>
        <w:softHyphen/>
        <w:t>roteobacteria (21.0%), Actinomycetes (7.5%), and Betapro</w:t>
      </w:r>
      <w:r>
        <w:rPr>
          <w:rStyle w:val="CharStyle12"/>
          <w:lang w:eastAsia="en-US"/>
        </w:rPr>
        <w:softHyphen/>
        <w:t>teobacteria (1.3%). Those archaea were mainly Methanobac- teriota (1.1%).</w:t>
      </w:r>
    </w:p>
    <w:p w14:paraId="5B30186C" w14:textId="77777777" w:rsidR="00B14B05" w:rsidRDefault="00B14B05">
      <w:pPr>
        <w:pStyle w:val="Style11"/>
        <w:spacing w:line="317" w:lineRule="auto"/>
        <w:jc w:val="both"/>
        <w:rPr>
          <w:rFonts w:ascii="Times New Roman" w:hAnsi="Times New Roman" w:cs="Times New Roman"/>
          <w:sz w:val="24"/>
          <w:szCs w:val="24"/>
        </w:rPr>
        <w:sectPr w:rsidR="00000000">
          <w:headerReference w:type="default" r:id="rId43"/>
          <w:footerReference w:type="default" r:id="rId44"/>
          <w:pgSz w:w="12149" w:h="16834"/>
          <w:pgMar w:top="1545" w:right="990" w:bottom="836" w:left="1004" w:header="0" w:footer="408" w:gutter="0"/>
          <w:cols w:num="2" w:space="145"/>
          <w:noEndnote/>
          <w:docGrid w:linePitch="360"/>
        </w:sectPr>
      </w:pPr>
      <w:r>
        <w:rPr>
          <w:rStyle w:val="CharStyle12"/>
          <w:lang w:eastAsia="en-US"/>
        </w:rPr>
        <w:t xml:space="preserve">The low coverage for certain genes, such as </w:t>
      </w:r>
      <w:r>
        <w:rPr>
          <w:rStyle w:val="CharStyle12"/>
          <w:i/>
          <w:iCs/>
          <w:lang w:eastAsia="en-US"/>
        </w:rPr>
        <w:t>burB</w:t>
      </w:r>
      <w:r>
        <w:rPr>
          <w:rStyle w:val="CharStyle12"/>
          <w:lang w:eastAsia="en-US"/>
        </w:rPr>
        <w:t xml:space="preserve"> (6.9%), </w:t>
      </w:r>
      <w:r>
        <w:rPr>
          <w:rStyle w:val="CharStyle12"/>
          <w:i/>
          <w:iCs/>
          <w:lang w:eastAsia="en-US"/>
        </w:rPr>
        <w:t>dsyGD</w:t>
      </w:r>
      <w:r>
        <w:rPr>
          <w:rStyle w:val="CharStyle12"/>
          <w:lang w:eastAsia="en-US"/>
        </w:rPr>
        <w:t xml:space="preserve"> (1.41%), </w:t>
      </w:r>
      <w:r>
        <w:rPr>
          <w:rStyle w:val="CharStyle12"/>
          <w:i/>
          <w:iCs/>
          <w:lang w:eastAsia="en-US"/>
        </w:rPr>
        <w:t>dddW</w:t>
      </w:r>
      <w:r>
        <w:rPr>
          <w:rStyle w:val="CharStyle12"/>
          <w:lang w:eastAsia="en-US"/>
        </w:rPr>
        <w:t xml:space="preserve"> (5.95%), and </w:t>
      </w:r>
      <w:r>
        <w:rPr>
          <w:rStyle w:val="CharStyle12"/>
          <w:i/>
          <w:iCs/>
          <w:lang w:eastAsia="en-US"/>
        </w:rPr>
        <w:t>dddX</w:t>
      </w:r>
      <w:r>
        <w:rPr>
          <w:rStyle w:val="CharStyle12"/>
          <w:lang w:eastAsia="en-US"/>
        </w:rPr>
        <w:t xml:space="preserve"> (9.86%), is mainly due</w:t>
      </w:r>
      <w:r>
        <w:rPr>
          <w:rStyle w:val="CharStyle12"/>
          <w:lang w:eastAsia="en-US"/>
        </w:rPr>
        <w:t xml:space="preserve"> to the fact that only diverse and representative sequences were retained in our Primer Design Database. Additionally, our primers were primarily designed to target the functionally validated phylogenetic clade rather than all sequences in the database, particularly those that are highly divergent and lack extensive conserved regions. Notably, the coverage estimated from our primer design database may not reflect the actual natural abundance of these genes in the environment. Despite the low calculated cove</w:t>
      </w:r>
      <w:r>
        <w:rPr>
          <w:rStyle w:val="CharStyle12"/>
          <w:lang w:eastAsia="en-US"/>
        </w:rPr>
        <w:t xml:space="preserve">rage for these specific, highly variable genes, the DSMG-chip primer sets collectively offer sufficient and robust taxonomic coverage to support a comprehensive assessment of DMSP cycling genes. To validate primer specificity, a more rigorous </w:t>
      </w:r>
      <w:r>
        <w:rPr>
          <w:rStyle w:val="CharStyle12"/>
          <w:i/>
          <w:iCs/>
          <w:lang w:eastAsia="en-US"/>
        </w:rPr>
        <w:t>in silico</w:t>
      </w:r>
      <w:r>
        <w:rPr>
          <w:rStyle w:val="CharStyle12"/>
          <w:lang w:eastAsia="en-US"/>
        </w:rPr>
        <w:t xml:space="preserve"> analysis was conducted against an expanded Primer Validation Database of 30,137 sequences. The results demonstrated that the specificity of these primers ranged from 38.9% to 100%, with an average of 85.34% (</w:t>
      </w:r>
      <w:hyperlink r:id="rId45" w:history="1">
        <w:r>
          <w:rPr>
            <w:rStyle w:val="CharStyle12"/>
            <w:color w:val="0D54A6"/>
            <w:lang w:eastAsia="en-US"/>
          </w:rPr>
          <w:t>Table S4</w:t>
        </w:r>
      </w:hyperlink>
      <w:r>
        <w:rPr>
          <w:rStyle w:val="CharStyle12"/>
          <w:lang w:eastAsia="en-US"/>
        </w:rPr>
        <w:t xml:space="preserve">). Although the primer sets demonstrate high specificity overall, it should be noted that the primers for </w:t>
      </w:r>
      <w:r>
        <w:rPr>
          <w:rStyle w:val="CharStyle12"/>
          <w:i/>
          <w:iCs/>
          <w:lang w:eastAsia="en-US"/>
        </w:rPr>
        <w:t>dddD</w:t>
      </w:r>
      <w:r>
        <w:rPr>
          <w:rStyle w:val="CharStyle12"/>
          <w:lang w:eastAsia="en-US"/>
        </w:rPr>
        <w:t xml:space="preserve">, </w:t>
      </w:r>
      <w:r>
        <w:rPr>
          <w:rStyle w:val="CharStyle12"/>
          <w:color w:val="0D54A6"/>
          <w:sz w:val="11"/>
          <w:szCs w:val="11"/>
          <w:lang w:eastAsia="en-US"/>
        </w:rPr>
        <w:t xml:space="preserve">https://doi.org/10.1021/acs.est.5c10820 </w:t>
      </w:r>
      <w:r>
        <w:rPr>
          <w:rStyle w:val="CharStyle12"/>
          <w:i/>
          <w:iCs/>
          <w:sz w:val="11"/>
          <w:szCs w:val="11"/>
          <w:lang w:eastAsia="en-US"/>
        </w:rPr>
        <w:t>Environ. Sci. Technol.</w:t>
      </w:r>
      <w:r>
        <w:rPr>
          <w:rStyle w:val="CharStyle12"/>
          <w:sz w:val="11"/>
          <w:szCs w:val="11"/>
          <w:lang w:eastAsia="en-US"/>
        </w:rPr>
        <w:t xml:space="preserve"> XXXX, XXX, XXX</w:t>
      </w:r>
      <w:r>
        <w:rPr>
          <w:rStyle w:val="CharStyle12"/>
          <w:sz w:val="10"/>
          <w:szCs w:val="10"/>
          <w:lang w:eastAsia="en-US"/>
        </w:rPr>
        <w:t>-</w:t>
      </w:r>
      <w:r>
        <w:rPr>
          <w:rStyle w:val="CharStyle12"/>
          <w:sz w:val="11"/>
          <w:szCs w:val="11"/>
          <w:lang w:eastAsia="en-US"/>
        </w:rPr>
        <w:t>XXX</w:t>
      </w:r>
    </w:p>
    <w:p w14:paraId="5F25CBC9" w14:textId="221CB5D4" w:rsidR="00B14B05" w:rsidRDefault="00B14B05">
      <w:pPr>
        <w:spacing w:line="1" w:lineRule="exact"/>
        <w:rPr>
          <w:color w:val="auto"/>
          <w:lang w:eastAsia="en-GB"/>
        </w:rPr>
      </w:pPr>
      <w:r>
        <w:rPr>
          <w:noProof/>
        </w:rPr>
        <w:lastRenderedPageBreak/>
        <w:drawing>
          <wp:anchor distT="0" distB="534670" distL="1309370" distR="1311910" simplePos="0" relativeHeight="251675648" behindDoc="1" locked="0" layoutInCell="1" allowOverlap="1" wp14:anchorId="2F8F86EA" wp14:editId="64440FBD">
            <wp:simplePos x="0" y="0"/>
            <wp:positionH relativeFrom="margin">
              <wp:posOffset>1201420</wp:posOffset>
            </wp:positionH>
            <wp:positionV relativeFrom="paragraph">
              <wp:posOffset>12700</wp:posOffset>
            </wp:positionV>
            <wp:extent cx="4044950" cy="1828800"/>
            <wp:effectExtent l="0" t="0" r="0" b="0"/>
            <wp:wrapTopAndBottom/>
            <wp:docPr id="3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044950" cy="1828800"/>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0" distR="0" simplePos="0" relativeHeight="251676672" behindDoc="0" locked="0" layoutInCell="1" allowOverlap="1" wp14:anchorId="30378538" wp14:editId="339B9E07">
                <wp:simplePos x="0" y="0"/>
                <wp:positionH relativeFrom="margin">
                  <wp:posOffset>6350</wp:posOffset>
                </wp:positionH>
                <wp:positionV relativeFrom="paragraph">
                  <wp:posOffset>1939290</wp:posOffset>
                </wp:positionV>
                <wp:extent cx="6437630" cy="411480"/>
                <wp:effectExtent l="0" t="3810" r="1270" b="3810"/>
                <wp:wrapNone/>
                <wp:docPr id="1893192209"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37630" cy="411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8DF08D" w14:textId="77777777" w:rsidR="00B14B05" w:rsidRDefault="00B14B05">
                            <w:pPr>
                              <w:pStyle w:val="Style40"/>
                              <w:jc w:val="both"/>
                              <w:rPr>
                                <w:sz w:val="24"/>
                                <w:szCs w:val="24"/>
                              </w:rPr>
                            </w:pPr>
                            <w:r>
                              <w:rPr>
                                <w:rStyle w:val="CharStyle41"/>
                                <w:rFonts w:ascii="Arial" w:hAnsi="Arial" w:cs="Arial"/>
                                <w:sz w:val="12"/>
                                <w:szCs w:val="12"/>
                                <w:lang w:eastAsia="en-US"/>
                              </w:rPr>
                              <w:t xml:space="preserve">Figure 3. </w:t>
                            </w:r>
                            <w:r>
                              <w:rPr>
                                <w:rStyle w:val="CharStyle41"/>
                                <w:lang w:eastAsia="en-US"/>
                              </w:rPr>
                              <w:t>Performance validation of DSMG-chip. (A) DSMG-chip sensitivity (serial dilution test) with 42 primers as evaluated by 10-fold serial dilution of mixed positive plasmid controls. Plasmid DNA concentrations are indicated on upper right. (B) Distribution of amplification efficiency of mixed plasmid target genes on the DSMG-chip (</w:t>
                            </w:r>
                            <w:r>
                              <w:rPr>
                                <w:rStyle w:val="CharStyle41"/>
                                <w:rFonts w:ascii="Arial" w:hAnsi="Arial" w:cs="Arial"/>
                                <w:i/>
                                <w:iCs/>
                                <w:sz w:val="12"/>
                                <w:szCs w:val="12"/>
                                <w:lang w:eastAsia="en-US"/>
                              </w:rPr>
                              <w:t>n</w:t>
                            </w:r>
                            <w:r>
                              <w:rPr>
                                <w:rStyle w:val="CharStyle41"/>
                                <w:lang w:eastAsia="en-US"/>
                              </w:rPr>
                              <w:t xml:space="preserve"> = 42). AVG: average value; SD: standard deviation; RSD: relative standard deviation.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378538" id="Text Box 36" o:spid="_x0000_s1040" type="#_x0000_t202" style="position:absolute;margin-left:.5pt;margin-top:152.7pt;width:506.9pt;height:32.4pt;z-index:25167667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" filled="f" stroked="f">
                <v:textbox inset="0,0,0,0">
                  <w:txbxContent>
                    <w:p w14:paraId="3A8DF08D" w14:textId="77777777" w:rsidR="00B14B05" w:rsidRDefault="00B14B05">
                      <w:pPr>
                        <w:pStyle w:val="Style40"/>
                        <w:jc w:val="both"/>
                        <w:rPr>
                          <w:sz w:val="24"/>
                          <w:szCs w:val="24"/>
                        </w:rPr>
                      </w:pPr>
                      <w:r>
                        <w:rPr>
                          <w:rStyle w:val="CharStyle41"/>
                          <w:rFonts w:ascii="Arial" w:hAnsi="Arial" w:cs="Arial"/>
                          <w:sz w:val="12"/>
                          <w:szCs w:val="12"/>
                          <w:lang w:eastAsia="en-US"/>
                        </w:rPr>
                        <w:t xml:space="preserve">Figure 3. </w:t>
                      </w:r>
                      <w:r>
                        <w:rPr>
                          <w:rStyle w:val="CharStyle41"/>
                          <w:lang w:eastAsia="en-US"/>
                        </w:rPr>
                        <w:t>Performance validation of DSMG-chip. (A) DSMG-chip sensitivity (serial dilution test) with 42 primers as evaluated by 10-fold serial dilution of mixed positive plasmid controls. Plasmid DNA concentrations are indicated on upper right. (B) Distribution of amplification efficiency of mixed plasmid target genes on the DSMG-chip (</w:t>
                      </w:r>
                      <w:r>
                        <w:rPr>
                          <w:rStyle w:val="CharStyle41"/>
                          <w:rFonts w:ascii="Arial" w:hAnsi="Arial" w:cs="Arial"/>
                          <w:i/>
                          <w:iCs/>
                          <w:sz w:val="12"/>
                          <w:szCs w:val="12"/>
                          <w:lang w:eastAsia="en-US"/>
                        </w:rPr>
                        <w:t>n</w:t>
                      </w:r>
                      <w:r>
                        <w:rPr>
                          <w:rStyle w:val="CharStyle41"/>
                          <w:lang w:eastAsia="en-US"/>
                        </w:rPr>
                        <w:t xml:space="preserve"> = 42). AVG: average value; SD: standard deviation; RSD: relative standard deviation.</w:t>
                      </w:r>
                    </w:p>
                  </w:txbxContent>
                </v:textbox>
                <w10:wrap anchorx="margin"/>
              </v:shape>
            </w:pict>
          </mc:Fallback>
        </mc:AlternateContent>
      </w:r>
    </w:p>
    <w:p w14:paraId="4807D515" w14:textId="77777777" w:rsidR="00B14B05" w:rsidRDefault="00B14B05">
      <w:pPr>
        <w:pStyle w:val="Style11"/>
        <w:spacing w:line="312" w:lineRule="auto"/>
        <w:ind w:firstLine="0"/>
        <w:jc w:val="both"/>
        <w:rPr>
          <w:rFonts w:ascii="Times New Roman" w:hAnsi="Times New Roman" w:cs="Times New Roman"/>
          <w:sz w:val="24"/>
          <w:szCs w:val="24"/>
        </w:rPr>
      </w:pPr>
      <w:r>
        <w:rPr>
          <w:rStyle w:val="CharStyle12"/>
          <w:i/>
          <w:iCs/>
          <w:lang w:eastAsia="en-US"/>
        </w:rPr>
        <w:t>dddW,</w:t>
      </w:r>
      <w:r>
        <w:rPr>
          <w:rStyle w:val="CharStyle12"/>
          <w:lang w:eastAsia="en-US"/>
        </w:rPr>
        <w:t xml:space="preserve"> and </w:t>
      </w:r>
      <w:r>
        <w:rPr>
          <w:rStyle w:val="CharStyle12"/>
          <w:i/>
          <w:iCs/>
          <w:lang w:eastAsia="en-US"/>
        </w:rPr>
        <w:t>dddY</w:t>
      </w:r>
      <w:r>
        <w:rPr>
          <w:rStyle w:val="CharStyle12"/>
          <w:lang w:eastAsia="en-US"/>
        </w:rPr>
        <w:t xml:space="preserve"> exhibited relatively low</w:t>
      </w:r>
      <w:r>
        <w:rPr>
          <w:rStyle w:val="CharStyle12"/>
          <w:lang w:eastAsia="en-US"/>
        </w:rPr>
        <w:t xml:space="preserve"> specificity, ranging from 38.9% to 48.7%. The </w:t>
      </w:r>
      <w:r>
        <w:rPr>
          <w:rStyle w:val="CharStyle12"/>
          <w:i/>
          <w:iCs/>
          <w:lang w:eastAsia="en-US"/>
        </w:rPr>
        <w:t>ddd</w:t>
      </w:r>
      <w:r>
        <w:rPr>
          <w:rStyle w:val="CharStyle12"/>
          <w:lang w:eastAsia="en-US"/>
        </w:rPr>
        <w:t xml:space="preserve"> gene belongs to the vast cupin superfamily, which makes it difficult to precisely identify the specific </w:t>
      </w:r>
      <w:r>
        <w:rPr>
          <w:rStyle w:val="CharStyle12"/>
          <w:i/>
          <w:iCs/>
          <w:lang w:eastAsia="en-US"/>
        </w:rPr>
        <w:t>ddd</w:t>
      </w:r>
      <w:r>
        <w:rPr>
          <w:rStyle w:val="CharStyle12"/>
          <w:lang w:eastAsia="en-US"/>
        </w:rPr>
        <w:t xml:space="preserve"> type and increases the false positive rate. In addition to these aforementioned genes, over 80% of the primer sets exhibited a false-positive rate of </w:t>
      </w:r>
      <w:r>
        <w:rPr>
          <w:rStyle w:val="CharStyle12"/>
          <w:sz w:val="17"/>
          <w:szCs w:val="17"/>
          <w:lang w:eastAsia="en-US"/>
        </w:rPr>
        <w:t>≤</w:t>
      </w:r>
      <w:r>
        <w:rPr>
          <w:rStyle w:val="CharStyle12"/>
          <w:lang w:eastAsia="en-US"/>
        </w:rPr>
        <w:t>0.03%, confirming the robust specificity of the DSMG-chip primers. We also examined the overlap rates of 26 group-specific primers for 12 genes; for five of these, overlap rates ranged from 9.72% to 26.03% (</w:t>
      </w:r>
      <w:hyperlink r:id="rId47" w:history="1">
        <w:r>
          <w:rPr>
            <w:rStyle w:val="CharStyle12"/>
            <w:color w:val="0D54A6"/>
            <w:lang w:eastAsia="en-US"/>
          </w:rPr>
          <w:t>Table S4</w:t>
        </w:r>
      </w:hyperlink>
      <w:r>
        <w:rPr>
          <w:rStyle w:val="CharStyle12"/>
          <w:lang w:eastAsia="en-US"/>
        </w:rPr>
        <w:t xml:space="preserve">). Among them, the overlap rate for two highly abundant genes, </w:t>
      </w:r>
      <w:r>
        <w:rPr>
          <w:rStyle w:val="CharStyle12"/>
          <w:i/>
          <w:iCs/>
          <w:lang w:eastAsia="en-US"/>
        </w:rPr>
        <w:t>acuH</w:t>
      </w:r>
      <w:r>
        <w:rPr>
          <w:rStyle w:val="CharStyle12"/>
          <w:lang w:eastAsia="en-US"/>
        </w:rPr>
        <w:t xml:space="preserve"> and </w:t>
      </w:r>
      <w:r>
        <w:rPr>
          <w:rStyle w:val="CharStyle12"/>
          <w:i/>
          <w:iCs/>
          <w:lang w:eastAsia="en-US"/>
        </w:rPr>
        <w:t>dmdD</w:t>
      </w:r>
      <w:r>
        <w:rPr>
          <w:rStyle w:val="CharStyle12"/>
          <w:lang w:eastAsia="en-US"/>
        </w:rPr>
        <w:t>, exceeded 25%, due to their</w:t>
      </w:r>
      <w:r>
        <w:rPr>
          <w:rStyle w:val="CharStyle12"/>
          <w:lang w:eastAsia="en-US"/>
        </w:rPr>
        <w:t xml:space="preserve"> high sequence similarity between different clades. These primers with overlap may induce quantification biases, and the results for these genes should be interpreted with caution.</w:t>
      </w:r>
    </w:p>
    <w:p w14:paraId="6F865227" w14:textId="77777777" w:rsidR="00B14B05" w:rsidRDefault="00B14B05">
      <w:pPr>
        <w:pStyle w:val="Style11"/>
        <w:numPr>
          <w:ilvl w:val="1"/>
          <w:numId w:val="1"/>
        </w:numPr>
        <w:tabs>
          <w:tab w:val="left" w:pos="644"/>
        </w:tabs>
        <w:ind w:firstLine="220"/>
        <w:jc w:val="both"/>
        <w:rPr>
          <w:sz w:val="24"/>
          <w:szCs w:val="24"/>
        </w:rPr>
      </w:pPr>
      <w:r>
        <w:rPr>
          <w:rStyle w:val="CharStyle12"/>
          <w:b/>
          <w:bCs/>
          <w:sz w:val="18"/>
          <w:szCs w:val="18"/>
          <w:lang w:eastAsia="en-US"/>
        </w:rPr>
        <w:t xml:space="preserve">Experimental Verification of Primer Specificity. </w:t>
      </w:r>
      <w:r>
        <w:rPr>
          <w:rStyle w:val="CharStyle12"/>
          <w:lang w:eastAsia="en-US"/>
        </w:rPr>
        <w:t>The specificity of all primers in the DSMG-chip was examined through PCR, qPCR, and amplicon sequencing. In the PCR with the pooled environmental DNA, all 41 functional gene primer pairs amplified a single band of the correct size on agarose gel electrophoresis. In qPCR, melting curve analyses revealed that all DSMG-chip primer sets produced a single peak (</w:t>
      </w:r>
      <w:hyperlink r:id="rId48" w:history="1">
        <w:r>
          <w:rPr>
            <w:rStyle w:val="CharStyle12"/>
            <w:color w:val="0D54A6"/>
            <w:lang w:eastAsia="en-US"/>
          </w:rPr>
          <w:t>Figure S3</w:t>
        </w:r>
      </w:hyperlink>
      <w:r>
        <w:rPr>
          <w:rStyle w:val="CharStyle12"/>
          <w:lang w:eastAsia="en-US"/>
        </w:rPr>
        <w:t>). Finally, amplicon sequencing with the degenerate primers (</w:t>
      </w:r>
      <w:r>
        <w:rPr>
          <w:rStyle w:val="CharStyle12"/>
          <w:i/>
          <w:iCs/>
          <w:lang w:eastAsia="en-US"/>
        </w:rPr>
        <w:t>n</w:t>
      </w:r>
      <w:r>
        <w:rPr>
          <w:rStyle w:val="CharStyle12"/>
          <w:lang w:eastAsia="en-US"/>
        </w:rPr>
        <w:t xml:space="preserve"> = 39) indicated an average specificity rate of 82.09% </w:t>
      </w:r>
      <w:r>
        <w:rPr>
          <w:rStyle w:val="CharStyle12"/>
          <w:sz w:val="17"/>
          <w:szCs w:val="17"/>
          <w:lang w:eastAsia="en-US"/>
        </w:rPr>
        <w:t xml:space="preserve">± </w:t>
      </w:r>
      <w:r>
        <w:rPr>
          <w:rStyle w:val="CharStyle12"/>
          <w:lang w:eastAsia="en-US"/>
        </w:rPr>
        <w:t>12.6%, and those from 22 primer sets exhibited 100% specificity rate. Collectively, these results demonstrate that the DSMG-chip maintains high specificity with these degenerate primers, which is crucial for precisely quantifying the absolute abundance of organic sulfur metabolic genes in environmental samples.</w:t>
      </w:r>
    </w:p>
    <w:p w14:paraId="0F0AA5F8" w14:textId="77777777" w:rsidR="00B14B05" w:rsidRDefault="00B14B05">
      <w:pPr>
        <w:pStyle w:val="Style11"/>
        <w:numPr>
          <w:ilvl w:val="1"/>
          <w:numId w:val="1"/>
        </w:numPr>
        <w:tabs>
          <w:tab w:val="left" w:pos="644"/>
        </w:tabs>
        <w:spacing w:after="140" w:line="302" w:lineRule="auto"/>
        <w:ind w:firstLine="220"/>
        <w:jc w:val="both"/>
        <w:rPr>
          <w:sz w:val="24"/>
          <w:szCs w:val="24"/>
        </w:rPr>
      </w:pPr>
      <w:r>
        <w:rPr>
          <w:rStyle w:val="CharStyle12"/>
          <w:b/>
          <w:bCs/>
          <w:sz w:val="18"/>
          <w:szCs w:val="18"/>
          <w:lang w:eastAsia="en-US"/>
        </w:rPr>
        <w:t>Amplification Efficiency, Sensitivity, and Accu</w:t>
      </w:r>
      <w:r>
        <w:rPr>
          <w:rStyle w:val="CharStyle12"/>
          <w:b/>
          <w:bCs/>
          <w:sz w:val="18"/>
          <w:szCs w:val="18"/>
          <w:lang w:eastAsia="en-US"/>
        </w:rPr>
        <w:softHyphen/>
        <w:t xml:space="preserve">racy of the DSMG-Chip. </w:t>
      </w:r>
      <w:r>
        <w:rPr>
          <w:rStyle w:val="CharStyle12"/>
          <w:lang w:eastAsia="en-US"/>
        </w:rPr>
        <w:t>The amplification efficiency and sensitivity of the DSMG-chip were evaluated using standard curves generated from serially diluted plasmid standards. First, qPCR was performed using single plasmids (</w:t>
      </w:r>
      <w:r>
        <w:rPr>
          <w:rStyle w:val="CharStyle12"/>
          <w:i/>
          <w:iCs/>
          <w:lang w:eastAsia="en-US"/>
        </w:rPr>
        <w:t>n</w:t>
      </w:r>
      <w:r>
        <w:rPr>
          <w:rStyle w:val="CharStyle12"/>
          <w:lang w:eastAsia="en-US"/>
        </w:rPr>
        <w:t xml:space="preserve"> = 41). The results showed that for plasmid concentrations ranging from 10</w:t>
      </w:r>
      <w:r>
        <w:rPr>
          <w:rStyle w:val="CharStyle12"/>
          <w:vertAlign w:val="superscript"/>
          <w:lang w:eastAsia="en-US"/>
        </w:rPr>
        <w:t>2</w:t>
      </w:r>
      <w:r>
        <w:rPr>
          <w:rStyle w:val="CharStyle12"/>
          <w:lang w:eastAsia="en-US"/>
        </w:rPr>
        <w:t xml:space="preserve"> to 10</w:t>
      </w:r>
      <w:r>
        <w:rPr>
          <w:rStyle w:val="CharStyle12"/>
          <w:vertAlign w:val="superscript"/>
          <w:lang w:eastAsia="en-US"/>
        </w:rPr>
        <w:t>9</w:t>
      </w:r>
      <w:r>
        <w:rPr>
          <w:rStyle w:val="CharStyle12"/>
          <w:lang w:eastAsia="en-US"/>
        </w:rPr>
        <w:t xml:space="preserve"> copies/</w:t>
      </w:r>
      <w:r>
        <w:rPr>
          <w:rStyle w:val="CharStyle12"/>
          <w:i/>
          <w:iCs/>
          <w:sz w:val="16"/>
          <w:szCs w:val="16"/>
          <w:lang w:eastAsia="en-US"/>
        </w:rPr>
        <w:t>μ</w:t>
      </w:r>
      <w:r>
        <w:rPr>
          <w:rStyle w:val="CharStyle12"/>
          <w:lang w:eastAsia="en-US"/>
        </w:rPr>
        <w:t>L, the corresponding Cq values were between 38 and 2 (</w:t>
      </w:r>
      <w:hyperlink r:id="rId49" w:history="1">
        <w:r>
          <w:rPr>
            <w:rStyle w:val="CharStyle12"/>
            <w:color w:val="0D54A6"/>
            <w:lang w:eastAsia="en-US"/>
          </w:rPr>
          <w:t>Table S5</w:t>
        </w:r>
      </w:hyperlink>
      <w:r>
        <w:rPr>
          <w:rStyle w:val="CharStyle12"/>
          <w:lang w:eastAsia="en-US"/>
        </w:rPr>
        <w:t>). This indicates that all qPCR assays produced true-positive signals with specific amplification within this template concentration range, confirming their suitability for subsequent HT-qPCR validation. The amplifi</w:t>
      </w:r>
      <w:r>
        <w:rPr>
          <w:rStyle w:val="CharStyle12"/>
          <w:lang w:eastAsia="en-US"/>
        </w:rPr>
        <w:softHyphen/>
        <w:t xml:space="preserve">cation efficiencies for these primers ranged from 0.689 to 1.072 (0.878 </w:t>
      </w:r>
      <w:r>
        <w:rPr>
          <w:rStyle w:val="CharStyle12"/>
          <w:sz w:val="17"/>
          <w:szCs w:val="17"/>
          <w:lang w:eastAsia="en-US"/>
        </w:rPr>
        <w:t xml:space="preserve">± </w:t>
      </w:r>
      <w:r>
        <w:rPr>
          <w:rStyle w:val="CharStyle12"/>
          <w:lang w:eastAsia="en-US"/>
        </w:rPr>
        <w:t>0.103) (</w:t>
      </w:r>
      <w:hyperlink r:id="rId50" w:history="1">
        <w:r>
          <w:rPr>
            <w:rStyle w:val="CharStyle12"/>
            <w:color w:val="0D54A6"/>
            <w:lang w:eastAsia="en-US"/>
          </w:rPr>
          <w:t>Figure S4</w:t>
        </w:r>
      </w:hyperlink>
      <w:r>
        <w:rPr>
          <w:rStyle w:val="CharStyle12"/>
          <w:lang w:eastAsia="en-US"/>
        </w:rPr>
        <w:t>), representing a reasonable amplification efficiency range for degenerate primers.</w:t>
      </w:r>
      <w:r>
        <w:rPr>
          <w:rStyle w:val="CharStyle12"/>
          <w:color w:val="0D54A6"/>
          <w:vertAlign w:val="superscript"/>
          <w:lang w:eastAsia="en-US"/>
        </w:rPr>
        <w:t>67</w:t>
      </w:r>
      <w:r>
        <w:rPr>
          <w:rStyle w:val="CharStyle12"/>
          <w:vertAlign w:val="superscript"/>
          <w:lang w:eastAsia="en-US"/>
        </w:rPr>
        <w:t>,</w:t>
      </w:r>
      <w:r>
        <w:rPr>
          <w:rStyle w:val="CharStyle12"/>
          <w:color w:val="0D54A6"/>
          <w:vertAlign w:val="superscript"/>
          <w:lang w:eastAsia="en-US"/>
        </w:rPr>
        <w:t>68</w:t>
      </w:r>
      <w:r>
        <w:rPr>
          <w:rStyle w:val="CharStyle12"/>
          <w:color w:val="0D54A6"/>
          <w:lang w:eastAsia="en-US"/>
        </w:rPr>
        <w:t xml:space="preserve"> </w:t>
      </w:r>
      <w:r>
        <w:rPr>
          <w:rStyle w:val="CharStyle12"/>
          <w:lang w:eastAsia="en-US"/>
        </w:rPr>
        <w:t>To validate the amplification efficiency of the DSMG-chip, mixed</w:t>
      </w:r>
    </w:p>
    <w:p w14:paraId="268DE20D" w14:textId="77777777" w:rsidR="00B14B05" w:rsidRDefault="00B14B05">
      <w:pPr>
        <w:pStyle w:val="Style28"/>
        <w:spacing w:line="334" w:lineRule="auto"/>
        <w:jc w:val="right"/>
        <w:rPr>
          <w:sz w:val="24"/>
          <w:szCs w:val="24"/>
        </w:rPr>
      </w:pPr>
      <w:r>
        <w:rPr>
          <w:rStyle w:val="CharStyle29"/>
          <w:lang w:eastAsia="en-US"/>
        </w:rPr>
        <w:t>G</w:t>
      </w:r>
    </w:p>
    <w:p w14:paraId="2C25E716" w14:textId="77777777" w:rsidR="00B14B05" w:rsidRDefault="00B14B05">
      <w:pPr>
        <w:pStyle w:val="Style11"/>
        <w:spacing w:line="312" w:lineRule="auto"/>
        <w:ind w:firstLine="0"/>
        <w:jc w:val="both"/>
        <w:rPr>
          <w:rFonts w:ascii="Times New Roman" w:hAnsi="Times New Roman" w:cs="Times New Roman"/>
          <w:sz w:val="24"/>
          <w:szCs w:val="24"/>
        </w:rPr>
      </w:pPr>
      <w:r>
        <w:rPr>
          <w:rStyle w:val="CharStyle12"/>
          <w:lang w:eastAsia="en-US"/>
        </w:rPr>
        <w:t>plasmid standards (</w:t>
      </w:r>
      <w:r>
        <w:rPr>
          <w:rStyle w:val="CharStyle12"/>
          <w:i/>
          <w:iCs/>
          <w:lang w:eastAsia="en-US"/>
        </w:rPr>
        <w:t>n</w:t>
      </w:r>
      <w:r>
        <w:rPr>
          <w:rStyle w:val="CharStyle12"/>
          <w:lang w:eastAsia="en-US"/>
        </w:rPr>
        <w:t xml:space="preserve"> = 42) were tested using HT-qPCR (</w:t>
      </w:r>
      <w:hyperlink r:id="rId51" w:history="1">
        <w:r>
          <w:rPr>
            <w:rStyle w:val="CharStyle12"/>
            <w:color w:val="0D54A6"/>
            <w:lang w:eastAsia="en-US"/>
          </w:rPr>
          <w:t>Table S6</w:t>
        </w:r>
      </w:hyperlink>
      <w:r>
        <w:rPr>
          <w:rStyle w:val="CharStyle12"/>
          <w:lang w:eastAsia="en-US"/>
        </w:rPr>
        <w:t>), and the results demonstrated a strong linear correlation between template concentrations (from 10</w:t>
      </w:r>
      <w:r>
        <w:rPr>
          <w:rStyle w:val="CharStyle12"/>
          <w:vertAlign w:val="superscript"/>
          <w:lang w:eastAsia="en-US"/>
        </w:rPr>
        <w:t>3</w:t>
      </w:r>
      <w:r>
        <w:rPr>
          <w:rStyle w:val="CharStyle12"/>
          <w:lang w:eastAsia="en-US"/>
        </w:rPr>
        <w:t xml:space="preserve"> to 10</w:t>
      </w:r>
      <w:r>
        <w:rPr>
          <w:rStyle w:val="CharStyle12"/>
          <w:vertAlign w:val="superscript"/>
          <w:lang w:eastAsia="en-US"/>
        </w:rPr>
        <w:t xml:space="preserve">8 </w:t>
      </w:r>
      <w:r>
        <w:rPr>
          <w:rStyle w:val="CharStyle12"/>
          <w:lang w:eastAsia="en-US"/>
        </w:rPr>
        <w:t>copies/</w:t>
      </w:r>
      <w:r>
        <w:rPr>
          <w:rStyle w:val="CharStyle12"/>
          <w:i/>
          <w:iCs/>
          <w:sz w:val="16"/>
          <w:szCs w:val="16"/>
          <w:lang w:eastAsia="en-US"/>
        </w:rPr>
        <w:t>μ</w:t>
      </w:r>
      <w:r>
        <w:rPr>
          <w:rStyle w:val="CharStyle12"/>
          <w:lang w:eastAsia="en-US"/>
        </w:rPr>
        <w:t>L) and their corresponding Cq values (</w:t>
      </w:r>
      <w:r>
        <w:rPr>
          <w:rStyle w:val="CharStyle12"/>
          <w:color w:val="0D54A6"/>
          <w:lang w:eastAsia="en-US"/>
        </w:rPr>
        <w:t>Figure 3</w:t>
      </w:r>
      <w:r>
        <w:rPr>
          <w:rStyle w:val="CharStyle12"/>
          <w:lang w:eastAsia="en-US"/>
        </w:rPr>
        <w:t xml:space="preserve">A). Based on these standard curves, the calculated PCR efficiency of the DSMG-chip ranged from 0.677 to 0.997 (0.771 </w:t>
      </w:r>
      <w:r>
        <w:rPr>
          <w:rStyle w:val="CharStyle12"/>
          <w:sz w:val="17"/>
          <w:szCs w:val="17"/>
          <w:lang w:eastAsia="en-US"/>
        </w:rPr>
        <w:t xml:space="preserve">± </w:t>
      </w:r>
      <w:r>
        <w:rPr>
          <w:rStyle w:val="CharStyle12"/>
          <w:lang w:eastAsia="en-US"/>
        </w:rPr>
        <w:t xml:space="preserve">0.071). The average </w:t>
      </w:r>
      <w:r>
        <w:rPr>
          <w:rStyle w:val="CharStyle12"/>
          <w:i/>
          <w:iCs/>
          <w:lang w:eastAsia="en-US"/>
        </w:rPr>
        <w:t>R</w:t>
      </w:r>
      <w:r>
        <w:rPr>
          <w:rStyle w:val="CharStyle12"/>
          <w:vertAlign w:val="superscript"/>
          <w:lang w:eastAsia="en-US"/>
        </w:rPr>
        <w:t>2</w:t>
      </w:r>
      <w:r>
        <w:rPr>
          <w:rStyle w:val="CharStyle12"/>
          <w:lang w:eastAsia="en-US"/>
        </w:rPr>
        <w:t xml:space="preserve"> coefficient for the standard curves was 0.997 (</w:t>
      </w:r>
      <w:r>
        <w:rPr>
          <w:rStyle w:val="CharStyle12"/>
          <w:color w:val="0D54A6"/>
          <w:lang w:eastAsia="en-US"/>
        </w:rPr>
        <w:t>Figures 3</w:t>
      </w:r>
      <w:r>
        <w:rPr>
          <w:rStyle w:val="CharStyle12"/>
          <w:lang w:eastAsia="en-US"/>
        </w:rPr>
        <w:t>B and</w:t>
      </w:r>
      <w:hyperlink r:id="rId52" w:history="1">
        <w:r>
          <w:rPr>
            <w:rStyle w:val="CharStyle12"/>
            <w:lang w:eastAsia="en-US"/>
          </w:rPr>
          <w:t xml:space="preserve"> </w:t>
        </w:r>
        <w:r>
          <w:rPr>
            <w:rStyle w:val="CharStyle12"/>
            <w:color w:val="0D54A6"/>
            <w:lang w:eastAsia="en-US"/>
          </w:rPr>
          <w:t>S5</w:t>
        </w:r>
      </w:hyperlink>
      <w:r>
        <w:rPr>
          <w:rStyle w:val="CharStyle12"/>
          <w:lang w:eastAsia="en-US"/>
        </w:rPr>
        <w:t>). Compared to reported efficiencies of standard HT-qPCR degenerate primers (</w:t>
      </w:r>
      <w:r>
        <w:rPr>
          <w:rStyle w:val="CharStyle12"/>
          <w:i/>
          <w:iCs/>
          <w:lang w:eastAsia="en-US"/>
        </w:rPr>
        <w:t>hgcAB</w:t>
      </w:r>
      <w:r>
        <w:rPr>
          <w:rStyle w:val="CharStyle12"/>
          <w:lang w:eastAsia="en-US"/>
        </w:rPr>
        <w:t>: 60</w:t>
      </w:r>
      <w:r>
        <w:rPr>
          <w:rStyle w:val="CharStyle12"/>
          <w:sz w:val="17"/>
          <w:szCs w:val="17"/>
          <w:lang w:eastAsia="en-US"/>
        </w:rPr>
        <w:t>-</w:t>
      </w:r>
      <w:r>
        <w:rPr>
          <w:rStyle w:val="CharStyle12"/>
          <w:lang w:eastAsia="en-US"/>
        </w:rPr>
        <w:t>90%;</w:t>
      </w:r>
      <w:r>
        <w:rPr>
          <w:rStyle w:val="CharStyle12"/>
          <w:color w:val="0D54A6"/>
          <w:vertAlign w:val="superscript"/>
          <w:lang w:eastAsia="en-US"/>
        </w:rPr>
        <w:t xml:space="preserve">69 </w:t>
      </w:r>
      <w:r>
        <w:rPr>
          <w:rStyle w:val="CharStyle12"/>
          <w:i/>
          <w:iCs/>
          <w:lang w:eastAsia="en-US"/>
        </w:rPr>
        <w:t>nif H</w:t>
      </w:r>
      <w:r>
        <w:rPr>
          <w:rStyle w:val="CharStyle12"/>
          <w:lang w:eastAsia="en-US"/>
        </w:rPr>
        <w:t xml:space="preserve">: </w:t>
      </w:r>
      <w:r>
        <w:rPr>
          <w:rStyle w:val="CharStyle12"/>
          <w:rFonts w:ascii="Cambria Math" w:hAnsi="Cambria Math" w:cs="Cambria Math"/>
          <w:sz w:val="17"/>
          <w:szCs w:val="17"/>
          <w:lang w:eastAsia="en-US"/>
        </w:rPr>
        <w:t>∼</w:t>
      </w:r>
      <w:r>
        <w:rPr>
          <w:rStyle w:val="CharStyle12"/>
          <w:lang w:eastAsia="en-US"/>
        </w:rPr>
        <w:t>70%</w:t>
      </w:r>
      <w:r>
        <w:rPr>
          <w:rStyle w:val="CharStyle12"/>
          <w:color w:val="0D54A6"/>
          <w:vertAlign w:val="superscript"/>
          <w:lang w:eastAsia="en-US"/>
        </w:rPr>
        <w:t>70</w:t>
      </w:r>
      <w:r>
        <w:rPr>
          <w:rStyle w:val="CharStyle12"/>
          <w:lang w:eastAsia="en-US"/>
        </w:rPr>
        <w:t>) in other biogeochemical studies, the DSMG- chip primers demonstrated comparable PCR efficiency, indicating its robust amplification performance.</w:t>
      </w:r>
    </w:p>
    <w:p w14:paraId="451F1314" w14:textId="77777777" w:rsidR="00B14B05" w:rsidRDefault="00B14B05">
      <w:pPr>
        <w:pStyle w:val="Style11"/>
        <w:spacing w:line="312" w:lineRule="auto"/>
        <w:jc w:val="both"/>
        <w:rPr>
          <w:rFonts w:ascii="Times New Roman" w:hAnsi="Times New Roman" w:cs="Times New Roman"/>
          <w:sz w:val="24"/>
          <w:szCs w:val="24"/>
        </w:rPr>
      </w:pPr>
      <w:r>
        <w:rPr>
          <w:rStyle w:val="CharStyle12"/>
          <w:lang w:eastAsia="en-US"/>
        </w:rPr>
        <w:t>Notably, single plasmids showed higher amplification efficiency (on average, 10% higher) than mixed plasmid pools, likely due to competitive binding in complex templates, where nontarget DNA reduces primer-template interactions</w:t>
      </w:r>
      <w:r>
        <w:rPr>
          <w:rStyle w:val="CharStyle12"/>
          <w:color w:val="0D54A6"/>
          <w:vertAlign w:val="superscript"/>
          <w:lang w:eastAsia="en-US"/>
        </w:rPr>
        <w:t xml:space="preserve">71 </w:t>
      </w:r>
      <w:r>
        <w:rPr>
          <w:rStyle w:val="CharStyle12"/>
          <w:lang w:eastAsia="en-US"/>
        </w:rPr>
        <w:t>and mismatched amplifications outcompete perfect matches.</w:t>
      </w:r>
      <w:r>
        <w:rPr>
          <w:rStyle w:val="CharStyle12"/>
          <w:color w:val="0D54A6"/>
          <w:vertAlign w:val="superscript"/>
          <w:lang w:eastAsia="en-US"/>
        </w:rPr>
        <w:t xml:space="preserve">72 </w:t>
      </w:r>
      <w:r>
        <w:rPr>
          <w:rStyle w:val="CharStyle12"/>
          <w:lang w:eastAsia="en-US"/>
        </w:rPr>
        <w:t>Despite the lower efficiency, mixed plasmids better simulate the performance of DSMG-chip on complex environmental samples.</w:t>
      </w:r>
    </w:p>
    <w:p w14:paraId="542BC92C" w14:textId="77777777" w:rsidR="00B14B05" w:rsidRDefault="00B14B05">
      <w:pPr>
        <w:pStyle w:val="Style11"/>
        <w:spacing w:line="312" w:lineRule="auto"/>
        <w:jc w:val="both"/>
        <w:rPr>
          <w:rFonts w:ascii="Times New Roman" w:hAnsi="Times New Roman" w:cs="Times New Roman"/>
          <w:sz w:val="24"/>
          <w:szCs w:val="24"/>
        </w:rPr>
      </w:pPr>
      <w:r>
        <w:rPr>
          <w:rStyle w:val="CharStyle12"/>
          <w:lang w:eastAsia="en-US"/>
        </w:rPr>
        <w:t>The optimal cutoff and the limit of quantification (LoQ) were determined from the standard curves (</w:t>
      </w:r>
      <w:hyperlink r:id="rId53" w:history="1">
        <w:r>
          <w:rPr>
            <w:rStyle w:val="CharStyle12"/>
            <w:color w:val="0D54A6"/>
            <w:lang w:eastAsia="en-US"/>
          </w:rPr>
          <w:t>Table S8</w:t>
        </w:r>
      </w:hyperlink>
      <w:r>
        <w:rPr>
          <w:rStyle w:val="CharStyle12"/>
          <w:lang w:eastAsia="en-US"/>
        </w:rPr>
        <w:t xml:space="preserve">). The optimal Cq cutoff values for the DSMG-chip primer sets were between 30 and 35. The LoQ ranged from 472 to 1236 copies (average: 859), indicating that the DSMG-chip possesses sufficiently high sensitivity for reliable quantification. To assess its accuracy, we compared the Cq values obtained from conventional qPCR and HT-qPCR. The Cq values from the two methods showed a significant positive correlation (Pearson’s </w:t>
      </w:r>
      <w:r>
        <w:rPr>
          <w:rStyle w:val="CharStyle12"/>
          <w:i/>
          <w:iCs/>
          <w:lang w:eastAsia="en-US"/>
        </w:rPr>
        <w:t>r</w:t>
      </w:r>
      <w:r>
        <w:rPr>
          <w:rStyle w:val="CharStyle12"/>
          <w:lang w:eastAsia="en-US"/>
        </w:rPr>
        <w:t xml:space="preserve"> = 0.914, </w:t>
      </w:r>
      <w:r>
        <w:rPr>
          <w:rStyle w:val="CharStyle12"/>
          <w:i/>
          <w:iCs/>
          <w:lang w:eastAsia="en-US"/>
        </w:rPr>
        <w:t>p</w:t>
      </w:r>
      <w:r>
        <w:rPr>
          <w:rStyle w:val="CharStyle12"/>
          <w:lang w:eastAsia="en-US"/>
        </w:rPr>
        <w:t xml:space="preserve"> &lt; 0.001), with a linear</w:t>
      </w:r>
      <w:r>
        <w:rPr>
          <w:rStyle w:val="CharStyle12"/>
          <w:lang w:eastAsia="en-US"/>
        </w:rPr>
        <w:t xml:space="preserve"> regression slope of 0.93, demonstrating the high reliability and accuracy of the DSMG-chip (</w:t>
      </w:r>
      <w:r>
        <w:rPr>
          <w:rStyle w:val="CharStyle12"/>
          <w:color w:val="0D54A6"/>
          <w:lang w:eastAsia="en-US"/>
        </w:rPr>
        <w:t>Figure 4</w:t>
      </w:r>
      <w:r>
        <w:rPr>
          <w:rStyle w:val="CharStyle12"/>
          <w:lang w:eastAsia="en-US"/>
        </w:rPr>
        <w:t xml:space="preserve">). Furthermore, this robustness was confirmed at the individual assay level. As detailed in </w:t>
      </w:r>
      <w:hyperlink r:id="rId54" w:history="1">
        <w:r>
          <w:rPr>
            <w:rStyle w:val="CharStyle12"/>
            <w:color w:val="0D54A6"/>
            <w:lang w:eastAsia="en-US"/>
          </w:rPr>
          <w:t>Supplementary Table S7</w:t>
        </w:r>
      </w:hyperlink>
      <w:r>
        <w:rPr>
          <w:rStyle w:val="CharStyle12"/>
          <w:lang w:eastAsia="en-US"/>
        </w:rPr>
        <w:t xml:space="preserve">, all 41 primer sets showed a strong and statistically significant positive correlation between the two platforms (Pearson’s </w:t>
      </w:r>
      <w:r>
        <w:rPr>
          <w:rStyle w:val="CharStyle12"/>
          <w:i/>
          <w:iCs/>
          <w:lang w:eastAsia="en-US"/>
        </w:rPr>
        <w:t>r</w:t>
      </w:r>
      <w:r>
        <w:rPr>
          <w:rStyle w:val="CharStyle12"/>
          <w:lang w:eastAsia="en-US"/>
        </w:rPr>
        <w:t xml:space="preserve"> ranging from 0.987 to 0.999, all </w:t>
      </w:r>
      <w:r>
        <w:rPr>
          <w:rStyle w:val="CharStyle12"/>
          <w:i/>
          <w:iCs/>
          <w:lang w:eastAsia="en-US"/>
        </w:rPr>
        <w:t>p</w:t>
      </w:r>
      <w:r>
        <w:rPr>
          <w:rStyle w:val="CharStyle12"/>
          <w:lang w:eastAsia="en-US"/>
        </w:rPr>
        <w:t xml:space="preserve"> &lt; 0.001).</w:t>
      </w:r>
    </w:p>
    <w:p w14:paraId="2ED16DD5" w14:textId="77777777" w:rsidR="00B14B05" w:rsidRDefault="00B14B05">
      <w:pPr>
        <w:pStyle w:val="Style11"/>
        <w:numPr>
          <w:ilvl w:val="1"/>
          <w:numId w:val="1"/>
        </w:numPr>
        <w:tabs>
          <w:tab w:val="left" w:pos="649"/>
        </w:tabs>
        <w:spacing w:line="288" w:lineRule="auto"/>
        <w:jc w:val="both"/>
        <w:rPr>
          <w:sz w:val="24"/>
          <w:szCs w:val="24"/>
        </w:rPr>
      </w:pPr>
      <w:r>
        <w:rPr>
          <w:rStyle w:val="CharStyle12"/>
          <w:b/>
          <w:bCs/>
          <w:sz w:val="18"/>
          <w:szCs w:val="18"/>
          <w:lang w:eastAsia="en-US"/>
        </w:rPr>
        <w:t xml:space="preserve">Application of the DSMG-Chip on Marine Samples. </w:t>
      </w:r>
      <w:r>
        <w:rPr>
          <w:rStyle w:val="CharStyle12"/>
          <w:lang w:eastAsia="en-US"/>
        </w:rPr>
        <w:t>To evaluate the performance of DSMG-Chip on environmental samples, we tested it with 29 seawater and 26 sediment samples from diverse marine conditions (</w:t>
      </w:r>
      <w:hyperlink r:id="rId55" w:history="1">
        <w:r>
          <w:rPr>
            <w:rStyle w:val="CharStyle12"/>
            <w:color w:val="0D54A6"/>
            <w:lang w:eastAsia="en-US"/>
          </w:rPr>
          <w:t>Figure S2</w:t>
        </w:r>
      </w:hyperlink>
      <w:r>
        <w:rPr>
          <w:rStyle w:val="CharStyle12"/>
          <w:color w:val="0D54A6"/>
          <w:lang w:eastAsia="en-US"/>
        </w:rPr>
        <w:t xml:space="preserve"> </w:t>
      </w:r>
      <w:hyperlink r:id="rId56" w:history="1">
        <w:r>
          <w:rPr>
            <w:rStyle w:val="CharStyle12"/>
            <w:color w:val="0D54A6"/>
            <w:lang w:eastAsia="en-US"/>
          </w:rPr>
          <w:t>and Table S1</w:t>
        </w:r>
      </w:hyperlink>
      <w:r>
        <w:rPr>
          <w:rStyle w:val="CharStyle12"/>
          <w:lang w:eastAsia="en-US"/>
        </w:rPr>
        <w:t>).</w:t>
      </w:r>
    </w:p>
    <w:p w14:paraId="336F5DD8" w14:textId="77777777" w:rsidR="00B14B05" w:rsidRDefault="00B14B05">
      <w:pPr>
        <w:pStyle w:val="Style11"/>
        <w:spacing w:line="312" w:lineRule="auto"/>
        <w:jc w:val="both"/>
        <w:rPr>
          <w:rFonts w:ascii="Times New Roman" w:hAnsi="Times New Roman" w:cs="Times New Roman"/>
          <w:sz w:val="24"/>
          <w:szCs w:val="24"/>
        </w:rPr>
      </w:pPr>
      <w:r>
        <w:rPr>
          <w:rStyle w:val="CharStyle12"/>
          <w:lang w:eastAsia="en-US"/>
        </w:rPr>
        <w:t>All 27 DMSP and related organic sulfur metabolic genes in the DSMG-chip were detected in at least one sample. In seawater samples, the number of genes detected ranged from 1</w:t>
      </w:r>
      <w:r>
        <w:rPr>
          <w:rFonts w:ascii="Times New Roman" w:hAnsi="Times New Roman" w:cs="Times New Roman"/>
          <w:sz w:val="24"/>
          <w:szCs w:val="24"/>
        </w:rPr>
        <w:br w:type="page"/>
      </w:r>
    </w:p>
    <w:p w14:paraId="526FFCA9" w14:textId="6CB753BC" w:rsidR="00B14B05" w:rsidRDefault="00B14B05">
      <w:pPr>
        <w:jc w:val="center"/>
        <w:rPr>
          <w:color w:val="auto"/>
          <w:lang w:eastAsia="en-GB"/>
        </w:rPr>
      </w:pPr>
      <w:r>
        <w:rPr>
          <w:noProof/>
          <w:color w:val="auto"/>
          <w:lang w:eastAsia="en-GB"/>
        </w:rPr>
        <w:lastRenderedPageBreak/>
        <w:drawing>
          <wp:inline distT="0" distB="0" distL="0" distR="0" wp14:anchorId="5CFE7063" wp14:editId="7BF7CE6E">
            <wp:extent cx="3028950" cy="2343150"/>
            <wp:effectExtent l="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3028950" cy="2343150"/>
                    </a:xfrm>
                    <a:prstGeom prst="rect">
                      <a:avLst/>
                    </a:prstGeom>
                    <a:noFill/>
                    <a:ln>
                      <a:noFill/>
                    </a:ln>
                  </pic:spPr>
                </pic:pic>
              </a:graphicData>
            </a:graphic>
          </wp:inline>
        </w:drawing>
      </w:r>
    </w:p>
    <w:p w14:paraId="2D3CCD64" w14:textId="77777777" w:rsidR="00B14B05" w:rsidRDefault="00B14B05">
      <w:pPr>
        <w:pStyle w:val="Style40"/>
        <w:jc w:val="both"/>
        <w:rPr>
          <w:sz w:val="24"/>
          <w:szCs w:val="24"/>
        </w:rPr>
      </w:pPr>
      <w:r>
        <w:rPr>
          <w:rStyle w:val="CharStyle41"/>
          <w:rFonts w:ascii="Arial" w:hAnsi="Arial" w:cs="Arial"/>
          <w:sz w:val="12"/>
          <w:szCs w:val="12"/>
          <w:lang w:eastAsia="en-US"/>
        </w:rPr>
        <w:t xml:space="preserve">Figure 4. </w:t>
      </w:r>
      <w:r>
        <w:rPr>
          <w:rStyle w:val="CharStyle41"/>
          <w:lang w:eastAsia="en-US"/>
        </w:rPr>
        <w:t>Correlation of cycle quantification (Cq) values between the DSMG-chip and conventional qPCR. The analysis, based on 41 primers, was performed using a Pearson correlation (</w:t>
      </w:r>
      <w:r>
        <w:rPr>
          <w:rStyle w:val="CharStyle41"/>
          <w:rFonts w:ascii="Arial" w:hAnsi="Arial" w:cs="Arial"/>
          <w:i/>
          <w:iCs/>
          <w:sz w:val="12"/>
          <w:szCs w:val="12"/>
          <w:lang w:eastAsia="en-US"/>
        </w:rPr>
        <w:t>r</w:t>
      </w:r>
      <w:r>
        <w:rPr>
          <w:rStyle w:val="CharStyle41"/>
          <w:lang w:eastAsia="en-US"/>
        </w:rPr>
        <w:t xml:space="preserve"> = 0.914, </w:t>
      </w:r>
      <w:r>
        <w:rPr>
          <w:rStyle w:val="CharStyle41"/>
          <w:rFonts w:ascii="Arial" w:hAnsi="Arial" w:cs="Arial"/>
          <w:i/>
          <w:iCs/>
          <w:sz w:val="12"/>
          <w:szCs w:val="12"/>
          <w:lang w:eastAsia="en-US"/>
        </w:rPr>
        <w:t>p</w:t>
      </w:r>
      <w:r>
        <w:rPr>
          <w:rStyle w:val="CharStyle41"/>
          <w:lang w:eastAsia="en-US"/>
        </w:rPr>
        <w:t xml:space="preserve"> &lt; 0.001).</w:t>
      </w:r>
    </w:p>
    <w:p w14:paraId="10A041AF" w14:textId="77777777" w:rsidR="00B14B05" w:rsidRDefault="00B14B05">
      <w:pPr>
        <w:spacing w:after="359" w:line="1" w:lineRule="exact"/>
        <w:rPr>
          <w:color w:val="auto"/>
          <w:lang w:eastAsia="en-GB"/>
        </w:rPr>
      </w:pPr>
    </w:p>
    <w:p w14:paraId="6F048D92" w14:textId="77777777" w:rsidR="00B14B05" w:rsidRDefault="00B14B05">
      <w:pPr>
        <w:pStyle w:val="Style11"/>
        <w:ind w:firstLine="0"/>
        <w:jc w:val="both"/>
        <w:rPr>
          <w:rFonts w:ascii="Times New Roman" w:hAnsi="Times New Roman" w:cs="Times New Roman"/>
          <w:sz w:val="24"/>
          <w:szCs w:val="24"/>
        </w:rPr>
      </w:pPr>
      <w:r>
        <w:rPr>
          <w:rStyle w:val="CharStyle12"/>
          <w:lang w:eastAsia="en-US"/>
        </w:rPr>
        <w:t xml:space="preserve">(at 2000 m depth, station D2, Pacific Ocean) to 23 (in nearshore surface water, Qingdao, Yellow Sea), with </w:t>
      </w:r>
      <w:r>
        <w:rPr>
          <w:rStyle w:val="CharStyle12"/>
          <w:sz w:val="17"/>
          <w:szCs w:val="17"/>
          <w:lang w:eastAsia="en-US"/>
        </w:rPr>
        <w:t>≥</w:t>
      </w:r>
      <w:r>
        <w:rPr>
          <w:rStyle w:val="CharStyle12"/>
          <w:lang w:eastAsia="en-US"/>
        </w:rPr>
        <w:t>15 genes detected in 80% of the samples (</w:t>
      </w:r>
      <w:hyperlink r:id="rId58" w:history="1">
        <w:r>
          <w:rPr>
            <w:rStyle w:val="CharStyle12"/>
            <w:color w:val="0D54A6"/>
            <w:lang w:eastAsia="en-US"/>
          </w:rPr>
          <w:t>Figure S6A</w:t>
        </w:r>
      </w:hyperlink>
      <w:r>
        <w:rPr>
          <w:rStyle w:val="CharStyle12"/>
          <w:lang w:eastAsia="en-US"/>
        </w:rPr>
        <w:t xml:space="preserve">). In sediment samples, the number of genes detected varied from 6 (in both surface and 99 cm deep sediments of the Mariana Trench) to 24 (in surface sediment at the Haima cold seep, Tub station), with </w:t>
      </w:r>
      <w:r>
        <w:rPr>
          <w:rStyle w:val="CharStyle12"/>
          <w:sz w:val="17"/>
          <w:szCs w:val="17"/>
          <w:lang w:eastAsia="en-US"/>
        </w:rPr>
        <w:t>≥</w:t>
      </w:r>
      <w:r>
        <w:rPr>
          <w:rStyle w:val="CharStyle12"/>
          <w:lang w:eastAsia="en-US"/>
        </w:rPr>
        <w:t>11 genes detected in 80% of the samples (</w:t>
      </w:r>
      <w:hyperlink r:id="rId59" w:history="1">
        <w:r>
          <w:rPr>
            <w:rStyle w:val="CharStyle12"/>
            <w:color w:val="0D54A6"/>
            <w:lang w:eastAsia="en-US"/>
          </w:rPr>
          <w:t>Figure S6B</w:t>
        </w:r>
      </w:hyperlink>
      <w:r>
        <w:rPr>
          <w:rStyle w:val="CharStyle12"/>
          <w:lang w:eastAsia="en-US"/>
        </w:rPr>
        <w:t>).</w:t>
      </w:r>
    </w:p>
    <w:p w14:paraId="1CB80052" w14:textId="77777777" w:rsidR="00B14B05" w:rsidRDefault="00B14B05">
      <w:pPr>
        <w:pStyle w:val="Style11"/>
        <w:jc w:val="both"/>
        <w:rPr>
          <w:rFonts w:ascii="Times New Roman" w:hAnsi="Times New Roman" w:cs="Times New Roman"/>
          <w:sz w:val="24"/>
          <w:szCs w:val="24"/>
        </w:rPr>
      </w:pPr>
      <w:r>
        <w:rPr>
          <w:rStyle w:val="CharStyle12"/>
          <w:lang w:eastAsia="en-US"/>
        </w:rPr>
        <w:t>The gene-centric NMDS analysis (</w:t>
      </w:r>
      <w:r>
        <w:rPr>
          <w:rStyle w:val="CharStyle12"/>
          <w:color w:val="0D54A6"/>
          <w:lang w:eastAsia="en-US"/>
        </w:rPr>
        <w:t>Figure 5</w:t>
      </w:r>
      <w:r>
        <w:rPr>
          <w:rStyle w:val="CharStyle12"/>
          <w:lang w:eastAsia="en-US"/>
        </w:rPr>
        <w:t xml:space="preserve">A) revealed clear associations among functional modules of the organic sulfur cycle. </w:t>
      </w:r>
      <w:r>
        <w:rPr>
          <w:rStyle w:val="CharStyle12"/>
          <w:i/>
          <w:iCs/>
          <w:lang w:eastAsia="en-US"/>
        </w:rPr>
        <w:t>dsyGD</w:t>
      </w:r>
      <w:r>
        <w:rPr>
          <w:rStyle w:val="CharStyle12"/>
          <w:lang w:eastAsia="en-US"/>
        </w:rPr>
        <w:t xml:space="preserve"> and </w:t>
      </w:r>
      <w:r>
        <w:rPr>
          <w:rStyle w:val="CharStyle12"/>
          <w:i/>
          <w:iCs/>
          <w:lang w:eastAsia="en-US"/>
        </w:rPr>
        <w:t>burB</w:t>
      </w:r>
      <w:r>
        <w:rPr>
          <w:rStyle w:val="CharStyle12"/>
          <w:lang w:eastAsia="en-US"/>
        </w:rPr>
        <w:t xml:space="preserve"> clustered distantly from all other targeted genes, possibly due to their extremely low abundance in marine samples.</w:t>
      </w:r>
      <w:r>
        <w:rPr>
          <w:rStyle w:val="CharStyle12"/>
          <w:color w:val="0D54A6"/>
          <w:vertAlign w:val="superscript"/>
          <w:lang w:eastAsia="en-US"/>
        </w:rPr>
        <w:t>4</w:t>
      </w:r>
      <w:r>
        <w:rPr>
          <w:rStyle w:val="CharStyle12"/>
          <w:vertAlign w:val="superscript"/>
          <w:lang w:eastAsia="en-US"/>
        </w:rPr>
        <w:t>,</w:t>
      </w:r>
      <w:r>
        <w:rPr>
          <w:rStyle w:val="CharStyle12"/>
          <w:color w:val="0D54A6"/>
          <w:vertAlign w:val="superscript"/>
          <w:lang w:eastAsia="en-US"/>
        </w:rPr>
        <w:t>52</w:t>
      </w:r>
      <w:r>
        <w:rPr>
          <w:rStyle w:val="CharStyle12"/>
          <w:color w:val="0D54A6"/>
          <w:lang w:eastAsia="en-US"/>
        </w:rPr>
        <w:t xml:space="preserve"> </w:t>
      </w:r>
      <w:r>
        <w:rPr>
          <w:rStyle w:val="CharStyle12"/>
          <w:lang w:eastAsia="en-US"/>
        </w:rPr>
        <w:t>The sample-centric NMDS analysis (</w:t>
      </w:r>
      <w:r>
        <w:rPr>
          <w:rStyle w:val="CharStyle12"/>
          <w:color w:val="0D54A6"/>
          <w:lang w:eastAsia="en-US"/>
        </w:rPr>
        <w:t>Figure 5</w:t>
      </w:r>
      <w:r>
        <w:rPr>
          <w:rStyle w:val="CharStyle12"/>
          <w:lang w:eastAsia="en-US"/>
        </w:rPr>
        <w:t xml:space="preserve">B) highlighted differences in organic sulfur cycling patterns across various marine environments. Sediment samples from extreme environments, such as the MT trench, hydrothermal vent, and cold </w:t>
      </w:r>
      <w:r>
        <w:rPr>
          <w:rStyle w:val="CharStyle12"/>
          <w:lang w:eastAsia="en-US"/>
        </w:rPr>
        <w:t>seep, formed a distinct cluster, clearly separate</w:t>
      </w:r>
      <w:r>
        <w:rPr>
          <w:rStyle w:val="CharStyle12"/>
          <w:lang w:eastAsia="en-US"/>
        </w:rPr>
        <w:t>d from seawater samples. These results confirm that the DSMG-chip effectively discriminates variations in the organic sulfur metabolic gene profile of complex microbial communities.</w:t>
      </w:r>
    </w:p>
    <w:p w14:paraId="59F0FB04" w14:textId="77777777" w:rsidR="00B14B05" w:rsidRDefault="00B14B05">
      <w:pPr>
        <w:pStyle w:val="Style11"/>
        <w:numPr>
          <w:ilvl w:val="2"/>
          <w:numId w:val="1"/>
        </w:numPr>
        <w:tabs>
          <w:tab w:val="left" w:pos="750"/>
        </w:tabs>
        <w:spacing w:line="298" w:lineRule="auto"/>
        <w:ind w:firstLine="220"/>
        <w:jc w:val="both"/>
        <w:rPr>
          <w:sz w:val="24"/>
          <w:szCs w:val="24"/>
        </w:rPr>
      </w:pPr>
      <w:r>
        <w:rPr>
          <w:rStyle w:val="CharStyle12"/>
          <w:i/>
          <w:iCs/>
          <w:sz w:val="18"/>
          <w:szCs w:val="18"/>
          <w:lang w:eastAsia="en-US"/>
        </w:rPr>
        <w:t>DMSP Cycling in Seawater Revealed by DSMG- Chip.</w:t>
      </w:r>
      <w:r>
        <w:rPr>
          <w:rStyle w:val="CharStyle12"/>
          <w:lang w:eastAsia="en-US"/>
        </w:rPr>
        <w:t xml:space="preserve"> In the water column (</w:t>
      </w:r>
      <w:r>
        <w:rPr>
          <w:rStyle w:val="CharStyle12"/>
          <w:color w:val="0D54A6"/>
          <w:lang w:eastAsia="en-US"/>
        </w:rPr>
        <w:t xml:space="preserve">Figure 6 </w:t>
      </w:r>
      <w:r>
        <w:rPr>
          <w:rStyle w:val="CharStyle12"/>
          <w:lang w:eastAsia="en-US"/>
        </w:rPr>
        <w:t>A</w:t>
      </w:r>
      <w:r>
        <w:rPr>
          <w:rStyle w:val="CharStyle12"/>
          <w:sz w:val="17"/>
          <w:szCs w:val="17"/>
          <w:lang w:eastAsia="en-US"/>
        </w:rPr>
        <w:t>-</w:t>
      </w:r>
      <w:r>
        <w:rPr>
          <w:rStyle w:val="CharStyle12"/>
          <w:lang w:eastAsia="en-US"/>
        </w:rPr>
        <w:t xml:space="preserve">E), genes associated with DMSP cleavage, DMSP demethylation, Mdd pathways, and DMS oxidation exhibited relatively high abundance, with generally higher relative abundance in seawater than in sediments (except for </w:t>
      </w:r>
      <w:r>
        <w:rPr>
          <w:rStyle w:val="CharStyle12"/>
          <w:i/>
          <w:iCs/>
          <w:lang w:eastAsia="en-US"/>
        </w:rPr>
        <w:t>mddA</w:t>
      </w:r>
      <w:r>
        <w:rPr>
          <w:rStyle w:val="CharStyle12"/>
          <w:lang w:eastAsia="en-US"/>
        </w:rPr>
        <w:t xml:space="preserve">). Among DMSP cleavage genes in seawater, </w:t>
      </w:r>
      <w:r>
        <w:rPr>
          <w:rStyle w:val="CharStyle12"/>
          <w:i/>
          <w:iCs/>
          <w:lang w:eastAsia="en-US"/>
        </w:rPr>
        <w:t>dddP</w:t>
      </w:r>
      <w:r>
        <w:rPr>
          <w:rStyle w:val="CharStyle12"/>
          <w:lang w:eastAsia="en-US"/>
        </w:rPr>
        <w:t xml:space="preserve"> and </w:t>
      </w:r>
      <w:r>
        <w:rPr>
          <w:rStyle w:val="CharStyle12"/>
          <w:i/>
          <w:iCs/>
          <w:lang w:eastAsia="en-US"/>
        </w:rPr>
        <w:t>dddQ</w:t>
      </w:r>
      <w:r>
        <w:rPr>
          <w:rStyle w:val="CharStyle12"/>
          <w:lang w:eastAsia="en-US"/>
        </w:rPr>
        <w:t xml:space="preserve"> showed the highest relative abundance, a finding that aligns with previous studies identifying </w:t>
      </w:r>
      <w:r>
        <w:rPr>
          <w:rStyle w:val="CharStyle12"/>
          <w:i/>
          <w:iCs/>
          <w:lang w:eastAsia="en-US"/>
        </w:rPr>
        <w:t>dddP</w:t>
      </w:r>
      <w:r>
        <w:rPr>
          <w:rStyle w:val="CharStyle12"/>
          <w:lang w:eastAsia="en-US"/>
        </w:rPr>
        <w:t xml:space="preserve"> as the predominant DMSP cleavage gene in marine environments.</w:t>
      </w:r>
      <w:r>
        <w:rPr>
          <w:rStyle w:val="CharStyle12"/>
          <w:color w:val="0D54A6"/>
          <w:vertAlign w:val="superscript"/>
          <w:lang w:eastAsia="en-US"/>
        </w:rPr>
        <w:t>9</w:t>
      </w:r>
      <w:r>
        <w:rPr>
          <w:rStyle w:val="CharStyle12"/>
          <w:vertAlign w:val="superscript"/>
          <w:lang w:eastAsia="en-US"/>
        </w:rPr>
        <w:t>,</w:t>
      </w:r>
      <w:r>
        <w:rPr>
          <w:rStyle w:val="CharStyle12"/>
          <w:color w:val="0D54A6"/>
          <w:vertAlign w:val="superscript"/>
          <w:lang w:eastAsia="en-US"/>
        </w:rPr>
        <w:t>73</w:t>
      </w:r>
      <w:r>
        <w:rPr>
          <w:rStyle w:val="CharStyle12"/>
          <w:color w:val="0D54A6"/>
          <w:lang w:eastAsia="en-US"/>
        </w:rPr>
        <w:t xml:space="preserve"> </w:t>
      </w:r>
      <w:r>
        <w:rPr>
          <w:rStyle w:val="CharStyle12"/>
          <w:lang w:eastAsia="en-US"/>
        </w:rPr>
        <w:t>Interestingly, our results challenge the</w:t>
      </w:r>
      <w:r>
        <w:rPr>
          <w:rStyle w:val="CharStyle12"/>
          <w:lang w:eastAsia="en-US"/>
        </w:rPr>
        <w:t xml:space="preserve"> widely held view that DMSP demethylation mediated by </w:t>
      </w:r>
      <w:r>
        <w:rPr>
          <w:rStyle w:val="CharStyle12"/>
          <w:i/>
          <w:iCs/>
          <w:lang w:eastAsia="en-US"/>
        </w:rPr>
        <w:t>dmdA</w:t>
      </w:r>
      <w:r>
        <w:rPr>
          <w:rStyle w:val="CharStyle12"/>
          <w:lang w:eastAsia="en-US"/>
        </w:rPr>
        <w:t xml:space="preserve"> is the dominant degradation pathway across all marine </w:t>
      </w:r>
      <w:r>
        <w:rPr>
          <w:rStyle w:val="CharStyle12"/>
          <w:color w:val="0D54A6"/>
          <w:sz w:val="10"/>
          <w:szCs w:val="10"/>
          <w:lang w:eastAsia="en-US"/>
        </w:rPr>
        <w:t>74 75</w:t>
      </w:r>
    </w:p>
    <w:p w14:paraId="0CDAAF42" w14:textId="77777777" w:rsidR="00B14B05" w:rsidRDefault="00B14B05">
      <w:pPr>
        <w:pStyle w:val="Style11"/>
        <w:ind w:firstLine="0"/>
        <w:jc w:val="both"/>
        <w:rPr>
          <w:rFonts w:ascii="Times New Roman" w:hAnsi="Times New Roman" w:cs="Times New Roman"/>
          <w:sz w:val="24"/>
          <w:szCs w:val="24"/>
        </w:rPr>
      </w:pPr>
      <w:r>
        <w:rPr>
          <w:rStyle w:val="CharStyle12"/>
          <w:lang w:eastAsia="en-US"/>
        </w:rPr>
        <w:t xml:space="preserve">surface waters. </w:t>
      </w:r>
      <w:r>
        <w:rPr>
          <w:rStyle w:val="CharStyle12"/>
          <w:vertAlign w:val="superscript"/>
          <w:lang w:eastAsia="en-US"/>
        </w:rPr>
        <w:t>,</w:t>
      </w:r>
      <w:r>
        <w:rPr>
          <w:rStyle w:val="CharStyle12"/>
          <w:lang w:eastAsia="en-US"/>
        </w:rPr>
        <w:t xml:space="preserve"> This pattern was observed only in samples from section P of the Pacific</w:t>
      </w:r>
      <w:r>
        <w:rPr>
          <w:rStyle w:val="CharStyle12"/>
          <w:lang w:eastAsia="en-US"/>
        </w:rPr>
        <w:t xml:space="preserve"> Ocean. In other samples, the relative abundance of </w:t>
      </w:r>
      <w:r>
        <w:rPr>
          <w:rStyle w:val="CharStyle12"/>
          <w:i/>
          <w:iCs/>
          <w:lang w:eastAsia="en-US"/>
        </w:rPr>
        <w:t>dmdA</w:t>
      </w:r>
      <w:r>
        <w:rPr>
          <w:rStyle w:val="CharStyle12"/>
          <w:lang w:eastAsia="en-US"/>
        </w:rPr>
        <w:t xml:space="preserve"> was not higher than that of </w:t>
      </w:r>
      <w:r>
        <w:rPr>
          <w:rStyle w:val="CharStyle12"/>
          <w:i/>
          <w:iCs/>
          <w:lang w:eastAsia="en-US"/>
        </w:rPr>
        <w:t xml:space="preserve">ddd </w:t>
      </w:r>
      <w:r>
        <w:rPr>
          <w:rStyle w:val="CharStyle12"/>
          <w:lang w:eastAsia="en-US"/>
        </w:rPr>
        <w:t xml:space="preserve">genes. The section P samples were a clear metabolic hotspot. They not only had high </w:t>
      </w:r>
      <w:r>
        <w:rPr>
          <w:rStyle w:val="CharStyle12"/>
          <w:i/>
          <w:iCs/>
          <w:lang w:eastAsia="en-US"/>
        </w:rPr>
        <w:t>dmdA</w:t>
      </w:r>
      <w:r>
        <w:rPr>
          <w:rStyle w:val="CharStyle12"/>
          <w:lang w:eastAsia="en-US"/>
        </w:rPr>
        <w:t xml:space="preserve"> but also exhibited unusually high relative abundance levels of </w:t>
      </w:r>
      <w:r>
        <w:rPr>
          <w:rStyle w:val="CharStyle12"/>
          <w:i/>
          <w:iCs/>
          <w:lang w:eastAsia="en-US"/>
        </w:rPr>
        <w:t>dsyB</w:t>
      </w:r>
      <w:r>
        <w:rPr>
          <w:rStyle w:val="CharStyle12"/>
          <w:lang w:eastAsia="en-US"/>
        </w:rPr>
        <w:t xml:space="preserve"> (5.74% </w:t>
      </w:r>
      <w:r>
        <w:rPr>
          <w:rStyle w:val="CharStyle12"/>
          <w:sz w:val="17"/>
          <w:szCs w:val="17"/>
          <w:lang w:eastAsia="en-US"/>
        </w:rPr>
        <w:t xml:space="preserve">± </w:t>
      </w:r>
      <w:r>
        <w:rPr>
          <w:rStyle w:val="CharStyle12"/>
          <w:lang w:eastAsia="en-US"/>
        </w:rPr>
        <w:t>0.03), a value far exceeding the 0.5%</w:t>
      </w:r>
      <w:r>
        <w:rPr>
          <w:rStyle w:val="CharStyle12"/>
          <w:sz w:val="17"/>
          <w:szCs w:val="17"/>
          <w:lang w:eastAsia="en-US"/>
        </w:rPr>
        <w:t>-</w:t>
      </w:r>
      <w:r>
        <w:rPr>
          <w:rStyle w:val="CharStyle12"/>
          <w:lang w:eastAsia="en-US"/>
        </w:rPr>
        <w:t>1.18% range reported previ- ously.</w:t>
      </w:r>
      <w:r>
        <w:rPr>
          <w:rStyle w:val="CharStyle12"/>
          <w:color w:val="0D54A6"/>
          <w:vertAlign w:val="superscript"/>
          <w:lang w:eastAsia="en-US"/>
        </w:rPr>
        <w:t>12</w:t>
      </w:r>
      <w:r>
        <w:rPr>
          <w:rStyle w:val="CharStyle12"/>
          <w:vertAlign w:val="superscript"/>
          <w:lang w:eastAsia="en-US"/>
        </w:rPr>
        <w:t>,</w:t>
      </w:r>
      <w:r>
        <w:rPr>
          <w:rStyle w:val="CharStyle12"/>
          <w:color w:val="0D54A6"/>
          <w:vertAlign w:val="superscript"/>
          <w:lang w:eastAsia="en-US"/>
        </w:rPr>
        <w:t>40</w:t>
      </w:r>
      <w:r>
        <w:rPr>
          <w:rStyle w:val="CharStyle12"/>
          <w:vertAlign w:val="superscript"/>
          <w:lang w:eastAsia="en-US"/>
        </w:rPr>
        <w:t>,</w:t>
      </w:r>
      <w:r>
        <w:rPr>
          <w:rStyle w:val="CharStyle12"/>
          <w:color w:val="0D54A6"/>
          <w:vertAlign w:val="superscript"/>
          <w:lang w:eastAsia="en-US"/>
        </w:rPr>
        <w:t>73</w:t>
      </w:r>
      <w:r>
        <w:rPr>
          <w:rStyle w:val="CharStyle12"/>
          <w:vertAlign w:val="superscript"/>
          <w:lang w:eastAsia="en-US"/>
        </w:rPr>
        <w:t>,</w:t>
      </w:r>
      <w:r>
        <w:rPr>
          <w:rStyle w:val="CharStyle12"/>
          <w:color w:val="0D54A6"/>
          <w:vertAlign w:val="superscript"/>
          <w:lang w:eastAsia="en-US"/>
        </w:rPr>
        <w:t>76</w:t>
      </w:r>
      <w:r>
        <w:rPr>
          <w:rStyle w:val="CharStyle12"/>
          <w:color w:val="0D54A6"/>
          <w:lang w:eastAsia="en-US"/>
        </w:rPr>
        <w:t xml:space="preserve"> </w:t>
      </w:r>
      <w:r>
        <w:rPr>
          <w:rStyle w:val="CharStyle12"/>
          <w:lang w:eastAsia="en-US"/>
        </w:rPr>
        <w:t xml:space="preserve">Notably, the relative abundances of </w:t>
      </w:r>
      <w:r>
        <w:rPr>
          <w:rStyle w:val="CharStyle12"/>
          <w:i/>
          <w:iCs/>
          <w:lang w:eastAsia="en-US"/>
        </w:rPr>
        <w:t xml:space="preserve">mddH </w:t>
      </w:r>
      <w:r>
        <w:rPr>
          <w:rStyle w:val="CharStyle12"/>
          <w:lang w:eastAsia="en-US"/>
        </w:rPr>
        <w:t xml:space="preserve">(DMS production) and </w:t>
      </w:r>
      <w:r>
        <w:rPr>
          <w:rStyle w:val="CharStyle12"/>
          <w:i/>
          <w:iCs/>
          <w:lang w:eastAsia="en-US"/>
        </w:rPr>
        <w:t>dsoB</w:t>
      </w:r>
      <w:r>
        <w:rPr>
          <w:rStyle w:val="CharStyle12"/>
          <w:lang w:eastAsia="en-US"/>
        </w:rPr>
        <w:t xml:space="preserve"> (DMS oxidation) were also enhanced in these section P samples. This concurrent elevation across synthesis,</w:t>
      </w:r>
      <w:r>
        <w:rPr>
          <w:rStyle w:val="CharStyle12"/>
          <w:lang w:eastAsia="en-US"/>
        </w:rPr>
        <w:t xml:space="preserve"> demethylation, and oxidation pathways implies that the entire bacterial DMSP and organosulfur cycle was particularly active, possibly driven by local phenomena such as deep-nutrient upwelling and ensuing phytoplankton blooms.</w:t>
      </w:r>
      <w:r>
        <w:rPr>
          <w:rStyle w:val="CharStyle12"/>
          <w:color w:val="0D54A6"/>
          <w:vertAlign w:val="superscript"/>
          <w:lang w:eastAsia="en-US"/>
        </w:rPr>
        <w:t>77</w:t>
      </w:r>
      <w:r>
        <w:rPr>
          <w:rStyle w:val="CharStyle12"/>
          <w:vertAlign w:val="superscript"/>
          <w:lang w:eastAsia="en-US"/>
        </w:rPr>
        <w:t>,</w:t>
      </w:r>
      <w:r>
        <w:rPr>
          <w:rStyle w:val="CharStyle12"/>
          <w:color w:val="0D54A6"/>
          <w:vertAlign w:val="superscript"/>
          <w:lang w:eastAsia="en-US"/>
        </w:rPr>
        <w:t>78</w:t>
      </w:r>
    </w:p>
    <w:p w14:paraId="3C82328C" w14:textId="77777777" w:rsidR="00B14B05" w:rsidRDefault="00B14B05">
      <w:pPr>
        <w:pStyle w:val="Style11"/>
        <w:ind w:firstLine="220"/>
        <w:jc w:val="both"/>
        <w:rPr>
          <w:rFonts w:ascii="Times New Roman" w:hAnsi="Times New Roman" w:cs="Times New Roman"/>
          <w:sz w:val="24"/>
          <w:szCs w:val="24"/>
        </w:rPr>
        <w:sectPr w:rsidR="00000000">
          <w:headerReference w:type="default" r:id="rId60"/>
          <w:footerReference w:type="default" r:id="rId61"/>
          <w:pgSz w:w="12149" w:h="16834"/>
          <w:pgMar w:top="1452" w:right="1002" w:bottom="1029" w:left="995" w:header="0" w:footer="3" w:gutter="0"/>
          <w:cols w:num="2" w:space="133"/>
          <w:noEndnote/>
          <w:docGrid w:linePitch="360"/>
        </w:sectPr>
      </w:pPr>
      <w:r>
        <w:rPr>
          <w:rStyle w:val="CharStyle12"/>
          <w:lang w:eastAsia="en-US"/>
        </w:rPr>
        <w:t xml:space="preserve">The absolute abundances of these genes further underscored these trends. For example, the average abundance of </w:t>
      </w:r>
      <w:r>
        <w:rPr>
          <w:rStyle w:val="CharStyle12"/>
          <w:i/>
          <w:iCs/>
          <w:lang w:eastAsia="en-US"/>
        </w:rPr>
        <w:t>dsyB</w:t>
      </w:r>
      <w:r>
        <w:rPr>
          <w:rStyle w:val="CharStyle12"/>
          <w:lang w:eastAsia="en-US"/>
        </w:rPr>
        <w:t xml:space="preserve"> in the surface waters (5 m) of the Pacific sections D and P was determined to be (1.98 </w:t>
      </w:r>
      <w:r>
        <w:rPr>
          <w:rStyle w:val="CharStyle12"/>
          <w:sz w:val="17"/>
          <w:szCs w:val="17"/>
          <w:lang w:eastAsia="en-US"/>
        </w:rPr>
        <w:t xml:space="preserve">± </w:t>
      </w:r>
      <w:r>
        <w:rPr>
          <w:rStyle w:val="CharStyle12"/>
          <w:lang w:eastAsia="en-US"/>
        </w:rPr>
        <w:t xml:space="preserve">2.20) </w:t>
      </w:r>
      <w:r>
        <w:rPr>
          <w:rStyle w:val="CharStyle12"/>
          <w:sz w:val="17"/>
          <w:szCs w:val="17"/>
          <w:lang w:eastAsia="en-US"/>
        </w:rPr>
        <w:t xml:space="preserve">× </w:t>
      </w:r>
      <w:r>
        <w:rPr>
          <w:rStyle w:val="CharStyle12"/>
          <w:lang w:eastAsia="en-US"/>
        </w:rPr>
        <w:t>10</w:t>
      </w:r>
      <w:r>
        <w:rPr>
          <w:rStyle w:val="CharStyle12"/>
          <w:vertAlign w:val="superscript"/>
          <w:lang w:eastAsia="en-US"/>
        </w:rPr>
        <w:t>4</w:t>
      </w:r>
      <w:r>
        <w:rPr>
          <w:rStyle w:val="CharStyle12"/>
          <w:lang w:eastAsia="en-US"/>
        </w:rPr>
        <w:t xml:space="preserve"> copies/mL, which is higher than that reported in the surface waters of the East China Sea [(1.03</w:t>
      </w:r>
      <w:r>
        <w:rPr>
          <w:rStyle w:val="CharStyle12"/>
          <w:sz w:val="17"/>
          <w:szCs w:val="17"/>
          <w:lang w:eastAsia="en-US"/>
        </w:rPr>
        <w:t>-</w:t>
      </w:r>
      <w:r>
        <w:rPr>
          <w:rStyle w:val="CharStyle12"/>
          <w:lang w:eastAsia="en-US"/>
        </w:rPr>
        <w:t xml:space="preserve">2.46) </w:t>
      </w:r>
      <w:r>
        <w:rPr>
          <w:rStyle w:val="CharStyle12"/>
          <w:sz w:val="17"/>
          <w:szCs w:val="17"/>
          <w:lang w:eastAsia="en-US"/>
        </w:rPr>
        <w:t xml:space="preserve">× </w:t>
      </w:r>
      <w:r>
        <w:rPr>
          <w:rStyle w:val="CharStyle12"/>
          <w:lang w:eastAsia="en-US"/>
        </w:rPr>
        <w:t>10</w:t>
      </w:r>
      <w:r>
        <w:rPr>
          <w:rStyle w:val="CharStyle12"/>
          <w:vertAlign w:val="superscript"/>
          <w:lang w:eastAsia="en-US"/>
        </w:rPr>
        <w:t>3</w:t>
      </w:r>
      <w:r>
        <w:rPr>
          <w:rStyle w:val="CharStyle12"/>
          <w:lang w:eastAsia="en-US"/>
        </w:rPr>
        <w:t xml:space="preserve"> copies/mL]</w:t>
      </w:r>
      <w:r>
        <w:rPr>
          <w:rStyle w:val="CharStyle12"/>
          <w:color w:val="0D54A6"/>
          <w:vertAlign w:val="superscript"/>
          <w:lang w:eastAsia="en-US"/>
        </w:rPr>
        <w:t>73</w:t>
      </w:r>
      <w:r>
        <w:rPr>
          <w:rStyle w:val="CharStyle12"/>
          <w:vertAlign w:val="superscript"/>
          <w:lang w:eastAsia="en-US"/>
        </w:rPr>
        <w:t>,</w:t>
      </w:r>
      <w:r>
        <w:rPr>
          <w:rStyle w:val="CharStyle12"/>
          <w:color w:val="0D54A6"/>
          <w:vertAlign w:val="superscript"/>
          <w:lang w:eastAsia="en-US"/>
        </w:rPr>
        <w:t>79</w:t>
      </w:r>
      <w:r>
        <w:rPr>
          <w:rStyle w:val="CharStyle12"/>
          <w:color w:val="0D54A6"/>
          <w:lang w:eastAsia="en-US"/>
        </w:rPr>
        <w:t xml:space="preserve"> </w:t>
      </w:r>
      <w:r>
        <w:rPr>
          <w:rStyle w:val="CharStyle12"/>
          <w:lang w:eastAsia="en-US"/>
        </w:rPr>
        <w:t xml:space="preserve">and in the Mariana Trench (2.61 </w:t>
      </w:r>
      <w:r>
        <w:rPr>
          <w:rStyle w:val="CharStyle12"/>
          <w:sz w:val="17"/>
          <w:szCs w:val="17"/>
          <w:lang w:eastAsia="en-US"/>
        </w:rPr>
        <w:t xml:space="preserve">× </w:t>
      </w:r>
      <w:r>
        <w:rPr>
          <w:rStyle w:val="CharStyle12"/>
          <w:lang w:eastAsia="en-US"/>
        </w:rPr>
        <w:t>10</w:t>
      </w:r>
      <w:r>
        <w:rPr>
          <w:rStyle w:val="CharStyle12"/>
          <w:vertAlign w:val="superscript"/>
          <w:lang w:eastAsia="en-US"/>
        </w:rPr>
        <w:t>2</w:t>
      </w:r>
      <w:r>
        <w:rPr>
          <w:rStyle w:val="CharStyle12"/>
          <w:lang w:eastAsia="en-US"/>
        </w:rPr>
        <w:t xml:space="preserve"> copies/mL).</w:t>
      </w:r>
      <w:r>
        <w:rPr>
          <w:rStyle w:val="CharStyle12"/>
          <w:color w:val="0D54A6"/>
          <w:vertAlign w:val="superscript"/>
          <w:lang w:eastAsia="en-US"/>
        </w:rPr>
        <w:t>41</w:t>
      </w:r>
      <w:r>
        <w:rPr>
          <w:rStyle w:val="CharStyle12"/>
          <w:color w:val="0D54A6"/>
          <w:lang w:eastAsia="en-US"/>
        </w:rPr>
        <w:t xml:space="preserve"> </w:t>
      </w:r>
      <w:r>
        <w:rPr>
          <w:rStyle w:val="CharStyle12"/>
          <w:lang w:eastAsia="en-US"/>
        </w:rPr>
        <w:t xml:space="preserve">However, the key DMSP cleavage gene </w:t>
      </w:r>
      <w:r>
        <w:rPr>
          <w:rStyle w:val="CharStyle12"/>
          <w:i/>
          <w:iCs/>
          <w:lang w:eastAsia="en-US"/>
        </w:rPr>
        <w:t>dddP</w:t>
      </w:r>
      <w:r>
        <w:rPr>
          <w:rStyle w:val="CharStyle12"/>
          <w:lang w:eastAsia="en-US"/>
        </w:rPr>
        <w:t xml:space="preserve"> showed lower absolute abundance</w:t>
      </w:r>
    </w:p>
    <w:p w14:paraId="69D9E7D8" w14:textId="77777777" w:rsidR="00B14B05" w:rsidRDefault="00B14B05">
      <w:pPr>
        <w:spacing w:line="179" w:lineRule="exact"/>
        <w:rPr>
          <w:color w:val="auto"/>
          <w:lang w:eastAsia="en-GB"/>
        </w:rPr>
      </w:pPr>
    </w:p>
    <w:p w14:paraId="67A03224" w14:textId="77777777" w:rsidR="00B14B05" w:rsidRDefault="00B14B05">
      <w:pPr>
        <w:spacing w:line="1" w:lineRule="exact"/>
        <w:rPr>
          <w:color w:val="auto"/>
          <w:lang w:eastAsia="en-GB"/>
        </w:rPr>
        <w:sectPr w:rsidR="00000000">
          <w:type w:val="continuous"/>
          <w:pgSz w:w="12149" w:h="16834"/>
          <w:pgMar w:top="1469" w:right="0" w:bottom="1227" w:left="0" w:header="0" w:footer="3" w:gutter="0"/>
          <w:cols w:space="720"/>
          <w:noEndnote/>
          <w:docGrid w:linePitch="360"/>
        </w:sectPr>
      </w:pPr>
    </w:p>
    <w:p w14:paraId="07B085C5" w14:textId="77777777" w:rsidR="00B14B05" w:rsidRDefault="00B14B05">
      <w:pPr>
        <w:pStyle w:val="Style40"/>
        <w:framePr w:w="10133" w:h="878" w:wrap="none" w:vAnchor="text" w:hAnchor="margin" w:x="5" w:y="4202"/>
        <w:spacing w:line="293" w:lineRule="auto"/>
        <w:jc w:val="both"/>
        <w:rPr>
          <w:sz w:val="24"/>
          <w:szCs w:val="24"/>
        </w:rPr>
      </w:pPr>
      <w:r>
        <w:rPr>
          <w:rStyle w:val="CharStyle41"/>
          <w:rFonts w:ascii="Arial" w:hAnsi="Arial" w:cs="Arial"/>
          <w:sz w:val="12"/>
          <w:szCs w:val="12"/>
          <w:lang w:eastAsia="en-US"/>
        </w:rPr>
        <w:t xml:space="preserve">Figure 5. </w:t>
      </w:r>
      <w:r>
        <w:rPr>
          <w:rStyle w:val="CharStyle41"/>
          <w:lang w:eastAsia="en-US"/>
        </w:rPr>
        <w:t>NMDS ordination of DSMG community structures is based on Bray</w:t>
      </w:r>
      <w:r>
        <w:rPr>
          <w:rStyle w:val="CharStyle41"/>
          <w:rFonts w:ascii="Arial" w:hAnsi="Arial" w:cs="Arial"/>
          <w:sz w:val="15"/>
          <w:szCs w:val="15"/>
          <w:lang w:eastAsia="en-US"/>
        </w:rPr>
        <w:t>-</w:t>
      </w:r>
      <w:r>
        <w:rPr>
          <w:rStyle w:val="CharStyle41"/>
          <w:lang w:eastAsia="en-US"/>
        </w:rPr>
        <w:t>Curtis dissimilarity. The ordinations were performed on log- transformed absolute gene abundances. (A) Ordination of 27 DSMGs, showing their co-occurrence patterns across all samples (stress = 0.1458). (B) Ordination of 55 environmental samples, demonstrating distinct clustering by sample type (stress = 0.1551). The sample grouping was confirmed to be statistically significant by ANOSIM (</w:t>
      </w:r>
      <w:r>
        <w:rPr>
          <w:rStyle w:val="CharStyle41"/>
          <w:rFonts w:ascii="Arial" w:hAnsi="Arial" w:cs="Arial"/>
          <w:i/>
          <w:iCs/>
          <w:sz w:val="12"/>
          <w:szCs w:val="12"/>
          <w:lang w:eastAsia="en-US"/>
        </w:rPr>
        <w:t>R</w:t>
      </w:r>
      <w:r>
        <w:rPr>
          <w:rStyle w:val="CharStyle41"/>
          <w:lang w:eastAsia="en-US"/>
        </w:rPr>
        <w:t xml:space="preserve"> = 0.3798, </w:t>
      </w:r>
      <w:r>
        <w:rPr>
          <w:rStyle w:val="CharStyle41"/>
          <w:rFonts w:ascii="Arial" w:hAnsi="Arial" w:cs="Arial"/>
          <w:i/>
          <w:iCs/>
          <w:sz w:val="12"/>
          <w:szCs w:val="12"/>
          <w:lang w:eastAsia="en-US"/>
        </w:rPr>
        <w:t>p</w:t>
      </w:r>
      <w:r>
        <w:rPr>
          <w:rStyle w:val="CharStyle41"/>
          <w:lang w:eastAsia="en-US"/>
        </w:rPr>
        <w:t xml:space="preserve"> &lt; 0.001).</w:t>
      </w:r>
    </w:p>
    <w:p w14:paraId="1A087F41" w14:textId="382D12FB" w:rsidR="00B14B05" w:rsidRDefault="00B14B05">
      <w:pPr>
        <w:spacing w:line="360" w:lineRule="exact"/>
        <w:rPr>
          <w:color w:val="auto"/>
          <w:lang w:eastAsia="en-GB"/>
        </w:rPr>
      </w:pPr>
      <w:r>
        <w:rPr>
          <w:noProof/>
        </w:rPr>
        <w:drawing>
          <wp:anchor distT="0" distB="734695" distL="579120" distR="582295" simplePos="0" relativeHeight="251677696" behindDoc="1" locked="0" layoutInCell="1" allowOverlap="1" wp14:anchorId="282A64E7" wp14:editId="37B50FD4">
            <wp:simplePos x="0" y="0"/>
            <wp:positionH relativeFrom="margin">
              <wp:posOffset>581660</wp:posOffset>
            </wp:positionH>
            <wp:positionV relativeFrom="paragraph">
              <wp:posOffset>12700</wp:posOffset>
            </wp:positionV>
            <wp:extent cx="5273040" cy="2477770"/>
            <wp:effectExtent l="0" t="0" r="0" b="0"/>
            <wp:wrapNone/>
            <wp:docPr id="3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273040" cy="2477770"/>
                    </a:xfrm>
                    <a:prstGeom prst="rect">
                      <a:avLst/>
                    </a:prstGeom>
                    <a:noFill/>
                  </pic:spPr>
                </pic:pic>
              </a:graphicData>
            </a:graphic>
            <wp14:sizeRelH relativeFrom="page">
              <wp14:pctWidth>0</wp14:pctWidth>
            </wp14:sizeRelH>
            <wp14:sizeRelV relativeFrom="page">
              <wp14:pctHeight>0</wp14:pctHeight>
            </wp14:sizeRelV>
          </wp:anchor>
        </w:drawing>
      </w:r>
    </w:p>
    <w:p w14:paraId="5306AC4A" w14:textId="77777777" w:rsidR="00B14B05" w:rsidRDefault="00B14B05">
      <w:pPr>
        <w:spacing w:line="360" w:lineRule="exact"/>
        <w:rPr>
          <w:color w:val="auto"/>
          <w:lang w:eastAsia="en-GB"/>
        </w:rPr>
      </w:pPr>
    </w:p>
    <w:p w14:paraId="420C7E41" w14:textId="77777777" w:rsidR="00B14B05" w:rsidRDefault="00B14B05">
      <w:pPr>
        <w:spacing w:line="360" w:lineRule="exact"/>
        <w:rPr>
          <w:color w:val="auto"/>
          <w:lang w:eastAsia="en-GB"/>
        </w:rPr>
      </w:pPr>
    </w:p>
    <w:p w14:paraId="7454689D" w14:textId="77777777" w:rsidR="00B14B05" w:rsidRDefault="00B14B05">
      <w:pPr>
        <w:spacing w:line="360" w:lineRule="exact"/>
        <w:rPr>
          <w:color w:val="auto"/>
          <w:lang w:eastAsia="en-GB"/>
        </w:rPr>
      </w:pPr>
    </w:p>
    <w:p w14:paraId="653E498A" w14:textId="77777777" w:rsidR="00B14B05" w:rsidRDefault="00B14B05">
      <w:pPr>
        <w:spacing w:line="360" w:lineRule="exact"/>
        <w:rPr>
          <w:color w:val="auto"/>
          <w:lang w:eastAsia="en-GB"/>
        </w:rPr>
      </w:pPr>
    </w:p>
    <w:p w14:paraId="219832BD" w14:textId="77777777" w:rsidR="00B14B05" w:rsidRDefault="00B14B05">
      <w:pPr>
        <w:spacing w:line="360" w:lineRule="exact"/>
        <w:rPr>
          <w:color w:val="auto"/>
          <w:lang w:eastAsia="en-GB"/>
        </w:rPr>
      </w:pPr>
    </w:p>
    <w:p w14:paraId="66DF3CF2" w14:textId="77777777" w:rsidR="00B14B05" w:rsidRDefault="00B14B05">
      <w:pPr>
        <w:spacing w:line="360" w:lineRule="exact"/>
        <w:rPr>
          <w:color w:val="auto"/>
          <w:lang w:eastAsia="en-GB"/>
        </w:rPr>
      </w:pPr>
    </w:p>
    <w:p w14:paraId="1D320A46" w14:textId="77777777" w:rsidR="00B14B05" w:rsidRDefault="00B14B05">
      <w:pPr>
        <w:spacing w:line="360" w:lineRule="exact"/>
        <w:rPr>
          <w:color w:val="auto"/>
          <w:lang w:eastAsia="en-GB"/>
        </w:rPr>
      </w:pPr>
    </w:p>
    <w:p w14:paraId="23C0EAA9" w14:textId="77777777" w:rsidR="00B14B05" w:rsidRDefault="00B14B05">
      <w:pPr>
        <w:spacing w:line="360" w:lineRule="exact"/>
        <w:rPr>
          <w:color w:val="auto"/>
          <w:lang w:eastAsia="en-GB"/>
        </w:rPr>
      </w:pPr>
    </w:p>
    <w:p w14:paraId="3AF716F5" w14:textId="77777777" w:rsidR="00B14B05" w:rsidRDefault="00B14B05">
      <w:pPr>
        <w:spacing w:line="360" w:lineRule="exact"/>
        <w:rPr>
          <w:color w:val="auto"/>
          <w:lang w:eastAsia="en-GB"/>
        </w:rPr>
      </w:pPr>
    </w:p>
    <w:p w14:paraId="34388C5F" w14:textId="77777777" w:rsidR="00B14B05" w:rsidRDefault="00B14B05">
      <w:pPr>
        <w:spacing w:line="360" w:lineRule="exact"/>
        <w:rPr>
          <w:color w:val="auto"/>
          <w:lang w:eastAsia="en-GB"/>
        </w:rPr>
      </w:pPr>
    </w:p>
    <w:p w14:paraId="786DEA68" w14:textId="77777777" w:rsidR="00B14B05" w:rsidRDefault="00B14B05">
      <w:pPr>
        <w:spacing w:line="360" w:lineRule="exact"/>
        <w:rPr>
          <w:color w:val="auto"/>
          <w:lang w:eastAsia="en-GB"/>
        </w:rPr>
      </w:pPr>
    </w:p>
    <w:p w14:paraId="2BC68614" w14:textId="77777777" w:rsidR="00B14B05" w:rsidRDefault="00B14B05">
      <w:pPr>
        <w:spacing w:line="360" w:lineRule="exact"/>
        <w:rPr>
          <w:color w:val="auto"/>
          <w:lang w:eastAsia="en-GB"/>
        </w:rPr>
      </w:pPr>
    </w:p>
    <w:p w14:paraId="7A126F20" w14:textId="77777777" w:rsidR="00B14B05" w:rsidRDefault="00B14B05">
      <w:pPr>
        <w:spacing w:after="378" w:line="1" w:lineRule="exact"/>
        <w:rPr>
          <w:color w:val="auto"/>
          <w:lang w:eastAsia="en-GB"/>
        </w:rPr>
      </w:pPr>
    </w:p>
    <w:p w14:paraId="303E11DE" w14:textId="77777777" w:rsidR="00B14B05" w:rsidRDefault="00B14B05">
      <w:pPr>
        <w:spacing w:line="1" w:lineRule="exact"/>
        <w:rPr>
          <w:color w:val="auto"/>
          <w:lang w:eastAsia="en-GB"/>
        </w:rPr>
        <w:sectPr w:rsidR="00000000">
          <w:type w:val="continuous"/>
          <w:pgSz w:w="12149" w:h="16834"/>
          <w:pgMar w:top="1469" w:right="1004" w:bottom="1227" w:left="999" w:header="0" w:footer="3" w:gutter="0"/>
          <w:cols w:space="720"/>
          <w:noEndnote/>
          <w:docGrid w:linePitch="360"/>
        </w:sectPr>
      </w:pPr>
    </w:p>
    <w:p w14:paraId="58403336" w14:textId="526423C4" w:rsidR="00B14B05" w:rsidRDefault="00B14B05">
      <w:pPr>
        <w:jc w:val="center"/>
        <w:rPr>
          <w:color w:val="auto"/>
          <w:lang w:eastAsia="en-GB"/>
        </w:rPr>
      </w:pPr>
      <w:r>
        <w:rPr>
          <w:noProof/>
          <w:color w:val="auto"/>
          <w:lang w:eastAsia="en-GB"/>
        </w:rPr>
        <w:lastRenderedPageBreak/>
        <w:drawing>
          <wp:inline distT="0" distB="0" distL="0" distR="0" wp14:anchorId="7D6DAAB6" wp14:editId="3F08DF1D">
            <wp:extent cx="5457825" cy="7848600"/>
            <wp:effectExtent l="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457825" cy="7848600"/>
                    </a:xfrm>
                    <a:prstGeom prst="rect">
                      <a:avLst/>
                    </a:prstGeom>
                    <a:noFill/>
                    <a:ln>
                      <a:noFill/>
                    </a:ln>
                  </pic:spPr>
                </pic:pic>
              </a:graphicData>
            </a:graphic>
          </wp:inline>
        </w:drawing>
      </w:r>
    </w:p>
    <w:p w14:paraId="31F975FC" w14:textId="77777777" w:rsidR="00B14B05" w:rsidRDefault="00B14B05">
      <w:pPr>
        <w:pStyle w:val="Style40"/>
        <w:spacing w:line="300" w:lineRule="auto"/>
        <w:jc w:val="both"/>
        <w:rPr>
          <w:sz w:val="24"/>
          <w:szCs w:val="24"/>
        </w:rPr>
        <w:sectPr w:rsidR="00000000">
          <w:pgSz w:w="12149" w:h="16834"/>
          <w:pgMar w:top="1595" w:right="1013" w:bottom="1320" w:left="999" w:header="0" w:footer="3" w:gutter="0"/>
          <w:cols w:space="720"/>
          <w:noEndnote/>
          <w:docGrid w:linePitch="360"/>
        </w:sectPr>
      </w:pPr>
      <w:r>
        <w:rPr>
          <w:rStyle w:val="CharStyle41"/>
          <w:rFonts w:ascii="Arial" w:hAnsi="Arial" w:cs="Arial"/>
          <w:sz w:val="12"/>
          <w:szCs w:val="12"/>
          <w:lang w:eastAsia="en-US"/>
        </w:rPr>
        <w:t xml:space="preserve">Figure 6. </w:t>
      </w:r>
      <w:r>
        <w:rPr>
          <w:rStyle w:val="CharStyle41"/>
          <w:lang w:eastAsia="en-US"/>
        </w:rPr>
        <w:t>Abundances of DSMGs in diverse marine environmental samples. The heatmaps display the relative abundance (A,B), absolute abundance (C,D), and comparative absolute abundance (E,F) of DSMGs. Panels (A, C, and E) show results from seawater samples (in copies/ mL), while panels (B, D, and F) represent results from sediment samples (in copies/g). All abundance data were log10-transformed for visualization. Gray cells indicate that the corresponding gene was not detected (NA). Geographic regions are abbreviated a</w:t>
      </w:r>
      <w:r>
        <w:rPr>
          <w:rStyle w:val="CharStyle41"/>
          <w:lang w:eastAsia="en-US"/>
        </w:rPr>
        <w:t>s follows: (a) Atlantic Ocean, (b) Indian Ocean, (c) Southern Ocean, (d) Yellow Sea, and (e) South China Sea.</w:t>
      </w:r>
    </w:p>
    <w:p w14:paraId="4A301671" w14:textId="77777777" w:rsidR="00B14B05" w:rsidRDefault="00B14B05">
      <w:pPr>
        <w:pStyle w:val="Style11"/>
        <w:spacing w:line="310" w:lineRule="auto"/>
        <w:ind w:firstLine="0"/>
        <w:jc w:val="both"/>
        <w:rPr>
          <w:rFonts w:ascii="Times New Roman" w:hAnsi="Times New Roman" w:cs="Times New Roman"/>
          <w:sz w:val="24"/>
          <w:szCs w:val="24"/>
        </w:rPr>
      </w:pPr>
      <w:r>
        <w:rPr>
          <w:rStyle w:val="CharStyle12"/>
          <w:lang w:eastAsia="en-US"/>
        </w:rPr>
        <w:lastRenderedPageBreak/>
        <w:t xml:space="preserve">in the Pacific surface waters [(1.73 </w:t>
      </w:r>
      <w:r>
        <w:rPr>
          <w:rStyle w:val="CharStyle12"/>
          <w:sz w:val="17"/>
          <w:szCs w:val="17"/>
          <w:lang w:eastAsia="en-US"/>
        </w:rPr>
        <w:t xml:space="preserve">± </w:t>
      </w:r>
      <w:r>
        <w:rPr>
          <w:rStyle w:val="CharStyle12"/>
          <w:lang w:eastAsia="en-US"/>
        </w:rPr>
        <w:t xml:space="preserve">0.14) </w:t>
      </w:r>
      <w:r>
        <w:rPr>
          <w:rStyle w:val="CharStyle12"/>
          <w:sz w:val="17"/>
          <w:szCs w:val="17"/>
          <w:lang w:eastAsia="en-US"/>
        </w:rPr>
        <w:t xml:space="preserve">× </w:t>
      </w:r>
      <w:r>
        <w:rPr>
          <w:rStyle w:val="CharStyle12"/>
          <w:lang w:eastAsia="en-US"/>
        </w:rPr>
        <w:t>10</w:t>
      </w:r>
      <w:r>
        <w:rPr>
          <w:rStyle w:val="CharStyle12"/>
          <w:vertAlign w:val="superscript"/>
          <w:lang w:eastAsia="en-US"/>
        </w:rPr>
        <w:t>2</w:t>
      </w:r>
      <w:r>
        <w:rPr>
          <w:rStyle w:val="CharStyle12"/>
          <w:lang w:eastAsia="en-US"/>
        </w:rPr>
        <w:t xml:space="preserve"> copies/mL] compared to the East China Sea (10</w:t>
      </w:r>
      <w:r>
        <w:rPr>
          <w:rStyle w:val="CharStyle12"/>
          <w:vertAlign w:val="superscript"/>
          <w:lang w:eastAsia="en-US"/>
        </w:rPr>
        <w:t>3</w:t>
      </w:r>
      <w:r>
        <w:rPr>
          <w:rStyle w:val="CharStyle12"/>
          <w:sz w:val="17"/>
          <w:szCs w:val="17"/>
          <w:lang w:eastAsia="en-US"/>
        </w:rPr>
        <w:t>-</w:t>
      </w:r>
      <w:r>
        <w:rPr>
          <w:rStyle w:val="CharStyle12"/>
          <w:lang w:eastAsia="en-US"/>
        </w:rPr>
        <w:t>10</w:t>
      </w:r>
      <w:r>
        <w:rPr>
          <w:rStyle w:val="CharStyle12"/>
          <w:vertAlign w:val="superscript"/>
          <w:lang w:eastAsia="en-US"/>
        </w:rPr>
        <w:t>4</w:t>
      </w:r>
      <w:r>
        <w:rPr>
          <w:rStyle w:val="CharStyle12"/>
          <w:lang w:eastAsia="en-US"/>
        </w:rPr>
        <w:t xml:space="preserve"> copies/mL)</w:t>
      </w:r>
      <w:r>
        <w:rPr>
          <w:rStyle w:val="CharStyle12"/>
          <w:color w:val="0D54A6"/>
          <w:vertAlign w:val="superscript"/>
          <w:lang w:eastAsia="en-US"/>
        </w:rPr>
        <w:t>79</w:t>
      </w:r>
      <w:r>
        <w:rPr>
          <w:rStyle w:val="CharStyle12"/>
          <w:color w:val="0D54A6"/>
          <w:lang w:eastAsia="en-US"/>
        </w:rPr>
        <w:t xml:space="preserve"> </w:t>
      </w:r>
      <w:r>
        <w:rPr>
          <w:rStyle w:val="CharStyle12"/>
          <w:lang w:eastAsia="en-US"/>
        </w:rPr>
        <w:t xml:space="preserve">and was comparable to that found in the Mariana Trench (3.51 </w:t>
      </w:r>
      <w:r>
        <w:rPr>
          <w:rStyle w:val="CharStyle12"/>
          <w:sz w:val="17"/>
          <w:szCs w:val="17"/>
          <w:lang w:eastAsia="en-US"/>
        </w:rPr>
        <w:t xml:space="preserve">× </w:t>
      </w:r>
      <w:r>
        <w:rPr>
          <w:rStyle w:val="CharStyle12"/>
          <w:lang w:eastAsia="en-US"/>
        </w:rPr>
        <w:t>10</w:t>
      </w:r>
      <w:r>
        <w:rPr>
          <w:rStyle w:val="CharStyle12"/>
          <w:vertAlign w:val="superscript"/>
          <w:lang w:eastAsia="en-US"/>
        </w:rPr>
        <w:t>2</w:t>
      </w:r>
      <w:r>
        <w:rPr>
          <w:rStyle w:val="CharStyle12"/>
          <w:lang w:eastAsia="en-US"/>
        </w:rPr>
        <w:t xml:space="preserve"> copies/mL).</w:t>
      </w:r>
      <w:r>
        <w:rPr>
          <w:rStyle w:val="CharStyle12"/>
          <w:color w:val="0D54A6"/>
          <w:vertAlign w:val="superscript"/>
          <w:lang w:eastAsia="en-US"/>
        </w:rPr>
        <w:t>12</w:t>
      </w:r>
      <w:r>
        <w:rPr>
          <w:rStyle w:val="CharStyle12"/>
          <w:color w:val="0D54A6"/>
          <w:lang w:eastAsia="en-US"/>
        </w:rPr>
        <w:t xml:space="preserve"> </w:t>
      </w:r>
      <w:r>
        <w:rPr>
          <w:rStyle w:val="CharStyle12"/>
          <w:lang w:eastAsia="en-US"/>
        </w:rPr>
        <w:t>Additionally, an extremely high absolute abundance of nearly all genes was observed in one nearshore sample (QD.5), which may be due to the enriched microbial biomass in the coastal environment.</w:t>
      </w:r>
      <w:r>
        <w:rPr>
          <w:rStyle w:val="CharStyle12"/>
          <w:color w:val="0D54A6"/>
          <w:vertAlign w:val="superscript"/>
          <w:lang w:eastAsia="en-US"/>
        </w:rPr>
        <w:t>80</w:t>
      </w:r>
      <w:r>
        <w:rPr>
          <w:rStyle w:val="CharStyle12"/>
          <w:vertAlign w:val="superscript"/>
          <w:lang w:eastAsia="en-US"/>
        </w:rPr>
        <w:t>,</w:t>
      </w:r>
      <w:r>
        <w:rPr>
          <w:rStyle w:val="CharStyle12"/>
          <w:color w:val="0D54A6"/>
          <w:vertAlign w:val="superscript"/>
          <w:lang w:eastAsia="en-US"/>
        </w:rPr>
        <w:t>81</w:t>
      </w:r>
      <w:r>
        <w:rPr>
          <w:rStyle w:val="CharStyle12"/>
          <w:color w:val="0D54A6"/>
          <w:lang w:eastAsia="en-US"/>
        </w:rPr>
        <w:t xml:space="preserve"> </w:t>
      </w:r>
      <w:r>
        <w:rPr>
          <w:rStyle w:val="CharStyle12"/>
          <w:lang w:eastAsia="en-US"/>
        </w:rPr>
        <w:t>In contrast, surface waters</w:t>
      </w:r>
      <w:r>
        <w:rPr>
          <w:rStyle w:val="CharStyle12"/>
          <w:lang w:eastAsia="en-US"/>
        </w:rPr>
        <w:t xml:space="preserve"> from the pelagic ocean (Che12, Che15, Che21) and the Southern Ocean (CSS, ASS) had significantly fewer detected genes and lower absolute abundances (Wilcoxon test, </w:t>
      </w:r>
      <w:r>
        <w:rPr>
          <w:rStyle w:val="CharStyle12"/>
          <w:i/>
          <w:iCs/>
          <w:lang w:eastAsia="en-US"/>
        </w:rPr>
        <w:t>p</w:t>
      </w:r>
      <w:r>
        <w:rPr>
          <w:rStyle w:val="CharStyle12"/>
          <w:lang w:eastAsia="en-US"/>
        </w:rPr>
        <w:t xml:space="preserve"> &lt; 0.05). Except for a few DMSP biosynthesis and degradation genes, no absolute abundance data have been previously reported for most other organic sulfur metabolic genes, and our study provides the first comprehensive data set for these genes.</w:t>
      </w:r>
    </w:p>
    <w:p w14:paraId="31D9DB59" w14:textId="77777777" w:rsidR="00B14B05" w:rsidRDefault="00B14B05">
      <w:pPr>
        <w:pStyle w:val="Style11"/>
        <w:numPr>
          <w:ilvl w:val="2"/>
          <w:numId w:val="1"/>
        </w:numPr>
        <w:tabs>
          <w:tab w:val="left" w:pos="750"/>
        </w:tabs>
        <w:spacing w:line="298" w:lineRule="auto"/>
        <w:jc w:val="both"/>
        <w:rPr>
          <w:sz w:val="24"/>
          <w:szCs w:val="24"/>
        </w:rPr>
      </w:pPr>
      <w:r>
        <w:rPr>
          <w:rStyle w:val="CharStyle12"/>
          <w:i/>
          <w:iCs/>
          <w:sz w:val="18"/>
          <w:szCs w:val="18"/>
          <w:lang w:eastAsia="en-US"/>
        </w:rPr>
        <w:t>DMSP Cycling in Sediment Samples Revealed by DSMG-Chip.</w:t>
      </w:r>
      <w:r>
        <w:rPr>
          <w:rStyle w:val="CharStyle12"/>
          <w:lang w:eastAsia="en-US"/>
        </w:rPr>
        <w:t xml:space="preserve"> Overall, the absolute abundance of DMSP and related organic sulfur metabolic genes was considerably higher in sediment (copies/g) than in seawater (copies/mL) (</w:t>
      </w:r>
      <w:r>
        <w:rPr>
          <w:rStyle w:val="CharStyle12"/>
          <w:color w:val="0D54A6"/>
          <w:lang w:eastAsia="en-US"/>
        </w:rPr>
        <w:t>Figure 6</w:t>
      </w:r>
      <w:r>
        <w:rPr>
          <w:rStyle w:val="CharStyle12"/>
          <w:lang w:eastAsia="en-US"/>
        </w:rPr>
        <w:t>C,D). This finding strongly suggests that marine sediments serve as hotspots and concentrated reservoirs for microbial communities driving organic sulfur cycling, which is consistent with previous studies.</w:t>
      </w:r>
      <w:r>
        <w:rPr>
          <w:rStyle w:val="CharStyle12"/>
          <w:color w:val="0D54A6"/>
          <w:vertAlign w:val="superscript"/>
          <w:lang w:eastAsia="en-US"/>
        </w:rPr>
        <w:t>40</w:t>
      </w:r>
      <w:r>
        <w:rPr>
          <w:rStyle w:val="CharStyle12"/>
          <w:vertAlign w:val="superscript"/>
          <w:lang w:eastAsia="en-US"/>
        </w:rPr>
        <w:t>,</w:t>
      </w:r>
      <w:r>
        <w:rPr>
          <w:rStyle w:val="CharStyle12"/>
          <w:color w:val="0D54A6"/>
          <w:vertAlign w:val="superscript"/>
          <w:lang w:eastAsia="en-US"/>
        </w:rPr>
        <w:t>73</w:t>
      </w:r>
    </w:p>
    <w:p w14:paraId="0DC0A733" w14:textId="77777777" w:rsidR="00B14B05" w:rsidRDefault="00B14B05">
      <w:pPr>
        <w:pStyle w:val="Style11"/>
        <w:spacing w:line="312" w:lineRule="auto"/>
        <w:jc w:val="both"/>
        <w:rPr>
          <w:rFonts w:ascii="Times New Roman" w:hAnsi="Times New Roman" w:cs="Times New Roman"/>
          <w:sz w:val="24"/>
          <w:szCs w:val="24"/>
        </w:rPr>
      </w:pPr>
      <w:r>
        <w:rPr>
          <w:rStyle w:val="CharStyle12"/>
          <w:lang w:eastAsia="en-US"/>
        </w:rPr>
        <w:t xml:space="preserve">In contrast to seawater, sediment samples generally exhibited a distinct DMSP cycling pattern with a high abundance of the </w:t>
      </w:r>
      <w:r>
        <w:rPr>
          <w:rStyle w:val="CharStyle12"/>
          <w:i/>
          <w:iCs/>
          <w:lang w:eastAsia="en-US"/>
        </w:rPr>
        <w:t>mdd</w:t>
      </w:r>
      <w:r>
        <w:rPr>
          <w:rStyle w:val="CharStyle12"/>
          <w:lang w:eastAsia="en-US"/>
        </w:rPr>
        <w:t xml:space="preserve"> genes. In sediments from extreme environments such as the Mariana Trench (MT), hydro</w:t>
      </w:r>
      <w:r>
        <w:rPr>
          <w:rStyle w:val="CharStyle12"/>
          <w:lang w:eastAsia="en-US"/>
        </w:rPr>
        <w:softHyphen/>
        <w:t xml:space="preserve">thermal vents, and cold seeps, </w:t>
      </w:r>
      <w:r>
        <w:rPr>
          <w:rStyle w:val="CharStyle12"/>
          <w:i/>
          <w:iCs/>
          <w:lang w:eastAsia="en-US"/>
        </w:rPr>
        <w:t>mddA</w:t>
      </w:r>
      <w:r>
        <w:rPr>
          <w:rStyle w:val="CharStyle12"/>
          <w:lang w:eastAsia="en-US"/>
        </w:rPr>
        <w:t xml:space="preserve"> abundance was dramatically higher (up to 3.33% </w:t>
      </w:r>
      <w:r>
        <w:rPr>
          <w:rStyle w:val="CharStyle12"/>
          <w:sz w:val="17"/>
          <w:szCs w:val="17"/>
          <w:lang w:eastAsia="en-US"/>
        </w:rPr>
        <w:t xml:space="preserve">± </w:t>
      </w:r>
      <w:r>
        <w:rPr>
          <w:rStyle w:val="CharStyle12"/>
          <w:lang w:eastAsia="en-US"/>
        </w:rPr>
        <w:t xml:space="preserve">2.61%) than in seawater (0.07% </w:t>
      </w:r>
      <w:r>
        <w:rPr>
          <w:rStyle w:val="CharStyle12"/>
          <w:sz w:val="17"/>
          <w:szCs w:val="17"/>
          <w:lang w:eastAsia="en-US"/>
        </w:rPr>
        <w:t xml:space="preserve">± </w:t>
      </w:r>
      <w:r>
        <w:rPr>
          <w:rStyle w:val="CharStyle12"/>
          <w:lang w:eastAsia="en-US"/>
        </w:rPr>
        <w:t>0.06%), consistent with prior research</w:t>
      </w:r>
      <w:r>
        <w:rPr>
          <w:rStyle w:val="CharStyle12"/>
          <w:color w:val="0D54A6"/>
          <w:vertAlign w:val="superscript"/>
          <w:lang w:eastAsia="en-US"/>
        </w:rPr>
        <w:t>30</w:t>
      </w:r>
      <w:r>
        <w:rPr>
          <w:rStyle w:val="CharStyle12"/>
          <w:vertAlign w:val="superscript"/>
          <w:lang w:eastAsia="en-US"/>
        </w:rPr>
        <w:t>,</w:t>
      </w:r>
      <w:r>
        <w:rPr>
          <w:rStyle w:val="CharStyle12"/>
          <w:color w:val="0D54A6"/>
          <w:vertAlign w:val="superscript"/>
          <w:lang w:eastAsia="en-US"/>
        </w:rPr>
        <w:t>40</w:t>
      </w:r>
      <w:r>
        <w:rPr>
          <w:rStyle w:val="CharStyle12"/>
          <w:vertAlign w:val="superscript"/>
          <w:lang w:eastAsia="en-US"/>
        </w:rPr>
        <w:t>,</w:t>
      </w:r>
      <w:r>
        <w:rPr>
          <w:rStyle w:val="CharStyle12"/>
          <w:color w:val="0D54A6"/>
          <w:vertAlign w:val="superscript"/>
          <w:lang w:eastAsia="en-US"/>
        </w:rPr>
        <w:t>41</w:t>
      </w:r>
      <w:r>
        <w:rPr>
          <w:rStyle w:val="CharStyle12"/>
          <w:color w:val="0D54A6"/>
          <w:lang w:eastAsia="en-US"/>
        </w:rPr>
        <w:t xml:space="preserve"> </w:t>
      </w:r>
      <w:r>
        <w:rPr>
          <w:rStyle w:val="CharStyle12"/>
          <w:lang w:eastAsia="en-US"/>
        </w:rPr>
        <w:t>(</w:t>
      </w:r>
      <w:r>
        <w:rPr>
          <w:rStyle w:val="CharStyle12"/>
          <w:color w:val="0D54A6"/>
          <w:lang w:eastAsia="en-US"/>
        </w:rPr>
        <w:t>Figure 6</w:t>
      </w:r>
      <w:r>
        <w:rPr>
          <w:rStyle w:val="CharStyle12"/>
          <w:lang w:eastAsia="en-US"/>
        </w:rPr>
        <w:t>B and D).</w:t>
      </w:r>
    </w:p>
    <w:p w14:paraId="32DAF60B" w14:textId="77777777" w:rsidR="00B14B05" w:rsidRDefault="00B14B05">
      <w:pPr>
        <w:pStyle w:val="Style11"/>
        <w:spacing w:line="312" w:lineRule="auto"/>
        <w:jc w:val="both"/>
        <w:rPr>
          <w:rFonts w:ascii="Times New Roman" w:hAnsi="Times New Roman" w:cs="Times New Roman"/>
          <w:sz w:val="24"/>
          <w:szCs w:val="24"/>
        </w:rPr>
      </w:pPr>
      <w:r>
        <w:rPr>
          <w:rStyle w:val="CharStyle12"/>
          <w:lang w:eastAsia="en-US"/>
        </w:rPr>
        <w:t xml:space="preserve">This high abundance of Mdd pathway potential in such sediments is likely influenced by the high concentrations of reduced sulfur compounds in the surrounding environment, where microorganisms possessing the MeSH </w:t>
      </w:r>
      <w:r>
        <w:rPr>
          <w:rStyle w:val="CharStyle12"/>
          <w:i/>
          <w:iCs/>
          <w:lang w:eastAsia="en-US"/>
        </w:rPr>
        <w:t>S</w:t>
      </w:r>
      <w:r>
        <w:rPr>
          <w:rStyle w:val="CharStyle12"/>
          <w:lang w:eastAsia="en-US"/>
        </w:rPr>
        <w:t>-methylation pathway gain a strong survival and competitive advantage through their detoxification, yielding DMS.</w:t>
      </w:r>
      <w:r>
        <w:rPr>
          <w:rStyle w:val="CharStyle12"/>
          <w:color w:val="0D54A6"/>
          <w:vertAlign w:val="superscript"/>
          <w:lang w:eastAsia="en-US"/>
        </w:rPr>
        <w:t>30</w:t>
      </w:r>
      <w:r>
        <w:rPr>
          <w:rStyle w:val="CharStyle12"/>
          <w:vertAlign w:val="superscript"/>
          <w:lang w:eastAsia="en-US"/>
        </w:rPr>
        <w:t>,</w:t>
      </w:r>
      <w:r>
        <w:rPr>
          <w:rStyle w:val="CharStyle12"/>
          <w:color w:val="0D54A6"/>
          <w:vertAlign w:val="superscript"/>
          <w:lang w:eastAsia="en-US"/>
        </w:rPr>
        <w:t>38</w:t>
      </w:r>
      <w:r>
        <w:rPr>
          <w:rStyle w:val="CharStyle12"/>
          <w:color w:val="0D54A6"/>
          <w:lang w:eastAsia="en-US"/>
        </w:rPr>
        <w:t xml:space="preserve"> </w:t>
      </w:r>
      <w:r>
        <w:rPr>
          <w:rStyle w:val="CharStyle12"/>
          <w:lang w:eastAsia="en-US"/>
        </w:rPr>
        <w:t xml:space="preserve">Vertical profiling in these sediments further revealed that both </w:t>
      </w:r>
      <w:r>
        <w:rPr>
          <w:rStyle w:val="CharStyle12"/>
          <w:i/>
          <w:iCs/>
          <w:lang w:eastAsia="en-US"/>
        </w:rPr>
        <w:t xml:space="preserve">mddA </w:t>
      </w:r>
      <w:r>
        <w:rPr>
          <w:rStyle w:val="CharStyle12"/>
          <w:lang w:eastAsia="en-US"/>
        </w:rPr>
        <w:t xml:space="preserve">and </w:t>
      </w:r>
      <w:r>
        <w:rPr>
          <w:rStyle w:val="CharStyle12"/>
          <w:i/>
          <w:iCs/>
          <w:lang w:eastAsia="en-US"/>
        </w:rPr>
        <w:t>dddP</w:t>
      </w:r>
      <w:r>
        <w:rPr>
          <w:rStyle w:val="CharStyle12"/>
          <w:lang w:eastAsia="en-US"/>
        </w:rPr>
        <w:t xml:space="preserve"> abundances decreased with depth, with the exception of a distinct peak at 12 cm in the MT, a pattern that aligns with previous metagenomic data.</w:t>
      </w:r>
      <w:r>
        <w:rPr>
          <w:rStyle w:val="CharStyle12"/>
          <w:color w:val="0D54A6"/>
          <w:vertAlign w:val="superscript"/>
          <w:lang w:eastAsia="en-US"/>
        </w:rPr>
        <w:t>41</w:t>
      </w:r>
      <w:r>
        <w:rPr>
          <w:rStyle w:val="CharStyle12"/>
          <w:color w:val="0D54A6"/>
          <w:lang w:eastAsia="en-US"/>
        </w:rPr>
        <w:t xml:space="preserve"> </w:t>
      </w:r>
      <w:r>
        <w:rPr>
          <w:rStyle w:val="CharStyle12"/>
          <w:lang w:eastAsia="en-US"/>
        </w:rPr>
        <w:t xml:space="preserve">The decreasing trend along the sediment depth for </w:t>
      </w:r>
      <w:r>
        <w:rPr>
          <w:rStyle w:val="CharStyle12"/>
          <w:i/>
          <w:iCs/>
          <w:lang w:eastAsia="en-US"/>
        </w:rPr>
        <w:t>mdds</w:t>
      </w:r>
      <w:r>
        <w:rPr>
          <w:rStyle w:val="CharStyle12"/>
          <w:lang w:eastAsia="en-US"/>
        </w:rPr>
        <w:t xml:space="preserve"> and </w:t>
      </w:r>
      <w:r>
        <w:rPr>
          <w:rStyle w:val="CharStyle12"/>
          <w:i/>
          <w:iCs/>
          <w:lang w:eastAsia="en-US"/>
        </w:rPr>
        <w:t>dddP</w:t>
      </w:r>
      <w:r>
        <w:rPr>
          <w:rStyle w:val="CharStyle12"/>
          <w:lang w:eastAsia="en-US"/>
        </w:rPr>
        <w:t xml:space="preserve"> was also reflected in the variations of absolute abundance. Generally, fewer organic metabolic genes w</w:t>
      </w:r>
      <w:r>
        <w:rPr>
          <w:rStyle w:val="CharStyle12"/>
          <w:lang w:eastAsia="en-US"/>
        </w:rPr>
        <w:t xml:space="preserve">ere detected in the MT sediments, with lower abundance (both relative and absolute) when compared to the hydrothermal vent and cold seep. Additionally, no distinct depth-related patterns were observed for organic sulfur metabolic genes other than </w:t>
      </w:r>
      <w:r>
        <w:rPr>
          <w:rStyle w:val="CharStyle12"/>
          <w:i/>
          <w:iCs/>
          <w:lang w:eastAsia="en-US"/>
        </w:rPr>
        <w:t>dddP</w:t>
      </w:r>
      <w:r>
        <w:rPr>
          <w:rStyle w:val="CharStyle12"/>
          <w:lang w:eastAsia="en-US"/>
        </w:rPr>
        <w:t xml:space="preserve"> in the MT sediments, which may be due to the slow and homogeneous sedimentation of organic detritus from the upper ocean and slow microbial metabolism under extreme pressure, resulting in a uniform distribution of these organic sulfur metabolic genes with dept</w:t>
      </w:r>
      <w:r>
        <w:rPr>
          <w:rStyle w:val="CharStyle12"/>
          <w:lang w:eastAsia="en-US"/>
        </w:rPr>
        <w:t>h.</w:t>
      </w:r>
      <w:r>
        <w:rPr>
          <w:rStyle w:val="CharStyle12"/>
          <w:color w:val="0D54A6"/>
          <w:vertAlign w:val="superscript"/>
          <w:lang w:eastAsia="en-US"/>
        </w:rPr>
        <w:t>12</w:t>
      </w:r>
      <w:r>
        <w:rPr>
          <w:rStyle w:val="CharStyle12"/>
          <w:vertAlign w:val="superscript"/>
          <w:lang w:eastAsia="en-US"/>
        </w:rPr>
        <w:t>,</w:t>
      </w:r>
      <w:r>
        <w:rPr>
          <w:rStyle w:val="CharStyle12"/>
          <w:color w:val="0D54A6"/>
          <w:vertAlign w:val="superscript"/>
          <w:lang w:eastAsia="en-US"/>
        </w:rPr>
        <w:t>82</w:t>
      </w:r>
      <w:r>
        <w:rPr>
          <w:rStyle w:val="CharStyle12"/>
          <w:color w:val="0D54A6"/>
          <w:lang w:eastAsia="en-US"/>
        </w:rPr>
        <w:t xml:space="preserve"> </w:t>
      </w:r>
      <w:r>
        <w:rPr>
          <w:rStyle w:val="CharStyle12"/>
          <w:lang w:eastAsia="en-US"/>
        </w:rPr>
        <w:t>The South China Sea surface sediments (SS) provided a valuable contrast, representing more typical marine environments. Here, a broader diversity of 22 organosulfur metabolic genes was detected at notably high relative abundances. This suggests that while extreme environments may select for specific, highly abundant detoxification path</w:t>
      </w:r>
      <w:r>
        <w:rPr>
          <w:rStyle w:val="CharStyle12"/>
          <w:lang w:eastAsia="en-US"/>
        </w:rPr>
        <w:softHyphen/>
        <w:t>ways, other marine sediments can support a more diverse and active organosulfur metabolome. The distinct genetic signatures between these environments imply that extr</w:t>
      </w:r>
      <w:r>
        <w:rPr>
          <w:rStyle w:val="CharStyle12"/>
          <w:lang w:eastAsia="en-US"/>
        </w:rPr>
        <w:t>eme environments may harbor unique metabolic genes and microbial taxa not yet captured by our primer sets, presenting a compelling direction for future investigation.</w:t>
      </w:r>
    </w:p>
    <w:p w14:paraId="151DC569" w14:textId="77777777" w:rsidR="00B14B05" w:rsidRDefault="00B14B05">
      <w:pPr>
        <w:pStyle w:val="Style11"/>
        <w:numPr>
          <w:ilvl w:val="2"/>
          <w:numId w:val="1"/>
        </w:numPr>
        <w:pBdr>
          <w:bottom w:val="single" w:sz="4" w:space="0" w:color="auto"/>
        </w:pBdr>
        <w:tabs>
          <w:tab w:val="left" w:pos="754"/>
        </w:tabs>
        <w:spacing w:after="220" w:line="293" w:lineRule="auto"/>
        <w:ind w:firstLine="220"/>
        <w:jc w:val="both"/>
        <w:rPr>
          <w:sz w:val="24"/>
          <w:szCs w:val="24"/>
        </w:rPr>
      </w:pPr>
      <w:r>
        <w:rPr>
          <w:rStyle w:val="CharStyle12"/>
          <w:i/>
          <w:iCs/>
          <w:sz w:val="18"/>
          <w:szCs w:val="18"/>
          <w:lang w:eastAsia="en-US"/>
        </w:rPr>
        <w:t>Absolute Abundance vs Comparative Absolute Abundance.</w:t>
      </w:r>
      <w:r>
        <w:rPr>
          <w:rStyle w:val="CharStyle12"/>
          <w:lang w:eastAsia="en-US"/>
        </w:rPr>
        <w:t xml:space="preserve"> To simplify the absolute quantification</w:t>
      </w:r>
      <w:r>
        <w:rPr>
          <w:rStyle w:val="CharStyle12"/>
          <w:lang w:eastAsia="en-US"/>
        </w:rPr>
        <w:t xml:space="preserve"> workflow and increase the detection throughput of the DSMG-chip, we calculated a comparative absolute abundance using the 16S rRNA gene copy number as a reference and the optimal cutoff Cq values (</w:t>
      </w:r>
      <w:r>
        <w:rPr>
          <w:rStyle w:val="CharStyle12"/>
          <w:color w:val="0D54A6"/>
          <w:lang w:eastAsia="en-US"/>
        </w:rPr>
        <w:t>Figure 6</w:t>
      </w:r>
      <w:r>
        <w:rPr>
          <w:rStyle w:val="CharStyle12"/>
          <w:lang w:eastAsia="en-US"/>
        </w:rPr>
        <w:t xml:space="preserve">E,F). The results demonstrated a strong and significant linear correlation between the comparative and standard absolute abundance data (Pearson’s </w:t>
      </w:r>
      <w:r>
        <w:rPr>
          <w:rStyle w:val="CharStyle12"/>
          <w:i/>
          <w:iCs/>
          <w:lang w:eastAsia="en-US"/>
        </w:rPr>
        <w:t>r</w:t>
      </w:r>
      <w:r>
        <w:rPr>
          <w:rStyle w:val="CharStyle12"/>
          <w:lang w:eastAsia="en-US"/>
        </w:rPr>
        <w:t xml:space="preserve"> = 0.982, </w:t>
      </w:r>
      <w:r>
        <w:rPr>
          <w:rStyle w:val="CharStyle12"/>
          <w:i/>
          <w:iCs/>
          <w:lang w:eastAsia="en-US"/>
        </w:rPr>
        <w:t>p</w:t>
      </w:r>
      <w:r>
        <w:rPr>
          <w:rStyle w:val="CharStyle12"/>
          <w:lang w:eastAsia="en-US"/>
        </w:rPr>
        <w:t xml:space="preserve"> &lt; 0.001) (</w:t>
      </w:r>
      <w:r>
        <w:rPr>
          <w:rStyle w:val="CharStyle12"/>
          <w:color w:val="0D54A6"/>
          <w:lang w:eastAsia="en-US"/>
        </w:rPr>
        <w:t>Figure 7</w:t>
      </w:r>
      <w:r>
        <w:rPr>
          <w:rStyle w:val="CharStyle12"/>
          <w:lang w:eastAsia="en-US"/>
        </w:rPr>
        <w:t>), confirming that the comparative approach</w:t>
      </w:r>
    </w:p>
    <w:p w14:paraId="322B1693" w14:textId="3236C4B6" w:rsidR="00B14B05" w:rsidRDefault="00B14B05">
      <w:pPr>
        <w:jc w:val="center"/>
        <w:rPr>
          <w:color w:val="auto"/>
          <w:lang w:eastAsia="en-GB"/>
        </w:rPr>
      </w:pPr>
      <w:r>
        <w:rPr>
          <w:noProof/>
          <w:color w:val="auto"/>
          <w:lang w:eastAsia="en-GB"/>
        </w:rPr>
        <w:drawing>
          <wp:inline distT="0" distB="0" distL="0" distR="0" wp14:anchorId="733AFC2E" wp14:editId="5C61E263">
            <wp:extent cx="3057525" cy="224790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3057525" cy="2247900"/>
                    </a:xfrm>
                    <a:prstGeom prst="rect">
                      <a:avLst/>
                    </a:prstGeom>
                    <a:noFill/>
                    <a:ln>
                      <a:noFill/>
                    </a:ln>
                  </pic:spPr>
                </pic:pic>
              </a:graphicData>
            </a:graphic>
          </wp:inline>
        </w:drawing>
      </w:r>
    </w:p>
    <w:p w14:paraId="3A0DDF8B" w14:textId="77777777" w:rsidR="00B14B05" w:rsidRDefault="00B14B05">
      <w:pPr>
        <w:pStyle w:val="Style40"/>
        <w:jc w:val="both"/>
        <w:rPr>
          <w:sz w:val="24"/>
          <w:szCs w:val="24"/>
        </w:rPr>
      </w:pPr>
      <w:r>
        <w:rPr>
          <w:rStyle w:val="CharStyle41"/>
          <w:rFonts w:ascii="Arial" w:hAnsi="Arial" w:cs="Arial"/>
          <w:sz w:val="12"/>
          <w:szCs w:val="12"/>
          <w:lang w:eastAsia="en-US"/>
        </w:rPr>
        <w:t xml:space="preserve">Figure 7. </w:t>
      </w:r>
      <w:r>
        <w:rPr>
          <w:rStyle w:val="CharStyle41"/>
          <w:lang w:eastAsia="en-US"/>
        </w:rPr>
        <w:t>Correlation between absolute and comparative absolute abundances of DSMGs. A significant positive Pearson correlation was observed between the two quantification methods across all 55 environmental samples (</w:t>
      </w:r>
      <w:r>
        <w:rPr>
          <w:rStyle w:val="CharStyle41"/>
          <w:rFonts w:ascii="Arial" w:hAnsi="Arial" w:cs="Arial"/>
          <w:i/>
          <w:iCs/>
          <w:sz w:val="12"/>
          <w:szCs w:val="12"/>
          <w:lang w:eastAsia="en-US"/>
        </w:rPr>
        <w:t>r</w:t>
      </w:r>
      <w:r>
        <w:rPr>
          <w:rStyle w:val="CharStyle41"/>
          <w:lang w:eastAsia="en-US"/>
        </w:rPr>
        <w:t xml:space="preserve"> = 0.982, </w:t>
      </w:r>
      <w:r>
        <w:rPr>
          <w:rStyle w:val="CharStyle41"/>
          <w:rFonts w:ascii="Arial" w:hAnsi="Arial" w:cs="Arial"/>
          <w:i/>
          <w:iCs/>
          <w:sz w:val="12"/>
          <w:szCs w:val="12"/>
          <w:lang w:eastAsia="en-US"/>
        </w:rPr>
        <w:t>p</w:t>
      </w:r>
      <w:r>
        <w:rPr>
          <w:rStyle w:val="CharStyle41"/>
          <w:lang w:eastAsia="en-US"/>
        </w:rPr>
        <w:t xml:space="preserve"> &lt; 0.001).</w:t>
      </w:r>
    </w:p>
    <w:p w14:paraId="41459EAE" w14:textId="77777777" w:rsidR="00B14B05" w:rsidRDefault="00B14B05">
      <w:pPr>
        <w:spacing w:after="359" w:line="1" w:lineRule="exact"/>
        <w:rPr>
          <w:color w:val="auto"/>
          <w:lang w:eastAsia="en-GB"/>
        </w:rPr>
      </w:pPr>
    </w:p>
    <w:p w14:paraId="26E5421E" w14:textId="77777777" w:rsidR="00B14B05" w:rsidRDefault="00B14B05">
      <w:pPr>
        <w:pStyle w:val="Style11"/>
        <w:ind w:firstLine="0"/>
        <w:jc w:val="both"/>
        <w:rPr>
          <w:rFonts w:ascii="Times New Roman" w:hAnsi="Times New Roman" w:cs="Times New Roman"/>
          <w:sz w:val="24"/>
          <w:szCs w:val="24"/>
        </w:rPr>
      </w:pPr>
      <w:r>
        <w:rPr>
          <w:rStyle w:val="CharStyle12"/>
          <w:lang w:eastAsia="en-US"/>
        </w:rPr>
        <w:t xml:space="preserve">offers excellent reliability. Some discrepancies were noted; for example, the </w:t>
      </w:r>
      <w:r>
        <w:rPr>
          <w:rStyle w:val="CharStyle12"/>
          <w:i/>
          <w:iCs/>
          <w:lang w:eastAsia="en-US"/>
        </w:rPr>
        <w:t>megL</w:t>
      </w:r>
      <w:r>
        <w:rPr>
          <w:rStyle w:val="CharStyle12"/>
          <w:lang w:eastAsia="en-US"/>
        </w:rPr>
        <w:t xml:space="preserve"> and </w:t>
      </w:r>
      <w:r>
        <w:rPr>
          <w:rStyle w:val="CharStyle12"/>
          <w:i/>
          <w:iCs/>
          <w:lang w:eastAsia="en-US"/>
        </w:rPr>
        <w:t>mddA</w:t>
      </w:r>
      <w:r>
        <w:rPr>
          <w:rStyle w:val="CharStyle12"/>
          <w:lang w:eastAsia="en-US"/>
        </w:rPr>
        <w:t xml:space="preserve"> genes exhibited higher abundance by the comparative methods. Such inevitable discrepancies have also been reported in the development of other chips,</w:t>
      </w:r>
      <w:r>
        <w:rPr>
          <w:rStyle w:val="CharStyle12"/>
          <w:color w:val="0D54A6"/>
          <w:vertAlign w:val="superscript"/>
          <w:lang w:eastAsia="en-US"/>
        </w:rPr>
        <w:t>48</w:t>
      </w:r>
      <w:r>
        <w:rPr>
          <w:rStyle w:val="CharStyle12"/>
          <w:color w:val="0D54A6"/>
          <w:lang w:eastAsia="en-US"/>
        </w:rPr>
        <w:t xml:space="preserve"> </w:t>
      </w:r>
      <w:r>
        <w:rPr>
          <w:rStyle w:val="CharStyle12"/>
          <w:lang w:eastAsia="en-US"/>
        </w:rPr>
        <w:t>but our results demonstrate that these potential discrepancies do not substantially affect the overall inter</w:t>
      </w:r>
      <w:r>
        <w:rPr>
          <w:rStyle w:val="CharStyle12"/>
          <w:lang w:eastAsia="en-US"/>
        </w:rPr>
        <w:softHyphen/>
        <w:t>pretation of the abundance patterns and variation trends. Additionally, we calculated the comparative absolute abun</w:t>
      </w:r>
      <w:r>
        <w:rPr>
          <w:rStyle w:val="CharStyle12"/>
          <w:lang w:eastAsia="en-US"/>
        </w:rPr>
        <w:softHyphen/>
        <w:t>dance after correcting for the amplification efficiency of each primer set (</w:t>
      </w:r>
      <w:hyperlink r:id="rId65" w:history="1">
        <w:r>
          <w:rPr>
            <w:rStyle w:val="CharStyle12"/>
            <w:color w:val="0D54A6"/>
            <w:lang w:eastAsia="en-US"/>
          </w:rPr>
          <w:t>Figure S7</w:t>
        </w:r>
      </w:hyperlink>
      <w:r>
        <w:rPr>
          <w:rStyle w:val="CharStyle12"/>
          <w:lang w:eastAsia="en-US"/>
        </w:rPr>
        <w:t>). A direct comparison between the efficiency-corrected and uncorrected results revealed that the discrepancies were minimal. This variance has a negligible impact on the final interpretation of the gene abundance profiles. Therefore, this finding validates our use of the comparative absolute abundance method, allowing us to leverage its primary advantage of high throughput for large- scale sample analysis.</w:t>
      </w:r>
    </w:p>
    <w:p w14:paraId="4426489F" w14:textId="77777777" w:rsidR="00B14B05" w:rsidRDefault="00B14B05">
      <w:pPr>
        <w:pStyle w:val="Style11"/>
        <w:numPr>
          <w:ilvl w:val="2"/>
          <w:numId w:val="1"/>
        </w:numPr>
        <w:tabs>
          <w:tab w:val="left" w:pos="750"/>
        </w:tabs>
        <w:spacing w:line="298" w:lineRule="auto"/>
        <w:ind w:firstLine="220"/>
        <w:jc w:val="both"/>
        <w:rPr>
          <w:sz w:val="24"/>
          <w:szCs w:val="24"/>
        </w:rPr>
        <w:sectPr w:rsidR="00000000">
          <w:pgSz w:w="12149" w:h="16834"/>
          <w:pgMar w:top="1513" w:right="991" w:bottom="1310" w:left="992" w:header="0" w:footer="3" w:gutter="0"/>
          <w:cols w:num="2" w:space="107"/>
          <w:noEndnote/>
          <w:docGrid w:linePitch="360"/>
        </w:sectPr>
      </w:pPr>
      <w:r>
        <w:rPr>
          <w:rStyle w:val="CharStyle12"/>
          <w:i/>
          <w:iCs/>
          <w:sz w:val="18"/>
          <w:szCs w:val="18"/>
          <w:lang w:eastAsia="en-US"/>
        </w:rPr>
        <w:t>Summary of DSMG-Chip Application and Perform</w:t>
      </w:r>
      <w:r>
        <w:rPr>
          <w:rStyle w:val="CharStyle12"/>
          <w:i/>
          <w:iCs/>
          <w:sz w:val="18"/>
          <w:szCs w:val="18"/>
          <w:lang w:eastAsia="en-US"/>
        </w:rPr>
        <w:softHyphen/>
        <w:t>ance.</w:t>
      </w:r>
      <w:r>
        <w:rPr>
          <w:rStyle w:val="CharStyle12"/>
          <w:lang w:eastAsia="en-US"/>
        </w:rPr>
        <w:t xml:space="preserve"> In summary, the DSMG-chip demonstrated its potential for rapid and accurate assessment of the microbial organic sulfur metabolism potential in marine samples. It provides a high-throughput solution capable of analyzing 27 DSMGs for 41 environmental samples in a single run, which takes hours instead of days, as is the case with conventional qPCR. Throughout this study, the validated novel degenerate primers can also be applied for in-depth investigations targeting specific organic sulfur metabolic pat</w:t>
      </w:r>
      <w:r>
        <w:rPr>
          <w:rStyle w:val="CharStyle12"/>
          <w:lang w:eastAsia="en-US"/>
        </w:rPr>
        <w:t xml:space="preserve">hways. A vital prerequisite for this approach is the rigorous curation of target sequences for primer design based on a core set of functionally verified genes </w:t>
      </w:r>
    </w:p>
    <w:p w14:paraId="0BBCDFCB" w14:textId="77777777" w:rsidR="00B14B05" w:rsidRDefault="00B14B05">
      <w:pPr>
        <w:pStyle w:val="Style11"/>
        <w:tabs>
          <w:tab w:val="left" w:pos="750"/>
        </w:tabs>
        <w:spacing w:line="298" w:lineRule="auto"/>
        <w:ind w:firstLine="0"/>
        <w:jc w:val="both"/>
        <w:rPr>
          <w:rFonts w:ascii="Times New Roman" w:hAnsi="Times New Roman" w:cs="Times New Roman"/>
          <w:sz w:val="24"/>
          <w:szCs w:val="24"/>
        </w:rPr>
      </w:pPr>
      <w:r>
        <w:rPr>
          <w:rStyle w:val="CharStyle12"/>
          <w:lang w:eastAsia="en-US"/>
        </w:rPr>
        <w:lastRenderedPageBreak/>
        <w:t>as “seed sequences” and a comprehensive collection of homologous sequences from public databases. This two-tiered approach ensures that our primers are anchored to experimentally confirmed functions while also providing the broad coverage necessary to accurately target active metabolic pathways rather than nonfunctional homologues. This system</w:t>
      </w:r>
      <w:r>
        <w:rPr>
          <w:rStyle w:val="CharStyle12"/>
          <w:lang w:eastAsia="en-US"/>
        </w:rPr>
        <w:softHyphen/>
        <w:t>atic pipeline</w:t>
      </w:r>
      <w:r>
        <w:rPr>
          <w:rStyle w:val="CharStyle12"/>
          <w:sz w:val="19"/>
          <w:szCs w:val="19"/>
          <w:lang w:eastAsia="en-US"/>
        </w:rPr>
        <w:t></w:t>
      </w:r>
      <w:r>
        <w:rPr>
          <w:rStyle w:val="CharStyle12"/>
          <w:lang w:eastAsia="en-US"/>
        </w:rPr>
        <w:t>from comprehensive database construction and phylogenetic analysis to clade-specific degenerate primer design and high-throughput validation</w:t>
      </w:r>
      <w:r>
        <w:rPr>
          <w:rStyle w:val="CharStyle12"/>
          <w:sz w:val="19"/>
          <w:szCs w:val="19"/>
          <w:lang w:eastAsia="en-US"/>
        </w:rPr>
        <w:t></w:t>
      </w:r>
      <w:r>
        <w:rPr>
          <w:rStyle w:val="CharStyle12"/>
          <w:lang w:eastAsia="en-US"/>
        </w:rPr>
        <w:t>represents a robust methodological</w:t>
      </w:r>
      <w:r>
        <w:rPr>
          <w:rStyle w:val="CharStyle12"/>
          <w:lang w:eastAsia="en-US"/>
        </w:rPr>
        <w:t xml:space="preserve"> framework. Indeed, this framework is not limited to sulfur cycling and can be readily adapted as a blueprint for developing similar high-throughput quantitative tools for other key functional gene families in microbial ecology.</w:t>
      </w:r>
    </w:p>
    <w:p w14:paraId="67E23507" w14:textId="77777777" w:rsidR="00B14B05" w:rsidRDefault="00B14B05">
      <w:pPr>
        <w:pStyle w:val="Style11"/>
        <w:spacing w:line="314" w:lineRule="auto"/>
        <w:jc w:val="both"/>
        <w:rPr>
          <w:rFonts w:ascii="Times New Roman" w:hAnsi="Times New Roman" w:cs="Times New Roman"/>
          <w:sz w:val="24"/>
          <w:szCs w:val="24"/>
        </w:rPr>
      </w:pPr>
      <w:r>
        <w:rPr>
          <w:rStyle w:val="CharStyle12"/>
          <w:lang w:eastAsia="en-US"/>
        </w:rPr>
        <w:t>The DSMG-chip and its associated protocols are fully compatible with reverse transcription-qPCR (RT-qPCR), allowing for the quantification of gene expression at the RNA level. This is a critical extension, because the mere presence of a gene (genetic potential) does not guarantee it</w:t>
      </w:r>
      <w:r>
        <w:rPr>
          <w:rStyle w:val="CharStyle12"/>
          <w:lang w:eastAsia="en-US"/>
        </w:rPr>
        <w:t>s activity. By analyzing transcripts, we can gain more direct insight into the active metabolic processes occurring in situ. To achieve a truly holistic understanding, we advocate that future research should couple transcript-level analysis using this chip with direct measurements of key metabolites (e.g., DMSP and DMS) and biogeochemical rate assessments. Such a synergistic approach will bridge the gap between genetic potential, gene expression, and realized ecosystem function. However, we acknowledge that</w:t>
      </w:r>
      <w:r>
        <w:rPr>
          <w:rStyle w:val="CharStyle12"/>
          <w:lang w:eastAsia="en-US"/>
        </w:rPr>
        <w:t xml:space="preserve"> a limitation of the current validation is the reliance on plasmid standards and sequenced environmental amplicons rather than synthetic communities. Future iterations of this technology would be significantly strengthened by validation against such defined positive controls to provide ultimate proof of primer accuracy and specificity.</w:t>
      </w:r>
    </w:p>
    <w:p w14:paraId="6C1935EA" w14:textId="77777777" w:rsidR="00B14B05" w:rsidRDefault="00B14B05">
      <w:pPr>
        <w:pStyle w:val="Style11"/>
        <w:spacing w:line="314" w:lineRule="auto"/>
        <w:jc w:val="both"/>
        <w:rPr>
          <w:rFonts w:ascii="Times New Roman" w:hAnsi="Times New Roman" w:cs="Times New Roman"/>
          <w:sz w:val="24"/>
          <w:szCs w:val="24"/>
        </w:rPr>
      </w:pPr>
      <w:r>
        <w:rPr>
          <w:rStyle w:val="CharStyle12"/>
          <w:lang w:eastAsia="en-US"/>
        </w:rPr>
        <w:t>This method holds important</w:t>
      </w:r>
      <w:r>
        <w:rPr>
          <w:rStyle w:val="CharStyle12"/>
          <w:lang w:eastAsia="en-US"/>
        </w:rPr>
        <w:t xml:space="preserve"> implications for accurately assessing the production potential of climate-active gases in specific environments under global change scenarios. Combin</w:t>
      </w:r>
      <w:r>
        <w:rPr>
          <w:rStyle w:val="CharStyle12"/>
          <w:lang w:eastAsia="en-US"/>
        </w:rPr>
        <w:softHyphen/>
        <w:t>ing DSMG-chip with other HT-qPCR chips, functional gene amplicon sequencing, and various “omics” technologies will be essential for comprehensively profiling the community structure and functional potential of marine organic sulfur</w:t>
      </w:r>
      <w:r>
        <w:rPr>
          <w:rStyle w:val="CharStyle12"/>
          <w:lang w:eastAsia="en-US"/>
        </w:rPr>
        <w:softHyphen/>
        <w:t>metabolizing microbes.</w:t>
      </w:r>
    </w:p>
    <w:p w14:paraId="1E365330" w14:textId="77777777" w:rsidR="00B14B05" w:rsidRDefault="00B14B05">
      <w:pPr>
        <w:pStyle w:val="Style23"/>
        <w:keepNext/>
        <w:keepLines/>
        <w:numPr>
          <w:ilvl w:val="0"/>
          <w:numId w:val="2"/>
        </w:numPr>
        <w:tabs>
          <w:tab w:val="left" w:pos="302"/>
        </w:tabs>
        <w:spacing w:after="120" w:line="216" w:lineRule="auto"/>
        <w:jc w:val="both"/>
        <w:rPr>
          <w:b w:val="0"/>
          <w:bCs w:val="0"/>
          <w:color w:val="auto"/>
          <w:sz w:val="24"/>
          <w:szCs w:val="24"/>
        </w:rPr>
      </w:pPr>
      <w:bookmarkStart w:id="9" w:name="bookmark13"/>
      <w:r>
        <w:rPr>
          <w:rStyle w:val="CharStyle24"/>
          <w:b/>
          <w:bCs/>
          <w:lang w:eastAsia="en-US"/>
        </w:rPr>
        <w:t>ASSOCIATED CONTENT</w:t>
      </w:r>
      <w:bookmarkEnd w:id="9"/>
    </w:p>
    <w:p w14:paraId="2522119C" w14:textId="77777777" w:rsidR="00B14B05" w:rsidRDefault="00B14B05">
      <w:pPr>
        <w:pStyle w:val="Style70"/>
        <w:keepNext/>
        <w:keepLines/>
        <w:spacing w:line="240" w:lineRule="auto"/>
        <w:jc w:val="both"/>
        <w:rPr>
          <w:rFonts w:ascii="Times New Roman" w:hAnsi="Times New Roman" w:cs="Times New Roman"/>
          <w:b w:val="0"/>
          <w:bCs w:val="0"/>
          <w:sz w:val="24"/>
          <w:szCs w:val="24"/>
        </w:rPr>
      </w:pPr>
      <w:bookmarkStart w:id="10" w:name="bookmark15"/>
      <w:r>
        <w:rPr>
          <w:rStyle w:val="CharStyle71"/>
          <w:b/>
          <w:bCs/>
          <w:lang w:eastAsia="en-US"/>
        </w:rPr>
        <w:t>Data Availability Statement</w:t>
      </w:r>
      <w:bookmarkEnd w:id="10"/>
    </w:p>
    <w:p w14:paraId="270A57DA" w14:textId="77777777" w:rsidR="00B14B05" w:rsidRDefault="00B14B05">
      <w:pPr>
        <w:pStyle w:val="Style11"/>
        <w:spacing w:line="314" w:lineRule="auto"/>
        <w:ind w:firstLine="0"/>
        <w:jc w:val="both"/>
        <w:rPr>
          <w:rFonts w:ascii="Times New Roman" w:hAnsi="Times New Roman" w:cs="Times New Roman"/>
          <w:sz w:val="24"/>
          <w:szCs w:val="24"/>
        </w:rPr>
      </w:pPr>
      <w:r>
        <w:rPr>
          <w:rStyle w:val="CharStyle12"/>
          <w:lang w:eastAsia="en-US"/>
        </w:rPr>
        <w:t>The Primer Design Database is deposited on GitHub at [</w:t>
      </w:r>
      <w:hyperlink r:id="rId66" w:history="1">
        <w:r>
          <w:rPr>
            <w:rStyle w:val="CharStyle12"/>
            <w:color w:val="0D54A6"/>
            <w:lang w:eastAsia="en-US"/>
          </w:rPr>
          <w:t>https://github.com/zerooooooooooooooo/DSMG-Chip</w:t>
        </w:r>
      </w:hyperlink>
      <w:r>
        <w:rPr>
          <w:rStyle w:val="CharStyle12"/>
          <w:lang w:eastAsia="en-US"/>
        </w:rPr>
        <w:t>]. The amplicon sequencing data from the validation of primer specificity experiments are available on NCBI under the BioProject ID [PRJNA1300291].</w:t>
      </w:r>
    </w:p>
    <w:p w14:paraId="52D9194A" w14:textId="77777777" w:rsidR="00B14B05" w:rsidRDefault="00B14B05">
      <w:pPr>
        <w:pStyle w:val="Style70"/>
        <w:keepNext/>
        <w:keepLines/>
        <w:spacing w:line="240" w:lineRule="auto"/>
        <w:jc w:val="both"/>
        <w:rPr>
          <w:rFonts w:ascii="Times New Roman" w:hAnsi="Times New Roman" w:cs="Times New Roman"/>
          <w:b w:val="0"/>
          <w:bCs w:val="0"/>
          <w:sz w:val="24"/>
          <w:szCs w:val="24"/>
        </w:rPr>
      </w:pPr>
      <w:bookmarkStart w:id="11" w:name="bookmark17"/>
      <w:r>
        <w:rPr>
          <w:rStyle w:val="CharStyle71"/>
          <w:b/>
          <w:bCs/>
          <w:color w:val="EBEBEB"/>
          <w:sz w:val="12"/>
          <w:szCs w:val="12"/>
          <w:lang w:eastAsia="en-US"/>
        </w:rPr>
        <w:t>s</w:t>
      </w:r>
      <w:r>
        <w:rPr>
          <w:rStyle w:val="CharStyle71"/>
          <w:b/>
          <w:bCs/>
          <w:color w:val="EBEBEB"/>
          <w:sz w:val="12"/>
          <w:szCs w:val="12"/>
          <w:lang w:eastAsia="en-US"/>
        </w:rPr>
        <w:t>ı</w:t>
      </w:r>
      <w:r>
        <w:rPr>
          <w:rStyle w:val="CharStyle71"/>
          <w:b/>
          <w:bCs/>
          <w:color w:val="EBEBEB"/>
          <w:sz w:val="12"/>
          <w:szCs w:val="12"/>
          <w:lang w:eastAsia="en-US"/>
        </w:rPr>
        <w:t xml:space="preserve"> </w:t>
      </w:r>
      <w:r>
        <w:rPr>
          <w:rStyle w:val="CharStyle71"/>
          <w:b/>
          <w:bCs/>
          <w:lang w:eastAsia="en-US"/>
        </w:rPr>
        <w:t>Supporting Information</w:t>
      </w:r>
      <w:bookmarkEnd w:id="11"/>
    </w:p>
    <w:p w14:paraId="6DAC1694" w14:textId="77777777" w:rsidR="00B14B05" w:rsidRDefault="00B14B05">
      <w:pPr>
        <w:pStyle w:val="Style11"/>
        <w:spacing w:after="120" w:line="314" w:lineRule="auto"/>
        <w:ind w:firstLine="0"/>
        <w:jc w:val="both"/>
        <w:rPr>
          <w:rFonts w:ascii="Times New Roman" w:hAnsi="Times New Roman" w:cs="Times New Roman"/>
          <w:sz w:val="24"/>
          <w:szCs w:val="24"/>
        </w:rPr>
      </w:pPr>
      <w:r>
        <w:rPr>
          <w:rStyle w:val="CharStyle12"/>
          <w:lang w:eastAsia="en-US"/>
        </w:rPr>
        <w:t xml:space="preserve">The Supporting Information is available free of charge at </w:t>
      </w:r>
      <w:hyperlink r:id="rId67" w:history="1">
        <w:r>
          <w:rPr>
            <w:rStyle w:val="CharStyle12"/>
            <w:color w:val="0D54A6"/>
            <w:lang w:eastAsia="en-US"/>
          </w:rPr>
          <w:t>https://pubs.acs.org/doi/10.1021/acs.est.5c10820</w:t>
        </w:r>
      </w:hyperlink>
      <w:r>
        <w:rPr>
          <w:rStyle w:val="CharStyle12"/>
          <w:lang w:eastAsia="en-US"/>
        </w:rPr>
        <w:t>.</w:t>
      </w:r>
    </w:p>
    <w:p w14:paraId="7DEB1EC7" w14:textId="77777777" w:rsidR="00B14B05" w:rsidRDefault="00B14B05">
      <w:pPr>
        <w:pStyle w:val="Style11"/>
        <w:spacing w:after="120"/>
        <w:ind w:left="500" w:firstLine="0"/>
        <w:jc w:val="both"/>
        <w:rPr>
          <w:rFonts w:ascii="Times New Roman" w:hAnsi="Times New Roman" w:cs="Times New Roman"/>
          <w:sz w:val="24"/>
          <w:szCs w:val="24"/>
        </w:rPr>
      </w:pPr>
      <w:r>
        <w:rPr>
          <w:rStyle w:val="CharStyle12"/>
          <w:lang w:eastAsia="en-US"/>
        </w:rPr>
        <w:t>Supplementary tables with detailed sample data, primer information, amplification efficiency results, and the MIQE checklist (</w:t>
      </w:r>
      <w:hyperlink r:id="rId68" w:history="1">
        <w:r>
          <w:rPr>
            <w:rStyle w:val="CharStyle12"/>
            <w:color w:val="0D54A6"/>
            <w:lang w:eastAsia="en-US"/>
          </w:rPr>
          <w:t>XLSX</w:t>
        </w:r>
      </w:hyperlink>
      <w:r>
        <w:rPr>
          <w:rStyle w:val="CharStyle12"/>
          <w:lang w:eastAsia="en-US"/>
        </w:rPr>
        <w:t>)</w:t>
      </w:r>
    </w:p>
    <w:p w14:paraId="4008B19A" w14:textId="77777777" w:rsidR="00B14B05" w:rsidRDefault="00B14B05">
      <w:pPr>
        <w:pStyle w:val="Style11"/>
        <w:spacing w:after="60" w:line="305" w:lineRule="auto"/>
        <w:ind w:left="500" w:firstLine="0"/>
        <w:jc w:val="both"/>
        <w:rPr>
          <w:rFonts w:ascii="Times New Roman" w:hAnsi="Times New Roman" w:cs="Times New Roman"/>
          <w:sz w:val="24"/>
          <w:szCs w:val="24"/>
        </w:rPr>
      </w:pPr>
      <w:r>
        <w:rPr>
          <w:rStyle w:val="CharStyle12"/>
          <w:lang w:eastAsia="en-US"/>
        </w:rPr>
        <w:t xml:space="preserve">Supplementary figures showing the primer design flowchart, sampling sites, and chip validation results; supplementary tables for </w:t>
      </w:r>
      <w:r>
        <w:rPr>
          <w:rStyle w:val="CharStyle12"/>
          <w:i/>
          <w:iCs/>
          <w:lang w:eastAsia="en-US"/>
        </w:rPr>
        <w:t>in silico</w:t>
      </w:r>
      <w:r>
        <w:rPr>
          <w:rStyle w:val="CharStyle12"/>
          <w:lang w:eastAsia="en-US"/>
        </w:rPr>
        <w:t xml:space="preserve"> assessment and LoQ; and additional gene detection data (</w:t>
      </w:r>
      <w:hyperlink r:id="rId69" w:history="1">
        <w:r>
          <w:rPr>
            <w:rStyle w:val="CharStyle12"/>
            <w:color w:val="0D54A6"/>
            <w:lang w:eastAsia="en-US"/>
          </w:rPr>
          <w:t>PDF</w:t>
        </w:r>
      </w:hyperlink>
      <w:r>
        <w:rPr>
          <w:rStyle w:val="CharStyle12"/>
          <w:lang w:eastAsia="en-US"/>
        </w:rPr>
        <w:t>)</w:t>
      </w:r>
    </w:p>
    <w:p w14:paraId="28923DC9" w14:textId="77777777" w:rsidR="00B14B05" w:rsidRDefault="00B14B05">
      <w:pPr>
        <w:pStyle w:val="Style23"/>
        <w:keepNext/>
        <w:keepLines/>
        <w:numPr>
          <w:ilvl w:val="0"/>
          <w:numId w:val="2"/>
        </w:numPr>
        <w:tabs>
          <w:tab w:val="left" w:pos="302"/>
        </w:tabs>
        <w:spacing w:line="240" w:lineRule="atLeast"/>
        <w:rPr>
          <w:b w:val="0"/>
          <w:bCs w:val="0"/>
          <w:color w:val="auto"/>
          <w:sz w:val="24"/>
          <w:szCs w:val="24"/>
        </w:rPr>
      </w:pPr>
      <w:bookmarkStart w:id="12" w:name="bookmark19"/>
      <w:r>
        <w:rPr>
          <w:rStyle w:val="CharStyle24"/>
          <w:b/>
          <w:bCs/>
          <w:lang w:eastAsia="en-US"/>
        </w:rPr>
        <w:t>AUTHOR INFORMATION</w:t>
      </w:r>
      <w:bookmarkEnd w:id="12"/>
    </w:p>
    <w:p w14:paraId="0D58FD86" w14:textId="77777777" w:rsidR="00B14B05" w:rsidRDefault="00B14B05">
      <w:pPr>
        <w:pStyle w:val="Style70"/>
        <w:keepNext/>
        <w:keepLines/>
        <w:rPr>
          <w:rFonts w:ascii="Times New Roman" w:hAnsi="Times New Roman" w:cs="Times New Roman"/>
          <w:b w:val="0"/>
          <w:bCs w:val="0"/>
          <w:sz w:val="24"/>
          <w:szCs w:val="24"/>
        </w:rPr>
      </w:pPr>
      <w:bookmarkStart w:id="13" w:name="bookmark21"/>
      <w:r>
        <w:rPr>
          <w:rStyle w:val="CharStyle71"/>
          <w:b/>
          <w:bCs/>
          <w:lang w:eastAsia="en-US"/>
        </w:rPr>
        <w:t>Corresponding Author</w:t>
      </w:r>
      <w:bookmarkEnd w:id="13"/>
    </w:p>
    <w:p w14:paraId="2A02A552" w14:textId="77777777" w:rsidR="00B14B05" w:rsidRDefault="00B14B05">
      <w:pPr>
        <w:pStyle w:val="Style11"/>
        <w:spacing w:after="100"/>
        <w:ind w:left="380" w:hanging="160"/>
        <w:rPr>
          <w:rFonts w:ascii="Times New Roman" w:hAnsi="Times New Roman" w:cs="Times New Roman"/>
          <w:sz w:val="24"/>
          <w:szCs w:val="24"/>
        </w:rPr>
      </w:pPr>
      <w:r>
        <w:rPr>
          <w:rStyle w:val="CharStyle12"/>
          <w:lang w:eastAsia="en-US"/>
        </w:rPr>
        <w:t xml:space="preserve">Xiao-Hua Zhang </w:t>
      </w:r>
      <w:r>
        <w:rPr>
          <w:rStyle w:val="CharStyle12"/>
          <w:sz w:val="17"/>
          <w:szCs w:val="17"/>
          <w:lang w:eastAsia="en-US"/>
        </w:rPr>
        <w:t xml:space="preserve">- </w:t>
      </w:r>
      <w:r>
        <w:rPr>
          <w:rStyle w:val="CharStyle12"/>
          <w:i/>
          <w:iCs/>
          <w:lang w:eastAsia="en-US"/>
        </w:rPr>
        <w:t>Frontiers Science Center</w:t>
      </w:r>
      <w:r>
        <w:rPr>
          <w:rStyle w:val="CharStyle12"/>
          <w:i/>
          <w:iCs/>
          <w:lang w:eastAsia="en-US"/>
        </w:rPr>
        <w:t xml:space="preserve"> for Deep Ocean Multispheres and Earth System, and College 8 of Marine Life Sciences, Ocean University of China, Qingdao 266003,</w:t>
      </w:r>
    </w:p>
    <w:p w14:paraId="428CF1A3" w14:textId="77777777" w:rsidR="00B14B05" w:rsidRDefault="00B14B05">
      <w:pPr>
        <w:pStyle w:val="Style11"/>
        <w:spacing w:after="100"/>
        <w:ind w:left="380" w:hanging="160"/>
        <w:rPr>
          <w:rFonts w:ascii="Times New Roman" w:hAnsi="Times New Roman" w:cs="Times New Roman"/>
          <w:sz w:val="24"/>
          <w:szCs w:val="24"/>
        </w:rPr>
      </w:pPr>
      <w:r>
        <w:rPr>
          <w:rStyle w:val="CharStyle12"/>
          <w:i/>
          <w:iCs/>
          <w:lang w:eastAsia="en-US"/>
        </w:rPr>
        <w:t xml:space="preserve">China; Laboratory for Marine Ecology and Environmental Science, Qingdao Marine Science and Technology Center, Qingdao 266003, China; Key Laboratory of Evolution </w:t>
      </w:r>
      <w:r>
        <w:rPr>
          <w:rStyle w:val="CharStyle12"/>
          <w:i/>
          <w:iCs/>
          <w:sz w:val="16"/>
          <w:szCs w:val="16"/>
          <w:lang w:eastAsia="en-US"/>
        </w:rPr>
        <w:t xml:space="preserve">&amp; </w:t>
      </w:r>
      <w:r>
        <w:rPr>
          <w:rStyle w:val="CharStyle12"/>
          <w:i/>
          <w:iCs/>
          <w:lang w:eastAsia="en-US"/>
        </w:rPr>
        <w:t xml:space="preserve">Marine Biodiversity (ministry of Education), and Institute of Evolution </w:t>
      </w:r>
      <w:r>
        <w:rPr>
          <w:rStyle w:val="CharStyle12"/>
          <w:i/>
          <w:iCs/>
          <w:sz w:val="16"/>
          <w:szCs w:val="16"/>
          <w:lang w:eastAsia="en-US"/>
        </w:rPr>
        <w:t xml:space="preserve">&amp; </w:t>
      </w:r>
      <w:r>
        <w:rPr>
          <w:rStyle w:val="CharStyle12"/>
          <w:i/>
          <w:iCs/>
          <w:lang w:eastAsia="en-US"/>
        </w:rPr>
        <w:t>Marine Biodiversity, Ocean University of China, Qingdao 266003, China;</w:t>
      </w:r>
      <w:hyperlink r:id="rId70" w:history="1">
        <w:r>
          <w:rPr>
            <w:rStyle w:val="CharStyle12"/>
            <w:lang w:eastAsia="en-US"/>
          </w:rPr>
          <w:t xml:space="preserve"> </w:t>
        </w:r>
        <w:r>
          <w:rPr>
            <w:rStyle w:val="CharStyle12"/>
            <w:color w:val="0D54A6"/>
            <w:lang w:eastAsia="en-US"/>
          </w:rPr>
          <w:t>orcid.org/0000-0002-7428-</w:t>
        </w:r>
      </w:hyperlink>
      <w:r>
        <w:rPr>
          <w:rStyle w:val="CharStyle12"/>
          <w:color w:val="0D54A6"/>
          <w:lang w:eastAsia="en-US"/>
        </w:rPr>
        <w:t xml:space="preserve"> </w:t>
      </w:r>
      <w:hyperlink r:id="rId71" w:history="1">
        <w:r>
          <w:rPr>
            <w:rStyle w:val="CharStyle12"/>
            <w:color w:val="0D54A6"/>
            <w:lang w:eastAsia="en-US"/>
          </w:rPr>
          <w:t>7775</w:t>
        </w:r>
      </w:hyperlink>
      <w:r>
        <w:rPr>
          <w:rStyle w:val="CharStyle12"/>
          <w:lang w:eastAsia="en-US"/>
        </w:rPr>
        <w:t xml:space="preserve">; Email: </w:t>
      </w:r>
      <w:hyperlink r:id="rId72" w:history="1">
        <w:r>
          <w:rPr>
            <w:rStyle w:val="CharStyle12"/>
            <w:color w:val="0D54A6"/>
            <w:lang w:eastAsia="en-US"/>
          </w:rPr>
          <w:t>xhzhang@ouc.edu.cn</w:t>
        </w:r>
      </w:hyperlink>
    </w:p>
    <w:p w14:paraId="341ED28E" w14:textId="77777777" w:rsidR="00B14B05" w:rsidRDefault="00B14B05">
      <w:pPr>
        <w:pStyle w:val="Style70"/>
        <w:keepNext/>
        <w:keepLines/>
        <w:spacing w:line="271" w:lineRule="auto"/>
        <w:rPr>
          <w:rFonts w:ascii="Times New Roman" w:hAnsi="Times New Roman" w:cs="Times New Roman"/>
          <w:b w:val="0"/>
          <w:bCs w:val="0"/>
          <w:sz w:val="24"/>
          <w:szCs w:val="24"/>
        </w:rPr>
      </w:pPr>
      <w:bookmarkStart w:id="14" w:name="bookmark23"/>
      <w:r>
        <w:rPr>
          <w:rStyle w:val="CharStyle71"/>
          <w:b/>
          <w:bCs/>
          <w:lang w:eastAsia="en-US"/>
        </w:rPr>
        <w:t>Authors</w:t>
      </w:r>
      <w:bookmarkEnd w:id="14"/>
    </w:p>
    <w:p w14:paraId="1D807159" w14:textId="77777777" w:rsidR="00B14B05" w:rsidRDefault="00B14B05">
      <w:pPr>
        <w:pStyle w:val="Style11"/>
        <w:ind w:left="380" w:hanging="160"/>
        <w:rPr>
          <w:rFonts w:ascii="Times New Roman" w:hAnsi="Times New Roman" w:cs="Times New Roman"/>
          <w:sz w:val="24"/>
          <w:szCs w:val="24"/>
        </w:rPr>
      </w:pPr>
      <w:r>
        <w:rPr>
          <w:rStyle w:val="CharStyle12"/>
          <w:lang w:eastAsia="en-US"/>
        </w:rPr>
        <w:t xml:space="preserve">Dong Liu </w:t>
      </w:r>
      <w:r>
        <w:rPr>
          <w:rStyle w:val="CharStyle12"/>
          <w:sz w:val="17"/>
          <w:szCs w:val="17"/>
          <w:lang w:eastAsia="en-US"/>
        </w:rPr>
        <w:t xml:space="preserve">- </w:t>
      </w:r>
      <w:r>
        <w:rPr>
          <w:rStyle w:val="CharStyle12"/>
          <w:i/>
          <w:iCs/>
          <w:lang w:eastAsia="en-US"/>
        </w:rPr>
        <w:t xml:space="preserve">Frontiers Science Center for Deep Ocean </w:t>
      </w:r>
      <w:r>
        <w:rPr>
          <w:rStyle w:val="CharStyle12"/>
          <w:i/>
          <w:iCs/>
          <w:lang w:eastAsia="en-US"/>
        </w:rPr>
        <w:t xml:space="preserve">Multispheres and Earth System, and College 8 of Marine Life Sciences, Ocean University of China, Qingdao 266003, China; Laboratory for Marine Ecology and Environmental Science, Qingdao Marine Science and Technology Center, Qingdao 266003, China; Key Laboratory of Evolution </w:t>
      </w:r>
      <w:r>
        <w:rPr>
          <w:rStyle w:val="CharStyle12"/>
          <w:i/>
          <w:iCs/>
          <w:sz w:val="16"/>
          <w:szCs w:val="16"/>
          <w:lang w:eastAsia="en-US"/>
        </w:rPr>
        <w:t xml:space="preserve">&amp; </w:t>
      </w:r>
      <w:r>
        <w:rPr>
          <w:rStyle w:val="CharStyle12"/>
          <w:i/>
          <w:iCs/>
          <w:lang w:eastAsia="en-US"/>
        </w:rPr>
        <w:t xml:space="preserve">Marine Biodiversity (ministry of Education), and Institute of Evolution </w:t>
      </w:r>
      <w:r>
        <w:rPr>
          <w:rStyle w:val="CharStyle12"/>
          <w:i/>
          <w:iCs/>
          <w:sz w:val="16"/>
          <w:szCs w:val="16"/>
          <w:lang w:eastAsia="en-US"/>
        </w:rPr>
        <w:t xml:space="preserve">&amp; </w:t>
      </w:r>
      <w:r>
        <w:rPr>
          <w:rStyle w:val="CharStyle12"/>
          <w:i/>
          <w:iCs/>
          <w:lang w:eastAsia="en-US"/>
        </w:rPr>
        <w:t>Marine Biodiversity, Ocean University of China, Qingdao 266003, China</w:t>
      </w:r>
    </w:p>
    <w:p w14:paraId="63891C0D" w14:textId="77777777" w:rsidR="00B14B05" w:rsidRDefault="00B14B05">
      <w:pPr>
        <w:pStyle w:val="Style11"/>
        <w:ind w:left="380" w:hanging="160"/>
        <w:rPr>
          <w:rFonts w:ascii="Times New Roman" w:hAnsi="Times New Roman" w:cs="Times New Roman"/>
          <w:sz w:val="24"/>
          <w:szCs w:val="24"/>
        </w:rPr>
      </w:pPr>
      <w:r>
        <w:rPr>
          <w:rStyle w:val="CharStyle12"/>
          <w:lang w:eastAsia="en-US"/>
        </w:rPr>
        <w:t xml:space="preserve">Yunhui Zhang </w:t>
      </w:r>
      <w:r>
        <w:rPr>
          <w:rStyle w:val="CharStyle12"/>
          <w:sz w:val="17"/>
          <w:szCs w:val="17"/>
          <w:lang w:eastAsia="en-US"/>
        </w:rPr>
        <w:t xml:space="preserve">- </w:t>
      </w:r>
      <w:r>
        <w:rPr>
          <w:rStyle w:val="CharStyle12"/>
          <w:i/>
          <w:iCs/>
          <w:lang w:eastAsia="en-US"/>
        </w:rPr>
        <w:t xml:space="preserve">Key Laboratory of Evolution </w:t>
      </w:r>
      <w:r>
        <w:rPr>
          <w:rStyle w:val="CharStyle12"/>
          <w:i/>
          <w:iCs/>
          <w:sz w:val="16"/>
          <w:szCs w:val="16"/>
          <w:lang w:eastAsia="en-US"/>
        </w:rPr>
        <w:t xml:space="preserve">&amp; </w:t>
      </w:r>
      <w:r>
        <w:rPr>
          <w:rStyle w:val="CharStyle12"/>
          <w:i/>
          <w:iCs/>
          <w:lang w:eastAsia="en-US"/>
        </w:rPr>
        <w:t xml:space="preserve">Marine Biodiversity (ministry of Education), and Institute of Evolution </w:t>
      </w:r>
      <w:r>
        <w:rPr>
          <w:rStyle w:val="CharStyle12"/>
          <w:i/>
          <w:iCs/>
          <w:sz w:val="16"/>
          <w:szCs w:val="16"/>
          <w:lang w:eastAsia="en-US"/>
        </w:rPr>
        <w:t xml:space="preserve">&amp; </w:t>
      </w:r>
      <w:r>
        <w:rPr>
          <w:rStyle w:val="CharStyle12"/>
          <w:i/>
          <w:iCs/>
          <w:lang w:eastAsia="en-US"/>
        </w:rPr>
        <w:t>Marine Biodiversity, Ocean University of China, Qingdao 266003, China</w:t>
      </w:r>
    </w:p>
    <w:p w14:paraId="1E060BD2" w14:textId="77777777" w:rsidR="00B14B05" w:rsidRDefault="00B14B05">
      <w:pPr>
        <w:pStyle w:val="Style11"/>
        <w:ind w:firstLine="220"/>
        <w:rPr>
          <w:rFonts w:ascii="Times New Roman" w:hAnsi="Times New Roman" w:cs="Times New Roman"/>
          <w:sz w:val="24"/>
          <w:szCs w:val="24"/>
        </w:rPr>
      </w:pPr>
      <w:r>
        <w:rPr>
          <w:rStyle w:val="CharStyle12"/>
          <w:lang w:eastAsia="en-US"/>
        </w:rPr>
        <w:t xml:space="preserve">Hai Shi </w:t>
      </w:r>
      <w:r>
        <w:rPr>
          <w:rStyle w:val="CharStyle12"/>
          <w:sz w:val="17"/>
          <w:szCs w:val="17"/>
          <w:lang w:eastAsia="en-US"/>
        </w:rPr>
        <w:t xml:space="preserve">- </w:t>
      </w:r>
      <w:r>
        <w:rPr>
          <w:rStyle w:val="CharStyle12"/>
          <w:i/>
          <w:iCs/>
          <w:lang w:eastAsia="en-US"/>
        </w:rPr>
        <w:t xml:space="preserve">Frontiers Science Center for Deep Ocean Multispheres and Earth System, and College 8 of Marine Life Sciences, Ocean University of China, Qingdao 266003, China </w:t>
      </w:r>
      <w:r>
        <w:rPr>
          <w:rStyle w:val="CharStyle12"/>
          <w:lang w:eastAsia="en-US"/>
        </w:rPr>
        <w:t xml:space="preserve">Zihua Guo </w:t>
      </w:r>
      <w:r>
        <w:rPr>
          <w:rStyle w:val="CharStyle12"/>
          <w:sz w:val="17"/>
          <w:szCs w:val="17"/>
          <w:lang w:eastAsia="en-US"/>
        </w:rPr>
        <w:t xml:space="preserve">- </w:t>
      </w:r>
      <w:r>
        <w:rPr>
          <w:rStyle w:val="CharStyle12"/>
          <w:i/>
          <w:iCs/>
          <w:lang w:eastAsia="en-US"/>
        </w:rPr>
        <w:t>Frontiers Science Center</w:t>
      </w:r>
      <w:r>
        <w:rPr>
          <w:rStyle w:val="CharStyle12"/>
          <w:i/>
          <w:iCs/>
          <w:lang w:eastAsia="en-US"/>
        </w:rPr>
        <w:t xml:space="preserve"> for Deep Ocean Multispheres and Earth System, and College 8 of Marine Life Sciences, Ocean University of China, Qingdao 266003, China </w:t>
      </w:r>
      <w:r>
        <w:rPr>
          <w:rStyle w:val="CharStyle12"/>
          <w:lang w:eastAsia="en-US"/>
        </w:rPr>
        <w:t xml:space="preserve">Gary Rowley </w:t>
      </w:r>
      <w:r>
        <w:rPr>
          <w:rStyle w:val="CharStyle12"/>
          <w:sz w:val="17"/>
          <w:szCs w:val="17"/>
          <w:lang w:eastAsia="en-US"/>
        </w:rPr>
        <w:t xml:space="preserve">- </w:t>
      </w:r>
      <w:r>
        <w:rPr>
          <w:rStyle w:val="CharStyle12"/>
          <w:i/>
          <w:iCs/>
          <w:lang w:eastAsia="en-US"/>
        </w:rPr>
        <w:t>School of Biological Sciences, University of East Anglia, Norwich NR4 7TJ, U.K.; Centre for Microbial Interactions, Norwich NR4 7TJ, U.K.</w:t>
      </w:r>
    </w:p>
    <w:p w14:paraId="69003CBF" w14:textId="77777777" w:rsidR="00B14B05" w:rsidRDefault="00B14B05">
      <w:pPr>
        <w:pStyle w:val="Style11"/>
        <w:spacing w:line="300" w:lineRule="auto"/>
        <w:ind w:left="380" w:hanging="160"/>
        <w:jc w:val="both"/>
        <w:rPr>
          <w:rFonts w:ascii="Times New Roman" w:hAnsi="Times New Roman" w:cs="Times New Roman"/>
          <w:sz w:val="24"/>
          <w:szCs w:val="24"/>
        </w:rPr>
      </w:pPr>
      <w:r>
        <w:rPr>
          <w:rStyle w:val="CharStyle12"/>
          <w:lang w:eastAsia="en-US"/>
        </w:rPr>
        <w:t xml:space="preserve">Jonathan D. Todd </w:t>
      </w:r>
      <w:r>
        <w:rPr>
          <w:rStyle w:val="CharStyle12"/>
          <w:sz w:val="17"/>
          <w:szCs w:val="17"/>
          <w:lang w:eastAsia="en-US"/>
        </w:rPr>
        <w:t xml:space="preserve">- </w:t>
      </w:r>
      <w:r>
        <w:rPr>
          <w:rStyle w:val="CharStyle12"/>
          <w:i/>
          <w:iCs/>
          <w:lang w:eastAsia="en-US"/>
        </w:rPr>
        <w:t>Frontiers Science Center for Deep Ocean Multispheres and Earth System, and College 8 of Marine Life Sciences, Ocean University of China, Qingdao 266003, China; School of Biological Sciences, University of East Anglia, Norwich NR4 7TJ, U.K.; Centre for Microbial Interactions, Norwich NR4 7TJ, U.K.</w:t>
      </w:r>
    </w:p>
    <w:p w14:paraId="492753D6" w14:textId="77777777" w:rsidR="00B14B05" w:rsidRDefault="00B14B05">
      <w:pPr>
        <w:pStyle w:val="Style11"/>
        <w:spacing w:after="160"/>
        <w:ind w:firstLine="0"/>
        <w:jc w:val="both"/>
        <w:rPr>
          <w:rFonts w:ascii="Times New Roman" w:hAnsi="Times New Roman" w:cs="Times New Roman"/>
          <w:sz w:val="24"/>
          <w:szCs w:val="24"/>
        </w:rPr>
      </w:pPr>
      <w:r>
        <w:rPr>
          <w:rStyle w:val="CharStyle12"/>
          <w:lang w:eastAsia="en-US"/>
        </w:rPr>
        <w:t xml:space="preserve">Complete contact information is available at: </w:t>
      </w:r>
      <w:hyperlink r:id="rId73" w:history="1">
        <w:r>
          <w:rPr>
            <w:rStyle w:val="CharStyle12"/>
            <w:color w:val="0D54A6"/>
            <w:lang w:eastAsia="en-US"/>
          </w:rPr>
          <w:t>https://pubs.acs.org/10.1021/acs.est.5c10820</w:t>
        </w:r>
      </w:hyperlink>
    </w:p>
    <w:p w14:paraId="04C81A87" w14:textId="77777777" w:rsidR="00B14B05" w:rsidRDefault="00B14B05">
      <w:pPr>
        <w:pStyle w:val="Style70"/>
        <w:keepNext/>
        <w:keepLines/>
        <w:spacing w:line="271" w:lineRule="auto"/>
        <w:jc w:val="both"/>
        <w:rPr>
          <w:rFonts w:ascii="Times New Roman" w:hAnsi="Times New Roman" w:cs="Times New Roman"/>
          <w:b w:val="0"/>
          <w:bCs w:val="0"/>
          <w:sz w:val="24"/>
          <w:szCs w:val="24"/>
        </w:rPr>
      </w:pPr>
      <w:bookmarkStart w:id="15" w:name="bookmark25"/>
      <w:r>
        <w:rPr>
          <w:rStyle w:val="CharStyle71"/>
          <w:b/>
          <w:bCs/>
          <w:lang w:eastAsia="en-US"/>
        </w:rPr>
        <w:t>Author Contributions</w:t>
      </w:r>
      <w:bookmarkEnd w:id="15"/>
    </w:p>
    <w:p w14:paraId="0BAE6219" w14:textId="77777777" w:rsidR="00B14B05" w:rsidRDefault="00B14B05">
      <w:pPr>
        <w:pStyle w:val="Style11"/>
        <w:numPr>
          <w:ilvl w:val="0"/>
          <w:numId w:val="2"/>
        </w:numPr>
        <w:tabs>
          <w:tab w:val="left" w:pos="302"/>
        </w:tabs>
        <w:ind w:firstLine="0"/>
        <w:jc w:val="both"/>
        <w:rPr>
          <w:sz w:val="24"/>
          <w:szCs w:val="24"/>
        </w:rPr>
      </w:pPr>
      <w:r>
        <w:rPr>
          <w:rStyle w:val="CharStyle12"/>
          <w:lang w:eastAsia="en-US"/>
        </w:rPr>
        <w:t>D.L. and Y.Z. contributed equally to this work. X.-H.Z. conceived the study and designed experiments; D.L. performed experiments, analyzed data, drew figures, and wrote the manuscript; Y.Z. analyzed data and revised the manuscript; H.S. and Z.G. analyzed data; G.R. and J.D.T. revised the manuscript. All authors edited and approved the manuscript.</w:t>
      </w:r>
    </w:p>
    <w:p w14:paraId="3BF5FD46" w14:textId="77777777" w:rsidR="00B14B05" w:rsidRDefault="00B14B05">
      <w:pPr>
        <w:pStyle w:val="Style70"/>
        <w:keepNext/>
        <w:keepLines/>
        <w:spacing w:line="271" w:lineRule="auto"/>
        <w:jc w:val="both"/>
        <w:rPr>
          <w:rFonts w:ascii="Times New Roman" w:hAnsi="Times New Roman" w:cs="Times New Roman"/>
          <w:b w:val="0"/>
          <w:bCs w:val="0"/>
          <w:sz w:val="24"/>
          <w:szCs w:val="24"/>
        </w:rPr>
      </w:pPr>
      <w:bookmarkStart w:id="16" w:name="bookmark27"/>
      <w:r>
        <w:rPr>
          <w:rStyle w:val="CharStyle71"/>
          <w:b/>
          <w:bCs/>
          <w:lang w:eastAsia="en-US"/>
        </w:rPr>
        <w:t>Notes</w:t>
      </w:r>
      <w:bookmarkEnd w:id="16"/>
    </w:p>
    <w:p w14:paraId="67023600" w14:textId="77777777" w:rsidR="00B14B05" w:rsidRDefault="00B14B05">
      <w:pPr>
        <w:pStyle w:val="Style11"/>
        <w:ind w:firstLine="0"/>
        <w:jc w:val="both"/>
        <w:rPr>
          <w:rFonts w:ascii="Times New Roman" w:hAnsi="Times New Roman" w:cs="Times New Roman"/>
          <w:sz w:val="24"/>
          <w:szCs w:val="24"/>
        </w:rPr>
      </w:pPr>
      <w:r>
        <w:rPr>
          <w:rStyle w:val="CharStyle12"/>
          <w:lang w:eastAsia="en-US"/>
        </w:rPr>
        <w:t>The authors declare no competing financial interest.</w:t>
      </w:r>
    </w:p>
    <w:p w14:paraId="5ADE9A74" w14:textId="77777777" w:rsidR="00B14B05" w:rsidRDefault="00B14B05">
      <w:pPr>
        <w:pStyle w:val="Style23"/>
        <w:keepNext/>
        <w:keepLines/>
        <w:spacing w:line="240" w:lineRule="atLeast"/>
        <w:rPr>
          <w:rFonts w:ascii="Times New Roman" w:hAnsi="Times New Roman" w:cs="Times New Roman"/>
          <w:b w:val="0"/>
          <w:bCs w:val="0"/>
          <w:color w:val="auto"/>
          <w:sz w:val="24"/>
          <w:szCs w:val="24"/>
        </w:rPr>
      </w:pPr>
      <w:bookmarkStart w:id="17" w:name="bookmark29"/>
      <w:r>
        <w:rPr>
          <w:rStyle w:val="CharStyle24"/>
          <w:sz w:val="48"/>
          <w:szCs w:val="48"/>
          <w:lang w:eastAsia="en-US"/>
        </w:rPr>
        <w:t>■</w:t>
      </w:r>
      <w:r>
        <w:rPr>
          <w:rStyle w:val="CharStyle24"/>
          <w:sz w:val="48"/>
          <w:szCs w:val="48"/>
          <w:lang w:eastAsia="en-US"/>
        </w:rPr>
        <w:t xml:space="preserve"> </w:t>
      </w:r>
      <w:r>
        <w:rPr>
          <w:rStyle w:val="CharStyle24"/>
          <w:b/>
          <w:bCs/>
          <w:lang w:eastAsia="en-US"/>
        </w:rPr>
        <w:t>ACKNOWLEDGMENTS</w:t>
      </w:r>
      <w:bookmarkEnd w:id="17"/>
    </w:p>
    <w:p w14:paraId="28D84908" w14:textId="77777777" w:rsidR="00B14B05" w:rsidRDefault="00B14B05">
      <w:pPr>
        <w:pStyle w:val="Style11"/>
        <w:ind w:firstLine="0"/>
        <w:jc w:val="both"/>
        <w:rPr>
          <w:rFonts w:ascii="Times New Roman" w:hAnsi="Times New Roman" w:cs="Times New Roman"/>
          <w:sz w:val="24"/>
          <w:szCs w:val="24"/>
        </w:rPr>
      </w:pPr>
      <w:r>
        <w:rPr>
          <w:rStyle w:val="CharStyle12"/>
          <w:lang w:eastAsia="en-US"/>
        </w:rPr>
        <w:t>This study was funded by the National Natural Science Foundation of China (32370118 and 42376101), the S &amp; T Innovation Project of Qingdao Marine Science and Technol</w:t>
      </w:r>
      <w:r>
        <w:rPr>
          <w:rStyle w:val="CharStyle12"/>
          <w:lang w:eastAsia="en-US"/>
        </w:rPr>
        <w:softHyphen/>
        <w:t>ogy Center (2022QNLM030004-3), and the Fundamental Research Funds for the Central Universities (202172002 and 202541011). JDT was funded by Natural Environmental Research Council, UK, (NE/P012671) and Leverhulme trust (RPG-2020-413) grants.</w:t>
      </w:r>
    </w:p>
    <w:p w14:paraId="0C76792C" w14:textId="77777777" w:rsidR="00B14B05" w:rsidRDefault="00B14B05">
      <w:pPr>
        <w:pStyle w:val="Style23"/>
        <w:keepNext/>
        <w:keepLines/>
        <w:spacing w:after="120" w:line="216" w:lineRule="auto"/>
        <w:jc w:val="both"/>
        <w:rPr>
          <w:rFonts w:ascii="Times New Roman" w:hAnsi="Times New Roman" w:cs="Times New Roman"/>
          <w:b w:val="0"/>
          <w:bCs w:val="0"/>
          <w:color w:val="auto"/>
          <w:sz w:val="24"/>
          <w:szCs w:val="24"/>
        </w:rPr>
      </w:pPr>
      <w:bookmarkStart w:id="18" w:name="bookmark31"/>
      <w:r>
        <w:rPr>
          <w:rStyle w:val="CharStyle24"/>
          <w:sz w:val="48"/>
          <w:szCs w:val="48"/>
          <w:lang w:eastAsia="en-US"/>
        </w:rPr>
        <w:t>■</w:t>
      </w:r>
      <w:r>
        <w:rPr>
          <w:rStyle w:val="CharStyle24"/>
          <w:sz w:val="48"/>
          <w:szCs w:val="48"/>
          <w:lang w:eastAsia="en-US"/>
        </w:rPr>
        <w:t xml:space="preserve"> </w:t>
      </w:r>
      <w:r>
        <w:rPr>
          <w:rStyle w:val="CharStyle24"/>
          <w:b/>
          <w:bCs/>
          <w:lang w:eastAsia="en-US"/>
        </w:rPr>
        <w:t>REFERENCES</w:t>
      </w:r>
      <w:bookmarkEnd w:id="18"/>
    </w:p>
    <w:p w14:paraId="3813487A" w14:textId="77777777" w:rsidR="00B14B05" w:rsidRDefault="00B14B05">
      <w:pPr>
        <w:pStyle w:val="Style28"/>
        <w:numPr>
          <w:ilvl w:val="0"/>
          <w:numId w:val="3"/>
        </w:numPr>
        <w:tabs>
          <w:tab w:val="left" w:pos="438"/>
        </w:tabs>
        <w:spacing w:line="317" w:lineRule="auto"/>
        <w:jc w:val="both"/>
        <w:rPr>
          <w:sz w:val="24"/>
          <w:szCs w:val="24"/>
        </w:rPr>
      </w:pPr>
      <w:r>
        <w:rPr>
          <w:rStyle w:val="CharStyle29"/>
          <w:lang w:eastAsia="en-US"/>
        </w:rPr>
        <w:t>Yoch, D. C.</w:t>
      </w:r>
      <w:hyperlink r:id="rId74" w:history="1">
        <w:r>
          <w:rPr>
            <w:rStyle w:val="CharStyle29"/>
            <w:lang w:eastAsia="en-US"/>
          </w:rPr>
          <w:t xml:space="preserve"> Dimethylsulfoniopropionate: Its sources, role in the</w:t>
        </w:r>
      </w:hyperlink>
      <w:r>
        <w:rPr>
          <w:rStyle w:val="CharStyle29"/>
          <w:lang w:eastAsia="en-US"/>
        </w:rPr>
        <w:t xml:space="preserve"> </w:t>
      </w:r>
      <w:hyperlink r:id="rId75" w:history="1">
        <w:r>
          <w:rPr>
            <w:rStyle w:val="CharStyle29"/>
            <w:lang w:eastAsia="en-US"/>
          </w:rPr>
          <w:t xml:space="preserve">marine food web, and biological degradation to dimethylsulfide. </w:t>
        </w:r>
      </w:hyperlink>
      <w:r>
        <w:rPr>
          <w:rStyle w:val="CharStyle29"/>
          <w:rFonts w:ascii="Arial" w:hAnsi="Arial" w:cs="Arial"/>
          <w:i/>
          <w:iCs/>
          <w:sz w:val="12"/>
          <w:szCs w:val="12"/>
          <w:lang w:eastAsia="en-US"/>
        </w:rPr>
        <w:t>Appl. Environ. Microbiol.</w:t>
      </w:r>
      <w:r>
        <w:rPr>
          <w:rStyle w:val="CharStyle29"/>
          <w:rFonts w:ascii="Arial" w:hAnsi="Arial" w:cs="Arial"/>
          <w:sz w:val="12"/>
          <w:szCs w:val="12"/>
          <w:lang w:eastAsia="en-US"/>
        </w:rPr>
        <w:t xml:space="preserve"> 2002</w:t>
      </w:r>
      <w:r>
        <w:rPr>
          <w:rStyle w:val="CharStyle29"/>
          <w:lang w:eastAsia="en-US"/>
        </w:rPr>
        <w:t xml:space="preserve">, </w:t>
      </w:r>
      <w:r>
        <w:rPr>
          <w:rStyle w:val="CharStyle29"/>
          <w:rFonts w:ascii="Arial" w:hAnsi="Arial" w:cs="Arial"/>
          <w:i/>
          <w:iCs/>
          <w:sz w:val="12"/>
          <w:szCs w:val="12"/>
          <w:lang w:eastAsia="en-US"/>
        </w:rPr>
        <w:t>68</w:t>
      </w:r>
      <w:r>
        <w:rPr>
          <w:rStyle w:val="CharStyle29"/>
          <w:lang w:eastAsia="en-US"/>
        </w:rPr>
        <w:t xml:space="preserve"> (12), 5804</w:t>
      </w:r>
      <w:r>
        <w:rPr>
          <w:rStyle w:val="CharStyle29"/>
          <w:rFonts w:ascii="Arial" w:hAnsi="Arial" w:cs="Arial"/>
          <w:sz w:val="15"/>
          <w:szCs w:val="15"/>
          <w:lang w:eastAsia="en-US"/>
        </w:rPr>
        <w:t>-</w:t>
      </w:r>
      <w:r>
        <w:rPr>
          <w:rStyle w:val="CharStyle29"/>
          <w:lang w:eastAsia="en-US"/>
        </w:rPr>
        <w:t>5815.</w:t>
      </w:r>
    </w:p>
    <w:p w14:paraId="56D052B3" w14:textId="77777777" w:rsidR="00B14B05" w:rsidRDefault="00B14B05">
      <w:pPr>
        <w:pStyle w:val="Style28"/>
        <w:numPr>
          <w:ilvl w:val="0"/>
          <w:numId w:val="3"/>
        </w:numPr>
        <w:tabs>
          <w:tab w:val="left" w:pos="433"/>
        </w:tabs>
        <w:spacing w:line="302" w:lineRule="auto"/>
        <w:jc w:val="both"/>
        <w:rPr>
          <w:sz w:val="24"/>
          <w:szCs w:val="24"/>
        </w:rPr>
      </w:pPr>
      <w:r>
        <w:rPr>
          <w:rStyle w:val="CharStyle29"/>
          <w:lang w:eastAsia="en-US"/>
        </w:rPr>
        <w:t>Bullock, H. A.; Luo, H.; Whitman, W. B.</w:t>
      </w:r>
      <w:hyperlink r:id="rId76" w:history="1">
        <w:r>
          <w:rPr>
            <w:rStyle w:val="CharStyle29"/>
            <w:lang w:eastAsia="en-US"/>
          </w:rPr>
          <w:t xml:space="preserve"> Evolution of</w:t>
        </w:r>
      </w:hyperlink>
      <w:r>
        <w:rPr>
          <w:rStyle w:val="CharStyle29"/>
          <w:lang w:eastAsia="en-US"/>
        </w:rPr>
        <w:t xml:space="preserve"> </w:t>
      </w:r>
      <w:hyperlink r:id="rId77" w:history="1">
        <w:r>
          <w:rPr>
            <w:rStyle w:val="CharStyle29"/>
            <w:lang w:eastAsia="en-US"/>
          </w:rPr>
          <w:t>Dimethylsulfoniopropionate Metabolism in Marine Phytoplankton</w:t>
        </w:r>
      </w:hyperlink>
      <w:r>
        <w:rPr>
          <w:rStyle w:val="CharStyle29"/>
          <w:lang w:eastAsia="en-US"/>
        </w:rPr>
        <w:t xml:space="preserve"> </w:t>
      </w:r>
      <w:hyperlink r:id="rId78" w:history="1">
        <w:r>
          <w:rPr>
            <w:rStyle w:val="CharStyle29"/>
            <w:lang w:eastAsia="en-US"/>
          </w:rPr>
          <w:t xml:space="preserve">and Bacteria. </w:t>
        </w:r>
      </w:hyperlink>
      <w:r>
        <w:rPr>
          <w:rStyle w:val="CharStyle29"/>
          <w:rFonts w:ascii="Arial" w:hAnsi="Arial" w:cs="Arial"/>
          <w:i/>
          <w:iCs/>
          <w:sz w:val="12"/>
          <w:szCs w:val="12"/>
          <w:lang w:eastAsia="en-US"/>
        </w:rPr>
        <w:t>Front. Microbiol.</w:t>
      </w:r>
      <w:r>
        <w:rPr>
          <w:rStyle w:val="CharStyle29"/>
          <w:rFonts w:ascii="Arial" w:hAnsi="Arial" w:cs="Arial"/>
          <w:sz w:val="12"/>
          <w:szCs w:val="12"/>
          <w:lang w:eastAsia="en-US"/>
        </w:rPr>
        <w:t xml:space="preserve"> 2017</w:t>
      </w:r>
      <w:r>
        <w:rPr>
          <w:rStyle w:val="CharStyle29"/>
          <w:lang w:eastAsia="en-US"/>
        </w:rPr>
        <w:t xml:space="preserve">, </w:t>
      </w:r>
      <w:r>
        <w:rPr>
          <w:rStyle w:val="CharStyle29"/>
          <w:rFonts w:ascii="Arial" w:hAnsi="Arial" w:cs="Arial"/>
          <w:i/>
          <w:iCs/>
          <w:sz w:val="12"/>
          <w:szCs w:val="12"/>
          <w:lang w:eastAsia="en-US"/>
        </w:rPr>
        <w:t>8</w:t>
      </w:r>
      <w:r>
        <w:rPr>
          <w:rStyle w:val="CharStyle29"/>
          <w:lang w:eastAsia="en-US"/>
        </w:rPr>
        <w:t>, 637.</w:t>
      </w:r>
    </w:p>
    <w:p w14:paraId="110189D4" w14:textId="77777777" w:rsidR="00B14B05" w:rsidRDefault="00B14B05">
      <w:pPr>
        <w:pStyle w:val="Style28"/>
        <w:numPr>
          <w:ilvl w:val="0"/>
          <w:numId w:val="3"/>
        </w:numPr>
        <w:tabs>
          <w:tab w:val="left" w:pos="433"/>
        </w:tabs>
        <w:spacing w:line="312" w:lineRule="auto"/>
        <w:jc w:val="both"/>
        <w:rPr>
          <w:sz w:val="24"/>
          <w:szCs w:val="24"/>
        </w:rPr>
      </w:pPr>
      <w:r>
        <w:rPr>
          <w:rStyle w:val="CharStyle29"/>
          <w:lang w:eastAsia="en-US"/>
        </w:rPr>
        <w:t>Peng, M.; Li, C.-Y.; Chen,</w:t>
      </w:r>
      <w:r>
        <w:rPr>
          <w:rStyle w:val="CharStyle29"/>
          <w:lang w:eastAsia="en-US"/>
        </w:rPr>
        <w:t xml:space="preserve"> X.-L.; Williams, B. T.; Li, K.; Gao, Y.- N.; Wang, P.; Wang, N.; Gao, C.; Zhang, S.; et al.</w:t>
      </w:r>
      <w:hyperlink r:id="rId79" w:history="1">
        <w:r>
          <w:rPr>
            <w:rStyle w:val="CharStyle29"/>
            <w:lang w:eastAsia="en-US"/>
          </w:rPr>
          <w:t xml:space="preserve"> Insights into</w:t>
        </w:r>
      </w:hyperlink>
      <w:r>
        <w:rPr>
          <w:rStyle w:val="CharStyle29"/>
          <w:lang w:eastAsia="en-US"/>
        </w:rPr>
        <w:t xml:space="preserve"> </w:t>
      </w:r>
      <w:hyperlink r:id="rId80" w:history="1">
        <w:r>
          <w:rPr>
            <w:rStyle w:val="CharStyle29"/>
            <w:lang w:eastAsia="en-US"/>
          </w:rPr>
          <w:t xml:space="preserve">methionine S-methylation in diverse organisms. </w:t>
        </w:r>
      </w:hyperlink>
      <w:r>
        <w:rPr>
          <w:rStyle w:val="CharStyle29"/>
          <w:rFonts w:ascii="Arial" w:hAnsi="Arial" w:cs="Arial"/>
          <w:i/>
          <w:iCs/>
          <w:sz w:val="12"/>
          <w:szCs w:val="12"/>
          <w:lang w:eastAsia="en-US"/>
        </w:rPr>
        <w:t>Nat. Commun.</w:t>
      </w:r>
      <w:r>
        <w:rPr>
          <w:rStyle w:val="CharStyle29"/>
          <w:rFonts w:ascii="Arial" w:hAnsi="Arial" w:cs="Arial"/>
          <w:sz w:val="12"/>
          <w:szCs w:val="12"/>
          <w:lang w:eastAsia="en-US"/>
        </w:rPr>
        <w:t xml:space="preserve"> 2022</w:t>
      </w:r>
      <w:r>
        <w:rPr>
          <w:rStyle w:val="CharStyle29"/>
          <w:lang w:eastAsia="en-US"/>
        </w:rPr>
        <w:t xml:space="preserve">, </w:t>
      </w:r>
      <w:r>
        <w:rPr>
          <w:rStyle w:val="CharStyle29"/>
          <w:rFonts w:ascii="Arial" w:hAnsi="Arial" w:cs="Arial"/>
          <w:i/>
          <w:iCs/>
          <w:sz w:val="12"/>
          <w:szCs w:val="12"/>
          <w:lang w:eastAsia="en-US"/>
        </w:rPr>
        <w:t>13</w:t>
      </w:r>
      <w:r>
        <w:rPr>
          <w:rStyle w:val="CharStyle29"/>
          <w:lang w:eastAsia="en-US"/>
        </w:rPr>
        <w:t xml:space="preserve"> (1), 2947.</w:t>
      </w:r>
    </w:p>
    <w:p w14:paraId="0311339B" w14:textId="77777777" w:rsidR="00B14B05" w:rsidRDefault="00B14B05">
      <w:pPr>
        <w:pStyle w:val="Style28"/>
        <w:numPr>
          <w:ilvl w:val="0"/>
          <w:numId w:val="3"/>
        </w:numPr>
        <w:tabs>
          <w:tab w:val="left" w:pos="438"/>
        </w:tabs>
        <w:spacing w:line="302" w:lineRule="auto"/>
        <w:jc w:val="both"/>
        <w:rPr>
          <w:sz w:val="24"/>
          <w:szCs w:val="24"/>
        </w:rPr>
      </w:pPr>
      <w:r>
        <w:rPr>
          <w:rStyle w:val="CharStyle29"/>
          <w:lang w:eastAsia="en-US"/>
        </w:rPr>
        <w:t xml:space="preserve">Wang, J.; Curson, A. R. J.; Zhou, S.; </w:t>
      </w:r>
      <w:r>
        <w:rPr>
          <w:rStyle w:val="CharStyle29"/>
          <w:lang w:val="it-IT" w:eastAsia="it-IT"/>
        </w:rPr>
        <w:t xml:space="preserve">Carrión, </w:t>
      </w:r>
      <w:r>
        <w:rPr>
          <w:rStyle w:val="CharStyle29"/>
          <w:lang w:eastAsia="en-US"/>
        </w:rPr>
        <w:t xml:space="preserve">O.; Liu, J.; Vieira, A. R.; Walsham, K. S.; Monaco, S.; Li, C. -Y.; Dong, Q. -Y.; et al. </w:t>
      </w:r>
      <w:hyperlink r:id="rId81" w:history="1">
        <w:r>
          <w:rPr>
            <w:rStyle w:val="CharStyle29"/>
            <w:lang w:eastAsia="en-US"/>
          </w:rPr>
          <w:t>Alternative dimethylsulfoniopropionate biosynthesis enzymes in</w:t>
        </w:r>
      </w:hyperlink>
      <w:r>
        <w:rPr>
          <w:rStyle w:val="CharStyle29"/>
          <w:lang w:eastAsia="en-US"/>
        </w:rPr>
        <w:t xml:space="preserve"> </w:t>
      </w:r>
      <w:hyperlink r:id="rId82" w:history="1">
        <w:r>
          <w:rPr>
            <w:rStyle w:val="CharStyle29"/>
            <w:lang w:eastAsia="en-US"/>
          </w:rPr>
          <w:t xml:space="preserve">diverse and abundant microorganisms. </w:t>
        </w:r>
      </w:hyperlink>
      <w:r>
        <w:rPr>
          <w:rStyle w:val="CharStyle29"/>
          <w:rFonts w:ascii="Arial" w:hAnsi="Arial" w:cs="Arial"/>
          <w:i/>
          <w:iCs/>
          <w:sz w:val="12"/>
          <w:szCs w:val="12"/>
          <w:lang w:eastAsia="en-US"/>
        </w:rPr>
        <w:t>Nat. Microbiol.</w:t>
      </w:r>
      <w:r>
        <w:rPr>
          <w:rStyle w:val="CharStyle29"/>
          <w:rFonts w:ascii="Arial" w:hAnsi="Arial" w:cs="Arial"/>
          <w:sz w:val="12"/>
          <w:szCs w:val="12"/>
          <w:lang w:eastAsia="en-US"/>
        </w:rPr>
        <w:t xml:space="preserve"> 2024</w:t>
      </w:r>
      <w:r>
        <w:rPr>
          <w:rStyle w:val="CharStyle29"/>
          <w:lang w:eastAsia="en-US"/>
        </w:rPr>
        <w:t xml:space="preserve">, </w:t>
      </w:r>
      <w:r>
        <w:rPr>
          <w:rStyle w:val="CharStyle29"/>
          <w:rFonts w:ascii="Arial" w:hAnsi="Arial" w:cs="Arial"/>
          <w:i/>
          <w:iCs/>
          <w:sz w:val="12"/>
          <w:szCs w:val="12"/>
          <w:lang w:eastAsia="en-US"/>
        </w:rPr>
        <w:t>9</w:t>
      </w:r>
      <w:r>
        <w:rPr>
          <w:rStyle w:val="CharStyle29"/>
          <w:lang w:eastAsia="en-US"/>
        </w:rPr>
        <w:t xml:space="preserve"> (8), 1979</w:t>
      </w:r>
      <w:r>
        <w:rPr>
          <w:rStyle w:val="CharStyle29"/>
          <w:rFonts w:ascii="Arial" w:hAnsi="Arial" w:cs="Arial"/>
          <w:sz w:val="15"/>
          <w:szCs w:val="15"/>
          <w:lang w:eastAsia="en-US"/>
        </w:rPr>
        <w:t>-</w:t>
      </w:r>
      <w:r>
        <w:rPr>
          <w:rStyle w:val="CharStyle29"/>
          <w:lang w:eastAsia="en-US"/>
        </w:rPr>
        <w:t>1992.</w:t>
      </w:r>
    </w:p>
    <w:p w14:paraId="45F56D84" w14:textId="77777777" w:rsidR="00B14B05" w:rsidRDefault="00B14B05">
      <w:pPr>
        <w:pStyle w:val="Style28"/>
        <w:numPr>
          <w:ilvl w:val="0"/>
          <w:numId w:val="3"/>
        </w:numPr>
        <w:tabs>
          <w:tab w:val="left" w:pos="442"/>
        </w:tabs>
        <w:spacing w:line="302" w:lineRule="auto"/>
        <w:jc w:val="both"/>
        <w:rPr>
          <w:sz w:val="24"/>
          <w:szCs w:val="24"/>
        </w:rPr>
      </w:pPr>
      <w:r>
        <w:rPr>
          <w:rStyle w:val="CharStyle29"/>
          <w:lang w:val="it-IT" w:eastAsia="it-IT"/>
        </w:rPr>
        <w:t xml:space="preserve">Carrión, </w:t>
      </w:r>
      <w:r>
        <w:rPr>
          <w:rStyle w:val="CharStyle29"/>
          <w:lang w:eastAsia="en-US"/>
        </w:rPr>
        <w:t xml:space="preserve">O.; Zhu, X.-Y.; Williams, B. T.; Wang, J.; Zhang, X.-H.; Todd, J. D. Chapter Two - Molecular discoveries in microbial DMSP synthesis. In </w:t>
      </w:r>
      <w:r>
        <w:rPr>
          <w:rStyle w:val="CharStyle29"/>
          <w:rFonts w:ascii="Arial" w:hAnsi="Arial" w:cs="Arial"/>
          <w:i/>
          <w:iCs/>
          <w:sz w:val="12"/>
          <w:szCs w:val="12"/>
          <w:lang w:eastAsia="en-US"/>
        </w:rPr>
        <w:t>Advances in Microbial Physiology</w:t>
      </w:r>
      <w:r>
        <w:rPr>
          <w:rStyle w:val="CharStyle29"/>
          <w:lang w:eastAsia="en-US"/>
        </w:rPr>
        <w:t xml:space="preserve">; Poole, R. K.; Kelly, D. J., Eds.; Elsevier, 2023, Vol. </w:t>
      </w:r>
      <w:r>
        <w:rPr>
          <w:rStyle w:val="CharStyle29"/>
          <w:rFonts w:ascii="Arial" w:hAnsi="Arial" w:cs="Arial"/>
          <w:i/>
          <w:iCs/>
          <w:sz w:val="12"/>
          <w:szCs w:val="12"/>
          <w:lang w:eastAsia="en-US"/>
        </w:rPr>
        <w:t>83</w:t>
      </w:r>
      <w:r>
        <w:rPr>
          <w:rStyle w:val="CharStyle29"/>
          <w:lang w:eastAsia="en-US"/>
        </w:rPr>
        <w:t>, pp. 59</w:t>
      </w:r>
      <w:r>
        <w:rPr>
          <w:rStyle w:val="CharStyle29"/>
          <w:rFonts w:ascii="Arial" w:hAnsi="Arial" w:cs="Arial"/>
          <w:sz w:val="15"/>
          <w:szCs w:val="15"/>
          <w:lang w:eastAsia="en-US"/>
        </w:rPr>
        <w:t>-</w:t>
      </w:r>
      <w:r>
        <w:rPr>
          <w:rStyle w:val="CharStyle29"/>
          <w:lang w:eastAsia="en-US"/>
        </w:rPr>
        <w:t>116.</w:t>
      </w:r>
    </w:p>
    <w:p w14:paraId="7377413C" w14:textId="77777777" w:rsidR="00B14B05" w:rsidRDefault="00B14B05">
      <w:pPr>
        <w:pStyle w:val="Style28"/>
        <w:numPr>
          <w:ilvl w:val="0"/>
          <w:numId w:val="3"/>
        </w:numPr>
        <w:tabs>
          <w:tab w:val="left" w:pos="442"/>
        </w:tabs>
        <w:spacing w:line="324" w:lineRule="auto"/>
        <w:jc w:val="both"/>
        <w:rPr>
          <w:sz w:val="24"/>
          <w:szCs w:val="24"/>
        </w:rPr>
      </w:pPr>
      <w:r>
        <w:rPr>
          <w:rStyle w:val="CharStyle29"/>
          <w:lang w:eastAsia="en-US"/>
        </w:rPr>
        <w:t>Kirst, G. O.</w:t>
      </w:r>
      <w:hyperlink r:id="rId83" w:history="1">
        <w:r>
          <w:rPr>
            <w:rStyle w:val="CharStyle29"/>
            <w:lang w:eastAsia="en-US"/>
          </w:rPr>
          <w:t xml:space="preserve"> Salinity Tolerance of Eukaryotic Marine Algae.</w:t>
        </w:r>
      </w:hyperlink>
      <w:r>
        <w:rPr>
          <w:rStyle w:val="CharStyle29"/>
          <w:lang w:eastAsia="en-US"/>
        </w:rPr>
        <w:t xml:space="preserve"> </w:t>
      </w:r>
      <w:r>
        <w:rPr>
          <w:rStyle w:val="CharStyle29"/>
          <w:rFonts w:ascii="Arial" w:hAnsi="Arial" w:cs="Arial"/>
          <w:i/>
          <w:iCs/>
          <w:sz w:val="12"/>
          <w:szCs w:val="12"/>
          <w:lang w:eastAsia="en-US"/>
        </w:rPr>
        <w:t>Annu. Rev. Plant Biol.</w:t>
      </w:r>
      <w:r>
        <w:rPr>
          <w:rStyle w:val="CharStyle29"/>
          <w:rFonts w:ascii="Arial" w:hAnsi="Arial" w:cs="Arial"/>
          <w:sz w:val="12"/>
          <w:szCs w:val="12"/>
          <w:lang w:eastAsia="en-US"/>
        </w:rPr>
        <w:t xml:space="preserve"> </w:t>
      </w:r>
      <w:r>
        <w:rPr>
          <w:rStyle w:val="CharStyle29"/>
          <w:rFonts w:ascii="Arial" w:hAnsi="Arial" w:cs="Arial"/>
          <w:sz w:val="12"/>
          <w:szCs w:val="12"/>
          <w:lang w:eastAsia="en-US"/>
        </w:rPr>
        <w:lastRenderedPageBreak/>
        <w:t>1990</w:t>
      </w:r>
      <w:r>
        <w:rPr>
          <w:rStyle w:val="CharStyle29"/>
          <w:lang w:eastAsia="en-US"/>
        </w:rPr>
        <w:t xml:space="preserve">, </w:t>
      </w:r>
      <w:r>
        <w:rPr>
          <w:rStyle w:val="CharStyle29"/>
          <w:rFonts w:ascii="Arial" w:hAnsi="Arial" w:cs="Arial"/>
          <w:i/>
          <w:iCs/>
          <w:sz w:val="12"/>
          <w:szCs w:val="12"/>
          <w:lang w:eastAsia="en-US"/>
        </w:rPr>
        <w:t>41</w:t>
      </w:r>
      <w:r>
        <w:rPr>
          <w:rStyle w:val="CharStyle29"/>
          <w:lang w:eastAsia="en-US"/>
        </w:rPr>
        <w:t xml:space="preserve"> (41), 21</w:t>
      </w:r>
      <w:r>
        <w:rPr>
          <w:rStyle w:val="CharStyle29"/>
          <w:rFonts w:ascii="Arial" w:hAnsi="Arial" w:cs="Arial"/>
          <w:sz w:val="15"/>
          <w:szCs w:val="15"/>
          <w:lang w:eastAsia="en-US"/>
        </w:rPr>
        <w:t>-</w:t>
      </w:r>
      <w:r>
        <w:rPr>
          <w:rStyle w:val="CharStyle29"/>
          <w:lang w:eastAsia="en-US"/>
        </w:rPr>
        <w:t>53.</w:t>
      </w:r>
    </w:p>
    <w:p w14:paraId="410E9B4D" w14:textId="77777777" w:rsidR="00B14B05" w:rsidRDefault="00B14B05">
      <w:pPr>
        <w:pStyle w:val="Style28"/>
        <w:numPr>
          <w:ilvl w:val="0"/>
          <w:numId w:val="3"/>
        </w:numPr>
        <w:tabs>
          <w:tab w:val="left" w:pos="423"/>
        </w:tabs>
        <w:spacing w:line="302" w:lineRule="auto"/>
        <w:jc w:val="both"/>
        <w:rPr>
          <w:sz w:val="24"/>
          <w:szCs w:val="24"/>
        </w:rPr>
      </w:pPr>
      <w:r>
        <w:rPr>
          <w:rStyle w:val="CharStyle29"/>
          <w:lang w:eastAsia="en-US"/>
        </w:rPr>
        <w:t>Gregory, G. J.; Boas, K. E.; Boyd, E. F.</w:t>
      </w:r>
      <w:hyperlink r:id="rId84" w:history="1">
        <w:r>
          <w:rPr>
            <w:rStyle w:val="CharStyle29"/>
            <w:lang w:eastAsia="en-US"/>
          </w:rPr>
          <w:t xml:space="preserve"> The Organosulfur</w:t>
        </w:r>
      </w:hyperlink>
      <w:r>
        <w:rPr>
          <w:rStyle w:val="CharStyle29"/>
          <w:lang w:eastAsia="en-US"/>
        </w:rPr>
        <w:t xml:space="preserve"> </w:t>
      </w:r>
      <w:hyperlink r:id="rId85" w:history="1">
        <w:r>
          <w:rPr>
            <w:rStyle w:val="CharStyle29"/>
            <w:lang w:eastAsia="en-US"/>
          </w:rPr>
          <w:t>Compound Dimethylsulfoniopropionate (DMSP) Is Utilized as an</w:t>
        </w:r>
      </w:hyperlink>
      <w:r>
        <w:rPr>
          <w:rStyle w:val="CharStyle29"/>
          <w:lang w:eastAsia="en-US"/>
        </w:rPr>
        <w:t xml:space="preserve"> </w:t>
      </w:r>
      <w:hyperlink r:id="rId86" w:history="1">
        <w:r>
          <w:rPr>
            <w:rStyle w:val="CharStyle29"/>
            <w:lang w:eastAsia="en-US"/>
          </w:rPr>
          <w:t xml:space="preserve">Osmoprotectant by Vibrio Species. </w:t>
        </w:r>
      </w:hyperlink>
      <w:r>
        <w:rPr>
          <w:rStyle w:val="CharStyle29"/>
          <w:rFonts w:ascii="Arial" w:hAnsi="Arial" w:cs="Arial"/>
          <w:i/>
          <w:iCs/>
          <w:sz w:val="12"/>
          <w:szCs w:val="12"/>
          <w:lang w:eastAsia="en-US"/>
        </w:rPr>
        <w:t>Appl. Environ. Microbiol.</w:t>
      </w:r>
      <w:r>
        <w:rPr>
          <w:rStyle w:val="CharStyle29"/>
          <w:rFonts w:ascii="Arial" w:hAnsi="Arial" w:cs="Arial"/>
          <w:sz w:val="12"/>
          <w:szCs w:val="12"/>
          <w:lang w:eastAsia="en-US"/>
        </w:rPr>
        <w:t xml:space="preserve"> 2021</w:t>
      </w:r>
      <w:r>
        <w:rPr>
          <w:rStyle w:val="CharStyle29"/>
          <w:lang w:eastAsia="en-US"/>
        </w:rPr>
        <w:t xml:space="preserve">, </w:t>
      </w:r>
      <w:r>
        <w:rPr>
          <w:rStyle w:val="CharStyle29"/>
          <w:rFonts w:ascii="Arial" w:hAnsi="Arial" w:cs="Arial"/>
          <w:i/>
          <w:iCs/>
          <w:sz w:val="12"/>
          <w:szCs w:val="12"/>
          <w:lang w:eastAsia="en-US"/>
        </w:rPr>
        <w:t xml:space="preserve">87 </w:t>
      </w:r>
      <w:r>
        <w:rPr>
          <w:rStyle w:val="CharStyle29"/>
          <w:lang w:eastAsia="en-US"/>
        </w:rPr>
        <w:t>(5), No. e02235-20.</w:t>
      </w:r>
    </w:p>
    <w:p w14:paraId="6868A03A" w14:textId="77777777" w:rsidR="00B14B05" w:rsidRDefault="00B14B05">
      <w:pPr>
        <w:pStyle w:val="Style28"/>
        <w:numPr>
          <w:ilvl w:val="0"/>
          <w:numId w:val="3"/>
        </w:numPr>
        <w:tabs>
          <w:tab w:val="left" w:pos="428"/>
        </w:tabs>
        <w:spacing w:line="317" w:lineRule="auto"/>
        <w:jc w:val="both"/>
        <w:rPr>
          <w:sz w:val="24"/>
          <w:szCs w:val="24"/>
        </w:rPr>
      </w:pPr>
      <w:r>
        <w:rPr>
          <w:rStyle w:val="CharStyle29"/>
          <w:lang w:eastAsia="en-US"/>
        </w:rPr>
        <w:t>Sunda, W.; Kieber, D. J.; Kiene, R. P.; Huntsman, S.</w:t>
      </w:r>
      <w:hyperlink r:id="rId87" w:history="1">
        <w:r>
          <w:rPr>
            <w:rStyle w:val="CharStyle29"/>
            <w:lang w:eastAsia="en-US"/>
          </w:rPr>
          <w:t xml:space="preserve"> An</w:t>
        </w:r>
      </w:hyperlink>
      <w:r>
        <w:rPr>
          <w:rStyle w:val="CharStyle29"/>
          <w:lang w:eastAsia="en-US"/>
        </w:rPr>
        <w:t xml:space="preserve"> </w:t>
      </w:r>
      <w:hyperlink r:id="rId88" w:history="1">
        <w:r>
          <w:rPr>
            <w:rStyle w:val="CharStyle29"/>
            <w:lang w:eastAsia="en-US"/>
          </w:rPr>
          <w:t xml:space="preserve">antioxidant function for DMSP and DMS in marine algae. </w:t>
        </w:r>
      </w:hyperlink>
      <w:r>
        <w:rPr>
          <w:rStyle w:val="CharStyle29"/>
          <w:rFonts w:ascii="Arial" w:hAnsi="Arial" w:cs="Arial"/>
          <w:i/>
          <w:iCs/>
          <w:sz w:val="12"/>
          <w:szCs w:val="12"/>
          <w:lang w:eastAsia="en-US"/>
        </w:rPr>
        <w:t xml:space="preserve">Nature </w:t>
      </w:r>
      <w:r>
        <w:rPr>
          <w:rStyle w:val="CharStyle29"/>
          <w:rFonts w:ascii="Arial" w:hAnsi="Arial" w:cs="Arial"/>
          <w:sz w:val="12"/>
          <w:szCs w:val="12"/>
          <w:lang w:eastAsia="en-US"/>
        </w:rPr>
        <w:t>2002</w:t>
      </w:r>
      <w:r>
        <w:rPr>
          <w:rStyle w:val="CharStyle29"/>
          <w:lang w:eastAsia="en-US"/>
        </w:rPr>
        <w:t xml:space="preserve">, </w:t>
      </w:r>
      <w:r>
        <w:rPr>
          <w:rStyle w:val="CharStyle29"/>
          <w:rFonts w:ascii="Arial" w:hAnsi="Arial" w:cs="Arial"/>
          <w:i/>
          <w:iCs/>
          <w:sz w:val="12"/>
          <w:szCs w:val="12"/>
          <w:lang w:eastAsia="en-US"/>
        </w:rPr>
        <w:t>418</w:t>
      </w:r>
      <w:r>
        <w:rPr>
          <w:rStyle w:val="CharStyle29"/>
          <w:lang w:eastAsia="en-US"/>
        </w:rPr>
        <w:t xml:space="preserve"> (6895), 317</w:t>
      </w:r>
      <w:r>
        <w:rPr>
          <w:rStyle w:val="CharStyle29"/>
          <w:rFonts w:ascii="Arial" w:hAnsi="Arial" w:cs="Arial"/>
          <w:sz w:val="15"/>
          <w:szCs w:val="15"/>
          <w:lang w:eastAsia="en-US"/>
        </w:rPr>
        <w:t>-</w:t>
      </w:r>
      <w:r>
        <w:rPr>
          <w:rStyle w:val="CharStyle29"/>
          <w:lang w:eastAsia="en-US"/>
        </w:rPr>
        <w:t>320.</w:t>
      </w:r>
    </w:p>
    <w:p w14:paraId="10D7C74F" w14:textId="77777777" w:rsidR="00B14B05" w:rsidRDefault="00B14B05">
      <w:pPr>
        <w:pStyle w:val="Style28"/>
        <w:numPr>
          <w:ilvl w:val="0"/>
          <w:numId w:val="3"/>
        </w:numPr>
        <w:tabs>
          <w:tab w:val="left" w:pos="438"/>
        </w:tabs>
        <w:spacing w:line="310" w:lineRule="auto"/>
        <w:jc w:val="both"/>
        <w:rPr>
          <w:sz w:val="24"/>
          <w:szCs w:val="24"/>
        </w:rPr>
      </w:pPr>
      <w:r>
        <w:rPr>
          <w:rStyle w:val="CharStyle29"/>
          <w:lang w:eastAsia="en-US"/>
        </w:rPr>
        <w:t>Curson, A. R. J.; Williams,</w:t>
      </w:r>
      <w:r>
        <w:rPr>
          <w:rStyle w:val="CharStyle29"/>
          <w:lang w:eastAsia="en-US"/>
        </w:rPr>
        <w:t xml:space="preserve"> B. T.; Pinchbeck, B. J.; Sims, L. P.; Martinez, A. B.; Rivera, P. P. L.; Kumaresan, D.; Mercade, E.; Spurgin, L. G.; Carrion, O.; et al.</w:t>
      </w:r>
      <w:hyperlink r:id="rId89" w:history="1">
        <w:r>
          <w:rPr>
            <w:rStyle w:val="CharStyle29"/>
            <w:lang w:eastAsia="en-US"/>
          </w:rPr>
          <w:t xml:space="preserve"> DSYB catalyses the key step of</w:t>
        </w:r>
      </w:hyperlink>
      <w:r>
        <w:rPr>
          <w:rStyle w:val="CharStyle29"/>
          <w:lang w:eastAsia="en-US"/>
        </w:rPr>
        <w:t xml:space="preserve"> </w:t>
      </w:r>
      <w:hyperlink r:id="rId90" w:history="1">
        <w:r>
          <w:rPr>
            <w:rStyle w:val="CharStyle29"/>
            <w:lang w:eastAsia="en-US"/>
          </w:rPr>
          <w:t>dimethylsulfoniopropionate biosynthesis in many phytoplankton.</w:t>
        </w:r>
      </w:hyperlink>
      <w:r>
        <w:rPr>
          <w:rStyle w:val="CharStyle29"/>
          <w:lang w:eastAsia="en-US"/>
        </w:rPr>
        <w:t xml:space="preserve"> </w:t>
      </w:r>
      <w:r>
        <w:rPr>
          <w:rStyle w:val="CharStyle29"/>
          <w:rFonts w:ascii="Arial" w:hAnsi="Arial" w:cs="Arial"/>
          <w:i/>
          <w:iCs/>
          <w:sz w:val="12"/>
          <w:szCs w:val="12"/>
          <w:lang w:eastAsia="en-US"/>
        </w:rPr>
        <w:t>Nat. Microbiol.</w:t>
      </w:r>
      <w:r>
        <w:rPr>
          <w:rStyle w:val="CharStyle29"/>
          <w:rFonts w:ascii="Arial" w:hAnsi="Arial" w:cs="Arial"/>
          <w:sz w:val="12"/>
          <w:szCs w:val="12"/>
          <w:lang w:eastAsia="en-US"/>
        </w:rPr>
        <w:t xml:space="preserve"> 2018</w:t>
      </w:r>
      <w:r>
        <w:rPr>
          <w:rStyle w:val="CharStyle29"/>
          <w:lang w:eastAsia="en-US"/>
        </w:rPr>
        <w:t xml:space="preserve">, </w:t>
      </w:r>
      <w:r>
        <w:rPr>
          <w:rStyle w:val="CharStyle29"/>
          <w:rFonts w:ascii="Arial" w:hAnsi="Arial" w:cs="Arial"/>
          <w:i/>
          <w:iCs/>
          <w:sz w:val="12"/>
          <w:szCs w:val="12"/>
          <w:lang w:eastAsia="en-US"/>
        </w:rPr>
        <w:t>3</w:t>
      </w:r>
      <w:r>
        <w:rPr>
          <w:rStyle w:val="CharStyle29"/>
          <w:lang w:eastAsia="en-US"/>
        </w:rPr>
        <w:t xml:space="preserve"> (4), 430</w:t>
      </w:r>
      <w:r>
        <w:rPr>
          <w:rStyle w:val="CharStyle29"/>
          <w:rFonts w:ascii="Arial" w:hAnsi="Arial" w:cs="Arial"/>
          <w:sz w:val="15"/>
          <w:szCs w:val="15"/>
          <w:lang w:eastAsia="en-US"/>
        </w:rPr>
        <w:t>-</w:t>
      </w:r>
      <w:r>
        <w:rPr>
          <w:rStyle w:val="CharStyle29"/>
          <w:lang w:eastAsia="en-US"/>
        </w:rPr>
        <w:t>439.</w:t>
      </w:r>
    </w:p>
    <w:p w14:paraId="4105ED4D" w14:textId="77777777" w:rsidR="00B14B05" w:rsidRDefault="00B14B05">
      <w:pPr>
        <w:pStyle w:val="Style28"/>
        <w:numPr>
          <w:ilvl w:val="0"/>
          <w:numId w:val="3"/>
        </w:numPr>
        <w:tabs>
          <w:tab w:val="left" w:pos="519"/>
        </w:tabs>
        <w:spacing w:line="312" w:lineRule="auto"/>
        <w:jc w:val="both"/>
        <w:rPr>
          <w:sz w:val="24"/>
          <w:szCs w:val="24"/>
        </w:rPr>
      </w:pPr>
      <w:r>
        <w:rPr>
          <w:rStyle w:val="CharStyle29"/>
          <w:lang w:eastAsia="en-US"/>
        </w:rPr>
        <w:t>Toda, K.; Obolkin, V.; Ohira, S.-I.; Saeki, K.</w:t>
      </w:r>
      <w:hyperlink r:id="rId91" w:history="1">
        <w:r>
          <w:rPr>
            <w:rStyle w:val="CharStyle29"/>
            <w:lang w:eastAsia="en-US"/>
          </w:rPr>
          <w:t xml:space="preserve"> Abundant</w:t>
        </w:r>
      </w:hyperlink>
      <w:r>
        <w:rPr>
          <w:rStyle w:val="CharStyle29"/>
          <w:lang w:eastAsia="en-US"/>
        </w:rPr>
        <w:t xml:space="preserve"> </w:t>
      </w:r>
      <w:hyperlink r:id="rId92" w:history="1">
        <w:r>
          <w:rPr>
            <w:rStyle w:val="CharStyle29"/>
            <w:lang w:eastAsia="en-US"/>
          </w:rPr>
          <w:t>production of dimethylsulfoniopropionate as a cryoprotectant by</w:t>
        </w:r>
      </w:hyperlink>
      <w:r>
        <w:rPr>
          <w:rStyle w:val="CharStyle29"/>
          <w:lang w:eastAsia="en-US"/>
        </w:rPr>
        <w:t xml:space="preserve"> </w:t>
      </w:r>
      <w:hyperlink r:id="rId93" w:history="1">
        <w:r>
          <w:rPr>
            <w:rStyle w:val="CharStyle29"/>
            <w:lang w:eastAsia="en-US"/>
          </w:rPr>
          <w:t>freshwater phytoplanktonic dinoflagellates in ice-covered Lake Baikal.</w:t>
        </w:r>
      </w:hyperlink>
      <w:r>
        <w:rPr>
          <w:rStyle w:val="CharStyle29"/>
          <w:lang w:eastAsia="en-US"/>
        </w:rPr>
        <w:t xml:space="preserve"> </w:t>
      </w:r>
      <w:r>
        <w:rPr>
          <w:rStyle w:val="CharStyle29"/>
          <w:rFonts w:ascii="Arial" w:hAnsi="Arial" w:cs="Arial"/>
          <w:i/>
          <w:iCs/>
          <w:sz w:val="12"/>
          <w:szCs w:val="12"/>
          <w:lang w:eastAsia="en-US"/>
        </w:rPr>
        <w:t>Commun. Biol.</w:t>
      </w:r>
      <w:r>
        <w:rPr>
          <w:rStyle w:val="CharStyle29"/>
          <w:rFonts w:ascii="Arial" w:hAnsi="Arial" w:cs="Arial"/>
          <w:sz w:val="12"/>
          <w:szCs w:val="12"/>
          <w:lang w:eastAsia="en-US"/>
        </w:rPr>
        <w:t xml:space="preserve"> 2023</w:t>
      </w:r>
      <w:r>
        <w:rPr>
          <w:rStyle w:val="CharStyle29"/>
          <w:lang w:eastAsia="en-US"/>
        </w:rPr>
        <w:t xml:space="preserve">, </w:t>
      </w:r>
      <w:r>
        <w:rPr>
          <w:rStyle w:val="CharStyle29"/>
          <w:rFonts w:ascii="Arial" w:hAnsi="Arial" w:cs="Arial"/>
          <w:i/>
          <w:iCs/>
          <w:sz w:val="12"/>
          <w:szCs w:val="12"/>
          <w:lang w:eastAsia="en-US"/>
        </w:rPr>
        <w:t>6</w:t>
      </w:r>
      <w:r>
        <w:rPr>
          <w:rStyle w:val="CharStyle29"/>
          <w:lang w:eastAsia="en-US"/>
        </w:rPr>
        <w:t xml:space="preserve"> (1), 1194.</w:t>
      </w:r>
    </w:p>
    <w:p w14:paraId="1B6D8761" w14:textId="77777777" w:rsidR="00B14B05" w:rsidRDefault="00B14B05">
      <w:pPr>
        <w:pStyle w:val="Style28"/>
        <w:numPr>
          <w:ilvl w:val="0"/>
          <w:numId w:val="3"/>
        </w:numPr>
        <w:tabs>
          <w:tab w:val="left" w:pos="519"/>
        </w:tabs>
        <w:spacing w:line="302" w:lineRule="auto"/>
        <w:jc w:val="both"/>
        <w:rPr>
          <w:sz w:val="24"/>
          <w:szCs w:val="24"/>
        </w:rPr>
      </w:pPr>
      <w:r>
        <w:rPr>
          <w:rStyle w:val="CharStyle29"/>
          <w:lang w:eastAsia="en-US"/>
        </w:rPr>
        <w:t>Kiene, R. P.; Linn, L. J.; Bruton, J. A.</w:t>
      </w:r>
      <w:hyperlink r:id="rId94" w:history="1">
        <w:r>
          <w:rPr>
            <w:rStyle w:val="CharStyle29"/>
            <w:lang w:eastAsia="en-US"/>
          </w:rPr>
          <w:t xml:space="preserve"> New and important roles</w:t>
        </w:r>
      </w:hyperlink>
      <w:r>
        <w:rPr>
          <w:rStyle w:val="CharStyle29"/>
          <w:lang w:eastAsia="en-US"/>
        </w:rPr>
        <w:t xml:space="preserve"> </w:t>
      </w:r>
      <w:hyperlink r:id="rId95" w:history="1">
        <w:r>
          <w:rPr>
            <w:rStyle w:val="CharStyle29"/>
            <w:lang w:eastAsia="en-US"/>
          </w:rPr>
          <w:t xml:space="preserve">for DMSP in marine microbial communities. </w:t>
        </w:r>
      </w:hyperlink>
      <w:r>
        <w:rPr>
          <w:rStyle w:val="CharStyle29"/>
          <w:rFonts w:ascii="Arial" w:hAnsi="Arial" w:cs="Arial"/>
          <w:i/>
          <w:iCs/>
          <w:sz w:val="12"/>
          <w:szCs w:val="12"/>
          <w:lang w:eastAsia="en-US"/>
        </w:rPr>
        <w:t>J. Sea Res.</w:t>
      </w:r>
      <w:r>
        <w:rPr>
          <w:rStyle w:val="CharStyle29"/>
          <w:rFonts w:ascii="Arial" w:hAnsi="Arial" w:cs="Arial"/>
          <w:sz w:val="12"/>
          <w:szCs w:val="12"/>
          <w:lang w:eastAsia="en-US"/>
        </w:rPr>
        <w:t xml:space="preserve"> 2000</w:t>
      </w:r>
      <w:r>
        <w:rPr>
          <w:rStyle w:val="CharStyle29"/>
          <w:lang w:eastAsia="en-US"/>
        </w:rPr>
        <w:t xml:space="preserve">, </w:t>
      </w:r>
      <w:r>
        <w:rPr>
          <w:rStyle w:val="CharStyle29"/>
          <w:rFonts w:ascii="Arial" w:hAnsi="Arial" w:cs="Arial"/>
          <w:i/>
          <w:iCs/>
          <w:sz w:val="12"/>
          <w:szCs w:val="12"/>
          <w:lang w:eastAsia="en-US"/>
        </w:rPr>
        <w:t>43</w:t>
      </w:r>
      <w:r>
        <w:rPr>
          <w:rStyle w:val="CharStyle29"/>
          <w:lang w:eastAsia="en-US"/>
        </w:rPr>
        <w:t xml:space="preserve"> (3</w:t>
      </w:r>
      <w:r>
        <w:rPr>
          <w:rStyle w:val="CharStyle29"/>
          <w:rFonts w:ascii="Arial" w:hAnsi="Arial" w:cs="Arial"/>
          <w:sz w:val="15"/>
          <w:szCs w:val="15"/>
          <w:lang w:eastAsia="en-US"/>
        </w:rPr>
        <w:softHyphen/>
      </w:r>
      <w:r>
        <w:rPr>
          <w:rStyle w:val="CharStyle29"/>
          <w:lang w:eastAsia="en-US"/>
        </w:rPr>
        <w:t>4), 209</w:t>
      </w:r>
      <w:r>
        <w:rPr>
          <w:rStyle w:val="CharStyle29"/>
          <w:rFonts w:ascii="Arial" w:hAnsi="Arial" w:cs="Arial"/>
          <w:sz w:val="15"/>
          <w:szCs w:val="15"/>
          <w:lang w:eastAsia="en-US"/>
        </w:rPr>
        <w:t>-</w:t>
      </w:r>
      <w:r>
        <w:rPr>
          <w:rStyle w:val="CharStyle29"/>
          <w:lang w:eastAsia="en-US"/>
        </w:rPr>
        <w:t>224.</w:t>
      </w:r>
    </w:p>
    <w:p w14:paraId="53EF5700" w14:textId="77777777" w:rsidR="00B14B05" w:rsidRDefault="00B14B05">
      <w:pPr>
        <w:pStyle w:val="Style28"/>
        <w:numPr>
          <w:ilvl w:val="0"/>
          <w:numId w:val="3"/>
        </w:numPr>
        <w:tabs>
          <w:tab w:val="left" w:pos="529"/>
        </w:tabs>
        <w:spacing w:line="302" w:lineRule="auto"/>
        <w:jc w:val="both"/>
        <w:rPr>
          <w:sz w:val="24"/>
          <w:szCs w:val="24"/>
        </w:rPr>
      </w:pPr>
      <w:r>
        <w:rPr>
          <w:rStyle w:val="CharStyle29"/>
          <w:lang w:eastAsia="en-US"/>
        </w:rPr>
        <w:t>Zheng, Y.; Wang, J.; Zhou, S.; Zhang, Y.; Liu, J.; Xue, C.-X.; Williams, B. T.; Zhao, X.; Zhao, L.; Zhu, X.-Y.; et al.</w:t>
      </w:r>
      <w:hyperlink r:id="rId96" w:history="1">
        <w:r>
          <w:rPr>
            <w:rStyle w:val="CharStyle29"/>
            <w:lang w:eastAsia="en-US"/>
          </w:rPr>
          <w:t xml:space="preserve"> Bacteria are</w:t>
        </w:r>
      </w:hyperlink>
      <w:r>
        <w:rPr>
          <w:rStyle w:val="CharStyle29"/>
          <w:lang w:eastAsia="en-US"/>
        </w:rPr>
        <w:t xml:space="preserve"> </w:t>
      </w:r>
      <w:hyperlink r:id="rId97" w:history="1">
        <w:r>
          <w:rPr>
            <w:rStyle w:val="CharStyle29"/>
            <w:lang w:eastAsia="en-US"/>
          </w:rPr>
          <w:t>important dimethylsulfoniopropionate producers in marine aphotic</w:t>
        </w:r>
      </w:hyperlink>
      <w:r>
        <w:rPr>
          <w:rStyle w:val="CharStyle29"/>
          <w:lang w:eastAsia="en-US"/>
        </w:rPr>
        <w:t xml:space="preserve"> </w:t>
      </w:r>
      <w:hyperlink r:id="rId98" w:history="1">
        <w:r>
          <w:rPr>
            <w:rStyle w:val="CharStyle29"/>
            <w:lang w:eastAsia="en-US"/>
          </w:rPr>
          <w:t>and high-pressure environments.</w:t>
        </w:r>
      </w:hyperlink>
      <w:r>
        <w:rPr>
          <w:rStyle w:val="CharStyle29"/>
          <w:lang w:eastAsia="en-US"/>
        </w:rPr>
        <w:t xml:space="preserve"> </w:t>
      </w:r>
      <w:r>
        <w:rPr>
          <w:rStyle w:val="CharStyle29"/>
          <w:rFonts w:ascii="Arial" w:hAnsi="Arial" w:cs="Arial"/>
          <w:i/>
          <w:iCs/>
          <w:sz w:val="12"/>
          <w:szCs w:val="12"/>
          <w:lang w:eastAsia="en-US"/>
        </w:rPr>
        <w:t>Nat. Commun.</w:t>
      </w:r>
      <w:r>
        <w:rPr>
          <w:rStyle w:val="CharStyle29"/>
          <w:rFonts w:ascii="Arial" w:hAnsi="Arial" w:cs="Arial"/>
          <w:sz w:val="12"/>
          <w:szCs w:val="12"/>
          <w:lang w:eastAsia="en-US"/>
        </w:rPr>
        <w:t xml:space="preserve"> 2020</w:t>
      </w:r>
      <w:r>
        <w:rPr>
          <w:rStyle w:val="CharStyle29"/>
          <w:lang w:eastAsia="en-US"/>
        </w:rPr>
        <w:t xml:space="preserve">, </w:t>
      </w:r>
      <w:r>
        <w:rPr>
          <w:rStyle w:val="CharStyle29"/>
          <w:rFonts w:ascii="Arial" w:hAnsi="Arial" w:cs="Arial"/>
          <w:i/>
          <w:iCs/>
          <w:sz w:val="12"/>
          <w:szCs w:val="12"/>
          <w:lang w:eastAsia="en-US"/>
        </w:rPr>
        <w:t>11</w:t>
      </w:r>
      <w:r>
        <w:rPr>
          <w:rStyle w:val="CharStyle29"/>
          <w:lang w:eastAsia="en-US"/>
        </w:rPr>
        <w:t xml:space="preserve"> (1), 4658.</w:t>
      </w:r>
    </w:p>
    <w:p w14:paraId="1FE96EC6" w14:textId="77777777" w:rsidR="00B14B05" w:rsidRDefault="00B14B05">
      <w:pPr>
        <w:pStyle w:val="Style28"/>
        <w:numPr>
          <w:ilvl w:val="0"/>
          <w:numId w:val="3"/>
        </w:numPr>
        <w:tabs>
          <w:tab w:val="left" w:pos="519"/>
        </w:tabs>
        <w:spacing w:line="302" w:lineRule="auto"/>
        <w:jc w:val="both"/>
        <w:rPr>
          <w:sz w:val="24"/>
          <w:szCs w:val="24"/>
        </w:rPr>
      </w:pPr>
      <w:r>
        <w:rPr>
          <w:rStyle w:val="CharStyle29"/>
          <w:lang w:eastAsia="en-US"/>
        </w:rPr>
        <w:t>Zhang, X.-H.; Liu, J.; Liu, J.; Yang, G.; Xue, C.-X.; Curson, A. R. J.; Todd, J. D.</w:t>
      </w:r>
      <w:hyperlink r:id="rId99" w:history="1">
        <w:r>
          <w:rPr>
            <w:rStyle w:val="CharStyle29"/>
            <w:lang w:eastAsia="en-US"/>
          </w:rPr>
          <w:t xml:space="preserve"> Biogenic production of DMSP and its degradation to</w:t>
        </w:r>
      </w:hyperlink>
      <w:r>
        <w:rPr>
          <w:rStyle w:val="CharStyle29"/>
          <w:lang w:eastAsia="en-US"/>
        </w:rPr>
        <w:t xml:space="preserve"> </w:t>
      </w:r>
      <w:hyperlink r:id="rId100" w:history="1">
        <w:r>
          <w:rPr>
            <w:rStyle w:val="CharStyle29"/>
            <w:lang w:eastAsia="en-US"/>
          </w:rPr>
          <w:t>DMS-their roles in the global sulfur cycle.</w:t>
        </w:r>
      </w:hyperlink>
      <w:r>
        <w:rPr>
          <w:rStyle w:val="CharStyle29"/>
          <w:lang w:eastAsia="en-US"/>
        </w:rPr>
        <w:t xml:space="preserve"> </w:t>
      </w:r>
      <w:r>
        <w:rPr>
          <w:rStyle w:val="CharStyle29"/>
          <w:rFonts w:ascii="Arial" w:hAnsi="Arial" w:cs="Arial"/>
          <w:i/>
          <w:iCs/>
          <w:sz w:val="12"/>
          <w:szCs w:val="12"/>
          <w:lang w:eastAsia="en-US"/>
        </w:rPr>
        <w:t>Sci. China Life Sci.</w:t>
      </w:r>
      <w:r>
        <w:rPr>
          <w:rStyle w:val="CharStyle29"/>
          <w:rFonts w:ascii="Arial" w:hAnsi="Arial" w:cs="Arial"/>
          <w:sz w:val="12"/>
          <w:szCs w:val="12"/>
          <w:lang w:eastAsia="en-US"/>
        </w:rPr>
        <w:t xml:space="preserve"> 2019</w:t>
      </w:r>
      <w:r>
        <w:rPr>
          <w:rStyle w:val="CharStyle29"/>
          <w:lang w:eastAsia="en-US"/>
        </w:rPr>
        <w:t xml:space="preserve">, </w:t>
      </w:r>
      <w:r>
        <w:rPr>
          <w:rStyle w:val="CharStyle29"/>
          <w:rFonts w:ascii="Arial" w:hAnsi="Arial" w:cs="Arial"/>
          <w:i/>
          <w:iCs/>
          <w:sz w:val="12"/>
          <w:szCs w:val="12"/>
          <w:lang w:eastAsia="en-US"/>
        </w:rPr>
        <w:t xml:space="preserve">62 </w:t>
      </w:r>
      <w:r>
        <w:rPr>
          <w:rStyle w:val="CharStyle29"/>
          <w:lang w:eastAsia="en-US"/>
        </w:rPr>
        <w:t>(10), 1296</w:t>
      </w:r>
      <w:r>
        <w:rPr>
          <w:rStyle w:val="CharStyle29"/>
          <w:rFonts w:ascii="Arial" w:hAnsi="Arial" w:cs="Arial"/>
          <w:sz w:val="15"/>
          <w:szCs w:val="15"/>
          <w:lang w:eastAsia="en-US"/>
        </w:rPr>
        <w:t>-</w:t>
      </w:r>
      <w:r>
        <w:rPr>
          <w:rStyle w:val="CharStyle29"/>
          <w:lang w:eastAsia="en-US"/>
        </w:rPr>
        <w:t>1319.</w:t>
      </w:r>
    </w:p>
    <w:p w14:paraId="594B5840" w14:textId="77777777" w:rsidR="00B14B05" w:rsidRDefault="00B14B05">
      <w:pPr>
        <w:pStyle w:val="Style28"/>
        <w:numPr>
          <w:ilvl w:val="0"/>
          <w:numId w:val="3"/>
        </w:numPr>
        <w:tabs>
          <w:tab w:val="left" w:pos="519"/>
        </w:tabs>
        <w:spacing w:line="302" w:lineRule="auto"/>
        <w:jc w:val="both"/>
        <w:rPr>
          <w:sz w:val="24"/>
          <w:szCs w:val="24"/>
        </w:rPr>
      </w:pPr>
      <w:r>
        <w:rPr>
          <w:rStyle w:val="CharStyle29"/>
          <w:lang w:eastAsia="en-US"/>
        </w:rPr>
        <w:t xml:space="preserve">Todd, J. D.; Rogers, R.; Li, Y. G.; Wexler, M.; Bond, P. L.; Sun, L.; Curson, A. R. J.; Malin, G.; Steinke, M.; Johnston, A. W. B. </w:t>
      </w:r>
      <w:hyperlink r:id="rId101" w:history="1">
        <w:r>
          <w:rPr>
            <w:rStyle w:val="CharStyle29"/>
            <w:lang w:eastAsia="en-US"/>
          </w:rPr>
          <w:t>Structural and regulatory genes required to make the gas dimethyl</w:t>
        </w:r>
      </w:hyperlink>
      <w:r>
        <w:rPr>
          <w:rStyle w:val="CharStyle29"/>
          <w:lang w:eastAsia="en-US"/>
        </w:rPr>
        <w:t xml:space="preserve"> </w:t>
      </w:r>
      <w:hyperlink r:id="rId102" w:history="1">
        <w:r>
          <w:rPr>
            <w:rStyle w:val="CharStyle29"/>
            <w:lang w:eastAsia="en-US"/>
          </w:rPr>
          <w:t xml:space="preserve">sulfide in bacteria. </w:t>
        </w:r>
      </w:hyperlink>
      <w:r>
        <w:rPr>
          <w:rStyle w:val="CharStyle29"/>
          <w:rFonts w:ascii="Arial" w:hAnsi="Arial" w:cs="Arial"/>
          <w:i/>
          <w:iCs/>
          <w:sz w:val="12"/>
          <w:szCs w:val="12"/>
          <w:lang w:eastAsia="en-US"/>
        </w:rPr>
        <w:t>Science</w:t>
      </w:r>
      <w:r>
        <w:rPr>
          <w:rStyle w:val="CharStyle29"/>
          <w:rFonts w:ascii="Arial" w:hAnsi="Arial" w:cs="Arial"/>
          <w:sz w:val="12"/>
          <w:szCs w:val="12"/>
          <w:lang w:eastAsia="en-US"/>
        </w:rPr>
        <w:t xml:space="preserve"> 2007</w:t>
      </w:r>
      <w:r>
        <w:rPr>
          <w:rStyle w:val="CharStyle29"/>
          <w:lang w:eastAsia="en-US"/>
        </w:rPr>
        <w:t xml:space="preserve">, </w:t>
      </w:r>
      <w:r>
        <w:rPr>
          <w:rStyle w:val="CharStyle29"/>
          <w:rFonts w:ascii="Arial" w:hAnsi="Arial" w:cs="Arial"/>
          <w:i/>
          <w:iCs/>
          <w:sz w:val="12"/>
          <w:szCs w:val="12"/>
          <w:lang w:eastAsia="en-US"/>
        </w:rPr>
        <w:t>315</w:t>
      </w:r>
      <w:r>
        <w:rPr>
          <w:rStyle w:val="CharStyle29"/>
          <w:lang w:eastAsia="en-US"/>
        </w:rPr>
        <w:t xml:space="preserve"> (5812), 666</w:t>
      </w:r>
      <w:r>
        <w:rPr>
          <w:rStyle w:val="CharStyle29"/>
          <w:rFonts w:ascii="Arial" w:hAnsi="Arial" w:cs="Arial"/>
          <w:sz w:val="15"/>
          <w:szCs w:val="15"/>
          <w:lang w:eastAsia="en-US"/>
        </w:rPr>
        <w:t>-</w:t>
      </w:r>
      <w:r>
        <w:rPr>
          <w:rStyle w:val="CharStyle29"/>
          <w:lang w:eastAsia="en-US"/>
        </w:rPr>
        <w:t>669.</w:t>
      </w:r>
    </w:p>
    <w:p w14:paraId="3A85838A" w14:textId="77777777" w:rsidR="00B14B05" w:rsidRDefault="00B14B05">
      <w:pPr>
        <w:pStyle w:val="Style28"/>
        <w:numPr>
          <w:ilvl w:val="0"/>
          <w:numId w:val="3"/>
        </w:numPr>
        <w:tabs>
          <w:tab w:val="left" w:pos="529"/>
        </w:tabs>
        <w:spacing w:line="310" w:lineRule="auto"/>
        <w:jc w:val="both"/>
        <w:rPr>
          <w:sz w:val="24"/>
          <w:szCs w:val="24"/>
        </w:rPr>
      </w:pPr>
      <w:r>
        <w:rPr>
          <w:rStyle w:val="CharStyle29"/>
          <w:lang w:eastAsia="en-US"/>
        </w:rPr>
        <w:t>Curson, A. R.; Rogers, R.; Todd, J. D.; Brearley, C. A.; Johnston, A. W.</w:t>
      </w:r>
      <w:hyperlink r:id="rId103" w:history="1">
        <w:r>
          <w:rPr>
            <w:rStyle w:val="CharStyle29"/>
            <w:lang w:eastAsia="en-US"/>
          </w:rPr>
          <w:t xml:space="preserve"> Molecular genetic analysis of a dimethylsulfoniopro</w:t>
        </w:r>
        <w:r>
          <w:rPr>
            <w:rStyle w:val="CharStyle29"/>
            <w:lang w:eastAsia="en-US"/>
          </w:rPr>
          <w:softHyphen/>
        </w:r>
      </w:hyperlink>
      <w:hyperlink r:id="rId104" w:history="1">
        <w:r>
          <w:rPr>
            <w:rStyle w:val="CharStyle29"/>
            <w:lang w:eastAsia="en-US"/>
          </w:rPr>
          <w:t>pionate lyase that liberates the climate-changing gas dimethylsulfide in</w:t>
        </w:r>
      </w:hyperlink>
      <w:r>
        <w:rPr>
          <w:rStyle w:val="CharStyle29"/>
          <w:lang w:eastAsia="en-US"/>
        </w:rPr>
        <w:t xml:space="preserve"> </w:t>
      </w:r>
      <w:hyperlink r:id="rId105" w:history="1">
        <w:r>
          <w:rPr>
            <w:rStyle w:val="CharStyle29"/>
            <w:lang w:eastAsia="en-US"/>
          </w:rPr>
          <w:t>several marine alpha-proteobacteria and Rhodobacter sphaeroides.</w:t>
        </w:r>
      </w:hyperlink>
      <w:r>
        <w:rPr>
          <w:rStyle w:val="CharStyle29"/>
          <w:lang w:eastAsia="en-US"/>
        </w:rPr>
        <w:t xml:space="preserve"> </w:t>
      </w:r>
      <w:r>
        <w:rPr>
          <w:rStyle w:val="CharStyle29"/>
          <w:rFonts w:ascii="Arial" w:hAnsi="Arial" w:cs="Arial"/>
          <w:i/>
          <w:iCs/>
          <w:sz w:val="12"/>
          <w:szCs w:val="12"/>
          <w:lang w:eastAsia="en-US"/>
        </w:rPr>
        <w:t>Environ. Microbiol.</w:t>
      </w:r>
      <w:r>
        <w:rPr>
          <w:rStyle w:val="CharStyle29"/>
          <w:rFonts w:ascii="Arial" w:hAnsi="Arial" w:cs="Arial"/>
          <w:sz w:val="12"/>
          <w:szCs w:val="12"/>
          <w:lang w:eastAsia="en-US"/>
        </w:rPr>
        <w:t xml:space="preserve"> 2008</w:t>
      </w:r>
      <w:r>
        <w:rPr>
          <w:rStyle w:val="CharStyle29"/>
          <w:lang w:eastAsia="en-US"/>
        </w:rPr>
        <w:t xml:space="preserve">, </w:t>
      </w:r>
      <w:r>
        <w:rPr>
          <w:rStyle w:val="CharStyle29"/>
          <w:rFonts w:ascii="Arial" w:hAnsi="Arial" w:cs="Arial"/>
          <w:i/>
          <w:iCs/>
          <w:sz w:val="12"/>
          <w:szCs w:val="12"/>
          <w:lang w:eastAsia="en-US"/>
        </w:rPr>
        <w:t>10</w:t>
      </w:r>
      <w:r>
        <w:rPr>
          <w:rStyle w:val="CharStyle29"/>
          <w:lang w:eastAsia="en-US"/>
        </w:rPr>
        <w:t xml:space="preserve"> (3), 757</w:t>
      </w:r>
      <w:r>
        <w:rPr>
          <w:rStyle w:val="CharStyle29"/>
          <w:rFonts w:ascii="Arial" w:hAnsi="Arial" w:cs="Arial"/>
          <w:sz w:val="15"/>
          <w:szCs w:val="15"/>
          <w:lang w:eastAsia="en-US"/>
        </w:rPr>
        <w:t>-</w:t>
      </w:r>
      <w:r>
        <w:rPr>
          <w:rStyle w:val="CharStyle29"/>
          <w:lang w:eastAsia="en-US"/>
        </w:rPr>
        <w:t>767.</w:t>
      </w:r>
    </w:p>
    <w:p w14:paraId="2F141B60" w14:textId="77777777" w:rsidR="00B14B05" w:rsidRDefault="00B14B05">
      <w:pPr>
        <w:pStyle w:val="Style28"/>
        <w:numPr>
          <w:ilvl w:val="0"/>
          <w:numId w:val="3"/>
        </w:numPr>
        <w:tabs>
          <w:tab w:val="left" w:pos="529"/>
        </w:tabs>
        <w:spacing w:line="302" w:lineRule="auto"/>
        <w:jc w:val="both"/>
        <w:rPr>
          <w:sz w:val="24"/>
          <w:szCs w:val="24"/>
        </w:rPr>
      </w:pPr>
      <w:r>
        <w:rPr>
          <w:rStyle w:val="CharStyle29"/>
          <w:lang w:eastAsia="en-US"/>
        </w:rPr>
        <w:t>Todd, J. D.; Curson, A. R. J.; Dupont, C. L.; Nicholson, P.; Johnston, A. W. B.</w:t>
      </w:r>
      <w:hyperlink r:id="rId106" w:history="1">
        <w:r>
          <w:rPr>
            <w:rStyle w:val="CharStyle29"/>
            <w:lang w:eastAsia="en-US"/>
          </w:rPr>
          <w:t xml:space="preserve"> The dddP gene, encoding a novel enzyme that</w:t>
        </w:r>
      </w:hyperlink>
      <w:r>
        <w:rPr>
          <w:rStyle w:val="CharStyle29"/>
          <w:lang w:eastAsia="en-US"/>
        </w:rPr>
        <w:t xml:space="preserve"> </w:t>
      </w:r>
      <w:hyperlink r:id="rId107" w:history="1">
        <w:r>
          <w:rPr>
            <w:rStyle w:val="CharStyle29"/>
            <w:lang w:eastAsia="en-US"/>
          </w:rPr>
          <w:t>converts dimethylsulfoniopropionate into dimethyl sulfide, is wide</w:t>
        </w:r>
        <w:r>
          <w:rPr>
            <w:rStyle w:val="CharStyle29"/>
            <w:lang w:eastAsia="en-US"/>
          </w:rPr>
          <w:softHyphen/>
        </w:r>
      </w:hyperlink>
      <w:hyperlink r:id="rId108" w:history="1">
        <w:r>
          <w:rPr>
            <w:rStyle w:val="CharStyle29"/>
            <w:lang w:eastAsia="en-US"/>
          </w:rPr>
          <w:t>spread in ocean metagenomes and marine bacteria and also occurs in</w:t>
        </w:r>
      </w:hyperlink>
      <w:r>
        <w:rPr>
          <w:rStyle w:val="CharStyle29"/>
          <w:lang w:eastAsia="en-US"/>
        </w:rPr>
        <w:t xml:space="preserve"> </w:t>
      </w:r>
      <w:hyperlink r:id="rId109" w:history="1">
        <w:r>
          <w:rPr>
            <w:rStyle w:val="CharStyle29"/>
            <w:lang w:eastAsia="en-US"/>
          </w:rPr>
          <w:t xml:space="preserve">some Ascomycete fungi. </w:t>
        </w:r>
      </w:hyperlink>
      <w:r>
        <w:rPr>
          <w:rStyle w:val="CharStyle29"/>
          <w:rFonts w:ascii="Arial" w:hAnsi="Arial" w:cs="Arial"/>
          <w:i/>
          <w:iCs/>
          <w:sz w:val="12"/>
          <w:szCs w:val="12"/>
          <w:lang w:eastAsia="en-US"/>
        </w:rPr>
        <w:t>Environ. Microbiol.</w:t>
      </w:r>
      <w:r>
        <w:rPr>
          <w:rStyle w:val="CharStyle29"/>
          <w:rFonts w:ascii="Arial" w:hAnsi="Arial" w:cs="Arial"/>
          <w:sz w:val="12"/>
          <w:szCs w:val="12"/>
          <w:lang w:eastAsia="en-US"/>
        </w:rPr>
        <w:t xml:space="preserve"> 2009</w:t>
      </w:r>
      <w:r>
        <w:rPr>
          <w:rStyle w:val="CharStyle29"/>
          <w:lang w:eastAsia="en-US"/>
        </w:rPr>
        <w:t xml:space="preserve">, </w:t>
      </w:r>
      <w:r>
        <w:rPr>
          <w:rStyle w:val="CharStyle29"/>
          <w:rFonts w:ascii="Arial" w:hAnsi="Arial" w:cs="Arial"/>
          <w:i/>
          <w:iCs/>
          <w:sz w:val="12"/>
          <w:szCs w:val="12"/>
          <w:lang w:eastAsia="en-US"/>
        </w:rPr>
        <w:t>11</w:t>
      </w:r>
      <w:r>
        <w:rPr>
          <w:rStyle w:val="CharStyle29"/>
          <w:lang w:eastAsia="en-US"/>
        </w:rPr>
        <w:t xml:space="preserve"> (6), 1376</w:t>
      </w:r>
      <w:r>
        <w:rPr>
          <w:rStyle w:val="CharStyle29"/>
          <w:rFonts w:ascii="Arial" w:hAnsi="Arial" w:cs="Arial"/>
          <w:sz w:val="15"/>
          <w:szCs w:val="15"/>
          <w:lang w:eastAsia="en-US"/>
        </w:rPr>
        <w:t>-</w:t>
      </w:r>
      <w:r>
        <w:rPr>
          <w:rStyle w:val="CharStyle29"/>
          <w:lang w:eastAsia="en-US"/>
        </w:rPr>
        <w:t>1385.</w:t>
      </w:r>
    </w:p>
    <w:p w14:paraId="316B0E56" w14:textId="77777777" w:rsidR="00B14B05" w:rsidRDefault="00B14B05">
      <w:pPr>
        <w:pStyle w:val="Style28"/>
        <w:numPr>
          <w:ilvl w:val="0"/>
          <w:numId w:val="3"/>
        </w:numPr>
        <w:tabs>
          <w:tab w:val="left" w:pos="519"/>
        </w:tabs>
        <w:spacing w:line="302" w:lineRule="auto"/>
        <w:jc w:val="both"/>
        <w:rPr>
          <w:sz w:val="24"/>
          <w:szCs w:val="24"/>
        </w:rPr>
      </w:pPr>
      <w:r>
        <w:rPr>
          <w:rStyle w:val="CharStyle29"/>
          <w:lang w:eastAsia="en-US"/>
        </w:rPr>
        <w:t xml:space="preserve">Curson, A. R. J.; Sullivan, M. J.; Todd, J. D.; Johnston, A. W. B. </w:t>
      </w:r>
      <w:hyperlink r:id="rId110" w:history="1">
        <w:r>
          <w:rPr>
            <w:rStyle w:val="CharStyle29"/>
            <w:lang w:eastAsia="en-US"/>
          </w:rPr>
          <w:t>DddY, a periplasmic dimethylsulfoniopropionate lyase found in</w:t>
        </w:r>
      </w:hyperlink>
      <w:r>
        <w:rPr>
          <w:rStyle w:val="CharStyle29"/>
          <w:lang w:eastAsia="en-US"/>
        </w:rPr>
        <w:t xml:space="preserve"> </w:t>
      </w:r>
      <w:hyperlink r:id="rId111" w:history="1">
        <w:r>
          <w:rPr>
            <w:rStyle w:val="CharStyle29"/>
            <w:lang w:eastAsia="en-US"/>
          </w:rPr>
          <w:t xml:space="preserve">taxonomically diverse species of Proteobacteria. </w:t>
        </w:r>
      </w:hyperlink>
      <w:r>
        <w:rPr>
          <w:rStyle w:val="CharStyle29"/>
          <w:rFonts w:ascii="Arial" w:hAnsi="Arial" w:cs="Arial"/>
          <w:i/>
          <w:iCs/>
          <w:sz w:val="12"/>
          <w:szCs w:val="12"/>
          <w:lang w:eastAsia="en-US"/>
        </w:rPr>
        <w:t>ISME J.</w:t>
      </w:r>
      <w:r>
        <w:rPr>
          <w:rStyle w:val="CharStyle29"/>
          <w:rFonts w:ascii="Arial" w:hAnsi="Arial" w:cs="Arial"/>
          <w:sz w:val="12"/>
          <w:szCs w:val="12"/>
          <w:lang w:eastAsia="en-US"/>
        </w:rPr>
        <w:t xml:space="preserve"> 2011</w:t>
      </w:r>
      <w:r>
        <w:rPr>
          <w:rStyle w:val="CharStyle29"/>
          <w:lang w:eastAsia="en-US"/>
        </w:rPr>
        <w:t xml:space="preserve">, </w:t>
      </w:r>
      <w:r>
        <w:rPr>
          <w:rStyle w:val="CharStyle29"/>
          <w:rFonts w:ascii="Arial" w:hAnsi="Arial" w:cs="Arial"/>
          <w:i/>
          <w:iCs/>
          <w:sz w:val="12"/>
          <w:szCs w:val="12"/>
          <w:lang w:eastAsia="en-US"/>
        </w:rPr>
        <w:t xml:space="preserve">5 </w:t>
      </w:r>
      <w:r>
        <w:rPr>
          <w:rStyle w:val="CharStyle29"/>
          <w:lang w:eastAsia="en-US"/>
        </w:rPr>
        <w:t>(7), 1191</w:t>
      </w:r>
      <w:r>
        <w:rPr>
          <w:rStyle w:val="CharStyle29"/>
          <w:rFonts w:ascii="Arial" w:hAnsi="Arial" w:cs="Arial"/>
          <w:sz w:val="15"/>
          <w:szCs w:val="15"/>
          <w:lang w:eastAsia="en-US"/>
        </w:rPr>
        <w:t>-</w:t>
      </w:r>
      <w:r>
        <w:rPr>
          <w:rStyle w:val="CharStyle29"/>
          <w:lang w:eastAsia="en-US"/>
        </w:rPr>
        <w:t>1200.</w:t>
      </w:r>
    </w:p>
    <w:p w14:paraId="7311D8A0" w14:textId="77777777" w:rsidR="00B14B05" w:rsidRDefault="00B14B05">
      <w:pPr>
        <w:pStyle w:val="Style28"/>
        <w:numPr>
          <w:ilvl w:val="0"/>
          <w:numId w:val="3"/>
        </w:numPr>
        <w:tabs>
          <w:tab w:val="left" w:pos="519"/>
        </w:tabs>
        <w:spacing w:line="298" w:lineRule="auto"/>
        <w:jc w:val="both"/>
        <w:rPr>
          <w:sz w:val="24"/>
          <w:szCs w:val="24"/>
        </w:rPr>
      </w:pPr>
      <w:r>
        <w:rPr>
          <w:rStyle w:val="CharStyle29"/>
          <w:lang w:eastAsia="en-US"/>
        </w:rPr>
        <w:t>Todd, J. D.; Curson, A. R. J.; Kirkwood, M.; Sullivan, M. J.; Green, R. T.; Johnston, A. W. B.</w:t>
      </w:r>
      <w:hyperlink r:id="rId112" w:history="1">
        <w:r>
          <w:rPr>
            <w:rStyle w:val="CharStyle29"/>
            <w:lang w:eastAsia="en-US"/>
          </w:rPr>
          <w:t xml:space="preserve"> DddQ, a novel, cupin-containing,</w:t>
        </w:r>
      </w:hyperlink>
      <w:r>
        <w:rPr>
          <w:rStyle w:val="CharStyle29"/>
          <w:lang w:eastAsia="en-US"/>
        </w:rPr>
        <w:t xml:space="preserve"> </w:t>
      </w:r>
      <w:hyperlink r:id="rId113" w:history="1">
        <w:r>
          <w:rPr>
            <w:rStyle w:val="CharStyle29"/>
            <w:lang w:eastAsia="en-US"/>
          </w:rPr>
          <w:t>dimethylsulfoniopropionate lyase in marine roseobacters and in</w:t>
        </w:r>
      </w:hyperlink>
      <w:r>
        <w:rPr>
          <w:rStyle w:val="CharStyle29"/>
          <w:lang w:eastAsia="en-US"/>
        </w:rPr>
        <w:t xml:space="preserve"> </w:t>
      </w:r>
      <w:hyperlink r:id="rId114" w:history="1">
        <w:r>
          <w:rPr>
            <w:rStyle w:val="CharStyle29"/>
            <w:lang w:eastAsia="en-US"/>
          </w:rPr>
          <w:t>uncultured marine bacteria.</w:t>
        </w:r>
      </w:hyperlink>
      <w:r>
        <w:rPr>
          <w:rStyle w:val="CharStyle29"/>
          <w:lang w:eastAsia="en-US"/>
        </w:rPr>
        <w:t xml:space="preserve"> </w:t>
      </w:r>
      <w:r>
        <w:rPr>
          <w:rStyle w:val="CharStyle29"/>
          <w:rFonts w:ascii="Arial" w:hAnsi="Arial" w:cs="Arial"/>
          <w:i/>
          <w:iCs/>
          <w:sz w:val="12"/>
          <w:szCs w:val="12"/>
          <w:lang w:eastAsia="en-US"/>
        </w:rPr>
        <w:t>Environ. Microbiol.</w:t>
      </w:r>
      <w:r>
        <w:rPr>
          <w:rStyle w:val="CharStyle29"/>
          <w:rFonts w:ascii="Arial" w:hAnsi="Arial" w:cs="Arial"/>
          <w:sz w:val="12"/>
          <w:szCs w:val="12"/>
          <w:lang w:eastAsia="en-US"/>
        </w:rPr>
        <w:t xml:space="preserve"> 2011</w:t>
      </w:r>
      <w:r>
        <w:rPr>
          <w:rStyle w:val="CharStyle29"/>
          <w:lang w:eastAsia="en-US"/>
        </w:rPr>
        <w:t xml:space="preserve">, </w:t>
      </w:r>
      <w:r>
        <w:rPr>
          <w:rStyle w:val="CharStyle29"/>
          <w:rFonts w:ascii="Arial" w:hAnsi="Arial" w:cs="Arial"/>
          <w:i/>
          <w:iCs/>
          <w:sz w:val="12"/>
          <w:szCs w:val="12"/>
          <w:lang w:eastAsia="en-US"/>
        </w:rPr>
        <w:t>13</w:t>
      </w:r>
      <w:r>
        <w:rPr>
          <w:rStyle w:val="CharStyle29"/>
          <w:lang w:eastAsia="en-US"/>
        </w:rPr>
        <w:t xml:space="preserve"> (2), 427</w:t>
      </w:r>
      <w:r>
        <w:rPr>
          <w:rStyle w:val="CharStyle29"/>
          <w:rFonts w:ascii="Arial" w:hAnsi="Arial" w:cs="Arial"/>
          <w:sz w:val="15"/>
          <w:szCs w:val="15"/>
          <w:lang w:eastAsia="en-US"/>
        </w:rPr>
        <w:softHyphen/>
      </w:r>
      <w:r>
        <w:rPr>
          <w:rStyle w:val="CharStyle29"/>
          <w:lang w:eastAsia="en-US"/>
        </w:rPr>
        <w:t>438.</w:t>
      </w:r>
    </w:p>
    <w:p w14:paraId="0EB054BC" w14:textId="77777777" w:rsidR="00B14B05" w:rsidRDefault="00B14B05">
      <w:pPr>
        <w:pStyle w:val="Style28"/>
        <w:numPr>
          <w:ilvl w:val="0"/>
          <w:numId w:val="3"/>
        </w:numPr>
        <w:tabs>
          <w:tab w:val="left" w:pos="524"/>
        </w:tabs>
        <w:spacing w:line="302" w:lineRule="auto"/>
        <w:jc w:val="both"/>
        <w:rPr>
          <w:sz w:val="24"/>
          <w:szCs w:val="24"/>
        </w:rPr>
      </w:pPr>
      <w:r>
        <w:rPr>
          <w:rStyle w:val="CharStyle29"/>
          <w:lang w:eastAsia="en-US"/>
        </w:rPr>
        <w:t>Todd, J. D.; Kirkwood, M.; Newton-Payne, S.; Johnston, A. W. B.</w:t>
      </w:r>
      <w:hyperlink r:id="rId115" w:history="1">
        <w:r>
          <w:rPr>
            <w:rStyle w:val="CharStyle29"/>
            <w:lang w:eastAsia="en-US"/>
          </w:rPr>
          <w:t xml:space="preserve"> DddW, a third DMSP lyase in a model Roseobacter marine</w:t>
        </w:r>
      </w:hyperlink>
      <w:r>
        <w:rPr>
          <w:rStyle w:val="CharStyle29"/>
          <w:lang w:eastAsia="en-US"/>
        </w:rPr>
        <w:t xml:space="preserve"> </w:t>
      </w:r>
      <w:hyperlink r:id="rId116" w:history="1">
        <w:r>
          <w:rPr>
            <w:rStyle w:val="CharStyle29"/>
            <w:lang w:eastAsia="en-US"/>
          </w:rPr>
          <w:t xml:space="preserve">bacterium, Ruegeria pomeroyi DSS-3. </w:t>
        </w:r>
      </w:hyperlink>
      <w:r>
        <w:rPr>
          <w:rStyle w:val="CharStyle29"/>
          <w:rFonts w:ascii="Arial" w:hAnsi="Arial" w:cs="Arial"/>
          <w:i/>
          <w:iCs/>
          <w:sz w:val="12"/>
          <w:szCs w:val="12"/>
          <w:lang w:eastAsia="en-US"/>
        </w:rPr>
        <w:t>ISME J.</w:t>
      </w:r>
      <w:r>
        <w:rPr>
          <w:rStyle w:val="CharStyle29"/>
          <w:rFonts w:ascii="Arial" w:hAnsi="Arial" w:cs="Arial"/>
          <w:sz w:val="12"/>
          <w:szCs w:val="12"/>
          <w:lang w:eastAsia="en-US"/>
        </w:rPr>
        <w:t xml:space="preserve"> 2012</w:t>
      </w:r>
      <w:r>
        <w:rPr>
          <w:rStyle w:val="CharStyle29"/>
          <w:lang w:eastAsia="en-US"/>
        </w:rPr>
        <w:t xml:space="preserve">, </w:t>
      </w:r>
      <w:r>
        <w:rPr>
          <w:rStyle w:val="CharStyle29"/>
          <w:rFonts w:ascii="Arial" w:hAnsi="Arial" w:cs="Arial"/>
          <w:i/>
          <w:iCs/>
          <w:sz w:val="12"/>
          <w:szCs w:val="12"/>
          <w:lang w:eastAsia="en-US"/>
        </w:rPr>
        <w:t>6</w:t>
      </w:r>
      <w:r>
        <w:rPr>
          <w:rStyle w:val="CharStyle29"/>
          <w:lang w:eastAsia="en-US"/>
        </w:rPr>
        <w:t xml:space="preserve"> (1), 223</w:t>
      </w:r>
      <w:r>
        <w:rPr>
          <w:rStyle w:val="CharStyle29"/>
          <w:rFonts w:ascii="Arial" w:hAnsi="Arial" w:cs="Arial"/>
          <w:sz w:val="15"/>
          <w:szCs w:val="15"/>
          <w:lang w:eastAsia="en-US"/>
        </w:rPr>
        <w:t>-</w:t>
      </w:r>
      <w:r>
        <w:rPr>
          <w:rStyle w:val="CharStyle29"/>
          <w:lang w:eastAsia="en-US"/>
        </w:rPr>
        <w:t>226. (20)</w:t>
      </w:r>
      <w:r>
        <w:rPr>
          <w:rStyle w:val="CharStyle29"/>
          <w:lang w:eastAsia="en-US"/>
        </w:rPr>
        <w:tab/>
        <w:t>Sun, J.; Todd, J. D.; Thrash</w:t>
      </w:r>
      <w:r>
        <w:rPr>
          <w:rStyle w:val="CharStyle29"/>
          <w:lang w:eastAsia="en-US"/>
        </w:rPr>
        <w:t>, J. C.; Qian, Y.; Qian, M. C.; Temperton, B.; Guo, J.; Fowler, E. K.; Aldrich, J. T.; Nicora, C. D.; et al.</w:t>
      </w:r>
      <w:hyperlink r:id="rId117" w:history="1">
        <w:r>
          <w:rPr>
            <w:rStyle w:val="CharStyle29"/>
            <w:lang w:eastAsia="en-US"/>
          </w:rPr>
          <w:t xml:space="preserve"> The abundant marine bacterium Pelagibacter simultaneously</w:t>
        </w:r>
      </w:hyperlink>
      <w:r>
        <w:rPr>
          <w:rStyle w:val="CharStyle29"/>
          <w:lang w:eastAsia="en-US"/>
        </w:rPr>
        <w:t xml:space="preserve"> </w:t>
      </w:r>
      <w:hyperlink r:id="rId118" w:history="1">
        <w:r>
          <w:rPr>
            <w:rStyle w:val="CharStyle29"/>
            <w:lang w:eastAsia="en-US"/>
          </w:rPr>
          <w:t>catabolizes dimethylsulfoniopropionate to the gases dimethyl sulfide</w:t>
        </w:r>
      </w:hyperlink>
      <w:r>
        <w:rPr>
          <w:rStyle w:val="CharStyle29"/>
          <w:lang w:eastAsia="en-US"/>
        </w:rPr>
        <w:t xml:space="preserve"> </w:t>
      </w:r>
      <w:hyperlink r:id="rId119" w:history="1">
        <w:r>
          <w:rPr>
            <w:rStyle w:val="CharStyle29"/>
            <w:lang w:eastAsia="en-US"/>
          </w:rPr>
          <w:t xml:space="preserve">and methanethiol. </w:t>
        </w:r>
      </w:hyperlink>
      <w:r>
        <w:rPr>
          <w:rStyle w:val="CharStyle29"/>
          <w:rFonts w:ascii="Arial" w:hAnsi="Arial" w:cs="Arial"/>
          <w:i/>
          <w:iCs/>
          <w:sz w:val="12"/>
          <w:szCs w:val="12"/>
          <w:lang w:eastAsia="en-US"/>
        </w:rPr>
        <w:t xml:space="preserve">Nat. </w:t>
      </w:r>
      <w:r>
        <w:rPr>
          <w:rStyle w:val="CharStyle29"/>
          <w:rFonts w:ascii="Arial" w:hAnsi="Arial" w:cs="Arial"/>
          <w:i/>
          <w:iCs/>
          <w:sz w:val="12"/>
          <w:szCs w:val="12"/>
          <w:lang w:eastAsia="en-US"/>
        </w:rPr>
        <w:t>Microbiol.</w:t>
      </w:r>
      <w:r>
        <w:rPr>
          <w:rStyle w:val="CharStyle29"/>
          <w:rFonts w:ascii="Arial" w:hAnsi="Arial" w:cs="Arial"/>
          <w:sz w:val="12"/>
          <w:szCs w:val="12"/>
          <w:lang w:eastAsia="en-US"/>
        </w:rPr>
        <w:t xml:space="preserve"> 2016</w:t>
      </w:r>
      <w:r>
        <w:rPr>
          <w:rStyle w:val="CharStyle29"/>
          <w:lang w:eastAsia="en-US"/>
        </w:rPr>
        <w:t xml:space="preserve">, </w:t>
      </w:r>
      <w:r>
        <w:rPr>
          <w:rStyle w:val="CharStyle29"/>
          <w:rFonts w:ascii="Arial" w:hAnsi="Arial" w:cs="Arial"/>
          <w:i/>
          <w:iCs/>
          <w:sz w:val="12"/>
          <w:szCs w:val="12"/>
          <w:lang w:eastAsia="en-US"/>
        </w:rPr>
        <w:t>1</w:t>
      </w:r>
      <w:r>
        <w:rPr>
          <w:rStyle w:val="CharStyle29"/>
          <w:lang w:eastAsia="en-US"/>
        </w:rPr>
        <w:t xml:space="preserve"> (8), 16065.</w:t>
      </w:r>
    </w:p>
    <w:p w14:paraId="1DAF6546" w14:textId="77777777" w:rsidR="00B14B05" w:rsidRDefault="00B14B05">
      <w:pPr>
        <w:pStyle w:val="Style28"/>
        <w:numPr>
          <w:ilvl w:val="0"/>
          <w:numId w:val="4"/>
        </w:numPr>
        <w:tabs>
          <w:tab w:val="left" w:pos="519"/>
        </w:tabs>
        <w:spacing w:line="312" w:lineRule="auto"/>
        <w:jc w:val="both"/>
        <w:rPr>
          <w:sz w:val="24"/>
          <w:szCs w:val="24"/>
        </w:rPr>
      </w:pPr>
      <w:r>
        <w:rPr>
          <w:rStyle w:val="CharStyle29"/>
          <w:lang w:eastAsia="en-US"/>
        </w:rPr>
        <w:t>Wang, S. Y.; Zhang, N.; Teng, Z. J.; Wang, X. D.; Todd, J. D.; Zhang, Y. Z.; Cao, H. Y.; Li, C. Y.</w:t>
      </w:r>
      <w:hyperlink r:id="rId120" w:history="1">
        <w:r>
          <w:rPr>
            <w:rStyle w:val="CharStyle29"/>
            <w:lang w:eastAsia="en-US"/>
          </w:rPr>
          <w:t xml:space="preserve"> A new dimethylsulfoniopropionate</w:t>
        </w:r>
      </w:hyperlink>
      <w:r>
        <w:rPr>
          <w:rStyle w:val="CharStyle29"/>
          <w:lang w:eastAsia="en-US"/>
        </w:rPr>
        <w:t xml:space="preserve"> </w:t>
      </w:r>
      <w:hyperlink r:id="rId121" w:history="1">
        <w:r>
          <w:rPr>
            <w:rStyle w:val="CharStyle29"/>
            <w:lang w:eastAsia="en-US"/>
          </w:rPr>
          <w:t xml:space="preserve">lyase of the cupin superfamily in marine bacteria. </w:t>
        </w:r>
      </w:hyperlink>
      <w:r>
        <w:rPr>
          <w:rStyle w:val="CharStyle29"/>
          <w:rFonts w:ascii="Arial" w:hAnsi="Arial" w:cs="Arial"/>
          <w:i/>
          <w:iCs/>
          <w:sz w:val="12"/>
          <w:szCs w:val="12"/>
          <w:lang w:eastAsia="en-US"/>
        </w:rPr>
        <w:t xml:space="preserve">Environ. Microbiol. </w:t>
      </w:r>
      <w:r>
        <w:rPr>
          <w:rStyle w:val="CharStyle29"/>
          <w:rFonts w:ascii="Arial" w:hAnsi="Arial" w:cs="Arial"/>
          <w:sz w:val="12"/>
          <w:szCs w:val="12"/>
          <w:lang w:eastAsia="en-US"/>
        </w:rPr>
        <w:t>2023</w:t>
      </w:r>
      <w:r>
        <w:rPr>
          <w:rStyle w:val="CharStyle29"/>
          <w:lang w:eastAsia="en-US"/>
        </w:rPr>
        <w:t xml:space="preserve">, </w:t>
      </w:r>
      <w:r>
        <w:rPr>
          <w:rStyle w:val="CharStyle29"/>
          <w:rFonts w:ascii="Arial" w:hAnsi="Arial" w:cs="Arial"/>
          <w:i/>
          <w:iCs/>
          <w:sz w:val="12"/>
          <w:szCs w:val="12"/>
          <w:lang w:eastAsia="en-US"/>
        </w:rPr>
        <w:t>25</w:t>
      </w:r>
      <w:r>
        <w:rPr>
          <w:rStyle w:val="CharStyle29"/>
          <w:lang w:eastAsia="en-US"/>
        </w:rPr>
        <w:t>, 1238.</w:t>
      </w:r>
    </w:p>
    <w:p w14:paraId="6CCCF203" w14:textId="77777777" w:rsidR="00B14B05" w:rsidRDefault="00B14B05">
      <w:pPr>
        <w:pStyle w:val="Style28"/>
        <w:numPr>
          <w:ilvl w:val="0"/>
          <w:numId w:val="4"/>
        </w:numPr>
        <w:tabs>
          <w:tab w:val="left" w:pos="519"/>
        </w:tabs>
        <w:spacing w:line="302" w:lineRule="auto"/>
        <w:jc w:val="both"/>
        <w:rPr>
          <w:sz w:val="24"/>
          <w:szCs w:val="24"/>
        </w:rPr>
      </w:pPr>
      <w:r>
        <w:rPr>
          <w:rStyle w:val="CharStyle29"/>
          <w:lang w:eastAsia="en-US"/>
        </w:rPr>
        <w:t>Li, C.-Y.; Wang, X.-J.; Chen, X.-L.; Sheng, Q.; Zhang, S.; Wang, P.; Quareshy, M.; Rihtman, B.; Shao, X.; Gao, C.; et al.</w:t>
      </w:r>
      <w:hyperlink r:id="rId122" w:history="1">
        <w:r>
          <w:rPr>
            <w:rStyle w:val="CharStyle29"/>
            <w:lang w:eastAsia="en-US"/>
          </w:rPr>
          <w:t xml:space="preserve"> A novel ATP</w:t>
        </w:r>
      </w:hyperlink>
      <w:r>
        <w:rPr>
          <w:rStyle w:val="CharStyle29"/>
          <w:lang w:eastAsia="en-US"/>
        </w:rPr>
        <w:t xml:space="preserve"> </w:t>
      </w:r>
      <w:hyperlink r:id="rId123" w:history="1">
        <w:r>
          <w:rPr>
            <w:rStyle w:val="CharStyle29"/>
            <w:lang w:eastAsia="en-US"/>
          </w:rPr>
          <w:t>dependent dimethylsulfoniopropionate lyase in bacteria that releases</w:t>
        </w:r>
      </w:hyperlink>
      <w:r>
        <w:rPr>
          <w:rStyle w:val="CharStyle29"/>
          <w:lang w:eastAsia="en-US"/>
        </w:rPr>
        <w:t xml:space="preserve"> </w:t>
      </w:r>
      <w:hyperlink r:id="rId124" w:history="1">
        <w:r>
          <w:rPr>
            <w:rStyle w:val="CharStyle29"/>
            <w:lang w:eastAsia="en-US"/>
          </w:rPr>
          <w:t>dimethyl sulfide and acryloyl-CoA.</w:t>
        </w:r>
      </w:hyperlink>
      <w:r>
        <w:rPr>
          <w:rStyle w:val="CharStyle29"/>
          <w:lang w:eastAsia="en-US"/>
        </w:rPr>
        <w:t xml:space="preserve"> </w:t>
      </w:r>
      <w:r>
        <w:rPr>
          <w:rStyle w:val="CharStyle29"/>
          <w:rFonts w:ascii="Arial" w:hAnsi="Arial" w:cs="Arial"/>
          <w:i/>
          <w:iCs/>
          <w:sz w:val="12"/>
          <w:szCs w:val="12"/>
          <w:lang w:eastAsia="en-US"/>
        </w:rPr>
        <w:t>Elife</w:t>
      </w:r>
      <w:r>
        <w:rPr>
          <w:rStyle w:val="CharStyle29"/>
          <w:rFonts w:ascii="Arial" w:hAnsi="Arial" w:cs="Arial"/>
          <w:sz w:val="12"/>
          <w:szCs w:val="12"/>
          <w:lang w:eastAsia="en-US"/>
        </w:rPr>
        <w:t xml:space="preserve"> 2021</w:t>
      </w:r>
      <w:r>
        <w:rPr>
          <w:rStyle w:val="CharStyle29"/>
          <w:lang w:eastAsia="en-US"/>
        </w:rPr>
        <w:t xml:space="preserve">, </w:t>
      </w:r>
      <w:r>
        <w:rPr>
          <w:rStyle w:val="CharStyle29"/>
          <w:rFonts w:ascii="Arial" w:hAnsi="Arial" w:cs="Arial"/>
          <w:i/>
          <w:iCs/>
          <w:sz w:val="12"/>
          <w:szCs w:val="12"/>
          <w:lang w:eastAsia="en-US"/>
        </w:rPr>
        <w:t>10</w:t>
      </w:r>
      <w:r>
        <w:rPr>
          <w:rStyle w:val="CharStyle29"/>
          <w:lang w:eastAsia="en-US"/>
        </w:rPr>
        <w:t>, 10.</w:t>
      </w:r>
    </w:p>
    <w:p w14:paraId="0D6D5727" w14:textId="77777777" w:rsidR="00B14B05" w:rsidRDefault="00B14B05">
      <w:pPr>
        <w:pStyle w:val="Style28"/>
        <w:numPr>
          <w:ilvl w:val="0"/>
          <w:numId w:val="4"/>
        </w:numPr>
        <w:tabs>
          <w:tab w:val="left" w:pos="529"/>
        </w:tabs>
        <w:spacing w:line="302" w:lineRule="auto"/>
        <w:jc w:val="both"/>
        <w:rPr>
          <w:sz w:val="24"/>
          <w:szCs w:val="24"/>
        </w:rPr>
      </w:pPr>
      <w:r>
        <w:rPr>
          <w:rStyle w:val="CharStyle29"/>
          <w:lang w:eastAsia="en-US"/>
        </w:rPr>
        <w:t>Zhang, X. H.; Liu, J.; Liu, J.; Yang, G.; Xue, C. X.; Curson, A. R. J.; Todd, J. D.</w:t>
      </w:r>
      <w:hyperlink r:id="rId125" w:history="1">
        <w:r>
          <w:rPr>
            <w:rStyle w:val="CharStyle29"/>
            <w:lang w:eastAsia="en-US"/>
          </w:rPr>
          <w:t xml:space="preserve"> Biogenic production of DMSP and its degradation to</w:t>
        </w:r>
      </w:hyperlink>
      <w:r>
        <w:rPr>
          <w:rStyle w:val="CharStyle29"/>
          <w:lang w:eastAsia="en-US"/>
        </w:rPr>
        <w:t xml:space="preserve"> </w:t>
      </w:r>
      <w:hyperlink r:id="rId126" w:history="1">
        <w:r>
          <w:rPr>
            <w:rStyle w:val="CharStyle29"/>
            <w:lang w:eastAsia="en-US"/>
          </w:rPr>
          <w:t>DMS-their roles in the global sulfur cycle.</w:t>
        </w:r>
      </w:hyperlink>
      <w:r>
        <w:rPr>
          <w:rStyle w:val="CharStyle29"/>
          <w:lang w:eastAsia="en-US"/>
        </w:rPr>
        <w:t xml:space="preserve"> </w:t>
      </w:r>
      <w:r>
        <w:rPr>
          <w:rStyle w:val="CharStyle29"/>
          <w:rFonts w:ascii="Arial" w:hAnsi="Arial" w:cs="Arial"/>
          <w:i/>
          <w:iCs/>
          <w:sz w:val="12"/>
          <w:szCs w:val="12"/>
          <w:lang w:eastAsia="en-US"/>
        </w:rPr>
        <w:t>Sci. China Life Sci.</w:t>
      </w:r>
      <w:r>
        <w:rPr>
          <w:rStyle w:val="CharStyle29"/>
          <w:rFonts w:ascii="Arial" w:hAnsi="Arial" w:cs="Arial"/>
          <w:sz w:val="12"/>
          <w:szCs w:val="12"/>
          <w:lang w:eastAsia="en-US"/>
        </w:rPr>
        <w:t xml:space="preserve"> 2019</w:t>
      </w:r>
      <w:r>
        <w:rPr>
          <w:rStyle w:val="CharStyle29"/>
          <w:lang w:eastAsia="en-US"/>
        </w:rPr>
        <w:t xml:space="preserve">, </w:t>
      </w:r>
      <w:r>
        <w:rPr>
          <w:rStyle w:val="CharStyle29"/>
          <w:rFonts w:ascii="Arial" w:hAnsi="Arial" w:cs="Arial"/>
          <w:i/>
          <w:iCs/>
          <w:sz w:val="12"/>
          <w:szCs w:val="12"/>
          <w:lang w:eastAsia="en-US"/>
        </w:rPr>
        <w:t xml:space="preserve">62 </w:t>
      </w:r>
      <w:r>
        <w:rPr>
          <w:rStyle w:val="CharStyle29"/>
          <w:lang w:eastAsia="en-US"/>
        </w:rPr>
        <w:t>(10), 1296</w:t>
      </w:r>
      <w:r>
        <w:rPr>
          <w:rStyle w:val="CharStyle29"/>
          <w:rFonts w:ascii="Arial" w:hAnsi="Arial" w:cs="Arial"/>
          <w:sz w:val="15"/>
          <w:szCs w:val="15"/>
          <w:lang w:eastAsia="en-US"/>
        </w:rPr>
        <w:t>-</w:t>
      </w:r>
      <w:r>
        <w:rPr>
          <w:rStyle w:val="CharStyle29"/>
          <w:lang w:eastAsia="en-US"/>
        </w:rPr>
        <w:t>1319.</w:t>
      </w:r>
    </w:p>
    <w:p w14:paraId="36B52299" w14:textId="77777777" w:rsidR="00B14B05" w:rsidRDefault="00B14B05">
      <w:pPr>
        <w:pStyle w:val="Style28"/>
        <w:numPr>
          <w:ilvl w:val="0"/>
          <w:numId w:val="4"/>
        </w:numPr>
        <w:tabs>
          <w:tab w:val="left" w:pos="524"/>
        </w:tabs>
        <w:spacing w:line="312" w:lineRule="auto"/>
        <w:jc w:val="both"/>
        <w:rPr>
          <w:sz w:val="24"/>
          <w:szCs w:val="24"/>
        </w:rPr>
      </w:pPr>
      <w:r>
        <w:rPr>
          <w:rStyle w:val="CharStyle29"/>
          <w:lang w:eastAsia="en-US"/>
        </w:rPr>
        <w:t>Carrion, O.; Curson, A. R. J.; Kumaresan, D.; Fu, Y.; Lang, A. S.; Mercade, E.; Todd, J. D.</w:t>
      </w:r>
      <w:hyperlink r:id="rId127" w:history="1">
        <w:r>
          <w:rPr>
            <w:rStyle w:val="CharStyle29"/>
            <w:lang w:eastAsia="en-US"/>
          </w:rPr>
          <w:t xml:space="preserve"> A novel pathway producing</w:t>
        </w:r>
      </w:hyperlink>
      <w:r>
        <w:rPr>
          <w:rStyle w:val="CharStyle29"/>
          <w:lang w:eastAsia="en-US"/>
        </w:rPr>
        <w:t xml:space="preserve"> </w:t>
      </w:r>
      <w:hyperlink r:id="rId128" w:history="1">
        <w:r>
          <w:rPr>
            <w:rStyle w:val="CharStyle29"/>
            <w:lang w:eastAsia="en-US"/>
          </w:rPr>
          <w:t>dimethylsulphide in bacteria is widespread in soil environments.</w:t>
        </w:r>
      </w:hyperlink>
      <w:r>
        <w:rPr>
          <w:rStyle w:val="CharStyle29"/>
          <w:lang w:eastAsia="en-US"/>
        </w:rPr>
        <w:t xml:space="preserve"> </w:t>
      </w:r>
      <w:r>
        <w:rPr>
          <w:rStyle w:val="CharStyle29"/>
          <w:rFonts w:ascii="Arial" w:hAnsi="Arial" w:cs="Arial"/>
          <w:i/>
          <w:iCs/>
          <w:sz w:val="12"/>
          <w:szCs w:val="12"/>
          <w:lang w:eastAsia="en-US"/>
        </w:rPr>
        <w:t>Nat. Commun.</w:t>
      </w:r>
      <w:r>
        <w:rPr>
          <w:rStyle w:val="CharStyle29"/>
          <w:rFonts w:ascii="Arial" w:hAnsi="Arial" w:cs="Arial"/>
          <w:sz w:val="12"/>
          <w:szCs w:val="12"/>
          <w:lang w:eastAsia="en-US"/>
        </w:rPr>
        <w:t xml:space="preserve"> 2015</w:t>
      </w:r>
      <w:r>
        <w:rPr>
          <w:rStyle w:val="CharStyle29"/>
          <w:lang w:eastAsia="en-US"/>
        </w:rPr>
        <w:t xml:space="preserve">, </w:t>
      </w:r>
      <w:r>
        <w:rPr>
          <w:rStyle w:val="CharStyle29"/>
          <w:rFonts w:ascii="Arial" w:hAnsi="Arial" w:cs="Arial"/>
          <w:i/>
          <w:iCs/>
          <w:sz w:val="12"/>
          <w:szCs w:val="12"/>
          <w:lang w:eastAsia="en-US"/>
        </w:rPr>
        <w:t>6</w:t>
      </w:r>
      <w:r>
        <w:rPr>
          <w:rStyle w:val="CharStyle29"/>
          <w:lang w:eastAsia="en-US"/>
        </w:rPr>
        <w:t>, 6579.</w:t>
      </w:r>
    </w:p>
    <w:p w14:paraId="5DFD2098" w14:textId="77777777" w:rsidR="00B14B05" w:rsidRDefault="00B14B05">
      <w:pPr>
        <w:pStyle w:val="Style28"/>
        <w:numPr>
          <w:ilvl w:val="0"/>
          <w:numId w:val="4"/>
        </w:numPr>
        <w:tabs>
          <w:tab w:val="left" w:pos="519"/>
        </w:tabs>
        <w:spacing w:line="302" w:lineRule="auto"/>
        <w:jc w:val="both"/>
        <w:rPr>
          <w:sz w:val="24"/>
          <w:szCs w:val="24"/>
        </w:rPr>
      </w:pPr>
      <w:r>
        <w:rPr>
          <w:rStyle w:val="CharStyle29"/>
          <w:lang w:eastAsia="en-US"/>
        </w:rPr>
        <w:t>Alcolombri, U.; Ben-Dor, S.; Feldmesser, E.; Levin, Y.; Tawfik, D. S.; Vardi, A.</w:t>
      </w:r>
      <w:hyperlink r:id="rId129" w:history="1">
        <w:r>
          <w:rPr>
            <w:rStyle w:val="CharStyle29"/>
            <w:lang w:eastAsia="en-US"/>
          </w:rPr>
          <w:t xml:space="preserve"> Identification of the algal dimethyl sulfide-releasing</w:t>
        </w:r>
      </w:hyperlink>
      <w:r>
        <w:rPr>
          <w:rStyle w:val="CharStyle29"/>
          <w:lang w:eastAsia="en-US"/>
        </w:rPr>
        <w:t xml:space="preserve"> </w:t>
      </w:r>
      <w:hyperlink r:id="rId130" w:history="1">
        <w:r>
          <w:rPr>
            <w:rStyle w:val="CharStyle29"/>
            <w:lang w:eastAsia="en-US"/>
          </w:rPr>
          <w:t xml:space="preserve">enzyme: A missing link in the marine sulfur cycle. </w:t>
        </w:r>
      </w:hyperlink>
      <w:r>
        <w:rPr>
          <w:rStyle w:val="CharStyle29"/>
          <w:rFonts w:ascii="Arial" w:hAnsi="Arial" w:cs="Arial"/>
          <w:i/>
          <w:iCs/>
          <w:sz w:val="12"/>
          <w:szCs w:val="12"/>
          <w:lang w:eastAsia="en-US"/>
        </w:rPr>
        <w:t>Science</w:t>
      </w:r>
      <w:r>
        <w:rPr>
          <w:rStyle w:val="CharStyle29"/>
          <w:rFonts w:ascii="Arial" w:hAnsi="Arial" w:cs="Arial"/>
          <w:sz w:val="12"/>
          <w:szCs w:val="12"/>
          <w:lang w:eastAsia="en-US"/>
        </w:rPr>
        <w:t xml:space="preserve"> 2015</w:t>
      </w:r>
      <w:r>
        <w:rPr>
          <w:rStyle w:val="CharStyle29"/>
          <w:lang w:eastAsia="en-US"/>
        </w:rPr>
        <w:t xml:space="preserve">, </w:t>
      </w:r>
      <w:r>
        <w:rPr>
          <w:rStyle w:val="CharStyle29"/>
          <w:rFonts w:ascii="Arial" w:hAnsi="Arial" w:cs="Arial"/>
          <w:i/>
          <w:iCs/>
          <w:sz w:val="12"/>
          <w:szCs w:val="12"/>
          <w:lang w:eastAsia="en-US"/>
        </w:rPr>
        <w:t xml:space="preserve">348 </w:t>
      </w:r>
      <w:r>
        <w:rPr>
          <w:rStyle w:val="CharStyle29"/>
          <w:lang w:eastAsia="en-US"/>
        </w:rPr>
        <w:t>(6242), 1466</w:t>
      </w:r>
      <w:r>
        <w:rPr>
          <w:rStyle w:val="CharStyle29"/>
          <w:rFonts w:ascii="Arial" w:hAnsi="Arial" w:cs="Arial"/>
          <w:sz w:val="15"/>
          <w:szCs w:val="15"/>
          <w:lang w:eastAsia="en-US"/>
        </w:rPr>
        <w:t>-</w:t>
      </w:r>
      <w:r>
        <w:rPr>
          <w:rStyle w:val="CharStyle29"/>
          <w:lang w:eastAsia="en-US"/>
        </w:rPr>
        <w:t>1469.</w:t>
      </w:r>
    </w:p>
    <w:p w14:paraId="52D85F54" w14:textId="77777777" w:rsidR="00B14B05" w:rsidRDefault="00B14B05">
      <w:pPr>
        <w:pStyle w:val="Style28"/>
        <w:numPr>
          <w:ilvl w:val="0"/>
          <w:numId w:val="4"/>
        </w:numPr>
        <w:tabs>
          <w:tab w:val="left" w:pos="519"/>
        </w:tabs>
        <w:spacing w:line="312" w:lineRule="auto"/>
        <w:jc w:val="both"/>
        <w:rPr>
          <w:sz w:val="24"/>
          <w:szCs w:val="24"/>
        </w:rPr>
      </w:pPr>
      <w:r>
        <w:rPr>
          <w:rStyle w:val="CharStyle29"/>
          <w:lang w:eastAsia="en-US"/>
        </w:rPr>
        <w:t>Howard, E. C.; Henriksen, J. R.; Buchan, A.; Reisch, C. R.; Buergmann, H.; Welsh, R.; Ye, W.; Gonzalez, J. M.; Mace, K.; Joye, S. B.; et al.</w:t>
      </w:r>
      <w:hyperlink r:id="rId131" w:history="1">
        <w:r>
          <w:rPr>
            <w:rStyle w:val="CharStyle29"/>
            <w:lang w:eastAsia="en-US"/>
          </w:rPr>
          <w:t xml:space="preserve"> Bacterial taxa that limit sulfur flux from the ocean.</w:t>
        </w:r>
      </w:hyperlink>
      <w:r>
        <w:rPr>
          <w:rStyle w:val="CharStyle29"/>
          <w:lang w:eastAsia="en-US"/>
        </w:rPr>
        <w:t xml:space="preserve"> </w:t>
      </w:r>
      <w:r>
        <w:rPr>
          <w:rStyle w:val="CharStyle29"/>
          <w:rFonts w:ascii="Arial" w:hAnsi="Arial" w:cs="Arial"/>
          <w:i/>
          <w:iCs/>
          <w:sz w:val="12"/>
          <w:szCs w:val="12"/>
          <w:lang w:eastAsia="en-US"/>
        </w:rPr>
        <w:t xml:space="preserve">Science </w:t>
      </w:r>
      <w:r>
        <w:rPr>
          <w:rStyle w:val="CharStyle29"/>
          <w:rFonts w:ascii="Arial" w:hAnsi="Arial" w:cs="Arial"/>
          <w:sz w:val="12"/>
          <w:szCs w:val="12"/>
          <w:lang w:eastAsia="en-US"/>
        </w:rPr>
        <w:t>2006</w:t>
      </w:r>
      <w:r>
        <w:rPr>
          <w:rStyle w:val="CharStyle29"/>
          <w:lang w:eastAsia="en-US"/>
        </w:rPr>
        <w:t xml:space="preserve">, </w:t>
      </w:r>
      <w:r>
        <w:rPr>
          <w:rStyle w:val="CharStyle29"/>
          <w:rFonts w:ascii="Arial" w:hAnsi="Arial" w:cs="Arial"/>
          <w:i/>
          <w:iCs/>
          <w:sz w:val="12"/>
          <w:szCs w:val="12"/>
          <w:lang w:eastAsia="en-US"/>
        </w:rPr>
        <w:t>314</w:t>
      </w:r>
      <w:r>
        <w:rPr>
          <w:rStyle w:val="CharStyle29"/>
          <w:lang w:eastAsia="en-US"/>
        </w:rPr>
        <w:t xml:space="preserve"> (5799), 649</w:t>
      </w:r>
      <w:r>
        <w:rPr>
          <w:rStyle w:val="CharStyle29"/>
          <w:rFonts w:ascii="Arial" w:hAnsi="Arial" w:cs="Arial"/>
          <w:sz w:val="15"/>
          <w:szCs w:val="15"/>
          <w:lang w:eastAsia="en-US"/>
        </w:rPr>
        <w:t>-</w:t>
      </w:r>
      <w:r>
        <w:rPr>
          <w:rStyle w:val="CharStyle29"/>
          <w:lang w:eastAsia="en-US"/>
        </w:rPr>
        <w:t>652.</w:t>
      </w:r>
    </w:p>
    <w:p w14:paraId="51CDF9DF" w14:textId="77777777" w:rsidR="00B14B05" w:rsidRDefault="00B14B05">
      <w:pPr>
        <w:pStyle w:val="Style28"/>
        <w:numPr>
          <w:ilvl w:val="0"/>
          <w:numId w:val="4"/>
        </w:numPr>
        <w:tabs>
          <w:tab w:val="left" w:pos="519"/>
        </w:tabs>
        <w:spacing w:line="302" w:lineRule="auto"/>
        <w:jc w:val="both"/>
        <w:rPr>
          <w:sz w:val="24"/>
          <w:szCs w:val="24"/>
        </w:rPr>
      </w:pPr>
      <w:r>
        <w:rPr>
          <w:rStyle w:val="CharStyle29"/>
          <w:lang w:eastAsia="en-US"/>
        </w:rPr>
        <w:t>Reisch, C. R.; Moran, M. A.; Whitman, W. B.</w:t>
      </w:r>
      <w:hyperlink r:id="rId132" w:history="1">
        <w:r>
          <w:rPr>
            <w:rStyle w:val="CharStyle29"/>
            <w:lang w:eastAsia="en-US"/>
          </w:rPr>
          <w:t xml:space="preserve"> Dimethylsulfo-</w:t>
        </w:r>
      </w:hyperlink>
      <w:r>
        <w:rPr>
          <w:rStyle w:val="CharStyle29"/>
          <w:lang w:eastAsia="en-US"/>
        </w:rPr>
        <w:t xml:space="preserve"> </w:t>
      </w:r>
      <w:hyperlink r:id="rId133" w:history="1">
        <w:r>
          <w:rPr>
            <w:rStyle w:val="CharStyle29"/>
            <w:lang w:eastAsia="en-US"/>
          </w:rPr>
          <w:t>niopropionate-Dependent Demethylase (DmdA) from Pelagibacter</w:t>
        </w:r>
      </w:hyperlink>
      <w:r>
        <w:rPr>
          <w:rStyle w:val="CharStyle29"/>
          <w:lang w:eastAsia="en-US"/>
        </w:rPr>
        <w:t xml:space="preserve"> </w:t>
      </w:r>
      <w:hyperlink r:id="rId134" w:history="1">
        <w:r>
          <w:rPr>
            <w:rStyle w:val="CharStyle29"/>
            <w:lang w:eastAsia="en-US"/>
          </w:rPr>
          <w:t xml:space="preserve">ubique and Silicibacter pomeroyi. </w:t>
        </w:r>
      </w:hyperlink>
      <w:r>
        <w:rPr>
          <w:rStyle w:val="CharStyle29"/>
          <w:rFonts w:ascii="Arial" w:hAnsi="Arial" w:cs="Arial"/>
          <w:i/>
          <w:iCs/>
          <w:sz w:val="12"/>
          <w:szCs w:val="12"/>
          <w:lang w:eastAsia="en-US"/>
        </w:rPr>
        <w:t>J. Bacteriol.</w:t>
      </w:r>
      <w:r>
        <w:rPr>
          <w:rStyle w:val="CharStyle29"/>
          <w:rFonts w:ascii="Arial" w:hAnsi="Arial" w:cs="Arial"/>
          <w:sz w:val="12"/>
          <w:szCs w:val="12"/>
          <w:lang w:eastAsia="en-US"/>
        </w:rPr>
        <w:t xml:space="preserve"> 2008</w:t>
      </w:r>
      <w:r>
        <w:rPr>
          <w:rStyle w:val="CharStyle29"/>
          <w:lang w:eastAsia="en-US"/>
        </w:rPr>
        <w:t xml:space="preserve">, </w:t>
      </w:r>
      <w:r>
        <w:rPr>
          <w:rStyle w:val="CharStyle29"/>
          <w:rFonts w:ascii="Arial" w:hAnsi="Arial" w:cs="Arial"/>
          <w:i/>
          <w:iCs/>
          <w:sz w:val="12"/>
          <w:szCs w:val="12"/>
          <w:lang w:eastAsia="en-US"/>
        </w:rPr>
        <w:t>190</w:t>
      </w:r>
      <w:r>
        <w:rPr>
          <w:rStyle w:val="CharStyle29"/>
          <w:lang w:eastAsia="en-US"/>
        </w:rPr>
        <w:t xml:space="preserve"> (24), 8018</w:t>
      </w:r>
      <w:r>
        <w:rPr>
          <w:rStyle w:val="CharStyle29"/>
          <w:rFonts w:ascii="Arial" w:hAnsi="Arial" w:cs="Arial"/>
          <w:sz w:val="15"/>
          <w:szCs w:val="15"/>
          <w:lang w:eastAsia="en-US"/>
        </w:rPr>
        <w:softHyphen/>
      </w:r>
      <w:r>
        <w:rPr>
          <w:rStyle w:val="CharStyle29"/>
          <w:lang w:eastAsia="en-US"/>
        </w:rPr>
        <w:t>8024.</w:t>
      </w:r>
    </w:p>
    <w:p w14:paraId="65F7D07A" w14:textId="77777777" w:rsidR="00B14B05" w:rsidRDefault="00B14B05">
      <w:pPr>
        <w:pStyle w:val="Style28"/>
        <w:numPr>
          <w:ilvl w:val="0"/>
          <w:numId w:val="4"/>
        </w:numPr>
        <w:tabs>
          <w:tab w:val="left" w:pos="519"/>
        </w:tabs>
        <w:spacing w:line="302" w:lineRule="auto"/>
        <w:jc w:val="both"/>
        <w:rPr>
          <w:sz w:val="24"/>
          <w:szCs w:val="24"/>
        </w:rPr>
      </w:pPr>
      <w:r>
        <w:rPr>
          <w:rStyle w:val="CharStyle29"/>
          <w:lang w:eastAsia="en-US"/>
        </w:rPr>
        <w:t>Curson, A. R. J.; Liu, J.;</w:t>
      </w:r>
      <w:r>
        <w:rPr>
          <w:rStyle w:val="CharStyle29"/>
          <w:lang w:eastAsia="en-US"/>
        </w:rPr>
        <w:t xml:space="preserve"> Martinez, A. B.; Green, R. T.; Chan, Y.; Carrion, O.; Williams, B. T.; Zhang, S.-H.; Yang, G.-P.; Page, P. C. B.; et al.</w:t>
      </w:r>
      <w:hyperlink r:id="rId135" w:history="1">
        <w:r>
          <w:rPr>
            <w:rStyle w:val="CharStyle29"/>
            <w:lang w:eastAsia="en-US"/>
          </w:rPr>
          <w:t xml:space="preserve"> Dimethylsulfoniopropionate biosynthesis in marine bacteria and</w:t>
        </w:r>
      </w:hyperlink>
      <w:r>
        <w:rPr>
          <w:rStyle w:val="CharStyle29"/>
          <w:lang w:eastAsia="en-US"/>
        </w:rPr>
        <w:t xml:space="preserve"> </w:t>
      </w:r>
      <w:hyperlink r:id="rId136" w:history="1">
        <w:r>
          <w:rPr>
            <w:rStyle w:val="CharStyle29"/>
            <w:lang w:eastAsia="en-US"/>
          </w:rPr>
          <w:t>identification of the key gene in this process.</w:t>
        </w:r>
      </w:hyperlink>
      <w:r>
        <w:rPr>
          <w:rStyle w:val="CharStyle29"/>
          <w:lang w:eastAsia="en-US"/>
        </w:rPr>
        <w:t xml:space="preserve"> </w:t>
      </w:r>
      <w:r>
        <w:rPr>
          <w:rStyle w:val="CharStyle29"/>
          <w:rFonts w:ascii="Arial" w:hAnsi="Arial" w:cs="Arial"/>
          <w:i/>
          <w:iCs/>
          <w:sz w:val="12"/>
          <w:szCs w:val="12"/>
          <w:lang w:eastAsia="en-US"/>
        </w:rPr>
        <w:t>Nat. Microbiol.</w:t>
      </w:r>
      <w:r>
        <w:rPr>
          <w:rStyle w:val="CharStyle29"/>
          <w:rFonts w:ascii="Arial" w:hAnsi="Arial" w:cs="Arial"/>
          <w:sz w:val="12"/>
          <w:szCs w:val="12"/>
          <w:lang w:eastAsia="en-US"/>
        </w:rPr>
        <w:t xml:space="preserve"> 2017</w:t>
      </w:r>
      <w:r>
        <w:rPr>
          <w:rStyle w:val="CharStyle29"/>
          <w:lang w:eastAsia="en-US"/>
        </w:rPr>
        <w:t xml:space="preserve">, </w:t>
      </w:r>
      <w:r>
        <w:rPr>
          <w:rStyle w:val="CharStyle29"/>
          <w:rFonts w:ascii="Arial" w:hAnsi="Arial" w:cs="Arial"/>
          <w:i/>
          <w:iCs/>
          <w:sz w:val="12"/>
          <w:szCs w:val="12"/>
          <w:lang w:eastAsia="en-US"/>
        </w:rPr>
        <w:t xml:space="preserve">2 </w:t>
      </w:r>
      <w:r>
        <w:rPr>
          <w:rStyle w:val="CharStyle29"/>
          <w:lang w:eastAsia="en-US"/>
        </w:rPr>
        <w:t>(5), 17009.</w:t>
      </w:r>
    </w:p>
    <w:p w14:paraId="6F05CACF" w14:textId="77777777" w:rsidR="00B14B05" w:rsidRDefault="00B14B05">
      <w:pPr>
        <w:pStyle w:val="Style28"/>
        <w:numPr>
          <w:ilvl w:val="0"/>
          <w:numId w:val="4"/>
        </w:numPr>
        <w:tabs>
          <w:tab w:val="left" w:pos="524"/>
        </w:tabs>
        <w:spacing w:line="302" w:lineRule="auto"/>
        <w:jc w:val="both"/>
        <w:rPr>
          <w:sz w:val="24"/>
          <w:szCs w:val="24"/>
        </w:rPr>
      </w:pPr>
      <w:r>
        <w:rPr>
          <w:rStyle w:val="CharStyle29"/>
          <w:lang w:eastAsia="en-US"/>
        </w:rPr>
        <w:t>Fukamachi, H.; Nakano, Y.; Okano, S.; Shibata, Y.; Abiko, Y.; Yamashita, Y.</w:t>
      </w:r>
      <w:hyperlink r:id="rId137" w:history="1">
        <w:r>
          <w:rPr>
            <w:rStyle w:val="CharStyle29"/>
            <w:lang w:eastAsia="en-US"/>
          </w:rPr>
          <w:t xml:space="preserve"> High production of methyl mercaptan by L-methionine-</w:t>
        </w:r>
      </w:hyperlink>
      <w:r>
        <w:rPr>
          <w:rStyle w:val="CharStyle29"/>
          <w:lang w:eastAsia="en-US"/>
        </w:rPr>
        <w:t xml:space="preserve"> </w:t>
      </w:r>
      <w:hyperlink r:id="rId138" w:history="1">
        <w:r>
          <w:rPr>
            <w:rStyle w:val="CharStyle29"/>
            <w:lang w:eastAsia="en-US"/>
          </w:rPr>
          <w:t>alpha-deamino-gamma-mercaptomethane lyase from Treponema</w:t>
        </w:r>
      </w:hyperlink>
      <w:r>
        <w:rPr>
          <w:rStyle w:val="CharStyle29"/>
          <w:lang w:eastAsia="en-US"/>
        </w:rPr>
        <w:t xml:space="preserve"> </w:t>
      </w:r>
      <w:hyperlink r:id="rId139" w:history="1">
        <w:r>
          <w:rPr>
            <w:rStyle w:val="CharStyle29"/>
            <w:lang w:eastAsia="en-US"/>
          </w:rPr>
          <w:t xml:space="preserve">denticola. </w:t>
        </w:r>
      </w:hyperlink>
      <w:r>
        <w:rPr>
          <w:rStyle w:val="CharStyle29"/>
          <w:rFonts w:ascii="Arial" w:hAnsi="Arial" w:cs="Arial"/>
          <w:i/>
          <w:iCs/>
          <w:sz w:val="12"/>
          <w:szCs w:val="12"/>
          <w:lang w:eastAsia="en-US"/>
        </w:rPr>
        <w:t>Biochem. Biophys. Res. Commun.</w:t>
      </w:r>
      <w:r>
        <w:rPr>
          <w:rStyle w:val="CharStyle29"/>
          <w:rFonts w:ascii="Arial" w:hAnsi="Arial" w:cs="Arial"/>
          <w:sz w:val="12"/>
          <w:szCs w:val="12"/>
          <w:lang w:eastAsia="en-US"/>
        </w:rPr>
        <w:t xml:space="preserve"> 2005</w:t>
      </w:r>
      <w:r>
        <w:rPr>
          <w:rStyle w:val="CharStyle29"/>
          <w:lang w:eastAsia="en-US"/>
        </w:rPr>
        <w:t xml:space="preserve">, </w:t>
      </w:r>
      <w:r>
        <w:rPr>
          <w:rStyle w:val="CharStyle29"/>
          <w:rFonts w:ascii="Arial" w:hAnsi="Arial" w:cs="Arial"/>
          <w:i/>
          <w:iCs/>
          <w:sz w:val="12"/>
          <w:szCs w:val="12"/>
          <w:lang w:eastAsia="en-US"/>
        </w:rPr>
        <w:t>331</w:t>
      </w:r>
      <w:r>
        <w:rPr>
          <w:rStyle w:val="CharStyle29"/>
          <w:lang w:eastAsia="en-US"/>
        </w:rPr>
        <w:t xml:space="preserve"> (1), 127</w:t>
      </w:r>
      <w:r>
        <w:rPr>
          <w:rStyle w:val="CharStyle29"/>
          <w:rFonts w:ascii="Arial" w:hAnsi="Arial" w:cs="Arial"/>
          <w:sz w:val="15"/>
          <w:szCs w:val="15"/>
          <w:lang w:eastAsia="en-US"/>
        </w:rPr>
        <w:t>-</w:t>
      </w:r>
      <w:r>
        <w:rPr>
          <w:rStyle w:val="CharStyle29"/>
          <w:lang w:eastAsia="en-US"/>
        </w:rPr>
        <w:t>131.</w:t>
      </w:r>
    </w:p>
    <w:p w14:paraId="4C425605" w14:textId="77777777" w:rsidR="00B14B05" w:rsidRDefault="00B14B05">
      <w:pPr>
        <w:pStyle w:val="Style28"/>
        <w:numPr>
          <w:ilvl w:val="0"/>
          <w:numId w:val="4"/>
        </w:numPr>
        <w:tabs>
          <w:tab w:val="left" w:pos="524"/>
        </w:tabs>
        <w:spacing w:line="302" w:lineRule="auto"/>
        <w:jc w:val="both"/>
        <w:rPr>
          <w:sz w:val="24"/>
          <w:szCs w:val="24"/>
        </w:rPr>
      </w:pPr>
      <w:r>
        <w:rPr>
          <w:rStyle w:val="CharStyle29"/>
          <w:lang w:eastAsia="en-US"/>
        </w:rPr>
        <w:t>Zhang, Y.; Sun, C.; Guo, Z.; Liu, L.; Zhang, X.; Sun, K.; Zheng, Y.; Gates, A. J.; Todd, J. D.; Zhang, X. H.</w:t>
      </w:r>
      <w:hyperlink r:id="rId140" w:history="1">
        <w:r>
          <w:rPr>
            <w:rStyle w:val="CharStyle29"/>
            <w:lang w:eastAsia="en-US"/>
          </w:rPr>
          <w:t xml:space="preserve"> An S-methyltransferase that</w:t>
        </w:r>
      </w:hyperlink>
      <w:r>
        <w:rPr>
          <w:rStyle w:val="CharStyle29"/>
          <w:lang w:eastAsia="en-US"/>
        </w:rPr>
        <w:t xml:space="preserve"> </w:t>
      </w:r>
      <w:hyperlink r:id="rId141" w:history="1">
        <w:r>
          <w:rPr>
            <w:rStyle w:val="CharStyle29"/>
            <w:lang w:eastAsia="en-US"/>
          </w:rPr>
          <w:t>produces the climate-active gas dimethylsulfide is widespread across</w:t>
        </w:r>
      </w:hyperlink>
      <w:r>
        <w:rPr>
          <w:rStyle w:val="CharStyle29"/>
          <w:lang w:eastAsia="en-US"/>
        </w:rPr>
        <w:t xml:space="preserve"> </w:t>
      </w:r>
      <w:hyperlink r:id="rId142" w:history="1">
        <w:r>
          <w:rPr>
            <w:rStyle w:val="CharStyle29"/>
            <w:lang w:eastAsia="en-US"/>
          </w:rPr>
          <w:t xml:space="preserve">diverse marine bacteria. </w:t>
        </w:r>
      </w:hyperlink>
      <w:r>
        <w:rPr>
          <w:rStyle w:val="CharStyle29"/>
          <w:rFonts w:ascii="Arial" w:hAnsi="Arial" w:cs="Arial"/>
          <w:i/>
          <w:iCs/>
          <w:sz w:val="12"/>
          <w:szCs w:val="12"/>
          <w:lang w:eastAsia="en-US"/>
        </w:rPr>
        <w:t>Nat. Microbiol.</w:t>
      </w:r>
      <w:r>
        <w:rPr>
          <w:rStyle w:val="CharStyle29"/>
          <w:rFonts w:ascii="Arial" w:hAnsi="Arial" w:cs="Arial"/>
          <w:sz w:val="12"/>
          <w:szCs w:val="12"/>
          <w:lang w:eastAsia="en-US"/>
        </w:rPr>
        <w:t xml:space="preserve"> 2024</w:t>
      </w:r>
      <w:r>
        <w:rPr>
          <w:rStyle w:val="CharStyle29"/>
          <w:lang w:eastAsia="en-US"/>
        </w:rPr>
        <w:t xml:space="preserve">, </w:t>
      </w:r>
      <w:r>
        <w:rPr>
          <w:rStyle w:val="CharStyle29"/>
          <w:rFonts w:ascii="Arial" w:hAnsi="Arial" w:cs="Arial"/>
          <w:i/>
          <w:iCs/>
          <w:sz w:val="12"/>
          <w:szCs w:val="12"/>
          <w:lang w:eastAsia="en-US"/>
        </w:rPr>
        <w:t>9</w:t>
      </w:r>
      <w:r>
        <w:rPr>
          <w:rStyle w:val="CharStyle29"/>
          <w:lang w:eastAsia="en-US"/>
        </w:rPr>
        <w:t xml:space="preserve"> (10), 2614</w:t>
      </w:r>
      <w:r>
        <w:rPr>
          <w:rStyle w:val="CharStyle29"/>
          <w:rFonts w:ascii="Arial" w:hAnsi="Arial" w:cs="Arial"/>
          <w:sz w:val="15"/>
          <w:szCs w:val="15"/>
          <w:lang w:eastAsia="en-US"/>
        </w:rPr>
        <w:t>-</w:t>
      </w:r>
      <w:r>
        <w:rPr>
          <w:rStyle w:val="CharStyle29"/>
          <w:lang w:eastAsia="en-US"/>
        </w:rPr>
        <w:t>2625.</w:t>
      </w:r>
    </w:p>
    <w:p w14:paraId="27EACA2C" w14:textId="77777777" w:rsidR="00B14B05" w:rsidRDefault="00B14B05">
      <w:pPr>
        <w:pStyle w:val="Style28"/>
        <w:numPr>
          <w:ilvl w:val="0"/>
          <w:numId w:val="4"/>
        </w:numPr>
        <w:tabs>
          <w:tab w:val="left" w:pos="514"/>
        </w:tabs>
        <w:spacing w:line="302" w:lineRule="auto"/>
        <w:jc w:val="both"/>
        <w:rPr>
          <w:sz w:val="24"/>
          <w:szCs w:val="24"/>
        </w:rPr>
      </w:pPr>
      <w:r>
        <w:rPr>
          <w:rStyle w:val="CharStyle29"/>
          <w:lang w:eastAsia="en-US"/>
        </w:rPr>
        <w:t>Tebbe, D. A.; Gruender, C.; Dlugosch, L.; Lohmus, K.; Rolfes, S.; Konneke, M.; Chen, Y.; Engelen, B.; Schafer, H.</w:t>
      </w:r>
      <w:hyperlink r:id="rId143" w:history="1">
        <w:r>
          <w:rPr>
            <w:rStyle w:val="CharStyle29"/>
            <w:lang w:eastAsia="en-US"/>
          </w:rPr>
          <w:t xml:space="preserve"> Microbial drivers</w:t>
        </w:r>
      </w:hyperlink>
      <w:r>
        <w:rPr>
          <w:rStyle w:val="CharStyle29"/>
          <w:lang w:eastAsia="en-US"/>
        </w:rPr>
        <w:t xml:space="preserve"> </w:t>
      </w:r>
      <w:hyperlink r:id="rId144" w:history="1">
        <w:r>
          <w:rPr>
            <w:rStyle w:val="CharStyle29"/>
            <w:lang w:eastAsia="en-US"/>
          </w:rPr>
          <w:t>of DMSO reduction and DMS-dependent methanogenesis in</w:t>
        </w:r>
      </w:hyperlink>
      <w:r>
        <w:rPr>
          <w:rStyle w:val="CharStyle29"/>
          <w:lang w:eastAsia="en-US"/>
        </w:rPr>
        <w:t xml:space="preserve"> </w:t>
      </w:r>
      <w:hyperlink r:id="rId145" w:history="1">
        <w:r>
          <w:rPr>
            <w:rStyle w:val="CharStyle29"/>
            <w:lang w:eastAsia="en-US"/>
          </w:rPr>
          <w:t>saltmarsh sediments.</w:t>
        </w:r>
      </w:hyperlink>
      <w:r>
        <w:rPr>
          <w:rStyle w:val="CharStyle29"/>
          <w:lang w:eastAsia="en-US"/>
        </w:rPr>
        <w:t xml:space="preserve"> </w:t>
      </w:r>
      <w:r>
        <w:rPr>
          <w:rStyle w:val="CharStyle29"/>
          <w:rFonts w:ascii="Arial" w:hAnsi="Arial" w:cs="Arial"/>
          <w:i/>
          <w:iCs/>
          <w:sz w:val="12"/>
          <w:szCs w:val="12"/>
          <w:lang w:eastAsia="en-US"/>
        </w:rPr>
        <w:t>ISME J.</w:t>
      </w:r>
      <w:r>
        <w:rPr>
          <w:rStyle w:val="CharStyle29"/>
          <w:rFonts w:ascii="Arial" w:hAnsi="Arial" w:cs="Arial"/>
          <w:sz w:val="12"/>
          <w:szCs w:val="12"/>
          <w:lang w:eastAsia="en-US"/>
        </w:rPr>
        <w:t xml:space="preserve"> 2023</w:t>
      </w:r>
      <w:r>
        <w:rPr>
          <w:rStyle w:val="CharStyle29"/>
          <w:lang w:eastAsia="en-US"/>
        </w:rPr>
        <w:t xml:space="preserve">, </w:t>
      </w:r>
      <w:r>
        <w:rPr>
          <w:rStyle w:val="CharStyle29"/>
          <w:rFonts w:ascii="Arial" w:hAnsi="Arial" w:cs="Arial"/>
          <w:i/>
          <w:iCs/>
          <w:sz w:val="12"/>
          <w:szCs w:val="12"/>
          <w:lang w:eastAsia="en-US"/>
        </w:rPr>
        <w:t>17</w:t>
      </w:r>
      <w:r>
        <w:rPr>
          <w:rStyle w:val="CharStyle29"/>
          <w:lang w:eastAsia="en-US"/>
        </w:rPr>
        <w:t xml:space="preserve"> (12), 2340</w:t>
      </w:r>
      <w:r>
        <w:rPr>
          <w:rStyle w:val="CharStyle29"/>
          <w:rFonts w:ascii="Arial" w:hAnsi="Arial" w:cs="Arial"/>
          <w:sz w:val="15"/>
          <w:szCs w:val="15"/>
          <w:lang w:eastAsia="en-US"/>
        </w:rPr>
        <w:t>-</w:t>
      </w:r>
      <w:r>
        <w:rPr>
          <w:rStyle w:val="CharStyle29"/>
          <w:lang w:eastAsia="en-US"/>
        </w:rPr>
        <w:t>2351.</w:t>
      </w:r>
    </w:p>
    <w:p w14:paraId="755AB0FB" w14:textId="77777777" w:rsidR="00B14B05" w:rsidRDefault="00B14B05">
      <w:pPr>
        <w:pStyle w:val="Style28"/>
        <w:numPr>
          <w:ilvl w:val="0"/>
          <w:numId w:val="4"/>
        </w:numPr>
        <w:tabs>
          <w:tab w:val="left" w:pos="529"/>
        </w:tabs>
        <w:spacing w:line="310" w:lineRule="auto"/>
        <w:jc w:val="both"/>
        <w:rPr>
          <w:sz w:val="24"/>
          <w:szCs w:val="24"/>
        </w:rPr>
      </w:pPr>
      <w:r>
        <w:rPr>
          <w:rStyle w:val="CharStyle29"/>
          <w:lang w:eastAsia="en-US"/>
        </w:rPr>
        <w:t>McDevitt, C. A.; Hugenholtz, P.; Hanson, G. R.; McEwan, A. G.</w:t>
      </w:r>
      <w:hyperlink r:id="rId146" w:history="1">
        <w:r>
          <w:rPr>
            <w:rStyle w:val="CharStyle29"/>
            <w:lang w:eastAsia="en-US"/>
          </w:rPr>
          <w:t xml:space="preserve"> Molecular analysis of dimethyl sulphide dehydrogenase from</w:t>
        </w:r>
      </w:hyperlink>
      <w:r>
        <w:rPr>
          <w:rStyle w:val="CharStyle29"/>
          <w:lang w:eastAsia="en-US"/>
        </w:rPr>
        <w:t xml:space="preserve"> </w:t>
      </w:r>
      <w:hyperlink r:id="rId147" w:history="1">
        <w:r>
          <w:rPr>
            <w:rStyle w:val="CharStyle29"/>
            <w:lang w:eastAsia="en-US"/>
          </w:rPr>
          <w:t>Rhodovulum sulfidophilum: Its place in the dimethyl sulfoxide</w:t>
        </w:r>
      </w:hyperlink>
      <w:r>
        <w:rPr>
          <w:rStyle w:val="CharStyle29"/>
          <w:lang w:eastAsia="en-US"/>
        </w:rPr>
        <w:t xml:space="preserve"> </w:t>
      </w:r>
      <w:hyperlink r:id="rId148" w:history="1">
        <w:r>
          <w:rPr>
            <w:rStyle w:val="CharStyle29"/>
            <w:lang w:eastAsia="en-US"/>
          </w:rPr>
          <w:t>reductase family of microbial molybdopterin-containing enzymes.</w:t>
        </w:r>
      </w:hyperlink>
      <w:r>
        <w:rPr>
          <w:rStyle w:val="CharStyle29"/>
          <w:lang w:eastAsia="en-US"/>
        </w:rPr>
        <w:t xml:space="preserve"> </w:t>
      </w:r>
      <w:r>
        <w:rPr>
          <w:rStyle w:val="CharStyle29"/>
          <w:rFonts w:ascii="Arial" w:hAnsi="Arial" w:cs="Arial"/>
          <w:i/>
          <w:iCs/>
          <w:sz w:val="12"/>
          <w:szCs w:val="12"/>
          <w:lang w:eastAsia="en-US"/>
        </w:rPr>
        <w:t>Mol. Microbiol.</w:t>
      </w:r>
      <w:r>
        <w:rPr>
          <w:rStyle w:val="CharStyle29"/>
          <w:rFonts w:ascii="Arial" w:hAnsi="Arial" w:cs="Arial"/>
          <w:sz w:val="12"/>
          <w:szCs w:val="12"/>
          <w:lang w:eastAsia="en-US"/>
        </w:rPr>
        <w:t xml:space="preserve"> 2002</w:t>
      </w:r>
      <w:r>
        <w:rPr>
          <w:rStyle w:val="CharStyle29"/>
          <w:lang w:eastAsia="en-US"/>
        </w:rPr>
        <w:t xml:space="preserve">, </w:t>
      </w:r>
      <w:r>
        <w:rPr>
          <w:rStyle w:val="CharStyle29"/>
          <w:rFonts w:ascii="Arial" w:hAnsi="Arial" w:cs="Arial"/>
          <w:i/>
          <w:iCs/>
          <w:sz w:val="12"/>
          <w:szCs w:val="12"/>
          <w:lang w:eastAsia="en-US"/>
        </w:rPr>
        <w:t>44</w:t>
      </w:r>
      <w:r>
        <w:rPr>
          <w:rStyle w:val="CharStyle29"/>
          <w:lang w:eastAsia="en-US"/>
        </w:rPr>
        <w:t xml:space="preserve"> (6), 1575</w:t>
      </w:r>
      <w:r>
        <w:rPr>
          <w:rStyle w:val="CharStyle29"/>
          <w:rFonts w:ascii="Arial" w:hAnsi="Arial" w:cs="Arial"/>
          <w:sz w:val="15"/>
          <w:szCs w:val="15"/>
          <w:lang w:eastAsia="en-US"/>
        </w:rPr>
        <w:t>-</w:t>
      </w:r>
      <w:r>
        <w:rPr>
          <w:rStyle w:val="CharStyle29"/>
          <w:lang w:eastAsia="en-US"/>
        </w:rPr>
        <w:t>1587.</w:t>
      </w:r>
    </w:p>
    <w:p w14:paraId="33447376" w14:textId="77777777" w:rsidR="00B14B05" w:rsidRDefault="00B14B05">
      <w:pPr>
        <w:pStyle w:val="Style28"/>
        <w:numPr>
          <w:ilvl w:val="0"/>
          <w:numId w:val="4"/>
        </w:numPr>
        <w:tabs>
          <w:tab w:val="left" w:pos="529"/>
        </w:tabs>
        <w:spacing w:line="312" w:lineRule="auto"/>
        <w:jc w:val="both"/>
        <w:rPr>
          <w:sz w:val="24"/>
          <w:szCs w:val="24"/>
        </w:rPr>
        <w:sectPr w:rsidR="00000000">
          <w:headerReference w:type="default" r:id="rId149"/>
          <w:footerReference w:type="default" r:id="rId150"/>
          <w:headerReference w:type="first" r:id="rId151"/>
          <w:footerReference w:type="first" r:id="rId152"/>
          <w:pgSz w:w="12149" w:h="16834"/>
          <w:pgMar w:top="1513" w:right="991" w:bottom="1310" w:left="992" w:header="0" w:footer="3" w:gutter="0"/>
          <w:cols w:num="2" w:space="107"/>
          <w:noEndnote/>
          <w:titlePg/>
          <w:docGrid w:linePitch="360"/>
        </w:sectPr>
      </w:pPr>
      <w:r>
        <w:rPr>
          <w:rStyle w:val="CharStyle29"/>
          <w:lang w:eastAsia="en-US"/>
        </w:rPr>
        <w:t xml:space="preserve">Horinouchi, M.; Kasuga, K.; Nojiri, H.; Yamane, H.; Omori, T. </w:t>
      </w:r>
      <w:hyperlink r:id="rId153" w:history="1">
        <w:r>
          <w:rPr>
            <w:rStyle w:val="CharStyle29"/>
            <w:lang w:eastAsia="en-US"/>
          </w:rPr>
          <w:t>Cloning and characterization of genes encoding an enzyme which</w:t>
        </w:r>
      </w:hyperlink>
      <w:r>
        <w:rPr>
          <w:rStyle w:val="CharStyle29"/>
          <w:lang w:eastAsia="en-US"/>
        </w:rPr>
        <w:t xml:space="preserve"> </w:t>
      </w:r>
      <w:hyperlink r:id="rId154" w:history="1">
        <w:r>
          <w:rPr>
            <w:rStyle w:val="CharStyle29"/>
            <w:lang w:eastAsia="en-US"/>
          </w:rPr>
          <w:t>oxidizes dimethyl sulfide in Acinetobacter sp. strain 20B.</w:t>
        </w:r>
      </w:hyperlink>
      <w:r>
        <w:rPr>
          <w:rStyle w:val="CharStyle29"/>
          <w:lang w:eastAsia="en-US"/>
        </w:rPr>
        <w:t xml:space="preserve"> </w:t>
      </w:r>
      <w:r>
        <w:rPr>
          <w:rStyle w:val="CharStyle29"/>
          <w:rFonts w:ascii="Arial" w:hAnsi="Arial" w:cs="Arial"/>
          <w:i/>
          <w:iCs/>
          <w:sz w:val="12"/>
          <w:szCs w:val="12"/>
          <w:lang w:eastAsia="en-US"/>
        </w:rPr>
        <w:t>FEMS Microbiol. Lett.</w:t>
      </w:r>
      <w:r>
        <w:rPr>
          <w:rStyle w:val="CharStyle29"/>
          <w:rFonts w:ascii="Arial" w:hAnsi="Arial" w:cs="Arial"/>
          <w:sz w:val="12"/>
          <w:szCs w:val="12"/>
          <w:lang w:eastAsia="en-US"/>
        </w:rPr>
        <w:t xml:space="preserve"> 1997</w:t>
      </w:r>
      <w:r>
        <w:rPr>
          <w:rStyle w:val="CharStyle29"/>
          <w:lang w:eastAsia="en-US"/>
        </w:rPr>
        <w:t xml:space="preserve">, </w:t>
      </w:r>
      <w:r>
        <w:rPr>
          <w:rStyle w:val="CharStyle29"/>
          <w:rFonts w:ascii="Arial" w:hAnsi="Arial" w:cs="Arial"/>
          <w:i/>
          <w:iCs/>
          <w:sz w:val="12"/>
          <w:szCs w:val="12"/>
          <w:lang w:eastAsia="en-US"/>
        </w:rPr>
        <w:t>155</w:t>
      </w:r>
      <w:r>
        <w:rPr>
          <w:rStyle w:val="CharStyle29"/>
          <w:lang w:eastAsia="en-US"/>
        </w:rPr>
        <w:t xml:space="preserve"> (1), 99</w:t>
      </w:r>
      <w:r>
        <w:rPr>
          <w:rStyle w:val="CharStyle29"/>
          <w:rFonts w:ascii="Arial" w:hAnsi="Arial" w:cs="Arial"/>
          <w:sz w:val="15"/>
          <w:szCs w:val="15"/>
          <w:lang w:eastAsia="en-US"/>
        </w:rPr>
        <w:t>-</w:t>
      </w:r>
      <w:r>
        <w:rPr>
          <w:rStyle w:val="CharStyle29"/>
          <w:lang w:eastAsia="en-US"/>
        </w:rPr>
        <w:t>105.</w:t>
      </w:r>
    </w:p>
    <w:p w14:paraId="640E4D75" w14:textId="77777777" w:rsidR="00B14B05" w:rsidRDefault="00B14B05">
      <w:pPr>
        <w:pStyle w:val="Style28"/>
        <w:numPr>
          <w:ilvl w:val="0"/>
          <w:numId w:val="4"/>
        </w:numPr>
        <w:tabs>
          <w:tab w:val="left" w:pos="439"/>
        </w:tabs>
        <w:jc w:val="both"/>
        <w:rPr>
          <w:sz w:val="24"/>
          <w:szCs w:val="24"/>
        </w:rPr>
      </w:pPr>
      <w:r>
        <w:rPr>
          <w:rStyle w:val="CharStyle29"/>
          <w:lang w:eastAsia="en-US"/>
        </w:rPr>
        <w:t>Chen, Y.; Patel, N. A.; Crombie,</w:t>
      </w:r>
      <w:r>
        <w:rPr>
          <w:rStyle w:val="CharStyle29"/>
          <w:lang w:eastAsia="en-US"/>
        </w:rPr>
        <w:t xml:space="preserve"> A.; Scrivens, J. H.; Murrell, J. C.</w:t>
      </w:r>
      <w:hyperlink r:id="rId155" w:history="1">
        <w:r>
          <w:rPr>
            <w:rStyle w:val="CharStyle29"/>
            <w:lang w:eastAsia="en-US"/>
          </w:rPr>
          <w:t xml:space="preserve"> Bacterial flavin-containing monooxygenase is trimethylamine</w:t>
        </w:r>
      </w:hyperlink>
      <w:r>
        <w:rPr>
          <w:rStyle w:val="CharStyle29"/>
          <w:lang w:eastAsia="en-US"/>
        </w:rPr>
        <w:t xml:space="preserve"> </w:t>
      </w:r>
      <w:hyperlink r:id="rId156" w:history="1">
        <w:r>
          <w:rPr>
            <w:rStyle w:val="CharStyle29"/>
            <w:lang w:eastAsia="en-US"/>
          </w:rPr>
          <w:t>monooxygenase.</w:t>
        </w:r>
      </w:hyperlink>
      <w:r>
        <w:rPr>
          <w:rStyle w:val="CharStyle29"/>
          <w:lang w:eastAsia="en-US"/>
        </w:rPr>
        <w:t xml:space="preserve"> </w:t>
      </w:r>
      <w:r>
        <w:rPr>
          <w:rStyle w:val="CharStyle29"/>
          <w:rFonts w:ascii="Arial" w:hAnsi="Arial" w:cs="Arial"/>
          <w:i/>
          <w:iCs/>
          <w:sz w:val="12"/>
          <w:szCs w:val="12"/>
          <w:lang w:eastAsia="en-US"/>
        </w:rPr>
        <w:t>Proc. Natl. Acad. Sci. U. S. A.</w:t>
      </w:r>
      <w:r>
        <w:rPr>
          <w:rStyle w:val="CharStyle29"/>
          <w:rFonts w:ascii="Arial" w:hAnsi="Arial" w:cs="Arial"/>
          <w:sz w:val="12"/>
          <w:szCs w:val="12"/>
          <w:lang w:eastAsia="en-US"/>
        </w:rPr>
        <w:t xml:space="preserve"> 2011</w:t>
      </w:r>
      <w:r>
        <w:rPr>
          <w:rStyle w:val="CharStyle29"/>
          <w:lang w:eastAsia="en-US"/>
        </w:rPr>
        <w:t xml:space="preserve">, </w:t>
      </w:r>
      <w:r>
        <w:rPr>
          <w:rStyle w:val="CharStyle29"/>
          <w:rFonts w:ascii="Arial" w:hAnsi="Arial" w:cs="Arial"/>
          <w:i/>
          <w:iCs/>
          <w:sz w:val="12"/>
          <w:szCs w:val="12"/>
          <w:lang w:eastAsia="en-US"/>
        </w:rPr>
        <w:t>108</w:t>
      </w:r>
      <w:r>
        <w:rPr>
          <w:rStyle w:val="CharStyle29"/>
          <w:lang w:eastAsia="en-US"/>
        </w:rPr>
        <w:t xml:space="preserve"> (43), 17791</w:t>
      </w:r>
      <w:r>
        <w:rPr>
          <w:rStyle w:val="CharStyle29"/>
          <w:rFonts w:ascii="Arial" w:hAnsi="Arial" w:cs="Arial"/>
          <w:sz w:val="15"/>
          <w:szCs w:val="15"/>
          <w:lang w:eastAsia="en-US"/>
        </w:rPr>
        <w:t>-</w:t>
      </w:r>
      <w:r>
        <w:rPr>
          <w:rStyle w:val="CharStyle29"/>
          <w:lang w:eastAsia="en-US"/>
        </w:rPr>
        <w:t>17796.</w:t>
      </w:r>
    </w:p>
    <w:p w14:paraId="13BE684F" w14:textId="77777777" w:rsidR="00B14B05" w:rsidRDefault="00B14B05">
      <w:pPr>
        <w:pStyle w:val="Style28"/>
        <w:numPr>
          <w:ilvl w:val="0"/>
          <w:numId w:val="4"/>
        </w:numPr>
        <w:tabs>
          <w:tab w:val="left" w:pos="519"/>
        </w:tabs>
        <w:jc w:val="both"/>
        <w:rPr>
          <w:sz w:val="24"/>
          <w:szCs w:val="24"/>
        </w:rPr>
      </w:pPr>
      <w:r>
        <w:rPr>
          <w:rStyle w:val="CharStyle29"/>
          <w:lang w:eastAsia="en-US"/>
        </w:rPr>
        <w:t>Satoh, T.; Kurihara, F. N.</w:t>
      </w:r>
      <w:hyperlink r:id="rId157" w:history="1">
        <w:r>
          <w:rPr>
            <w:rStyle w:val="CharStyle29"/>
            <w:lang w:eastAsia="en-US"/>
          </w:rPr>
          <w:t xml:space="preserve"> Purification and Properties of</w:t>
        </w:r>
      </w:hyperlink>
      <w:r>
        <w:rPr>
          <w:rStyle w:val="CharStyle29"/>
          <w:lang w:eastAsia="en-US"/>
        </w:rPr>
        <w:t xml:space="preserve"> </w:t>
      </w:r>
      <w:hyperlink r:id="rId158" w:history="1">
        <w:r>
          <w:rPr>
            <w:rStyle w:val="CharStyle29"/>
            <w:lang w:eastAsia="en-US"/>
          </w:rPr>
          <w:t>Dimethylsulfoxide Reductase Containing a Molybdenum Cofactor</w:t>
        </w:r>
      </w:hyperlink>
      <w:r>
        <w:rPr>
          <w:rStyle w:val="CharStyle29"/>
          <w:lang w:eastAsia="en-US"/>
        </w:rPr>
        <w:t xml:space="preserve"> </w:t>
      </w:r>
      <w:hyperlink r:id="rId159" w:history="1">
        <w:r>
          <w:rPr>
            <w:rStyle w:val="CharStyle29"/>
            <w:lang w:eastAsia="en-US"/>
          </w:rPr>
          <w:t>from a Photodenitrifier, Rhodopseudomonas sphaeroides f.s. deni-</w:t>
        </w:r>
      </w:hyperlink>
      <w:r>
        <w:rPr>
          <w:rStyle w:val="CharStyle29"/>
          <w:lang w:eastAsia="en-US"/>
        </w:rPr>
        <w:t xml:space="preserve"> </w:t>
      </w:r>
      <w:hyperlink r:id="rId160" w:history="1">
        <w:r>
          <w:rPr>
            <w:rStyle w:val="CharStyle29"/>
            <w:lang w:eastAsia="en-US"/>
          </w:rPr>
          <w:t xml:space="preserve">trificans. </w:t>
        </w:r>
      </w:hyperlink>
      <w:r>
        <w:rPr>
          <w:rStyle w:val="CharStyle29"/>
          <w:rFonts w:ascii="Arial" w:hAnsi="Arial" w:cs="Arial"/>
          <w:i/>
          <w:iCs/>
          <w:sz w:val="12"/>
          <w:szCs w:val="12"/>
          <w:lang w:eastAsia="en-US"/>
        </w:rPr>
        <w:t>J. Biochem.</w:t>
      </w:r>
      <w:r>
        <w:rPr>
          <w:rStyle w:val="CharStyle29"/>
          <w:rFonts w:ascii="Arial" w:hAnsi="Arial" w:cs="Arial"/>
          <w:sz w:val="12"/>
          <w:szCs w:val="12"/>
          <w:lang w:eastAsia="en-US"/>
        </w:rPr>
        <w:t xml:space="preserve"> 1987</w:t>
      </w:r>
      <w:r>
        <w:rPr>
          <w:rStyle w:val="CharStyle29"/>
          <w:lang w:eastAsia="en-US"/>
        </w:rPr>
        <w:t xml:space="preserve">, </w:t>
      </w:r>
      <w:r>
        <w:rPr>
          <w:rStyle w:val="CharStyle29"/>
          <w:rFonts w:ascii="Arial" w:hAnsi="Arial" w:cs="Arial"/>
          <w:i/>
          <w:iCs/>
          <w:sz w:val="12"/>
          <w:szCs w:val="12"/>
          <w:lang w:eastAsia="en-US"/>
        </w:rPr>
        <w:t>102</w:t>
      </w:r>
      <w:r>
        <w:rPr>
          <w:rStyle w:val="CharStyle29"/>
          <w:lang w:eastAsia="en-US"/>
        </w:rPr>
        <w:t xml:space="preserve"> (1), 191</w:t>
      </w:r>
      <w:r>
        <w:rPr>
          <w:rStyle w:val="CharStyle29"/>
          <w:rFonts w:ascii="Arial" w:hAnsi="Arial" w:cs="Arial"/>
          <w:sz w:val="15"/>
          <w:szCs w:val="15"/>
          <w:lang w:eastAsia="en-US"/>
        </w:rPr>
        <w:t>-</w:t>
      </w:r>
      <w:r>
        <w:rPr>
          <w:rStyle w:val="CharStyle29"/>
          <w:lang w:eastAsia="en-US"/>
        </w:rPr>
        <w:t>197.</w:t>
      </w:r>
    </w:p>
    <w:p w14:paraId="0AB45A45" w14:textId="77777777" w:rsidR="00B14B05" w:rsidRDefault="00B14B05">
      <w:pPr>
        <w:pStyle w:val="Style28"/>
        <w:numPr>
          <w:ilvl w:val="0"/>
          <w:numId w:val="4"/>
        </w:numPr>
        <w:tabs>
          <w:tab w:val="left" w:pos="519"/>
        </w:tabs>
        <w:jc w:val="both"/>
        <w:rPr>
          <w:sz w:val="24"/>
          <w:szCs w:val="24"/>
        </w:rPr>
      </w:pPr>
      <w:r>
        <w:rPr>
          <w:rStyle w:val="CharStyle29"/>
          <w:lang w:eastAsia="en-US"/>
        </w:rPr>
        <w:t>Mu</w:t>
      </w:r>
      <w:r>
        <w:rPr>
          <w:rStyle w:val="CharStyle29"/>
          <w:rFonts w:ascii="Arial" w:hAnsi="Arial" w:cs="Arial"/>
          <w:sz w:val="15"/>
          <w:szCs w:val="15"/>
          <w:lang w:eastAsia="en-US"/>
        </w:rPr>
        <w:t>̈</w:t>
      </w:r>
      <w:r>
        <w:rPr>
          <w:rStyle w:val="CharStyle29"/>
          <w:lang w:eastAsia="en-US"/>
        </w:rPr>
        <w:t>ller, J. A.; DasSarma, S.</w:t>
      </w:r>
      <w:hyperlink r:id="rId161" w:history="1">
        <w:r>
          <w:rPr>
            <w:rStyle w:val="CharStyle29"/>
            <w:lang w:eastAsia="en-US"/>
          </w:rPr>
          <w:t xml:space="preserve"> Genomic analysis of anaerobic</w:t>
        </w:r>
      </w:hyperlink>
      <w:r>
        <w:rPr>
          <w:rStyle w:val="CharStyle29"/>
          <w:lang w:eastAsia="en-US"/>
        </w:rPr>
        <w:t xml:space="preserve"> </w:t>
      </w:r>
      <w:hyperlink r:id="rId162" w:history="1">
        <w:r>
          <w:rPr>
            <w:rStyle w:val="CharStyle29"/>
            <w:lang w:eastAsia="en-US"/>
          </w:rPr>
          <w:t>respiration in the archaeon Halobacterium sp. strain NRC-1:</w:t>
        </w:r>
      </w:hyperlink>
      <w:r>
        <w:rPr>
          <w:rStyle w:val="CharStyle29"/>
          <w:lang w:eastAsia="en-US"/>
        </w:rPr>
        <w:t xml:space="preserve"> </w:t>
      </w:r>
      <w:hyperlink r:id="rId163" w:history="1">
        <w:r>
          <w:rPr>
            <w:rStyle w:val="CharStyle29"/>
            <w:lang w:eastAsia="en-US"/>
          </w:rPr>
          <w:t>Dimethyl sulfoxide and trimethylamine N-oxide as terminal electron</w:t>
        </w:r>
      </w:hyperlink>
      <w:r>
        <w:rPr>
          <w:rStyle w:val="CharStyle29"/>
          <w:lang w:eastAsia="en-US"/>
        </w:rPr>
        <w:t xml:space="preserve"> </w:t>
      </w:r>
      <w:hyperlink r:id="rId164" w:history="1">
        <w:r>
          <w:rPr>
            <w:rStyle w:val="CharStyle29"/>
            <w:lang w:eastAsia="en-US"/>
          </w:rPr>
          <w:t>acceptors.</w:t>
        </w:r>
      </w:hyperlink>
      <w:r>
        <w:rPr>
          <w:rStyle w:val="CharStyle29"/>
          <w:lang w:eastAsia="en-US"/>
        </w:rPr>
        <w:t xml:space="preserve"> </w:t>
      </w:r>
      <w:r>
        <w:rPr>
          <w:rStyle w:val="CharStyle29"/>
          <w:rFonts w:ascii="Arial" w:hAnsi="Arial" w:cs="Arial"/>
          <w:i/>
          <w:iCs/>
          <w:sz w:val="12"/>
          <w:szCs w:val="12"/>
          <w:lang w:eastAsia="en-US"/>
        </w:rPr>
        <w:t>J. Bacteriol.</w:t>
      </w:r>
      <w:r>
        <w:rPr>
          <w:rStyle w:val="CharStyle29"/>
          <w:rFonts w:ascii="Arial" w:hAnsi="Arial" w:cs="Arial"/>
          <w:sz w:val="12"/>
          <w:szCs w:val="12"/>
          <w:lang w:eastAsia="en-US"/>
        </w:rPr>
        <w:t xml:space="preserve"> 2005</w:t>
      </w:r>
      <w:r>
        <w:rPr>
          <w:rStyle w:val="CharStyle29"/>
          <w:lang w:eastAsia="en-US"/>
        </w:rPr>
        <w:t xml:space="preserve">, </w:t>
      </w:r>
      <w:r>
        <w:rPr>
          <w:rStyle w:val="CharStyle29"/>
          <w:rFonts w:ascii="Arial" w:hAnsi="Arial" w:cs="Arial"/>
          <w:i/>
          <w:iCs/>
          <w:sz w:val="12"/>
          <w:szCs w:val="12"/>
          <w:lang w:eastAsia="en-US"/>
        </w:rPr>
        <w:t>187</w:t>
      </w:r>
      <w:r>
        <w:rPr>
          <w:rStyle w:val="CharStyle29"/>
          <w:lang w:eastAsia="en-US"/>
        </w:rPr>
        <w:t xml:space="preserve"> (5), 1659</w:t>
      </w:r>
      <w:r>
        <w:rPr>
          <w:rStyle w:val="CharStyle29"/>
          <w:rFonts w:ascii="Arial" w:hAnsi="Arial" w:cs="Arial"/>
          <w:sz w:val="15"/>
          <w:szCs w:val="15"/>
          <w:lang w:eastAsia="en-US"/>
        </w:rPr>
        <w:t>-</w:t>
      </w:r>
      <w:r>
        <w:rPr>
          <w:rStyle w:val="CharStyle29"/>
          <w:lang w:eastAsia="en-US"/>
        </w:rPr>
        <w:t>1667.</w:t>
      </w:r>
    </w:p>
    <w:p w14:paraId="43F7CC0D" w14:textId="77777777" w:rsidR="00B14B05" w:rsidRDefault="00B14B05">
      <w:pPr>
        <w:pStyle w:val="Style28"/>
        <w:numPr>
          <w:ilvl w:val="0"/>
          <w:numId w:val="4"/>
        </w:numPr>
        <w:tabs>
          <w:tab w:val="left" w:pos="519"/>
        </w:tabs>
        <w:jc w:val="both"/>
        <w:rPr>
          <w:sz w:val="24"/>
          <w:szCs w:val="24"/>
        </w:rPr>
      </w:pPr>
      <w:r>
        <w:rPr>
          <w:rStyle w:val="CharStyle29"/>
          <w:lang w:val="it-IT" w:eastAsia="it-IT"/>
        </w:rPr>
        <w:t xml:space="preserve">Carrión, </w:t>
      </w:r>
      <w:r>
        <w:rPr>
          <w:rStyle w:val="CharStyle29"/>
          <w:lang w:eastAsia="en-US"/>
        </w:rPr>
        <w:t>O.; Li, C. Y.; Peng, M.; Wang,</w:t>
      </w:r>
      <w:r>
        <w:rPr>
          <w:rStyle w:val="CharStyle29"/>
          <w:lang w:eastAsia="en-US"/>
        </w:rPr>
        <w:t xml:space="preserve"> J.; Pohnert, G.; Azizah, M.; Zhu, X. Y.; Curson, A. R. J.; Wang, Q.; Walsham, K. S.; et al. </w:t>
      </w:r>
      <w:hyperlink r:id="rId165" w:history="1">
        <w:r>
          <w:rPr>
            <w:rStyle w:val="CharStyle29"/>
            <w:lang w:eastAsia="en-US"/>
          </w:rPr>
          <w:t>DMSOP-cleaving enzymes are diverse and widely distributed in</w:t>
        </w:r>
      </w:hyperlink>
      <w:r>
        <w:rPr>
          <w:rStyle w:val="CharStyle29"/>
          <w:lang w:eastAsia="en-US"/>
        </w:rPr>
        <w:t xml:space="preserve"> </w:t>
      </w:r>
      <w:hyperlink r:id="rId166" w:history="1">
        <w:r>
          <w:rPr>
            <w:rStyle w:val="CharStyle29"/>
            <w:lang w:eastAsia="en-US"/>
          </w:rPr>
          <w:t xml:space="preserve">marine microorganisms. </w:t>
        </w:r>
      </w:hyperlink>
      <w:r>
        <w:rPr>
          <w:rStyle w:val="CharStyle29"/>
          <w:rFonts w:ascii="Arial" w:hAnsi="Arial" w:cs="Arial"/>
          <w:i/>
          <w:iCs/>
          <w:sz w:val="12"/>
          <w:szCs w:val="12"/>
          <w:lang w:eastAsia="en-US"/>
        </w:rPr>
        <w:t>Nat. Microbiol.</w:t>
      </w:r>
      <w:r>
        <w:rPr>
          <w:rStyle w:val="CharStyle29"/>
          <w:rFonts w:ascii="Arial" w:hAnsi="Arial" w:cs="Arial"/>
          <w:sz w:val="12"/>
          <w:szCs w:val="12"/>
          <w:lang w:eastAsia="en-US"/>
        </w:rPr>
        <w:t xml:space="preserve"> 2023</w:t>
      </w:r>
      <w:r>
        <w:rPr>
          <w:rStyle w:val="CharStyle29"/>
          <w:lang w:eastAsia="en-US"/>
        </w:rPr>
        <w:t xml:space="preserve">, </w:t>
      </w:r>
      <w:r>
        <w:rPr>
          <w:rStyle w:val="CharStyle29"/>
          <w:rFonts w:ascii="Arial" w:hAnsi="Arial" w:cs="Arial"/>
          <w:i/>
          <w:iCs/>
          <w:sz w:val="12"/>
          <w:szCs w:val="12"/>
          <w:lang w:eastAsia="en-US"/>
        </w:rPr>
        <w:t>8</w:t>
      </w:r>
      <w:r>
        <w:rPr>
          <w:rStyle w:val="CharStyle29"/>
          <w:lang w:eastAsia="en-US"/>
        </w:rPr>
        <w:t xml:space="preserve"> (12), 2326</w:t>
      </w:r>
      <w:r>
        <w:rPr>
          <w:rStyle w:val="CharStyle29"/>
          <w:rFonts w:ascii="Arial" w:hAnsi="Arial" w:cs="Arial"/>
          <w:sz w:val="15"/>
          <w:szCs w:val="15"/>
          <w:lang w:eastAsia="en-US"/>
        </w:rPr>
        <w:t>-</w:t>
      </w:r>
      <w:r>
        <w:rPr>
          <w:rStyle w:val="CharStyle29"/>
          <w:lang w:eastAsia="en-US"/>
        </w:rPr>
        <w:t>2337.</w:t>
      </w:r>
    </w:p>
    <w:p w14:paraId="145BF767" w14:textId="77777777" w:rsidR="00B14B05" w:rsidRDefault="00B14B05">
      <w:pPr>
        <w:pStyle w:val="Style28"/>
        <w:numPr>
          <w:ilvl w:val="0"/>
          <w:numId w:val="4"/>
        </w:numPr>
        <w:tabs>
          <w:tab w:val="left" w:pos="529"/>
        </w:tabs>
        <w:jc w:val="both"/>
        <w:rPr>
          <w:sz w:val="24"/>
          <w:szCs w:val="24"/>
        </w:rPr>
      </w:pPr>
      <w:r>
        <w:rPr>
          <w:rStyle w:val="CharStyle29"/>
          <w:lang w:eastAsia="en-US"/>
        </w:rPr>
        <w:t xml:space="preserve">Li, C. Y.; Cao, H. Y.; Wang, Q.; </w:t>
      </w:r>
      <w:r>
        <w:rPr>
          <w:rStyle w:val="CharStyle29"/>
          <w:lang w:val="it-IT" w:eastAsia="it-IT"/>
        </w:rPr>
        <w:t xml:space="preserve">Carrión, </w:t>
      </w:r>
      <w:r>
        <w:rPr>
          <w:rStyle w:val="CharStyle29"/>
          <w:lang w:eastAsia="en-US"/>
        </w:rPr>
        <w:t>O.; Zhu, X.; Miao, J.; Wang, P.; Chen, X. L.; Todd, J. D.; Zhang, Y. Z.</w:t>
      </w:r>
      <w:hyperlink r:id="rId167" w:history="1">
        <w:r>
          <w:rPr>
            <w:rStyle w:val="CharStyle29"/>
            <w:lang w:eastAsia="en-US"/>
          </w:rPr>
          <w:t xml:space="preserve"> Aerobic methylation</w:t>
        </w:r>
      </w:hyperlink>
      <w:r>
        <w:rPr>
          <w:rStyle w:val="CharStyle29"/>
          <w:lang w:eastAsia="en-US"/>
        </w:rPr>
        <w:t xml:space="preserve"> </w:t>
      </w:r>
      <w:hyperlink r:id="rId168" w:history="1">
        <w:r>
          <w:rPr>
            <w:rStyle w:val="CharStyle29"/>
            <w:lang w:eastAsia="en-US"/>
          </w:rPr>
          <w:t>of hydrogen sulfide to dimethylsulfide in diverse microorganisms and</w:t>
        </w:r>
      </w:hyperlink>
      <w:r>
        <w:rPr>
          <w:rStyle w:val="CharStyle29"/>
          <w:lang w:eastAsia="en-US"/>
        </w:rPr>
        <w:t xml:space="preserve"> </w:t>
      </w:r>
      <w:hyperlink r:id="rId169" w:history="1">
        <w:r>
          <w:rPr>
            <w:rStyle w:val="CharStyle29"/>
            <w:lang w:eastAsia="en-US"/>
          </w:rPr>
          <w:t>environments.</w:t>
        </w:r>
      </w:hyperlink>
      <w:r>
        <w:rPr>
          <w:rStyle w:val="CharStyle29"/>
          <w:lang w:eastAsia="en-US"/>
        </w:rPr>
        <w:t xml:space="preserve"> </w:t>
      </w:r>
      <w:r>
        <w:rPr>
          <w:rStyle w:val="CharStyle29"/>
          <w:rFonts w:ascii="Arial" w:hAnsi="Arial" w:cs="Arial"/>
          <w:i/>
          <w:iCs/>
          <w:sz w:val="12"/>
          <w:szCs w:val="12"/>
          <w:lang w:eastAsia="en-US"/>
        </w:rPr>
        <w:t>ISME J.</w:t>
      </w:r>
      <w:r>
        <w:rPr>
          <w:rStyle w:val="CharStyle29"/>
          <w:rFonts w:ascii="Arial" w:hAnsi="Arial" w:cs="Arial"/>
          <w:sz w:val="12"/>
          <w:szCs w:val="12"/>
          <w:lang w:eastAsia="en-US"/>
        </w:rPr>
        <w:t xml:space="preserve"> 2023</w:t>
      </w:r>
      <w:r>
        <w:rPr>
          <w:rStyle w:val="CharStyle29"/>
          <w:lang w:eastAsia="en-US"/>
        </w:rPr>
        <w:t xml:space="preserve">, </w:t>
      </w:r>
      <w:r>
        <w:rPr>
          <w:rStyle w:val="CharStyle29"/>
          <w:rFonts w:ascii="Arial" w:hAnsi="Arial" w:cs="Arial"/>
          <w:i/>
          <w:iCs/>
          <w:sz w:val="12"/>
          <w:szCs w:val="12"/>
          <w:lang w:eastAsia="en-US"/>
        </w:rPr>
        <w:t>17</w:t>
      </w:r>
      <w:r>
        <w:rPr>
          <w:rStyle w:val="CharStyle29"/>
          <w:lang w:eastAsia="en-US"/>
        </w:rPr>
        <w:t xml:space="preserve"> (8), 1184</w:t>
      </w:r>
      <w:r>
        <w:rPr>
          <w:rStyle w:val="CharStyle29"/>
          <w:rFonts w:ascii="Arial" w:hAnsi="Arial" w:cs="Arial"/>
          <w:sz w:val="15"/>
          <w:szCs w:val="15"/>
          <w:lang w:eastAsia="en-US"/>
        </w:rPr>
        <w:t>-</w:t>
      </w:r>
      <w:r>
        <w:rPr>
          <w:rStyle w:val="CharStyle29"/>
          <w:lang w:eastAsia="en-US"/>
        </w:rPr>
        <w:t>1193.</w:t>
      </w:r>
    </w:p>
    <w:p w14:paraId="272ED461" w14:textId="77777777" w:rsidR="00B14B05" w:rsidRDefault="00B14B05">
      <w:pPr>
        <w:pStyle w:val="Style28"/>
        <w:numPr>
          <w:ilvl w:val="0"/>
          <w:numId w:val="4"/>
        </w:numPr>
        <w:tabs>
          <w:tab w:val="left" w:pos="519"/>
        </w:tabs>
        <w:jc w:val="both"/>
        <w:rPr>
          <w:sz w:val="24"/>
          <w:szCs w:val="24"/>
        </w:rPr>
      </w:pPr>
      <w:r>
        <w:rPr>
          <w:rStyle w:val="CharStyle29"/>
          <w:lang w:eastAsia="en-US"/>
        </w:rPr>
        <w:t>Su, Y.; Yang, Y.; Zhu, X. Y.; Zhang, X. H.; Yu, M.</w:t>
      </w:r>
      <w:hyperlink r:id="rId170" w:history="1">
        <w:r>
          <w:rPr>
            <w:rStyle w:val="CharStyle29"/>
            <w:lang w:eastAsia="en-US"/>
          </w:rPr>
          <w:t xml:space="preserve"> Metagenomic</w:t>
        </w:r>
      </w:hyperlink>
      <w:r>
        <w:rPr>
          <w:rStyle w:val="CharStyle29"/>
          <w:lang w:eastAsia="en-US"/>
        </w:rPr>
        <w:t xml:space="preserve"> </w:t>
      </w:r>
      <w:hyperlink r:id="rId171" w:history="1">
        <w:r>
          <w:rPr>
            <w:rStyle w:val="CharStyle29"/>
            <w:lang w:eastAsia="en-US"/>
          </w:rPr>
          <w:t>Insights Into the Microbial Assemblage Capable of Quorum Sensing</w:t>
        </w:r>
      </w:hyperlink>
      <w:r>
        <w:rPr>
          <w:rStyle w:val="CharStyle29"/>
          <w:lang w:eastAsia="en-US"/>
        </w:rPr>
        <w:t xml:space="preserve"> </w:t>
      </w:r>
      <w:hyperlink r:id="rId172" w:history="1">
        <w:r>
          <w:rPr>
            <w:rStyle w:val="CharStyle29"/>
            <w:lang w:eastAsia="en-US"/>
          </w:rPr>
          <w:t>and Quorum Quenching in Particulate Organic Matter in the Yellow</w:t>
        </w:r>
      </w:hyperlink>
      <w:r>
        <w:rPr>
          <w:rStyle w:val="CharStyle29"/>
          <w:lang w:eastAsia="en-US"/>
        </w:rPr>
        <w:t xml:space="preserve"> </w:t>
      </w:r>
      <w:hyperlink r:id="rId173" w:history="1">
        <w:r>
          <w:rPr>
            <w:rStyle w:val="CharStyle29"/>
            <w:lang w:eastAsia="en-US"/>
          </w:rPr>
          <w:t>Sea.</w:t>
        </w:r>
      </w:hyperlink>
      <w:r>
        <w:rPr>
          <w:rStyle w:val="CharStyle29"/>
          <w:lang w:eastAsia="en-US"/>
        </w:rPr>
        <w:t xml:space="preserve"> </w:t>
      </w:r>
      <w:r>
        <w:rPr>
          <w:rStyle w:val="CharStyle29"/>
          <w:rFonts w:ascii="Arial" w:hAnsi="Arial" w:cs="Arial"/>
          <w:i/>
          <w:iCs/>
          <w:sz w:val="12"/>
          <w:szCs w:val="12"/>
          <w:lang w:eastAsia="en-US"/>
        </w:rPr>
        <w:t>Front. Microbiol.</w:t>
      </w:r>
      <w:r>
        <w:rPr>
          <w:rStyle w:val="CharStyle29"/>
          <w:rFonts w:ascii="Arial" w:hAnsi="Arial" w:cs="Arial"/>
          <w:sz w:val="12"/>
          <w:szCs w:val="12"/>
          <w:lang w:eastAsia="en-US"/>
        </w:rPr>
        <w:t xml:space="preserve"> 2021</w:t>
      </w:r>
      <w:r>
        <w:rPr>
          <w:rStyle w:val="CharStyle29"/>
          <w:lang w:eastAsia="en-US"/>
        </w:rPr>
        <w:t xml:space="preserve">, </w:t>
      </w:r>
      <w:r>
        <w:rPr>
          <w:rStyle w:val="CharStyle29"/>
          <w:rFonts w:ascii="Arial" w:hAnsi="Arial" w:cs="Arial"/>
          <w:i/>
          <w:iCs/>
          <w:sz w:val="12"/>
          <w:szCs w:val="12"/>
          <w:lang w:eastAsia="en-US"/>
        </w:rPr>
        <w:t>11</w:t>
      </w:r>
      <w:r>
        <w:rPr>
          <w:rStyle w:val="CharStyle29"/>
          <w:lang w:eastAsia="en-US"/>
        </w:rPr>
        <w:t>, 602010.</w:t>
      </w:r>
    </w:p>
    <w:p w14:paraId="4A965C4A" w14:textId="77777777" w:rsidR="00B14B05" w:rsidRDefault="00B14B05">
      <w:pPr>
        <w:pStyle w:val="Style28"/>
        <w:numPr>
          <w:ilvl w:val="0"/>
          <w:numId w:val="4"/>
        </w:numPr>
        <w:tabs>
          <w:tab w:val="left" w:pos="519"/>
        </w:tabs>
        <w:jc w:val="both"/>
        <w:rPr>
          <w:sz w:val="24"/>
          <w:szCs w:val="24"/>
        </w:rPr>
      </w:pPr>
      <w:r>
        <w:rPr>
          <w:rStyle w:val="CharStyle29"/>
          <w:lang w:eastAsia="en-US"/>
        </w:rPr>
        <w:t>Song, D.; Zhang, Y.; Liu, J.; Zhong, H.; Zheng, Y.; Zhou, S.; Yu, M.; Todd, J. D.; Zhang, X.-H.</w:t>
      </w:r>
      <w:hyperlink r:id="rId174" w:history="1">
        <w:r>
          <w:rPr>
            <w:rStyle w:val="CharStyle29"/>
            <w:lang w:eastAsia="en-US"/>
          </w:rPr>
          <w:t xml:space="preserve"> Metagenomic Insights Into the Cycling</w:t>
        </w:r>
      </w:hyperlink>
      <w:r>
        <w:rPr>
          <w:rStyle w:val="CharStyle29"/>
          <w:lang w:eastAsia="en-US"/>
        </w:rPr>
        <w:t xml:space="preserve"> </w:t>
      </w:r>
      <w:hyperlink r:id="rId175" w:history="1">
        <w:r>
          <w:rPr>
            <w:rStyle w:val="CharStyle29"/>
            <w:lang w:eastAsia="en-US"/>
          </w:rPr>
          <w:t xml:space="preserve">of Dimethylsulfoniopropionate </w:t>
        </w:r>
        <w:r>
          <w:rPr>
            <w:rStyle w:val="CharStyle29"/>
            <w:lang w:eastAsia="en-US"/>
          </w:rPr>
          <w:t>and Related Molecules in the Eastern</w:t>
        </w:r>
      </w:hyperlink>
      <w:r>
        <w:rPr>
          <w:rStyle w:val="CharStyle29"/>
          <w:lang w:eastAsia="en-US"/>
        </w:rPr>
        <w:t xml:space="preserve"> </w:t>
      </w:r>
      <w:hyperlink r:id="rId176" w:history="1">
        <w:r>
          <w:rPr>
            <w:rStyle w:val="CharStyle29"/>
            <w:lang w:eastAsia="en-US"/>
          </w:rPr>
          <w:t xml:space="preserve">China Marginal Seas. </w:t>
        </w:r>
      </w:hyperlink>
      <w:r>
        <w:rPr>
          <w:rStyle w:val="CharStyle29"/>
          <w:rFonts w:ascii="Arial" w:hAnsi="Arial" w:cs="Arial"/>
          <w:i/>
          <w:iCs/>
          <w:sz w:val="12"/>
          <w:szCs w:val="12"/>
          <w:lang w:eastAsia="en-US"/>
        </w:rPr>
        <w:t>Front. Microbiol.</w:t>
      </w:r>
      <w:r>
        <w:rPr>
          <w:rStyle w:val="CharStyle29"/>
          <w:rFonts w:ascii="Arial" w:hAnsi="Arial" w:cs="Arial"/>
          <w:sz w:val="12"/>
          <w:szCs w:val="12"/>
          <w:lang w:eastAsia="en-US"/>
        </w:rPr>
        <w:t xml:space="preserve"> 2020</w:t>
      </w:r>
      <w:r>
        <w:rPr>
          <w:rStyle w:val="CharStyle29"/>
          <w:lang w:eastAsia="en-US"/>
        </w:rPr>
        <w:t xml:space="preserve">, </w:t>
      </w:r>
      <w:r>
        <w:rPr>
          <w:rStyle w:val="CharStyle29"/>
          <w:rFonts w:ascii="Arial" w:hAnsi="Arial" w:cs="Arial"/>
          <w:i/>
          <w:iCs/>
          <w:sz w:val="12"/>
          <w:szCs w:val="12"/>
          <w:lang w:eastAsia="en-US"/>
        </w:rPr>
        <w:t>11</w:t>
      </w:r>
      <w:r>
        <w:rPr>
          <w:rStyle w:val="CharStyle29"/>
          <w:lang w:eastAsia="en-US"/>
        </w:rPr>
        <w:t>, 11.</w:t>
      </w:r>
    </w:p>
    <w:p w14:paraId="055F4E90" w14:textId="77777777" w:rsidR="00B14B05" w:rsidRDefault="00B14B05">
      <w:pPr>
        <w:pStyle w:val="Style28"/>
        <w:numPr>
          <w:ilvl w:val="0"/>
          <w:numId w:val="4"/>
        </w:numPr>
        <w:tabs>
          <w:tab w:val="left" w:pos="529"/>
        </w:tabs>
        <w:spacing w:line="319" w:lineRule="auto"/>
        <w:jc w:val="both"/>
        <w:rPr>
          <w:sz w:val="24"/>
          <w:szCs w:val="24"/>
        </w:rPr>
      </w:pPr>
      <w:r>
        <w:rPr>
          <w:rStyle w:val="CharStyle29"/>
          <w:lang w:eastAsia="en-US"/>
        </w:rPr>
        <w:t>Cheng, H.; Zhang, Y.; Guo, Z.; He, X.; Liu, R.; Zhu, X. Y.; Li, J.; Liu, J.; Zhang, X. H.</w:t>
      </w:r>
      <w:hyperlink r:id="rId177" w:history="1">
        <w:r>
          <w:rPr>
            <w:rStyle w:val="CharStyle29"/>
            <w:lang w:eastAsia="en-US"/>
          </w:rPr>
          <w:t xml:space="preserve"> Microbial Dimethylsulfoniopropionate</w:t>
        </w:r>
      </w:hyperlink>
      <w:r>
        <w:rPr>
          <w:rStyle w:val="CharStyle29"/>
          <w:lang w:eastAsia="en-US"/>
        </w:rPr>
        <w:t xml:space="preserve"> </w:t>
      </w:r>
      <w:hyperlink r:id="rId178" w:history="1">
        <w:r>
          <w:rPr>
            <w:rStyle w:val="CharStyle29"/>
            <w:lang w:eastAsia="en-US"/>
          </w:rPr>
          <w:t xml:space="preserve">Cycling in Deep Sediment of the Mariana Trench. </w:t>
        </w:r>
      </w:hyperlink>
      <w:r>
        <w:rPr>
          <w:rStyle w:val="CharStyle29"/>
          <w:rFonts w:ascii="Arial" w:hAnsi="Arial" w:cs="Arial"/>
          <w:i/>
          <w:iCs/>
          <w:sz w:val="12"/>
          <w:szCs w:val="12"/>
          <w:lang w:eastAsia="en-US"/>
        </w:rPr>
        <w:t>Appl. Environ. Microbiol.</w:t>
      </w:r>
      <w:r>
        <w:rPr>
          <w:rStyle w:val="CharStyle29"/>
          <w:rFonts w:ascii="Arial" w:hAnsi="Arial" w:cs="Arial"/>
          <w:sz w:val="12"/>
          <w:szCs w:val="12"/>
          <w:lang w:eastAsia="en-US"/>
        </w:rPr>
        <w:t xml:space="preserve"> 2023</w:t>
      </w:r>
      <w:r>
        <w:rPr>
          <w:rStyle w:val="CharStyle29"/>
          <w:lang w:eastAsia="en-US"/>
        </w:rPr>
        <w:t xml:space="preserve">, </w:t>
      </w:r>
      <w:r>
        <w:rPr>
          <w:rStyle w:val="CharStyle29"/>
          <w:rFonts w:ascii="Arial" w:hAnsi="Arial" w:cs="Arial"/>
          <w:i/>
          <w:iCs/>
          <w:sz w:val="12"/>
          <w:szCs w:val="12"/>
          <w:lang w:eastAsia="en-US"/>
        </w:rPr>
        <w:t>89</w:t>
      </w:r>
      <w:r>
        <w:rPr>
          <w:rStyle w:val="CharStyle29"/>
          <w:lang w:eastAsia="en-US"/>
        </w:rPr>
        <w:t xml:space="preserve"> (7), No. e0025123.</w:t>
      </w:r>
    </w:p>
    <w:p w14:paraId="3455AF53" w14:textId="77777777" w:rsidR="00B14B05" w:rsidRDefault="00B14B05">
      <w:pPr>
        <w:pStyle w:val="Style28"/>
        <w:numPr>
          <w:ilvl w:val="0"/>
          <w:numId w:val="4"/>
        </w:numPr>
        <w:tabs>
          <w:tab w:val="left" w:pos="519"/>
        </w:tabs>
        <w:jc w:val="both"/>
        <w:rPr>
          <w:sz w:val="24"/>
          <w:szCs w:val="24"/>
        </w:rPr>
      </w:pPr>
      <w:r>
        <w:rPr>
          <w:rStyle w:val="CharStyle29"/>
          <w:lang w:eastAsia="en-US"/>
        </w:rPr>
        <w:t>Williams, B. T.; Cowles, K.; Martinez, A. B.; Curson, A. R. J.; Zheng, Y.; Liu, J.; Newton-Payne, S.; Hind, A. J.; Li, C.-Y.; Rivera, P. P. L.; et al.</w:t>
      </w:r>
      <w:hyperlink r:id="rId179" w:history="1">
        <w:r>
          <w:rPr>
            <w:rStyle w:val="CharStyle29"/>
            <w:lang w:eastAsia="en-US"/>
          </w:rPr>
          <w:t xml:space="preserve"> Bacteria are important dimethylsulfoniopropionate</w:t>
        </w:r>
      </w:hyperlink>
      <w:r>
        <w:rPr>
          <w:rStyle w:val="CharStyle29"/>
          <w:lang w:eastAsia="en-US"/>
        </w:rPr>
        <w:t xml:space="preserve"> </w:t>
      </w:r>
      <w:hyperlink r:id="rId180" w:history="1">
        <w:r>
          <w:rPr>
            <w:rStyle w:val="CharStyle29"/>
            <w:lang w:eastAsia="en-US"/>
          </w:rPr>
          <w:t>producers in coastal sediments.</w:t>
        </w:r>
      </w:hyperlink>
      <w:r>
        <w:rPr>
          <w:rStyle w:val="CharStyle29"/>
          <w:lang w:eastAsia="en-US"/>
        </w:rPr>
        <w:t xml:space="preserve"> </w:t>
      </w:r>
      <w:r>
        <w:rPr>
          <w:rStyle w:val="CharStyle29"/>
          <w:rFonts w:ascii="Arial" w:hAnsi="Arial" w:cs="Arial"/>
          <w:i/>
          <w:iCs/>
          <w:sz w:val="12"/>
          <w:szCs w:val="12"/>
          <w:lang w:eastAsia="en-US"/>
        </w:rPr>
        <w:t>Nat. Microbiol.</w:t>
      </w:r>
      <w:r>
        <w:rPr>
          <w:rStyle w:val="CharStyle29"/>
          <w:rFonts w:ascii="Arial" w:hAnsi="Arial" w:cs="Arial"/>
          <w:sz w:val="12"/>
          <w:szCs w:val="12"/>
          <w:lang w:eastAsia="en-US"/>
        </w:rPr>
        <w:t xml:space="preserve"> 2019</w:t>
      </w:r>
      <w:r>
        <w:rPr>
          <w:rStyle w:val="CharStyle29"/>
          <w:lang w:eastAsia="en-US"/>
        </w:rPr>
        <w:t xml:space="preserve">, </w:t>
      </w:r>
      <w:r>
        <w:rPr>
          <w:rStyle w:val="CharStyle29"/>
          <w:rFonts w:ascii="Arial" w:hAnsi="Arial" w:cs="Arial"/>
          <w:i/>
          <w:iCs/>
          <w:sz w:val="12"/>
          <w:szCs w:val="12"/>
          <w:lang w:eastAsia="en-US"/>
        </w:rPr>
        <w:t>4</w:t>
      </w:r>
      <w:r>
        <w:rPr>
          <w:rStyle w:val="CharStyle29"/>
          <w:lang w:eastAsia="en-US"/>
        </w:rPr>
        <w:t xml:space="preserve"> (11), 1815</w:t>
      </w:r>
      <w:r>
        <w:rPr>
          <w:rStyle w:val="CharStyle29"/>
          <w:rFonts w:ascii="Arial" w:hAnsi="Arial" w:cs="Arial"/>
          <w:sz w:val="15"/>
          <w:szCs w:val="15"/>
          <w:lang w:eastAsia="en-US"/>
        </w:rPr>
        <w:softHyphen/>
      </w:r>
      <w:r>
        <w:rPr>
          <w:rStyle w:val="CharStyle29"/>
          <w:lang w:eastAsia="en-US"/>
        </w:rPr>
        <w:t>1825.</w:t>
      </w:r>
    </w:p>
    <w:p w14:paraId="5633C1CB" w14:textId="77777777" w:rsidR="00B14B05" w:rsidRDefault="00B14B05">
      <w:pPr>
        <w:pStyle w:val="Style28"/>
        <w:numPr>
          <w:ilvl w:val="0"/>
          <w:numId w:val="4"/>
        </w:numPr>
        <w:tabs>
          <w:tab w:val="left" w:pos="519"/>
        </w:tabs>
        <w:jc w:val="both"/>
        <w:rPr>
          <w:sz w:val="24"/>
          <w:szCs w:val="24"/>
        </w:rPr>
      </w:pPr>
      <w:r>
        <w:rPr>
          <w:rStyle w:val="CharStyle29"/>
          <w:lang w:eastAsia="en-US"/>
        </w:rPr>
        <w:t>Varaljay, V. A.; Howard, E. C.; Sun, S.; Moran, M. A.</w:t>
      </w:r>
      <w:hyperlink r:id="rId181" w:history="1">
        <w:r>
          <w:rPr>
            <w:rStyle w:val="CharStyle29"/>
            <w:lang w:eastAsia="en-US"/>
          </w:rPr>
          <w:t xml:space="preserve"> Deep</w:t>
        </w:r>
      </w:hyperlink>
      <w:r>
        <w:rPr>
          <w:rStyle w:val="CharStyle29"/>
          <w:lang w:eastAsia="en-US"/>
        </w:rPr>
        <w:t xml:space="preserve"> </w:t>
      </w:r>
      <w:hyperlink r:id="rId182" w:history="1">
        <w:r>
          <w:rPr>
            <w:rStyle w:val="CharStyle29"/>
            <w:lang w:eastAsia="en-US"/>
          </w:rPr>
          <w:t>Sequencing of a Dimethylsulfoniopropionate-Degrading Gene</w:t>
        </w:r>
      </w:hyperlink>
      <w:r>
        <w:rPr>
          <w:rStyle w:val="CharStyle29"/>
          <w:lang w:eastAsia="en-US"/>
        </w:rPr>
        <w:t xml:space="preserve"> </w:t>
      </w:r>
      <w:hyperlink r:id="rId183" w:history="1">
        <w:r>
          <w:rPr>
            <w:rStyle w:val="CharStyle29"/>
            <w:lang w:eastAsia="en-US"/>
          </w:rPr>
          <w:t>(dmdA) by Using PCR Primer Pairs Designed on the Basis of</w:t>
        </w:r>
      </w:hyperlink>
      <w:r>
        <w:rPr>
          <w:rStyle w:val="CharStyle29"/>
          <w:lang w:eastAsia="en-US"/>
        </w:rPr>
        <w:t xml:space="preserve"> </w:t>
      </w:r>
      <w:hyperlink r:id="rId184" w:history="1">
        <w:r>
          <w:rPr>
            <w:rStyle w:val="CharStyle29"/>
            <w:lang w:eastAsia="en-US"/>
          </w:rPr>
          <w:t xml:space="preserve">Marine Metagenomic Data. </w:t>
        </w:r>
      </w:hyperlink>
      <w:r>
        <w:rPr>
          <w:rStyle w:val="CharStyle29"/>
          <w:rFonts w:ascii="Arial" w:hAnsi="Arial" w:cs="Arial"/>
          <w:i/>
          <w:iCs/>
          <w:sz w:val="12"/>
          <w:szCs w:val="12"/>
          <w:lang w:eastAsia="en-US"/>
        </w:rPr>
        <w:t>Appl. Environ. Microbiol.</w:t>
      </w:r>
      <w:r>
        <w:rPr>
          <w:rStyle w:val="CharStyle29"/>
          <w:rFonts w:ascii="Arial" w:hAnsi="Arial" w:cs="Arial"/>
          <w:sz w:val="12"/>
          <w:szCs w:val="12"/>
          <w:lang w:eastAsia="en-US"/>
        </w:rPr>
        <w:t xml:space="preserve"> 2010</w:t>
      </w:r>
      <w:r>
        <w:rPr>
          <w:rStyle w:val="CharStyle29"/>
          <w:lang w:eastAsia="en-US"/>
        </w:rPr>
        <w:t xml:space="preserve">, </w:t>
      </w:r>
      <w:r>
        <w:rPr>
          <w:rStyle w:val="CharStyle29"/>
          <w:rFonts w:ascii="Arial" w:hAnsi="Arial" w:cs="Arial"/>
          <w:i/>
          <w:iCs/>
          <w:sz w:val="12"/>
          <w:szCs w:val="12"/>
          <w:lang w:eastAsia="en-US"/>
        </w:rPr>
        <w:t>76</w:t>
      </w:r>
      <w:r>
        <w:rPr>
          <w:rStyle w:val="CharStyle29"/>
          <w:lang w:eastAsia="en-US"/>
        </w:rPr>
        <w:t xml:space="preserve"> (2), 609</w:t>
      </w:r>
      <w:r>
        <w:rPr>
          <w:rStyle w:val="CharStyle29"/>
          <w:rFonts w:ascii="Arial" w:hAnsi="Arial" w:cs="Arial"/>
          <w:sz w:val="15"/>
          <w:szCs w:val="15"/>
          <w:lang w:eastAsia="en-US"/>
        </w:rPr>
        <w:t>-</w:t>
      </w:r>
      <w:r>
        <w:rPr>
          <w:rStyle w:val="CharStyle29"/>
          <w:lang w:eastAsia="en-US"/>
        </w:rPr>
        <w:t>617.</w:t>
      </w:r>
    </w:p>
    <w:p w14:paraId="1A9E5CE5" w14:textId="77777777" w:rsidR="00B14B05" w:rsidRDefault="00B14B05">
      <w:pPr>
        <w:pStyle w:val="Style28"/>
        <w:numPr>
          <w:ilvl w:val="0"/>
          <w:numId w:val="4"/>
        </w:numPr>
        <w:tabs>
          <w:tab w:val="left" w:pos="524"/>
        </w:tabs>
        <w:spacing w:line="319" w:lineRule="auto"/>
        <w:jc w:val="both"/>
        <w:rPr>
          <w:sz w:val="24"/>
          <w:szCs w:val="24"/>
        </w:rPr>
      </w:pPr>
      <w:r>
        <w:rPr>
          <w:rStyle w:val="CharStyle29"/>
          <w:lang w:eastAsia="en-US"/>
        </w:rPr>
        <w:t>Liu, J.; Liu, J.; Zhang, S.-H.; Liang, J.; Lin, H.; Song, D.; Yang, G.-P.; Todd, J. D.; Zhang, X.-H.</w:t>
      </w:r>
      <w:hyperlink r:id="rId185" w:history="1">
        <w:r>
          <w:rPr>
            <w:rStyle w:val="CharStyle29"/>
            <w:lang w:eastAsia="en-US"/>
          </w:rPr>
          <w:t xml:space="preserve"> Novel Insights Into Bacterial</w:t>
        </w:r>
      </w:hyperlink>
      <w:r>
        <w:rPr>
          <w:rStyle w:val="CharStyle29"/>
          <w:lang w:eastAsia="en-US"/>
        </w:rPr>
        <w:t xml:space="preserve"> </w:t>
      </w:r>
      <w:hyperlink r:id="rId186" w:history="1">
        <w:r>
          <w:rPr>
            <w:rStyle w:val="CharStyle29"/>
            <w:lang w:eastAsia="en-US"/>
          </w:rPr>
          <w:t>Dimethylsulfoniopropionate Catabolism in the East China Sea.</w:t>
        </w:r>
      </w:hyperlink>
      <w:r>
        <w:rPr>
          <w:rStyle w:val="CharStyle29"/>
          <w:lang w:eastAsia="en-US"/>
        </w:rPr>
        <w:t xml:space="preserve"> </w:t>
      </w:r>
      <w:r>
        <w:rPr>
          <w:rStyle w:val="CharStyle29"/>
          <w:rFonts w:ascii="Arial" w:hAnsi="Arial" w:cs="Arial"/>
          <w:i/>
          <w:iCs/>
          <w:sz w:val="12"/>
          <w:szCs w:val="12"/>
          <w:lang w:eastAsia="en-US"/>
        </w:rPr>
        <w:t>Front. Microbiol.</w:t>
      </w:r>
      <w:r>
        <w:rPr>
          <w:rStyle w:val="CharStyle29"/>
          <w:rFonts w:ascii="Arial" w:hAnsi="Arial" w:cs="Arial"/>
          <w:sz w:val="12"/>
          <w:szCs w:val="12"/>
          <w:lang w:eastAsia="en-US"/>
        </w:rPr>
        <w:t xml:space="preserve"> 2018</w:t>
      </w:r>
      <w:r>
        <w:rPr>
          <w:rStyle w:val="CharStyle29"/>
          <w:lang w:eastAsia="en-US"/>
        </w:rPr>
        <w:t xml:space="preserve">, </w:t>
      </w:r>
      <w:r>
        <w:rPr>
          <w:rStyle w:val="CharStyle29"/>
          <w:rFonts w:ascii="Arial" w:hAnsi="Arial" w:cs="Arial"/>
          <w:i/>
          <w:iCs/>
          <w:sz w:val="12"/>
          <w:szCs w:val="12"/>
          <w:lang w:eastAsia="en-US"/>
        </w:rPr>
        <w:t>9</w:t>
      </w:r>
      <w:r>
        <w:rPr>
          <w:rStyle w:val="CharStyle29"/>
          <w:lang w:eastAsia="en-US"/>
        </w:rPr>
        <w:t>, 3206.</w:t>
      </w:r>
    </w:p>
    <w:p w14:paraId="485E6FFE" w14:textId="77777777" w:rsidR="00B14B05" w:rsidRDefault="00B14B05">
      <w:pPr>
        <w:pStyle w:val="Style28"/>
        <w:numPr>
          <w:ilvl w:val="0"/>
          <w:numId w:val="4"/>
        </w:numPr>
        <w:tabs>
          <w:tab w:val="left" w:pos="519"/>
        </w:tabs>
        <w:spacing w:line="319" w:lineRule="auto"/>
        <w:jc w:val="both"/>
        <w:rPr>
          <w:sz w:val="24"/>
          <w:szCs w:val="24"/>
        </w:rPr>
      </w:pPr>
      <w:r>
        <w:rPr>
          <w:rStyle w:val="CharStyle29"/>
          <w:lang w:eastAsia="en-US"/>
        </w:rPr>
        <w:t xml:space="preserve">Wang, F.-H.; Qiao, M.; Su, J.-Q.; Chen, Z.; Zhou, X.; Zhu, Y.- G. High Throughput Profiling of Antibiotic Resistance Genes in Urban Park Soils with Reclaimed Water Irrigation. </w:t>
      </w:r>
      <w:r>
        <w:rPr>
          <w:rStyle w:val="CharStyle29"/>
          <w:rFonts w:ascii="Arial" w:hAnsi="Arial" w:cs="Arial"/>
          <w:i/>
          <w:iCs/>
          <w:sz w:val="12"/>
          <w:szCs w:val="12"/>
          <w:lang w:eastAsia="en-US"/>
        </w:rPr>
        <w:t>Environ. Sci. Technol.</w:t>
      </w:r>
      <w:r>
        <w:rPr>
          <w:rStyle w:val="CharStyle29"/>
          <w:rFonts w:ascii="Arial" w:hAnsi="Arial" w:cs="Arial"/>
          <w:sz w:val="12"/>
          <w:szCs w:val="12"/>
          <w:lang w:eastAsia="en-US"/>
        </w:rPr>
        <w:t xml:space="preserve"> 2014</w:t>
      </w:r>
      <w:r>
        <w:rPr>
          <w:rStyle w:val="CharStyle29"/>
          <w:lang w:eastAsia="en-US"/>
        </w:rPr>
        <w:t xml:space="preserve">, </w:t>
      </w:r>
      <w:r>
        <w:rPr>
          <w:rStyle w:val="CharStyle29"/>
          <w:rFonts w:ascii="Arial" w:hAnsi="Arial" w:cs="Arial"/>
          <w:i/>
          <w:iCs/>
          <w:sz w:val="12"/>
          <w:szCs w:val="12"/>
          <w:lang w:eastAsia="en-US"/>
        </w:rPr>
        <w:t>48</w:t>
      </w:r>
      <w:r>
        <w:rPr>
          <w:rStyle w:val="CharStyle29"/>
          <w:lang w:eastAsia="en-US"/>
        </w:rPr>
        <w:t xml:space="preserve"> (16), 9079</w:t>
      </w:r>
      <w:r>
        <w:rPr>
          <w:rStyle w:val="CharStyle29"/>
          <w:rFonts w:ascii="Arial" w:hAnsi="Arial" w:cs="Arial"/>
          <w:sz w:val="15"/>
          <w:szCs w:val="15"/>
          <w:lang w:eastAsia="en-US"/>
        </w:rPr>
        <w:t>-</w:t>
      </w:r>
      <w:r>
        <w:rPr>
          <w:rStyle w:val="CharStyle29"/>
          <w:lang w:eastAsia="en-US"/>
        </w:rPr>
        <w:t>9085.</w:t>
      </w:r>
    </w:p>
    <w:p w14:paraId="69FB42F4" w14:textId="77777777" w:rsidR="00B14B05" w:rsidRDefault="00B14B05">
      <w:pPr>
        <w:pStyle w:val="Style28"/>
        <w:numPr>
          <w:ilvl w:val="0"/>
          <w:numId w:val="4"/>
        </w:numPr>
        <w:tabs>
          <w:tab w:val="left" w:pos="524"/>
        </w:tabs>
        <w:jc w:val="both"/>
        <w:rPr>
          <w:sz w:val="24"/>
          <w:szCs w:val="24"/>
        </w:rPr>
      </w:pPr>
      <w:r>
        <w:rPr>
          <w:rStyle w:val="CharStyle29"/>
          <w:lang w:eastAsia="en-US"/>
        </w:rPr>
        <w:t xml:space="preserve">Zhao, Y.; Su, J. Q.; Ye, J.; Rensing, C.; Tardif, S.; Zhu, Y. G.; Brandt, K. K. AsChip: A High-Throughput qPCR Chip for Comprehensive Profiling of Genes Linked to Microbial Cycling of Arsenic. </w:t>
      </w:r>
      <w:r>
        <w:rPr>
          <w:rStyle w:val="CharStyle29"/>
          <w:rFonts w:ascii="Arial" w:hAnsi="Arial" w:cs="Arial"/>
          <w:i/>
          <w:iCs/>
          <w:sz w:val="12"/>
          <w:szCs w:val="12"/>
          <w:lang w:eastAsia="en-US"/>
        </w:rPr>
        <w:t>Environ. Sci. Technol.</w:t>
      </w:r>
      <w:r>
        <w:rPr>
          <w:rStyle w:val="CharStyle29"/>
          <w:rFonts w:ascii="Arial" w:hAnsi="Arial" w:cs="Arial"/>
          <w:sz w:val="12"/>
          <w:szCs w:val="12"/>
          <w:lang w:eastAsia="en-US"/>
        </w:rPr>
        <w:t xml:space="preserve"> 2019</w:t>
      </w:r>
      <w:r>
        <w:rPr>
          <w:rStyle w:val="CharStyle29"/>
          <w:lang w:eastAsia="en-US"/>
        </w:rPr>
        <w:t xml:space="preserve">, </w:t>
      </w:r>
      <w:r>
        <w:rPr>
          <w:rStyle w:val="CharStyle29"/>
          <w:rFonts w:ascii="Arial" w:hAnsi="Arial" w:cs="Arial"/>
          <w:i/>
          <w:iCs/>
          <w:sz w:val="12"/>
          <w:szCs w:val="12"/>
          <w:lang w:eastAsia="en-US"/>
        </w:rPr>
        <w:t>53</w:t>
      </w:r>
      <w:r>
        <w:rPr>
          <w:rStyle w:val="CharStyle29"/>
          <w:lang w:eastAsia="en-US"/>
        </w:rPr>
        <w:t xml:space="preserve"> (2), 798</w:t>
      </w:r>
      <w:r>
        <w:rPr>
          <w:rStyle w:val="CharStyle29"/>
          <w:rFonts w:ascii="Arial" w:hAnsi="Arial" w:cs="Arial"/>
          <w:sz w:val="15"/>
          <w:szCs w:val="15"/>
          <w:lang w:eastAsia="en-US"/>
        </w:rPr>
        <w:t>-</w:t>
      </w:r>
      <w:r>
        <w:rPr>
          <w:rStyle w:val="CharStyle29"/>
          <w:lang w:eastAsia="en-US"/>
        </w:rPr>
        <w:t>807.</w:t>
      </w:r>
    </w:p>
    <w:p w14:paraId="6744891E" w14:textId="77777777" w:rsidR="00B14B05" w:rsidRDefault="00B14B05">
      <w:pPr>
        <w:pStyle w:val="Style28"/>
        <w:numPr>
          <w:ilvl w:val="0"/>
          <w:numId w:val="4"/>
        </w:numPr>
        <w:tabs>
          <w:tab w:val="left" w:pos="519"/>
        </w:tabs>
        <w:spacing w:line="319" w:lineRule="auto"/>
        <w:jc w:val="both"/>
        <w:rPr>
          <w:sz w:val="24"/>
          <w:szCs w:val="24"/>
        </w:rPr>
      </w:pPr>
      <w:r>
        <w:rPr>
          <w:rStyle w:val="CharStyle29"/>
          <w:lang w:eastAsia="en-US"/>
        </w:rPr>
        <w:lastRenderedPageBreak/>
        <w:t>Zheng, B.; Zhu, Y.; Sardans, J.; Pen</w:t>
      </w:r>
      <w:r>
        <w:rPr>
          <w:rStyle w:val="CharStyle29"/>
          <w:rFonts w:ascii="Arial" w:hAnsi="Arial" w:cs="Arial"/>
          <w:sz w:val="15"/>
          <w:szCs w:val="15"/>
          <w:lang w:eastAsia="en-US"/>
        </w:rPr>
        <w:t>̃</w:t>
      </w:r>
      <w:r>
        <w:rPr>
          <w:rStyle w:val="CharStyle29"/>
          <w:lang w:eastAsia="en-US"/>
        </w:rPr>
        <w:t>uelas, J.; Su, J.</w:t>
      </w:r>
      <w:hyperlink r:id="rId187" w:history="1">
        <w:r>
          <w:rPr>
            <w:rStyle w:val="CharStyle29"/>
            <w:lang w:eastAsia="en-US"/>
          </w:rPr>
          <w:t xml:space="preserve"> QMEC: A</w:t>
        </w:r>
      </w:hyperlink>
      <w:r>
        <w:rPr>
          <w:rStyle w:val="CharStyle29"/>
          <w:lang w:eastAsia="en-US"/>
        </w:rPr>
        <w:t xml:space="preserve"> </w:t>
      </w:r>
      <w:hyperlink r:id="rId188" w:history="1">
        <w:r>
          <w:rPr>
            <w:rStyle w:val="CharStyle29"/>
            <w:lang w:eastAsia="en-US"/>
          </w:rPr>
          <w:t>tool for high-throughput quantitative assessment of microbial</w:t>
        </w:r>
      </w:hyperlink>
      <w:r>
        <w:rPr>
          <w:rStyle w:val="CharStyle29"/>
          <w:lang w:eastAsia="en-US"/>
        </w:rPr>
        <w:t xml:space="preserve"> </w:t>
      </w:r>
      <w:hyperlink r:id="rId189" w:history="1">
        <w:r>
          <w:rPr>
            <w:rStyle w:val="CharStyle29"/>
            <w:lang w:eastAsia="en-US"/>
          </w:rPr>
          <w:t xml:space="preserve">functional potential in C, N, P, and S biogeochemical cycling. </w:t>
        </w:r>
      </w:hyperlink>
      <w:r>
        <w:rPr>
          <w:rStyle w:val="CharStyle29"/>
          <w:rFonts w:ascii="Arial" w:hAnsi="Arial" w:cs="Arial"/>
          <w:i/>
          <w:iCs/>
          <w:sz w:val="12"/>
          <w:szCs w:val="12"/>
          <w:lang w:eastAsia="en-US"/>
        </w:rPr>
        <w:t>Sci. China Life Sci.</w:t>
      </w:r>
      <w:r>
        <w:rPr>
          <w:rStyle w:val="CharStyle29"/>
          <w:rFonts w:ascii="Arial" w:hAnsi="Arial" w:cs="Arial"/>
          <w:sz w:val="12"/>
          <w:szCs w:val="12"/>
          <w:lang w:eastAsia="en-US"/>
        </w:rPr>
        <w:t xml:space="preserve"> 2018</w:t>
      </w:r>
      <w:r>
        <w:rPr>
          <w:rStyle w:val="CharStyle29"/>
          <w:lang w:eastAsia="en-US"/>
        </w:rPr>
        <w:t xml:space="preserve">, </w:t>
      </w:r>
      <w:r>
        <w:rPr>
          <w:rStyle w:val="CharStyle29"/>
          <w:rFonts w:ascii="Arial" w:hAnsi="Arial" w:cs="Arial"/>
          <w:i/>
          <w:iCs/>
          <w:sz w:val="12"/>
          <w:szCs w:val="12"/>
          <w:lang w:eastAsia="en-US"/>
        </w:rPr>
        <w:t>61</w:t>
      </w:r>
      <w:r>
        <w:rPr>
          <w:rStyle w:val="CharStyle29"/>
          <w:lang w:eastAsia="en-US"/>
        </w:rPr>
        <w:t xml:space="preserve"> (12), 1451</w:t>
      </w:r>
      <w:r>
        <w:rPr>
          <w:rStyle w:val="CharStyle29"/>
          <w:rFonts w:ascii="Arial" w:hAnsi="Arial" w:cs="Arial"/>
          <w:sz w:val="15"/>
          <w:szCs w:val="15"/>
          <w:lang w:eastAsia="en-US"/>
        </w:rPr>
        <w:t>-</w:t>
      </w:r>
      <w:r>
        <w:rPr>
          <w:rStyle w:val="CharStyle29"/>
          <w:lang w:eastAsia="en-US"/>
        </w:rPr>
        <w:t>1462.</w:t>
      </w:r>
    </w:p>
    <w:p w14:paraId="4B4D351D" w14:textId="77777777" w:rsidR="00B14B05" w:rsidRDefault="00B14B05">
      <w:pPr>
        <w:pStyle w:val="Style28"/>
        <w:numPr>
          <w:ilvl w:val="0"/>
          <w:numId w:val="4"/>
        </w:numPr>
        <w:tabs>
          <w:tab w:val="left" w:pos="439"/>
        </w:tabs>
        <w:jc w:val="both"/>
        <w:rPr>
          <w:sz w:val="24"/>
          <w:szCs w:val="24"/>
        </w:rPr>
      </w:pPr>
      <w:r>
        <w:rPr>
          <w:rStyle w:val="CharStyle29"/>
          <w:lang w:eastAsia="en-US"/>
        </w:rPr>
        <w:t>Xie, S. -T.; Ding, L. J.; Huang,</w:t>
      </w:r>
      <w:r>
        <w:rPr>
          <w:rStyle w:val="CharStyle29"/>
          <w:lang w:eastAsia="en-US"/>
        </w:rPr>
        <w:t xml:space="preserve"> F. -Y.; Zhao, Y.; An, X. L.; Su, J. -Q.; Sun, G. -X.; Song, Y. -Q.; Zhu, Y. -G.</w:t>
      </w:r>
      <w:hyperlink r:id="rId190" w:history="1">
        <w:r>
          <w:rPr>
            <w:rStyle w:val="CharStyle29"/>
            <w:lang w:eastAsia="en-US"/>
          </w:rPr>
          <w:t xml:space="preserve"> VFG-Chip: A high-</w:t>
        </w:r>
      </w:hyperlink>
      <w:r>
        <w:rPr>
          <w:rStyle w:val="CharStyle29"/>
          <w:lang w:eastAsia="en-US"/>
        </w:rPr>
        <w:t xml:space="preserve"> </w:t>
      </w:r>
      <w:hyperlink r:id="rId191" w:history="1">
        <w:r>
          <w:rPr>
            <w:rStyle w:val="CharStyle29"/>
            <w:lang w:eastAsia="en-US"/>
          </w:rPr>
          <w:t>throughput qPCR microarray for profiling virulence factor genes from</w:t>
        </w:r>
      </w:hyperlink>
      <w:r>
        <w:rPr>
          <w:rStyle w:val="CharStyle29"/>
          <w:lang w:eastAsia="en-US"/>
        </w:rPr>
        <w:t xml:space="preserve"> </w:t>
      </w:r>
      <w:hyperlink r:id="rId192" w:history="1">
        <w:r>
          <w:rPr>
            <w:rStyle w:val="CharStyle29"/>
            <w:lang w:eastAsia="en-US"/>
          </w:rPr>
          <w:t xml:space="preserve">the environment. </w:t>
        </w:r>
      </w:hyperlink>
      <w:r>
        <w:rPr>
          <w:rStyle w:val="CharStyle29"/>
          <w:rFonts w:ascii="Arial" w:hAnsi="Arial" w:cs="Arial"/>
          <w:i/>
          <w:iCs/>
          <w:sz w:val="12"/>
          <w:szCs w:val="12"/>
          <w:lang w:eastAsia="en-US"/>
        </w:rPr>
        <w:t>Environ. Int.</w:t>
      </w:r>
      <w:r>
        <w:rPr>
          <w:rStyle w:val="CharStyle29"/>
          <w:rFonts w:ascii="Arial" w:hAnsi="Arial" w:cs="Arial"/>
          <w:sz w:val="12"/>
          <w:szCs w:val="12"/>
          <w:lang w:eastAsia="en-US"/>
        </w:rPr>
        <w:t xml:space="preserve"> 2023</w:t>
      </w:r>
      <w:r>
        <w:rPr>
          <w:rStyle w:val="CharStyle29"/>
          <w:lang w:eastAsia="en-US"/>
        </w:rPr>
        <w:t xml:space="preserve">, </w:t>
      </w:r>
      <w:r>
        <w:rPr>
          <w:rStyle w:val="CharStyle29"/>
          <w:rFonts w:ascii="Arial" w:hAnsi="Arial" w:cs="Arial"/>
          <w:i/>
          <w:iCs/>
          <w:sz w:val="12"/>
          <w:szCs w:val="12"/>
          <w:lang w:eastAsia="en-US"/>
        </w:rPr>
        <w:t>172</w:t>
      </w:r>
      <w:r>
        <w:rPr>
          <w:rStyle w:val="CharStyle29"/>
          <w:lang w:eastAsia="en-US"/>
        </w:rPr>
        <w:t>, 107761.</w:t>
      </w:r>
    </w:p>
    <w:p w14:paraId="6BFB84FB" w14:textId="77777777" w:rsidR="00B14B05" w:rsidRDefault="00B14B05">
      <w:pPr>
        <w:pStyle w:val="Style28"/>
        <w:numPr>
          <w:ilvl w:val="0"/>
          <w:numId w:val="4"/>
        </w:numPr>
        <w:tabs>
          <w:tab w:val="left" w:pos="439"/>
        </w:tabs>
        <w:jc w:val="both"/>
        <w:rPr>
          <w:sz w:val="24"/>
          <w:szCs w:val="24"/>
        </w:rPr>
      </w:pPr>
      <w:r>
        <w:rPr>
          <w:rStyle w:val="CharStyle29"/>
          <w:lang w:eastAsia="en-US"/>
        </w:rPr>
        <w:t>Tuo, J.; Shen, Y.; Jia, S.; Liu, S.; Zhang, Q.; Wang, D.; He, X.; Liu, P.; Zhang, X.-X.</w:t>
      </w:r>
      <w:hyperlink r:id="rId193" w:history="1">
        <w:r>
          <w:rPr>
            <w:rStyle w:val="CharStyle29"/>
            <w:lang w:eastAsia="en-US"/>
          </w:rPr>
          <w:t xml:space="preserve"> HPB-Chip: An accurate high-throughput qPCR-</w:t>
        </w:r>
      </w:hyperlink>
      <w:r>
        <w:rPr>
          <w:rStyle w:val="CharStyle29"/>
          <w:lang w:eastAsia="en-US"/>
        </w:rPr>
        <w:t xml:space="preserve"> </w:t>
      </w:r>
      <w:hyperlink r:id="rId194" w:history="1">
        <w:r>
          <w:rPr>
            <w:rStyle w:val="CharStyle29"/>
            <w:lang w:eastAsia="en-US"/>
          </w:rPr>
          <w:t>based tool for rapidly profiling waterborne human pathogenic bacteria</w:t>
        </w:r>
      </w:hyperlink>
      <w:r>
        <w:rPr>
          <w:rStyle w:val="CharStyle29"/>
          <w:lang w:eastAsia="en-US"/>
        </w:rPr>
        <w:t xml:space="preserve"> </w:t>
      </w:r>
      <w:hyperlink r:id="rId195" w:history="1">
        <w:r>
          <w:rPr>
            <w:rStyle w:val="CharStyle29"/>
            <w:lang w:eastAsia="en-US"/>
          </w:rPr>
          <w:t>in the environment.</w:t>
        </w:r>
      </w:hyperlink>
      <w:r>
        <w:rPr>
          <w:rStyle w:val="CharStyle29"/>
          <w:lang w:eastAsia="en-US"/>
        </w:rPr>
        <w:t xml:space="preserve"> </w:t>
      </w:r>
      <w:r>
        <w:rPr>
          <w:rStyle w:val="CharStyle29"/>
          <w:rFonts w:ascii="Arial" w:hAnsi="Arial" w:cs="Arial"/>
          <w:i/>
          <w:iCs/>
          <w:sz w:val="12"/>
          <w:szCs w:val="12"/>
          <w:lang w:eastAsia="en-US"/>
        </w:rPr>
        <w:t>Water Res.</w:t>
      </w:r>
      <w:r>
        <w:rPr>
          <w:rStyle w:val="CharStyle29"/>
          <w:rFonts w:ascii="Arial" w:hAnsi="Arial" w:cs="Arial"/>
          <w:sz w:val="12"/>
          <w:szCs w:val="12"/>
          <w:lang w:eastAsia="en-US"/>
        </w:rPr>
        <w:t xml:space="preserve"> 2024</w:t>
      </w:r>
      <w:r>
        <w:rPr>
          <w:rStyle w:val="CharStyle29"/>
          <w:lang w:eastAsia="en-US"/>
        </w:rPr>
        <w:t xml:space="preserve">, </w:t>
      </w:r>
      <w:r>
        <w:rPr>
          <w:rStyle w:val="CharStyle29"/>
          <w:rFonts w:ascii="Arial" w:hAnsi="Arial" w:cs="Arial"/>
          <w:i/>
          <w:iCs/>
          <w:sz w:val="12"/>
          <w:szCs w:val="12"/>
          <w:lang w:eastAsia="en-US"/>
        </w:rPr>
        <w:t>260</w:t>
      </w:r>
      <w:r>
        <w:rPr>
          <w:rStyle w:val="CharStyle29"/>
          <w:lang w:eastAsia="en-US"/>
        </w:rPr>
        <w:t>, 121927.</w:t>
      </w:r>
    </w:p>
    <w:p w14:paraId="2B297D28" w14:textId="77777777" w:rsidR="00B14B05" w:rsidRDefault="00B14B05">
      <w:pPr>
        <w:pStyle w:val="Style28"/>
        <w:numPr>
          <w:ilvl w:val="0"/>
          <w:numId w:val="4"/>
        </w:numPr>
        <w:tabs>
          <w:tab w:val="left" w:pos="514"/>
        </w:tabs>
        <w:jc w:val="both"/>
        <w:rPr>
          <w:sz w:val="24"/>
          <w:szCs w:val="24"/>
        </w:rPr>
      </w:pPr>
      <w:r>
        <w:rPr>
          <w:rStyle w:val="CharStyle29"/>
          <w:lang w:eastAsia="en-US"/>
        </w:rPr>
        <w:t xml:space="preserve">Zhu, J.; Huang, Q.; Peng, X.; Zhou, X.; Gao, S.; Li, Y.; Luo, X.; Zhao, Y.; Rensing, C.; Su, J.; et al. MRG Chip: A High-Throughput </w:t>
      </w:r>
      <w:r>
        <w:rPr>
          <w:rStyle w:val="CharStyle29"/>
          <w:lang w:eastAsia="en-US"/>
        </w:rPr>
        <w:t xml:space="preserve">qPCR-Based Tool for Assessment of the Heavy Metal(loid) Resistome. </w:t>
      </w:r>
      <w:r>
        <w:rPr>
          <w:rStyle w:val="CharStyle29"/>
          <w:rFonts w:ascii="Arial" w:hAnsi="Arial" w:cs="Arial"/>
          <w:i/>
          <w:iCs/>
          <w:sz w:val="12"/>
          <w:szCs w:val="12"/>
          <w:lang w:eastAsia="en-US"/>
        </w:rPr>
        <w:t>Environ. Sci. Technol.</w:t>
      </w:r>
      <w:r>
        <w:rPr>
          <w:rStyle w:val="CharStyle29"/>
          <w:rFonts w:ascii="Arial" w:hAnsi="Arial" w:cs="Arial"/>
          <w:sz w:val="12"/>
          <w:szCs w:val="12"/>
          <w:lang w:eastAsia="en-US"/>
        </w:rPr>
        <w:t xml:space="preserve"> 2022</w:t>
      </w:r>
      <w:r>
        <w:rPr>
          <w:rStyle w:val="CharStyle29"/>
          <w:lang w:eastAsia="en-US"/>
        </w:rPr>
        <w:t xml:space="preserve">, </w:t>
      </w:r>
      <w:r>
        <w:rPr>
          <w:rStyle w:val="CharStyle29"/>
          <w:rFonts w:ascii="Arial" w:hAnsi="Arial" w:cs="Arial"/>
          <w:i/>
          <w:iCs/>
          <w:sz w:val="12"/>
          <w:szCs w:val="12"/>
          <w:lang w:eastAsia="en-US"/>
        </w:rPr>
        <w:t>56</w:t>
      </w:r>
      <w:r>
        <w:rPr>
          <w:rStyle w:val="CharStyle29"/>
          <w:lang w:eastAsia="en-US"/>
        </w:rPr>
        <w:t xml:space="preserve"> (15), 10656</w:t>
      </w:r>
      <w:r>
        <w:rPr>
          <w:rStyle w:val="CharStyle29"/>
          <w:rFonts w:ascii="Arial" w:hAnsi="Arial" w:cs="Arial"/>
          <w:sz w:val="15"/>
          <w:szCs w:val="15"/>
          <w:lang w:eastAsia="en-US"/>
        </w:rPr>
        <w:t>-</w:t>
      </w:r>
      <w:r>
        <w:rPr>
          <w:rStyle w:val="CharStyle29"/>
          <w:lang w:eastAsia="en-US"/>
        </w:rPr>
        <w:t>10667.</w:t>
      </w:r>
    </w:p>
    <w:p w14:paraId="71B337A0" w14:textId="77777777" w:rsidR="00B14B05" w:rsidRDefault="00B14B05">
      <w:pPr>
        <w:pStyle w:val="Style28"/>
        <w:numPr>
          <w:ilvl w:val="0"/>
          <w:numId w:val="4"/>
        </w:numPr>
        <w:tabs>
          <w:tab w:val="left" w:pos="524"/>
        </w:tabs>
        <w:spacing w:line="326" w:lineRule="auto"/>
        <w:jc w:val="both"/>
        <w:rPr>
          <w:sz w:val="24"/>
          <w:szCs w:val="24"/>
        </w:rPr>
      </w:pPr>
      <w:r>
        <w:rPr>
          <w:rStyle w:val="CharStyle29"/>
          <w:lang w:eastAsia="en-US"/>
        </w:rPr>
        <w:t>Li, H.-Q.; Xu, M.-R.; An, X.-L.; Liao, H.; Li, L.-J.; Li, W.; Su, J.-</w:t>
      </w:r>
    </w:p>
    <w:p w14:paraId="0369FC00" w14:textId="77777777" w:rsidR="00B14B05" w:rsidRDefault="00B14B05">
      <w:pPr>
        <w:pStyle w:val="Style28"/>
        <w:tabs>
          <w:tab w:val="left" w:pos="524"/>
        </w:tabs>
        <w:spacing w:line="326" w:lineRule="auto"/>
        <w:jc w:val="both"/>
        <w:rPr>
          <w:sz w:val="24"/>
          <w:szCs w:val="24"/>
        </w:rPr>
      </w:pPr>
      <w:r>
        <w:rPr>
          <w:rStyle w:val="CharStyle29"/>
          <w:lang w:eastAsia="en-US"/>
        </w:rPr>
        <w:t>Q.</w:t>
      </w:r>
      <w:hyperlink r:id="rId196" w:history="1">
        <w:r>
          <w:rPr>
            <w:rStyle w:val="CharStyle29"/>
            <w:lang w:eastAsia="en-US"/>
          </w:rPr>
          <w:t xml:space="preserve"> High-risk ARGs (HRA) Chip: A high-throughput qPCR-based</w:t>
        </w:r>
      </w:hyperlink>
      <w:r>
        <w:rPr>
          <w:rStyle w:val="CharStyle29"/>
          <w:lang w:eastAsia="en-US"/>
        </w:rPr>
        <w:t xml:space="preserve"> </w:t>
      </w:r>
      <w:hyperlink r:id="rId197" w:history="1">
        <w:r>
          <w:rPr>
            <w:rStyle w:val="CharStyle29"/>
            <w:lang w:eastAsia="en-US"/>
          </w:rPr>
          <w:t xml:space="preserve">array for assessment of high-risk ARGs from the environment. </w:t>
        </w:r>
      </w:hyperlink>
      <w:r>
        <w:rPr>
          <w:rStyle w:val="CharStyle29"/>
          <w:rFonts w:ascii="Arial" w:hAnsi="Arial" w:cs="Arial"/>
          <w:i/>
          <w:iCs/>
          <w:sz w:val="12"/>
          <w:szCs w:val="12"/>
          <w:lang w:eastAsia="en-US"/>
        </w:rPr>
        <w:t>Water Res.</w:t>
      </w:r>
      <w:r>
        <w:rPr>
          <w:rStyle w:val="CharStyle29"/>
          <w:rFonts w:ascii="Arial" w:hAnsi="Arial" w:cs="Arial"/>
          <w:sz w:val="12"/>
          <w:szCs w:val="12"/>
          <w:lang w:eastAsia="en-US"/>
        </w:rPr>
        <w:t xml:space="preserve"> 2024</w:t>
      </w:r>
      <w:r>
        <w:rPr>
          <w:rStyle w:val="CharStyle29"/>
          <w:lang w:eastAsia="en-US"/>
        </w:rPr>
        <w:t xml:space="preserve">, </w:t>
      </w:r>
      <w:r>
        <w:rPr>
          <w:rStyle w:val="CharStyle29"/>
          <w:rFonts w:ascii="Arial" w:hAnsi="Arial" w:cs="Arial"/>
          <w:i/>
          <w:iCs/>
          <w:sz w:val="12"/>
          <w:szCs w:val="12"/>
          <w:lang w:eastAsia="en-US"/>
        </w:rPr>
        <w:t>262</w:t>
      </w:r>
      <w:r>
        <w:rPr>
          <w:rStyle w:val="CharStyle29"/>
          <w:lang w:eastAsia="en-US"/>
        </w:rPr>
        <w:t>, 122106.</w:t>
      </w:r>
    </w:p>
    <w:p w14:paraId="13F53DAE" w14:textId="77777777" w:rsidR="00B14B05" w:rsidRDefault="00B14B05">
      <w:pPr>
        <w:pStyle w:val="Style28"/>
        <w:numPr>
          <w:ilvl w:val="0"/>
          <w:numId w:val="4"/>
        </w:numPr>
        <w:tabs>
          <w:tab w:val="left" w:pos="529"/>
        </w:tabs>
        <w:spacing w:line="324" w:lineRule="auto"/>
        <w:jc w:val="both"/>
        <w:rPr>
          <w:sz w:val="24"/>
          <w:szCs w:val="24"/>
        </w:rPr>
      </w:pPr>
      <w:r>
        <w:rPr>
          <w:rStyle w:val="CharStyle29"/>
          <w:lang w:eastAsia="en-US"/>
        </w:rPr>
        <w:t>Trottmann, F.; Ishida, K.; Franke, J.; Stanisi</w:t>
      </w:r>
      <w:r>
        <w:rPr>
          <w:rStyle w:val="CharStyle29"/>
          <w:rFonts w:ascii="Arial" w:hAnsi="Arial" w:cs="Arial"/>
          <w:sz w:val="15"/>
          <w:szCs w:val="15"/>
          <w:lang w:eastAsia="en-US"/>
        </w:rPr>
        <w:t>̌</w:t>
      </w:r>
      <w:r>
        <w:rPr>
          <w:rStyle w:val="CharStyle29"/>
          <w:rFonts w:ascii="Arial" w:hAnsi="Arial" w:cs="Arial"/>
          <w:sz w:val="15"/>
          <w:szCs w:val="15"/>
          <w:lang w:eastAsia="en-US"/>
        </w:rPr>
        <w:t xml:space="preserve"> </w:t>
      </w:r>
      <w:r>
        <w:rPr>
          <w:rStyle w:val="CharStyle29"/>
          <w:lang w:eastAsia="en-US"/>
        </w:rPr>
        <w:t>c,</w:t>
      </w:r>
      <w:r>
        <w:rPr>
          <w:rStyle w:val="CharStyle29"/>
          <w:rFonts w:ascii="Arial" w:hAnsi="Arial" w:cs="Arial"/>
          <w:sz w:val="15"/>
          <w:szCs w:val="15"/>
          <w:lang w:eastAsia="en-US"/>
        </w:rPr>
        <w:t>́</w:t>
      </w:r>
      <w:r>
        <w:rPr>
          <w:rStyle w:val="CharStyle29"/>
          <w:rFonts w:ascii="Arial" w:hAnsi="Arial" w:cs="Arial"/>
          <w:sz w:val="15"/>
          <w:szCs w:val="15"/>
          <w:lang w:eastAsia="en-US"/>
        </w:rPr>
        <w:t xml:space="preserve"> </w:t>
      </w:r>
      <w:r>
        <w:rPr>
          <w:rStyle w:val="CharStyle29"/>
          <w:lang w:eastAsia="en-US"/>
        </w:rPr>
        <w:t>A.; Ishida-Ito, M.; Kries, H.; Pohnert, G.; Hertweck, C.</w:t>
      </w:r>
      <w:hyperlink r:id="rId198" w:history="1">
        <w:r>
          <w:rPr>
            <w:rStyle w:val="CharStyle29"/>
            <w:lang w:eastAsia="en-US"/>
          </w:rPr>
          <w:t xml:space="preserve"> Sulfonium Acids Loaded onto an</w:t>
        </w:r>
      </w:hyperlink>
      <w:r>
        <w:rPr>
          <w:rStyle w:val="CharStyle29"/>
          <w:lang w:eastAsia="en-US"/>
        </w:rPr>
        <w:t xml:space="preserve"> </w:t>
      </w:r>
      <w:hyperlink r:id="rId199" w:history="1">
        <w:r>
          <w:rPr>
            <w:rStyle w:val="CharStyle29"/>
            <w:lang w:eastAsia="en-US"/>
          </w:rPr>
          <w:t>Unusual Thiotemplate Assembly Line Construct the Cyclopropanol</w:t>
        </w:r>
      </w:hyperlink>
      <w:r>
        <w:rPr>
          <w:rStyle w:val="CharStyle29"/>
          <w:lang w:eastAsia="en-US"/>
        </w:rPr>
        <w:t xml:space="preserve"> </w:t>
      </w:r>
      <w:hyperlink r:id="rId200" w:history="1">
        <w:r>
          <w:rPr>
            <w:rStyle w:val="CharStyle29"/>
            <w:lang w:eastAsia="en-US"/>
          </w:rPr>
          <w:t xml:space="preserve">Warhead of a Burkholderia Virulence Factor. </w:t>
        </w:r>
      </w:hyperlink>
      <w:r>
        <w:rPr>
          <w:rStyle w:val="CharStyle29"/>
          <w:rFonts w:ascii="Arial" w:hAnsi="Arial" w:cs="Arial"/>
          <w:i/>
          <w:iCs/>
          <w:sz w:val="12"/>
          <w:szCs w:val="12"/>
          <w:lang w:eastAsia="en-US"/>
        </w:rPr>
        <w:t xml:space="preserve">Angew. Chem., Int. Ed. </w:t>
      </w:r>
      <w:r>
        <w:rPr>
          <w:rStyle w:val="CharStyle29"/>
          <w:rFonts w:ascii="Arial" w:hAnsi="Arial" w:cs="Arial"/>
          <w:sz w:val="12"/>
          <w:szCs w:val="12"/>
          <w:lang w:eastAsia="en-US"/>
        </w:rPr>
        <w:t>2020</w:t>
      </w:r>
      <w:r>
        <w:rPr>
          <w:rStyle w:val="CharStyle29"/>
          <w:lang w:eastAsia="en-US"/>
        </w:rPr>
        <w:t xml:space="preserve">, </w:t>
      </w:r>
      <w:r>
        <w:rPr>
          <w:rStyle w:val="CharStyle29"/>
          <w:rFonts w:ascii="Arial" w:hAnsi="Arial" w:cs="Arial"/>
          <w:i/>
          <w:iCs/>
          <w:sz w:val="12"/>
          <w:szCs w:val="12"/>
          <w:lang w:eastAsia="en-US"/>
        </w:rPr>
        <w:t>59</w:t>
      </w:r>
      <w:r>
        <w:rPr>
          <w:rStyle w:val="CharStyle29"/>
          <w:lang w:eastAsia="en-US"/>
        </w:rPr>
        <w:t xml:space="preserve"> (32), 13511</w:t>
      </w:r>
      <w:r>
        <w:rPr>
          <w:rStyle w:val="CharStyle29"/>
          <w:rFonts w:ascii="Arial" w:hAnsi="Arial" w:cs="Arial"/>
          <w:sz w:val="15"/>
          <w:szCs w:val="15"/>
          <w:lang w:eastAsia="en-US"/>
        </w:rPr>
        <w:t>-</w:t>
      </w:r>
      <w:r>
        <w:rPr>
          <w:rStyle w:val="CharStyle29"/>
          <w:lang w:eastAsia="en-US"/>
        </w:rPr>
        <w:t>13515.</w:t>
      </w:r>
    </w:p>
    <w:p w14:paraId="424C0019" w14:textId="77777777" w:rsidR="00B14B05" w:rsidRDefault="00B14B05">
      <w:pPr>
        <w:pStyle w:val="Style28"/>
        <w:numPr>
          <w:ilvl w:val="0"/>
          <w:numId w:val="4"/>
        </w:numPr>
        <w:tabs>
          <w:tab w:val="left" w:pos="519"/>
        </w:tabs>
        <w:spacing w:line="326" w:lineRule="auto"/>
        <w:jc w:val="both"/>
        <w:rPr>
          <w:sz w:val="24"/>
          <w:szCs w:val="24"/>
        </w:rPr>
      </w:pPr>
      <w:r>
        <w:rPr>
          <w:rStyle w:val="CharStyle29"/>
          <w:lang w:eastAsia="en-US"/>
        </w:rPr>
        <w:t>Reisch, C. R.; Stoudemayer, M. J.; Varaljay, V. A.; Amster, I. J.; Moran, M. A.; Whitman, W. B.</w:t>
      </w:r>
      <w:hyperlink r:id="rId201" w:history="1">
        <w:r>
          <w:rPr>
            <w:rStyle w:val="CharStyle29"/>
            <w:lang w:eastAsia="en-US"/>
          </w:rPr>
          <w:t xml:space="preserve"> Novel pathway for assimilation of</w:t>
        </w:r>
      </w:hyperlink>
      <w:r>
        <w:rPr>
          <w:rStyle w:val="CharStyle29"/>
          <w:lang w:eastAsia="en-US"/>
        </w:rPr>
        <w:t xml:space="preserve"> </w:t>
      </w:r>
      <w:hyperlink r:id="rId202" w:history="1">
        <w:r>
          <w:rPr>
            <w:rStyle w:val="CharStyle29"/>
            <w:lang w:eastAsia="en-US"/>
          </w:rPr>
          <w:t xml:space="preserve">dimethylsulphoniopropionate widespread in marine bacteria. </w:t>
        </w:r>
      </w:hyperlink>
      <w:r>
        <w:rPr>
          <w:rStyle w:val="CharStyle29"/>
          <w:rFonts w:ascii="Arial" w:hAnsi="Arial" w:cs="Arial"/>
          <w:i/>
          <w:iCs/>
          <w:sz w:val="12"/>
          <w:szCs w:val="12"/>
          <w:lang w:eastAsia="en-US"/>
        </w:rPr>
        <w:t xml:space="preserve">Nature </w:t>
      </w:r>
      <w:r>
        <w:rPr>
          <w:rStyle w:val="CharStyle29"/>
          <w:rFonts w:ascii="Arial" w:hAnsi="Arial" w:cs="Arial"/>
          <w:sz w:val="12"/>
          <w:szCs w:val="12"/>
          <w:lang w:eastAsia="en-US"/>
        </w:rPr>
        <w:t>2011</w:t>
      </w:r>
      <w:r>
        <w:rPr>
          <w:rStyle w:val="CharStyle29"/>
          <w:lang w:eastAsia="en-US"/>
        </w:rPr>
        <w:t xml:space="preserve">, </w:t>
      </w:r>
      <w:r>
        <w:rPr>
          <w:rStyle w:val="CharStyle29"/>
          <w:rFonts w:ascii="Arial" w:hAnsi="Arial" w:cs="Arial"/>
          <w:i/>
          <w:iCs/>
          <w:sz w:val="12"/>
          <w:szCs w:val="12"/>
          <w:lang w:eastAsia="en-US"/>
        </w:rPr>
        <w:t>473</w:t>
      </w:r>
      <w:r>
        <w:rPr>
          <w:rStyle w:val="CharStyle29"/>
          <w:lang w:eastAsia="en-US"/>
        </w:rPr>
        <w:t xml:space="preserve"> (7346), 208</w:t>
      </w:r>
      <w:r>
        <w:rPr>
          <w:rStyle w:val="CharStyle29"/>
          <w:rFonts w:ascii="Arial" w:hAnsi="Arial" w:cs="Arial"/>
          <w:sz w:val="15"/>
          <w:szCs w:val="15"/>
          <w:lang w:eastAsia="en-US"/>
        </w:rPr>
        <w:t>-</w:t>
      </w:r>
      <w:r>
        <w:rPr>
          <w:rStyle w:val="CharStyle29"/>
          <w:lang w:eastAsia="en-US"/>
        </w:rPr>
        <w:t>211.</w:t>
      </w:r>
    </w:p>
    <w:p w14:paraId="78AC8849" w14:textId="77777777" w:rsidR="00B14B05" w:rsidRDefault="00B14B05">
      <w:pPr>
        <w:pStyle w:val="Style28"/>
        <w:numPr>
          <w:ilvl w:val="0"/>
          <w:numId w:val="4"/>
        </w:numPr>
        <w:tabs>
          <w:tab w:val="left" w:pos="529"/>
        </w:tabs>
        <w:spacing w:line="322" w:lineRule="auto"/>
        <w:jc w:val="both"/>
        <w:rPr>
          <w:sz w:val="24"/>
          <w:szCs w:val="24"/>
        </w:rPr>
      </w:pPr>
      <w:r>
        <w:rPr>
          <w:rStyle w:val="CharStyle29"/>
          <w:lang w:eastAsia="en-US"/>
        </w:rPr>
        <w:t>Todd, J. D.; Curson, A. R. J.; Nikolaidou-Katsaraidou, N.; Brearley, C. A.; Watmough, N. J.; Chan, Y.; Page, P. C. B.; Sun, L.; Johnston, A. W. B.</w:t>
      </w:r>
      <w:hyperlink r:id="rId203" w:history="1">
        <w:r>
          <w:rPr>
            <w:rStyle w:val="CharStyle29"/>
            <w:lang w:eastAsia="en-US"/>
          </w:rPr>
          <w:t xml:space="preserve"> Molecular dissection of bacterial acrylate</w:t>
        </w:r>
      </w:hyperlink>
      <w:r>
        <w:rPr>
          <w:rStyle w:val="CharStyle29"/>
          <w:lang w:eastAsia="en-US"/>
        </w:rPr>
        <w:t xml:space="preserve"> </w:t>
      </w:r>
      <w:hyperlink r:id="rId204" w:history="1">
        <w:r>
          <w:rPr>
            <w:rStyle w:val="CharStyle29"/>
            <w:lang w:eastAsia="en-US"/>
          </w:rPr>
          <w:t>catabolism - unexpected links with dimethylsulfoniopropionate</w:t>
        </w:r>
      </w:hyperlink>
      <w:r>
        <w:rPr>
          <w:rStyle w:val="CharStyle29"/>
          <w:lang w:eastAsia="en-US"/>
        </w:rPr>
        <w:t xml:space="preserve"> </w:t>
      </w:r>
      <w:hyperlink r:id="rId205" w:history="1">
        <w:r>
          <w:rPr>
            <w:rStyle w:val="CharStyle29"/>
            <w:lang w:eastAsia="en-US"/>
          </w:rPr>
          <w:t xml:space="preserve">catabolism and dimethyl sulfide production. </w:t>
        </w:r>
      </w:hyperlink>
      <w:r>
        <w:rPr>
          <w:rStyle w:val="CharStyle29"/>
          <w:rFonts w:ascii="Arial" w:hAnsi="Arial" w:cs="Arial"/>
          <w:i/>
          <w:iCs/>
          <w:sz w:val="12"/>
          <w:szCs w:val="12"/>
          <w:lang w:eastAsia="en-US"/>
        </w:rPr>
        <w:t xml:space="preserve">Environ. Microbiol. </w:t>
      </w:r>
      <w:r>
        <w:rPr>
          <w:rStyle w:val="CharStyle29"/>
          <w:rFonts w:ascii="Arial" w:hAnsi="Arial" w:cs="Arial"/>
          <w:sz w:val="12"/>
          <w:szCs w:val="12"/>
          <w:lang w:eastAsia="en-US"/>
        </w:rPr>
        <w:t>2010</w:t>
      </w:r>
      <w:r>
        <w:rPr>
          <w:rStyle w:val="CharStyle29"/>
          <w:lang w:eastAsia="en-US"/>
        </w:rPr>
        <w:t xml:space="preserve">, </w:t>
      </w:r>
      <w:r>
        <w:rPr>
          <w:rStyle w:val="CharStyle29"/>
          <w:rFonts w:ascii="Arial" w:hAnsi="Arial" w:cs="Arial"/>
          <w:i/>
          <w:iCs/>
          <w:sz w:val="12"/>
          <w:szCs w:val="12"/>
          <w:lang w:eastAsia="en-US"/>
        </w:rPr>
        <w:t>12</w:t>
      </w:r>
      <w:r>
        <w:rPr>
          <w:rStyle w:val="CharStyle29"/>
          <w:lang w:eastAsia="en-US"/>
        </w:rPr>
        <w:t xml:space="preserve"> (2), 327</w:t>
      </w:r>
      <w:r>
        <w:rPr>
          <w:rStyle w:val="CharStyle29"/>
          <w:rFonts w:ascii="Arial" w:hAnsi="Arial" w:cs="Arial"/>
          <w:sz w:val="15"/>
          <w:szCs w:val="15"/>
          <w:lang w:eastAsia="en-US"/>
        </w:rPr>
        <w:t>-</w:t>
      </w:r>
      <w:r>
        <w:rPr>
          <w:rStyle w:val="CharStyle29"/>
          <w:lang w:eastAsia="en-US"/>
        </w:rPr>
        <w:t>343.</w:t>
      </w:r>
    </w:p>
    <w:p w14:paraId="0DF5441F" w14:textId="77777777" w:rsidR="00B14B05" w:rsidRDefault="00B14B05">
      <w:pPr>
        <w:pStyle w:val="Style28"/>
        <w:numPr>
          <w:ilvl w:val="0"/>
          <w:numId w:val="4"/>
        </w:numPr>
        <w:tabs>
          <w:tab w:val="left" w:pos="524"/>
        </w:tabs>
        <w:spacing w:line="324" w:lineRule="auto"/>
        <w:jc w:val="both"/>
        <w:rPr>
          <w:sz w:val="24"/>
          <w:szCs w:val="24"/>
        </w:rPr>
      </w:pPr>
      <w:r>
        <w:rPr>
          <w:rStyle w:val="CharStyle29"/>
          <w:lang w:eastAsia="en-US"/>
        </w:rPr>
        <w:t>Eyice, O.; Myronova, N.; Pol, A.; Carrion, O.; Todd, J. D.; Smith, T. J.; Gurman, S. J.; Cuthbertson, A.; Mazard, S.; Mennink- Kersten, M. A. S. H.; et al.</w:t>
      </w:r>
      <w:hyperlink r:id="rId206" w:history="1">
        <w:r>
          <w:rPr>
            <w:rStyle w:val="CharStyle29"/>
            <w:lang w:eastAsia="en-US"/>
          </w:rPr>
          <w:t xml:space="preserve"> Bacterial SBP56 identified as a Cu-</w:t>
        </w:r>
      </w:hyperlink>
      <w:r>
        <w:rPr>
          <w:rStyle w:val="CharStyle29"/>
          <w:lang w:eastAsia="en-US"/>
        </w:rPr>
        <w:t xml:space="preserve"> </w:t>
      </w:r>
      <w:hyperlink r:id="rId207" w:history="1">
        <w:r>
          <w:rPr>
            <w:rStyle w:val="CharStyle29"/>
            <w:lang w:eastAsia="en-US"/>
          </w:rPr>
          <w:t>dependent methanethiol oxidase widely distributed in the biosphere.</w:t>
        </w:r>
      </w:hyperlink>
      <w:r>
        <w:rPr>
          <w:rStyle w:val="CharStyle29"/>
          <w:lang w:eastAsia="en-US"/>
        </w:rPr>
        <w:t xml:space="preserve"> </w:t>
      </w:r>
      <w:r>
        <w:rPr>
          <w:rStyle w:val="CharStyle29"/>
          <w:rFonts w:ascii="Arial" w:hAnsi="Arial" w:cs="Arial"/>
          <w:i/>
          <w:iCs/>
          <w:sz w:val="12"/>
          <w:szCs w:val="12"/>
          <w:lang w:eastAsia="en-US"/>
        </w:rPr>
        <w:t>ISME J.</w:t>
      </w:r>
      <w:r>
        <w:rPr>
          <w:rStyle w:val="CharStyle29"/>
          <w:rFonts w:ascii="Arial" w:hAnsi="Arial" w:cs="Arial"/>
          <w:sz w:val="12"/>
          <w:szCs w:val="12"/>
          <w:lang w:eastAsia="en-US"/>
        </w:rPr>
        <w:t xml:space="preserve"> 2018</w:t>
      </w:r>
      <w:r>
        <w:rPr>
          <w:rStyle w:val="CharStyle29"/>
          <w:lang w:eastAsia="en-US"/>
        </w:rPr>
        <w:t xml:space="preserve">, </w:t>
      </w:r>
      <w:r>
        <w:rPr>
          <w:rStyle w:val="CharStyle29"/>
          <w:rFonts w:ascii="Arial" w:hAnsi="Arial" w:cs="Arial"/>
          <w:i/>
          <w:iCs/>
          <w:sz w:val="12"/>
          <w:szCs w:val="12"/>
          <w:lang w:eastAsia="en-US"/>
        </w:rPr>
        <w:t>12</w:t>
      </w:r>
      <w:r>
        <w:rPr>
          <w:rStyle w:val="CharStyle29"/>
          <w:lang w:eastAsia="en-US"/>
        </w:rPr>
        <w:t xml:space="preserve"> (1), 145</w:t>
      </w:r>
      <w:r>
        <w:rPr>
          <w:rStyle w:val="CharStyle29"/>
          <w:rFonts w:ascii="Arial" w:hAnsi="Arial" w:cs="Arial"/>
          <w:sz w:val="15"/>
          <w:szCs w:val="15"/>
          <w:lang w:eastAsia="en-US"/>
        </w:rPr>
        <w:t>-</w:t>
      </w:r>
      <w:r>
        <w:rPr>
          <w:rStyle w:val="CharStyle29"/>
          <w:lang w:eastAsia="en-US"/>
        </w:rPr>
        <w:t>160.</w:t>
      </w:r>
    </w:p>
    <w:p w14:paraId="15430672" w14:textId="77777777" w:rsidR="00B14B05" w:rsidRDefault="00B14B05">
      <w:pPr>
        <w:pStyle w:val="Style28"/>
        <w:numPr>
          <w:ilvl w:val="0"/>
          <w:numId w:val="4"/>
        </w:numPr>
        <w:tabs>
          <w:tab w:val="left" w:pos="524"/>
        </w:tabs>
        <w:spacing w:line="326" w:lineRule="auto"/>
        <w:jc w:val="both"/>
        <w:rPr>
          <w:sz w:val="24"/>
          <w:szCs w:val="24"/>
        </w:rPr>
      </w:pPr>
      <w:r>
        <w:rPr>
          <w:rStyle w:val="CharStyle29"/>
          <w:lang w:eastAsia="en-US"/>
        </w:rPr>
        <w:t>Paul, L.; Krzycki, J. A.</w:t>
      </w:r>
      <w:hyperlink r:id="rId208" w:history="1">
        <w:r>
          <w:rPr>
            <w:rStyle w:val="CharStyle29"/>
            <w:lang w:eastAsia="en-US"/>
          </w:rPr>
          <w:t xml:space="preserve"> Sequence and transcript analysis of a</w:t>
        </w:r>
      </w:hyperlink>
      <w:r>
        <w:rPr>
          <w:rStyle w:val="CharStyle29"/>
          <w:lang w:eastAsia="en-US"/>
        </w:rPr>
        <w:t xml:space="preserve"> </w:t>
      </w:r>
      <w:hyperlink r:id="rId209" w:history="1">
        <w:r>
          <w:rPr>
            <w:rStyle w:val="CharStyle29"/>
            <w:lang w:eastAsia="en-US"/>
          </w:rPr>
          <w:t>novel Methanosarcina barkeri methyltransferase II homolog and its</w:t>
        </w:r>
      </w:hyperlink>
      <w:r>
        <w:rPr>
          <w:rStyle w:val="CharStyle29"/>
          <w:lang w:eastAsia="en-US"/>
        </w:rPr>
        <w:t xml:space="preserve"> </w:t>
      </w:r>
      <w:hyperlink r:id="rId210" w:history="1">
        <w:r>
          <w:rPr>
            <w:rStyle w:val="CharStyle29"/>
            <w:lang w:eastAsia="en-US"/>
          </w:rPr>
          <w:t xml:space="preserve">associated corrinoid protein homologous to methionine synthase. </w:t>
        </w:r>
      </w:hyperlink>
      <w:r>
        <w:rPr>
          <w:rStyle w:val="CharStyle29"/>
          <w:rFonts w:ascii="Arial" w:hAnsi="Arial" w:cs="Arial"/>
          <w:i/>
          <w:iCs/>
          <w:sz w:val="12"/>
          <w:szCs w:val="12"/>
          <w:lang w:eastAsia="en-US"/>
        </w:rPr>
        <w:t>J. Bacteriol.</w:t>
      </w:r>
      <w:r>
        <w:rPr>
          <w:rStyle w:val="CharStyle29"/>
          <w:rFonts w:ascii="Arial" w:hAnsi="Arial" w:cs="Arial"/>
          <w:sz w:val="12"/>
          <w:szCs w:val="12"/>
          <w:lang w:eastAsia="en-US"/>
        </w:rPr>
        <w:t xml:space="preserve"> 1996</w:t>
      </w:r>
      <w:r>
        <w:rPr>
          <w:rStyle w:val="CharStyle29"/>
          <w:lang w:eastAsia="en-US"/>
        </w:rPr>
        <w:t xml:space="preserve">, </w:t>
      </w:r>
      <w:r>
        <w:rPr>
          <w:rStyle w:val="CharStyle29"/>
          <w:rFonts w:ascii="Arial" w:hAnsi="Arial" w:cs="Arial"/>
          <w:i/>
          <w:iCs/>
          <w:sz w:val="12"/>
          <w:szCs w:val="12"/>
          <w:lang w:eastAsia="en-US"/>
        </w:rPr>
        <w:t>178</w:t>
      </w:r>
      <w:r>
        <w:rPr>
          <w:rStyle w:val="CharStyle29"/>
          <w:lang w:eastAsia="en-US"/>
        </w:rPr>
        <w:t xml:space="preserve"> (22), 6599</w:t>
      </w:r>
      <w:r>
        <w:rPr>
          <w:rStyle w:val="CharStyle29"/>
          <w:rFonts w:ascii="Arial" w:hAnsi="Arial" w:cs="Arial"/>
          <w:sz w:val="15"/>
          <w:szCs w:val="15"/>
          <w:lang w:eastAsia="en-US"/>
        </w:rPr>
        <w:t>-</w:t>
      </w:r>
      <w:r>
        <w:rPr>
          <w:rStyle w:val="CharStyle29"/>
          <w:lang w:eastAsia="en-US"/>
        </w:rPr>
        <w:t>6607.</w:t>
      </w:r>
    </w:p>
    <w:p w14:paraId="475B0B32" w14:textId="77777777" w:rsidR="00B14B05" w:rsidRDefault="00B14B05">
      <w:pPr>
        <w:pStyle w:val="Style28"/>
        <w:numPr>
          <w:ilvl w:val="0"/>
          <w:numId w:val="4"/>
        </w:numPr>
        <w:tabs>
          <w:tab w:val="left" w:pos="519"/>
        </w:tabs>
        <w:spacing w:line="326" w:lineRule="auto"/>
        <w:jc w:val="both"/>
        <w:rPr>
          <w:sz w:val="24"/>
          <w:szCs w:val="24"/>
        </w:rPr>
      </w:pPr>
      <w:r>
        <w:rPr>
          <w:rStyle w:val="CharStyle29"/>
          <w:lang w:eastAsia="en-US"/>
        </w:rPr>
        <w:t>Boden, R.; Borodina, E.; Wood, A. P.; Kelly, D. P.; Murrell, J. C.; Schäfer, H.</w:t>
      </w:r>
      <w:hyperlink r:id="rId211" w:history="1">
        <w:r>
          <w:rPr>
            <w:rStyle w:val="CharStyle29"/>
            <w:lang w:eastAsia="en-US"/>
          </w:rPr>
          <w:t xml:space="preserve"> Purification and characterization of dimethylsulfide</w:t>
        </w:r>
      </w:hyperlink>
      <w:r>
        <w:rPr>
          <w:rStyle w:val="CharStyle29"/>
          <w:lang w:eastAsia="en-US"/>
        </w:rPr>
        <w:t xml:space="preserve"> </w:t>
      </w:r>
      <w:hyperlink r:id="rId212" w:history="1">
        <w:r>
          <w:rPr>
            <w:rStyle w:val="CharStyle29"/>
            <w:lang w:eastAsia="en-US"/>
          </w:rPr>
          <w:t>monooxygenase from Hyphomicrobium sulfonivorans.</w:t>
        </w:r>
      </w:hyperlink>
      <w:r>
        <w:rPr>
          <w:rStyle w:val="CharStyle29"/>
          <w:lang w:eastAsia="en-US"/>
        </w:rPr>
        <w:t xml:space="preserve"> </w:t>
      </w:r>
      <w:r>
        <w:rPr>
          <w:rStyle w:val="CharStyle29"/>
          <w:rFonts w:ascii="Arial" w:hAnsi="Arial" w:cs="Arial"/>
          <w:i/>
          <w:iCs/>
          <w:sz w:val="12"/>
          <w:szCs w:val="12"/>
          <w:lang w:eastAsia="en-US"/>
        </w:rPr>
        <w:t xml:space="preserve">J. Bacteriol. </w:t>
      </w:r>
      <w:r>
        <w:rPr>
          <w:rStyle w:val="CharStyle29"/>
          <w:rFonts w:ascii="Arial" w:hAnsi="Arial" w:cs="Arial"/>
          <w:sz w:val="12"/>
          <w:szCs w:val="12"/>
          <w:lang w:eastAsia="en-US"/>
        </w:rPr>
        <w:t>2011</w:t>
      </w:r>
      <w:r>
        <w:rPr>
          <w:rStyle w:val="CharStyle29"/>
          <w:lang w:eastAsia="en-US"/>
        </w:rPr>
        <w:t xml:space="preserve">, </w:t>
      </w:r>
      <w:r>
        <w:rPr>
          <w:rStyle w:val="CharStyle29"/>
          <w:rFonts w:ascii="Arial" w:hAnsi="Arial" w:cs="Arial"/>
          <w:i/>
          <w:iCs/>
          <w:sz w:val="12"/>
          <w:szCs w:val="12"/>
          <w:lang w:eastAsia="en-US"/>
        </w:rPr>
        <w:t>193</w:t>
      </w:r>
      <w:r>
        <w:rPr>
          <w:rStyle w:val="CharStyle29"/>
          <w:lang w:eastAsia="en-US"/>
        </w:rPr>
        <w:t xml:space="preserve"> (5), 1250</w:t>
      </w:r>
      <w:r>
        <w:rPr>
          <w:rStyle w:val="CharStyle29"/>
          <w:rFonts w:ascii="Arial" w:hAnsi="Arial" w:cs="Arial"/>
          <w:sz w:val="15"/>
          <w:szCs w:val="15"/>
          <w:lang w:eastAsia="en-US"/>
        </w:rPr>
        <w:t>-</w:t>
      </w:r>
      <w:r>
        <w:rPr>
          <w:rStyle w:val="CharStyle29"/>
          <w:lang w:eastAsia="en-US"/>
        </w:rPr>
        <w:t>1258.</w:t>
      </w:r>
    </w:p>
    <w:p w14:paraId="0AC95775" w14:textId="77777777" w:rsidR="00B14B05" w:rsidRDefault="00B14B05">
      <w:pPr>
        <w:pStyle w:val="Style28"/>
        <w:numPr>
          <w:ilvl w:val="0"/>
          <w:numId w:val="4"/>
        </w:numPr>
        <w:tabs>
          <w:tab w:val="left" w:pos="519"/>
        </w:tabs>
        <w:spacing w:line="314" w:lineRule="auto"/>
        <w:jc w:val="both"/>
        <w:rPr>
          <w:sz w:val="24"/>
          <w:szCs w:val="24"/>
        </w:rPr>
      </w:pPr>
      <w:r>
        <w:rPr>
          <w:rStyle w:val="CharStyle29"/>
          <w:lang w:eastAsia="en-US"/>
        </w:rPr>
        <w:t>Finn, R. D.; Clements, J.; Eddy, S. R.</w:t>
      </w:r>
      <w:hyperlink r:id="rId213" w:history="1">
        <w:r>
          <w:rPr>
            <w:rStyle w:val="CharStyle29"/>
            <w:lang w:eastAsia="en-US"/>
          </w:rPr>
          <w:t xml:space="preserve"> HMMER web server:</w:t>
        </w:r>
      </w:hyperlink>
      <w:r>
        <w:rPr>
          <w:rStyle w:val="CharStyle29"/>
          <w:lang w:eastAsia="en-US"/>
        </w:rPr>
        <w:t xml:space="preserve"> </w:t>
      </w:r>
      <w:hyperlink r:id="rId214" w:history="1">
        <w:r>
          <w:rPr>
            <w:rStyle w:val="CharStyle29"/>
            <w:lang w:eastAsia="en-US"/>
          </w:rPr>
          <w:t xml:space="preserve">Interactive sequence similarity searching. </w:t>
        </w:r>
      </w:hyperlink>
      <w:r>
        <w:rPr>
          <w:rStyle w:val="CharStyle29"/>
          <w:rFonts w:ascii="Arial" w:hAnsi="Arial" w:cs="Arial"/>
          <w:i/>
          <w:iCs/>
          <w:sz w:val="12"/>
          <w:szCs w:val="12"/>
          <w:lang w:eastAsia="en-US"/>
        </w:rPr>
        <w:t>Nucleic Acids Res.</w:t>
      </w:r>
      <w:r>
        <w:rPr>
          <w:rStyle w:val="CharStyle29"/>
          <w:rFonts w:ascii="Arial" w:hAnsi="Arial" w:cs="Arial"/>
          <w:sz w:val="12"/>
          <w:szCs w:val="12"/>
          <w:lang w:eastAsia="en-US"/>
        </w:rPr>
        <w:t xml:space="preserve"> 2011</w:t>
      </w:r>
      <w:r>
        <w:rPr>
          <w:rStyle w:val="CharStyle29"/>
          <w:lang w:eastAsia="en-US"/>
        </w:rPr>
        <w:t xml:space="preserve">, </w:t>
      </w:r>
      <w:r>
        <w:rPr>
          <w:rStyle w:val="CharStyle29"/>
          <w:rFonts w:ascii="Arial" w:hAnsi="Arial" w:cs="Arial"/>
          <w:i/>
          <w:iCs/>
          <w:sz w:val="12"/>
          <w:szCs w:val="12"/>
          <w:lang w:eastAsia="en-US"/>
        </w:rPr>
        <w:t xml:space="preserve">39 </w:t>
      </w:r>
      <w:r>
        <w:rPr>
          <w:rStyle w:val="CharStyle29"/>
          <w:lang w:eastAsia="en-US"/>
        </w:rPr>
        <w:t>(Web Server issue), W29</w:t>
      </w:r>
      <w:r>
        <w:rPr>
          <w:rStyle w:val="CharStyle29"/>
          <w:rFonts w:ascii="Arial" w:hAnsi="Arial" w:cs="Arial"/>
          <w:sz w:val="15"/>
          <w:szCs w:val="15"/>
          <w:lang w:eastAsia="en-US"/>
        </w:rPr>
        <w:t>-</w:t>
      </w:r>
      <w:r>
        <w:rPr>
          <w:rStyle w:val="CharStyle29"/>
          <w:lang w:eastAsia="en-US"/>
        </w:rPr>
        <w:t>W37.</w:t>
      </w:r>
    </w:p>
    <w:p w14:paraId="692CD242" w14:textId="77777777" w:rsidR="00B14B05" w:rsidRDefault="00B14B05">
      <w:pPr>
        <w:pStyle w:val="Style28"/>
        <w:numPr>
          <w:ilvl w:val="0"/>
          <w:numId w:val="4"/>
        </w:numPr>
        <w:tabs>
          <w:tab w:val="left" w:pos="519"/>
        </w:tabs>
        <w:spacing w:line="314" w:lineRule="auto"/>
        <w:jc w:val="both"/>
        <w:rPr>
          <w:sz w:val="24"/>
          <w:szCs w:val="24"/>
        </w:rPr>
      </w:pPr>
      <w:r>
        <w:rPr>
          <w:rStyle w:val="CharStyle29"/>
          <w:lang w:eastAsia="en-US"/>
        </w:rPr>
        <w:t>Katoh, K.; Misawa, K.; Kuma, K.; Miyata, T.</w:t>
      </w:r>
      <w:hyperlink r:id="rId215" w:history="1">
        <w:r>
          <w:rPr>
            <w:rStyle w:val="CharStyle29"/>
            <w:lang w:eastAsia="en-US"/>
          </w:rPr>
          <w:t xml:space="preserve"> MAFFT: A novel</w:t>
        </w:r>
      </w:hyperlink>
      <w:r>
        <w:rPr>
          <w:rStyle w:val="CharStyle29"/>
          <w:lang w:eastAsia="en-US"/>
        </w:rPr>
        <w:t xml:space="preserve"> </w:t>
      </w:r>
      <w:hyperlink r:id="rId216" w:history="1">
        <w:r>
          <w:rPr>
            <w:rStyle w:val="CharStyle29"/>
            <w:lang w:eastAsia="en-US"/>
          </w:rPr>
          <w:t>method for rapid multiple sequence alignment based on fast Fourier</w:t>
        </w:r>
      </w:hyperlink>
      <w:r>
        <w:rPr>
          <w:rStyle w:val="CharStyle29"/>
          <w:lang w:eastAsia="en-US"/>
        </w:rPr>
        <w:t xml:space="preserve"> </w:t>
      </w:r>
      <w:hyperlink r:id="rId217" w:history="1">
        <w:r>
          <w:rPr>
            <w:rStyle w:val="CharStyle29"/>
            <w:lang w:eastAsia="en-US"/>
          </w:rPr>
          <w:t xml:space="preserve">transform. </w:t>
        </w:r>
      </w:hyperlink>
      <w:r>
        <w:rPr>
          <w:rStyle w:val="CharStyle29"/>
          <w:rFonts w:ascii="Arial" w:hAnsi="Arial" w:cs="Arial"/>
          <w:i/>
          <w:iCs/>
          <w:sz w:val="12"/>
          <w:szCs w:val="12"/>
          <w:lang w:eastAsia="en-US"/>
        </w:rPr>
        <w:t>Nucleic Acids Res.</w:t>
      </w:r>
      <w:r>
        <w:rPr>
          <w:rStyle w:val="CharStyle29"/>
          <w:rFonts w:ascii="Arial" w:hAnsi="Arial" w:cs="Arial"/>
          <w:sz w:val="12"/>
          <w:szCs w:val="12"/>
          <w:lang w:eastAsia="en-US"/>
        </w:rPr>
        <w:t xml:space="preserve"> 2002</w:t>
      </w:r>
      <w:r>
        <w:rPr>
          <w:rStyle w:val="CharStyle29"/>
          <w:lang w:eastAsia="en-US"/>
        </w:rPr>
        <w:t xml:space="preserve">, </w:t>
      </w:r>
      <w:r>
        <w:rPr>
          <w:rStyle w:val="CharStyle29"/>
          <w:rFonts w:ascii="Arial" w:hAnsi="Arial" w:cs="Arial"/>
          <w:i/>
          <w:iCs/>
          <w:sz w:val="12"/>
          <w:szCs w:val="12"/>
          <w:lang w:eastAsia="en-US"/>
        </w:rPr>
        <w:t>30</w:t>
      </w:r>
      <w:r>
        <w:rPr>
          <w:rStyle w:val="CharStyle29"/>
          <w:lang w:eastAsia="en-US"/>
        </w:rPr>
        <w:t xml:space="preserve"> (14), 3059</w:t>
      </w:r>
      <w:r>
        <w:rPr>
          <w:rStyle w:val="CharStyle29"/>
          <w:rFonts w:ascii="Arial" w:hAnsi="Arial" w:cs="Arial"/>
          <w:sz w:val="15"/>
          <w:szCs w:val="15"/>
          <w:lang w:eastAsia="en-US"/>
        </w:rPr>
        <w:t>-</w:t>
      </w:r>
      <w:r>
        <w:rPr>
          <w:rStyle w:val="CharStyle29"/>
          <w:lang w:eastAsia="en-US"/>
        </w:rPr>
        <w:t>3066.</w:t>
      </w:r>
    </w:p>
    <w:p w14:paraId="778B1500" w14:textId="77777777" w:rsidR="00B14B05" w:rsidRDefault="00B14B05">
      <w:pPr>
        <w:pStyle w:val="Style28"/>
        <w:numPr>
          <w:ilvl w:val="0"/>
          <w:numId w:val="4"/>
        </w:numPr>
        <w:tabs>
          <w:tab w:val="left" w:pos="529"/>
        </w:tabs>
        <w:spacing w:line="314" w:lineRule="auto"/>
        <w:jc w:val="both"/>
        <w:rPr>
          <w:sz w:val="24"/>
          <w:szCs w:val="24"/>
        </w:rPr>
      </w:pPr>
      <w:r>
        <w:rPr>
          <w:rStyle w:val="CharStyle29"/>
          <w:lang w:eastAsia="en-US"/>
        </w:rPr>
        <w:t>Minh, B. Q.; Schmidt, H. A.; Chernomor, O.; Schrempf, D.; Woodhams, M. D.; von Haeseler, A.; Lanfear, R.</w:t>
      </w:r>
      <w:hyperlink r:id="rId218" w:history="1">
        <w:r>
          <w:rPr>
            <w:rStyle w:val="CharStyle29"/>
            <w:lang w:eastAsia="en-US"/>
          </w:rPr>
          <w:t xml:space="preserve"> IQ-TREE 2: New</w:t>
        </w:r>
      </w:hyperlink>
      <w:r>
        <w:rPr>
          <w:rStyle w:val="CharStyle29"/>
          <w:lang w:eastAsia="en-US"/>
        </w:rPr>
        <w:t xml:space="preserve"> </w:t>
      </w:r>
      <w:hyperlink r:id="rId219" w:history="1">
        <w:r>
          <w:rPr>
            <w:rStyle w:val="CharStyle29"/>
            <w:lang w:eastAsia="en-US"/>
          </w:rPr>
          <w:t>Models and Efficient Methods for Phylogenetic Inference in the</w:t>
        </w:r>
      </w:hyperlink>
      <w:r>
        <w:rPr>
          <w:rStyle w:val="CharStyle29"/>
          <w:lang w:eastAsia="en-US"/>
        </w:rPr>
        <w:t xml:space="preserve"> </w:t>
      </w:r>
      <w:hyperlink r:id="rId220" w:history="1">
        <w:r>
          <w:rPr>
            <w:rStyle w:val="CharStyle29"/>
            <w:lang w:eastAsia="en-US"/>
          </w:rPr>
          <w:t xml:space="preserve">Genomic Era. </w:t>
        </w:r>
      </w:hyperlink>
      <w:r>
        <w:rPr>
          <w:rStyle w:val="CharStyle29"/>
          <w:rFonts w:ascii="Arial" w:hAnsi="Arial" w:cs="Arial"/>
          <w:i/>
          <w:iCs/>
          <w:sz w:val="12"/>
          <w:szCs w:val="12"/>
          <w:lang w:eastAsia="en-US"/>
        </w:rPr>
        <w:t>Mol. Biol. Evol.</w:t>
      </w:r>
      <w:r>
        <w:rPr>
          <w:rStyle w:val="CharStyle29"/>
          <w:rFonts w:ascii="Arial" w:hAnsi="Arial" w:cs="Arial"/>
          <w:sz w:val="12"/>
          <w:szCs w:val="12"/>
          <w:lang w:eastAsia="en-US"/>
        </w:rPr>
        <w:t xml:space="preserve"> 2020</w:t>
      </w:r>
      <w:r>
        <w:rPr>
          <w:rStyle w:val="CharStyle29"/>
          <w:lang w:eastAsia="en-US"/>
        </w:rPr>
        <w:t xml:space="preserve">, </w:t>
      </w:r>
      <w:r>
        <w:rPr>
          <w:rStyle w:val="CharStyle29"/>
          <w:rFonts w:ascii="Arial" w:hAnsi="Arial" w:cs="Arial"/>
          <w:i/>
          <w:iCs/>
          <w:sz w:val="12"/>
          <w:szCs w:val="12"/>
          <w:lang w:eastAsia="en-US"/>
        </w:rPr>
        <w:t>37</w:t>
      </w:r>
      <w:r>
        <w:rPr>
          <w:rStyle w:val="CharStyle29"/>
          <w:lang w:eastAsia="en-US"/>
        </w:rPr>
        <w:t xml:space="preserve"> (5), 1530</w:t>
      </w:r>
      <w:r>
        <w:rPr>
          <w:rStyle w:val="CharStyle29"/>
          <w:rFonts w:ascii="Arial" w:hAnsi="Arial" w:cs="Arial"/>
          <w:sz w:val="15"/>
          <w:szCs w:val="15"/>
          <w:lang w:eastAsia="en-US"/>
        </w:rPr>
        <w:t>-</w:t>
      </w:r>
      <w:r>
        <w:rPr>
          <w:rStyle w:val="CharStyle29"/>
          <w:lang w:eastAsia="en-US"/>
        </w:rPr>
        <w:t>1534.</w:t>
      </w:r>
    </w:p>
    <w:p w14:paraId="2DB197D6" w14:textId="77777777" w:rsidR="00B14B05" w:rsidRDefault="00B14B05">
      <w:pPr>
        <w:pStyle w:val="Style28"/>
        <w:numPr>
          <w:ilvl w:val="0"/>
          <w:numId w:val="4"/>
        </w:numPr>
        <w:tabs>
          <w:tab w:val="left" w:pos="524"/>
        </w:tabs>
        <w:spacing w:line="324" w:lineRule="auto"/>
        <w:jc w:val="both"/>
        <w:rPr>
          <w:sz w:val="24"/>
          <w:szCs w:val="24"/>
        </w:rPr>
      </w:pPr>
      <w:r>
        <w:rPr>
          <w:rStyle w:val="CharStyle29"/>
          <w:lang w:eastAsia="en-US"/>
        </w:rPr>
        <w:t xml:space="preserve">Kearse, M.; Moir, R.; Wilson, A.; Stones-Havas, S.; Cheung, M.; Sturrock, S.; Buxton, S.; Cooper, A.; Markowitz, S.; Duran, C.; et al. </w:t>
      </w:r>
      <w:hyperlink r:id="rId221" w:history="1">
        <w:r>
          <w:rPr>
            <w:rStyle w:val="CharStyle29"/>
            <w:lang w:eastAsia="en-US"/>
          </w:rPr>
          <w:t>Geneious Basic: An integrated and extendable desktop software</w:t>
        </w:r>
      </w:hyperlink>
      <w:r>
        <w:rPr>
          <w:rStyle w:val="CharStyle29"/>
          <w:lang w:eastAsia="en-US"/>
        </w:rPr>
        <w:t xml:space="preserve"> </w:t>
      </w:r>
      <w:hyperlink r:id="rId222" w:history="1">
        <w:r>
          <w:rPr>
            <w:rStyle w:val="CharStyle29"/>
            <w:lang w:eastAsia="en-US"/>
          </w:rPr>
          <w:t>platform for the organization and analysis of sequence data.</w:t>
        </w:r>
      </w:hyperlink>
      <w:r>
        <w:rPr>
          <w:rStyle w:val="CharStyle29"/>
          <w:lang w:eastAsia="en-US"/>
        </w:rPr>
        <w:t xml:space="preserve"> </w:t>
      </w:r>
      <w:r>
        <w:rPr>
          <w:rStyle w:val="CharStyle29"/>
          <w:rFonts w:ascii="Arial" w:hAnsi="Arial" w:cs="Arial"/>
          <w:i/>
          <w:iCs/>
          <w:sz w:val="12"/>
          <w:szCs w:val="12"/>
          <w:lang w:eastAsia="en-US"/>
        </w:rPr>
        <w:t>Bioinformatics</w:t>
      </w:r>
      <w:r>
        <w:rPr>
          <w:rStyle w:val="CharStyle29"/>
          <w:rFonts w:ascii="Arial" w:hAnsi="Arial" w:cs="Arial"/>
          <w:sz w:val="12"/>
          <w:szCs w:val="12"/>
          <w:lang w:eastAsia="en-US"/>
        </w:rPr>
        <w:t xml:space="preserve"> 2012</w:t>
      </w:r>
      <w:r>
        <w:rPr>
          <w:rStyle w:val="CharStyle29"/>
          <w:lang w:eastAsia="en-US"/>
        </w:rPr>
        <w:t xml:space="preserve">, </w:t>
      </w:r>
      <w:r>
        <w:rPr>
          <w:rStyle w:val="CharStyle29"/>
          <w:rFonts w:ascii="Arial" w:hAnsi="Arial" w:cs="Arial"/>
          <w:i/>
          <w:iCs/>
          <w:sz w:val="12"/>
          <w:szCs w:val="12"/>
          <w:lang w:eastAsia="en-US"/>
        </w:rPr>
        <w:t>28</w:t>
      </w:r>
      <w:r>
        <w:rPr>
          <w:rStyle w:val="CharStyle29"/>
          <w:lang w:eastAsia="en-US"/>
        </w:rPr>
        <w:t xml:space="preserve"> (12), 1647</w:t>
      </w:r>
      <w:r>
        <w:rPr>
          <w:rStyle w:val="CharStyle29"/>
          <w:rFonts w:ascii="Arial" w:hAnsi="Arial" w:cs="Arial"/>
          <w:sz w:val="15"/>
          <w:szCs w:val="15"/>
          <w:lang w:eastAsia="en-US"/>
        </w:rPr>
        <w:t>-</w:t>
      </w:r>
      <w:r>
        <w:rPr>
          <w:rStyle w:val="CharStyle29"/>
          <w:lang w:eastAsia="en-US"/>
        </w:rPr>
        <w:t>1649.</w:t>
      </w:r>
    </w:p>
    <w:p w14:paraId="111AC9E2" w14:textId="77777777" w:rsidR="00B14B05" w:rsidRDefault="00B14B05">
      <w:pPr>
        <w:pStyle w:val="Style28"/>
        <w:numPr>
          <w:ilvl w:val="0"/>
          <w:numId w:val="4"/>
        </w:numPr>
        <w:tabs>
          <w:tab w:val="left" w:pos="514"/>
        </w:tabs>
        <w:spacing w:line="314" w:lineRule="auto"/>
        <w:jc w:val="both"/>
        <w:rPr>
          <w:sz w:val="24"/>
          <w:szCs w:val="24"/>
        </w:rPr>
      </w:pPr>
      <w:r>
        <w:rPr>
          <w:rStyle w:val="CharStyle29"/>
          <w:lang w:eastAsia="en-US"/>
        </w:rPr>
        <w:t>Zhou, J.; Bruns, M. A.; Tiedje, J. M.</w:t>
      </w:r>
      <w:hyperlink r:id="rId223" w:history="1">
        <w:r>
          <w:rPr>
            <w:rStyle w:val="CharStyle29"/>
            <w:lang w:eastAsia="en-US"/>
          </w:rPr>
          <w:t xml:space="preserve"> DNA recovery from soils of</w:t>
        </w:r>
      </w:hyperlink>
      <w:r>
        <w:rPr>
          <w:rStyle w:val="CharStyle29"/>
          <w:lang w:eastAsia="en-US"/>
        </w:rPr>
        <w:t xml:space="preserve"> </w:t>
      </w:r>
      <w:hyperlink r:id="rId224" w:history="1">
        <w:r>
          <w:rPr>
            <w:rStyle w:val="CharStyle29"/>
            <w:lang w:eastAsia="en-US"/>
          </w:rPr>
          <w:t>diverse composition.</w:t>
        </w:r>
      </w:hyperlink>
      <w:r>
        <w:rPr>
          <w:rStyle w:val="CharStyle29"/>
          <w:lang w:eastAsia="en-US"/>
        </w:rPr>
        <w:t xml:space="preserve"> </w:t>
      </w:r>
      <w:r>
        <w:rPr>
          <w:rStyle w:val="CharStyle29"/>
          <w:rFonts w:ascii="Arial" w:hAnsi="Arial" w:cs="Arial"/>
          <w:i/>
          <w:iCs/>
          <w:sz w:val="12"/>
          <w:szCs w:val="12"/>
          <w:lang w:eastAsia="en-US"/>
        </w:rPr>
        <w:t>Appl. Environ. Microbiol.</w:t>
      </w:r>
      <w:r>
        <w:rPr>
          <w:rStyle w:val="CharStyle29"/>
          <w:rFonts w:ascii="Arial" w:hAnsi="Arial" w:cs="Arial"/>
          <w:sz w:val="12"/>
          <w:szCs w:val="12"/>
          <w:lang w:eastAsia="en-US"/>
        </w:rPr>
        <w:t xml:space="preserve"> 1996</w:t>
      </w:r>
      <w:r>
        <w:rPr>
          <w:rStyle w:val="CharStyle29"/>
          <w:lang w:eastAsia="en-US"/>
        </w:rPr>
        <w:t xml:space="preserve">, </w:t>
      </w:r>
      <w:r>
        <w:rPr>
          <w:rStyle w:val="CharStyle29"/>
          <w:rFonts w:ascii="Arial" w:hAnsi="Arial" w:cs="Arial"/>
          <w:i/>
          <w:iCs/>
          <w:sz w:val="12"/>
          <w:szCs w:val="12"/>
          <w:lang w:eastAsia="en-US"/>
        </w:rPr>
        <w:t>62</w:t>
      </w:r>
      <w:r>
        <w:rPr>
          <w:rStyle w:val="CharStyle29"/>
          <w:lang w:eastAsia="en-US"/>
        </w:rPr>
        <w:t xml:space="preserve"> (2), 316</w:t>
      </w:r>
      <w:r>
        <w:rPr>
          <w:rStyle w:val="CharStyle29"/>
          <w:rFonts w:ascii="Arial" w:hAnsi="Arial" w:cs="Arial"/>
          <w:sz w:val="15"/>
          <w:szCs w:val="15"/>
          <w:lang w:eastAsia="en-US"/>
        </w:rPr>
        <w:t>-</w:t>
      </w:r>
      <w:r>
        <w:rPr>
          <w:rStyle w:val="CharStyle29"/>
          <w:lang w:eastAsia="en-US"/>
        </w:rPr>
        <w:t>322. (63)</w:t>
      </w:r>
      <w:r>
        <w:rPr>
          <w:rStyle w:val="CharStyle29"/>
          <w:lang w:eastAsia="en-US"/>
        </w:rPr>
        <w:tab/>
        <w:t>Bustin, S. A.;</w:t>
      </w:r>
      <w:r>
        <w:rPr>
          <w:rStyle w:val="CharStyle29"/>
          <w:lang w:eastAsia="en-US"/>
        </w:rPr>
        <w:t xml:space="preserve"> Benes, V.; Garson, J. A.; Hellemans, J.; Huggett, J.; Kubista, M.; Mueller, R.; Nolan, T.; Pfaffl, M. W.; Shipley, G. L.; et al.</w:t>
      </w:r>
      <w:hyperlink r:id="rId225" w:history="1">
        <w:r>
          <w:rPr>
            <w:rStyle w:val="CharStyle29"/>
            <w:lang w:eastAsia="en-US"/>
          </w:rPr>
          <w:t xml:space="preserve"> The MIQE guidelines: Minimum information for publication of</w:t>
        </w:r>
      </w:hyperlink>
      <w:r>
        <w:rPr>
          <w:rStyle w:val="CharStyle29"/>
          <w:lang w:eastAsia="en-US"/>
        </w:rPr>
        <w:t xml:space="preserve"> </w:t>
      </w:r>
      <w:hyperlink r:id="rId226" w:history="1">
        <w:r>
          <w:rPr>
            <w:rStyle w:val="CharStyle29"/>
            <w:lang w:eastAsia="en-US"/>
          </w:rPr>
          <w:t xml:space="preserve">quantitative real-time PCR experiments. </w:t>
        </w:r>
      </w:hyperlink>
      <w:r>
        <w:rPr>
          <w:rStyle w:val="CharStyle29"/>
          <w:rFonts w:ascii="Arial" w:hAnsi="Arial" w:cs="Arial"/>
          <w:i/>
          <w:iCs/>
          <w:sz w:val="12"/>
          <w:szCs w:val="12"/>
          <w:lang w:eastAsia="en-US"/>
        </w:rPr>
        <w:t>Clin. Chem.</w:t>
      </w:r>
      <w:r>
        <w:rPr>
          <w:rStyle w:val="CharStyle29"/>
          <w:rFonts w:ascii="Arial" w:hAnsi="Arial" w:cs="Arial"/>
          <w:sz w:val="12"/>
          <w:szCs w:val="12"/>
          <w:lang w:eastAsia="en-US"/>
        </w:rPr>
        <w:t xml:space="preserve"> 2009</w:t>
      </w:r>
      <w:r>
        <w:rPr>
          <w:rStyle w:val="CharStyle29"/>
          <w:lang w:eastAsia="en-US"/>
        </w:rPr>
        <w:t xml:space="preserve">, </w:t>
      </w:r>
      <w:r>
        <w:rPr>
          <w:rStyle w:val="CharStyle29"/>
          <w:rFonts w:ascii="Arial" w:hAnsi="Arial" w:cs="Arial"/>
          <w:i/>
          <w:iCs/>
          <w:sz w:val="12"/>
          <w:szCs w:val="12"/>
          <w:lang w:eastAsia="en-US"/>
        </w:rPr>
        <w:t>55</w:t>
      </w:r>
      <w:r>
        <w:rPr>
          <w:rStyle w:val="CharStyle29"/>
          <w:lang w:eastAsia="en-US"/>
        </w:rPr>
        <w:t xml:space="preserve"> (4), 611</w:t>
      </w:r>
      <w:r>
        <w:rPr>
          <w:rStyle w:val="CharStyle29"/>
          <w:rFonts w:ascii="Arial" w:hAnsi="Arial" w:cs="Arial"/>
          <w:sz w:val="15"/>
          <w:szCs w:val="15"/>
          <w:lang w:eastAsia="en-US"/>
        </w:rPr>
        <w:t>-</w:t>
      </w:r>
      <w:r>
        <w:rPr>
          <w:rStyle w:val="CharStyle29"/>
          <w:lang w:eastAsia="en-US"/>
        </w:rPr>
        <w:t>622.</w:t>
      </w:r>
    </w:p>
    <w:p w14:paraId="4BBF8E1C" w14:textId="77777777" w:rsidR="00B14B05" w:rsidRDefault="00B14B05">
      <w:pPr>
        <w:pStyle w:val="Style28"/>
        <w:numPr>
          <w:ilvl w:val="0"/>
          <w:numId w:val="5"/>
        </w:numPr>
        <w:tabs>
          <w:tab w:val="left" w:pos="524"/>
        </w:tabs>
        <w:spacing w:line="326" w:lineRule="auto"/>
        <w:jc w:val="both"/>
        <w:rPr>
          <w:sz w:val="24"/>
          <w:szCs w:val="24"/>
        </w:rPr>
      </w:pPr>
      <w:r>
        <w:rPr>
          <w:rStyle w:val="CharStyle29"/>
          <w:lang w:eastAsia="en-US"/>
        </w:rPr>
        <w:t xml:space="preserve">Looft, T.; Johnson, T. A.; Allen, H. K.; Bayles, D. O.; Alt, D. P.; Stedtfeld, R. D.; Sul, W. J.; Stedtfeld, T. M.; Chai, B.; Cole, J. R.; et al. </w:t>
      </w:r>
      <w:hyperlink r:id="rId227" w:history="1">
        <w:r>
          <w:rPr>
            <w:rStyle w:val="CharStyle29"/>
            <w:lang w:eastAsia="en-US"/>
          </w:rPr>
          <w:t xml:space="preserve">In-feed antibiotic effects on the swine intestinal microbiome. </w:t>
        </w:r>
      </w:hyperlink>
      <w:r>
        <w:rPr>
          <w:rStyle w:val="CharStyle29"/>
          <w:rFonts w:ascii="Arial" w:hAnsi="Arial" w:cs="Arial"/>
          <w:i/>
          <w:iCs/>
          <w:sz w:val="12"/>
          <w:szCs w:val="12"/>
          <w:lang w:eastAsia="en-US"/>
        </w:rPr>
        <w:t>Proc. Natl. Acad. Sci. U. S. A.</w:t>
      </w:r>
      <w:r>
        <w:rPr>
          <w:rStyle w:val="CharStyle29"/>
          <w:rFonts w:ascii="Arial" w:hAnsi="Arial" w:cs="Arial"/>
          <w:sz w:val="12"/>
          <w:szCs w:val="12"/>
          <w:lang w:eastAsia="en-US"/>
        </w:rPr>
        <w:t xml:space="preserve"> 2012</w:t>
      </w:r>
      <w:r>
        <w:rPr>
          <w:rStyle w:val="CharStyle29"/>
          <w:lang w:eastAsia="en-US"/>
        </w:rPr>
        <w:t xml:space="preserve">, </w:t>
      </w:r>
      <w:r>
        <w:rPr>
          <w:rStyle w:val="CharStyle29"/>
          <w:rFonts w:ascii="Arial" w:hAnsi="Arial" w:cs="Arial"/>
          <w:i/>
          <w:iCs/>
          <w:sz w:val="12"/>
          <w:szCs w:val="12"/>
          <w:lang w:eastAsia="en-US"/>
        </w:rPr>
        <w:t>109</w:t>
      </w:r>
      <w:r>
        <w:rPr>
          <w:rStyle w:val="CharStyle29"/>
          <w:lang w:eastAsia="en-US"/>
        </w:rPr>
        <w:t xml:space="preserve"> (5), 1691</w:t>
      </w:r>
      <w:r>
        <w:rPr>
          <w:rStyle w:val="CharStyle29"/>
          <w:rFonts w:ascii="Arial" w:hAnsi="Arial" w:cs="Arial"/>
          <w:sz w:val="15"/>
          <w:szCs w:val="15"/>
          <w:lang w:eastAsia="en-US"/>
        </w:rPr>
        <w:t>-</w:t>
      </w:r>
      <w:r>
        <w:rPr>
          <w:rStyle w:val="CharStyle29"/>
          <w:lang w:eastAsia="en-US"/>
        </w:rPr>
        <w:t>1696.</w:t>
      </w:r>
    </w:p>
    <w:p w14:paraId="0EBBAC0E" w14:textId="77777777" w:rsidR="00B14B05" w:rsidRDefault="00B14B05">
      <w:pPr>
        <w:pStyle w:val="Style28"/>
        <w:numPr>
          <w:ilvl w:val="0"/>
          <w:numId w:val="5"/>
        </w:numPr>
        <w:tabs>
          <w:tab w:val="left" w:pos="519"/>
        </w:tabs>
        <w:spacing w:line="314" w:lineRule="auto"/>
        <w:jc w:val="both"/>
        <w:rPr>
          <w:sz w:val="24"/>
          <w:szCs w:val="24"/>
        </w:rPr>
      </w:pPr>
      <w:r>
        <w:rPr>
          <w:rStyle w:val="CharStyle29"/>
          <w:lang w:eastAsia="en-US"/>
        </w:rPr>
        <w:t xml:space="preserve">Ouyang, W. Y.; Huang, F. Y.; Zhao, Y.; Li, H.; Su, J. Q. </w:t>
      </w:r>
      <w:hyperlink r:id="rId228" w:history="1">
        <w:r>
          <w:rPr>
            <w:rStyle w:val="CharStyle29"/>
            <w:lang w:eastAsia="en-US"/>
          </w:rPr>
          <w:t>Increased levels of antibiotic resistance in urban stream of Jiulongjiang</w:t>
        </w:r>
      </w:hyperlink>
      <w:r>
        <w:rPr>
          <w:rStyle w:val="CharStyle29"/>
          <w:lang w:eastAsia="en-US"/>
        </w:rPr>
        <w:t xml:space="preserve"> </w:t>
      </w:r>
      <w:hyperlink r:id="rId229" w:history="1">
        <w:r>
          <w:rPr>
            <w:rStyle w:val="CharStyle29"/>
            <w:lang w:eastAsia="en-US"/>
          </w:rPr>
          <w:t xml:space="preserve">River, China. </w:t>
        </w:r>
      </w:hyperlink>
      <w:r>
        <w:rPr>
          <w:rStyle w:val="CharStyle29"/>
          <w:rFonts w:ascii="Arial" w:hAnsi="Arial" w:cs="Arial"/>
          <w:i/>
          <w:iCs/>
          <w:sz w:val="12"/>
          <w:szCs w:val="12"/>
          <w:lang w:eastAsia="en-US"/>
        </w:rPr>
        <w:t>Appl. Microbiol. Biotechnol.</w:t>
      </w:r>
      <w:r>
        <w:rPr>
          <w:rStyle w:val="CharStyle29"/>
          <w:rFonts w:ascii="Arial" w:hAnsi="Arial" w:cs="Arial"/>
          <w:sz w:val="12"/>
          <w:szCs w:val="12"/>
          <w:lang w:eastAsia="en-US"/>
        </w:rPr>
        <w:t xml:space="preserve"> 2015</w:t>
      </w:r>
      <w:r>
        <w:rPr>
          <w:rStyle w:val="CharStyle29"/>
          <w:lang w:eastAsia="en-US"/>
        </w:rPr>
        <w:t xml:space="preserve">, </w:t>
      </w:r>
      <w:r>
        <w:rPr>
          <w:rStyle w:val="CharStyle29"/>
          <w:rFonts w:ascii="Arial" w:hAnsi="Arial" w:cs="Arial"/>
          <w:i/>
          <w:iCs/>
          <w:sz w:val="12"/>
          <w:szCs w:val="12"/>
          <w:lang w:eastAsia="en-US"/>
        </w:rPr>
        <w:t>99</w:t>
      </w:r>
      <w:r>
        <w:rPr>
          <w:rStyle w:val="CharStyle29"/>
          <w:lang w:eastAsia="en-US"/>
        </w:rPr>
        <w:t xml:space="preserve"> (13), 5697</w:t>
      </w:r>
      <w:r>
        <w:rPr>
          <w:rStyle w:val="CharStyle29"/>
          <w:rFonts w:ascii="Arial" w:hAnsi="Arial" w:cs="Arial"/>
          <w:sz w:val="15"/>
          <w:szCs w:val="15"/>
          <w:lang w:eastAsia="en-US"/>
        </w:rPr>
        <w:t>-</w:t>
      </w:r>
      <w:r>
        <w:rPr>
          <w:rStyle w:val="CharStyle29"/>
          <w:lang w:eastAsia="en-US"/>
        </w:rPr>
        <w:t>5707.</w:t>
      </w:r>
    </w:p>
    <w:p w14:paraId="50C44D6E" w14:textId="77777777" w:rsidR="00B14B05" w:rsidRDefault="00B14B05">
      <w:pPr>
        <w:pStyle w:val="Style28"/>
        <w:numPr>
          <w:ilvl w:val="0"/>
          <w:numId w:val="5"/>
        </w:numPr>
        <w:tabs>
          <w:tab w:val="left" w:pos="529"/>
        </w:tabs>
        <w:spacing w:line="314" w:lineRule="auto"/>
        <w:jc w:val="both"/>
        <w:rPr>
          <w:sz w:val="24"/>
          <w:szCs w:val="24"/>
        </w:rPr>
        <w:sectPr w:rsidR="00000000">
          <w:headerReference w:type="default" r:id="rId230"/>
          <w:footerReference w:type="default" r:id="rId231"/>
          <w:type w:val="continuous"/>
          <w:pgSz w:w="12149" w:h="16834"/>
          <w:pgMar w:top="1513" w:right="991" w:bottom="1310" w:left="992" w:header="0" w:footer="3" w:gutter="0"/>
          <w:cols w:num="2" w:space="107"/>
          <w:noEndnote/>
          <w:docGrid w:linePitch="360"/>
        </w:sectPr>
      </w:pPr>
      <w:r>
        <w:rPr>
          <w:rStyle w:val="CharStyle29"/>
          <w:lang w:eastAsia="en-US"/>
        </w:rPr>
        <w:t>Collier, J. M.; Chai, B.; Cole, J. R.; Michalsen, M. M.; Cupples, A. M.</w:t>
      </w:r>
      <w:hyperlink r:id="rId232" w:history="1">
        <w:r>
          <w:rPr>
            <w:rStyle w:val="CharStyle29"/>
            <w:lang w:eastAsia="en-US"/>
          </w:rPr>
          <w:t xml:space="preserve"> High </w:t>
        </w:r>
        <w:r>
          <w:rPr>
            <w:rStyle w:val="CharStyle29"/>
            <w:lang w:eastAsia="en-US"/>
          </w:rPr>
          <w:t>throughput quantification of the functional genes</w:t>
        </w:r>
      </w:hyperlink>
      <w:r>
        <w:rPr>
          <w:rStyle w:val="CharStyle29"/>
          <w:lang w:eastAsia="en-US"/>
        </w:rPr>
        <w:t xml:space="preserve"> </w:t>
      </w:r>
      <w:hyperlink r:id="rId233" w:history="1">
        <w:r>
          <w:rPr>
            <w:rStyle w:val="CharStyle29"/>
            <w:lang w:eastAsia="en-US"/>
          </w:rPr>
          <w:t>associated with RDX biodegradation using the SmartChip real-time</w:t>
        </w:r>
      </w:hyperlink>
      <w:r>
        <w:rPr>
          <w:rStyle w:val="CharStyle29"/>
          <w:lang w:eastAsia="en-US"/>
        </w:rPr>
        <w:t xml:space="preserve"> </w:t>
      </w:r>
      <w:hyperlink r:id="rId234" w:history="1">
        <w:r>
          <w:rPr>
            <w:rStyle w:val="CharStyle29"/>
            <w:lang w:eastAsia="en-US"/>
          </w:rPr>
          <w:t xml:space="preserve">PCR system. </w:t>
        </w:r>
      </w:hyperlink>
      <w:r>
        <w:rPr>
          <w:rStyle w:val="CharStyle29"/>
          <w:rFonts w:ascii="Arial" w:hAnsi="Arial" w:cs="Arial"/>
          <w:i/>
          <w:iCs/>
          <w:sz w:val="12"/>
          <w:szCs w:val="12"/>
          <w:lang w:eastAsia="en-US"/>
        </w:rPr>
        <w:t>Appl. Microbiol. Biotechnol.</w:t>
      </w:r>
      <w:r>
        <w:rPr>
          <w:rStyle w:val="CharStyle29"/>
          <w:rFonts w:ascii="Arial" w:hAnsi="Arial" w:cs="Arial"/>
          <w:sz w:val="12"/>
          <w:szCs w:val="12"/>
          <w:lang w:eastAsia="en-US"/>
        </w:rPr>
        <w:t xml:space="preserve"> 2019</w:t>
      </w:r>
      <w:r>
        <w:rPr>
          <w:rStyle w:val="CharStyle29"/>
          <w:lang w:eastAsia="en-US"/>
        </w:rPr>
        <w:t xml:space="preserve">, </w:t>
      </w:r>
      <w:r>
        <w:rPr>
          <w:rStyle w:val="CharStyle29"/>
          <w:rFonts w:ascii="Arial" w:hAnsi="Arial" w:cs="Arial"/>
          <w:i/>
          <w:iCs/>
          <w:sz w:val="12"/>
          <w:szCs w:val="12"/>
          <w:lang w:eastAsia="en-US"/>
        </w:rPr>
        <w:t>103</w:t>
      </w:r>
      <w:r>
        <w:rPr>
          <w:rStyle w:val="CharStyle29"/>
          <w:lang w:eastAsia="en-US"/>
        </w:rPr>
        <w:t xml:space="preserve"> (17), 7161</w:t>
      </w:r>
      <w:r>
        <w:rPr>
          <w:rStyle w:val="CharStyle29"/>
          <w:rFonts w:ascii="Arial" w:hAnsi="Arial" w:cs="Arial"/>
          <w:sz w:val="15"/>
          <w:szCs w:val="15"/>
          <w:lang w:eastAsia="en-US"/>
        </w:rPr>
        <w:t>-</w:t>
      </w:r>
      <w:r>
        <w:rPr>
          <w:rStyle w:val="CharStyle29"/>
          <w:lang w:eastAsia="en-US"/>
        </w:rPr>
        <w:t>7175.</w:t>
      </w:r>
    </w:p>
    <w:p w14:paraId="15DB6595" w14:textId="3F68B408" w:rsidR="00B14B05" w:rsidRDefault="00B14B05">
      <w:pPr>
        <w:spacing w:line="1" w:lineRule="exact"/>
        <w:rPr>
          <w:color w:val="auto"/>
          <w:lang w:eastAsia="en-GB"/>
        </w:rPr>
      </w:pPr>
      <w:r>
        <w:rPr>
          <w:noProof/>
        </w:rPr>
        <w:lastRenderedPageBreak/>
        <w:drawing>
          <wp:anchor distT="0" distB="0" distL="114300" distR="114300" simplePos="0" relativeHeight="251678720" behindDoc="1" locked="0" layoutInCell="1" allowOverlap="1" wp14:anchorId="38E9587D" wp14:editId="43AC2DE0">
            <wp:simplePos x="0" y="0"/>
            <wp:positionH relativeFrom="margin">
              <wp:posOffset>3393440</wp:posOffset>
            </wp:positionH>
            <wp:positionV relativeFrom="paragraph">
              <wp:posOffset>4752975</wp:posOffset>
            </wp:positionV>
            <wp:extent cx="760095" cy="4109085"/>
            <wp:effectExtent l="0" t="0" r="0" b="0"/>
            <wp:wrapSquare wrapText="bothSides"/>
            <wp:docPr id="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760095" cy="410908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79744" behindDoc="0" locked="0" layoutInCell="1" allowOverlap="1" wp14:anchorId="6AF47CEA" wp14:editId="79547700">
                <wp:simplePos x="0" y="0"/>
                <wp:positionH relativeFrom="margin">
                  <wp:posOffset>4319905</wp:posOffset>
                </wp:positionH>
                <wp:positionV relativeFrom="paragraph">
                  <wp:posOffset>5786120</wp:posOffset>
                </wp:positionV>
                <wp:extent cx="69215" cy="1359535"/>
                <wp:effectExtent l="2540" t="0" r="4445" b="2540"/>
                <wp:wrapSquare wrapText="bothSides"/>
                <wp:docPr id="401184008"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15" cy="1359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EE839A" w14:textId="77777777" w:rsidR="00B14B05" w:rsidRDefault="00B14B05">
                            <w:pPr>
                              <w:rPr>
                                <w:color w:val="auto"/>
                                <w:lang w:eastAsia="en-GB"/>
                              </w:rPr>
                            </w:pPr>
                          </w:p>
                        </w:txbxContent>
                      </wps:txbx>
                      <wps:bodyPr rot="0" vert="horz" wrap="non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F47CEA" id="Text Box 54" o:spid="_x0000_s1041" type="#_x0000_t202" style="position:absolute;margin-left:340.15pt;margin-top:455.6pt;width:5.45pt;height:107.05pt;z-index:251679744;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" filled="f" stroked="f">
                <v:textbox inset="0,0,0,0">
                  <w:txbxContent>
                    <w:p w14:paraId="56EE839A" w14:textId="77777777" w:rsidR="00B14B05" w:rsidRDefault="00B14B05">
                      <w:pPr>
                        <w:rPr>
                          <w:color w:val="auto"/>
                          <w:lang w:eastAsia="en-GB"/>
                        </w:rPr>
                      </w:pPr>
                    </w:p>
                  </w:txbxContent>
                </v:textbox>
                <w10:wrap type="square" anchorx="margin"/>
              </v:shape>
            </w:pict>
          </mc:Fallback>
        </mc:AlternateContent>
      </w:r>
      <w:r>
        <w:rPr>
          <w:noProof/>
        </w:rPr>
        <w:drawing>
          <wp:anchor distT="0" distB="0" distL="114300" distR="114300" simplePos="0" relativeHeight="251680768" behindDoc="1" locked="0" layoutInCell="1" allowOverlap="1" wp14:anchorId="4068FE1D" wp14:editId="59CFD617">
            <wp:simplePos x="0" y="0"/>
            <wp:positionH relativeFrom="margin">
              <wp:posOffset>5418455</wp:posOffset>
            </wp:positionH>
            <wp:positionV relativeFrom="paragraph">
              <wp:posOffset>8238490</wp:posOffset>
            </wp:positionV>
            <wp:extent cx="810260" cy="495935"/>
            <wp:effectExtent l="0" t="0" r="0" b="0"/>
            <wp:wrapSquare wrapText="bothSides"/>
            <wp:docPr id="5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810260" cy="495935"/>
                    </a:xfrm>
                    <a:prstGeom prst="rect">
                      <a:avLst/>
                    </a:prstGeom>
                    <a:noFill/>
                  </pic:spPr>
                </pic:pic>
              </a:graphicData>
            </a:graphic>
            <wp14:sizeRelH relativeFrom="page">
              <wp14:pctWidth>0</wp14:pctWidth>
            </wp14:sizeRelH>
            <wp14:sizeRelV relativeFrom="page">
              <wp14:pctHeight>0</wp14:pctHeight>
            </wp14:sizeRelV>
          </wp:anchor>
        </w:drawing>
      </w:r>
    </w:p>
    <w:p w14:paraId="1CD4B8D5" w14:textId="77777777" w:rsidR="00B14B05" w:rsidRDefault="00B14B05">
      <w:pPr>
        <w:pStyle w:val="Style28"/>
        <w:numPr>
          <w:ilvl w:val="0"/>
          <w:numId w:val="5"/>
        </w:numPr>
        <w:tabs>
          <w:tab w:val="left" w:pos="528"/>
        </w:tabs>
        <w:spacing w:line="298" w:lineRule="auto"/>
        <w:jc w:val="both"/>
        <w:rPr>
          <w:sz w:val="24"/>
          <w:szCs w:val="24"/>
        </w:rPr>
      </w:pPr>
      <w:r>
        <w:rPr>
          <w:rStyle w:val="CharStyle29"/>
          <w:lang w:eastAsia="en-US"/>
        </w:rPr>
        <w:t>Nam, Y. R.; Lee, U.; Choi,</w:t>
      </w:r>
      <w:r>
        <w:rPr>
          <w:rStyle w:val="CharStyle29"/>
          <w:lang w:eastAsia="en-US"/>
        </w:rPr>
        <w:t xml:space="preserve"> H. S.; Lee, K. J.; Kim, N.; Jang, Y. J.; Joo, C. H.</w:t>
      </w:r>
      <w:hyperlink r:id="rId237" w:history="1">
        <w:r>
          <w:rPr>
            <w:rStyle w:val="CharStyle29"/>
            <w:lang w:eastAsia="en-US"/>
          </w:rPr>
          <w:t xml:space="preserve"> Degenerate PCR primer design for the specific</w:t>
        </w:r>
      </w:hyperlink>
      <w:r>
        <w:rPr>
          <w:rStyle w:val="CharStyle29"/>
          <w:lang w:eastAsia="en-US"/>
        </w:rPr>
        <w:t xml:space="preserve"> </w:t>
      </w:r>
      <w:hyperlink r:id="rId238" w:history="1">
        <w:r>
          <w:rPr>
            <w:rStyle w:val="CharStyle29"/>
            <w:lang w:eastAsia="en-US"/>
          </w:rPr>
          <w:t xml:space="preserve">identification of rhinovirus C. </w:t>
        </w:r>
      </w:hyperlink>
      <w:r>
        <w:rPr>
          <w:rStyle w:val="CharStyle29"/>
          <w:rFonts w:ascii="Arial" w:hAnsi="Arial" w:cs="Arial"/>
          <w:i/>
          <w:iCs/>
          <w:sz w:val="12"/>
          <w:szCs w:val="12"/>
          <w:lang w:eastAsia="en-US"/>
        </w:rPr>
        <w:t>J. Virol. Methods</w:t>
      </w:r>
      <w:r>
        <w:rPr>
          <w:rStyle w:val="CharStyle29"/>
          <w:rFonts w:ascii="Arial" w:hAnsi="Arial" w:cs="Arial"/>
          <w:sz w:val="12"/>
          <w:szCs w:val="12"/>
          <w:lang w:eastAsia="en-US"/>
        </w:rPr>
        <w:t xml:space="preserve"> 2015</w:t>
      </w:r>
      <w:r>
        <w:rPr>
          <w:rStyle w:val="CharStyle29"/>
          <w:lang w:eastAsia="en-US"/>
        </w:rPr>
        <w:t xml:space="preserve">, </w:t>
      </w:r>
      <w:r>
        <w:rPr>
          <w:rStyle w:val="CharStyle29"/>
          <w:rFonts w:ascii="Arial" w:hAnsi="Arial" w:cs="Arial"/>
          <w:i/>
          <w:iCs/>
          <w:sz w:val="12"/>
          <w:szCs w:val="12"/>
          <w:lang w:eastAsia="en-US"/>
        </w:rPr>
        <w:t>214</w:t>
      </w:r>
      <w:r>
        <w:rPr>
          <w:rStyle w:val="CharStyle29"/>
          <w:lang w:eastAsia="en-US"/>
        </w:rPr>
        <w:t>, 15</w:t>
      </w:r>
      <w:r>
        <w:rPr>
          <w:rStyle w:val="CharStyle29"/>
          <w:rFonts w:ascii="Arial" w:hAnsi="Arial" w:cs="Arial"/>
          <w:sz w:val="15"/>
          <w:szCs w:val="15"/>
          <w:lang w:eastAsia="en-US"/>
        </w:rPr>
        <w:t>-</w:t>
      </w:r>
      <w:r>
        <w:rPr>
          <w:rStyle w:val="CharStyle29"/>
          <w:lang w:eastAsia="en-US"/>
        </w:rPr>
        <w:t>24.</w:t>
      </w:r>
    </w:p>
    <w:p w14:paraId="27C38398" w14:textId="77777777" w:rsidR="00B14B05" w:rsidRDefault="00B14B05">
      <w:pPr>
        <w:pStyle w:val="Style28"/>
        <w:numPr>
          <w:ilvl w:val="0"/>
          <w:numId w:val="5"/>
        </w:numPr>
        <w:tabs>
          <w:tab w:val="left" w:pos="528"/>
        </w:tabs>
        <w:spacing w:line="310" w:lineRule="auto"/>
        <w:jc w:val="both"/>
        <w:rPr>
          <w:sz w:val="24"/>
          <w:szCs w:val="24"/>
        </w:rPr>
      </w:pPr>
      <w:r>
        <w:rPr>
          <w:rStyle w:val="CharStyle29"/>
          <w:lang w:eastAsia="en-US"/>
        </w:rPr>
        <w:t>Zheng, L.; Gibbs, M. J.; Rodoni, B. C.</w:t>
      </w:r>
      <w:hyperlink r:id="rId239" w:history="1">
        <w:r>
          <w:rPr>
            <w:rStyle w:val="CharStyle29"/>
            <w:lang w:eastAsia="en-US"/>
          </w:rPr>
          <w:t xml:space="preserve"> Quantitative PCR</w:t>
        </w:r>
      </w:hyperlink>
      <w:r>
        <w:rPr>
          <w:rStyle w:val="CharStyle29"/>
          <w:lang w:eastAsia="en-US"/>
        </w:rPr>
        <w:t xml:space="preserve"> </w:t>
      </w:r>
      <w:hyperlink r:id="rId240" w:history="1">
        <w:r>
          <w:rPr>
            <w:rStyle w:val="CharStyle29"/>
            <w:lang w:eastAsia="en-US"/>
          </w:rPr>
          <w:t>measurements of the effects of introducing inosines into primers</w:t>
        </w:r>
      </w:hyperlink>
      <w:r>
        <w:rPr>
          <w:rStyle w:val="CharStyle29"/>
          <w:lang w:eastAsia="en-US"/>
        </w:rPr>
        <w:t xml:space="preserve"> </w:t>
      </w:r>
      <w:hyperlink r:id="rId241" w:history="1">
        <w:r>
          <w:rPr>
            <w:rStyle w:val="CharStyle29"/>
            <w:lang w:eastAsia="en-US"/>
          </w:rPr>
          <w:t xml:space="preserve">provides guidelines for improved degenerate primer design. </w:t>
        </w:r>
      </w:hyperlink>
      <w:r>
        <w:rPr>
          <w:rStyle w:val="CharStyle29"/>
          <w:rFonts w:ascii="Arial" w:hAnsi="Arial" w:cs="Arial"/>
          <w:i/>
          <w:iCs/>
          <w:sz w:val="12"/>
          <w:szCs w:val="12"/>
          <w:lang w:eastAsia="en-US"/>
        </w:rPr>
        <w:t>J. Virol. Methods</w:t>
      </w:r>
      <w:r>
        <w:rPr>
          <w:rStyle w:val="CharStyle29"/>
          <w:rFonts w:ascii="Arial" w:hAnsi="Arial" w:cs="Arial"/>
          <w:sz w:val="12"/>
          <w:szCs w:val="12"/>
          <w:lang w:eastAsia="en-US"/>
        </w:rPr>
        <w:t xml:space="preserve"> 2008</w:t>
      </w:r>
      <w:r>
        <w:rPr>
          <w:rStyle w:val="CharStyle29"/>
          <w:lang w:eastAsia="en-US"/>
        </w:rPr>
        <w:t xml:space="preserve">, </w:t>
      </w:r>
      <w:r>
        <w:rPr>
          <w:rStyle w:val="CharStyle29"/>
          <w:rFonts w:ascii="Arial" w:hAnsi="Arial" w:cs="Arial"/>
          <w:i/>
          <w:iCs/>
          <w:sz w:val="12"/>
          <w:szCs w:val="12"/>
          <w:lang w:eastAsia="en-US"/>
        </w:rPr>
        <w:t>153</w:t>
      </w:r>
      <w:r>
        <w:rPr>
          <w:rStyle w:val="CharStyle29"/>
          <w:lang w:eastAsia="en-US"/>
        </w:rPr>
        <w:t xml:space="preserve"> (2), 97</w:t>
      </w:r>
      <w:r>
        <w:rPr>
          <w:rStyle w:val="CharStyle29"/>
          <w:rFonts w:ascii="Arial" w:hAnsi="Arial" w:cs="Arial"/>
          <w:sz w:val="15"/>
          <w:szCs w:val="15"/>
          <w:lang w:eastAsia="en-US"/>
        </w:rPr>
        <w:t>-</w:t>
      </w:r>
      <w:r>
        <w:rPr>
          <w:rStyle w:val="CharStyle29"/>
          <w:lang w:eastAsia="en-US"/>
        </w:rPr>
        <w:t>103.</w:t>
      </w:r>
    </w:p>
    <w:p w14:paraId="129C2B40" w14:textId="77777777" w:rsidR="00B14B05" w:rsidRDefault="00B14B05">
      <w:pPr>
        <w:pStyle w:val="Style28"/>
        <w:numPr>
          <w:ilvl w:val="0"/>
          <w:numId w:val="5"/>
        </w:numPr>
        <w:tabs>
          <w:tab w:val="left" w:pos="528"/>
        </w:tabs>
        <w:spacing w:line="298" w:lineRule="auto"/>
        <w:jc w:val="both"/>
        <w:rPr>
          <w:sz w:val="24"/>
          <w:szCs w:val="24"/>
        </w:rPr>
      </w:pPr>
      <w:r>
        <w:rPr>
          <w:rStyle w:val="CharStyle29"/>
          <w:lang w:eastAsia="en-US"/>
        </w:rPr>
        <w:t>Christensen, G. A.; Wymore,</w:t>
      </w:r>
      <w:r>
        <w:rPr>
          <w:rStyle w:val="CharStyle29"/>
          <w:lang w:eastAsia="en-US"/>
        </w:rPr>
        <w:t xml:space="preserve"> A. M.; King, A. J.; Podar, M.; Hurt, R. A.; Santillan, E. U.; Soren, A.; Brandt, C. C.; Brown, S. D.; Palumbo, A. V.; et al.</w:t>
      </w:r>
      <w:hyperlink r:id="rId242" w:history="1">
        <w:r>
          <w:rPr>
            <w:rStyle w:val="CharStyle29"/>
            <w:lang w:eastAsia="en-US"/>
          </w:rPr>
          <w:t xml:space="preserve"> Development and Validation of Broad-Range</w:t>
        </w:r>
      </w:hyperlink>
      <w:r>
        <w:rPr>
          <w:rStyle w:val="CharStyle29"/>
          <w:lang w:eastAsia="en-US"/>
        </w:rPr>
        <w:t xml:space="preserve"> </w:t>
      </w:r>
      <w:hyperlink r:id="rId243" w:history="1">
        <w:r>
          <w:rPr>
            <w:rStyle w:val="CharStyle29"/>
            <w:lang w:eastAsia="en-US"/>
          </w:rPr>
          <w:t>Qualitative and Clade-Specific Quantitative Molecular Probes for</w:t>
        </w:r>
      </w:hyperlink>
      <w:r>
        <w:rPr>
          <w:rStyle w:val="CharStyle29"/>
          <w:lang w:eastAsia="en-US"/>
        </w:rPr>
        <w:t xml:space="preserve"> </w:t>
      </w:r>
      <w:hyperlink r:id="rId244" w:history="1">
        <w:r>
          <w:rPr>
            <w:rStyle w:val="CharStyle29"/>
            <w:lang w:eastAsia="en-US"/>
          </w:rPr>
          <w:t xml:space="preserve">Assessing Mercury Methylation in the Environment. </w:t>
        </w:r>
      </w:hyperlink>
      <w:r>
        <w:rPr>
          <w:rStyle w:val="CharStyle29"/>
          <w:rFonts w:ascii="Arial" w:hAnsi="Arial" w:cs="Arial"/>
          <w:i/>
          <w:iCs/>
          <w:sz w:val="12"/>
          <w:szCs w:val="12"/>
          <w:lang w:eastAsia="en-US"/>
        </w:rPr>
        <w:t>Appl. Environ. Microbiol.</w:t>
      </w:r>
      <w:r>
        <w:rPr>
          <w:rStyle w:val="CharStyle29"/>
          <w:rFonts w:ascii="Arial" w:hAnsi="Arial" w:cs="Arial"/>
          <w:sz w:val="12"/>
          <w:szCs w:val="12"/>
          <w:lang w:eastAsia="en-US"/>
        </w:rPr>
        <w:t xml:space="preserve"> 2016</w:t>
      </w:r>
      <w:r>
        <w:rPr>
          <w:rStyle w:val="CharStyle29"/>
          <w:lang w:eastAsia="en-US"/>
        </w:rPr>
        <w:t xml:space="preserve">, </w:t>
      </w:r>
      <w:r>
        <w:rPr>
          <w:rStyle w:val="CharStyle29"/>
          <w:rFonts w:ascii="Arial" w:hAnsi="Arial" w:cs="Arial"/>
          <w:i/>
          <w:iCs/>
          <w:sz w:val="12"/>
          <w:szCs w:val="12"/>
          <w:lang w:eastAsia="en-US"/>
        </w:rPr>
        <w:t>82</w:t>
      </w:r>
      <w:r>
        <w:rPr>
          <w:rStyle w:val="CharStyle29"/>
          <w:lang w:eastAsia="en-US"/>
        </w:rPr>
        <w:t xml:space="preserve"> (19), 6068</w:t>
      </w:r>
      <w:r>
        <w:rPr>
          <w:rStyle w:val="CharStyle29"/>
          <w:rFonts w:ascii="Arial" w:hAnsi="Arial" w:cs="Arial"/>
          <w:sz w:val="15"/>
          <w:szCs w:val="15"/>
          <w:lang w:eastAsia="en-US"/>
        </w:rPr>
        <w:t>-</w:t>
      </w:r>
      <w:r>
        <w:rPr>
          <w:rStyle w:val="CharStyle29"/>
          <w:lang w:eastAsia="en-US"/>
        </w:rPr>
        <w:t>6078.</w:t>
      </w:r>
    </w:p>
    <w:p w14:paraId="0C33DF3D" w14:textId="77777777" w:rsidR="00B14B05" w:rsidRDefault="00B14B05">
      <w:pPr>
        <w:pStyle w:val="Style28"/>
        <w:numPr>
          <w:ilvl w:val="0"/>
          <w:numId w:val="5"/>
        </w:numPr>
        <w:tabs>
          <w:tab w:val="left" w:pos="523"/>
        </w:tabs>
        <w:spacing w:line="298" w:lineRule="auto"/>
        <w:jc w:val="both"/>
        <w:rPr>
          <w:sz w:val="24"/>
          <w:szCs w:val="24"/>
        </w:rPr>
      </w:pPr>
      <w:r>
        <w:rPr>
          <w:rStyle w:val="CharStyle29"/>
          <w:lang w:eastAsia="en-US"/>
        </w:rPr>
        <w:t>Wang, Z.; Feng, K.; Wei, Z.; Wu, Y.; Isobe, K.; Senoo, K.; Peng, X.; Wang, D.; He, Q.; Du, X.; et al.</w:t>
      </w:r>
      <w:hyperlink r:id="rId245" w:history="1">
        <w:r>
          <w:rPr>
            <w:rStyle w:val="CharStyle29"/>
            <w:lang w:eastAsia="en-US"/>
          </w:rPr>
          <w:t xml:space="preserve"> Evaluation and redesign of the</w:t>
        </w:r>
      </w:hyperlink>
      <w:r>
        <w:rPr>
          <w:rStyle w:val="CharStyle29"/>
          <w:lang w:eastAsia="en-US"/>
        </w:rPr>
        <w:t xml:space="preserve"> </w:t>
      </w:r>
      <w:hyperlink r:id="rId246" w:history="1">
        <w:r>
          <w:rPr>
            <w:rStyle w:val="CharStyle29"/>
            <w:lang w:eastAsia="en-US"/>
          </w:rPr>
          <w:t xml:space="preserve">primers for detecting nitrogen cycling genes in environments. </w:t>
        </w:r>
      </w:hyperlink>
      <w:r>
        <w:rPr>
          <w:rStyle w:val="CharStyle29"/>
          <w:rFonts w:ascii="Arial" w:hAnsi="Arial" w:cs="Arial"/>
          <w:i/>
          <w:iCs/>
          <w:sz w:val="12"/>
          <w:szCs w:val="12"/>
          <w:lang w:eastAsia="en-US"/>
        </w:rPr>
        <w:t>Methods Ecol. Evol.</w:t>
      </w:r>
      <w:r>
        <w:rPr>
          <w:rStyle w:val="CharStyle29"/>
          <w:rFonts w:ascii="Arial" w:hAnsi="Arial" w:cs="Arial"/>
          <w:sz w:val="12"/>
          <w:szCs w:val="12"/>
          <w:lang w:eastAsia="en-US"/>
        </w:rPr>
        <w:t xml:space="preserve"> 2022</w:t>
      </w:r>
      <w:r>
        <w:rPr>
          <w:rStyle w:val="CharStyle29"/>
          <w:lang w:eastAsia="en-US"/>
        </w:rPr>
        <w:t xml:space="preserve">, </w:t>
      </w:r>
      <w:r>
        <w:rPr>
          <w:rStyle w:val="CharStyle29"/>
          <w:rFonts w:ascii="Arial" w:hAnsi="Arial" w:cs="Arial"/>
          <w:i/>
          <w:iCs/>
          <w:sz w:val="12"/>
          <w:szCs w:val="12"/>
          <w:lang w:eastAsia="en-US"/>
        </w:rPr>
        <w:t>13</w:t>
      </w:r>
      <w:r>
        <w:rPr>
          <w:rStyle w:val="CharStyle29"/>
          <w:lang w:eastAsia="en-US"/>
        </w:rPr>
        <w:t xml:space="preserve"> (9), 1976</w:t>
      </w:r>
      <w:r>
        <w:rPr>
          <w:rStyle w:val="CharStyle29"/>
          <w:rFonts w:ascii="Arial" w:hAnsi="Arial" w:cs="Arial"/>
          <w:sz w:val="15"/>
          <w:szCs w:val="15"/>
          <w:lang w:eastAsia="en-US"/>
        </w:rPr>
        <w:t>-</w:t>
      </w:r>
      <w:r>
        <w:rPr>
          <w:rStyle w:val="CharStyle29"/>
          <w:lang w:eastAsia="en-US"/>
        </w:rPr>
        <w:t>1989.</w:t>
      </w:r>
    </w:p>
    <w:p w14:paraId="3D07E859" w14:textId="77777777" w:rsidR="00B14B05" w:rsidRDefault="00B14B05">
      <w:pPr>
        <w:pStyle w:val="Style28"/>
        <w:numPr>
          <w:ilvl w:val="0"/>
          <w:numId w:val="5"/>
        </w:numPr>
        <w:tabs>
          <w:tab w:val="left" w:pos="528"/>
        </w:tabs>
        <w:spacing w:line="298" w:lineRule="auto"/>
        <w:jc w:val="both"/>
        <w:rPr>
          <w:sz w:val="24"/>
          <w:szCs w:val="24"/>
        </w:rPr>
      </w:pPr>
      <w:r>
        <w:rPr>
          <w:rStyle w:val="CharStyle29"/>
          <w:lang w:eastAsia="en-US"/>
        </w:rPr>
        <w:t xml:space="preserve">Pelt-Verkuil, E.; Belkum, A.; Hays, J. P. </w:t>
      </w:r>
      <w:r>
        <w:rPr>
          <w:rStyle w:val="CharStyle29"/>
          <w:rFonts w:ascii="Arial" w:hAnsi="Arial" w:cs="Arial"/>
          <w:i/>
          <w:iCs/>
          <w:sz w:val="12"/>
          <w:szCs w:val="12"/>
          <w:lang w:eastAsia="en-US"/>
        </w:rPr>
        <w:t>Principles and Technical Aspects of PCR Amplification</w:t>
      </w:r>
      <w:r>
        <w:rPr>
          <w:rStyle w:val="CharStyle29"/>
          <w:lang w:eastAsia="en-US"/>
        </w:rPr>
        <w:t>; Springer, 2008. .</w:t>
      </w:r>
    </w:p>
    <w:p w14:paraId="73697938" w14:textId="77777777" w:rsidR="00B14B05" w:rsidRDefault="00B14B05">
      <w:pPr>
        <w:pStyle w:val="Style28"/>
        <w:numPr>
          <w:ilvl w:val="0"/>
          <w:numId w:val="5"/>
        </w:numPr>
        <w:tabs>
          <w:tab w:val="left" w:pos="514"/>
        </w:tabs>
        <w:spacing w:line="298" w:lineRule="auto"/>
        <w:jc w:val="both"/>
        <w:rPr>
          <w:sz w:val="24"/>
          <w:szCs w:val="24"/>
        </w:rPr>
      </w:pPr>
      <w:r>
        <w:rPr>
          <w:rStyle w:val="CharStyle29"/>
          <w:lang w:eastAsia="en-US"/>
        </w:rPr>
        <w:t>Kahsen, J.; Sherwani, S. K.; Naqib, A.; Jeon, T.; Wu, L. Y. A.; Green, S. J.</w:t>
      </w:r>
      <w:hyperlink r:id="rId247" w:history="1">
        <w:r>
          <w:rPr>
            <w:rStyle w:val="CharStyle29"/>
            <w:lang w:eastAsia="en-US"/>
          </w:rPr>
          <w:t xml:space="preserve"> Quantitating primer-template interactions using</w:t>
        </w:r>
      </w:hyperlink>
      <w:r>
        <w:rPr>
          <w:rStyle w:val="CharStyle29"/>
          <w:lang w:eastAsia="en-US"/>
        </w:rPr>
        <w:t xml:space="preserve"> </w:t>
      </w:r>
      <w:hyperlink r:id="rId248" w:history="1">
        <w:r>
          <w:rPr>
            <w:rStyle w:val="CharStyle29"/>
            <w:lang w:eastAsia="en-US"/>
          </w:rPr>
          <w:t xml:space="preserve">deconstructed PCR. </w:t>
        </w:r>
      </w:hyperlink>
      <w:r>
        <w:rPr>
          <w:rStyle w:val="CharStyle29"/>
          <w:rFonts w:ascii="Arial" w:hAnsi="Arial" w:cs="Arial"/>
          <w:i/>
          <w:iCs/>
          <w:sz w:val="12"/>
          <w:szCs w:val="12"/>
          <w:lang w:eastAsia="en-US"/>
        </w:rPr>
        <w:t>PeerJ.</w:t>
      </w:r>
      <w:r>
        <w:rPr>
          <w:rStyle w:val="CharStyle29"/>
          <w:rFonts w:ascii="Arial" w:hAnsi="Arial" w:cs="Arial"/>
          <w:sz w:val="12"/>
          <w:szCs w:val="12"/>
          <w:lang w:eastAsia="en-US"/>
        </w:rPr>
        <w:t xml:space="preserve"> 2024</w:t>
      </w:r>
      <w:r>
        <w:rPr>
          <w:rStyle w:val="CharStyle29"/>
          <w:lang w:eastAsia="en-US"/>
        </w:rPr>
        <w:t xml:space="preserve">, </w:t>
      </w:r>
      <w:r>
        <w:rPr>
          <w:rStyle w:val="CharStyle29"/>
          <w:rFonts w:ascii="Arial" w:hAnsi="Arial" w:cs="Arial"/>
          <w:i/>
          <w:iCs/>
          <w:sz w:val="12"/>
          <w:szCs w:val="12"/>
          <w:lang w:eastAsia="en-US"/>
        </w:rPr>
        <w:t>12</w:t>
      </w:r>
      <w:r>
        <w:rPr>
          <w:rStyle w:val="CharStyle29"/>
          <w:lang w:eastAsia="en-US"/>
        </w:rPr>
        <w:t>, No. e17787.</w:t>
      </w:r>
    </w:p>
    <w:p w14:paraId="305C3FD9" w14:textId="77777777" w:rsidR="00B14B05" w:rsidRDefault="00B14B05">
      <w:pPr>
        <w:pStyle w:val="Style28"/>
        <w:numPr>
          <w:ilvl w:val="0"/>
          <w:numId w:val="5"/>
        </w:numPr>
        <w:tabs>
          <w:tab w:val="left" w:pos="528"/>
        </w:tabs>
        <w:spacing w:line="310" w:lineRule="auto"/>
        <w:jc w:val="both"/>
        <w:rPr>
          <w:sz w:val="24"/>
          <w:szCs w:val="24"/>
        </w:rPr>
      </w:pPr>
      <w:r>
        <w:rPr>
          <w:rStyle w:val="CharStyle29"/>
          <w:lang w:eastAsia="en-US"/>
        </w:rPr>
        <w:t>Liu, J.; Zhang, Y.; Liu, J.; Zhong, H.; Williams, B. T.; Zheng, Y.; Curson, A. R. J.; Sun, C.; Sun, H.; Song, D.; et al.</w:t>
      </w:r>
      <w:hyperlink r:id="rId249" w:history="1">
        <w:r>
          <w:rPr>
            <w:rStyle w:val="CharStyle29"/>
            <w:lang w:eastAsia="en-US"/>
          </w:rPr>
          <w:t xml:space="preserve"> Bacterial</w:t>
        </w:r>
      </w:hyperlink>
      <w:r>
        <w:rPr>
          <w:rStyle w:val="CharStyle29"/>
          <w:lang w:eastAsia="en-US"/>
        </w:rPr>
        <w:t xml:space="preserve"> </w:t>
      </w:r>
      <w:hyperlink r:id="rId250" w:history="1">
        <w:r>
          <w:rPr>
            <w:rStyle w:val="CharStyle29"/>
            <w:lang w:eastAsia="en-US"/>
          </w:rPr>
          <w:t>Dimethylsulfoniopropionate Biosynthesis in the East China Sea.</w:t>
        </w:r>
      </w:hyperlink>
      <w:r>
        <w:rPr>
          <w:rStyle w:val="CharStyle29"/>
          <w:lang w:eastAsia="en-US"/>
        </w:rPr>
        <w:t xml:space="preserve"> </w:t>
      </w:r>
      <w:r>
        <w:rPr>
          <w:rStyle w:val="CharStyle29"/>
          <w:rFonts w:ascii="Arial" w:hAnsi="Arial" w:cs="Arial"/>
          <w:i/>
          <w:iCs/>
          <w:sz w:val="12"/>
          <w:szCs w:val="12"/>
          <w:lang w:eastAsia="en-US"/>
        </w:rPr>
        <w:t>Microorganisms</w:t>
      </w:r>
      <w:r>
        <w:rPr>
          <w:rStyle w:val="CharStyle29"/>
          <w:rFonts w:ascii="Arial" w:hAnsi="Arial" w:cs="Arial"/>
          <w:sz w:val="12"/>
          <w:szCs w:val="12"/>
          <w:lang w:eastAsia="en-US"/>
        </w:rPr>
        <w:t xml:space="preserve"> 2021</w:t>
      </w:r>
      <w:r>
        <w:rPr>
          <w:rStyle w:val="CharStyle29"/>
          <w:lang w:eastAsia="en-US"/>
        </w:rPr>
        <w:t xml:space="preserve">, </w:t>
      </w:r>
      <w:r>
        <w:rPr>
          <w:rStyle w:val="CharStyle29"/>
          <w:rFonts w:ascii="Arial" w:hAnsi="Arial" w:cs="Arial"/>
          <w:i/>
          <w:iCs/>
          <w:sz w:val="12"/>
          <w:szCs w:val="12"/>
          <w:lang w:eastAsia="en-US"/>
        </w:rPr>
        <w:t>9</w:t>
      </w:r>
      <w:r>
        <w:rPr>
          <w:rStyle w:val="CharStyle29"/>
          <w:lang w:eastAsia="en-US"/>
        </w:rPr>
        <w:t xml:space="preserve"> (3), 657.</w:t>
      </w:r>
    </w:p>
    <w:p w14:paraId="5E0A2DE3" w14:textId="77777777" w:rsidR="00B14B05" w:rsidRDefault="00B14B05">
      <w:pPr>
        <w:pStyle w:val="Style28"/>
        <w:numPr>
          <w:ilvl w:val="0"/>
          <w:numId w:val="5"/>
        </w:numPr>
        <w:tabs>
          <w:tab w:val="left" w:pos="519"/>
        </w:tabs>
        <w:spacing w:line="298" w:lineRule="auto"/>
        <w:jc w:val="both"/>
        <w:rPr>
          <w:sz w:val="24"/>
          <w:szCs w:val="24"/>
        </w:rPr>
      </w:pPr>
      <w:r>
        <w:rPr>
          <w:rStyle w:val="CharStyle29"/>
          <w:lang w:eastAsia="en-US"/>
        </w:rPr>
        <w:t>Teng, Z.-J.; Qin, Q.-L.; Zhang, W.; Li, J.; Fu, H.-H.; Wang, P.; Lan, M.; Lu, G.; He, J.; McMinn, A.; et al.</w:t>
      </w:r>
      <w:hyperlink r:id="rId251" w:history="1">
        <w:r>
          <w:rPr>
            <w:rStyle w:val="CharStyle29"/>
            <w:lang w:eastAsia="en-US"/>
          </w:rPr>
          <w:t xml:space="preserve"> Biogeographic traits of</w:t>
        </w:r>
      </w:hyperlink>
      <w:r>
        <w:rPr>
          <w:rStyle w:val="CharStyle29"/>
          <w:lang w:eastAsia="en-US"/>
        </w:rPr>
        <w:t xml:space="preserve"> </w:t>
      </w:r>
      <w:hyperlink r:id="rId252" w:history="1">
        <w:r>
          <w:rPr>
            <w:rStyle w:val="CharStyle29"/>
            <w:lang w:eastAsia="en-US"/>
          </w:rPr>
          <w:t>dimethyl sulfide and dimethylsulfoniopropionate cycling in polar</w:t>
        </w:r>
      </w:hyperlink>
      <w:r>
        <w:rPr>
          <w:rStyle w:val="CharStyle29"/>
          <w:lang w:eastAsia="en-US"/>
        </w:rPr>
        <w:t xml:space="preserve"> </w:t>
      </w:r>
      <w:hyperlink r:id="rId253" w:history="1">
        <w:r>
          <w:rPr>
            <w:rStyle w:val="CharStyle29"/>
            <w:lang w:eastAsia="en-US"/>
          </w:rPr>
          <w:t xml:space="preserve">oceans. </w:t>
        </w:r>
      </w:hyperlink>
      <w:r>
        <w:rPr>
          <w:rStyle w:val="CharStyle29"/>
          <w:rFonts w:ascii="Arial" w:hAnsi="Arial" w:cs="Arial"/>
          <w:i/>
          <w:iCs/>
          <w:sz w:val="12"/>
          <w:szCs w:val="12"/>
          <w:lang w:eastAsia="en-US"/>
        </w:rPr>
        <w:t>Microbiome</w:t>
      </w:r>
      <w:r>
        <w:rPr>
          <w:rStyle w:val="CharStyle29"/>
          <w:rFonts w:ascii="Arial" w:hAnsi="Arial" w:cs="Arial"/>
          <w:sz w:val="12"/>
          <w:szCs w:val="12"/>
          <w:lang w:eastAsia="en-US"/>
        </w:rPr>
        <w:t xml:space="preserve"> 2021</w:t>
      </w:r>
      <w:r>
        <w:rPr>
          <w:rStyle w:val="CharStyle29"/>
          <w:lang w:eastAsia="en-US"/>
        </w:rPr>
        <w:t xml:space="preserve">, </w:t>
      </w:r>
      <w:r>
        <w:rPr>
          <w:rStyle w:val="CharStyle29"/>
          <w:rFonts w:ascii="Arial" w:hAnsi="Arial" w:cs="Arial"/>
          <w:i/>
          <w:iCs/>
          <w:sz w:val="12"/>
          <w:szCs w:val="12"/>
          <w:lang w:eastAsia="en-US"/>
        </w:rPr>
        <w:t>9</w:t>
      </w:r>
      <w:r>
        <w:rPr>
          <w:rStyle w:val="CharStyle29"/>
          <w:lang w:eastAsia="en-US"/>
        </w:rPr>
        <w:t xml:space="preserve"> (1), 207.</w:t>
      </w:r>
    </w:p>
    <w:p w14:paraId="478F574C" w14:textId="77777777" w:rsidR="00B14B05" w:rsidRDefault="00B14B05">
      <w:pPr>
        <w:pStyle w:val="Style28"/>
        <w:numPr>
          <w:ilvl w:val="0"/>
          <w:numId w:val="5"/>
        </w:numPr>
        <w:tabs>
          <w:tab w:val="left" w:pos="519"/>
        </w:tabs>
        <w:spacing w:line="298" w:lineRule="auto"/>
        <w:jc w:val="both"/>
        <w:rPr>
          <w:sz w:val="24"/>
          <w:szCs w:val="24"/>
        </w:rPr>
      </w:pPr>
      <w:r>
        <w:rPr>
          <w:rStyle w:val="CharStyle29"/>
          <w:lang w:eastAsia="en-US"/>
        </w:rPr>
        <w:t>O’Brien, J.; McParland, E. L.; Bramucci, A. R.; Ostrowski, M.; Siboni, N.; Ingleton, T.; Brown, M. V.; Levine, N. M.; Laverock, B.; Petrou, K.; et al.</w:t>
      </w:r>
      <w:hyperlink r:id="rId254" w:history="1">
        <w:r>
          <w:rPr>
            <w:rStyle w:val="CharStyle29"/>
            <w:lang w:eastAsia="en-US"/>
          </w:rPr>
          <w:t xml:space="preserve"> The Microbiological Drivers of Temporally Dynamic</w:t>
        </w:r>
      </w:hyperlink>
      <w:r>
        <w:rPr>
          <w:rStyle w:val="CharStyle29"/>
          <w:lang w:eastAsia="en-US"/>
        </w:rPr>
        <w:t xml:space="preserve"> </w:t>
      </w:r>
      <w:hyperlink r:id="rId255" w:history="1">
        <w:r>
          <w:rPr>
            <w:rStyle w:val="CharStyle29"/>
            <w:lang w:eastAsia="en-US"/>
          </w:rPr>
          <w:t>Dimethylsulfoniopropionate Cycling Processes in Australian Coastal</w:t>
        </w:r>
      </w:hyperlink>
      <w:r>
        <w:rPr>
          <w:rStyle w:val="CharStyle29"/>
          <w:lang w:eastAsia="en-US"/>
        </w:rPr>
        <w:t xml:space="preserve"> </w:t>
      </w:r>
      <w:hyperlink r:id="rId256" w:history="1">
        <w:r>
          <w:rPr>
            <w:rStyle w:val="CharStyle29"/>
            <w:lang w:eastAsia="en-US"/>
          </w:rPr>
          <w:t xml:space="preserve">Shelf Waters. </w:t>
        </w:r>
      </w:hyperlink>
      <w:r>
        <w:rPr>
          <w:rStyle w:val="CharStyle29"/>
          <w:rFonts w:ascii="Arial" w:hAnsi="Arial" w:cs="Arial"/>
          <w:i/>
          <w:iCs/>
          <w:sz w:val="12"/>
          <w:szCs w:val="12"/>
          <w:lang w:eastAsia="en-US"/>
        </w:rPr>
        <w:t>Front. Microbiol.</w:t>
      </w:r>
      <w:r>
        <w:rPr>
          <w:rStyle w:val="CharStyle29"/>
          <w:rFonts w:ascii="Arial" w:hAnsi="Arial" w:cs="Arial"/>
          <w:sz w:val="12"/>
          <w:szCs w:val="12"/>
          <w:lang w:eastAsia="en-US"/>
        </w:rPr>
        <w:t xml:space="preserve"> 2022</w:t>
      </w:r>
      <w:r>
        <w:rPr>
          <w:rStyle w:val="CharStyle29"/>
          <w:lang w:eastAsia="en-US"/>
        </w:rPr>
        <w:t xml:space="preserve">, </w:t>
      </w:r>
      <w:r>
        <w:rPr>
          <w:rStyle w:val="CharStyle29"/>
          <w:rFonts w:ascii="Arial" w:hAnsi="Arial" w:cs="Arial"/>
          <w:i/>
          <w:iCs/>
          <w:sz w:val="12"/>
          <w:szCs w:val="12"/>
          <w:lang w:eastAsia="en-US"/>
        </w:rPr>
        <w:t>13</w:t>
      </w:r>
      <w:r>
        <w:rPr>
          <w:rStyle w:val="CharStyle29"/>
          <w:lang w:eastAsia="en-US"/>
        </w:rPr>
        <w:t>, 13.</w:t>
      </w:r>
    </w:p>
    <w:p w14:paraId="6114E5C9" w14:textId="77777777" w:rsidR="00B14B05" w:rsidRDefault="00B14B05">
      <w:pPr>
        <w:pStyle w:val="Style28"/>
        <w:numPr>
          <w:ilvl w:val="0"/>
          <w:numId w:val="5"/>
        </w:numPr>
        <w:tabs>
          <w:tab w:val="left" w:pos="523"/>
        </w:tabs>
        <w:spacing w:line="298" w:lineRule="auto"/>
        <w:jc w:val="both"/>
        <w:rPr>
          <w:sz w:val="24"/>
          <w:szCs w:val="24"/>
        </w:rPr>
      </w:pPr>
      <w:r>
        <w:rPr>
          <w:rStyle w:val="CharStyle29"/>
          <w:lang w:eastAsia="en-US"/>
        </w:rPr>
        <w:t>Shaw, D. K.; Sekar, J.; Ramalingam, P. V.</w:t>
      </w:r>
      <w:hyperlink r:id="rId257" w:history="1">
        <w:r>
          <w:rPr>
            <w:rStyle w:val="CharStyle29"/>
            <w:lang w:eastAsia="en-US"/>
          </w:rPr>
          <w:t xml:space="preserve"> Recent insights into</w:t>
        </w:r>
      </w:hyperlink>
      <w:r>
        <w:rPr>
          <w:rStyle w:val="CharStyle29"/>
          <w:lang w:eastAsia="en-US"/>
        </w:rPr>
        <w:t xml:space="preserve"> </w:t>
      </w:r>
      <w:hyperlink r:id="rId258" w:history="1">
        <w:r>
          <w:rPr>
            <w:rStyle w:val="CharStyle29"/>
            <w:lang w:eastAsia="en-US"/>
          </w:rPr>
          <w:t>oceanic dimethylsulfoniopropionate biosynthesis and catabolism.</w:t>
        </w:r>
      </w:hyperlink>
      <w:r>
        <w:rPr>
          <w:rStyle w:val="CharStyle29"/>
          <w:lang w:eastAsia="en-US"/>
        </w:rPr>
        <w:t xml:space="preserve"> </w:t>
      </w:r>
      <w:r>
        <w:rPr>
          <w:rStyle w:val="CharStyle29"/>
          <w:rFonts w:ascii="Arial" w:hAnsi="Arial" w:cs="Arial"/>
          <w:i/>
          <w:iCs/>
          <w:sz w:val="12"/>
          <w:szCs w:val="12"/>
          <w:lang w:eastAsia="en-US"/>
        </w:rPr>
        <w:t>Environ. Microbiol.</w:t>
      </w:r>
      <w:r>
        <w:rPr>
          <w:rStyle w:val="CharStyle29"/>
          <w:rFonts w:ascii="Arial" w:hAnsi="Arial" w:cs="Arial"/>
          <w:sz w:val="12"/>
          <w:szCs w:val="12"/>
          <w:lang w:eastAsia="en-US"/>
        </w:rPr>
        <w:t xml:space="preserve"> 2022</w:t>
      </w:r>
      <w:r>
        <w:rPr>
          <w:rStyle w:val="CharStyle29"/>
          <w:lang w:eastAsia="en-US"/>
        </w:rPr>
        <w:t xml:space="preserve">, </w:t>
      </w:r>
      <w:r>
        <w:rPr>
          <w:rStyle w:val="CharStyle29"/>
          <w:rFonts w:ascii="Arial" w:hAnsi="Arial" w:cs="Arial"/>
          <w:i/>
          <w:iCs/>
          <w:sz w:val="12"/>
          <w:szCs w:val="12"/>
          <w:lang w:eastAsia="en-US"/>
        </w:rPr>
        <w:t>24</w:t>
      </w:r>
      <w:r>
        <w:rPr>
          <w:rStyle w:val="CharStyle29"/>
          <w:lang w:eastAsia="en-US"/>
        </w:rPr>
        <w:t xml:space="preserve"> (6), 2669</w:t>
      </w:r>
      <w:r>
        <w:rPr>
          <w:rStyle w:val="CharStyle29"/>
          <w:rFonts w:ascii="Arial" w:hAnsi="Arial" w:cs="Arial"/>
          <w:sz w:val="15"/>
          <w:szCs w:val="15"/>
          <w:lang w:eastAsia="en-US"/>
        </w:rPr>
        <w:t>-</w:t>
      </w:r>
      <w:r>
        <w:rPr>
          <w:rStyle w:val="CharStyle29"/>
          <w:lang w:eastAsia="en-US"/>
        </w:rPr>
        <w:t>2700.</w:t>
      </w:r>
    </w:p>
    <w:p w14:paraId="79C02E6D" w14:textId="77777777" w:rsidR="00B14B05" w:rsidRDefault="00B14B05">
      <w:pPr>
        <w:pStyle w:val="Style28"/>
        <w:numPr>
          <w:ilvl w:val="0"/>
          <w:numId w:val="5"/>
        </w:numPr>
        <w:tabs>
          <w:tab w:val="left" w:pos="523"/>
        </w:tabs>
        <w:spacing w:line="298" w:lineRule="auto"/>
        <w:jc w:val="both"/>
        <w:rPr>
          <w:sz w:val="24"/>
          <w:szCs w:val="24"/>
        </w:rPr>
      </w:pPr>
      <w:r>
        <w:rPr>
          <w:rStyle w:val="CharStyle29"/>
          <w:lang w:eastAsia="en-US"/>
        </w:rPr>
        <w:t>Yabe, I.; Ito, S.-I.; Kakehi, S.; Nagai, T.; Nishioka, J.</w:t>
      </w:r>
      <w:hyperlink r:id="rId259" w:history="1">
        <w:r>
          <w:rPr>
            <w:rStyle w:val="CharStyle29"/>
            <w:lang w:eastAsia="en-US"/>
          </w:rPr>
          <w:t xml:space="preserve"> Steady</w:t>
        </w:r>
      </w:hyperlink>
      <w:r>
        <w:rPr>
          <w:rStyle w:val="CharStyle29"/>
          <w:lang w:eastAsia="en-US"/>
        </w:rPr>
        <w:t xml:space="preserve"> </w:t>
      </w:r>
      <w:hyperlink r:id="rId260" w:history="1">
        <w:r>
          <w:rPr>
            <w:rStyle w:val="CharStyle29"/>
            <w:lang w:eastAsia="en-US"/>
          </w:rPr>
          <w:t>nutrient upwelling around a biological hotspot of the confluence</w:t>
        </w:r>
      </w:hyperlink>
      <w:r>
        <w:rPr>
          <w:rStyle w:val="CharStyle29"/>
          <w:lang w:eastAsia="en-US"/>
        </w:rPr>
        <w:t xml:space="preserve"> </w:t>
      </w:r>
      <w:hyperlink r:id="rId261" w:history="1">
        <w:r>
          <w:rPr>
            <w:rStyle w:val="CharStyle29"/>
            <w:lang w:eastAsia="en-US"/>
          </w:rPr>
          <w:t>between the quasi-stationary jet and the Oyashio in the western North</w:t>
        </w:r>
      </w:hyperlink>
      <w:r>
        <w:rPr>
          <w:rStyle w:val="CharStyle29"/>
          <w:lang w:eastAsia="en-US"/>
        </w:rPr>
        <w:t xml:space="preserve"> </w:t>
      </w:r>
      <w:hyperlink r:id="rId262" w:history="1">
        <w:r>
          <w:rPr>
            <w:rStyle w:val="CharStyle29"/>
            <w:lang w:eastAsia="en-US"/>
          </w:rPr>
          <w:t>Pacific.</w:t>
        </w:r>
      </w:hyperlink>
      <w:r>
        <w:rPr>
          <w:rStyle w:val="CharStyle29"/>
          <w:lang w:eastAsia="en-US"/>
        </w:rPr>
        <w:t xml:space="preserve"> </w:t>
      </w:r>
      <w:r>
        <w:rPr>
          <w:rStyle w:val="CharStyle29"/>
          <w:rFonts w:ascii="Arial" w:hAnsi="Arial" w:cs="Arial"/>
          <w:i/>
          <w:iCs/>
          <w:sz w:val="12"/>
          <w:szCs w:val="12"/>
          <w:lang w:eastAsia="en-US"/>
        </w:rPr>
        <w:t>Sci. Rep.</w:t>
      </w:r>
      <w:r>
        <w:rPr>
          <w:rStyle w:val="CharStyle29"/>
          <w:rFonts w:ascii="Arial" w:hAnsi="Arial" w:cs="Arial"/>
          <w:sz w:val="12"/>
          <w:szCs w:val="12"/>
          <w:lang w:eastAsia="en-US"/>
        </w:rPr>
        <w:t xml:space="preserve"> 2024</w:t>
      </w:r>
      <w:r>
        <w:rPr>
          <w:rStyle w:val="CharStyle29"/>
          <w:lang w:eastAsia="en-US"/>
        </w:rPr>
        <w:t xml:space="preserve">, </w:t>
      </w:r>
      <w:r>
        <w:rPr>
          <w:rStyle w:val="CharStyle29"/>
          <w:rFonts w:ascii="Arial" w:hAnsi="Arial" w:cs="Arial"/>
          <w:i/>
          <w:iCs/>
          <w:sz w:val="12"/>
          <w:szCs w:val="12"/>
          <w:lang w:eastAsia="en-US"/>
        </w:rPr>
        <w:t>14</w:t>
      </w:r>
      <w:r>
        <w:rPr>
          <w:rStyle w:val="CharStyle29"/>
          <w:lang w:eastAsia="en-US"/>
        </w:rPr>
        <w:t xml:space="preserve"> (1), 17578.</w:t>
      </w:r>
    </w:p>
    <w:p w14:paraId="5CC206B4" w14:textId="77777777" w:rsidR="00B14B05" w:rsidRDefault="00B14B05">
      <w:pPr>
        <w:pStyle w:val="Style28"/>
        <w:numPr>
          <w:ilvl w:val="0"/>
          <w:numId w:val="5"/>
        </w:numPr>
        <w:tabs>
          <w:tab w:val="left" w:pos="519"/>
        </w:tabs>
        <w:spacing w:line="298" w:lineRule="auto"/>
        <w:jc w:val="both"/>
        <w:rPr>
          <w:sz w:val="24"/>
          <w:szCs w:val="24"/>
        </w:rPr>
      </w:pPr>
      <w:r>
        <w:rPr>
          <w:rStyle w:val="CharStyle29"/>
          <w:lang w:eastAsia="en-US"/>
        </w:rPr>
        <w:t>Li, Y.; Li, Y.; Wang, H.; Zhang, C.; Lian, K.; Liu, F.; Liang, Y.; Chen, Z.; Zhang, Y.; Shao, H.; et al.</w:t>
      </w:r>
      <w:hyperlink r:id="rId263" w:history="1">
        <w:r>
          <w:rPr>
            <w:rStyle w:val="CharStyle29"/>
            <w:lang w:eastAsia="en-US"/>
          </w:rPr>
          <w:t xml:space="preserve"> Community organization and</w:t>
        </w:r>
      </w:hyperlink>
      <w:r>
        <w:rPr>
          <w:rStyle w:val="CharStyle29"/>
          <w:lang w:eastAsia="en-US"/>
        </w:rPr>
        <w:t xml:space="preserve"> </w:t>
      </w:r>
      <w:hyperlink r:id="rId264" w:history="1">
        <w:r>
          <w:rPr>
            <w:rStyle w:val="CharStyle29"/>
            <w:lang w:eastAsia="en-US"/>
          </w:rPr>
          <w:t>network stability of co-occurring microbiota under the influence of</w:t>
        </w:r>
      </w:hyperlink>
      <w:r>
        <w:rPr>
          <w:rStyle w:val="CharStyle29"/>
          <w:lang w:eastAsia="en-US"/>
        </w:rPr>
        <w:t xml:space="preserve"> </w:t>
      </w:r>
      <w:hyperlink r:id="rId265" w:history="1">
        <w:r>
          <w:rPr>
            <w:rStyle w:val="CharStyle29"/>
            <w:lang w:eastAsia="en-US"/>
          </w:rPr>
          <w:t xml:space="preserve">Kuroshio Current. </w:t>
        </w:r>
      </w:hyperlink>
      <w:r>
        <w:rPr>
          <w:rStyle w:val="CharStyle29"/>
          <w:rFonts w:ascii="Arial" w:hAnsi="Arial" w:cs="Arial"/>
          <w:i/>
          <w:iCs/>
          <w:sz w:val="12"/>
          <w:szCs w:val="12"/>
          <w:lang w:eastAsia="en-US"/>
        </w:rPr>
        <w:t>Mar. Pollut. Bull</w:t>
      </w:r>
      <w:r>
        <w:rPr>
          <w:rStyle w:val="CharStyle29"/>
          <w:rFonts w:ascii="Arial" w:hAnsi="Arial" w:cs="Arial"/>
          <w:sz w:val="12"/>
          <w:szCs w:val="12"/>
          <w:lang w:eastAsia="en-US"/>
        </w:rPr>
        <w:t xml:space="preserve"> 2025</w:t>
      </w:r>
      <w:r>
        <w:rPr>
          <w:rStyle w:val="CharStyle29"/>
          <w:lang w:eastAsia="en-US"/>
        </w:rPr>
        <w:t xml:space="preserve">, </w:t>
      </w:r>
      <w:r>
        <w:rPr>
          <w:rStyle w:val="CharStyle29"/>
          <w:rFonts w:ascii="Arial" w:hAnsi="Arial" w:cs="Arial"/>
          <w:i/>
          <w:iCs/>
          <w:sz w:val="12"/>
          <w:szCs w:val="12"/>
          <w:lang w:eastAsia="en-US"/>
        </w:rPr>
        <w:t>213</w:t>
      </w:r>
      <w:r>
        <w:rPr>
          <w:rStyle w:val="CharStyle29"/>
          <w:lang w:eastAsia="en-US"/>
        </w:rPr>
        <w:t>, 117637.</w:t>
      </w:r>
    </w:p>
    <w:p w14:paraId="1A881204" w14:textId="77777777" w:rsidR="00B14B05" w:rsidRDefault="00B14B05">
      <w:pPr>
        <w:pStyle w:val="Style28"/>
        <w:numPr>
          <w:ilvl w:val="0"/>
          <w:numId w:val="5"/>
        </w:numPr>
        <w:tabs>
          <w:tab w:val="left" w:pos="523"/>
        </w:tabs>
        <w:spacing w:line="298" w:lineRule="auto"/>
        <w:jc w:val="both"/>
        <w:rPr>
          <w:sz w:val="24"/>
          <w:szCs w:val="24"/>
        </w:rPr>
      </w:pPr>
      <w:r>
        <w:rPr>
          <w:rStyle w:val="CharStyle29"/>
          <w:lang w:eastAsia="en-US"/>
        </w:rPr>
        <w:t>Liu, X.; Zhang, Y.; Sun, H.; Tan, S.; Zhang, X. H.</w:t>
      </w:r>
      <w:hyperlink r:id="rId266" w:history="1">
        <w:r>
          <w:rPr>
            <w:rStyle w:val="CharStyle29"/>
            <w:lang w:eastAsia="en-US"/>
          </w:rPr>
          <w:t xml:space="preserve"> Highly active</w:t>
        </w:r>
      </w:hyperlink>
      <w:r>
        <w:rPr>
          <w:rStyle w:val="CharStyle29"/>
          <w:lang w:eastAsia="en-US"/>
        </w:rPr>
        <w:t xml:space="preserve"> </w:t>
      </w:r>
      <w:hyperlink r:id="rId267" w:history="1">
        <w:r>
          <w:rPr>
            <w:rStyle w:val="CharStyle29"/>
            <w:lang w:eastAsia="en-US"/>
          </w:rPr>
          <w:t>bacterial DMSP metabolism in the surface microlayer of the eastern</w:t>
        </w:r>
      </w:hyperlink>
      <w:r>
        <w:rPr>
          <w:rStyle w:val="CharStyle29"/>
          <w:lang w:eastAsia="en-US"/>
        </w:rPr>
        <w:t xml:space="preserve"> </w:t>
      </w:r>
      <w:hyperlink r:id="rId268" w:history="1">
        <w:r>
          <w:rPr>
            <w:rStyle w:val="CharStyle29"/>
            <w:lang w:eastAsia="en-US"/>
          </w:rPr>
          <w:t xml:space="preserve">China marginal seas. </w:t>
        </w:r>
      </w:hyperlink>
      <w:r>
        <w:rPr>
          <w:rStyle w:val="CharStyle29"/>
          <w:rFonts w:ascii="Arial" w:hAnsi="Arial" w:cs="Arial"/>
          <w:i/>
          <w:iCs/>
          <w:sz w:val="12"/>
          <w:szCs w:val="12"/>
          <w:lang w:eastAsia="en-US"/>
        </w:rPr>
        <w:t>Front. Microbiol.</w:t>
      </w:r>
      <w:r>
        <w:rPr>
          <w:rStyle w:val="CharStyle29"/>
          <w:rFonts w:ascii="Arial" w:hAnsi="Arial" w:cs="Arial"/>
          <w:sz w:val="12"/>
          <w:szCs w:val="12"/>
          <w:lang w:eastAsia="en-US"/>
        </w:rPr>
        <w:t xml:space="preserve"> 2023</w:t>
      </w:r>
      <w:r>
        <w:rPr>
          <w:rStyle w:val="CharStyle29"/>
          <w:lang w:eastAsia="en-US"/>
        </w:rPr>
        <w:t xml:space="preserve">, </w:t>
      </w:r>
      <w:r>
        <w:rPr>
          <w:rStyle w:val="CharStyle29"/>
          <w:rFonts w:ascii="Arial" w:hAnsi="Arial" w:cs="Arial"/>
          <w:i/>
          <w:iCs/>
          <w:sz w:val="12"/>
          <w:szCs w:val="12"/>
          <w:lang w:eastAsia="en-US"/>
        </w:rPr>
        <w:t>14</w:t>
      </w:r>
      <w:r>
        <w:rPr>
          <w:rStyle w:val="CharStyle29"/>
          <w:lang w:eastAsia="en-US"/>
        </w:rPr>
        <w:t>, 1135083.</w:t>
      </w:r>
    </w:p>
    <w:p w14:paraId="7127E922" w14:textId="77777777" w:rsidR="00B14B05" w:rsidRDefault="00B14B05">
      <w:pPr>
        <w:pStyle w:val="Style28"/>
        <w:numPr>
          <w:ilvl w:val="0"/>
          <w:numId w:val="5"/>
        </w:numPr>
        <w:tabs>
          <w:tab w:val="left" w:pos="519"/>
        </w:tabs>
        <w:spacing w:line="298" w:lineRule="auto"/>
        <w:jc w:val="both"/>
        <w:rPr>
          <w:sz w:val="24"/>
          <w:szCs w:val="24"/>
        </w:rPr>
      </w:pPr>
      <w:r>
        <w:rPr>
          <w:rStyle w:val="CharStyle29"/>
          <w:lang w:eastAsia="en-US"/>
        </w:rPr>
        <w:t>Sörenson, E.; Farnelid, H.; Lindehoff, E.; Legrand, C.</w:t>
      </w:r>
      <w:hyperlink r:id="rId269" w:history="1">
        <w:r>
          <w:rPr>
            <w:rStyle w:val="CharStyle29"/>
            <w:lang w:eastAsia="en-US"/>
          </w:rPr>
          <w:t xml:space="preserve"> Resource</w:t>
        </w:r>
      </w:hyperlink>
      <w:r>
        <w:rPr>
          <w:rStyle w:val="CharStyle29"/>
          <w:lang w:eastAsia="en-US"/>
        </w:rPr>
        <w:t xml:space="preserve"> </w:t>
      </w:r>
      <w:hyperlink r:id="rId270" w:history="1">
        <w:r>
          <w:rPr>
            <w:rStyle w:val="CharStyle29"/>
            <w:lang w:eastAsia="en-US"/>
          </w:rPr>
          <w:t>Partitioning Between Phytoplankton and Bacteria in the Coastal</w:t>
        </w:r>
      </w:hyperlink>
      <w:r>
        <w:rPr>
          <w:rStyle w:val="CharStyle29"/>
          <w:lang w:eastAsia="en-US"/>
        </w:rPr>
        <w:t xml:space="preserve"> </w:t>
      </w:r>
      <w:hyperlink r:id="rId271" w:history="1">
        <w:r>
          <w:rPr>
            <w:rStyle w:val="CharStyle29"/>
            <w:lang w:eastAsia="en-US"/>
          </w:rPr>
          <w:t xml:space="preserve">Baltic Sea. </w:t>
        </w:r>
      </w:hyperlink>
      <w:r>
        <w:rPr>
          <w:rStyle w:val="CharStyle29"/>
          <w:rFonts w:ascii="Arial" w:hAnsi="Arial" w:cs="Arial"/>
          <w:i/>
          <w:iCs/>
          <w:sz w:val="12"/>
          <w:szCs w:val="12"/>
          <w:lang w:eastAsia="en-US"/>
        </w:rPr>
        <w:t>Front Mar Sci.</w:t>
      </w:r>
      <w:r>
        <w:rPr>
          <w:rStyle w:val="CharStyle29"/>
          <w:rFonts w:ascii="Arial" w:hAnsi="Arial" w:cs="Arial"/>
          <w:sz w:val="12"/>
          <w:szCs w:val="12"/>
          <w:lang w:eastAsia="en-US"/>
        </w:rPr>
        <w:t xml:space="preserve"> 2020</w:t>
      </w:r>
      <w:r>
        <w:rPr>
          <w:rStyle w:val="CharStyle29"/>
          <w:lang w:eastAsia="en-US"/>
        </w:rPr>
        <w:t xml:space="preserve">, </w:t>
      </w:r>
      <w:r>
        <w:rPr>
          <w:rStyle w:val="CharStyle29"/>
          <w:rFonts w:ascii="Arial" w:hAnsi="Arial" w:cs="Arial"/>
          <w:i/>
          <w:iCs/>
          <w:sz w:val="12"/>
          <w:szCs w:val="12"/>
          <w:lang w:eastAsia="en-US"/>
        </w:rPr>
        <w:t>7</w:t>
      </w:r>
      <w:r>
        <w:rPr>
          <w:rStyle w:val="CharStyle29"/>
          <w:lang w:eastAsia="en-US"/>
        </w:rPr>
        <w:t>, 608244.</w:t>
      </w:r>
    </w:p>
    <w:p w14:paraId="2327BAB5" w14:textId="77777777" w:rsidR="00B14B05" w:rsidRDefault="00B14B05">
      <w:pPr>
        <w:pStyle w:val="Style28"/>
        <w:numPr>
          <w:ilvl w:val="0"/>
          <w:numId w:val="5"/>
        </w:numPr>
        <w:tabs>
          <w:tab w:val="left" w:pos="523"/>
        </w:tabs>
        <w:spacing w:line="310" w:lineRule="auto"/>
        <w:jc w:val="both"/>
        <w:rPr>
          <w:sz w:val="24"/>
          <w:szCs w:val="24"/>
        </w:rPr>
      </w:pPr>
      <w:r>
        <w:rPr>
          <w:rStyle w:val="CharStyle29"/>
          <w:lang w:eastAsia="en-US"/>
        </w:rPr>
        <w:t>Adyasari, D.; Hassenru</w:t>
      </w:r>
      <w:r>
        <w:rPr>
          <w:rStyle w:val="CharStyle29"/>
          <w:rFonts w:ascii="Arial" w:hAnsi="Arial" w:cs="Arial"/>
          <w:sz w:val="15"/>
          <w:szCs w:val="15"/>
          <w:lang w:eastAsia="en-US"/>
        </w:rPr>
        <w:t>̈</w:t>
      </w:r>
      <w:r>
        <w:rPr>
          <w:rStyle w:val="CharStyle29"/>
          <w:lang w:eastAsia="en-US"/>
        </w:rPr>
        <w:t xml:space="preserve">ck, C.; Montiel, D.; Dimova, N. </w:t>
      </w:r>
      <w:hyperlink r:id="rId272" w:history="1">
        <w:r>
          <w:rPr>
            <w:rStyle w:val="CharStyle29"/>
            <w:lang w:eastAsia="en-US"/>
          </w:rPr>
          <w:t>Microbial community composition across a coastal hydrological</w:t>
        </w:r>
      </w:hyperlink>
      <w:r>
        <w:rPr>
          <w:rStyle w:val="CharStyle29"/>
          <w:lang w:eastAsia="en-US"/>
        </w:rPr>
        <w:t xml:space="preserve"> </w:t>
      </w:r>
      <w:hyperlink r:id="rId273" w:history="1">
        <w:r>
          <w:rPr>
            <w:rStyle w:val="CharStyle29"/>
            <w:lang w:eastAsia="en-US"/>
          </w:rPr>
          <w:t xml:space="preserve">system affected by submarine groundwater discharge (SGD). </w:t>
        </w:r>
      </w:hyperlink>
      <w:r>
        <w:rPr>
          <w:rStyle w:val="CharStyle29"/>
          <w:rFonts w:ascii="Arial" w:hAnsi="Arial" w:cs="Arial"/>
          <w:i/>
          <w:iCs/>
          <w:sz w:val="12"/>
          <w:szCs w:val="12"/>
          <w:lang w:eastAsia="en-US"/>
        </w:rPr>
        <w:t>PLoS One</w:t>
      </w:r>
      <w:r>
        <w:rPr>
          <w:rStyle w:val="CharStyle29"/>
          <w:rFonts w:ascii="Arial" w:hAnsi="Arial" w:cs="Arial"/>
          <w:sz w:val="12"/>
          <w:szCs w:val="12"/>
          <w:lang w:eastAsia="en-US"/>
        </w:rPr>
        <w:t xml:space="preserve"> 2020</w:t>
      </w:r>
      <w:r>
        <w:rPr>
          <w:rStyle w:val="CharStyle29"/>
          <w:lang w:eastAsia="en-US"/>
        </w:rPr>
        <w:t xml:space="preserve">, </w:t>
      </w:r>
      <w:r>
        <w:rPr>
          <w:rStyle w:val="CharStyle29"/>
          <w:rFonts w:ascii="Arial" w:hAnsi="Arial" w:cs="Arial"/>
          <w:i/>
          <w:iCs/>
          <w:sz w:val="12"/>
          <w:szCs w:val="12"/>
          <w:lang w:eastAsia="en-US"/>
        </w:rPr>
        <w:t>15</w:t>
      </w:r>
      <w:r>
        <w:rPr>
          <w:rStyle w:val="CharStyle29"/>
          <w:lang w:eastAsia="en-US"/>
        </w:rPr>
        <w:t xml:space="preserve"> (6), No. e0235235.</w:t>
      </w:r>
    </w:p>
    <w:p w14:paraId="4632873F" w14:textId="77777777" w:rsidR="00B14B05" w:rsidRDefault="00B14B05">
      <w:pPr>
        <w:pStyle w:val="Style28"/>
        <w:numPr>
          <w:ilvl w:val="0"/>
          <w:numId w:val="5"/>
        </w:numPr>
        <w:tabs>
          <w:tab w:val="left" w:pos="523"/>
        </w:tabs>
        <w:spacing w:line="314" w:lineRule="auto"/>
        <w:jc w:val="both"/>
        <w:rPr>
          <w:sz w:val="24"/>
          <w:szCs w:val="24"/>
        </w:rPr>
      </w:pPr>
      <w:r>
        <w:rPr>
          <w:rStyle w:val="CharStyle29"/>
          <w:lang w:eastAsia="en-US"/>
        </w:rPr>
        <w:t xml:space="preserve">Jamieson, A. J.; Fujii, T.; Mayor, D. J.; Solan, M.; Priede, I. G. </w:t>
      </w:r>
      <w:hyperlink r:id="rId274" w:history="1">
        <w:r>
          <w:rPr>
            <w:rStyle w:val="CharStyle29"/>
            <w:lang w:eastAsia="en-US"/>
          </w:rPr>
          <w:t xml:space="preserve">Hadal trenches: The ecology of the deepest places on Earth. </w:t>
        </w:r>
      </w:hyperlink>
      <w:r>
        <w:rPr>
          <w:rStyle w:val="CharStyle29"/>
          <w:rFonts w:ascii="Arial" w:hAnsi="Arial" w:cs="Arial"/>
          <w:i/>
          <w:iCs/>
          <w:sz w:val="12"/>
          <w:szCs w:val="12"/>
          <w:lang w:eastAsia="en-US"/>
        </w:rPr>
        <w:t>Trends Ecol. Evol.</w:t>
      </w:r>
      <w:r>
        <w:rPr>
          <w:rStyle w:val="CharStyle29"/>
          <w:rFonts w:ascii="Arial" w:hAnsi="Arial" w:cs="Arial"/>
          <w:sz w:val="12"/>
          <w:szCs w:val="12"/>
          <w:lang w:eastAsia="en-US"/>
        </w:rPr>
        <w:t xml:space="preserve"> 2010</w:t>
      </w:r>
      <w:r>
        <w:rPr>
          <w:rStyle w:val="CharStyle29"/>
          <w:lang w:eastAsia="en-US"/>
        </w:rPr>
        <w:t xml:space="preserve">, </w:t>
      </w:r>
      <w:r>
        <w:rPr>
          <w:rStyle w:val="CharStyle29"/>
          <w:rFonts w:ascii="Arial" w:hAnsi="Arial" w:cs="Arial"/>
          <w:i/>
          <w:iCs/>
          <w:sz w:val="12"/>
          <w:szCs w:val="12"/>
          <w:lang w:eastAsia="en-US"/>
        </w:rPr>
        <w:t>25</w:t>
      </w:r>
      <w:r>
        <w:rPr>
          <w:rStyle w:val="CharStyle29"/>
          <w:lang w:eastAsia="en-US"/>
        </w:rPr>
        <w:t xml:space="preserve"> (3), 190</w:t>
      </w:r>
      <w:r>
        <w:rPr>
          <w:rStyle w:val="CharStyle29"/>
          <w:rFonts w:ascii="Arial" w:hAnsi="Arial" w:cs="Arial"/>
          <w:sz w:val="15"/>
          <w:szCs w:val="15"/>
          <w:lang w:eastAsia="en-US"/>
        </w:rPr>
        <w:t>-</w:t>
      </w:r>
      <w:r>
        <w:rPr>
          <w:rStyle w:val="CharStyle29"/>
          <w:lang w:eastAsia="en-US"/>
        </w:rPr>
        <w:t>197.</w:t>
      </w:r>
    </w:p>
    <w:sectPr w:rsidR="00000000">
      <w:headerReference w:type="default" r:id="rId275"/>
      <w:footerReference w:type="default" r:id="rId276"/>
      <w:pgSz w:w="12146" w:h="16834"/>
      <w:pgMar w:top="1568" w:right="6274" w:bottom="1310" w:left="986"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D426C" w14:textId="77777777" w:rsidR="00B14B05" w:rsidRDefault="00B14B05">
      <w:r>
        <w:separator/>
      </w:r>
    </w:p>
  </w:endnote>
  <w:endnote w:type="continuationSeparator" w:id="0">
    <w:p w14:paraId="53F92D49" w14:textId="77777777" w:rsidR="00B14B05" w:rsidRDefault="00B14B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D3E6F" w14:textId="4C1F36BD" w:rsidR="00B14B05" w:rsidRDefault="00B14B05">
    <w:pPr>
      <w:spacing w:line="1" w:lineRule="exact"/>
      <w:rPr>
        <w:color w:val="auto"/>
        <w:lang w:eastAsia="en-GB"/>
      </w:rPr>
    </w:pPr>
    <w:r>
      <w:rPr>
        <w:noProof/>
      </w:rPr>
      <mc:AlternateContent>
        <mc:Choice Requires="wps">
          <w:drawing>
            <wp:anchor distT="0" distB="0" distL="0" distR="0" simplePos="0" relativeHeight="251659264" behindDoc="1" locked="0" layoutInCell="1" allowOverlap="1" wp14:anchorId="1A2D597D" wp14:editId="6F3E8272">
              <wp:simplePos x="0" y="0"/>
              <wp:positionH relativeFrom="page">
                <wp:posOffset>5672455</wp:posOffset>
              </wp:positionH>
              <wp:positionV relativeFrom="page">
                <wp:posOffset>9951085</wp:posOffset>
              </wp:positionV>
              <wp:extent cx="1403350" cy="160655"/>
              <wp:effectExtent l="0" t="0" r="1270" b="3810"/>
              <wp:wrapNone/>
              <wp:docPr id="67362172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0"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3FBB29" w14:textId="77777777" w:rsidR="00B14B05" w:rsidRDefault="00B14B05">
                          <w:pPr>
                            <w:pStyle w:val="Style2"/>
                            <w:rPr>
                              <w:sz w:val="24"/>
                              <w:szCs w:val="24"/>
                            </w:rPr>
                          </w:pPr>
                          <w:r>
                            <w:rPr>
                              <w:rStyle w:val="CharStyle3"/>
                              <w:rFonts w:ascii="Arial" w:hAnsi="Arial" w:cs="Arial"/>
                              <w:color w:val="0D54A6"/>
                              <w:sz w:val="11"/>
                              <w:szCs w:val="11"/>
                              <w:lang w:eastAsia="en-US"/>
                            </w:rPr>
                            <w:t>https://doi.org/10.1021/acs.est.5c10820</w:t>
                          </w:r>
                        </w:p>
                        <w:p w14:paraId="69FBD35B" w14:textId="77777777" w:rsidR="00B14B05" w:rsidRDefault="00B14B05">
                          <w:pPr>
                            <w:pStyle w:val="Style2"/>
                            <w:rPr>
                              <w:sz w:val="24"/>
                              <w:szCs w:val="24"/>
                            </w:rPr>
                          </w:pPr>
                          <w:r>
                            <w:rPr>
                              <w:rStyle w:val="CharStyle3"/>
                              <w:rFonts w:ascii="Arial" w:hAnsi="Arial" w:cs="Arial"/>
                              <w:i/>
                              <w:iCs/>
                              <w:sz w:val="11"/>
                              <w:szCs w:val="11"/>
                              <w:lang w:eastAsia="en-US"/>
                            </w:rPr>
                            <w:t>Environ. Sci. Technol.</w:t>
                          </w:r>
                          <w:r>
                            <w:rPr>
                              <w:rStyle w:val="CharStyle3"/>
                              <w:rFonts w:ascii="Arial" w:hAnsi="Arial" w:cs="Arial"/>
                              <w:sz w:val="11"/>
                              <w:szCs w:val="11"/>
                              <w:lang w:eastAsia="en-US"/>
                            </w:rPr>
                            <w:t xml:space="preserve"> XXXX, XXX, XXX</w:t>
                          </w:r>
                          <w:r>
                            <w:rPr>
                              <w:rStyle w:val="CharStyle3"/>
                              <w:rFonts w:ascii="Arial" w:hAnsi="Arial" w:cs="Arial"/>
                              <w:sz w:val="10"/>
                              <w:szCs w:val="10"/>
                              <w:lang w:eastAsia="en-US"/>
                            </w:rPr>
                            <w:t>-</w:t>
                          </w:r>
                          <w:r>
                            <w:rPr>
                              <w:rStyle w:val="CharStyle3"/>
                              <w:rFonts w:ascii="Arial" w:hAnsi="Arial" w:cs="Arial"/>
                              <w:sz w:val="11"/>
                              <w:szCs w:val="11"/>
                              <w:lang w:eastAsia="en-US"/>
                            </w:rPr>
                            <w:t>XXX</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A2D597D" id="_x0000_t202" coordsize="21600,21600" o:spt="202" path="m,l,21600r21600,l21600,xe">
              <v:stroke joinstyle="miter"/>
              <v:path gradientshapeok="t" o:connecttype="rect"/>
            </v:shapetype>
            <v:shape id="Text Box 1" o:spid="_x0000_s1042" type="#_x0000_t202" style="position:absolute;margin-left:446.65pt;margin-top:783.55pt;width:110.5pt;height:12.65pt;z-index:-251657216;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" filled="f" stroked="f">
              <v:textbox style="mso-fit-shape-to-text:t" inset="0,0,0,0">
                <w:txbxContent>
                  <w:p w14:paraId="2A3FBB29" w14:textId="77777777" w:rsidR="00B14B05" w:rsidRDefault="00B14B05">
                    <w:pPr>
                      <w:pStyle w:val="Style2"/>
                      <w:rPr>
                        <w:sz w:val="24"/>
                        <w:szCs w:val="24"/>
                      </w:rPr>
                    </w:pPr>
                    <w:r>
                      <w:rPr>
                        <w:rStyle w:val="CharStyle3"/>
                        <w:rFonts w:ascii="Arial" w:hAnsi="Arial" w:cs="Arial"/>
                        <w:color w:val="0D54A6"/>
                        <w:sz w:val="11"/>
                        <w:szCs w:val="11"/>
                        <w:lang w:eastAsia="en-US"/>
                      </w:rPr>
                      <w:t>https://doi.org/10.1021/acs.est.5c10820</w:t>
                    </w:r>
                  </w:p>
                  <w:p w14:paraId="69FBD35B" w14:textId="77777777" w:rsidR="00B14B05" w:rsidRDefault="00B14B05">
                    <w:pPr>
                      <w:pStyle w:val="Style2"/>
                      <w:rPr>
                        <w:sz w:val="24"/>
                        <w:szCs w:val="24"/>
                      </w:rPr>
                    </w:pPr>
                    <w:r>
                      <w:rPr>
                        <w:rStyle w:val="CharStyle3"/>
                        <w:rFonts w:ascii="Arial" w:hAnsi="Arial" w:cs="Arial"/>
                        <w:i/>
                        <w:iCs/>
                        <w:sz w:val="11"/>
                        <w:szCs w:val="11"/>
                        <w:lang w:eastAsia="en-US"/>
                      </w:rPr>
                      <w:t>Environ. Sci. Technol.</w:t>
                    </w:r>
                    <w:r>
                      <w:rPr>
                        <w:rStyle w:val="CharStyle3"/>
                        <w:rFonts w:ascii="Arial" w:hAnsi="Arial" w:cs="Arial"/>
                        <w:sz w:val="11"/>
                        <w:szCs w:val="11"/>
                        <w:lang w:eastAsia="en-US"/>
                      </w:rPr>
                      <w:t xml:space="preserve"> XXXX, XXX, XXX</w:t>
                    </w:r>
                    <w:r>
                      <w:rPr>
                        <w:rStyle w:val="CharStyle3"/>
                        <w:rFonts w:ascii="Arial" w:hAnsi="Arial" w:cs="Arial"/>
                        <w:sz w:val="10"/>
                        <w:szCs w:val="10"/>
                        <w:lang w:eastAsia="en-US"/>
                      </w:rPr>
                      <w:t>-</w:t>
                    </w:r>
                    <w:r>
                      <w:rPr>
                        <w:rStyle w:val="CharStyle3"/>
                        <w:rFonts w:ascii="Arial" w:hAnsi="Arial" w:cs="Arial"/>
                        <w:sz w:val="11"/>
                        <w:szCs w:val="11"/>
                        <w:lang w:eastAsia="en-US"/>
                      </w:rPr>
                      <w:t>XXX</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964D9" w14:textId="72C19BA7" w:rsidR="00B14B05" w:rsidRDefault="00B14B05">
    <w:pPr>
      <w:spacing w:line="1" w:lineRule="exact"/>
      <w:rPr>
        <w:color w:val="auto"/>
        <w:lang w:eastAsia="en-GB"/>
      </w:rPr>
    </w:pPr>
    <w:r>
      <w:rPr>
        <w:noProof/>
      </w:rPr>
      <mc:AlternateContent>
        <mc:Choice Requires="wps">
          <w:drawing>
            <wp:anchor distT="0" distB="0" distL="0" distR="0" simplePos="0" relativeHeight="251664384" behindDoc="1" locked="0" layoutInCell="1" allowOverlap="1" wp14:anchorId="3228AE6F" wp14:editId="68A09002">
              <wp:simplePos x="0" y="0"/>
              <wp:positionH relativeFrom="page">
                <wp:posOffset>3831590</wp:posOffset>
              </wp:positionH>
              <wp:positionV relativeFrom="page">
                <wp:posOffset>9961245</wp:posOffset>
              </wp:positionV>
              <wp:extent cx="59690" cy="102235"/>
              <wp:effectExtent l="2540" t="0" r="4445" b="4445"/>
              <wp:wrapNone/>
              <wp:docPr id="28529974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9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02C73E" w14:textId="77777777" w:rsidR="00B14B05" w:rsidRDefault="00B14B05">
                          <w:pPr>
                            <w:pStyle w:val="Style2"/>
                            <w:rPr>
                              <w:sz w:val="24"/>
                              <w:szCs w:val="24"/>
                            </w:rPr>
                          </w:pPr>
                          <w:r>
                            <w:rPr>
                              <w:rStyle w:val="CharStyle3"/>
                              <w:sz w:val="14"/>
                              <w:szCs w:val="14"/>
                              <w:lang w:eastAsia="en-US"/>
                            </w:rPr>
                            <w:t>C</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228AE6F" id="_x0000_t202" coordsize="21600,21600" o:spt="202" path="m,l,21600r21600,l21600,xe">
              <v:stroke joinstyle="miter"/>
              <v:path gradientshapeok="t" o:connecttype="rect"/>
            </v:shapetype>
            <v:shape id="_x0000_s1044" type="#_x0000_t202" style="position:absolute;margin-left:301.7pt;margin-top:784.35pt;width:4.7pt;height:8.05pt;z-index:-251652096;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" filled="f" stroked="f">
              <v:textbox style="mso-fit-shape-to-text:t" inset="0,0,0,0">
                <w:txbxContent>
                  <w:p w14:paraId="1C02C73E" w14:textId="77777777" w:rsidR="00B14B05" w:rsidRDefault="00B14B05">
                    <w:pPr>
                      <w:pStyle w:val="Style2"/>
                      <w:rPr>
                        <w:sz w:val="24"/>
                        <w:szCs w:val="24"/>
                      </w:rPr>
                    </w:pPr>
                    <w:r>
                      <w:rPr>
                        <w:rStyle w:val="CharStyle3"/>
                        <w:sz w:val="14"/>
                        <w:szCs w:val="14"/>
                        <w:lang w:eastAsia="en-US"/>
                      </w:rPr>
                      <w:t>C</w:t>
                    </w:r>
                  </w:p>
                </w:txbxContent>
              </v:textbox>
              <w10:wrap anchorx="page" anchory="page"/>
            </v:shape>
          </w:pict>
        </mc:Fallback>
      </mc:AlternateContent>
    </w:r>
    <w:r>
      <w:rPr>
        <w:noProof/>
      </w:rPr>
      <mc:AlternateContent>
        <mc:Choice Requires="wps">
          <w:drawing>
            <wp:anchor distT="0" distB="0" distL="0" distR="0" simplePos="0" relativeHeight="251665408" behindDoc="1" locked="0" layoutInCell="1" allowOverlap="1" wp14:anchorId="5DB8B59C" wp14:editId="1F0E49EF">
              <wp:simplePos x="0" y="0"/>
              <wp:positionH relativeFrom="page">
                <wp:posOffset>5675630</wp:posOffset>
              </wp:positionH>
              <wp:positionV relativeFrom="page">
                <wp:posOffset>9973945</wp:posOffset>
              </wp:positionV>
              <wp:extent cx="1403350" cy="160655"/>
              <wp:effectExtent l="0" t="1270" r="0" b="0"/>
              <wp:wrapNone/>
              <wp:docPr id="95218926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0"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4F6333" w14:textId="77777777" w:rsidR="00B14B05" w:rsidRDefault="00B14B05">
                          <w:pPr>
                            <w:pStyle w:val="Style2"/>
                            <w:rPr>
                              <w:sz w:val="24"/>
                              <w:szCs w:val="24"/>
                            </w:rPr>
                          </w:pPr>
                          <w:r>
                            <w:rPr>
                              <w:rStyle w:val="CharStyle3"/>
                              <w:rFonts w:ascii="Arial" w:hAnsi="Arial" w:cs="Arial"/>
                              <w:color w:val="0D54A6"/>
                              <w:sz w:val="11"/>
                              <w:szCs w:val="11"/>
                              <w:lang w:eastAsia="en-US"/>
                            </w:rPr>
                            <w:t>https://doi.org/10.1021/acs.est.5c10820</w:t>
                          </w:r>
                        </w:p>
                        <w:p w14:paraId="069D7E5D" w14:textId="77777777" w:rsidR="00B14B05" w:rsidRDefault="00B14B05">
                          <w:pPr>
                            <w:pStyle w:val="Style2"/>
                            <w:rPr>
                              <w:sz w:val="24"/>
                              <w:szCs w:val="24"/>
                            </w:rPr>
                          </w:pPr>
                          <w:r>
                            <w:rPr>
                              <w:rStyle w:val="CharStyle3"/>
                              <w:rFonts w:ascii="Arial" w:hAnsi="Arial" w:cs="Arial"/>
                              <w:i/>
                              <w:iCs/>
                              <w:sz w:val="11"/>
                              <w:szCs w:val="11"/>
                              <w:lang w:eastAsia="en-US"/>
                            </w:rPr>
                            <w:t>Environ. Sci. Technol.</w:t>
                          </w:r>
                          <w:r>
                            <w:rPr>
                              <w:rStyle w:val="CharStyle3"/>
                              <w:rFonts w:ascii="Arial" w:hAnsi="Arial" w:cs="Arial"/>
                              <w:sz w:val="11"/>
                              <w:szCs w:val="11"/>
                              <w:lang w:eastAsia="en-US"/>
                            </w:rPr>
                            <w:t xml:space="preserve"> XXXX, XXX, XXX</w:t>
                          </w:r>
                          <w:r>
                            <w:rPr>
                              <w:rStyle w:val="CharStyle3"/>
                              <w:rFonts w:ascii="Arial" w:hAnsi="Arial" w:cs="Arial"/>
                              <w:sz w:val="10"/>
                              <w:szCs w:val="10"/>
                              <w:lang w:eastAsia="en-US"/>
                            </w:rPr>
                            <w:t>-</w:t>
                          </w:r>
                          <w:r>
                            <w:rPr>
                              <w:rStyle w:val="CharStyle3"/>
                              <w:rFonts w:ascii="Arial" w:hAnsi="Arial" w:cs="Arial"/>
                              <w:sz w:val="11"/>
                              <w:szCs w:val="11"/>
                              <w:lang w:eastAsia="en-US"/>
                            </w:rPr>
                            <w:t>XXX</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5DB8B59C" id="_x0000_s1045" type="#_x0000_t202" style="position:absolute;margin-left:446.9pt;margin-top:785.35pt;width:110.5pt;height:12.65pt;z-index:-251651072;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" filled="f" stroked="f">
              <v:textbox style="mso-fit-shape-to-text:t" inset="0,0,0,0">
                <w:txbxContent>
                  <w:p w14:paraId="3E4F6333" w14:textId="77777777" w:rsidR="00B14B05" w:rsidRDefault="00B14B05">
                    <w:pPr>
                      <w:pStyle w:val="Style2"/>
                      <w:rPr>
                        <w:sz w:val="24"/>
                        <w:szCs w:val="24"/>
                      </w:rPr>
                    </w:pPr>
                    <w:r>
                      <w:rPr>
                        <w:rStyle w:val="CharStyle3"/>
                        <w:rFonts w:ascii="Arial" w:hAnsi="Arial" w:cs="Arial"/>
                        <w:color w:val="0D54A6"/>
                        <w:sz w:val="11"/>
                        <w:szCs w:val="11"/>
                        <w:lang w:eastAsia="en-US"/>
                      </w:rPr>
                      <w:t>https://doi.org/10.1021/acs.est.5c10820</w:t>
                    </w:r>
                  </w:p>
                  <w:p w14:paraId="069D7E5D" w14:textId="77777777" w:rsidR="00B14B05" w:rsidRDefault="00B14B05">
                    <w:pPr>
                      <w:pStyle w:val="Style2"/>
                      <w:rPr>
                        <w:sz w:val="24"/>
                        <w:szCs w:val="24"/>
                      </w:rPr>
                    </w:pPr>
                    <w:r>
                      <w:rPr>
                        <w:rStyle w:val="CharStyle3"/>
                        <w:rFonts w:ascii="Arial" w:hAnsi="Arial" w:cs="Arial"/>
                        <w:i/>
                        <w:iCs/>
                        <w:sz w:val="11"/>
                        <w:szCs w:val="11"/>
                        <w:lang w:eastAsia="en-US"/>
                      </w:rPr>
                      <w:t>Environ. Sci. Technol.</w:t>
                    </w:r>
                    <w:r>
                      <w:rPr>
                        <w:rStyle w:val="CharStyle3"/>
                        <w:rFonts w:ascii="Arial" w:hAnsi="Arial" w:cs="Arial"/>
                        <w:sz w:val="11"/>
                        <w:szCs w:val="11"/>
                        <w:lang w:eastAsia="en-US"/>
                      </w:rPr>
                      <w:t xml:space="preserve"> XXXX, XXX, XXX</w:t>
                    </w:r>
                    <w:r>
                      <w:rPr>
                        <w:rStyle w:val="CharStyle3"/>
                        <w:rFonts w:ascii="Arial" w:hAnsi="Arial" w:cs="Arial"/>
                        <w:sz w:val="10"/>
                        <w:szCs w:val="10"/>
                        <w:lang w:eastAsia="en-US"/>
                      </w:rPr>
                      <w:t>-</w:t>
                    </w:r>
                    <w:r>
                      <w:rPr>
                        <w:rStyle w:val="CharStyle3"/>
                        <w:rFonts w:ascii="Arial" w:hAnsi="Arial" w:cs="Arial"/>
                        <w:sz w:val="11"/>
                        <w:szCs w:val="11"/>
                        <w:lang w:eastAsia="en-US"/>
                      </w:rPr>
                      <w:t>XXX</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A40E2" w14:textId="1FF6EEB6" w:rsidR="00B14B05" w:rsidRDefault="00B14B05">
    <w:pPr>
      <w:spacing w:line="1" w:lineRule="exact"/>
      <w:rPr>
        <w:color w:val="auto"/>
        <w:lang w:eastAsia="en-GB"/>
      </w:rPr>
    </w:pPr>
    <w:r>
      <w:rPr>
        <w:noProof/>
      </w:rPr>
      <mc:AlternateContent>
        <mc:Choice Requires="wps">
          <w:drawing>
            <wp:anchor distT="0" distB="0" distL="0" distR="0" simplePos="0" relativeHeight="251670528" behindDoc="1" locked="0" layoutInCell="1" allowOverlap="1" wp14:anchorId="5E4DEFBF" wp14:editId="6A537D33">
              <wp:simplePos x="0" y="0"/>
              <wp:positionH relativeFrom="page">
                <wp:posOffset>5674360</wp:posOffset>
              </wp:positionH>
              <wp:positionV relativeFrom="page">
                <wp:posOffset>10031730</wp:posOffset>
              </wp:positionV>
              <wp:extent cx="1403350" cy="160655"/>
              <wp:effectExtent l="0" t="1905" r="0" b="0"/>
              <wp:wrapNone/>
              <wp:docPr id="14565183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0"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3EE6B9" w14:textId="77777777" w:rsidR="00B14B05" w:rsidRDefault="00B14B05">
                          <w:pPr>
                            <w:pStyle w:val="Style2"/>
                            <w:rPr>
                              <w:sz w:val="24"/>
                              <w:szCs w:val="24"/>
                            </w:rPr>
                          </w:pPr>
                          <w:r>
                            <w:rPr>
                              <w:rStyle w:val="CharStyle3"/>
                              <w:rFonts w:ascii="Arial" w:hAnsi="Arial" w:cs="Arial"/>
                              <w:color w:val="0D54A6"/>
                              <w:sz w:val="11"/>
                              <w:szCs w:val="11"/>
                              <w:lang w:eastAsia="en-US"/>
                            </w:rPr>
                            <w:t>https://doi.org/10.1021/acs.est.5c10820</w:t>
                          </w:r>
                        </w:p>
                        <w:p w14:paraId="332601CD" w14:textId="77777777" w:rsidR="00B14B05" w:rsidRDefault="00B14B05">
                          <w:pPr>
                            <w:pStyle w:val="Style2"/>
                            <w:rPr>
                              <w:sz w:val="24"/>
                              <w:szCs w:val="24"/>
                            </w:rPr>
                          </w:pPr>
                          <w:r>
                            <w:rPr>
                              <w:rStyle w:val="CharStyle3"/>
                              <w:rFonts w:ascii="Arial" w:hAnsi="Arial" w:cs="Arial"/>
                              <w:i/>
                              <w:iCs/>
                              <w:sz w:val="11"/>
                              <w:szCs w:val="11"/>
                              <w:lang w:eastAsia="en-US"/>
                            </w:rPr>
                            <w:t>Environ. Sci. Technol.</w:t>
                          </w:r>
                          <w:r>
                            <w:rPr>
                              <w:rStyle w:val="CharStyle3"/>
                              <w:rFonts w:ascii="Arial" w:hAnsi="Arial" w:cs="Arial"/>
                              <w:sz w:val="11"/>
                              <w:szCs w:val="11"/>
                              <w:lang w:eastAsia="en-US"/>
                            </w:rPr>
                            <w:t xml:space="preserve"> XXXX, XXX, XXX</w:t>
                          </w:r>
                          <w:r>
                            <w:rPr>
                              <w:rStyle w:val="CharStyle3"/>
                              <w:rFonts w:ascii="Arial" w:hAnsi="Arial" w:cs="Arial"/>
                              <w:sz w:val="10"/>
                              <w:szCs w:val="10"/>
                              <w:lang w:eastAsia="en-US"/>
                            </w:rPr>
                            <w:t>-</w:t>
                          </w:r>
                          <w:r>
                            <w:rPr>
                              <w:rStyle w:val="CharStyle3"/>
                              <w:rFonts w:ascii="Arial" w:hAnsi="Arial" w:cs="Arial"/>
                              <w:sz w:val="11"/>
                              <w:szCs w:val="11"/>
                              <w:lang w:eastAsia="en-US"/>
                            </w:rPr>
                            <w:t>XXX</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E4DEFBF" id="_x0000_t202" coordsize="21600,21600" o:spt="202" path="m,l,21600r21600,l21600,xe">
              <v:stroke joinstyle="miter"/>
              <v:path gradientshapeok="t" o:connecttype="rect"/>
            </v:shapetype>
            <v:shape id="_x0000_s1047" type="#_x0000_t202" style="position:absolute;margin-left:446.8pt;margin-top:789.9pt;width:110.5pt;height:12.65pt;z-index:-251645952;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" filled="f" stroked="f">
              <v:textbox style="mso-fit-shape-to-text:t" inset="0,0,0,0">
                <w:txbxContent>
                  <w:p w14:paraId="273EE6B9" w14:textId="77777777" w:rsidR="00B14B05" w:rsidRDefault="00B14B05">
                    <w:pPr>
                      <w:pStyle w:val="Style2"/>
                      <w:rPr>
                        <w:sz w:val="24"/>
                        <w:szCs w:val="24"/>
                      </w:rPr>
                    </w:pPr>
                    <w:r>
                      <w:rPr>
                        <w:rStyle w:val="CharStyle3"/>
                        <w:rFonts w:ascii="Arial" w:hAnsi="Arial" w:cs="Arial"/>
                        <w:color w:val="0D54A6"/>
                        <w:sz w:val="11"/>
                        <w:szCs w:val="11"/>
                        <w:lang w:eastAsia="en-US"/>
                      </w:rPr>
                      <w:t>https://doi.org/10.1021/acs.est.5c10820</w:t>
                    </w:r>
                  </w:p>
                  <w:p w14:paraId="332601CD" w14:textId="77777777" w:rsidR="00B14B05" w:rsidRDefault="00B14B05">
                    <w:pPr>
                      <w:pStyle w:val="Style2"/>
                      <w:rPr>
                        <w:sz w:val="24"/>
                        <w:szCs w:val="24"/>
                      </w:rPr>
                    </w:pPr>
                    <w:r>
                      <w:rPr>
                        <w:rStyle w:val="CharStyle3"/>
                        <w:rFonts w:ascii="Arial" w:hAnsi="Arial" w:cs="Arial"/>
                        <w:i/>
                        <w:iCs/>
                        <w:sz w:val="11"/>
                        <w:szCs w:val="11"/>
                        <w:lang w:eastAsia="en-US"/>
                      </w:rPr>
                      <w:t>Environ. Sci. Technol.</w:t>
                    </w:r>
                    <w:r>
                      <w:rPr>
                        <w:rStyle w:val="CharStyle3"/>
                        <w:rFonts w:ascii="Arial" w:hAnsi="Arial" w:cs="Arial"/>
                        <w:sz w:val="11"/>
                        <w:szCs w:val="11"/>
                        <w:lang w:eastAsia="en-US"/>
                      </w:rPr>
                      <w:t xml:space="preserve"> XXXX, XXX, XXX</w:t>
                    </w:r>
                    <w:r>
                      <w:rPr>
                        <w:rStyle w:val="CharStyle3"/>
                        <w:rFonts w:ascii="Arial" w:hAnsi="Arial" w:cs="Arial"/>
                        <w:sz w:val="10"/>
                        <w:szCs w:val="10"/>
                        <w:lang w:eastAsia="en-US"/>
                      </w:rPr>
                      <w:t>-</w:t>
                    </w:r>
                    <w:r>
                      <w:rPr>
                        <w:rStyle w:val="CharStyle3"/>
                        <w:rFonts w:ascii="Arial" w:hAnsi="Arial" w:cs="Arial"/>
                        <w:sz w:val="11"/>
                        <w:szCs w:val="11"/>
                        <w:lang w:eastAsia="en-US"/>
                      </w:rPr>
                      <w:t>XXX</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248476" w14:textId="77777777" w:rsidR="00B14B05" w:rsidRDefault="00B14B05">
    <w:pPr>
      <w:rPr>
        <w:color w:val="auto"/>
        <w:lang w:eastAsia="en-GB"/>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6B38B" w14:textId="7D9F757F" w:rsidR="00B14B05" w:rsidRDefault="00B14B05">
    <w:pPr>
      <w:spacing w:line="1" w:lineRule="exact"/>
      <w:rPr>
        <w:color w:val="auto"/>
        <w:lang w:eastAsia="en-GB"/>
      </w:rPr>
    </w:pPr>
    <w:r>
      <w:rPr>
        <w:noProof/>
      </w:rPr>
      <mc:AlternateContent>
        <mc:Choice Requires="wps">
          <w:drawing>
            <wp:anchor distT="0" distB="0" distL="0" distR="0" simplePos="0" relativeHeight="251675648" behindDoc="1" locked="0" layoutInCell="1" allowOverlap="1" wp14:anchorId="092B1575" wp14:editId="05328185">
              <wp:simplePos x="0" y="0"/>
              <wp:positionH relativeFrom="page">
                <wp:posOffset>5674360</wp:posOffset>
              </wp:positionH>
              <wp:positionV relativeFrom="page">
                <wp:posOffset>10031730</wp:posOffset>
              </wp:positionV>
              <wp:extent cx="1403350" cy="160655"/>
              <wp:effectExtent l="0" t="1905" r="0" b="0"/>
              <wp:wrapNone/>
              <wp:docPr id="125256092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0"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424CA0" w14:textId="77777777" w:rsidR="00B14B05" w:rsidRDefault="00B14B05">
                          <w:pPr>
                            <w:pStyle w:val="Style2"/>
                            <w:rPr>
                              <w:sz w:val="24"/>
                              <w:szCs w:val="24"/>
                            </w:rPr>
                          </w:pPr>
                          <w:r>
                            <w:rPr>
                              <w:rStyle w:val="CharStyle3"/>
                              <w:rFonts w:ascii="Arial" w:hAnsi="Arial" w:cs="Arial"/>
                              <w:color w:val="0D54A6"/>
                              <w:sz w:val="11"/>
                              <w:szCs w:val="11"/>
                              <w:lang w:eastAsia="en-US"/>
                            </w:rPr>
                            <w:t>https://doi.org/10.1021/acs.est.5c10820</w:t>
                          </w:r>
                        </w:p>
                        <w:p w14:paraId="4B826121" w14:textId="77777777" w:rsidR="00B14B05" w:rsidRDefault="00B14B05">
                          <w:pPr>
                            <w:pStyle w:val="Style2"/>
                            <w:rPr>
                              <w:sz w:val="24"/>
                              <w:szCs w:val="24"/>
                            </w:rPr>
                          </w:pPr>
                          <w:r>
                            <w:rPr>
                              <w:rStyle w:val="CharStyle3"/>
                              <w:rFonts w:ascii="Arial" w:hAnsi="Arial" w:cs="Arial"/>
                              <w:i/>
                              <w:iCs/>
                              <w:sz w:val="11"/>
                              <w:szCs w:val="11"/>
                              <w:lang w:eastAsia="en-US"/>
                            </w:rPr>
                            <w:t>Environ. Sci. Technol.</w:t>
                          </w:r>
                          <w:r>
                            <w:rPr>
                              <w:rStyle w:val="CharStyle3"/>
                              <w:rFonts w:ascii="Arial" w:hAnsi="Arial" w:cs="Arial"/>
                              <w:sz w:val="11"/>
                              <w:szCs w:val="11"/>
                              <w:lang w:eastAsia="en-US"/>
                            </w:rPr>
                            <w:t xml:space="preserve"> XXXX, XXX, XXX</w:t>
                          </w:r>
                          <w:r>
                            <w:rPr>
                              <w:rStyle w:val="CharStyle3"/>
                              <w:rFonts w:ascii="Arial" w:hAnsi="Arial" w:cs="Arial"/>
                              <w:sz w:val="10"/>
                              <w:szCs w:val="10"/>
                              <w:lang w:eastAsia="en-US"/>
                            </w:rPr>
                            <w:t>-</w:t>
                          </w:r>
                          <w:r>
                            <w:rPr>
                              <w:rStyle w:val="CharStyle3"/>
                              <w:rFonts w:ascii="Arial" w:hAnsi="Arial" w:cs="Arial"/>
                              <w:sz w:val="11"/>
                              <w:szCs w:val="11"/>
                              <w:lang w:eastAsia="en-US"/>
                            </w:rPr>
                            <w:t>XXX</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92B1575" id="_x0000_t202" coordsize="21600,21600" o:spt="202" path="m,l,21600r21600,l21600,xe">
              <v:stroke joinstyle="miter"/>
              <v:path gradientshapeok="t" o:connecttype="rect"/>
            </v:shapetype>
            <v:shape id="_x0000_s1049" type="#_x0000_t202" style="position:absolute;margin-left:446.8pt;margin-top:789.9pt;width:110.5pt;height:12.65pt;z-index:-251640832;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" filled="f" stroked="f">
              <v:textbox style="mso-fit-shape-to-text:t" inset="0,0,0,0">
                <w:txbxContent>
                  <w:p w14:paraId="35424CA0" w14:textId="77777777" w:rsidR="00B14B05" w:rsidRDefault="00B14B05">
                    <w:pPr>
                      <w:pStyle w:val="Style2"/>
                      <w:rPr>
                        <w:sz w:val="24"/>
                        <w:szCs w:val="24"/>
                      </w:rPr>
                    </w:pPr>
                    <w:r>
                      <w:rPr>
                        <w:rStyle w:val="CharStyle3"/>
                        <w:rFonts w:ascii="Arial" w:hAnsi="Arial" w:cs="Arial"/>
                        <w:color w:val="0D54A6"/>
                        <w:sz w:val="11"/>
                        <w:szCs w:val="11"/>
                        <w:lang w:eastAsia="en-US"/>
                      </w:rPr>
                      <w:t>https://doi.org/10.1021/acs.est.5c10820</w:t>
                    </w:r>
                  </w:p>
                  <w:p w14:paraId="4B826121" w14:textId="77777777" w:rsidR="00B14B05" w:rsidRDefault="00B14B05">
                    <w:pPr>
                      <w:pStyle w:val="Style2"/>
                      <w:rPr>
                        <w:sz w:val="24"/>
                        <w:szCs w:val="24"/>
                      </w:rPr>
                    </w:pPr>
                    <w:r>
                      <w:rPr>
                        <w:rStyle w:val="CharStyle3"/>
                        <w:rFonts w:ascii="Arial" w:hAnsi="Arial" w:cs="Arial"/>
                        <w:i/>
                        <w:iCs/>
                        <w:sz w:val="11"/>
                        <w:szCs w:val="11"/>
                        <w:lang w:eastAsia="en-US"/>
                      </w:rPr>
                      <w:t>Environ. Sci. Technol.</w:t>
                    </w:r>
                    <w:r>
                      <w:rPr>
                        <w:rStyle w:val="CharStyle3"/>
                        <w:rFonts w:ascii="Arial" w:hAnsi="Arial" w:cs="Arial"/>
                        <w:sz w:val="11"/>
                        <w:szCs w:val="11"/>
                        <w:lang w:eastAsia="en-US"/>
                      </w:rPr>
                      <w:t xml:space="preserve"> XXXX, XXX, XXX</w:t>
                    </w:r>
                    <w:r>
                      <w:rPr>
                        <w:rStyle w:val="CharStyle3"/>
                        <w:rFonts w:ascii="Arial" w:hAnsi="Arial" w:cs="Arial"/>
                        <w:sz w:val="10"/>
                        <w:szCs w:val="10"/>
                        <w:lang w:eastAsia="en-US"/>
                      </w:rPr>
                      <w:t>-</w:t>
                    </w:r>
                    <w:r>
                      <w:rPr>
                        <w:rStyle w:val="CharStyle3"/>
                        <w:rFonts w:ascii="Arial" w:hAnsi="Arial" w:cs="Arial"/>
                        <w:sz w:val="11"/>
                        <w:szCs w:val="11"/>
                        <w:lang w:eastAsia="en-US"/>
                      </w:rPr>
                      <w:t>XXX</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79D1A" w14:textId="77777777" w:rsidR="00B14B05" w:rsidRDefault="00B14B05">
    <w:pPr>
      <w:rPr>
        <w:color w:val="auto"/>
        <w:lang w:eastAsia="en-GB"/>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A1B26" w14:textId="4D08988F" w:rsidR="00B14B05" w:rsidRDefault="00B14B05">
    <w:pPr>
      <w:spacing w:line="1" w:lineRule="exact"/>
      <w:rPr>
        <w:color w:val="auto"/>
        <w:lang w:eastAsia="en-GB"/>
      </w:rPr>
    </w:pPr>
    <w:r>
      <w:rPr>
        <w:noProof/>
      </w:rPr>
      <mc:AlternateContent>
        <mc:Choice Requires="wps">
          <w:drawing>
            <wp:anchor distT="0" distB="0" distL="0" distR="0" simplePos="0" relativeHeight="251683840" behindDoc="1" locked="0" layoutInCell="1" allowOverlap="1" wp14:anchorId="02472E05" wp14:editId="2104B7B7">
              <wp:simplePos x="0" y="0"/>
              <wp:positionH relativeFrom="page">
                <wp:posOffset>5674360</wp:posOffset>
              </wp:positionH>
              <wp:positionV relativeFrom="page">
                <wp:posOffset>10031730</wp:posOffset>
              </wp:positionV>
              <wp:extent cx="1403350" cy="160655"/>
              <wp:effectExtent l="0" t="1905" r="0" b="0"/>
              <wp:wrapNone/>
              <wp:docPr id="153083934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0"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5BDC91" w14:textId="77777777" w:rsidR="00B14B05" w:rsidRDefault="00B14B05">
                          <w:pPr>
                            <w:pStyle w:val="Style2"/>
                            <w:rPr>
                              <w:sz w:val="24"/>
                              <w:szCs w:val="24"/>
                            </w:rPr>
                          </w:pPr>
                          <w:r>
                            <w:rPr>
                              <w:rStyle w:val="CharStyle3"/>
                              <w:rFonts w:ascii="Arial" w:hAnsi="Arial" w:cs="Arial"/>
                              <w:color w:val="0D54A6"/>
                              <w:sz w:val="11"/>
                              <w:szCs w:val="11"/>
                              <w:lang w:eastAsia="en-US"/>
                            </w:rPr>
                            <w:t>https://doi.org/10.1021/acs.est.5c10820</w:t>
                          </w:r>
                        </w:p>
                        <w:p w14:paraId="4F29774C" w14:textId="77777777" w:rsidR="00B14B05" w:rsidRDefault="00B14B05">
                          <w:pPr>
                            <w:pStyle w:val="Style2"/>
                            <w:rPr>
                              <w:sz w:val="24"/>
                              <w:szCs w:val="24"/>
                            </w:rPr>
                          </w:pPr>
                          <w:r>
                            <w:rPr>
                              <w:rStyle w:val="CharStyle3"/>
                              <w:rFonts w:ascii="Arial" w:hAnsi="Arial" w:cs="Arial"/>
                              <w:i/>
                              <w:iCs/>
                              <w:sz w:val="11"/>
                              <w:szCs w:val="11"/>
                              <w:lang w:eastAsia="en-US"/>
                            </w:rPr>
                            <w:t>Environ. Sci. Technol.</w:t>
                          </w:r>
                          <w:r>
                            <w:rPr>
                              <w:rStyle w:val="CharStyle3"/>
                              <w:rFonts w:ascii="Arial" w:hAnsi="Arial" w:cs="Arial"/>
                              <w:sz w:val="11"/>
                              <w:szCs w:val="11"/>
                              <w:lang w:eastAsia="en-US"/>
                            </w:rPr>
                            <w:t xml:space="preserve"> XXXX, XXX, XXX</w:t>
                          </w:r>
                          <w:r>
                            <w:rPr>
                              <w:rStyle w:val="CharStyle3"/>
                              <w:rFonts w:ascii="Arial" w:hAnsi="Arial" w:cs="Arial"/>
                              <w:sz w:val="10"/>
                              <w:szCs w:val="10"/>
                              <w:lang w:eastAsia="en-US"/>
                            </w:rPr>
                            <w:t>-</w:t>
                          </w:r>
                          <w:r>
                            <w:rPr>
                              <w:rStyle w:val="CharStyle3"/>
                              <w:rFonts w:ascii="Arial" w:hAnsi="Arial" w:cs="Arial"/>
                              <w:sz w:val="11"/>
                              <w:szCs w:val="11"/>
                              <w:lang w:eastAsia="en-US"/>
                            </w:rPr>
                            <w:t>XXX</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2472E05" id="_x0000_t202" coordsize="21600,21600" o:spt="202" path="m,l,21600r21600,l21600,xe">
              <v:stroke joinstyle="miter"/>
              <v:path gradientshapeok="t" o:connecttype="rect"/>
            </v:shapetype>
            <v:shape id="_x0000_s1052" type="#_x0000_t202" style="position:absolute;margin-left:446.8pt;margin-top:789.9pt;width:110.5pt;height:12.65pt;z-index:-251632640;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" filled="f" stroked="f">
              <v:textbox style="mso-fit-shape-to-text:t" inset="0,0,0,0">
                <w:txbxContent>
                  <w:p w14:paraId="305BDC91" w14:textId="77777777" w:rsidR="00B14B05" w:rsidRDefault="00B14B05">
                    <w:pPr>
                      <w:pStyle w:val="Style2"/>
                      <w:rPr>
                        <w:sz w:val="24"/>
                        <w:szCs w:val="24"/>
                      </w:rPr>
                    </w:pPr>
                    <w:r>
                      <w:rPr>
                        <w:rStyle w:val="CharStyle3"/>
                        <w:rFonts w:ascii="Arial" w:hAnsi="Arial" w:cs="Arial"/>
                        <w:color w:val="0D54A6"/>
                        <w:sz w:val="11"/>
                        <w:szCs w:val="11"/>
                        <w:lang w:eastAsia="en-US"/>
                      </w:rPr>
                      <w:t>https://doi.org/10.1021/acs.est.5c10820</w:t>
                    </w:r>
                  </w:p>
                  <w:p w14:paraId="4F29774C" w14:textId="77777777" w:rsidR="00B14B05" w:rsidRDefault="00B14B05">
                    <w:pPr>
                      <w:pStyle w:val="Style2"/>
                      <w:rPr>
                        <w:sz w:val="24"/>
                        <w:szCs w:val="24"/>
                      </w:rPr>
                    </w:pPr>
                    <w:r>
                      <w:rPr>
                        <w:rStyle w:val="CharStyle3"/>
                        <w:rFonts w:ascii="Arial" w:hAnsi="Arial" w:cs="Arial"/>
                        <w:i/>
                        <w:iCs/>
                        <w:sz w:val="11"/>
                        <w:szCs w:val="11"/>
                        <w:lang w:eastAsia="en-US"/>
                      </w:rPr>
                      <w:t>Environ. Sci. Technol.</w:t>
                    </w:r>
                    <w:r>
                      <w:rPr>
                        <w:rStyle w:val="CharStyle3"/>
                        <w:rFonts w:ascii="Arial" w:hAnsi="Arial" w:cs="Arial"/>
                        <w:sz w:val="11"/>
                        <w:szCs w:val="11"/>
                        <w:lang w:eastAsia="en-US"/>
                      </w:rPr>
                      <w:t xml:space="preserve"> XXXX, XXX, XXX</w:t>
                    </w:r>
                    <w:r>
                      <w:rPr>
                        <w:rStyle w:val="CharStyle3"/>
                        <w:rFonts w:ascii="Arial" w:hAnsi="Arial" w:cs="Arial"/>
                        <w:sz w:val="10"/>
                        <w:szCs w:val="10"/>
                        <w:lang w:eastAsia="en-US"/>
                      </w:rPr>
                      <w:t>-</w:t>
                    </w:r>
                    <w:r>
                      <w:rPr>
                        <w:rStyle w:val="CharStyle3"/>
                        <w:rFonts w:ascii="Arial" w:hAnsi="Arial" w:cs="Arial"/>
                        <w:sz w:val="11"/>
                        <w:szCs w:val="11"/>
                        <w:lang w:eastAsia="en-US"/>
                      </w:rPr>
                      <w:t>XXX</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B6F9C" w14:textId="0554C808" w:rsidR="00B14B05" w:rsidRDefault="00B14B05">
    <w:pPr>
      <w:spacing w:line="1" w:lineRule="exact"/>
      <w:rPr>
        <w:color w:val="auto"/>
        <w:lang w:eastAsia="en-GB"/>
      </w:rPr>
    </w:pPr>
    <w:r>
      <w:rPr>
        <w:noProof/>
      </w:rPr>
      <mc:AlternateContent>
        <mc:Choice Requires="wps">
          <w:drawing>
            <wp:anchor distT="0" distB="0" distL="0" distR="0" simplePos="0" relativeHeight="251688960" behindDoc="1" locked="0" layoutInCell="1" allowOverlap="1" wp14:anchorId="0CE48AC7" wp14:editId="3777ADD6">
              <wp:simplePos x="0" y="0"/>
              <wp:positionH relativeFrom="page">
                <wp:posOffset>3844290</wp:posOffset>
              </wp:positionH>
              <wp:positionV relativeFrom="page">
                <wp:posOffset>9964420</wp:posOffset>
              </wp:positionV>
              <wp:extent cx="54610" cy="102235"/>
              <wp:effectExtent l="0" t="1270" r="0" b="1270"/>
              <wp:wrapNone/>
              <wp:docPr id="1893933185"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61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23DC13" w14:textId="77777777" w:rsidR="00B14B05" w:rsidRDefault="00B14B05">
                          <w:pPr>
                            <w:pStyle w:val="Style2"/>
                            <w:rPr>
                              <w:sz w:val="24"/>
                              <w:szCs w:val="24"/>
                            </w:rPr>
                          </w:pPr>
                          <w:r>
                            <w:rPr>
                              <w:rStyle w:val="CharStyle3"/>
                              <w:sz w:val="14"/>
                              <w:szCs w:val="14"/>
                              <w:lang w:eastAsia="en-US"/>
                            </w:rPr>
                            <w:t>L</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CE48AC7" id="_x0000_t202" coordsize="21600,21600" o:spt="202" path="m,l,21600r21600,l21600,xe">
              <v:stroke joinstyle="miter"/>
              <v:path gradientshapeok="t" o:connecttype="rect"/>
            </v:shapetype>
            <v:shape id="Text Box 19" o:spid="_x0000_s1054" type="#_x0000_t202" style="position:absolute;margin-left:302.7pt;margin-top:784.6pt;width:4.3pt;height:8.05pt;z-index:-251627520;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" filled="f" stroked="f">
              <v:textbox style="mso-fit-shape-to-text:t" inset="0,0,0,0">
                <w:txbxContent>
                  <w:p w14:paraId="7723DC13" w14:textId="77777777" w:rsidR="00B14B05" w:rsidRDefault="00B14B05">
                    <w:pPr>
                      <w:pStyle w:val="Style2"/>
                      <w:rPr>
                        <w:sz w:val="24"/>
                        <w:szCs w:val="24"/>
                      </w:rPr>
                    </w:pPr>
                    <w:r>
                      <w:rPr>
                        <w:rStyle w:val="CharStyle3"/>
                        <w:sz w:val="14"/>
                        <w:szCs w:val="14"/>
                        <w:lang w:eastAsia="en-US"/>
                      </w:rPr>
                      <w:t>L</w:t>
                    </w:r>
                  </w:p>
                </w:txbxContent>
              </v:textbox>
              <w10:wrap anchorx="page" anchory="page"/>
            </v:shape>
          </w:pict>
        </mc:Fallback>
      </mc:AlternateContent>
    </w:r>
    <w:r>
      <w:rPr>
        <w:noProof/>
      </w:rPr>
      <mc:AlternateContent>
        <mc:Choice Requires="wps">
          <w:drawing>
            <wp:anchor distT="0" distB="0" distL="0" distR="0" simplePos="0" relativeHeight="251689984" behindDoc="1" locked="0" layoutInCell="1" allowOverlap="1" wp14:anchorId="36ACB2EF" wp14:editId="039D5E74">
              <wp:simplePos x="0" y="0"/>
              <wp:positionH relativeFrom="page">
                <wp:posOffset>5679440</wp:posOffset>
              </wp:positionH>
              <wp:positionV relativeFrom="page">
                <wp:posOffset>9973945</wp:posOffset>
              </wp:positionV>
              <wp:extent cx="1403350" cy="160655"/>
              <wp:effectExtent l="2540" t="1270" r="3810" b="0"/>
              <wp:wrapNone/>
              <wp:docPr id="189228622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0"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E78236" w14:textId="77777777" w:rsidR="00B14B05" w:rsidRDefault="00B14B05">
                          <w:pPr>
                            <w:pStyle w:val="Style2"/>
                            <w:rPr>
                              <w:sz w:val="24"/>
                              <w:szCs w:val="24"/>
                            </w:rPr>
                          </w:pPr>
                          <w:r>
                            <w:rPr>
                              <w:rStyle w:val="CharStyle3"/>
                              <w:rFonts w:ascii="Arial" w:hAnsi="Arial" w:cs="Arial"/>
                              <w:color w:val="0D54A6"/>
                              <w:sz w:val="11"/>
                              <w:szCs w:val="11"/>
                              <w:lang w:eastAsia="en-US"/>
                            </w:rPr>
                            <w:t>https://doi.org/10.1021/acs.est.5c10820</w:t>
                          </w:r>
                        </w:p>
                        <w:p w14:paraId="7C7B3E8F" w14:textId="77777777" w:rsidR="00B14B05" w:rsidRDefault="00B14B05">
                          <w:pPr>
                            <w:pStyle w:val="Style2"/>
                            <w:rPr>
                              <w:sz w:val="24"/>
                              <w:szCs w:val="24"/>
                            </w:rPr>
                          </w:pPr>
                          <w:r>
                            <w:rPr>
                              <w:rStyle w:val="CharStyle3"/>
                              <w:rFonts w:ascii="Arial" w:hAnsi="Arial" w:cs="Arial"/>
                              <w:i/>
                              <w:iCs/>
                              <w:sz w:val="11"/>
                              <w:szCs w:val="11"/>
                              <w:lang w:eastAsia="en-US"/>
                            </w:rPr>
                            <w:t>Environ. Sci. Technol.</w:t>
                          </w:r>
                          <w:r>
                            <w:rPr>
                              <w:rStyle w:val="CharStyle3"/>
                              <w:rFonts w:ascii="Arial" w:hAnsi="Arial" w:cs="Arial"/>
                              <w:sz w:val="11"/>
                              <w:szCs w:val="11"/>
                              <w:lang w:eastAsia="en-US"/>
                            </w:rPr>
                            <w:t xml:space="preserve"> XXXX, XXX, XXX</w:t>
                          </w:r>
                          <w:r>
                            <w:rPr>
                              <w:rStyle w:val="CharStyle3"/>
                              <w:rFonts w:ascii="Arial" w:hAnsi="Arial" w:cs="Arial"/>
                              <w:sz w:val="10"/>
                              <w:szCs w:val="10"/>
                              <w:lang w:eastAsia="en-US"/>
                            </w:rPr>
                            <w:t>-</w:t>
                          </w:r>
                          <w:r>
                            <w:rPr>
                              <w:rStyle w:val="CharStyle3"/>
                              <w:rFonts w:ascii="Arial" w:hAnsi="Arial" w:cs="Arial"/>
                              <w:sz w:val="11"/>
                              <w:szCs w:val="11"/>
                              <w:lang w:eastAsia="en-US"/>
                            </w:rPr>
                            <w:t>XXX</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6ACB2EF" id="Text Box 20" o:spid="_x0000_s1055" type="#_x0000_t202" style="position:absolute;margin-left:447.2pt;margin-top:785.35pt;width:110.5pt;height:12.65pt;z-index:-251626496;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" filled="f" stroked="f">
              <v:textbox style="mso-fit-shape-to-text:t" inset="0,0,0,0">
                <w:txbxContent>
                  <w:p w14:paraId="70E78236" w14:textId="77777777" w:rsidR="00B14B05" w:rsidRDefault="00B14B05">
                    <w:pPr>
                      <w:pStyle w:val="Style2"/>
                      <w:rPr>
                        <w:sz w:val="24"/>
                        <w:szCs w:val="24"/>
                      </w:rPr>
                    </w:pPr>
                    <w:r>
                      <w:rPr>
                        <w:rStyle w:val="CharStyle3"/>
                        <w:rFonts w:ascii="Arial" w:hAnsi="Arial" w:cs="Arial"/>
                        <w:color w:val="0D54A6"/>
                        <w:sz w:val="11"/>
                        <w:szCs w:val="11"/>
                        <w:lang w:eastAsia="en-US"/>
                      </w:rPr>
                      <w:t>https://doi.org/10.1021/acs.est.5c10820</w:t>
                    </w:r>
                  </w:p>
                  <w:p w14:paraId="7C7B3E8F" w14:textId="77777777" w:rsidR="00B14B05" w:rsidRDefault="00B14B05">
                    <w:pPr>
                      <w:pStyle w:val="Style2"/>
                      <w:rPr>
                        <w:sz w:val="24"/>
                        <w:szCs w:val="24"/>
                      </w:rPr>
                    </w:pPr>
                    <w:r>
                      <w:rPr>
                        <w:rStyle w:val="CharStyle3"/>
                        <w:rFonts w:ascii="Arial" w:hAnsi="Arial" w:cs="Arial"/>
                        <w:i/>
                        <w:iCs/>
                        <w:sz w:val="11"/>
                        <w:szCs w:val="11"/>
                        <w:lang w:eastAsia="en-US"/>
                      </w:rPr>
                      <w:t>Environ. Sci. Technol.</w:t>
                    </w:r>
                    <w:r>
                      <w:rPr>
                        <w:rStyle w:val="CharStyle3"/>
                        <w:rFonts w:ascii="Arial" w:hAnsi="Arial" w:cs="Arial"/>
                        <w:sz w:val="11"/>
                        <w:szCs w:val="11"/>
                        <w:lang w:eastAsia="en-US"/>
                      </w:rPr>
                      <w:t xml:space="preserve"> XXXX, XXX, XXX</w:t>
                    </w:r>
                    <w:r>
                      <w:rPr>
                        <w:rStyle w:val="CharStyle3"/>
                        <w:rFonts w:ascii="Arial" w:hAnsi="Arial" w:cs="Arial"/>
                        <w:sz w:val="10"/>
                        <w:szCs w:val="10"/>
                        <w:lang w:eastAsia="en-US"/>
                      </w:rPr>
                      <w:t>-</w:t>
                    </w:r>
                    <w:r>
                      <w:rPr>
                        <w:rStyle w:val="CharStyle3"/>
                        <w:rFonts w:ascii="Arial" w:hAnsi="Arial" w:cs="Arial"/>
                        <w:sz w:val="11"/>
                        <w:szCs w:val="11"/>
                        <w:lang w:eastAsia="en-US"/>
                      </w:rPr>
                      <w:t>XXX</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53921" w14:textId="10146233" w:rsidR="00B14B05" w:rsidRDefault="00B14B05">
    <w:pPr>
      <w:spacing w:line="1" w:lineRule="exact"/>
      <w:rPr>
        <w:color w:val="auto"/>
        <w:lang w:eastAsia="en-GB"/>
      </w:rPr>
    </w:pPr>
    <w:r>
      <w:rPr>
        <w:noProof/>
      </w:rPr>
      <mc:AlternateContent>
        <mc:Choice Requires="wps">
          <w:drawing>
            <wp:anchor distT="0" distB="0" distL="0" distR="0" simplePos="0" relativeHeight="251695104" behindDoc="1" locked="0" layoutInCell="1" allowOverlap="1" wp14:anchorId="396818A9" wp14:editId="2CE2B3B1">
              <wp:simplePos x="0" y="0"/>
              <wp:positionH relativeFrom="page">
                <wp:posOffset>3827780</wp:posOffset>
              </wp:positionH>
              <wp:positionV relativeFrom="page">
                <wp:posOffset>9964420</wp:posOffset>
              </wp:positionV>
              <wp:extent cx="64770" cy="102235"/>
              <wp:effectExtent l="0" t="1270" r="3175" b="1270"/>
              <wp:wrapNone/>
              <wp:docPr id="499722535"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946D9B" w14:textId="77777777" w:rsidR="00B14B05" w:rsidRDefault="00B14B05">
                          <w:pPr>
                            <w:pStyle w:val="Style2"/>
                            <w:rPr>
                              <w:sz w:val="24"/>
                              <w:szCs w:val="24"/>
                            </w:rPr>
                          </w:pPr>
                          <w:r>
                            <w:rPr>
                              <w:rStyle w:val="CharStyle3"/>
                              <w:sz w:val="14"/>
                              <w:szCs w:val="14"/>
                              <w:lang w:eastAsia="en-US"/>
                            </w:rPr>
                            <w:t>K</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396818A9" id="_x0000_t202" coordsize="21600,21600" o:spt="202" path="m,l,21600r21600,l21600,xe">
              <v:stroke joinstyle="miter"/>
              <v:path gradientshapeok="t" o:connecttype="rect"/>
            </v:shapetype>
            <v:shape id="Text Box 23" o:spid="_x0000_s1057" type="#_x0000_t202" style="position:absolute;margin-left:301.4pt;margin-top:784.6pt;width:5.1pt;height:8.05pt;z-index:-251621376;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" filled="f" stroked="f">
              <v:textbox style="mso-fit-shape-to-text:t" inset="0,0,0,0">
                <w:txbxContent>
                  <w:p w14:paraId="7F946D9B" w14:textId="77777777" w:rsidR="00B14B05" w:rsidRDefault="00B14B05">
                    <w:pPr>
                      <w:pStyle w:val="Style2"/>
                      <w:rPr>
                        <w:sz w:val="24"/>
                        <w:szCs w:val="24"/>
                      </w:rPr>
                    </w:pPr>
                    <w:r>
                      <w:rPr>
                        <w:rStyle w:val="CharStyle3"/>
                        <w:sz w:val="14"/>
                        <w:szCs w:val="14"/>
                        <w:lang w:eastAsia="en-US"/>
                      </w:rPr>
                      <w:t>K</w:t>
                    </w:r>
                  </w:p>
                </w:txbxContent>
              </v:textbox>
              <w10:wrap anchorx="page" anchory="page"/>
            </v:shape>
          </w:pict>
        </mc:Fallback>
      </mc:AlternateContent>
    </w:r>
    <w:r>
      <w:rPr>
        <w:noProof/>
      </w:rPr>
      <mc:AlternateContent>
        <mc:Choice Requires="wps">
          <w:drawing>
            <wp:anchor distT="0" distB="0" distL="0" distR="0" simplePos="0" relativeHeight="251696128" behindDoc="1" locked="0" layoutInCell="1" allowOverlap="1" wp14:anchorId="6986E395" wp14:editId="01077F70">
              <wp:simplePos x="0" y="0"/>
              <wp:positionH relativeFrom="page">
                <wp:posOffset>5668645</wp:posOffset>
              </wp:positionH>
              <wp:positionV relativeFrom="page">
                <wp:posOffset>9973945</wp:posOffset>
              </wp:positionV>
              <wp:extent cx="1403350" cy="160655"/>
              <wp:effectExtent l="1270" t="1270" r="0" b="0"/>
              <wp:wrapNone/>
              <wp:docPr id="38540974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0"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0DFB2F" w14:textId="77777777" w:rsidR="00B14B05" w:rsidRDefault="00B14B05">
                          <w:pPr>
                            <w:pStyle w:val="Style2"/>
                            <w:rPr>
                              <w:sz w:val="24"/>
                              <w:szCs w:val="24"/>
                            </w:rPr>
                          </w:pPr>
                          <w:r>
                            <w:rPr>
                              <w:rStyle w:val="CharStyle3"/>
                              <w:rFonts w:ascii="Arial" w:hAnsi="Arial" w:cs="Arial"/>
                              <w:color w:val="0D54A6"/>
                              <w:sz w:val="11"/>
                              <w:szCs w:val="11"/>
                              <w:lang w:eastAsia="en-US"/>
                            </w:rPr>
                            <w:t>https://doi.org/10.1021/acs.est.5c10820</w:t>
                          </w:r>
                        </w:p>
                        <w:p w14:paraId="7B6A2571" w14:textId="77777777" w:rsidR="00B14B05" w:rsidRDefault="00B14B05">
                          <w:pPr>
                            <w:pStyle w:val="Style2"/>
                            <w:rPr>
                              <w:sz w:val="24"/>
                              <w:szCs w:val="24"/>
                            </w:rPr>
                          </w:pPr>
                          <w:r>
                            <w:rPr>
                              <w:rStyle w:val="CharStyle3"/>
                              <w:rFonts w:ascii="Arial" w:hAnsi="Arial" w:cs="Arial"/>
                              <w:i/>
                              <w:iCs/>
                              <w:sz w:val="11"/>
                              <w:szCs w:val="11"/>
                              <w:lang w:eastAsia="en-US"/>
                            </w:rPr>
                            <w:t>Environ. Sci. Technol.</w:t>
                          </w:r>
                          <w:r>
                            <w:rPr>
                              <w:rStyle w:val="CharStyle3"/>
                              <w:rFonts w:ascii="Arial" w:hAnsi="Arial" w:cs="Arial"/>
                              <w:sz w:val="11"/>
                              <w:szCs w:val="11"/>
                              <w:lang w:eastAsia="en-US"/>
                            </w:rPr>
                            <w:t xml:space="preserve"> XXXX, XXX, XXX</w:t>
                          </w:r>
                          <w:r>
                            <w:rPr>
                              <w:rStyle w:val="CharStyle3"/>
                              <w:rFonts w:ascii="Arial" w:hAnsi="Arial" w:cs="Arial"/>
                              <w:sz w:val="10"/>
                              <w:szCs w:val="10"/>
                              <w:lang w:eastAsia="en-US"/>
                            </w:rPr>
                            <w:t>-</w:t>
                          </w:r>
                          <w:r>
                            <w:rPr>
                              <w:rStyle w:val="CharStyle3"/>
                              <w:rFonts w:ascii="Arial" w:hAnsi="Arial" w:cs="Arial"/>
                              <w:sz w:val="11"/>
                              <w:szCs w:val="11"/>
                              <w:lang w:eastAsia="en-US"/>
                            </w:rPr>
                            <w:t>XXX</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986E395" id="Text Box 24" o:spid="_x0000_s1058" type="#_x0000_t202" style="position:absolute;margin-left:446.35pt;margin-top:785.35pt;width:110.5pt;height:12.65pt;z-index:-251620352;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" filled="f" stroked="f">
              <v:textbox style="mso-fit-shape-to-text:t" inset="0,0,0,0">
                <w:txbxContent>
                  <w:p w14:paraId="680DFB2F" w14:textId="77777777" w:rsidR="00B14B05" w:rsidRDefault="00B14B05">
                    <w:pPr>
                      <w:pStyle w:val="Style2"/>
                      <w:rPr>
                        <w:sz w:val="24"/>
                        <w:szCs w:val="24"/>
                      </w:rPr>
                    </w:pPr>
                    <w:r>
                      <w:rPr>
                        <w:rStyle w:val="CharStyle3"/>
                        <w:rFonts w:ascii="Arial" w:hAnsi="Arial" w:cs="Arial"/>
                        <w:color w:val="0D54A6"/>
                        <w:sz w:val="11"/>
                        <w:szCs w:val="11"/>
                        <w:lang w:eastAsia="en-US"/>
                      </w:rPr>
                      <w:t>https://doi.org/10.1021/acs.est.5c10820</w:t>
                    </w:r>
                  </w:p>
                  <w:p w14:paraId="7B6A2571" w14:textId="77777777" w:rsidR="00B14B05" w:rsidRDefault="00B14B05">
                    <w:pPr>
                      <w:pStyle w:val="Style2"/>
                      <w:rPr>
                        <w:sz w:val="24"/>
                        <w:szCs w:val="24"/>
                      </w:rPr>
                    </w:pPr>
                    <w:r>
                      <w:rPr>
                        <w:rStyle w:val="CharStyle3"/>
                        <w:rFonts w:ascii="Arial" w:hAnsi="Arial" w:cs="Arial"/>
                        <w:i/>
                        <w:iCs/>
                        <w:sz w:val="11"/>
                        <w:szCs w:val="11"/>
                        <w:lang w:eastAsia="en-US"/>
                      </w:rPr>
                      <w:t>Environ. Sci. Technol.</w:t>
                    </w:r>
                    <w:r>
                      <w:rPr>
                        <w:rStyle w:val="CharStyle3"/>
                        <w:rFonts w:ascii="Arial" w:hAnsi="Arial" w:cs="Arial"/>
                        <w:sz w:val="11"/>
                        <w:szCs w:val="11"/>
                        <w:lang w:eastAsia="en-US"/>
                      </w:rPr>
                      <w:t xml:space="preserve"> XXXX, XXX, XXX</w:t>
                    </w:r>
                    <w:r>
                      <w:rPr>
                        <w:rStyle w:val="CharStyle3"/>
                        <w:rFonts w:ascii="Arial" w:hAnsi="Arial" w:cs="Arial"/>
                        <w:sz w:val="10"/>
                        <w:szCs w:val="10"/>
                        <w:lang w:eastAsia="en-US"/>
                      </w:rPr>
                      <w:t>-</w:t>
                    </w:r>
                    <w:r>
                      <w:rPr>
                        <w:rStyle w:val="CharStyle3"/>
                        <w:rFonts w:ascii="Arial" w:hAnsi="Arial" w:cs="Arial"/>
                        <w:sz w:val="11"/>
                        <w:szCs w:val="11"/>
                        <w:lang w:eastAsia="en-US"/>
                      </w:rPr>
                      <w:t>XXX</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9E0C2" w14:textId="6277F98B" w:rsidR="00B14B05" w:rsidRDefault="00B14B05">
    <w:pPr>
      <w:spacing w:line="1" w:lineRule="exact"/>
      <w:rPr>
        <w:color w:val="auto"/>
        <w:lang w:eastAsia="en-GB"/>
      </w:rPr>
    </w:pPr>
    <w:r>
      <w:rPr>
        <w:noProof/>
      </w:rPr>
      <mc:AlternateContent>
        <mc:Choice Requires="wps">
          <w:drawing>
            <wp:anchor distT="0" distB="0" distL="0" distR="0" simplePos="0" relativeHeight="251701248" behindDoc="1" locked="0" layoutInCell="1" allowOverlap="1" wp14:anchorId="40CBB163" wp14:editId="68355E85">
              <wp:simplePos x="0" y="0"/>
              <wp:positionH relativeFrom="page">
                <wp:posOffset>3821430</wp:posOffset>
              </wp:positionH>
              <wp:positionV relativeFrom="page">
                <wp:posOffset>9964420</wp:posOffset>
              </wp:positionV>
              <wp:extent cx="79375" cy="102235"/>
              <wp:effectExtent l="1905" t="1270" r="4445" b="1270"/>
              <wp:wrapNone/>
              <wp:docPr id="1925377425"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369316" w14:textId="77777777" w:rsidR="00B14B05" w:rsidRDefault="00B14B05">
                          <w:pPr>
                            <w:pStyle w:val="Style2"/>
                            <w:rPr>
                              <w:sz w:val="24"/>
                              <w:szCs w:val="24"/>
                            </w:rPr>
                          </w:pPr>
                          <w:r>
                            <w:rPr>
                              <w:rStyle w:val="CharStyle3"/>
                              <w:sz w:val="14"/>
                              <w:szCs w:val="14"/>
                              <w:lang w:eastAsia="en-US"/>
                            </w:rPr>
                            <w:t>M</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0CBB163" id="_x0000_t202" coordsize="21600,21600" o:spt="202" path="m,l,21600r21600,l21600,xe">
              <v:stroke joinstyle="miter"/>
              <v:path gradientshapeok="t" o:connecttype="rect"/>
            </v:shapetype>
            <v:shape id="Text Box 27" o:spid="_x0000_s1060" type="#_x0000_t202" style="position:absolute;margin-left:300.9pt;margin-top:784.6pt;width:6.25pt;height:8.05pt;z-index:-251615232;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" filled="f" stroked="f">
              <v:textbox style="mso-fit-shape-to-text:t" inset="0,0,0,0">
                <w:txbxContent>
                  <w:p w14:paraId="01369316" w14:textId="77777777" w:rsidR="00B14B05" w:rsidRDefault="00B14B05">
                    <w:pPr>
                      <w:pStyle w:val="Style2"/>
                      <w:rPr>
                        <w:sz w:val="24"/>
                        <w:szCs w:val="24"/>
                      </w:rPr>
                    </w:pPr>
                    <w:r>
                      <w:rPr>
                        <w:rStyle w:val="CharStyle3"/>
                        <w:sz w:val="14"/>
                        <w:szCs w:val="14"/>
                        <w:lang w:eastAsia="en-US"/>
                      </w:rPr>
                      <w:t>M</w:t>
                    </w:r>
                  </w:p>
                </w:txbxContent>
              </v:textbox>
              <w10:wrap anchorx="page" anchory="page"/>
            </v:shape>
          </w:pict>
        </mc:Fallback>
      </mc:AlternateContent>
    </w:r>
    <w:r>
      <w:rPr>
        <w:noProof/>
      </w:rPr>
      <mc:AlternateContent>
        <mc:Choice Requires="wps">
          <w:drawing>
            <wp:anchor distT="0" distB="0" distL="0" distR="0" simplePos="0" relativeHeight="251702272" behindDoc="1" locked="0" layoutInCell="1" allowOverlap="1" wp14:anchorId="6160F670" wp14:editId="6FAC6D67">
              <wp:simplePos x="0" y="0"/>
              <wp:positionH relativeFrom="page">
                <wp:posOffset>5674360</wp:posOffset>
              </wp:positionH>
              <wp:positionV relativeFrom="page">
                <wp:posOffset>9973945</wp:posOffset>
              </wp:positionV>
              <wp:extent cx="1403350" cy="160655"/>
              <wp:effectExtent l="0" t="1270" r="0" b="0"/>
              <wp:wrapNone/>
              <wp:docPr id="377170370"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0"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E6BE3E" w14:textId="77777777" w:rsidR="00B14B05" w:rsidRDefault="00B14B05">
                          <w:pPr>
                            <w:pStyle w:val="Style2"/>
                            <w:rPr>
                              <w:sz w:val="24"/>
                              <w:szCs w:val="24"/>
                            </w:rPr>
                          </w:pPr>
                          <w:r>
                            <w:rPr>
                              <w:rStyle w:val="CharStyle3"/>
                              <w:rFonts w:ascii="Arial" w:hAnsi="Arial" w:cs="Arial"/>
                              <w:color w:val="0D54A6"/>
                              <w:sz w:val="11"/>
                              <w:szCs w:val="11"/>
                              <w:lang w:eastAsia="en-US"/>
                            </w:rPr>
                            <w:t>https://doi.org/10.1021/acs.est.5c10820</w:t>
                          </w:r>
                        </w:p>
                        <w:p w14:paraId="411D211C" w14:textId="77777777" w:rsidR="00B14B05" w:rsidRDefault="00B14B05">
                          <w:pPr>
                            <w:pStyle w:val="Style2"/>
                            <w:rPr>
                              <w:sz w:val="24"/>
                              <w:szCs w:val="24"/>
                            </w:rPr>
                          </w:pPr>
                          <w:r>
                            <w:rPr>
                              <w:rStyle w:val="CharStyle3"/>
                              <w:rFonts w:ascii="Arial" w:hAnsi="Arial" w:cs="Arial"/>
                              <w:i/>
                              <w:iCs/>
                              <w:sz w:val="11"/>
                              <w:szCs w:val="11"/>
                              <w:lang w:eastAsia="en-US"/>
                            </w:rPr>
                            <w:t>Environ. Sci. Technol.</w:t>
                          </w:r>
                          <w:r>
                            <w:rPr>
                              <w:rStyle w:val="CharStyle3"/>
                              <w:rFonts w:ascii="Arial" w:hAnsi="Arial" w:cs="Arial"/>
                              <w:sz w:val="11"/>
                              <w:szCs w:val="11"/>
                              <w:lang w:eastAsia="en-US"/>
                            </w:rPr>
                            <w:t xml:space="preserve"> XXXX, XXX, XXX</w:t>
                          </w:r>
                          <w:r>
                            <w:rPr>
                              <w:rStyle w:val="CharStyle3"/>
                              <w:rFonts w:ascii="Arial" w:hAnsi="Arial" w:cs="Arial"/>
                              <w:sz w:val="10"/>
                              <w:szCs w:val="10"/>
                              <w:lang w:eastAsia="en-US"/>
                            </w:rPr>
                            <w:t>-</w:t>
                          </w:r>
                          <w:r>
                            <w:rPr>
                              <w:rStyle w:val="CharStyle3"/>
                              <w:rFonts w:ascii="Arial" w:hAnsi="Arial" w:cs="Arial"/>
                              <w:sz w:val="11"/>
                              <w:szCs w:val="11"/>
                              <w:lang w:eastAsia="en-US"/>
                            </w:rPr>
                            <w:t>XXX</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6160F670" id="Text Box 28" o:spid="_x0000_s1061" type="#_x0000_t202" style="position:absolute;margin-left:446.8pt;margin-top:785.35pt;width:110.5pt;height:12.65pt;z-index:-251614208;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" filled="f" stroked="f">
              <v:textbox style="mso-fit-shape-to-text:t" inset="0,0,0,0">
                <w:txbxContent>
                  <w:p w14:paraId="3AE6BE3E" w14:textId="77777777" w:rsidR="00B14B05" w:rsidRDefault="00B14B05">
                    <w:pPr>
                      <w:pStyle w:val="Style2"/>
                      <w:rPr>
                        <w:sz w:val="24"/>
                        <w:szCs w:val="24"/>
                      </w:rPr>
                    </w:pPr>
                    <w:r>
                      <w:rPr>
                        <w:rStyle w:val="CharStyle3"/>
                        <w:rFonts w:ascii="Arial" w:hAnsi="Arial" w:cs="Arial"/>
                        <w:color w:val="0D54A6"/>
                        <w:sz w:val="11"/>
                        <w:szCs w:val="11"/>
                        <w:lang w:eastAsia="en-US"/>
                      </w:rPr>
                      <w:t>https://doi.org/10.1021/acs.est.5c10820</w:t>
                    </w:r>
                  </w:p>
                  <w:p w14:paraId="411D211C" w14:textId="77777777" w:rsidR="00B14B05" w:rsidRDefault="00B14B05">
                    <w:pPr>
                      <w:pStyle w:val="Style2"/>
                      <w:rPr>
                        <w:sz w:val="24"/>
                        <w:szCs w:val="24"/>
                      </w:rPr>
                    </w:pPr>
                    <w:r>
                      <w:rPr>
                        <w:rStyle w:val="CharStyle3"/>
                        <w:rFonts w:ascii="Arial" w:hAnsi="Arial" w:cs="Arial"/>
                        <w:i/>
                        <w:iCs/>
                        <w:sz w:val="11"/>
                        <w:szCs w:val="11"/>
                        <w:lang w:eastAsia="en-US"/>
                      </w:rPr>
                      <w:t>Environ. Sci. Technol.</w:t>
                    </w:r>
                    <w:r>
                      <w:rPr>
                        <w:rStyle w:val="CharStyle3"/>
                        <w:rFonts w:ascii="Arial" w:hAnsi="Arial" w:cs="Arial"/>
                        <w:sz w:val="11"/>
                        <w:szCs w:val="11"/>
                        <w:lang w:eastAsia="en-US"/>
                      </w:rPr>
                      <w:t xml:space="preserve"> XXXX, XXX, XXX</w:t>
                    </w:r>
                    <w:r>
                      <w:rPr>
                        <w:rStyle w:val="CharStyle3"/>
                        <w:rFonts w:ascii="Arial" w:hAnsi="Arial" w:cs="Arial"/>
                        <w:sz w:val="10"/>
                        <w:szCs w:val="10"/>
                        <w:lang w:eastAsia="en-US"/>
                      </w:rPr>
                      <w:t>-</w:t>
                    </w:r>
                    <w:r>
                      <w:rPr>
                        <w:rStyle w:val="CharStyle3"/>
                        <w:rFonts w:ascii="Arial" w:hAnsi="Arial" w:cs="Arial"/>
                        <w:sz w:val="11"/>
                        <w:szCs w:val="11"/>
                        <w:lang w:eastAsia="en-US"/>
                      </w:rPr>
                      <w:t>XXX</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383E0" w14:textId="55E4A677" w:rsidR="00B14B05" w:rsidRDefault="00B14B05">
    <w:pPr>
      <w:spacing w:line="1" w:lineRule="exact"/>
      <w:rPr>
        <w:color w:val="auto"/>
        <w:lang w:eastAsia="en-GB"/>
      </w:rPr>
    </w:pPr>
    <w:r>
      <w:rPr>
        <w:noProof/>
      </w:rPr>
      <mc:AlternateContent>
        <mc:Choice Requires="wps">
          <w:drawing>
            <wp:anchor distT="0" distB="0" distL="0" distR="0" simplePos="0" relativeHeight="251707392" behindDoc="1" locked="0" layoutInCell="1" allowOverlap="1" wp14:anchorId="2E7776D3" wp14:editId="045898A5">
              <wp:simplePos x="0" y="0"/>
              <wp:positionH relativeFrom="page">
                <wp:posOffset>5674360</wp:posOffset>
              </wp:positionH>
              <wp:positionV relativeFrom="page">
                <wp:posOffset>10031730</wp:posOffset>
              </wp:positionV>
              <wp:extent cx="1403350" cy="160655"/>
              <wp:effectExtent l="0" t="1905" r="0" b="0"/>
              <wp:wrapNone/>
              <wp:docPr id="214275941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0"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114174" w14:textId="77777777" w:rsidR="00B14B05" w:rsidRDefault="00B14B05">
                          <w:pPr>
                            <w:pStyle w:val="Style2"/>
                            <w:rPr>
                              <w:sz w:val="24"/>
                              <w:szCs w:val="24"/>
                            </w:rPr>
                          </w:pPr>
                          <w:r>
                            <w:rPr>
                              <w:rStyle w:val="CharStyle3"/>
                              <w:rFonts w:ascii="Arial" w:hAnsi="Arial" w:cs="Arial"/>
                              <w:color w:val="0D54A6"/>
                              <w:sz w:val="11"/>
                              <w:szCs w:val="11"/>
                              <w:lang w:eastAsia="en-US"/>
                            </w:rPr>
                            <w:t>https://doi.org/10.1021/acs.est.5c10820</w:t>
                          </w:r>
                        </w:p>
                        <w:p w14:paraId="0808C67A" w14:textId="77777777" w:rsidR="00B14B05" w:rsidRDefault="00B14B05">
                          <w:pPr>
                            <w:pStyle w:val="Style2"/>
                            <w:rPr>
                              <w:sz w:val="24"/>
                              <w:szCs w:val="24"/>
                            </w:rPr>
                          </w:pPr>
                          <w:r>
                            <w:rPr>
                              <w:rStyle w:val="CharStyle3"/>
                              <w:rFonts w:ascii="Arial" w:hAnsi="Arial" w:cs="Arial"/>
                              <w:i/>
                              <w:iCs/>
                              <w:sz w:val="11"/>
                              <w:szCs w:val="11"/>
                              <w:lang w:eastAsia="en-US"/>
                            </w:rPr>
                            <w:t>Environ. Sci. Technol.</w:t>
                          </w:r>
                          <w:r>
                            <w:rPr>
                              <w:rStyle w:val="CharStyle3"/>
                              <w:rFonts w:ascii="Arial" w:hAnsi="Arial" w:cs="Arial"/>
                              <w:sz w:val="11"/>
                              <w:szCs w:val="11"/>
                              <w:lang w:eastAsia="en-US"/>
                            </w:rPr>
                            <w:t xml:space="preserve"> XXXX, XXX, XXX</w:t>
                          </w:r>
                          <w:r>
                            <w:rPr>
                              <w:rStyle w:val="CharStyle3"/>
                              <w:rFonts w:ascii="Arial" w:hAnsi="Arial" w:cs="Arial"/>
                              <w:sz w:val="10"/>
                              <w:szCs w:val="10"/>
                              <w:lang w:eastAsia="en-US"/>
                            </w:rPr>
                            <w:t>-</w:t>
                          </w:r>
                          <w:r>
                            <w:rPr>
                              <w:rStyle w:val="CharStyle3"/>
                              <w:rFonts w:ascii="Arial" w:hAnsi="Arial" w:cs="Arial"/>
                              <w:sz w:val="11"/>
                              <w:szCs w:val="11"/>
                              <w:lang w:eastAsia="en-US"/>
                            </w:rPr>
                            <w:t>XXX</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E7776D3" id="_x0000_t202" coordsize="21600,21600" o:spt="202" path="m,l,21600r21600,l21600,xe">
              <v:stroke joinstyle="miter"/>
              <v:path gradientshapeok="t" o:connecttype="rect"/>
            </v:shapetype>
            <v:shape id="Text Box 31" o:spid="_x0000_s1063" type="#_x0000_t202" style="position:absolute;margin-left:446.8pt;margin-top:789.9pt;width:110.5pt;height:12.65pt;z-index:-251609088;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" filled="f" stroked="f">
              <v:textbox style="mso-fit-shape-to-text:t" inset="0,0,0,0">
                <w:txbxContent>
                  <w:p w14:paraId="43114174" w14:textId="77777777" w:rsidR="00B14B05" w:rsidRDefault="00B14B05">
                    <w:pPr>
                      <w:pStyle w:val="Style2"/>
                      <w:rPr>
                        <w:sz w:val="24"/>
                        <w:szCs w:val="24"/>
                      </w:rPr>
                    </w:pPr>
                    <w:r>
                      <w:rPr>
                        <w:rStyle w:val="CharStyle3"/>
                        <w:rFonts w:ascii="Arial" w:hAnsi="Arial" w:cs="Arial"/>
                        <w:color w:val="0D54A6"/>
                        <w:sz w:val="11"/>
                        <w:szCs w:val="11"/>
                        <w:lang w:eastAsia="en-US"/>
                      </w:rPr>
                      <w:t>https://doi.org/10.1021/acs.est.5c10820</w:t>
                    </w:r>
                  </w:p>
                  <w:p w14:paraId="0808C67A" w14:textId="77777777" w:rsidR="00B14B05" w:rsidRDefault="00B14B05">
                    <w:pPr>
                      <w:pStyle w:val="Style2"/>
                      <w:rPr>
                        <w:sz w:val="24"/>
                        <w:szCs w:val="24"/>
                      </w:rPr>
                    </w:pPr>
                    <w:r>
                      <w:rPr>
                        <w:rStyle w:val="CharStyle3"/>
                        <w:rFonts w:ascii="Arial" w:hAnsi="Arial" w:cs="Arial"/>
                        <w:i/>
                        <w:iCs/>
                        <w:sz w:val="11"/>
                        <w:szCs w:val="11"/>
                        <w:lang w:eastAsia="en-US"/>
                      </w:rPr>
                      <w:t>Environ. Sci. Technol.</w:t>
                    </w:r>
                    <w:r>
                      <w:rPr>
                        <w:rStyle w:val="CharStyle3"/>
                        <w:rFonts w:ascii="Arial" w:hAnsi="Arial" w:cs="Arial"/>
                        <w:sz w:val="11"/>
                        <w:szCs w:val="11"/>
                        <w:lang w:eastAsia="en-US"/>
                      </w:rPr>
                      <w:t xml:space="preserve"> XXXX, XXX, XXX</w:t>
                    </w:r>
                    <w:r>
                      <w:rPr>
                        <w:rStyle w:val="CharStyle3"/>
                        <w:rFonts w:ascii="Arial" w:hAnsi="Arial" w:cs="Arial"/>
                        <w:sz w:val="10"/>
                        <w:szCs w:val="10"/>
                        <w:lang w:eastAsia="en-US"/>
                      </w:rPr>
                      <w:t>-</w:t>
                    </w:r>
                    <w:r>
                      <w:rPr>
                        <w:rStyle w:val="CharStyle3"/>
                        <w:rFonts w:ascii="Arial" w:hAnsi="Arial" w:cs="Arial"/>
                        <w:sz w:val="11"/>
                        <w:szCs w:val="11"/>
                        <w:lang w:eastAsia="en-US"/>
                      </w:rPr>
                      <w:t>XXX</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1B1A6" w14:textId="77777777" w:rsidR="00B14B05" w:rsidRDefault="00B14B05">
      <w:r>
        <w:separator/>
      </w:r>
    </w:p>
  </w:footnote>
  <w:footnote w:type="continuationSeparator" w:id="0">
    <w:p w14:paraId="13E8BFA7" w14:textId="77777777" w:rsidR="00B14B05" w:rsidRDefault="00B14B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86B4A" w14:textId="03468F27" w:rsidR="00B14B05" w:rsidRDefault="00B14B05">
    <w:pPr>
      <w:spacing w:line="1" w:lineRule="exact"/>
      <w:rPr>
        <w:color w:val="auto"/>
        <w:lang w:eastAsia="en-GB"/>
      </w:rPr>
    </w:pPr>
    <w:r>
      <w:rPr>
        <w:noProof/>
      </w:rPr>
      <mc:AlternateContent>
        <mc:Choice Requires="wps">
          <w:drawing>
            <wp:anchor distT="0" distB="0" distL="0" distR="0" simplePos="0" relativeHeight="251661312" behindDoc="1" locked="0" layoutInCell="1" allowOverlap="1" wp14:anchorId="58CEC9F4" wp14:editId="04065DBB">
              <wp:simplePos x="0" y="0"/>
              <wp:positionH relativeFrom="page">
                <wp:posOffset>664845</wp:posOffset>
              </wp:positionH>
              <wp:positionV relativeFrom="page">
                <wp:posOffset>750570</wp:posOffset>
              </wp:positionV>
              <wp:extent cx="6300470" cy="131445"/>
              <wp:effectExtent l="0" t="0" r="0" b="3810"/>
              <wp:wrapNone/>
              <wp:docPr id="1538816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0470"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9867F8" w14:textId="77777777" w:rsidR="00B14B05" w:rsidRDefault="00B14B05">
                          <w:pPr>
                            <w:pStyle w:val="Style2"/>
                            <w:shd w:val="clear" w:color="auto" w:fill="246B41"/>
                            <w:tabs>
                              <w:tab w:val="right" w:pos="6878"/>
                              <w:tab w:val="right" w:pos="9922"/>
                            </w:tabs>
                            <w:rPr>
                              <w:sz w:val="24"/>
                              <w:szCs w:val="24"/>
                            </w:rPr>
                          </w:pPr>
                          <w:r>
                            <w:rPr>
                              <w:rStyle w:val="CharStyle3"/>
                              <w:rFonts w:ascii="Arial" w:hAnsi="Arial" w:cs="Arial"/>
                              <w:b/>
                              <w:bCs/>
                              <w:color w:val="246B42"/>
                              <w:sz w:val="18"/>
                              <w:szCs w:val="18"/>
                              <w:lang w:eastAsia="en-US"/>
                            </w:rPr>
                            <w:t>Environmental Science &amp; Technology</w:t>
                          </w:r>
                          <w:r>
                            <w:rPr>
                              <w:rStyle w:val="CharStyle3"/>
                              <w:rFonts w:ascii="Arial" w:hAnsi="Arial" w:cs="Arial"/>
                              <w:b/>
                              <w:bCs/>
                              <w:color w:val="246B42"/>
                              <w:sz w:val="18"/>
                              <w:szCs w:val="18"/>
                              <w:lang w:eastAsia="en-US"/>
                            </w:rPr>
                            <w:tab/>
                          </w:r>
                          <w:r>
                            <w:rPr>
                              <w:rStyle w:val="CharStyle3"/>
                              <w:rFonts w:ascii="Arial" w:hAnsi="Arial" w:cs="Arial"/>
                              <w:b/>
                              <w:bCs/>
                              <w:color w:val="246B42"/>
                              <w:sz w:val="14"/>
                              <w:szCs w:val="14"/>
                              <w:lang w:eastAsia="en-US"/>
                            </w:rPr>
                            <w:t>pubs.acs.org/est</w:t>
                          </w:r>
                          <w:r>
                            <w:rPr>
                              <w:rStyle w:val="CharStyle3"/>
                              <w:rFonts w:ascii="Arial" w:hAnsi="Arial" w:cs="Arial"/>
                              <w:b/>
                              <w:bCs/>
                              <w:color w:val="246B42"/>
                              <w:sz w:val="14"/>
                              <w:szCs w:val="14"/>
                              <w:lang w:eastAsia="en-US"/>
                            </w:rPr>
                            <w:tab/>
                          </w:r>
                          <w:r>
                            <w:rPr>
                              <w:rStyle w:val="CharStyle3"/>
                              <w:rFonts w:ascii="Arial" w:hAnsi="Arial" w:cs="Arial"/>
                              <w:color w:val="FFFFFF"/>
                              <w:sz w:val="14"/>
                              <w:szCs w:val="14"/>
                              <w:lang w:eastAsia="en-US"/>
                            </w:rPr>
                            <w:t>Article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8CEC9F4" id="_x0000_t202" coordsize="21600,21600" o:spt="202" path="m,l,21600r21600,l21600,xe">
              <v:stroke joinstyle="miter"/>
              <v:path gradientshapeok="t" o:connecttype="rect"/>
            </v:shapetype>
            <v:shape id="Text Box 2" o:spid="_x0000_s1043" type="#_x0000_t202" style="position:absolute;margin-left:52.35pt;margin-top:59.1pt;width:496.1pt;height:10.35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" filled="f" stroked="f">
              <v:textbox style="mso-fit-shape-to-text:t" inset="0,0,0,0">
                <w:txbxContent>
                  <w:p w14:paraId="759867F8" w14:textId="77777777" w:rsidR="00B14B05" w:rsidRDefault="00B14B05">
                    <w:pPr>
                      <w:pStyle w:val="Style2"/>
                      <w:shd w:val="clear" w:color="auto" w:fill="246B41"/>
                      <w:tabs>
                        <w:tab w:val="right" w:pos="6878"/>
                        <w:tab w:val="right" w:pos="9922"/>
                      </w:tabs>
                      <w:rPr>
                        <w:sz w:val="24"/>
                        <w:szCs w:val="24"/>
                      </w:rPr>
                    </w:pPr>
                    <w:r>
                      <w:rPr>
                        <w:rStyle w:val="CharStyle3"/>
                        <w:rFonts w:ascii="Arial" w:hAnsi="Arial" w:cs="Arial"/>
                        <w:b/>
                        <w:bCs/>
                        <w:color w:val="246B42"/>
                        <w:sz w:val="18"/>
                        <w:szCs w:val="18"/>
                        <w:lang w:eastAsia="en-US"/>
                      </w:rPr>
                      <w:t>Environmental Science &amp; Technology</w:t>
                    </w:r>
                    <w:r>
                      <w:rPr>
                        <w:rStyle w:val="CharStyle3"/>
                        <w:rFonts w:ascii="Arial" w:hAnsi="Arial" w:cs="Arial"/>
                        <w:b/>
                        <w:bCs/>
                        <w:color w:val="246B42"/>
                        <w:sz w:val="18"/>
                        <w:szCs w:val="18"/>
                        <w:lang w:eastAsia="en-US"/>
                      </w:rPr>
                      <w:tab/>
                    </w:r>
                    <w:r>
                      <w:rPr>
                        <w:rStyle w:val="CharStyle3"/>
                        <w:rFonts w:ascii="Arial" w:hAnsi="Arial" w:cs="Arial"/>
                        <w:b/>
                        <w:bCs/>
                        <w:color w:val="246B42"/>
                        <w:sz w:val="14"/>
                        <w:szCs w:val="14"/>
                        <w:lang w:eastAsia="en-US"/>
                      </w:rPr>
                      <w:t>pubs.acs.org/est</w:t>
                    </w:r>
                    <w:r>
                      <w:rPr>
                        <w:rStyle w:val="CharStyle3"/>
                        <w:rFonts w:ascii="Arial" w:hAnsi="Arial" w:cs="Arial"/>
                        <w:b/>
                        <w:bCs/>
                        <w:color w:val="246B42"/>
                        <w:sz w:val="14"/>
                        <w:szCs w:val="14"/>
                        <w:lang w:eastAsia="en-US"/>
                      </w:rPr>
                      <w:tab/>
                    </w:r>
                    <w:r>
                      <w:rPr>
                        <w:rStyle w:val="CharStyle3"/>
                        <w:rFonts w:ascii="Arial" w:hAnsi="Arial" w:cs="Arial"/>
                        <w:color w:val="FFFFFF"/>
                        <w:sz w:val="14"/>
                        <w:szCs w:val="14"/>
                        <w:lang w:eastAsia="en-US"/>
                      </w:rPr>
                      <w:t>Article</w:t>
                    </w:r>
                  </w:p>
                </w:txbxContent>
              </v:textbox>
              <w10:wrap anchorx="page" anchory="page"/>
            </v:shape>
          </w:pict>
        </mc:Fallback>
      </mc:AlternateContent>
    </w:r>
    <w:r>
      <w:rPr>
        <w:noProof/>
      </w:rPr>
      <mc:AlternateContent>
        <mc:Choice Requires="wps">
          <w:drawing>
            <wp:anchor distT="0" distB="0" distL="114300" distR="114300" simplePos="0" relativeHeight="251662336" behindDoc="0" locked="0" layoutInCell="0" allowOverlap="1" wp14:anchorId="10268E2B" wp14:editId="18E14B9F">
              <wp:simplePos x="0" y="0"/>
              <wp:positionH relativeFrom="page">
                <wp:posOffset>655955</wp:posOffset>
              </wp:positionH>
              <wp:positionV relativeFrom="page">
                <wp:posOffset>880110</wp:posOffset>
              </wp:positionV>
              <wp:extent cx="5949950" cy="0"/>
              <wp:effectExtent l="8255" t="13335" r="13970" b="15240"/>
              <wp:wrapNone/>
              <wp:docPr id="1767628288"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995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BC0FAE1" id="_x0000_t32" coordsize="21600,21600" o:spt="32" o:oned="t" path="m,l21600,21600e" filled="f">
              <v:path arrowok="t" fillok="f" o:connecttype="none"/>
              <o:lock v:ext="edit" shapetype="t"/>
            </v:shapetype>
            <v:shape id="AutoShape 3" o:spid="_x0000_s1026" type="#_x0000_t32" style="position:absolute;margin-left:51.65pt;margin-top:69.3pt;width:468.5pt;height:0;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" o:allowincell="f" strokeweight="1pt">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2FBA3" w14:textId="69FE7CFE" w:rsidR="00B14B05" w:rsidRDefault="00B14B05">
    <w:pPr>
      <w:spacing w:line="1" w:lineRule="exact"/>
      <w:rPr>
        <w:color w:val="auto"/>
        <w:lang w:eastAsia="en-GB"/>
      </w:rPr>
    </w:pPr>
    <w:r>
      <w:rPr>
        <w:noProof/>
      </w:rPr>
      <mc:AlternateContent>
        <mc:Choice Requires="wps">
          <w:drawing>
            <wp:anchor distT="0" distB="0" distL="0" distR="0" simplePos="0" relativeHeight="251667456" behindDoc="1" locked="0" layoutInCell="1" allowOverlap="1" wp14:anchorId="121C00FC" wp14:editId="02BB642B">
              <wp:simplePos x="0" y="0"/>
              <wp:positionH relativeFrom="page">
                <wp:posOffset>662940</wp:posOffset>
              </wp:positionH>
              <wp:positionV relativeFrom="page">
                <wp:posOffset>687705</wp:posOffset>
              </wp:positionV>
              <wp:extent cx="6299835" cy="131445"/>
              <wp:effectExtent l="0" t="1905" r="0" b="0"/>
              <wp:wrapNone/>
              <wp:docPr id="1314812680"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983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3FBC8E" w14:textId="77777777" w:rsidR="00B14B05" w:rsidRDefault="00B14B05">
                          <w:pPr>
                            <w:pStyle w:val="Style2"/>
                            <w:shd w:val="clear" w:color="auto" w:fill="246B41"/>
                            <w:tabs>
                              <w:tab w:val="right" w:pos="6877"/>
                              <w:tab w:val="right" w:pos="9921"/>
                            </w:tabs>
                            <w:rPr>
                              <w:sz w:val="24"/>
                              <w:szCs w:val="24"/>
                            </w:rPr>
                          </w:pPr>
                          <w:r>
                            <w:rPr>
                              <w:rStyle w:val="CharStyle3"/>
                              <w:rFonts w:ascii="Arial" w:hAnsi="Arial" w:cs="Arial"/>
                              <w:b/>
                              <w:bCs/>
                              <w:color w:val="246B42"/>
                              <w:sz w:val="18"/>
                              <w:szCs w:val="18"/>
                              <w:lang w:eastAsia="en-US"/>
                            </w:rPr>
                            <w:t>Environmental Science &amp; Technology</w:t>
                          </w:r>
                          <w:r>
                            <w:rPr>
                              <w:rStyle w:val="CharStyle3"/>
                              <w:rFonts w:ascii="Arial" w:hAnsi="Arial" w:cs="Arial"/>
                              <w:b/>
                              <w:bCs/>
                              <w:color w:val="246B42"/>
                              <w:sz w:val="18"/>
                              <w:szCs w:val="18"/>
                              <w:lang w:eastAsia="en-US"/>
                            </w:rPr>
                            <w:tab/>
                          </w:r>
                          <w:r>
                            <w:rPr>
                              <w:rStyle w:val="CharStyle3"/>
                              <w:rFonts w:ascii="Arial" w:hAnsi="Arial" w:cs="Arial"/>
                              <w:b/>
                              <w:bCs/>
                              <w:color w:val="246B42"/>
                              <w:sz w:val="14"/>
                              <w:szCs w:val="14"/>
                              <w:lang w:eastAsia="en-US"/>
                            </w:rPr>
                            <w:t>pubs.acs.org/est</w:t>
                          </w:r>
                          <w:r>
                            <w:rPr>
                              <w:rStyle w:val="CharStyle3"/>
                              <w:rFonts w:ascii="Arial" w:hAnsi="Arial" w:cs="Arial"/>
                              <w:b/>
                              <w:bCs/>
                              <w:color w:val="246B42"/>
                              <w:sz w:val="14"/>
                              <w:szCs w:val="14"/>
                              <w:lang w:eastAsia="en-US"/>
                            </w:rPr>
                            <w:tab/>
                          </w:r>
                          <w:r>
                            <w:rPr>
                              <w:rStyle w:val="CharStyle3"/>
                              <w:rFonts w:ascii="Arial" w:hAnsi="Arial" w:cs="Arial"/>
                              <w:color w:val="FFFFFF"/>
                              <w:sz w:val="14"/>
                              <w:szCs w:val="14"/>
                              <w:lang w:eastAsia="en-US"/>
                            </w:rPr>
                            <w:t>Article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21C00FC" id="_x0000_t202" coordsize="21600,21600" o:spt="202" path="m,l,21600r21600,l21600,xe">
              <v:stroke joinstyle="miter"/>
              <v:path gradientshapeok="t" o:connecttype="rect"/>
            </v:shapetype>
            <v:shape id="_x0000_s1046" type="#_x0000_t202" style="position:absolute;margin-left:52.2pt;margin-top:54.15pt;width:496.05pt;height:10.35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" filled="f" stroked="f">
              <v:textbox style="mso-fit-shape-to-text:t" inset="0,0,0,0">
                <w:txbxContent>
                  <w:p w14:paraId="5F3FBC8E" w14:textId="77777777" w:rsidR="00B14B05" w:rsidRDefault="00B14B05">
                    <w:pPr>
                      <w:pStyle w:val="Style2"/>
                      <w:shd w:val="clear" w:color="auto" w:fill="246B41"/>
                      <w:tabs>
                        <w:tab w:val="right" w:pos="6877"/>
                        <w:tab w:val="right" w:pos="9921"/>
                      </w:tabs>
                      <w:rPr>
                        <w:sz w:val="24"/>
                        <w:szCs w:val="24"/>
                      </w:rPr>
                    </w:pPr>
                    <w:r>
                      <w:rPr>
                        <w:rStyle w:val="CharStyle3"/>
                        <w:rFonts w:ascii="Arial" w:hAnsi="Arial" w:cs="Arial"/>
                        <w:b/>
                        <w:bCs/>
                        <w:color w:val="246B42"/>
                        <w:sz w:val="18"/>
                        <w:szCs w:val="18"/>
                        <w:lang w:eastAsia="en-US"/>
                      </w:rPr>
                      <w:t>Environmental Science &amp; Technology</w:t>
                    </w:r>
                    <w:r>
                      <w:rPr>
                        <w:rStyle w:val="CharStyle3"/>
                        <w:rFonts w:ascii="Arial" w:hAnsi="Arial" w:cs="Arial"/>
                        <w:b/>
                        <w:bCs/>
                        <w:color w:val="246B42"/>
                        <w:sz w:val="18"/>
                        <w:szCs w:val="18"/>
                        <w:lang w:eastAsia="en-US"/>
                      </w:rPr>
                      <w:tab/>
                    </w:r>
                    <w:r>
                      <w:rPr>
                        <w:rStyle w:val="CharStyle3"/>
                        <w:rFonts w:ascii="Arial" w:hAnsi="Arial" w:cs="Arial"/>
                        <w:b/>
                        <w:bCs/>
                        <w:color w:val="246B42"/>
                        <w:sz w:val="14"/>
                        <w:szCs w:val="14"/>
                        <w:lang w:eastAsia="en-US"/>
                      </w:rPr>
                      <w:t>pubs.acs.org/est</w:t>
                    </w:r>
                    <w:r>
                      <w:rPr>
                        <w:rStyle w:val="CharStyle3"/>
                        <w:rFonts w:ascii="Arial" w:hAnsi="Arial" w:cs="Arial"/>
                        <w:b/>
                        <w:bCs/>
                        <w:color w:val="246B42"/>
                        <w:sz w:val="14"/>
                        <w:szCs w:val="14"/>
                        <w:lang w:eastAsia="en-US"/>
                      </w:rPr>
                      <w:tab/>
                    </w:r>
                    <w:r>
                      <w:rPr>
                        <w:rStyle w:val="CharStyle3"/>
                        <w:rFonts w:ascii="Arial" w:hAnsi="Arial" w:cs="Arial"/>
                        <w:color w:val="FFFFFF"/>
                        <w:sz w:val="14"/>
                        <w:szCs w:val="14"/>
                        <w:lang w:eastAsia="en-US"/>
                      </w:rPr>
                      <w:t>Article</w:t>
                    </w:r>
                  </w:p>
                </w:txbxContent>
              </v:textbox>
              <w10:wrap anchorx="page" anchory="page"/>
            </v:shape>
          </w:pict>
        </mc:Fallback>
      </mc:AlternateContent>
    </w:r>
    <w:r>
      <w:rPr>
        <w:noProof/>
      </w:rPr>
      <mc:AlternateContent>
        <mc:Choice Requires="wps">
          <w:drawing>
            <wp:anchor distT="0" distB="0" distL="114300" distR="114300" simplePos="0" relativeHeight="251668480" behindDoc="0" locked="0" layoutInCell="0" allowOverlap="1" wp14:anchorId="575E78D2" wp14:editId="0450769B">
              <wp:simplePos x="0" y="0"/>
              <wp:positionH relativeFrom="page">
                <wp:posOffset>654050</wp:posOffset>
              </wp:positionH>
              <wp:positionV relativeFrom="page">
                <wp:posOffset>879475</wp:posOffset>
              </wp:positionV>
              <wp:extent cx="5946775" cy="0"/>
              <wp:effectExtent l="6350" t="12700" r="9525" b="6350"/>
              <wp:wrapNone/>
              <wp:docPr id="1589725990"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677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10750F0" id="_x0000_t32" coordsize="21600,21600" o:spt="32" o:oned="t" path="m,l21600,21600e" filled="f">
              <v:path arrowok="t" fillok="f" o:connecttype="none"/>
              <o:lock v:ext="edit" shapetype="t"/>
            </v:shapetype>
            <v:shape id="AutoShape 7" o:spid="_x0000_s1026" type="#_x0000_t32" style="position:absolute;margin-left:51.5pt;margin-top:69.25pt;width:468.25pt;height:0;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" o:allowincell="f" strokeweight="1pt">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081F4" w14:textId="77777777" w:rsidR="00B14B05" w:rsidRDefault="00B14B05">
    <w:pPr>
      <w:rPr>
        <w:color w:val="auto"/>
        <w:lang w:eastAsia="en-G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4BD2A" w14:textId="651DBBE0" w:rsidR="00B14B05" w:rsidRDefault="00B14B05">
    <w:pPr>
      <w:spacing w:line="1" w:lineRule="exact"/>
      <w:rPr>
        <w:color w:val="auto"/>
        <w:lang w:eastAsia="en-GB"/>
      </w:rPr>
    </w:pPr>
    <w:r>
      <w:rPr>
        <w:noProof/>
      </w:rPr>
      <mc:AlternateContent>
        <mc:Choice Requires="wps">
          <w:drawing>
            <wp:anchor distT="0" distB="0" distL="0" distR="0" simplePos="0" relativeHeight="251672576" behindDoc="1" locked="0" layoutInCell="1" allowOverlap="1" wp14:anchorId="6EF35BF5" wp14:editId="1C2F7EBC">
              <wp:simplePos x="0" y="0"/>
              <wp:positionH relativeFrom="page">
                <wp:posOffset>662940</wp:posOffset>
              </wp:positionH>
              <wp:positionV relativeFrom="page">
                <wp:posOffset>687705</wp:posOffset>
              </wp:positionV>
              <wp:extent cx="6299835" cy="131445"/>
              <wp:effectExtent l="0" t="1905" r="0" b="0"/>
              <wp:wrapNone/>
              <wp:docPr id="10091568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983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6BDEE3" w14:textId="77777777" w:rsidR="00B14B05" w:rsidRDefault="00B14B05">
                          <w:pPr>
                            <w:pStyle w:val="Style2"/>
                            <w:shd w:val="clear" w:color="auto" w:fill="246B41"/>
                            <w:tabs>
                              <w:tab w:val="right" w:pos="6877"/>
                              <w:tab w:val="right" w:pos="9921"/>
                            </w:tabs>
                            <w:rPr>
                              <w:sz w:val="24"/>
                              <w:szCs w:val="24"/>
                            </w:rPr>
                          </w:pPr>
                          <w:r>
                            <w:rPr>
                              <w:rStyle w:val="CharStyle3"/>
                              <w:rFonts w:ascii="Arial" w:hAnsi="Arial" w:cs="Arial"/>
                              <w:b/>
                              <w:bCs/>
                              <w:color w:val="246B42"/>
                              <w:sz w:val="18"/>
                              <w:szCs w:val="18"/>
                              <w:lang w:eastAsia="en-US"/>
                            </w:rPr>
                            <w:t>Environmental Science &amp; Technology</w:t>
                          </w:r>
                          <w:r>
                            <w:rPr>
                              <w:rStyle w:val="CharStyle3"/>
                              <w:rFonts w:ascii="Arial" w:hAnsi="Arial" w:cs="Arial"/>
                              <w:b/>
                              <w:bCs/>
                              <w:color w:val="246B42"/>
                              <w:sz w:val="18"/>
                              <w:szCs w:val="18"/>
                              <w:lang w:eastAsia="en-US"/>
                            </w:rPr>
                            <w:tab/>
                          </w:r>
                          <w:r>
                            <w:rPr>
                              <w:rStyle w:val="CharStyle3"/>
                              <w:rFonts w:ascii="Arial" w:hAnsi="Arial" w:cs="Arial"/>
                              <w:b/>
                              <w:bCs/>
                              <w:color w:val="246B42"/>
                              <w:sz w:val="14"/>
                              <w:szCs w:val="14"/>
                              <w:lang w:eastAsia="en-US"/>
                            </w:rPr>
                            <w:t>pubs.acs.org/est</w:t>
                          </w:r>
                          <w:r>
                            <w:rPr>
                              <w:rStyle w:val="CharStyle3"/>
                              <w:rFonts w:ascii="Arial" w:hAnsi="Arial" w:cs="Arial"/>
                              <w:b/>
                              <w:bCs/>
                              <w:color w:val="246B42"/>
                              <w:sz w:val="14"/>
                              <w:szCs w:val="14"/>
                              <w:lang w:eastAsia="en-US"/>
                            </w:rPr>
                            <w:tab/>
                          </w:r>
                          <w:r>
                            <w:rPr>
                              <w:rStyle w:val="CharStyle3"/>
                              <w:rFonts w:ascii="Arial" w:hAnsi="Arial" w:cs="Arial"/>
                              <w:color w:val="FFFFFF"/>
                              <w:sz w:val="14"/>
                              <w:szCs w:val="14"/>
                              <w:lang w:eastAsia="en-US"/>
                            </w:rPr>
                            <w:t>Article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EF35BF5" id="_x0000_t202" coordsize="21600,21600" o:spt="202" path="m,l,21600r21600,l21600,xe">
              <v:stroke joinstyle="miter"/>
              <v:path gradientshapeok="t" o:connecttype="rect"/>
            </v:shapetype>
            <v:shape id="_x0000_s1048" type="#_x0000_t202" style="position:absolute;margin-left:52.2pt;margin-top:54.15pt;width:496.05pt;height:10.35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" filled="f" stroked="f">
              <v:textbox style="mso-fit-shape-to-text:t" inset="0,0,0,0">
                <w:txbxContent>
                  <w:p w14:paraId="686BDEE3" w14:textId="77777777" w:rsidR="00B14B05" w:rsidRDefault="00B14B05">
                    <w:pPr>
                      <w:pStyle w:val="Style2"/>
                      <w:shd w:val="clear" w:color="auto" w:fill="246B41"/>
                      <w:tabs>
                        <w:tab w:val="right" w:pos="6877"/>
                        <w:tab w:val="right" w:pos="9921"/>
                      </w:tabs>
                      <w:rPr>
                        <w:sz w:val="24"/>
                        <w:szCs w:val="24"/>
                      </w:rPr>
                    </w:pPr>
                    <w:r>
                      <w:rPr>
                        <w:rStyle w:val="CharStyle3"/>
                        <w:rFonts w:ascii="Arial" w:hAnsi="Arial" w:cs="Arial"/>
                        <w:b/>
                        <w:bCs/>
                        <w:color w:val="246B42"/>
                        <w:sz w:val="18"/>
                        <w:szCs w:val="18"/>
                        <w:lang w:eastAsia="en-US"/>
                      </w:rPr>
                      <w:t>Environmental Science &amp; Technology</w:t>
                    </w:r>
                    <w:r>
                      <w:rPr>
                        <w:rStyle w:val="CharStyle3"/>
                        <w:rFonts w:ascii="Arial" w:hAnsi="Arial" w:cs="Arial"/>
                        <w:b/>
                        <w:bCs/>
                        <w:color w:val="246B42"/>
                        <w:sz w:val="18"/>
                        <w:szCs w:val="18"/>
                        <w:lang w:eastAsia="en-US"/>
                      </w:rPr>
                      <w:tab/>
                    </w:r>
                    <w:r>
                      <w:rPr>
                        <w:rStyle w:val="CharStyle3"/>
                        <w:rFonts w:ascii="Arial" w:hAnsi="Arial" w:cs="Arial"/>
                        <w:b/>
                        <w:bCs/>
                        <w:color w:val="246B42"/>
                        <w:sz w:val="14"/>
                        <w:szCs w:val="14"/>
                        <w:lang w:eastAsia="en-US"/>
                      </w:rPr>
                      <w:t>pubs.acs.org/est</w:t>
                    </w:r>
                    <w:r>
                      <w:rPr>
                        <w:rStyle w:val="CharStyle3"/>
                        <w:rFonts w:ascii="Arial" w:hAnsi="Arial" w:cs="Arial"/>
                        <w:b/>
                        <w:bCs/>
                        <w:color w:val="246B42"/>
                        <w:sz w:val="14"/>
                        <w:szCs w:val="14"/>
                        <w:lang w:eastAsia="en-US"/>
                      </w:rPr>
                      <w:tab/>
                    </w:r>
                    <w:r>
                      <w:rPr>
                        <w:rStyle w:val="CharStyle3"/>
                        <w:rFonts w:ascii="Arial" w:hAnsi="Arial" w:cs="Arial"/>
                        <w:color w:val="FFFFFF"/>
                        <w:sz w:val="14"/>
                        <w:szCs w:val="14"/>
                        <w:lang w:eastAsia="en-US"/>
                      </w:rPr>
                      <w:t>Article</w:t>
                    </w:r>
                  </w:p>
                </w:txbxContent>
              </v:textbox>
              <w10:wrap anchorx="page" anchory="page"/>
            </v:shape>
          </w:pict>
        </mc:Fallback>
      </mc:AlternateContent>
    </w:r>
    <w:r>
      <w:rPr>
        <w:noProof/>
      </w:rPr>
      <mc:AlternateContent>
        <mc:Choice Requires="wps">
          <w:drawing>
            <wp:anchor distT="0" distB="0" distL="114300" distR="114300" simplePos="0" relativeHeight="251673600" behindDoc="0" locked="0" layoutInCell="0" allowOverlap="1" wp14:anchorId="091BC396" wp14:editId="49130174">
              <wp:simplePos x="0" y="0"/>
              <wp:positionH relativeFrom="page">
                <wp:posOffset>654050</wp:posOffset>
              </wp:positionH>
              <wp:positionV relativeFrom="page">
                <wp:posOffset>879475</wp:posOffset>
              </wp:positionV>
              <wp:extent cx="5946775" cy="0"/>
              <wp:effectExtent l="6350" t="12700" r="9525" b="6350"/>
              <wp:wrapNone/>
              <wp:docPr id="525946738"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677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B8354D8" id="_x0000_t32" coordsize="21600,21600" o:spt="32" o:oned="t" path="m,l21600,21600e" filled="f">
              <v:path arrowok="t" fillok="f" o:connecttype="none"/>
              <o:lock v:ext="edit" shapetype="t"/>
            </v:shapetype>
            <v:shape id="AutoShape 10" o:spid="_x0000_s1026" type="#_x0000_t32" style="position:absolute;margin-left:51.5pt;margin-top:69.25pt;width:468.25pt;height:0;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" o:allowincell="f" strokeweight="1pt">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8DA63" w14:textId="60ADC02D" w:rsidR="00B14B05" w:rsidRDefault="00B14B05">
    <w:pPr>
      <w:spacing w:line="1" w:lineRule="exact"/>
      <w:rPr>
        <w:color w:val="auto"/>
        <w:lang w:eastAsia="en-GB"/>
      </w:rPr>
    </w:pPr>
    <w:r>
      <w:rPr>
        <w:noProof/>
      </w:rPr>
      <mc:AlternateContent>
        <mc:Choice Requires="wps">
          <w:drawing>
            <wp:anchor distT="0" distB="0" distL="0" distR="0" simplePos="0" relativeHeight="251677696" behindDoc="1" locked="0" layoutInCell="1" allowOverlap="1" wp14:anchorId="54E2D350" wp14:editId="7D988EDD">
              <wp:simplePos x="0" y="0"/>
              <wp:positionH relativeFrom="page">
                <wp:posOffset>661670</wp:posOffset>
              </wp:positionH>
              <wp:positionV relativeFrom="page">
                <wp:posOffset>746125</wp:posOffset>
              </wp:positionV>
              <wp:extent cx="6300470" cy="131445"/>
              <wp:effectExtent l="4445" t="3175" r="635" b="0"/>
              <wp:wrapNone/>
              <wp:docPr id="27006364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0470"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BAEA74" w14:textId="77777777" w:rsidR="00B14B05" w:rsidRDefault="00B14B05">
                          <w:pPr>
                            <w:pStyle w:val="Style2"/>
                            <w:shd w:val="clear" w:color="auto" w:fill="246B41"/>
                            <w:tabs>
                              <w:tab w:val="right" w:pos="6878"/>
                              <w:tab w:val="right" w:pos="9922"/>
                            </w:tabs>
                            <w:rPr>
                              <w:sz w:val="24"/>
                              <w:szCs w:val="24"/>
                            </w:rPr>
                          </w:pPr>
                          <w:r>
                            <w:rPr>
                              <w:rStyle w:val="CharStyle3"/>
                              <w:rFonts w:ascii="Arial" w:hAnsi="Arial" w:cs="Arial"/>
                              <w:b/>
                              <w:bCs/>
                              <w:color w:val="246B42"/>
                              <w:sz w:val="18"/>
                              <w:szCs w:val="18"/>
                              <w:u w:val="single"/>
                              <w:lang w:eastAsia="en-US"/>
                            </w:rPr>
                            <w:t>Environmental Science &amp; Technology</w:t>
                          </w:r>
                          <w:r>
                            <w:rPr>
                              <w:rStyle w:val="CharStyle3"/>
                              <w:rFonts w:ascii="Arial" w:hAnsi="Arial" w:cs="Arial"/>
                              <w:b/>
                              <w:bCs/>
                              <w:color w:val="246B42"/>
                              <w:sz w:val="18"/>
                              <w:szCs w:val="18"/>
                              <w:u w:val="single"/>
                              <w:lang w:eastAsia="en-US"/>
                            </w:rPr>
                            <w:tab/>
                          </w:r>
                          <w:r>
                            <w:rPr>
                              <w:rStyle w:val="CharStyle3"/>
                              <w:rFonts w:ascii="Arial" w:hAnsi="Arial" w:cs="Arial"/>
                              <w:b/>
                              <w:bCs/>
                              <w:color w:val="246B42"/>
                              <w:sz w:val="14"/>
                              <w:szCs w:val="14"/>
                              <w:lang w:eastAsia="en-US"/>
                            </w:rPr>
                            <w:t>pubs.acs.org/est</w:t>
                          </w:r>
                          <w:r>
                            <w:rPr>
                              <w:rStyle w:val="CharStyle3"/>
                              <w:rFonts w:ascii="Arial" w:hAnsi="Arial" w:cs="Arial"/>
                              <w:b/>
                              <w:bCs/>
                              <w:color w:val="246B42"/>
                              <w:sz w:val="14"/>
                              <w:szCs w:val="14"/>
                              <w:lang w:eastAsia="en-US"/>
                            </w:rPr>
                            <w:tab/>
                          </w:r>
                          <w:r>
                            <w:rPr>
                              <w:rStyle w:val="CharStyle3"/>
                              <w:rFonts w:ascii="Arial" w:hAnsi="Arial" w:cs="Arial"/>
                              <w:color w:val="FFFFFF"/>
                              <w:sz w:val="14"/>
                              <w:szCs w:val="14"/>
                              <w:lang w:eastAsia="en-US"/>
                            </w:rPr>
                            <w:t>Article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4E2D350" id="_x0000_t202" coordsize="21600,21600" o:spt="202" path="m,l,21600r21600,l21600,xe">
              <v:stroke joinstyle="miter"/>
              <v:path gradientshapeok="t" o:connecttype="rect"/>
            </v:shapetype>
            <v:shape id="Text Box 12" o:spid="_x0000_s1050" type="#_x0000_t202" style="position:absolute;margin-left:52.1pt;margin-top:58.75pt;width:496.1pt;height:10.35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" filled="f" stroked="f">
              <v:textbox style="mso-fit-shape-to-text:t" inset="0,0,0,0">
                <w:txbxContent>
                  <w:p w14:paraId="7DBAEA74" w14:textId="77777777" w:rsidR="00B14B05" w:rsidRDefault="00B14B05">
                    <w:pPr>
                      <w:pStyle w:val="Style2"/>
                      <w:shd w:val="clear" w:color="auto" w:fill="246B41"/>
                      <w:tabs>
                        <w:tab w:val="right" w:pos="6878"/>
                        <w:tab w:val="right" w:pos="9922"/>
                      </w:tabs>
                      <w:rPr>
                        <w:sz w:val="24"/>
                        <w:szCs w:val="24"/>
                      </w:rPr>
                    </w:pPr>
                    <w:r>
                      <w:rPr>
                        <w:rStyle w:val="CharStyle3"/>
                        <w:rFonts w:ascii="Arial" w:hAnsi="Arial" w:cs="Arial"/>
                        <w:b/>
                        <w:bCs/>
                        <w:color w:val="246B42"/>
                        <w:sz w:val="18"/>
                        <w:szCs w:val="18"/>
                        <w:u w:val="single"/>
                        <w:lang w:eastAsia="en-US"/>
                      </w:rPr>
                      <w:t>Environmental Science &amp; Technology</w:t>
                    </w:r>
                    <w:r>
                      <w:rPr>
                        <w:rStyle w:val="CharStyle3"/>
                        <w:rFonts w:ascii="Arial" w:hAnsi="Arial" w:cs="Arial"/>
                        <w:b/>
                        <w:bCs/>
                        <w:color w:val="246B42"/>
                        <w:sz w:val="18"/>
                        <w:szCs w:val="18"/>
                        <w:u w:val="single"/>
                        <w:lang w:eastAsia="en-US"/>
                      </w:rPr>
                      <w:tab/>
                    </w:r>
                    <w:r>
                      <w:rPr>
                        <w:rStyle w:val="CharStyle3"/>
                        <w:rFonts w:ascii="Arial" w:hAnsi="Arial" w:cs="Arial"/>
                        <w:b/>
                        <w:bCs/>
                        <w:color w:val="246B42"/>
                        <w:sz w:val="14"/>
                        <w:szCs w:val="14"/>
                        <w:lang w:eastAsia="en-US"/>
                      </w:rPr>
                      <w:t>pubs.acs.org/est</w:t>
                    </w:r>
                    <w:r>
                      <w:rPr>
                        <w:rStyle w:val="CharStyle3"/>
                        <w:rFonts w:ascii="Arial" w:hAnsi="Arial" w:cs="Arial"/>
                        <w:b/>
                        <w:bCs/>
                        <w:color w:val="246B42"/>
                        <w:sz w:val="14"/>
                        <w:szCs w:val="14"/>
                        <w:lang w:eastAsia="en-US"/>
                      </w:rPr>
                      <w:tab/>
                    </w:r>
                    <w:r>
                      <w:rPr>
                        <w:rStyle w:val="CharStyle3"/>
                        <w:rFonts w:ascii="Arial" w:hAnsi="Arial" w:cs="Arial"/>
                        <w:color w:val="FFFFFF"/>
                        <w:sz w:val="14"/>
                        <w:szCs w:val="14"/>
                        <w:lang w:eastAsia="en-US"/>
                      </w:rPr>
                      <w:t>Article</w:t>
                    </w:r>
                  </w:p>
                </w:txbxContent>
              </v:textbox>
              <w10:wrap anchorx="page" anchory="page"/>
            </v:shape>
          </w:pict>
        </mc:Fallback>
      </mc:AlternateContent>
    </w:r>
    <w:r>
      <w:rPr>
        <w:noProof/>
      </w:rPr>
      <mc:AlternateContent>
        <mc:Choice Requires="wps">
          <w:drawing>
            <wp:anchor distT="0" distB="0" distL="114300" distR="114300" simplePos="0" relativeHeight="251678720" behindDoc="0" locked="0" layoutInCell="0" allowOverlap="1" wp14:anchorId="1CD18B8A" wp14:editId="220CEDCD">
              <wp:simplePos x="0" y="0"/>
              <wp:positionH relativeFrom="page">
                <wp:posOffset>652780</wp:posOffset>
              </wp:positionH>
              <wp:positionV relativeFrom="page">
                <wp:posOffset>875665</wp:posOffset>
              </wp:positionV>
              <wp:extent cx="5949950" cy="0"/>
              <wp:effectExtent l="14605" t="8890" r="7620" b="10160"/>
              <wp:wrapNone/>
              <wp:docPr id="437145578"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995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82C7F70" id="_x0000_t32" coordsize="21600,21600" o:spt="32" o:oned="t" path="m,l21600,21600e" filled="f">
              <v:path arrowok="t" fillok="f" o:connecttype="none"/>
              <o:lock v:ext="edit" shapetype="t"/>
            </v:shapetype>
            <v:shape id="AutoShape 13" o:spid="_x0000_s1026" type="#_x0000_t32" style="position:absolute;margin-left:51.4pt;margin-top:68.95pt;width:468.5pt;height:0;z-index:251678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" o:allowincell="f" strokeweight="1pt">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74A02" w14:textId="6EDC4724" w:rsidR="00B14B05" w:rsidRDefault="00B14B05">
    <w:pPr>
      <w:spacing w:line="1" w:lineRule="exact"/>
      <w:rPr>
        <w:color w:val="auto"/>
        <w:lang w:eastAsia="en-GB"/>
      </w:rPr>
    </w:pPr>
    <w:r>
      <w:rPr>
        <w:noProof/>
      </w:rPr>
      <mc:AlternateContent>
        <mc:Choice Requires="wps">
          <w:drawing>
            <wp:anchor distT="0" distB="0" distL="0" distR="0" simplePos="0" relativeHeight="251680768" behindDoc="1" locked="0" layoutInCell="1" allowOverlap="1" wp14:anchorId="2DE3010E" wp14:editId="4DFFF163">
              <wp:simplePos x="0" y="0"/>
              <wp:positionH relativeFrom="page">
                <wp:posOffset>662940</wp:posOffset>
              </wp:positionH>
              <wp:positionV relativeFrom="page">
                <wp:posOffset>687705</wp:posOffset>
              </wp:positionV>
              <wp:extent cx="6299835" cy="131445"/>
              <wp:effectExtent l="0" t="1905" r="0" b="0"/>
              <wp:wrapNone/>
              <wp:docPr id="73679277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983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D78570" w14:textId="77777777" w:rsidR="00B14B05" w:rsidRDefault="00B14B05">
                          <w:pPr>
                            <w:pStyle w:val="Style2"/>
                            <w:shd w:val="clear" w:color="auto" w:fill="246B41"/>
                            <w:tabs>
                              <w:tab w:val="right" w:pos="6877"/>
                              <w:tab w:val="right" w:pos="9921"/>
                            </w:tabs>
                            <w:rPr>
                              <w:sz w:val="24"/>
                              <w:szCs w:val="24"/>
                            </w:rPr>
                          </w:pPr>
                          <w:r>
                            <w:rPr>
                              <w:rStyle w:val="CharStyle3"/>
                              <w:rFonts w:ascii="Arial" w:hAnsi="Arial" w:cs="Arial"/>
                              <w:b/>
                              <w:bCs/>
                              <w:color w:val="246B42"/>
                              <w:sz w:val="18"/>
                              <w:szCs w:val="18"/>
                              <w:lang w:eastAsia="en-US"/>
                            </w:rPr>
                            <w:t>Environmental Science &amp; Technology</w:t>
                          </w:r>
                          <w:r>
                            <w:rPr>
                              <w:rStyle w:val="CharStyle3"/>
                              <w:rFonts w:ascii="Arial" w:hAnsi="Arial" w:cs="Arial"/>
                              <w:b/>
                              <w:bCs/>
                              <w:color w:val="246B42"/>
                              <w:sz w:val="18"/>
                              <w:szCs w:val="18"/>
                              <w:lang w:eastAsia="en-US"/>
                            </w:rPr>
                            <w:tab/>
                          </w:r>
                          <w:r>
                            <w:rPr>
                              <w:rStyle w:val="CharStyle3"/>
                              <w:rFonts w:ascii="Arial" w:hAnsi="Arial" w:cs="Arial"/>
                              <w:b/>
                              <w:bCs/>
                              <w:color w:val="246B42"/>
                              <w:sz w:val="14"/>
                              <w:szCs w:val="14"/>
                              <w:lang w:eastAsia="en-US"/>
                            </w:rPr>
                            <w:t>pubs.acs.org/est</w:t>
                          </w:r>
                          <w:r>
                            <w:rPr>
                              <w:rStyle w:val="CharStyle3"/>
                              <w:rFonts w:ascii="Arial" w:hAnsi="Arial" w:cs="Arial"/>
                              <w:b/>
                              <w:bCs/>
                              <w:color w:val="246B42"/>
                              <w:sz w:val="14"/>
                              <w:szCs w:val="14"/>
                              <w:lang w:eastAsia="en-US"/>
                            </w:rPr>
                            <w:tab/>
                          </w:r>
                          <w:r>
                            <w:rPr>
                              <w:rStyle w:val="CharStyle3"/>
                              <w:rFonts w:ascii="Arial" w:hAnsi="Arial" w:cs="Arial"/>
                              <w:color w:val="FFFFFF"/>
                              <w:sz w:val="14"/>
                              <w:szCs w:val="14"/>
                              <w:lang w:eastAsia="en-US"/>
                            </w:rPr>
                            <w:t>Article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2DE3010E" id="_x0000_t202" coordsize="21600,21600" o:spt="202" path="m,l,21600r21600,l21600,xe">
              <v:stroke joinstyle="miter"/>
              <v:path gradientshapeok="t" o:connecttype="rect"/>
            </v:shapetype>
            <v:shape id="_x0000_s1051" type="#_x0000_t202" style="position:absolute;margin-left:52.2pt;margin-top:54.15pt;width:496.05pt;height:10.35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" filled="f" stroked="f">
              <v:textbox style="mso-fit-shape-to-text:t" inset="0,0,0,0">
                <w:txbxContent>
                  <w:p w14:paraId="42D78570" w14:textId="77777777" w:rsidR="00B14B05" w:rsidRDefault="00B14B05">
                    <w:pPr>
                      <w:pStyle w:val="Style2"/>
                      <w:shd w:val="clear" w:color="auto" w:fill="246B41"/>
                      <w:tabs>
                        <w:tab w:val="right" w:pos="6877"/>
                        <w:tab w:val="right" w:pos="9921"/>
                      </w:tabs>
                      <w:rPr>
                        <w:sz w:val="24"/>
                        <w:szCs w:val="24"/>
                      </w:rPr>
                    </w:pPr>
                    <w:r>
                      <w:rPr>
                        <w:rStyle w:val="CharStyle3"/>
                        <w:rFonts w:ascii="Arial" w:hAnsi="Arial" w:cs="Arial"/>
                        <w:b/>
                        <w:bCs/>
                        <w:color w:val="246B42"/>
                        <w:sz w:val="18"/>
                        <w:szCs w:val="18"/>
                        <w:lang w:eastAsia="en-US"/>
                      </w:rPr>
                      <w:t>Environmental Science &amp; Technology</w:t>
                    </w:r>
                    <w:r>
                      <w:rPr>
                        <w:rStyle w:val="CharStyle3"/>
                        <w:rFonts w:ascii="Arial" w:hAnsi="Arial" w:cs="Arial"/>
                        <w:b/>
                        <w:bCs/>
                        <w:color w:val="246B42"/>
                        <w:sz w:val="18"/>
                        <w:szCs w:val="18"/>
                        <w:lang w:eastAsia="en-US"/>
                      </w:rPr>
                      <w:tab/>
                    </w:r>
                    <w:r>
                      <w:rPr>
                        <w:rStyle w:val="CharStyle3"/>
                        <w:rFonts w:ascii="Arial" w:hAnsi="Arial" w:cs="Arial"/>
                        <w:b/>
                        <w:bCs/>
                        <w:color w:val="246B42"/>
                        <w:sz w:val="14"/>
                        <w:szCs w:val="14"/>
                        <w:lang w:eastAsia="en-US"/>
                      </w:rPr>
                      <w:t>pubs.acs.org/est</w:t>
                    </w:r>
                    <w:r>
                      <w:rPr>
                        <w:rStyle w:val="CharStyle3"/>
                        <w:rFonts w:ascii="Arial" w:hAnsi="Arial" w:cs="Arial"/>
                        <w:b/>
                        <w:bCs/>
                        <w:color w:val="246B42"/>
                        <w:sz w:val="14"/>
                        <w:szCs w:val="14"/>
                        <w:lang w:eastAsia="en-US"/>
                      </w:rPr>
                      <w:tab/>
                    </w:r>
                    <w:r>
                      <w:rPr>
                        <w:rStyle w:val="CharStyle3"/>
                        <w:rFonts w:ascii="Arial" w:hAnsi="Arial" w:cs="Arial"/>
                        <w:color w:val="FFFFFF"/>
                        <w:sz w:val="14"/>
                        <w:szCs w:val="14"/>
                        <w:lang w:eastAsia="en-US"/>
                      </w:rPr>
                      <w:t>Article</w:t>
                    </w:r>
                  </w:p>
                </w:txbxContent>
              </v:textbox>
              <w10:wrap anchorx="page" anchory="page"/>
            </v:shape>
          </w:pict>
        </mc:Fallback>
      </mc:AlternateContent>
    </w:r>
    <w:r>
      <w:rPr>
        <w:noProof/>
      </w:rPr>
      <mc:AlternateContent>
        <mc:Choice Requires="wps">
          <w:drawing>
            <wp:anchor distT="0" distB="0" distL="114300" distR="114300" simplePos="0" relativeHeight="251681792" behindDoc="0" locked="0" layoutInCell="0" allowOverlap="1" wp14:anchorId="78AC3A58" wp14:editId="77B877E8">
              <wp:simplePos x="0" y="0"/>
              <wp:positionH relativeFrom="page">
                <wp:posOffset>654050</wp:posOffset>
              </wp:positionH>
              <wp:positionV relativeFrom="page">
                <wp:posOffset>879475</wp:posOffset>
              </wp:positionV>
              <wp:extent cx="5946775" cy="0"/>
              <wp:effectExtent l="6350" t="12700" r="9525" b="6350"/>
              <wp:wrapNone/>
              <wp:docPr id="505526460"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677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D40204E" id="_x0000_t32" coordsize="21600,21600" o:spt="32" o:oned="t" path="m,l21600,21600e" filled="f">
              <v:path arrowok="t" fillok="f" o:connecttype="none"/>
              <o:lock v:ext="edit" shapetype="t"/>
            </v:shapetype>
            <v:shape id="AutoShape 15" o:spid="_x0000_s1026" type="#_x0000_t32" style="position:absolute;margin-left:51.5pt;margin-top:69.25pt;width:468.25pt;height:0;z-index:251681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" o:allowincell="f" strokeweight="1pt">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EB19C" w14:textId="7E4DD5F9" w:rsidR="00B14B05" w:rsidRDefault="00B14B05">
    <w:pPr>
      <w:spacing w:line="1" w:lineRule="exact"/>
      <w:rPr>
        <w:color w:val="auto"/>
        <w:lang w:eastAsia="en-GB"/>
      </w:rPr>
    </w:pPr>
    <w:r>
      <w:rPr>
        <w:noProof/>
      </w:rPr>
      <mc:AlternateContent>
        <mc:Choice Requires="wps">
          <w:drawing>
            <wp:anchor distT="0" distB="0" distL="0" distR="0" simplePos="0" relativeHeight="251685888" behindDoc="1" locked="0" layoutInCell="1" allowOverlap="1" wp14:anchorId="7FBD2697" wp14:editId="321F8569">
              <wp:simplePos x="0" y="0"/>
              <wp:positionH relativeFrom="page">
                <wp:posOffset>668020</wp:posOffset>
              </wp:positionH>
              <wp:positionV relativeFrom="page">
                <wp:posOffset>750570</wp:posOffset>
              </wp:positionV>
              <wp:extent cx="6300470" cy="131445"/>
              <wp:effectExtent l="1270" t="0" r="3810" b="3810"/>
              <wp:wrapNone/>
              <wp:docPr id="186173830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0470"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F307F7" w14:textId="77777777" w:rsidR="00B14B05" w:rsidRDefault="00B14B05">
                          <w:pPr>
                            <w:pStyle w:val="Style2"/>
                            <w:shd w:val="clear" w:color="auto" w:fill="246B41"/>
                            <w:tabs>
                              <w:tab w:val="right" w:pos="6878"/>
                              <w:tab w:val="right" w:pos="9922"/>
                            </w:tabs>
                            <w:rPr>
                              <w:sz w:val="24"/>
                              <w:szCs w:val="24"/>
                            </w:rPr>
                          </w:pPr>
                          <w:r>
                            <w:rPr>
                              <w:rStyle w:val="CharStyle3"/>
                              <w:rFonts w:ascii="Arial" w:hAnsi="Arial" w:cs="Arial"/>
                              <w:b/>
                              <w:bCs/>
                              <w:color w:val="246B42"/>
                              <w:sz w:val="18"/>
                              <w:szCs w:val="18"/>
                              <w:u w:val="single"/>
                              <w:lang w:eastAsia="en-US"/>
                            </w:rPr>
                            <w:t>Environmental Science &amp; Technology</w:t>
                          </w:r>
                          <w:r>
                            <w:rPr>
                              <w:rStyle w:val="CharStyle3"/>
                              <w:rFonts w:ascii="Arial" w:hAnsi="Arial" w:cs="Arial"/>
                              <w:b/>
                              <w:bCs/>
                              <w:color w:val="246B42"/>
                              <w:sz w:val="18"/>
                              <w:szCs w:val="18"/>
                              <w:u w:val="single"/>
                              <w:lang w:eastAsia="en-US"/>
                            </w:rPr>
                            <w:tab/>
                          </w:r>
                          <w:r>
                            <w:rPr>
                              <w:rStyle w:val="CharStyle3"/>
                              <w:rFonts w:ascii="Arial" w:hAnsi="Arial" w:cs="Arial"/>
                              <w:b/>
                              <w:bCs/>
                              <w:color w:val="246B42"/>
                              <w:sz w:val="14"/>
                              <w:szCs w:val="14"/>
                              <w:lang w:eastAsia="en-US"/>
                            </w:rPr>
                            <w:t>pubs.acs.org/est</w:t>
                          </w:r>
                          <w:r>
                            <w:rPr>
                              <w:rStyle w:val="CharStyle3"/>
                              <w:rFonts w:ascii="Arial" w:hAnsi="Arial" w:cs="Arial"/>
                              <w:b/>
                              <w:bCs/>
                              <w:color w:val="246B42"/>
                              <w:sz w:val="14"/>
                              <w:szCs w:val="14"/>
                              <w:lang w:eastAsia="en-US"/>
                            </w:rPr>
                            <w:tab/>
                          </w:r>
                          <w:r>
                            <w:rPr>
                              <w:rStyle w:val="CharStyle3"/>
                              <w:rFonts w:ascii="Arial" w:hAnsi="Arial" w:cs="Arial"/>
                              <w:color w:val="FFFFFF"/>
                              <w:sz w:val="14"/>
                              <w:szCs w:val="14"/>
                              <w:lang w:eastAsia="en-US"/>
                            </w:rPr>
                            <w:t>Article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FBD2697" id="_x0000_t202" coordsize="21600,21600" o:spt="202" path="m,l,21600r21600,l21600,xe">
              <v:stroke joinstyle="miter"/>
              <v:path gradientshapeok="t" o:connecttype="rect"/>
            </v:shapetype>
            <v:shape id="Text Box 17" o:spid="_x0000_s1053" type="#_x0000_t202" style="position:absolute;margin-left:52.6pt;margin-top:59.1pt;width:496.1pt;height:10.35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" filled="f" stroked="f">
              <v:textbox style="mso-fit-shape-to-text:t" inset="0,0,0,0">
                <w:txbxContent>
                  <w:p w14:paraId="1BF307F7" w14:textId="77777777" w:rsidR="00B14B05" w:rsidRDefault="00B14B05">
                    <w:pPr>
                      <w:pStyle w:val="Style2"/>
                      <w:shd w:val="clear" w:color="auto" w:fill="246B41"/>
                      <w:tabs>
                        <w:tab w:val="right" w:pos="6878"/>
                        <w:tab w:val="right" w:pos="9922"/>
                      </w:tabs>
                      <w:rPr>
                        <w:sz w:val="24"/>
                        <w:szCs w:val="24"/>
                      </w:rPr>
                    </w:pPr>
                    <w:r>
                      <w:rPr>
                        <w:rStyle w:val="CharStyle3"/>
                        <w:rFonts w:ascii="Arial" w:hAnsi="Arial" w:cs="Arial"/>
                        <w:b/>
                        <w:bCs/>
                        <w:color w:val="246B42"/>
                        <w:sz w:val="18"/>
                        <w:szCs w:val="18"/>
                        <w:u w:val="single"/>
                        <w:lang w:eastAsia="en-US"/>
                      </w:rPr>
                      <w:t>Environmental Science &amp; Technology</w:t>
                    </w:r>
                    <w:r>
                      <w:rPr>
                        <w:rStyle w:val="CharStyle3"/>
                        <w:rFonts w:ascii="Arial" w:hAnsi="Arial" w:cs="Arial"/>
                        <w:b/>
                        <w:bCs/>
                        <w:color w:val="246B42"/>
                        <w:sz w:val="18"/>
                        <w:szCs w:val="18"/>
                        <w:u w:val="single"/>
                        <w:lang w:eastAsia="en-US"/>
                      </w:rPr>
                      <w:tab/>
                    </w:r>
                    <w:r>
                      <w:rPr>
                        <w:rStyle w:val="CharStyle3"/>
                        <w:rFonts w:ascii="Arial" w:hAnsi="Arial" w:cs="Arial"/>
                        <w:b/>
                        <w:bCs/>
                        <w:color w:val="246B42"/>
                        <w:sz w:val="14"/>
                        <w:szCs w:val="14"/>
                        <w:lang w:eastAsia="en-US"/>
                      </w:rPr>
                      <w:t>pubs.acs.org/est</w:t>
                    </w:r>
                    <w:r>
                      <w:rPr>
                        <w:rStyle w:val="CharStyle3"/>
                        <w:rFonts w:ascii="Arial" w:hAnsi="Arial" w:cs="Arial"/>
                        <w:b/>
                        <w:bCs/>
                        <w:color w:val="246B42"/>
                        <w:sz w:val="14"/>
                        <w:szCs w:val="14"/>
                        <w:lang w:eastAsia="en-US"/>
                      </w:rPr>
                      <w:tab/>
                    </w:r>
                    <w:r>
                      <w:rPr>
                        <w:rStyle w:val="CharStyle3"/>
                        <w:rFonts w:ascii="Arial" w:hAnsi="Arial" w:cs="Arial"/>
                        <w:color w:val="FFFFFF"/>
                        <w:sz w:val="14"/>
                        <w:szCs w:val="14"/>
                        <w:lang w:eastAsia="en-US"/>
                      </w:rPr>
                      <w:t>Article</w:t>
                    </w:r>
                  </w:p>
                </w:txbxContent>
              </v:textbox>
              <w10:wrap anchorx="page" anchory="page"/>
            </v:shape>
          </w:pict>
        </mc:Fallback>
      </mc:AlternateContent>
    </w:r>
    <w:r>
      <w:rPr>
        <w:noProof/>
      </w:rPr>
      <mc:AlternateContent>
        <mc:Choice Requires="wps">
          <w:drawing>
            <wp:anchor distT="0" distB="0" distL="114300" distR="114300" simplePos="0" relativeHeight="251686912" behindDoc="0" locked="0" layoutInCell="0" allowOverlap="1" wp14:anchorId="167E7894" wp14:editId="1BA77278">
              <wp:simplePos x="0" y="0"/>
              <wp:positionH relativeFrom="page">
                <wp:posOffset>659130</wp:posOffset>
              </wp:positionH>
              <wp:positionV relativeFrom="page">
                <wp:posOffset>880110</wp:posOffset>
              </wp:positionV>
              <wp:extent cx="5949950" cy="0"/>
              <wp:effectExtent l="11430" t="13335" r="10795" b="15240"/>
              <wp:wrapNone/>
              <wp:docPr id="952897482"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995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F3758D2" id="_x0000_t32" coordsize="21600,21600" o:spt="32" o:oned="t" path="m,l21600,21600e" filled="f">
              <v:path arrowok="t" fillok="f" o:connecttype="none"/>
              <o:lock v:ext="edit" shapetype="t"/>
            </v:shapetype>
            <v:shape id="AutoShape 18" o:spid="_x0000_s1026" type="#_x0000_t32" style="position:absolute;margin-left:51.9pt;margin-top:69.3pt;width:468.5pt;height:0;z-index:251686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" o:allowincell="f" strokeweight="1pt">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6299F" w14:textId="0CE804F0" w:rsidR="00B14B05" w:rsidRDefault="00B14B05">
    <w:pPr>
      <w:spacing w:line="1" w:lineRule="exact"/>
      <w:rPr>
        <w:color w:val="auto"/>
        <w:lang w:eastAsia="en-GB"/>
      </w:rPr>
    </w:pPr>
    <w:r>
      <w:rPr>
        <w:noProof/>
      </w:rPr>
      <mc:AlternateContent>
        <mc:Choice Requires="wps">
          <w:drawing>
            <wp:anchor distT="0" distB="0" distL="0" distR="0" simplePos="0" relativeHeight="251692032" behindDoc="1" locked="0" layoutInCell="1" allowOverlap="1" wp14:anchorId="1A594EF9" wp14:editId="3C89C8C5">
              <wp:simplePos x="0" y="0"/>
              <wp:positionH relativeFrom="page">
                <wp:posOffset>657860</wp:posOffset>
              </wp:positionH>
              <wp:positionV relativeFrom="page">
                <wp:posOffset>750570</wp:posOffset>
              </wp:positionV>
              <wp:extent cx="6300470" cy="131445"/>
              <wp:effectExtent l="635" t="0" r="4445" b="3810"/>
              <wp:wrapNone/>
              <wp:docPr id="397610110"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0470"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1346AD" w14:textId="77777777" w:rsidR="00B14B05" w:rsidRDefault="00B14B05">
                          <w:pPr>
                            <w:pStyle w:val="Style2"/>
                            <w:shd w:val="clear" w:color="auto" w:fill="246B41"/>
                            <w:tabs>
                              <w:tab w:val="right" w:pos="6878"/>
                              <w:tab w:val="right" w:pos="9922"/>
                            </w:tabs>
                            <w:rPr>
                              <w:sz w:val="24"/>
                              <w:szCs w:val="24"/>
                            </w:rPr>
                          </w:pPr>
                          <w:r>
                            <w:rPr>
                              <w:rStyle w:val="CharStyle3"/>
                              <w:rFonts w:ascii="Arial" w:hAnsi="Arial" w:cs="Arial"/>
                              <w:b/>
                              <w:bCs/>
                              <w:color w:val="246B42"/>
                              <w:sz w:val="18"/>
                              <w:szCs w:val="18"/>
                              <w:lang w:eastAsia="en-US"/>
                            </w:rPr>
                            <w:t>Environmental Science &amp; Technology</w:t>
                          </w:r>
                          <w:r>
                            <w:rPr>
                              <w:rStyle w:val="CharStyle3"/>
                              <w:rFonts w:ascii="Arial" w:hAnsi="Arial" w:cs="Arial"/>
                              <w:b/>
                              <w:bCs/>
                              <w:color w:val="246B42"/>
                              <w:sz w:val="18"/>
                              <w:szCs w:val="18"/>
                              <w:lang w:eastAsia="en-US"/>
                            </w:rPr>
                            <w:tab/>
                          </w:r>
                          <w:r>
                            <w:rPr>
                              <w:rStyle w:val="CharStyle3"/>
                              <w:rFonts w:ascii="Arial" w:hAnsi="Arial" w:cs="Arial"/>
                              <w:b/>
                              <w:bCs/>
                              <w:color w:val="246B42"/>
                              <w:sz w:val="14"/>
                              <w:szCs w:val="14"/>
                              <w:lang w:eastAsia="en-US"/>
                            </w:rPr>
                            <w:t>pubs.acs.org/est</w:t>
                          </w:r>
                          <w:r>
                            <w:rPr>
                              <w:rStyle w:val="CharStyle3"/>
                              <w:rFonts w:ascii="Arial" w:hAnsi="Arial" w:cs="Arial"/>
                              <w:b/>
                              <w:bCs/>
                              <w:color w:val="246B42"/>
                              <w:sz w:val="14"/>
                              <w:szCs w:val="14"/>
                              <w:lang w:eastAsia="en-US"/>
                            </w:rPr>
                            <w:tab/>
                          </w:r>
                          <w:r>
                            <w:rPr>
                              <w:rStyle w:val="CharStyle3"/>
                              <w:rFonts w:ascii="Arial" w:hAnsi="Arial" w:cs="Arial"/>
                              <w:color w:val="FFFFFF"/>
                              <w:sz w:val="14"/>
                              <w:szCs w:val="14"/>
                              <w:lang w:eastAsia="en-US"/>
                            </w:rPr>
                            <w:t>Article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A594EF9" id="_x0000_t202" coordsize="21600,21600" o:spt="202" path="m,l,21600r21600,l21600,xe">
              <v:stroke joinstyle="miter"/>
              <v:path gradientshapeok="t" o:connecttype="rect"/>
            </v:shapetype>
            <v:shape id="Text Box 21" o:spid="_x0000_s1056" type="#_x0000_t202" style="position:absolute;margin-left:51.8pt;margin-top:59.1pt;width:496.1pt;height:10.35pt;z-index:-2516244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" filled="f" stroked="f">
              <v:textbox style="mso-fit-shape-to-text:t" inset="0,0,0,0">
                <w:txbxContent>
                  <w:p w14:paraId="0F1346AD" w14:textId="77777777" w:rsidR="00B14B05" w:rsidRDefault="00B14B05">
                    <w:pPr>
                      <w:pStyle w:val="Style2"/>
                      <w:shd w:val="clear" w:color="auto" w:fill="246B41"/>
                      <w:tabs>
                        <w:tab w:val="right" w:pos="6878"/>
                        <w:tab w:val="right" w:pos="9922"/>
                      </w:tabs>
                      <w:rPr>
                        <w:sz w:val="24"/>
                        <w:szCs w:val="24"/>
                      </w:rPr>
                    </w:pPr>
                    <w:r>
                      <w:rPr>
                        <w:rStyle w:val="CharStyle3"/>
                        <w:rFonts w:ascii="Arial" w:hAnsi="Arial" w:cs="Arial"/>
                        <w:b/>
                        <w:bCs/>
                        <w:color w:val="246B42"/>
                        <w:sz w:val="18"/>
                        <w:szCs w:val="18"/>
                        <w:lang w:eastAsia="en-US"/>
                      </w:rPr>
                      <w:t>Environmental Science &amp; Technology</w:t>
                    </w:r>
                    <w:r>
                      <w:rPr>
                        <w:rStyle w:val="CharStyle3"/>
                        <w:rFonts w:ascii="Arial" w:hAnsi="Arial" w:cs="Arial"/>
                        <w:b/>
                        <w:bCs/>
                        <w:color w:val="246B42"/>
                        <w:sz w:val="18"/>
                        <w:szCs w:val="18"/>
                        <w:lang w:eastAsia="en-US"/>
                      </w:rPr>
                      <w:tab/>
                    </w:r>
                    <w:r>
                      <w:rPr>
                        <w:rStyle w:val="CharStyle3"/>
                        <w:rFonts w:ascii="Arial" w:hAnsi="Arial" w:cs="Arial"/>
                        <w:b/>
                        <w:bCs/>
                        <w:color w:val="246B42"/>
                        <w:sz w:val="14"/>
                        <w:szCs w:val="14"/>
                        <w:lang w:eastAsia="en-US"/>
                      </w:rPr>
                      <w:t>pubs.acs.org/est</w:t>
                    </w:r>
                    <w:r>
                      <w:rPr>
                        <w:rStyle w:val="CharStyle3"/>
                        <w:rFonts w:ascii="Arial" w:hAnsi="Arial" w:cs="Arial"/>
                        <w:b/>
                        <w:bCs/>
                        <w:color w:val="246B42"/>
                        <w:sz w:val="14"/>
                        <w:szCs w:val="14"/>
                        <w:lang w:eastAsia="en-US"/>
                      </w:rPr>
                      <w:tab/>
                    </w:r>
                    <w:r>
                      <w:rPr>
                        <w:rStyle w:val="CharStyle3"/>
                        <w:rFonts w:ascii="Arial" w:hAnsi="Arial" w:cs="Arial"/>
                        <w:color w:val="FFFFFF"/>
                        <w:sz w:val="14"/>
                        <w:szCs w:val="14"/>
                        <w:lang w:eastAsia="en-US"/>
                      </w:rPr>
                      <w:t>Article</w:t>
                    </w:r>
                  </w:p>
                </w:txbxContent>
              </v:textbox>
              <w10:wrap anchorx="page" anchory="page"/>
            </v:shape>
          </w:pict>
        </mc:Fallback>
      </mc:AlternateContent>
    </w:r>
    <w:r>
      <w:rPr>
        <w:noProof/>
      </w:rPr>
      <mc:AlternateContent>
        <mc:Choice Requires="wps">
          <w:drawing>
            <wp:anchor distT="0" distB="0" distL="114300" distR="114300" simplePos="0" relativeHeight="251693056" behindDoc="0" locked="0" layoutInCell="0" allowOverlap="1" wp14:anchorId="6F375942" wp14:editId="1787589C">
              <wp:simplePos x="0" y="0"/>
              <wp:positionH relativeFrom="page">
                <wp:posOffset>648335</wp:posOffset>
              </wp:positionH>
              <wp:positionV relativeFrom="page">
                <wp:posOffset>880110</wp:posOffset>
              </wp:positionV>
              <wp:extent cx="5949950" cy="0"/>
              <wp:effectExtent l="10160" t="13335" r="12065" b="15240"/>
              <wp:wrapNone/>
              <wp:docPr id="2026837407"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995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99EE229" id="_x0000_t32" coordsize="21600,21600" o:spt="32" o:oned="t" path="m,l21600,21600e" filled="f">
              <v:path arrowok="t" fillok="f" o:connecttype="none"/>
              <o:lock v:ext="edit" shapetype="t"/>
            </v:shapetype>
            <v:shape id="AutoShape 22" o:spid="_x0000_s1026" type="#_x0000_t32" style="position:absolute;margin-left:51.05pt;margin-top:69.3pt;width:468.5pt;height:0;z-index:251693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" o:allowincell="f" strokeweight="1pt">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8D784" w14:textId="5D23AA0C" w:rsidR="00B14B05" w:rsidRDefault="00B14B05">
    <w:pPr>
      <w:spacing w:line="1" w:lineRule="exact"/>
      <w:rPr>
        <w:color w:val="auto"/>
        <w:lang w:eastAsia="en-GB"/>
      </w:rPr>
    </w:pPr>
    <w:r>
      <w:rPr>
        <w:noProof/>
      </w:rPr>
      <mc:AlternateContent>
        <mc:Choice Requires="wps">
          <w:drawing>
            <wp:anchor distT="0" distB="0" distL="0" distR="0" simplePos="0" relativeHeight="251698176" behindDoc="1" locked="0" layoutInCell="1" allowOverlap="1" wp14:anchorId="76D5C350" wp14:editId="044EC68C">
              <wp:simplePos x="0" y="0"/>
              <wp:positionH relativeFrom="page">
                <wp:posOffset>663575</wp:posOffset>
              </wp:positionH>
              <wp:positionV relativeFrom="page">
                <wp:posOffset>750570</wp:posOffset>
              </wp:positionV>
              <wp:extent cx="6300470" cy="131445"/>
              <wp:effectExtent l="0" t="0" r="0" b="3810"/>
              <wp:wrapNone/>
              <wp:docPr id="121030044"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0470"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C4BC04" w14:textId="77777777" w:rsidR="00B14B05" w:rsidRDefault="00B14B05">
                          <w:pPr>
                            <w:pStyle w:val="Style2"/>
                            <w:shd w:val="clear" w:color="auto" w:fill="246B41"/>
                            <w:tabs>
                              <w:tab w:val="right" w:pos="6878"/>
                              <w:tab w:val="right" w:pos="9922"/>
                            </w:tabs>
                            <w:rPr>
                              <w:sz w:val="24"/>
                              <w:szCs w:val="24"/>
                            </w:rPr>
                          </w:pPr>
                          <w:r>
                            <w:rPr>
                              <w:rStyle w:val="CharStyle3"/>
                              <w:rFonts w:ascii="Arial" w:hAnsi="Arial" w:cs="Arial"/>
                              <w:b/>
                              <w:bCs/>
                              <w:color w:val="246B42"/>
                              <w:sz w:val="18"/>
                              <w:szCs w:val="18"/>
                              <w:u w:val="single"/>
                              <w:lang w:eastAsia="en-US"/>
                            </w:rPr>
                            <w:t>Environmental Science &amp; Technology</w:t>
                          </w:r>
                          <w:r>
                            <w:rPr>
                              <w:rStyle w:val="CharStyle3"/>
                              <w:rFonts w:ascii="Arial" w:hAnsi="Arial" w:cs="Arial"/>
                              <w:b/>
                              <w:bCs/>
                              <w:color w:val="246B42"/>
                              <w:sz w:val="18"/>
                              <w:szCs w:val="18"/>
                              <w:u w:val="single"/>
                              <w:lang w:eastAsia="en-US"/>
                            </w:rPr>
                            <w:tab/>
                          </w:r>
                          <w:r>
                            <w:rPr>
                              <w:rStyle w:val="CharStyle3"/>
                              <w:rFonts w:ascii="Arial" w:hAnsi="Arial" w:cs="Arial"/>
                              <w:b/>
                              <w:bCs/>
                              <w:color w:val="246B42"/>
                              <w:sz w:val="14"/>
                              <w:szCs w:val="14"/>
                              <w:lang w:eastAsia="en-US"/>
                            </w:rPr>
                            <w:t>pubs.acs.org/est</w:t>
                          </w:r>
                          <w:r>
                            <w:rPr>
                              <w:rStyle w:val="CharStyle3"/>
                              <w:rFonts w:ascii="Arial" w:hAnsi="Arial" w:cs="Arial"/>
                              <w:b/>
                              <w:bCs/>
                              <w:color w:val="246B42"/>
                              <w:sz w:val="14"/>
                              <w:szCs w:val="14"/>
                              <w:lang w:eastAsia="en-US"/>
                            </w:rPr>
                            <w:tab/>
                          </w:r>
                          <w:r>
                            <w:rPr>
                              <w:rStyle w:val="CharStyle3"/>
                              <w:rFonts w:ascii="Arial" w:hAnsi="Arial" w:cs="Arial"/>
                              <w:color w:val="FFFFFF"/>
                              <w:sz w:val="14"/>
                              <w:szCs w:val="14"/>
                              <w:lang w:eastAsia="en-US"/>
                            </w:rPr>
                            <w:t>Article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76D5C350" id="_x0000_t202" coordsize="21600,21600" o:spt="202" path="m,l,21600r21600,l21600,xe">
              <v:stroke joinstyle="miter"/>
              <v:path gradientshapeok="t" o:connecttype="rect"/>
            </v:shapetype>
            <v:shape id="_x0000_s1059" type="#_x0000_t202" style="position:absolute;margin-left:52.25pt;margin-top:59.1pt;width:496.1pt;height:10.35pt;z-index:-25161830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" filled="f" stroked="f">
              <v:textbox style="mso-fit-shape-to-text:t" inset="0,0,0,0">
                <w:txbxContent>
                  <w:p w14:paraId="46C4BC04" w14:textId="77777777" w:rsidR="00B14B05" w:rsidRDefault="00B14B05">
                    <w:pPr>
                      <w:pStyle w:val="Style2"/>
                      <w:shd w:val="clear" w:color="auto" w:fill="246B41"/>
                      <w:tabs>
                        <w:tab w:val="right" w:pos="6878"/>
                        <w:tab w:val="right" w:pos="9922"/>
                      </w:tabs>
                      <w:rPr>
                        <w:sz w:val="24"/>
                        <w:szCs w:val="24"/>
                      </w:rPr>
                    </w:pPr>
                    <w:r>
                      <w:rPr>
                        <w:rStyle w:val="CharStyle3"/>
                        <w:rFonts w:ascii="Arial" w:hAnsi="Arial" w:cs="Arial"/>
                        <w:b/>
                        <w:bCs/>
                        <w:color w:val="246B42"/>
                        <w:sz w:val="18"/>
                        <w:szCs w:val="18"/>
                        <w:u w:val="single"/>
                        <w:lang w:eastAsia="en-US"/>
                      </w:rPr>
                      <w:t>Environmental Science &amp; Technology</w:t>
                    </w:r>
                    <w:r>
                      <w:rPr>
                        <w:rStyle w:val="CharStyle3"/>
                        <w:rFonts w:ascii="Arial" w:hAnsi="Arial" w:cs="Arial"/>
                        <w:b/>
                        <w:bCs/>
                        <w:color w:val="246B42"/>
                        <w:sz w:val="18"/>
                        <w:szCs w:val="18"/>
                        <w:u w:val="single"/>
                        <w:lang w:eastAsia="en-US"/>
                      </w:rPr>
                      <w:tab/>
                    </w:r>
                    <w:r>
                      <w:rPr>
                        <w:rStyle w:val="CharStyle3"/>
                        <w:rFonts w:ascii="Arial" w:hAnsi="Arial" w:cs="Arial"/>
                        <w:b/>
                        <w:bCs/>
                        <w:color w:val="246B42"/>
                        <w:sz w:val="14"/>
                        <w:szCs w:val="14"/>
                        <w:lang w:eastAsia="en-US"/>
                      </w:rPr>
                      <w:t>pubs.acs.org/est</w:t>
                    </w:r>
                    <w:r>
                      <w:rPr>
                        <w:rStyle w:val="CharStyle3"/>
                        <w:rFonts w:ascii="Arial" w:hAnsi="Arial" w:cs="Arial"/>
                        <w:b/>
                        <w:bCs/>
                        <w:color w:val="246B42"/>
                        <w:sz w:val="14"/>
                        <w:szCs w:val="14"/>
                        <w:lang w:eastAsia="en-US"/>
                      </w:rPr>
                      <w:tab/>
                    </w:r>
                    <w:r>
                      <w:rPr>
                        <w:rStyle w:val="CharStyle3"/>
                        <w:rFonts w:ascii="Arial" w:hAnsi="Arial" w:cs="Arial"/>
                        <w:color w:val="FFFFFF"/>
                        <w:sz w:val="14"/>
                        <w:szCs w:val="14"/>
                        <w:lang w:eastAsia="en-US"/>
                      </w:rPr>
                      <w:t>Article</w:t>
                    </w:r>
                  </w:p>
                </w:txbxContent>
              </v:textbox>
              <w10:wrap anchorx="page" anchory="page"/>
            </v:shape>
          </w:pict>
        </mc:Fallback>
      </mc:AlternateContent>
    </w:r>
    <w:r>
      <w:rPr>
        <w:noProof/>
      </w:rPr>
      <mc:AlternateContent>
        <mc:Choice Requires="wps">
          <w:drawing>
            <wp:anchor distT="0" distB="0" distL="114300" distR="114300" simplePos="0" relativeHeight="251699200" behindDoc="0" locked="0" layoutInCell="0" allowOverlap="1" wp14:anchorId="01B2BB65" wp14:editId="4D8FB571">
              <wp:simplePos x="0" y="0"/>
              <wp:positionH relativeFrom="page">
                <wp:posOffset>654685</wp:posOffset>
              </wp:positionH>
              <wp:positionV relativeFrom="page">
                <wp:posOffset>880110</wp:posOffset>
              </wp:positionV>
              <wp:extent cx="5949950" cy="0"/>
              <wp:effectExtent l="6985" t="13335" r="15240" b="15240"/>
              <wp:wrapNone/>
              <wp:docPr id="516590494"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995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EEEAA84" id="_x0000_t32" coordsize="21600,21600" o:spt="32" o:oned="t" path="m,l21600,21600e" filled="f">
              <v:path arrowok="t" fillok="f" o:connecttype="none"/>
              <o:lock v:ext="edit" shapetype="t"/>
            </v:shapetype>
            <v:shape id="AutoShape 26" o:spid="_x0000_s1026" type="#_x0000_t32" style="position:absolute;margin-left:51.55pt;margin-top:69.3pt;width:468.5pt;height:0;z-index:251699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" o:allowincell="f" strokeweight="1pt">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1B982" w14:textId="79C692CE" w:rsidR="00B14B05" w:rsidRDefault="00B14B05">
    <w:pPr>
      <w:spacing w:line="1" w:lineRule="exact"/>
      <w:rPr>
        <w:color w:val="auto"/>
        <w:lang w:eastAsia="en-GB"/>
      </w:rPr>
    </w:pPr>
    <w:r>
      <w:rPr>
        <w:noProof/>
      </w:rPr>
      <mc:AlternateContent>
        <mc:Choice Requires="wps">
          <w:drawing>
            <wp:anchor distT="0" distB="0" distL="0" distR="0" simplePos="0" relativeHeight="251704320" behindDoc="1" locked="0" layoutInCell="1" allowOverlap="1" wp14:anchorId="5FDAFE80" wp14:editId="55D8D094">
              <wp:simplePos x="0" y="0"/>
              <wp:positionH relativeFrom="page">
                <wp:posOffset>662940</wp:posOffset>
              </wp:positionH>
              <wp:positionV relativeFrom="page">
                <wp:posOffset>687705</wp:posOffset>
              </wp:positionV>
              <wp:extent cx="6299835" cy="131445"/>
              <wp:effectExtent l="0" t="1905" r="0" b="0"/>
              <wp:wrapNone/>
              <wp:docPr id="2039558768"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99835" cy="1314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6AF376" w14:textId="77777777" w:rsidR="00B14B05" w:rsidRDefault="00B14B05">
                          <w:pPr>
                            <w:pStyle w:val="Style2"/>
                            <w:shd w:val="clear" w:color="auto" w:fill="246B41"/>
                            <w:tabs>
                              <w:tab w:val="right" w:pos="6877"/>
                              <w:tab w:val="right" w:pos="9921"/>
                            </w:tabs>
                            <w:rPr>
                              <w:sz w:val="24"/>
                              <w:szCs w:val="24"/>
                            </w:rPr>
                          </w:pPr>
                          <w:r>
                            <w:rPr>
                              <w:rStyle w:val="CharStyle3"/>
                              <w:rFonts w:ascii="Arial" w:hAnsi="Arial" w:cs="Arial"/>
                              <w:b/>
                              <w:bCs/>
                              <w:color w:val="246B42"/>
                              <w:sz w:val="18"/>
                              <w:szCs w:val="18"/>
                              <w:lang w:eastAsia="en-US"/>
                            </w:rPr>
                            <w:t>Environmental Science &amp; Technology</w:t>
                          </w:r>
                          <w:r>
                            <w:rPr>
                              <w:rStyle w:val="CharStyle3"/>
                              <w:rFonts w:ascii="Arial" w:hAnsi="Arial" w:cs="Arial"/>
                              <w:b/>
                              <w:bCs/>
                              <w:color w:val="246B42"/>
                              <w:sz w:val="18"/>
                              <w:szCs w:val="18"/>
                              <w:lang w:eastAsia="en-US"/>
                            </w:rPr>
                            <w:tab/>
                          </w:r>
                          <w:r>
                            <w:rPr>
                              <w:rStyle w:val="CharStyle3"/>
                              <w:rFonts w:ascii="Arial" w:hAnsi="Arial" w:cs="Arial"/>
                              <w:b/>
                              <w:bCs/>
                              <w:color w:val="246B42"/>
                              <w:sz w:val="14"/>
                              <w:szCs w:val="14"/>
                              <w:lang w:eastAsia="en-US"/>
                            </w:rPr>
                            <w:t>pubs.acs.org/est</w:t>
                          </w:r>
                          <w:r>
                            <w:rPr>
                              <w:rStyle w:val="CharStyle3"/>
                              <w:rFonts w:ascii="Arial" w:hAnsi="Arial" w:cs="Arial"/>
                              <w:b/>
                              <w:bCs/>
                              <w:color w:val="246B42"/>
                              <w:sz w:val="14"/>
                              <w:szCs w:val="14"/>
                              <w:lang w:eastAsia="en-US"/>
                            </w:rPr>
                            <w:tab/>
                          </w:r>
                          <w:r>
                            <w:rPr>
                              <w:rStyle w:val="CharStyle3"/>
                              <w:rFonts w:ascii="Arial" w:hAnsi="Arial" w:cs="Arial"/>
                              <w:color w:val="FFFFFF"/>
                              <w:sz w:val="14"/>
                              <w:szCs w:val="14"/>
                              <w:lang w:eastAsia="en-US"/>
                            </w:rPr>
                            <w:t>Article</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FDAFE80" id="_x0000_t202" coordsize="21600,21600" o:spt="202" path="m,l,21600r21600,l21600,xe">
              <v:stroke joinstyle="miter"/>
              <v:path gradientshapeok="t" o:connecttype="rect"/>
            </v:shapetype>
            <v:shape id="_x0000_s1062" type="#_x0000_t202" style="position:absolute;margin-left:52.2pt;margin-top:54.15pt;width:496.05pt;height:10.35pt;z-index:-2516121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" filled="f" stroked="f">
              <v:textbox style="mso-fit-shape-to-text:t" inset="0,0,0,0">
                <w:txbxContent>
                  <w:p w14:paraId="376AF376" w14:textId="77777777" w:rsidR="00B14B05" w:rsidRDefault="00B14B05">
                    <w:pPr>
                      <w:pStyle w:val="Style2"/>
                      <w:shd w:val="clear" w:color="auto" w:fill="246B41"/>
                      <w:tabs>
                        <w:tab w:val="right" w:pos="6877"/>
                        <w:tab w:val="right" w:pos="9921"/>
                      </w:tabs>
                      <w:rPr>
                        <w:sz w:val="24"/>
                        <w:szCs w:val="24"/>
                      </w:rPr>
                    </w:pPr>
                    <w:r>
                      <w:rPr>
                        <w:rStyle w:val="CharStyle3"/>
                        <w:rFonts w:ascii="Arial" w:hAnsi="Arial" w:cs="Arial"/>
                        <w:b/>
                        <w:bCs/>
                        <w:color w:val="246B42"/>
                        <w:sz w:val="18"/>
                        <w:szCs w:val="18"/>
                        <w:lang w:eastAsia="en-US"/>
                      </w:rPr>
                      <w:t>Environmental Science &amp; Technology</w:t>
                    </w:r>
                    <w:r>
                      <w:rPr>
                        <w:rStyle w:val="CharStyle3"/>
                        <w:rFonts w:ascii="Arial" w:hAnsi="Arial" w:cs="Arial"/>
                        <w:b/>
                        <w:bCs/>
                        <w:color w:val="246B42"/>
                        <w:sz w:val="18"/>
                        <w:szCs w:val="18"/>
                        <w:lang w:eastAsia="en-US"/>
                      </w:rPr>
                      <w:tab/>
                    </w:r>
                    <w:r>
                      <w:rPr>
                        <w:rStyle w:val="CharStyle3"/>
                        <w:rFonts w:ascii="Arial" w:hAnsi="Arial" w:cs="Arial"/>
                        <w:b/>
                        <w:bCs/>
                        <w:color w:val="246B42"/>
                        <w:sz w:val="14"/>
                        <w:szCs w:val="14"/>
                        <w:lang w:eastAsia="en-US"/>
                      </w:rPr>
                      <w:t>pubs.acs.org/est</w:t>
                    </w:r>
                    <w:r>
                      <w:rPr>
                        <w:rStyle w:val="CharStyle3"/>
                        <w:rFonts w:ascii="Arial" w:hAnsi="Arial" w:cs="Arial"/>
                        <w:b/>
                        <w:bCs/>
                        <w:color w:val="246B42"/>
                        <w:sz w:val="14"/>
                        <w:szCs w:val="14"/>
                        <w:lang w:eastAsia="en-US"/>
                      </w:rPr>
                      <w:tab/>
                    </w:r>
                    <w:r>
                      <w:rPr>
                        <w:rStyle w:val="CharStyle3"/>
                        <w:rFonts w:ascii="Arial" w:hAnsi="Arial" w:cs="Arial"/>
                        <w:color w:val="FFFFFF"/>
                        <w:sz w:val="14"/>
                        <w:szCs w:val="14"/>
                        <w:lang w:eastAsia="en-US"/>
                      </w:rPr>
                      <w:t>Article</w:t>
                    </w:r>
                  </w:p>
                </w:txbxContent>
              </v:textbox>
              <w10:wrap anchorx="page" anchory="page"/>
            </v:shape>
          </w:pict>
        </mc:Fallback>
      </mc:AlternateContent>
    </w:r>
    <w:r>
      <w:rPr>
        <w:noProof/>
      </w:rPr>
      <mc:AlternateContent>
        <mc:Choice Requires="wps">
          <w:drawing>
            <wp:anchor distT="0" distB="0" distL="114300" distR="114300" simplePos="0" relativeHeight="251705344" behindDoc="0" locked="0" layoutInCell="0" allowOverlap="1" wp14:anchorId="6F627034" wp14:editId="06392F39">
              <wp:simplePos x="0" y="0"/>
              <wp:positionH relativeFrom="page">
                <wp:posOffset>654050</wp:posOffset>
              </wp:positionH>
              <wp:positionV relativeFrom="page">
                <wp:posOffset>879475</wp:posOffset>
              </wp:positionV>
              <wp:extent cx="5946775" cy="0"/>
              <wp:effectExtent l="6350" t="12700" r="9525" b="6350"/>
              <wp:wrapNone/>
              <wp:docPr id="355350624"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6775"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034DCC1" id="_x0000_t32" coordsize="21600,21600" o:spt="32" o:oned="t" path="m,l21600,21600e" filled="f">
              <v:path arrowok="t" fillok="f" o:connecttype="none"/>
              <o:lock v:ext="edit" shapetype="t"/>
            </v:shapetype>
            <v:shape id="AutoShape 30" o:spid="_x0000_s1026" type="#_x0000_t32" style="position:absolute;margin-left:51.5pt;margin-top:69.25pt;width:468.25pt;height:0;z-index:251705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" o:allowincell="f" strokeweight="1pt">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FFFFFFFF"/>
    <w:lvl w:ilvl="0">
      <w:start w:val="2"/>
      <w:numFmt w:val="decimal"/>
      <w:lvlText w:val="%1."/>
      <w:lvlJc w:val="left"/>
      <w:rPr>
        <w:rFonts w:ascii="Arial" w:hAnsi="Arial" w:cs="Arial"/>
        <w:b/>
        <w:bCs/>
        <w:i w:val="0"/>
        <w:iCs w:val="0"/>
        <w:smallCaps w:val="0"/>
        <w:strike w:val="0"/>
        <w:color w:val="246B42"/>
        <w:spacing w:val="0"/>
        <w:w w:val="100"/>
        <w:position w:val="0"/>
        <w:sz w:val="19"/>
        <w:szCs w:val="19"/>
        <w:u w:val="none"/>
      </w:rPr>
    </w:lvl>
    <w:lvl w:ilvl="1">
      <w:start w:val="1"/>
      <w:numFmt w:val="decimal"/>
      <w:lvlText w:val="%1.%2."/>
      <w:lvlJc w:val="left"/>
      <w:rPr>
        <w:rFonts w:ascii="Arial" w:hAnsi="Arial" w:cs="Arial"/>
        <w:b/>
        <w:bCs/>
        <w:i w:val="0"/>
        <w:iCs w:val="0"/>
        <w:smallCaps w:val="0"/>
        <w:strike w:val="0"/>
        <w:color w:val="000000"/>
        <w:spacing w:val="0"/>
        <w:w w:val="100"/>
        <w:position w:val="0"/>
        <w:sz w:val="18"/>
        <w:szCs w:val="18"/>
        <w:u w:val="none"/>
      </w:rPr>
    </w:lvl>
    <w:lvl w:ilvl="2">
      <w:start w:val="2"/>
      <w:numFmt w:val="decimal"/>
      <w:lvlText w:val="%1.%2.%3."/>
      <w:lvlJc w:val="left"/>
      <w:rPr>
        <w:rFonts w:ascii="Arial" w:hAnsi="Arial" w:cs="Arial"/>
        <w:b w:val="0"/>
        <w:bCs w:val="0"/>
        <w:i/>
        <w:iCs/>
        <w:smallCaps w:val="0"/>
        <w:strike w:val="0"/>
        <w:color w:val="000000"/>
        <w:spacing w:val="0"/>
        <w:w w:val="100"/>
        <w:position w:val="0"/>
        <w:sz w:val="18"/>
        <w:szCs w:val="18"/>
        <w:u w:val="none"/>
      </w:rPr>
    </w:lvl>
    <w:lvl w:ilvl="3">
      <w:start w:val="2"/>
      <w:numFmt w:val="decimal"/>
      <w:lvlText w:val="%1.%2.%3."/>
      <w:lvlJc w:val="left"/>
      <w:rPr>
        <w:rFonts w:ascii="Arial" w:hAnsi="Arial" w:cs="Arial"/>
        <w:b w:val="0"/>
        <w:bCs w:val="0"/>
        <w:i/>
        <w:iCs/>
        <w:smallCaps w:val="0"/>
        <w:strike w:val="0"/>
        <w:color w:val="000000"/>
        <w:spacing w:val="0"/>
        <w:w w:val="100"/>
        <w:position w:val="0"/>
        <w:sz w:val="18"/>
        <w:szCs w:val="18"/>
        <w:u w:val="none"/>
      </w:rPr>
    </w:lvl>
    <w:lvl w:ilvl="4">
      <w:start w:val="2"/>
      <w:numFmt w:val="decimal"/>
      <w:lvlText w:val="%1.%2.%3."/>
      <w:lvlJc w:val="left"/>
      <w:rPr>
        <w:rFonts w:ascii="Arial" w:hAnsi="Arial" w:cs="Arial"/>
        <w:b w:val="0"/>
        <w:bCs w:val="0"/>
        <w:i/>
        <w:iCs/>
        <w:smallCaps w:val="0"/>
        <w:strike w:val="0"/>
        <w:color w:val="000000"/>
        <w:spacing w:val="0"/>
        <w:w w:val="100"/>
        <w:position w:val="0"/>
        <w:sz w:val="18"/>
        <w:szCs w:val="18"/>
        <w:u w:val="none"/>
      </w:rPr>
    </w:lvl>
    <w:lvl w:ilvl="5">
      <w:start w:val="2"/>
      <w:numFmt w:val="decimal"/>
      <w:lvlText w:val="%1.%2.%3."/>
      <w:lvlJc w:val="left"/>
      <w:rPr>
        <w:rFonts w:ascii="Arial" w:hAnsi="Arial" w:cs="Arial"/>
        <w:b w:val="0"/>
        <w:bCs w:val="0"/>
        <w:i/>
        <w:iCs/>
        <w:smallCaps w:val="0"/>
        <w:strike w:val="0"/>
        <w:color w:val="000000"/>
        <w:spacing w:val="0"/>
        <w:w w:val="100"/>
        <w:position w:val="0"/>
        <w:sz w:val="18"/>
        <w:szCs w:val="18"/>
        <w:u w:val="none"/>
      </w:rPr>
    </w:lvl>
    <w:lvl w:ilvl="6">
      <w:start w:val="2"/>
      <w:numFmt w:val="decimal"/>
      <w:lvlText w:val="%1.%2.%3."/>
      <w:lvlJc w:val="left"/>
      <w:rPr>
        <w:rFonts w:ascii="Arial" w:hAnsi="Arial" w:cs="Arial"/>
        <w:b w:val="0"/>
        <w:bCs w:val="0"/>
        <w:i/>
        <w:iCs/>
        <w:smallCaps w:val="0"/>
        <w:strike w:val="0"/>
        <w:color w:val="000000"/>
        <w:spacing w:val="0"/>
        <w:w w:val="100"/>
        <w:position w:val="0"/>
        <w:sz w:val="18"/>
        <w:szCs w:val="18"/>
        <w:u w:val="none"/>
      </w:rPr>
    </w:lvl>
    <w:lvl w:ilvl="7">
      <w:start w:val="2"/>
      <w:numFmt w:val="decimal"/>
      <w:lvlText w:val="%1.%2.%3."/>
      <w:lvlJc w:val="left"/>
      <w:rPr>
        <w:rFonts w:ascii="Arial" w:hAnsi="Arial" w:cs="Arial"/>
        <w:b w:val="0"/>
        <w:bCs w:val="0"/>
        <w:i/>
        <w:iCs/>
        <w:smallCaps w:val="0"/>
        <w:strike w:val="0"/>
        <w:color w:val="000000"/>
        <w:spacing w:val="0"/>
        <w:w w:val="100"/>
        <w:position w:val="0"/>
        <w:sz w:val="18"/>
        <w:szCs w:val="18"/>
        <w:u w:val="none"/>
      </w:rPr>
    </w:lvl>
    <w:lvl w:ilvl="8">
      <w:start w:val="2"/>
      <w:numFmt w:val="decimal"/>
      <w:lvlText w:val="%1.%2.%3."/>
      <w:lvlJc w:val="left"/>
      <w:rPr>
        <w:rFonts w:ascii="Arial" w:hAnsi="Arial" w:cs="Arial"/>
        <w:b w:val="0"/>
        <w:bCs w:val="0"/>
        <w:i/>
        <w:iCs/>
        <w:smallCaps w:val="0"/>
        <w:strike w:val="0"/>
        <w:color w:val="000000"/>
        <w:spacing w:val="0"/>
        <w:w w:val="100"/>
        <w:position w:val="0"/>
        <w:sz w:val="18"/>
        <w:szCs w:val="18"/>
        <w:u w:val="none"/>
      </w:rPr>
    </w:lvl>
  </w:abstractNum>
  <w:abstractNum w:abstractNumId="1" w15:restartNumberingAfterBreak="0">
    <w:nsid w:val="00000003"/>
    <w:multiLevelType w:val="multilevel"/>
    <w:tmpl w:val="FFFFFFFF"/>
    <w:lvl w:ilvl="0">
      <w:start w:val="1"/>
      <w:numFmt w:val="bullet"/>
      <w:lvlText w:val="■"/>
      <w:lvlJc w:val="left"/>
      <w:rPr>
        <w:rFonts w:ascii="Arial" w:hAnsi="Arial" w:cs="Arial"/>
        <w:b w:val="0"/>
        <w:bCs w:val="0"/>
        <w:i w:val="0"/>
        <w:iCs w:val="0"/>
        <w:smallCaps w:val="0"/>
        <w:strike w:val="0"/>
        <w:color w:val="000000"/>
        <w:spacing w:val="0"/>
        <w:w w:val="100"/>
        <w:position w:val="0"/>
        <w:sz w:val="11"/>
        <w:szCs w:val="11"/>
        <w:u w:val="none"/>
        <w:vertAlign w:val="superscript"/>
      </w:rPr>
    </w:lvl>
    <w:lvl w:ilvl="1">
      <w:start w:val="1"/>
      <w:numFmt w:val="bullet"/>
      <w:lvlText w:val="■"/>
      <w:lvlJc w:val="left"/>
      <w:rPr>
        <w:rFonts w:ascii="Arial" w:hAnsi="Arial" w:cs="Arial"/>
        <w:b w:val="0"/>
        <w:bCs w:val="0"/>
        <w:i w:val="0"/>
        <w:iCs w:val="0"/>
        <w:smallCaps w:val="0"/>
        <w:strike w:val="0"/>
        <w:color w:val="000000"/>
        <w:spacing w:val="0"/>
        <w:w w:val="100"/>
        <w:position w:val="0"/>
        <w:sz w:val="11"/>
        <w:szCs w:val="11"/>
        <w:u w:val="none"/>
        <w:vertAlign w:val="superscript"/>
      </w:rPr>
    </w:lvl>
    <w:lvl w:ilvl="2">
      <w:start w:val="1"/>
      <w:numFmt w:val="bullet"/>
      <w:lvlText w:val="■"/>
      <w:lvlJc w:val="left"/>
      <w:rPr>
        <w:rFonts w:ascii="Arial" w:hAnsi="Arial" w:cs="Arial"/>
        <w:b w:val="0"/>
        <w:bCs w:val="0"/>
        <w:i w:val="0"/>
        <w:iCs w:val="0"/>
        <w:smallCaps w:val="0"/>
        <w:strike w:val="0"/>
        <w:color w:val="000000"/>
        <w:spacing w:val="0"/>
        <w:w w:val="100"/>
        <w:position w:val="0"/>
        <w:sz w:val="11"/>
        <w:szCs w:val="11"/>
        <w:u w:val="none"/>
        <w:vertAlign w:val="superscript"/>
      </w:rPr>
    </w:lvl>
    <w:lvl w:ilvl="3">
      <w:start w:val="1"/>
      <w:numFmt w:val="bullet"/>
      <w:lvlText w:val="■"/>
      <w:lvlJc w:val="left"/>
      <w:rPr>
        <w:rFonts w:ascii="Arial" w:hAnsi="Arial" w:cs="Arial"/>
        <w:b w:val="0"/>
        <w:bCs w:val="0"/>
        <w:i w:val="0"/>
        <w:iCs w:val="0"/>
        <w:smallCaps w:val="0"/>
        <w:strike w:val="0"/>
        <w:color w:val="000000"/>
        <w:spacing w:val="0"/>
        <w:w w:val="100"/>
        <w:position w:val="0"/>
        <w:sz w:val="11"/>
        <w:szCs w:val="11"/>
        <w:u w:val="none"/>
        <w:vertAlign w:val="superscript"/>
      </w:rPr>
    </w:lvl>
    <w:lvl w:ilvl="4">
      <w:start w:val="1"/>
      <w:numFmt w:val="bullet"/>
      <w:lvlText w:val="■"/>
      <w:lvlJc w:val="left"/>
      <w:rPr>
        <w:rFonts w:ascii="Arial" w:hAnsi="Arial" w:cs="Arial"/>
        <w:b w:val="0"/>
        <w:bCs w:val="0"/>
        <w:i w:val="0"/>
        <w:iCs w:val="0"/>
        <w:smallCaps w:val="0"/>
        <w:strike w:val="0"/>
        <w:color w:val="000000"/>
        <w:spacing w:val="0"/>
        <w:w w:val="100"/>
        <w:position w:val="0"/>
        <w:sz w:val="11"/>
        <w:szCs w:val="11"/>
        <w:u w:val="none"/>
        <w:vertAlign w:val="superscript"/>
      </w:rPr>
    </w:lvl>
    <w:lvl w:ilvl="5">
      <w:start w:val="1"/>
      <w:numFmt w:val="bullet"/>
      <w:lvlText w:val="■"/>
      <w:lvlJc w:val="left"/>
      <w:rPr>
        <w:rFonts w:ascii="Arial" w:hAnsi="Arial" w:cs="Arial"/>
        <w:b w:val="0"/>
        <w:bCs w:val="0"/>
        <w:i w:val="0"/>
        <w:iCs w:val="0"/>
        <w:smallCaps w:val="0"/>
        <w:strike w:val="0"/>
        <w:color w:val="000000"/>
        <w:spacing w:val="0"/>
        <w:w w:val="100"/>
        <w:position w:val="0"/>
        <w:sz w:val="11"/>
        <w:szCs w:val="11"/>
        <w:u w:val="none"/>
        <w:vertAlign w:val="superscript"/>
      </w:rPr>
    </w:lvl>
    <w:lvl w:ilvl="6">
      <w:start w:val="1"/>
      <w:numFmt w:val="bullet"/>
      <w:lvlText w:val="■"/>
      <w:lvlJc w:val="left"/>
      <w:rPr>
        <w:rFonts w:ascii="Arial" w:hAnsi="Arial" w:cs="Arial"/>
        <w:b w:val="0"/>
        <w:bCs w:val="0"/>
        <w:i w:val="0"/>
        <w:iCs w:val="0"/>
        <w:smallCaps w:val="0"/>
        <w:strike w:val="0"/>
        <w:color w:val="000000"/>
        <w:spacing w:val="0"/>
        <w:w w:val="100"/>
        <w:position w:val="0"/>
        <w:sz w:val="11"/>
        <w:szCs w:val="11"/>
        <w:u w:val="none"/>
        <w:vertAlign w:val="superscript"/>
      </w:rPr>
    </w:lvl>
    <w:lvl w:ilvl="7">
      <w:start w:val="1"/>
      <w:numFmt w:val="bullet"/>
      <w:lvlText w:val="■"/>
      <w:lvlJc w:val="left"/>
      <w:rPr>
        <w:rFonts w:ascii="Arial" w:hAnsi="Arial" w:cs="Arial"/>
        <w:b w:val="0"/>
        <w:bCs w:val="0"/>
        <w:i w:val="0"/>
        <w:iCs w:val="0"/>
        <w:smallCaps w:val="0"/>
        <w:strike w:val="0"/>
        <w:color w:val="000000"/>
        <w:spacing w:val="0"/>
        <w:w w:val="100"/>
        <w:position w:val="0"/>
        <w:sz w:val="11"/>
        <w:szCs w:val="11"/>
        <w:u w:val="none"/>
        <w:vertAlign w:val="superscript"/>
      </w:rPr>
    </w:lvl>
    <w:lvl w:ilvl="8">
      <w:start w:val="1"/>
      <w:numFmt w:val="bullet"/>
      <w:lvlText w:val="■"/>
      <w:lvlJc w:val="left"/>
      <w:rPr>
        <w:rFonts w:ascii="Arial" w:hAnsi="Arial" w:cs="Arial"/>
        <w:b w:val="0"/>
        <w:bCs w:val="0"/>
        <w:i w:val="0"/>
        <w:iCs w:val="0"/>
        <w:smallCaps w:val="0"/>
        <w:strike w:val="0"/>
        <w:color w:val="000000"/>
        <w:spacing w:val="0"/>
        <w:w w:val="100"/>
        <w:position w:val="0"/>
        <w:sz w:val="11"/>
        <w:szCs w:val="11"/>
        <w:u w:val="none"/>
        <w:vertAlign w:val="superscript"/>
      </w:rPr>
    </w:lvl>
  </w:abstractNum>
  <w:abstractNum w:abstractNumId="2" w15:restartNumberingAfterBreak="0">
    <w:nsid w:val="00000005"/>
    <w:multiLevelType w:val="multilevel"/>
    <w:tmpl w:val="FFFFFFFF"/>
    <w:lvl w:ilvl="0">
      <w:start w:val="1"/>
      <w:numFmt w:val="decimal"/>
      <w:lvlText w:val="(%1)"/>
      <w:lvlJc w:val="left"/>
      <w:rPr>
        <w:b w:val="0"/>
        <w:bCs w:val="0"/>
        <w:i w:val="0"/>
        <w:iCs w:val="0"/>
        <w:smallCaps w:val="0"/>
        <w:strike w:val="0"/>
        <w:color w:val="000000"/>
        <w:spacing w:val="0"/>
        <w:w w:val="100"/>
        <w:position w:val="0"/>
        <w:sz w:val="14"/>
        <w:szCs w:val="14"/>
        <w:u w:val="none"/>
      </w:rPr>
    </w:lvl>
    <w:lvl w:ilvl="1">
      <w:start w:val="1"/>
      <w:numFmt w:val="decimal"/>
      <w:lvlText w:val="(%1)"/>
      <w:lvlJc w:val="left"/>
      <w:rPr>
        <w:b w:val="0"/>
        <w:bCs w:val="0"/>
        <w:i w:val="0"/>
        <w:iCs w:val="0"/>
        <w:smallCaps w:val="0"/>
        <w:strike w:val="0"/>
        <w:color w:val="000000"/>
        <w:spacing w:val="0"/>
        <w:w w:val="100"/>
        <w:position w:val="0"/>
        <w:sz w:val="14"/>
        <w:szCs w:val="14"/>
        <w:u w:val="none"/>
      </w:rPr>
    </w:lvl>
    <w:lvl w:ilvl="2">
      <w:start w:val="1"/>
      <w:numFmt w:val="decimal"/>
      <w:lvlText w:val="(%1)"/>
      <w:lvlJc w:val="left"/>
      <w:rPr>
        <w:b w:val="0"/>
        <w:bCs w:val="0"/>
        <w:i w:val="0"/>
        <w:iCs w:val="0"/>
        <w:smallCaps w:val="0"/>
        <w:strike w:val="0"/>
        <w:color w:val="000000"/>
        <w:spacing w:val="0"/>
        <w:w w:val="100"/>
        <w:position w:val="0"/>
        <w:sz w:val="14"/>
        <w:szCs w:val="14"/>
        <w:u w:val="none"/>
      </w:rPr>
    </w:lvl>
    <w:lvl w:ilvl="3">
      <w:start w:val="1"/>
      <w:numFmt w:val="decimal"/>
      <w:lvlText w:val="(%1)"/>
      <w:lvlJc w:val="left"/>
      <w:rPr>
        <w:b w:val="0"/>
        <w:bCs w:val="0"/>
        <w:i w:val="0"/>
        <w:iCs w:val="0"/>
        <w:smallCaps w:val="0"/>
        <w:strike w:val="0"/>
        <w:color w:val="000000"/>
        <w:spacing w:val="0"/>
        <w:w w:val="100"/>
        <w:position w:val="0"/>
        <w:sz w:val="14"/>
        <w:szCs w:val="14"/>
        <w:u w:val="none"/>
      </w:rPr>
    </w:lvl>
    <w:lvl w:ilvl="4">
      <w:start w:val="1"/>
      <w:numFmt w:val="decimal"/>
      <w:lvlText w:val="(%1)"/>
      <w:lvlJc w:val="left"/>
      <w:rPr>
        <w:b w:val="0"/>
        <w:bCs w:val="0"/>
        <w:i w:val="0"/>
        <w:iCs w:val="0"/>
        <w:smallCaps w:val="0"/>
        <w:strike w:val="0"/>
        <w:color w:val="000000"/>
        <w:spacing w:val="0"/>
        <w:w w:val="100"/>
        <w:position w:val="0"/>
        <w:sz w:val="14"/>
        <w:szCs w:val="14"/>
        <w:u w:val="none"/>
      </w:rPr>
    </w:lvl>
    <w:lvl w:ilvl="5">
      <w:start w:val="1"/>
      <w:numFmt w:val="decimal"/>
      <w:lvlText w:val="(%1)"/>
      <w:lvlJc w:val="left"/>
      <w:rPr>
        <w:b w:val="0"/>
        <w:bCs w:val="0"/>
        <w:i w:val="0"/>
        <w:iCs w:val="0"/>
        <w:smallCaps w:val="0"/>
        <w:strike w:val="0"/>
        <w:color w:val="000000"/>
        <w:spacing w:val="0"/>
        <w:w w:val="100"/>
        <w:position w:val="0"/>
        <w:sz w:val="14"/>
        <w:szCs w:val="14"/>
        <w:u w:val="none"/>
      </w:rPr>
    </w:lvl>
    <w:lvl w:ilvl="6">
      <w:start w:val="1"/>
      <w:numFmt w:val="decimal"/>
      <w:lvlText w:val="(%1)"/>
      <w:lvlJc w:val="left"/>
      <w:rPr>
        <w:b w:val="0"/>
        <w:bCs w:val="0"/>
        <w:i w:val="0"/>
        <w:iCs w:val="0"/>
        <w:smallCaps w:val="0"/>
        <w:strike w:val="0"/>
        <w:color w:val="000000"/>
        <w:spacing w:val="0"/>
        <w:w w:val="100"/>
        <w:position w:val="0"/>
        <w:sz w:val="14"/>
        <w:szCs w:val="14"/>
        <w:u w:val="none"/>
      </w:rPr>
    </w:lvl>
    <w:lvl w:ilvl="7">
      <w:start w:val="1"/>
      <w:numFmt w:val="decimal"/>
      <w:lvlText w:val="(%1)"/>
      <w:lvlJc w:val="left"/>
      <w:rPr>
        <w:b w:val="0"/>
        <w:bCs w:val="0"/>
        <w:i w:val="0"/>
        <w:iCs w:val="0"/>
        <w:smallCaps w:val="0"/>
        <w:strike w:val="0"/>
        <w:color w:val="000000"/>
        <w:spacing w:val="0"/>
        <w:w w:val="100"/>
        <w:position w:val="0"/>
        <w:sz w:val="14"/>
        <w:szCs w:val="14"/>
        <w:u w:val="none"/>
      </w:rPr>
    </w:lvl>
    <w:lvl w:ilvl="8">
      <w:start w:val="1"/>
      <w:numFmt w:val="decimal"/>
      <w:lvlText w:val="(%1)"/>
      <w:lvlJc w:val="left"/>
      <w:rPr>
        <w:b w:val="0"/>
        <w:bCs w:val="0"/>
        <w:i w:val="0"/>
        <w:iCs w:val="0"/>
        <w:smallCaps w:val="0"/>
        <w:strike w:val="0"/>
        <w:color w:val="000000"/>
        <w:spacing w:val="0"/>
        <w:w w:val="100"/>
        <w:position w:val="0"/>
        <w:sz w:val="14"/>
        <w:szCs w:val="14"/>
        <w:u w:val="none"/>
      </w:rPr>
    </w:lvl>
  </w:abstractNum>
  <w:abstractNum w:abstractNumId="3" w15:restartNumberingAfterBreak="0">
    <w:nsid w:val="00000007"/>
    <w:multiLevelType w:val="multilevel"/>
    <w:tmpl w:val="FFFFFFFF"/>
    <w:lvl w:ilvl="0">
      <w:start w:val="21"/>
      <w:numFmt w:val="decimal"/>
      <w:lvlText w:val="(%1)"/>
      <w:lvlJc w:val="left"/>
      <w:rPr>
        <w:b w:val="0"/>
        <w:bCs w:val="0"/>
        <w:i w:val="0"/>
        <w:iCs w:val="0"/>
        <w:smallCaps w:val="0"/>
        <w:strike w:val="0"/>
        <w:color w:val="000000"/>
        <w:spacing w:val="0"/>
        <w:w w:val="100"/>
        <w:position w:val="0"/>
        <w:sz w:val="14"/>
        <w:szCs w:val="14"/>
        <w:u w:val="none"/>
      </w:rPr>
    </w:lvl>
    <w:lvl w:ilvl="1">
      <w:start w:val="21"/>
      <w:numFmt w:val="decimal"/>
      <w:lvlText w:val="(%1)"/>
      <w:lvlJc w:val="left"/>
      <w:rPr>
        <w:b w:val="0"/>
        <w:bCs w:val="0"/>
        <w:i w:val="0"/>
        <w:iCs w:val="0"/>
        <w:smallCaps w:val="0"/>
        <w:strike w:val="0"/>
        <w:color w:val="000000"/>
        <w:spacing w:val="0"/>
        <w:w w:val="100"/>
        <w:position w:val="0"/>
        <w:sz w:val="14"/>
        <w:szCs w:val="14"/>
        <w:u w:val="none"/>
      </w:rPr>
    </w:lvl>
    <w:lvl w:ilvl="2">
      <w:start w:val="21"/>
      <w:numFmt w:val="decimal"/>
      <w:lvlText w:val="(%1)"/>
      <w:lvlJc w:val="left"/>
      <w:rPr>
        <w:b w:val="0"/>
        <w:bCs w:val="0"/>
        <w:i w:val="0"/>
        <w:iCs w:val="0"/>
        <w:smallCaps w:val="0"/>
        <w:strike w:val="0"/>
        <w:color w:val="000000"/>
        <w:spacing w:val="0"/>
        <w:w w:val="100"/>
        <w:position w:val="0"/>
        <w:sz w:val="14"/>
        <w:szCs w:val="14"/>
        <w:u w:val="none"/>
      </w:rPr>
    </w:lvl>
    <w:lvl w:ilvl="3">
      <w:start w:val="21"/>
      <w:numFmt w:val="decimal"/>
      <w:lvlText w:val="(%1)"/>
      <w:lvlJc w:val="left"/>
      <w:rPr>
        <w:b w:val="0"/>
        <w:bCs w:val="0"/>
        <w:i w:val="0"/>
        <w:iCs w:val="0"/>
        <w:smallCaps w:val="0"/>
        <w:strike w:val="0"/>
        <w:color w:val="000000"/>
        <w:spacing w:val="0"/>
        <w:w w:val="100"/>
        <w:position w:val="0"/>
        <w:sz w:val="14"/>
        <w:szCs w:val="14"/>
        <w:u w:val="none"/>
      </w:rPr>
    </w:lvl>
    <w:lvl w:ilvl="4">
      <w:start w:val="21"/>
      <w:numFmt w:val="decimal"/>
      <w:lvlText w:val="(%1)"/>
      <w:lvlJc w:val="left"/>
      <w:rPr>
        <w:b w:val="0"/>
        <w:bCs w:val="0"/>
        <w:i w:val="0"/>
        <w:iCs w:val="0"/>
        <w:smallCaps w:val="0"/>
        <w:strike w:val="0"/>
        <w:color w:val="000000"/>
        <w:spacing w:val="0"/>
        <w:w w:val="100"/>
        <w:position w:val="0"/>
        <w:sz w:val="14"/>
        <w:szCs w:val="14"/>
        <w:u w:val="none"/>
      </w:rPr>
    </w:lvl>
    <w:lvl w:ilvl="5">
      <w:start w:val="21"/>
      <w:numFmt w:val="decimal"/>
      <w:lvlText w:val="(%1)"/>
      <w:lvlJc w:val="left"/>
      <w:rPr>
        <w:b w:val="0"/>
        <w:bCs w:val="0"/>
        <w:i w:val="0"/>
        <w:iCs w:val="0"/>
        <w:smallCaps w:val="0"/>
        <w:strike w:val="0"/>
        <w:color w:val="000000"/>
        <w:spacing w:val="0"/>
        <w:w w:val="100"/>
        <w:position w:val="0"/>
        <w:sz w:val="14"/>
        <w:szCs w:val="14"/>
        <w:u w:val="none"/>
      </w:rPr>
    </w:lvl>
    <w:lvl w:ilvl="6">
      <w:start w:val="21"/>
      <w:numFmt w:val="decimal"/>
      <w:lvlText w:val="(%1)"/>
      <w:lvlJc w:val="left"/>
      <w:rPr>
        <w:b w:val="0"/>
        <w:bCs w:val="0"/>
        <w:i w:val="0"/>
        <w:iCs w:val="0"/>
        <w:smallCaps w:val="0"/>
        <w:strike w:val="0"/>
        <w:color w:val="000000"/>
        <w:spacing w:val="0"/>
        <w:w w:val="100"/>
        <w:position w:val="0"/>
        <w:sz w:val="14"/>
        <w:szCs w:val="14"/>
        <w:u w:val="none"/>
      </w:rPr>
    </w:lvl>
    <w:lvl w:ilvl="7">
      <w:start w:val="21"/>
      <w:numFmt w:val="decimal"/>
      <w:lvlText w:val="(%1)"/>
      <w:lvlJc w:val="left"/>
      <w:rPr>
        <w:b w:val="0"/>
        <w:bCs w:val="0"/>
        <w:i w:val="0"/>
        <w:iCs w:val="0"/>
        <w:smallCaps w:val="0"/>
        <w:strike w:val="0"/>
        <w:color w:val="000000"/>
        <w:spacing w:val="0"/>
        <w:w w:val="100"/>
        <w:position w:val="0"/>
        <w:sz w:val="14"/>
        <w:szCs w:val="14"/>
        <w:u w:val="none"/>
      </w:rPr>
    </w:lvl>
    <w:lvl w:ilvl="8">
      <w:start w:val="21"/>
      <w:numFmt w:val="decimal"/>
      <w:lvlText w:val="(%1)"/>
      <w:lvlJc w:val="left"/>
      <w:rPr>
        <w:b w:val="0"/>
        <w:bCs w:val="0"/>
        <w:i w:val="0"/>
        <w:iCs w:val="0"/>
        <w:smallCaps w:val="0"/>
        <w:strike w:val="0"/>
        <w:color w:val="000000"/>
        <w:spacing w:val="0"/>
        <w:w w:val="100"/>
        <w:position w:val="0"/>
        <w:sz w:val="14"/>
        <w:szCs w:val="14"/>
        <w:u w:val="none"/>
      </w:rPr>
    </w:lvl>
  </w:abstractNum>
  <w:abstractNum w:abstractNumId="4" w15:restartNumberingAfterBreak="0">
    <w:nsid w:val="00000009"/>
    <w:multiLevelType w:val="multilevel"/>
    <w:tmpl w:val="FFFFFFFF"/>
    <w:lvl w:ilvl="0">
      <w:start w:val="64"/>
      <w:numFmt w:val="decimal"/>
      <w:lvlText w:val="(%1)"/>
      <w:lvlJc w:val="left"/>
      <w:rPr>
        <w:b w:val="0"/>
        <w:bCs w:val="0"/>
        <w:i w:val="0"/>
        <w:iCs w:val="0"/>
        <w:smallCaps w:val="0"/>
        <w:strike w:val="0"/>
        <w:color w:val="000000"/>
        <w:spacing w:val="0"/>
        <w:w w:val="100"/>
        <w:position w:val="0"/>
        <w:sz w:val="14"/>
        <w:szCs w:val="14"/>
        <w:u w:val="none"/>
      </w:rPr>
    </w:lvl>
    <w:lvl w:ilvl="1">
      <w:start w:val="64"/>
      <w:numFmt w:val="decimal"/>
      <w:lvlText w:val="(%1)"/>
      <w:lvlJc w:val="left"/>
      <w:rPr>
        <w:b w:val="0"/>
        <w:bCs w:val="0"/>
        <w:i w:val="0"/>
        <w:iCs w:val="0"/>
        <w:smallCaps w:val="0"/>
        <w:strike w:val="0"/>
        <w:color w:val="000000"/>
        <w:spacing w:val="0"/>
        <w:w w:val="100"/>
        <w:position w:val="0"/>
        <w:sz w:val="14"/>
        <w:szCs w:val="14"/>
        <w:u w:val="none"/>
      </w:rPr>
    </w:lvl>
    <w:lvl w:ilvl="2">
      <w:start w:val="64"/>
      <w:numFmt w:val="decimal"/>
      <w:lvlText w:val="(%1)"/>
      <w:lvlJc w:val="left"/>
      <w:rPr>
        <w:b w:val="0"/>
        <w:bCs w:val="0"/>
        <w:i w:val="0"/>
        <w:iCs w:val="0"/>
        <w:smallCaps w:val="0"/>
        <w:strike w:val="0"/>
        <w:color w:val="000000"/>
        <w:spacing w:val="0"/>
        <w:w w:val="100"/>
        <w:position w:val="0"/>
        <w:sz w:val="14"/>
        <w:szCs w:val="14"/>
        <w:u w:val="none"/>
      </w:rPr>
    </w:lvl>
    <w:lvl w:ilvl="3">
      <w:start w:val="64"/>
      <w:numFmt w:val="decimal"/>
      <w:lvlText w:val="(%1)"/>
      <w:lvlJc w:val="left"/>
      <w:rPr>
        <w:b w:val="0"/>
        <w:bCs w:val="0"/>
        <w:i w:val="0"/>
        <w:iCs w:val="0"/>
        <w:smallCaps w:val="0"/>
        <w:strike w:val="0"/>
        <w:color w:val="000000"/>
        <w:spacing w:val="0"/>
        <w:w w:val="100"/>
        <w:position w:val="0"/>
        <w:sz w:val="14"/>
        <w:szCs w:val="14"/>
        <w:u w:val="none"/>
      </w:rPr>
    </w:lvl>
    <w:lvl w:ilvl="4">
      <w:start w:val="64"/>
      <w:numFmt w:val="decimal"/>
      <w:lvlText w:val="(%1)"/>
      <w:lvlJc w:val="left"/>
      <w:rPr>
        <w:b w:val="0"/>
        <w:bCs w:val="0"/>
        <w:i w:val="0"/>
        <w:iCs w:val="0"/>
        <w:smallCaps w:val="0"/>
        <w:strike w:val="0"/>
        <w:color w:val="000000"/>
        <w:spacing w:val="0"/>
        <w:w w:val="100"/>
        <w:position w:val="0"/>
        <w:sz w:val="14"/>
        <w:szCs w:val="14"/>
        <w:u w:val="none"/>
      </w:rPr>
    </w:lvl>
    <w:lvl w:ilvl="5">
      <w:start w:val="64"/>
      <w:numFmt w:val="decimal"/>
      <w:lvlText w:val="(%1)"/>
      <w:lvlJc w:val="left"/>
      <w:rPr>
        <w:b w:val="0"/>
        <w:bCs w:val="0"/>
        <w:i w:val="0"/>
        <w:iCs w:val="0"/>
        <w:smallCaps w:val="0"/>
        <w:strike w:val="0"/>
        <w:color w:val="000000"/>
        <w:spacing w:val="0"/>
        <w:w w:val="100"/>
        <w:position w:val="0"/>
        <w:sz w:val="14"/>
        <w:szCs w:val="14"/>
        <w:u w:val="none"/>
      </w:rPr>
    </w:lvl>
    <w:lvl w:ilvl="6">
      <w:start w:val="64"/>
      <w:numFmt w:val="decimal"/>
      <w:lvlText w:val="(%1)"/>
      <w:lvlJc w:val="left"/>
      <w:rPr>
        <w:b w:val="0"/>
        <w:bCs w:val="0"/>
        <w:i w:val="0"/>
        <w:iCs w:val="0"/>
        <w:smallCaps w:val="0"/>
        <w:strike w:val="0"/>
        <w:color w:val="000000"/>
        <w:spacing w:val="0"/>
        <w:w w:val="100"/>
        <w:position w:val="0"/>
        <w:sz w:val="14"/>
        <w:szCs w:val="14"/>
        <w:u w:val="none"/>
      </w:rPr>
    </w:lvl>
    <w:lvl w:ilvl="7">
      <w:start w:val="64"/>
      <w:numFmt w:val="decimal"/>
      <w:lvlText w:val="(%1)"/>
      <w:lvlJc w:val="left"/>
      <w:rPr>
        <w:b w:val="0"/>
        <w:bCs w:val="0"/>
        <w:i w:val="0"/>
        <w:iCs w:val="0"/>
        <w:smallCaps w:val="0"/>
        <w:strike w:val="0"/>
        <w:color w:val="000000"/>
        <w:spacing w:val="0"/>
        <w:w w:val="100"/>
        <w:position w:val="0"/>
        <w:sz w:val="14"/>
        <w:szCs w:val="14"/>
        <w:u w:val="none"/>
      </w:rPr>
    </w:lvl>
    <w:lvl w:ilvl="8">
      <w:start w:val="64"/>
      <w:numFmt w:val="decimal"/>
      <w:lvlText w:val="(%1)"/>
      <w:lvlJc w:val="left"/>
      <w:rPr>
        <w:b w:val="0"/>
        <w:bCs w:val="0"/>
        <w:i w:val="0"/>
        <w:iCs w:val="0"/>
        <w:smallCaps w:val="0"/>
        <w:strike w:val="0"/>
        <w:color w:val="000000"/>
        <w:spacing w:val="0"/>
        <w:w w:val="100"/>
        <w:position w:val="0"/>
        <w:sz w:val="14"/>
        <w:szCs w:val="14"/>
        <w:u w:val="none"/>
      </w:rPr>
    </w:lvl>
  </w:abstractNum>
  <w:num w:numId="1" w16cid:durableId="1302350210">
    <w:abstractNumId w:val="0"/>
  </w:num>
  <w:num w:numId="2" w16cid:durableId="1209607860">
    <w:abstractNumId w:val="1"/>
  </w:num>
  <w:num w:numId="3" w16cid:durableId="161968997">
    <w:abstractNumId w:val="2"/>
  </w:num>
  <w:num w:numId="4" w16cid:durableId="965358391">
    <w:abstractNumId w:val="3"/>
  </w:num>
  <w:num w:numId="5" w16cid:durableId="30011636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drawingGridHorizontalSpacing w:val="181"/>
  <w:drawingGridVerticalSpacing w:val="181"/>
  <w:doNotShadeFormData/>
  <w:characterSpacingControl w:val="compressPunctuation"/>
  <w:doNotValidateAgainstSchema/>
  <w:doNotDemarcateInvalidXml/>
  <w:hdrShapeDefaults>
    <o:shapedefaults v:ext="edit" spidmax="208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5F3"/>
    <w:rsid w:val="00B14B05"/>
    <w:rsid w:val="00CA7C60"/>
    <w:rsid w:val="00EC05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80"/>
    <o:shapelayout v:ext="edit">
      <o:idmap v:ext="edit" data="1"/>
    </o:shapelayout>
  </w:shapeDefaults>
  <w:decimalSymbol w:val="."/>
  <w:listSeparator w:val=","/>
  <w14:docId w14:val="7E8AA478"/>
  <w14:defaultImageDpi w14:val="0"/>
  <w15:docId w15:val="{BA228DC4-AD58-4601-82D3-7DBCE7863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pPr>
    <w:rPr>
      <w:color w:val="000000"/>
      <w:lang w:val="en-US" w:eastAsia="en-US"/>
    </w:rPr>
  </w:style>
  <w:style w:type="character" w:default="1" w:styleId="DefaultParagraphFont">
    <w:name w:val="Default Paragraph Font"/>
    <w:uiPriority w:val="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tyle3">
    <w:name w:val="Char Style 3"/>
    <w:basedOn w:val="DefaultParagraphFont"/>
    <w:link w:val="Style2"/>
    <w:uiPriority w:val="99"/>
    <w:rPr>
      <w:color w:val="000000"/>
      <w:spacing w:val="0"/>
      <w:w w:val="100"/>
      <w:position w:val="0"/>
      <w:sz w:val="20"/>
      <w:szCs w:val="20"/>
      <w:u w:val="none"/>
    </w:rPr>
  </w:style>
  <w:style w:type="character" w:customStyle="1" w:styleId="CharStyle9">
    <w:name w:val="Char Style 9"/>
    <w:basedOn w:val="DefaultParagraphFont"/>
    <w:link w:val="Style8"/>
    <w:uiPriority w:val="99"/>
    <w:rPr>
      <w:rFonts w:ascii="Arial" w:hAnsi="Arial" w:cs="Arial"/>
      <w:color w:val="246B42"/>
      <w:spacing w:val="0"/>
      <w:w w:val="100"/>
      <w:position w:val="0"/>
      <w:sz w:val="14"/>
      <w:szCs w:val="14"/>
      <w:u w:val="none"/>
    </w:rPr>
  </w:style>
  <w:style w:type="character" w:customStyle="1" w:styleId="CharStyle12">
    <w:name w:val="Char Style 12"/>
    <w:basedOn w:val="DefaultParagraphFont"/>
    <w:link w:val="Style11"/>
    <w:uiPriority w:val="99"/>
    <w:rPr>
      <w:rFonts w:ascii="Arial" w:hAnsi="Arial" w:cs="Arial"/>
      <w:color w:val="000000"/>
      <w:spacing w:val="0"/>
      <w:w w:val="100"/>
      <w:position w:val="0"/>
      <w:sz w:val="15"/>
      <w:szCs w:val="15"/>
      <w:u w:val="none"/>
    </w:rPr>
  </w:style>
  <w:style w:type="character" w:customStyle="1" w:styleId="CharStyle15">
    <w:name w:val="Char Style 15"/>
    <w:basedOn w:val="DefaultParagraphFont"/>
    <w:link w:val="Style14"/>
    <w:uiPriority w:val="99"/>
    <w:rPr>
      <w:color w:val="000000"/>
      <w:spacing w:val="0"/>
      <w:w w:val="100"/>
      <w:position w:val="0"/>
      <w:sz w:val="16"/>
      <w:szCs w:val="16"/>
      <w:u w:val="none"/>
    </w:rPr>
  </w:style>
  <w:style w:type="character" w:customStyle="1" w:styleId="CharStyle17">
    <w:name w:val="Char Style 17"/>
    <w:basedOn w:val="DefaultParagraphFont"/>
    <w:link w:val="Style16"/>
    <w:uiPriority w:val="99"/>
    <w:rPr>
      <w:rFonts w:ascii="Arial" w:hAnsi="Arial" w:cs="Arial"/>
      <w:color w:val="4094D1"/>
      <w:spacing w:val="0"/>
      <w:w w:val="100"/>
      <w:position w:val="0"/>
      <w:sz w:val="26"/>
      <w:szCs w:val="26"/>
      <w:u w:val="none"/>
    </w:rPr>
  </w:style>
  <w:style w:type="character" w:customStyle="1" w:styleId="CharStyle24">
    <w:name w:val="Char Style 24"/>
    <w:basedOn w:val="DefaultParagraphFont"/>
    <w:link w:val="Style23"/>
    <w:uiPriority w:val="99"/>
    <w:rPr>
      <w:rFonts w:ascii="Arial" w:hAnsi="Arial" w:cs="Arial"/>
      <w:b/>
      <w:bCs/>
      <w:color w:val="246B42"/>
      <w:spacing w:val="0"/>
      <w:w w:val="100"/>
      <w:position w:val="0"/>
      <w:sz w:val="19"/>
      <w:szCs w:val="19"/>
      <w:u w:val="none"/>
    </w:rPr>
  </w:style>
  <w:style w:type="character" w:customStyle="1" w:styleId="CharStyle29">
    <w:name w:val="Char Style 29"/>
    <w:basedOn w:val="DefaultParagraphFont"/>
    <w:link w:val="Style28"/>
    <w:uiPriority w:val="99"/>
    <w:rPr>
      <w:color w:val="000000"/>
      <w:spacing w:val="0"/>
      <w:w w:val="100"/>
      <w:position w:val="0"/>
      <w:sz w:val="14"/>
      <w:szCs w:val="14"/>
      <w:u w:val="none"/>
    </w:rPr>
  </w:style>
  <w:style w:type="character" w:customStyle="1" w:styleId="CharStyle32">
    <w:name w:val="Char Style 32"/>
    <w:basedOn w:val="DefaultParagraphFont"/>
    <w:link w:val="Style31"/>
    <w:uiPriority w:val="99"/>
    <w:rPr>
      <w:rFonts w:ascii="Arial" w:hAnsi="Arial" w:cs="Arial"/>
      <w:b/>
      <w:bCs/>
      <w:color w:val="000000"/>
      <w:spacing w:val="0"/>
      <w:w w:val="100"/>
      <w:position w:val="0"/>
      <w:sz w:val="30"/>
      <w:szCs w:val="30"/>
      <w:u w:val="none"/>
    </w:rPr>
  </w:style>
  <w:style w:type="character" w:customStyle="1" w:styleId="CharStyle34">
    <w:name w:val="Char Style 34"/>
    <w:basedOn w:val="DefaultParagraphFont"/>
    <w:link w:val="Style33"/>
    <w:uiPriority w:val="99"/>
    <w:rPr>
      <w:rFonts w:ascii="Arial" w:hAnsi="Arial" w:cs="Arial"/>
      <w:color w:val="000000"/>
      <w:spacing w:val="0"/>
      <w:w w:val="100"/>
      <w:position w:val="0"/>
      <w:sz w:val="19"/>
      <w:szCs w:val="19"/>
      <w:u w:val="none"/>
    </w:rPr>
  </w:style>
  <w:style w:type="character" w:customStyle="1" w:styleId="CharStyle39">
    <w:name w:val="Char Style 39"/>
    <w:basedOn w:val="DefaultParagraphFont"/>
    <w:link w:val="Style38"/>
    <w:uiPriority w:val="99"/>
    <w:rPr>
      <w:rFonts w:ascii="Arial" w:hAnsi="Arial" w:cs="Arial"/>
      <w:color w:val="000000"/>
      <w:spacing w:val="0"/>
      <w:w w:val="100"/>
      <w:position w:val="0"/>
      <w:sz w:val="11"/>
      <w:szCs w:val="11"/>
      <w:u w:val="none"/>
    </w:rPr>
  </w:style>
  <w:style w:type="character" w:customStyle="1" w:styleId="CharStyle41">
    <w:name w:val="Char Style 41"/>
    <w:basedOn w:val="DefaultParagraphFont"/>
    <w:link w:val="Style40"/>
    <w:uiPriority w:val="99"/>
    <w:rPr>
      <w:color w:val="000000"/>
      <w:spacing w:val="0"/>
      <w:w w:val="100"/>
      <w:position w:val="0"/>
      <w:sz w:val="14"/>
      <w:szCs w:val="14"/>
      <w:u w:val="none"/>
    </w:rPr>
  </w:style>
  <w:style w:type="character" w:customStyle="1" w:styleId="CharStyle51">
    <w:name w:val="Char Style 51"/>
    <w:basedOn w:val="DefaultParagraphFont"/>
    <w:link w:val="Style50"/>
    <w:uiPriority w:val="99"/>
    <w:rPr>
      <w:rFonts w:ascii="Arial" w:hAnsi="Arial" w:cs="Arial"/>
      <w:b/>
      <w:bCs/>
      <w:color w:val="000000"/>
      <w:spacing w:val="0"/>
      <w:w w:val="100"/>
      <w:position w:val="0"/>
      <w:sz w:val="18"/>
      <w:szCs w:val="18"/>
      <w:u w:val="none"/>
    </w:rPr>
  </w:style>
  <w:style w:type="character" w:customStyle="1" w:styleId="CharStyle54">
    <w:name w:val="Char Style 54"/>
    <w:basedOn w:val="DefaultParagraphFont"/>
    <w:link w:val="Style53"/>
    <w:uiPriority w:val="99"/>
    <w:rPr>
      <w:rFonts w:ascii="Arial" w:hAnsi="Arial" w:cs="Arial"/>
      <w:b/>
      <w:bCs/>
      <w:color w:val="000000"/>
      <w:spacing w:val="0"/>
      <w:w w:val="100"/>
      <w:position w:val="0"/>
      <w:sz w:val="14"/>
      <w:szCs w:val="14"/>
      <w:u w:val="none"/>
    </w:rPr>
  </w:style>
  <w:style w:type="character" w:customStyle="1" w:styleId="CharStyle57">
    <w:name w:val="Char Style 57"/>
    <w:basedOn w:val="DefaultParagraphFont"/>
    <w:link w:val="Style56"/>
    <w:uiPriority w:val="99"/>
    <w:rPr>
      <w:rFonts w:ascii="Arial" w:hAnsi="Arial" w:cs="Arial"/>
      <w:color w:val="000000"/>
      <w:spacing w:val="0"/>
      <w:w w:val="100"/>
      <w:position w:val="0"/>
      <w:sz w:val="15"/>
      <w:szCs w:val="15"/>
      <w:u w:val="none"/>
    </w:rPr>
  </w:style>
  <w:style w:type="character" w:customStyle="1" w:styleId="CharStyle71">
    <w:name w:val="Char Style 71"/>
    <w:basedOn w:val="DefaultParagraphFont"/>
    <w:link w:val="Style70"/>
    <w:uiPriority w:val="99"/>
    <w:rPr>
      <w:rFonts w:ascii="Arial" w:hAnsi="Arial" w:cs="Arial"/>
      <w:b/>
      <w:bCs/>
      <w:color w:val="000000"/>
      <w:spacing w:val="0"/>
      <w:w w:val="100"/>
      <w:position w:val="0"/>
      <w:sz w:val="17"/>
      <w:szCs w:val="17"/>
      <w:u w:val="none"/>
    </w:rPr>
  </w:style>
  <w:style w:type="paragraph" w:customStyle="1" w:styleId="Style2">
    <w:name w:val="Style 2"/>
    <w:basedOn w:val="Normal"/>
    <w:link w:val="CharStyle3"/>
    <w:uiPriority w:val="99"/>
    <w:rPr>
      <w:color w:val="auto"/>
      <w:sz w:val="20"/>
      <w:szCs w:val="20"/>
      <w:lang w:eastAsia="en-GB"/>
    </w:rPr>
  </w:style>
  <w:style w:type="paragraph" w:customStyle="1" w:styleId="Style8">
    <w:name w:val="Style 8"/>
    <w:basedOn w:val="Normal"/>
    <w:link w:val="CharStyle9"/>
    <w:uiPriority w:val="99"/>
    <w:pPr>
      <w:spacing w:after="140"/>
    </w:pPr>
    <w:rPr>
      <w:rFonts w:ascii="Arial" w:hAnsi="Arial" w:cs="Arial"/>
      <w:color w:val="246B42"/>
      <w:sz w:val="14"/>
      <w:szCs w:val="14"/>
      <w:lang w:eastAsia="en-GB"/>
    </w:rPr>
  </w:style>
  <w:style w:type="paragraph" w:customStyle="1" w:styleId="Style11">
    <w:name w:val="Style 11"/>
    <w:basedOn w:val="Normal"/>
    <w:link w:val="CharStyle12"/>
    <w:uiPriority w:val="99"/>
    <w:pPr>
      <w:spacing w:line="307" w:lineRule="auto"/>
      <w:ind w:firstLine="200"/>
    </w:pPr>
    <w:rPr>
      <w:rFonts w:ascii="Arial" w:hAnsi="Arial" w:cs="Arial"/>
      <w:color w:val="auto"/>
      <w:sz w:val="15"/>
      <w:szCs w:val="15"/>
      <w:lang w:eastAsia="en-GB"/>
    </w:rPr>
  </w:style>
  <w:style w:type="paragraph" w:customStyle="1" w:styleId="Style14">
    <w:name w:val="Style 14"/>
    <w:basedOn w:val="Normal"/>
    <w:link w:val="CharStyle15"/>
    <w:uiPriority w:val="99"/>
    <w:pPr>
      <w:spacing w:line="235" w:lineRule="auto"/>
    </w:pPr>
    <w:rPr>
      <w:color w:val="auto"/>
      <w:sz w:val="16"/>
      <w:szCs w:val="16"/>
      <w:lang w:eastAsia="en-GB"/>
    </w:rPr>
  </w:style>
  <w:style w:type="paragraph" w:customStyle="1" w:styleId="Style16">
    <w:name w:val="Style 16"/>
    <w:basedOn w:val="Normal"/>
    <w:link w:val="CharStyle17"/>
    <w:uiPriority w:val="99"/>
    <w:pPr>
      <w:outlineLvl w:val="1"/>
    </w:pPr>
    <w:rPr>
      <w:rFonts w:ascii="Arial" w:hAnsi="Arial" w:cs="Arial"/>
      <w:color w:val="4094D1"/>
      <w:sz w:val="26"/>
      <w:szCs w:val="26"/>
      <w:lang w:eastAsia="en-GB"/>
    </w:rPr>
  </w:style>
  <w:style w:type="paragraph" w:customStyle="1" w:styleId="Style23">
    <w:name w:val="Style 23"/>
    <w:basedOn w:val="Normal"/>
    <w:link w:val="CharStyle24"/>
    <w:uiPriority w:val="99"/>
    <w:pPr>
      <w:spacing w:after="100" w:line="228" w:lineRule="auto"/>
      <w:outlineLvl w:val="2"/>
    </w:pPr>
    <w:rPr>
      <w:rFonts w:ascii="Arial" w:hAnsi="Arial" w:cs="Arial"/>
      <w:b/>
      <w:bCs/>
      <w:color w:val="246B42"/>
      <w:sz w:val="19"/>
      <w:szCs w:val="19"/>
      <w:lang w:eastAsia="en-GB"/>
    </w:rPr>
  </w:style>
  <w:style w:type="paragraph" w:customStyle="1" w:styleId="Style28">
    <w:name w:val="Style 28"/>
    <w:basedOn w:val="Normal"/>
    <w:link w:val="CharStyle29"/>
    <w:uiPriority w:val="99"/>
    <w:pPr>
      <w:spacing w:line="307" w:lineRule="auto"/>
    </w:pPr>
    <w:rPr>
      <w:color w:val="auto"/>
      <w:sz w:val="14"/>
      <w:szCs w:val="14"/>
      <w:lang w:eastAsia="en-GB"/>
    </w:rPr>
  </w:style>
  <w:style w:type="paragraph" w:customStyle="1" w:styleId="Style31">
    <w:name w:val="Style 31"/>
    <w:basedOn w:val="Normal"/>
    <w:link w:val="CharStyle32"/>
    <w:uiPriority w:val="99"/>
    <w:pPr>
      <w:spacing w:after="60"/>
      <w:outlineLvl w:val="0"/>
    </w:pPr>
    <w:rPr>
      <w:rFonts w:ascii="Arial" w:hAnsi="Arial" w:cs="Arial"/>
      <w:b/>
      <w:bCs/>
      <w:color w:val="auto"/>
      <w:sz w:val="30"/>
      <w:szCs w:val="30"/>
      <w:lang w:eastAsia="en-GB"/>
    </w:rPr>
  </w:style>
  <w:style w:type="paragraph" w:customStyle="1" w:styleId="Style33">
    <w:name w:val="Style 33"/>
    <w:basedOn w:val="Normal"/>
    <w:link w:val="CharStyle34"/>
    <w:uiPriority w:val="99"/>
    <w:pPr>
      <w:spacing w:after="240"/>
      <w:outlineLvl w:val="3"/>
    </w:pPr>
    <w:rPr>
      <w:rFonts w:ascii="Arial" w:hAnsi="Arial" w:cs="Arial"/>
      <w:color w:val="auto"/>
      <w:sz w:val="19"/>
      <w:szCs w:val="19"/>
      <w:lang w:eastAsia="en-GB"/>
    </w:rPr>
  </w:style>
  <w:style w:type="paragraph" w:customStyle="1" w:styleId="Style38">
    <w:name w:val="Style 38"/>
    <w:basedOn w:val="Normal"/>
    <w:link w:val="CharStyle39"/>
    <w:uiPriority w:val="99"/>
    <w:pPr>
      <w:ind w:left="2720"/>
    </w:pPr>
    <w:rPr>
      <w:rFonts w:ascii="Arial" w:hAnsi="Arial" w:cs="Arial"/>
      <w:color w:val="auto"/>
      <w:sz w:val="11"/>
      <w:szCs w:val="11"/>
      <w:lang w:eastAsia="en-GB"/>
    </w:rPr>
  </w:style>
  <w:style w:type="paragraph" w:customStyle="1" w:styleId="Style40">
    <w:name w:val="Style 40"/>
    <w:basedOn w:val="Normal"/>
    <w:link w:val="CharStyle41"/>
    <w:uiPriority w:val="99"/>
    <w:pPr>
      <w:spacing w:line="298" w:lineRule="auto"/>
    </w:pPr>
    <w:rPr>
      <w:color w:val="auto"/>
      <w:sz w:val="14"/>
      <w:szCs w:val="14"/>
      <w:lang w:eastAsia="en-GB"/>
    </w:rPr>
  </w:style>
  <w:style w:type="paragraph" w:customStyle="1" w:styleId="Style50">
    <w:name w:val="Style 50"/>
    <w:basedOn w:val="Normal"/>
    <w:link w:val="CharStyle51"/>
    <w:uiPriority w:val="99"/>
    <w:pPr>
      <w:spacing w:line="293" w:lineRule="auto"/>
      <w:ind w:firstLine="220"/>
    </w:pPr>
    <w:rPr>
      <w:rFonts w:ascii="Arial" w:hAnsi="Arial" w:cs="Arial"/>
      <w:b/>
      <w:bCs/>
      <w:color w:val="auto"/>
      <w:sz w:val="18"/>
      <w:szCs w:val="18"/>
      <w:lang w:eastAsia="en-GB"/>
    </w:rPr>
  </w:style>
  <w:style w:type="paragraph" w:customStyle="1" w:styleId="Style53">
    <w:name w:val="Style 53"/>
    <w:basedOn w:val="Normal"/>
    <w:link w:val="CharStyle54"/>
    <w:uiPriority w:val="99"/>
    <w:rPr>
      <w:rFonts w:ascii="Arial" w:hAnsi="Arial" w:cs="Arial"/>
      <w:b/>
      <w:bCs/>
      <w:color w:val="auto"/>
      <w:sz w:val="14"/>
      <w:szCs w:val="14"/>
      <w:lang w:eastAsia="en-GB"/>
    </w:rPr>
  </w:style>
  <w:style w:type="paragraph" w:customStyle="1" w:styleId="Style56">
    <w:name w:val="Style 56"/>
    <w:basedOn w:val="Normal"/>
    <w:link w:val="CharStyle57"/>
    <w:uiPriority w:val="99"/>
    <w:pPr>
      <w:spacing w:line="307" w:lineRule="auto"/>
      <w:ind w:firstLine="200"/>
    </w:pPr>
    <w:rPr>
      <w:rFonts w:ascii="Arial" w:hAnsi="Arial" w:cs="Arial"/>
      <w:color w:val="auto"/>
      <w:sz w:val="15"/>
      <w:szCs w:val="15"/>
      <w:lang w:eastAsia="en-GB"/>
    </w:rPr>
  </w:style>
  <w:style w:type="paragraph" w:customStyle="1" w:styleId="Style70">
    <w:name w:val="Style 70"/>
    <w:basedOn w:val="Normal"/>
    <w:link w:val="CharStyle71"/>
    <w:uiPriority w:val="99"/>
    <w:pPr>
      <w:spacing w:line="269" w:lineRule="auto"/>
      <w:outlineLvl w:val="4"/>
    </w:pPr>
    <w:rPr>
      <w:rFonts w:ascii="Arial" w:hAnsi="Arial" w:cs="Arial"/>
      <w:b/>
      <w:bCs/>
      <w:color w:val="auto"/>
      <w:sz w:val="17"/>
      <w:szCs w:val="17"/>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doi.org/10.1038/nmicrobiol.2016.65" TargetMode="External"/><Relationship Id="rId21" Type="http://schemas.openxmlformats.org/officeDocument/2006/relationships/hyperlink" Target="https://pubs.acs.org/doi/10.1021/acs.est.5c10820?goto=articleMetrics&amp;ref=pdf" TargetMode="External"/><Relationship Id="rId42" Type="http://schemas.openxmlformats.org/officeDocument/2006/relationships/hyperlink" Target="https://pubs.acs.org/doi/suppl/10.1021/acs.est.5c10820/suppl_file/es5c10820_si_002.pdf" TargetMode="External"/><Relationship Id="rId63" Type="http://schemas.openxmlformats.org/officeDocument/2006/relationships/image" Target="media/image8.jpeg"/><Relationship Id="rId84" Type="http://schemas.openxmlformats.org/officeDocument/2006/relationships/hyperlink" Target="https://doi.org/10.1128/AEM.02235-20" TargetMode="External"/><Relationship Id="rId138" Type="http://schemas.openxmlformats.org/officeDocument/2006/relationships/hyperlink" Target="https://doi.org/10.1016/j.bbrc.2005.03.139" TargetMode="External"/><Relationship Id="rId159" Type="http://schemas.openxmlformats.org/officeDocument/2006/relationships/hyperlink" Target="https://doi.org/10.1093/oxfordjournals.jbchem.a122032" TargetMode="External"/><Relationship Id="rId170" Type="http://schemas.openxmlformats.org/officeDocument/2006/relationships/hyperlink" Target="https://doi.org/10.3389/fmicb.2020.602010" TargetMode="External"/><Relationship Id="rId191" Type="http://schemas.openxmlformats.org/officeDocument/2006/relationships/hyperlink" Target="https://doi.org/10.1016/j.envint.2023.107761" TargetMode="External"/><Relationship Id="rId205" Type="http://schemas.openxmlformats.org/officeDocument/2006/relationships/hyperlink" Target="https://doi.org/10.1111/j.1462-2920.2009.02071.x" TargetMode="External"/><Relationship Id="rId226" Type="http://schemas.openxmlformats.org/officeDocument/2006/relationships/hyperlink" Target="https://doi.org/10.1373/clinchem.2008.112797" TargetMode="External"/><Relationship Id="rId247" Type="http://schemas.openxmlformats.org/officeDocument/2006/relationships/hyperlink" Target="https://doi.org/10.7717/peerj.17787" TargetMode="External"/><Relationship Id="rId107" Type="http://schemas.openxmlformats.org/officeDocument/2006/relationships/hyperlink" Target="https://doi.org/10.1111/j.1462-2920.2009.01864.x" TargetMode="External"/><Relationship Id="rId268" Type="http://schemas.openxmlformats.org/officeDocument/2006/relationships/hyperlink" Target="https://doi.org/10.3389/fmicb.2023.1135083" TargetMode="External"/><Relationship Id="rId11" Type="http://schemas.openxmlformats.org/officeDocument/2006/relationships/hyperlink" Target="https://pubs.acs.org/action/doSearch?field1=Contrib&amp;text1=%22Hai+Shi%22&amp;field2=AllField&amp;text2=&amp;publication=&amp;accessType=allContent&amp;Earliest=&amp;ref=pdf" TargetMode="External"/><Relationship Id="rId32" Type="http://schemas.openxmlformats.org/officeDocument/2006/relationships/footer" Target="footer3.xml"/><Relationship Id="rId53" Type="http://schemas.openxmlformats.org/officeDocument/2006/relationships/hyperlink" Target="https://pubs.acs.org/doi/suppl/10.1021/acs.est.5c10820/suppl_file/es5c10820_si_002.pdf" TargetMode="External"/><Relationship Id="rId74" Type="http://schemas.openxmlformats.org/officeDocument/2006/relationships/hyperlink" Target="https://doi.org/10.1128/AEM.68.12.5804-5815.2002" TargetMode="External"/><Relationship Id="rId128" Type="http://schemas.openxmlformats.org/officeDocument/2006/relationships/hyperlink" Target="https://doi.org/10.1038/ncomms7579" TargetMode="External"/><Relationship Id="rId149" Type="http://schemas.openxmlformats.org/officeDocument/2006/relationships/header" Target="header7.xml"/><Relationship Id="rId5" Type="http://schemas.openxmlformats.org/officeDocument/2006/relationships/footnotes" Target="footnotes.xml"/><Relationship Id="rId95" Type="http://schemas.openxmlformats.org/officeDocument/2006/relationships/hyperlink" Target="https://doi.org/10.1016/S1385-1101(00)00023-X" TargetMode="External"/><Relationship Id="rId160" Type="http://schemas.openxmlformats.org/officeDocument/2006/relationships/hyperlink" Target="https://doi.org/10.1093/oxfordjournals.jbchem.a122032" TargetMode="External"/><Relationship Id="rId181" Type="http://schemas.openxmlformats.org/officeDocument/2006/relationships/hyperlink" Target="https://doi.org/10.1128/AEM.01258-09" TargetMode="External"/><Relationship Id="rId216" Type="http://schemas.openxmlformats.org/officeDocument/2006/relationships/hyperlink" Target="https://doi.org/10.1093/nar/gkf436" TargetMode="External"/><Relationship Id="rId237" Type="http://schemas.openxmlformats.org/officeDocument/2006/relationships/hyperlink" Target="https://doi.org/10.1016/j.jviromet.2014.10.021" TargetMode="External"/><Relationship Id="rId258" Type="http://schemas.openxmlformats.org/officeDocument/2006/relationships/hyperlink" Target="https://doi.org/10.1111/1462-2920.16045" TargetMode="External"/><Relationship Id="rId22" Type="http://schemas.openxmlformats.org/officeDocument/2006/relationships/hyperlink" Target="https://pubs.acs.org/doi/10.1021/acs.est.5c10820?goto=supporting-info&amp;ref=pdf" TargetMode="External"/><Relationship Id="rId43" Type="http://schemas.openxmlformats.org/officeDocument/2006/relationships/header" Target="header5.xml"/><Relationship Id="rId64" Type="http://schemas.openxmlformats.org/officeDocument/2006/relationships/image" Target="media/image9.jpeg"/><Relationship Id="rId118" Type="http://schemas.openxmlformats.org/officeDocument/2006/relationships/hyperlink" Target="https://doi.org/10.1038/nmicrobiol.2016.65" TargetMode="External"/><Relationship Id="rId139" Type="http://schemas.openxmlformats.org/officeDocument/2006/relationships/hyperlink" Target="https://doi.org/10.1016/j.bbrc.2005.03.139" TargetMode="External"/><Relationship Id="rId85" Type="http://schemas.openxmlformats.org/officeDocument/2006/relationships/hyperlink" Target="https://doi.org/10.1128/AEM.02235-20" TargetMode="External"/><Relationship Id="rId150" Type="http://schemas.openxmlformats.org/officeDocument/2006/relationships/footer" Target="footer8.xml"/><Relationship Id="rId171" Type="http://schemas.openxmlformats.org/officeDocument/2006/relationships/hyperlink" Target="https://doi.org/10.3389/fmicb.2020.602010" TargetMode="External"/><Relationship Id="rId192" Type="http://schemas.openxmlformats.org/officeDocument/2006/relationships/hyperlink" Target="https://doi.org/10.1016/j.envint.2023.107761" TargetMode="External"/><Relationship Id="rId206" Type="http://schemas.openxmlformats.org/officeDocument/2006/relationships/hyperlink" Target="https://doi.org/10.1038/ismej.2017.148" TargetMode="External"/><Relationship Id="rId227" Type="http://schemas.openxmlformats.org/officeDocument/2006/relationships/hyperlink" Target="https://doi.org/10.1073/pnas.1120238109" TargetMode="External"/><Relationship Id="rId248" Type="http://schemas.openxmlformats.org/officeDocument/2006/relationships/hyperlink" Target="https://doi.org/10.7717/peerj.17787" TargetMode="External"/><Relationship Id="rId269" Type="http://schemas.openxmlformats.org/officeDocument/2006/relationships/hyperlink" Target="https://doi.org/10.3389/fmars.2020.608244" TargetMode="External"/><Relationship Id="rId12" Type="http://schemas.openxmlformats.org/officeDocument/2006/relationships/hyperlink" Target="https://pubs.acs.org/action/doSearch?field1=Contrib&amp;text1=%22Zihua+Guo%22&amp;field2=AllField&amp;text2=&amp;publication=&amp;accessType=allContent&amp;Earliest=&amp;ref=pdf" TargetMode="External"/><Relationship Id="rId33" Type="http://schemas.openxmlformats.org/officeDocument/2006/relationships/header" Target="header3.xml"/><Relationship Id="rId108" Type="http://schemas.openxmlformats.org/officeDocument/2006/relationships/hyperlink" Target="https://doi.org/10.1111/j.1462-2920.2009.01864.x" TargetMode="External"/><Relationship Id="rId129" Type="http://schemas.openxmlformats.org/officeDocument/2006/relationships/hyperlink" Target="https://doi.org/10.1126/science.aab1586" TargetMode="External"/><Relationship Id="rId54" Type="http://schemas.openxmlformats.org/officeDocument/2006/relationships/hyperlink" Target="https://pubs.acs.org/doi/suppl/10.1021/acs.est.5c10820/suppl_file/es5c10820_si_002.pdf" TargetMode="External"/><Relationship Id="rId75" Type="http://schemas.openxmlformats.org/officeDocument/2006/relationships/hyperlink" Target="https://doi.org/10.1128/AEM.68.12.5804-5815.2002" TargetMode="External"/><Relationship Id="rId96" Type="http://schemas.openxmlformats.org/officeDocument/2006/relationships/hyperlink" Target="https://doi.org/10.1038/s41467-020-18434-4" TargetMode="External"/><Relationship Id="rId140" Type="http://schemas.openxmlformats.org/officeDocument/2006/relationships/hyperlink" Target="https://doi.org/10.1038/s41564-024-01788-6" TargetMode="External"/><Relationship Id="rId161" Type="http://schemas.openxmlformats.org/officeDocument/2006/relationships/hyperlink" Target="https://doi.org/10.1128/JB.187.5.1659-1667.2005" TargetMode="External"/><Relationship Id="rId182" Type="http://schemas.openxmlformats.org/officeDocument/2006/relationships/hyperlink" Target="https://doi.org/10.1128/AEM.01258-09" TargetMode="External"/><Relationship Id="rId217" Type="http://schemas.openxmlformats.org/officeDocument/2006/relationships/hyperlink" Target="https://doi.org/10.1093/nar/gkf436" TargetMode="External"/><Relationship Id="rId6" Type="http://schemas.openxmlformats.org/officeDocument/2006/relationships/endnotes" Target="endnotes.xml"/><Relationship Id="rId238" Type="http://schemas.openxmlformats.org/officeDocument/2006/relationships/hyperlink" Target="https://doi.org/10.1016/j.jviromet.2014.10.021" TargetMode="External"/><Relationship Id="rId259" Type="http://schemas.openxmlformats.org/officeDocument/2006/relationships/hyperlink" Target="https://doi.org/10.1038/s41598-024-68214-z" TargetMode="External"/><Relationship Id="rId23" Type="http://schemas.openxmlformats.org/officeDocument/2006/relationships/hyperlink" Target="https://pubs.acs.org/doi/10.1021/acs.est.5c10820?goto=supporting-info&amp;ref=pdf" TargetMode="External"/><Relationship Id="rId119" Type="http://schemas.openxmlformats.org/officeDocument/2006/relationships/hyperlink" Target="https://doi.org/10.1038/nmicrobiol.2016.65" TargetMode="External"/><Relationship Id="rId270" Type="http://schemas.openxmlformats.org/officeDocument/2006/relationships/hyperlink" Target="https://doi.org/10.3389/fmars.2020.608244" TargetMode="External"/><Relationship Id="rId44" Type="http://schemas.openxmlformats.org/officeDocument/2006/relationships/footer" Target="footer6.xml"/><Relationship Id="rId65" Type="http://schemas.openxmlformats.org/officeDocument/2006/relationships/hyperlink" Target="https://pubs.acs.org/doi/suppl/10.1021/acs.est.5c10820/suppl_file/es5c10820_si_002.pdf" TargetMode="External"/><Relationship Id="rId86" Type="http://schemas.openxmlformats.org/officeDocument/2006/relationships/hyperlink" Target="https://doi.org/10.1128/AEM.02235-20" TargetMode="External"/><Relationship Id="rId130" Type="http://schemas.openxmlformats.org/officeDocument/2006/relationships/hyperlink" Target="https://doi.org/10.1126/science.aab1586" TargetMode="External"/><Relationship Id="rId151" Type="http://schemas.openxmlformats.org/officeDocument/2006/relationships/header" Target="header8.xml"/><Relationship Id="rId172" Type="http://schemas.openxmlformats.org/officeDocument/2006/relationships/hyperlink" Target="https://doi.org/10.3389/fmicb.2020.602010" TargetMode="External"/><Relationship Id="rId193" Type="http://schemas.openxmlformats.org/officeDocument/2006/relationships/hyperlink" Target="https://doi.org/10.1016/j.watres.2024.121927" TargetMode="External"/><Relationship Id="rId202" Type="http://schemas.openxmlformats.org/officeDocument/2006/relationships/hyperlink" Target="https://doi.org/10.1038/nature10078" TargetMode="External"/><Relationship Id="rId207" Type="http://schemas.openxmlformats.org/officeDocument/2006/relationships/hyperlink" Target="https://doi.org/10.1038/ismej.2017.148" TargetMode="External"/><Relationship Id="rId223" Type="http://schemas.openxmlformats.org/officeDocument/2006/relationships/hyperlink" Target="https://doi.org/10.1128/aem.62.2.316-322.1996" TargetMode="External"/><Relationship Id="rId228" Type="http://schemas.openxmlformats.org/officeDocument/2006/relationships/hyperlink" Target="https://doi.org/10.1007/s00253-015-6416-5" TargetMode="External"/><Relationship Id="rId244" Type="http://schemas.openxmlformats.org/officeDocument/2006/relationships/hyperlink" Target="https://doi.org/10.1128/AEM.01271-16" TargetMode="External"/><Relationship Id="rId249" Type="http://schemas.openxmlformats.org/officeDocument/2006/relationships/hyperlink" Target="https://doi.org/10.3390/microorganisms9030657" TargetMode="External"/><Relationship Id="rId13" Type="http://schemas.openxmlformats.org/officeDocument/2006/relationships/hyperlink" Target="https://pubs.acs.org/action/doSearch?field1=Contrib&amp;text1=%22Gary+Rowley%22&amp;field2=AllField&amp;text2=&amp;publication=&amp;accessType=allContent&amp;Earliest=&amp;ref=pdf" TargetMode="External"/><Relationship Id="rId18" Type="http://schemas.openxmlformats.org/officeDocument/2006/relationships/hyperlink" Target="https://pubs.acs.org/sharingguidelines" TargetMode="External"/><Relationship Id="rId39" Type="http://schemas.openxmlformats.org/officeDocument/2006/relationships/hyperlink" Target="https://pubs.acs.org/doi/suppl/10.1021/acs.est.5c10820/suppl_file/es5c10820_si_002.pdf" TargetMode="External"/><Relationship Id="rId109" Type="http://schemas.openxmlformats.org/officeDocument/2006/relationships/hyperlink" Target="https://doi.org/10.1111/j.1462-2920.2009.01864.x" TargetMode="External"/><Relationship Id="rId260" Type="http://schemas.openxmlformats.org/officeDocument/2006/relationships/hyperlink" Target="https://doi.org/10.1038/s41598-024-68214-z" TargetMode="External"/><Relationship Id="rId265" Type="http://schemas.openxmlformats.org/officeDocument/2006/relationships/hyperlink" Target="https://doi.org/10.1016/j.marpolbul.2025.117637" TargetMode="External"/><Relationship Id="rId34" Type="http://schemas.openxmlformats.org/officeDocument/2006/relationships/footer" Target="footer4.xml"/><Relationship Id="rId50" Type="http://schemas.openxmlformats.org/officeDocument/2006/relationships/hyperlink" Target="https://pubs.acs.org/doi/suppl/10.1021/acs.est.5c10820/suppl_file/es5c10820_si_002.pdf" TargetMode="External"/><Relationship Id="rId55" Type="http://schemas.openxmlformats.org/officeDocument/2006/relationships/hyperlink" Target="https://pubs.acs.org/doi/suppl/10.1021/acs.est.5c10820/suppl_file/es5c10820_si_002.pdf" TargetMode="External"/><Relationship Id="rId76" Type="http://schemas.openxmlformats.org/officeDocument/2006/relationships/hyperlink" Target="https://doi.org/10.3389/fmicb.2017.00637" TargetMode="External"/><Relationship Id="rId97" Type="http://schemas.openxmlformats.org/officeDocument/2006/relationships/hyperlink" Target="https://doi.org/10.1038/s41467-020-18434-4" TargetMode="External"/><Relationship Id="rId104" Type="http://schemas.openxmlformats.org/officeDocument/2006/relationships/hyperlink" Target="https://doi.org/10.1111/j.1462-2920.2007.01499.x" TargetMode="External"/><Relationship Id="rId120" Type="http://schemas.openxmlformats.org/officeDocument/2006/relationships/hyperlink" Target="https://doi.org/10.1111/1462-2920.16355" TargetMode="External"/><Relationship Id="rId125" Type="http://schemas.openxmlformats.org/officeDocument/2006/relationships/hyperlink" Target="https://doi.org/10.1007/s11427-018-9524-y" TargetMode="External"/><Relationship Id="rId141" Type="http://schemas.openxmlformats.org/officeDocument/2006/relationships/hyperlink" Target="https://doi.org/10.1038/s41564-024-01788-6" TargetMode="External"/><Relationship Id="rId146" Type="http://schemas.openxmlformats.org/officeDocument/2006/relationships/hyperlink" Target="https://doi.org/10.1046/j.1365-2958.2002.02978.x" TargetMode="External"/><Relationship Id="rId167" Type="http://schemas.openxmlformats.org/officeDocument/2006/relationships/hyperlink" Target="https://doi.org/10.1038/s41396-023-01430-z" TargetMode="External"/><Relationship Id="rId188" Type="http://schemas.openxmlformats.org/officeDocument/2006/relationships/hyperlink" Target="https://doi.org/10.1007/s11427-018-9364-7" TargetMode="External"/><Relationship Id="rId7" Type="http://schemas.openxmlformats.org/officeDocument/2006/relationships/image" Target="media/image1.jpeg"/><Relationship Id="rId71" Type="http://schemas.openxmlformats.org/officeDocument/2006/relationships/hyperlink" Target="https://orcid.org/0000-0002-7428-7775" TargetMode="External"/><Relationship Id="rId92" Type="http://schemas.openxmlformats.org/officeDocument/2006/relationships/hyperlink" Target="https://doi.org/10.1038/s42003-023-05573-9" TargetMode="External"/><Relationship Id="rId162" Type="http://schemas.openxmlformats.org/officeDocument/2006/relationships/hyperlink" Target="https://doi.org/10.1128/JB.187.5.1659-1667.2005" TargetMode="External"/><Relationship Id="rId183" Type="http://schemas.openxmlformats.org/officeDocument/2006/relationships/hyperlink" Target="https://doi.org/10.1128/AEM.01258-09" TargetMode="External"/><Relationship Id="rId213" Type="http://schemas.openxmlformats.org/officeDocument/2006/relationships/hyperlink" Target="https://doi.org/10.1093/nar/gkr367" TargetMode="External"/><Relationship Id="rId218" Type="http://schemas.openxmlformats.org/officeDocument/2006/relationships/hyperlink" Target="https://doi.org/10.1093/molbev/msaa015" TargetMode="External"/><Relationship Id="rId234" Type="http://schemas.openxmlformats.org/officeDocument/2006/relationships/hyperlink" Target="https://doi.org/10.1007/s00253-019-10022-x" TargetMode="External"/><Relationship Id="rId239" Type="http://schemas.openxmlformats.org/officeDocument/2006/relationships/hyperlink" Target="https://doi.org/10.1016/j.jviromet.2008.07.029" TargetMode="External"/><Relationship Id="rId2" Type="http://schemas.openxmlformats.org/officeDocument/2006/relationships/styles" Target="styles.xml"/><Relationship Id="rId29" Type="http://schemas.openxmlformats.org/officeDocument/2006/relationships/header" Target="header1.xml"/><Relationship Id="rId250" Type="http://schemas.openxmlformats.org/officeDocument/2006/relationships/hyperlink" Target="https://doi.org/10.3390/microorganisms9030657" TargetMode="External"/><Relationship Id="rId255" Type="http://schemas.openxmlformats.org/officeDocument/2006/relationships/hyperlink" Target="https://doi.org/10.3389/fmicb.2022.894026" TargetMode="External"/><Relationship Id="rId271" Type="http://schemas.openxmlformats.org/officeDocument/2006/relationships/hyperlink" Target="https://doi.org/10.3389/fmars.2020.608244" TargetMode="External"/><Relationship Id="rId276" Type="http://schemas.openxmlformats.org/officeDocument/2006/relationships/footer" Target="footer11.xml"/><Relationship Id="rId24" Type="http://schemas.openxmlformats.org/officeDocument/2006/relationships/image" Target="media/image2.jpeg"/><Relationship Id="rId40" Type="http://schemas.openxmlformats.org/officeDocument/2006/relationships/hyperlink" Target="https://pubs.acs.org/doi/suppl/10.1021/acs.est.5c10820/suppl_file/es5c10820_si_002.pdf" TargetMode="External"/><Relationship Id="rId45" Type="http://schemas.openxmlformats.org/officeDocument/2006/relationships/hyperlink" Target="https://pubs.acs.org/doi/suppl/10.1021/acs.est.5c10820/suppl_file/es5c10820_si_002.pdf" TargetMode="External"/><Relationship Id="rId66" Type="http://schemas.openxmlformats.org/officeDocument/2006/relationships/hyperlink" Target="https://github.com/zerooooooooooooooo/DSMG-Chip" TargetMode="External"/><Relationship Id="rId87" Type="http://schemas.openxmlformats.org/officeDocument/2006/relationships/hyperlink" Target="https://doi.org/10.1038/nature00851" TargetMode="External"/><Relationship Id="rId110" Type="http://schemas.openxmlformats.org/officeDocument/2006/relationships/hyperlink" Target="https://doi.org/10.1038/ismej.2010.203" TargetMode="External"/><Relationship Id="rId115" Type="http://schemas.openxmlformats.org/officeDocument/2006/relationships/hyperlink" Target="https://doi.org/10.1038/ismej.2011.79" TargetMode="External"/><Relationship Id="rId131" Type="http://schemas.openxmlformats.org/officeDocument/2006/relationships/hyperlink" Target="https://doi.org/10.1126/science.1130657" TargetMode="External"/><Relationship Id="rId136" Type="http://schemas.openxmlformats.org/officeDocument/2006/relationships/hyperlink" Target="https://doi.org/10.1038/nmicrobiol.2017.9" TargetMode="External"/><Relationship Id="rId157" Type="http://schemas.openxmlformats.org/officeDocument/2006/relationships/hyperlink" Target="https://doi.org/10.1093/oxfordjournals.jbchem.a122032" TargetMode="External"/><Relationship Id="rId178" Type="http://schemas.openxmlformats.org/officeDocument/2006/relationships/hyperlink" Target="https://doi.org/10.1128/aem.00251-23" TargetMode="External"/><Relationship Id="rId61" Type="http://schemas.openxmlformats.org/officeDocument/2006/relationships/footer" Target="footer7.xml"/><Relationship Id="rId82" Type="http://schemas.openxmlformats.org/officeDocument/2006/relationships/hyperlink" Target="https://doi.org/10.1038/s41564-024-01715-9" TargetMode="External"/><Relationship Id="rId152" Type="http://schemas.openxmlformats.org/officeDocument/2006/relationships/footer" Target="footer9.xml"/><Relationship Id="rId173" Type="http://schemas.openxmlformats.org/officeDocument/2006/relationships/hyperlink" Target="https://doi.org/10.3389/fmicb.2020.602010" TargetMode="External"/><Relationship Id="rId194" Type="http://schemas.openxmlformats.org/officeDocument/2006/relationships/hyperlink" Target="https://doi.org/10.1016/j.watres.2024.121927" TargetMode="External"/><Relationship Id="rId199" Type="http://schemas.openxmlformats.org/officeDocument/2006/relationships/hyperlink" Target="https://doi.org/10.1002/anie.202003958" TargetMode="External"/><Relationship Id="rId203" Type="http://schemas.openxmlformats.org/officeDocument/2006/relationships/hyperlink" Target="https://doi.org/10.1111/j.1462-2920.2009.02071.x" TargetMode="External"/><Relationship Id="rId208" Type="http://schemas.openxmlformats.org/officeDocument/2006/relationships/hyperlink" Target="https://doi.org/10.1128/jb.178.22.6599-6607.1996" TargetMode="External"/><Relationship Id="rId229" Type="http://schemas.openxmlformats.org/officeDocument/2006/relationships/hyperlink" Target="https://doi.org/10.1007/s00253-015-6416-5" TargetMode="External"/><Relationship Id="rId19" Type="http://schemas.openxmlformats.org/officeDocument/2006/relationships/hyperlink" Target="https://pubs.acs.org/sharingguidelines" TargetMode="External"/><Relationship Id="rId224" Type="http://schemas.openxmlformats.org/officeDocument/2006/relationships/hyperlink" Target="https://doi.org/10.1128/aem.62.2.316-322.1996" TargetMode="External"/><Relationship Id="rId240" Type="http://schemas.openxmlformats.org/officeDocument/2006/relationships/hyperlink" Target="https://doi.org/10.1016/j.jviromet.2008.07.029" TargetMode="External"/><Relationship Id="rId245" Type="http://schemas.openxmlformats.org/officeDocument/2006/relationships/hyperlink" Target="https://doi.org/10.1111/2041-210X.13946" TargetMode="External"/><Relationship Id="rId261" Type="http://schemas.openxmlformats.org/officeDocument/2006/relationships/hyperlink" Target="https://doi.org/10.1038/s41598-024-68214-z" TargetMode="External"/><Relationship Id="rId266" Type="http://schemas.openxmlformats.org/officeDocument/2006/relationships/hyperlink" Target="https://doi.org/10.3389/fmicb.2023.1135083" TargetMode="External"/><Relationship Id="rId14" Type="http://schemas.openxmlformats.org/officeDocument/2006/relationships/hyperlink" Target="https://pubs.acs.org/action/doSearch?field1=Contrib&amp;text1=%22Jonathan+D.+Todd%22&amp;field2=AllField&amp;text2=&amp;publication=&amp;accessType=allContent&amp;Earliest=&amp;ref=pdf" TargetMode="External"/><Relationship Id="rId30" Type="http://schemas.openxmlformats.org/officeDocument/2006/relationships/footer" Target="footer2.xml"/><Relationship Id="rId35" Type="http://schemas.openxmlformats.org/officeDocument/2006/relationships/header" Target="header4.xml"/><Relationship Id="rId56" Type="http://schemas.openxmlformats.org/officeDocument/2006/relationships/hyperlink" Target="https://pubs.acs.org/doi/suppl/10.1021/acs.est.5c10820/suppl_file/es5c10820_si_002.pdf" TargetMode="External"/><Relationship Id="rId77" Type="http://schemas.openxmlformats.org/officeDocument/2006/relationships/hyperlink" Target="https://doi.org/10.3389/fmicb.2017.00637" TargetMode="External"/><Relationship Id="rId100" Type="http://schemas.openxmlformats.org/officeDocument/2006/relationships/hyperlink" Target="https://doi.org/10.1007/s11427-018-9524-y" TargetMode="External"/><Relationship Id="rId105" Type="http://schemas.openxmlformats.org/officeDocument/2006/relationships/hyperlink" Target="https://doi.org/10.1111/j.1462-2920.2007.01499.x" TargetMode="External"/><Relationship Id="rId126" Type="http://schemas.openxmlformats.org/officeDocument/2006/relationships/hyperlink" Target="https://doi.org/10.1007/s11427-018-9524-y" TargetMode="External"/><Relationship Id="rId147" Type="http://schemas.openxmlformats.org/officeDocument/2006/relationships/hyperlink" Target="https://doi.org/10.1046/j.1365-2958.2002.02978.x" TargetMode="External"/><Relationship Id="rId168" Type="http://schemas.openxmlformats.org/officeDocument/2006/relationships/hyperlink" Target="https://doi.org/10.1038/s41396-023-01430-z" TargetMode="External"/><Relationship Id="rId8" Type="http://schemas.openxmlformats.org/officeDocument/2006/relationships/footer" Target="footer1.xml"/><Relationship Id="rId51" Type="http://schemas.openxmlformats.org/officeDocument/2006/relationships/hyperlink" Target="https://pubs.acs.org/doi/suppl/10.1021/acs.est.5c10820/suppl_file/es5c10820_si_002.pdf" TargetMode="External"/><Relationship Id="rId72" Type="http://schemas.openxmlformats.org/officeDocument/2006/relationships/hyperlink" Target="mailto:xhzhang@ouc.edu.cn" TargetMode="External"/><Relationship Id="rId93" Type="http://schemas.openxmlformats.org/officeDocument/2006/relationships/hyperlink" Target="https://doi.org/10.1038/s42003-023-05573-9" TargetMode="External"/><Relationship Id="rId98" Type="http://schemas.openxmlformats.org/officeDocument/2006/relationships/hyperlink" Target="https://doi.org/10.1038/s41467-020-18434-4" TargetMode="External"/><Relationship Id="rId121" Type="http://schemas.openxmlformats.org/officeDocument/2006/relationships/hyperlink" Target="https://doi.org/10.1111/1462-2920.16355" TargetMode="External"/><Relationship Id="rId142" Type="http://schemas.openxmlformats.org/officeDocument/2006/relationships/hyperlink" Target="https://doi.org/10.1038/s41564-024-01788-6" TargetMode="External"/><Relationship Id="rId163" Type="http://schemas.openxmlformats.org/officeDocument/2006/relationships/hyperlink" Target="https://doi.org/10.1128/JB.187.5.1659-1667.2005" TargetMode="External"/><Relationship Id="rId184" Type="http://schemas.openxmlformats.org/officeDocument/2006/relationships/hyperlink" Target="https://doi.org/10.1128/AEM.01258-09" TargetMode="External"/><Relationship Id="rId189" Type="http://schemas.openxmlformats.org/officeDocument/2006/relationships/hyperlink" Target="https://doi.org/10.1007/s11427-018-9364-7" TargetMode="External"/><Relationship Id="rId219" Type="http://schemas.openxmlformats.org/officeDocument/2006/relationships/hyperlink" Target="https://doi.org/10.1093/molbev/msaa015" TargetMode="External"/><Relationship Id="rId3" Type="http://schemas.openxmlformats.org/officeDocument/2006/relationships/settings" Target="settings.xml"/><Relationship Id="rId214" Type="http://schemas.openxmlformats.org/officeDocument/2006/relationships/hyperlink" Target="https://doi.org/10.1093/nar/gkr367" TargetMode="External"/><Relationship Id="rId230" Type="http://schemas.openxmlformats.org/officeDocument/2006/relationships/header" Target="header9.xml"/><Relationship Id="rId235" Type="http://schemas.openxmlformats.org/officeDocument/2006/relationships/image" Target="media/image10.jpeg"/><Relationship Id="rId251" Type="http://schemas.openxmlformats.org/officeDocument/2006/relationships/hyperlink" Target="https://doi.org/10.1186/s40168-021-01153-3" TargetMode="External"/><Relationship Id="rId256" Type="http://schemas.openxmlformats.org/officeDocument/2006/relationships/hyperlink" Target="https://doi.org/10.3389/fmicb.2022.894026" TargetMode="External"/><Relationship Id="rId277" Type="http://schemas.openxmlformats.org/officeDocument/2006/relationships/fontTable" Target="fontTable.xml"/><Relationship Id="rId25" Type="http://schemas.openxmlformats.org/officeDocument/2006/relationships/image" Target="media/image3.jpeg"/><Relationship Id="rId46" Type="http://schemas.openxmlformats.org/officeDocument/2006/relationships/image" Target="media/image5.jpeg"/><Relationship Id="rId67" Type="http://schemas.openxmlformats.org/officeDocument/2006/relationships/hyperlink" Target="https://pubs.acs.org/doi/10.1021/acs.est.5c10820?goto=supporting-info" TargetMode="External"/><Relationship Id="rId116" Type="http://schemas.openxmlformats.org/officeDocument/2006/relationships/hyperlink" Target="https://doi.org/10.1038/ismej.2011.79" TargetMode="External"/><Relationship Id="rId137" Type="http://schemas.openxmlformats.org/officeDocument/2006/relationships/hyperlink" Target="https://doi.org/10.1016/j.bbrc.2005.03.139" TargetMode="External"/><Relationship Id="rId158" Type="http://schemas.openxmlformats.org/officeDocument/2006/relationships/hyperlink" Target="https://doi.org/10.1093/oxfordjournals.jbchem.a122032" TargetMode="External"/><Relationship Id="rId272" Type="http://schemas.openxmlformats.org/officeDocument/2006/relationships/hyperlink" Target="https://doi.org/10.1371/journal.pone.0235235" TargetMode="External"/><Relationship Id="rId20" Type="http://schemas.openxmlformats.org/officeDocument/2006/relationships/hyperlink" Target="https://pubs.acs.org/doi/10.1021/acs.est.5c10820?goto=articleMetrics&amp;ref=pdf" TargetMode="External"/><Relationship Id="rId41" Type="http://schemas.openxmlformats.org/officeDocument/2006/relationships/hyperlink" Target="https://pubs.acs.org/doi/suppl/10.1021/acs.est.5c10820/suppl_file/es5c10820_si_002.pdf" TargetMode="External"/><Relationship Id="rId62" Type="http://schemas.openxmlformats.org/officeDocument/2006/relationships/image" Target="media/image7.jpeg"/><Relationship Id="rId83" Type="http://schemas.openxmlformats.org/officeDocument/2006/relationships/hyperlink" Target="https://doi.org/10.1146/annurev.pp.41.060190.000321" TargetMode="External"/><Relationship Id="rId88" Type="http://schemas.openxmlformats.org/officeDocument/2006/relationships/hyperlink" Target="https://doi.org/10.1038/nature00851" TargetMode="External"/><Relationship Id="rId111" Type="http://schemas.openxmlformats.org/officeDocument/2006/relationships/hyperlink" Target="https://doi.org/10.1038/ismej.2010.203" TargetMode="External"/><Relationship Id="rId132" Type="http://schemas.openxmlformats.org/officeDocument/2006/relationships/hyperlink" Target="https://doi.org/10.1128/JB.00770-08" TargetMode="External"/><Relationship Id="rId153" Type="http://schemas.openxmlformats.org/officeDocument/2006/relationships/hyperlink" Target="https://doi.org/10.1111/j.1574-6968.1997.tb12692.x" TargetMode="External"/><Relationship Id="rId174" Type="http://schemas.openxmlformats.org/officeDocument/2006/relationships/hyperlink" Target="https://doi.org/10.3389/fmicb.2020.00157" TargetMode="External"/><Relationship Id="rId179" Type="http://schemas.openxmlformats.org/officeDocument/2006/relationships/hyperlink" Target="https://doi.org/10.1038/s41564-019-0527-1" TargetMode="External"/><Relationship Id="rId195" Type="http://schemas.openxmlformats.org/officeDocument/2006/relationships/hyperlink" Target="https://doi.org/10.1016/j.watres.2024.121927" TargetMode="External"/><Relationship Id="rId209" Type="http://schemas.openxmlformats.org/officeDocument/2006/relationships/hyperlink" Target="https://doi.org/10.1128/jb.178.22.6599-6607.1996" TargetMode="External"/><Relationship Id="rId190" Type="http://schemas.openxmlformats.org/officeDocument/2006/relationships/hyperlink" Target="https://doi.org/10.1016/j.envint.2023.107761" TargetMode="External"/><Relationship Id="rId204" Type="http://schemas.openxmlformats.org/officeDocument/2006/relationships/hyperlink" Target="https://doi.org/10.1111/j.1462-2920.2009.02071.x" TargetMode="External"/><Relationship Id="rId220" Type="http://schemas.openxmlformats.org/officeDocument/2006/relationships/hyperlink" Target="https://doi.org/10.1093/molbev/msaa015" TargetMode="External"/><Relationship Id="rId225" Type="http://schemas.openxmlformats.org/officeDocument/2006/relationships/hyperlink" Target="https://doi.org/10.1373/clinchem.2008.112797" TargetMode="External"/><Relationship Id="rId241" Type="http://schemas.openxmlformats.org/officeDocument/2006/relationships/hyperlink" Target="https://doi.org/10.1016/j.jviromet.2008.07.029" TargetMode="External"/><Relationship Id="rId246" Type="http://schemas.openxmlformats.org/officeDocument/2006/relationships/hyperlink" Target="https://doi.org/10.1111/2041-210X.13946" TargetMode="External"/><Relationship Id="rId267" Type="http://schemas.openxmlformats.org/officeDocument/2006/relationships/hyperlink" Target="https://doi.org/10.3389/fmicb.2023.1135083" TargetMode="External"/><Relationship Id="rId15" Type="http://schemas.openxmlformats.org/officeDocument/2006/relationships/hyperlink" Target="https://pubs.acs.org/action/doSearch?field1=Contrib&amp;text1=%22Xiao-Hua+Zhang%22&amp;field2=AllField&amp;text2=&amp;publication=&amp;accessType=allContent&amp;Earliest=&amp;ref=pdf" TargetMode="External"/><Relationship Id="rId36" Type="http://schemas.openxmlformats.org/officeDocument/2006/relationships/footer" Target="footer5.xml"/><Relationship Id="rId57" Type="http://schemas.openxmlformats.org/officeDocument/2006/relationships/image" Target="media/image6.jpeg"/><Relationship Id="rId106" Type="http://schemas.openxmlformats.org/officeDocument/2006/relationships/hyperlink" Target="https://doi.org/10.1111/j.1462-2920.2009.01864.x" TargetMode="External"/><Relationship Id="rId127" Type="http://schemas.openxmlformats.org/officeDocument/2006/relationships/hyperlink" Target="https://doi.org/10.1038/ncomms7579" TargetMode="External"/><Relationship Id="rId262" Type="http://schemas.openxmlformats.org/officeDocument/2006/relationships/hyperlink" Target="https://doi.org/10.1038/s41598-024-68214-z" TargetMode="External"/><Relationship Id="rId10" Type="http://schemas.openxmlformats.org/officeDocument/2006/relationships/hyperlink" Target="https://pubs.acs.org/action/doSearch?field1=Contrib&amp;text1=%22Yunhui+Zhang%22&amp;field2=AllField&amp;text2=&amp;publication=&amp;accessType=allContent&amp;Earliest=&amp;ref=pdf" TargetMode="External"/><Relationship Id="rId31" Type="http://schemas.openxmlformats.org/officeDocument/2006/relationships/header" Target="header2.xml"/><Relationship Id="rId52" Type="http://schemas.openxmlformats.org/officeDocument/2006/relationships/hyperlink" Target="https://pubs.acs.org/doi/suppl/10.1021/acs.est.5c10820/suppl_file/es5c10820_si_002.pdf" TargetMode="External"/><Relationship Id="rId73" Type="http://schemas.openxmlformats.org/officeDocument/2006/relationships/hyperlink" Target="https://pubs.acs.org/doi/10.1021/acs.est.5c10820?ref=pdf" TargetMode="External"/><Relationship Id="rId78" Type="http://schemas.openxmlformats.org/officeDocument/2006/relationships/hyperlink" Target="https://doi.org/10.3389/fmicb.2017.00637" TargetMode="External"/><Relationship Id="rId94" Type="http://schemas.openxmlformats.org/officeDocument/2006/relationships/hyperlink" Target="https://doi.org/10.1016/S1385-1101(00)00023-X" TargetMode="External"/><Relationship Id="rId99" Type="http://schemas.openxmlformats.org/officeDocument/2006/relationships/hyperlink" Target="https://doi.org/10.1007/s11427-018-9524-y" TargetMode="External"/><Relationship Id="rId101" Type="http://schemas.openxmlformats.org/officeDocument/2006/relationships/hyperlink" Target="https://doi.org/10.1126/science.1135370" TargetMode="External"/><Relationship Id="rId122" Type="http://schemas.openxmlformats.org/officeDocument/2006/relationships/hyperlink" Target="https://doi.org/10.7554/eLife.64045" TargetMode="External"/><Relationship Id="rId143" Type="http://schemas.openxmlformats.org/officeDocument/2006/relationships/hyperlink" Target="https://doi.org/10.1038/s41396-023-01539-1" TargetMode="External"/><Relationship Id="rId148" Type="http://schemas.openxmlformats.org/officeDocument/2006/relationships/hyperlink" Target="https://doi.org/10.1046/j.1365-2958.2002.02978.x" TargetMode="External"/><Relationship Id="rId164" Type="http://schemas.openxmlformats.org/officeDocument/2006/relationships/hyperlink" Target="https://doi.org/10.1128/JB.187.5.1659-1667.2005" TargetMode="External"/><Relationship Id="rId169" Type="http://schemas.openxmlformats.org/officeDocument/2006/relationships/hyperlink" Target="https://doi.org/10.1038/s41396-023-01430-z" TargetMode="External"/><Relationship Id="rId185" Type="http://schemas.openxmlformats.org/officeDocument/2006/relationships/hyperlink" Target="https://doi.org/10.3389/fmicb.2018.03206" TargetMode="External"/><Relationship Id="rId4" Type="http://schemas.openxmlformats.org/officeDocument/2006/relationships/webSettings" Target="webSettings.xml"/><Relationship Id="rId9" Type="http://schemas.openxmlformats.org/officeDocument/2006/relationships/hyperlink" Target="https://pubs.acs.org/action/doSearch?field1=Contrib&amp;text1=%22Dong+Liu%22&amp;field2=AllField&amp;text2=&amp;publication=&amp;accessType=allContent&amp;Earliest=&amp;ref=pdf" TargetMode="External"/><Relationship Id="rId180" Type="http://schemas.openxmlformats.org/officeDocument/2006/relationships/hyperlink" Target="https://doi.org/10.1038/s41564-019-0527-1" TargetMode="External"/><Relationship Id="rId210" Type="http://schemas.openxmlformats.org/officeDocument/2006/relationships/hyperlink" Target="https://doi.org/10.1128/jb.178.22.6599-6607.1996" TargetMode="External"/><Relationship Id="rId215" Type="http://schemas.openxmlformats.org/officeDocument/2006/relationships/hyperlink" Target="https://doi.org/10.1093/nar/gkf436" TargetMode="External"/><Relationship Id="rId236" Type="http://schemas.openxmlformats.org/officeDocument/2006/relationships/image" Target="media/image11.jpeg"/><Relationship Id="rId257" Type="http://schemas.openxmlformats.org/officeDocument/2006/relationships/hyperlink" Target="https://doi.org/10.1111/1462-2920.16045" TargetMode="External"/><Relationship Id="rId278" Type="http://schemas.openxmlformats.org/officeDocument/2006/relationships/theme" Target="theme/theme1.xml"/><Relationship Id="rId26" Type="http://schemas.openxmlformats.org/officeDocument/2006/relationships/image" Target="media/image4.jpeg"/><Relationship Id="rId231" Type="http://schemas.openxmlformats.org/officeDocument/2006/relationships/footer" Target="footer10.xml"/><Relationship Id="rId252" Type="http://schemas.openxmlformats.org/officeDocument/2006/relationships/hyperlink" Target="https://doi.org/10.1186/s40168-021-01153-3" TargetMode="External"/><Relationship Id="rId273" Type="http://schemas.openxmlformats.org/officeDocument/2006/relationships/hyperlink" Target="https://doi.org/10.1371/journal.pone.0235235" TargetMode="External"/><Relationship Id="rId47" Type="http://schemas.openxmlformats.org/officeDocument/2006/relationships/hyperlink" Target="https://pubs.acs.org/doi/suppl/10.1021/acs.est.5c10820/suppl_file/es5c10820_si_002.pdf" TargetMode="External"/><Relationship Id="rId68" Type="http://schemas.openxmlformats.org/officeDocument/2006/relationships/hyperlink" Target="https://pubs.acs.org/doi/suppl/10.1021/acs.est.5c10820/suppl_file/es5c10820_si_001.xlsx" TargetMode="External"/><Relationship Id="rId89" Type="http://schemas.openxmlformats.org/officeDocument/2006/relationships/hyperlink" Target="https://doi.org/10.1038/s41564-018-0119-5" TargetMode="External"/><Relationship Id="rId112" Type="http://schemas.openxmlformats.org/officeDocument/2006/relationships/hyperlink" Target="https://doi.org/10.1111/j.1462-2920.2010.02348.x" TargetMode="External"/><Relationship Id="rId133" Type="http://schemas.openxmlformats.org/officeDocument/2006/relationships/hyperlink" Target="https://doi.org/10.1128/JB.00770-08" TargetMode="External"/><Relationship Id="rId154" Type="http://schemas.openxmlformats.org/officeDocument/2006/relationships/hyperlink" Target="https://doi.org/10.1111/j.1574-6968.1997.tb12692.x" TargetMode="External"/><Relationship Id="rId175" Type="http://schemas.openxmlformats.org/officeDocument/2006/relationships/hyperlink" Target="https://doi.org/10.3389/fmicb.2020.00157" TargetMode="External"/><Relationship Id="rId196" Type="http://schemas.openxmlformats.org/officeDocument/2006/relationships/hyperlink" Target="https://doi.org/10.1016/j.watres.2024.122106" TargetMode="External"/><Relationship Id="rId200" Type="http://schemas.openxmlformats.org/officeDocument/2006/relationships/hyperlink" Target="https://doi.org/10.1002/anie.202003958" TargetMode="External"/><Relationship Id="rId16" Type="http://schemas.openxmlformats.org/officeDocument/2006/relationships/hyperlink" Target="https://pubs.acs.org/doi/10.1021/acs.est.5c10820?ref=pdf" TargetMode="External"/><Relationship Id="rId221" Type="http://schemas.openxmlformats.org/officeDocument/2006/relationships/hyperlink" Target="https://doi.org/10.1093/bioinformatics/bts199" TargetMode="External"/><Relationship Id="rId242" Type="http://schemas.openxmlformats.org/officeDocument/2006/relationships/hyperlink" Target="https://doi.org/10.1128/AEM.01271-16" TargetMode="External"/><Relationship Id="rId263" Type="http://schemas.openxmlformats.org/officeDocument/2006/relationships/hyperlink" Target="https://doi.org/10.1016/j.marpolbul.2025.117637" TargetMode="External"/><Relationship Id="rId37" Type="http://schemas.openxmlformats.org/officeDocument/2006/relationships/hyperlink" Target="https://pubs.acs.org/doi/suppl/10.1021/acs.est.5c10820/suppl_file/es5c10820_si_002.pdf" TargetMode="External"/><Relationship Id="rId58" Type="http://schemas.openxmlformats.org/officeDocument/2006/relationships/hyperlink" Target="https://pubs.acs.org/doi/suppl/10.1021/acs.est.5c10820/suppl_file/es5c10820_si_002.pdf" TargetMode="External"/><Relationship Id="rId79" Type="http://schemas.openxmlformats.org/officeDocument/2006/relationships/hyperlink" Target="https://doi.org/10.1038/s41467-022-30491-5" TargetMode="External"/><Relationship Id="rId102" Type="http://schemas.openxmlformats.org/officeDocument/2006/relationships/hyperlink" Target="https://doi.org/10.1126/science.1135370" TargetMode="External"/><Relationship Id="rId123" Type="http://schemas.openxmlformats.org/officeDocument/2006/relationships/hyperlink" Target="https://doi.org/10.7554/eLife.64045" TargetMode="External"/><Relationship Id="rId144" Type="http://schemas.openxmlformats.org/officeDocument/2006/relationships/hyperlink" Target="https://doi.org/10.1038/s41396-023-01539-1" TargetMode="External"/><Relationship Id="rId90" Type="http://schemas.openxmlformats.org/officeDocument/2006/relationships/hyperlink" Target="https://doi.org/10.1038/s41564-018-0119-5" TargetMode="External"/><Relationship Id="rId165" Type="http://schemas.openxmlformats.org/officeDocument/2006/relationships/hyperlink" Target="https://doi.org/10.1038/s41564-023-01526-4" TargetMode="External"/><Relationship Id="rId186" Type="http://schemas.openxmlformats.org/officeDocument/2006/relationships/hyperlink" Target="https://doi.org/10.3389/fmicb.2018.03206" TargetMode="External"/><Relationship Id="rId211" Type="http://schemas.openxmlformats.org/officeDocument/2006/relationships/hyperlink" Target="https://doi.org/10.1128/JB.00977-10" TargetMode="External"/><Relationship Id="rId232" Type="http://schemas.openxmlformats.org/officeDocument/2006/relationships/hyperlink" Target="https://doi.org/10.1007/s00253-019-10022-x" TargetMode="External"/><Relationship Id="rId253" Type="http://schemas.openxmlformats.org/officeDocument/2006/relationships/hyperlink" Target="https://doi.org/10.1186/s40168-021-01153-3" TargetMode="External"/><Relationship Id="rId274" Type="http://schemas.openxmlformats.org/officeDocument/2006/relationships/hyperlink" Target="https://doi.org/10.1016/j.tree.2009.09.009" TargetMode="External"/><Relationship Id="rId27" Type="http://schemas.openxmlformats.org/officeDocument/2006/relationships/hyperlink" Target="https://github.com/zerooooooooooooooo/DSMG-Chip" TargetMode="External"/><Relationship Id="rId48" Type="http://schemas.openxmlformats.org/officeDocument/2006/relationships/hyperlink" Target="https://pubs.acs.org/doi/suppl/10.1021/acs.est.5c10820/suppl_file/es5c10820_si_002.pdf" TargetMode="External"/><Relationship Id="rId69" Type="http://schemas.openxmlformats.org/officeDocument/2006/relationships/hyperlink" Target="https://pubs.acs.org/doi/suppl/10.1021/acs.est.5c10820/suppl_file/es5c10820_si_002.pdf" TargetMode="External"/><Relationship Id="rId113" Type="http://schemas.openxmlformats.org/officeDocument/2006/relationships/hyperlink" Target="https://doi.org/10.1111/j.1462-2920.2010.02348.x" TargetMode="External"/><Relationship Id="rId134" Type="http://schemas.openxmlformats.org/officeDocument/2006/relationships/hyperlink" Target="https://doi.org/10.1128/JB.00770-08" TargetMode="External"/><Relationship Id="rId80" Type="http://schemas.openxmlformats.org/officeDocument/2006/relationships/hyperlink" Target="https://doi.org/10.1038/s41467-022-30491-5" TargetMode="External"/><Relationship Id="rId155" Type="http://schemas.openxmlformats.org/officeDocument/2006/relationships/hyperlink" Target="https://doi.org/10.1073/pnas.1112928108" TargetMode="External"/><Relationship Id="rId176" Type="http://schemas.openxmlformats.org/officeDocument/2006/relationships/hyperlink" Target="https://doi.org/10.3389/fmicb.2020.00157" TargetMode="External"/><Relationship Id="rId197" Type="http://schemas.openxmlformats.org/officeDocument/2006/relationships/hyperlink" Target="https://doi.org/10.1016/j.watres.2024.122106" TargetMode="External"/><Relationship Id="rId201" Type="http://schemas.openxmlformats.org/officeDocument/2006/relationships/hyperlink" Target="https://doi.org/10.1038/nature10078" TargetMode="External"/><Relationship Id="rId222" Type="http://schemas.openxmlformats.org/officeDocument/2006/relationships/hyperlink" Target="https://doi.org/10.1093/bioinformatics/bts199" TargetMode="External"/><Relationship Id="rId243" Type="http://schemas.openxmlformats.org/officeDocument/2006/relationships/hyperlink" Target="https://doi.org/10.1128/AEM.01271-16" TargetMode="External"/><Relationship Id="rId264" Type="http://schemas.openxmlformats.org/officeDocument/2006/relationships/hyperlink" Target="https://doi.org/10.1016/j.marpolbul.2025.117637" TargetMode="External"/><Relationship Id="rId17" Type="http://schemas.openxmlformats.org/officeDocument/2006/relationships/hyperlink" Target="https://pubs.acs.org/doi/10.1021/acs.est.5c10820?ref=pdf" TargetMode="External"/><Relationship Id="rId38" Type="http://schemas.openxmlformats.org/officeDocument/2006/relationships/hyperlink" Target="https://pubs.acs.org/doi/suppl/10.1021/acs.est.5c10820/suppl_file/es5c10820_si_002.pdf" TargetMode="External"/><Relationship Id="rId59" Type="http://schemas.openxmlformats.org/officeDocument/2006/relationships/hyperlink" Target="https://pubs.acs.org/doi/suppl/10.1021/acs.est.5c10820/suppl_file/es5c10820_si_002.pdf" TargetMode="External"/><Relationship Id="rId103" Type="http://schemas.openxmlformats.org/officeDocument/2006/relationships/hyperlink" Target="https://doi.org/10.1111/j.1462-2920.2007.01499.x" TargetMode="External"/><Relationship Id="rId124" Type="http://schemas.openxmlformats.org/officeDocument/2006/relationships/hyperlink" Target="https://doi.org/10.7554/eLife.64045" TargetMode="External"/><Relationship Id="rId70" Type="http://schemas.openxmlformats.org/officeDocument/2006/relationships/hyperlink" Target="https://orcid.org/0000-0002-7428-7775" TargetMode="External"/><Relationship Id="rId91" Type="http://schemas.openxmlformats.org/officeDocument/2006/relationships/hyperlink" Target="https://doi.org/10.1038/s42003-023-05573-9" TargetMode="External"/><Relationship Id="rId145" Type="http://schemas.openxmlformats.org/officeDocument/2006/relationships/hyperlink" Target="https://doi.org/10.1038/s41396-023-01539-1" TargetMode="External"/><Relationship Id="rId166" Type="http://schemas.openxmlformats.org/officeDocument/2006/relationships/hyperlink" Target="https://doi.org/10.1038/s41564-023-01526-4" TargetMode="External"/><Relationship Id="rId187" Type="http://schemas.openxmlformats.org/officeDocument/2006/relationships/hyperlink" Target="https://doi.org/10.1007/s11427-018-9364-7" TargetMode="External"/><Relationship Id="rId1" Type="http://schemas.openxmlformats.org/officeDocument/2006/relationships/numbering" Target="numbering.xml"/><Relationship Id="rId212" Type="http://schemas.openxmlformats.org/officeDocument/2006/relationships/hyperlink" Target="https://doi.org/10.1128/JB.00977-10" TargetMode="External"/><Relationship Id="rId233" Type="http://schemas.openxmlformats.org/officeDocument/2006/relationships/hyperlink" Target="https://doi.org/10.1007/s00253-019-10022-x" TargetMode="External"/><Relationship Id="rId254" Type="http://schemas.openxmlformats.org/officeDocument/2006/relationships/hyperlink" Target="https://doi.org/10.3389/fmicb.2022.894026" TargetMode="External"/><Relationship Id="rId28" Type="http://schemas.openxmlformats.org/officeDocument/2006/relationships/hyperlink" Target="https://pubs.acs.org/doi/suppl/10.1021/acs.est.5c10820/suppl_file/es5c10820_si_002.pdf" TargetMode="External"/><Relationship Id="rId49" Type="http://schemas.openxmlformats.org/officeDocument/2006/relationships/hyperlink" Target="https://pubs.acs.org/doi/suppl/10.1021/acs.est.5c10820/suppl_file/es5c10820_si_002.pdf" TargetMode="External"/><Relationship Id="rId114" Type="http://schemas.openxmlformats.org/officeDocument/2006/relationships/hyperlink" Target="https://doi.org/10.1111/j.1462-2920.2010.02348.x" TargetMode="External"/><Relationship Id="rId275" Type="http://schemas.openxmlformats.org/officeDocument/2006/relationships/header" Target="header10.xml"/><Relationship Id="rId60" Type="http://schemas.openxmlformats.org/officeDocument/2006/relationships/header" Target="header6.xml"/><Relationship Id="rId81" Type="http://schemas.openxmlformats.org/officeDocument/2006/relationships/hyperlink" Target="https://doi.org/10.1038/s41564-024-01715-9" TargetMode="External"/><Relationship Id="rId135" Type="http://schemas.openxmlformats.org/officeDocument/2006/relationships/hyperlink" Target="https://doi.org/10.1038/nmicrobiol.2017.9" TargetMode="External"/><Relationship Id="rId156" Type="http://schemas.openxmlformats.org/officeDocument/2006/relationships/hyperlink" Target="https://doi.org/10.1073/pnas.1112928108" TargetMode="External"/><Relationship Id="rId177" Type="http://schemas.openxmlformats.org/officeDocument/2006/relationships/hyperlink" Target="https://doi.org/10.1128/aem.00251-23" TargetMode="External"/><Relationship Id="rId198" Type="http://schemas.openxmlformats.org/officeDocument/2006/relationships/hyperlink" Target="https://doi.org/10.1002/anie.20200395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12263</Words>
  <Characters>69905</Characters>
  <Application>Microsoft Office Word</Application>
  <DocSecurity>4</DocSecurity>
  <Lines>582</Lines>
  <Paragraphs>164</Paragraphs>
  <ScaleCrop>false</ScaleCrop>
  <Company/>
  <LinksUpToDate>false</LinksUpToDate>
  <CharactersWithSpaces>82004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DSMG-Chip: A High-Throughput Degenerate qPCR Chip for Profiling Microbial DMSP and Related Organic Sulfur Metabolic Genes in Diverse Environments</dc:title>
  <dc:subject>Environ. Sci. Technol. 0.0</dc:subject>
  <dc:creator>Dong Liu, Yunhui Zhang, Hai Shi, Zihua Guo, Gary Rowley, Jonathan D. Todd, and Xiao-Hua Zhang</dc:creator>
  <cp:keywords>DSMG-Chip,DMSP/DMS,organic sulfur cycling,high-throughput qPCR,microbial cycling</cp:keywords>
  <dc:description/>
  <cp:lastModifiedBy>Jeff Davison (LLE - Staff)</cp:lastModifiedBy>
  <cp:revision>2</cp:revision>
  <dcterms:created xsi:type="dcterms:W3CDTF">2025-12-18T12:27:00Z</dcterms:created>
  <dcterms:modified xsi:type="dcterms:W3CDTF">2025-12-18T12:27:00Z</dcterms:modified>
</cp:coreProperties>
</file>