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F1B1" w14:textId="6C560E19" w:rsidR="006B2E60" w:rsidRDefault="009F10DD" w:rsidP="006B2E60">
      <w:pPr>
        <w:pStyle w:val="Heading1"/>
        <w:jc w:val="left"/>
      </w:pPr>
      <w:r w:rsidRPr="009F10DD">
        <w:t xml:space="preserve">Patterns of </w:t>
      </w:r>
      <w:r>
        <w:t>d</w:t>
      </w:r>
      <w:r w:rsidRPr="009F10DD">
        <w:t xml:space="preserve">isparity: </w:t>
      </w:r>
      <w:r>
        <w:t>a</w:t>
      </w:r>
      <w:r w:rsidRPr="009F10DD">
        <w:t xml:space="preserve">ge and socioeconomic differences in women's smoking and </w:t>
      </w:r>
      <w:r>
        <w:t>quitting outcomes</w:t>
      </w:r>
      <w:r w:rsidRPr="009F10DD">
        <w:t xml:space="preserve"> in Great Britain</w:t>
      </w:r>
    </w:p>
    <w:p w14:paraId="0F4A08A2" w14:textId="77777777" w:rsidR="006B2E60" w:rsidRPr="006B2E60" w:rsidRDefault="006B2E60" w:rsidP="006B2E60"/>
    <w:p w14:paraId="46A8482F" w14:textId="0876E623" w:rsidR="00E16E9D" w:rsidRDefault="000F5D10" w:rsidP="00E16E9D">
      <w:pPr>
        <w:rPr>
          <w:vertAlign w:val="superscript"/>
        </w:rPr>
      </w:pPr>
      <w:r>
        <w:t xml:space="preserve">Sarah E. </w:t>
      </w:r>
      <w:r w:rsidR="0023142A" w:rsidRPr="00AD158E">
        <w:t>Jackson</w:t>
      </w:r>
      <w:r w:rsidR="0023142A" w:rsidRPr="00AD4C22">
        <w:rPr>
          <w:vertAlign w:val="superscript"/>
        </w:rPr>
        <w:t>1</w:t>
      </w:r>
      <w:r w:rsidR="0023142A">
        <w:t>,</w:t>
      </w:r>
      <w:r w:rsidR="0023142A" w:rsidRPr="00AD158E">
        <w:t xml:space="preserve"> </w:t>
      </w:r>
      <w:r w:rsidR="00E16E9D">
        <w:t>Caitlin Notley</w:t>
      </w:r>
      <w:r w:rsidR="00E16E9D">
        <w:rPr>
          <w:vertAlign w:val="superscript"/>
        </w:rPr>
        <w:t>2</w:t>
      </w:r>
      <w:r w:rsidR="00E16E9D">
        <w:t>, Sharon Cox</w:t>
      </w:r>
      <w:r w:rsidR="00E16E9D" w:rsidRPr="00AD4C22">
        <w:rPr>
          <w:vertAlign w:val="superscript"/>
        </w:rPr>
        <w:t>1</w:t>
      </w:r>
      <w:r w:rsidR="00EE18A8">
        <w:rPr>
          <w:vertAlign w:val="superscript"/>
        </w:rPr>
        <w:t>,3</w:t>
      </w:r>
    </w:p>
    <w:p w14:paraId="151C2A0B" w14:textId="77777777" w:rsidR="0086613A" w:rsidRPr="00AD158E" w:rsidRDefault="0086613A" w:rsidP="00E16E9D"/>
    <w:p w14:paraId="28A4B5B5" w14:textId="24063074" w:rsidR="009A308D" w:rsidRDefault="000F5D10" w:rsidP="00AF7D79">
      <w:pPr>
        <w:spacing w:after="200" w:line="276" w:lineRule="auto"/>
      </w:pPr>
      <w:r>
        <w:rPr>
          <w:vertAlign w:val="superscript"/>
        </w:rPr>
        <w:t xml:space="preserve">1 </w:t>
      </w:r>
      <w:r>
        <w:t>Department of Behavioural Science and Health, University College London, London, UK</w:t>
      </w:r>
    </w:p>
    <w:p w14:paraId="1C7DAAEF" w14:textId="0DDC560B" w:rsidR="00E103DC" w:rsidRDefault="00E103DC" w:rsidP="00AF7D79">
      <w:pPr>
        <w:spacing w:line="276" w:lineRule="auto"/>
      </w:pPr>
      <w:r>
        <w:rPr>
          <w:vertAlign w:val="superscript"/>
        </w:rPr>
        <w:t xml:space="preserve">2 </w:t>
      </w:r>
      <w:r w:rsidR="004373F7" w:rsidRPr="006161D3">
        <w:t xml:space="preserve">Faculty of Medicine and Health Sciences, Norwich Medical School, University of East </w:t>
      </w:r>
      <w:r w:rsidR="00AF7D79">
        <w:t>A</w:t>
      </w:r>
      <w:r w:rsidR="004373F7" w:rsidRPr="006161D3">
        <w:t>nglia, Norwich, UK</w:t>
      </w:r>
    </w:p>
    <w:p w14:paraId="1B23A86C" w14:textId="686DC295" w:rsidR="00EE18A8" w:rsidRPr="00EE18A8" w:rsidRDefault="00EE18A8" w:rsidP="00AF7D79">
      <w:pPr>
        <w:spacing w:line="276" w:lineRule="auto"/>
      </w:pPr>
      <w:r>
        <w:rPr>
          <w:vertAlign w:val="superscript"/>
        </w:rPr>
        <w:t>3</w:t>
      </w:r>
      <w:r>
        <w:t>Behavioural Research UK, Edinburgh</w:t>
      </w:r>
      <w:r w:rsidR="009441CF">
        <w:t>, UK</w:t>
      </w:r>
    </w:p>
    <w:p w14:paraId="51DBB13A" w14:textId="77777777" w:rsidR="009A308D" w:rsidRDefault="009A308D" w:rsidP="000F5D10">
      <w:pPr>
        <w:spacing w:after="200" w:line="276" w:lineRule="auto"/>
        <w:jc w:val="center"/>
      </w:pPr>
    </w:p>
    <w:p w14:paraId="742ADB0E" w14:textId="77777777" w:rsidR="00231DBF" w:rsidRDefault="009A308D" w:rsidP="002C6BCF">
      <w:pPr>
        <w:spacing w:after="200"/>
      </w:pPr>
      <w:r>
        <w:t>Corresponding author: Dr Sarah Jackson, Department of Behavioural Science and Health, University College London, 1-19 Torrington Place, London WC1E 7HB, UK</w:t>
      </w:r>
      <w:r w:rsidR="005267F1">
        <w:t xml:space="preserve">. </w:t>
      </w:r>
      <w:hyperlink r:id="rId8" w:history="1">
        <w:r w:rsidR="005267F1" w:rsidRPr="00D75B6C">
          <w:rPr>
            <w:rStyle w:val="Hyperlink"/>
          </w:rPr>
          <w:t>s.e.jackson@ucl.ac.uk</w:t>
        </w:r>
      </w:hyperlink>
      <w:r w:rsidR="005267F1">
        <w:t xml:space="preserve"> +44 (0)207 679 8312</w:t>
      </w:r>
    </w:p>
    <w:p w14:paraId="2B2291E3" w14:textId="77777777" w:rsidR="00231DBF" w:rsidRDefault="00231DBF" w:rsidP="009A308D">
      <w:pPr>
        <w:spacing w:after="200" w:line="276" w:lineRule="auto"/>
      </w:pPr>
    </w:p>
    <w:p w14:paraId="68437739" w14:textId="12DD17DF" w:rsidR="00231DBF" w:rsidRDefault="00231DBF" w:rsidP="009A308D">
      <w:pPr>
        <w:spacing w:after="200" w:line="276" w:lineRule="auto"/>
        <w:rPr>
          <w:b/>
        </w:rPr>
      </w:pPr>
      <w:r>
        <w:rPr>
          <w:b/>
        </w:rPr>
        <w:t xml:space="preserve">Word count: </w:t>
      </w:r>
      <w:r w:rsidR="00105E15" w:rsidRPr="00105E15">
        <w:rPr>
          <w:bCs/>
        </w:rPr>
        <w:t>4,000</w:t>
      </w:r>
    </w:p>
    <w:p w14:paraId="7F41A3AA" w14:textId="7EA3680F" w:rsidR="00231DBF" w:rsidRPr="00774EFC" w:rsidRDefault="00231DBF" w:rsidP="009A308D">
      <w:pPr>
        <w:spacing w:after="200" w:line="276" w:lineRule="auto"/>
        <w:rPr>
          <w:bCs/>
        </w:rPr>
      </w:pPr>
      <w:r>
        <w:rPr>
          <w:b/>
        </w:rPr>
        <w:t>Number of tables:</w:t>
      </w:r>
      <w:r w:rsidR="00774EFC">
        <w:rPr>
          <w:b/>
        </w:rPr>
        <w:t xml:space="preserve"> </w:t>
      </w:r>
      <w:r w:rsidR="00774EFC">
        <w:rPr>
          <w:bCs/>
        </w:rPr>
        <w:t>3</w:t>
      </w:r>
    </w:p>
    <w:p w14:paraId="28F7DB7F" w14:textId="5A1C0613" w:rsidR="009E2C0A" w:rsidRPr="00774EFC" w:rsidRDefault="00231DBF" w:rsidP="009A308D">
      <w:pPr>
        <w:spacing w:after="200" w:line="276" w:lineRule="auto"/>
        <w:rPr>
          <w:bCs/>
        </w:rPr>
      </w:pPr>
      <w:r>
        <w:rPr>
          <w:b/>
        </w:rPr>
        <w:t>Number of figures:</w:t>
      </w:r>
      <w:r w:rsidR="00774EFC">
        <w:rPr>
          <w:b/>
        </w:rPr>
        <w:t xml:space="preserve"> </w:t>
      </w:r>
      <w:r w:rsidR="00774EFC">
        <w:rPr>
          <w:bCs/>
        </w:rPr>
        <w:t>2</w:t>
      </w:r>
    </w:p>
    <w:p w14:paraId="1430A86C" w14:textId="61777E7D" w:rsidR="000F5D10" w:rsidRDefault="009E2C0A" w:rsidP="009A308D">
      <w:pPr>
        <w:spacing w:after="200" w:line="276" w:lineRule="auto"/>
        <w:rPr>
          <w:rFonts w:eastAsiaTheme="majorEastAsia" w:cstheme="minorHAnsi"/>
          <w:b/>
          <w:bCs/>
          <w:sz w:val="26"/>
          <w:szCs w:val="26"/>
        </w:rPr>
      </w:pPr>
      <w:r>
        <w:rPr>
          <w:b/>
        </w:rPr>
        <w:t xml:space="preserve">Number of supplementary files: </w:t>
      </w:r>
      <w:r w:rsidR="003A47AF">
        <w:rPr>
          <w:bCs/>
        </w:rPr>
        <w:t>3</w:t>
      </w:r>
      <w:r w:rsidR="000F5D10">
        <w:br w:type="page"/>
      </w:r>
    </w:p>
    <w:p w14:paraId="29B9EDDC" w14:textId="77777777" w:rsidR="002D2DEE" w:rsidRDefault="002D2DEE" w:rsidP="002C6BCF">
      <w:pPr>
        <w:pStyle w:val="Heading2"/>
        <w:spacing w:line="360" w:lineRule="auto"/>
      </w:pPr>
      <w:r>
        <w:lastRenderedPageBreak/>
        <w:t>Abstract</w:t>
      </w:r>
    </w:p>
    <w:p w14:paraId="5CE6D45B" w14:textId="0299A547" w:rsidR="002D2DEE" w:rsidRPr="006A41B5" w:rsidRDefault="002D2DEE" w:rsidP="006A41B5">
      <w:r>
        <w:rPr>
          <w:b/>
        </w:rPr>
        <w:t>Background:</w:t>
      </w:r>
      <w:r w:rsidR="006A41B5">
        <w:rPr>
          <w:b/>
        </w:rPr>
        <w:t xml:space="preserve"> </w:t>
      </w:r>
      <w:r w:rsidR="006A41B5" w:rsidRPr="006A41B5">
        <w:rPr>
          <w:bCs/>
        </w:rPr>
        <w:t xml:space="preserve">Smoking poses </w:t>
      </w:r>
      <w:r w:rsidR="00DE3EF3">
        <w:rPr>
          <w:bCs/>
        </w:rPr>
        <w:t>additional</w:t>
      </w:r>
      <w:r w:rsidR="001A0A1A" w:rsidRPr="006A41B5">
        <w:rPr>
          <w:bCs/>
        </w:rPr>
        <w:t xml:space="preserve"> </w:t>
      </w:r>
      <w:r w:rsidR="006A41B5" w:rsidRPr="006A41B5">
        <w:rPr>
          <w:bCs/>
        </w:rPr>
        <w:t>health risks to women</w:t>
      </w:r>
      <w:r w:rsidR="00690A1A">
        <w:rPr>
          <w:bCs/>
        </w:rPr>
        <w:t xml:space="preserve"> across the lifespan</w:t>
      </w:r>
      <w:r w:rsidR="006A41B5">
        <w:rPr>
          <w:bCs/>
        </w:rPr>
        <w:t xml:space="preserve">. </w:t>
      </w:r>
      <w:r w:rsidR="006A41B5">
        <w:t xml:space="preserve">This </w:t>
      </w:r>
      <w:r w:rsidR="006A41B5" w:rsidRPr="007D5122">
        <w:t xml:space="preserve">study </w:t>
      </w:r>
      <w:r w:rsidR="006A41B5">
        <w:t xml:space="preserve">aimed to examine age-related differences in smoking, quit attempts, and cessation outcomes </w:t>
      </w:r>
      <w:r w:rsidR="00AA2BB5">
        <w:t>among</w:t>
      </w:r>
      <w:r w:rsidR="006A41B5">
        <w:t xml:space="preserve"> women in Great Britain, both overall and by socioeconomic position.</w:t>
      </w:r>
    </w:p>
    <w:p w14:paraId="1E6D932F" w14:textId="40236414" w:rsidR="002D2DEE" w:rsidRPr="00104CFD" w:rsidRDefault="00856A9D" w:rsidP="002C6BCF">
      <w:pPr>
        <w:spacing w:after="200"/>
        <w:rPr>
          <w:bCs/>
        </w:rPr>
      </w:pPr>
      <w:r>
        <w:rPr>
          <w:b/>
        </w:rPr>
        <w:t>Method</w:t>
      </w:r>
      <w:r w:rsidR="001F2AD5">
        <w:rPr>
          <w:b/>
        </w:rPr>
        <w:t>s</w:t>
      </w:r>
      <w:r w:rsidR="002D2DEE">
        <w:rPr>
          <w:b/>
        </w:rPr>
        <w:t>:</w:t>
      </w:r>
      <w:r w:rsidR="00695DBE">
        <w:rPr>
          <w:b/>
        </w:rPr>
        <w:t xml:space="preserve"> </w:t>
      </w:r>
      <w:r w:rsidR="0067173C">
        <w:rPr>
          <w:bCs/>
        </w:rPr>
        <w:t>We analysed cross-sectional data</w:t>
      </w:r>
      <w:r w:rsidR="00742BFB">
        <w:rPr>
          <w:bCs/>
        </w:rPr>
        <w:t xml:space="preserve"> from </w:t>
      </w:r>
      <w:r w:rsidR="00742BFB" w:rsidRPr="00695DBE">
        <w:rPr>
          <w:bCs/>
        </w:rPr>
        <w:t>30,519 women</w:t>
      </w:r>
      <w:r w:rsidR="00742BFB">
        <w:rPr>
          <w:bCs/>
        </w:rPr>
        <w:t xml:space="preserve"> (</w:t>
      </w:r>
      <w:r w:rsidR="00742BFB">
        <w:rPr>
          <w:rFonts w:cstheme="minorHAnsi"/>
          <w:bCs/>
        </w:rPr>
        <w:t>≥</w:t>
      </w:r>
      <w:r w:rsidR="00742BFB">
        <w:rPr>
          <w:bCs/>
        </w:rPr>
        <w:t xml:space="preserve">16y) </w:t>
      </w:r>
      <w:r w:rsidR="0067173C">
        <w:rPr>
          <w:bCs/>
        </w:rPr>
        <w:t xml:space="preserve">in Great Britain </w:t>
      </w:r>
      <w:r w:rsidR="00742BFB">
        <w:rPr>
          <w:bCs/>
        </w:rPr>
        <w:t xml:space="preserve">participating in </w:t>
      </w:r>
      <w:r w:rsidR="00695DBE" w:rsidRPr="00695DBE">
        <w:rPr>
          <w:bCs/>
        </w:rPr>
        <w:t>a nationally representative survey between 2023 and 2025.</w:t>
      </w:r>
      <w:r w:rsidR="00400669">
        <w:rPr>
          <w:bCs/>
        </w:rPr>
        <w:t xml:space="preserve"> </w:t>
      </w:r>
      <w:r w:rsidR="002E0A50">
        <w:rPr>
          <w:bCs/>
        </w:rPr>
        <w:t xml:space="preserve">We used logistic regression with restricted cubic splines to obtain age-specific estimates of </w:t>
      </w:r>
      <w:r w:rsidR="00742BFB">
        <w:rPr>
          <w:bCs/>
        </w:rPr>
        <w:t>smoking</w:t>
      </w:r>
      <w:r w:rsidR="00BD7557">
        <w:rPr>
          <w:bCs/>
        </w:rPr>
        <w:t xml:space="preserve"> prevalence, the</w:t>
      </w:r>
      <w:r w:rsidR="00742BFB">
        <w:rPr>
          <w:bCs/>
        </w:rPr>
        <w:t xml:space="preserve"> quit attempt</w:t>
      </w:r>
      <w:r w:rsidR="00BD7557">
        <w:rPr>
          <w:bCs/>
        </w:rPr>
        <w:t xml:space="preserve"> rate, the success rate of quit attempts, and the overall quit rate, </w:t>
      </w:r>
      <w:r w:rsidR="00DD1E6C">
        <w:rPr>
          <w:bCs/>
        </w:rPr>
        <w:t>among all women and by</w:t>
      </w:r>
      <w:r w:rsidR="00805DEF">
        <w:rPr>
          <w:bCs/>
        </w:rPr>
        <w:t xml:space="preserve"> </w:t>
      </w:r>
      <w:r w:rsidR="00695DBE" w:rsidRPr="00695DBE">
        <w:rPr>
          <w:bCs/>
        </w:rPr>
        <w:t xml:space="preserve">socioeconomic position </w:t>
      </w:r>
      <w:r w:rsidR="00D85EB7">
        <w:rPr>
          <w:bCs/>
        </w:rPr>
        <w:t>(indexed by occupational social grade</w:t>
      </w:r>
      <w:r w:rsidR="000D3D86">
        <w:rPr>
          <w:bCs/>
        </w:rPr>
        <w:t>; ABC1=more advantaged, C2DE=less advantaged</w:t>
      </w:r>
      <w:r w:rsidR="00D85EB7">
        <w:rPr>
          <w:bCs/>
        </w:rPr>
        <w:t>)</w:t>
      </w:r>
      <w:r w:rsidR="00667C19">
        <w:rPr>
          <w:bCs/>
        </w:rPr>
        <w:t xml:space="preserve">. We </w:t>
      </w:r>
      <w:r w:rsidR="003F5D25">
        <w:rPr>
          <w:bCs/>
        </w:rPr>
        <w:t>calculated prevalence ratios [PR</w:t>
      </w:r>
      <w:r w:rsidR="00343DBA">
        <w:rPr>
          <w:bCs/>
        </w:rPr>
        <w:t xml:space="preserve">; </w:t>
      </w:r>
      <w:r w:rsidR="008A5235">
        <w:rPr>
          <w:bCs/>
        </w:rPr>
        <w:t>C2DE/ABC1</w:t>
      </w:r>
      <w:r w:rsidR="00343DBA">
        <w:rPr>
          <w:bCs/>
        </w:rPr>
        <w:t>)</w:t>
      </w:r>
      <w:r w:rsidR="007D44E6">
        <w:rPr>
          <w:bCs/>
        </w:rPr>
        <w:t xml:space="preserve"> to illustrate</w:t>
      </w:r>
      <w:r w:rsidR="006570B8">
        <w:rPr>
          <w:bCs/>
        </w:rPr>
        <w:t xml:space="preserve"> the extent of</w:t>
      </w:r>
      <w:r w:rsidR="007D44E6">
        <w:rPr>
          <w:bCs/>
        </w:rPr>
        <w:t xml:space="preserve"> socioeconomic disparities.</w:t>
      </w:r>
    </w:p>
    <w:p w14:paraId="7E3A91A6" w14:textId="7E96E64F" w:rsidR="00CD1D6F" w:rsidRPr="00AC6808" w:rsidRDefault="002D2DEE" w:rsidP="00CD1D6F">
      <w:pPr>
        <w:spacing w:after="200"/>
        <w:rPr>
          <w:bCs/>
        </w:rPr>
      </w:pPr>
      <w:r w:rsidRPr="00A01DBF">
        <w:rPr>
          <w:b/>
        </w:rPr>
        <w:t>Results:</w:t>
      </w:r>
      <w:r w:rsidR="00BB38EF" w:rsidRPr="00A01DBF">
        <w:rPr>
          <w:b/>
        </w:rPr>
        <w:t xml:space="preserve"> </w:t>
      </w:r>
      <w:r w:rsidR="00B47947" w:rsidRPr="00A01DBF">
        <w:rPr>
          <w:bCs/>
        </w:rPr>
        <w:t>Overall, s</w:t>
      </w:r>
      <w:r w:rsidR="00CD1D6F" w:rsidRPr="00A01DBF">
        <w:rPr>
          <w:bCs/>
        </w:rPr>
        <w:t xml:space="preserve">moking prevalence was highest among women in their </w:t>
      </w:r>
      <w:r w:rsidR="00325292" w:rsidRPr="00A01DBF">
        <w:rPr>
          <w:bCs/>
        </w:rPr>
        <w:t>20s</w:t>
      </w:r>
      <w:r w:rsidR="00CD1D6F" w:rsidRPr="00A01DBF">
        <w:rPr>
          <w:bCs/>
        </w:rPr>
        <w:t xml:space="preserve"> and </w:t>
      </w:r>
      <w:r w:rsidR="00325292" w:rsidRPr="00A01DBF">
        <w:rPr>
          <w:bCs/>
        </w:rPr>
        <w:t>30s</w:t>
      </w:r>
      <w:r w:rsidR="00B47947" w:rsidRPr="00A01DBF">
        <w:rPr>
          <w:bCs/>
        </w:rPr>
        <w:t xml:space="preserve"> </w:t>
      </w:r>
      <w:r w:rsidR="00CD1D6F" w:rsidRPr="00A01DBF">
        <w:rPr>
          <w:bCs/>
        </w:rPr>
        <w:t>and declined with age.</w:t>
      </w:r>
      <w:r w:rsidR="00B47947" w:rsidRPr="00A01DBF">
        <w:rPr>
          <w:bCs/>
        </w:rPr>
        <w:t xml:space="preserve"> However, there were notable differences by socioeconomic position</w:t>
      </w:r>
      <w:r w:rsidR="0026685E" w:rsidRPr="00A01DBF">
        <w:rPr>
          <w:bCs/>
        </w:rPr>
        <w:t>. While it declined steadily with age among more advantaged women, smoking prevalence</w:t>
      </w:r>
      <w:r w:rsidR="00FA1290" w:rsidRPr="00A01DBF">
        <w:rPr>
          <w:bCs/>
        </w:rPr>
        <w:t xml:space="preserve"> </w:t>
      </w:r>
      <w:r w:rsidR="0026685E" w:rsidRPr="00A01DBF">
        <w:rPr>
          <w:bCs/>
        </w:rPr>
        <w:t xml:space="preserve">peaked in the early 40s </w:t>
      </w:r>
      <w:r w:rsidR="00A01DBF" w:rsidRPr="00A01DBF">
        <w:rPr>
          <w:bCs/>
        </w:rPr>
        <w:t>among less advantaged women and was more than twice that of more advantaged women in mid-life</w:t>
      </w:r>
      <w:r w:rsidR="00AD2B4D">
        <w:rPr>
          <w:bCs/>
        </w:rPr>
        <w:t xml:space="preserve"> (PR range</w:t>
      </w:r>
      <w:r w:rsidR="00C85062">
        <w:rPr>
          <w:bCs/>
        </w:rPr>
        <w:t>=2.02-2.47 between ages 35-60)</w:t>
      </w:r>
      <w:r w:rsidR="00CD1D6F" w:rsidRPr="00A01DBF">
        <w:rPr>
          <w:bCs/>
        </w:rPr>
        <w:t xml:space="preserve">. Quit attempts decreased </w:t>
      </w:r>
      <w:r w:rsidR="00CB4F80" w:rsidRPr="00A01DBF">
        <w:rPr>
          <w:bCs/>
        </w:rPr>
        <w:t xml:space="preserve">linearly </w:t>
      </w:r>
      <w:r w:rsidR="00CD1D6F" w:rsidRPr="00A01DBF">
        <w:rPr>
          <w:bCs/>
        </w:rPr>
        <w:t xml:space="preserve">with age, with similar </w:t>
      </w:r>
      <w:r w:rsidR="005F107A" w:rsidRPr="00A01DBF">
        <w:rPr>
          <w:bCs/>
        </w:rPr>
        <w:t xml:space="preserve">prevalence and </w:t>
      </w:r>
      <w:r w:rsidR="00CD1D6F" w:rsidRPr="00A01DBF">
        <w:rPr>
          <w:bCs/>
        </w:rPr>
        <w:t xml:space="preserve">trends across socioeconomic groups. </w:t>
      </w:r>
      <w:r w:rsidR="00773994">
        <w:rPr>
          <w:bCs/>
        </w:rPr>
        <w:t>The success rate of quit attempts</w:t>
      </w:r>
      <w:r w:rsidR="00CD1D6F" w:rsidRPr="008B008C">
        <w:rPr>
          <w:bCs/>
        </w:rPr>
        <w:t xml:space="preserve"> was highest </w:t>
      </w:r>
      <w:r w:rsidR="00AB24CA" w:rsidRPr="008B008C">
        <w:rPr>
          <w:bCs/>
        </w:rPr>
        <w:t xml:space="preserve">among women in their </w:t>
      </w:r>
      <w:r w:rsidR="00AB24CA" w:rsidRPr="00773994">
        <w:rPr>
          <w:bCs/>
        </w:rPr>
        <w:t xml:space="preserve">20s and </w:t>
      </w:r>
      <w:proofErr w:type="gramStart"/>
      <w:r w:rsidR="00AB24CA" w:rsidRPr="00773994">
        <w:rPr>
          <w:bCs/>
        </w:rPr>
        <w:t>30s</w:t>
      </w:r>
      <w:r w:rsidR="00CD1D6F" w:rsidRPr="00773994">
        <w:rPr>
          <w:bCs/>
        </w:rPr>
        <w:t>, but</w:t>
      </w:r>
      <w:proofErr w:type="gramEnd"/>
      <w:r w:rsidR="00CD1D6F" w:rsidRPr="00773994">
        <w:rPr>
          <w:bCs/>
        </w:rPr>
        <w:t xml:space="preserve"> dropped in mid-life and further in older age. Women from less advantaged backgrounds</w:t>
      </w:r>
      <w:r w:rsidR="00CD1D6F" w:rsidRPr="008B008C">
        <w:rPr>
          <w:bCs/>
        </w:rPr>
        <w:t xml:space="preserve"> had lower success rates, particularly between ages 45-60 (PR</w:t>
      </w:r>
      <w:r w:rsidR="008B008C">
        <w:rPr>
          <w:bCs/>
        </w:rPr>
        <w:t xml:space="preserve"> range</w:t>
      </w:r>
      <w:r w:rsidR="00CD1D6F" w:rsidRPr="008B008C">
        <w:rPr>
          <w:bCs/>
        </w:rPr>
        <w:t>=0.70-0.</w:t>
      </w:r>
      <w:r w:rsidR="00CD1D6F" w:rsidRPr="00EF415A">
        <w:rPr>
          <w:bCs/>
        </w:rPr>
        <w:t xml:space="preserve">73). The </w:t>
      </w:r>
      <w:r w:rsidR="004D093B" w:rsidRPr="00EF415A">
        <w:rPr>
          <w:bCs/>
        </w:rPr>
        <w:t xml:space="preserve">overall </w:t>
      </w:r>
      <w:r w:rsidR="00CD1D6F" w:rsidRPr="00EF415A">
        <w:rPr>
          <w:bCs/>
        </w:rPr>
        <w:t>quit rate was highest at age 31 for more advantaged women (23.3%) and at age 25 for less advantaged women (22.9%)</w:t>
      </w:r>
      <w:r w:rsidR="00EA4CC4" w:rsidRPr="00EF415A">
        <w:rPr>
          <w:bCs/>
        </w:rPr>
        <w:t xml:space="preserve">. </w:t>
      </w:r>
      <w:r w:rsidR="008712C6">
        <w:rPr>
          <w:bCs/>
        </w:rPr>
        <w:t>Quit rates were substantially lower b</w:t>
      </w:r>
      <w:r w:rsidR="00AC6808" w:rsidRPr="00EF415A">
        <w:rPr>
          <w:bCs/>
        </w:rPr>
        <w:t>etween ages 40-60</w:t>
      </w:r>
      <w:r w:rsidR="008712C6">
        <w:rPr>
          <w:bCs/>
        </w:rPr>
        <w:t xml:space="preserve"> </w:t>
      </w:r>
      <w:r w:rsidR="00AC6808" w:rsidRPr="00EF415A">
        <w:rPr>
          <w:bCs/>
        </w:rPr>
        <w:t>among l</w:t>
      </w:r>
      <w:r w:rsidR="00CD1D6F" w:rsidRPr="00EF415A">
        <w:rPr>
          <w:bCs/>
        </w:rPr>
        <w:t>ess advantaged women (PR</w:t>
      </w:r>
      <w:r w:rsidR="00431EFE" w:rsidRPr="00EF415A">
        <w:rPr>
          <w:bCs/>
        </w:rPr>
        <w:t xml:space="preserve"> range</w:t>
      </w:r>
      <w:r w:rsidR="00CD1D6F" w:rsidRPr="00AC6808">
        <w:rPr>
          <w:bCs/>
        </w:rPr>
        <w:t>=0.65-0.69).</w:t>
      </w:r>
    </w:p>
    <w:p w14:paraId="56AF7CC8" w14:textId="03B93BFC" w:rsidR="000F5D10" w:rsidRPr="00B93ADE" w:rsidRDefault="002D2DEE" w:rsidP="002C6BCF">
      <w:pPr>
        <w:spacing w:after="200"/>
        <w:rPr>
          <w:bCs/>
        </w:rPr>
      </w:pPr>
      <w:r>
        <w:rPr>
          <w:b/>
        </w:rPr>
        <w:t>Conclusions:</w:t>
      </w:r>
      <w:r w:rsidR="00B93ADE">
        <w:rPr>
          <w:b/>
        </w:rPr>
        <w:t xml:space="preserve"> </w:t>
      </w:r>
      <w:r w:rsidR="00730CC9" w:rsidRPr="00730CC9">
        <w:rPr>
          <w:bCs/>
        </w:rPr>
        <w:t>Smoking behaviours and cessation outcomes among women in Great Britain vary by both age and socioeconomic position</w:t>
      </w:r>
      <w:r w:rsidR="00D20C87">
        <w:rPr>
          <w:bCs/>
        </w:rPr>
        <w:t xml:space="preserve">, with particularly </w:t>
      </w:r>
      <w:r w:rsidR="00647A31">
        <w:rPr>
          <w:bCs/>
        </w:rPr>
        <w:t xml:space="preserve">high smoking prevalence and </w:t>
      </w:r>
      <w:r w:rsidR="00D20C87">
        <w:rPr>
          <w:bCs/>
        </w:rPr>
        <w:t xml:space="preserve">low </w:t>
      </w:r>
      <w:r w:rsidR="00E84CB1">
        <w:rPr>
          <w:bCs/>
        </w:rPr>
        <w:t>quit rates among less advantaged women in mid-life</w:t>
      </w:r>
      <w:r w:rsidR="00637FDF">
        <w:rPr>
          <w:bCs/>
        </w:rPr>
        <w:t xml:space="preserve">, corresponding </w:t>
      </w:r>
      <w:r w:rsidR="00637FDF" w:rsidRPr="00637FDF">
        <w:rPr>
          <w:bCs/>
        </w:rPr>
        <w:t>with perimenopause and the menopausal transition</w:t>
      </w:r>
      <w:r w:rsidR="00730CC9" w:rsidRPr="00730CC9">
        <w:rPr>
          <w:bCs/>
        </w:rPr>
        <w:t>. These disparities highlight the need for tailored smoking cessation strategies to improve quit success and reduce smoking prevalence across the lifespan.</w:t>
      </w:r>
    </w:p>
    <w:p w14:paraId="2552E1A5" w14:textId="77777777" w:rsidR="000F5D10" w:rsidRDefault="000F5D10" w:rsidP="002C6BCF">
      <w:pPr>
        <w:spacing w:after="200"/>
        <w:rPr>
          <w:b/>
        </w:rPr>
      </w:pPr>
    </w:p>
    <w:p w14:paraId="77A73A60" w14:textId="7A50EF9D" w:rsidR="002D2DEE" w:rsidRPr="002D2DEE" w:rsidRDefault="000F5D10" w:rsidP="002C6BCF">
      <w:pPr>
        <w:spacing w:after="200"/>
        <w:rPr>
          <w:b/>
        </w:rPr>
      </w:pPr>
      <w:r>
        <w:rPr>
          <w:b/>
        </w:rPr>
        <w:t>Keywords:</w:t>
      </w:r>
      <w:r w:rsidR="00CB6DD7">
        <w:rPr>
          <w:b/>
        </w:rPr>
        <w:t xml:space="preserve"> </w:t>
      </w:r>
      <w:r w:rsidR="00CB6DD7">
        <w:rPr>
          <w:bCs/>
        </w:rPr>
        <w:t>women; sex; gender;</w:t>
      </w:r>
      <w:r w:rsidR="00286FFD">
        <w:rPr>
          <w:bCs/>
        </w:rPr>
        <w:t xml:space="preserve"> age;</w:t>
      </w:r>
      <w:r w:rsidR="00CB6DD7">
        <w:rPr>
          <w:bCs/>
        </w:rPr>
        <w:t xml:space="preserve"> life stage; smoking</w:t>
      </w:r>
      <w:r w:rsidR="00740396">
        <w:rPr>
          <w:bCs/>
        </w:rPr>
        <w:t>; smoking cessation</w:t>
      </w:r>
      <w:r w:rsidR="002D2DEE">
        <w:br w:type="page"/>
      </w:r>
    </w:p>
    <w:p w14:paraId="657760FF" w14:textId="116EA3BB" w:rsidR="002D2DEE" w:rsidRDefault="007419A6" w:rsidP="00D55BAF">
      <w:pPr>
        <w:pStyle w:val="Heading2"/>
      </w:pPr>
      <w:r>
        <w:lastRenderedPageBreak/>
        <w:t>Background</w:t>
      </w:r>
    </w:p>
    <w:p w14:paraId="278E2A2A" w14:textId="3E415CE9" w:rsidR="009427BA" w:rsidRDefault="009427BA" w:rsidP="009427BA">
      <w:r w:rsidRPr="002B19B2">
        <w:t xml:space="preserve">Smoking is a </w:t>
      </w:r>
      <w:r>
        <w:t xml:space="preserve">significant </w:t>
      </w:r>
      <w:r w:rsidRPr="002B19B2">
        <w:t>public health issue that poses unique risks for women</w:t>
      </w:r>
      <w:r>
        <w:t xml:space="preserve"> across the lifespan</w:t>
      </w:r>
      <w:r w:rsidRPr="002B19B2">
        <w:t xml:space="preserve">, affecting both their immediate and long-term health. </w:t>
      </w:r>
      <w:r w:rsidRPr="00CC3684">
        <w:t xml:space="preserve">Women </w:t>
      </w:r>
      <w:r>
        <w:t xml:space="preserve">may be more susceptible than men to the impact of smoking </w:t>
      </w:r>
      <w:r w:rsidRPr="00CC3684">
        <w:t>cardiovascular disease</w:t>
      </w:r>
      <w:r>
        <w:fldChar w:fldCharType="begin"/>
      </w:r>
      <w:r w:rsidR="00643098">
        <w:instrText xml:space="preserve"> ADDIN ZOTERO_ITEM CSL_CITATION {"citationID":"MtvtK1qF","properties":{"formattedCitation":"[1]","plainCitation":"[1]","noteIndex":0},"citationItems":[{"id":12659,"uris":["http://zotero.org/users/446899/items/WV942W4M"],"itemData":{"id":12659,"type":"article-journal","container-title":"The Lancet","DOI":"10.1016/S0140-6736(11)60781-2","ISSN":"0140-6736, 1474-547X","issue":"9799","journalAbbreviation":"The Lancet","language":"English","note":"publisher: Elsevier\nPMID: 21839503","page":"1297-1305","source":"www.thelancet.com","title":"Cigarette smoking as a risk factor for coronary heart disease in women compared with men: a systematic review and meta-analysis of prospective cohort studies","title-short":"Cigarette smoking as a risk factor for coronary heart disease in women compared with men","volume":"378","author":[{"family":"Huxley","given":"Rachel R."},{"family":"Woodward","given":"Mark"}],"issued":{"date-parts":[["2011",10,8]]}}}],"schema":"https://github.com/citation-style-language/schema/raw/master/csl-citation.json"} </w:instrText>
      </w:r>
      <w:r>
        <w:fldChar w:fldCharType="separate"/>
      </w:r>
      <w:r w:rsidR="00643098" w:rsidRPr="00643098">
        <w:rPr>
          <w:rFonts w:ascii="Calibri" w:hAnsi="Calibri" w:cs="Calibri"/>
        </w:rPr>
        <w:t>[1]</w:t>
      </w:r>
      <w:r>
        <w:fldChar w:fldCharType="end"/>
      </w:r>
      <w:r w:rsidRPr="00CC3684">
        <w:t xml:space="preserve"> </w:t>
      </w:r>
      <w:r>
        <w:t>and</w:t>
      </w:r>
      <w:r w:rsidRPr="00CC3684">
        <w:t xml:space="preserve"> chronic obstructive pulmonary disease</w:t>
      </w:r>
      <w:r>
        <w:fldChar w:fldCharType="begin"/>
      </w:r>
      <w:r w:rsidR="00643098">
        <w:instrText xml:space="preserve"> ADDIN ZOTERO_ITEM CSL_CITATION {"citationID":"sOGPUOgr","properties":{"formattedCitation":"[2]","plainCitation":"[2]","noteIndex":0},"citationItems":[{"id":12660,"uris":["http://zotero.org/users/446899/items/Y9RYX8P5"],"itemData":{"id":12660,"type":"article-journal","abstract":"Background The number of female smokers developing chronic obstructive pulmonary disease (COPD) is rapidly increasing, but whether or not there exists a differential susceptibility by gender remains controversial.\nMethods How smoking behaviour and subsequent lung function reduction differed by gender was examined in a study including 954 subjects with COPD and 955 subjects without COPD. The study focused on two subgroups: subjects with COPD &lt;60 years of age (early-onset group, n=316) and subjects with COPD with &lt;20 pack-years of smoking (low exposure group, n=241).\nResults In the low exposure group, female subjects with COPD had lower forced expiratory volume in 1 s (FEV1) % predicted (48.7% vs 55.8%, p=0.001) and more severe disease (50.4% vs 35.6%, p=0.020, in GOLD (Global Initiative for Chronic Obstructive Lung Disease) stage 3 and 4) than male subjects with COPD. Females also had lower FEV1% predicted (50.6% vs 56.0%, p=0.006) and more severe COPD (41.7% vs 31.1% in GOLD stage 3 and 4, p=0.050) in the early-onset group. Using multivariate regression, female gender was associated with 5.7% lower FEV1% predicted in the low exposure group (p=0.012) and a similar trend was observed in the early-onset group (p=0.057). The number of pack-years was not significantly associated with lung function in female subjects with COPD in this study, and the dose–response relationship between smoking and lung function differed by gender at lower levels of smoking exposure. Interaction analysis suggested that the effect of smoking on lung function might be different by gender (p=0.027 in all subjects with COPD).\nConclusions Female gender was associated with lung function reduction and more severe disease in subjects with COPD with early onset of disease or low smoking exposure. The findings may suggest a gender difference in susceptibility to the lung-damaging effects of cigarette smoking, but alternative explanations should be considered.","container-title":"Thorax","DOI":"10.1136/thx.2009.122002","ISSN":"0040-6376, 1468-3296","issue":"6","language":"en","license":"© 2010, Published by the BMJ Publishing Group Limited. For permission to use (where not already granted under a licence) please go to http://group.bmj.com/group/rights-licensing/permissions.","note":"publisher: BMJ Publishing Group Ltd\nsection: Chronic obstructive pulmonary disease\nPMID: 20522842","page":"480-485","source":"thorax.bmj.com","title":"Gender differences in COPD: are women more susceptible to smoking effects than men?","title-short":"Gender differences in COPD","volume":"65","author":[{"family":"Sørheim","given":"Inga-Cecilie"},{"family":"Johannessen","given":"Ane"},{"family":"Gulsvik","given":"Amund"},{"family":"Bakke","given":"Per S."},{"family":"Silverman","given":"Edwin K."},{"family":"DeMeo","given":"Dawn L."}],"issued":{"date-parts":[["2010",6,1]]}}}],"schema":"https://github.com/citation-style-language/schema/raw/master/csl-citation.json"} </w:instrText>
      </w:r>
      <w:r>
        <w:fldChar w:fldCharType="separate"/>
      </w:r>
      <w:r w:rsidR="00643098" w:rsidRPr="00643098">
        <w:rPr>
          <w:rFonts w:ascii="Calibri" w:hAnsi="Calibri" w:cs="Calibri"/>
        </w:rPr>
        <w:t>[2]</w:t>
      </w:r>
      <w:r>
        <w:fldChar w:fldCharType="end"/>
      </w:r>
      <w:r>
        <w:t xml:space="preserve"> risk. Additionally, women who smoke face an increased risk of cervical cancer,</w:t>
      </w:r>
      <w:r>
        <w:fldChar w:fldCharType="begin"/>
      </w:r>
      <w:r w:rsidR="00643098">
        <w:instrText xml:space="preserve"> ADDIN ZOTERO_ITEM CSL_CITATION {"citationID":"ttzp7adr","properties":{"formattedCitation":"[3]","plainCitation":"[3]","noteIndex":0},"citationItems":[{"id":12657,"uris":["http://zotero.org/users/446899/items/5HWBZEWH"],"itemData":{"id":12657,"type":"article-journal","abstract":"Objective \n          Cervical cancer (CC) is the fourth most frequent cancer worldwide. Cigarette smoking has been shown to influence CC risk in conjunction with human papillomavirus (HPV) infection. The aim of this study is to provide the most accurate and updated estimate of this association and its dose-response relationship.\n          Methods \n          Using an innovative approach for the identification of original publications, we conducted a systematic review and meta-analysis of studies published up to January 2021. Random effects models were used to provide pooled relative risks (RRs) of CC for smoking status. Dose-response relationships were evaluated using one-stage random effects models with linear or restricted cubic splines models.\n          Results \n          We included 109 studies providing a pooled RR of invasive CC and preinvasive lesions, respectively, of 1.70 [95% confidence interval (CI), 1.53–1.88] and 2.11 (95% CI, 1.85–2.39) for current versus never smokers, and, respectively, 1.13 (95% CI, 1.02–1.24) and 1.29 (95% CI, 1.15–1.46) for former versus never smokers. Considering HPV does not alter the positive association or its magnitude. Risks of CC sharply increased with few cigarettes (for 10 cigarettes/day, RR = 1.72; 95% CI, 1.34–2.20 for invasive CC and RR = 2.13; 95% CI, 1.86–2.44 for precancerous lesions). The risk of CC increased with pack-years and smoking duration and decreased linearly with time since quitting, reaching that of never smokers about 15 years after quitting.\n          Conclusion \n          This comprehensive review and meta-analysis confirmed the association of smoking with CC, independently from HPV infection. Such association rose sharply with smoking intensity and decreased after smoking cessation.","container-title":"European Journal of Cancer Prevention","DOI":"10.1097/CEJ.0000000000000773","ISSN":"0959-8278","issue":"2","language":"en-US","page":"171","source":"journals.lww.com","title":"Dose-risk relationships between cigarette smoking and cervical cancer: a systematic review and meta-analysis","title-short":"Dose-risk relationships between cigarette smoking and cervical cancer","volume":"32","author":[{"family":"Malevolti","given":"Maria Chiara"},{"family":"Lugo","given":"Alessandra"},{"family":"Scala","given":"Marco"},{"family":"Gallus","given":"Silvano"},{"family":"Gorini","given":"Giuseppe"},{"family":"Lachi","given":"Alessio"},{"family":"Carreras","given":"Giulia"}],"issued":{"date-parts":[["2023",3]]}}}],"schema":"https://github.com/citation-style-language/schema/raw/master/csl-citation.json"} </w:instrText>
      </w:r>
      <w:r>
        <w:fldChar w:fldCharType="separate"/>
      </w:r>
      <w:r w:rsidR="00643098" w:rsidRPr="00643098">
        <w:rPr>
          <w:rFonts w:ascii="Calibri" w:hAnsi="Calibri" w:cs="Calibri"/>
        </w:rPr>
        <w:t>[3]</w:t>
      </w:r>
      <w:r>
        <w:fldChar w:fldCharType="end"/>
      </w:r>
      <w:r>
        <w:t xml:space="preserve"> osteoporosis,</w:t>
      </w:r>
      <w:r>
        <w:fldChar w:fldCharType="begin"/>
      </w:r>
      <w:r w:rsidR="00643098">
        <w:instrText xml:space="preserve"> ADDIN ZOTERO_ITEM CSL_CITATION {"citationID":"yj7NsxWf","properties":{"formattedCitation":"[4]","plainCitation":"[4]","noteIndex":0},"citationItems":[{"id":12656,"uris":["http://zotero.org/users/446899/items/6GMVTZU7"],"itemData":{"id":12656,"type":"article-journal","abstract":"Osteoporosis is a common, morbid and costly disorder characterized by deterioration in bone strength. Cigarette smoking is associated with reduced bone mineral density (BMD) and increased fracture risk. There are basic, clinical, and observational studies that define several of the underlying pathophysiologic mechanisms that predispose smokers to bone loss. Such mechanisms include alterations in calciotropic hormone metabolism and intestinal calcium absorption, dysregulation in sex hormone production and metabolism, alterations in adrenal cortical hormone metabolism and in the receptor activator of nuclear factor kappa-B (RANK), receptor activator of nuclear factor kappa-B ligand (RANKL), and osteoprotegerin (OPG) system (RANK–RANKL–OPG system), and direct cellular effects of cigarette use on bone cells. In addition, there is evidence of reversibility in the aforementioned mechanisms with smoking cessation. In summary, cigarette smoking is a reversible risk factor for osteoporosis and osteoporotic fractures through diverse pathophysiologic mechanisms.","container-title":"Osteoporosis International","DOI":"10.1007/s00198-012-1940-y","ISSN":"1433-2965","issue":"8","journalAbbreviation":"Osteoporos Int","language":"en","page":"2081-2092","source":"Springer Link","title":"The effects of smoking on bone metabolism","volume":"23","author":[{"family":"Yoon","given":"V."},{"family":"Maalouf","given":"N. M."},{"family":"Sakhaee","given":"K."}],"issued":{"date-parts":[["2012",8,1]]}}}],"schema":"https://github.com/citation-style-language/schema/raw/master/csl-citation.json"} </w:instrText>
      </w:r>
      <w:r>
        <w:fldChar w:fldCharType="separate"/>
      </w:r>
      <w:r w:rsidR="00643098" w:rsidRPr="00643098">
        <w:rPr>
          <w:rFonts w:ascii="Calibri" w:hAnsi="Calibri" w:cs="Calibri"/>
        </w:rPr>
        <w:t>[4]</w:t>
      </w:r>
      <w:r>
        <w:fldChar w:fldCharType="end"/>
      </w:r>
      <w:r>
        <w:t xml:space="preserve"> reduced fertility,</w:t>
      </w:r>
      <w:r>
        <w:fldChar w:fldCharType="begin"/>
      </w:r>
      <w:r w:rsidR="00643098">
        <w:instrText xml:space="preserve"> ADDIN ZOTERO_ITEM CSL_CITATION {"citationID":"D9pahcST","properties":{"formattedCitation":"[5]","plainCitation":"[5]","noteIndex":0},"citationItems":[{"id":4905,"uris":["http://zotero.org/users/446899/items/JEKTYBCZ"],"itemData":{"id":4905,"type":"article-journal","abstract":"The high prevalence of smoking among women in their reproductive years continues to be a matter of concern. The negative effects of smoking on general health are well known, but smoking may also affect fertility. The objective of the present study was to perform a systematic review of the literature to determine whether there is an association between smoking and risk of infertility in women of reproductive age, and to assess the size of this effect. In the 12 studies used for this meta-analysis, the overall value of the odds ratio (OR) for risk of infertility in women smokers versus non-smokers was 1.60 [95% confidence interval (CI) 1.34-1.91]. Studies of subfertile women undergoing in-vitro fertilization (IVF) treatment also show a reduction in fecundity among women smokers. A meta-analysis of nine studies found an OR of 0.66 (95% CI 0.49-0.88) for pregnancies per number of IVF-treated cycles in smokers versus non-smokers. Despite the potential limitations of meta-analyses of observational studies, the evidence presented in this review is compelling because of the consistency of effect across different study designs, sample size and types of outcome. However, continued reassurance is needed that the calculated overall effect is not in fact due to confounding variables.","container-title":"Human Reproduction","DOI":"10.1093/humrep/13.6.1532","ISSN":"0268-1161","issue":"6","journalAbbreviation":"Human Reproduction","page":"1532-1539","source":"Silverchair","title":"Smoking and female infertility: a systematic review and meta-analysis.","title-short":"Smoking and female infertility","volume":"13","author":[{"family":"Augood","given":"C"},{"family":"Duckitt","given":"K"},{"family":"Templeton","given":"A A"}],"issued":{"date-parts":[["1998",6,1]]}}}],"schema":"https://github.com/citation-style-language/schema/raw/master/csl-citation.json"} </w:instrText>
      </w:r>
      <w:r>
        <w:fldChar w:fldCharType="separate"/>
      </w:r>
      <w:r w:rsidR="00643098" w:rsidRPr="00643098">
        <w:rPr>
          <w:rFonts w:ascii="Calibri" w:hAnsi="Calibri" w:cs="Calibri"/>
        </w:rPr>
        <w:t>[5]</w:t>
      </w:r>
      <w:r>
        <w:fldChar w:fldCharType="end"/>
      </w:r>
      <w:r w:rsidRPr="00CC3684">
        <w:t xml:space="preserve"> </w:t>
      </w:r>
      <w:r>
        <w:t>and earlier</w:t>
      </w:r>
      <w:r w:rsidRPr="00CC3684">
        <w:t xml:space="preserve"> onset of menopause</w:t>
      </w:r>
      <w:r>
        <w:t>.</w:t>
      </w:r>
      <w:r>
        <w:fldChar w:fldCharType="begin"/>
      </w:r>
      <w:r w:rsidR="00643098">
        <w:instrText xml:space="preserve"> ADDIN ZOTERO_ITEM CSL_CITATION {"citationID":"QhmUEyOD","properties":{"formattedCitation":"[6]","plainCitation":"[6]","noteIndex":0},"citationItems":[{"id":12655,"uris":["http://zotero.org/users/446899/items/SD2WCGT5"],"itemData":{"id":12655,"type":"article-journal","abstract":"Objective \n          Age at natural menopause (ANM) is usually defined as the age at the last menstrual bleeding followed by the absence of menses for 12 consecutive months. Although many studies have suggested an association between smoking and early age at natural menopause, evidence remains conflicting because some studies reported inconsistent or contrasting results. To resolve this ambiguity and to quantitatively evaluate the effect of smoking on ANM, we conducted a meta-analysis of the available data about smoking and ANM.\n          Methods \n          After extensive searching of public literature databases, a total of 11 studies were selected for this meta-analysis. Among them, the phenotype of the participants in five studies (dichotomous studies) was classified as early or late ANM, and odds ratio (OR) was used to evaluate the effect of smoking on early ANM. For the other six studies (continuous studies), mean and SD were provided for smoking and nonsmoking samples, and weighted mean difference (WMD) was used as the effect size.\n          Results \n          We found that smoking was significantly associated with early ANM in both dichotomous and continuous studies. The pooled effect was OR = 0.74 (95% CI, 0.60-0.91, P &lt; 0.01) in the dichotomous studies. For the continuous studies, the pooled effect estimated by WMD was −1.12 (95% CI, −1.80 to −0.44, P = 0.04). After adjustment of the original data for heterogeneity, the pooled results changed only a little: OR = 0.67 (95% CI, 0.61-0.73, P &lt; 0.01) for dichotomous studies and WMD = −0.90 (95% CI, −1.58 to −0.21, P = 0.01) for the continuous studies.\n          Conclusions \n          The results of our study suggest that smoking is a significant independent factor for early ANM.","container-title":"Menopause","DOI":"10.1097/gme.0b013e318224f9ac","issue":"2","language":"en-US","page":"126","source":"journals.lww.com","title":"Meta-analysis suggests that smoking is associated with an increased risk of early natural menopause","volume":"19","author":[{"family":"Sun","given":"Lu"},{"family":"Tan","given":"Lijun"},{"family":"Yang","given":"Fang"},{"family":"Luo","given":"Yi"},{"family":"Li","given":"Xi"},{"family":"Deng","given":"Hong-Wen"},{"family":"Dvornyk","given":"Volodymyr"}],"issued":{"date-parts":[["2012",2]]}}}],"schema":"https://github.com/citation-style-language/schema/raw/master/csl-citation.json"} </w:instrText>
      </w:r>
      <w:r>
        <w:fldChar w:fldCharType="separate"/>
      </w:r>
      <w:r w:rsidR="00643098" w:rsidRPr="00643098">
        <w:rPr>
          <w:rFonts w:ascii="Calibri" w:hAnsi="Calibri" w:cs="Calibri"/>
        </w:rPr>
        <w:t>[6]</w:t>
      </w:r>
      <w:r>
        <w:fldChar w:fldCharType="end"/>
      </w:r>
      <w:r w:rsidRPr="00CC3684">
        <w:t xml:space="preserve"> </w:t>
      </w:r>
      <w:r>
        <w:t>For those women who become pregnant and smoke, there are heightened risks to both mother and the baby, such as preterm birth and infant low birth weight.</w:t>
      </w:r>
      <w:r>
        <w:fldChar w:fldCharType="begin"/>
      </w:r>
      <w:r w:rsidR="00643098">
        <w:instrText xml:space="preserve"> ADDIN ZOTERO_ITEM CSL_CITATION {"citationID":"Dy6VO6bW","properties":{"formattedCitation":"[7]","plainCitation":"[7]","noteIndex":0},"citationItems":[{"id":4901,"uris":["http://zotero.org/users/446899/items/W7UWEV5M"],"itemData":{"id":4901,"type":"article-journal","abstract":"The prevalence of smoking during pregnancy varies markedly across countries. In many industrialized countries, prevalence rates appear to have peaked and begun to decline, whereas in other countries smoking is becoming increasingly common among young women. Randomized controlled trials have shown that smoking interventions during pregnancy have had limited success. Smoking during pregnancy is in many countries recognized as the most important preventable risk factor for an unsuccessful pregnancy outcome. Smoking is causally associated with fetal growth restriction, and increasing evidence also suggests that smoking may cause stillbirth, preterm birth, placental abruption, and possibly also sudden infant death syndrome. Smoking during pregnancy also is generally associated with increased risks of spontaneous abortions, ectopic pregnancies, and placenta previa and may increase risks of behavioral disorders in childhood. Smoking during pregnancy will continue to be an important risk factor for maternal and fetal outcomes during pregnancy.","container-title":"Nicotine &amp; Tobacco Research","DOI":"10.1080/14622200410001669187","ISSN":"1462-2203","issue":"Suppl_2","journalAbbreviation":"Nicotine &amp; Tobacco Research","page":"S125-S140","source":"Silverchair","title":"The epidemiology of smoking during pregnancy: Smoking prevalence, maternal characteristics, and pregnancy outcomes","title-short":"The epidemiology of smoking during pregnancy","volume":"6","author":[{"family":"Cnattingius","given":"Sven"}],"issued":{"date-parts":[["2004",4,1]]}}}],"schema":"https://github.com/citation-style-language/schema/raw/master/csl-citation.json"} </w:instrText>
      </w:r>
      <w:r>
        <w:fldChar w:fldCharType="separate"/>
      </w:r>
      <w:r w:rsidR="00643098" w:rsidRPr="00643098">
        <w:rPr>
          <w:rFonts w:ascii="Calibri" w:hAnsi="Calibri" w:cs="Calibri"/>
        </w:rPr>
        <w:t>[7]</w:t>
      </w:r>
      <w:r>
        <w:fldChar w:fldCharType="end"/>
      </w:r>
      <w:r>
        <w:t xml:space="preserve"> </w:t>
      </w:r>
      <w:r w:rsidRPr="00DF1AEE">
        <w:t>This underscores the need for a deeper understanding of smoking behavio</w:t>
      </w:r>
      <w:r>
        <w:t>u</w:t>
      </w:r>
      <w:r w:rsidRPr="00DF1AEE">
        <w:t>rs among women.</w:t>
      </w:r>
      <w:r>
        <w:t xml:space="preserve"> </w:t>
      </w:r>
      <w:r w:rsidRPr="00494B6D">
        <w:t xml:space="preserve">While overall smoking rates </w:t>
      </w:r>
      <w:r>
        <w:t xml:space="preserve">in Great Britain </w:t>
      </w:r>
      <w:r w:rsidRPr="00494B6D">
        <w:t>have declined in recent decades,</w:t>
      </w:r>
      <w:r>
        <w:fldChar w:fldCharType="begin"/>
      </w:r>
      <w:r w:rsidR="00643098">
        <w:instrText xml:space="preserve"> ADDIN ZOTERO_ITEM CSL_CITATION {"citationID":"aNbNubaa","properties":{"formattedCitation":"[8]","plainCitation":"[8]","noteIndex":0},"citationItems":[{"id":12183,"uris":["http://zotero.org/users/446899/items/6SLASKLY"],"itemData":{"id":12183,"type":"report","title":"Adult smoking habits in the UK: 2023","URL":"https://www.ons.gov.uk/peoplepopulationandcommunity/healthandsocialcare/healthandlifeexpectancies/bulletins/adultsmokinghabitsingreatbritain/2023","author":[{"family":"Office for National Statistics","given":""}],"accessed":{"date-parts":[["2024",10,1]]},"issued":{"date-parts":[["2024"]]}}}],"schema":"https://github.com/citation-style-language/schema/raw/master/csl-citation.json"} </w:instrText>
      </w:r>
      <w:r>
        <w:fldChar w:fldCharType="separate"/>
      </w:r>
      <w:r w:rsidR="00643098" w:rsidRPr="00643098">
        <w:rPr>
          <w:rFonts w:ascii="Calibri" w:hAnsi="Calibri" w:cs="Calibri"/>
        </w:rPr>
        <w:t>[8]</w:t>
      </w:r>
      <w:r>
        <w:fldChar w:fldCharType="end"/>
      </w:r>
      <w:r w:rsidRPr="00494B6D">
        <w:t xml:space="preserve"> patterns of smoking and quitting </w:t>
      </w:r>
      <w:r>
        <w:t>vary</w:t>
      </w:r>
      <w:r w:rsidRPr="00494B6D">
        <w:t xml:space="preserve"> by age</w:t>
      </w:r>
      <w:r>
        <w:fldChar w:fldCharType="begin"/>
      </w:r>
      <w:r w:rsidR="00C50867">
        <w:instrText xml:space="preserve"> ADDIN ZOTERO_ITEM CSL_CITATION {"citationID":"4tSDhXKV","properties":{"formattedCitation":"[8\\uc0\\u8211{}11]","plainCitation":"[8–11]","noteIndex":0},"citationItems":[{"id":12183,"uris":["http://zotero.org/users/446899/items/6SLASKLY"],"itemData":{"id":12183,"type":"report","title":"Adult smoking habits in the UK: 2023","URL":"https://www.ons.gov.uk/peoplepopulationandcommunity/healthandsocialcare/healthandlifeexpectancies/bulletins/adultsmokinghabitsingreatbritain/2023","author":[{"family":"Office for National Statistics","given":""}],"accessed":{"date-parts":[["2024",10,1]]},"issued":{"date-parts":[["2024"]]}}},{"id":12654,"uris":["http://zotero.org/users/446899/items/P5D4TH27"],"itemData":{"id":12654,"type":"article-journal","abstract":"Background Smoking is the main risk factor for most of the leading causes of death. Cessation is the single most important step that smokers can take to improve their health. With the aim of informing policy makers about decisions on future tobacco control strategies, we estimated time and age trends in smoking cessation in Europe between 1980 and 2010. Methods Data on the smoking history of 50,228 lifetime smokers from 17 European countries were obtained from six large population-based studies included in the Ageing Lungs in European Cohorts (ALEC) consortium. Smoking cessation rates were assessed retrospectively, and age trends were estimated for three decades (1980–1989, 1990–1999, 2000–2010). The analyses were stratified by sex and region (North, East, South, West Europe). Results Overall, 21,735 subjects (43.3%) quit smoking over a total time-at-risk of 803,031 years. Cessation rates increased between 1980 and 2010 in young adults (16–40 years), especially females, from all the regions, and in older adults (41–60 years) from North Europe, while they were stable in older adults from East, South and West Europe. In the 2000s, the cessation rates for men and women combined were highest in North Europe (49.9 per 1,000/year) compared to the other regions (range: 26.5–32.7 per 1,000/year). A sharp peak in rates was observed for women around the age of 30, possibly as a consequence of pregnancy-related smoking cessation. In most regions, subjects who started smoking before the age of 16 were less likely to quit than those who started later. Conclusions Our findings suggest an increasing awareness on the detrimental effects of smoking across Europe. However, East, South and West European countries are lagging behind North Europe, suggesting the need to intensify tobacco control strategies in these regions. Additional efforts should be made to keep young adolescents away from taking up smoking, as early initiation could make quitting more challenging during later life.","container-title":"PLOS ONE","DOI":"10.1371/journal.pone.0211976","ISSN":"1932-6203","issue":"2","journalAbbreviation":"PLOS ONE","language":"en","note":"publisher: Public Library of Science","page":"e0211976","source":"PLoS Journals","title":"Time and age trends in smoking cessation in Europe","volume":"14","author":[{"family":"Pesce","given":"Giancarlo"},{"family":"Marcon","given":"Alessandro"},{"family":"Calciano","given":"Lucia"},{"family":"Perret","given":"Jennifer L."},{"family":"Abramson","given":"Michael J."},{"family":"Bono","given":"Roberto"},{"family":"Bousquet","given":"Jean"},{"family":"Fois","given":"Alessandro G."},{"family":"Janson","given":"Christer"},{"family":"Jarvis","given":"Deborah"},{"family":"Jõgi","given":"Rain"},{"family":"Leynaert","given":"Bénédicte"},{"family":"Nowak","given":"Dennis"},{"family":"Schlünssen","given":"Vivi"},{"family":"Urrutia-Landa","given":"Isabel"},{"family":"Verlato","given":"Giuseppe"},{"family":"Villani","given":"Simona"},{"family":"Zuberbier","given":"Torsten"},{"family":"Minelli","given":"Cosetta"},{"family":"Accordini","given":"Simone"},{"family":"Study","given":"on behalf of The Ageing Lungs in European Cohorts (ALEC)"}],"issued":{"date-parts":[["2019",2,7]]}}},{"id":12653,"uris":["http://zotero.org/users/446899/items/DIJPGYNE"],"itemData":{"id":12653,"type":"article-journal","abstract":"Aims To assess the incidence of long-term smoking cessation as a function of age, gender, social grade and their interactions. Design and setting Cross-sectional surveys of population representative samples of smokers in England. Participants A total of 24 094 ever smokers (≥21 and ≤60 years of age) participating in household surveys between November 2006 and February 2011. Measurements The ratio of long-term (&gt;1 year) ex-smokers to ever-smokers was calculated for each age. Regression analyses were used to model the association between age and quit ratio, with the change in quit ratio by year of age n years versus all years up to n–1 years, yielding an estimate of the quitting incidence at that age. Analyses were conducted for the entire sample and then for the sample stratified by gender and social grade, and interactions assessed between these variables. Findings A cubic trend was needed to fit the data. The estimated quitting incidence between ages 21 and 30 was 1.5% (95% CI: 1.0%–2.0%), between 31 and 50 it was 0.3% (95% CI: 0.2%–0.5%) and between 51 and 60 it was 1.2% (95% CI: 0.7%–1.7%). Age interacted with gender and social grade: women and smokers from higher social grades had a higher incidence of quitting than men and those from lower social grades specifically in young adulthood. Conclusions The incidence of smoking cessation in England appears to be greater in young and old adults compared with those in middle age. Women and higher social grade smokers show a greater incidence of quitting than men and those from lower social grades specifically in young adulthood.","container-title":"Addiction","DOI":"10.1111/add.12241","ISSN":"1360-0443","issue":"9","language":"en","license":"© 2013 Society for the Study of Addiction","note":"_eprint: https://onlinelibrary.wiley.com/doi/pdf/10.1111/add.12241","page":"1680-1685","source":"Wiley Online Library","title":"How does rate of smoking cessation vary by age, gender and social grade? Findings from a population survey in England","title-short":"How does rate of smoking cessation vary by age, gender and social grade?","volume":"108","author":[{"family":"Fidler","given":"Jennifer"},{"family":"Ferguson","given":"Stuart G."},{"family":"Brown","given":"Jamie"},{"family":"Stapleton","given":"John"},{"family":"West","given":"Robert"}],"issued":{"date-parts":[["2013"]]}}},{"id":12506,"uris":["http://zotero.org/users/446899/items/GFYXNVT6"],"itemData":{"id":12506,"type":"article-journal","abstract":"Cigarette smoking is incredibly harmful, even for people who do not smoke every day. This study aimed to estimate trends in non-daily smoking in England between 2006 and 2024, how these differed across population subgroups, and to explore changes in the profile of non-daily smokers in terms of their sociodemographic and smoking characteristics and vaping and alcohol consumption.","container-title":"BMC Medicine","DOI":"10.1186/s12916-024-03635-1","ISSN":"1741-7015","issue":"1","journalAbbreviation":"BMC Medicine","page":"426","source":"BioMed Central","title":"Trends in non-daily cigarette smoking in England, 2006–2024","volume":"22","author":[{"family":"Jackson","given":"Sarah E."},{"family":"Brown","given":"Jamie"},{"family":"Shahab","given":"Lion"},{"family":"Cox","given":"Sharon"}],"issued":{"date-parts":[["2024",10,24]]}}}],"schema":"https://github.com/citation-style-language/schema/raw/master/csl-citation.json"} </w:instrText>
      </w:r>
      <w:r>
        <w:fldChar w:fldCharType="separate"/>
      </w:r>
      <w:r w:rsidR="00C50867" w:rsidRPr="00C50867">
        <w:rPr>
          <w:rFonts w:ascii="Calibri" w:hAnsi="Calibri" w:cs="Calibri"/>
        </w:rPr>
        <w:t>[8–11]</w:t>
      </w:r>
      <w:r>
        <w:fldChar w:fldCharType="end"/>
      </w:r>
      <w:r w:rsidRPr="00494B6D">
        <w:t xml:space="preserve"> </w:t>
      </w:r>
      <w:r w:rsidR="0001480A">
        <w:t>and gender</w:t>
      </w:r>
      <w:r w:rsidR="00685270">
        <w:fldChar w:fldCharType="begin"/>
      </w:r>
      <w:r w:rsidR="00C50867">
        <w:instrText xml:space="preserve"> ADDIN ZOTERO_ITEM CSL_CITATION {"citationID":"YONipbam","properties":{"formattedCitation":"[12]","plainCitation":"[12]","noteIndex":0},"citationItems":[{"id":5105,"uris":["http://zotero.org/users/446899/items/6MZMNHF4"],"itemData":{"id":5105,"type":"article-journal","abstract":"Tobacco smoking affects women’s fertility and is associated with substantial risks of adverse pregnancy outcomes. This study explored trends by socioeconomic position in patterns of smoking, use of non-combustible nicotine products, and quitting activity among women of reproductive age in England.","container-title":"BMC Medicine","DOI":"10.1186/s12916-024-03311-4","ISSN":"1741-7015","issue":"1","journalAbbreviation":"BMC Medicine","page":"99","source":"BioMed Central","title":"Characterising smoking and nicotine use behaviours among women of reproductive age: a 10-year population study in England","title-short":"Characterising smoking and nicotine use behaviours among women of reproductive age","volume":"22","author":[{"family":"Jackson","given":"Sarah E."},{"family":"Brown","given":"Jamie"},{"family":"Notley","given":"Caitlin"},{"family":"Shahab","given":"Lion"},{"family":"Cox","given":"Sharon"}],"issued":{"date-parts":[["2024",4,18]]}}}],"schema":"https://github.com/citation-style-language/schema/raw/master/csl-citation.json"} </w:instrText>
      </w:r>
      <w:r w:rsidR="00685270">
        <w:fldChar w:fldCharType="separate"/>
      </w:r>
      <w:r w:rsidR="00C50867" w:rsidRPr="00C50867">
        <w:rPr>
          <w:rFonts w:ascii="Calibri" w:hAnsi="Calibri" w:cs="Calibri"/>
        </w:rPr>
        <w:t>[12]</w:t>
      </w:r>
      <w:r w:rsidR="00685270">
        <w:fldChar w:fldCharType="end"/>
      </w:r>
      <w:r w:rsidR="0001480A">
        <w:t xml:space="preserve">, </w:t>
      </w:r>
      <w:r>
        <w:t>likely due to differences</w:t>
      </w:r>
      <w:r w:rsidRPr="00494B6D">
        <w:t xml:space="preserve"> in social influences, </w:t>
      </w:r>
      <w:r>
        <w:t xml:space="preserve">cultural norms, </w:t>
      </w:r>
      <w:r w:rsidRPr="00494B6D">
        <w:t>health concerns, and life circumstances. However, the extent to which age influences smoking and quitting behavio</w:t>
      </w:r>
      <w:r>
        <w:t>u</w:t>
      </w:r>
      <w:r w:rsidRPr="00494B6D">
        <w:t>rs among women in Great Britain remains underexplored.</w:t>
      </w:r>
      <w:r w:rsidR="00321ABD">
        <w:t xml:space="preserve"> Understanding this could inform tailored interventions to accelerate reductions in smoking prevalence among women.</w:t>
      </w:r>
    </w:p>
    <w:p w14:paraId="2226DBA0" w14:textId="4D88E5A4" w:rsidR="009427BA" w:rsidRPr="00FC71A5" w:rsidRDefault="009427BA" w:rsidP="009427BA">
      <w:r w:rsidRPr="00FC71A5">
        <w:t>Age-related differences in smoking behavio</w:t>
      </w:r>
      <w:r>
        <w:t>u</w:t>
      </w:r>
      <w:r w:rsidRPr="00FC71A5">
        <w:t xml:space="preserve">rs can be shaped by various factors. Younger women may be more </w:t>
      </w:r>
      <w:r w:rsidRPr="008C6B11">
        <w:t xml:space="preserve">susceptible to </w:t>
      </w:r>
      <w:r w:rsidRPr="00FC71A5">
        <w:t>peer norms</w:t>
      </w:r>
      <w:r>
        <w:t xml:space="preserve"> including social pressures</w:t>
      </w:r>
      <w:r w:rsidRPr="00FC71A5">
        <w:t xml:space="preserve">, </w:t>
      </w:r>
      <w:r>
        <w:t>and the glamourisation of smoking within the media and</w:t>
      </w:r>
      <w:r w:rsidR="00CE3354">
        <w:t xml:space="preserve"> ideas perpetuated by historic images and</w:t>
      </w:r>
      <w:r>
        <w:t xml:space="preserve"> tobacco </w:t>
      </w:r>
      <w:r w:rsidRPr="00FC71A5">
        <w:t>marketing</w:t>
      </w:r>
      <w:r>
        <w:t>. Across cultural eras, tobacco smoking has been positioned as a gendered behaviour</w:t>
      </w:r>
      <w:r w:rsidR="00270491">
        <w:t>.</w:t>
      </w:r>
      <w:r>
        <w:fldChar w:fldCharType="begin"/>
      </w:r>
      <w:r w:rsidR="00C50867">
        <w:instrText xml:space="preserve"> ADDIN ZOTERO_ITEM CSL_CITATION {"citationID":"mh9nwvD0","properties":{"formattedCitation":"[13, 14]","plainCitation":"[13, 14]","noteIndex":0},"citationItems":[{"id":12700,"uris":["http://zotero.org/users/446899/items/4XFEHB96"],"itemData":{"id":12700,"type":"article-journal","abstract":"In Britain, the feminization of the cigarette is a 20th-century phenomenon. Prior to 1900 few women smoked, but during the 1920s and 1930s smoking amongst women increased dramatically. Set in the context of the increased prevalence of smoking among women during the interwar years, and negotiations around the meanings of gender and gender relations in this period, this article examines some of the ways in which popular young women's magazines represented smoking as a gendered practice. An examination of the fiction and illustrations featured in popular magazines, as well as articles and advertisements, reveals that representations of women smoking were employed in the interwar years to convey and develop key gender issues—these were rebellion, modernity, and heterosexual intimacy.","container-title":"Women's Studies International Forum","DOI":"10.1016/S0277-5395(00)00165-5","ISSN":"0277-5395","issue":"1","journalAbbreviation":"Women's Studies International Forum","page":"111-122","source":"ScienceDirect","title":"Rebellion, modernity, and romance: Smoking as a gendered practice in popular young women's magazines, britain 1918–1939","title-short":"Rebellion, modernity, and romance","volume":"24","author":[{"family":"Tinkler","given":"Penny"}],"issued":{"date-parts":[["2001",1,1]]}}},{"id":12698,"uris":["http://zotero.org/users/446899/items/N489Z2ZW"],"itemData":{"id":12698,"type":"article-journal","abstract":"Previous research has found that young women’s smoking relates to their performance of feminine gender identities. Using an intersectional approach, we explore in this study how young women’s smoking is implicated in the doing and undoing of femininities, as well as other intersecting identities. Discourse analysis was used to examine interviews and a photography activity conducted with young women, both current and ex-smokers. This analysis revealed four culturally dominant repertoires: “cigarettes and smoking styles as gendered”, “smoking as controlling weight”, “smoking as a sexual tool”, and “smoking as compromising appearance”. Young women’s experiences and negotiations of discourse surrounding smoking and femininity were shaped by intersecting social class and sexual identities. These findings can be used to inform the development of smoking cessation interventions which recognise the diversity in how young women perform femininity.","container-title":"Feminism &amp; Psychology","DOI":"10.1177/0959353517693030","ISSN":"0959-3535","issue":"4","language":"EN","note":"publisher: SAGE Publications Ltd","page":"465-488","source":"SAGE Journals","title":"Doing and undoing femininities: An intersectional analysis of young women’s smoking","title-short":"Doing and undoing femininities","volume":"27","author":[{"family":"Triandafilidis","given":"Zoi"},{"family":"Ussher","given":"Jane M"},{"family":"Perz","given":"Janette"},{"family":"Huppatz","given":"Kate"}],"issued":{"date-parts":[["2017",11,1]]}}}],"schema":"https://github.com/citation-style-language/schema/raw/master/csl-citation.json"} </w:instrText>
      </w:r>
      <w:r>
        <w:fldChar w:fldCharType="separate"/>
      </w:r>
      <w:r w:rsidR="00C50867" w:rsidRPr="00C50867">
        <w:rPr>
          <w:rFonts w:ascii="Calibri" w:hAnsi="Calibri" w:cs="Calibri"/>
        </w:rPr>
        <w:t>[13, 14]</w:t>
      </w:r>
      <w:r>
        <w:fldChar w:fldCharType="end"/>
      </w:r>
      <w:r w:rsidR="004F50D4">
        <w:t xml:space="preserve"> </w:t>
      </w:r>
      <w:r>
        <w:t>The tobacco industry has targeted women with marketing strategies linking smoking with female empowerment</w:t>
      </w:r>
      <w:r w:rsidRPr="003543C2">
        <w:t>, glamour, and thinness</w:t>
      </w:r>
      <w:r>
        <w:t>.</w:t>
      </w:r>
      <w:r>
        <w:fldChar w:fldCharType="begin"/>
      </w:r>
      <w:r w:rsidR="00C50867">
        <w:instrText xml:space="preserve"> ADDIN ZOTERO_ITEM CSL_CITATION {"citationID":"RrCRagge","properties":{"formattedCitation":"[15, 16]","plainCitation":"[15, 16]","noteIndex":0},"citationItems":[{"id":12711,"uris":["http://zotero.org/users/446899/items/TI2NSMZV"],"itemData":{"id":12711,"type":"article-journal","container-title":"Tobacco Control","DOI":"10.1136/tc.9.1.3","ISSN":"0964-4563","issue":"1","journalAbbreviation":"Tob Control","language":"eng","note":"PMID: 10691743\nPMCID: PMC1748294","page":"3-8","source":"PubMed","title":"From social taboo to \"torch of freedom\": the marketing of cigarettes to women","title-short":"From social taboo to \"torch of freedom\"","volume":"9","author":[{"family":"Amos","given":"A."},{"family":"Haglund","given":"M."}],"issued":{"date-parts":[["2000",3]]}}},{"id":12714,"uris":["http://zotero.org/users/446899/items/5HUJI8N3"],"itemData":{"id":12714,"type":"article-journal","abstract":"Smoking Kills over half a million women each year and is the most important preventable cause of female premature death in several developed countries. However, in many countries, cigarette smoking still tends to be regarded as a mainly male problem. This paper explores the reasons why more attention needs to be paid to issues around smoking and women, even in countries which currently have low levels of female cigarette smoking. The article includes an overview of current patterns and trends of smoking among women, and the factors which influence smoking uptake and cessation in women compared to men. The experience of countries with the longest history of widespread female smoking is used to identify some of the key challenges facing developed and developing countries. Tobacco companies have identified women as a key target group, therefore particular attention is given to the ways in which they have attempted to reach women through advertising and other marketing strategies. It is concluded that in order to halt and ultimately reverse the tobacco epidemic among women, tobacco control policies need to encompass both gender-specific and gender-sensitive approaches. Examples are given of the types of action that are needed in relation to research, public policy and legislation, and eduction.","container-title":"British Medical Bulletin","DOI":"10.1093/oxfordjournals.bmb.a011534","ISSN":"0007-1420","issue":"1","journalAbbreviation":"British Medical Bulletin","page":"74-89","source":"Silverchair","title":"Women and smoking","volume":"52","author":[{"family":"Amos","given":"Amanda"}],"issued":{"date-parts":[["1996",1,1]]}}}],"schema":"https://github.com/citation-style-language/schema/raw/master/csl-citation.json"} </w:instrText>
      </w:r>
      <w:r>
        <w:fldChar w:fldCharType="separate"/>
      </w:r>
      <w:r w:rsidR="00C50867" w:rsidRPr="00C50867">
        <w:rPr>
          <w:rFonts w:ascii="Calibri" w:hAnsi="Calibri" w:cs="Calibri"/>
        </w:rPr>
        <w:t>[15, 16]</w:t>
      </w:r>
      <w:r>
        <w:fldChar w:fldCharType="end"/>
      </w:r>
      <w:r w:rsidRPr="00FC71A5">
        <w:t xml:space="preserve"> </w:t>
      </w:r>
      <w:r>
        <w:t>Evidence suggests that younger women and new mothers in particular may be dissuaded from quitting smoking for fear of gaining weight.</w:t>
      </w:r>
      <w:r>
        <w:fldChar w:fldCharType="begin"/>
      </w:r>
      <w:r w:rsidR="00C50867">
        <w:instrText xml:space="preserve"> ADDIN ZOTERO_ITEM CSL_CITATION {"citationID":"6WygEvCi","properties":{"formattedCitation":"[17\\uc0\\u8211{}20]","plainCitation":"[17–20]","noteIndex":0},"citationItems":[{"id":12705,"uris":["http://zotero.org/users/446899/items/4LQ77SGS"],"itemData":{"id":12705,"type":"article-journal","abstract":"Differences among adult women smokers with differing levels of concern about post-cessation weight gain were investigated in a national random-digit-dialing survey. To avoid defining weight concerns in terms of possible etiologies or contributory factors, respondents were stratified using a single item querying concern about post-cessation weight gain; 39% described themselves as very concerned (VC), 28% as somewhat concerned (SC), and 33% as not concerned (NC). Significant between-groups differences were detected for measures of weight and body image, eating patterns and weight control practices, and nicotine dependence, but not for depression. Differences, primarily between VC and NC, were also detected for several weight-related smoking variables, including importance of weight as a factor in initiation, smoking as a weight control strategy, increased appetite and weight gain as withdrawal symptoms, willingness to gain weight upon quitting, self-efficacy about relapse in the face of weight gain, and readiness to quit smoking. Most differences persisted even after adjusting for body mass index and nicotine dependence. Although the importance of thinness was rated higher by weight-concerned women, the difference did not reach significance. Rather, what differentiated groups was the importance of overall body image, suggesting a larger pattern of preoccupation with body image that may not be captured by queries about weight concerns alone. We conclude that weight-concerned women smokers will be especially unlikely to seek treatment or attempt self-quitting; and that redirecting attention to other aspects of body image is likely to be more helpful than attempting to divert attention away from body image.","container-title":"Nicotine &amp; Tobacco Research","DOI":"10.1080/14622200125675","ISSN":"1462-2203","issue":"1","journalAbbreviation":"Nicotine &amp; Tobacco Research","page":"51-60","source":"Silverchair","title":"Characterizing concerns about post-cessation weight gain: results from a national survey of women smokers","title-short":"Characterizing concerns about post-cessation weight gain","volume":"3","author":[{"family":"Pomerleau","given":"Cynthia S."},{"family":"Zucker","given":"Alyssa N."},{"family":"Stewart","given":"Abigail J."}],"issued":{"date-parts":[["2001",2,1]]}}},{"id":12707,"uris":["http://zotero.org/users/446899/items/8ZZTPFNK"],"itemData":{"id":12707,"type":"article-journal","abstract":"Many women endorse concerns about the weight gain that commonly accompanies an attempt to quit smoking. These weight-concerned women smokers also are less likely to be successful in their cessation efforts, and several approaches to treating postcessation weight concerns among smokers have been studied. We recently have documented the superiority of a cognitive-behavioral treatment (CBT) designed to decrease women's concerns about postcessation weight gain as compared to previously studied approaches. In this article, we briefly review the literature on weight concerns for women smokers and present details of a cognitive-behavioral approach to women's concerns about smoking-related weight gain and its integration into standard smoking cessation treatment program. In addition, ongoing treatment research to improve the longer-term outcome of weight-concerned women smokers is discussed.","container-title":"Cognitive and Behavioral Practice","DOI":"10.1016/S1077-7229(03)80018-4","ISSN":"1077-7229","issue":"2","journalAbbreviation":"Cognitive and Behavioral Practice","page":"105-111","source":"ScienceDirect","title":"Women, weight, and smoking: A cognitive behavioral approach to women's concerns about weight gain following smoking cessation","title-short":"Women, weight, and smoking","volume":"10","author":[{"family":"Levine","given":"Michele D."},{"family":"Marcus","given":"Marsha D."},{"family":"Perkins","given":"Kenneth A."}],"issued":{"date-parts":[["2003",3,1]]}}},{"id":12709,"uris":["http://zotero.org/users/446899/items/7B4AFT5R"],"itemData":{"id":12709,"type":"article-journal","abstract":"While it has been established that many women quit smoking during pregnancy, little is known about postpartum maintenance of smoking cessation and relapse. A sample of 567 women were surveyed at about 6 months postpartum in order to (a) describe the patterns of smoking relapse; (b) assess the perceived importance of smoking cessation in pregnancy and postpartum; and (c) identify potentially high risk situations for smoking relapse. Results indicate that about half (56%) of the women who quit smoking during pregnancy relapse to smoking by 30 days postpartum. Most of these relapses occur in the company of other smokers. Socializing and/or living with a smoker had a powerful negative impact on ability to maintain abstinence in postpartum. Smoking cessation programs for pregnant women should emphasize the importance of continued abstinence in postpartum.","container-title":"Addictive Behaviors","DOI":"10.1016/0306-4603(90)90020-X","ISSN":"0306-4603","issue":"2","journalAbbreviation":"Addictive Behaviors","page":"165-168","source":"ScienceDirect","title":"Postpartum smoking relapse","volume":"15","author":[{"family":"McBride","given":"Colleen M."},{"family":"Pirie","given":"Phyllis L."}],"issued":{"date-parts":[["1990",1,1]]}}},{"id":12720,"uris":["http://zotero.org/users/446899/items/R6ZUS94K"],"itemData":{"id":12720,"type":"article-journal","abstract":"There are strong social pressures for U.S. females, particularly those of European heritage, to achieve and maintain an extremely low body weight. These pressures are reflected in a variety of media sources, including advertising. We argue that valuing thinness, exposure to thinness-depicting media, and lacking skepticism about tobacco advertisements have adverse effects on young women's decisions about smoking, particularly smoking for weight control. We tested these hypotheses in a study of 188 female undergraduates, both never-smokers and daily smokers. Believing that smoking controls weight, exposure to thinness-depicting media, and low levels of skepticism about tobacco advertising were associated with being a smoker. Among smokers, believing that smoking controls weight, internalizing thinness pressures, and low levels of feminist consciousness were associated with smoking for weight control. Results are discussed with the aim of encouraging public health anti-smoking campaigns targeted at women, and smoking cessation programs that are responsive to the needs of weight-concerned female smokers.","container-title":"Psychology of Women Quarterly","DOI":"10.1111/1471-6402.00024","ISSN":"0361-6843","issue":"3","language":"EN","note":"publisher: SAGE Publications Inc","page":"233-241","source":"SAGE Journals","title":"Smoking in College Women: The Role of Thinness Pressures, Media Exposure, and Critical Consciousness","title-short":"Smoking in College Women","volume":"25","author":[{"family":"Zucker","given":"Alyssa N."},{"family":"Harrell","given":"Zaje A."},{"family":"Miner-Rubino","given":"Kathi"},{"family":"Stewart","given":"Abigail J."},{"family":"Pomerleau","given":"Cynthia S."},{"family":"Boyd","given":"Carol J."}],"issued":{"date-parts":[["2001",9,1]]}}}],"schema":"https://github.com/citation-style-language/schema/raw/master/csl-citation.json"} </w:instrText>
      </w:r>
      <w:r>
        <w:fldChar w:fldCharType="separate"/>
      </w:r>
      <w:r w:rsidR="00C50867" w:rsidRPr="00C50867">
        <w:rPr>
          <w:rFonts w:ascii="Calibri" w:hAnsi="Calibri" w:cs="Calibri"/>
        </w:rPr>
        <w:t>[17–20]</w:t>
      </w:r>
      <w:r>
        <w:fldChar w:fldCharType="end"/>
      </w:r>
      <w:r w:rsidRPr="00FC71A5">
        <w:t xml:space="preserve"> As women </w:t>
      </w:r>
      <w:r>
        <w:t>progress through</w:t>
      </w:r>
      <w:r w:rsidRPr="00FC71A5">
        <w:t xml:space="preserve"> different life stages</w:t>
      </w:r>
      <w:r>
        <w:t xml:space="preserve"> –</w:t>
      </w:r>
      <w:r w:rsidRPr="00FC71A5">
        <w:t xml:space="preserve"> such as pregnancy, parenting, or menopause</w:t>
      </w:r>
      <w:r>
        <w:t xml:space="preserve"> –</w:t>
      </w:r>
      <w:r w:rsidRPr="00FC71A5">
        <w:t xml:space="preserve"> health concerns</w:t>
      </w:r>
      <w:r>
        <w:t xml:space="preserve"> </w:t>
      </w:r>
      <w:r w:rsidRPr="00FC71A5">
        <w:t xml:space="preserve">and hormonal changes may </w:t>
      </w:r>
      <w:r>
        <w:t>either increase or decrease their</w:t>
      </w:r>
      <w:r w:rsidRPr="00FC71A5">
        <w:t xml:space="preserve"> motivation to quit.</w:t>
      </w:r>
      <w:r>
        <w:fldChar w:fldCharType="begin"/>
      </w:r>
      <w:r w:rsidR="00C50867">
        <w:instrText xml:space="preserve"> ADDIN ZOTERO_ITEM CSL_CITATION {"citationID":"fVPrYDpv","properties":{"formattedCitation":"[21, 22]","plainCitation":"[21, 22]","noteIndex":0},"citationItems":[{"id":12717,"uris":["http://zotero.org/users/446899/items/PEBLX72V"],"itemData":{"id":12717,"type":"article-journal","abstract":"This study explored influences on adoption, maintenance and cessation of smoking among young women as they experienced life transitions: leaving home, gaining employment or attending college/university, marriage and parenthood. Standardized, open-ended telephone interviews were conducted with 80 women (including never smokers, continuing smokers, recent adopters and quitters) aged 24–29 years, recruited from participants in the Australian Longitudinal Study on Women's Health. The social context of smoking (socializing with other smokers, drinking alcohol and going to pubs and clubs) was perceived to be a predominant influence on smoking from the time young women left home until they settled into a committed relationship or started their own family. Stress was identified as an important factor as they experienced lifestyle changes. An increased sensitivity to the negative aspects of smoking after turning 21 was reported, and around the mid-20s the women became concerned about the addictive nature of cigarettes. Motherhood was seen to carry increased responsibilities to protect children from passive smoking and there was a perceived importance of positive role modelling to protect children from becoming smokers themselves. This study highlights the need for public health campaigns to address the social role that smoking plays in young women's lives, and the perceived use of cigarettes for stress relief. Life changes such as settling down with a partner and the contemplation of motherhood provide opportunities for targeted interventions to promote quitting.","container-title":"Health Education Research","DOI":"10.1093/her/cyl041","ISSN":"0268-1153","issue":"3","journalAbbreviation":"Health Education Research","page":"428-439","source":"Silverchair","title":"From partying to parenthood: young women's perceptions of cigarette smoking across life transitions","title-short":"From partying to parenthood","volume":"21","author":[{"family":"McDermott","given":"Liane J."},{"family":"Dobson","given":"AJ"},{"family":"Owen","given":"N"}],"issued":{"date-parts":[["2006",7,1]]}}},{"id":12722,"uris":["http://zotero.org/users/446899/items/2TPFCVJ9"],"itemData":{"id":12722,"type":"article-journal","abstract":"The concept of the socioeconomic lifecourse is increasingly informing understanding of the social patterning of cigarette smoking. We investigated lifecourse influences on (i) women's smoking status (smoker/non-smoker) before pregnancy and (ii) quitting in pregnancy in the UK Millennium Cohort study. Our analyses included conventional measures of the socioeconomic lifecourse (woman's childhood circumstances, education, current socioeconomic circumstances) and measures of her domestic lifecourse (age of becoming a mother, current cohabitation status), as well as parity (first/subsequent child). In analyses of quitting, we also included pre-pregnancy cigarette consumption. Our study underlined, firstly, the importance of lifecourse disadvantage. Those experiencing greater disadvantage with respect to their childhood circumstances, education and current circumstances were at greater risk of being a smoker before pregnancy. A disadvantaged domestic lifecourse – earlier entry into motherhood and lone motherhood–further increased the risk. Poorer childhood circumstances, educational disadvantage, poorer current circumstances and early motherhood also significantly increased the odds of quitting in pregnancy. Secondly, parity was a major predictor of smoking behaviour. First-time mothers had higher odds both of smoking before pregnancy and quitting in pregnancy. The effects of parity were independent of women's lifecourse. Our study supports tobacco control policies which recognise and address inequalities across the lifecourse. However, our study suggests that the dye is not irrevocably cast by social disadvantage: first pregnancy uniformly increases the chances of quitting. Interventions which help smokers having their first baby to quit have an important part to play in promoting maternal and child health.","container-title":"Social Science &amp; Medicine","DOI":"10.1016/j.socscimed.2009.10.041","ISSN":"0277-9536","issue":"4","journalAbbreviation":"Social Science &amp; Medicine","page":"582-587","source":"ScienceDirect","title":"Lifecourse influences on women's smoking before, during and after pregnancy","volume":"70","author":[{"family":"Graham","given":"Hilary"},{"family":"Hawkins","given":"Summer Sherburne"},{"family":"Law","given":"Catherine"}],"issued":{"date-parts":[["2010",2,1]]}}}],"schema":"https://github.com/citation-style-language/schema/raw/master/csl-citation.json"} </w:instrText>
      </w:r>
      <w:r>
        <w:fldChar w:fldCharType="separate"/>
      </w:r>
      <w:r w:rsidR="00C50867" w:rsidRPr="00C50867">
        <w:rPr>
          <w:rFonts w:ascii="Calibri" w:hAnsi="Calibri" w:cs="Calibri"/>
        </w:rPr>
        <w:t>[21, 22]</w:t>
      </w:r>
      <w:r>
        <w:fldChar w:fldCharType="end"/>
      </w:r>
      <w:r w:rsidRPr="00FC71A5">
        <w:t xml:space="preserve"> </w:t>
      </w:r>
      <w:r>
        <w:t>Additionally</w:t>
      </w:r>
      <w:r w:rsidRPr="00FC71A5">
        <w:t xml:space="preserve">, women may </w:t>
      </w:r>
      <w:r>
        <w:t>face</w:t>
      </w:r>
      <w:r w:rsidRPr="00FC71A5">
        <w:t xml:space="preserve"> unique challenges in quitting </w:t>
      </w:r>
      <w:r>
        <w:t xml:space="preserve">during certain periods of life </w:t>
      </w:r>
      <w:r w:rsidRPr="00FC71A5">
        <w:t>due to factors like work-related stress, caregiving responsibilities</w:t>
      </w:r>
      <w:r w:rsidR="00CE3354">
        <w:t xml:space="preserve"> (for children and or parents)</w:t>
      </w:r>
      <w:r w:rsidRPr="00FC71A5">
        <w:t>, or financial pressures.</w:t>
      </w:r>
      <w:r>
        <w:fldChar w:fldCharType="begin"/>
      </w:r>
      <w:r w:rsidR="00C50867">
        <w:instrText xml:space="preserve"> ADDIN ZOTERO_ITEM CSL_CITATION {"citationID":"nOGa9nbJ","properties":{"formattedCitation":"[23\\uc0\\u8211{}25]","plainCitation":"[23–25]","noteIndex":0},"citationItems":[{"id":12648,"uris":["http://zotero.org/users/446899/items/4Y4RLFTS"],"itemData":{"id":12648,"type":"chapter","abstract":"Cigarette smoking, marketed to women first as glamorous and later as liberated (Davis, 1987), has become the single greatest threat to the health of women in Western industrialized countries. The prevalence of smoking among women and the health effects of this important risk behavior are reviewed in the first section of this chapter. Research that explores the relationships among work, stress, psychological distress, and women’s smoking, in keeping with the theme of this volume, is then discussed. A model integrating these factors will be presented, and data from the Women and Health Study, a work-site-based investigation of women and work, will be examined in light of this model. In the final section implications of the model for smoking cessation programs in industry will be discussed.","container-title":"Women, Work, and Health: Stress and Opportunities","event-place":"Boston, MA","ISBN":"978-1-4615-3712-0","language":"en","note":"DOI: 10.1007/978-1-4615-3712-0_7","page":"139-155","publisher":"Springer US","publisher-place":"Boston, MA","source":"Springer Link","title":"Women, Work-Related Stress, and Smoking","URL":"https://doi.org/10.1007/978-1-4615-3712-0_7","author":[{"family":"Chesney","given":"Margaret A."}],"editor":[{"family":"Frankenhaeuser","given":"Marianne"},{"family":"Lundberg","given":"Ulf"},{"family":"Chesney","given":"Margaret"}],"accessed":{"date-parts":[["2025",3,26]]},"issued":{"date-parts":[["1991"]]}}},{"id":12651,"uris":["http://zotero.org/users/446899/items/6APIDG4F"],"itemData":{"id":12651,"type":"article-journal","abstract":"Introduction\nThis study examines the prospective association between financial strain and smoking cessation and smoking relapse among U.S. adults with established smoking.\nMethods\nDiscrete-time survival models were fit to nationally representative data in Waves 1–5 (2013–2019) of the U.S. Population Assessment of Tobacco and Health Study for smoking cessation (n=6,972) and smoking relapse (n=1,195). Models were adjusted for demographics (age, sex, race, and ethnicity), socioeconomic positioning (education, income, health insurance status), and tobacco-related confounders (quit attempts, coupon receipt, and nicotine dependence). Data were collected between 2013 and 2019, and the analysis was conducted in 2023–2024.\nResults\nAmong adults with established cigarette smoking, financial strain was associated with a reduced likelihood of cigarette smoking cessation (HR: 0.81, 95% CI: 0.72, 0.92) and an increased likelihood of cigarette smoking relapse (HR: 1.56, 95% CI: 1.24, 1.96) in multivariable models. Results were robust to sensitivity analyses varying confounder control, sample restrictions, and survey weights used.\nConclusions\nThe results from this study suggest that financial strain is a barrier to cigarette smoking without relapse, which may be due to stress and coping processes. Smoking cessation interventions would benefit from considering the role that financial strain plays in inhibiting smoking cessation without relapse.","container-title":"American Journal of Preventive Medicine","DOI":"10.1016/j.amepre.2024.09.012","ISSN":"0749-3797","issue":"1","journalAbbreviation":"American Journal of Preventive Medicine","page":"164-171","source":"ScienceDirect","title":"Financial Strain and Smoking Cessation and Relapse Among U.S. Adults Who Smoke: A Longitudinal Cohort Study","title-short":"Financial Strain and Smoking Cessation and Relapse Among U.S. Adults Who Smoke","volume":"68","author":[{"family":"Cook","given":"Steven"},{"family":"Curtis","given":"Josh"},{"family":"Buszkiewicz","given":"James H."},{"family":"Brouwer","given":"Andrew F."},{"family":"Fleischer","given":"Nancy L."}],"issued":{"date-parts":[["2025",1,1]]}}},{"id":12649,"uris":["http://zotero.org/users/446899/items/B9EG8WNC"],"itemData":{"id":12649,"type":"article-journal","abstract":"Introduction\nStress has been found to be a significant risk factor for cigarette smoking. Stress affects males and females differently, as does the use of smoking for stress reduction. Few studies have examined gender differences with the interrelation of perceived stress and smoking behaviors and nicotine related symptomatology. Our study investigates this association, as well as the influence of sociodemographic variables.\nMethods\nThis is a retrospective analysis of 62 smokers (41 males, 21 females) enrolled in a smoking cessation study. At the screening visit sociodemographic information, smoking behaviors and survey measures were completed. These included the Perceived Stress Scale (PSS), Minnesota Nicotine Withdrawal Scale (MNWS), and others. Analyses were conducted using multiple linear regression models.\nResults\nPSS score was found to have a negative association with number of cigarettes smoked in males (slope −0.29±0.08; p=0.0009) and females (slope −0.20±0.18; p=0.26) with no difference in effect between genders (p=0.64). Linear regression of MNWS on PSS revealed a positive association for both males (slope 0.41±0.068; p&lt;0.0001) and females (slope 0.73±0.14; p&lt;0.0001). There was a significant difference in effect between genders (p=0.04).\nConclusions\nA strong positive association was observed between perceived stress and nicotine withdrawal symptomatology in smokers of both sexes, with a larger effect seen in women. These findings emphasize the importance of stress reduction in smokers, which may lead to fewer withdrawal symptoms and more effective smoking cessation.","container-title":"Addictive Behaviors","DOI":"10.1016/j.addbeh.2015.07.011","ISSN":"0306-4603","journalAbbreviation":"Addictive Behaviors","page":"80-83","source":"ScienceDirect","title":"Perceived stress and smoking-related behaviors and symptomatology in male and female smokers","volume":"51","author":[{"family":"Lawless","given":"Michael H."},{"family":"Harrison","given":"Katherine A."},{"family":"Grandits","given":"Gregory A."},{"family":"Eberly","given":"Lynn E."},{"family":"Allen","given":"Sharon S."}],"issued":{"date-parts":[["2015",12,1]]}}}],"schema":"https://github.com/citation-style-language/schema/raw/master/csl-citation.json"} </w:instrText>
      </w:r>
      <w:r>
        <w:fldChar w:fldCharType="separate"/>
      </w:r>
      <w:r w:rsidR="00C50867" w:rsidRPr="00C50867">
        <w:rPr>
          <w:rFonts w:ascii="Calibri" w:hAnsi="Calibri" w:cs="Calibri"/>
        </w:rPr>
        <w:t>[23–25]</w:t>
      </w:r>
      <w:r>
        <w:fldChar w:fldCharType="end"/>
      </w:r>
      <w:r w:rsidRPr="00FC71A5">
        <w:t xml:space="preserve"> </w:t>
      </w:r>
      <w:r w:rsidR="00CB11A8">
        <w:t>G</w:t>
      </w:r>
      <w:r w:rsidRPr="00FC71A5">
        <w:t>enerational differences in exposure to tobacco control policies, such as smoking bans and public health campaigns, may also influence smoking behavio</w:t>
      </w:r>
      <w:r>
        <w:t>u</w:t>
      </w:r>
      <w:r w:rsidRPr="00FC71A5">
        <w:t>rs across age groups.</w:t>
      </w:r>
      <w:r>
        <w:fldChar w:fldCharType="begin"/>
      </w:r>
      <w:r w:rsidR="00C50867">
        <w:instrText xml:space="preserve"> ADDIN ZOTERO_ITEM CSL_CITATION {"citationID":"TFFUY0EH","properties":{"formattedCitation":"[26]","plainCitation":"[26]","noteIndex":0},"citationItems":[{"id":12650,"uris":["http://zotero.org/users/446899/items/96QRSN5R"],"itemData":{"id":12650,"type":"article-journal","abstract":"Background and aims Smoking prevalence has been falling in England for more than 50 years, but remains a prevalent and major public health problem. This study used an age–period–cohort (APC) approach to measure lifecycle, historical and generational patterns of individual smoking behaviour. Design APC analysis of repeated cross-sectional smoking prevalence data obtained from three nationally representative surveys. Setting England (1972–2019). Participants Individuals aged 18–90 years. Measurements We studied relative odds of current smoking in relation to age in single years from 18 to 90, 24 groups of 2-year survey periods (1972–73 to 2018–19) and 20 groups of 5-year birth cohorts (1907–11 to 1997–2001). Age and period rates were studied for two groups of birth cohorts: those aged 18–25 years and those aged over 25 years. Findings Relative to age 18, the odds of current smoking increased with age until approximately age 25 [odds ratio (OR) = 1.48, 95% confidence interval (CI) = 1.41–1.56] and then decreased progressively to age 90 (OR = 0.06, 95% CI = 0.04–0.08). They also decreased almost linearly with period relative to 1972–73 (for 2018–19: OR = 0.30, 95% CI = 0.26–0.34) and with birth cohort relative to 1902–06, with the largest decreased observed for birth cohort 1992–96 (OR = 0.44, 95% CI = 0.35–0.46) and 1997–2001 (OR = 0.35, 95% CI = 0.74–0.88). Smoking declined in the 18–25 age group by an average of 7% over successive 2-year periods and by an average of 5% in those aged over 25. Conclusions Smoking in England appears to have declined over recent decades mainly as a result of reduced smoking uptake before age 25, and to a lesser extent to smoking cessation after age 25.","container-title":"Addiction","DOI":"10.1111/add.15696","ISSN":"1360-0443","issue":"5","language":"en","license":"© 2021 The Authors. Addiction published by John Wiley &amp; Sons Ltd on behalf of Society for the Study of Addiction.","note":"_eprint: https://onlinelibrary.wiley.com/doi/pdf/10.1111/add.15696","page":"1392-1403","source":"Wiley Online Library","title":"Understanding long-term trends in smoking in England, 1972–2019: an age–period–cohort approach","title-short":"Understanding long-term trends in smoking in England, 1972–2019","volume":"117","author":[{"family":"Opazo Breton","given":"Magdalena"},{"family":"Gillespie","given":"Duncan"},{"family":"Pryce","given":"Robert"},{"family":"Bogdanovica","given":"Ilze"},{"family":"Angus","given":"Colin"},{"family":"Hernandez Alava","given":"Monica"},{"family":"Brennan","given":"Alan"},{"family":"Britton","given":"John"}],"issued":{"date-parts":[["2022"]]}}}],"schema":"https://github.com/citation-style-language/schema/raw/master/csl-citation.json"} </w:instrText>
      </w:r>
      <w:r>
        <w:fldChar w:fldCharType="separate"/>
      </w:r>
      <w:r w:rsidR="00C50867" w:rsidRPr="00C50867">
        <w:rPr>
          <w:rFonts w:ascii="Calibri" w:hAnsi="Calibri" w:cs="Calibri"/>
        </w:rPr>
        <w:t>[26]</w:t>
      </w:r>
      <w:r>
        <w:fldChar w:fldCharType="end"/>
      </w:r>
      <w:r w:rsidRPr="00FC71A5">
        <w:t xml:space="preserve"> </w:t>
      </w:r>
      <w:r w:rsidR="00CB11A8">
        <w:t xml:space="preserve">Furthermore, as women who smoke </w:t>
      </w:r>
      <w:r w:rsidR="0045374D">
        <w:t>reach</w:t>
      </w:r>
      <w:r w:rsidR="00CB11A8">
        <w:t xml:space="preserve"> older age they may feel less inclined to quit</w:t>
      </w:r>
      <w:r w:rsidR="00602ED5">
        <w:t xml:space="preserve"> if they perceive that smoking has no</w:t>
      </w:r>
      <w:r w:rsidR="008E2264">
        <w:t>t</w:t>
      </w:r>
      <w:r w:rsidR="00602ED5">
        <w:t xml:space="preserve"> harmed them so far or that the damage </w:t>
      </w:r>
      <w:r w:rsidR="00751822">
        <w:t>is</w:t>
      </w:r>
      <w:r w:rsidR="00602ED5">
        <w:t xml:space="preserve"> already done.</w:t>
      </w:r>
      <w:r w:rsidR="00751822">
        <w:fldChar w:fldCharType="begin"/>
      </w:r>
      <w:r w:rsidR="00C50867">
        <w:instrText xml:space="preserve"> ADDIN ZOTERO_ITEM CSL_CITATION {"citationID":"yqITmaAU","properties":{"formattedCitation":"[27]","plainCitation":"[27]","noteIndex":0},"citationItems":[{"id":5036,"uris":["http://zotero.org/users/446899/items/44VBB3DI"],"itemData":{"id":5036,"type":"article-journal","abstract":"The aim of this study was to explore older current/former smokers’ views on smoking, stopping smoking, and smoking cessation resources and services. Despite the fact that older smokers have been identified as a priority group, there is currently a dearth of age-related smoking cessation research to guide practice. The study adopted a qualitative approach and used the health belief model as a conceptual framework. Twenty current and former smokers aged ≥ 65 years were recruited through general practices and a forum for older adults in the West of Scotland. Data were collected using a semistructured interview schedule. The audio-taped interviews were transcribed and then analysed using content analysis procedures. Current smokers reported many positive associations with smoking, which often prevented a smoking cessation attempt. The majority were aware that smoking had damaged their health; however, some were not convinced of the association. A common view was that ‘the damage was done’, and therefore, there was little point in attempting to stop smoking. When suggesting a cessation attempt, while some health professionals provided good levels of support, others were reported as providing very little. Some of the participants reported that they had never been advised to stop smoking. Knowledge of local smoking cessation services was generally poor. Finally, concern was voiced regarding the perceived health risks of using nicotine replacement therapy. The main reasons why the former smokers had stopped smoking were health-related. Many had received little help and support from health professionals when attempting to stop smoking. Most of the former smokers believed that stopping smoking in later life had been beneficial to their health. In conclusion, members of the primary care team have a key role to play in encouraging older people to stop smoking. In order to function effectively, it is essential that they take account of older smokers’ health beliefs and that issues, such as knowledge of smoking cessation resources, are addressed.","container-title":"Health &amp; Social Care in the Community","DOI":"10.1111/j.1365-2524.2006.00659.x","ISSN":"1365-2524","issue":"6","language":"en","note":"_eprint: https://onlinelibrary.wiley.com/doi/pdf/10.1111/j.1365-2524.2006.00659.x","page":"572-582","source":"Wiley Online Library","title":"Smoking after the age of 65 years: a qualitative exploration of older current and former smokers’ views on smoking, stopping smoking, and smoking cessation resources and services","title-short":"Smoking after the age of 65 years","volume":"14","author":[{"family":"Kerr","given":"Susan"},{"family":"Watson","given":"Hazel"},{"family":"Tolson","given":"Debbie"},{"family":"Lough","given":"Murray"},{"family":"Brown","given":"Malcolm"}],"issued":{"date-parts":[["2006"]]}}}],"schema":"https://github.com/citation-style-language/schema/raw/master/csl-citation.json"} </w:instrText>
      </w:r>
      <w:r w:rsidR="00751822">
        <w:fldChar w:fldCharType="separate"/>
      </w:r>
      <w:r w:rsidR="00C50867" w:rsidRPr="00C50867">
        <w:rPr>
          <w:rFonts w:ascii="Calibri" w:hAnsi="Calibri" w:cs="Calibri"/>
        </w:rPr>
        <w:t>[27]</w:t>
      </w:r>
      <w:r w:rsidR="00751822">
        <w:fldChar w:fldCharType="end"/>
      </w:r>
      <w:r w:rsidR="005F781C">
        <w:t xml:space="preserve"> Longer smoking durations also tend to be associated with higher levels of addiction and habit forming </w:t>
      </w:r>
      <w:r w:rsidR="008E2264">
        <w:t>(especially among those who started younger), which</w:t>
      </w:r>
      <w:r w:rsidR="005F781C">
        <w:t xml:space="preserve"> may make quitting more difficult.</w:t>
      </w:r>
      <w:r w:rsidR="00BD6E0F">
        <w:fldChar w:fldCharType="begin"/>
      </w:r>
      <w:r w:rsidR="00C50867">
        <w:instrText xml:space="preserve"> ADDIN ZOTERO_ITEM CSL_CITATION {"citationID":"0K8eFNft","properties":{"formattedCitation":"[28, 29]","plainCitation":"[28, 29]","noteIndex":0},"citationItems":[{"id":12804,"uris":["http://zotero.org/users/446899/items/LUK2MVWB"],"itemData":{"id":12804,"type":"article-journal","abstract":"Background and Aims Past research has found that young smokers are more likely to make quit attempts; however, there are conflicting findings regarding age and quit success. This study examined the degree to which smoker age is related to making quit attempts and quit success. Design Ten waves of the International Tobacco Control Policy Cohort survey (ITC-4C) collected between 2002 and 2014, with nine wave-to-wave transitions with predictors at the first wave predicting quit attempts and success by the next wave. Setting Canada, the United States, the United Kingdom and Australia. Participants Data from 15 874 smokers categorized into four age groups at baseline (18–24, 25–39, 40–54 and 55+ years). Measurements Age, quit attempts and success (defined as ≥ 30 days abstinence confirmed, if possible, on a third wave for recent attempts). Findings Older smokers were more likely to smoke daily (χ2 = 1557.86, r = 0.136, P &lt; 0.001) than younger smokers. Daily smokers were less likely to report quit attempts (38.1 versus 58.2%) and to achieve 30 days of abstinence (22.9 versus 34.3%) than non-daily smokers. Older daily smokers were less likely to make quit attempts [0.61, confidence interval (CI) = 0.54–0.70, P &lt; 0.001], even after controlling for indicators of nicotine dependence, country, sex, education, income, relationship status and household composition, than younger smokers. Younger smokers (&lt; 25) were more likely to succeed for at least 30 days of abstinence, but only when compared with those aged 40–54 (OR = 0.83, 95% CI = 0.68–0.99). However, when controlling for heaviness of smoking the age effect disappeared. Significant interactions with age were found between age and intention when predicting quit attempts, and age and heaviness of smoking when predicting quit success. Conclusions An international cohort study indicates that young smokers are more likely to attempt to quit and appear to have similar levels of success in abstaining from smoking compared with older smokers when controlling for dependence. Quit success in all ages is most predicted by lower levels of nicotine dependence.","container-title":"Addiction","DOI":"10.1111/add.15454","ISSN":"1360-0443","issue":"9","language":"en","license":"© 2021 Society for the Study of Addiction","note":"_eprint: https://onlinelibrary.wiley.com/doi/pdf/10.1111/add.15454","page":"2509-2520","source":"Wiley Online Library","title":"Age as a predictor of quit attempts and quit success in smoking cessation: findings from the International Tobacco Control Four-Country survey (2002–14)","title-short":"Age as a predictor of quit attempts and quit success in smoking cessation","volume":"116","author":[{"family":"Arancini","given":"Lauren"},{"family":"Borland","given":"Ron"},{"family":"Le Grande","given":"Michael"},{"family":"Mohebbi","given":"Mohammadreza"},{"family":"Dodd","given":"Seetal"},{"family":"Dean","given":"Olivia M."},{"family":"Berk","given":"Michael"},{"family":"McNeill","given":"Ann"},{"family":"Fong","given":"Geoffrey T."},{"family":"Cummings","given":"K. Michael"}],"issued":{"date-parts":[["2021"]]}},"label":"page"},{"id":12938,"uris":["http://zotero.org/users/446899/items/DT4A3EG8"],"itemData":{"id":12938,"type":"article-journal","container-title":"Drug and alcohol dependence","note":"publisher: Elsevier","page":"104–110","source":"Google Scholar","title":"Age of initiation and transition times to tobacco dependence: early onset and rapid escalated use increase risk for dependence severity","title-short":"Age of initiation and transition times to tobacco dependence","volume":"202","author":[{"family":"Huggett","given":"Spencer B."},{"family":"Keyes","given":"Margeret"},{"family":"Iacono","given":"William G."},{"family":"McGue","given":"Matt"},{"family":"Corley","given":"Robin P."},{"family":"Hewitt","given":"John K."},{"family":"Stallings","given":"Michael C."}],"issued":{"date-parts":[["2019"]]}}}],"schema":"https://github.com/citation-style-language/schema/raw/master/csl-citation.json"} </w:instrText>
      </w:r>
      <w:r w:rsidR="00BD6E0F">
        <w:fldChar w:fldCharType="separate"/>
      </w:r>
      <w:r w:rsidR="00C50867" w:rsidRPr="00C50867">
        <w:rPr>
          <w:rFonts w:ascii="Calibri" w:hAnsi="Calibri" w:cs="Calibri"/>
        </w:rPr>
        <w:t>[28, 29]</w:t>
      </w:r>
      <w:r w:rsidR="00BD6E0F">
        <w:fldChar w:fldCharType="end"/>
      </w:r>
      <w:r w:rsidR="008E2264">
        <w:t xml:space="preserve"> </w:t>
      </w:r>
    </w:p>
    <w:p w14:paraId="5366174A" w14:textId="7993D854" w:rsidR="009427BA" w:rsidRDefault="009427BA" w:rsidP="009427BA">
      <w:r w:rsidRPr="00FC71A5">
        <w:t>Smoking behavio</w:t>
      </w:r>
      <w:r>
        <w:t>u</w:t>
      </w:r>
      <w:r w:rsidRPr="00FC71A5">
        <w:t xml:space="preserve">rs and cessation outcomes are also </w:t>
      </w:r>
      <w:r>
        <w:t>driven</w:t>
      </w:r>
      <w:r w:rsidRPr="00FC71A5">
        <w:t xml:space="preserve"> by social inequalities. Socioeconomic </w:t>
      </w:r>
      <w:r>
        <w:t>position</w:t>
      </w:r>
      <w:r w:rsidRPr="00FC71A5">
        <w:t xml:space="preserve"> plays a </w:t>
      </w:r>
      <w:r>
        <w:t>key</w:t>
      </w:r>
      <w:r w:rsidRPr="00FC71A5">
        <w:t xml:space="preserve"> role in smoking prevalence</w:t>
      </w:r>
      <w:r>
        <w:t>,</w:t>
      </w:r>
      <w:r w:rsidRPr="00FC71A5">
        <w:t xml:space="preserve"> the likelihood of quitting</w:t>
      </w:r>
      <w:r>
        <w:t xml:space="preserve">, and susceptibility to </w:t>
      </w:r>
      <w:r>
        <w:lastRenderedPageBreak/>
        <w:t>relapse</w:t>
      </w:r>
      <w:r w:rsidRPr="00FC71A5">
        <w:t>.</w:t>
      </w:r>
      <w:r>
        <w:fldChar w:fldCharType="begin"/>
      </w:r>
      <w:r w:rsidR="00C50867">
        <w:instrText xml:space="preserve"> ADDIN ZOTERO_ITEM CSL_CITATION {"citationID":"a5xC17JF","properties":{"formattedCitation":"[8, 30, 31]","plainCitation":"[8, 30, 31]","noteIndex":0},"citationItems":[{"id":12183,"uris":["http://zotero.org/users/446899/items/6SLASKLY"],"itemData":{"id":12183,"type":"report","title":"Adult smoking habits in the UK: 2023","URL":"https://www.ons.gov.uk/peoplepopulationandcommunity/healthandsocialcare/healthandlifeexpectancies/bulletins/adultsmokinghabitsingreatbritain/2023","author":[{"family":"Office for National Statistics","given":""}],"accessed":{"date-parts":[["2024",10,1]]},"issued":{"date-parts":[["2024"]]}}},{"id":351,"uris":["http://zotero.org/users/446899/items/DPH3UIQR"],"itemData":{"id":351,"type":"article-journal","abstract":"Smoking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Sciences","DOI":"10.1111/j.1749-6632.2011.06202.x","ISSN":"1749-6632","journalAbbreviation":"Ann. N. Y. Acad. Sci.","language":"eng","note":"PMID: 22092035","page":"107-123","source":"PubMed","title":"Socioeconomic status and smoking: a review","title-short":"Socioeconomic status and smoking","volume":"1248","author":[{"family":"Hiscock","given":"Rosemary"},{"family":"Bauld","given":"Linda"},{"family":"Amos","given":"Amanda"},{"family":"Fidler","given":"Jennifer A."},{"family":"Munafò","given":"Marcus"}],"issued":{"date-parts":[["2012",2]]}}},{"id":78,"uris":["http://zotero.org/users/446899/items/89HNEAZJ"],"itemData":{"id":78,"type":"article-journal","abstract":"BACKGROUND: Finding effective ways to help pregnant women quit smoking and remain abstinent is a major public health issue. Approximately half of UK women who smoke attempt cessation after conception; unfortunately, up to 75% return to smoking within 12 months postpartum. Interventions for preventing postpartum return to smoking (PPRS) have not been found to be effective. It is important to identify factors associated with PPRS, to inform development of alternative interventions.\nAIM: Identify by systematic review factors associated with PPRS.\nMETHODS: Systematic searches of electronic databases (MEDLINE, EMBASE, PsychINFO, CINAHL), trials registers, and conference proceedings were conducted to November 2016. Studies statistically examining factors associated with PPRS were included. Modified versions of the Newcastle Ottawa Quality Assessment Scale were used to assess studies' quality and a narrative synthesis focused on those judged of high quality.\nRESULTS: Thirty-nine studies (12 trials, 27 observational studies) were included. Thirty-one (79.5%) studies were high-quality. Among these, the most common significant predictors of PPRS were being less well educated, younger, multiparous, living with a partner or household member who smoked, experiencing higher stress, depression or anxiety, not breastfeeding, intending to quit only for pregnancy and low confidence to remain abstinent postpartum.\nCONCLUSIONS: Of the factors found to be associated with PPRS, intending to quit smoking only for the duration of pregnancy, partner/household member smoking and confidence to remain abstinent are those most likely to have a direct, causal impact on smoking behavior after childbirth, and need to be considered when designing interventions to prevent PPRS.\nIMPLICATIONS: This is the first systematic review of factors that may facilitate or inhibit PPRS. Considering how having a partner or household member who smokes, intending to quit smoking only for pregnancy, having self-efficacy to quit long term, breastfeeding and depression exert direct or indirect impacts on women's relapse to smoking and how such impacts could successfully be manipulated will inform development of new interventions to prevent PPRS.","container-title":"Nicotine &amp; Tobacco Research: Official Journal of the Society for Research on Nicotine and Tobacco","DOI":"10.1093/ntr/ntx163","ISSN":"1469-994X","issue":"6","journalAbbreviation":"Nicotine Tob Res","language":"eng","note":"PMID: 29065203","page":"665-673","source":"PubMed","title":"Predictors of Postpartum Return to Smoking: A Systematic Review","title-short":"Predictors of Postpartum Return to Smoking","volume":"20","author":[{"family":"Orton","given":"Sophie"},{"family":"Coleman","given":"Tim"},{"family":"Coleman-Haynes","given":"Tom"},{"family":"Ussher","given":"Michael"}],"issued":{"date-parts":[["2018",5,3]]}}}],"schema":"https://github.com/citation-style-language/schema/raw/master/csl-citation.json"} </w:instrText>
      </w:r>
      <w:r>
        <w:fldChar w:fldCharType="separate"/>
      </w:r>
      <w:r w:rsidR="00C50867" w:rsidRPr="00C50867">
        <w:rPr>
          <w:rFonts w:ascii="Calibri" w:hAnsi="Calibri" w:cs="Calibri"/>
        </w:rPr>
        <w:t>[8, 30, 31]</w:t>
      </w:r>
      <w:r>
        <w:fldChar w:fldCharType="end"/>
      </w:r>
      <w:r w:rsidRPr="00FC71A5">
        <w:t xml:space="preserve"> Women from </w:t>
      </w:r>
      <w:r>
        <w:t xml:space="preserve">less advantaged socioeconomic groups </w:t>
      </w:r>
      <w:r w:rsidRPr="00FC71A5">
        <w:t>are more likely to smoke and face greater barriers to cessation, including financial stress</w:t>
      </w:r>
      <w:r>
        <w:t xml:space="preserve"> and</w:t>
      </w:r>
      <w:r w:rsidRPr="00FC71A5">
        <w:t xml:space="preserve"> </w:t>
      </w:r>
      <w:r>
        <w:t>greater</w:t>
      </w:r>
      <w:r w:rsidRPr="00FC71A5">
        <w:t xml:space="preserve"> exposure to smoking in their social environments.</w:t>
      </w:r>
      <w:r>
        <w:fldChar w:fldCharType="begin"/>
      </w:r>
      <w:r w:rsidR="00C50867">
        <w:instrText xml:space="preserve"> ADDIN ZOTERO_ITEM CSL_CITATION {"citationID":"ff6Kdbr7","properties":{"formattedCitation":"[30]","plainCitation":"[30]","noteIndex":0},"citationItems":[{"id":351,"uris":["http://zotero.org/users/446899/items/DPH3UIQR"],"itemData":{"id":351,"type":"article-journal","abstract":"Smoking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Sciences","DOI":"10.1111/j.1749-6632.2011.06202.x","ISSN":"1749-6632","journalAbbreviation":"Ann. N. Y. Acad. Sci.","language":"eng","note":"PMID: 22092035","page":"107-123","source":"PubMed","title":"Socioeconomic status and smoking: a review","title-short":"Socioeconomic status and smoking","volume":"1248","author":[{"family":"Hiscock","given":"Rosemary"},{"family":"Bauld","given":"Linda"},{"family":"Amos","given":"Amanda"},{"family":"Fidler","given":"Jennifer A."},{"family":"Munafò","given":"Marcus"}],"issued":{"date-parts":[["2012",2]]}}}],"schema":"https://github.com/citation-style-language/schema/raw/master/csl-citation.json"} </w:instrText>
      </w:r>
      <w:r>
        <w:fldChar w:fldCharType="separate"/>
      </w:r>
      <w:r w:rsidR="00C50867" w:rsidRPr="00C50867">
        <w:rPr>
          <w:rFonts w:ascii="Calibri" w:hAnsi="Calibri" w:cs="Calibri"/>
        </w:rPr>
        <w:t>[30]</w:t>
      </w:r>
      <w:r>
        <w:fldChar w:fldCharType="end"/>
      </w:r>
      <w:r w:rsidRPr="00FC71A5">
        <w:t xml:space="preserve"> These disparities highlight the need to examine not only overall age-related differences in </w:t>
      </w:r>
      <w:r>
        <w:t xml:space="preserve">women’s </w:t>
      </w:r>
      <w:r w:rsidRPr="00FC71A5">
        <w:t>smoking and quitting behavio</w:t>
      </w:r>
      <w:r>
        <w:t>u</w:t>
      </w:r>
      <w:r w:rsidRPr="00FC71A5">
        <w:t xml:space="preserve">rs but also how these patterns vary by </w:t>
      </w:r>
      <w:r>
        <w:t>socioeconomic position</w:t>
      </w:r>
      <w:r w:rsidRPr="00FC71A5">
        <w:t xml:space="preserve">. </w:t>
      </w:r>
      <w:r w:rsidR="00CE3354" w:rsidRPr="00FC71A5">
        <w:t>Understanding these age-</w:t>
      </w:r>
      <w:r w:rsidR="00CE3354">
        <w:t xml:space="preserve"> and socio-economic </w:t>
      </w:r>
      <w:r w:rsidR="00CE3354" w:rsidRPr="00FC71A5">
        <w:t xml:space="preserve">related </w:t>
      </w:r>
      <w:r w:rsidR="00CE3354">
        <w:t xml:space="preserve">variations </w:t>
      </w:r>
      <w:r w:rsidR="00CE3354" w:rsidRPr="00FC71A5">
        <w:t xml:space="preserve">can help tailor smoking cessation strategies to the specific needs of women at </w:t>
      </w:r>
      <w:r w:rsidR="00CE3354">
        <w:t>different</w:t>
      </w:r>
      <w:r w:rsidR="00CE3354" w:rsidRPr="00FC71A5">
        <w:t xml:space="preserve"> stages of life</w:t>
      </w:r>
      <w:r w:rsidR="00CE3354">
        <w:t xml:space="preserve"> as well as across the social gradient</w:t>
      </w:r>
      <w:r w:rsidR="00CE3354" w:rsidRPr="00FC71A5">
        <w:t>.</w:t>
      </w:r>
    </w:p>
    <w:p w14:paraId="308A0DD9" w14:textId="34DF241A" w:rsidR="00E16595" w:rsidRDefault="00E16595" w:rsidP="00E16595">
      <w:r>
        <w:t xml:space="preserve">This </w:t>
      </w:r>
      <w:r w:rsidRPr="007D5122">
        <w:t xml:space="preserve">study </w:t>
      </w:r>
      <w:r>
        <w:t>aimed to examine age-related differences in smoking prevalence, quit attempts, and cessation outcomes in a nationally representative sample of women in Great Britain, both overall and by socioeconomic position.</w:t>
      </w:r>
    </w:p>
    <w:p w14:paraId="2FD0F4AC" w14:textId="77777777" w:rsidR="002D2DEE" w:rsidRDefault="002D2DEE" w:rsidP="00635640"/>
    <w:p w14:paraId="7E4742BF" w14:textId="7F4711E9" w:rsidR="004A3988" w:rsidRPr="00D55BAF" w:rsidRDefault="00A5302D" w:rsidP="00D55BAF">
      <w:pPr>
        <w:pStyle w:val="Heading2"/>
      </w:pPr>
      <w:r w:rsidRPr="00D55BAF">
        <w:t>Method</w:t>
      </w:r>
      <w:r w:rsidR="001F2AD5">
        <w:t>s</w:t>
      </w:r>
    </w:p>
    <w:p w14:paraId="0ED8988B" w14:textId="4EE8FFC7" w:rsidR="00A5302D" w:rsidRDefault="00CA094D" w:rsidP="00D55BAF">
      <w:pPr>
        <w:pStyle w:val="Heading3"/>
      </w:pPr>
      <w:r>
        <w:t>Pre-registration</w:t>
      </w:r>
    </w:p>
    <w:p w14:paraId="1092FF4C" w14:textId="35E0D404" w:rsidR="00CA094D" w:rsidRPr="00CA094D" w:rsidRDefault="00CA094D" w:rsidP="00CA094D">
      <w:r>
        <w:t>The study protocol and analysis plan were pre-registered on Open Science Framework (</w:t>
      </w:r>
      <w:hyperlink r:id="rId9" w:history="1">
        <w:r w:rsidR="00401B4C" w:rsidRPr="001C7A36">
          <w:rPr>
            <w:rStyle w:val="Hyperlink"/>
          </w:rPr>
          <w:t>https://osf.io/w2smk</w:t>
        </w:r>
      </w:hyperlink>
      <w:r>
        <w:t>).</w:t>
      </w:r>
    </w:p>
    <w:p w14:paraId="66A2FF5B" w14:textId="77777777" w:rsidR="00CA094D" w:rsidRDefault="00CA094D" w:rsidP="00D55BAF">
      <w:pPr>
        <w:pStyle w:val="Heading3"/>
      </w:pPr>
      <w:r>
        <w:t>Design</w:t>
      </w:r>
    </w:p>
    <w:p w14:paraId="2C01BE2A" w14:textId="5C4CAB62" w:rsidR="001B5893" w:rsidRDefault="001B5893" w:rsidP="001B5893">
      <w:r>
        <w:t>Data were drawn from the Smoking Toolkit Study, an ongoing monthly cross-sectional survey of a representative sample of adults (</w:t>
      </w:r>
      <w:r>
        <w:rPr>
          <w:rFonts w:cstheme="minorHAnsi"/>
        </w:rPr>
        <w:t>≥</w:t>
      </w:r>
      <w:r>
        <w:t>16 years) in Great Britain.</w:t>
      </w:r>
      <w:r>
        <w:fldChar w:fldCharType="begin"/>
      </w:r>
      <w:r w:rsidR="00C50867">
        <w:instrText xml:space="preserve"> ADDIN ZOTERO_ITEM CSL_CITATION {"citationID":"BZgUmFEe","properties":{"formattedCitation":"[32, 33]","plainCitation":"[32, 33]","noteIndex":0},"citationItems":[{"id":793,"uris":["http://zotero.org/users/446899/items/3WMEJNX3"],"itemData":{"id":793,"type":"article-journal","abstract":"Up-to-date data tracking of national smoking patterns and cessation-related behaviour is required to evaluate and inform tobacco control strategies. The Smoking Toolkit Study (STS) was designed for this role. This paper describes the methodology of the STS and examines as far as possible the representativeness of the samples.","container-title":"BMC Public Health","DOI":"10.1186/1471-2458-11-479","ISSN":"1471-2458","journalAbbreviation":"BMC Public Health","page":"479","source":"BioMed Central","title":"'The smoking toolkit study': a national study of smoking and smoking cessation in England","title-short":"'The smoking toolkit study'","volume":"11","author":[{"family":"Fidler","given":"Jennifer A."},{"family":"Shahab","given":"Lion"},{"family":"West","given":"Oliver"},{"family":"Jarvis","given":"Martin J."},{"family":"McEwen","given":"Andy"},{"family":"Stapleton","given":"John A."},{"family":"Vangeli","given":"Eleni"},{"family":"West","given":"Robert"}],"issued":{"date-parts":[["2011",6,18]]}},"label":"page"},{"id":4262,"uris":["http://zotero.org/users/446899/items/XJXETGTQ"],"itemData":{"id":4262,"type":"article-journal","abstract":"Background\n            \n            The Smoking and Alcohol Toolkit Study (STS/ATS) in England has delivered timely insights to inform and evaluate strategies aimed at reducing tobacco smoking- and alcohol-related harm. From the end of 2020 until at least 2024 the STS/ATS is expanding to Scotland and Wales to include all constituent nations in Great Britain. Expanding data collection to Scotland and Wales will permit the evaluation of how smoking and alcohol related behaviours respond to divergent policy scenarios across the devolved nations.\n            \n            \n              Methods\n            \n            The STS/ATS consists of monthly cross-sectional household interviews (computer or telephone assisted) of representative samples of adults in Great Britain aged 16+ years. Commencing in October 2020 each month a new sample of approximately 1700 adults in England, 450 adults in Scotland and 300 adults in Wales complete the survey (~n = 29,400 per year). The expansion of the survey to Scotland and Wales has been funded for the collection of at least 48 waves of data across four years. The data collected cover a broad range of smoking and alcohol-related parameters (including but not limited to smoking status, cigarette/nicotine dependence, route to quit smoking, prevalence and frequency of hazardous drinking, attempts and motivation to reduce alcohol consumption, help sought and motives for attempts to reduce alcohol intake) and socio-demographic characteristics (including but not limited to age, gender, region, socio-economic position) and will be reviewed monthly and refined in response to evolving policy needs and public interests. All data analyses will be pre-specified and available on a free online platform. A dedicated website will publish descriptive data on important trends each month.\n            \n            \n              Discussion\n            \n            The Smoking and Alcohol Toolkit Study will provide timely monitoring of smoking and alcohol related behaviours to inform and evaluate national policies across Great Britain.","container-title":"Wellcome Open Research","DOI":"10.12688/wellcomeopenres.16700.1","ISSN":"2398-502X","journalAbbreviation":"Wellcome Open Res","language":"en","page":"67","source":"DOI.org (Crossref)","title":"Protocol for expansion of an existing national monthly survey of smoking behaviour and alcohol use in England to Scotland and Wales: The Smoking and Alcohol Toolkit Study","title-short":"Protocol for expansion of an existing national monthly survey of smoking behaviour and alcohol use in England to Scotland and Wales","volume":"6","author":[{"family":"Kock","given":"Loren"},{"family":"Shahab","given":"Lion"},{"family":"Moore","given":"Graham"},{"family":"Beard","given":"Emma"},{"family":"Bauld","given":"Linda"},{"family":"Reid","given":"Garth"},{"family":"Brose","given":"Leonie"},{"family":"Horton","given":"Marie"},{"family":"Gould","given":"Ashley"},{"family":"Brown","given":"Jamie"}],"issued":{"date-parts":[["2021",3,29]]}},"label":"page"}],"schema":"https://github.com/citation-style-language/schema/raw/master/csl-citation.json"} </w:instrText>
      </w:r>
      <w:r>
        <w:fldChar w:fldCharType="separate"/>
      </w:r>
      <w:r w:rsidR="00C50867" w:rsidRPr="00C50867">
        <w:rPr>
          <w:rFonts w:ascii="Calibri" w:hAnsi="Calibri" w:cs="Calibri"/>
        </w:rPr>
        <w:t>[32, 33]</w:t>
      </w:r>
      <w:r>
        <w:fldChar w:fldCharType="end"/>
      </w:r>
      <w:r>
        <w:t xml:space="preserve"> </w:t>
      </w:r>
      <w:r w:rsidRPr="00085E97">
        <w:t xml:space="preserve">The study uses a </w:t>
      </w:r>
      <w:r w:rsidRPr="00F25E73">
        <w:rPr>
          <w:rFonts w:cstheme="minorHAnsi"/>
        </w:rPr>
        <w:t xml:space="preserve">hybrid of random probability and simple quota </w:t>
      </w:r>
      <w:r w:rsidRPr="00085E97">
        <w:t xml:space="preserve">sampling to select a new sample of approximately </w:t>
      </w:r>
      <w:r>
        <w:t xml:space="preserve">2,450 </w:t>
      </w:r>
      <w:r w:rsidRPr="00085E97">
        <w:t xml:space="preserve">adults each month. </w:t>
      </w:r>
      <w:r>
        <w:t>Data are collected through telephone interviews. C</w:t>
      </w:r>
      <w:r w:rsidRPr="00085E97">
        <w:t xml:space="preserve">omparisons with </w:t>
      </w:r>
      <w:r>
        <w:t>other national surveys and sales</w:t>
      </w:r>
      <w:r w:rsidRPr="00085E97">
        <w:t xml:space="preserve"> data indicate </w:t>
      </w:r>
      <w:r>
        <w:t>the survey achieves nationally representative estimates of</w:t>
      </w:r>
      <w:r w:rsidRPr="00085E97">
        <w:t xml:space="preserve"> key variables such as sociodemographic</w:t>
      </w:r>
      <w:r>
        <w:t xml:space="preserve"> characteristic</w:t>
      </w:r>
      <w:r w:rsidRPr="00085E97">
        <w:t>s</w:t>
      </w:r>
      <w:r>
        <w:t>,</w:t>
      </w:r>
      <w:r w:rsidRPr="00085E97">
        <w:t xml:space="preserve"> smoking prevalence</w:t>
      </w:r>
      <w:r>
        <w:t>, and cigarette consumption.</w:t>
      </w:r>
      <w:r w:rsidRPr="00085E97">
        <w:fldChar w:fldCharType="begin"/>
      </w:r>
      <w:r w:rsidR="00C50867">
        <w:instrText xml:space="preserve"> ADDIN ZOTERO_ITEM CSL_CITATION {"citationID":"foliSy9A","properties":{"formattedCitation":"[32, 34]","plainCitation":"[32, 34]","noteIndex":0},"citationItems":[{"id":793,"uris":["http://zotero.org/users/446899/items/3WMEJNX3"],"itemData":{"id":793,"type":"article-journal","abstract":"Up-to-date data tracking of national smoking patterns and cessation-related behaviour is required to evaluate and inform tobacco control strategies. The Smoking Toolkit Study (STS) was designed for this role. This paper describes the methodology of the STS and examines as far as possible the representativeness of the samples.","container-title":"BMC Public Health","DOI":"10.1186/1471-2458-11-479","ISSN":"1471-2458","journalAbbreviation":"BMC Public Health","page":"479","source":"BioMed Central","title":"'The smoking toolkit study': a national study of smoking and smoking cessation in England","title-short":"'The smoking toolkit study'","volume":"11","author":[{"family":"Fidler","given":"Jennifer A."},{"family":"Shahab","given":"Lion"},{"family":"West","given":"Oliver"},{"family":"Jarvis","given":"Martin J."},{"family":"McEwen","given":"Andy"},{"family":"Stapleton","given":"John A."},{"family":"Vangeli","given":"Eleni"},{"family":"West","given":"Robert"}],"issued":{"date-parts":[["2011",6,18]]}}},{"id":"4AUHNG6Q/x5ubGtg3","uris":["http://zotero.org/users/446899/items/TNTMNGUR"],"itemData":{"id":3743,"type":"article-journal","abstract":"&lt;h3&gt;Importance&lt;/h3&gt;&lt;p&gt;Population cigarette consumption is declining in many countries. Accurate estimates of long- and short-term changes are vital for policy evaluation and planning. Survey data and sales data that are used to make these estimates each have important potential biases, so triangulation using different methods is required for robust estimation.&lt;/p&gt;&lt;h3&gt;Objectives&lt;/h3&gt;&lt;p&gt;To compare monthly estimates of cigarette consumption in England from a nationally representative survey and recorded cigarette sales and to triangulate an accurate estimate of changes in cigarette consumption since 2011.&lt;/p&gt;&lt;h3&gt;Design, Setting, and Participants&lt;/h3&gt;&lt;p&gt;This study used time series analyses based on survey data and recorded cigarette sales to estimate and compare trends in population cigarette consumption in England from 2011 to 2018. Survey participants were representative samples of 1700 people aged 16 years or older each month in England.&lt;/p&gt;&lt;h3&gt;Main Outcomes and Measures&lt;/h3&gt;&lt;p&gt;Monthly cigarette retail sales data from August 2011 through February 2018 were obtained from a data agency. Monthly self-reports of cigarette consumption were collected over the same period using the Smoking Toolkit Study.&lt;/p&gt;&lt;h3&gt;Results&lt;/h3&gt;&lt;p&gt;A total of 136 677 individuals (51.1% female; mean [SD] age, 46.7 [18.8] years) were surveyed. Over the study period, mean monthly cigarette consumption in England was 2.85 billion (95% CI, 2.78 billion to 2.93 billion) cigarettes based on survey data compared with 3.08 billion (95% CI, 3.03 billion to 3.13 billion) estimated from sales data. Over the whole period, cigarette consumption declined by 24.4% based on survey data and 24.1% based on sales data. This equated to 118.4 million and 117.4 million fewer cigarettes consumed per month (or approximately 1.4 billion per year) based on survey data and sales data, respectively. After adjusting for underlying trends, month-by-month changes in cigarette consumption were closely aligned: a 1% change in survey-estimated cigarette consumption was associated with a 0.98% (95% CI, 0.53%-1.44%) change in sales estimates.&lt;/p&gt;&lt;h3&gt;Conclusions and Relevance&lt;/h3&gt;&lt;p&gt;Survey data and sales data were closely aligned in showing that overall cigarette sales in England have declined by almost a quarter since 2011, amounting to more than 1 billion fewer cigarettes smoked each year. The alignment between the 2 methods provides increased confidence in the accuracy of parameters provided by the Smoking Toolkit Study and sales data. It indicates that estimated changes in cigarette consumption are robust and provide a meaningful basis for policy evaluation and planning.&lt;/p&gt;","container-title":"JAMA Network Open","DOI":"10.1001/jamanetworkopen.2019.10161","issue":"8","journalAbbreviation":"JAMA Netw Open","language":"en","page":"e1910161","source":"jamanetwork.com","title":"Comparison of Trends in Self-reported Cigarette Consumption and Sales in England, 2011 to 2018","volume":"2","author":[{"family":"Jackson","given":"Sarah E."},{"family":"Beard","given":"Emma"},{"family":"Kujawski","given":"Bernard"},{"family":"Sunyer","given":"Ella"},{"family":"Michie","given":"Susan"},{"family":"Shahab","given":"Lion"},{"family":"West","given":"Robert"},{"family":"Brown","given":"Jamie"}],"issued":{"date-parts":[["2019",8,2]]}}}],"schema":"https://github.com/citation-style-language/schema/raw/master/csl-citation.json"} </w:instrText>
      </w:r>
      <w:r w:rsidRPr="00085E97">
        <w:fldChar w:fldCharType="separate"/>
      </w:r>
      <w:r w:rsidR="00C50867" w:rsidRPr="00C50867">
        <w:rPr>
          <w:rFonts w:ascii="Calibri" w:hAnsi="Calibri" w:cs="Calibri"/>
        </w:rPr>
        <w:t>[32, 34]</w:t>
      </w:r>
      <w:r w:rsidRPr="00085E97">
        <w:fldChar w:fldCharType="end"/>
      </w:r>
    </w:p>
    <w:p w14:paraId="5D643B14" w14:textId="0D67C255" w:rsidR="001B5893" w:rsidRDefault="001B5893" w:rsidP="001B5893">
      <w:pPr>
        <w:rPr>
          <w:color w:val="FF0000"/>
        </w:rPr>
      </w:pPr>
      <w:r>
        <w:t>The present analyses focused on data from women who responded to the survey between January 2023 and February 2025. This period was selected to provide up-to-date estimates while ensuring adequate sample size for analyses.</w:t>
      </w:r>
    </w:p>
    <w:p w14:paraId="2660C96A" w14:textId="6F568E6E" w:rsidR="000B24F9" w:rsidRDefault="00A5302D" w:rsidP="00D55BAF">
      <w:pPr>
        <w:pStyle w:val="Heading3"/>
      </w:pPr>
      <w:r w:rsidRPr="00D55BAF">
        <w:t>M</w:t>
      </w:r>
      <w:r w:rsidR="00D92577" w:rsidRPr="00D55BAF">
        <w:t>easures</w:t>
      </w:r>
    </w:p>
    <w:p w14:paraId="51DD3BCD" w14:textId="1BEA041A" w:rsidR="00C22444" w:rsidRPr="00C22444" w:rsidRDefault="00C22444" w:rsidP="00C22444">
      <w:r w:rsidRPr="00C22444">
        <w:t>Smoking status was assessed by asking participants which of the following best applie</w:t>
      </w:r>
      <w:r>
        <w:t>d</w:t>
      </w:r>
      <w:r w:rsidRPr="00C22444">
        <w:t xml:space="preserve"> to them: </w:t>
      </w:r>
      <w:r w:rsidR="00F65EBB">
        <w:t xml:space="preserve">(a) </w:t>
      </w:r>
      <w:r w:rsidRPr="00C22444">
        <w:t>I smoke cigarettes (including hand-rolled) every day</w:t>
      </w:r>
      <w:r w:rsidR="00F65EBB">
        <w:t xml:space="preserve">; (b) </w:t>
      </w:r>
      <w:r w:rsidRPr="00C22444">
        <w:t xml:space="preserve">I smoke cigarettes (including hand-rolled), but </w:t>
      </w:r>
      <w:r w:rsidRPr="00C22444">
        <w:lastRenderedPageBreak/>
        <w:t>not every day</w:t>
      </w:r>
      <w:r w:rsidR="00F65EBB">
        <w:t xml:space="preserve">; (c) </w:t>
      </w:r>
      <w:r w:rsidRPr="00C22444">
        <w:t>I do not smoke cigarettes at all, but I do smoke tobacco of some kind (e.g. pipe, cigar or shisha)</w:t>
      </w:r>
      <w:r w:rsidR="00F65EBB">
        <w:t xml:space="preserve">; (d) </w:t>
      </w:r>
      <w:r w:rsidRPr="00C22444">
        <w:t>I have stopped smoking completely in the last year</w:t>
      </w:r>
      <w:r w:rsidR="00F65EBB">
        <w:t xml:space="preserve">; (e) </w:t>
      </w:r>
      <w:r w:rsidRPr="00C22444">
        <w:t>I stopped smoking completely more than a year ago</w:t>
      </w:r>
      <w:r w:rsidR="00F65EBB">
        <w:t xml:space="preserve">; (f) </w:t>
      </w:r>
      <w:r w:rsidRPr="00C22444">
        <w:t>I have never been a smoker (i.e. smoked for a year or more)</w:t>
      </w:r>
      <w:r w:rsidR="00F65EBB">
        <w:t xml:space="preserve">. </w:t>
      </w:r>
      <w:r w:rsidR="006562AE">
        <w:t>Responses</w:t>
      </w:r>
      <w:r w:rsidRPr="00C22444">
        <w:t xml:space="preserve"> a-c </w:t>
      </w:r>
      <w:proofErr w:type="gramStart"/>
      <w:r w:rsidR="00F65EBB">
        <w:t>were</w:t>
      </w:r>
      <w:proofErr w:type="gramEnd"/>
      <w:r w:rsidRPr="00C22444">
        <w:t xml:space="preserve"> considered current smok</w:t>
      </w:r>
      <w:r w:rsidR="006562AE">
        <w:t>ing</w:t>
      </w:r>
      <w:r w:rsidRPr="00C22444">
        <w:t xml:space="preserve">. </w:t>
      </w:r>
    </w:p>
    <w:p w14:paraId="158161B5" w14:textId="0E751BEA" w:rsidR="00C22444" w:rsidRPr="00C22444" w:rsidRDefault="00C22444" w:rsidP="00C22444">
      <w:r w:rsidRPr="00C22444">
        <w:t xml:space="preserve">Quit attempts </w:t>
      </w:r>
      <w:r w:rsidR="00F65EBB">
        <w:t>were</w:t>
      </w:r>
      <w:r w:rsidRPr="00C22444">
        <w:t xml:space="preserve"> assessed among </w:t>
      </w:r>
      <w:r w:rsidR="006562AE">
        <w:t>women who had smoked in the past year</w:t>
      </w:r>
      <w:r w:rsidRPr="00C22444">
        <w:t xml:space="preserve"> with the question: ‘How many serious attempts to stop smoking have you made in the last 12 months? By serious attempt I mean you decided that you would try to make sure you never smoked again. Please include any attempt that you are currently making and please include any successful attempt made within the last year’. Those who report</w:t>
      </w:r>
      <w:r w:rsidR="00F65EBB">
        <w:t>ed</w:t>
      </w:r>
      <w:r w:rsidRPr="00C22444">
        <w:t xml:space="preserve"> making at least one serious quit attempt in the past year </w:t>
      </w:r>
      <w:r w:rsidR="00F65EBB">
        <w:t>were</w:t>
      </w:r>
      <w:r w:rsidRPr="00C22444">
        <w:t xml:space="preserve"> coded 1, else they </w:t>
      </w:r>
      <w:r w:rsidR="00F65EBB">
        <w:t>were</w:t>
      </w:r>
      <w:r w:rsidRPr="00C22444">
        <w:t xml:space="preserve"> coded 0.</w:t>
      </w:r>
    </w:p>
    <w:p w14:paraId="28819410" w14:textId="0A051438" w:rsidR="00C22444" w:rsidRPr="00C22444" w:rsidRDefault="00C22444" w:rsidP="00C22444">
      <w:r w:rsidRPr="00C22444">
        <w:t xml:space="preserve">Success of quit attempts (i.e., quits among those who </w:t>
      </w:r>
      <w:proofErr w:type="gramStart"/>
      <w:r w:rsidRPr="00C22444">
        <w:t>made an attempt</w:t>
      </w:r>
      <w:proofErr w:type="gramEnd"/>
      <w:r w:rsidRPr="00C22444">
        <w:t xml:space="preserve">) </w:t>
      </w:r>
      <w:r w:rsidR="00F65EBB">
        <w:t>were</w:t>
      </w:r>
      <w:r w:rsidRPr="00C22444">
        <w:t xml:space="preserve"> assessed among </w:t>
      </w:r>
      <w:r w:rsidR="006562AE">
        <w:t>women</w:t>
      </w:r>
      <w:r w:rsidRPr="00C22444">
        <w:t xml:space="preserve"> who </w:t>
      </w:r>
      <w:r w:rsidR="00A546CB">
        <w:t>tried</w:t>
      </w:r>
      <w:r w:rsidR="006562AE">
        <w:t xml:space="preserve"> to stop smoking in the past year</w:t>
      </w:r>
      <w:r w:rsidRPr="00C22444">
        <w:t xml:space="preserve"> with the question: ‘How long did your most recent serious quit attempt last before you went back to smoking?’ Those who respond</w:t>
      </w:r>
      <w:r w:rsidR="00F65EBB">
        <w:t>ed</w:t>
      </w:r>
      <w:r w:rsidRPr="00C22444">
        <w:t xml:space="preserve"> that they </w:t>
      </w:r>
      <w:r w:rsidR="00F65EBB">
        <w:t>were</w:t>
      </w:r>
      <w:r w:rsidRPr="00C22444">
        <w:t xml:space="preserve"> still not smoking will be coded 1, else they </w:t>
      </w:r>
      <w:r w:rsidR="00F65EBB">
        <w:t>were</w:t>
      </w:r>
      <w:r w:rsidRPr="00C22444">
        <w:t xml:space="preserve"> coded 0.</w:t>
      </w:r>
    </w:p>
    <w:p w14:paraId="15E2DCAA" w14:textId="1995DE7C" w:rsidR="00C22444" w:rsidRPr="00C22444" w:rsidRDefault="00C22444" w:rsidP="00C22444">
      <w:r w:rsidRPr="00C22444">
        <w:t xml:space="preserve">Smoking cessation (i.e., overall quits) </w:t>
      </w:r>
      <w:r w:rsidR="00F65EBB">
        <w:t>was</w:t>
      </w:r>
      <w:r w:rsidRPr="00C22444">
        <w:t xml:space="preserve"> assessed among all </w:t>
      </w:r>
      <w:r w:rsidR="00A546CB">
        <w:t>women who smoked in the past year</w:t>
      </w:r>
      <w:r w:rsidRPr="00C22444">
        <w:t xml:space="preserve"> using the question assessing smoking status. Those who respond</w:t>
      </w:r>
      <w:r w:rsidR="00F65EBB">
        <w:t>ed</w:t>
      </w:r>
      <w:r w:rsidRPr="00C22444">
        <w:t xml:space="preserve"> ‘I have stopped smoking completely in the last year’ </w:t>
      </w:r>
      <w:r w:rsidR="00F65EBB">
        <w:t>were</w:t>
      </w:r>
      <w:r w:rsidRPr="00C22444">
        <w:t xml:space="preserve"> coded 1 and those </w:t>
      </w:r>
      <w:r w:rsidR="00F65EBB">
        <w:t>who reported</w:t>
      </w:r>
      <w:r w:rsidRPr="00C22444">
        <w:t xml:space="preserve"> current smoking </w:t>
      </w:r>
      <w:r w:rsidR="00F65EBB">
        <w:t>were</w:t>
      </w:r>
      <w:r w:rsidRPr="00C22444">
        <w:t xml:space="preserve"> coded 0.</w:t>
      </w:r>
    </w:p>
    <w:p w14:paraId="727A80F9" w14:textId="0F50E6A1" w:rsidR="00C22444" w:rsidRPr="00C22444" w:rsidRDefault="00C22444" w:rsidP="00C22444">
      <w:r w:rsidRPr="00C22444">
        <w:t xml:space="preserve">Age </w:t>
      </w:r>
      <w:r w:rsidR="00F65EBB">
        <w:t>was</w:t>
      </w:r>
      <w:r w:rsidRPr="00C22444">
        <w:t xml:space="preserve"> analysed as a continuous variable, using restricted cubic splines (see statistical analysis section). </w:t>
      </w:r>
      <w:r w:rsidR="00F65EBB">
        <w:t>We also provide</w:t>
      </w:r>
      <w:r w:rsidR="00F43BBA">
        <w:t>d</w:t>
      </w:r>
      <w:r w:rsidR="00F65EBB">
        <w:t xml:space="preserve"> descriptive data in age bands</w:t>
      </w:r>
      <w:r w:rsidR="00AD5FDD">
        <w:t xml:space="preserve"> (</w:t>
      </w:r>
      <w:r w:rsidR="00AD5FDD" w:rsidRPr="0057194F">
        <w:t xml:space="preserve">16-19y, five-year age bands from 20-24y through </w:t>
      </w:r>
      <w:r w:rsidR="00AD5FDD">
        <w:t>75-79</w:t>
      </w:r>
      <w:r w:rsidR="00AD5FDD" w:rsidRPr="0057194F">
        <w:t xml:space="preserve">y, and </w:t>
      </w:r>
      <w:r w:rsidR="00AD5FDD" w:rsidRPr="0057194F">
        <w:rPr>
          <w:rFonts w:cstheme="minorHAnsi"/>
        </w:rPr>
        <w:t>≥</w:t>
      </w:r>
      <w:r w:rsidR="00AD5FDD" w:rsidRPr="0057194F">
        <w:t>8</w:t>
      </w:r>
      <w:r w:rsidR="00AD5FDD">
        <w:t>0</w:t>
      </w:r>
      <w:r w:rsidR="00AD5FDD" w:rsidRPr="0057194F">
        <w:t>y</w:t>
      </w:r>
      <w:r w:rsidR="00AD5FDD">
        <w:t>).</w:t>
      </w:r>
    </w:p>
    <w:p w14:paraId="477D0F3F" w14:textId="6DA875DF" w:rsidR="00C22444" w:rsidRPr="00C22444" w:rsidRDefault="00C22444" w:rsidP="00C22444">
      <w:r w:rsidRPr="00C22444">
        <w:t xml:space="preserve">Socioeconomic position </w:t>
      </w:r>
      <w:r w:rsidR="00F65EBB">
        <w:t>was</w:t>
      </w:r>
      <w:r w:rsidRPr="00C22444">
        <w:t xml:space="preserve"> assessed with an occupational measure of social grade</w:t>
      </w:r>
      <w:r w:rsidRPr="00C22444">
        <w:rPr>
          <w:rFonts w:cs="Calibri"/>
          <w:szCs w:val="24"/>
          <w:vertAlign w:val="superscript"/>
        </w:rPr>
        <w:fldChar w:fldCharType="begin"/>
      </w:r>
      <w:r w:rsidR="00C50867">
        <w:rPr>
          <w:rFonts w:cs="Calibri"/>
          <w:szCs w:val="24"/>
          <w:vertAlign w:val="superscript"/>
        </w:rPr>
        <w:instrText xml:space="preserve"> ADDIN ZOTERO_ITEM CSL_CITATION {"citationID":"CCtCSfiq","properties":{"formattedCitation":"[35]","plainCitation":"[35]","noteIndex":0},"citationItems":[{"id":1013,"uris":["http://zotero.org/users/446899/items/XMGW3M6W"],"itemData":{"id":1013,"type":"document","title":"Social grade - definitions and discriminatory power","URL":"http:// www.nrs.co.uk/lifestyle.html","author":[{"family":"National Readership Survey","given":""}],"accessed":{"date-parts":[["2012",10,1]]},"issued":{"date-parts":[["2007"]]}}}],"schema":"https://github.com/citation-style-language/schema/raw/master/csl-citation.json"} </w:instrText>
      </w:r>
      <w:r w:rsidRPr="00C22444">
        <w:rPr>
          <w:rFonts w:cs="Calibri"/>
          <w:szCs w:val="24"/>
          <w:vertAlign w:val="superscript"/>
        </w:rPr>
        <w:fldChar w:fldCharType="separate"/>
      </w:r>
      <w:r w:rsidR="00C50867" w:rsidRPr="00C50867">
        <w:rPr>
          <w:rFonts w:ascii="Calibri" w:hAnsi="Calibri" w:cs="Calibri"/>
        </w:rPr>
        <w:t>[35]</w:t>
      </w:r>
      <w:r w:rsidRPr="00C22444">
        <w:rPr>
          <w:rFonts w:cs="Calibri"/>
          <w:szCs w:val="24"/>
          <w:vertAlign w:val="superscript"/>
        </w:rPr>
        <w:fldChar w:fldCharType="end"/>
      </w:r>
      <w:r w:rsidRPr="00C22444">
        <w:rPr>
          <w:rFonts w:cs="Calibri"/>
          <w:szCs w:val="24"/>
          <w:vertAlign w:val="superscript"/>
        </w:rPr>
        <w:t xml:space="preserve"> </w:t>
      </w:r>
      <w:r w:rsidRPr="00C22444">
        <w:t xml:space="preserve">and categorised as </w:t>
      </w:r>
      <w:r w:rsidRPr="00C22444">
        <w:rPr>
          <w:rStyle w:val="normaltextrun"/>
          <w:rFonts w:cstheme="minorHAnsi"/>
        </w:rPr>
        <w:t>ABC1 (</w:t>
      </w:r>
      <w:r w:rsidRPr="00C22444">
        <w:rPr>
          <w:rFonts w:eastAsia="Calibri" w:cs="Calibri"/>
        </w:rPr>
        <w:t xml:space="preserve">includes managerial, professional, and upper supervisory occupations) and C2DE (includes manual routine, semi-routine, lower supervisory, state pension, and long-term unemployed). </w:t>
      </w:r>
      <w:r w:rsidRPr="00C22444">
        <w:t>This occupational measure of social grade is a valid index of socioeconomic position that is widely used in research in UK populations. It has been identified as particularly relevant in the context of smoking and quit attempts and success.</w:t>
      </w:r>
      <w:r w:rsidRPr="00C22444">
        <w:fldChar w:fldCharType="begin"/>
      </w:r>
      <w:r w:rsidR="00C50867">
        <w:instrText xml:space="preserve"> ADDIN ZOTERO_ITEM CSL_CITATION {"citationID":"QYminOQn","properties":{"formattedCitation":"[36]","plainCitation":"[36]","noteIndex":0},"citationItems":[{"id":3026,"uris":["http://zotero.org/users/446899/items/DA69TDJC"],"itemData":{"id":3026,"type":"article-journal","abstract":"OBJECTIVE: Smokers from more deprived socioeconomic groups are less likely to become ex-smokers. This study examined how far this is attributable in England to a social gradient in quit attempts, use of aids to cessation and/or the success of quit attempts.\nDESIGN: Cross-sectional household survey.\nSETTING: England.\nPARTICIPANTS: 6950 respondents aged 16+ who had smoked in the past year, of whom 2983 had tried to stop in the past year and 469 reported having stopped at the time of the survey.\nMAIN OUTCOME MEASURES: Reported attempts to stop smoking in the past year; the use of stop-smoking medications (nicotine replacement therapy, bupropion or varenicline); use of behavioural support offered by the National Health Service Stop Smoking Services; current smoking status.\nRESULTS: There was a large difference in success rates of quit attempts: 20.4% in social grade AB versus 11.4% in social grade E of those who made attempts were still not smoking by the time of the survey (p&lt;0.001). However, there was no difference across social grades in the rate of attempts to stop (42.7% in social grade AB to 41.3% in E), use of medications to aid cessation (46.7% of those making quit attempts in AB to 50.9% in E) or use of NHS Stop Smoking Services (7.0% of those making quit attempts in AB to 4.8% in E).\nCONCLUSIONS: Smokers in more deprived socioeconomic groups are just as likely as those in higher groups to try to stop and use aids to cessation but there is a strong gradient across socioeconomic groups in success, with those in the lowest group being half as likely to succeed compared with the highest. Determining the cause of, and counteracting, this gradient is paramount in reducing health inequalities.","container-title":"Tobacco Control","DOI":"10.1136/tc.2008.025981","ISSN":"1468-3318","issue":"1","journalAbbreviation":"Tob Control","language":"eng","note":"PMID: 18936053","page":"43-46","source":"PubMed","title":"Explaining the social gradient in smoking cessation: it's not in the trying, but in the succeeding","title-short":"Explaining the social gradient in smoking cessation","volume":"18","author":[{"family":"Kotz","given":"D."},{"family":"West","given":"R."}],"issued":{"date-parts":[["2009",2]]}}}],"schema":"https://github.com/citation-style-language/schema/raw/master/csl-citation.json"} </w:instrText>
      </w:r>
      <w:r w:rsidRPr="00C22444">
        <w:fldChar w:fldCharType="separate"/>
      </w:r>
      <w:r w:rsidR="00C50867" w:rsidRPr="00C50867">
        <w:rPr>
          <w:rFonts w:ascii="Calibri" w:hAnsi="Calibri" w:cs="Calibri"/>
        </w:rPr>
        <w:t>[36]</w:t>
      </w:r>
      <w:r w:rsidRPr="00C22444">
        <w:fldChar w:fldCharType="end"/>
      </w:r>
    </w:p>
    <w:p w14:paraId="6A1BB4D5" w14:textId="77777777" w:rsidR="004A3988" w:rsidRPr="00D55BAF" w:rsidRDefault="001700FA" w:rsidP="00D55BAF">
      <w:pPr>
        <w:pStyle w:val="Heading3"/>
      </w:pPr>
      <w:r w:rsidRPr="00D55BAF">
        <w:t>Statistical analysis</w:t>
      </w:r>
    </w:p>
    <w:p w14:paraId="2B0B1636" w14:textId="7851264C" w:rsidR="00FD13BA" w:rsidRDefault="00FD13BA" w:rsidP="00FD13BA">
      <w:pPr>
        <w:autoSpaceDE w:val="0"/>
        <w:autoSpaceDN w:val="0"/>
        <w:adjustRightInd w:val="0"/>
        <w:rPr>
          <w:rStyle w:val="normaltextrun"/>
          <w:rFonts w:cstheme="minorHAnsi"/>
        </w:rPr>
      </w:pPr>
      <w:r w:rsidRPr="005B377B">
        <w:rPr>
          <w:rFonts w:cstheme="minorHAnsi"/>
          <w:lang w:eastAsia="en-GB"/>
        </w:rPr>
        <w:t xml:space="preserve">Data </w:t>
      </w:r>
      <w:r>
        <w:rPr>
          <w:rFonts w:cstheme="minorHAnsi"/>
          <w:lang w:eastAsia="en-GB"/>
        </w:rPr>
        <w:t>were</w:t>
      </w:r>
      <w:r w:rsidRPr="005B377B">
        <w:rPr>
          <w:rFonts w:cstheme="minorHAnsi"/>
          <w:lang w:eastAsia="en-GB"/>
        </w:rPr>
        <w:t xml:space="preserve"> analysed using R</w:t>
      </w:r>
      <w:r>
        <w:rPr>
          <w:rFonts w:cstheme="minorHAnsi"/>
          <w:lang w:eastAsia="en-GB"/>
        </w:rPr>
        <w:t xml:space="preserve"> v.4.4.1. </w:t>
      </w:r>
      <w:r w:rsidRPr="005B377B">
        <w:rPr>
          <w:rStyle w:val="normaltextrun"/>
          <w:rFonts w:cstheme="minorHAnsi"/>
        </w:rPr>
        <w:t xml:space="preserve">The Smoking Toolkit Study uses raking to weight the sample to match the population in </w:t>
      </w:r>
      <w:r>
        <w:rPr>
          <w:rStyle w:val="normaltextrun"/>
          <w:rFonts w:cstheme="minorHAnsi"/>
        </w:rPr>
        <w:t>Great Britain</w:t>
      </w:r>
      <w:r w:rsidRPr="005B377B">
        <w:rPr>
          <w:rStyle w:val="normaltextrun"/>
          <w:rFonts w:cstheme="minorHAnsi"/>
        </w:rPr>
        <w:t xml:space="preserve">. </w:t>
      </w:r>
      <w:r w:rsidRPr="00904AA6">
        <w:rPr>
          <w:rStyle w:val="normaltextrun"/>
          <w:rFonts w:cstheme="minorHAnsi"/>
        </w:rPr>
        <w:t xml:space="preserve">This profile is determined each month by combining data from the UK Census, the </w:t>
      </w:r>
      <w:r w:rsidRPr="0045675F">
        <w:rPr>
          <w:rStyle w:val="normaltextrun"/>
          <w:rFonts w:cstheme="minorHAnsi"/>
        </w:rPr>
        <w:t xml:space="preserve">Office for National Statistics mid-year estimates, and the annual National Readership </w:t>
      </w:r>
      <w:r w:rsidRPr="0045675F">
        <w:rPr>
          <w:rStyle w:val="normaltextrun"/>
          <w:rFonts w:cstheme="minorHAnsi"/>
        </w:rPr>
        <w:lastRenderedPageBreak/>
        <w:t>Survey.</w:t>
      </w:r>
      <w:r w:rsidRPr="0045675F">
        <w:rPr>
          <w:rStyle w:val="normaltextrun"/>
          <w:rFonts w:cstheme="minorHAnsi"/>
        </w:rPr>
        <w:fldChar w:fldCharType="begin"/>
      </w:r>
      <w:r w:rsidR="00C50867">
        <w:rPr>
          <w:rStyle w:val="normaltextrun"/>
          <w:rFonts w:cstheme="minorHAnsi"/>
        </w:rPr>
        <w:instrText xml:space="preserve"> ADDIN ZOTERO_ITEM CSL_CITATION {"citationID":"TN8qu4YD","properties":{"formattedCitation":"[32]","plainCitation":"[32]","noteIndex":0},"citationItems":[{"id":793,"uris":["http://zotero.org/users/446899/items/3WMEJNX3"],"itemData":{"id":793,"type":"article-journal","abstract":"Up-to-date data tracking of national smoking patterns and cessation-related behaviour is required to evaluate and inform tobacco control strategies. The Smoking Toolkit Study (STS) was designed for this role. This paper describes the methodology of the STS and examines as far as possible the representativeness of the samples.","container-title":"BMC Public Health","DOI":"10.1186/1471-2458-11-479","ISSN":"1471-2458","journalAbbreviation":"BMC Public Health","page":"479","source":"BioMed Central","title":"'The smoking toolkit study': a national study of smoking and smoking cessation in England","title-short":"'The smoking toolkit study'","volume":"11","author":[{"family":"Fidler","given":"Jennifer A."},{"family":"Shahab","given":"Lion"},{"family":"West","given":"Oliver"},{"family":"Jarvis","given":"Martin J."},{"family":"McEwen","given":"Andy"},{"family":"Stapleton","given":"John A."},{"family":"Vangeli","given":"Eleni"},{"family":"West","given":"Robert"}],"issued":{"date-parts":[["2011",6,18]]}}}],"schema":"https://github.com/citation-style-language/schema/raw/master/csl-citation.json"} </w:instrText>
      </w:r>
      <w:r w:rsidRPr="0045675F">
        <w:rPr>
          <w:rStyle w:val="normaltextrun"/>
          <w:rFonts w:cstheme="minorHAnsi"/>
        </w:rPr>
        <w:fldChar w:fldCharType="separate"/>
      </w:r>
      <w:r w:rsidR="00C50867" w:rsidRPr="00C50867">
        <w:rPr>
          <w:rFonts w:ascii="Calibri" w:hAnsi="Calibri" w:cs="Calibri"/>
        </w:rPr>
        <w:t>[32]</w:t>
      </w:r>
      <w:r w:rsidRPr="0045675F">
        <w:rPr>
          <w:rStyle w:val="normaltextrun"/>
          <w:rFonts w:cstheme="minorHAnsi"/>
        </w:rPr>
        <w:fldChar w:fldCharType="end"/>
      </w:r>
      <w:r w:rsidRPr="0045675F">
        <w:rPr>
          <w:rStyle w:val="normaltextrun"/>
          <w:rFonts w:cstheme="minorHAnsi"/>
        </w:rPr>
        <w:t xml:space="preserve"> The following analyses </w:t>
      </w:r>
      <w:r>
        <w:rPr>
          <w:rStyle w:val="normaltextrun"/>
          <w:rFonts w:cstheme="minorHAnsi"/>
        </w:rPr>
        <w:t>used</w:t>
      </w:r>
      <w:r w:rsidRPr="0045675F">
        <w:rPr>
          <w:rStyle w:val="normaltextrun"/>
          <w:rFonts w:cstheme="minorHAnsi"/>
        </w:rPr>
        <w:t xml:space="preserve"> weighted data. </w:t>
      </w:r>
      <w:r>
        <w:rPr>
          <w:rStyle w:val="normaltextrun"/>
          <w:rFonts w:cstheme="minorHAnsi"/>
        </w:rPr>
        <w:t>We excluded participants who did not report their age or smoking status</w:t>
      </w:r>
      <w:r w:rsidRPr="0045675F">
        <w:rPr>
          <w:rStyle w:val="normaltextrun"/>
          <w:rFonts w:cstheme="minorHAnsi"/>
        </w:rPr>
        <w:t>.</w:t>
      </w:r>
      <w:r>
        <w:rPr>
          <w:rStyle w:val="normaltextrun"/>
          <w:rFonts w:cstheme="minorHAnsi"/>
        </w:rPr>
        <w:t xml:space="preserve"> Missing data on other variables were excluded on a per-analysis basis.</w:t>
      </w:r>
    </w:p>
    <w:p w14:paraId="2843E4EC" w14:textId="5B238E6C" w:rsidR="001E1CBC" w:rsidRDefault="001E1CBC" w:rsidP="00FD13BA">
      <w:pPr>
        <w:autoSpaceDE w:val="0"/>
        <w:autoSpaceDN w:val="0"/>
        <w:adjustRightInd w:val="0"/>
        <w:rPr>
          <w:rStyle w:val="normaltextrun"/>
          <w:rFonts w:cstheme="minorHAnsi"/>
        </w:rPr>
      </w:pPr>
      <w:r>
        <w:rPr>
          <w:rStyle w:val="normaltextrun"/>
          <w:rFonts w:cstheme="minorHAnsi"/>
        </w:rPr>
        <w:t xml:space="preserve">We </w:t>
      </w:r>
      <w:r w:rsidR="00122159">
        <w:rPr>
          <w:rStyle w:val="normaltextrun"/>
          <w:rFonts w:cstheme="minorHAnsi"/>
        </w:rPr>
        <w:t>estimated</w:t>
      </w:r>
      <w:r>
        <w:rPr>
          <w:rStyle w:val="normaltextrun"/>
          <w:rFonts w:cstheme="minorHAnsi"/>
        </w:rPr>
        <w:t xml:space="preserve"> the prevalence of each outcome, among women of all ages, overall and by socioeconomic position.</w:t>
      </w:r>
      <w:r w:rsidR="00122159">
        <w:rPr>
          <w:rStyle w:val="normaltextrun"/>
          <w:rFonts w:cstheme="minorHAnsi"/>
        </w:rPr>
        <w:t xml:space="preserve"> </w:t>
      </w:r>
      <w:r w:rsidR="00B84CCF">
        <w:rPr>
          <w:rStyle w:val="normaltextrun"/>
          <w:rFonts w:cstheme="minorHAnsi"/>
        </w:rPr>
        <w:t xml:space="preserve">To </w:t>
      </w:r>
      <w:r w:rsidR="00B52ACE">
        <w:rPr>
          <w:rStyle w:val="normaltextrun"/>
          <w:rFonts w:cstheme="minorHAnsi"/>
        </w:rPr>
        <w:t>quantify the extent of any</w:t>
      </w:r>
      <w:r w:rsidR="00B84CCF">
        <w:rPr>
          <w:rStyle w:val="normaltextrun"/>
          <w:rFonts w:cstheme="minorHAnsi"/>
        </w:rPr>
        <w:t xml:space="preserve"> differences between women who were more and less advantaged, we</w:t>
      </w:r>
      <w:r w:rsidR="00122159">
        <w:rPr>
          <w:rStyle w:val="normaltextrun"/>
          <w:rFonts w:cstheme="minorHAnsi"/>
        </w:rPr>
        <w:t xml:space="preserve"> </w:t>
      </w:r>
      <w:r w:rsidR="00B84CCF">
        <w:rPr>
          <w:rStyle w:val="normaltextrun"/>
          <w:rFonts w:cstheme="minorHAnsi"/>
        </w:rPr>
        <w:t>reported these estimates alongside</w:t>
      </w:r>
      <w:r w:rsidR="00122159">
        <w:rPr>
          <w:rStyle w:val="normaltextrun"/>
          <w:rFonts w:cstheme="minorHAnsi"/>
        </w:rPr>
        <w:t xml:space="preserve"> prevalence ratios (PRs; </w:t>
      </w:r>
      <w:r w:rsidR="00B84CCF">
        <w:rPr>
          <w:rStyle w:val="normaltextrun"/>
          <w:rFonts w:cstheme="minorHAnsi"/>
        </w:rPr>
        <w:t>calculated as prevalence among less advantaged women divided by prevalence among more advantaged women) and 95% confidence intervals (CIs) calculated using bootstrapping (1,000 replications).</w:t>
      </w:r>
    </w:p>
    <w:p w14:paraId="1FBA8C19" w14:textId="414F927B" w:rsidR="0089332C" w:rsidRDefault="00FD13BA" w:rsidP="00FD13BA">
      <w:pPr>
        <w:autoSpaceDE w:val="0"/>
        <w:autoSpaceDN w:val="0"/>
        <w:adjustRightInd w:val="0"/>
        <w:rPr>
          <w:rFonts w:cs="Calibri"/>
          <w:lang w:eastAsia="en-GB"/>
        </w:rPr>
      </w:pPr>
      <w:r>
        <w:rPr>
          <w:rFonts w:cs="Calibri"/>
          <w:lang w:eastAsia="en-GB"/>
        </w:rPr>
        <w:t>Age-specific estimates of smoking prevalence, the rate of quit attempts, the success rate of quit attempts, and the overall quit rate</w:t>
      </w:r>
      <w:r w:rsidRPr="001D2B50">
        <w:rPr>
          <w:rFonts w:cs="Calibri"/>
          <w:lang w:eastAsia="en-GB"/>
        </w:rPr>
        <w:t xml:space="preserve"> </w:t>
      </w:r>
      <w:r>
        <w:rPr>
          <w:rFonts w:cs="Calibri"/>
          <w:lang w:eastAsia="en-GB"/>
        </w:rPr>
        <w:t>were predicted from logistic regression models that test</w:t>
      </w:r>
      <w:r w:rsidR="005253BC">
        <w:rPr>
          <w:rFonts w:cs="Calibri"/>
          <w:lang w:eastAsia="en-GB"/>
        </w:rPr>
        <w:t>ed</w:t>
      </w:r>
      <w:r>
        <w:rPr>
          <w:rFonts w:cs="Calibri"/>
          <w:lang w:eastAsia="en-GB"/>
        </w:rPr>
        <w:t xml:space="preserve"> associations of each outcome with age. </w:t>
      </w:r>
      <w:r>
        <w:t xml:space="preserve">Age was modelled </w:t>
      </w:r>
      <w:r>
        <w:rPr>
          <w:rFonts w:cs="Calibri"/>
          <w:lang w:eastAsia="en-GB"/>
        </w:rPr>
        <w:t xml:space="preserve">non-linearly using restricted cubic splines to allow for flexible associations without arbitrary categorisation. We compared models </w:t>
      </w:r>
      <w:r w:rsidRPr="001D1F79">
        <w:rPr>
          <w:rFonts w:cs="Calibri"/>
          <w:lang w:eastAsia="en-GB"/>
        </w:rPr>
        <w:t xml:space="preserve">with three, four, and five knots using the Akaike Information Criterion (AIC) and reported the best-fitting model for each outcome (selected as the model with the lowest AIC value or the simplest model within 2 AIC units; </w:t>
      </w:r>
      <w:r w:rsidR="007C7809">
        <w:rPr>
          <w:rFonts w:cs="Calibri"/>
          <w:lang w:eastAsia="en-GB"/>
        </w:rPr>
        <w:t xml:space="preserve">see </w:t>
      </w:r>
      <w:r w:rsidR="00FD2048">
        <w:rPr>
          <w:rFonts w:cs="Calibri"/>
          <w:b/>
          <w:bCs/>
          <w:lang w:eastAsia="en-GB"/>
        </w:rPr>
        <w:t xml:space="preserve">Additional </w:t>
      </w:r>
      <w:r w:rsidR="00ED52D7">
        <w:rPr>
          <w:rFonts w:cs="Calibri"/>
          <w:b/>
          <w:bCs/>
          <w:lang w:eastAsia="en-GB"/>
        </w:rPr>
        <w:t>f</w:t>
      </w:r>
      <w:r w:rsidR="007C7809">
        <w:rPr>
          <w:rFonts w:cs="Calibri"/>
          <w:b/>
          <w:bCs/>
          <w:lang w:eastAsia="en-GB"/>
        </w:rPr>
        <w:t>ile 1</w:t>
      </w:r>
      <w:r w:rsidR="00903586">
        <w:rPr>
          <w:rFonts w:cs="Calibri"/>
          <w:b/>
          <w:bCs/>
          <w:lang w:eastAsia="en-GB"/>
        </w:rPr>
        <w:t>: Table S1</w:t>
      </w:r>
      <w:r w:rsidRPr="001D1F79">
        <w:rPr>
          <w:rFonts w:cs="Calibri"/>
          <w:lang w:eastAsia="en-GB"/>
        </w:rPr>
        <w:t>). To examine differences by socioeconomic position, we repeated the models with the inclusion of the two-way interaction between age and social grade.</w:t>
      </w:r>
    </w:p>
    <w:p w14:paraId="4810003E" w14:textId="7C2B1DC2" w:rsidR="00E34BE9" w:rsidRDefault="00FD13BA" w:rsidP="00FD13BA">
      <w:pPr>
        <w:autoSpaceDE w:val="0"/>
        <w:autoSpaceDN w:val="0"/>
        <w:adjustRightInd w:val="0"/>
        <w:rPr>
          <w:rFonts w:cs="Calibri"/>
          <w:lang w:eastAsia="en-GB"/>
        </w:rPr>
      </w:pPr>
      <w:r w:rsidRPr="001D1F79">
        <w:rPr>
          <w:rFonts w:cs="Calibri"/>
          <w:lang w:eastAsia="en-GB"/>
        </w:rPr>
        <w:t xml:space="preserve">We plotted predicted </w:t>
      </w:r>
      <w:r w:rsidR="00E34BE9">
        <w:rPr>
          <w:rFonts w:cs="Calibri"/>
          <w:lang w:eastAsia="en-GB"/>
        </w:rPr>
        <w:t xml:space="preserve">modelled </w:t>
      </w:r>
      <w:r w:rsidRPr="001D1F79">
        <w:rPr>
          <w:rFonts w:cs="Calibri"/>
          <w:lang w:eastAsia="en-GB"/>
        </w:rPr>
        <w:t xml:space="preserve">estimates for each </w:t>
      </w:r>
      <w:r>
        <w:rPr>
          <w:rFonts w:cs="Calibri"/>
          <w:lang w:eastAsia="en-GB"/>
        </w:rPr>
        <w:t>year of age (16-90 years)</w:t>
      </w:r>
      <w:r w:rsidR="00E34BE9">
        <w:rPr>
          <w:rFonts w:cs="Calibri"/>
          <w:lang w:eastAsia="en-GB"/>
        </w:rPr>
        <w:t xml:space="preserve"> alongside unmodelled estimates within 5-year age bands</w:t>
      </w:r>
      <w:r>
        <w:rPr>
          <w:rFonts w:cs="Calibri"/>
          <w:lang w:eastAsia="en-GB"/>
        </w:rPr>
        <w:t>, overall and by socioeconomic position.</w:t>
      </w:r>
      <w:r w:rsidR="0089332C">
        <w:rPr>
          <w:rFonts w:cs="Calibri"/>
          <w:lang w:eastAsia="en-GB"/>
        </w:rPr>
        <w:t xml:space="preserve"> </w:t>
      </w:r>
      <w:r w:rsidR="001F242C">
        <w:rPr>
          <w:rFonts w:cs="Calibri"/>
          <w:lang w:eastAsia="en-GB"/>
        </w:rPr>
        <w:t>To provide context on different life stages</w:t>
      </w:r>
      <w:r w:rsidR="007D7938">
        <w:rPr>
          <w:rFonts w:cs="Calibri"/>
          <w:lang w:eastAsia="en-GB"/>
        </w:rPr>
        <w:t>, we indicated on these plots the</w:t>
      </w:r>
      <w:r w:rsidR="001F242C">
        <w:rPr>
          <w:rFonts w:cs="Calibri"/>
          <w:lang w:eastAsia="en-GB"/>
        </w:rPr>
        <w:t xml:space="preserve"> average age at which women in Great Britain give birth to their first child (3</w:t>
      </w:r>
      <w:r w:rsidR="00272444">
        <w:rPr>
          <w:rFonts w:cs="Calibri"/>
          <w:lang w:eastAsia="en-GB"/>
        </w:rPr>
        <w:t>1</w:t>
      </w:r>
      <w:r w:rsidR="001F242C">
        <w:rPr>
          <w:rFonts w:cs="Calibri"/>
          <w:lang w:eastAsia="en-GB"/>
        </w:rPr>
        <w:t xml:space="preserve"> years),</w:t>
      </w:r>
      <w:r w:rsidR="00167C28">
        <w:rPr>
          <w:rFonts w:cs="Calibri"/>
          <w:lang w:eastAsia="en-GB"/>
        </w:rPr>
        <w:fldChar w:fldCharType="begin"/>
      </w:r>
      <w:r w:rsidR="00C50867">
        <w:rPr>
          <w:rFonts w:cs="Calibri"/>
          <w:lang w:eastAsia="en-GB"/>
        </w:rPr>
        <w:instrText xml:space="preserve"> ADDIN ZOTERO_ITEM CSL_CITATION {"citationID":"owvAhhuL","properties":{"formattedCitation":"[37]","plainCitation":"[37]","noteIndex":0},"citationItems":[{"id":12754,"uris":["http://zotero.org/users/446899/items/VMSP8KCM"],"itemData":{"id":12754,"type":"webpage","title":"Birth characteristics in England and Wales: 2022","URL":"https://www.ons.gov.uk/peoplepopulationandcommunity/birthsdeathsandmarriages/livebirths/bulletins/birthcharacteristicsinenglandandwales/2022","author":[{"family":"Office for National Statistics","given":""}],"accessed":{"date-parts":[["2025",4,3]]},"issued":{"date-parts":[["2024",5,17]]}}}],"schema":"https://github.com/citation-style-language/schema/raw/master/csl-citation.json"} </w:instrText>
      </w:r>
      <w:r w:rsidR="00167C28">
        <w:rPr>
          <w:rFonts w:cs="Calibri"/>
          <w:lang w:eastAsia="en-GB"/>
        </w:rPr>
        <w:fldChar w:fldCharType="separate"/>
      </w:r>
      <w:r w:rsidR="00C50867" w:rsidRPr="00C50867">
        <w:rPr>
          <w:rFonts w:ascii="Calibri" w:hAnsi="Calibri" w:cs="Calibri"/>
        </w:rPr>
        <w:t>[37]</w:t>
      </w:r>
      <w:r w:rsidR="00167C28">
        <w:rPr>
          <w:rFonts w:cs="Calibri"/>
          <w:lang w:eastAsia="en-GB"/>
        </w:rPr>
        <w:fldChar w:fldCharType="end"/>
      </w:r>
      <w:r w:rsidR="001F242C">
        <w:rPr>
          <w:rFonts w:cs="Calibri"/>
          <w:lang w:eastAsia="en-GB"/>
        </w:rPr>
        <w:t xml:space="preserve"> the age women typically go through menopause (45-55 years),</w:t>
      </w:r>
      <w:r w:rsidR="00361AD0">
        <w:rPr>
          <w:rFonts w:cs="Calibri"/>
          <w:lang w:eastAsia="en-GB"/>
        </w:rPr>
        <w:fldChar w:fldCharType="begin"/>
      </w:r>
      <w:r w:rsidR="00C50867">
        <w:rPr>
          <w:rFonts w:cs="Calibri"/>
          <w:lang w:eastAsia="en-GB"/>
        </w:rPr>
        <w:instrText xml:space="preserve"> ADDIN ZOTERO_ITEM CSL_CITATION {"citationID":"vobQiPkP","properties":{"formattedCitation":"[38]","plainCitation":"[38]","noteIndex":0},"citationItems":[{"id":12756,"uris":["http://zotero.org/users/446899/items/YC6ZUJQA"],"itemData":{"id":12756,"type":"webpage","abstract":"Find out about menopause symptoms, causes and treatments, and things you can do to help.","container-title":"nhs.uk","language":"en","note":"section: conditions","title":"Menopause","URL":"https://www.nhs.uk/conditions/menopause/","author":[{"family":"National Health Service","given":""}],"accessed":{"date-parts":[["2025",4,3]]},"issued":{"date-parts":[["2022",5,17]]}}}],"schema":"https://github.com/citation-style-language/schema/raw/master/csl-citation.json"} </w:instrText>
      </w:r>
      <w:r w:rsidR="00361AD0">
        <w:rPr>
          <w:rFonts w:cs="Calibri"/>
          <w:lang w:eastAsia="en-GB"/>
        </w:rPr>
        <w:fldChar w:fldCharType="separate"/>
      </w:r>
      <w:r w:rsidR="00C50867" w:rsidRPr="00C50867">
        <w:rPr>
          <w:rFonts w:ascii="Calibri" w:hAnsi="Calibri" w:cs="Calibri"/>
        </w:rPr>
        <w:t>[38]</w:t>
      </w:r>
      <w:r w:rsidR="00361AD0">
        <w:rPr>
          <w:rFonts w:cs="Calibri"/>
          <w:lang w:eastAsia="en-GB"/>
        </w:rPr>
        <w:fldChar w:fldCharType="end"/>
      </w:r>
      <w:r w:rsidR="001F242C">
        <w:rPr>
          <w:rFonts w:cs="Calibri"/>
          <w:lang w:eastAsia="en-GB"/>
        </w:rPr>
        <w:t xml:space="preserve"> and the state pension age (6</w:t>
      </w:r>
      <w:r w:rsidR="009F6A3A">
        <w:rPr>
          <w:rFonts w:cs="Calibri"/>
          <w:lang w:eastAsia="en-GB"/>
        </w:rPr>
        <w:t>6</w:t>
      </w:r>
      <w:r w:rsidR="001F242C">
        <w:rPr>
          <w:rFonts w:cs="Calibri"/>
          <w:lang w:eastAsia="en-GB"/>
        </w:rPr>
        <w:t xml:space="preserve"> years).</w:t>
      </w:r>
      <w:r w:rsidR="00A10BF8">
        <w:rPr>
          <w:rFonts w:cs="Calibri"/>
          <w:lang w:eastAsia="en-GB"/>
        </w:rPr>
        <w:fldChar w:fldCharType="begin"/>
      </w:r>
      <w:r w:rsidR="00C50867">
        <w:rPr>
          <w:rFonts w:cs="Calibri"/>
          <w:lang w:eastAsia="en-GB"/>
        </w:rPr>
        <w:instrText xml:space="preserve"> ADDIN ZOTERO_ITEM CSL_CITATION {"citationID":"K0vKSkEf","properties":{"formattedCitation":"[39]","plainCitation":"[39]","noteIndex":0},"citationItems":[{"id":12758,"uris":["http://zotero.org/users/446899/items/2Q7XEJF6"],"itemData":{"id":12758,"type":"webpage","abstract":"The second review of State Pension age has been published by the Government today.","container-title":"GOV.UK","language":"en","title":"State Pension Age Review published","URL":"https://www.gov.uk/government/news/state-pension-age-review-published","author":[{"family":"Department for Work and Pensions","given":""}],"accessed":{"date-parts":[["2025",4,3]]},"issued":{"date-parts":[["2023",3,30]]}}}],"schema":"https://github.com/citation-style-language/schema/raw/master/csl-citation.json"} </w:instrText>
      </w:r>
      <w:r w:rsidR="00A10BF8">
        <w:rPr>
          <w:rFonts w:cs="Calibri"/>
          <w:lang w:eastAsia="en-GB"/>
        </w:rPr>
        <w:fldChar w:fldCharType="separate"/>
      </w:r>
      <w:r w:rsidR="00C50867" w:rsidRPr="00C50867">
        <w:rPr>
          <w:rFonts w:ascii="Calibri" w:hAnsi="Calibri" w:cs="Calibri"/>
        </w:rPr>
        <w:t>[39]</w:t>
      </w:r>
      <w:r w:rsidR="00A10BF8">
        <w:rPr>
          <w:rFonts w:cs="Calibri"/>
          <w:lang w:eastAsia="en-GB"/>
        </w:rPr>
        <w:fldChar w:fldCharType="end"/>
      </w:r>
      <w:r w:rsidR="0033023C">
        <w:rPr>
          <w:rFonts w:cs="Calibri"/>
          <w:lang w:eastAsia="en-GB"/>
        </w:rPr>
        <w:t xml:space="preserve"> </w:t>
      </w:r>
      <w:r w:rsidR="00E34BE9">
        <w:rPr>
          <w:rFonts w:cs="Calibri"/>
          <w:lang w:eastAsia="en-GB"/>
        </w:rPr>
        <w:t xml:space="preserve">We also </w:t>
      </w:r>
      <w:r w:rsidR="004A6BBA">
        <w:rPr>
          <w:rFonts w:cs="Calibri"/>
          <w:lang w:eastAsia="en-GB"/>
        </w:rPr>
        <w:t xml:space="preserve">reported predicted modelled estimates for </w:t>
      </w:r>
      <w:r w:rsidR="0033023C">
        <w:rPr>
          <w:rFonts w:cs="Calibri"/>
          <w:lang w:eastAsia="en-GB"/>
        </w:rPr>
        <w:t>selected</w:t>
      </w:r>
      <w:r w:rsidR="004A6BBA">
        <w:rPr>
          <w:rFonts w:cs="Calibri"/>
          <w:lang w:eastAsia="en-GB"/>
        </w:rPr>
        <w:t xml:space="preserve"> ages</w:t>
      </w:r>
      <w:r w:rsidR="0033023C">
        <w:rPr>
          <w:rFonts w:cs="Calibri"/>
          <w:lang w:eastAsia="en-GB"/>
        </w:rPr>
        <w:t xml:space="preserve"> across the adult lifespan</w:t>
      </w:r>
      <w:r w:rsidR="00D20AFF">
        <w:rPr>
          <w:rFonts w:cs="Calibri"/>
          <w:lang w:eastAsia="en-GB"/>
        </w:rPr>
        <w:t xml:space="preserve"> </w:t>
      </w:r>
      <w:r w:rsidR="00DD0AF1">
        <w:rPr>
          <w:rFonts w:cs="Calibri"/>
          <w:lang w:eastAsia="en-GB"/>
        </w:rPr>
        <w:t>and</w:t>
      </w:r>
      <w:r w:rsidR="0033023C">
        <w:rPr>
          <w:rFonts w:cs="Calibri"/>
          <w:lang w:eastAsia="en-GB"/>
        </w:rPr>
        <w:t xml:space="preserve"> calculated</w:t>
      </w:r>
      <w:r w:rsidR="00DD0AF1">
        <w:rPr>
          <w:rFonts w:cs="Calibri"/>
          <w:lang w:eastAsia="en-GB"/>
        </w:rPr>
        <w:t xml:space="preserve"> prevalence ratios </w:t>
      </w:r>
      <w:r w:rsidR="00B55583">
        <w:rPr>
          <w:rFonts w:cs="Calibri"/>
          <w:lang w:eastAsia="en-GB"/>
        </w:rPr>
        <w:t>(with bootstrap 95% CIs, as described above)</w:t>
      </w:r>
      <w:r w:rsidR="00C81AFD">
        <w:rPr>
          <w:rFonts w:cs="Calibri"/>
          <w:lang w:eastAsia="en-GB"/>
        </w:rPr>
        <w:t xml:space="preserve"> </w:t>
      </w:r>
      <w:r w:rsidR="0033023C">
        <w:rPr>
          <w:rFonts w:cs="Calibri"/>
          <w:lang w:eastAsia="en-GB"/>
        </w:rPr>
        <w:t>for</w:t>
      </w:r>
      <w:r w:rsidR="00DD0AF1">
        <w:rPr>
          <w:rFonts w:cs="Calibri"/>
          <w:lang w:eastAsia="en-GB"/>
        </w:rPr>
        <w:t xml:space="preserve"> the difference in modelled estimates between more and less advantaged women</w:t>
      </w:r>
      <w:r w:rsidR="0033023C">
        <w:rPr>
          <w:rFonts w:cs="Calibri"/>
          <w:lang w:eastAsia="en-GB"/>
        </w:rPr>
        <w:t xml:space="preserve"> at these ages</w:t>
      </w:r>
      <w:r w:rsidR="00DD0AF1">
        <w:rPr>
          <w:rFonts w:cs="Calibri"/>
          <w:lang w:eastAsia="en-GB"/>
        </w:rPr>
        <w:t>.</w:t>
      </w:r>
    </w:p>
    <w:p w14:paraId="74F2A329" w14:textId="76D9DA55" w:rsidR="00A81497" w:rsidRDefault="00A81497" w:rsidP="00FD13BA">
      <w:pPr>
        <w:autoSpaceDE w:val="0"/>
        <w:autoSpaceDN w:val="0"/>
        <w:adjustRightInd w:val="0"/>
        <w:rPr>
          <w:rFonts w:cs="Calibri"/>
          <w:lang w:eastAsia="en-GB"/>
        </w:rPr>
      </w:pPr>
      <w:r>
        <w:rPr>
          <w:rFonts w:cs="Calibri"/>
          <w:lang w:eastAsia="en-GB"/>
        </w:rPr>
        <w:t xml:space="preserve">In an unplanned (i.e. not pre-registered) analysis, we repeated the models among men to explore whether the </w:t>
      </w:r>
      <w:r w:rsidR="00FF376C">
        <w:rPr>
          <w:rFonts w:cs="Calibri"/>
          <w:lang w:eastAsia="en-GB"/>
        </w:rPr>
        <w:t>patterns we observed</w:t>
      </w:r>
      <w:r w:rsidR="00596FC8">
        <w:rPr>
          <w:rFonts w:cs="Calibri"/>
          <w:lang w:eastAsia="en-GB"/>
        </w:rPr>
        <w:t xml:space="preserve"> </w:t>
      </w:r>
      <w:r w:rsidR="00FF376C">
        <w:rPr>
          <w:rFonts w:cs="Calibri"/>
          <w:lang w:eastAsia="en-GB"/>
        </w:rPr>
        <w:t xml:space="preserve">by age and socioeconomic position </w:t>
      </w:r>
      <w:r w:rsidR="00596FC8">
        <w:rPr>
          <w:rFonts w:cs="Calibri"/>
          <w:lang w:eastAsia="en-GB"/>
        </w:rPr>
        <w:t>were unique to women</w:t>
      </w:r>
      <w:r w:rsidR="00FF376C">
        <w:rPr>
          <w:rFonts w:cs="Calibri"/>
          <w:lang w:eastAsia="en-GB"/>
        </w:rPr>
        <w:t>.</w:t>
      </w:r>
    </w:p>
    <w:p w14:paraId="43F53A9A" w14:textId="77777777" w:rsidR="002365A5" w:rsidRPr="00D55BAF" w:rsidRDefault="002365A5">
      <w:pPr>
        <w:spacing w:after="200" w:line="276" w:lineRule="auto"/>
        <w:rPr>
          <w:rFonts w:eastAsiaTheme="majorEastAsia" w:cstheme="minorHAnsi"/>
          <w:b/>
          <w:bCs/>
          <w:sz w:val="26"/>
          <w:szCs w:val="26"/>
        </w:rPr>
      </w:pPr>
    </w:p>
    <w:p w14:paraId="31D5FD03" w14:textId="77777777" w:rsidR="004A3988" w:rsidRDefault="001700FA" w:rsidP="00D55BAF">
      <w:pPr>
        <w:pStyle w:val="Heading2"/>
      </w:pPr>
      <w:r w:rsidRPr="00D55BAF">
        <w:t>Results</w:t>
      </w:r>
    </w:p>
    <w:p w14:paraId="79583879" w14:textId="19B74B69" w:rsidR="002D2DEE" w:rsidRPr="00EC64D5" w:rsidRDefault="009541A0" w:rsidP="002D2DEE">
      <w:r>
        <w:t xml:space="preserve">A total of </w:t>
      </w:r>
      <w:r w:rsidRPr="009541A0">
        <w:t>30,699</w:t>
      </w:r>
      <w:r>
        <w:t xml:space="preserve"> women responded to the survey</w:t>
      </w:r>
      <w:r w:rsidR="00CC759F">
        <w:t xml:space="preserve"> between January 2023 and February 2025. We excluded 180 </w:t>
      </w:r>
      <w:r w:rsidR="00B8300B">
        <w:t>women</w:t>
      </w:r>
      <w:r w:rsidR="00CC759F">
        <w:t xml:space="preserve"> (0.6%) with missing data on smoking status or age, leaving a final sample of </w:t>
      </w:r>
      <w:r w:rsidR="0019709C">
        <w:t>30,519 women</w:t>
      </w:r>
      <w:r w:rsidR="001B0F52">
        <w:t xml:space="preserve"> (</w:t>
      </w:r>
      <w:r w:rsidR="00A9370C">
        <w:t>un</w:t>
      </w:r>
      <w:r w:rsidR="001B0F52">
        <w:t xml:space="preserve">weighted mean </w:t>
      </w:r>
      <w:r w:rsidR="00EF6CFF">
        <w:t xml:space="preserve">[SD] </w:t>
      </w:r>
      <w:r w:rsidR="001B0F52">
        <w:t>age =</w:t>
      </w:r>
      <w:r w:rsidR="00EF6CFF">
        <w:t xml:space="preserve"> </w:t>
      </w:r>
      <w:r w:rsidR="00F47968">
        <w:t>52</w:t>
      </w:r>
      <w:r w:rsidR="00EF6CFF">
        <w:t>.0 [18.</w:t>
      </w:r>
      <w:r w:rsidR="00192029">
        <w:t>8</w:t>
      </w:r>
      <w:r w:rsidR="00EF6CFF">
        <w:t xml:space="preserve">] years; </w:t>
      </w:r>
      <w:r w:rsidR="00192029">
        <w:t>31.4</w:t>
      </w:r>
      <w:r w:rsidR="00EF6CFF">
        <w:t>% social grades C2DE).</w:t>
      </w:r>
      <w:r w:rsidR="00DE562F">
        <w:t xml:space="preserve"> </w:t>
      </w:r>
      <w:r w:rsidR="0074315E">
        <w:t>Except for</w:t>
      </w:r>
      <w:r w:rsidR="00AC3992">
        <w:t xml:space="preserve"> quit </w:t>
      </w:r>
      <w:r w:rsidR="00AC3992">
        <w:lastRenderedPageBreak/>
        <w:t xml:space="preserve">attempts, which had 167 missing cases (3.7% of </w:t>
      </w:r>
      <w:r w:rsidR="00A546CB">
        <w:t>participants who had smoked in the past year</w:t>
      </w:r>
      <w:r w:rsidR="00AC3992">
        <w:t>), t</w:t>
      </w:r>
      <w:r w:rsidR="000E6517">
        <w:t xml:space="preserve">here </w:t>
      </w:r>
      <w:r w:rsidR="00AC3992">
        <w:t>were</w:t>
      </w:r>
      <w:r w:rsidR="000E6517">
        <w:t xml:space="preserve"> complete data on all variables.</w:t>
      </w:r>
      <w:r w:rsidR="00790013">
        <w:t xml:space="preserve"> </w:t>
      </w:r>
      <w:r w:rsidR="007C7809">
        <w:t>T</w:t>
      </w:r>
      <w:r w:rsidR="00790013">
        <w:t>he age distribution of the sample</w:t>
      </w:r>
      <w:r w:rsidR="007C7809">
        <w:t xml:space="preserve"> is summarised in </w:t>
      </w:r>
      <w:r w:rsidR="00FD2048">
        <w:rPr>
          <w:b/>
          <w:bCs/>
        </w:rPr>
        <w:t xml:space="preserve">Additional </w:t>
      </w:r>
      <w:r w:rsidR="00ED52D7">
        <w:rPr>
          <w:b/>
          <w:bCs/>
        </w:rPr>
        <w:t>f</w:t>
      </w:r>
      <w:r w:rsidR="007C7809">
        <w:rPr>
          <w:b/>
          <w:bCs/>
        </w:rPr>
        <w:t xml:space="preserve">ile </w:t>
      </w:r>
      <w:r w:rsidR="002E1F11">
        <w:rPr>
          <w:b/>
          <w:bCs/>
        </w:rPr>
        <w:t>2</w:t>
      </w:r>
      <w:r w:rsidR="0075441D">
        <w:rPr>
          <w:b/>
          <w:bCs/>
        </w:rPr>
        <w:t xml:space="preserve">: Table </w:t>
      </w:r>
      <w:r w:rsidR="00993B67">
        <w:rPr>
          <w:b/>
          <w:bCs/>
        </w:rPr>
        <w:t>S2</w:t>
      </w:r>
      <w:r w:rsidR="00790013">
        <w:t>.</w:t>
      </w:r>
      <w:r w:rsidR="00F15A19">
        <w:t xml:space="preserve"> </w:t>
      </w:r>
      <w:r w:rsidR="002E0C69">
        <w:t>We also included data from 30,844 men (unweighted mean [SD] age = 52.2 [18.0] years; 31.4% social grades C2DE) for comparison (</w:t>
      </w:r>
      <w:r w:rsidR="00167D0C">
        <w:t xml:space="preserve">results </w:t>
      </w:r>
      <w:r w:rsidR="001A1FC9">
        <w:t xml:space="preserve">for men </w:t>
      </w:r>
      <w:r w:rsidR="00167D0C">
        <w:t xml:space="preserve">are provided in </w:t>
      </w:r>
      <w:r w:rsidR="00ED52D7">
        <w:rPr>
          <w:b/>
          <w:bCs/>
        </w:rPr>
        <w:t>Additional f</w:t>
      </w:r>
      <w:r w:rsidR="002E0C69">
        <w:rPr>
          <w:b/>
          <w:bCs/>
        </w:rPr>
        <w:t xml:space="preserve">ile </w:t>
      </w:r>
      <w:r w:rsidR="002E1F11">
        <w:rPr>
          <w:b/>
          <w:bCs/>
        </w:rPr>
        <w:t>3</w:t>
      </w:r>
      <w:r w:rsidR="0097008C">
        <w:rPr>
          <w:b/>
          <w:bCs/>
        </w:rPr>
        <w:t>: Tables S</w:t>
      </w:r>
      <w:r w:rsidR="00121588">
        <w:rPr>
          <w:b/>
          <w:bCs/>
        </w:rPr>
        <w:t>5-S10, Figs. S1-S2</w:t>
      </w:r>
      <w:r w:rsidR="002E0C69">
        <w:t>).</w:t>
      </w:r>
    </w:p>
    <w:p w14:paraId="7C63DC2A" w14:textId="7E321D14" w:rsidR="0000500F" w:rsidRDefault="002542BC" w:rsidP="0084051B">
      <w:pPr>
        <w:pStyle w:val="Heading3"/>
      </w:pPr>
      <w:r>
        <w:t>Smoking prevalence</w:t>
      </w:r>
    </w:p>
    <w:p w14:paraId="57FB2FB4" w14:textId="079FE56D" w:rsidR="00FA139E" w:rsidRDefault="00A80D08" w:rsidP="000374CF">
      <w:r>
        <w:t xml:space="preserve">Overall, </w:t>
      </w:r>
      <w:r w:rsidR="009726BB">
        <w:t>14.2</w:t>
      </w:r>
      <w:r>
        <w:t>% [</w:t>
      </w:r>
      <w:r w:rsidR="009726BB">
        <w:t>13.7-14.6</w:t>
      </w:r>
      <w:r>
        <w:t>%] of women reported current smoking.</w:t>
      </w:r>
      <w:r w:rsidR="006D0854">
        <w:t xml:space="preserve"> There was a non-linear association with age (</w:t>
      </w:r>
      <w:r w:rsidR="006D0854">
        <w:rPr>
          <w:b/>
          <w:bCs/>
        </w:rPr>
        <w:t xml:space="preserve">Figure </w:t>
      </w:r>
      <w:r w:rsidR="006D0854" w:rsidRPr="006D0854">
        <w:rPr>
          <w:b/>
          <w:bCs/>
        </w:rPr>
        <w:t>1A</w:t>
      </w:r>
      <w:r w:rsidR="006D0854">
        <w:t xml:space="preserve">). </w:t>
      </w:r>
      <w:r w:rsidR="006D0854" w:rsidRPr="006D0854">
        <w:t>Smoking</w:t>
      </w:r>
      <w:r w:rsidR="006D0854">
        <w:t xml:space="preserve"> prevalence was highest </w:t>
      </w:r>
      <w:r w:rsidR="00AA6398">
        <w:t xml:space="preserve">among women in their </w:t>
      </w:r>
      <w:r w:rsidR="00DB0331">
        <w:t>20s</w:t>
      </w:r>
      <w:r w:rsidR="00AA6398">
        <w:t xml:space="preserve"> and </w:t>
      </w:r>
      <w:r w:rsidR="00DB0331">
        <w:t>30s</w:t>
      </w:r>
      <w:r w:rsidR="00294E44">
        <w:t xml:space="preserve"> </w:t>
      </w:r>
      <w:r w:rsidR="00812B2D">
        <w:t xml:space="preserve">(peaking at </w:t>
      </w:r>
      <w:r w:rsidR="008C07A9">
        <w:t xml:space="preserve">19.3% at age 33) </w:t>
      </w:r>
      <w:r w:rsidR="00AE49D7">
        <w:t>and decreased</w:t>
      </w:r>
      <w:r w:rsidR="008C07A9">
        <w:t xml:space="preserve"> </w:t>
      </w:r>
      <w:r w:rsidR="001E4D58">
        <w:t>throughout mid- and later-life</w:t>
      </w:r>
      <w:r w:rsidR="00F82CC2">
        <w:t xml:space="preserve"> (</w:t>
      </w:r>
      <w:r w:rsidR="00F82CC2">
        <w:rPr>
          <w:b/>
          <w:bCs/>
        </w:rPr>
        <w:t>Table 1</w:t>
      </w:r>
      <w:r w:rsidR="00F82CC2">
        <w:t>)</w:t>
      </w:r>
      <w:r w:rsidR="00FA139E">
        <w:t>.</w:t>
      </w:r>
    </w:p>
    <w:p w14:paraId="41E86869" w14:textId="24C600BD" w:rsidR="004C775B" w:rsidRPr="004C775B" w:rsidRDefault="00FA139E" w:rsidP="000374CF">
      <w:r>
        <w:t>There were differences</w:t>
      </w:r>
      <w:r w:rsidR="007A6266">
        <w:t xml:space="preserve"> </w:t>
      </w:r>
      <w:r w:rsidR="00687921">
        <w:t xml:space="preserve">in smoking prevalence </w:t>
      </w:r>
      <w:r w:rsidR="007A6266">
        <w:t>by socioeconomic position</w:t>
      </w:r>
      <w:r w:rsidR="007C70DB">
        <w:t xml:space="preserve">. </w:t>
      </w:r>
      <w:r w:rsidR="0077070B">
        <w:t xml:space="preserve">Overall, </w:t>
      </w:r>
      <w:r w:rsidR="00FB4D06">
        <w:t>prevalence was</w:t>
      </w:r>
      <w:r w:rsidR="00310B8D">
        <w:t xml:space="preserve"> </w:t>
      </w:r>
      <w:r w:rsidR="00125B46">
        <w:t>almost</w:t>
      </w:r>
      <w:r w:rsidR="001F0F5D">
        <w:t xml:space="preserve"> twice as high among women</w:t>
      </w:r>
      <w:r w:rsidR="00687921">
        <w:t xml:space="preserve"> from less </w:t>
      </w:r>
      <w:r w:rsidR="001F0F5D">
        <w:t xml:space="preserve">compared with more </w:t>
      </w:r>
      <w:r w:rsidR="00687921">
        <w:t>advantaged soc</w:t>
      </w:r>
      <w:r w:rsidR="001F0F5D">
        <w:t>ial grades (19.1% [18.2-20.0%] vs.</w:t>
      </w:r>
      <w:r w:rsidR="00B12ED2">
        <w:t xml:space="preserve"> 10.4% [9.9-10.8%</w:t>
      </w:r>
      <w:r w:rsidR="001F0F5D">
        <w:t>]</w:t>
      </w:r>
      <w:r w:rsidR="00BB27E4">
        <w:t>; PR=1.85 [1.72-1.99]</w:t>
      </w:r>
      <w:r w:rsidR="001F0F5D">
        <w:t>)</w:t>
      </w:r>
      <w:r w:rsidR="00FB4D06">
        <w:t>. In addition,</w:t>
      </w:r>
      <w:r w:rsidR="0013305E">
        <w:t xml:space="preserve"> </w:t>
      </w:r>
      <w:r w:rsidR="0034161A">
        <w:t>while smoking prevalence declined linearly with age</w:t>
      </w:r>
      <w:r w:rsidR="00D540F2">
        <w:t xml:space="preserve"> among more advantaged women</w:t>
      </w:r>
      <w:r w:rsidR="00DD17D9">
        <w:t xml:space="preserve"> (from a high of </w:t>
      </w:r>
      <w:r w:rsidR="00EC041E">
        <w:t>15.6% at age 16)</w:t>
      </w:r>
      <w:r w:rsidR="0034161A">
        <w:t xml:space="preserve">, there was a </w:t>
      </w:r>
      <w:r w:rsidR="003318F2">
        <w:t>curvilinear</w:t>
      </w:r>
      <w:r w:rsidR="0034161A">
        <w:t xml:space="preserve"> association with age among those who were less advantaged</w:t>
      </w:r>
      <w:r w:rsidR="00EC041E">
        <w:t xml:space="preserve"> (peaking at </w:t>
      </w:r>
      <w:r w:rsidR="003318F2">
        <w:t>25.9% at age 41)</w:t>
      </w:r>
      <w:r w:rsidR="0038256A">
        <w:t xml:space="preserve"> (</w:t>
      </w:r>
      <w:r w:rsidR="0038256A">
        <w:rPr>
          <w:b/>
          <w:bCs/>
        </w:rPr>
        <w:t>Figure 2A</w:t>
      </w:r>
      <w:r w:rsidR="0038256A">
        <w:t>).</w:t>
      </w:r>
      <w:r w:rsidR="00FB4D06">
        <w:t xml:space="preserve"> </w:t>
      </w:r>
      <w:r w:rsidR="00B105F4">
        <w:t xml:space="preserve">These different age-related patterns meant that </w:t>
      </w:r>
      <w:r w:rsidR="000B6C9C">
        <w:t xml:space="preserve">while </w:t>
      </w:r>
      <w:r w:rsidR="00B105F4">
        <w:t xml:space="preserve">smoking prevalence was similar by socioeconomic position at either end of the age spectrum, </w:t>
      </w:r>
      <w:r w:rsidR="000B6C9C">
        <w:t>it was</w:t>
      </w:r>
      <w:r w:rsidR="00B105F4">
        <w:t xml:space="preserve"> </w:t>
      </w:r>
      <w:r w:rsidR="00B35994">
        <w:t>significantly</w:t>
      </w:r>
      <w:r w:rsidR="00B105F4">
        <w:t xml:space="preserve"> higher</w:t>
      </w:r>
      <w:r w:rsidR="000B6C9C">
        <w:t xml:space="preserve"> among less advantaged women</w:t>
      </w:r>
      <w:r w:rsidR="00B105F4">
        <w:t xml:space="preserve"> </w:t>
      </w:r>
      <w:r w:rsidR="00B35994">
        <w:t>between the ages of 20 and 70</w:t>
      </w:r>
      <w:r w:rsidR="00C87092">
        <w:t xml:space="preserve"> – </w:t>
      </w:r>
      <w:r w:rsidR="00397A39">
        <w:t>with a particularly high disparity</w:t>
      </w:r>
      <w:r w:rsidR="00C87092">
        <w:t xml:space="preserve"> </w:t>
      </w:r>
      <w:r w:rsidR="00B105F4">
        <w:t>in mid-life</w:t>
      </w:r>
      <w:r w:rsidR="000B6C9C">
        <w:t xml:space="preserve"> (</w:t>
      </w:r>
      <w:r w:rsidR="00D15231">
        <w:t>PR</w:t>
      </w:r>
      <w:r w:rsidR="00CA1670">
        <w:t xml:space="preserve"> </w:t>
      </w:r>
      <w:r w:rsidR="00411C37">
        <w:rPr>
          <w:rFonts w:cstheme="minorHAnsi"/>
        </w:rPr>
        <w:t>≥</w:t>
      </w:r>
      <w:r w:rsidR="00411C37">
        <w:t xml:space="preserve">2 between </w:t>
      </w:r>
      <w:r w:rsidR="00B0589C">
        <w:t>ages 3</w:t>
      </w:r>
      <w:r w:rsidR="007366C2">
        <w:t>5 and 64</w:t>
      </w:r>
      <w:r w:rsidR="00EE4110">
        <w:t xml:space="preserve">; </w:t>
      </w:r>
      <w:r w:rsidR="00EE4110">
        <w:rPr>
          <w:b/>
          <w:bCs/>
        </w:rPr>
        <w:t>Table 2</w:t>
      </w:r>
      <w:r w:rsidR="005828FA">
        <w:t>)</w:t>
      </w:r>
      <w:r w:rsidR="00B105F4">
        <w:t>.</w:t>
      </w:r>
      <w:r w:rsidR="00C9644A">
        <w:t xml:space="preserve"> </w:t>
      </w:r>
      <w:r w:rsidR="004C775B">
        <w:t xml:space="preserve">Patterns </w:t>
      </w:r>
      <w:r w:rsidR="00F175D4">
        <w:t xml:space="preserve">in smoking prevalence by age and socioeconomic position </w:t>
      </w:r>
      <w:r w:rsidR="004C775B">
        <w:t>were</w:t>
      </w:r>
      <w:r w:rsidR="00F175D4">
        <w:t xml:space="preserve"> broadly</w:t>
      </w:r>
      <w:r w:rsidR="004C775B">
        <w:t xml:space="preserve"> similar among men (</w:t>
      </w:r>
      <w:r w:rsidR="00ED52D7">
        <w:rPr>
          <w:b/>
          <w:bCs/>
        </w:rPr>
        <w:t>Additional f</w:t>
      </w:r>
      <w:r w:rsidR="004C775B">
        <w:rPr>
          <w:b/>
          <w:bCs/>
        </w:rPr>
        <w:t xml:space="preserve">ile </w:t>
      </w:r>
      <w:r w:rsidR="0041115A">
        <w:rPr>
          <w:b/>
          <w:bCs/>
        </w:rPr>
        <w:t>3</w:t>
      </w:r>
      <w:r w:rsidR="004C775B">
        <w:t>).</w:t>
      </w:r>
    </w:p>
    <w:p w14:paraId="6E8C56F3" w14:textId="69D9EF2E" w:rsidR="0084051B" w:rsidRDefault="0084051B" w:rsidP="0084051B">
      <w:pPr>
        <w:pStyle w:val="Heading3"/>
      </w:pPr>
      <w:r>
        <w:t>Quit attempt</w:t>
      </w:r>
      <w:r w:rsidR="002542BC">
        <w:t xml:space="preserve"> rate</w:t>
      </w:r>
    </w:p>
    <w:p w14:paraId="19D2E96E" w14:textId="474492F7" w:rsidR="00D276EA" w:rsidRDefault="00854A39" w:rsidP="00A80D08">
      <w:r>
        <w:t xml:space="preserve">Among women who </w:t>
      </w:r>
      <w:r w:rsidR="003B502A">
        <w:t>had smoked</w:t>
      </w:r>
      <w:r>
        <w:t xml:space="preserve"> in the past year </w:t>
      </w:r>
      <w:r w:rsidR="00AC3992">
        <w:t xml:space="preserve">and provided data on quit attempts </w:t>
      </w:r>
      <w:r>
        <w:t>(</w:t>
      </w:r>
      <w:r>
        <w:rPr>
          <w:i/>
          <w:iCs/>
        </w:rPr>
        <w:t>n</w:t>
      </w:r>
      <w:r>
        <w:t>=</w:t>
      </w:r>
      <w:r w:rsidR="00B72D28">
        <w:t>4,</w:t>
      </w:r>
      <w:r w:rsidR="00AC3992">
        <w:t>314</w:t>
      </w:r>
      <w:r>
        <w:t xml:space="preserve">), </w:t>
      </w:r>
      <w:r w:rsidR="00801818">
        <w:t>37.5% [35.9-39.2%] re</w:t>
      </w:r>
      <w:r w:rsidR="00AE4BB7">
        <w:t>ported having tried to quit in the past year.</w:t>
      </w:r>
      <w:r w:rsidR="006A06D1">
        <w:t xml:space="preserve"> There was a near-linear negative association between age and quit attempts</w:t>
      </w:r>
      <w:r w:rsidR="00DA3852">
        <w:t xml:space="preserve"> (</w:t>
      </w:r>
      <w:r w:rsidR="00DA3852">
        <w:rPr>
          <w:b/>
          <w:bCs/>
        </w:rPr>
        <w:t xml:space="preserve">Figure </w:t>
      </w:r>
      <w:r w:rsidR="00DA3852" w:rsidRPr="00DA3852">
        <w:rPr>
          <w:b/>
          <w:bCs/>
        </w:rPr>
        <w:t>1B</w:t>
      </w:r>
      <w:r w:rsidR="00DA3852">
        <w:t xml:space="preserve">). For example, </w:t>
      </w:r>
      <w:r w:rsidR="00154DF6">
        <w:t>rates</w:t>
      </w:r>
      <w:r w:rsidR="00EA36B1">
        <w:t xml:space="preserve"> of quit attempts </w:t>
      </w:r>
      <w:r w:rsidR="00154DF6">
        <w:t>were</w:t>
      </w:r>
      <w:r w:rsidR="00EA36B1">
        <w:t xml:space="preserve"> 47.9%</w:t>
      </w:r>
      <w:r w:rsidR="00154DF6">
        <w:t>, 40.2%, 30.0%, and 18.7%</w:t>
      </w:r>
      <w:r w:rsidR="00625B62">
        <w:t xml:space="preserve"> </w:t>
      </w:r>
      <w:r w:rsidR="00EA36B1">
        <w:t>among</w:t>
      </w:r>
      <w:r w:rsidR="00625B62">
        <w:t xml:space="preserve"> </w:t>
      </w:r>
      <w:r w:rsidR="003D53DF">
        <w:t>20</w:t>
      </w:r>
      <w:r w:rsidR="00625B62">
        <w:t>-</w:t>
      </w:r>
      <w:r w:rsidR="00154DF6">
        <w:t>, 40-, 60-, and 80-</w:t>
      </w:r>
      <w:r w:rsidR="00625B62">
        <w:t>year-olds who smoked</w:t>
      </w:r>
      <w:r w:rsidR="000836AB">
        <w:t xml:space="preserve"> (</w:t>
      </w:r>
      <w:r w:rsidR="000836AB">
        <w:rPr>
          <w:b/>
          <w:bCs/>
        </w:rPr>
        <w:t>Table 1</w:t>
      </w:r>
      <w:r w:rsidR="000836AB">
        <w:t>)</w:t>
      </w:r>
      <w:r w:rsidR="00A918C4">
        <w:t>.</w:t>
      </w:r>
    </w:p>
    <w:p w14:paraId="52FFF77E" w14:textId="642FAB0A" w:rsidR="0061225A" w:rsidRPr="0091410F" w:rsidRDefault="00417603" w:rsidP="00A80D08">
      <w:r>
        <w:t>The prevalence of quit attempts and pattern</w:t>
      </w:r>
      <w:r w:rsidR="00154EE7">
        <w:t>s</w:t>
      </w:r>
      <w:r>
        <w:t xml:space="preserve"> by age were</w:t>
      </w:r>
      <w:r w:rsidR="00CA1638">
        <w:t xml:space="preserve"> similar</w:t>
      </w:r>
      <w:r w:rsidR="008853A4">
        <w:t xml:space="preserve"> </w:t>
      </w:r>
      <w:r w:rsidR="000D2E11">
        <w:t xml:space="preserve">by socioeconomic position </w:t>
      </w:r>
      <w:r w:rsidR="008853A4">
        <w:t>(</w:t>
      </w:r>
      <w:r w:rsidR="008853A4">
        <w:rPr>
          <w:b/>
          <w:bCs/>
        </w:rPr>
        <w:t>Figure 2B</w:t>
      </w:r>
      <w:r w:rsidR="008853A4">
        <w:t>)</w:t>
      </w:r>
      <w:r w:rsidR="003066F8">
        <w:t xml:space="preserve"> and among men (</w:t>
      </w:r>
      <w:r w:rsidR="00ED52D7">
        <w:rPr>
          <w:b/>
          <w:bCs/>
        </w:rPr>
        <w:t>Additional f</w:t>
      </w:r>
      <w:r w:rsidR="003066F8">
        <w:rPr>
          <w:b/>
          <w:bCs/>
        </w:rPr>
        <w:t xml:space="preserve">ile </w:t>
      </w:r>
      <w:r w:rsidR="0041115A">
        <w:rPr>
          <w:b/>
          <w:bCs/>
        </w:rPr>
        <w:t>3</w:t>
      </w:r>
      <w:r w:rsidR="003066F8">
        <w:t>)</w:t>
      </w:r>
      <w:r w:rsidR="008853A4">
        <w:t>.</w:t>
      </w:r>
      <w:r w:rsidR="000D2E11">
        <w:t xml:space="preserve"> Overall, </w:t>
      </w:r>
      <w:r w:rsidR="007C5F54">
        <w:t>37.5</w:t>
      </w:r>
      <w:r w:rsidR="000D2E11">
        <w:t xml:space="preserve">% </w:t>
      </w:r>
      <w:r w:rsidR="007C5F54">
        <w:t xml:space="preserve">[35.4-39.7%] </w:t>
      </w:r>
      <w:r w:rsidR="000D2E11">
        <w:t xml:space="preserve">of more advantaged women and </w:t>
      </w:r>
      <w:r w:rsidR="007C5F54">
        <w:t>37.6</w:t>
      </w:r>
      <w:r w:rsidR="000D2E11">
        <w:t>%</w:t>
      </w:r>
      <w:r w:rsidR="007C5F54">
        <w:t xml:space="preserve"> [35.1-40.</w:t>
      </w:r>
      <w:r w:rsidR="007C5F54" w:rsidRPr="000525A1">
        <w:t>0%]</w:t>
      </w:r>
      <w:r w:rsidR="000D2E11" w:rsidRPr="000525A1">
        <w:t xml:space="preserve"> of less advantaged women reported having tried to quit in the past year</w:t>
      </w:r>
      <w:r w:rsidR="003059B3" w:rsidRPr="000525A1">
        <w:t xml:space="preserve"> (PR=</w:t>
      </w:r>
      <w:r w:rsidR="007328EB" w:rsidRPr="000525A1">
        <w:t>1.00 [0.92-1.10]</w:t>
      </w:r>
      <w:r w:rsidR="0025241E" w:rsidRPr="000525A1">
        <w:t>)</w:t>
      </w:r>
      <w:r w:rsidR="00021A40" w:rsidRPr="000525A1">
        <w:t xml:space="preserve"> and the</w:t>
      </w:r>
      <w:r w:rsidR="00F77F69" w:rsidRPr="000525A1">
        <w:t xml:space="preserve"> model</w:t>
      </w:r>
      <w:r w:rsidR="00E23AAE" w:rsidRPr="000525A1">
        <w:t xml:space="preserve"> indicated no</w:t>
      </w:r>
      <w:r w:rsidR="00021A40" w:rsidRPr="000525A1">
        <w:t xml:space="preserve"> </w:t>
      </w:r>
      <w:r w:rsidR="0050042D" w:rsidRPr="000525A1">
        <w:t>substantial difference in prevalence at any age</w:t>
      </w:r>
      <w:r w:rsidR="004F315B" w:rsidRPr="000525A1">
        <w:t xml:space="preserve"> (</w:t>
      </w:r>
      <w:r w:rsidR="00B505DD" w:rsidRPr="000525A1">
        <w:t>with PRs ranging from 0.92 to 1</w:t>
      </w:r>
      <w:r w:rsidR="00B505DD">
        <w:t xml:space="preserve">.05; </w:t>
      </w:r>
      <w:r w:rsidR="004F315B">
        <w:rPr>
          <w:b/>
          <w:bCs/>
        </w:rPr>
        <w:t>Table 2</w:t>
      </w:r>
      <w:r w:rsidR="004F315B">
        <w:t>)</w:t>
      </w:r>
      <w:r w:rsidR="000D2E11">
        <w:t>.</w:t>
      </w:r>
      <w:r w:rsidR="00D276EA">
        <w:t xml:space="preserve"> </w:t>
      </w:r>
      <w:r w:rsidR="00056235">
        <w:t xml:space="preserve">However, the unmodelled data </w:t>
      </w:r>
      <w:r w:rsidR="007B7C33">
        <w:t>indicate</w:t>
      </w:r>
      <w:r w:rsidR="00D45269">
        <w:t>d</w:t>
      </w:r>
      <w:r w:rsidR="00056235">
        <w:t xml:space="preserve"> a </w:t>
      </w:r>
      <w:r w:rsidR="00595413">
        <w:t xml:space="preserve">notable </w:t>
      </w:r>
      <w:r w:rsidR="00056235">
        <w:t xml:space="preserve">dip in the quit attempt rate among </w:t>
      </w:r>
      <w:r w:rsidR="000D2E11">
        <w:t xml:space="preserve">less advantaged </w:t>
      </w:r>
      <w:r w:rsidR="000F782B">
        <w:t>women</w:t>
      </w:r>
      <w:r w:rsidR="00FB406D">
        <w:t xml:space="preserve"> between the ages of 50 and 54</w:t>
      </w:r>
      <w:r w:rsidR="000F782B">
        <w:t xml:space="preserve"> </w:t>
      </w:r>
      <w:r w:rsidR="000836AB">
        <w:t>(</w:t>
      </w:r>
      <w:r w:rsidR="002D380E">
        <w:rPr>
          <w:b/>
          <w:bCs/>
        </w:rPr>
        <w:t xml:space="preserve">Figure </w:t>
      </w:r>
      <w:r w:rsidR="002D380E" w:rsidRPr="002D380E">
        <w:rPr>
          <w:b/>
          <w:bCs/>
        </w:rPr>
        <w:t>2B</w:t>
      </w:r>
      <w:r w:rsidR="000836AB">
        <w:t>)</w:t>
      </w:r>
      <w:r w:rsidR="00590E10">
        <w:t xml:space="preserve">, </w:t>
      </w:r>
      <w:r w:rsidR="00416E73">
        <w:t xml:space="preserve">with </w:t>
      </w:r>
      <w:r w:rsidR="00993DA8">
        <w:t>23.7</w:t>
      </w:r>
      <w:r w:rsidR="00416E73">
        <w:t xml:space="preserve">% of this group </w:t>
      </w:r>
      <w:r w:rsidR="00416E73">
        <w:lastRenderedPageBreak/>
        <w:t xml:space="preserve">trying to quit in the past year compared with </w:t>
      </w:r>
      <w:r w:rsidR="00993DA8">
        <w:t>38.0</w:t>
      </w:r>
      <w:r w:rsidR="00416E73">
        <w:t xml:space="preserve">% and </w:t>
      </w:r>
      <w:r w:rsidR="00993DA8">
        <w:t>40.2</w:t>
      </w:r>
      <w:r w:rsidR="00416E73">
        <w:t>% of</w:t>
      </w:r>
      <w:r w:rsidR="00032BA5">
        <w:t xml:space="preserve"> those aged</w:t>
      </w:r>
      <w:r w:rsidR="00416E73">
        <w:t xml:space="preserve"> </w:t>
      </w:r>
      <w:r w:rsidR="00032BA5">
        <w:t xml:space="preserve">45-49 and 55-59, </w:t>
      </w:r>
      <w:r w:rsidR="00032BA5" w:rsidRPr="0091410F">
        <w:t>respectively (</w:t>
      </w:r>
      <w:r w:rsidR="00ED52D7">
        <w:rPr>
          <w:b/>
          <w:bCs/>
        </w:rPr>
        <w:t>Additional f</w:t>
      </w:r>
      <w:r w:rsidR="00993B67">
        <w:rPr>
          <w:b/>
          <w:bCs/>
        </w:rPr>
        <w:t xml:space="preserve">ile 2: </w:t>
      </w:r>
      <w:r w:rsidR="00032BA5" w:rsidRPr="0091410F">
        <w:rPr>
          <w:b/>
          <w:bCs/>
        </w:rPr>
        <w:t>Table S</w:t>
      </w:r>
      <w:r w:rsidR="0091410F" w:rsidRPr="0091410F">
        <w:rPr>
          <w:b/>
          <w:bCs/>
        </w:rPr>
        <w:t>4</w:t>
      </w:r>
      <w:r w:rsidR="00032BA5" w:rsidRPr="0091410F">
        <w:t>)</w:t>
      </w:r>
      <w:r w:rsidR="000F782B" w:rsidRPr="0091410F">
        <w:t>.</w:t>
      </w:r>
    </w:p>
    <w:p w14:paraId="59C4BD40" w14:textId="74AD0B49" w:rsidR="0084051B" w:rsidRDefault="0084051B" w:rsidP="0084051B">
      <w:pPr>
        <w:pStyle w:val="Heading3"/>
      </w:pPr>
      <w:r>
        <w:t>Success</w:t>
      </w:r>
      <w:r w:rsidR="002542BC">
        <w:t xml:space="preserve"> rate</w:t>
      </w:r>
      <w:r>
        <w:t xml:space="preserve"> of quit attempts</w:t>
      </w:r>
    </w:p>
    <w:p w14:paraId="00521BE5" w14:textId="7D88F0B5" w:rsidR="00743D77" w:rsidRPr="00C52643" w:rsidRDefault="00743D77" w:rsidP="00743D77">
      <w:pPr>
        <w:rPr>
          <w:color w:val="FF0000"/>
        </w:rPr>
      </w:pPr>
      <w:r>
        <w:t xml:space="preserve">Among women who </w:t>
      </w:r>
      <w:r w:rsidR="003B502A">
        <w:t>had attempted to quit smoking</w:t>
      </w:r>
      <w:r>
        <w:t xml:space="preserve"> in the past year (</w:t>
      </w:r>
      <w:r>
        <w:rPr>
          <w:i/>
          <w:iCs/>
        </w:rPr>
        <w:t>n</w:t>
      </w:r>
      <w:r>
        <w:t>=</w:t>
      </w:r>
      <w:r w:rsidR="00E7326E">
        <w:t>1,558</w:t>
      </w:r>
      <w:r>
        <w:t xml:space="preserve">), </w:t>
      </w:r>
      <w:r w:rsidR="009204F0">
        <w:t>26.2% [23.7-28.7%] were still not smoking at the time of the survey.</w:t>
      </w:r>
      <w:r w:rsidR="00C15522">
        <w:t xml:space="preserve"> </w:t>
      </w:r>
      <w:r w:rsidR="000B1989">
        <w:t>This</w:t>
      </w:r>
      <w:r w:rsidR="00C15522">
        <w:t xml:space="preserve"> </w:t>
      </w:r>
      <w:r w:rsidR="006E34B3">
        <w:t>success rate varied</w:t>
      </w:r>
      <w:r w:rsidR="009E15E9">
        <w:t xml:space="preserve"> non-linearly by age (</w:t>
      </w:r>
      <w:r w:rsidR="009E15E9">
        <w:rPr>
          <w:b/>
          <w:bCs/>
        </w:rPr>
        <w:t>Figure 1C</w:t>
      </w:r>
      <w:r w:rsidR="009E15E9">
        <w:t>). Success rates were highe</w:t>
      </w:r>
      <w:r w:rsidR="008A6299">
        <w:t xml:space="preserve">st among women in their </w:t>
      </w:r>
      <w:r w:rsidR="00DB0331">
        <w:t>20s</w:t>
      </w:r>
      <w:r w:rsidR="008A6299">
        <w:t xml:space="preserve"> and </w:t>
      </w:r>
      <w:r w:rsidR="00DB0331">
        <w:t>30s</w:t>
      </w:r>
      <w:r w:rsidR="008A6299">
        <w:t xml:space="preserve"> (peaking at </w:t>
      </w:r>
      <w:r w:rsidR="0016766C">
        <w:t>35.7% at age 33)</w:t>
      </w:r>
      <w:r w:rsidR="00C16926">
        <w:t xml:space="preserve">, declined </w:t>
      </w:r>
      <w:r w:rsidR="0097528D">
        <w:t>between the mid-</w:t>
      </w:r>
      <w:r w:rsidR="00DB0331">
        <w:t>30s</w:t>
      </w:r>
      <w:r w:rsidR="0097528D">
        <w:t xml:space="preserve"> and mid-</w:t>
      </w:r>
      <w:r w:rsidR="00DB0331">
        <w:t>50s</w:t>
      </w:r>
      <w:r w:rsidR="008B4556">
        <w:t>, were approximately stable between the mid-</w:t>
      </w:r>
      <w:r w:rsidR="00DB0331">
        <w:t>50s</w:t>
      </w:r>
      <w:r w:rsidR="008B4556">
        <w:t xml:space="preserve"> and late </w:t>
      </w:r>
      <w:r w:rsidR="00DB0331">
        <w:t>60s</w:t>
      </w:r>
      <w:r w:rsidR="00745B1D">
        <w:t xml:space="preserve"> (ranging between 21.8% and 22.</w:t>
      </w:r>
      <w:r w:rsidR="005778F5">
        <w:t>1</w:t>
      </w:r>
      <w:r w:rsidR="00745B1D">
        <w:t>% between ages 55</w:t>
      </w:r>
      <w:r w:rsidR="00320E05">
        <w:t xml:space="preserve"> and </w:t>
      </w:r>
      <w:r w:rsidR="00E34ED6">
        <w:t>69)</w:t>
      </w:r>
      <w:r w:rsidR="008B4556">
        <w:t>, and then declined furt</w:t>
      </w:r>
      <w:r w:rsidR="00C251BF">
        <w:t>her into old age</w:t>
      </w:r>
      <w:r w:rsidR="000824D8">
        <w:t xml:space="preserve"> (</w:t>
      </w:r>
      <w:r w:rsidR="000824D8">
        <w:rPr>
          <w:b/>
          <w:bCs/>
        </w:rPr>
        <w:t>Table 1</w:t>
      </w:r>
      <w:r w:rsidR="000824D8">
        <w:t>).</w:t>
      </w:r>
      <w:r w:rsidR="000837FC">
        <w:t xml:space="preserve"> By contrast, </w:t>
      </w:r>
      <w:r w:rsidR="00C52643">
        <w:t xml:space="preserve">the success rate of quit attempts was more </w:t>
      </w:r>
      <w:r w:rsidR="00E512D2">
        <w:t>similar</w:t>
      </w:r>
      <w:r w:rsidR="00C52643">
        <w:t xml:space="preserve"> </w:t>
      </w:r>
      <w:r w:rsidR="00E512D2">
        <w:t xml:space="preserve">across ages </w:t>
      </w:r>
      <w:r w:rsidR="00C52643">
        <w:t>among men (</w:t>
      </w:r>
      <w:r w:rsidR="00ED52D7">
        <w:rPr>
          <w:b/>
          <w:bCs/>
        </w:rPr>
        <w:t>Additional f</w:t>
      </w:r>
      <w:r w:rsidR="00C52643">
        <w:rPr>
          <w:b/>
          <w:bCs/>
        </w:rPr>
        <w:t xml:space="preserve">ile </w:t>
      </w:r>
      <w:r w:rsidR="0041115A">
        <w:rPr>
          <w:b/>
          <w:bCs/>
        </w:rPr>
        <w:t>3:</w:t>
      </w:r>
      <w:r w:rsidR="00C52643">
        <w:rPr>
          <w:b/>
          <w:bCs/>
        </w:rPr>
        <w:t xml:space="preserve"> Fig</w:t>
      </w:r>
      <w:r w:rsidR="00B12B9B">
        <w:rPr>
          <w:b/>
          <w:bCs/>
        </w:rPr>
        <w:t>.</w:t>
      </w:r>
      <w:r w:rsidR="00C52643">
        <w:rPr>
          <w:b/>
          <w:bCs/>
        </w:rPr>
        <w:t xml:space="preserve"> </w:t>
      </w:r>
      <w:r w:rsidR="00DF76B0">
        <w:rPr>
          <w:b/>
          <w:bCs/>
        </w:rPr>
        <w:t>S</w:t>
      </w:r>
      <w:r w:rsidR="00C52643">
        <w:rPr>
          <w:b/>
          <w:bCs/>
        </w:rPr>
        <w:t>1</w:t>
      </w:r>
      <w:r w:rsidR="00E512D2">
        <w:rPr>
          <w:b/>
          <w:bCs/>
        </w:rPr>
        <w:t>C</w:t>
      </w:r>
      <w:r w:rsidR="00C52643" w:rsidRPr="00C52643">
        <w:t>).</w:t>
      </w:r>
    </w:p>
    <w:p w14:paraId="1CB342A9" w14:textId="0E62C79D" w:rsidR="00D16526" w:rsidRPr="00F94951" w:rsidRDefault="0096059C" w:rsidP="0096059C">
      <w:r>
        <w:t xml:space="preserve">Overall, </w:t>
      </w:r>
      <w:r w:rsidR="005872C3">
        <w:t xml:space="preserve">the success rate of quit attempts was slightly </w:t>
      </w:r>
      <w:r w:rsidR="00314948">
        <w:t xml:space="preserve">lower among </w:t>
      </w:r>
      <w:r w:rsidR="00BA74FC">
        <w:t>women who were less advantaged (23.8% [20.3-27.4%] vs.</w:t>
      </w:r>
      <w:r w:rsidR="00314948">
        <w:t xml:space="preserve"> </w:t>
      </w:r>
      <w:r w:rsidR="00DB136F">
        <w:t>29.5% [26.2-32.9%]</w:t>
      </w:r>
      <w:r>
        <w:t xml:space="preserve"> </w:t>
      </w:r>
      <w:r w:rsidR="00BA74FC">
        <w:t>among</w:t>
      </w:r>
      <w:r>
        <w:t xml:space="preserve"> more advantaged women</w:t>
      </w:r>
      <w:r w:rsidR="00E246B1">
        <w:t>; PR=0.81 [0.64-0.96]</w:t>
      </w:r>
      <w:r w:rsidR="00BA74FC">
        <w:t>)</w:t>
      </w:r>
      <w:r>
        <w:t>.</w:t>
      </w:r>
      <w:r w:rsidR="00EF54A3">
        <w:t xml:space="preserve"> </w:t>
      </w:r>
      <w:r w:rsidR="00F57B80">
        <w:t xml:space="preserve">This was driven by differences in quit success in mid-life: </w:t>
      </w:r>
      <w:r w:rsidR="00D16526">
        <w:t xml:space="preserve">success rates were similar by socioeconomic position among women in their </w:t>
      </w:r>
      <w:r w:rsidR="00D154A3">
        <w:t xml:space="preserve">late teens and early </w:t>
      </w:r>
      <w:proofErr w:type="gramStart"/>
      <w:r w:rsidR="00DB0331">
        <w:t>20s</w:t>
      </w:r>
      <w:r w:rsidR="00D154A3">
        <w:t>, but</w:t>
      </w:r>
      <w:proofErr w:type="gramEnd"/>
      <w:r w:rsidR="00D154A3">
        <w:t xml:space="preserve"> declined steadily with age among less advantaged women while remaining </w:t>
      </w:r>
      <w:r w:rsidR="0016289B">
        <w:t xml:space="preserve">more stable among more advantaged women up to their </w:t>
      </w:r>
      <w:r w:rsidR="00DB0331">
        <w:t>50s</w:t>
      </w:r>
      <w:r w:rsidR="0016289B">
        <w:t xml:space="preserve"> (</w:t>
      </w:r>
      <w:r w:rsidR="0016289B">
        <w:rPr>
          <w:b/>
          <w:bCs/>
        </w:rPr>
        <w:t>Figure 2C</w:t>
      </w:r>
      <w:r w:rsidR="0016289B">
        <w:t>).</w:t>
      </w:r>
      <w:r w:rsidR="00F66A22">
        <w:t xml:space="preserve"> </w:t>
      </w:r>
      <w:r w:rsidR="00665624">
        <w:t xml:space="preserve">As a result, the success rate of quit attempts was significantly lower among less advantaged women between the ages of </w:t>
      </w:r>
      <w:r w:rsidR="00A878B8">
        <w:t xml:space="preserve">45 </w:t>
      </w:r>
      <w:r w:rsidR="00A878B8" w:rsidRPr="00CF5B61">
        <w:t>and 60 (</w:t>
      </w:r>
      <w:r w:rsidR="008A4245">
        <w:t xml:space="preserve">with PRs ranging from </w:t>
      </w:r>
      <w:r w:rsidR="00CF5B61" w:rsidRPr="00CF5B61">
        <w:t>0.70</w:t>
      </w:r>
      <w:r w:rsidR="008A4245">
        <w:t xml:space="preserve"> to </w:t>
      </w:r>
      <w:r w:rsidR="00CF5B61" w:rsidRPr="00CF5B61">
        <w:t>0.73;</w:t>
      </w:r>
      <w:r w:rsidR="009C5ACF" w:rsidRPr="00CF5B61">
        <w:t xml:space="preserve"> </w:t>
      </w:r>
      <w:r w:rsidR="00A878B8" w:rsidRPr="00CF5B61">
        <w:rPr>
          <w:b/>
          <w:bCs/>
        </w:rPr>
        <w:t>Table 3</w:t>
      </w:r>
      <w:r w:rsidR="00A878B8">
        <w:t xml:space="preserve">). </w:t>
      </w:r>
      <w:r w:rsidR="00F66A22" w:rsidRPr="00A878B8">
        <w:t>The</w:t>
      </w:r>
      <w:r w:rsidR="00F66A22">
        <w:t xml:space="preserve"> unmodelled data </w:t>
      </w:r>
      <w:r w:rsidR="003A2C55">
        <w:t>suggested there was</w:t>
      </w:r>
      <w:r w:rsidR="00F66A22">
        <w:t xml:space="preserve"> a </w:t>
      </w:r>
      <w:r w:rsidR="00E94FE2">
        <w:t>notable dip in the success rate of quit attempts among less advantaged women between the ages of 45 and 5</w:t>
      </w:r>
      <w:r w:rsidR="009E6982">
        <w:t>4</w:t>
      </w:r>
      <w:r w:rsidR="00E94FE2">
        <w:t xml:space="preserve"> (</w:t>
      </w:r>
      <w:r w:rsidR="00E94FE2">
        <w:rPr>
          <w:b/>
          <w:bCs/>
        </w:rPr>
        <w:t>Figure 2C</w:t>
      </w:r>
      <w:r w:rsidR="00E94FE2">
        <w:t>),</w:t>
      </w:r>
      <w:r w:rsidR="00CE70DA">
        <w:t xml:space="preserve"> with just 11.4% and 11.7% of those aged 45-49 and </w:t>
      </w:r>
      <w:r w:rsidR="009E6982">
        <w:t xml:space="preserve">50-54 who tried to stop smoking still abstinent at the time of the survey, compared with </w:t>
      </w:r>
      <w:r w:rsidR="00040295">
        <w:t>22.0% and 21.1% of those aged 40-44 and 55-59, respectively (</w:t>
      </w:r>
      <w:r w:rsidR="00B12B9B">
        <w:rPr>
          <w:b/>
          <w:bCs/>
        </w:rPr>
        <w:t>Additional f</w:t>
      </w:r>
      <w:r w:rsidR="00993B67">
        <w:rPr>
          <w:b/>
          <w:bCs/>
        </w:rPr>
        <w:t xml:space="preserve">ile 2: </w:t>
      </w:r>
      <w:r w:rsidR="00040295">
        <w:rPr>
          <w:b/>
          <w:bCs/>
        </w:rPr>
        <w:t>Table S4</w:t>
      </w:r>
      <w:r w:rsidR="00040295">
        <w:t>).</w:t>
      </w:r>
      <w:r w:rsidR="00E4687D">
        <w:t xml:space="preserve"> </w:t>
      </w:r>
      <w:r w:rsidR="00CE0974">
        <w:t>This was not observed among less advantaged men (</w:t>
      </w:r>
      <w:r w:rsidR="00B12B9B">
        <w:rPr>
          <w:b/>
          <w:bCs/>
        </w:rPr>
        <w:t>Additional f</w:t>
      </w:r>
      <w:r w:rsidR="00CE0974">
        <w:rPr>
          <w:b/>
          <w:bCs/>
        </w:rPr>
        <w:t xml:space="preserve">ile </w:t>
      </w:r>
      <w:r w:rsidR="0041115A">
        <w:rPr>
          <w:b/>
          <w:bCs/>
        </w:rPr>
        <w:t>3</w:t>
      </w:r>
      <w:r w:rsidR="00CE0974">
        <w:rPr>
          <w:b/>
          <w:bCs/>
        </w:rPr>
        <w:t xml:space="preserve">: </w:t>
      </w:r>
      <w:r w:rsidR="001C07BA">
        <w:rPr>
          <w:b/>
          <w:bCs/>
        </w:rPr>
        <w:t>Fig</w:t>
      </w:r>
      <w:r w:rsidR="00B12B9B">
        <w:rPr>
          <w:b/>
          <w:bCs/>
        </w:rPr>
        <w:t>.</w:t>
      </w:r>
      <w:r w:rsidR="001C07BA">
        <w:rPr>
          <w:b/>
          <w:bCs/>
        </w:rPr>
        <w:t xml:space="preserve"> </w:t>
      </w:r>
      <w:r w:rsidR="00DF76B0">
        <w:rPr>
          <w:b/>
          <w:bCs/>
        </w:rPr>
        <w:t>S</w:t>
      </w:r>
      <w:r w:rsidR="001C07BA">
        <w:rPr>
          <w:b/>
          <w:bCs/>
        </w:rPr>
        <w:t>2C</w:t>
      </w:r>
      <w:r w:rsidR="00CE0974">
        <w:t xml:space="preserve">). </w:t>
      </w:r>
      <w:r w:rsidR="00F749EB">
        <w:t xml:space="preserve">However, we note </w:t>
      </w:r>
      <w:r w:rsidR="00CD3F5E">
        <w:t>that sample sizes within each age group were relatively small and</w:t>
      </w:r>
      <w:r w:rsidR="00F749EB">
        <w:t xml:space="preserve"> 95% CIs around these estimates overlapped, indicating some uncertainty</w:t>
      </w:r>
      <w:r w:rsidR="00CD3F5E">
        <w:t xml:space="preserve"> in this finding.</w:t>
      </w:r>
    </w:p>
    <w:p w14:paraId="20BD46E9" w14:textId="7E38AFF1" w:rsidR="00BB152C" w:rsidRDefault="0084051B" w:rsidP="00743D77">
      <w:pPr>
        <w:pStyle w:val="Heading3"/>
      </w:pPr>
      <w:r>
        <w:t>Overall quit</w:t>
      </w:r>
      <w:r w:rsidR="002542BC">
        <w:t xml:space="preserve"> rate</w:t>
      </w:r>
    </w:p>
    <w:p w14:paraId="36BA2290" w14:textId="66683D20" w:rsidR="00553E37" w:rsidRPr="00C64996" w:rsidRDefault="00743D77" w:rsidP="00772B87">
      <w:pPr>
        <w:rPr>
          <w:color w:val="FF0000"/>
        </w:rPr>
      </w:pPr>
      <w:r>
        <w:t xml:space="preserve">Among women who </w:t>
      </w:r>
      <w:r w:rsidR="003B502A">
        <w:t>had smoked</w:t>
      </w:r>
      <w:r>
        <w:t xml:space="preserve"> in the past year (</w:t>
      </w:r>
      <w:r>
        <w:rPr>
          <w:i/>
          <w:iCs/>
        </w:rPr>
        <w:t>n</w:t>
      </w:r>
      <w:r>
        <w:t>=</w:t>
      </w:r>
      <w:r w:rsidR="00B72D28">
        <w:t>4,481</w:t>
      </w:r>
      <w:r>
        <w:t xml:space="preserve">), </w:t>
      </w:r>
      <w:r w:rsidR="00CF5ECC">
        <w:t>15.1</w:t>
      </w:r>
      <w:r>
        <w:t xml:space="preserve">% </w:t>
      </w:r>
      <w:r w:rsidR="00731C26">
        <w:t>[</w:t>
      </w:r>
      <w:r w:rsidR="00CF5ECC">
        <w:t>13.8-16.3</w:t>
      </w:r>
      <w:r w:rsidR="00731C26">
        <w:t xml:space="preserve">%] </w:t>
      </w:r>
      <w:r w:rsidR="003B502A">
        <w:t>were no</w:t>
      </w:r>
      <w:r w:rsidR="00731C26">
        <w:t>t currently smoking at the time of the survey</w:t>
      </w:r>
      <w:r>
        <w:t>.</w:t>
      </w:r>
      <w:r w:rsidR="00A940D0">
        <w:t xml:space="preserve"> Th</w:t>
      </w:r>
      <w:r w:rsidR="00D84884">
        <w:t>is</w:t>
      </w:r>
      <w:r w:rsidR="00A940D0">
        <w:t xml:space="preserve"> overall quit rate – which reflects both quit attempts and quit success – followed a </w:t>
      </w:r>
      <w:r w:rsidR="0075205E">
        <w:t xml:space="preserve">similar pattern by age as quit </w:t>
      </w:r>
      <w:r w:rsidR="0075205E" w:rsidRPr="00320E05">
        <w:t>success rates</w:t>
      </w:r>
      <w:r w:rsidR="00035437" w:rsidRPr="00320E05">
        <w:t xml:space="preserve"> (</w:t>
      </w:r>
      <w:r w:rsidR="00035437" w:rsidRPr="00320E05">
        <w:rPr>
          <w:b/>
          <w:bCs/>
        </w:rPr>
        <w:t>Figure 1D</w:t>
      </w:r>
      <w:r w:rsidR="00035437" w:rsidRPr="00320E05">
        <w:t>).</w:t>
      </w:r>
      <w:r w:rsidR="007802D4" w:rsidRPr="00320E05">
        <w:t xml:space="preserve"> </w:t>
      </w:r>
      <w:r w:rsidR="00B32EB3" w:rsidRPr="00320E05">
        <w:t xml:space="preserve">It was highest </w:t>
      </w:r>
      <w:r w:rsidR="00640D40" w:rsidRPr="00320E05">
        <w:t xml:space="preserve">among women in their </w:t>
      </w:r>
      <w:r w:rsidR="00DB0331">
        <w:t>20s</w:t>
      </w:r>
      <w:r w:rsidR="00640D40" w:rsidRPr="00320E05">
        <w:t xml:space="preserve"> and early </w:t>
      </w:r>
      <w:r w:rsidR="00DB0331">
        <w:t>30s</w:t>
      </w:r>
      <w:r w:rsidR="00640D40" w:rsidRPr="00320E05">
        <w:t xml:space="preserve"> (peaking at 23.3% at age 31), declined between the mid-</w:t>
      </w:r>
      <w:r w:rsidR="00DB0331">
        <w:t>30s</w:t>
      </w:r>
      <w:r w:rsidR="00640D40" w:rsidRPr="00320E05">
        <w:t xml:space="preserve"> and mid-</w:t>
      </w:r>
      <w:r w:rsidR="00DB0331">
        <w:t>50s</w:t>
      </w:r>
      <w:r w:rsidR="00640D40" w:rsidRPr="00320E05">
        <w:t xml:space="preserve">, </w:t>
      </w:r>
      <w:r w:rsidR="003B0BC5" w:rsidRPr="00320E05">
        <w:t xml:space="preserve">was approximately stable </w:t>
      </w:r>
      <w:r w:rsidR="00E66BA5" w:rsidRPr="00320E05">
        <w:t>between the mid-</w:t>
      </w:r>
      <w:r w:rsidR="00DB0331">
        <w:t>50s</w:t>
      </w:r>
      <w:r w:rsidR="00E66BA5" w:rsidRPr="00320E05">
        <w:t xml:space="preserve"> and mid-</w:t>
      </w:r>
      <w:r w:rsidR="00DB0331">
        <w:t>60s</w:t>
      </w:r>
      <w:r w:rsidR="00E66BA5" w:rsidRPr="00320E05">
        <w:t xml:space="preserve"> (ranging between 11.6% and 11.8% </w:t>
      </w:r>
      <w:r w:rsidR="00E66BA5" w:rsidRPr="00320E05">
        <w:lastRenderedPageBreak/>
        <w:t xml:space="preserve">between </w:t>
      </w:r>
      <w:r w:rsidR="00320E05" w:rsidRPr="00320E05">
        <w:t>ages 55 and 66)</w:t>
      </w:r>
      <w:r w:rsidR="00320E05">
        <w:t>, and then declined further into old age.</w:t>
      </w:r>
      <w:r w:rsidR="00C64996">
        <w:t xml:space="preserve"> </w:t>
      </w:r>
      <w:r w:rsidR="00167203">
        <w:t>These age differences were more pronounced than those observed</w:t>
      </w:r>
      <w:r w:rsidR="00C64996">
        <w:t xml:space="preserve"> among men (</w:t>
      </w:r>
      <w:r w:rsidR="00DF76B0">
        <w:rPr>
          <w:b/>
          <w:bCs/>
        </w:rPr>
        <w:t>Additional f</w:t>
      </w:r>
      <w:r w:rsidR="00C64996">
        <w:rPr>
          <w:b/>
          <w:bCs/>
        </w:rPr>
        <w:t xml:space="preserve">ile </w:t>
      </w:r>
      <w:r w:rsidR="0041115A">
        <w:rPr>
          <w:b/>
          <w:bCs/>
        </w:rPr>
        <w:t>3</w:t>
      </w:r>
      <w:r w:rsidR="00C64996">
        <w:rPr>
          <w:b/>
          <w:bCs/>
        </w:rPr>
        <w:t>: Fig</w:t>
      </w:r>
      <w:r w:rsidR="00DF76B0">
        <w:rPr>
          <w:b/>
          <w:bCs/>
        </w:rPr>
        <w:t>.</w:t>
      </w:r>
      <w:r w:rsidR="00C64996">
        <w:rPr>
          <w:b/>
          <w:bCs/>
        </w:rPr>
        <w:t xml:space="preserve"> </w:t>
      </w:r>
      <w:r w:rsidR="00DF76B0">
        <w:rPr>
          <w:b/>
          <w:bCs/>
        </w:rPr>
        <w:t>S</w:t>
      </w:r>
      <w:r w:rsidR="00C64996">
        <w:rPr>
          <w:b/>
          <w:bCs/>
        </w:rPr>
        <w:t>1D</w:t>
      </w:r>
      <w:r w:rsidR="00C64996">
        <w:t>).</w:t>
      </w:r>
    </w:p>
    <w:p w14:paraId="73350B09" w14:textId="20A9D82E" w:rsidR="00A72D67" w:rsidRPr="00242C5E" w:rsidRDefault="00FE7833" w:rsidP="002B4E0E">
      <w:r>
        <w:t>Overall, t</w:t>
      </w:r>
      <w:r w:rsidR="00122D6B">
        <w:t>here was an uncertain lower quit rate among women who were less advantaged (14.0% [12.3-15.7%] vs. 16.5% [14.9-18.2%]</w:t>
      </w:r>
      <w:r w:rsidR="000D3684">
        <w:t xml:space="preserve">; </w:t>
      </w:r>
      <w:r w:rsidR="00E246B1">
        <w:t>PR=0.84 [0.70-1.00]</w:t>
      </w:r>
      <w:r w:rsidR="00122D6B">
        <w:t>)</w:t>
      </w:r>
      <w:r w:rsidR="00FA0AF2">
        <w:t>, but</w:t>
      </w:r>
      <w:r w:rsidR="0001763F">
        <w:t xml:space="preserve"> </w:t>
      </w:r>
      <w:r w:rsidR="007A23D3">
        <w:t>this was not observed consistently across ages</w:t>
      </w:r>
      <w:r w:rsidR="009D11E7">
        <w:t xml:space="preserve"> (</w:t>
      </w:r>
      <w:r w:rsidR="009D11E7">
        <w:rPr>
          <w:b/>
          <w:bCs/>
        </w:rPr>
        <w:t>Figure 2D</w:t>
      </w:r>
      <w:r w:rsidR="009D11E7" w:rsidRPr="009D11E7">
        <w:t>)</w:t>
      </w:r>
      <w:r w:rsidR="007A23D3">
        <w:t xml:space="preserve">. </w:t>
      </w:r>
      <w:r w:rsidR="00AB15D6">
        <w:t xml:space="preserve">Among women in their late teens and early </w:t>
      </w:r>
      <w:r w:rsidR="00DB0331">
        <w:t>20s</w:t>
      </w:r>
      <w:r w:rsidR="00AB15D6">
        <w:t>, the quit rate was</w:t>
      </w:r>
      <w:r w:rsidR="009269D8">
        <w:t xml:space="preserve"> significantly</w:t>
      </w:r>
      <w:r w:rsidR="007A23D3">
        <w:t xml:space="preserve"> </w:t>
      </w:r>
      <w:r w:rsidR="007A23D3">
        <w:rPr>
          <w:i/>
          <w:iCs/>
        </w:rPr>
        <w:t xml:space="preserve">higher </w:t>
      </w:r>
      <w:r w:rsidR="007A23D3">
        <w:t xml:space="preserve">among </w:t>
      </w:r>
      <w:r w:rsidR="009269D8">
        <w:t>those who were less v</w:t>
      </w:r>
      <w:r w:rsidR="00E770E7">
        <w:t xml:space="preserve">s. more </w:t>
      </w:r>
      <w:r w:rsidR="009269D8">
        <w:t>advantaged</w:t>
      </w:r>
      <w:r w:rsidR="007A23D3">
        <w:t xml:space="preserve"> </w:t>
      </w:r>
      <w:r w:rsidR="00AB15D6">
        <w:t xml:space="preserve">(e.g., </w:t>
      </w:r>
      <w:r w:rsidR="00B014BD">
        <w:t>21.9% vs. 11.2% among 16-year-olds, PR=1.96 [1.03-3.96] and 22.5% vs. 15.2% among 20-year-olds, PR=1.49 [1.02-2.44]</w:t>
      </w:r>
      <w:r w:rsidR="009D11E7">
        <w:t xml:space="preserve">; </w:t>
      </w:r>
      <w:r w:rsidR="009D11E7">
        <w:rPr>
          <w:b/>
          <w:bCs/>
        </w:rPr>
        <w:t>Table 3</w:t>
      </w:r>
      <w:r w:rsidR="00B014BD">
        <w:t>)</w:t>
      </w:r>
      <w:r w:rsidR="00E327DC">
        <w:t>; something not seen among men (</w:t>
      </w:r>
      <w:r w:rsidR="00DF76B0">
        <w:rPr>
          <w:b/>
          <w:bCs/>
        </w:rPr>
        <w:t>Additional f</w:t>
      </w:r>
      <w:r w:rsidR="00E327DC">
        <w:rPr>
          <w:b/>
          <w:bCs/>
        </w:rPr>
        <w:t xml:space="preserve">ile 3: </w:t>
      </w:r>
      <w:r w:rsidR="00A02E96">
        <w:rPr>
          <w:b/>
          <w:bCs/>
        </w:rPr>
        <w:t>Table S8</w:t>
      </w:r>
      <w:r w:rsidR="00A02E96">
        <w:t>)</w:t>
      </w:r>
      <w:r w:rsidR="009D11E7">
        <w:t>.</w:t>
      </w:r>
      <w:r w:rsidR="00FA0AF2">
        <w:t xml:space="preserve"> However, </w:t>
      </w:r>
      <w:r w:rsidR="00CA337A">
        <w:t xml:space="preserve">the opposite pattern was observed </w:t>
      </w:r>
      <w:r w:rsidR="009269D8">
        <w:t>between the ages of 40 and 60,</w:t>
      </w:r>
      <w:r w:rsidR="003B0710">
        <w:t xml:space="preserve"> where</w:t>
      </w:r>
      <w:r w:rsidR="009269D8">
        <w:t xml:space="preserve"> the quit rate was significantly </w:t>
      </w:r>
      <w:r w:rsidR="009269D8" w:rsidRPr="00E770E7">
        <w:rPr>
          <w:i/>
          <w:iCs/>
        </w:rPr>
        <w:t>lower</w:t>
      </w:r>
      <w:r w:rsidR="009269D8">
        <w:t xml:space="preserve"> among </w:t>
      </w:r>
      <w:r w:rsidR="003B0710">
        <w:t xml:space="preserve">less advantaged women (with PRs ranging from 0.65 to 0.69; </w:t>
      </w:r>
      <w:r w:rsidR="003B0710">
        <w:rPr>
          <w:b/>
          <w:bCs/>
        </w:rPr>
        <w:t>Table 3</w:t>
      </w:r>
      <w:r w:rsidR="003B0710">
        <w:t>).</w:t>
      </w:r>
      <w:r w:rsidR="00161849">
        <w:t xml:space="preserve"> The overall quit rate </w:t>
      </w:r>
      <w:r w:rsidR="00512B43">
        <w:t>was highest at age 34 (</w:t>
      </w:r>
      <w:r w:rsidR="002757BF">
        <w:t>26.9%) among more advantaged women and at age 25 (22.9%) among less advantaged women</w:t>
      </w:r>
      <w:r w:rsidR="00242C5E">
        <w:t xml:space="preserve"> (</w:t>
      </w:r>
      <w:r w:rsidR="00242C5E">
        <w:rPr>
          <w:b/>
          <w:bCs/>
        </w:rPr>
        <w:t>Figure 2D</w:t>
      </w:r>
      <w:r w:rsidR="00242C5E">
        <w:t>).</w:t>
      </w:r>
    </w:p>
    <w:p w14:paraId="7FE09860" w14:textId="41B6D0E2" w:rsidR="00480E3C" w:rsidRPr="005320EA" w:rsidRDefault="00480E3C" w:rsidP="00480E3C">
      <w:r>
        <w:t xml:space="preserve"> </w:t>
      </w:r>
    </w:p>
    <w:p w14:paraId="771AE499" w14:textId="77777777" w:rsidR="00480E3C" w:rsidRDefault="00480E3C" w:rsidP="00743D77">
      <w:pPr>
        <w:sectPr w:rsidR="00480E3C" w:rsidSect="00904872">
          <w:footerReference w:type="default" r:id="rId10"/>
          <w:pgSz w:w="11906" w:h="16838" w:code="9"/>
          <w:pgMar w:top="1440" w:right="1247" w:bottom="1440" w:left="1304" w:header="720" w:footer="720" w:gutter="0"/>
          <w:cols w:space="720"/>
          <w:noEndnote/>
          <w:docGrid w:linePitch="299"/>
        </w:sectPr>
      </w:pPr>
    </w:p>
    <w:p w14:paraId="70D0407A" w14:textId="1D6EC729" w:rsidR="00743D77" w:rsidRDefault="007F74F3" w:rsidP="002E1B8C">
      <w:pPr>
        <w:spacing w:after="0"/>
      </w:pPr>
      <w:r>
        <w:rPr>
          <w:noProof/>
        </w:rPr>
        <w:lastRenderedPageBreak/>
        <w:drawing>
          <wp:inline distT="0" distB="0" distL="0" distR="0" wp14:anchorId="00FDFA93" wp14:editId="2BF9531D">
            <wp:extent cx="5943600" cy="4455795"/>
            <wp:effectExtent l="0" t="0" r="0" b="1905"/>
            <wp:docPr id="1762428847" name="Picture 7" descr="A graph of different types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28847" name="Picture 7" descr="A graph of different types of graph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197F2614" w14:textId="43920EAF" w:rsidR="006020C6" w:rsidRPr="007678A4" w:rsidRDefault="00BB29C8" w:rsidP="00A97BE4">
      <w:pPr>
        <w:pStyle w:val="Heading5"/>
        <w:rPr>
          <w:b w:val="0"/>
          <w:bCs w:val="0"/>
        </w:rPr>
        <w:sectPr w:rsidR="006020C6" w:rsidRPr="007678A4" w:rsidSect="00904872">
          <w:pgSz w:w="11906" w:h="16838" w:code="9"/>
          <w:pgMar w:top="1440" w:right="1440" w:bottom="1440" w:left="1440" w:header="720" w:footer="720" w:gutter="0"/>
          <w:cols w:space="720"/>
          <w:noEndnote/>
          <w:docGrid w:linePitch="299"/>
        </w:sectPr>
      </w:pPr>
      <w:r w:rsidRPr="00BB29C8">
        <w:t xml:space="preserve">Figure 1. </w:t>
      </w:r>
      <w:r w:rsidR="0004568F" w:rsidRPr="007C383D">
        <w:rPr>
          <w:rFonts w:eastAsiaTheme="majorEastAsia"/>
          <w:shd w:val="clear" w:color="auto" w:fill="FFFFFF"/>
        </w:rPr>
        <w:t>Age-</w:t>
      </w:r>
      <w:r w:rsidR="00827D35">
        <w:rPr>
          <w:rFonts w:eastAsiaTheme="majorEastAsia"/>
          <w:shd w:val="clear" w:color="auto" w:fill="FFFFFF"/>
        </w:rPr>
        <w:t>specific estimates of</w:t>
      </w:r>
      <w:r w:rsidR="0004568F" w:rsidRPr="007C383D">
        <w:rPr>
          <w:rFonts w:eastAsiaTheme="majorEastAsia"/>
          <w:shd w:val="clear" w:color="auto" w:fill="FFFFFF"/>
        </w:rPr>
        <w:t xml:space="preserve"> smoking and quitting behaviours among women (</w:t>
      </w:r>
      <w:r w:rsidR="0004568F" w:rsidRPr="007C383D">
        <w:rPr>
          <w:rFonts w:eastAsiaTheme="majorEastAsia" w:cstheme="minorHAnsi"/>
          <w:shd w:val="clear" w:color="auto" w:fill="FFFFFF"/>
        </w:rPr>
        <w:t>≥</w:t>
      </w:r>
      <w:r w:rsidR="0004568F" w:rsidRPr="007C383D">
        <w:rPr>
          <w:rFonts w:eastAsiaTheme="majorEastAsia"/>
          <w:shd w:val="clear" w:color="auto" w:fill="FFFFFF"/>
        </w:rPr>
        <w:t xml:space="preserve">16y) in </w:t>
      </w:r>
      <w:r w:rsidR="002B01A4">
        <w:rPr>
          <w:rFonts w:eastAsiaTheme="majorEastAsia"/>
          <w:shd w:val="clear" w:color="auto" w:fill="FFFFFF"/>
        </w:rPr>
        <w:t>Great Britain</w:t>
      </w:r>
      <w:r w:rsidR="0004568F" w:rsidRPr="007C383D">
        <w:rPr>
          <w:rFonts w:eastAsiaTheme="majorEastAsia"/>
        </w:rPr>
        <w:t xml:space="preserve">. </w:t>
      </w:r>
      <w:r w:rsidR="0004568F" w:rsidRPr="00A97BE4">
        <w:rPr>
          <w:b w:val="0"/>
          <w:bCs w:val="0"/>
        </w:rPr>
        <w:t xml:space="preserve">Lines represent modelled weighted prevalence by </w:t>
      </w:r>
      <w:r w:rsidR="007C383D" w:rsidRPr="00A97BE4">
        <w:rPr>
          <w:b w:val="0"/>
          <w:bCs w:val="0"/>
        </w:rPr>
        <w:t>age</w:t>
      </w:r>
      <w:r w:rsidR="0004568F" w:rsidRPr="00A97BE4">
        <w:rPr>
          <w:b w:val="0"/>
          <w:bCs w:val="0"/>
        </w:rPr>
        <w:t>, modelled non-linearly using restricted cubic splines (</w:t>
      </w:r>
      <w:r w:rsidR="005A1FC0" w:rsidRPr="00A97BE4">
        <w:rPr>
          <w:b w:val="0"/>
          <w:bCs w:val="0"/>
        </w:rPr>
        <w:t xml:space="preserve">with five knots for </w:t>
      </w:r>
      <w:r w:rsidR="0047275A" w:rsidRPr="00A97BE4">
        <w:rPr>
          <w:b w:val="0"/>
          <w:bCs w:val="0"/>
        </w:rPr>
        <w:t xml:space="preserve">current smoking, success of quit attempts, and overall quits and </w:t>
      </w:r>
      <w:r w:rsidR="0004568F" w:rsidRPr="00A97BE4">
        <w:rPr>
          <w:b w:val="0"/>
          <w:bCs w:val="0"/>
        </w:rPr>
        <w:t>three knots</w:t>
      </w:r>
      <w:r w:rsidR="005A1FC0" w:rsidRPr="00A97BE4">
        <w:rPr>
          <w:b w:val="0"/>
          <w:bCs w:val="0"/>
        </w:rPr>
        <w:t xml:space="preserve"> for quit attempts; see </w:t>
      </w:r>
      <w:r w:rsidR="00DF76B0">
        <w:t>Additional f</w:t>
      </w:r>
      <w:r w:rsidR="00C10179">
        <w:t>ile 1</w:t>
      </w:r>
      <w:r w:rsidR="00903586">
        <w:t>: Table S1</w:t>
      </w:r>
      <w:r w:rsidR="005A1FC0" w:rsidRPr="00A97BE4">
        <w:rPr>
          <w:b w:val="0"/>
          <w:bCs w:val="0"/>
        </w:rPr>
        <w:t xml:space="preserve"> for details of model selection</w:t>
      </w:r>
      <w:r w:rsidR="0004568F" w:rsidRPr="00A97BE4">
        <w:rPr>
          <w:b w:val="0"/>
          <w:bCs w:val="0"/>
        </w:rPr>
        <w:t>). Shaded bands represent 95% confidence intervals.</w:t>
      </w:r>
      <w:r w:rsidR="008C3840" w:rsidRPr="00A97BE4">
        <w:rPr>
          <w:b w:val="0"/>
          <w:bCs w:val="0"/>
        </w:rPr>
        <w:t xml:space="preserve"> Bars represent unmodelled weighted prevalence estimates within age bands</w:t>
      </w:r>
      <w:r w:rsidR="00784028" w:rsidRPr="00A97BE4">
        <w:rPr>
          <w:b w:val="0"/>
          <w:bCs w:val="0"/>
        </w:rPr>
        <w:t xml:space="preserve"> (also presented with 95% CIs in </w:t>
      </w:r>
      <w:r w:rsidR="00DF76B0">
        <w:t>Additional</w:t>
      </w:r>
      <w:r w:rsidR="00DF76B0" w:rsidRPr="00993B67">
        <w:t xml:space="preserve"> </w:t>
      </w:r>
      <w:r w:rsidR="00DF76B0">
        <w:t>f</w:t>
      </w:r>
      <w:r w:rsidR="00993B67" w:rsidRPr="00993B67">
        <w:t>ile 2:</w:t>
      </w:r>
      <w:r w:rsidR="00993B67">
        <w:rPr>
          <w:b w:val="0"/>
          <w:bCs w:val="0"/>
        </w:rPr>
        <w:t xml:space="preserve"> </w:t>
      </w:r>
      <w:r w:rsidR="00784028" w:rsidRPr="00A97BE4">
        <w:t>Table S3</w:t>
      </w:r>
      <w:r w:rsidR="00784028" w:rsidRPr="00A97BE4">
        <w:rPr>
          <w:b w:val="0"/>
          <w:bCs w:val="0"/>
        </w:rPr>
        <w:t>)</w:t>
      </w:r>
      <w:r w:rsidR="00E12E86" w:rsidRPr="00A97BE4">
        <w:rPr>
          <w:b w:val="0"/>
          <w:bCs w:val="0"/>
        </w:rPr>
        <w:t>.</w:t>
      </w:r>
      <w:r w:rsidR="0034100B" w:rsidRPr="00A97BE4">
        <w:rPr>
          <w:b w:val="0"/>
          <w:bCs w:val="0"/>
        </w:rPr>
        <w:t xml:space="preserve"> Unweighted sample sizes by age </w:t>
      </w:r>
      <w:r w:rsidR="00EB78EC" w:rsidRPr="00A97BE4">
        <w:rPr>
          <w:b w:val="0"/>
          <w:bCs w:val="0"/>
        </w:rPr>
        <w:t xml:space="preserve">are provided in </w:t>
      </w:r>
      <w:r w:rsidR="00DF76B0">
        <w:t>Additional</w:t>
      </w:r>
      <w:r w:rsidR="00DF76B0" w:rsidRPr="00993B67">
        <w:t xml:space="preserve"> </w:t>
      </w:r>
      <w:r w:rsidR="00DF76B0">
        <w:t>f</w:t>
      </w:r>
      <w:r w:rsidR="00993B67" w:rsidRPr="00993B67">
        <w:t>ile 2:</w:t>
      </w:r>
      <w:r w:rsidR="00993B67">
        <w:rPr>
          <w:b w:val="0"/>
          <w:bCs w:val="0"/>
        </w:rPr>
        <w:t xml:space="preserve"> </w:t>
      </w:r>
      <w:r w:rsidR="00EB78EC" w:rsidRPr="00A97BE4">
        <w:t>Table S2</w:t>
      </w:r>
      <w:r w:rsidR="00EB78EC" w:rsidRPr="00A97BE4">
        <w:rPr>
          <w:b w:val="0"/>
          <w:bCs w:val="0"/>
        </w:rPr>
        <w:t>.</w:t>
      </w:r>
      <w:r w:rsidR="007653B1">
        <w:t xml:space="preserve"> </w:t>
      </w:r>
      <w:r w:rsidR="007678A4" w:rsidRPr="007678A4">
        <w:rPr>
          <w:b w:val="0"/>
          <w:bCs w:val="0"/>
        </w:rPr>
        <w:t xml:space="preserve">Corresponding </w:t>
      </w:r>
      <w:r w:rsidR="007678A4">
        <w:rPr>
          <w:b w:val="0"/>
          <w:bCs w:val="0"/>
        </w:rPr>
        <w:t>figures</w:t>
      </w:r>
      <w:r w:rsidR="007678A4" w:rsidRPr="007678A4">
        <w:rPr>
          <w:b w:val="0"/>
          <w:bCs w:val="0"/>
        </w:rPr>
        <w:t xml:space="preserve"> for men are provided in </w:t>
      </w:r>
      <w:r w:rsidR="00DF76B0">
        <w:t>Additional</w:t>
      </w:r>
      <w:r w:rsidR="00DF76B0" w:rsidRPr="007678A4">
        <w:t xml:space="preserve"> </w:t>
      </w:r>
      <w:r w:rsidR="00DF76B0">
        <w:t>f</w:t>
      </w:r>
      <w:r w:rsidR="007678A4" w:rsidRPr="007678A4">
        <w:t>ile 3</w:t>
      </w:r>
      <w:r w:rsidR="007678A4">
        <w:t>: Fig</w:t>
      </w:r>
      <w:r w:rsidR="00DF76B0">
        <w:t>.</w:t>
      </w:r>
      <w:r w:rsidR="007678A4">
        <w:t xml:space="preserve"> S1</w:t>
      </w:r>
      <w:r w:rsidR="007678A4" w:rsidRPr="007678A4">
        <w:rPr>
          <w:b w:val="0"/>
          <w:bCs w:val="0"/>
        </w:rPr>
        <w:t>.</w:t>
      </w:r>
    </w:p>
    <w:p w14:paraId="3DE491E7" w14:textId="77777777" w:rsidR="006020C6" w:rsidRDefault="006020C6" w:rsidP="00A97BE4">
      <w:pPr>
        <w:pStyle w:val="Heading5"/>
        <w:rPr>
          <w:rFonts w:eastAsiaTheme="majorEastAsia"/>
          <w:shd w:val="clear" w:color="auto" w:fill="FFFFFF"/>
        </w:rPr>
      </w:pPr>
      <w:r>
        <w:lastRenderedPageBreak/>
        <w:t>Table</w:t>
      </w:r>
      <w:r w:rsidRPr="00BB29C8">
        <w:t xml:space="preserve"> 1. </w:t>
      </w:r>
      <w:r w:rsidRPr="00A97BE4">
        <w:rPr>
          <w:b w:val="0"/>
          <w:bCs w:val="0"/>
        </w:rPr>
        <w:t>Modelled a</w:t>
      </w:r>
      <w:r w:rsidRPr="00A97BE4">
        <w:rPr>
          <w:rFonts w:eastAsiaTheme="majorEastAsia"/>
          <w:b w:val="0"/>
          <w:bCs w:val="0"/>
          <w:shd w:val="clear" w:color="auto" w:fill="FFFFFF"/>
        </w:rPr>
        <w:t>ge-specific estimates of smoking and quitting behaviours among women (</w:t>
      </w:r>
      <w:r w:rsidRPr="00A97BE4">
        <w:rPr>
          <w:rFonts w:eastAsiaTheme="majorEastAsia" w:cstheme="minorHAnsi"/>
          <w:b w:val="0"/>
          <w:bCs w:val="0"/>
          <w:shd w:val="clear" w:color="auto" w:fill="FFFFFF"/>
        </w:rPr>
        <w:t>≥</w:t>
      </w:r>
      <w:r w:rsidRPr="00A97BE4">
        <w:rPr>
          <w:rFonts w:eastAsiaTheme="majorEastAsia"/>
          <w:b w:val="0"/>
          <w:bCs w:val="0"/>
          <w:shd w:val="clear" w:color="auto" w:fill="FFFFFF"/>
        </w:rPr>
        <w:t>16y) in Great Britain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920"/>
        <w:gridCol w:w="1694"/>
        <w:gridCol w:w="1778"/>
        <w:gridCol w:w="1701"/>
      </w:tblGrid>
      <w:tr w:rsidR="006020C6" w14:paraId="0815EDC0" w14:textId="77777777" w:rsidTr="0078421E">
        <w:tc>
          <w:tcPr>
            <w:tcW w:w="1701" w:type="dxa"/>
            <w:tcBorders>
              <w:top w:val="single" w:sz="4" w:space="0" w:color="auto"/>
              <w:bottom w:val="nil"/>
            </w:tcBorders>
          </w:tcPr>
          <w:p w14:paraId="04BE0D15" w14:textId="77777777" w:rsidR="006020C6" w:rsidRDefault="006020C6" w:rsidP="0078421E">
            <w:pPr>
              <w:spacing w:after="0" w:line="240" w:lineRule="auto"/>
            </w:pPr>
          </w:p>
        </w:tc>
        <w:tc>
          <w:tcPr>
            <w:tcW w:w="7093" w:type="dxa"/>
            <w:gridSpan w:val="4"/>
            <w:tcBorders>
              <w:top w:val="single" w:sz="4" w:space="0" w:color="auto"/>
              <w:bottom w:val="single" w:sz="4" w:space="0" w:color="auto"/>
            </w:tcBorders>
          </w:tcPr>
          <w:p w14:paraId="0A08A105" w14:textId="77777777" w:rsidR="006020C6" w:rsidRPr="0027782C" w:rsidRDefault="006020C6" w:rsidP="0078421E">
            <w:pPr>
              <w:spacing w:after="0" w:line="240" w:lineRule="auto"/>
              <w:jc w:val="center"/>
              <w:rPr>
                <w:b/>
                <w:bCs/>
              </w:rPr>
            </w:pPr>
            <w:r>
              <w:rPr>
                <w:b/>
                <w:bCs/>
              </w:rPr>
              <w:t>% [95% CI]</w:t>
            </w:r>
          </w:p>
        </w:tc>
      </w:tr>
      <w:tr w:rsidR="006020C6" w14:paraId="67F6BE19" w14:textId="77777777" w:rsidTr="0078421E">
        <w:tc>
          <w:tcPr>
            <w:tcW w:w="1701" w:type="dxa"/>
            <w:tcBorders>
              <w:top w:val="nil"/>
              <w:bottom w:val="single" w:sz="4" w:space="0" w:color="auto"/>
            </w:tcBorders>
          </w:tcPr>
          <w:p w14:paraId="4C4E8351" w14:textId="77777777" w:rsidR="006020C6" w:rsidRDefault="006020C6" w:rsidP="0078421E">
            <w:pPr>
              <w:spacing w:after="0" w:line="240" w:lineRule="auto"/>
            </w:pPr>
          </w:p>
        </w:tc>
        <w:tc>
          <w:tcPr>
            <w:tcW w:w="1920" w:type="dxa"/>
            <w:tcBorders>
              <w:top w:val="single" w:sz="4" w:space="0" w:color="auto"/>
              <w:bottom w:val="single" w:sz="4" w:space="0" w:color="auto"/>
            </w:tcBorders>
            <w:vAlign w:val="bottom"/>
          </w:tcPr>
          <w:p w14:paraId="7B10867A" w14:textId="77777777" w:rsidR="006020C6" w:rsidRPr="00560B3A" w:rsidRDefault="006020C6" w:rsidP="0078421E">
            <w:pPr>
              <w:spacing w:after="0" w:line="240" w:lineRule="auto"/>
              <w:jc w:val="right"/>
              <w:rPr>
                <w:b/>
                <w:bCs/>
                <w:vertAlign w:val="superscript"/>
              </w:rPr>
            </w:pPr>
            <w:r>
              <w:rPr>
                <w:b/>
                <w:bCs/>
              </w:rPr>
              <w:t>Smoking prevalence</w:t>
            </w:r>
            <w:r>
              <w:rPr>
                <w:b/>
                <w:bCs/>
                <w:vertAlign w:val="superscript"/>
              </w:rPr>
              <w:t>1</w:t>
            </w:r>
          </w:p>
        </w:tc>
        <w:tc>
          <w:tcPr>
            <w:tcW w:w="1694" w:type="dxa"/>
            <w:tcBorders>
              <w:top w:val="single" w:sz="4" w:space="0" w:color="auto"/>
              <w:bottom w:val="single" w:sz="4" w:space="0" w:color="auto"/>
            </w:tcBorders>
          </w:tcPr>
          <w:p w14:paraId="4403DE2C" w14:textId="77777777" w:rsidR="006020C6" w:rsidRPr="00560B3A" w:rsidRDefault="006020C6" w:rsidP="0078421E">
            <w:pPr>
              <w:spacing w:after="0" w:line="240" w:lineRule="auto"/>
              <w:jc w:val="right"/>
              <w:rPr>
                <w:b/>
                <w:bCs/>
                <w:vertAlign w:val="superscript"/>
              </w:rPr>
            </w:pPr>
            <w:r>
              <w:rPr>
                <w:b/>
                <w:bCs/>
              </w:rPr>
              <w:t>Quit attempt rate</w:t>
            </w:r>
            <w:r>
              <w:rPr>
                <w:b/>
                <w:bCs/>
                <w:vertAlign w:val="superscript"/>
              </w:rPr>
              <w:t>2</w:t>
            </w:r>
          </w:p>
        </w:tc>
        <w:tc>
          <w:tcPr>
            <w:tcW w:w="1778" w:type="dxa"/>
            <w:tcBorders>
              <w:top w:val="single" w:sz="4" w:space="0" w:color="auto"/>
              <w:bottom w:val="single" w:sz="4" w:space="0" w:color="auto"/>
            </w:tcBorders>
            <w:vAlign w:val="bottom"/>
          </w:tcPr>
          <w:p w14:paraId="636F0E88" w14:textId="77777777" w:rsidR="006020C6" w:rsidRPr="00560B3A" w:rsidRDefault="006020C6" w:rsidP="0078421E">
            <w:pPr>
              <w:spacing w:after="0" w:line="240" w:lineRule="auto"/>
              <w:jc w:val="right"/>
              <w:rPr>
                <w:b/>
                <w:bCs/>
                <w:vertAlign w:val="superscript"/>
              </w:rPr>
            </w:pPr>
            <w:r>
              <w:rPr>
                <w:b/>
                <w:bCs/>
              </w:rPr>
              <w:t>Success rate of quit attempts</w:t>
            </w:r>
            <w:r>
              <w:rPr>
                <w:b/>
                <w:bCs/>
                <w:vertAlign w:val="superscript"/>
              </w:rPr>
              <w:t>3</w:t>
            </w:r>
          </w:p>
        </w:tc>
        <w:tc>
          <w:tcPr>
            <w:tcW w:w="1701" w:type="dxa"/>
            <w:tcBorders>
              <w:top w:val="single" w:sz="4" w:space="0" w:color="auto"/>
              <w:bottom w:val="single" w:sz="4" w:space="0" w:color="auto"/>
            </w:tcBorders>
            <w:vAlign w:val="bottom"/>
          </w:tcPr>
          <w:p w14:paraId="368D5B5D" w14:textId="77777777" w:rsidR="006020C6" w:rsidRPr="00560B3A" w:rsidRDefault="006020C6" w:rsidP="0078421E">
            <w:pPr>
              <w:spacing w:after="0" w:line="240" w:lineRule="auto"/>
              <w:jc w:val="right"/>
              <w:rPr>
                <w:b/>
                <w:bCs/>
                <w:vertAlign w:val="superscript"/>
              </w:rPr>
            </w:pPr>
            <w:r>
              <w:rPr>
                <w:b/>
                <w:bCs/>
              </w:rPr>
              <w:t>Overall quit rate</w:t>
            </w:r>
            <w:r>
              <w:rPr>
                <w:b/>
                <w:bCs/>
                <w:vertAlign w:val="superscript"/>
              </w:rPr>
              <w:t>2</w:t>
            </w:r>
          </w:p>
        </w:tc>
      </w:tr>
      <w:tr w:rsidR="006020C6" w:rsidRPr="002571DE" w14:paraId="2CF1334A" w14:textId="77777777" w:rsidTr="0078421E">
        <w:tc>
          <w:tcPr>
            <w:tcW w:w="1701" w:type="dxa"/>
            <w:tcBorders>
              <w:top w:val="single" w:sz="4" w:space="0" w:color="auto"/>
            </w:tcBorders>
          </w:tcPr>
          <w:p w14:paraId="7FE7B193" w14:textId="77777777" w:rsidR="006020C6" w:rsidRPr="002571DE" w:rsidRDefault="006020C6" w:rsidP="0078421E">
            <w:pPr>
              <w:spacing w:after="0" w:line="240" w:lineRule="auto"/>
              <w:rPr>
                <w:sz w:val="12"/>
                <w:szCs w:val="12"/>
              </w:rPr>
            </w:pPr>
          </w:p>
        </w:tc>
        <w:tc>
          <w:tcPr>
            <w:tcW w:w="1920" w:type="dxa"/>
            <w:tcBorders>
              <w:top w:val="single" w:sz="4" w:space="0" w:color="auto"/>
            </w:tcBorders>
          </w:tcPr>
          <w:p w14:paraId="76945533" w14:textId="77777777" w:rsidR="006020C6" w:rsidRPr="002571DE" w:rsidRDefault="006020C6" w:rsidP="0078421E">
            <w:pPr>
              <w:spacing w:after="0" w:line="240" w:lineRule="auto"/>
              <w:rPr>
                <w:sz w:val="12"/>
                <w:szCs w:val="12"/>
              </w:rPr>
            </w:pPr>
          </w:p>
        </w:tc>
        <w:tc>
          <w:tcPr>
            <w:tcW w:w="1694" w:type="dxa"/>
            <w:tcBorders>
              <w:top w:val="single" w:sz="4" w:space="0" w:color="auto"/>
            </w:tcBorders>
          </w:tcPr>
          <w:p w14:paraId="33958F06" w14:textId="77777777" w:rsidR="006020C6" w:rsidRPr="002571DE" w:rsidRDefault="006020C6" w:rsidP="0078421E">
            <w:pPr>
              <w:spacing w:after="0" w:line="240" w:lineRule="auto"/>
              <w:rPr>
                <w:sz w:val="12"/>
                <w:szCs w:val="12"/>
              </w:rPr>
            </w:pPr>
          </w:p>
        </w:tc>
        <w:tc>
          <w:tcPr>
            <w:tcW w:w="1778" w:type="dxa"/>
            <w:tcBorders>
              <w:top w:val="single" w:sz="4" w:space="0" w:color="auto"/>
            </w:tcBorders>
          </w:tcPr>
          <w:p w14:paraId="0B9C98A6" w14:textId="77777777" w:rsidR="006020C6" w:rsidRPr="002571DE" w:rsidRDefault="006020C6" w:rsidP="0078421E">
            <w:pPr>
              <w:spacing w:after="0" w:line="240" w:lineRule="auto"/>
              <w:rPr>
                <w:sz w:val="12"/>
                <w:szCs w:val="12"/>
              </w:rPr>
            </w:pPr>
          </w:p>
        </w:tc>
        <w:tc>
          <w:tcPr>
            <w:tcW w:w="1701" w:type="dxa"/>
            <w:tcBorders>
              <w:top w:val="single" w:sz="4" w:space="0" w:color="auto"/>
            </w:tcBorders>
          </w:tcPr>
          <w:p w14:paraId="1198C604" w14:textId="77777777" w:rsidR="006020C6" w:rsidRPr="002571DE" w:rsidRDefault="006020C6" w:rsidP="0078421E">
            <w:pPr>
              <w:spacing w:after="0" w:line="240" w:lineRule="auto"/>
              <w:rPr>
                <w:sz w:val="12"/>
                <w:szCs w:val="12"/>
              </w:rPr>
            </w:pPr>
          </w:p>
        </w:tc>
      </w:tr>
      <w:tr w:rsidR="006020C6" w14:paraId="4AA499BC" w14:textId="77777777" w:rsidTr="0078421E">
        <w:tc>
          <w:tcPr>
            <w:tcW w:w="1701" w:type="dxa"/>
          </w:tcPr>
          <w:p w14:paraId="3C495B53" w14:textId="77777777" w:rsidR="006020C6" w:rsidRPr="00071DC1" w:rsidRDefault="006020C6" w:rsidP="0078421E">
            <w:pPr>
              <w:spacing w:after="0" w:line="240" w:lineRule="auto"/>
              <w:rPr>
                <w:vertAlign w:val="superscript"/>
              </w:rPr>
            </w:pPr>
            <w:r>
              <w:t>Age (years)</w:t>
            </w:r>
            <w:r>
              <w:rPr>
                <w:vertAlign w:val="superscript"/>
              </w:rPr>
              <w:t>4</w:t>
            </w:r>
          </w:p>
        </w:tc>
        <w:tc>
          <w:tcPr>
            <w:tcW w:w="1920" w:type="dxa"/>
          </w:tcPr>
          <w:p w14:paraId="654156E4" w14:textId="77777777" w:rsidR="006020C6" w:rsidRDefault="006020C6" w:rsidP="0078421E">
            <w:pPr>
              <w:spacing w:after="0" w:line="240" w:lineRule="auto"/>
            </w:pPr>
          </w:p>
        </w:tc>
        <w:tc>
          <w:tcPr>
            <w:tcW w:w="1694" w:type="dxa"/>
          </w:tcPr>
          <w:p w14:paraId="16AF5D92" w14:textId="77777777" w:rsidR="006020C6" w:rsidRDefault="006020C6" w:rsidP="0078421E">
            <w:pPr>
              <w:spacing w:after="0" w:line="240" w:lineRule="auto"/>
            </w:pPr>
          </w:p>
        </w:tc>
        <w:tc>
          <w:tcPr>
            <w:tcW w:w="1778" w:type="dxa"/>
          </w:tcPr>
          <w:p w14:paraId="60A55D5D" w14:textId="77777777" w:rsidR="006020C6" w:rsidRDefault="006020C6" w:rsidP="0078421E">
            <w:pPr>
              <w:spacing w:after="0" w:line="240" w:lineRule="auto"/>
            </w:pPr>
          </w:p>
        </w:tc>
        <w:tc>
          <w:tcPr>
            <w:tcW w:w="1701" w:type="dxa"/>
          </w:tcPr>
          <w:p w14:paraId="42FBA2E2" w14:textId="77777777" w:rsidR="006020C6" w:rsidRDefault="006020C6" w:rsidP="0078421E">
            <w:pPr>
              <w:spacing w:after="0" w:line="240" w:lineRule="auto"/>
            </w:pPr>
          </w:p>
        </w:tc>
      </w:tr>
      <w:tr w:rsidR="006020C6" w14:paraId="0B1C28D9" w14:textId="77777777" w:rsidTr="0078421E">
        <w:tc>
          <w:tcPr>
            <w:tcW w:w="1701" w:type="dxa"/>
          </w:tcPr>
          <w:p w14:paraId="27AA8EC6" w14:textId="77777777" w:rsidR="006020C6" w:rsidRDefault="006020C6" w:rsidP="0078421E">
            <w:pPr>
              <w:spacing w:after="0" w:line="240" w:lineRule="auto"/>
            </w:pPr>
            <w:r>
              <w:t xml:space="preserve">   16</w:t>
            </w:r>
          </w:p>
        </w:tc>
        <w:tc>
          <w:tcPr>
            <w:tcW w:w="1920" w:type="dxa"/>
          </w:tcPr>
          <w:p w14:paraId="553414B9" w14:textId="77777777" w:rsidR="006020C6" w:rsidRDefault="006020C6" w:rsidP="0078421E">
            <w:pPr>
              <w:spacing w:after="0" w:line="240" w:lineRule="auto"/>
              <w:jc w:val="right"/>
            </w:pPr>
            <w:r w:rsidRPr="004342F0">
              <w:rPr>
                <w:rFonts w:ascii="Calibri" w:hAnsi="Calibri" w:cs="Calibri"/>
              </w:rPr>
              <w:t>16.0 [13.9–18.3]</w:t>
            </w:r>
          </w:p>
        </w:tc>
        <w:tc>
          <w:tcPr>
            <w:tcW w:w="1694" w:type="dxa"/>
          </w:tcPr>
          <w:p w14:paraId="4A0BF265" w14:textId="77777777" w:rsidR="006020C6" w:rsidRDefault="006020C6" w:rsidP="0078421E">
            <w:pPr>
              <w:spacing w:after="0" w:line="240" w:lineRule="auto"/>
              <w:jc w:val="right"/>
            </w:pPr>
            <w:r w:rsidRPr="004342F0">
              <w:rPr>
                <w:rFonts w:ascii="Calibri" w:hAnsi="Calibri" w:cs="Calibri"/>
              </w:rPr>
              <w:t>49.3 [44.2–54.4]</w:t>
            </w:r>
          </w:p>
        </w:tc>
        <w:tc>
          <w:tcPr>
            <w:tcW w:w="1778" w:type="dxa"/>
          </w:tcPr>
          <w:p w14:paraId="475EE9D4" w14:textId="77777777" w:rsidR="006020C6" w:rsidRDefault="006020C6" w:rsidP="0078421E">
            <w:pPr>
              <w:spacing w:after="0" w:line="240" w:lineRule="auto"/>
              <w:jc w:val="right"/>
            </w:pPr>
            <w:r w:rsidRPr="004342F0">
              <w:rPr>
                <w:rFonts w:ascii="Calibri" w:hAnsi="Calibri" w:cs="Calibri"/>
              </w:rPr>
              <w:t>24.4 [15.7–36.0]</w:t>
            </w:r>
          </w:p>
        </w:tc>
        <w:tc>
          <w:tcPr>
            <w:tcW w:w="1701" w:type="dxa"/>
          </w:tcPr>
          <w:p w14:paraId="1F3D3B64" w14:textId="77777777" w:rsidR="006020C6" w:rsidRDefault="006020C6" w:rsidP="0078421E">
            <w:pPr>
              <w:spacing w:after="0" w:line="240" w:lineRule="auto"/>
              <w:jc w:val="right"/>
            </w:pPr>
            <w:r w:rsidRPr="004342F0">
              <w:rPr>
                <w:rFonts w:ascii="Calibri" w:hAnsi="Calibri" w:cs="Calibri"/>
              </w:rPr>
              <w:t>17.0 [12.0–23.5]</w:t>
            </w:r>
          </w:p>
        </w:tc>
      </w:tr>
      <w:tr w:rsidR="006020C6" w14:paraId="307BFF10" w14:textId="77777777" w:rsidTr="0078421E">
        <w:tc>
          <w:tcPr>
            <w:tcW w:w="1701" w:type="dxa"/>
          </w:tcPr>
          <w:p w14:paraId="5257C52D" w14:textId="77777777" w:rsidR="006020C6" w:rsidRDefault="006020C6" w:rsidP="0078421E">
            <w:pPr>
              <w:spacing w:after="0" w:line="240" w:lineRule="auto"/>
            </w:pPr>
            <w:r>
              <w:t xml:space="preserve">   20</w:t>
            </w:r>
          </w:p>
        </w:tc>
        <w:tc>
          <w:tcPr>
            <w:tcW w:w="1920" w:type="dxa"/>
          </w:tcPr>
          <w:p w14:paraId="0C343FF8" w14:textId="77777777" w:rsidR="006020C6" w:rsidRDefault="006020C6" w:rsidP="0078421E">
            <w:pPr>
              <w:spacing w:after="0" w:line="240" w:lineRule="auto"/>
              <w:jc w:val="right"/>
            </w:pPr>
            <w:r w:rsidRPr="004342F0">
              <w:rPr>
                <w:rFonts w:ascii="Calibri" w:hAnsi="Calibri" w:cs="Calibri"/>
              </w:rPr>
              <w:t>17.1 [15.6–18.8]</w:t>
            </w:r>
          </w:p>
        </w:tc>
        <w:tc>
          <w:tcPr>
            <w:tcW w:w="1694" w:type="dxa"/>
          </w:tcPr>
          <w:p w14:paraId="4B86C0CB" w14:textId="77777777" w:rsidR="006020C6" w:rsidRDefault="006020C6" w:rsidP="0078421E">
            <w:pPr>
              <w:spacing w:after="0" w:line="240" w:lineRule="auto"/>
              <w:jc w:val="right"/>
            </w:pPr>
            <w:r w:rsidRPr="004342F0">
              <w:rPr>
                <w:rFonts w:ascii="Calibri" w:hAnsi="Calibri" w:cs="Calibri"/>
              </w:rPr>
              <w:t>47.9 [43.8–52.0]</w:t>
            </w:r>
          </w:p>
        </w:tc>
        <w:tc>
          <w:tcPr>
            <w:tcW w:w="1778" w:type="dxa"/>
          </w:tcPr>
          <w:p w14:paraId="0B9F1254" w14:textId="77777777" w:rsidR="006020C6" w:rsidRDefault="006020C6" w:rsidP="0078421E">
            <w:pPr>
              <w:spacing w:after="0" w:line="240" w:lineRule="auto"/>
              <w:jc w:val="right"/>
            </w:pPr>
            <w:r w:rsidRPr="004342F0">
              <w:rPr>
                <w:rFonts w:ascii="Calibri" w:hAnsi="Calibri" w:cs="Calibri"/>
              </w:rPr>
              <w:t>28.1 [21.1–36.5]</w:t>
            </w:r>
          </w:p>
        </w:tc>
        <w:tc>
          <w:tcPr>
            <w:tcW w:w="1701" w:type="dxa"/>
          </w:tcPr>
          <w:p w14:paraId="708EC72D" w14:textId="77777777" w:rsidR="006020C6" w:rsidRDefault="006020C6" w:rsidP="0078421E">
            <w:pPr>
              <w:spacing w:after="0" w:line="240" w:lineRule="auto"/>
              <w:jc w:val="right"/>
            </w:pPr>
            <w:r w:rsidRPr="004342F0">
              <w:rPr>
                <w:rFonts w:ascii="Calibri" w:hAnsi="Calibri" w:cs="Calibri"/>
              </w:rPr>
              <w:t>19.2 [15.3–23.9]</w:t>
            </w:r>
          </w:p>
        </w:tc>
      </w:tr>
      <w:tr w:rsidR="006020C6" w14:paraId="7B00B44B" w14:textId="77777777" w:rsidTr="0078421E">
        <w:tc>
          <w:tcPr>
            <w:tcW w:w="1701" w:type="dxa"/>
          </w:tcPr>
          <w:p w14:paraId="1FF4CA14" w14:textId="77777777" w:rsidR="006020C6" w:rsidRDefault="006020C6" w:rsidP="0078421E">
            <w:pPr>
              <w:spacing w:after="0" w:line="240" w:lineRule="auto"/>
            </w:pPr>
            <w:r>
              <w:t xml:space="preserve">   25</w:t>
            </w:r>
          </w:p>
        </w:tc>
        <w:tc>
          <w:tcPr>
            <w:tcW w:w="1920" w:type="dxa"/>
          </w:tcPr>
          <w:p w14:paraId="0CF91CC3" w14:textId="77777777" w:rsidR="006020C6" w:rsidRDefault="006020C6" w:rsidP="0078421E">
            <w:pPr>
              <w:spacing w:after="0" w:line="240" w:lineRule="auto"/>
              <w:jc w:val="right"/>
            </w:pPr>
            <w:r w:rsidRPr="004342F0">
              <w:rPr>
                <w:rFonts w:ascii="Calibri" w:hAnsi="Calibri" w:cs="Calibri"/>
              </w:rPr>
              <w:t>18.4 [17.3–19.6]</w:t>
            </w:r>
          </w:p>
        </w:tc>
        <w:tc>
          <w:tcPr>
            <w:tcW w:w="1694" w:type="dxa"/>
          </w:tcPr>
          <w:p w14:paraId="4BD120DB" w14:textId="77777777" w:rsidR="006020C6" w:rsidRDefault="006020C6" w:rsidP="0078421E">
            <w:pPr>
              <w:spacing w:after="0" w:line="240" w:lineRule="auto"/>
              <w:jc w:val="right"/>
            </w:pPr>
            <w:r w:rsidRPr="004342F0">
              <w:rPr>
                <w:rFonts w:ascii="Calibri" w:hAnsi="Calibri" w:cs="Calibri"/>
              </w:rPr>
              <w:t>46.1 [43.1–49.2]</w:t>
            </w:r>
          </w:p>
        </w:tc>
        <w:tc>
          <w:tcPr>
            <w:tcW w:w="1778" w:type="dxa"/>
          </w:tcPr>
          <w:p w14:paraId="30E65E5B" w14:textId="77777777" w:rsidR="006020C6" w:rsidRDefault="006020C6" w:rsidP="0078421E">
            <w:pPr>
              <w:spacing w:after="0" w:line="240" w:lineRule="auto"/>
              <w:jc w:val="right"/>
            </w:pPr>
            <w:r w:rsidRPr="004342F0">
              <w:rPr>
                <w:rFonts w:ascii="Calibri" w:hAnsi="Calibri" w:cs="Calibri"/>
              </w:rPr>
              <w:t>32.5 [27.3–38.1]</w:t>
            </w:r>
          </w:p>
        </w:tc>
        <w:tc>
          <w:tcPr>
            <w:tcW w:w="1701" w:type="dxa"/>
          </w:tcPr>
          <w:p w14:paraId="10BE9903" w14:textId="77777777" w:rsidR="006020C6" w:rsidRDefault="006020C6" w:rsidP="0078421E">
            <w:pPr>
              <w:spacing w:after="0" w:line="240" w:lineRule="auto"/>
              <w:jc w:val="right"/>
            </w:pPr>
            <w:r w:rsidRPr="004342F0">
              <w:rPr>
                <w:rFonts w:ascii="Calibri" w:hAnsi="Calibri" w:cs="Calibri"/>
              </w:rPr>
              <w:t>21.8 [18.8–25.2]</w:t>
            </w:r>
          </w:p>
        </w:tc>
      </w:tr>
      <w:tr w:rsidR="006020C6" w14:paraId="296711AA" w14:textId="77777777" w:rsidTr="0078421E">
        <w:tc>
          <w:tcPr>
            <w:tcW w:w="1701" w:type="dxa"/>
          </w:tcPr>
          <w:p w14:paraId="6511A7E4" w14:textId="77777777" w:rsidR="006020C6" w:rsidRDefault="006020C6" w:rsidP="0078421E">
            <w:pPr>
              <w:spacing w:after="0" w:line="240" w:lineRule="auto"/>
            </w:pPr>
            <w:r>
              <w:t xml:space="preserve">   30</w:t>
            </w:r>
          </w:p>
        </w:tc>
        <w:tc>
          <w:tcPr>
            <w:tcW w:w="1920" w:type="dxa"/>
          </w:tcPr>
          <w:p w14:paraId="7162BF66" w14:textId="77777777" w:rsidR="006020C6" w:rsidRDefault="006020C6" w:rsidP="0078421E">
            <w:pPr>
              <w:spacing w:after="0" w:line="240" w:lineRule="auto"/>
              <w:jc w:val="right"/>
            </w:pPr>
            <w:r w:rsidRPr="004342F0">
              <w:rPr>
                <w:rFonts w:ascii="Calibri" w:hAnsi="Calibri" w:cs="Calibri"/>
              </w:rPr>
              <w:t>19.2 [17.9–20.5]</w:t>
            </w:r>
          </w:p>
        </w:tc>
        <w:tc>
          <w:tcPr>
            <w:tcW w:w="1694" w:type="dxa"/>
          </w:tcPr>
          <w:p w14:paraId="7455A9A2" w14:textId="77777777" w:rsidR="006020C6" w:rsidRDefault="006020C6" w:rsidP="0078421E">
            <w:pPr>
              <w:spacing w:after="0" w:line="240" w:lineRule="auto"/>
              <w:jc w:val="right"/>
            </w:pPr>
            <w:r w:rsidRPr="004342F0">
              <w:rPr>
                <w:rFonts w:ascii="Calibri" w:hAnsi="Calibri" w:cs="Calibri"/>
              </w:rPr>
              <w:t>44.3 [41.9–46.7]</w:t>
            </w:r>
          </w:p>
        </w:tc>
        <w:tc>
          <w:tcPr>
            <w:tcW w:w="1778" w:type="dxa"/>
          </w:tcPr>
          <w:p w14:paraId="1559962E" w14:textId="77777777" w:rsidR="006020C6" w:rsidRDefault="006020C6" w:rsidP="0078421E">
            <w:pPr>
              <w:spacing w:after="0" w:line="240" w:lineRule="auto"/>
              <w:jc w:val="right"/>
            </w:pPr>
            <w:r w:rsidRPr="004342F0">
              <w:rPr>
                <w:rFonts w:ascii="Calibri" w:hAnsi="Calibri" w:cs="Calibri"/>
              </w:rPr>
              <w:t>35.3 [30.1–40.9]</w:t>
            </w:r>
          </w:p>
        </w:tc>
        <w:tc>
          <w:tcPr>
            <w:tcW w:w="1701" w:type="dxa"/>
          </w:tcPr>
          <w:p w14:paraId="28E30C99" w14:textId="77777777" w:rsidR="006020C6" w:rsidRDefault="006020C6" w:rsidP="0078421E">
            <w:pPr>
              <w:spacing w:after="0" w:line="240" w:lineRule="auto"/>
              <w:jc w:val="right"/>
            </w:pPr>
            <w:r w:rsidRPr="004342F0">
              <w:rPr>
                <w:rFonts w:ascii="Calibri" w:hAnsi="Calibri" w:cs="Calibri"/>
              </w:rPr>
              <w:t>23.3 [20.0–26.9]</w:t>
            </w:r>
          </w:p>
        </w:tc>
      </w:tr>
      <w:tr w:rsidR="006020C6" w14:paraId="76DCA2F2" w14:textId="77777777" w:rsidTr="0078421E">
        <w:tc>
          <w:tcPr>
            <w:tcW w:w="1701" w:type="dxa"/>
          </w:tcPr>
          <w:p w14:paraId="721D768E" w14:textId="77777777" w:rsidR="006020C6" w:rsidRDefault="006020C6" w:rsidP="0078421E">
            <w:pPr>
              <w:spacing w:after="0" w:line="240" w:lineRule="auto"/>
            </w:pPr>
            <w:r>
              <w:t xml:space="preserve">   35</w:t>
            </w:r>
          </w:p>
        </w:tc>
        <w:tc>
          <w:tcPr>
            <w:tcW w:w="1920" w:type="dxa"/>
          </w:tcPr>
          <w:p w14:paraId="6F5A1095" w14:textId="77777777" w:rsidR="006020C6" w:rsidRDefault="006020C6" w:rsidP="0078421E">
            <w:pPr>
              <w:spacing w:after="0" w:line="240" w:lineRule="auto"/>
              <w:jc w:val="right"/>
            </w:pPr>
            <w:r w:rsidRPr="004342F0">
              <w:rPr>
                <w:rFonts w:ascii="Calibri" w:hAnsi="Calibri" w:cs="Calibri"/>
              </w:rPr>
              <w:t>19.2 [17.8–20.7]</w:t>
            </w:r>
          </w:p>
        </w:tc>
        <w:tc>
          <w:tcPr>
            <w:tcW w:w="1694" w:type="dxa"/>
          </w:tcPr>
          <w:p w14:paraId="6D3B0CA7" w14:textId="77777777" w:rsidR="006020C6" w:rsidRDefault="006020C6" w:rsidP="0078421E">
            <w:pPr>
              <w:spacing w:after="0" w:line="240" w:lineRule="auto"/>
              <w:jc w:val="right"/>
            </w:pPr>
            <w:r w:rsidRPr="004342F0">
              <w:rPr>
                <w:rFonts w:ascii="Calibri" w:hAnsi="Calibri" w:cs="Calibri"/>
              </w:rPr>
              <w:t>42.3 [40.1–44.6]</w:t>
            </w:r>
          </w:p>
        </w:tc>
        <w:tc>
          <w:tcPr>
            <w:tcW w:w="1778" w:type="dxa"/>
          </w:tcPr>
          <w:p w14:paraId="0D614B7F" w14:textId="77777777" w:rsidR="006020C6" w:rsidRDefault="006020C6" w:rsidP="0078421E">
            <w:pPr>
              <w:spacing w:after="0" w:line="240" w:lineRule="auto"/>
              <w:jc w:val="right"/>
            </w:pPr>
            <w:r w:rsidRPr="004342F0">
              <w:rPr>
                <w:rFonts w:ascii="Calibri" w:hAnsi="Calibri" w:cs="Calibri"/>
              </w:rPr>
              <w:t>35.3 [29.9–41.2]</w:t>
            </w:r>
          </w:p>
        </w:tc>
        <w:tc>
          <w:tcPr>
            <w:tcW w:w="1701" w:type="dxa"/>
          </w:tcPr>
          <w:p w14:paraId="6899FF1B" w14:textId="77777777" w:rsidR="006020C6" w:rsidRDefault="006020C6" w:rsidP="0078421E">
            <w:pPr>
              <w:spacing w:after="0" w:line="240" w:lineRule="auto"/>
              <w:jc w:val="right"/>
            </w:pPr>
            <w:r w:rsidRPr="004342F0">
              <w:rPr>
                <w:rFonts w:ascii="Calibri" w:hAnsi="Calibri" w:cs="Calibri"/>
              </w:rPr>
              <w:t>22.5 [19.2–26.3]</w:t>
            </w:r>
          </w:p>
        </w:tc>
      </w:tr>
      <w:tr w:rsidR="006020C6" w14:paraId="04B58E0B" w14:textId="77777777" w:rsidTr="0078421E">
        <w:tc>
          <w:tcPr>
            <w:tcW w:w="1701" w:type="dxa"/>
          </w:tcPr>
          <w:p w14:paraId="09640C96" w14:textId="77777777" w:rsidR="006020C6" w:rsidRDefault="006020C6" w:rsidP="0078421E">
            <w:pPr>
              <w:spacing w:after="0" w:line="240" w:lineRule="auto"/>
            </w:pPr>
            <w:r>
              <w:t xml:space="preserve">   40</w:t>
            </w:r>
          </w:p>
        </w:tc>
        <w:tc>
          <w:tcPr>
            <w:tcW w:w="1920" w:type="dxa"/>
          </w:tcPr>
          <w:p w14:paraId="5E4394E8" w14:textId="77777777" w:rsidR="006020C6" w:rsidRDefault="006020C6" w:rsidP="0078421E">
            <w:pPr>
              <w:spacing w:after="0" w:line="240" w:lineRule="auto"/>
              <w:jc w:val="right"/>
            </w:pPr>
            <w:r w:rsidRPr="004342F0">
              <w:rPr>
                <w:rFonts w:ascii="Calibri" w:hAnsi="Calibri" w:cs="Calibri"/>
              </w:rPr>
              <w:t>18.3 [17.2–19.5]</w:t>
            </w:r>
          </w:p>
        </w:tc>
        <w:tc>
          <w:tcPr>
            <w:tcW w:w="1694" w:type="dxa"/>
          </w:tcPr>
          <w:p w14:paraId="61B46DE2" w14:textId="77777777" w:rsidR="006020C6" w:rsidRDefault="006020C6" w:rsidP="0078421E">
            <w:pPr>
              <w:spacing w:after="0" w:line="240" w:lineRule="auto"/>
              <w:jc w:val="right"/>
            </w:pPr>
            <w:r w:rsidRPr="004342F0">
              <w:rPr>
                <w:rFonts w:ascii="Calibri" w:hAnsi="Calibri" w:cs="Calibri"/>
              </w:rPr>
              <w:t>40.2 [37.8–42.7]</w:t>
            </w:r>
          </w:p>
        </w:tc>
        <w:tc>
          <w:tcPr>
            <w:tcW w:w="1778" w:type="dxa"/>
          </w:tcPr>
          <w:p w14:paraId="61E85CA1" w14:textId="77777777" w:rsidR="006020C6" w:rsidRDefault="006020C6" w:rsidP="0078421E">
            <w:pPr>
              <w:spacing w:after="0" w:line="240" w:lineRule="auto"/>
              <w:jc w:val="right"/>
            </w:pPr>
            <w:r w:rsidRPr="004342F0">
              <w:rPr>
                <w:rFonts w:ascii="Calibri" w:hAnsi="Calibri" w:cs="Calibri"/>
              </w:rPr>
              <w:t>32.3 [27.8–37.1]</w:t>
            </w:r>
          </w:p>
        </w:tc>
        <w:tc>
          <w:tcPr>
            <w:tcW w:w="1701" w:type="dxa"/>
          </w:tcPr>
          <w:p w14:paraId="2A366B0D" w14:textId="77777777" w:rsidR="006020C6" w:rsidRDefault="006020C6" w:rsidP="0078421E">
            <w:pPr>
              <w:spacing w:after="0" w:line="240" w:lineRule="auto"/>
              <w:jc w:val="right"/>
            </w:pPr>
            <w:r w:rsidRPr="004342F0">
              <w:rPr>
                <w:rFonts w:ascii="Calibri" w:hAnsi="Calibri" w:cs="Calibri"/>
              </w:rPr>
              <w:t>19.6 [17.1–22.4]</w:t>
            </w:r>
          </w:p>
        </w:tc>
      </w:tr>
      <w:tr w:rsidR="006020C6" w14:paraId="30D8EC53" w14:textId="77777777" w:rsidTr="0078421E">
        <w:tc>
          <w:tcPr>
            <w:tcW w:w="1701" w:type="dxa"/>
          </w:tcPr>
          <w:p w14:paraId="4416F7F0" w14:textId="77777777" w:rsidR="006020C6" w:rsidRDefault="006020C6" w:rsidP="0078421E">
            <w:pPr>
              <w:spacing w:after="0" w:line="240" w:lineRule="auto"/>
            </w:pPr>
            <w:r>
              <w:t xml:space="preserve">   45</w:t>
            </w:r>
          </w:p>
        </w:tc>
        <w:tc>
          <w:tcPr>
            <w:tcW w:w="1920" w:type="dxa"/>
          </w:tcPr>
          <w:p w14:paraId="40329804" w14:textId="77777777" w:rsidR="006020C6" w:rsidRDefault="006020C6" w:rsidP="0078421E">
            <w:pPr>
              <w:spacing w:after="0" w:line="240" w:lineRule="auto"/>
              <w:jc w:val="right"/>
            </w:pPr>
            <w:r w:rsidRPr="004342F0">
              <w:rPr>
                <w:rFonts w:ascii="Calibri" w:hAnsi="Calibri" w:cs="Calibri"/>
              </w:rPr>
              <w:t>16.9 [16.1–17.8]</w:t>
            </w:r>
          </w:p>
        </w:tc>
        <w:tc>
          <w:tcPr>
            <w:tcW w:w="1694" w:type="dxa"/>
          </w:tcPr>
          <w:p w14:paraId="6FFEA585" w14:textId="77777777" w:rsidR="006020C6" w:rsidRDefault="006020C6" w:rsidP="0078421E">
            <w:pPr>
              <w:spacing w:after="0" w:line="240" w:lineRule="auto"/>
              <w:jc w:val="right"/>
            </w:pPr>
            <w:r w:rsidRPr="004342F0">
              <w:rPr>
                <w:rFonts w:ascii="Calibri" w:hAnsi="Calibri" w:cs="Calibri"/>
              </w:rPr>
              <w:t>37.9 [35.4–40.6]</w:t>
            </w:r>
          </w:p>
        </w:tc>
        <w:tc>
          <w:tcPr>
            <w:tcW w:w="1778" w:type="dxa"/>
          </w:tcPr>
          <w:p w14:paraId="1720D7E1" w14:textId="77777777" w:rsidR="006020C6" w:rsidRDefault="006020C6" w:rsidP="0078421E">
            <w:pPr>
              <w:spacing w:after="0" w:line="240" w:lineRule="auto"/>
              <w:jc w:val="right"/>
            </w:pPr>
            <w:r w:rsidRPr="004342F0">
              <w:rPr>
                <w:rFonts w:ascii="Calibri" w:hAnsi="Calibri" w:cs="Calibri"/>
              </w:rPr>
              <w:t>27.8 [24.0–32.1]</w:t>
            </w:r>
          </w:p>
        </w:tc>
        <w:tc>
          <w:tcPr>
            <w:tcW w:w="1701" w:type="dxa"/>
          </w:tcPr>
          <w:p w14:paraId="62069041" w14:textId="77777777" w:rsidR="006020C6" w:rsidRDefault="006020C6" w:rsidP="0078421E">
            <w:pPr>
              <w:spacing w:after="0" w:line="240" w:lineRule="auto"/>
              <w:jc w:val="right"/>
            </w:pPr>
            <w:r w:rsidRPr="004342F0">
              <w:rPr>
                <w:rFonts w:ascii="Calibri" w:hAnsi="Calibri" w:cs="Calibri"/>
              </w:rPr>
              <w:t>16.0 [14.2–18.1]</w:t>
            </w:r>
          </w:p>
        </w:tc>
      </w:tr>
      <w:tr w:rsidR="006020C6" w14:paraId="1C98ACB1" w14:textId="77777777" w:rsidTr="0078421E">
        <w:tc>
          <w:tcPr>
            <w:tcW w:w="1701" w:type="dxa"/>
          </w:tcPr>
          <w:p w14:paraId="0CEEF669" w14:textId="77777777" w:rsidR="006020C6" w:rsidRDefault="006020C6" w:rsidP="0078421E">
            <w:pPr>
              <w:spacing w:after="0" w:line="240" w:lineRule="auto"/>
            </w:pPr>
            <w:r>
              <w:t xml:space="preserve">   50</w:t>
            </w:r>
          </w:p>
        </w:tc>
        <w:tc>
          <w:tcPr>
            <w:tcW w:w="1920" w:type="dxa"/>
          </w:tcPr>
          <w:p w14:paraId="466FCDD8" w14:textId="77777777" w:rsidR="006020C6" w:rsidRDefault="006020C6" w:rsidP="0078421E">
            <w:pPr>
              <w:spacing w:after="0" w:line="240" w:lineRule="auto"/>
              <w:jc w:val="right"/>
            </w:pPr>
            <w:r w:rsidRPr="004342F0">
              <w:rPr>
                <w:rFonts w:ascii="Calibri" w:hAnsi="Calibri" w:cs="Calibri"/>
              </w:rPr>
              <w:t>15.5 [14.7–16.3]</w:t>
            </w:r>
          </w:p>
        </w:tc>
        <w:tc>
          <w:tcPr>
            <w:tcW w:w="1694" w:type="dxa"/>
          </w:tcPr>
          <w:p w14:paraId="4A38BE0C" w14:textId="77777777" w:rsidR="006020C6" w:rsidRDefault="006020C6" w:rsidP="0078421E">
            <w:pPr>
              <w:spacing w:after="0" w:line="240" w:lineRule="auto"/>
              <w:jc w:val="right"/>
            </w:pPr>
            <w:r w:rsidRPr="004342F0">
              <w:rPr>
                <w:rFonts w:ascii="Calibri" w:hAnsi="Calibri" w:cs="Calibri"/>
              </w:rPr>
              <w:t>35.5 [32.9–38.1]</w:t>
            </w:r>
          </w:p>
        </w:tc>
        <w:tc>
          <w:tcPr>
            <w:tcW w:w="1778" w:type="dxa"/>
          </w:tcPr>
          <w:p w14:paraId="7DDF9F62" w14:textId="77777777" w:rsidR="006020C6" w:rsidRDefault="006020C6" w:rsidP="0078421E">
            <w:pPr>
              <w:spacing w:after="0" w:line="240" w:lineRule="auto"/>
              <w:jc w:val="right"/>
            </w:pPr>
            <w:r w:rsidRPr="004342F0">
              <w:rPr>
                <w:rFonts w:ascii="Calibri" w:hAnsi="Calibri" w:cs="Calibri"/>
              </w:rPr>
              <w:t>24.0 [19.9–28.6]</w:t>
            </w:r>
          </w:p>
        </w:tc>
        <w:tc>
          <w:tcPr>
            <w:tcW w:w="1701" w:type="dxa"/>
          </w:tcPr>
          <w:p w14:paraId="06F26851" w14:textId="77777777" w:rsidR="006020C6" w:rsidRDefault="006020C6" w:rsidP="0078421E">
            <w:pPr>
              <w:spacing w:after="0" w:line="240" w:lineRule="auto"/>
              <w:jc w:val="right"/>
            </w:pPr>
            <w:r w:rsidRPr="004342F0">
              <w:rPr>
                <w:rFonts w:ascii="Calibri" w:hAnsi="Calibri" w:cs="Calibri"/>
              </w:rPr>
              <w:t>13.2 [11.5–15.2]</w:t>
            </w:r>
          </w:p>
        </w:tc>
      </w:tr>
      <w:tr w:rsidR="006020C6" w14:paraId="10C3593A" w14:textId="77777777" w:rsidTr="0078421E">
        <w:tc>
          <w:tcPr>
            <w:tcW w:w="1701" w:type="dxa"/>
          </w:tcPr>
          <w:p w14:paraId="2825BDCC" w14:textId="77777777" w:rsidR="006020C6" w:rsidRDefault="006020C6" w:rsidP="0078421E">
            <w:pPr>
              <w:spacing w:after="0" w:line="240" w:lineRule="auto"/>
            </w:pPr>
            <w:r>
              <w:t xml:space="preserve">   55</w:t>
            </w:r>
          </w:p>
        </w:tc>
        <w:tc>
          <w:tcPr>
            <w:tcW w:w="1920" w:type="dxa"/>
          </w:tcPr>
          <w:p w14:paraId="4AEEF720" w14:textId="77777777" w:rsidR="006020C6" w:rsidRDefault="006020C6" w:rsidP="0078421E">
            <w:pPr>
              <w:spacing w:after="0" w:line="240" w:lineRule="auto"/>
              <w:jc w:val="right"/>
            </w:pPr>
            <w:r w:rsidRPr="004342F0">
              <w:rPr>
                <w:rFonts w:ascii="Calibri" w:hAnsi="Calibri" w:cs="Calibri"/>
              </w:rPr>
              <w:t>14.4 [13.6–15.2]</w:t>
            </w:r>
          </w:p>
        </w:tc>
        <w:tc>
          <w:tcPr>
            <w:tcW w:w="1694" w:type="dxa"/>
          </w:tcPr>
          <w:p w14:paraId="4C8B736C" w14:textId="77777777" w:rsidR="006020C6" w:rsidRDefault="006020C6" w:rsidP="0078421E">
            <w:pPr>
              <w:spacing w:after="0" w:line="240" w:lineRule="auto"/>
              <w:jc w:val="right"/>
            </w:pPr>
            <w:r w:rsidRPr="004342F0">
              <w:rPr>
                <w:rFonts w:ascii="Calibri" w:hAnsi="Calibri" w:cs="Calibri"/>
              </w:rPr>
              <w:t>32.8 [30.5–35.2]</w:t>
            </w:r>
          </w:p>
        </w:tc>
        <w:tc>
          <w:tcPr>
            <w:tcW w:w="1778" w:type="dxa"/>
          </w:tcPr>
          <w:p w14:paraId="1CD7C62F" w14:textId="77777777" w:rsidR="006020C6" w:rsidRDefault="006020C6" w:rsidP="0078421E">
            <w:pPr>
              <w:spacing w:after="0" w:line="240" w:lineRule="auto"/>
              <w:jc w:val="right"/>
            </w:pPr>
            <w:r w:rsidRPr="004342F0">
              <w:rPr>
                <w:rFonts w:ascii="Calibri" w:hAnsi="Calibri" w:cs="Calibri"/>
              </w:rPr>
              <w:t>22.0 [18.2–26.4]</w:t>
            </w:r>
          </w:p>
        </w:tc>
        <w:tc>
          <w:tcPr>
            <w:tcW w:w="1701" w:type="dxa"/>
          </w:tcPr>
          <w:p w14:paraId="1CDACBA6" w14:textId="77777777" w:rsidR="006020C6" w:rsidRDefault="006020C6" w:rsidP="0078421E">
            <w:pPr>
              <w:spacing w:after="0" w:line="240" w:lineRule="auto"/>
              <w:jc w:val="right"/>
            </w:pPr>
            <w:r w:rsidRPr="004342F0">
              <w:rPr>
                <w:rFonts w:ascii="Calibri" w:hAnsi="Calibri" w:cs="Calibri"/>
              </w:rPr>
              <w:t>11.8 [10.2–13.7]</w:t>
            </w:r>
          </w:p>
        </w:tc>
      </w:tr>
      <w:tr w:rsidR="006020C6" w14:paraId="3D0C0AEE" w14:textId="77777777" w:rsidTr="0078421E">
        <w:tc>
          <w:tcPr>
            <w:tcW w:w="1701" w:type="dxa"/>
          </w:tcPr>
          <w:p w14:paraId="3142C935" w14:textId="77777777" w:rsidR="006020C6" w:rsidRDefault="006020C6" w:rsidP="0078421E">
            <w:pPr>
              <w:spacing w:after="0" w:line="240" w:lineRule="auto"/>
            </w:pPr>
            <w:r>
              <w:t xml:space="preserve">   60</w:t>
            </w:r>
          </w:p>
        </w:tc>
        <w:tc>
          <w:tcPr>
            <w:tcW w:w="1920" w:type="dxa"/>
          </w:tcPr>
          <w:p w14:paraId="6A2DC680" w14:textId="77777777" w:rsidR="006020C6" w:rsidRDefault="006020C6" w:rsidP="0078421E">
            <w:pPr>
              <w:spacing w:after="0" w:line="240" w:lineRule="auto"/>
              <w:jc w:val="right"/>
            </w:pPr>
            <w:r w:rsidRPr="004342F0">
              <w:rPr>
                <w:rFonts w:ascii="Calibri" w:hAnsi="Calibri" w:cs="Calibri"/>
              </w:rPr>
              <w:t>13.4 [12.6–14.3]</w:t>
            </w:r>
          </w:p>
        </w:tc>
        <w:tc>
          <w:tcPr>
            <w:tcW w:w="1694" w:type="dxa"/>
          </w:tcPr>
          <w:p w14:paraId="79250AF1" w14:textId="77777777" w:rsidR="006020C6" w:rsidRDefault="006020C6" w:rsidP="0078421E">
            <w:pPr>
              <w:spacing w:after="0" w:line="240" w:lineRule="auto"/>
              <w:jc w:val="right"/>
            </w:pPr>
            <w:r w:rsidRPr="004342F0">
              <w:rPr>
                <w:rFonts w:ascii="Calibri" w:hAnsi="Calibri" w:cs="Calibri"/>
              </w:rPr>
              <w:t>30.0 [27.9–32.1]</w:t>
            </w:r>
          </w:p>
        </w:tc>
        <w:tc>
          <w:tcPr>
            <w:tcW w:w="1778" w:type="dxa"/>
          </w:tcPr>
          <w:p w14:paraId="1D21B5B7" w14:textId="77777777" w:rsidR="006020C6" w:rsidRDefault="006020C6" w:rsidP="0078421E">
            <w:pPr>
              <w:spacing w:after="0" w:line="240" w:lineRule="auto"/>
              <w:jc w:val="right"/>
            </w:pPr>
            <w:r w:rsidRPr="004342F0">
              <w:rPr>
                <w:rFonts w:ascii="Calibri" w:hAnsi="Calibri" w:cs="Calibri"/>
              </w:rPr>
              <w:t>21.9 [18.2–26.1]</w:t>
            </w:r>
          </w:p>
        </w:tc>
        <w:tc>
          <w:tcPr>
            <w:tcW w:w="1701" w:type="dxa"/>
          </w:tcPr>
          <w:p w14:paraId="3144F231" w14:textId="77777777" w:rsidR="006020C6" w:rsidRDefault="006020C6" w:rsidP="0078421E">
            <w:pPr>
              <w:spacing w:after="0" w:line="240" w:lineRule="auto"/>
              <w:jc w:val="right"/>
            </w:pPr>
            <w:r w:rsidRPr="004342F0">
              <w:rPr>
                <w:rFonts w:ascii="Calibri" w:hAnsi="Calibri" w:cs="Calibri"/>
              </w:rPr>
              <w:t>11.7 [10.0–13.6]</w:t>
            </w:r>
          </w:p>
        </w:tc>
      </w:tr>
      <w:tr w:rsidR="006020C6" w14:paraId="3BDE02B5" w14:textId="77777777" w:rsidTr="0078421E">
        <w:tc>
          <w:tcPr>
            <w:tcW w:w="1701" w:type="dxa"/>
          </w:tcPr>
          <w:p w14:paraId="120C3118" w14:textId="77777777" w:rsidR="006020C6" w:rsidRDefault="006020C6" w:rsidP="0078421E">
            <w:pPr>
              <w:spacing w:after="0" w:line="240" w:lineRule="auto"/>
            </w:pPr>
            <w:r>
              <w:t xml:space="preserve">   65</w:t>
            </w:r>
          </w:p>
        </w:tc>
        <w:tc>
          <w:tcPr>
            <w:tcW w:w="1920" w:type="dxa"/>
          </w:tcPr>
          <w:p w14:paraId="78C41705" w14:textId="77777777" w:rsidR="006020C6" w:rsidRDefault="006020C6" w:rsidP="0078421E">
            <w:pPr>
              <w:spacing w:after="0" w:line="240" w:lineRule="auto"/>
              <w:jc w:val="right"/>
            </w:pPr>
            <w:r w:rsidRPr="004342F0">
              <w:rPr>
                <w:rFonts w:ascii="Calibri" w:hAnsi="Calibri" w:cs="Calibri"/>
              </w:rPr>
              <w:t>12.0 [11.1–13.0]</w:t>
            </w:r>
          </w:p>
        </w:tc>
        <w:tc>
          <w:tcPr>
            <w:tcW w:w="1694" w:type="dxa"/>
          </w:tcPr>
          <w:p w14:paraId="15B40897" w14:textId="77777777" w:rsidR="006020C6" w:rsidRDefault="006020C6" w:rsidP="0078421E">
            <w:pPr>
              <w:spacing w:after="0" w:line="240" w:lineRule="auto"/>
              <w:jc w:val="right"/>
            </w:pPr>
            <w:r w:rsidRPr="004342F0">
              <w:rPr>
                <w:rFonts w:ascii="Calibri" w:hAnsi="Calibri" w:cs="Calibri"/>
              </w:rPr>
              <w:t>27.1 [24.8–29.4]</w:t>
            </w:r>
          </w:p>
        </w:tc>
        <w:tc>
          <w:tcPr>
            <w:tcW w:w="1778" w:type="dxa"/>
          </w:tcPr>
          <w:p w14:paraId="36BA4061" w14:textId="77777777" w:rsidR="006020C6" w:rsidRDefault="006020C6" w:rsidP="0078421E">
            <w:pPr>
              <w:spacing w:after="0" w:line="240" w:lineRule="auto"/>
              <w:jc w:val="right"/>
            </w:pPr>
            <w:r w:rsidRPr="004342F0">
              <w:rPr>
                <w:rFonts w:ascii="Calibri" w:hAnsi="Calibri" w:cs="Calibri"/>
              </w:rPr>
              <w:t>22.1 [17.6–27.3]</w:t>
            </w:r>
          </w:p>
        </w:tc>
        <w:tc>
          <w:tcPr>
            <w:tcW w:w="1701" w:type="dxa"/>
          </w:tcPr>
          <w:p w14:paraId="22449392" w14:textId="77777777" w:rsidR="006020C6" w:rsidRDefault="006020C6" w:rsidP="0078421E">
            <w:pPr>
              <w:spacing w:after="0" w:line="240" w:lineRule="auto"/>
              <w:jc w:val="right"/>
            </w:pPr>
            <w:r w:rsidRPr="004342F0">
              <w:rPr>
                <w:rFonts w:ascii="Calibri" w:hAnsi="Calibri" w:cs="Calibri"/>
              </w:rPr>
              <w:t>11.6 [9.5–14.2]</w:t>
            </w:r>
          </w:p>
        </w:tc>
      </w:tr>
      <w:tr w:rsidR="006020C6" w14:paraId="6437E6F6" w14:textId="77777777" w:rsidTr="0078421E">
        <w:tc>
          <w:tcPr>
            <w:tcW w:w="1701" w:type="dxa"/>
          </w:tcPr>
          <w:p w14:paraId="4F1ABC36" w14:textId="77777777" w:rsidR="006020C6" w:rsidRDefault="006020C6" w:rsidP="0078421E">
            <w:pPr>
              <w:spacing w:after="0" w:line="240" w:lineRule="auto"/>
            </w:pPr>
            <w:r>
              <w:t xml:space="preserve">   70</w:t>
            </w:r>
          </w:p>
        </w:tc>
        <w:tc>
          <w:tcPr>
            <w:tcW w:w="1920" w:type="dxa"/>
          </w:tcPr>
          <w:p w14:paraId="4FB33104" w14:textId="77777777" w:rsidR="006020C6" w:rsidRDefault="006020C6" w:rsidP="0078421E">
            <w:pPr>
              <w:spacing w:after="0" w:line="240" w:lineRule="auto"/>
              <w:jc w:val="right"/>
            </w:pPr>
            <w:r w:rsidRPr="004342F0">
              <w:rPr>
                <w:rFonts w:ascii="Calibri" w:hAnsi="Calibri" w:cs="Calibri"/>
              </w:rPr>
              <w:t>9.7 [8.9–10.6]</w:t>
            </w:r>
          </w:p>
        </w:tc>
        <w:tc>
          <w:tcPr>
            <w:tcW w:w="1694" w:type="dxa"/>
          </w:tcPr>
          <w:p w14:paraId="286C58A5" w14:textId="77777777" w:rsidR="006020C6" w:rsidRDefault="006020C6" w:rsidP="0078421E">
            <w:pPr>
              <w:spacing w:after="0" w:line="240" w:lineRule="auto"/>
              <w:jc w:val="right"/>
            </w:pPr>
            <w:r w:rsidRPr="004342F0">
              <w:rPr>
                <w:rFonts w:ascii="Calibri" w:hAnsi="Calibri" w:cs="Calibri"/>
              </w:rPr>
              <w:t>24.2 [21.3–27.3]</w:t>
            </w:r>
          </w:p>
        </w:tc>
        <w:tc>
          <w:tcPr>
            <w:tcW w:w="1778" w:type="dxa"/>
          </w:tcPr>
          <w:p w14:paraId="5F9184E3" w14:textId="77777777" w:rsidR="006020C6" w:rsidRDefault="006020C6" w:rsidP="0078421E">
            <w:pPr>
              <w:spacing w:after="0" w:line="240" w:lineRule="auto"/>
              <w:jc w:val="right"/>
            </w:pPr>
            <w:r w:rsidRPr="004342F0">
              <w:rPr>
                <w:rFonts w:ascii="Calibri" w:hAnsi="Calibri" w:cs="Calibri"/>
              </w:rPr>
              <w:t>21.3 [16.4–27.2]</w:t>
            </w:r>
          </w:p>
        </w:tc>
        <w:tc>
          <w:tcPr>
            <w:tcW w:w="1701" w:type="dxa"/>
          </w:tcPr>
          <w:p w14:paraId="6CA3D539" w14:textId="77777777" w:rsidR="006020C6" w:rsidRDefault="006020C6" w:rsidP="0078421E">
            <w:pPr>
              <w:spacing w:after="0" w:line="240" w:lineRule="auto"/>
              <w:jc w:val="right"/>
            </w:pPr>
            <w:r w:rsidRPr="004342F0">
              <w:rPr>
                <w:rFonts w:ascii="Calibri" w:hAnsi="Calibri" w:cs="Calibri"/>
              </w:rPr>
              <w:t>10.8 [8.7–13.3]</w:t>
            </w:r>
          </w:p>
        </w:tc>
      </w:tr>
      <w:tr w:rsidR="006020C6" w14:paraId="1C59647A" w14:textId="77777777" w:rsidTr="0078421E">
        <w:tc>
          <w:tcPr>
            <w:tcW w:w="1701" w:type="dxa"/>
          </w:tcPr>
          <w:p w14:paraId="4FA463ED" w14:textId="77777777" w:rsidR="006020C6" w:rsidRDefault="006020C6" w:rsidP="0078421E">
            <w:pPr>
              <w:spacing w:after="0" w:line="240" w:lineRule="auto"/>
            </w:pPr>
            <w:r>
              <w:t xml:space="preserve">   75</w:t>
            </w:r>
          </w:p>
        </w:tc>
        <w:tc>
          <w:tcPr>
            <w:tcW w:w="1920" w:type="dxa"/>
          </w:tcPr>
          <w:p w14:paraId="709A5EE6" w14:textId="77777777" w:rsidR="006020C6" w:rsidRDefault="006020C6" w:rsidP="0078421E">
            <w:pPr>
              <w:spacing w:after="0" w:line="240" w:lineRule="auto"/>
              <w:jc w:val="right"/>
            </w:pPr>
            <w:r w:rsidRPr="004342F0">
              <w:rPr>
                <w:rFonts w:ascii="Calibri" w:hAnsi="Calibri" w:cs="Calibri"/>
              </w:rPr>
              <w:t>6.8 [6.1–7.5]</w:t>
            </w:r>
          </w:p>
        </w:tc>
        <w:tc>
          <w:tcPr>
            <w:tcW w:w="1694" w:type="dxa"/>
          </w:tcPr>
          <w:p w14:paraId="6D379BA8" w14:textId="77777777" w:rsidR="006020C6" w:rsidRDefault="006020C6" w:rsidP="0078421E">
            <w:pPr>
              <w:spacing w:after="0" w:line="240" w:lineRule="auto"/>
              <w:jc w:val="right"/>
            </w:pPr>
            <w:r w:rsidRPr="004342F0">
              <w:rPr>
                <w:rFonts w:ascii="Calibri" w:hAnsi="Calibri" w:cs="Calibri"/>
              </w:rPr>
              <w:t>21.4 [17.7–25.5]</w:t>
            </w:r>
          </w:p>
        </w:tc>
        <w:tc>
          <w:tcPr>
            <w:tcW w:w="1778" w:type="dxa"/>
          </w:tcPr>
          <w:p w14:paraId="095B70D9" w14:textId="77777777" w:rsidR="006020C6" w:rsidRDefault="006020C6" w:rsidP="0078421E">
            <w:pPr>
              <w:spacing w:after="0" w:line="240" w:lineRule="auto"/>
              <w:jc w:val="right"/>
            </w:pPr>
            <w:r w:rsidRPr="004342F0">
              <w:rPr>
                <w:rFonts w:ascii="Calibri" w:hAnsi="Calibri" w:cs="Calibri"/>
              </w:rPr>
              <w:t>18.5 [14.4–23.4]</w:t>
            </w:r>
          </w:p>
        </w:tc>
        <w:tc>
          <w:tcPr>
            <w:tcW w:w="1701" w:type="dxa"/>
          </w:tcPr>
          <w:p w14:paraId="1404EF34" w14:textId="77777777" w:rsidR="006020C6" w:rsidRDefault="006020C6" w:rsidP="0078421E">
            <w:pPr>
              <w:spacing w:after="0" w:line="240" w:lineRule="auto"/>
              <w:jc w:val="right"/>
            </w:pPr>
            <w:r w:rsidRPr="004342F0">
              <w:rPr>
                <w:rFonts w:ascii="Calibri" w:hAnsi="Calibri" w:cs="Calibri"/>
              </w:rPr>
              <w:t>8.5 [6.6–10.8]</w:t>
            </w:r>
          </w:p>
        </w:tc>
      </w:tr>
      <w:tr w:rsidR="006020C6" w14:paraId="38730BA6" w14:textId="77777777" w:rsidTr="0078421E">
        <w:tc>
          <w:tcPr>
            <w:tcW w:w="1701" w:type="dxa"/>
          </w:tcPr>
          <w:p w14:paraId="2C7053D8" w14:textId="77777777" w:rsidR="006020C6" w:rsidRDefault="006020C6" w:rsidP="0078421E">
            <w:pPr>
              <w:spacing w:after="0" w:line="240" w:lineRule="auto"/>
            </w:pPr>
            <w:r>
              <w:t xml:space="preserve">   80</w:t>
            </w:r>
          </w:p>
        </w:tc>
        <w:tc>
          <w:tcPr>
            <w:tcW w:w="1920" w:type="dxa"/>
          </w:tcPr>
          <w:p w14:paraId="6C4D4FCC" w14:textId="77777777" w:rsidR="006020C6" w:rsidRDefault="006020C6" w:rsidP="0078421E">
            <w:pPr>
              <w:spacing w:after="0" w:line="240" w:lineRule="auto"/>
              <w:jc w:val="right"/>
            </w:pPr>
            <w:r w:rsidRPr="004342F0">
              <w:rPr>
                <w:rFonts w:ascii="Calibri" w:hAnsi="Calibri" w:cs="Calibri"/>
              </w:rPr>
              <w:t>4.0 [3.2–5.0]</w:t>
            </w:r>
          </w:p>
        </w:tc>
        <w:tc>
          <w:tcPr>
            <w:tcW w:w="1694" w:type="dxa"/>
          </w:tcPr>
          <w:p w14:paraId="6CFB2624" w14:textId="77777777" w:rsidR="006020C6" w:rsidRDefault="006020C6" w:rsidP="0078421E">
            <w:pPr>
              <w:spacing w:after="0" w:line="240" w:lineRule="auto"/>
              <w:jc w:val="right"/>
            </w:pPr>
            <w:r w:rsidRPr="004342F0">
              <w:rPr>
                <w:rFonts w:ascii="Calibri" w:hAnsi="Calibri" w:cs="Calibri"/>
              </w:rPr>
              <w:t>18.7 [14.4–24.0]</w:t>
            </w:r>
          </w:p>
        </w:tc>
        <w:tc>
          <w:tcPr>
            <w:tcW w:w="1778" w:type="dxa"/>
          </w:tcPr>
          <w:p w14:paraId="79F3159B" w14:textId="77777777" w:rsidR="006020C6" w:rsidRDefault="006020C6" w:rsidP="0078421E">
            <w:pPr>
              <w:spacing w:after="0" w:line="240" w:lineRule="auto"/>
              <w:jc w:val="right"/>
            </w:pPr>
            <w:r w:rsidRPr="004342F0">
              <w:rPr>
                <w:rFonts w:ascii="Calibri" w:hAnsi="Calibri" w:cs="Calibri"/>
              </w:rPr>
              <w:t>14.2 [9.8–20.0]</w:t>
            </w:r>
          </w:p>
        </w:tc>
        <w:tc>
          <w:tcPr>
            <w:tcW w:w="1701" w:type="dxa"/>
          </w:tcPr>
          <w:p w14:paraId="7D90D61D" w14:textId="77777777" w:rsidR="006020C6" w:rsidRDefault="006020C6" w:rsidP="0078421E">
            <w:pPr>
              <w:spacing w:after="0" w:line="240" w:lineRule="auto"/>
              <w:jc w:val="right"/>
            </w:pPr>
            <w:r w:rsidRPr="004342F0">
              <w:rPr>
                <w:rFonts w:ascii="Calibri" w:hAnsi="Calibri" w:cs="Calibri"/>
              </w:rPr>
              <w:t>5.7 [3.4–9.4]</w:t>
            </w:r>
          </w:p>
        </w:tc>
      </w:tr>
      <w:tr w:rsidR="006020C6" w:rsidRPr="002571DE" w14:paraId="3E21FCC0" w14:textId="77777777" w:rsidTr="0078421E">
        <w:tc>
          <w:tcPr>
            <w:tcW w:w="1701" w:type="dxa"/>
          </w:tcPr>
          <w:p w14:paraId="3092B58C" w14:textId="77777777" w:rsidR="006020C6" w:rsidRPr="002571DE" w:rsidRDefault="006020C6" w:rsidP="0078421E">
            <w:pPr>
              <w:spacing w:after="0" w:line="240" w:lineRule="auto"/>
              <w:rPr>
                <w:sz w:val="12"/>
                <w:szCs w:val="12"/>
              </w:rPr>
            </w:pPr>
          </w:p>
        </w:tc>
        <w:tc>
          <w:tcPr>
            <w:tcW w:w="1920" w:type="dxa"/>
          </w:tcPr>
          <w:p w14:paraId="074B9853" w14:textId="77777777" w:rsidR="006020C6" w:rsidRPr="002571DE" w:rsidRDefault="006020C6" w:rsidP="0078421E">
            <w:pPr>
              <w:spacing w:after="0" w:line="240" w:lineRule="auto"/>
              <w:rPr>
                <w:sz w:val="12"/>
                <w:szCs w:val="12"/>
              </w:rPr>
            </w:pPr>
          </w:p>
        </w:tc>
        <w:tc>
          <w:tcPr>
            <w:tcW w:w="1694" w:type="dxa"/>
          </w:tcPr>
          <w:p w14:paraId="7A1F612B" w14:textId="77777777" w:rsidR="006020C6" w:rsidRPr="002571DE" w:rsidRDefault="006020C6" w:rsidP="0078421E">
            <w:pPr>
              <w:spacing w:after="0" w:line="240" w:lineRule="auto"/>
              <w:rPr>
                <w:sz w:val="12"/>
                <w:szCs w:val="12"/>
              </w:rPr>
            </w:pPr>
          </w:p>
        </w:tc>
        <w:tc>
          <w:tcPr>
            <w:tcW w:w="1778" w:type="dxa"/>
          </w:tcPr>
          <w:p w14:paraId="20DFB798" w14:textId="77777777" w:rsidR="006020C6" w:rsidRPr="002571DE" w:rsidRDefault="006020C6" w:rsidP="0078421E">
            <w:pPr>
              <w:spacing w:after="0" w:line="240" w:lineRule="auto"/>
              <w:rPr>
                <w:sz w:val="12"/>
                <w:szCs w:val="12"/>
              </w:rPr>
            </w:pPr>
          </w:p>
        </w:tc>
        <w:tc>
          <w:tcPr>
            <w:tcW w:w="1701" w:type="dxa"/>
          </w:tcPr>
          <w:p w14:paraId="4192F731" w14:textId="77777777" w:rsidR="006020C6" w:rsidRPr="002571DE" w:rsidRDefault="006020C6" w:rsidP="0078421E">
            <w:pPr>
              <w:spacing w:after="0" w:line="240" w:lineRule="auto"/>
              <w:rPr>
                <w:sz w:val="12"/>
                <w:szCs w:val="12"/>
              </w:rPr>
            </w:pPr>
          </w:p>
        </w:tc>
      </w:tr>
    </w:tbl>
    <w:p w14:paraId="38EA2572" w14:textId="77777777" w:rsidR="006020C6" w:rsidRDefault="006020C6" w:rsidP="006020C6">
      <w:pPr>
        <w:spacing w:after="0" w:line="240" w:lineRule="auto"/>
      </w:pPr>
      <w:r>
        <w:t>CI, confidence interval.</w:t>
      </w:r>
    </w:p>
    <w:p w14:paraId="09AB5C23" w14:textId="77777777" w:rsidR="006020C6" w:rsidRDefault="006020C6" w:rsidP="006020C6">
      <w:pPr>
        <w:spacing w:after="0" w:line="240" w:lineRule="auto"/>
      </w:pPr>
      <w:r>
        <w:rPr>
          <w:vertAlign w:val="superscript"/>
        </w:rPr>
        <w:t>1</w:t>
      </w:r>
      <w:r>
        <w:t xml:space="preserve"> Among women.  </w:t>
      </w:r>
    </w:p>
    <w:p w14:paraId="0DFA5667" w14:textId="77777777" w:rsidR="006020C6" w:rsidRDefault="006020C6" w:rsidP="006020C6">
      <w:pPr>
        <w:spacing w:after="0" w:line="240" w:lineRule="auto"/>
      </w:pPr>
      <w:r>
        <w:rPr>
          <w:vertAlign w:val="superscript"/>
        </w:rPr>
        <w:t>2</w:t>
      </w:r>
      <w:r>
        <w:t xml:space="preserve"> Among women who smoked in the past year.  </w:t>
      </w:r>
    </w:p>
    <w:p w14:paraId="57D15CEC" w14:textId="77777777" w:rsidR="006020C6" w:rsidRDefault="006020C6" w:rsidP="006020C6">
      <w:pPr>
        <w:spacing w:after="0" w:line="240" w:lineRule="auto"/>
      </w:pPr>
      <w:r>
        <w:rPr>
          <w:vertAlign w:val="superscript"/>
        </w:rPr>
        <w:t>3</w:t>
      </w:r>
      <w:r>
        <w:t xml:space="preserve"> Among women who tried to quit smoking in the past year. </w:t>
      </w:r>
    </w:p>
    <w:p w14:paraId="15E6A9B8" w14:textId="171B5097" w:rsidR="006020C6" w:rsidRDefault="006020C6" w:rsidP="006020C6">
      <w:pPr>
        <w:spacing w:after="0" w:line="240" w:lineRule="auto"/>
      </w:pPr>
      <w:r>
        <w:rPr>
          <w:vertAlign w:val="superscript"/>
        </w:rPr>
        <w:t>4</w:t>
      </w:r>
      <w:r>
        <w:t xml:space="preserve"> </w:t>
      </w:r>
      <w:r w:rsidRPr="006A7CBF">
        <w:t xml:space="preserve">Predicted </w:t>
      </w:r>
      <w:r>
        <w:t xml:space="preserve">weighted </w:t>
      </w:r>
      <w:r w:rsidRPr="006A7CBF">
        <w:t xml:space="preserve">estimates </w:t>
      </w:r>
      <w:r>
        <w:t xml:space="preserve">for individual years of age </w:t>
      </w:r>
      <w:r w:rsidRPr="006A7CBF">
        <w:t>from logistic regression model</w:t>
      </w:r>
      <w:r>
        <w:t>s</w:t>
      </w:r>
      <w:r w:rsidRPr="006A7CBF">
        <w:t xml:space="preserve"> with age modelled using restricted cubic splines</w:t>
      </w:r>
      <w:r>
        <w:t xml:space="preserve"> (see </w:t>
      </w:r>
      <w:r w:rsidR="00DF76B0">
        <w:rPr>
          <w:b/>
          <w:bCs/>
        </w:rPr>
        <w:t>Additional f</w:t>
      </w:r>
      <w:r w:rsidR="00C10179">
        <w:rPr>
          <w:b/>
          <w:bCs/>
        </w:rPr>
        <w:t>ile 1</w:t>
      </w:r>
      <w:r w:rsidR="00903586">
        <w:rPr>
          <w:b/>
          <w:bCs/>
        </w:rPr>
        <w:t>: Table S1</w:t>
      </w:r>
      <w:r>
        <w:t xml:space="preserve"> for details of model selection)</w:t>
      </w:r>
      <w:r w:rsidRPr="006A7CBF">
        <w:t>. Note that the model</w:t>
      </w:r>
      <w:r>
        <w:t>s</w:t>
      </w:r>
      <w:r w:rsidRPr="006A7CBF">
        <w:t xml:space="preserve"> used to derive these estimates included data from participants of all ages.</w:t>
      </w:r>
    </w:p>
    <w:p w14:paraId="4D09C578" w14:textId="292CD613" w:rsidR="006020C6" w:rsidRPr="007678A4" w:rsidRDefault="006020C6" w:rsidP="006020C6">
      <w:pPr>
        <w:spacing w:after="0" w:line="240" w:lineRule="auto"/>
        <w:rPr>
          <w:bCs/>
        </w:rPr>
      </w:pPr>
      <w:r>
        <w:t xml:space="preserve">Unmodelled weighted estimates within age bands are provided in </w:t>
      </w:r>
      <w:r w:rsidR="00DF76B0">
        <w:rPr>
          <w:b/>
          <w:bCs/>
        </w:rPr>
        <w:t>Additional f</w:t>
      </w:r>
      <w:r w:rsidR="00993B67">
        <w:rPr>
          <w:b/>
          <w:bCs/>
        </w:rPr>
        <w:t xml:space="preserve">ile 2: </w:t>
      </w:r>
      <w:r>
        <w:rPr>
          <w:b/>
          <w:bCs/>
        </w:rPr>
        <w:t>Table S3</w:t>
      </w:r>
      <w:r>
        <w:t>.</w:t>
      </w:r>
      <w:r w:rsidR="007678A4" w:rsidRPr="007678A4">
        <w:rPr>
          <w:b/>
        </w:rPr>
        <w:t xml:space="preserve"> </w:t>
      </w:r>
      <w:r w:rsidR="007678A4" w:rsidRPr="007629F6">
        <w:rPr>
          <w:bCs/>
        </w:rPr>
        <w:t xml:space="preserve">Corresponding data for men are provided in </w:t>
      </w:r>
      <w:r w:rsidR="00DF76B0">
        <w:rPr>
          <w:b/>
        </w:rPr>
        <w:t>Additional</w:t>
      </w:r>
      <w:r w:rsidR="00DF76B0" w:rsidRPr="007629F6">
        <w:rPr>
          <w:b/>
        </w:rPr>
        <w:t xml:space="preserve"> </w:t>
      </w:r>
      <w:r w:rsidR="00DF76B0">
        <w:rPr>
          <w:b/>
        </w:rPr>
        <w:t>f</w:t>
      </w:r>
      <w:r w:rsidR="007678A4" w:rsidRPr="007629F6">
        <w:rPr>
          <w:b/>
        </w:rPr>
        <w:t xml:space="preserve">ile 3: Table </w:t>
      </w:r>
      <w:r w:rsidR="007629F6" w:rsidRPr="007629F6">
        <w:rPr>
          <w:b/>
        </w:rPr>
        <w:t>S6</w:t>
      </w:r>
      <w:r w:rsidR="007678A4" w:rsidRPr="007629F6">
        <w:rPr>
          <w:bCs/>
        </w:rPr>
        <w:t>.</w:t>
      </w:r>
    </w:p>
    <w:p w14:paraId="1D1EACC9" w14:textId="77777777" w:rsidR="006020C6" w:rsidRPr="007678A4" w:rsidRDefault="006020C6" w:rsidP="006020C6">
      <w:pPr>
        <w:spacing w:after="0" w:line="240" w:lineRule="auto"/>
        <w:rPr>
          <w:bCs/>
        </w:rPr>
        <w:sectPr w:rsidR="006020C6" w:rsidRPr="007678A4" w:rsidSect="006020C6">
          <w:pgSz w:w="11906" w:h="16838" w:code="9"/>
          <w:pgMar w:top="1440" w:right="1247" w:bottom="1440" w:left="1304" w:header="720" w:footer="720" w:gutter="0"/>
          <w:cols w:space="720"/>
          <w:noEndnote/>
          <w:docGrid w:linePitch="299"/>
        </w:sectPr>
      </w:pPr>
    </w:p>
    <w:p w14:paraId="3CD751CB" w14:textId="77777777" w:rsidR="006020C6" w:rsidRDefault="006020C6" w:rsidP="006020C6">
      <w:pPr>
        <w:spacing w:after="0" w:line="240" w:lineRule="auto"/>
      </w:pPr>
      <w:r>
        <w:rPr>
          <w:noProof/>
        </w:rPr>
        <w:lastRenderedPageBreak/>
        <w:drawing>
          <wp:inline distT="0" distB="0" distL="0" distR="0" wp14:anchorId="07B5819F" wp14:editId="6E7224C4">
            <wp:extent cx="5543550" cy="8776691"/>
            <wp:effectExtent l="0" t="0" r="0" b="5715"/>
            <wp:docPr id="1697091056" name="Picture 9" descr="A group of graphs showing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91056" name="Picture 9" descr="A group of graphs showing different types of data&#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9768" cy="8786535"/>
                    </a:xfrm>
                    <a:prstGeom prst="rect">
                      <a:avLst/>
                    </a:prstGeom>
                    <a:noFill/>
                    <a:ln>
                      <a:noFill/>
                    </a:ln>
                  </pic:spPr>
                </pic:pic>
              </a:graphicData>
            </a:graphic>
          </wp:inline>
        </w:drawing>
      </w:r>
    </w:p>
    <w:p w14:paraId="2B69AA1F" w14:textId="77777777" w:rsidR="006020C6" w:rsidRDefault="006020C6" w:rsidP="006020C6">
      <w:pPr>
        <w:rPr>
          <w:b/>
          <w:bCs/>
        </w:rPr>
      </w:pPr>
      <w:r w:rsidRPr="009748F3">
        <w:rPr>
          <w:i/>
          <w:iCs/>
        </w:rPr>
        <w:t>Figure</w:t>
      </w:r>
      <w:r w:rsidRPr="002C699A">
        <w:rPr>
          <w:i/>
          <w:iCs/>
        </w:rPr>
        <w:t xml:space="preserve"> legend on next page</w:t>
      </w:r>
      <w:r>
        <w:rPr>
          <w:i/>
          <w:iCs/>
        </w:rPr>
        <w:t>.</w:t>
      </w:r>
      <w:r>
        <w:rPr>
          <w:b/>
          <w:bCs/>
        </w:rPr>
        <w:br w:type="page"/>
      </w:r>
    </w:p>
    <w:p w14:paraId="0FB024C8" w14:textId="77777777" w:rsidR="006020C6" w:rsidRDefault="006020C6" w:rsidP="006020C6">
      <w:pPr>
        <w:spacing w:after="0" w:line="240" w:lineRule="auto"/>
        <w:outlineLvl w:val="4"/>
        <w:rPr>
          <w:b/>
          <w:bCs/>
        </w:rPr>
        <w:sectPr w:rsidR="006020C6" w:rsidSect="006020C6">
          <w:pgSz w:w="11906" w:h="16838" w:code="9"/>
          <w:pgMar w:top="426" w:right="1440" w:bottom="709" w:left="1440" w:header="720" w:footer="720" w:gutter="0"/>
          <w:cols w:space="720"/>
          <w:noEndnote/>
          <w:docGrid w:linePitch="299"/>
        </w:sectPr>
      </w:pPr>
    </w:p>
    <w:p w14:paraId="737FC500" w14:textId="622C45B8" w:rsidR="006020C6" w:rsidRPr="00A97BE4" w:rsidRDefault="006020C6" w:rsidP="00A97BE4">
      <w:pPr>
        <w:pStyle w:val="Heading5"/>
        <w:rPr>
          <w:b w:val="0"/>
          <w:bCs w:val="0"/>
        </w:rPr>
      </w:pPr>
      <w:r w:rsidRPr="00BB29C8">
        <w:lastRenderedPageBreak/>
        <w:t xml:space="preserve">Figure </w:t>
      </w:r>
      <w:r>
        <w:t>2</w:t>
      </w:r>
      <w:r w:rsidRPr="00BB29C8">
        <w:t xml:space="preserve">. </w:t>
      </w:r>
      <w:r w:rsidRPr="007C383D">
        <w:rPr>
          <w:rFonts w:eastAsiaTheme="majorEastAsia"/>
          <w:shd w:val="clear" w:color="auto" w:fill="FFFFFF"/>
        </w:rPr>
        <w:t>Age-</w:t>
      </w:r>
      <w:r>
        <w:rPr>
          <w:rFonts w:eastAsiaTheme="majorEastAsia"/>
          <w:shd w:val="clear" w:color="auto" w:fill="FFFFFF"/>
        </w:rPr>
        <w:t>specific estimates of</w:t>
      </w:r>
      <w:r w:rsidRPr="007C383D">
        <w:rPr>
          <w:rFonts w:eastAsiaTheme="majorEastAsia"/>
          <w:shd w:val="clear" w:color="auto" w:fill="FFFFFF"/>
        </w:rPr>
        <w:t xml:space="preserve"> smoking and quitting behaviours </w:t>
      </w:r>
      <w:r>
        <w:rPr>
          <w:rFonts w:eastAsiaTheme="majorEastAsia"/>
          <w:shd w:val="clear" w:color="auto" w:fill="FFFFFF"/>
        </w:rPr>
        <w:t xml:space="preserve">by socioeconomic position </w:t>
      </w:r>
      <w:r w:rsidRPr="007C383D">
        <w:rPr>
          <w:rFonts w:eastAsiaTheme="majorEastAsia"/>
          <w:shd w:val="clear" w:color="auto" w:fill="FFFFFF"/>
        </w:rPr>
        <w:t>among women (</w:t>
      </w:r>
      <w:r w:rsidRPr="007C383D">
        <w:rPr>
          <w:rFonts w:eastAsiaTheme="majorEastAsia" w:cstheme="minorHAnsi"/>
          <w:shd w:val="clear" w:color="auto" w:fill="FFFFFF"/>
        </w:rPr>
        <w:t>≥</w:t>
      </w:r>
      <w:r w:rsidRPr="007C383D">
        <w:rPr>
          <w:rFonts w:eastAsiaTheme="majorEastAsia"/>
          <w:shd w:val="clear" w:color="auto" w:fill="FFFFFF"/>
        </w:rPr>
        <w:t>16y)</w:t>
      </w:r>
      <w:r>
        <w:rPr>
          <w:rFonts w:eastAsiaTheme="majorEastAsia"/>
          <w:shd w:val="clear" w:color="auto" w:fill="FFFFFF"/>
        </w:rPr>
        <w:t xml:space="preserve"> </w:t>
      </w:r>
      <w:r w:rsidRPr="007C383D">
        <w:rPr>
          <w:rFonts w:eastAsiaTheme="majorEastAsia"/>
          <w:shd w:val="clear" w:color="auto" w:fill="FFFFFF"/>
        </w:rPr>
        <w:t xml:space="preserve">in </w:t>
      </w:r>
      <w:r>
        <w:rPr>
          <w:rFonts w:eastAsiaTheme="majorEastAsia"/>
          <w:shd w:val="clear" w:color="auto" w:fill="FFFFFF"/>
        </w:rPr>
        <w:t>Great Britain</w:t>
      </w:r>
      <w:r w:rsidRPr="007C383D">
        <w:rPr>
          <w:rFonts w:eastAsiaTheme="majorEastAsia"/>
        </w:rPr>
        <w:t xml:space="preserve">. </w:t>
      </w:r>
      <w:r w:rsidRPr="00A97BE4">
        <w:rPr>
          <w:b w:val="0"/>
          <w:bCs w:val="0"/>
        </w:rPr>
        <w:t xml:space="preserve">Lines represent modelled weighted prevalence by age modelled non-linearly using restricted cubic splines (with three knots for current smoking, quit attempts, and success of quit attempts and five knots for overall quits; see </w:t>
      </w:r>
      <w:r w:rsidR="00DF76B0">
        <w:t>Additional f</w:t>
      </w:r>
      <w:r w:rsidR="00C10179">
        <w:t>ile 1</w:t>
      </w:r>
      <w:r w:rsidR="00903586">
        <w:t>: Table S1</w:t>
      </w:r>
      <w:r w:rsidRPr="00A97BE4">
        <w:rPr>
          <w:b w:val="0"/>
          <w:bCs w:val="0"/>
        </w:rPr>
        <w:t xml:space="preserve"> for details of model selection) and occupational social grade (ABC1 = more advantaged; C2DE = less advantaged). Shaded bands represent 95% confidence intervals. Bars represent unmodelled weighted prevalence estimates within age bands (also presented with 95% CIs in </w:t>
      </w:r>
      <w:r w:rsidR="00DF76B0">
        <w:t>Additional</w:t>
      </w:r>
      <w:r w:rsidR="00DF76B0" w:rsidRPr="00993B67">
        <w:t xml:space="preserve"> </w:t>
      </w:r>
      <w:r w:rsidR="00DF76B0">
        <w:t>f</w:t>
      </w:r>
      <w:r w:rsidR="00993B67" w:rsidRPr="00993B67">
        <w:t>ile 2:</w:t>
      </w:r>
      <w:r w:rsidR="00993B67">
        <w:rPr>
          <w:b w:val="0"/>
          <w:bCs w:val="0"/>
        </w:rPr>
        <w:t xml:space="preserve"> </w:t>
      </w:r>
      <w:r w:rsidRPr="00A97BE4">
        <w:t>Table S4</w:t>
      </w:r>
      <w:r w:rsidRPr="00A97BE4">
        <w:rPr>
          <w:b w:val="0"/>
          <w:bCs w:val="0"/>
        </w:rPr>
        <w:t xml:space="preserve">). Unweighted sample sizes by age are provided in </w:t>
      </w:r>
      <w:r w:rsidR="00DF76B0">
        <w:t>Additional</w:t>
      </w:r>
      <w:r w:rsidR="00DF76B0" w:rsidRPr="00993B67">
        <w:t xml:space="preserve"> </w:t>
      </w:r>
      <w:r w:rsidR="00DF76B0">
        <w:t>f</w:t>
      </w:r>
      <w:r w:rsidR="00993B67" w:rsidRPr="00993B67">
        <w:t>ile 2:</w:t>
      </w:r>
      <w:r w:rsidR="00993B67">
        <w:rPr>
          <w:b w:val="0"/>
          <w:bCs w:val="0"/>
        </w:rPr>
        <w:t xml:space="preserve"> </w:t>
      </w:r>
      <w:r w:rsidRPr="00A97BE4">
        <w:t>Table S2</w:t>
      </w:r>
      <w:r w:rsidRPr="00A97BE4">
        <w:rPr>
          <w:b w:val="0"/>
          <w:bCs w:val="0"/>
        </w:rPr>
        <w:t>.</w:t>
      </w:r>
      <w:r w:rsidR="007678A4" w:rsidRPr="007678A4">
        <w:rPr>
          <w:b w:val="0"/>
          <w:bCs w:val="0"/>
        </w:rPr>
        <w:t xml:space="preserve"> Corresponding </w:t>
      </w:r>
      <w:r w:rsidR="007678A4">
        <w:rPr>
          <w:b w:val="0"/>
          <w:bCs w:val="0"/>
        </w:rPr>
        <w:t>figures</w:t>
      </w:r>
      <w:r w:rsidR="007678A4" w:rsidRPr="007678A4">
        <w:rPr>
          <w:b w:val="0"/>
          <w:bCs w:val="0"/>
        </w:rPr>
        <w:t xml:space="preserve"> for men are provided in </w:t>
      </w:r>
      <w:r w:rsidR="00DF76B0">
        <w:t>Additional</w:t>
      </w:r>
      <w:r w:rsidR="00DF76B0" w:rsidRPr="007678A4">
        <w:t xml:space="preserve"> </w:t>
      </w:r>
      <w:r w:rsidR="00DF76B0">
        <w:t>f</w:t>
      </w:r>
      <w:r w:rsidR="007678A4" w:rsidRPr="007678A4">
        <w:t>ile 3</w:t>
      </w:r>
      <w:r w:rsidR="007678A4">
        <w:t>: Fig</w:t>
      </w:r>
      <w:r w:rsidR="00DF76B0">
        <w:t>.</w:t>
      </w:r>
      <w:r w:rsidR="007678A4">
        <w:t xml:space="preserve"> S2</w:t>
      </w:r>
      <w:r w:rsidR="007678A4" w:rsidRPr="007678A4">
        <w:rPr>
          <w:b w:val="0"/>
          <w:bCs w:val="0"/>
        </w:rPr>
        <w:t>.</w:t>
      </w:r>
    </w:p>
    <w:p w14:paraId="0AE96D54" w14:textId="77777777" w:rsidR="006020C6" w:rsidRDefault="006020C6" w:rsidP="006020C6">
      <w:pPr>
        <w:spacing w:after="0" w:line="240" w:lineRule="auto"/>
        <w:sectPr w:rsidR="006020C6" w:rsidSect="006020C6">
          <w:pgSz w:w="11906" w:h="16838" w:code="9"/>
          <w:pgMar w:top="1440" w:right="1247" w:bottom="1440" w:left="1304" w:header="720" w:footer="720" w:gutter="0"/>
          <w:cols w:space="720"/>
          <w:noEndnote/>
          <w:docGrid w:linePitch="299"/>
        </w:sectPr>
      </w:pPr>
    </w:p>
    <w:p w14:paraId="0497B6A8" w14:textId="68946349" w:rsidR="00FC23D3" w:rsidRDefault="00FC23D3" w:rsidP="00A97BE4">
      <w:pPr>
        <w:pStyle w:val="Heading5"/>
        <w:rPr>
          <w:rFonts w:eastAsiaTheme="majorEastAsia"/>
          <w:shd w:val="clear" w:color="auto" w:fill="FFFFFF"/>
        </w:rPr>
      </w:pPr>
      <w:r>
        <w:lastRenderedPageBreak/>
        <w:t>Table</w:t>
      </w:r>
      <w:r w:rsidRPr="00BB29C8">
        <w:t xml:space="preserve"> </w:t>
      </w:r>
      <w:r>
        <w:t>2</w:t>
      </w:r>
      <w:r w:rsidRPr="00BB29C8">
        <w:t xml:space="preserve">. </w:t>
      </w:r>
      <w:r w:rsidRPr="00A97BE4">
        <w:rPr>
          <w:b w:val="0"/>
          <w:bCs w:val="0"/>
        </w:rPr>
        <w:t>Modelled a</w:t>
      </w:r>
      <w:r w:rsidRPr="00A97BE4">
        <w:rPr>
          <w:rFonts w:eastAsiaTheme="majorEastAsia"/>
          <w:b w:val="0"/>
          <w:bCs w:val="0"/>
          <w:shd w:val="clear" w:color="auto" w:fill="FFFFFF"/>
        </w:rPr>
        <w:t xml:space="preserve">ge-specific estimates of smoking </w:t>
      </w:r>
      <w:r w:rsidR="000126CA">
        <w:rPr>
          <w:rFonts w:eastAsiaTheme="majorEastAsia"/>
          <w:b w:val="0"/>
          <w:bCs w:val="0"/>
          <w:shd w:val="clear" w:color="auto" w:fill="FFFFFF"/>
        </w:rPr>
        <w:t xml:space="preserve">prevalence and </w:t>
      </w:r>
      <w:r w:rsidR="006001A7">
        <w:rPr>
          <w:rFonts w:eastAsiaTheme="majorEastAsia"/>
          <w:b w:val="0"/>
          <w:bCs w:val="0"/>
          <w:shd w:val="clear" w:color="auto" w:fill="FFFFFF"/>
        </w:rPr>
        <w:t xml:space="preserve">the </w:t>
      </w:r>
      <w:r w:rsidR="00323BE3">
        <w:rPr>
          <w:rFonts w:eastAsiaTheme="majorEastAsia"/>
          <w:b w:val="0"/>
          <w:bCs w:val="0"/>
          <w:shd w:val="clear" w:color="auto" w:fill="FFFFFF"/>
        </w:rPr>
        <w:t>quit attempt rate</w:t>
      </w:r>
      <w:r w:rsidRPr="00A97BE4">
        <w:rPr>
          <w:rFonts w:eastAsiaTheme="majorEastAsia"/>
          <w:b w:val="0"/>
          <w:bCs w:val="0"/>
          <w:shd w:val="clear" w:color="auto" w:fill="FFFFFF"/>
        </w:rPr>
        <w:t xml:space="preserve"> by socioeconomic position among women (</w:t>
      </w:r>
      <w:r w:rsidRPr="00A97BE4">
        <w:rPr>
          <w:rFonts w:eastAsiaTheme="majorEastAsia" w:cstheme="minorHAnsi"/>
          <w:b w:val="0"/>
          <w:bCs w:val="0"/>
          <w:shd w:val="clear" w:color="auto" w:fill="FFFFFF"/>
        </w:rPr>
        <w:t>≥</w:t>
      </w:r>
      <w:r w:rsidRPr="00A97BE4">
        <w:rPr>
          <w:rFonts w:eastAsiaTheme="majorEastAsia"/>
          <w:b w:val="0"/>
          <w:bCs w:val="0"/>
          <w:shd w:val="clear" w:color="auto" w:fill="FFFFFF"/>
        </w:rPr>
        <w:t>16y) in Great Britain</w:t>
      </w:r>
    </w:p>
    <w:tbl>
      <w:tblPr>
        <w:tblStyle w:val="TableGrid"/>
        <w:tblW w:w="120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3"/>
        <w:gridCol w:w="1814"/>
        <w:gridCol w:w="1724"/>
        <w:gridCol w:w="1702"/>
        <w:gridCol w:w="239"/>
        <w:gridCol w:w="1757"/>
        <w:gridCol w:w="1690"/>
        <w:gridCol w:w="1690"/>
      </w:tblGrid>
      <w:tr w:rsidR="00524F7B" w14:paraId="6CBA575B" w14:textId="65D75CCF" w:rsidTr="007B2853">
        <w:tc>
          <w:tcPr>
            <w:tcW w:w="1423" w:type="dxa"/>
            <w:vMerge w:val="restart"/>
            <w:vAlign w:val="bottom"/>
          </w:tcPr>
          <w:p w14:paraId="0D6F913E" w14:textId="1C1A5865" w:rsidR="00524F7B" w:rsidRPr="00B857AF" w:rsidRDefault="00B857AF" w:rsidP="00B857AF">
            <w:pPr>
              <w:spacing w:after="0" w:line="240" w:lineRule="auto"/>
              <w:rPr>
                <w:b/>
                <w:bCs/>
                <w:vertAlign w:val="superscript"/>
              </w:rPr>
            </w:pPr>
            <w:r w:rsidRPr="00B857AF">
              <w:rPr>
                <w:b/>
                <w:bCs/>
              </w:rPr>
              <w:t>Occupational social grade</w:t>
            </w:r>
            <w:r w:rsidRPr="00B857AF">
              <w:rPr>
                <w:b/>
                <w:bCs/>
                <w:vertAlign w:val="superscript"/>
              </w:rPr>
              <w:t>3</w:t>
            </w:r>
          </w:p>
        </w:tc>
        <w:tc>
          <w:tcPr>
            <w:tcW w:w="5240" w:type="dxa"/>
            <w:gridSpan w:val="3"/>
            <w:tcBorders>
              <w:top w:val="single" w:sz="4" w:space="0" w:color="auto"/>
              <w:bottom w:val="single" w:sz="4" w:space="0" w:color="auto"/>
            </w:tcBorders>
            <w:vAlign w:val="bottom"/>
          </w:tcPr>
          <w:p w14:paraId="62255931" w14:textId="5A27221B" w:rsidR="00524F7B" w:rsidRDefault="00524F7B" w:rsidP="003D6916">
            <w:pPr>
              <w:spacing w:after="0" w:line="240" w:lineRule="auto"/>
              <w:jc w:val="center"/>
              <w:rPr>
                <w:b/>
                <w:bCs/>
              </w:rPr>
            </w:pPr>
            <w:r>
              <w:rPr>
                <w:b/>
                <w:bCs/>
              </w:rPr>
              <w:t>Smoking prevalence</w:t>
            </w:r>
            <w:r>
              <w:rPr>
                <w:b/>
                <w:bCs/>
                <w:vertAlign w:val="superscript"/>
              </w:rPr>
              <w:t>1</w:t>
            </w:r>
          </w:p>
        </w:tc>
        <w:tc>
          <w:tcPr>
            <w:tcW w:w="239" w:type="dxa"/>
            <w:tcBorders>
              <w:top w:val="single" w:sz="4" w:space="0" w:color="auto"/>
              <w:bottom w:val="nil"/>
            </w:tcBorders>
          </w:tcPr>
          <w:p w14:paraId="516C3943" w14:textId="36E09E4A" w:rsidR="00524F7B" w:rsidRDefault="00524F7B" w:rsidP="003D6916">
            <w:pPr>
              <w:spacing w:after="0" w:line="240" w:lineRule="auto"/>
              <w:jc w:val="center"/>
              <w:rPr>
                <w:b/>
                <w:bCs/>
              </w:rPr>
            </w:pPr>
          </w:p>
        </w:tc>
        <w:tc>
          <w:tcPr>
            <w:tcW w:w="5137" w:type="dxa"/>
            <w:gridSpan w:val="3"/>
            <w:tcBorders>
              <w:top w:val="single" w:sz="4" w:space="0" w:color="auto"/>
              <w:bottom w:val="single" w:sz="4" w:space="0" w:color="auto"/>
            </w:tcBorders>
          </w:tcPr>
          <w:p w14:paraId="121054B5" w14:textId="1B9FBD1F" w:rsidR="00524F7B" w:rsidRDefault="00524F7B" w:rsidP="003D6916">
            <w:pPr>
              <w:spacing w:after="0" w:line="240" w:lineRule="auto"/>
              <w:jc w:val="center"/>
              <w:rPr>
                <w:b/>
                <w:bCs/>
              </w:rPr>
            </w:pPr>
            <w:r>
              <w:rPr>
                <w:b/>
                <w:bCs/>
              </w:rPr>
              <w:t>Quit attempt rate</w:t>
            </w:r>
            <w:r>
              <w:rPr>
                <w:b/>
                <w:bCs/>
                <w:vertAlign w:val="superscript"/>
              </w:rPr>
              <w:t>2</w:t>
            </w:r>
          </w:p>
        </w:tc>
      </w:tr>
      <w:tr w:rsidR="00524F7B" w:rsidRPr="00346284" w14:paraId="43FA157F" w14:textId="77777777" w:rsidTr="007B2853">
        <w:tc>
          <w:tcPr>
            <w:tcW w:w="1423" w:type="dxa"/>
            <w:vMerge/>
            <w:tcBorders>
              <w:top w:val="single" w:sz="4" w:space="0" w:color="auto"/>
              <w:bottom w:val="single" w:sz="4" w:space="0" w:color="auto"/>
            </w:tcBorders>
            <w:vAlign w:val="bottom"/>
          </w:tcPr>
          <w:p w14:paraId="2799D561" w14:textId="77777777" w:rsidR="00524F7B" w:rsidRPr="00BE1790" w:rsidRDefault="00524F7B" w:rsidP="003D6916">
            <w:pPr>
              <w:spacing w:after="0" w:line="240" w:lineRule="auto"/>
              <w:rPr>
                <w:b/>
                <w:bCs/>
                <w:vertAlign w:val="superscript"/>
              </w:rPr>
            </w:pPr>
          </w:p>
        </w:tc>
        <w:tc>
          <w:tcPr>
            <w:tcW w:w="3538" w:type="dxa"/>
            <w:gridSpan w:val="2"/>
            <w:tcBorders>
              <w:top w:val="single" w:sz="4" w:space="0" w:color="auto"/>
              <w:bottom w:val="single" w:sz="4" w:space="0" w:color="auto"/>
            </w:tcBorders>
            <w:vAlign w:val="bottom"/>
          </w:tcPr>
          <w:p w14:paraId="18B2B0F8" w14:textId="6DDA43E2" w:rsidR="00524F7B" w:rsidRDefault="00524F7B" w:rsidP="00524F7B">
            <w:pPr>
              <w:spacing w:after="0" w:line="240" w:lineRule="auto"/>
              <w:jc w:val="center"/>
              <w:rPr>
                <w:b/>
                <w:bCs/>
              </w:rPr>
            </w:pPr>
            <w:r>
              <w:rPr>
                <w:b/>
                <w:bCs/>
              </w:rPr>
              <w:t>% [95% CI]</w:t>
            </w:r>
          </w:p>
        </w:tc>
        <w:tc>
          <w:tcPr>
            <w:tcW w:w="1702" w:type="dxa"/>
            <w:tcBorders>
              <w:top w:val="single" w:sz="4" w:space="0" w:color="auto"/>
              <w:bottom w:val="nil"/>
            </w:tcBorders>
          </w:tcPr>
          <w:p w14:paraId="1A3BCCBF" w14:textId="77777777" w:rsidR="00524F7B" w:rsidRDefault="00524F7B" w:rsidP="003D6916">
            <w:pPr>
              <w:spacing w:after="0" w:line="240" w:lineRule="auto"/>
              <w:jc w:val="right"/>
              <w:rPr>
                <w:b/>
                <w:bCs/>
              </w:rPr>
            </w:pPr>
          </w:p>
        </w:tc>
        <w:tc>
          <w:tcPr>
            <w:tcW w:w="239" w:type="dxa"/>
            <w:tcBorders>
              <w:top w:val="nil"/>
              <w:bottom w:val="nil"/>
            </w:tcBorders>
            <w:vAlign w:val="bottom"/>
          </w:tcPr>
          <w:p w14:paraId="032A8D23" w14:textId="77777777" w:rsidR="00524F7B" w:rsidRPr="00346284" w:rsidRDefault="00524F7B" w:rsidP="003D6916">
            <w:pPr>
              <w:spacing w:after="0" w:line="240" w:lineRule="auto"/>
              <w:jc w:val="right"/>
              <w:rPr>
                <w:b/>
                <w:bCs/>
              </w:rPr>
            </w:pPr>
          </w:p>
        </w:tc>
        <w:tc>
          <w:tcPr>
            <w:tcW w:w="3447" w:type="dxa"/>
            <w:gridSpan w:val="2"/>
            <w:tcBorders>
              <w:top w:val="nil"/>
              <w:bottom w:val="single" w:sz="4" w:space="0" w:color="auto"/>
            </w:tcBorders>
            <w:vAlign w:val="bottom"/>
          </w:tcPr>
          <w:p w14:paraId="3500DD39" w14:textId="696B3467" w:rsidR="00524F7B" w:rsidRDefault="00524F7B" w:rsidP="00524F7B">
            <w:pPr>
              <w:spacing w:after="0" w:line="240" w:lineRule="auto"/>
              <w:jc w:val="center"/>
              <w:rPr>
                <w:b/>
                <w:bCs/>
              </w:rPr>
            </w:pPr>
            <w:r>
              <w:rPr>
                <w:b/>
                <w:bCs/>
              </w:rPr>
              <w:t>% [95% CI]</w:t>
            </w:r>
          </w:p>
        </w:tc>
        <w:tc>
          <w:tcPr>
            <w:tcW w:w="1690" w:type="dxa"/>
            <w:tcBorders>
              <w:top w:val="nil"/>
              <w:bottom w:val="nil"/>
            </w:tcBorders>
          </w:tcPr>
          <w:p w14:paraId="7D33B6D5" w14:textId="77777777" w:rsidR="00524F7B" w:rsidRDefault="00524F7B" w:rsidP="003D6916">
            <w:pPr>
              <w:spacing w:after="0" w:line="240" w:lineRule="auto"/>
              <w:jc w:val="right"/>
              <w:rPr>
                <w:b/>
                <w:bCs/>
              </w:rPr>
            </w:pPr>
          </w:p>
        </w:tc>
      </w:tr>
      <w:tr w:rsidR="00A8124F" w:rsidRPr="00346284" w14:paraId="049F4124" w14:textId="65D0ECF3" w:rsidTr="007B2853">
        <w:tc>
          <w:tcPr>
            <w:tcW w:w="1423" w:type="dxa"/>
            <w:vMerge/>
            <w:tcBorders>
              <w:top w:val="nil"/>
              <w:bottom w:val="single" w:sz="4" w:space="0" w:color="auto"/>
            </w:tcBorders>
            <w:vAlign w:val="bottom"/>
          </w:tcPr>
          <w:p w14:paraId="43B632B9" w14:textId="77777777" w:rsidR="00A8124F" w:rsidRPr="00BE1790" w:rsidRDefault="00A8124F" w:rsidP="003D6916">
            <w:pPr>
              <w:spacing w:after="0" w:line="240" w:lineRule="auto"/>
              <w:rPr>
                <w:b/>
                <w:bCs/>
                <w:vertAlign w:val="superscript"/>
              </w:rPr>
            </w:pPr>
          </w:p>
        </w:tc>
        <w:tc>
          <w:tcPr>
            <w:tcW w:w="1814" w:type="dxa"/>
            <w:tcBorders>
              <w:top w:val="nil"/>
              <w:bottom w:val="single" w:sz="4" w:space="0" w:color="auto"/>
            </w:tcBorders>
            <w:vAlign w:val="bottom"/>
          </w:tcPr>
          <w:p w14:paraId="3FC4B601" w14:textId="77777777" w:rsidR="00A8124F" w:rsidRPr="00346284" w:rsidRDefault="00A8124F" w:rsidP="003D6916">
            <w:pPr>
              <w:spacing w:after="0" w:line="240" w:lineRule="auto"/>
              <w:jc w:val="right"/>
              <w:rPr>
                <w:b/>
                <w:bCs/>
              </w:rPr>
            </w:pPr>
            <w:r>
              <w:rPr>
                <w:b/>
                <w:bCs/>
              </w:rPr>
              <w:t>ABC1</w:t>
            </w:r>
          </w:p>
        </w:tc>
        <w:tc>
          <w:tcPr>
            <w:tcW w:w="1724" w:type="dxa"/>
            <w:tcBorders>
              <w:top w:val="nil"/>
              <w:bottom w:val="single" w:sz="4" w:space="0" w:color="auto"/>
            </w:tcBorders>
            <w:vAlign w:val="bottom"/>
          </w:tcPr>
          <w:p w14:paraId="7887132F" w14:textId="77777777" w:rsidR="00A8124F" w:rsidRPr="00346284" w:rsidRDefault="00A8124F" w:rsidP="003D6916">
            <w:pPr>
              <w:spacing w:after="0" w:line="240" w:lineRule="auto"/>
              <w:jc w:val="right"/>
              <w:rPr>
                <w:b/>
                <w:bCs/>
              </w:rPr>
            </w:pPr>
            <w:r>
              <w:rPr>
                <w:b/>
                <w:bCs/>
              </w:rPr>
              <w:t>C2DE</w:t>
            </w:r>
          </w:p>
        </w:tc>
        <w:tc>
          <w:tcPr>
            <w:tcW w:w="1702" w:type="dxa"/>
            <w:tcBorders>
              <w:top w:val="nil"/>
              <w:bottom w:val="single" w:sz="4" w:space="0" w:color="auto"/>
            </w:tcBorders>
          </w:tcPr>
          <w:p w14:paraId="2D104DFC" w14:textId="5D598F77" w:rsidR="00A8124F" w:rsidRPr="00451CD6" w:rsidRDefault="00A8124F" w:rsidP="003D6916">
            <w:pPr>
              <w:spacing w:after="0" w:line="240" w:lineRule="auto"/>
              <w:jc w:val="right"/>
              <w:rPr>
                <w:b/>
                <w:bCs/>
                <w:vertAlign w:val="superscript"/>
              </w:rPr>
            </w:pPr>
            <w:r>
              <w:rPr>
                <w:b/>
                <w:bCs/>
              </w:rPr>
              <w:t>PR [95% CI]</w:t>
            </w:r>
            <w:r w:rsidR="00451CD6">
              <w:rPr>
                <w:b/>
                <w:bCs/>
                <w:vertAlign w:val="superscript"/>
              </w:rPr>
              <w:t>4</w:t>
            </w:r>
          </w:p>
        </w:tc>
        <w:tc>
          <w:tcPr>
            <w:tcW w:w="239" w:type="dxa"/>
            <w:tcBorders>
              <w:top w:val="nil"/>
              <w:bottom w:val="single" w:sz="4" w:space="0" w:color="auto"/>
            </w:tcBorders>
            <w:vAlign w:val="bottom"/>
          </w:tcPr>
          <w:p w14:paraId="70F7F592" w14:textId="7FF9CBE7" w:rsidR="00A8124F" w:rsidRPr="00346284" w:rsidRDefault="00A8124F" w:rsidP="003D6916">
            <w:pPr>
              <w:spacing w:after="0" w:line="240" w:lineRule="auto"/>
              <w:jc w:val="right"/>
              <w:rPr>
                <w:b/>
                <w:bCs/>
              </w:rPr>
            </w:pPr>
          </w:p>
        </w:tc>
        <w:tc>
          <w:tcPr>
            <w:tcW w:w="1757" w:type="dxa"/>
            <w:tcBorders>
              <w:top w:val="nil"/>
              <w:bottom w:val="single" w:sz="4" w:space="0" w:color="auto"/>
            </w:tcBorders>
            <w:vAlign w:val="bottom"/>
          </w:tcPr>
          <w:p w14:paraId="7394D9D9" w14:textId="77777777" w:rsidR="00A8124F" w:rsidRPr="00346284" w:rsidRDefault="00A8124F" w:rsidP="003D6916">
            <w:pPr>
              <w:spacing w:after="0" w:line="240" w:lineRule="auto"/>
              <w:jc w:val="right"/>
              <w:rPr>
                <w:b/>
                <w:bCs/>
              </w:rPr>
            </w:pPr>
            <w:r>
              <w:rPr>
                <w:b/>
                <w:bCs/>
              </w:rPr>
              <w:t>ABC1</w:t>
            </w:r>
          </w:p>
        </w:tc>
        <w:tc>
          <w:tcPr>
            <w:tcW w:w="1690" w:type="dxa"/>
            <w:tcBorders>
              <w:top w:val="nil"/>
              <w:bottom w:val="single" w:sz="4" w:space="0" w:color="auto"/>
            </w:tcBorders>
            <w:vAlign w:val="bottom"/>
          </w:tcPr>
          <w:p w14:paraId="307644C2" w14:textId="77777777" w:rsidR="00A8124F" w:rsidRPr="00346284" w:rsidRDefault="00A8124F" w:rsidP="003D6916">
            <w:pPr>
              <w:spacing w:after="0" w:line="240" w:lineRule="auto"/>
              <w:jc w:val="right"/>
              <w:rPr>
                <w:b/>
                <w:bCs/>
              </w:rPr>
            </w:pPr>
            <w:r>
              <w:rPr>
                <w:b/>
                <w:bCs/>
              </w:rPr>
              <w:t>C2DE</w:t>
            </w:r>
          </w:p>
        </w:tc>
        <w:tc>
          <w:tcPr>
            <w:tcW w:w="1690" w:type="dxa"/>
            <w:tcBorders>
              <w:top w:val="nil"/>
              <w:bottom w:val="single" w:sz="4" w:space="0" w:color="auto"/>
            </w:tcBorders>
          </w:tcPr>
          <w:p w14:paraId="1B1F1E77" w14:textId="4FE1A3A4" w:rsidR="00A8124F" w:rsidRPr="00451CD6" w:rsidRDefault="00A8124F" w:rsidP="003D6916">
            <w:pPr>
              <w:spacing w:after="0" w:line="240" w:lineRule="auto"/>
              <w:jc w:val="right"/>
              <w:rPr>
                <w:b/>
                <w:bCs/>
                <w:vertAlign w:val="superscript"/>
              </w:rPr>
            </w:pPr>
            <w:r>
              <w:rPr>
                <w:b/>
                <w:bCs/>
              </w:rPr>
              <w:t>PR [95% CI]</w:t>
            </w:r>
            <w:r w:rsidR="00451CD6">
              <w:rPr>
                <w:b/>
                <w:bCs/>
                <w:vertAlign w:val="superscript"/>
              </w:rPr>
              <w:t>4</w:t>
            </w:r>
          </w:p>
        </w:tc>
      </w:tr>
      <w:tr w:rsidR="00A8124F" w:rsidRPr="002571DE" w14:paraId="42730C5A" w14:textId="4E548E4E" w:rsidTr="007B2853">
        <w:tc>
          <w:tcPr>
            <w:tcW w:w="1423" w:type="dxa"/>
            <w:tcBorders>
              <w:top w:val="single" w:sz="4" w:space="0" w:color="auto"/>
            </w:tcBorders>
          </w:tcPr>
          <w:p w14:paraId="6C92BA6C" w14:textId="77777777" w:rsidR="00A8124F" w:rsidRPr="002571DE" w:rsidRDefault="00A8124F" w:rsidP="003D6916">
            <w:pPr>
              <w:spacing w:after="0" w:line="240" w:lineRule="auto"/>
              <w:rPr>
                <w:sz w:val="12"/>
                <w:szCs w:val="12"/>
              </w:rPr>
            </w:pPr>
          </w:p>
        </w:tc>
        <w:tc>
          <w:tcPr>
            <w:tcW w:w="1814" w:type="dxa"/>
            <w:tcBorders>
              <w:top w:val="single" w:sz="4" w:space="0" w:color="auto"/>
            </w:tcBorders>
          </w:tcPr>
          <w:p w14:paraId="5406B1DA" w14:textId="77777777" w:rsidR="00A8124F" w:rsidRPr="002571DE" w:rsidRDefault="00A8124F" w:rsidP="003D6916">
            <w:pPr>
              <w:spacing w:after="0" w:line="240" w:lineRule="auto"/>
              <w:rPr>
                <w:sz w:val="12"/>
                <w:szCs w:val="12"/>
              </w:rPr>
            </w:pPr>
          </w:p>
        </w:tc>
        <w:tc>
          <w:tcPr>
            <w:tcW w:w="1724" w:type="dxa"/>
            <w:tcBorders>
              <w:top w:val="single" w:sz="4" w:space="0" w:color="auto"/>
            </w:tcBorders>
          </w:tcPr>
          <w:p w14:paraId="1FE1D256" w14:textId="77777777" w:rsidR="00A8124F" w:rsidRPr="002571DE" w:rsidRDefault="00A8124F" w:rsidP="003D6916">
            <w:pPr>
              <w:spacing w:after="0" w:line="240" w:lineRule="auto"/>
              <w:rPr>
                <w:sz w:val="12"/>
                <w:szCs w:val="12"/>
              </w:rPr>
            </w:pPr>
          </w:p>
        </w:tc>
        <w:tc>
          <w:tcPr>
            <w:tcW w:w="1702" w:type="dxa"/>
            <w:tcBorders>
              <w:top w:val="single" w:sz="4" w:space="0" w:color="auto"/>
            </w:tcBorders>
          </w:tcPr>
          <w:p w14:paraId="63EA2DAC" w14:textId="77777777" w:rsidR="00A8124F" w:rsidRPr="002571DE" w:rsidRDefault="00A8124F" w:rsidP="003D6916">
            <w:pPr>
              <w:spacing w:after="0" w:line="240" w:lineRule="auto"/>
              <w:rPr>
                <w:sz w:val="12"/>
                <w:szCs w:val="12"/>
              </w:rPr>
            </w:pPr>
          </w:p>
        </w:tc>
        <w:tc>
          <w:tcPr>
            <w:tcW w:w="239" w:type="dxa"/>
            <w:tcBorders>
              <w:top w:val="single" w:sz="4" w:space="0" w:color="auto"/>
            </w:tcBorders>
          </w:tcPr>
          <w:p w14:paraId="354EF46D" w14:textId="08DB6624" w:rsidR="00A8124F" w:rsidRPr="002571DE" w:rsidRDefault="00A8124F" w:rsidP="003D6916">
            <w:pPr>
              <w:spacing w:after="0" w:line="240" w:lineRule="auto"/>
              <w:rPr>
                <w:sz w:val="12"/>
                <w:szCs w:val="12"/>
              </w:rPr>
            </w:pPr>
          </w:p>
        </w:tc>
        <w:tc>
          <w:tcPr>
            <w:tcW w:w="1757" w:type="dxa"/>
            <w:tcBorders>
              <w:top w:val="single" w:sz="4" w:space="0" w:color="auto"/>
            </w:tcBorders>
          </w:tcPr>
          <w:p w14:paraId="3103C281" w14:textId="77777777" w:rsidR="00A8124F" w:rsidRPr="002571DE" w:rsidRDefault="00A8124F" w:rsidP="003D6916">
            <w:pPr>
              <w:spacing w:after="0" w:line="240" w:lineRule="auto"/>
              <w:rPr>
                <w:sz w:val="12"/>
                <w:szCs w:val="12"/>
              </w:rPr>
            </w:pPr>
          </w:p>
        </w:tc>
        <w:tc>
          <w:tcPr>
            <w:tcW w:w="1690" w:type="dxa"/>
            <w:tcBorders>
              <w:top w:val="single" w:sz="4" w:space="0" w:color="auto"/>
            </w:tcBorders>
          </w:tcPr>
          <w:p w14:paraId="78499E95" w14:textId="77777777" w:rsidR="00A8124F" w:rsidRPr="002571DE" w:rsidRDefault="00A8124F" w:rsidP="003D6916">
            <w:pPr>
              <w:spacing w:after="0" w:line="240" w:lineRule="auto"/>
              <w:rPr>
                <w:sz w:val="12"/>
                <w:szCs w:val="12"/>
              </w:rPr>
            </w:pPr>
          </w:p>
        </w:tc>
        <w:tc>
          <w:tcPr>
            <w:tcW w:w="1690" w:type="dxa"/>
            <w:tcBorders>
              <w:top w:val="single" w:sz="4" w:space="0" w:color="auto"/>
            </w:tcBorders>
          </w:tcPr>
          <w:p w14:paraId="1CE431A3" w14:textId="77777777" w:rsidR="00A8124F" w:rsidRPr="002571DE" w:rsidRDefault="00A8124F" w:rsidP="003D6916">
            <w:pPr>
              <w:spacing w:after="0" w:line="240" w:lineRule="auto"/>
              <w:rPr>
                <w:sz w:val="12"/>
                <w:szCs w:val="12"/>
              </w:rPr>
            </w:pPr>
          </w:p>
        </w:tc>
      </w:tr>
      <w:tr w:rsidR="00A8124F" w14:paraId="141FFD75" w14:textId="415103E0" w:rsidTr="007B2853">
        <w:tc>
          <w:tcPr>
            <w:tcW w:w="1423" w:type="dxa"/>
          </w:tcPr>
          <w:p w14:paraId="52AD9F5A" w14:textId="73D8C6B5" w:rsidR="00A8124F" w:rsidRPr="00071DC1" w:rsidRDefault="00A8124F" w:rsidP="003D6916">
            <w:pPr>
              <w:spacing w:after="0" w:line="240" w:lineRule="auto"/>
              <w:rPr>
                <w:vertAlign w:val="superscript"/>
              </w:rPr>
            </w:pPr>
            <w:r>
              <w:t>Age (years)</w:t>
            </w:r>
            <w:r w:rsidR="00451CD6">
              <w:rPr>
                <w:vertAlign w:val="superscript"/>
              </w:rPr>
              <w:t>5</w:t>
            </w:r>
          </w:p>
        </w:tc>
        <w:tc>
          <w:tcPr>
            <w:tcW w:w="1814" w:type="dxa"/>
          </w:tcPr>
          <w:p w14:paraId="69C7248C" w14:textId="77777777" w:rsidR="00A8124F" w:rsidRDefault="00A8124F" w:rsidP="003D6916">
            <w:pPr>
              <w:spacing w:after="0" w:line="240" w:lineRule="auto"/>
            </w:pPr>
          </w:p>
        </w:tc>
        <w:tc>
          <w:tcPr>
            <w:tcW w:w="1724" w:type="dxa"/>
          </w:tcPr>
          <w:p w14:paraId="17D1FB6F" w14:textId="77777777" w:rsidR="00A8124F" w:rsidRDefault="00A8124F" w:rsidP="003D6916">
            <w:pPr>
              <w:spacing w:after="0" w:line="240" w:lineRule="auto"/>
            </w:pPr>
          </w:p>
        </w:tc>
        <w:tc>
          <w:tcPr>
            <w:tcW w:w="1702" w:type="dxa"/>
          </w:tcPr>
          <w:p w14:paraId="4670D6AF" w14:textId="77777777" w:rsidR="00A8124F" w:rsidRDefault="00A8124F" w:rsidP="003D6916">
            <w:pPr>
              <w:spacing w:after="0" w:line="240" w:lineRule="auto"/>
            </w:pPr>
          </w:p>
        </w:tc>
        <w:tc>
          <w:tcPr>
            <w:tcW w:w="239" w:type="dxa"/>
          </w:tcPr>
          <w:p w14:paraId="6DA78C5E" w14:textId="603AAFA2" w:rsidR="00A8124F" w:rsidRDefault="00A8124F" w:rsidP="003D6916">
            <w:pPr>
              <w:spacing w:after="0" w:line="240" w:lineRule="auto"/>
            </w:pPr>
          </w:p>
        </w:tc>
        <w:tc>
          <w:tcPr>
            <w:tcW w:w="1757" w:type="dxa"/>
          </w:tcPr>
          <w:p w14:paraId="4FC0D115" w14:textId="77777777" w:rsidR="00A8124F" w:rsidRDefault="00A8124F" w:rsidP="003D6916">
            <w:pPr>
              <w:spacing w:after="0" w:line="240" w:lineRule="auto"/>
            </w:pPr>
          </w:p>
        </w:tc>
        <w:tc>
          <w:tcPr>
            <w:tcW w:w="1690" w:type="dxa"/>
          </w:tcPr>
          <w:p w14:paraId="3321F1DD" w14:textId="77777777" w:rsidR="00A8124F" w:rsidRDefault="00A8124F" w:rsidP="003D6916">
            <w:pPr>
              <w:spacing w:after="0" w:line="240" w:lineRule="auto"/>
            </w:pPr>
          </w:p>
        </w:tc>
        <w:tc>
          <w:tcPr>
            <w:tcW w:w="1690" w:type="dxa"/>
          </w:tcPr>
          <w:p w14:paraId="5C0E7327" w14:textId="77777777" w:rsidR="00A8124F" w:rsidRDefault="00A8124F" w:rsidP="003D6916">
            <w:pPr>
              <w:spacing w:after="0" w:line="240" w:lineRule="auto"/>
            </w:pPr>
          </w:p>
        </w:tc>
      </w:tr>
      <w:tr w:rsidR="00883DC5" w14:paraId="783C0CFC" w14:textId="489AC5EB" w:rsidTr="007B2853">
        <w:tc>
          <w:tcPr>
            <w:tcW w:w="1423" w:type="dxa"/>
          </w:tcPr>
          <w:p w14:paraId="2A4B311F" w14:textId="77777777" w:rsidR="00883DC5" w:rsidRDefault="00883DC5" w:rsidP="00883DC5">
            <w:pPr>
              <w:spacing w:after="0" w:line="240" w:lineRule="auto"/>
            </w:pPr>
            <w:r>
              <w:t xml:space="preserve">   16</w:t>
            </w:r>
          </w:p>
        </w:tc>
        <w:tc>
          <w:tcPr>
            <w:tcW w:w="1814" w:type="dxa"/>
          </w:tcPr>
          <w:p w14:paraId="21A82DE8" w14:textId="77777777" w:rsidR="00883DC5" w:rsidRDefault="00883DC5" w:rsidP="00883DC5">
            <w:pPr>
              <w:spacing w:after="0" w:line="240" w:lineRule="auto"/>
              <w:jc w:val="right"/>
            </w:pPr>
            <w:r w:rsidRPr="004342F0">
              <w:rPr>
                <w:rFonts w:ascii="Calibri" w:hAnsi="Calibri" w:cs="Calibri"/>
              </w:rPr>
              <w:t>15.6 [13.8–17.5]</w:t>
            </w:r>
          </w:p>
        </w:tc>
        <w:tc>
          <w:tcPr>
            <w:tcW w:w="1724" w:type="dxa"/>
          </w:tcPr>
          <w:p w14:paraId="4BF5E73C"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17.5 [15.1–20.1]</w:t>
            </w:r>
          </w:p>
        </w:tc>
        <w:tc>
          <w:tcPr>
            <w:tcW w:w="1702" w:type="dxa"/>
          </w:tcPr>
          <w:p w14:paraId="78AC1A85" w14:textId="34364508" w:rsidR="00883DC5" w:rsidRPr="004342F0" w:rsidRDefault="00883DC5" w:rsidP="00883DC5">
            <w:pPr>
              <w:spacing w:after="0" w:line="240" w:lineRule="auto"/>
              <w:jc w:val="right"/>
              <w:rPr>
                <w:rFonts w:ascii="Calibri" w:hAnsi="Calibri" w:cs="Calibri"/>
              </w:rPr>
            </w:pPr>
            <w:r w:rsidRPr="00160ADF">
              <w:rPr>
                <w:rFonts w:ascii="Calibri" w:hAnsi="Calibri" w:cs="Calibri"/>
              </w:rPr>
              <w:t>1.12 [0.92–1.34]</w:t>
            </w:r>
          </w:p>
        </w:tc>
        <w:tc>
          <w:tcPr>
            <w:tcW w:w="239" w:type="dxa"/>
          </w:tcPr>
          <w:p w14:paraId="33B4CD5A" w14:textId="2DDC54C0" w:rsidR="00883DC5" w:rsidRPr="004342F0" w:rsidRDefault="00883DC5" w:rsidP="00883DC5">
            <w:pPr>
              <w:spacing w:after="0" w:line="240" w:lineRule="auto"/>
              <w:jc w:val="right"/>
              <w:rPr>
                <w:rFonts w:ascii="Calibri" w:hAnsi="Calibri" w:cs="Calibri"/>
              </w:rPr>
            </w:pPr>
          </w:p>
        </w:tc>
        <w:tc>
          <w:tcPr>
            <w:tcW w:w="1757" w:type="dxa"/>
          </w:tcPr>
          <w:p w14:paraId="3A36C665" w14:textId="77777777" w:rsidR="00883DC5" w:rsidRDefault="00883DC5" w:rsidP="00883DC5">
            <w:pPr>
              <w:spacing w:after="0" w:line="240" w:lineRule="auto"/>
              <w:jc w:val="right"/>
            </w:pPr>
            <w:r w:rsidRPr="004342F0">
              <w:rPr>
                <w:rFonts w:ascii="Calibri" w:hAnsi="Calibri" w:cs="Calibri"/>
              </w:rPr>
              <w:t>47.9 [41.6–54.2]</w:t>
            </w:r>
          </w:p>
        </w:tc>
        <w:tc>
          <w:tcPr>
            <w:tcW w:w="1690" w:type="dxa"/>
          </w:tcPr>
          <w:p w14:paraId="6265DC38"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50.5 [42.8–58.1]</w:t>
            </w:r>
          </w:p>
        </w:tc>
        <w:tc>
          <w:tcPr>
            <w:tcW w:w="1690" w:type="dxa"/>
          </w:tcPr>
          <w:p w14:paraId="74A7A581" w14:textId="6C64D678" w:rsidR="00883DC5" w:rsidRPr="004342F0" w:rsidRDefault="00883DC5" w:rsidP="00883DC5">
            <w:pPr>
              <w:spacing w:after="0" w:line="240" w:lineRule="auto"/>
              <w:jc w:val="right"/>
              <w:rPr>
                <w:rFonts w:ascii="Calibri" w:hAnsi="Calibri" w:cs="Calibri"/>
              </w:rPr>
            </w:pPr>
            <w:r w:rsidRPr="00160ADF">
              <w:rPr>
                <w:rFonts w:ascii="Calibri" w:hAnsi="Calibri" w:cs="Calibri"/>
              </w:rPr>
              <w:t>1.05 [0.84–1.34]</w:t>
            </w:r>
          </w:p>
        </w:tc>
      </w:tr>
      <w:tr w:rsidR="00883DC5" w14:paraId="48D7FBDE" w14:textId="5FD31F51" w:rsidTr="007B2853">
        <w:tc>
          <w:tcPr>
            <w:tcW w:w="1423" w:type="dxa"/>
          </w:tcPr>
          <w:p w14:paraId="32CB1663" w14:textId="77777777" w:rsidR="00883DC5" w:rsidRDefault="00883DC5" w:rsidP="00883DC5">
            <w:pPr>
              <w:spacing w:after="0" w:line="240" w:lineRule="auto"/>
            </w:pPr>
            <w:r>
              <w:t xml:space="preserve">   20</w:t>
            </w:r>
          </w:p>
        </w:tc>
        <w:tc>
          <w:tcPr>
            <w:tcW w:w="1814" w:type="dxa"/>
          </w:tcPr>
          <w:p w14:paraId="34269621" w14:textId="77777777" w:rsidR="00883DC5" w:rsidRDefault="00883DC5" w:rsidP="00883DC5">
            <w:pPr>
              <w:spacing w:after="0" w:line="240" w:lineRule="auto"/>
              <w:jc w:val="right"/>
            </w:pPr>
            <w:r w:rsidRPr="004342F0">
              <w:rPr>
                <w:rFonts w:ascii="Calibri" w:hAnsi="Calibri" w:cs="Calibri"/>
              </w:rPr>
              <w:t>14.9 [13.5–16.4]</w:t>
            </w:r>
          </w:p>
        </w:tc>
        <w:tc>
          <w:tcPr>
            <w:tcW w:w="1724" w:type="dxa"/>
          </w:tcPr>
          <w:p w14:paraId="475A3260"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19.2 [17.1–21.5]</w:t>
            </w:r>
          </w:p>
        </w:tc>
        <w:tc>
          <w:tcPr>
            <w:tcW w:w="1702" w:type="dxa"/>
          </w:tcPr>
          <w:p w14:paraId="19D29C17" w14:textId="3C56193C" w:rsidR="00883DC5" w:rsidRPr="004342F0" w:rsidRDefault="00883DC5" w:rsidP="00883DC5">
            <w:pPr>
              <w:spacing w:after="0" w:line="240" w:lineRule="auto"/>
              <w:jc w:val="right"/>
              <w:rPr>
                <w:rFonts w:ascii="Calibri" w:hAnsi="Calibri" w:cs="Calibri"/>
              </w:rPr>
            </w:pPr>
            <w:r w:rsidRPr="00160ADF">
              <w:rPr>
                <w:rFonts w:ascii="Calibri" w:hAnsi="Calibri" w:cs="Calibri"/>
              </w:rPr>
              <w:t>1.29 [1.1</w:t>
            </w:r>
            <w:r>
              <w:rPr>
                <w:rFonts w:ascii="Calibri" w:hAnsi="Calibri" w:cs="Calibri"/>
              </w:rPr>
              <w:t>0</w:t>
            </w:r>
            <w:r w:rsidRPr="00160ADF">
              <w:rPr>
                <w:rFonts w:ascii="Calibri" w:hAnsi="Calibri" w:cs="Calibri"/>
              </w:rPr>
              <w:t>–1.5</w:t>
            </w:r>
            <w:r>
              <w:rPr>
                <w:rFonts w:ascii="Calibri" w:hAnsi="Calibri" w:cs="Calibri"/>
              </w:rPr>
              <w:t>0</w:t>
            </w:r>
            <w:r w:rsidRPr="00160ADF">
              <w:rPr>
                <w:rFonts w:ascii="Calibri" w:hAnsi="Calibri" w:cs="Calibri"/>
              </w:rPr>
              <w:t>]</w:t>
            </w:r>
          </w:p>
        </w:tc>
        <w:tc>
          <w:tcPr>
            <w:tcW w:w="239" w:type="dxa"/>
          </w:tcPr>
          <w:p w14:paraId="6A4B642A" w14:textId="07BDDCF7" w:rsidR="00883DC5" w:rsidRPr="004342F0" w:rsidRDefault="00883DC5" w:rsidP="00883DC5">
            <w:pPr>
              <w:spacing w:after="0" w:line="240" w:lineRule="auto"/>
              <w:jc w:val="right"/>
              <w:rPr>
                <w:rFonts w:ascii="Calibri" w:hAnsi="Calibri" w:cs="Calibri"/>
              </w:rPr>
            </w:pPr>
          </w:p>
        </w:tc>
        <w:tc>
          <w:tcPr>
            <w:tcW w:w="1757" w:type="dxa"/>
          </w:tcPr>
          <w:p w14:paraId="694E908C" w14:textId="77777777" w:rsidR="00883DC5" w:rsidRDefault="00883DC5" w:rsidP="00883DC5">
            <w:pPr>
              <w:spacing w:after="0" w:line="240" w:lineRule="auto"/>
              <w:jc w:val="right"/>
            </w:pPr>
            <w:r w:rsidRPr="004342F0">
              <w:rPr>
                <w:rFonts w:ascii="Calibri" w:hAnsi="Calibri" w:cs="Calibri"/>
              </w:rPr>
              <w:t>46.6 [41.6–51.7]</w:t>
            </w:r>
          </w:p>
        </w:tc>
        <w:tc>
          <w:tcPr>
            <w:tcW w:w="1690" w:type="dxa"/>
          </w:tcPr>
          <w:p w14:paraId="060C3D47"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49.0 [42.8–55.1]</w:t>
            </w:r>
          </w:p>
        </w:tc>
        <w:tc>
          <w:tcPr>
            <w:tcW w:w="1690" w:type="dxa"/>
          </w:tcPr>
          <w:p w14:paraId="41654ECD" w14:textId="7384A5A3" w:rsidR="00883DC5" w:rsidRPr="004342F0" w:rsidRDefault="00883DC5" w:rsidP="00883DC5">
            <w:pPr>
              <w:spacing w:after="0" w:line="240" w:lineRule="auto"/>
              <w:jc w:val="right"/>
              <w:rPr>
                <w:rFonts w:ascii="Calibri" w:hAnsi="Calibri" w:cs="Calibri"/>
              </w:rPr>
            </w:pPr>
            <w:r w:rsidRPr="00160ADF">
              <w:rPr>
                <w:rFonts w:ascii="Calibri" w:hAnsi="Calibri" w:cs="Calibri"/>
              </w:rPr>
              <w:t>1.05 [0.88–1.28]</w:t>
            </w:r>
          </w:p>
        </w:tc>
      </w:tr>
      <w:tr w:rsidR="00883DC5" w14:paraId="0353DCC5" w14:textId="5F3D6443" w:rsidTr="007B2853">
        <w:tc>
          <w:tcPr>
            <w:tcW w:w="1423" w:type="dxa"/>
          </w:tcPr>
          <w:p w14:paraId="20E64EB0" w14:textId="77777777" w:rsidR="00883DC5" w:rsidRDefault="00883DC5" w:rsidP="00883DC5">
            <w:pPr>
              <w:spacing w:after="0" w:line="240" w:lineRule="auto"/>
            </w:pPr>
            <w:r>
              <w:t xml:space="preserve">   25</w:t>
            </w:r>
          </w:p>
        </w:tc>
        <w:tc>
          <w:tcPr>
            <w:tcW w:w="1814" w:type="dxa"/>
          </w:tcPr>
          <w:p w14:paraId="3E658403" w14:textId="77777777" w:rsidR="00883DC5" w:rsidRDefault="00883DC5" w:rsidP="00883DC5">
            <w:pPr>
              <w:spacing w:after="0" w:line="240" w:lineRule="auto"/>
              <w:jc w:val="right"/>
            </w:pPr>
            <w:r w:rsidRPr="004342F0">
              <w:rPr>
                <w:rFonts w:ascii="Calibri" w:hAnsi="Calibri" w:cs="Calibri"/>
              </w:rPr>
              <w:t>14.1 [13.1–15.1]</w:t>
            </w:r>
          </w:p>
        </w:tc>
        <w:tc>
          <w:tcPr>
            <w:tcW w:w="1724" w:type="dxa"/>
          </w:tcPr>
          <w:p w14:paraId="57864B45"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21.5 [19.7–23.4]</w:t>
            </w:r>
          </w:p>
        </w:tc>
        <w:tc>
          <w:tcPr>
            <w:tcW w:w="1702" w:type="dxa"/>
          </w:tcPr>
          <w:p w14:paraId="7865F3E9" w14:textId="4E12E2BF" w:rsidR="00883DC5" w:rsidRPr="004342F0" w:rsidRDefault="00883DC5" w:rsidP="00883DC5">
            <w:pPr>
              <w:spacing w:after="0" w:line="240" w:lineRule="auto"/>
              <w:jc w:val="right"/>
              <w:rPr>
                <w:rFonts w:ascii="Calibri" w:hAnsi="Calibri" w:cs="Calibri"/>
              </w:rPr>
            </w:pPr>
            <w:r w:rsidRPr="00160ADF">
              <w:rPr>
                <w:rFonts w:ascii="Calibri" w:hAnsi="Calibri" w:cs="Calibri"/>
              </w:rPr>
              <w:t>1.53 [1.36–1.7</w:t>
            </w:r>
            <w:r>
              <w:rPr>
                <w:rFonts w:ascii="Calibri" w:hAnsi="Calibri" w:cs="Calibri"/>
              </w:rPr>
              <w:t>0</w:t>
            </w:r>
            <w:r w:rsidRPr="00160ADF">
              <w:rPr>
                <w:rFonts w:ascii="Calibri" w:hAnsi="Calibri" w:cs="Calibri"/>
              </w:rPr>
              <w:t>]</w:t>
            </w:r>
          </w:p>
        </w:tc>
        <w:tc>
          <w:tcPr>
            <w:tcW w:w="239" w:type="dxa"/>
          </w:tcPr>
          <w:p w14:paraId="56026A49" w14:textId="2E291060" w:rsidR="00883DC5" w:rsidRPr="004342F0" w:rsidRDefault="00883DC5" w:rsidP="00883DC5">
            <w:pPr>
              <w:spacing w:after="0" w:line="240" w:lineRule="auto"/>
              <w:jc w:val="right"/>
              <w:rPr>
                <w:rFonts w:ascii="Calibri" w:hAnsi="Calibri" w:cs="Calibri"/>
              </w:rPr>
            </w:pPr>
          </w:p>
        </w:tc>
        <w:tc>
          <w:tcPr>
            <w:tcW w:w="1757" w:type="dxa"/>
          </w:tcPr>
          <w:p w14:paraId="35B452A7" w14:textId="77777777" w:rsidR="00883DC5" w:rsidRDefault="00883DC5" w:rsidP="00883DC5">
            <w:pPr>
              <w:spacing w:after="0" w:line="240" w:lineRule="auto"/>
              <w:jc w:val="right"/>
            </w:pPr>
            <w:r w:rsidRPr="004342F0">
              <w:rPr>
                <w:rFonts w:ascii="Calibri" w:hAnsi="Calibri" w:cs="Calibri"/>
              </w:rPr>
              <w:t>45.0 [41.2–48.7]</w:t>
            </w:r>
          </w:p>
        </w:tc>
        <w:tc>
          <w:tcPr>
            <w:tcW w:w="1690" w:type="dxa"/>
          </w:tcPr>
          <w:p w14:paraId="61D3AC3B"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47.0 [42.5–51.7]</w:t>
            </w:r>
          </w:p>
        </w:tc>
        <w:tc>
          <w:tcPr>
            <w:tcW w:w="1690" w:type="dxa"/>
          </w:tcPr>
          <w:p w14:paraId="513C57CC" w14:textId="42D35BB8" w:rsidR="00883DC5" w:rsidRPr="004342F0" w:rsidRDefault="00883DC5" w:rsidP="00883DC5">
            <w:pPr>
              <w:spacing w:after="0" w:line="240" w:lineRule="auto"/>
              <w:jc w:val="right"/>
              <w:rPr>
                <w:rFonts w:ascii="Calibri" w:hAnsi="Calibri" w:cs="Calibri"/>
              </w:rPr>
            </w:pPr>
            <w:r w:rsidRPr="00160ADF">
              <w:rPr>
                <w:rFonts w:ascii="Calibri" w:hAnsi="Calibri" w:cs="Calibri"/>
              </w:rPr>
              <w:t>1.05 [0.91–1.22]</w:t>
            </w:r>
          </w:p>
        </w:tc>
      </w:tr>
      <w:tr w:rsidR="00883DC5" w14:paraId="1DB691AD" w14:textId="5DF47A11" w:rsidTr="007B2853">
        <w:tc>
          <w:tcPr>
            <w:tcW w:w="1423" w:type="dxa"/>
          </w:tcPr>
          <w:p w14:paraId="434921BF" w14:textId="77777777" w:rsidR="00883DC5" w:rsidRDefault="00883DC5" w:rsidP="00883DC5">
            <w:pPr>
              <w:spacing w:after="0" w:line="240" w:lineRule="auto"/>
            </w:pPr>
            <w:r>
              <w:t xml:space="preserve">   30</w:t>
            </w:r>
          </w:p>
        </w:tc>
        <w:tc>
          <w:tcPr>
            <w:tcW w:w="1814" w:type="dxa"/>
          </w:tcPr>
          <w:p w14:paraId="67A06E5C" w14:textId="77777777" w:rsidR="00883DC5" w:rsidRDefault="00883DC5" w:rsidP="00883DC5">
            <w:pPr>
              <w:spacing w:after="0" w:line="240" w:lineRule="auto"/>
              <w:jc w:val="right"/>
            </w:pPr>
            <w:r w:rsidRPr="004342F0">
              <w:rPr>
                <w:rFonts w:ascii="Calibri" w:hAnsi="Calibri" w:cs="Calibri"/>
              </w:rPr>
              <w:t>13.2 [12.5–14.0]</w:t>
            </w:r>
          </w:p>
        </w:tc>
        <w:tc>
          <w:tcPr>
            <w:tcW w:w="1724" w:type="dxa"/>
          </w:tcPr>
          <w:p w14:paraId="10B6A554"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23.5 [22.0–25.1]</w:t>
            </w:r>
          </w:p>
        </w:tc>
        <w:tc>
          <w:tcPr>
            <w:tcW w:w="1702" w:type="dxa"/>
          </w:tcPr>
          <w:p w14:paraId="6AB14AA7" w14:textId="6B149CDE" w:rsidR="00883DC5" w:rsidRPr="004342F0" w:rsidRDefault="00883DC5" w:rsidP="00883DC5">
            <w:pPr>
              <w:spacing w:after="0" w:line="240" w:lineRule="auto"/>
              <w:jc w:val="right"/>
              <w:rPr>
                <w:rFonts w:ascii="Calibri" w:hAnsi="Calibri" w:cs="Calibri"/>
              </w:rPr>
            </w:pPr>
            <w:r w:rsidRPr="00160ADF">
              <w:rPr>
                <w:rFonts w:ascii="Calibri" w:hAnsi="Calibri" w:cs="Calibri"/>
              </w:rPr>
              <w:t>1.78 [1.62–1.93]</w:t>
            </w:r>
          </w:p>
        </w:tc>
        <w:tc>
          <w:tcPr>
            <w:tcW w:w="239" w:type="dxa"/>
          </w:tcPr>
          <w:p w14:paraId="49F13C31" w14:textId="6A160B02" w:rsidR="00883DC5" w:rsidRPr="004342F0" w:rsidRDefault="00883DC5" w:rsidP="00883DC5">
            <w:pPr>
              <w:spacing w:after="0" w:line="240" w:lineRule="auto"/>
              <w:jc w:val="right"/>
              <w:rPr>
                <w:rFonts w:ascii="Calibri" w:hAnsi="Calibri" w:cs="Calibri"/>
              </w:rPr>
            </w:pPr>
          </w:p>
        </w:tc>
        <w:tc>
          <w:tcPr>
            <w:tcW w:w="1757" w:type="dxa"/>
          </w:tcPr>
          <w:p w14:paraId="469EF1E0" w14:textId="77777777" w:rsidR="00883DC5" w:rsidRDefault="00883DC5" w:rsidP="00883DC5">
            <w:pPr>
              <w:spacing w:after="0" w:line="240" w:lineRule="auto"/>
              <w:jc w:val="right"/>
            </w:pPr>
            <w:r w:rsidRPr="004342F0">
              <w:rPr>
                <w:rFonts w:ascii="Calibri" w:hAnsi="Calibri" w:cs="Calibri"/>
              </w:rPr>
              <w:t>43.3 [40.3–46.3]</w:t>
            </w:r>
          </w:p>
        </w:tc>
        <w:tc>
          <w:tcPr>
            <w:tcW w:w="1690" w:type="dxa"/>
          </w:tcPr>
          <w:p w14:paraId="5AB2028E"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45.1 [41.5–48.7]</w:t>
            </w:r>
          </w:p>
        </w:tc>
        <w:tc>
          <w:tcPr>
            <w:tcW w:w="1690" w:type="dxa"/>
          </w:tcPr>
          <w:p w14:paraId="06FBB3F9" w14:textId="41728546" w:rsidR="00883DC5" w:rsidRPr="004342F0" w:rsidRDefault="00883DC5" w:rsidP="00883DC5">
            <w:pPr>
              <w:spacing w:after="0" w:line="240" w:lineRule="auto"/>
              <w:jc w:val="right"/>
              <w:rPr>
                <w:rFonts w:ascii="Calibri" w:hAnsi="Calibri" w:cs="Calibri"/>
              </w:rPr>
            </w:pPr>
            <w:r w:rsidRPr="00160ADF">
              <w:rPr>
                <w:rFonts w:ascii="Calibri" w:hAnsi="Calibri" w:cs="Calibri"/>
              </w:rPr>
              <w:t>1.04 [0.94–1.18]</w:t>
            </w:r>
          </w:p>
        </w:tc>
      </w:tr>
      <w:tr w:rsidR="00883DC5" w14:paraId="399981C5" w14:textId="4A0E08BB" w:rsidTr="007B2853">
        <w:tc>
          <w:tcPr>
            <w:tcW w:w="1423" w:type="dxa"/>
          </w:tcPr>
          <w:p w14:paraId="7FFF6A04" w14:textId="77777777" w:rsidR="00883DC5" w:rsidRDefault="00883DC5" w:rsidP="00883DC5">
            <w:pPr>
              <w:spacing w:after="0" w:line="240" w:lineRule="auto"/>
            </w:pPr>
            <w:r>
              <w:t xml:space="preserve">   35</w:t>
            </w:r>
          </w:p>
        </w:tc>
        <w:tc>
          <w:tcPr>
            <w:tcW w:w="1814" w:type="dxa"/>
          </w:tcPr>
          <w:p w14:paraId="0493294C" w14:textId="77777777" w:rsidR="00883DC5" w:rsidRDefault="00883DC5" w:rsidP="00883DC5">
            <w:pPr>
              <w:spacing w:after="0" w:line="240" w:lineRule="auto"/>
              <w:jc w:val="right"/>
            </w:pPr>
            <w:r w:rsidRPr="004342F0">
              <w:rPr>
                <w:rFonts w:ascii="Calibri" w:hAnsi="Calibri" w:cs="Calibri"/>
              </w:rPr>
              <w:t>12.4 [11.8–13.1]</w:t>
            </w:r>
          </w:p>
        </w:tc>
        <w:tc>
          <w:tcPr>
            <w:tcW w:w="1724" w:type="dxa"/>
          </w:tcPr>
          <w:p w14:paraId="1CA3F63E"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25.1 [23.7–26.5]</w:t>
            </w:r>
          </w:p>
        </w:tc>
        <w:tc>
          <w:tcPr>
            <w:tcW w:w="1702" w:type="dxa"/>
          </w:tcPr>
          <w:p w14:paraId="64B1C0CD" w14:textId="45918BF5" w:rsidR="00883DC5" w:rsidRPr="004342F0" w:rsidRDefault="00883DC5" w:rsidP="00883DC5">
            <w:pPr>
              <w:spacing w:after="0" w:line="240" w:lineRule="auto"/>
              <w:jc w:val="right"/>
              <w:rPr>
                <w:rFonts w:ascii="Calibri" w:hAnsi="Calibri" w:cs="Calibri"/>
              </w:rPr>
            </w:pPr>
            <w:r w:rsidRPr="00160ADF">
              <w:rPr>
                <w:rFonts w:ascii="Calibri" w:hAnsi="Calibri" w:cs="Calibri"/>
              </w:rPr>
              <w:t>2.02 [1.85–2.2</w:t>
            </w:r>
            <w:r>
              <w:rPr>
                <w:rFonts w:ascii="Calibri" w:hAnsi="Calibri" w:cs="Calibri"/>
              </w:rPr>
              <w:t>0</w:t>
            </w:r>
            <w:r w:rsidRPr="00160ADF">
              <w:rPr>
                <w:rFonts w:ascii="Calibri" w:hAnsi="Calibri" w:cs="Calibri"/>
              </w:rPr>
              <w:t>]</w:t>
            </w:r>
          </w:p>
        </w:tc>
        <w:tc>
          <w:tcPr>
            <w:tcW w:w="239" w:type="dxa"/>
          </w:tcPr>
          <w:p w14:paraId="592A73C0" w14:textId="740E53CC" w:rsidR="00883DC5" w:rsidRPr="004342F0" w:rsidRDefault="00883DC5" w:rsidP="00883DC5">
            <w:pPr>
              <w:spacing w:after="0" w:line="240" w:lineRule="auto"/>
              <w:jc w:val="right"/>
              <w:rPr>
                <w:rFonts w:ascii="Calibri" w:hAnsi="Calibri" w:cs="Calibri"/>
              </w:rPr>
            </w:pPr>
          </w:p>
        </w:tc>
        <w:tc>
          <w:tcPr>
            <w:tcW w:w="1757" w:type="dxa"/>
          </w:tcPr>
          <w:p w14:paraId="4CA774AD" w14:textId="77777777" w:rsidR="00883DC5" w:rsidRDefault="00883DC5" w:rsidP="00883DC5">
            <w:pPr>
              <w:spacing w:after="0" w:line="240" w:lineRule="auto"/>
              <w:jc w:val="right"/>
            </w:pPr>
            <w:r w:rsidRPr="004342F0">
              <w:rPr>
                <w:rFonts w:ascii="Calibri" w:hAnsi="Calibri" w:cs="Calibri"/>
              </w:rPr>
              <w:t>41.5 [38.6–44.4]</w:t>
            </w:r>
          </w:p>
        </w:tc>
        <w:tc>
          <w:tcPr>
            <w:tcW w:w="1690" w:type="dxa"/>
          </w:tcPr>
          <w:p w14:paraId="4F33E837"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43.0 [39.6–46.4]</w:t>
            </w:r>
          </w:p>
        </w:tc>
        <w:tc>
          <w:tcPr>
            <w:tcW w:w="1690" w:type="dxa"/>
          </w:tcPr>
          <w:p w14:paraId="1771C381" w14:textId="616FA9B1" w:rsidR="00883DC5" w:rsidRPr="004342F0" w:rsidRDefault="00883DC5" w:rsidP="00883DC5">
            <w:pPr>
              <w:spacing w:after="0" w:line="240" w:lineRule="auto"/>
              <w:jc w:val="right"/>
              <w:rPr>
                <w:rFonts w:ascii="Calibri" w:hAnsi="Calibri" w:cs="Calibri"/>
              </w:rPr>
            </w:pPr>
            <w:r w:rsidRPr="00160ADF">
              <w:rPr>
                <w:rFonts w:ascii="Calibri" w:hAnsi="Calibri" w:cs="Calibri"/>
              </w:rPr>
              <w:t>1.04 [0.94–1.16]</w:t>
            </w:r>
          </w:p>
        </w:tc>
      </w:tr>
      <w:tr w:rsidR="00883DC5" w14:paraId="08A33F58" w14:textId="63ACF6E9" w:rsidTr="007B2853">
        <w:tc>
          <w:tcPr>
            <w:tcW w:w="1423" w:type="dxa"/>
          </w:tcPr>
          <w:p w14:paraId="511424F4" w14:textId="77777777" w:rsidR="00883DC5" w:rsidRDefault="00883DC5" w:rsidP="00883DC5">
            <w:pPr>
              <w:spacing w:after="0" w:line="240" w:lineRule="auto"/>
            </w:pPr>
            <w:r>
              <w:t xml:space="preserve">   40</w:t>
            </w:r>
          </w:p>
        </w:tc>
        <w:tc>
          <w:tcPr>
            <w:tcW w:w="1814" w:type="dxa"/>
          </w:tcPr>
          <w:p w14:paraId="0CDA7BEF" w14:textId="77777777" w:rsidR="00883DC5" w:rsidRDefault="00883DC5" w:rsidP="00883DC5">
            <w:pPr>
              <w:spacing w:after="0" w:line="240" w:lineRule="auto"/>
              <w:jc w:val="right"/>
            </w:pPr>
            <w:r w:rsidRPr="004342F0">
              <w:rPr>
                <w:rFonts w:ascii="Calibri" w:hAnsi="Calibri" w:cs="Calibri"/>
              </w:rPr>
              <w:t>11.5 [10.9–12.2]</w:t>
            </w:r>
          </w:p>
        </w:tc>
        <w:tc>
          <w:tcPr>
            <w:tcW w:w="1724" w:type="dxa"/>
          </w:tcPr>
          <w:p w14:paraId="34D14AC1"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25.8 [24.3–27.4]</w:t>
            </w:r>
          </w:p>
        </w:tc>
        <w:tc>
          <w:tcPr>
            <w:tcW w:w="1702" w:type="dxa"/>
          </w:tcPr>
          <w:p w14:paraId="431C3A1D" w14:textId="0CD06BEB" w:rsidR="00883DC5" w:rsidRPr="004342F0" w:rsidRDefault="00883DC5" w:rsidP="00883DC5">
            <w:pPr>
              <w:spacing w:after="0" w:line="240" w:lineRule="auto"/>
              <w:jc w:val="right"/>
              <w:rPr>
                <w:rFonts w:ascii="Calibri" w:hAnsi="Calibri" w:cs="Calibri"/>
              </w:rPr>
            </w:pPr>
            <w:r w:rsidRPr="00160ADF">
              <w:rPr>
                <w:rFonts w:ascii="Calibri" w:hAnsi="Calibri" w:cs="Calibri"/>
              </w:rPr>
              <w:t>2.24 [2.03–2.45]</w:t>
            </w:r>
          </w:p>
        </w:tc>
        <w:tc>
          <w:tcPr>
            <w:tcW w:w="239" w:type="dxa"/>
          </w:tcPr>
          <w:p w14:paraId="5C2D9A2A" w14:textId="5B721854" w:rsidR="00883DC5" w:rsidRPr="004342F0" w:rsidRDefault="00883DC5" w:rsidP="00883DC5">
            <w:pPr>
              <w:spacing w:after="0" w:line="240" w:lineRule="auto"/>
              <w:jc w:val="right"/>
              <w:rPr>
                <w:rFonts w:ascii="Calibri" w:hAnsi="Calibri" w:cs="Calibri"/>
              </w:rPr>
            </w:pPr>
          </w:p>
        </w:tc>
        <w:tc>
          <w:tcPr>
            <w:tcW w:w="1757" w:type="dxa"/>
          </w:tcPr>
          <w:p w14:paraId="5C80251B" w14:textId="77777777" w:rsidR="00883DC5" w:rsidRDefault="00883DC5" w:rsidP="00883DC5">
            <w:pPr>
              <w:spacing w:after="0" w:line="240" w:lineRule="auto"/>
              <w:jc w:val="right"/>
            </w:pPr>
            <w:r w:rsidRPr="004342F0">
              <w:rPr>
                <w:rFonts w:ascii="Calibri" w:hAnsi="Calibri" w:cs="Calibri"/>
              </w:rPr>
              <w:t>39.6 [36.5–42.7]</w:t>
            </w:r>
          </w:p>
        </w:tc>
        <w:tc>
          <w:tcPr>
            <w:tcW w:w="1690" w:type="dxa"/>
          </w:tcPr>
          <w:p w14:paraId="3B1C7392"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40.7 [37.2–44.3]</w:t>
            </w:r>
          </w:p>
        </w:tc>
        <w:tc>
          <w:tcPr>
            <w:tcW w:w="1690" w:type="dxa"/>
          </w:tcPr>
          <w:p w14:paraId="7D893450" w14:textId="13CDCE49" w:rsidR="00883DC5" w:rsidRPr="004342F0" w:rsidRDefault="00883DC5" w:rsidP="00883DC5">
            <w:pPr>
              <w:spacing w:after="0" w:line="240" w:lineRule="auto"/>
              <w:jc w:val="right"/>
              <w:rPr>
                <w:rFonts w:ascii="Calibri" w:hAnsi="Calibri" w:cs="Calibri"/>
              </w:rPr>
            </w:pPr>
            <w:r w:rsidRPr="00160ADF">
              <w:rPr>
                <w:rFonts w:ascii="Calibri" w:hAnsi="Calibri" w:cs="Calibri"/>
              </w:rPr>
              <w:t>1.03 [0.92–1.18]</w:t>
            </w:r>
          </w:p>
        </w:tc>
      </w:tr>
      <w:tr w:rsidR="00883DC5" w14:paraId="6DD69C5A" w14:textId="39F25848" w:rsidTr="007B2853">
        <w:tc>
          <w:tcPr>
            <w:tcW w:w="1423" w:type="dxa"/>
          </w:tcPr>
          <w:p w14:paraId="79C1D0C8" w14:textId="77777777" w:rsidR="00883DC5" w:rsidRDefault="00883DC5" w:rsidP="00883DC5">
            <w:pPr>
              <w:spacing w:after="0" w:line="240" w:lineRule="auto"/>
            </w:pPr>
            <w:r>
              <w:t xml:space="preserve">   45</w:t>
            </w:r>
          </w:p>
        </w:tc>
        <w:tc>
          <w:tcPr>
            <w:tcW w:w="1814" w:type="dxa"/>
          </w:tcPr>
          <w:p w14:paraId="1B73833E" w14:textId="77777777" w:rsidR="00883DC5" w:rsidRDefault="00883DC5" w:rsidP="00883DC5">
            <w:pPr>
              <w:spacing w:after="0" w:line="240" w:lineRule="auto"/>
              <w:jc w:val="right"/>
            </w:pPr>
            <w:r w:rsidRPr="004342F0">
              <w:rPr>
                <w:rFonts w:ascii="Calibri" w:hAnsi="Calibri" w:cs="Calibri"/>
              </w:rPr>
              <w:t>10.6 [10.0–11.3]</w:t>
            </w:r>
          </w:p>
        </w:tc>
        <w:tc>
          <w:tcPr>
            <w:tcW w:w="1724" w:type="dxa"/>
          </w:tcPr>
          <w:p w14:paraId="397E9B4B"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25.5 [24.0–27.2]</w:t>
            </w:r>
          </w:p>
        </w:tc>
        <w:tc>
          <w:tcPr>
            <w:tcW w:w="1702" w:type="dxa"/>
          </w:tcPr>
          <w:p w14:paraId="1AF12F78" w14:textId="6FB83C41" w:rsidR="00883DC5" w:rsidRPr="004342F0" w:rsidRDefault="00883DC5" w:rsidP="00883DC5">
            <w:pPr>
              <w:spacing w:after="0" w:line="240" w:lineRule="auto"/>
              <w:jc w:val="right"/>
              <w:rPr>
                <w:rFonts w:ascii="Calibri" w:hAnsi="Calibri" w:cs="Calibri"/>
              </w:rPr>
            </w:pPr>
            <w:r w:rsidRPr="00160ADF">
              <w:rPr>
                <w:rFonts w:ascii="Calibri" w:hAnsi="Calibri" w:cs="Calibri"/>
              </w:rPr>
              <w:t>2.4</w:t>
            </w:r>
            <w:r>
              <w:rPr>
                <w:rFonts w:ascii="Calibri" w:hAnsi="Calibri" w:cs="Calibri"/>
              </w:rPr>
              <w:t>0</w:t>
            </w:r>
            <w:r w:rsidRPr="00160ADF">
              <w:rPr>
                <w:rFonts w:ascii="Calibri" w:hAnsi="Calibri" w:cs="Calibri"/>
              </w:rPr>
              <w:t xml:space="preserve"> [2.17–2.65]</w:t>
            </w:r>
          </w:p>
        </w:tc>
        <w:tc>
          <w:tcPr>
            <w:tcW w:w="239" w:type="dxa"/>
          </w:tcPr>
          <w:p w14:paraId="491867CF" w14:textId="21FDA6B5" w:rsidR="00883DC5" w:rsidRPr="004342F0" w:rsidRDefault="00883DC5" w:rsidP="00883DC5">
            <w:pPr>
              <w:spacing w:after="0" w:line="240" w:lineRule="auto"/>
              <w:jc w:val="right"/>
              <w:rPr>
                <w:rFonts w:ascii="Calibri" w:hAnsi="Calibri" w:cs="Calibri"/>
              </w:rPr>
            </w:pPr>
          </w:p>
        </w:tc>
        <w:tc>
          <w:tcPr>
            <w:tcW w:w="1757" w:type="dxa"/>
          </w:tcPr>
          <w:p w14:paraId="485348B0" w14:textId="77777777" w:rsidR="00883DC5" w:rsidRDefault="00883DC5" w:rsidP="00883DC5">
            <w:pPr>
              <w:spacing w:after="0" w:line="240" w:lineRule="auto"/>
              <w:jc w:val="right"/>
            </w:pPr>
            <w:r w:rsidRPr="004342F0">
              <w:rPr>
                <w:rFonts w:ascii="Calibri" w:hAnsi="Calibri" w:cs="Calibri"/>
              </w:rPr>
              <w:t>37.5 [34.2–40.9]</w:t>
            </w:r>
          </w:p>
        </w:tc>
        <w:tc>
          <w:tcPr>
            <w:tcW w:w="1690" w:type="dxa"/>
          </w:tcPr>
          <w:p w14:paraId="3E1875A2"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38.3 [34.6–42.1]</w:t>
            </w:r>
          </w:p>
        </w:tc>
        <w:tc>
          <w:tcPr>
            <w:tcW w:w="1690" w:type="dxa"/>
          </w:tcPr>
          <w:p w14:paraId="213193C1" w14:textId="742B0B34" w:rsidR="00883DC5" w:rsidRPr="004342F0" w:rsidRDefault="00883DC5" w:rsidP="00883DC5">
            <w:pPr>
              <w:spacing w:after="0" w:line="240" w:lineRule="auto"/>
              <w:jc w:val="right"/>
              <w:rPr>
                <w:rFonts w:ascii="Calibri" w:hAnsi="Calibri" w:cs="Calibri"/>
              </w:rPr>
            </w:pPr>
            <w:r w:rsidRPr="00160ADF">
              <w:rPr>
                <w:rFonts w:ascii="Calibri" w:hAnsi="Calibri" w:cs="Calibri"/>
              </w:rPr>
              <w:t>1.02 [0.89–1.2</w:t>
            </w:r>
            <w:r>
              <w:rPr>
                <w:rFonts w:ascii="Calibri" w:hAnsi="Calibri" w:cs="Calibri"/>
              </w:rPr>
              <w:t>0</w:t>
            </w:r>
            <w:r w:rsidRPr="00160ADF">
              <w:rPr>
                <w:rFonts w:ascii="Calibri" w:hAnsi="Calibri" w:cs="Calibri"/>
              </w:rPr>
              <w:t>]</w:t>
            </w:r>
          </w:p>
        </w:tc>
      </w:tr>
      <w:tr w:rsidR="00883DC5" w14:paraId="2FEBACC1" w14:textId="5A670946" w:rsidTr="007B2853">
        <w:tc>
          <w:tcPr>
            <w:tcW w:w="1423" w:type="dxa"/>
          </w:tcPr>
          <w:p w14:paraId="5D390B00" w14:textId="77777777" w:rsidR="00883DC5" w:rsidRDefault="00883DC5" w:rsidP="00883DC5">
            <w:pPr>
              <w:spacing w:after="0" w:line="240" w:lineRule="auto"/>
            </w:pPr>
            <w:r>
              <w:t xml:space="preserve">   50</w:t>
            </w:r>
          </w:p>
        </w:tc>
        <w:tc>
          <w:tcPr>
            <w:tcW w:w="1814" w:type="dxa"/>
          </w:tcPr>
          <w:p w14:paraId="7067E4D3" w14:textId="77777777" w:rsidR="00883DC5" w:rsidRDefault="00883DC5" w:rsidP="00883DC5">
            <w:pPr>
              <w:spacing w:after="0" w:line="240" w:lineRule="auto"/>
              <w:jc w:val="right"/>
            </w:pPr>
            <w:r w:rsidRPr="004342F0">
              <w:rPr>
                <w:rFonts w:ascii="Calibri" w:hAnsi="Calibri" w:cs="Calibri"/>
              </w:rPr>
              <w:t>9.7 [9.1–10.4]</w:t>
            </w:r>
          </w:p>
        </w:tc>
        <w:tc>
          <w:tcPr>
            <w:tcW w:w="1724" w:type="dxa"/>
          </w:tcPr>
          <w:p w14:paraId="5CC26D15"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24.0 [22.5–25.6]</w:t>
            </w:r>
          </w:p>
        </w:tc>
        <w:tc>
          <w:tcPr>
            <w:tcW w:w="1702" w:type="dxa"/>
          </w:tcPr>
          <w:p w14:paraId="5BCF04F9" w14:textId="5290AD98" w:rsidR="00883DC5" w:rsidRPr="004342F0" w:rsidRDefault="00883DC5" w:rsidP="00883DC5">
            <w:pPr>
              <w:spacing w:after="0" w:line="240" w:lineRule="auto"/>
              <w:jc w:val="right"/>
              <w:rPr>
                <w:rFonts w:ascii="Calibri" w:hAnsi="Calibri" w:cs="Calibri"/>
              </w:rPr>
            </w:pPr>
            <w:r w:rsidRPr="00160ADF">
              <w:rPr>
                <w:rFonts w:ascii="Calibri" w:hAnsi="Calibri" w:cs="Calibri"/>
              </w:rPr>
              <w:t>2.47 [2.23–2.74]</w:t>
            </w:r>
          </w:p>
        </w:tc>
        <w:tc>
          <w:tcPr>
            <w:tcW w:w="239" w:type="dxa"/>
          </w:tcPr>
          <w:p w14:paraId="29DFB757" w14:textId="591D8047" w:rsidR="00883DC5" w:rsidRPr="004342F0" w:rsidRDefault="00883DC5" w:rsidP="00883DC5">
            <w:pPr>
              <w:spacing w:after="0" w:line="240" w:lineRule="auto"/>
              <w:jc w:val="right"/>
              <w:rPr>
                <w:rFonts w:ascii="Calibri" w:hAnsi="Calibri" w:cs="Calibri"/>
              </w:rPr>
            </w:pPr>
          </w:p>
        </w:tc>
        <w:tc>
          <w:tcPr>
            <w:tcW w:w="1757" w:type="dxa"/>
          </w:tcPr>
          <w:p w14:paraId="06894FFD" w14:textId="77777777" w:rsidR="00883DC5" w:rsidRDefault="00883DC5" w:rsidP="00883DC5">
            <w:pPr>
              <w:spacing w:after="0" w:line="240" w:lineRule="auto"/>
              <w:jc w:val="right"/>
            </w:pPr>
            <w:r w:rsidRPr="004342F0">
              <w:rPr>
                <w:rFonts w:ascii="Calibri" w:hAnsi="Calibri" w:cs="Calibri"/>
              </w:rPr>
              <w:t>35.2 [32.0–38.6]</w:t>
            </w:r>
          </w:p>
        </w:tc>
        <w:tc>
          <w:tcPr>
            <w:tcW w:w="1690" w:type="dxa"/>
          </w:tcPr>
          <w:p w14:paraId="5CCE460B"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35.7 [32.0–39.5]</w:t>
            </w:r>
          </w:p>
        </w:tc>
        <w:tc>
          <w:tcPr>
            <w:tcW w:w="1690" w:type="dxa"/>
          </w:tcPr>
          <w:p w14:paraId="3DDBB84B" w14:textId="6AD7CEF2" w:rsidR="00883DC5" w:rsidRPr="004342F0" w:rsidRDefault="00883DC5" w:rsidP="00883DC5">
            <w:pPr>
              <w:spacing w:after="0" w:line="240" w:lineRule="auto"/>
              <w:jc w:val="right"/>
              <w:rPr>
                <w:rFonts w:ascii="Calibri" w:hAnsi="Calibri" w:cs="Calibri"/>
              </w:rPr>
            </w:pPr>
            <w:r w:rsidRPr="00160ADF">
              <w:rPr>
                <w:rFonts w:ascii="Calibri" w:hAnsi="Calibri" w:cs="Calibri"/>
              </w:rPr>
              <w:t>1.01 [0.87–1.2</w:t>
            </w:r>
            <w:r>
              <w:rPr>
                <w:rFonts w:ascii="Calibri" w:hAnsi="Calibri" w:cs="Calibri"/>
              </w:rPr>
              <w:t>0</w:t>
            </w:r>
            <w:r w:rsidRPr="00160ADF">
              <w:rPr>
                <w:rFonts w:ascii="Calibri" w:hAnsi="Calibri" w:cs="Calibri"/>
              </w:rPr>
              <w:t>]</w:t>
            </w:r>
          </w:p>
        </w:tc>
      </w:tr>
      <w:tr w:rsidR="00883DC5" w14:paraId="6D4A3F4C" w14:textId="365A5938" w:rsidTr="007B2853">
        <w:tc>
          <w:tcPr>
            <w:tcW w:w="1423" w:type="dxa"/>
          </w:tcPr>
          <w:p w14:paraId="7F4F24CD" w14:textId="77777777" w:rsidR="00883DC5" w:rsidRDefault="00883DC5" w:rsidP="00883DC5">
            <w:pPr>
              <w:spacing w:after="0" w:line="240" w:lineRule="auto"/>
            </w:pPr>
            <w:r>
              <w:t xml:space="preserve">   55</w:t>
            </w:r>
          </w:p>
        </w:tc>
        <w:tc>
          <w:tcPr>
            <w:tcW w:w="1814" w:type="dxa"/>
          </w:tcPr>
          <w:p w14:paraId="1A43D19F" w14:textId="77777777" w:rsidR="00883DC5" w:rsidRDefault="00883DC5" w:rsidP="00883DC5">
            <w:pPr>
              <w:spacing w:after="0" w:line="240" w:lineRule="auto"/>
              <w:jc w:val="right"/>
            </w:pPr>
            <w:r w:rsidRPr="004342F0">
              <w:rPr>
                <w:rFonts w:ascii="Calibri" w:hAnsi="Calibri" w:cs="Calibri"/>
              </w:rPr>
              <w:t>8.7 [8.2–9.3]</w:t>
            </w:r>
          </w:p>
        </w:tc>
        <w:tc>
          <w:tcPr>
            <w:tcW w:w="1724" w:type="dxa"/>
          </w:tcPr>
          <w:p w14:paraId="36CD920F"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21.2 [19.8–22.5]</w:t>
            </w:r>
          </w:p>
        </w:tc>
        <w:tc>
          <w:tcPr>
            <w:tcW w:w="1702" w:type="dxa"/>
          </w:tcPr>
          <w:p w14:paraId="1B30001F" w14:textId="7842B717" w:rsidR="00883DC5" w:rsidRPr="004342F0" w:rsidRDefault="00883DC5" w:rsidP="00883DC5">
            <w:pPr>
              <w:spacing w:after="0" w:line="240" w:lineRule="auto"/>
              <w:jc w:val="right"/>
              <w:rPr>
                <w:rFonts w:ascii="Calibri" w:hAnsi="Calibri" w:cs="Calibri"/>
              </w:rPr>
            </w:pPr>
            <w:r w:rsidRPr="00160ADF">
              <w:rPr>
                <w:rFonts w:ascii="Calibri" w:hAnsi="Calibri" w:cs="Calibri"/>
              </w:rPr>
              <w:t>2.42 [2.18–2.69]</w:t>
            </w:r>
          </w:p>
        </w:tc>
        <w:tc>
          <w:tcPr>
            <w:tcW w:w="239" w:type="dxa"/>
          </w:tcPr>
          <w:p w14:paraId="0769265D" w14:textId="3F1B73A3" w:rsidR="00883DC5" w:rsidRPr="004342F0" w:rsidRDefault="00883DC5" w:rsidP="00883DC5">
            <w:pPr>
              <w:spacing w:after="0" w:line="240" w:lineRule="auto"/>
              <w:jc w:val="right"/>
              <w:rPr>
                <w:rFonts w:ascii="Calibri" w:hAnsi="Calibri" w:cs="Calibri"/>
              </w:rPr>
            </w:pPr>
          </w:p>
        </w:tc>
        <w:tc>
          <w:tcPr>
            <w:tcW w:w="1757" w:type="dxa"/>
          </w:tcPr>
          <w:p w14:paraId="67F17A40" w14:textId="77777777" w:rsidR="00883DC5" w:rsidRDefault="00883DC5" w:rsidP="00883DC5">
            <w:pPr>
              <w:spacing w:after="0" w:line="240" w:lineRule="auto"/>
              <w:jc w:val="right"/>
            </w:pPr>
            <w:r w:rsidRPr="004342F0">
              <w:rPr>
                <w:rFonts w:ascii="Calibri" w:hAnsi="Calibri" w:cs="Calibri"/>
              </w:rPr>
              <w:t>32.8 [29.8–35.9]</w:t>
            </w:r>
          </w:p>
        </w:tc>
        <w:tc>
          <w:tcPr>
            <w:tcW w:w="1690" w:type="dxa"/>
          </w:tcPr>
          <w:p w14:paraId="35EBD97E"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32.8 [29.5–36.3]</w:t>
            </w:r>
          </w:p>
        </w:tc>
        <w:tc>
          <w:tcPr>
            <w:tcW w:w="1690" w:type="dxa"/>
          </w:tcPr>
          <w:p w14:paraId="431D7849" w14:textId="39456EA9" w:rsidR="00883DC5" w:rsidRPr="004342F0" w:rsidRDefault="00883DC5" w:rsidP="00883DC5">
            <w:pPr>
              <w:spacing w:after="0" w:line="240" w:lineRule="auto"/>
              <w:jc w:val="right"/>
              <w:rPr>
                <w:rFonts w:ascii="Calibri" w:hAnsi="Calibri" w:cs="Calibri"/>
              </w:rPr>
            </w:pPr>
            <w:r w:rsidRPr="00160ADF">
              <w:rPr>
                <w:rFonts w:ascii="Calibri" w:hAnsi="Calibri" w:cs="Calibri"/>
              </w:rPr>
              <w:t>1</w:t>
            </w:r>
            <w:r>
              <w:rPr>
                <w:rFonts w:ascii="Calibri" w:hAnsi="Calibri" w:cs="Calibri"/>
              </w:rPr>
              <w:t>.00</w:t>
            </w:r>
            <w:r w:rsidRPr="00160ADF">
              <w:rPr>
                <w:rFonts w:ascii="Calibri" w:hAnsi="Calibri" w:cs="Calibri"/>
              </w:rPr>
              <w:t xml:space="preserve"> [0.86–1.18]</w:t>
            </w:r>
          </w:p>
        </w:tc>
      </w:tr>
      <w:tr w:rsidR="00883DC5" w14:paraId="6C426A87" w14:textId="24765ABA" w:rsidTr="007B2853">
        <w:tc>
          <w:tcPr>
            <w:tcW w:w="1423" w:type="dxa"/>
          </w:tcPr>
          <w:p w14:paraId="546B4384" w14:textId="77777777" w:rsidR="00883DC5" w:rsidRDefault="00883DC5" w:rsidP="00883DC5">
            <w:pPr>
              <w:spacing w:after="0" w:line="240" w:lineRule="auto"/>
            </w:pPr>
            <w:r>
              <w:t xml:space="preserve">   60</w:t>
            </w:r>
          </w:p>
        </w:tc>
        <w:tc>
          <w:tcPr>
            <w:tcW w:w="1814" w:type="dxa"/>
          </w:tcPr>
          <w:p w14:paraId="3209F100" w14:textId="77777777" w:rsidR="00883DC5" w:rsidRDefault="00883DC5" w:rsidP="00883DC5">
            <w:pPr>
              <w:spacing w:after="0" w:line="240" w:lineRule="auto"/>
              <w:jc w:val="right"/>
            </w:pPr>
            <w:r w:rsidRPr="004342F0">
              <w:rPr>
                <w:rFonts w:ascii="Calibri" w:hAnsi="Calibri" w:cs="Calibri"/>
              </w:rPr>
              <w:t>7.8 [7.3–8.3]</w:t>
            </w:r>
          </w:p>
        </w:tc>
        <w:tc>
          <w:tcPr>
            <w:tcW w:w="1724" w:type="dxa"/>
          </w:tcPr>
          <w:p w14:paraId="426F62DE"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17.4 [16.3–18.5]</w:t>
            </w:r>
          </w:p>
        </w:tc>
        <w:tc>
          <w:tcPr>
            <w:tcW w:w="1702" w:type="dxa"/>
          </w:tcPr>
          <w:p w14:paraId="701AEF7E" w14:textId="178178E7" w:rsidR="00883DC5" w:rsidRPr="004342F0" w:rsidRDefault="00883DC5" w:rsidP="00883DC5">
            <w:pPr>
              <w:spacing w:after="0" w:line="240" w:lineRule="auto"/>
              <w:jc w:val="right"/>
              <w:rPr>
                <w:rFonts w:ascii="Calibri" w:hAnsi="Calibri" w:cs="Calibri"/>
              </w:rPr>
            </w:pPr>
            <w:r w:rsidRPr="00160ADF">
              <w:rPr>
                <w:rFonts w:ascii="Calibri" w:hAnsi="Calibri" w:cs="Calibri"/>
              </w:rPr>
              <w:t>2.23 [2.03–2.51]</w:t>
            </w:r>
          </w:p>
        </w:tc>
        <w:tc>
          <w:tcPr>
            <w:tcW w:w="239" w:type="dxa"/>
          </w:tcPr>
          <w:p w14:paraId="4630BEA2" w14:textId="41302C29" w:rsidR="00883DC5" w:rsidRPr="004342F0" w:rsidRDefault="00883DC5" w:rsidP="00883DC5">
            <w:pPr>
              <w:spacing w:after="0" w:line="240" w:lineRule="auto"/>
              <w:jc w:val="right"/>
              <w:rPr>
                <w:rFonts w:ascii="Calibri" w:hAnsi="Calibri" w:cs="Calibri"/>
              </w:rPr>
            </w:pPr>
          </w:p>
        </w:tc>
        <w:tc>
          <w:tcPr>
            <w:tcW w:w="1757" w:type="dxa"/>
          </w:tcPr>
          <w:p w14:paraId="570E1A7A" w14:textId="77777777" w:rsidR="00883DC5" w:rsidRDefault="00883DC5" w:rsidP="00883DC5">
            <w:pPr>
              <w:spacing w:after="0" w:line="240" w:lineRule="auto"/>
              <w:jc w:val="right"/>
            </w:pPr>
            <w:r w:rsidRPr="004342F0">
              <w:rPr>
                <w:rFonts w:ascii="Calibri" w:hAnsi="Calibri" w:cs="Calibri"/>
              </w:rPr>
              <w:t>30.2 [27.4–33.1]</w:t>
            </w:r>
          </w:p>
        </w:tc>
        <w:tc>
          <w:tcPr>
            <w:tcW w:w="1690" w:type="dxa"/>
          </w:tcPr>
          <w:p w14:paraId="531A9B0D"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29.8 [26.9–32.9]</w:t>
            </w:r>
          </w:p>
        </w:tc>
        <w:tc>
          <w:tcPr>
            <w:tcW w:w="1690" w:type="dxa"/>
          </w:tcPr>
          <w:p w14:paraId="6B835BAC" w14:textId="54CA601B" w:rsidR="00883DC5" w:rsidRPr="004342F0" w:rsidRDefault="00883DC5" w:rsidP="00883DC5">
            <w:pPr>
              <w:spacing w:after="0" w:line="240" w:lineRule="auto"/>
              <w:jc w:val="right"/>
              <w:rPr>
                <w:rFonts w:ascii="Calibri" w:hAnsi="Calibri" w:cs="Calibri"/>
              </w:rPr>
            </w:pPr>
            <w:r w:rsidRPr="00160ADF">
              <w:rPr>
                <w:rFonts w:ascii="Calibri" w:hAnsi="Calibri" w:cs="Calibri"/>
              </w:rPr>
              <w:t>0.99 [0.85–1.15]</w:t>
            </w:r>
          </w:p>
        </w:tc>
      </w:tr>
      <w:tr w:rsidR="00883DC5" w14:paraId="164CA8C2" w14:textId="5A999212" w:rsidTr="007B2853">
        <w:tc>
          <w:tcPr>
            <w:tcW w:w="1423" w:type="dxa"/>
          </w:tcPr>
          <w:p w14:paraId="4AFDB993" w14:textId="77777777" w:rsidR="00883DC5" w:rsidRDefault="00883DC5" w:rsidP="00883DC5">
            <w:pPr>
              <w:spacing w:after="0" w:line="240" w:lineRule="auto"/>
            </w:pPr>
            <w:r>
              <w:t xml:space="preserve">   65</w:t>
            </w:r>
          </w:p>
        </w:tc>
        <w:tc>
          <w:tcPr>
            <w:tcW w:w="1814" w:type="dxa"/>
          </w:tcPr>
          <w:p w14:paraId="02C5120D" w14:textId="77777777" w:rsidR="00883DC5" w:rsidRDefault="00883DC5" w:rsidP="00883DC5">
            <w:pPr>
              <w:spacing w:after="0" w:line="240" w:lineRule="auto"/>
              <w:jc w:val="right"/>
            </w:pPr>
            <w:r w:rsidRPr="004342F0">
              <w:rPr>
                <w:rFonts w:ascii="Calibri" w:hAnsi="Calibri" w:cs="Calibri"/>
              </w:rPr>
              <w:t>6.8 [6.3–7.4]</w:t>
            </w:r>
          </w:p>
        </w:tc>
        <w:tc>
          <w:tcPr>
            <w:tcW w:w="1724" w:type="dxa"/>
          </w:tcPr>
          <w:p w14:paraId="5D522170"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13.3 [12.3–14.4]</w:t>
            </w:r>
          </w:p>
        </w:tc>
        <w:tc>
          <w:tcPr>
            <w:tcW w:w="1702" w:type="dxa"/>
          </w:tcPr>
          <w:p w14:paraId="747E74D4" w14:textId="16351AF9" w:rsidR="00883DC5" w:rsidRPr="004342F0" w:rsidRDefault="00883DC5" w:rsidP="00883DC5">
            <w:pPr>
              <w:spacing w:after="0" w:line="240" w:lineRule="auto"/>
              <w:jc w:val="right"/>
              <w:rPr>
                <w:rFonts w:ascii="Calibri" w:hAnsi="Calibri" w:cs="Calibri"/>
              </w:rPr>
            </w:pPr>
            <w:r w:rsidRPr="00160ADF">
              <w:rPr>
                <w:rFonts w:ascii="Calibri" w:hAnsi="Calibri" w:cs="Calibri"/>
              </w:rPr>
              <w:t>1.95 [1.75–2.26]</w:t>
            </w:r>
          </w:p>
        </w:tc>
        <w:tc>
          <w:tcPr>
            <w:tcW w:w="239" w:type="dxa"/>
          </w:tcPr>
          <w:p w14:paraId="32D99FAE" w14:textId="24D402DC" w:rsidR="00883DC5" w:rsidRPr="004342F0" w:rsidRDefault="00883DC5" w:rsidP="00883DC5">
            <w:pPr>
              <w:spacing w:after="0" w:line="240" w:lineRule="auto"/>
              <w:jc w:val="right"/>
              <w:rPr>
                <w:rFonts w:ascii="Calibri" w:hAnsi="Calibri" w:cs="Calibri"/>
              </w:rPr>
            </w:pPr>
          </w:p>
        </w:tc>
        <w:tc>
          <w:tcPr>
            <w:tcW w:w="1757" w:type="dxa"/>
          </w:tcPr>
          <w:p w14:paraId="61CFA675" w14:textId="77777777" w:rsidR="00883DC5" w:rsidRDefault="00883DC5" w:rsidP="00883DC5">
            <w:pPr>
              <w:spacing w:after="0" w:line="240" w:lineRule="auto"/>
              <w:jc w:val="right"/>
            </w:pPr>
            <w:r w:rsidRPr="004342F0">
              <w:rPr>
                <w:rFonts w:ascii="Calibri" w:hAnsi="Calibri" w:cs="Calibri"/>
              </w:rPr>
              <w:t>27.5 [24.5–30.8]</w:t>
            </w:r>
          </w:p>
        </w:tc>
        <w:tc>
          <w:tcPr>
            <w:tcW w:w="1690" w:type="dxa"/>
          </w:tcPr>
          <w:p w14:paraId="7631C4F2"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26.8 [23.7–30.1]</w:t>
            </w:r>
          </w:p>
        </w:tc>
        <w:tc>
          <w:tcPr>
            <w:tcW w:w="1690" w:type="dxa"/>
          </w:tcPr>
          <w:p w14:paraId="508592EF" w14:textId="72D5C9EA" w:rsidR="00883DC5" w:rsidRPr="004342F0" w:rsidRDefault="00883DC5" w:rsidP="00883DC5">
            <w:pPr>
              <w:spacing w:after="0" w:line="240" w:lineRule="auto"/>
              <w:jc w:val="right"/>
              <w:rPr>
                <w:rFonts w:ascii="Calibri" w:hAnsi="Calibri" w:cs="Calibri"/>
              </w:rPr>
            </w:pPr>
            <w:r w:rsidRPr="00160ADF">
              <w:rPr>
                <w:rFonts w:ascii="Calibri" w:hAnsi="Calibri" w:cs="Calibri"/>
              </w:rPr>
              <w:t>0.97 [0.81–1.16]</w:t>
            </w:r>
          </w:p>
        </w:tc>
      </w:tr>
      <w:tr w:rsidR="00883DC5" w14:paraId="2F0DE54F" w14:textId="1496D371" w:rsidTr="007B2853">
        <w:tc>
          <w:tcPr>
            <w:tcW w:w="1423" w:type="dxa"/>
          </w:tcPr>
          <w:p w14:paraId="15F2C93C" w14:textId="77777777" w:rsidR="00883DC5" w:rsidRDefault="00883DC5" w:rsidP="00883DC5">
            <w:pPr>
              <w:spacing w:after="0" w:line="240" w:lineRule="auto"/>
            </w:pPr>
            <w:r>
              <w:t xml:space="preserve">   70</w:t>
            </w:r>
          </w:p>
        </w:tc>
        <w:tc>
          <w:tcPr>
            <w:tcW w:w="1814" w:type="dxa"/>
          </w:tcPr>
          <w:p w14:paraId="1E1EC376" w14:textId="77777777" w:rsidR="00883DC5" w:rsidRDefault="00883DC5" w:rsidP="00883DC5">
            <w:pPr>
              <w:spacing w:after="0" w:line="240" w:lineRule="auto"/>
              <w:jc w:val="right"/>
            </w:pPr>
            <w:r w:rsidRPr="004342F0">
              <w:rPr>
                <w:rFonts w:ascii="Calibri" w:hAnsi="Calibri" w:cs="Calibri"/>
              </w:rPr>
              <w:t>5.9 [5.3–6.6]</w:t>
            </w:r>
          </w:p>
        </w:tc>
        <w:tc>
          <w:tcPr>
            <w:tcW w:w="1724" w:type="dxa"/>
          </w:tcPr>
          <w:p w14:paraId="1D3D5658"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9.6 [8.6–10.7]</w:t>
            </w:r>
          </w:p>
        </w:tc>
        <w:tc>
          <w:tcPr>
            <w:tcW w:w="1702" w:type="dxa"/>
          </w:tcPr>
          <w:p w14:paraId="5B7E6F22" w14:textId="3DEE0811" w:rsidR="00883DC5" w:rsidRPr="004342F0" w:rsidRDefault="00883DC5" w:rsidP="00883DC5">
            <w:pPr>
              <w:spacing w:after="0" w:line="240" w:lineRule="auto"/>
              <w:jc w:val="right"/>
              <w:rPr>
                <w:rFonts w:ascii="Calibri" w:hAnsi="Calibri" w:cs="Calibri"/>
              </w:rPr>
            </w:pPr>
            <w:r w:rsidRPr="00160ADF">
              <w:rPr>
                <w:rFonts w:ascii="Calibri" w:hAnsi="Calibri" w:cs="Calibri"/>
              </w:rPr>
              <w:t>1.61 [1.39–2</w:t>
            </w:r>
            <w:r>
              <w:rPr>
                <w:rFonts w:ascii="Calibri" w:hAnsi="Calibri" w:cs="Calibri"/>
              </w:rPr>
              <w:t>.00</w:t>
            </w:r>
            <w:r w:rsidRPr="00160ADF">
              <w:rPr>
                <w:rFonts w:ascii="Calibri" w:hAnsi="Calibri" w:cs="Calibri"/>
              </w:rPr>
              <w:t>]</w:t>
            </w:r>
          </w:p>
        </w:tc>
        <w:tc>
          <w:tcPr>
            <w:tcW w:w="239" w:type="dxa"/>
          </w:tcPr>
          <w:p w14:paraId="55262497" w14:textId="5E57705C" w:rsidR="00883DC5" w:rsidRPr="004342F0" w:rsidRDefault="00883DC5" w:rsidP="00883DC5">
            <w:pPr>
              <w:spacing w:after="0" w:line="240" w:lineRule="auto"/>
              <w:jc w:val="right"/>
              <w:rPr>
                <w:rFonts w:ascii="Calibri" w:hAnsi="Calibri" w:cs="Calibri"/>
              </w:rPr>
            </w:pPr>
          </w:p>
        </w:tc>
        <w:tc>
          <w:tcPr>
            <w:tcW w:w="1757" w:type="dxa"/>
          </w:tcPr>
          <w:p w14:paraId="33569EA8" w14:textId="77777777" w:rsidR="00883DC5" w:rsidRDefault="00883DC5" w:rsidP="00883DC5">
            <w:pPr>
              <w:spacing w:after="0" w:line="240" w:lineRule="auto"/>
              <w:jc w:val="right"/>
            </w:pPr>
            <w:r w:rsidRPr="004342F0">
              <w:rPr>
                <w:rFonts w:ascii="Calibri" w:hAnsi="Calibri" w:cs="Calibri"/>
              </w:rPr>
              <w:t>24.8 [20.9–29.2]</w:t>
            </w:r>
          </w:p>
        </w:tc>
        <w:tc>
          <w:tcPr>
            <w:tcW w:w="1690" w:type="dxa"/>
          </w:tcPr>
          <w:p w14:paraId="1D1158CB"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23.8 [19.9–28.1]</w:t>
            </w:r>
          </w:p>
        </w:tc>
        <w:tc>
          <w:tcPr>
            <w:tcW w:w="1690" w:type="dxa"/>
          </w:tcPr>
          <w:p w14:paraId="793A5703" w14:textId="0EB01B9C" w:rsidR="00883DC5" w:rsidRPr="004342F0" w:rsidRDefault="00883DC5" w:rsidP="00883DC5">
            <w:pPr>
              <w:spacing w:after="0" w:line="240" w:lineRule="auto"/>
              <w:jc w:val="right"/>
              <w:rPr>
                <w:rFonts w:ascii="Calibri" w:hAnsi="Calibri" w:cs="Calibri"/>
              </w:rPr>
            </w:pPr>
            <w:r w:rsidRPr="00160ADF">
              <w:rPr>
                <w:rFonts w:ascii="Calibri" w:hAnsi="Calibri" w:cs="Calibri"/>
              </w:rPr>
              <w:t>0.96 [0.72–1.25]</w:t>
            </w:r>
          </w:p>
        </w:tc>
      </w:tr>
      <w:tr w:rsidR="00883DC5" w14:paraId="115BC7CC" w14:textId="7DB54779" w:rsidTr="007B2853">
        <w:tc>
          <w:tcPr>
            <w:tcW w:w="1423" w:type="dxa"/>
          </w:tcPr>
          <w:p w14:paraId="4322D2DA" w14:textId="77777777" w:rsidR="00883DC5" w:rsidRDefault="00883DC5" w:rsidP="00883DC5">
            <w:pPr>
              <w:spacing w:after="0" w:line="240" w:lineRule="auto"/>
            </w:pPr>
            <w:r>
              <w:t xml:space="preserve">   75</w:t>
            </w:r>
          </w:p>
        </w:tc>
        <w:tc>
          <w:tcPr>
            <w:tcW w:w="1814" w:type="dxa"/>
          </w:tcPr>
          <w:p w14:paraId="29FFD627" w14:textId="77777777" w:rsidR="00883DC5" w:rsidRDefault="00883DC5" w:rsidP="00883DC5">
            <w:pPr>
              <w:spacing w:after="0" w:line="240" w:lineRule="auto"/>
              <w:jc w:val="right"/>
            </w:pPr>
            <w:r w:rsidRPr="004342F0">
              <w:rPr>
                <w:rFonts w:ascii="Calibri" w:hAnsi="Calibri" w:cs="Calibri"/>
              </w:rPr>
              <w:t>5.1 [4.4–6.0]</w:t>
            </w:r>
          </w:p>
        </w:tc>
        <w:tc>
          <w:tcPr>
            <w:tcW w:w="1724" w:type="dxa"/>
          </w:tcPr>
          <w:p w14:paraId="56C771A8"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6.5 [5.5–7.7]</w:t>
            </w:r>
          </w:p>
        </w:tc>
        <w:tc>
          <w:tcPr>
            <w:tcW w:w="1702" w:type="dxa"/>
          </w:tcPr>
          <w:p w14:paraId="198F32AB" w14:textId="0A9A9EAD" w:rsidR="00883DC5" w:rsidRPr="004342F0" w:rsidRDefault="00883DC5" w:rsidP="00883DC5">
            <w:pPr>
              <w:spacing w:after="0" w:line="240" w:lineRule="auto"/>
              <w:jc w:val="right"/>
              <w:rPr>
                <w:rFonts w:ascii="Calibri" w:hAnsi="Calibri" w:cs="Calibri"/>
              </w:rPr>
            </w:pPr>
            <w:r w:rsidRPr="00160ADF">
              <w:rPr>
                <w:rFonts w:ascii="Calibri" w:hAnsi="Calibri" w:cs="Calibri"/>
              </w:rPr>
              <w:t>1.27 [0.99–1.74]</w:t>
            </w:r>
          </w:p>
        </w:tc>
        <w:tc>
          <w:tcPr>
            <w:tcW w:w="239" w:type="dxa"/>
          </w:tcPr>
          <w:p w14:paraId="3C600B8E" w14:textId="5FCEBF56" w:rsidR="00883DC5" w:rsidRPr="004342F0" w:rsidRDefault="00883DC5" w:rsidP="00883DC5">
            <w:pPr>
              <w:spacing w:after="0" w:line="240" w:lineRule="auto"/>
              <w:jc w:val="right"/>
              <w:rPr>
                <w:rFonts w:ascii="Calibri" w:hAnsi="Calibri" w:cs="Calibri"/>
              </w:rPr>
            </w:pPr>
          </w:p>
        </w:tc>
        <w:tc>
          <w:tcPr>
            <w:tcW w:w="1757" w:type="dxa"/>
          </w:tcPr>
          <w:p w14:paraId="4BA8120A" w14:textId="77777777" w:rsidR="00883DC5" w:rsidRDefault="00883DC5" w:rsidP="00883DC5">
            <w:pPr>
              <w:spacing w:after="0" w:line="240" w:lineRule="auto"/>
              <w:jc w:val="right"/>
            </w:pPr>
            <w:r w:rsidRPr="004342F0">
              <w:rPr>
                <w:rFonts w:ascii="Calibri" w:hAnsi="Calibri" w:cs="Calibri"/>
              </w:rPr>
              <w:t>22.2 [17.3–28.1]</w:t>
            </w:r>
          </w:p>
        </w:tc>
        <w:tc>
          <w:tcPr>
            <w:tcW w:w="1690" w:type="dxa"/>
          </w:tcPr>
          <w:p w14:paraId="09C8E01B"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20.9 [16.0–26.7]</w:t>
            </w:r>
          </w:p>
        </w:tc>
        <w:tc>
          <w:tcPr>
            <w:tcW w:w="1690" w:type="dxa"/>
          </w:tcPr>
          <w:p w14:paraId="2E83E91D" w14:textId="151FDE0E" w:rsidR="00883DC5" w:rsidRPr="004342F0" w:rsidRDefault="00883DC5" w:rsidP="00883DC5">
            <w:pPr>
              <w:spacing w:after="0" w:line="240" w:lineRule="auto"/>
              <w:jc w:val="right"/>
              <w:rPr>
                <w:rFonts w:ascii="Calibri" w:hAnsi="Calibri" w:cs="Calibri"/>
              </w:rPr>
            </w:pPr>
            <w:r w:rsidRPr="00160ADF">
              <w:rPr>
                <w:rFonts w:ascii="Calibri" w:hAnsi="Calibri" w:cs="Calibri"/>
              </w:rPr>
              <w:t>0.94 [0.61–1.39]</w:t>
            </w:r>
          </w:p>
        </w:tc>
      </w:tr>
      <w:tr w:rsidR="00883DC5" w14:paraId="18F68F5A" w14:textId="71016457" w:rsidTr="007B2853">
        <w:tc>
          <w:tcPr>
            <w:tcW w:w="1423" w:type="dxa"/>
          </w:tcPr>
          <w:p w14:paraId="090C86A0" w14:textId="77777777" w:rsidR="00883DC5" w:rsidRDefault="00883DC5" w:rsidP="00883DC5">
            <w:pPr>
              <w:spacing w:after="0" w:line="240" w:lineRule="auto"/>
            </w:pPr>
            <w:r>
              <w:t xml:space="preserve">   80</w:t>
            </w:r>
          </w:p>
        </w:tc>
        <w:tc>
          <w:tcPr>
            <w:tcW w:w="1814" w:type="dxa"/>
          </w:tcPr>
          <w:p w14:paraId="40954D5D" w14:textId="77777777" w:rsidR="00883DC5" w:rsidRDefault="00883DC5" w:rsidP="00883DC5">
            <w:pPr>
              <w:spacing w:after="0" w:line="240" w:lineRule="auto"/>
              <w:jc w:val="right"/>
            </w:pPr>
            <w:r w:rsidRPr="004342F0">
              <w:rPr>
                <w:rFonts w:ascii="Calibri" w:hAnsi="Calibri" w:cs="Calibri"/>
              </w:rPr>
              <w:t>4.4 [3.6–5.4]</w:t>
            </w:r>
          </w:p>
        </w:tc>
        <w:tc>
          <w:tcPr>
            <w:tcW w:w="1724" w:type="dxa"/>
          </w:tcPr>
          <w:p w14:paraId="3AC5CD31"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4.2 [3.4–5.3]</w:t>
            </w:r>
          </w:p>
        </w:tc>
        <w:tc>
          <w:tcPr>
            <w:tcW w:w="1702" w:type="dxa"/>
          </w:tcPr>
          <w:p w14:paraId="0506965B" w14:textId="100D0E68" w:rsidR="00883DC5" w:rsidRPr="004342F0" w:rsidRDefault="00883DC5" w:rsidP="00883DC5">
            <w:pPr>
              <w:spacing w:after="0" w:line="240" w:lineRule="auto"/>
              <w:jc w:val="right"/>
              <w:rPr>
                <w:rFonts w:ascii="Calibri" w:hAnsi="Calibri" w:cs="Calibri"/>
              </w:rPr>
            </w:pPr>
            <w:r w:rsidRPr="00160ADF">
              <w:rPr>
                <w:rFonts w:ascii="Calibri" w:hAnsi="Calibri" w:cs="Calibri"/>
              </w:rPr>
              <w:t>0.97 [0.69–1.48]</w:t>
            </w:r>
          </w:p>
        </w:tc>
        <w:tc>
          <w:tcPr>
            <w:tcW w:w="239" w:type="dxa"/>
          </w:tcPr>
          <w:p w14:paraId="515D9390" w14:textId="4645F64C" w:rsidR="00883DC5" w:rsidRPr="004342F0" w:rsidRDefault="00883DC5" w:rsidP="00883DC5">
            <w:pPr>
              <w:spacing w:after="0" w:line="240" w:lineRule="auto"/>
              <w:jc w:val="right"/>
              <w:rPr>
                <w:rFonts w:ascii="Calibri" w:hAnsi="Calibri" w:cs="Calibri"/>
              </w:rPr>
            </w:pPr>
          </w:p>
        </w:tc>
        <w:tc>
          <w:tcPr>
            <w:tcW w:w="1757" w:type="dxa"/>
          </w:tcPr>
          <w:p w14:paraId="0DF2CF16" w14:textId="77777777" w:rsidR="00883DC5" w:rsidRDefault="00883DC5" w:rsidP="00883DC5">
            <w:pPr>
              <w:spacing w:after="0" w:line="240" w:lineRule="auto"/>
              <w:jc w:val="right"/>
            </w:pPr>
            <w:r w:rsidRPr="004342F0">
              <w:rPr>
                <w:rFonts w:ascii="Calibri" w:hAnsi="Calibri" w:cs="Calibri"/>
              </w:rPr>
              <w:t>19.7 [13.9–27.2]</w:t>
            </w:r>
          </w:p>
        </w:tc>
        <w:tc>
          <w:tcPr>
            <w:tcW w:w="1690" w:type="dxa"/>
          </w:tcPr>
          <w:p w14:paraId="36FF3551" w14:textId="77777777" w:rsidR="00883DC5" w:rsidRPr="004342F0" w:rsidRDefault="00883DC5" w:rsidP="00883DC5">
            <w:pPr>
              <w:spacing w:after="0" w:line="240" w:lineRule="auto"/>
              <w:jc w:val="right"/>
              <w:rPr>
                <w:rFonts w:ascii="Calibri" w:hAnsi="Calibri" w:cs="Calibri"/>
              </w:rPr>
            </w:pPr>
            <w:r w:rsidRPr="004342F0">
              <w:rPr>
                <w:rFonts w:ascii="Calibri" w:hAnsi="Calibri" w:cs="Calibri"/>
              </w:rPr>
              <w:t>18.2 [12.5–25.7]</w:t>
            </w:r>
          </w:p>
        </w:tc>
        <w:tc>
          <w:tcPr>
            <w:tcW w:w="1690" w:type="dxa"/>
          </w:tcPr>
          <w:p w14:paraId="5D734E72" w14:textId="37B30BC8" w:rsidR="00883DC5" w:rsidRPr="004342F0" w:rsidRDefault="00883DC5" w:rsidP="00883DC5">
            <w:pPr>
              <w:spacing w:after="0" w:line="240" w:lineRule="auto"/>
              <w:jc w:val="right"/>
              <w:rPr>
                <w:rFonts w:ascii="Calibri" w:hAnsi="Calibri" w:cs="Calibri"/>
              </w:rPr>
            </w:pPr>
            <w:r w:rsidRPr="00160ADF">
              <w:rPr>
                <w:rFonts w:ascii="Calibri" w:hAnsi="Calibri" w:cs="Calibri"/>
              </w:rPr>
              <w:t>0.92 [0.5</w:t>
            </w:r>
            <w:r>
              <w:rPr>
                <w:rFonts w:ascii="Calibri" w:hAnsi="Calibri" w:cs="Calibri"/>
              </w:rPr>
              <w:t>0</w:t>
            </w:r>
            <w:r w:rsidRPr="00160ADF">
              <w:rPr>
                <w:rFonts w:ascii="Calibri" w:hAnsi="Calibri" w:cs="Calibri"/>
              </w:rPr>
              <w:t>–1.61]</w:t>
            </w:r>
          </w:p>
        </w:tc>
      </w:tr>
      <w:tr w:rsidR="00883DC5" w:rsidRPr="002571DE" w14:paraId="0B31D2DE" w14:textId="5BC906A9" w:rsidTr="007B2853">
        <w:tc>
          <w:tcPr>
            <w:tcW w:w="1423" w:type="dxa"/>
          </w:tcPr>
          <w:p w14:paraId="45E62B6A" w14:textId="77777777" w:rsidR="00883DC5" w:rsidRPr="002571DE" w:rsidRDefault="00883DC5" w:rsidP="00883DC5">
            <w:pPr>
              <w:spacing w:after="0" w:line="240" w:lineRule="auto"/>
              <w:rPr>
                <w:sz w:val="12"/>
                <w:szCs w:val="12"/>
              </w:rPr>
            </w:pPr>
          </w:p>
        </w:tc>
        <w:tc>
          <w:tcPr>
            <w:tcW w:w="1814" w:type="dxa"/>
          </w:tcPr>
          <w:p w14:paraId="2A1C526F" w14:textId="77777777" w:rsidR="00883DC5" w:rsidRPr="002571DE" w:rsidRDefault="00883DC5" w:rsidP="00883DC5">
            <w:pPr>
              <w:spacing w:after="0" w:line="240" w:lineRule="auto"/>
              <w:rPr>
                <w:sz w:val="12"/>
                <w:szCs w:val="12"/>
              </w:rPr>
            </w:pPr>
          </w:p>
        </w:tc>
        <w:tc>
          <w:tcPr>
            <w:tcW w:w="1724" w:type="dxa"/>
          </w:tcPr>
          <w:p w14:paraId="1B932665" w14:textId="77777777" w:rsidR="00883DC5" w:rsidRPr="002571DE" w:rsidRDefault="00883DC5" w:rsidP="00883DC5">
            <w:pPr>
              <w:spacing w:after="0" w:line="240" w:lineRule="auto"/>
              <w:rPr>
                <w:sz w:val="12"/>
                <w:szCs w:val="12"/>
              </w:rPr>
            </w:pPr>
          </w:p>
        </w:tc>
        <w:tc>
          <w:tcPr>
            <w:tcW w:w="1702" w:type="dxa"/>
          </w:tcPr>
          <w:p w14:paraId="106B477F" w14:textId="77777777" w:rsidR="00883DC5" w:rsidRPr="002571DE" w:rsidRDefault="00883DC5" w:rsidP="00883DC5">
            <w:pPr>
              <w:spacing w:after="0" w:line="240" w:lineRule="auto"/>
              <w:rPr>
                <w:sz w:val="12"/>
                <w:szCs w:val="12"/>
              </w:rPr>
            </w:pPr>
          </w:p>
        </w:tc>
        <w:tc>
          <w:tcPr>
            <w:tcW w:w="239" w:type="dxa"/>
          </w:tcPr>
          <w:p w14:paraId="7734C1C3" w14:textId="3C43CF0F" w:rsidR="00883DC5" w:rsidRPr="002571DE" w:rsidRDefault="00883DC5" w:rsidP="00883DC5">
            <w:pPr>
              <w:spacing w:after="0" w:line="240" w:lineRule="auto"/>
              <w:rPr>
                <w:sz w:val="12"/>
                <w:szCs w:val="12"/>
              </w:rPr>
            </w:pPr>
          </w:p>
        </w:tc>
        <w:tc>
          <w:tcPr>
            <w:tcW w:w="1757" w:type="dxa"/>
          </w:tcPr>
          <w:p w14:paraId="3DFA4436" w14:textId="77777777" w:rsidR="00883DC5" w:rsidRPr="002571DE" w:rsidRDefault="00883DC5" w:rsidP="00883DC5">
            <w:pPr>
              <w:spacing w:after="0" w:line="240" w:lineRule="auto"/>
              <w:rPr>
                <w:sz w:val="12"/>
                <w:szCs w:val="12"/>
              </w:rPr>
            </w:pPr>
          </w:p>
        </w:tc>
        <w:tc>
          <w:tcPr>
            <w:tcW w:w="1690" w:type="dxa"/>
          </w:tcPr>
          <w:p w14:paraId="45179486" w14:textId="77777777" w:rsidR="00883DC5" w:rsidRPr="002571DE" w:rsidRDefault="00883DC5" w:rsidP="00883DC5">
            <w:pPr>
              <w:spacing w:after="0" w:line="240" w:lineRule="auto"/>
              <w:rPr>
                <w:sz w:val="12"/>
                <w:szCs w:val="12"/>
              </w:rPr>
            </w:pPr>
          </w:p>
        </w:tc>
        <w:tc>
          <w:tcPr>
            <w:tcW w:w="1690" w:type="dxa"/>
          </w:tcPr>
          <w:p w14:paraId="4A1178AE" w14:textId="77777777" w:rsidR="00883DC5" w:rsidRPr="002571DE" w:rsidRDefault="00883DC5" w:rsidP="00883DC5">
            <w:pPr>
              <w:spacing w:after="0" w:line="240" w:lineRule="auto"/>
              <w:rPr>
                <w:sz w:val="12"/>
                <w:szCs w:val="12"/>
              </w:rPr>
            </w:pPr>
          </w:p>
        </w:tc>
      </w:tr>
    </w:tbl>
    <w:p w14:paraId="1174EBAE" w14:textId="6739305A" w:rsidR="00FC23D3" w:rsidRDefault="00FC23D3" w:rsidP="00FC23D3">
      <w:pPr>
        <w:spacing w:after="0" w:line="240" w:lineRule="auto"/>
      </w:pPr>
      <w:r>
        <w:t>CI, confidence interval.</w:t>
      </w:r>
      <w:r w:rsidR="007558B0">
        <w:t xml:space="preserve"> PR, prevalence ratio</w:t>
      </w:r>
      <w:r w:rsidR="00F4309B">
        <w:t>.</w:t>
      </w:r>
    </w:p>
    <w:p w14:paraId="4D823665" w14:textId="42C41DB9" w:rsidR="00FC23D3" w:rsidRDefault="00FC23D3" w:rsidP="00FC23D3">
      <w:pPr>
        <w:spacing w:after="0" w:line="240" w:lineRule="auto"/>
      </w:pPr>
      <w:r>
        <w:rPr>
          <w:vertAlign w:val="superscript"/>
        </w:rPr>
        <w:t>1</w:t>
      </w:r>
      <w:r>
        <w:t xml:space="preserve"> Among women.</w:t>
      </w:r>
    </w:p>
    <w:p w14:paraId="176DA5C6" w14:textId="77777777" w:rsidR="00FC23D3" w:rsidRDefault="00FC23D3" w:rsidP="00FC23D3">
      <w:pPr>
        <w:spacing w:after="0" w:line="240" w:lineRule="auto"/>
      </w:pPr>
      <w:r>
        <w:rPr>
          <w:vertAlign w:val="superscript"/>
        </w:rPr>
        <w:t>2</w:t>
      </w:r>
      <w:r>
        <w:t xml:space="preserve"> Among women who smoked in the past year.  </w:t>
      </w:r>
    </w:p>
    <w:p w14:paraId="36B35541" w14:textId="5EA38A85" w:rsidR="00FC23D3" w:rsidRPr="00BE1790" w:rsidRDefault="000126CA" w:rsidP="00451CD6">
      <w:pPr>
        <w:spacing w:after="0" w:line="240" w:lineRule="auto"/>
      </w:pPr>
      <w:r>
        <w:rPr>
          <w:vertAlign w:val="superscript"/>
        </w:rPr>
        <w:t>3</w:t>
      </w:r>
      <w:r w:rsidR="00FC23D3">
        <w:t xml:space="preserve"> Occupational social grades ABC1 = more advantaged, C2DE = less advantaged.</w:t>
      </w:r>
    </w:p>
    <w:p w14:paraId="4FB31354" w14:textId="71074BC8" w:rsidR="00451CD6" w:rsidRDefault="000126CA" w:rsidP="00451CD6">
      <w:pPr>
        <w:autoSpaceDE w:val="0"/>
        <w:autoSpaceDN w:val="0"/>
        <w:adjustRightInd w:val="0"/>
        <w:spacing w:after="0" w:line="240" w:lineRule="auto"/>
        <w:rPr>
          <w:rStyle w:val="normaltextrun"/>
          <w:rFonts w:cstheme="minorHAnsi"/>
        </w:rPr>
      </w:pPr>
      <w:r>
        <w:rPr>
          <w:vertAlign w:val="superscript"/>
        </w:rPr>
        <w:t>4</w:t>
      </w:r>
      <w:r w:rsidR="00451CD6">
        <w:t xml:space="preserve"> Prevalence ratio </w:t>
      </w:r>
      <w:r w:rsidR="00451CD6">
        <w:rPr>
          <w:rStyle w:val="normaltextrun"/>
          <w:rFonts w:cstheme="minorHAnsi"/>
        </w:rPr>
        <w:t>calculated as prevalence among less advantaged women divided by prevalence among more advantaged women, with 95% CIs calculated using bootstrapping (1,000 replications).</w:t>
      </w:r>
    </w:p>
    <w:p w14:paraId="18DA7EAD" w14:textId="379FD39A" w:rsidR="00FC23D3" w:rsidRDefault="00451CD6" w:rsidP="00451CD6">
      <w:pPr>
        <w:spacing w:after="0" w:line="240" w:lineRule="auto"/>
      </w:pPr>
      <w:r>
        <w:rPr>
          <w:vertAlign w:val="superscript"/>
        </w:rPr>
        <w:t>5</w:t>
      </w:r>
      <w:r w:rsidR="00FC23D3">
        <w:t xml:space="preserve"> </w:t>
      </w:r>
      <w:r w:rsidR="00FC23D3" w:rsidRPr="006A7CBF">
        <w:t xml:space="preserve">Predicted </w:t>
      </w:r>
      <w:r w:rsidR="00FC23D3">
        <w:t xml:space="preserve">weighted </w:t>
      </w:r>
      <w:r w:rsidR="00FC23D3" w:rsidRPr="006A7CBF">
        <w:t xml:space="preserve">estimates </w:t>
      </w:r>
      <w:r w:rsidR="00FC23D3">
        <w:t xml:space="preserve">for individual years of age </w:t>
      </w:r>
      <w:r w:rsidR="00FC23D3" w:rsidRPr="006A7CBF">
        <w:t>from logistic regression model</w:t>
      </w:r>
      <w:r w:rsidR="00FC23D3">
        <w:t>s</w:t>
      </w:r>
      <w:r w:rsidR="00FC23D3" w:rsidRPr="006A7CBF">
        <w:t xml:space="preserve"> with age modelled using restricted cubic splines</w:t>
      </w:r>
      <w:r w:rsidR="00FC23D3">
        <w:t xml:space="preserve"> (</w:t>
      </w:r>
      <w:r w:rsidR="005C75E7">
        <w:t xml:space="preserve">with three knots; </w:t>
      </w:r>
      <w:r w:rsidR="00FC23D3">
        <w:t xml:space="preserve">see </w:t>
      </w:r>
      <w:r w:rsidR="00DF76B0">
        <w:rPr>
          <w:b/>
          <w:bCs/>
        </w:rPr>
        <w:t>Additional f</w:t>
      </w:r>
      <w:r w:rsidR="00C10179">
        <w:rPr>
          <w:b/>
          <w:bCs/>
        </w:rPr>
        <w:t>ile 1</w:t>
      </w:r>
      <w:r w:rsidR="00903586">
        <w:rPr>
          <w:b/>
          <w:bCs/>
        </w:rPr>
        <w:t>: Table S1</w:t>
      </w:r>
      <w:r w:rsidR="00FC23D3">
        <w:t xml:space="preserve"> for details of model selection)</w:t>
      </w:r>
      <w:r w:rsidR="00FC23D3" w:rsidRPr="006A7CBF">
        <w:t>. Note that the model</w:t>
      </w:r>
      <w:r w:rsidR="00FC23D3">
        <w:t>s</w:t>
      </w:r>
      <w:r w:rsidR="00FC23D3" w:rsidRPr="006A7CBF">
        <w:t xml:space="preserve"> used to derive these estimates included data from participants of all ages.</w:t>
      </w:r>
    </w:p>
    <w:p w14:paraId="113A6115" w14:textId="50ED228C" w:rsidR="00FC23D3" w:rsidRPr="00B86229" w:rsidRDefault="00FC23D3" w:rsidP="00FC23D3">
      <w:pPr>
        <w:spacing w:after="0" w:line="240" w:lineRule="auto"/>
      </w:pPr>
      <w:r w:rsidRPr="00456A0B">
        <w:t xml:space="preserve">Unmodelled weighted estimates within age bands are provided in </w:t>
      </w:r>
      <w:r w:rsidR="00DF76B0">
        <w:rPr>
          <w:b/>
          <w:bCs/>
        </w:rPr>
        <w:t>Additional</w:t>
      </w:r>
      <w:r w:rsidR="00DF76B0" w:rsidRPr="00456A0B">
        <w:rPr>
          <w:b/>
          <w:bCs/>
        </w:rPr>
        <w:t xml:space="preserve"> </w:t>
      </w:r>
      <w:r w:rsidR="00DF76B0">
        <w:rPr>
          <w:b/>
          <w:bCs/>
        </w:rPr>
        <w:t>f</w:t>
      </w:r>
      <w:r w:rsidR="00993B67" w:rsidRPr="00456A0B">
        <w:rPr>
          <w:b/>
          <w:bCs/>
        </w:rPr>
        <w:t xml:space="preserve">ile 2: </w:t>
      </w:r>
      <w:r w:rsidRPr="00456A0B">
        <w:rPr>
          <w:b/>
          <w:bCs/>
        </w:rPr>
        <w:t>Table S4</w:t>
      </w:r>
      <w:r w:rsidRPr="00456A0B">
        <w:t>.</w:t>
      </w:r>
      <w:r w:rsidR="00C83A55" w:rsidRPr="00456A0B">
        <w:rPr>
          <w:bCs/>
        </w:rPr>
        <w:t xml:space="preserve"> Corresponding data for men are provided in </w:t>
      </w:r>
      <w:r w:rsidR="00DF76B0">
        <w:rPr>
          <w:b/>
        </w:rPr>
        <w:t>Additional</w:t>
      </w:r>
      <w:r w:rsidR="00DF76B0" w:rsidRPr="00456A0B">
        <w:rPr>
          <w:b/>
        </w:rPr>
        <w:t xml:space="preserve"> </w:t>
      </w:r>
      <w:r w:rsidR="00DF76B0">
        <w:rPr>
          <w:b/>
        </w:rPr>
        <w:t>f</w:t>
      </w:r>
      <w:r w:rsidR="00C83A55" w:rsidRPr="00456A0B">
        <w:rPr>
          <w:b/>
        </w:rPr>
        <w:t xml:space="preserve">ile 3: Table </w:t>
      </w:r>
      <w:r w:rsidR="00456A0B" w:rsidRPr="00456A0B">
        <w:rPr>
          <w:b/>
        </w:rPr>
        <w:t>S7</w:t>
      </w:r>
      <w:r w:rsidR="00C83A55" w:rsidRPr="00456A0B">
        <w:rPr>
          <w:bCs/>
        </w:rPr>
        <w:t>.</w:t>
      </w:r>
    </w:p>
    <w:p w14:paraId="07AB18E1" w14:textId="77777777" w:rsidR="00FC23D3" w:rsidRDefault="00FC23D3" w:rsidP="00FC23D3">
      <w:pPr>
        <w:spacing w:after="0" w:line="240" w:lineRule="auto"/>
        <w:rPr>
          <w:vertAlign w:val="superscript"/>
        </w:rPr>
      </w:pPr>
    </w:p>
    <w:p w14:paraId="16C92F98" w14:textId="77777777" w:rsidR="001B0207" w:rsidRDefault="001B0207">
      <w:pPr>
        <w:spacing w:after="200" w:line="276" w:lineRule="auto"/>
        <w:rPr>
          <w:b/>
          <w:bCs/>
        </w:rPr>
      </w:pPr>
      <w:r>
        <w:br w:type="page"/>
      </w:r>
    </w:p>
    <w:p w14:paraId="75807FF8" w14:textId="570FDE1F" w:rsidR="001B0207" w:rsidRDefault="001B0207" w:rsidP="001B0207">
      <w:pPr>
        <w:pStyle w:val="Heading5"/>
        <w:rPr>
          <w:rFonts w:eastAsiaTheme="majorEastAsia"/>
          <w:shd w:val="clear" w:color="auto" w:fill="FFFFFF"/>
        </w:rPr>
      </w:pPr>
      <w:r>
        <w:lastRenderedPageBreak/>
        <w:t>Table</w:t>
      </w:r>
      <w:r w:rsidRPr="00BB29C8">
        <w:t xml:space="preserve"> </w:t>
      </w:r>
      <w:r>
        <w:t>3</w:t>
      </w:r>
      <w:r w:rsidRPr="00BB29C8">
        <w:t xml:space="preserve">. </w:t>
      </w:r>
      <w:r w:rsidRPr="00A97BE4">
        <w:rPr>
          <w:b w:val="0"/>
          <w:bCs w:val="0"/>
        </w:rPr>
        <w:t>Modelled a</w:t>
      </w:r>
      <w:r w:rsidRPr="00A97BE4">
        <w:rPr>
          <w:rFonts w:eastAsiaTheme="majorEastAsia"/>
          <w:b w:val="0"/>
          <w:bCs w:val="0"/>
          <w:shd w:val="clear" w:color="auto" w:fill="FFFFFF"/>
        </w:rPr>
        <w:t xml:space="preserve">ge-specific estimates of </w:t>
      </w:r>
      <w:r>
        <w:rPr>
          <w:rFonts w:eastAsiaTheme="majorEastAsia"/>
          <w:b w:val="0"/>
          <w:bCs w:val="0"/>
          <w:shd w:val="clear" w:color="auto" w:fill="FFFFFF"/>
        </w:rPr>
        <w:t>the success rate of quit attempts and overall quit rate</w:t>
      </w:r>
      <w:r w:rsidRPr="00A97BE4">
        <w:rPr>
          <w:rFonts w:eastAsiaTheme="majorEastAsia"/>
          <w:b w:val="0"/>
          <w:bCs w:val="0"/>
          <w:shd w:val="clear" w:color="auto" w:fill="FFFFFF"/>
        </w:rPr>
        <w:t xml:space="preserve"> by socioeconomic position among women (</w:t>
      </w:r>
      <w:r w:rsidRPr="00A97BE4">
        <w:rPr>
          <w:rFonts w:eastAsiaTheme="majorEastAsia" w:cstheme="minorHAnsi"/>
          <w:b w:val="0"/>
          <w:bCs w:val="0"/>
          <w:shd w:val="clear" w:color="auto" w:fill="FFFFFF"/>
        </w:rPr>
        <w:t>≥</w:t>
      </w:r>
      <w:r w:rsidRPr="00A97BE4">
        <w:rPr>
          <w:rFonts w:eastAsiaTheme="majorEastAsia"/>
          <w:b w:val="0"/>
          <w:bCs w:val="0"/>
          <w:shd w:val="clear" w:color="auto" w:fill="FFFFFF"/>
        </w:rPr>
        <w:t>16y) in Great Britain</w:t>
      </w:r>
    </w:p>
    <w:tbl>
      <w:tblPr>
        <w:tblStyle w:val="TableGrid"/>
        <w:tblW w:w="120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3"/>
        <w:gridCol w:w="1814"/>
        <w:gridCol w:w="1724"/>
        <w:gridCol w:w="1702"/>
        <w:gridCol w:w="239"/>
        <w:gridCol w:w="1757"/>
        <w:gridCol w:w="1690"/>
        <w:gridCol w:w="1690"/>
      </w:tblGrid>
      <w:tr w:rsidR="00B857AF" w14:paraId="10DD3454" w14:textId="77777777" w:rsidTr="004B594C">
        <w:tc>
          <w:tcPr>
            <w:tcW w:w="1423" w:type="dxa"/>
            <w:vMerge w:val="restart"/>
            <w:vAlign w:val="bottom"/>
          </w:tcPr>
          <w:p w14:paraId="4EE43BEE" w14:textId="2D1B8A5E" w:rsidR="00B857AF" w:rsidRDefault="00B857AF" w:rsidP="00B857AF">
            <w:pPr>
              <w:spacing w:after="0" w:line="240" w:lineRule="auto"/>
            </w:pPr>
            <w:r w:rsidRPr="00B857AF">
              <w:rPr>
                <w:b/>
                <w:bCs/>
              </w:rPr>
              <w:t>Occupational social grade</w:t>
            </w:r>
            <w:r w:rsidRPr="00B857AF">
              <w:rPr>
                <w:b/>
                <w:bCs/>
                <w:vertAlign w:val="superscript"/>
              </w:rPr>
              <w:t>3</w:t>
            </w:r>
          </w:p>
        </w:tc>
        <w:tc>
          <w:tcPr>
            <w:tcW w:w="5240" w:type="dxa"/>
            <w:gridSpan w:val="3"/>
            <w:tcBorders>
              <w:top w:val="single" w:sz="4" w:space="0" w:color="auto"/>
              <w:bottom w:val="single" w:sz="4" w:space="0" w:color="auto"/>
            </w:tcBorders>
            <w:vAlign w:val="bottom"/>
          </w:tcPr>
          <w:p w14:paraId="24DBF94C" w14:textId="559F3009" w:rsidR="00B857AF" w:rsidRDefault="00B857AF" w:rsidP="00B857AF">
            <w:pPr>
              <w:spacing w:after="0" w:line="240" w:lineRule="auto"/>
              <w:jc w:val="center"/>
              <w:rPr>
                <w:b/>
                <w:bCs/>
              </w:rPr>
            </w:pPr>
            <w:r>
              <w:rPr>
                <w:b/>
                <w:bCs/>
              </w:rPr>
              <w:t>Success rate of quit attempts</w:t>
            </w:r>
            <w:r>
              <w:rPr>
                <w:b/>
                <w:bCs/>
                <w:vertAlign w:val="superscript"/>
              </w:rPr>
              <w:t>1</w:t>
            </w:r>
          </w:p>
        </w:tc>
        <w:tc>
          <w:tcPr>
            <w:tcW w:w="239" w:type="dxa"/>
            <w:tcBorders>
              <w:top w:val="single" w:sz="4" w:space="0" w:color="auto"/>
              <w:bottom w:val="nil"/>
            </w:tcBorders>
          </w:tcPr>
          <w:p w14:paraId="25F7984D" w14:textId="77777777" w:rsidR="00B857AF" w:rsidRDefault="00B857AF" w:rsidP="00B857AF">
            <w:pPr>
              <w:spacing w:after="0" w:line="240" w:lineRule="auto"/>
              <w:jc w:val="center"/>
              <w:rPr>
                <w:b/>
                <w:bCs/>
              </w:rPr>
            </w:pPr>
          </w:p>
        </w:tc>
        <w:tc>
          <w:tcPr>
            <w:tcW w:w="5137" w:type="dxa"/>
            <w:gridSpan w:val="3"/>
            <w:tcBorders>
              <w:top w:val="single" w:sz="4" w:space="0" w:color="auto"/>
              <w:bottom w:val="single" w:sz="4" w:space="0" w:color="auto"/>
            </w:tcBorders>
            <w:vAlign w:val="bottom"/>
          </w:tcPr>
          <w:p w14:paraId="269A8496" w14:textId="77777777" w:rsidR="00B857AF" w:rsidRDefault="00B857AF" w:rsidP="00B857AF">
            <w:pPr>
              <w:spacing w:after="0" w:line="240" w:lineRule="auto"/>
              <w:jc w:val="center"/>
              <w:rPr>
                <w:b/>
                <w:bCs/>
              </w:rPr>
            </w:pPr>
            <w:r>
              <w:rPr>
                <w:b/>
                <w:bCs/>
              </w:rPr>
              <w:t>Overall quit rate</w:t>
            </w:r>
            <w:r>
              <w:rPr>
                <w:b/>
                <w:bCs/>
                <w:vertAlign w:val="superscript"/>
              </w:rPr>
              <w:t>2</w:t>
            </w:r>
          </w:p>
        </w:tc>
      </w:tr>
      <w:tr w:rsidR="00B857AF" w:rsidRPr="00346284" w14:paraId="038FFCEA" w14:textId="77777777" w:rsidTr="004B594C">
        <w:tc>
          <w:tcPr>
            <w:tcW w:w="1423" w:type="dxa"/>
            <w:vMerge/>
            <w:tcBorders>
              <w:top w:val="single" w:sz="4" w:space="0" w:color="auto"/>
              <w:bottom w:val="single" w:sz="4" w:space="0" w:color="auto"/>
            </w:tcBorders>
            <w:vAlign w:val="bottom"/>
          </w:tcPr>
          <w:p w14:paraId="112D3915" w14:textId="77777777" w:rsidR="00B857AF" w:rsidRPr="00BE1790" w:rsidRDefault="00B857AF" w:rsidP="00B857AF">
            <w:pPr>
              <w:spacing w:after="0" w:line="240" w:lineRule="auto"/>
              <w:rPr>
                <w:b/>
                <w:bCs/>
                <w:vertAlign w:val="superscript"/>
              </w:rPr>
            </w:pPr>
          </w:p>
        </w:tc>
        <w:tc>
          <w:tcPr>
            <w:tcW w:w="3538" w:type="dxa"/>
            <w:gridSpan w:val="2"/>
            <w:tcBorders>
              <w:top w:val="single" w:sz="4" w:space="0" w:color="auto"/>
              <w:bottom w:val="single" w:sz="4" w:space="0" w:color="auto"/>
            </w:tcBorders>
            <w:vAlign w:val="bottom"/>
          </w:tcPr>
          <w:p w14:paraId="0EF3A7CF" w14:textId="77777777" w:rsidR="00B857AF" w:rsidRDefault="00B857AF" w:rsidP="00B857AF">
            <w:pPr>
              <w:spacing w:after="0" w:line="240" w:lineRule="auto"/>
              <w:jc w:val="center"/>
              <w:rPr>
                <w:b/>
                <w:bCs/>
              </w:rPr>
            </w:pPr>
            <w:r>
              <w:rPr>
                <w:b/>
                <w:bCs/>
              </w:rPr>
              <w:t>% [95% CI]</w:t>
            </w:r>
          </w:p>
        </w:tc>
        <w:tc>
          <w:tcPr>
            <w:tcW w:w="1702" w:type="dxa"/>
            <w:tcBorders>
              <w:top w:val="single" w:sz="4" w:space="0" w:color="auto"/>
              <w:bottom w:val="nil"/>
            </w:tcBorders>
          </w:tcPr>
          <w:p w14:paraId="3479671F" w14:textId="77777777" w:rsidR="00B857AF" w:rsidRDefault="00B857AF" w:rsidP="00B857AF">
            <w:pPr>
              <w:spacing w:after="0" w:line="240" w:lineRule="auto"/>
              <w:jc w:val="right"/>
              <w:rPr>
                <w:b/>
                <w:bCs/>
              </w:rPr>
            </w:pPr>
          </w:p>
        </w:tc>
        <w:tc>
          <w:tcPr>
            <w:tcW w:w="239" w:type="dxa"/>
            <w:tcBorders>
              <w:top w:val="nil"/>
              <w:bottom w:val="nil"/>
            </w:tcBorders>
            <w:vAlign w:val="bottom"/>
          </w:tcPr>
          <w:p w14:paraId="3075EF92" w14:textId="77777777" w:rsidR="00B857AF" w:rsidRPr="00346284" w:rsidRDefault="00B857AF" w:rsidP="00B857AF">
            <w:pPr>
              <w:spacing w:after="0" w:line="240" w:lineRule="auto"/>
              <w:jc w:val="right"/>
              <w:rPr>
                <w:b/>
                <w:bCs/>
              </w:rPr>
            </w:pPr>
          </w:p>
        </w:tc>
        <w:tc>
          <w:tcPr>
            <w:tcW w:w="3447" w:type="dxa"/>
            <w:gridSpan w:val="2"/>
            <w:tcBorders>
              <w:top w:val="nil"/>
              <w:bottom w:val="single" w:sz="4" w:space="0" w:color="auto"/>
            </w:tcBorders>
            <w:vAlign w:val="bottom"/>
          </w:tcPr>
          <w:p w14:paraId="37748FAD" w14:textId="77777777" w:rsidR="00B857AF" w:rsidRDefault="00B857AF" w:rsidP="00B857AF">
            <w:pPr>
              <w:spacing w:after="0" w:line="240" w:lineRule="auto"/>
              <w:jc w:val="center"/>
              <w:rPr>
                <w:b/>
                <w:bCs/>
              </w:rPr>
            </w:pPr>
            <w:r>
              <w:rPr>
                <w:b/>
                <w:bCs/>
              </w:rPr>
              <w:t>% [95% CI]</w:t>
            </w:r>
          </w:p>
        </w:tc>
        <w:tc>
          <w:tcPr>
            <w:tcW w:w="1690" w:type="dxa"/>
            <w:tcBorders>
              <w:top w:val="nil"/>
              <w:bottom w:val="nil"/>
            </w:tcBorders>
          </w:tcPr>
          <w:p w14:paraId="0DB8BF4F" w14:textId="77777777" w:rsidR="00B857AF" w:rsidRDefault="00B857AF" w:rsidP="00B857AF">
            <w:pPr>
              <w:spacing w:after="0" w:line="240" w:lineRule="auto"/>
              <w:jc w:val="right"/>
              <w:rPr>
                <w:b/>
                <w:bCs/>
              </w:rPr>
            </w:pPr>
          </w:p>
        </w:tc>
      </w:tr>
      <w:tr w:rsidR="00B857AF" w:rsidRPr="00346284" w14:paraId="6234A319" w14:textId="77777777" w:rsidTr="004B594C">
        <w:tc>
          <w:tcPr>
            <w:tcW w:w="1423" w:type="dxa"/>
            <w:vMerge/>
            <w:tcBorders>
              <w:top w:val="nil"/>
              <w:bottom w:val="single" w:sz="4" w:space="0" w:color="auto"/>
            </w:tcBorders>
            <w:vAlign w:val="bottom"/>
          </w:tcPr>
          <w:p w14:paraId="45E64DDC" w14:textId="77777777" w:rsidR="00B857AF" w:rsidRPr="00BE1790" w:rsidRDefault="00B857AF" w:rsidP="00B857AF">
            <w:pPr>
              <w:spacing w:after="0" w:line="240" w:lineRule="auto"/>
              <w:rPr>
                <w:b/>
                <w:bCs/>
                <w:vertAlign w:val="superscript"/>
              </w:rPr>
            </w:pPr>
          </w:p>
        </w:tc>
        <w:tc>
          <w:tcPr>
            <w:tcW w:w="1814" w:type="dxa"/>
            <w:tcBorders>
              <w:top w:val="nil"/>
              <w:bottom w:val="single" w:sz="4" w:space="0" w:color="auto"/>
            </w:tcBorders>
            <w:vAlign w:val="bottom"/>
          </w:tcPr>
          <w:p w14:paraId="2F45DB3F" w14:textId="77777777" w:rsidR="00B857AF" w:rsidRPr="00346284" w:rsidRDefault="00B857AF" w:rsidP="00B857AF">
            <w:pPr>
              <w:spacing w:after="0" w:line="240" w:lineRule="auto"/>
              <w:jc w:val="right"/>
              <w:rPr>
                <w:b/>
                <w:bCs/>
              </w:rPr>
            </w:pPr>
            <w:r>
              <w:rPr>
                <w:b/>
                <w:bCs/>
              </w:rPr>
              <w:t>ABC1</w:t>
            </w:r>
          </w:p>
        </w:tc>
        <w:tc>
          <w:tcPr>
            <w:tcW w:w="1724" w:type="dxa"/>
            <w:tcBorders>
              <w:top w:val="nil"/>
              <w:bottom w:val="single" w:sz="4" w:space="0" w:color="auto"/>
            </w:tcBorders>
            <w:vAlign w:val="bottom"/>
          </w:tcPr>
          <w:p w14:paraId="25F8D010" w14:textId="77777777" w:rsidR="00B857AF" w:rsidRPr="00346284" w:rsidRDefault="00B857AF" w:rsidP="00B857AF">
            <w:pPr>
              <w:spacing w:after="0" w:line="240" w:lineRule="auto"/>
              <w:jc w:val="right"/>
              <w:rPr>
                <w:b/>
                <w:bCs/>
              </w:rPr>
            </w:pPr>
            <w:r>
              <w:rPr>
                <w:b/>
                <w:bCs/>
              </w:rPr>
              <w:t>C2DE</w:t>
            </w:r>
          </w:p>
        </w:tc>
        <w:tc>
          <w:tcPr>
            <w:tcW w:w="1702" w:type="dxa"/>
            <w:tcBorders>
              <w:top w:val="nil"/>
              <w:bottom w:val="single" w:sz="4" w:space="0" w:color="auto"/>
            </w:tcBorders>
          </w:tcPr>
          <w:p w14:paraId="5552B6ED" w14:textId="6D0BDB19" w:rsidR="00B857AF" w:rsidRPr="00451CD6" w:rsidRDefault="00B857AF" w:rsidP="00B857AF">
            <w:pPr>
              <w:spacing w:after="0" w:line="240" w:lineRule="auto"/>
              <w:jc w:val="right"/>
              <w:rPr>
                <w:b/>
                <w:bCs/>
                <w:vertAlign w:val="superscript"/>
              </w:rPr>
            </w:pPr>
            <w:r>
              <w:rPr>
                <w:b/>
                <w:bCs/>
              </w:rPr>
              <w:t>PR [95% CI]</w:t>
            </w:r>
            <w:r w:rsidR="00451CD6">
              <w:rPr>
                <w:b/>
                <w:bCs/>
                <w:vertAlign w:val="superscript"/>
              </w:rPr>
              <w:t>4</w:t>
            </w:r>
          </w:p>
        </w:tc>
        <w:tc>
          <w:tcPr>
            <w:tcW w:w="239" w:type="dxa"/>
            <w:tcBorders>
              <w:top w:val="nil"/>
              <w:bottom w:val="single" w:sz="4" w:space="0" w:color="auto"/>
            </w:tcBorders>
            <w:vAlign w:val="bottom"/>
          </w:tcPr>
          <w:p w14:paraId="61407604" w14:textId="77777777" w:rsidR="00B857AF" w:rsidRPr="00346284" w:rsidRDefault="00B857AF" w:rsidP="00B857AF">
            <w:pPr>
              <w:spacing w:after="0" w:line="240" w:lineRule="auto"/>
              <w:jc w:val="right"/>
              <w:rPr>
                <w:b/>
                <w:bCs/>
              </w:rPr>
            </w:pPr>
          </w:p>
        </w:tc>
        <w:tc>
          <w:tcPr>
            <w:tcW w:w="1757" w:type="dxa"/>
            <w:tcBorders>
              <w:top w:val="nil"/>
              <w:bottom w:val="single" w:sz="4" w:space="0" w:color="auto"/>
            </w:tcBorders>
            <w:vAlign w:val="bottom"/>
          </w:tcPr>
          <w:p w14:paraId="00FC6215" w14:textId="77777777" w:rsidR="00B857AF" w:rsidRPr="00346284" w:rsidRDefault="00B857AF" w:rsidP="00B857AF">
            <w:pPr>
              <w:spacing w:after="0" w:line="240" w:lineRule="auto"/>
              <w:jc w:val="right"/>
              <w:rPr>
                <w:b/>
                <w:bCs/>
              </w:rPr>
            </w:pPr>
            <w:r>
              <w:rPr>
                <w:b/>
                <w:bCs/>
              </w:rPr>
              <w:t>ABC1</w:t>
            </w:r>
          </w:p>
        </w:tc>
        <w:tc>
          <w:tcPr>
            <w:tcW w:w="1690" w:type="dxa"/>
            <w:tcBorders>
              <w:top w:val="nil"/>
              <w:bottom w:val="single" w:sz="4" w:space="0" w:color="auto"/>
            </w:tcBorders>
            <w:vAlign w:val="bottom"/>
          </w:tcPr>
          <w:p w14:paraId="6D4B5EF2" w14:textId="77777777" w:rsidR="00B857AF" w:rsidRPr="00346284" w:rsidRDefault="00B857AF" w:rsidP="00B857AF">
            <w:pPr>
              <w:spacing w:after="0" w:line="240" w:lineRule="auto"/>
              <w:jc w:val="right"/>
              <w:rPr>
                <w:b/>
                <w:bCs/>
              </w:rPr>
            </w:pPr>
            <w:r>
              <w:rPr>
                <w:b/>
                <w:bCs/>
              </w:rPr>
              <w:t>C2DE</w:t>
            </w:r>
          </w:p>
        </w:tc>
        <w:tc>
          <w:tcPr>
            <w:tcW w:w="1690" w:type="dxa"/>
            <w:tcBorders>
              <w:top w:val="nil"/>
              <w:bottom w:val="single" w:sz="4" w:space="0" w:color="auto"/>
            </w:tcBorders>
          </w:tcPr>
          <w:p w14:paraId="7F866744" w14:textId="7AE135C8" w:rsidR="00B857AF" w:rsidRPr="00451CD6" w:rsidRDefault="00B857AF" w:rsidP="00B857AF">
            <w:pPr>
              <w:spacing w:after="0" w:line="240" w:lineRule="auto"/>
              <w:jc w:val="right"/>
              <w:rPr>
                <w:b/>
                <w:bCs/>
                <w:vertAlign w:val="superscript"/>
              </w:rPr>
            </w:pPr>
            <w:r>
              <w:rPr>
                <w:b/>
                <w:bCs/>
              </w:rPr>
              <w:t>PR [95% CI]</w:t>
            </w:r>
            <w:r w:rsidR="00451CD6">
              <w:rPr>
                <w:b/>
                <w:bCs/>
                <w:vertAlign w:val="superscript"/>
              </w:rPr>
              <w:t>4</w:t>
            </w:r>
          </w:p>
        </w:tc>
      </w:tr>
      <w:tr w:rsidR="00B857AF" w:rsidRPr="002571DE" w14:paraId="68CE7530" w14:textId="77777777" w:rsidTr="004B594C">
        <w:tc>
          <w:tcPr>
            <w:tcW w:w="1423" w:type="dxa"/>
            <w:tcBorders>
              <w:top w:val="single" w:sz="4" w:space="0" w:color="auto"/>
            </w:tcBorders>
          </w:tcPr>
          <w:p w14:paraId="1861D89E" w14:textId="77777777" w:rsidR="00B857AF" w:rsidRPr="002571DE" w:rsidRDefault="00B857AF" w:rsidP="00B857AF">
            <w:pPr>
              <w:spacing w:after="0" w:line="240" w:lineRule="auto"/>
              <w:rPr>
                <w:sz w:val="12"/>
                <w:szCs w:val="12"/>
              </w:rPr>
            </w:pPr>
          </w:p>
        </w:tc>
        <w:tc>
          <w:tcPr>
            <w:tcW w:w="1814" w:type="dxa"/>
            <w:tcBorders>
              <w:top w:val="single" w:sz="4" w:space="0" w:color="auto"/>
            </w:tcBorders>
          </w:tcPr>
          <w:p w14:paraId="7CBFD367" w14:textId="77777777" w:rsidR="00B857AF" w:rsidRPr="002571DE" w:rsidRDefault="00B857AF" w:rsidP="00B857AF">
            <w:pPr>
              <w:spacing w:after="0" w:line="240" w:lineRule="auto"/>
              <w:rPr>
                <w:sz w:val="12"/>
                <w:szCs w:val="12"/>
              </w:rPr>
            </w:pPr>
          </w:p>
        </w:tc>
        <w:tc>
          <w:tcPr>
            <w:tcW w:w="1724" w:type="dxa"/>
            <w:tcBorders>
              <w:top w:val="single" w:sz="4" w:space="0" w:color="auto"/>
            </w:tcBorders>
          </w:tcPr>
          <w:p w14:paraId="661E047C" w14:textId="77777777" w:rsidR="00B857AF" w:rsidRPr="002571DE" w:rsidRDefault="00B857AF" w:rsidP="00B857AF">
            <w:pPr>
              <w:spacing w:after="0" w:line="240" w:lineRule="auto"/>
              <w:rPr>
                <w:sz w:val="12"/>
                <w:szCs w:val="12"/>
              </w:rPr>
            </w:pPr>
          </w:p>
        </w:tc>
        <w:tc>
          <w:tcPr>
            <w:tcW w:w="1702" w:type="dxa"/>
            <w:tcBorders>
              <w:top w:val="single" w:sz="4" w:space="0" w:color="auto"/>
            </w:tcBorders>
          </w:tcPr>
          <w:p w14:paraId="289F02CF" w14:textId="77777777" w:rsidR="00B857AF" w:rsidRPr="002571DE" w:rsidRDefault="00B857AF" w:rsidP="00B857AF">
            <w:pPr>
              <w:spacing w:after="0" w:line="240" w:lineRule="auto"/>
              <w:rPr>
                <w:sz w:val="12"/>
                <w:szCs w:val="12"/>
              </w:rPr>
            </w:pPr>
          </w:p>
        </w:tc>
        <w:tc>
          <w:tcPr>
            <w:tcW w:w="239" w:type="dxa"/>
            <w:tcBorders>
              <w:top w:val="single" w:sz="4" w:space="0" w:color="auto"/>
            </w:tcBorders>
          </w:tcPr>
          <w:p w14:paraId="773B790A" w14:textId="77777777" w:rsidR="00B857AF" w:rsidRPr="002571DE" w:rsidRDefault="00B857AF" w:rsidP="00B857AF">
            <w:pPr>
              <w:spacing w:after="0" w:line="240" w:lineRule="auto"/>
              <w:rPr>
                <w:sz w:val="12"/>
                <w:szCs w:val="12"/>
              </w:rPr>
            </w:pPr>
          </w:p>
        </w:tc>
        <w:tc>
          <w:tcPr>
            <w:tcW w:w="1757" w:type="dxa"/>
            <w:tcBorders>
              <w:top w:val="single" w:sz="4" w:space="0" w:color="auto"/>
            </w:tcBorders>
          </w:tcPr>
          <w:p w14:paraId="3F9F7D87" w14:textId="77777777" w:rsidR="00B857AF" w:rsidRPr="002571DE" w:rsidRDefault="00B857AF" w:rsidP="00B857AF">
            <w:pPr>
              <w:spacing w:after="0" w:line="240" w:lineRule="auto"/>
              <w:rPr>
                <w:sz w:val="12"/>
                <w:szCs w:val="12"/>
              </w:rPr>
            </w:pPr>
          </w:p>
        </w:tc>
        <w:tc>
          <w:tcPr>
            <w:tcW w:w="1690" w:type="dxa"/>
            <w:tcBorders>
              <w:top w:val="single" w:sz="4" w:space="0" w:color="auto"/>
            </w:tcBorders>
          </w:tcPr>
          <w:p w14:paraId="649F787C" w14:textId="77777777" w:rsidR="00B857AF" w:rsidRPr="002571DE" w:rsidRDefault="00B857AF" w:rsidP="00B857AF">
            <w:pPr>
              <w:spacing w:after="0" w:line="240" w:lineRule="auto"/>
              <w:rPr>
                <w:sz w:val="12"/>
                <w:szCs w:val="12"/>
              </w:rPr>
            </w:pPr>
          </w:p>
        </w:tc>
        <w:tc>
          <w:tcPr>
            <w:tcW w:w="1690" w:type="dxa"/>
            <w:tcBorders>
              <w:top w:val="single" w:sz="4" w:space="0" w:color="auto"/>
            </w:tcBorders>
          </w:tcPr>
          <w:p w14:paraId="54DE2215" w14:textId="77777777" w:rsidR="00B857AF" w:rsidRPr="002571DE" w:rsidRDefault="00B857AF" w:rsidP="00B857AF">
            <w:pPr>
              <w:spacing w:after="0" w:line="240" w:lineRule="auto"/>
              <w:rPr>
                <w:sz w:val="12"/>
                <w:szCs w:val="12"/>
              </w:rPr>
            </w:pPr>
          </w:p>
        </w:tc>
      </w:tr>
      <w:tr w:rsidR="00B857AF" w14:paraId="753FB221" w14:textId="77777777" w:rsidTr="004B594C">
        <w:tc>
          <w:tcPr>
            <w:tcW w:w="1423" w:type="dxa"/>
          </w:tcPr>
          <w:p w14:paraId="5372B26A" w14:textId="076DEF21" w:rsidR="00B857AF" w:rsidRPr="00071DC1" w:rsidRDefault="00B857AF" w:rsidP="00B857AF">
            <w:pPr>
              <w:spacing w:after="0" w:line="240" w:lineRule="auto"/>
              <w:rPr>
                <w:vertAlign w:val="superscript"/>
              </w:rPr>
            </w:pPr>
            <w:r>
              <w:t>Age (years)</w:t>
            </w:r>
            <w:r w:rsidR="00451CD6">
              <w:rPr>
                <w:vertAlign w:val="superscript"/>
              </w:rPr>
              <w:t>5</w:t>
            </w:r>
          </w:p>
        </w:tc>
        <w:tc>
          <w:tcPr>
            <w:tcW w:w="1814" w:type="dxa"/>
          </w:tcPr>
          <w:p w14:paraId="72336FA3" w14:textId="77777777" w:rsidR="00B857AF" w:rsidRDefault="00B857AF" w:rsidP="00B857AF">
            <w:pPr>
              <w:spacing w:after="0" w:line="240" w:lineRule="auto"/>
            </w:pPr>
          </w:p>
        </w:tc>
        <w:tc>
          <w:tcPr>
            <w:tcW w:w="1724" w:type="dxa"/>
          </w:tcPr>
          <w:p w14:paraId="3A4EA5F8" w14:textId="77777777" w:rsidR="00B857AF" w:rsidRDefault="00B857AF" w:rsidP="00B857AF">
            <w:pPr>
              <w:spacing w:after="0" w:line="240" w:lineRule="auto"/>
            </w:pPr>
          </w:p>
        </w:tc>
        <w:tc>
          <w:tcPr>
            <w:tcW w:w="1702" w:type="dxa"/>
          </w:tcPr>
          <w:p w14:paraId="7641E858" w14:textId="77777777" w:rsidR="00B857AF" w:rsidRDefault="00B857AF" w:rsidP="00B857AF">
            <w:pPr>
              <w:spacing w:after="0" w:line="240" w:lineRule="auto"/>
            </w:pPr>
          </w:p>
        </w:tc>
        <w:tc>
          <w:tcPr>
            <w:tcW w:w="239" w:type="dxa"/>
          </w:tcPr>
          <w:p w14:paraId="597B5C39" w14:textId="77777777" w:rsidR="00B857AF" w:rsidRDefault="00B857AF" w:rsidP="00B857AF">
            <w:pPr>
              <w:spacing w:after="0" w:line="240" w:lineRule="auto"/>
            </w:pPr>
          </w:p>
        </w:tc>
        <w:tc>
          <w:tcPr>
            <w:tcW w:w="1757" w:type="dxa"/>
          </w:tcPr>
          <w:p w14:paraId="6C8DD20B" w14:textId="77777777" w:rsidR="00B857AF" w:rsidRDefault="00B857AF" w:rsidP="00B857AF">
            <w:pPr>
              <w:spacing w:after="0" w:line="240" w:lineRule="auto"/>
            </w:pPr>
          </w:p>
        </w:tc>
        <w:tc>
          <w:tcPr>
            <w:tcW w:w="1690" w:type="dxa"/>
          </w:tcPr>
          <w:p w14:paraId="17BFD9F3" w14:textId="77777777" w:rsidR="00B857AF" w:rsidRDefault="00B857AF" w:rsidP="00B857AF">
            <w:pPr>
              <w:spacing w:after="0" w:line="240" w:lineRule="auto"/>
            </w:pPr>
          </w:p>
        </w:tc>
        <w:tc>
          <w:tcPr>
            <w:tcW w:w="1690" w:type="dxa"/>
          </w:tcPr>
          <w:p w14:paraId="3618ECC2" w14:textId="77777777" w:rsidR="00B857AF" w:rsidRDefault="00B857AF" w:rsidP="00B857AF">
            <w:pPr>
              <w:spacing w:after="0" w:line="240" w:lineRule="auto"/>
            </w:pPr>
          </w:p>
        </w:tc>
      </w:tr>
      <w:tr w:rsidR="00AF6A30" w14:paraId="5FE7EB80" w14:textId="77777777" w:rsidTr="004B594C">
        <w:tc>
          <w:tcPr>
            <w:tcW w:w="1423" w:type="dxa"/>
          </w:tcPr>
          <w:p w14:paraId="27A18C28" w14:textId="77777777" w:rsidR="00AF6A30" w:rsidRDefault="00AF6A30" w:rsidP="00AF6A30">
            <w:pPr>
              <w:spacing w:after="0" w:line="240" w:lineRule="auto"/>
            </w:pPr>
            <w:r>
              <w:t xml:space="preserve">   16</w:t>
            </w:r>
          </w:p>
        </w:tc>
        <w:tc>
          <w:tcPr>
            <w:tcW w:w="1814" w:type="dxa"/>
          </w:tcPr>
          <w:p w14:paraId="7B8AB138" w14:textId="77777777" w:rsidR="00AF6A30" w:rsidRDefault="00AF6A30" w:rsidP="00AF6A30">
            <w:pPr>
              <w:spacing w:after="0" w:line="240" w:lineRule="auto"/>
              <w:jc w:val="right"/>
            </w:pPr>
            <w:r w:rsidRPr="004342F0">
              <w:rPr>
                <w:rFonts w:ascii="Calibri" w:hAnsi="Calibri" w:cs="Calibri"/>
              </w:rPr>
              <w:t>32.7 [24.1–42.6]</w:t>
            </w:r>
          </w:p>
        </w:tc>
        <w:tc>
          <w:tcPr>
            <w:tcW w:w="1724" w:type="dxa"/>
          </w:tcPr>
          <w:p w14:paraId="12BDB79E"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34.0 [23.6–46.2]</w:t>
            </w:r>
          </w:p>
        </w:tc>
        <w:tc>
          <w:tcPr>
            <w:tcW w:w="1702" w:type="dxa"/>
          </w:tcPr>
          <w:p w14:paraId="1339EF0F" w14:textId="5319A758" w:rsidR="00AF6A30" w:rsidRPr="004342F0" w:rsidRDefault="00AF6A30" w:rsidP="00AF6A30">
            <w:pPr>
              <w:spacing w:after="0" w:line="240" w:lineRule="auto"/>
              <w:jc w:val="right"/>
              <w:rPr>
                <w:rFonts w:ascii="Calibri" w:hAnsi="Calibri" w:cs="Calibri"/>
              </w:rPr>
            </w:pPr>
            <w:r w:rsidRPr="00160ADF">
              <w:rPr>
                <w:rFonts w:ascii="Calibri" w:hAnsi="Calibri" w:cs="Calibri"/>
              </w:rPr>
              <w:t>1.04 [0.63–1.65]</w:t>
            </w:r>
          </w:p>
        </w:tc>
        <w:tc>
          <w:tcPr>
            <w:tcW w:w="239" w:type="dxa"/>
          </w:tcPr>
          <w:p w14:paraId="3094D0F1" w14:textId="77777777" w:rsidR="00AF6A30" w:rsidRPr="004342F0" w:rsidRDefault="00AF6A30" w:rsidP="00AF6A30">
            <w:pPr>
              <w:spacing w:after="0" w:line="240" w:lineRule="auto"/>
              <w:jc w:val="right"/>
              <w:rPr>
                <w:rFonts w:ascii="Calibri" w:hAnsi="Calibri" w:cs="Calibri"/>
              </w:rPr>
            </w:pPr>
          </w:p>
        </w:tc>
        <w:tc>
          <w:tcPr>
            <w:tcW w:w="1757" w:type="dxa"/>
          </w:tcPr>
          <w:p w14:paraId="582073C2" w14:textId="77777777" w:rsidR="00AF6A30" w:rsidRDefault="00AF6A30" w:rsidP="00AF6A30">
            <w:pPr>
              <w:spacing w:after="0" w:line="240" w:lineRule="auto"/>
              <w:jc w:val="right"/>
            </w:pPr>
            <w:r w:rsidRPr="004342F0">
              <w:rPr>
                <w:rFonts w:ascii="Calibri" w:hAnsi="Calibri" w:cs="Calibri"/>
              </w:rPr>
              <w:t>11.2 [6.9–17.6]</w:t>
            </w:r>
          </w:p>
        </w:tc>
        <w:tc>
          <w:tcPr>
            <w:tcW w:w="1690" w:type="dxa"/>
          </w:tcPr>
          <w:p w14:paraId="7005BAE1"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21.9 [13.7–33.1]</w:t>
            </w:r>
          </w:p>
        </w:tc>
        <w:tc>
          <w:tcPr>
            <w:tcW w:w="1690" w:type="dxa"/>
          </w:tcPr>
          <w:p w14:paraId="26DF4F0A" w14:textId="318AEFC2" w:rsidR="00AF6A30" w:rsidRPr="004342F0" w:rsidRDefault="00AF6A30" w:rsidP="00AF6A30">
            <w:pPr>
              <w:spacing w:after="0" w:line="240" w:lineRule="auto"/>
              <w:jc w:val="right"/>
              <w:rPr>
                <w:rFonts w:ascii="Calibri" w:hAnsi="Calibri" w:cs="Calibri"/>
              </w:rPr>
            </w:pPr>
            <w:r w:rsidRPr="002318D4">
              <w:rPr>
                <w:rFonts w:ascii="Calibri" w:hAnsi="Calibri" w:cs="Calibri"/>
              </w:rPr>
              <w:t>1.96 [1.03–3.96]</w:t>
            </w:r>
          </w:p>
        </w:tc>
      </w:tr>
      <w:tr w:rsidR="00AF6A30" w14:paraId="7CFFD2A6" w14:textId="77777777" w:rsidTr="004B594C">
        <w:tc>
          <w:tcPr>
            <w:tcW w:w="1423" w:type="dxa"/>
          </w:tcPr>
          <w:p w14:paraId="5F428888" w14:textId="77777777" w:rsidR="00AF6A30" w:rsidRDefault="00AF6A30" w:rsidP="00AF6A30">
            <w:pPr>
              <w:spacing w:after="0" w:line="240" w:lineRule="auto"/>
            </w:pPr>
            <w:r>
              <w:t xml:space="preserve">   20</w:t>
            </w:r>
          </w:p>
        </w:tc>
        <w:tc>
          <w:tcPr>
            <w:tcW w:w="1814" w:type="dxa"/>
          </w:tcPr>
          <w:p w14:paraId="167CACFD" w14:textId="77777777" w:rsidR="00AF6A30" w:rsidRDefault="00AF6A30" w:rsidP="00AF6A30">
            <w:pPr>
              <w:spacing w:after="0" w:line="240" w:lineRule="auto"/>
              <w:jc w:val="right"/>
            </w:pPr>
            <w:r w:rsidRPr="004342F0">
              <w:rPr>
                <w:rFonts w:ascii="Calibri" w:hAnsi="Calibri" w:cs="Calibri"/>
              </w:rPr>
              <w:t>33.1 [26.0–41.1]</w:t>
            </w:r>
          </w:p>
        </w:tc>
        <w:tc>
          <w:tcPr>
            <w:tcW w:w="1724" w:type="dxa"/>
          </w:tcPr>
          <w:p w14:paraId="480528BF"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32.4 [24.0–42.0]</w:t>
            </w:r>
          </w:p>
        </w:tc>
        <w:tc>
          <w:tcPr>
            <w:tcW w:w="1702" w:type="dxa"/>
          </w:tcPr>
          <w:p w14:paraId="08F90221" w14:textId="1A35BDCD" w:rsidR="00AF6A30" w:rsidRPr="004342F0" w:rsidRDefault="00AF6A30" w:rsidP="00AF6A30">
            <w:pPr>
              <w:spacing w:after="0" w:line="240" w:lineRule="auto"/>
              <w:jc w:val="right"/>
              <w:rPr>
                <w:rFonts w:ascii="Calibri" w:hAnsi="Calibri" w:cs="Calibri"/>
              </w:rPr>
            </w:pPr>
            <w:r w:rsidRPr="00160ADF">
              <w:rPr>
                <w:rFonts w:ascii="Calibri" w:hAnsi="Calibri" w:cs="Calibri"/>
              </w:rPr>
              <w:t>0.98 [0.65–1.43]</w:t>
            </w:r>
          </w:p>
        </w:tc>
        <w:tc>
          <w:tcPr>
            <w:tcW w:w="239" w:type="dxa"/>
          </w:tcPr>
          <w:p w14:paraId="53D35E30" w14:textId="77777777" w:rsidR="00AF6A30" w:rsidRPr="004342F0" w:rsidRDefault="00AF6A30" w:rsidP="00AF6A30">
            <w:pPr>
              <w:spacing w:after="0" w:line="240" w:lineRule="auto"/>
              <w:jc w:val="right"/>
              <w:rPr>
                <w:rFonts w:ascii="Calibri" w:hAnsi="Calibri" w:cs="Calibri"/>
              </w:rPr>
            </w:pPr>
          </w:p>
        </w:tc>
        <w:tc>
          <w:tcPr>
            <w:tcW w:w="1757" w:type="dxa"/>
          </w:tcPr>
          <w:p w14:paraId="6ED14C19" w14:textId="77777777" w:rsidR="00AF6A30" w:rsidRDefault="00AF6A30" w:rsidP="00AF6A30">
            <w:pPr>
              <w:spacing w:after="0" w:line="240" w:lineRule="auto"/>
              <w:jc w:val="right"/>
            </w:pPr>
            <w:r w:rsidRPr="004342F0">
              <w:rPr>
                <w:rFonts w:ascii="Calibri" w:hAnsi="Calibri" w:cs="Calibri"/>
              </w:rPr>
              <w:t>15.2 [11.1–20.4]</w:t>
            </w:r>
          </w:p>
        </w:tc>
        <w:tc>
          <w:tcPr>
            <w:tcW w:w="1690" w:type="dxa"/>
          </w:tcPr>
          <w:p w14:paraId="6E61542A"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22.5 [16.4–30.1]</w:t>
            </w:r>
          </w:p>
        </w:tc>
        <w:tc>
          <w:tcPr>
            <w:tcW w:w="1690" w:type="dxa"/>
          </w:tcPr>
          <w:p w14:paraId="26E6BD7B" w14:textId="3A1CC2EA" w:rsidR="00AF6A30" w:rsidRPr="004342F0" w:rsidRDefault="00AF6A30" w:rsidP="00AF6A30">
            <w:pPr>
              <w:spacing w:after="0" w:line="240" w:lineRule="auto"/>
              <w:jc w:val="right"/>
              <w:rPr>
                <w:rFonts w:ascii="Calibri" w:hAnsi="Calibri" w:cs="Calibri"/>
              </w:rPr>
            </w:pPr>
            <w:r w:rsidRPr="002318D4">
              <w:rPr>
                <w:rFonts w:ascii="Calibri" w:hAnsi="Calibri" w:cs="Calibri"/>
              </w:rPr>
              <w:t>1.49 [1.02–2.44]</w:t>
            </w:r>
          </w:p>
        </w:tc>
      </w:tr>
      <w:tr w:rsidR="00AF6A30" w14:paraId="6537D93C" w14:textId="77777777" w:rsidTr="004B594C">
        <w:tc>
          <w:tcPr>
            <w:tcW w:w="1423" w:type="dxa"/>
          </w:tcPr>
          <w:p w14:paraId="7D4128A1" w14:textId="77777777" w:rsidR="00AF6A30" w:rsidRDefault="00AF6A30" w:rsidP="00AF6A30">
            <w:pPr>
              <w:spacing w:after="0" w:line="240" w:lineRule="auto"/>
            </w:pPr>
            <w:r>
              <w:t xml:space="preserve">   25</w:t>
            </w:r>
          </w:p>
        </w:tc>
        <w:tc>
          <w:tcPr>
            <w:tcW w:w="1814" w:type="dxa"/>
          </w:tcPr>
          <w:p w14:paraId="47C0B248" w14:textId="77777777" w:rsidR="00AF6A30" w:rsidRDefault="00AF6A30" w:rsidP="00AF6A30">
            <w:pPr>
              <w:spacing w:after="0" w:line="240" w:lineRule="auto"/>
              <w:jc w:val="right"/>
            </w:pPr>
            <w:r w:rsidRPr="004342F0">
              <w:rPr>
                <w:rFonts w:ascii="Calibri" w:hAnsi="Calibri" w:cs="Calibri"/>
              </w:rPr>
              <w:t>33.6 [28.0–39.6]</w:t>
            </w:r>
          </w:p>
        </w:tc>
        <w:tc>
          <w:tcPr>
            <w:tcW w:w="1724" w:type="dxa"/>
          </w:tcPr>
          <w:p w14:paraId="46844F7E"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30.3 [24.1–37.4]</w:t>
            </w:r>
          </w:p>
        </w:tc>
        <w:tc>
          <w:tcPr>
            <w:tcW w:w="1702" w:type="dxa"/>
          </w:tcPr>
          <w:p w14:paraId="5CEA7EB8" w14:textId="434356B2" w:rsidR="00AF6A30" w:rsidRPr="004342F0" w:rsidRDefault="00AF6A30" w:rsidP="00AF6A30">
            <w:pPr>
              <w:spacing w:after="0" w:line="240" w:lineRule="auto"/>
              <w:jc w:val="right"/>
              <w:rPr>
                <w:rFonts w:ascii="Calibri" w:hAnsi="Calibri" w:cs="Calibri"/>
              </w:rPr>
            </w:pPr>
            <w:r w:rsidRPr="00160ADF">
              <w:rPr>
                <w:rFonts w:ascii="Calibri" w:hAnsi="Calibri" w:cs="Calibri"/>
              </w:rPr>
              <w:t>0.9</w:t>
            </w:r>
            <w:r>
              <w:rPr>
                <w:rFonts w:ascii="Calibri" w:hAnsi="Calibri" w:cs="Calibri"/>
              </w:rPr>
              <w:t>0</w:t>
            </w:r>
            <w:r w:rsidRPr="00160ADF">
              <w:rPr>
                <w:rFonts w:ascii="Calibri" w:hAnsi="Calibri" w:cs="Calibri"/>
              </w:rPr>
              <w:t xml:space="preserve"> [0.67–1.23]</w:t>
            </w:r>
          </w:p>
        </w:tc>
        <w:tc>
          <w:tcPr>
            <w:tcW w:w="239" w:type="dxa"/>
          </w:tcPr>
          <w:p w14:paraId="2B0C52E7" w14:textId="77777777" w:rsidR="00AF6A30" w:rsidRPr="004342F0" w:rsidRDefault="00AF6A30" w:rsidP="00AF6A30">
            <w:pPr>
              <w:spacing w:after="0" w:line="240" w:lineRule="auto"/>
              <w:jc w:val="right"/>
              <w:rPr>
                <w:rFonts w:ascii="Calibri" w:hAnsi="Calibri" w:cs="Calibri"/>
              </w:rPr>
            </w:pPr>
          </w:p>
        </w:tc>
        <w:tc>
          <w:tcPr>
            <w:tcW w:w="1757" w:type="dxa"/>
          </w:tcPr>
          <w:p w14:paraId="12D53DA4" w14:textId="77777777" w:rsidR="00AF6A30" w:rsidRDefault="00AF6A30" w:rsidP="00AF6A30">
            <w:pPr>
              <w:spacing w:after="0" w:line="240" w:lineRule="auto"/>
              <w:jc w:val="right"/>
            </w:pPr>
            <w:r w:rsidRPr="004342F0">
              <w:rPr>
                <w:rFonts w:ascii="Calibri" w:hAnsi="Calibri" w:cs="Calibri"/>
              </w:rPr>
              <w:t>20.8 [17.1–25.0]</w:t>
            </w:r>
          </w:p>
        </w:tc>
        <w:tc>
          <w:tcPr>
            <w:tcW w:w="1690" w:type="dxa"/>
          </w:tcPr>
          <w:p w14:paraId="19AA6844"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22.9 [18.5–28.0]</w:t>
            </w:r>
          </w:p>
        </w:tc>
        <w:tc>
          <w:tcPr>
            <w:tcW w:w="1690" w:type="dxa"/>
          </w:tcPr>
          <w:p w14:paraId="396EA835" w14:textId="1ADBC3A3" w:rsidR="00AF6A30" w:rsidRPr="004342F0" w:rsidRDefault="00AF6A30" w:rsidP="00AF6A30">
            <w:pPr>
              <w:spacing w:after="0" w:line="240" w:lineRule="auto"/>
              <w:jc w:val="right"/>
              <w:rPr>
                <w:rFonts w:ascii="Calibri" w:hAnsi="Calibri" w:cs="Calibri"/>
              </w:rPr>
            </w:pPr>
            <w:r w:rsidRPr="002318D4">
              <w:rPr>
                <w:rFonts w:ascii="Calibri" w:hAnsi="Calibri" w:cs="Calibri"/>
              </w:rPr>
              <w:t>1.1</w:t>
            </w:r>
            <w:r>
              <w:rPr>
                <w:rFonts w:ascii="Calibri" w:hAnsi="Calibri" w:cs="Calibri"/>
              </w:rPr>
              <w:t>0</w:t>
            </w:r>
            <w:r w:rsidRPr="002318D4">
              <w:rPr>
                <w:rFonts w:ascii="Calibri" w:hAnsi="Calibri" w:cs="Calibri"/>
              </w:rPr>
              <w:t xml:space="preserve"> [0.88–1.62]</w:t>
            </w:r>
          </w:p>
        </w:tc>
      </w:tr>
      <w:tr w:rsidR="00AF6A30" w14:paraId="78262660" w14:textId="77777777" w:rsidTr="004B594C">
        <w:tc>
          <w:tcPr>
            <w:tcW w:w="1423" w:type="dxa"/>
          </w:tcPr>
          <w:p w14:paraId="2A95C6CA" w14:textId="77777777" w:rsidR="00AF6A30" w:rsidRDefault="00AF6A30" w:rsidP="00AF6A30">
            <w:pPr>
              <w:spacing w:after="0" w:line="240" w:lineRule="auto"/>
            </w:pPr>
            <w:r>
              <w:t xml:space="preserve">   30</w:t>
            </w:r>
          </w:p>
        </w:tc>
        <w:tc>
          <w:tcPr>
            <w:tcW w:w="1814" w:type="dxa"/>
          </w:tcPr>
          <w:p w14:paraId="4EF7EDC0" w14:textId="77777777" w:rsidR="00AF6A30" w:rsidRDefault="00AF6A30" w:rsidP="00AF6A30">
            <w:pPr>
              <w:spacing w:after="0" w:line="240" w:lineRule="auto"/>
              <w:jc w:val="right"/>
            </w:pPr>
            <w:r w:rsidRPr="004342F0">
              <w:rPr>
                <w:rFonts w:ascii="Calibri" w:hAnsi="Calibri" w:cs="Calibri"/>
              </w:rPr>
              <w:t>33.8 [29.3–38.7]</w:t>
            </w:r>
          </w:p>
        </w:tc>
        <w:tc>
          <w:tcPr>
            <w:tcW w:w="1724" w:type="dxa"/>
          </w:tcPr>
          <w:p w14:paraId="1868CBB3"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28.4 [23.5–33.9]</w:t>
            </w:r>
          </w:p>
        </w:tc>
        <w:tc>
          <w:tcPr>
            <w:tcW w:w="1702" w:type="dxa"/>
          </w:tcPr>
          <w:p w14:paraId="075B498E" w14:textId="32EEF948" w:rsidR="00AF6A30" w:rsidRPr="004342F0" w:rsidRDefault="00AF6A30" w:rsidP="00AF6A30">
            <w:pPr>
              <w:spacing w:after="0" w:line="240" w:lineRule="auto"/>
              <w:jc w:val="right"/>
              <w:rPr>
                <w:rFonts w:ascii="Calibri" w:hAnsi="Calibri" w:cs="Calibri"/>
              </w:rPr>
            </w:pPr>
            <w:r w:rsidRPr="00160ADF">
              <w:rPr>
                <w:rFonts w:ascii="Calibri" w:hAnsi="Calibri" w:cs="Calibri"/>
              </w:rPr>
              <w:t>0.84 [0.66–1.09]</w:t>
            </w:r>
          </w:p>
        </w:tc>
        <w:tc>
          <w:tcPr>
            <w:tcW w:w="239" w:type="dxa"/>
          </w:tcPr>
          <w:p w14:paraId="5421708D" w14:textId="77777777" w:rsidR="00AF6A30" w:rsidRPr="004342F0" w:rsidRDefault="00AF6A30" w:rsidP="00AF6A30">
            <w:pPr>
              <w:spacing w:after="0" w:line="240" w:lineRule="auto"/>
              <w:jc w:val="right"/>
              <w:rPr>
                <w:rFonts w:ascii="Calibri" w:hAnsi="Calibri" w:cs="Calibri"/>
              </w:rPr>
            </w:pPr>
          </w:p>
        </w:tc>
        <w:tc>
          <w:tcPr>
            <w:tcW w:w="1757" w:type="dxa"/>
          </w:tcPr>
          <w:p w14:paraId="21E7B242" w14:textId="77777777" w:rsidR="00AF6A30" w:rsidRDefault="00AF6A30" w:rsidP="00AF6A30">
            <w:pPr>
              <w:spacing w:after="0" w:line="240" w:lineRule="auto"/>
              <w:jc w:val="right"/>
            </w:pPr>
            <w:r w:rsidRPr="004342F0">
              <w:rPr>
                <w:rFonts w:ascii="Calibri" w:hAnsi="Calibri" w:cs="Calibri"/>
              </w:rPr>
              <w:t>25.4 [21.0–30.4]</w:t>
            </w:r>
          </w:p>
        </w:tc>
        <w:tc>
          <w:tcPr>
            <w:tcW w:w="1690" w:type="dxa"/>
          </w:tcPr>
          <w:p w14:paraId="50AE4A12"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22.2 [17.7–27.5]</w:t>
            </w:r>
          </w:p>
        </w:tc>
        <w:tc>
          <w:tcPr>
            <w:tcW w:w="1690" w:type="dxa"/>
          </w:tcPr>
          <w:p w14:paraId="495C61F1" w14:textId="2F486B3A" w:rsidR="00AF6A30" w:rsidRPr="004342F0" w:rsidRDefault="00AF6A30" w:rsidP="00AF6A30">
            <w:pPr>
              <w:spacing w:after="0" w:line="240" w:lineRule="auto"/>
              <w:jc w:val="right"/>
              <w:rPr>
                <w:rFonts w:ascii="Calibri" w:hAnsi="Calibri" w:cs="Calibri"/>
              </w:rPr>
            </w:pPr>
            <w:r w:rsidRPr="002318D4">
              <w:rPr>
                <w:rFonts w:ascii="Calibri" w:hAnsi="Calibri" w:cs="Calibri"/>
              </w:rPr>
              <w:t>0.87 [0.69–1.28]</w:t>
            </w:r>
          </w:p>
        </w:tc>
      </w:tr>
      <w:tr w:rsidR="00AF6A30" w14:paraId="775250C3" w14:textId="77777777" w:rsidTr="004B594C">
        <w:tc>
          <w:tcPr>
            <w:tcW w:w="1423" w:type="dxa"/>
          </w:tcPr>
          <w:p w14:paraId="6A9B2A2E" w14:textId="77777777" w:rsidR="00AF6A30" w:rsidRDefault="00AF6A30" w:rsidP="00AF6A30">
            <w:pPr>
              <w:spacing w:after="0" w:line="240" w:lineRule="auto"/>
            </w:pPr>
            <w:r>
              <w:t xml:space="preserve">   35</w:t>
            </w:r>
          </w:p>
        </w:tc>
        <w:tc>
          <w:tcPr>
            <w:tcW w:w="1814" w:type="dxa"/>
          </w:tcPr>
          <w:p w14:paraId="5DAE29E9" w14:textId="77777777" w:rsidR="00AF6A30" w:rsidRDefault="00AF6A30" w:rsidP="00AF6A30">
            <w:pPr>
              <w:spacing w:after="0" w:line="240" w:lineRule="auto"/>
              <w:jc w:val="right"/>
            </w:pPr>
            <w:r w:rsidRPr="004342F0">
              <w:rPr>
                <w:rFonts w:ascii="Calibri" w:hAnsi="Calibri" w:cs="Calibri"/>
              </w:rPr>
              <w:t>33.8 [29.4–38.4]</w:t>
            </w:r>
          </w:p>
        </w:tc>
        <w:tc>
          <w:tcPr>
            <w:tcW w:w="1724" w:type="dxa"/>
          </w:tcPr>
          <w:p w14:paraId="7D8AAB81"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26.6 [22.0–31.7]</w:t>
            </w:r>
          </w:p>
        </w:tc>
        <w:tc>
          <w:tcPr>
            <w:tcW w:w="1702" w:type="dxa"/>
          </w:tcPr>
          <w:p w14:paraId="4BE2683A" w14:textId="14DE13FA" w:rsidR="00AF6A30" w:rsidRPr="004342F0" w:rsidRDefault="00AF6A30" w:rsidP="00AF6A30">
            <w:pPr>
              <w:spacing w:after="0" w:line="240" w:lineRule="auto"/>
              <w:jc w:val="right"/>
              <w:rPr>
                <w:rFonts w:ascii="Calibri" w:hAnsi="Calibri" w:cs="Calibri"/>
              </w:rPr>
            </w:pPr>
            <w:r w:rsidRPr="00160ADF">
              <w:rPr>
                <w:rFonts w:ascii="Calibri" w:hAnsi="Calibri" w:cs="Calibri"/>
              </w:rPr>
              <w:t>0.79 [0.62–1.02]</w:t>
            </w:r>
          </w:p>
        </w:tc>
        <w:tc>
          <w:tcPr>
            <w:tcW w:w="239" w:type="dxa"/>
          </w:tcPr>
          <w:p w14:paraId="47C5565B" w14:textId="77777777" w:rsidR="00AF6A30" w:rsidRPr="004342F0" w:rsidRDefault="00AF6A30" w:rsidP="00AF6A30">
            <w:pPr>
              <w:spacing w:after="0" w:line="240" w:lineRule="auto"/>
              <w:jc w:val="right"/>
              <w:rPr>
                <w:rFonts w:ascii="Calibri" w:hAnsi="Calibri" w:cs="Calibri"/>
              </w:rPr>
            </w:pPr>
          </w:p>
        </w:tc>
        <w:tc>
          <w:tcPr>
            <w:tcW w:w="1757" w:type="dxa"/>
          </w:tcPr>
          <w:p w14:paraId="788EC05D" w14:textId="77777777" w:rsidR="00AF6A30" w:rsidRDefault="00AF6A30" w:rsidP="00AF6A30">
            <w:pPr>
              <w:spacing w:after="0" w:line="240" w:lineRule="auto"/>
              <w:jc w:val="right"/>
            </w:pPr>
            <w:r w:rsidRPr="004342F0">
              <w:rPr>
                <w:rFonts w:ascii="Calibri" w:hAnsi="Calibri" w:cs="Calibri"/>
              </w:rPr>
              <w:t>26.9 [22.1–32.3]</w:t>
            </w:r>
          </w:p>
        </w:tc>
        <w:tc>
          <w:tcPr>
            <w:tcW w:w="1690" w:type="dxa"/>
          </w:tcPr>
          <w:p w14:paraId="1776B1CA"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20.1 [15.7–25.3]</w:t>
            </w:r>
          </w:p>
        </w:tc>
        <w:tc>
          <w:tcPr>
            <w:tcW w:w="1690" w:type="dxa"/>
          </w:tcPr>
          <w:p w14:paraId="3F8F4B8E" w14:textId="084649FE" w:rsidR="00AF6A30" w:rsidRPr="004342F0" w:rsidRDefault="00AF6A30" w:rsidP="00AF6A30">
            <w:pPr>
              <w:spacing w:after="0" w:line="240" w:lineRule="auto"/>
              <w:jc w:val="right"/>
              <w:rPr>
                <w:rFonts w:ascii="Calibri" w:hAnsi="Calibri" w:cs="Calibri"/>
              </w:rPr>
            </w:pPr>
            <w:r w:rsidRPr="002318D4">
              <w:rPr>
                <w:rFonts w:ascii="Calibri" w:hAnsi="Calibri" w:cs="Calibri"/>
              </w:rPr>
              <w:t>0.75 [0.57–1.13]</w:t>
            </w:r>
          </w:p>
        </w:tc>
      </w:tr>
      <w:tr w:rsidR="00AF6A30" w14:paraId="08EB495B" w14:textId="77777777" w:rsidTr="004B594C">
        <w:tc>
          <w:tcPr>
            <w:tcW w:w="1423" w:type="dxa"/>
          </w:tcPr>
          <w:p w14:paraId="2BF1424D" w14:textId="77777777" w:rsidR="00AF6A30" w:rsidRDefault="00AF6A30" w:rsidP="00AF6A30">
            <w:pPr>
              <w:spacing w:after="0" w:line="240" w:lineRule="auto"/>
            </w:pPr>
            <w:r>
              <w:t xml:space="preserve">   40</w:t>
            </w:r>
          </w:p>
        </w:tc>
        <w:tc>
          <w:tcPr>
            <w:tcW w:w="1814" w:type="dxa"/>
          </w:tcPr>
          <w:p w14:paraId="61894861" w14:textId="77777777" w:rsidR="00AF6A30" w:rsidRDefault="00AF6A30" w:rsidP="00AF6A30">
            <w:pPr>
              <w:spacing w:after="0" w:line="240" w:lineRule="auto"/>
              <w:jc w:val="right"/>
            </w:pPr>
            <w:r w:rsidRPr="004342F0">
              <w:rPr>
                <w:rFonts w:ascii="Calibri" w:hAnsi="Calibri" w:cs="Calibri"/>
              </w:rPr>
              <w:t>33.3 [28.6–38.4]</w:t>
            </w:r>
          </w:p>
        </w:tc>
        <w:tc>
          <w:tcPr>
            <w:tcW w:w="1724" w:type="dxa"/>
          </w:tcPr>
          <w:p w14:paraId="6AAAAB38"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24.8 [20.1–30.3]</w:t>
            </w:r>
          </w:p>
        </w:tc>
        <w:tc>
          <w:tcPr>
            <w:tcW w:w="1702" w:type="dxa"/>
          </w:tcPr>
          <w:p w14:paraId="30777875" w14:textId="22E4D00A" w:rsidR="00AF6A30" w:rsidRPr="004342F0" w:rsidRDefault="00AF6A30" w:rsidP="00AF6A30">
            <w:pPr>
              <w:spacing w:after="0" w:line="240" w:lineRule="auto"/>
              <w:jc w:val="right"/>
              <w:rPr>
                <w:rFonts w:ascii="Calibri" w:hAnsi="Calibri" w:cs="Calibri"/>
              </w:rPr>
            </w:pPr>
            <w:r w:rsidRPr="00160ADF">
              <w:rPr>
                <w:rFonts w:ascii="Calibri" w:hAnsi="Calibri" w:cs="Calibri"/>
              </w:rPr>
              <w:t>0.75 [0.56–1</w:t>
            </w:r>
            <w:r>
              <w:rPr>
                <w:rFonts w:ascii="Calibri" w:hAnsi="Calibri" w:cs="Calibri"/>
              </w:rPr>
              <w:t>.00</w:t>
            </w:r>
            <w:r w:rsidRPr="00160ADF">
              <w:rPr>
                <w:rFonts w:ascii="Calibri" w:hAnsi="Calibri" w:cs="Calibri"/>
              </w:rPr>
              <w:t>]</w:t>
            </w:r>
          </w:p>
        </w:tc>
        <w:tc>
          <w:tcPr>
            <w:tcW w:w="239" w:type="dxa"/>
          </w:tcPr>
          <w:p w14:paraId="7254F6AB" w14:textId="77777777" w:rsidR="00AF6A30" w:rsidRPr="004342F0" w:rsidRDefault="00AF6A30" w:rsidP="00AF6A30">
            <w:pPr>
              <w:spacing w:after="0" w:line="240" w:lineRule="auto"/>
              <w:jc w:val="right"/>
              <w:rPr>
                <w:rFonts w:ascii="Calibri" w:hAnsi="Calibri" w:cs="Calibri"/>
              </w:rPr>
            </w:pPr>
          </w:p>
        </w:tc>
        <w:tc>
          <w:tcPr>
            <w:tcW w:w="1757" w:type="dxa"/>
          </w:tcPr>
          <w:p w14:paraId="4087F9FA" w14:textId="77777777" w:rsidR="00AF6A30" w:rsidRDefault="00AF6A30" w:rsidP="00AF6A30">
            <w:pPr>
              <w:spacing w:after="0" w:line="240" w:lineRule="auto"/>
              <w:jc w:val="right"/>
            </w:pPr>
            <w:r w:rsidRPr="004342F0">
              <w:rPr>
                <w:rFonts w:ascii="Calibri" w:hAnsi="Calibri" w:cs="Calibri"/>
              </w:rPr>
              <w:t>24.3 [20.6–28.4]</w:t>
            </w:r>
          </w:p>
        </w:tc>
        <w:tc>
          <w:tcPr>
            <w:tcW w:w="1690" w:type="dxa"/>
          </w:tcPr>
          <w:p w14:paraId="3B8DCF67"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16.7 [13.4–20.5]</w:t>
            </w:r>
          </w:p>
        </w:tc>
        <w:tc>
          <w:tcPr>
            <w:tcW w:w="1690" w:type="dxa"/>
          </w:tcPr>
          <w:p w14:paraId="4A5A6541" w14:textId="0B91586A" w:rsidR="00AF6A30" w:rsidRPr="004342F0" w:rsidRDefault="00AF6A30" w:rsidP="00AF6A30">
            <w:pPr>
              <w:spacing w:after="0" w:line="240" w:lineRule="auto"/>
              <w:jc w:val="right"/>
              <w:rPr>
                <w:rFonts w:ascii="Calibri" w:hAnsi="Calibri" w:cs="Calibri"/>
              </w:rPr>
            </w:pPr>
            <w:r w:rsidRPr="002318D4">
              <w:rPr>
                <w:rFonts w:ascii="Calibri" w:hAnsi="Calibri" w:cs="Calibri"/>
              </w:rPr>
              <w:t>0.69 [0.53–0.98]</w:t>
            </w:r>
          </w:p>
        </w:tc>
      </w:tr>
      <w:tr w:rsidR="00AF6A30" w14:paraId="345B0B75" w14:textId="77777777" w:rsidTr="004B594C">
        <w:tc>
          <w:tcPr>
            <w:tcW w:w="1423" w:type="dxa"/>
          </w:tcPr>
          <w:p w14:paraId="4569DA43" w14:textId="77777777" w:rsidR="00AF6A30" w:rsidRDefault="00AF6A30" w:rsidP="00AF6A30">
            <w:pPr>
              <w:spacing w:after="0" w:line="240" w:lineRule="auto"/>
            </w:pPr>
            <w:r>
              <w:t xml:space="preserve">   45</w:t>
            </w:r>
          </w:p>
        </w:tc>
        <w:tc>
          <w:tcPr>
            <w:tcW w:w="1814" w:type="dxa"/>
          </w:tcPr>
          <w:p w14:paraId="08E70AA5" w14:textId="77777777" w:rsidR="00AF6A30" w:rsidRDefault="00AF6A30" w:rsidP="00AF6A30">
            <w:pPr>
              <w:spacing w:after="0" w:line="240" w:lineRule="auto"/>
              <w:jc w:val="right"/>
            </w:pPr>
            <w:r w:rsidRPr="004342F0">
              <w:rPr>
                <w:rFonts w:ascii="Calibri" w:hAnsi="Calibri" w:cs="Calibri"/>
              </w:rPr>
              <w:t>32.3 [27.2–37.8]</w:t>
            </w:r>
          </w:p>
        </w:tc>
        <w:tc>
          <w:tcPr>
            <w:tcW w:w="1724" w:type="dxa"/>
          </w:tcPr>
          <w:p w14:paraId="2290084D"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23.2 [18.2–29.0]</w:t>
            </w:r>
          </w:p>
        </w:tc>
        <w:tc>
          <w:tcPr>
            <w:tcW w:w="1702" w:type="dxa"/>
          </w:tcPr>
          <w:p w14:paraId="0A9B39D5" w14:textId="757DB969" w:rsidR="00AF6A30" w:rsidRPr="004342F0" w:rsidRDefault="00AF6A30" w:rsidP="00AF6A30">
            <w:pPr>
              <w:spacing w:after="0" w:line="240" w:lineRule="auto"/>
              <w:jc w:val="right"/>
              <w:rPr>
                <w:rFonts w:ascii="Calibri" w:hAnsi="Calibri" w:cs="Calibri"/>
              </w:rPr>
            </w:pPr>
            <w:r w:rsidRPr="00160ADF">
              <w:rPr>
                <w:rFonts w:ascii="Calibri" w:hAnsi="Calibri" w:cs="Calibri"/>
              </w:rPr>
              <w:t>0.72 [0.52–0.98]</w:t>
            </w:r>
          </w:p>
        </w:tc>
        <w:tc>
          <w:tcPr>
            <w:tcW w:w="239" w:type="dxa"/>
          </w:tcPr>
          <w:p w14:paraId="00065B47" w14:textId="77777777" w:rsidR="00AF6A30" w:rsidRPr="004342F0" w:rsidRDefault="00AF6A30" w:rsidP="00AF6A30">
            <w:pPr>
              <w:spacing w:after="0" w:line="240" w:lineRule="auto"/>
              <w:jc w:val="right"/>
              <w:rPr>
                <w:rFonts w:ascii="Calibri" w:hAnsi="Calibri" w:cs="Calibri"/>
              </w:rPr>
            </w:pPr>
          </w:p>
        </w:tc>
        <w:tc>
          <w:tcPr>
            <w:tcW w:w="1757" w:type="dxa"/>
          </w:tcPr>
          <w:p w14:paraId="0EE85D6E" w14:textId="77777777" w:rsidR="00AF6A30" w:rsidRDefault="00AF6A30" w:rsidP="00AF6A30">
            <w:pPr>
              <w:spacing w:after="0" w:line="240" w:lineRule="auto"/>
              <w:jc w:val="right"/>
            </w:pPr>
            <w:r w:rsidRPr="004342F0">
              <w:rPr>
                <w:rFonts w:ascii="Calibri" w:hAnsi="Calibri" w:cs="Calibri"/>
              </w:rPr>
              <w:t>20.0 [17.3–23.1]</w:t>
            </w:r>
          </w:p>
        </w:tc>
        <w:tc>
          <w:tcPr>
            <w:tcW w:w="1690" w:type="dxa"/>
          </w:tcPr>
          <w:p w14:paraId="03550601"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13.3 [10.9–16.2]</w:t>
            </w:r>
          </w:p>
        </w:tc>
        <w:tc>
          <w:tcPr>
            <w:tcW w:w="1690" w:type="dxa"/>
          </w:tcPr>
          <w:p w14:paraId="6FD4089B" w14:textId="61F98464" w:rsidR="00AF6A30" w:rsidRPr="004342F0" w:rsidRDefault="00AF6A30" w:rsidP="00AF6A30">
            <w:pPr>
              <w:spacing w:after="0" w:line="240" w:lineRule="auto"/>
              <w:jc w:val="right"/>
              <w:rPr>
                <w:rFonts w:ascii="Calibri" w:hAnsi="Calibri" w:cs="Calibri"/>
              </w:rPr>
            </w:pPr>
            <w:r w:rsidRPr="002318D4">
              <w:rPr>
                <w:rFonts w:ascii="Calibri" w:hAnsi="Calibri" w:cs="Calibri"/>
              </w:rPr>
              <w:t>0.67 [0.51–0.88]</w:t>
            </w:r>
          </w:p>
        </w:tc>
      </w:tr>
      <w:tr w:rsidR="00AF6A30" w14:paraId="390666F5" w14:textId="77777777" w:rsidTr="004B594C">
        <w:tc>
          <w:tcPr>
            <w:tcW w:w="1423" w:type="dxa"/>
          </w:tcPr>
          <w:p w14:paraId="23D3441F" w14:textId="77777777" w:rsidR="00AF6A30" w:rsidRDefault="00AF6A30" w:rsidP="00AF6A30">
            <w:pPr>
              <w:spacing w:after="0" w:line="240" w:lineRule="auto"/>
            </w:pPr>
            <w:r>
              <w:t xml:space="preserve">   50</w:t>
            </w:r>
          </w:p>
        </w:tc>
        <w:tc>
          <w:tcPr>
            <w:tcW w:w="1814" w:type="dxa"/>
          </w:tcPr>
          <w:p w14:paraId="7AE93113" w14:textId="77777777" w:rsidR="00AF6A30" w:rsidRDefault="00AF6A30" w:rsidP="00AF6A30">
            <w:pPr>
              <w:spacing w:after="0" w:line="240" w:lineRule="auto"/>
              <w:jc w:val="right"/>
            </w:pPr>
            <w:r w:rsidRPr="004342F0">
              <w:rPr>
                <w:rFonts w:ascii="Calibri" w:hAnsi="Calibri" w:cs="Calibri"/>
              </w:rPr>
              <w:t>30.7 [25.6–36.3]</w:t>
            </w:r>
          </w:p>
        </w:tc>
        <w:tc>
          <w:tcPr>
            <w:tcW w:w="1724" w:type="dxa"/>
          </w:tcPr>
          <w:p w14:paraId="5F0CA19B"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21.6 [16.8–27.3]</w:t>
            </w:r>
          </w:p>
        </w:tc>
        <w:tc>
          <w:tcPr>
            <w:tcW w:w="1702" w:type="dxa"/>
          </w:tcPr>
          <w:p w14:paraId="02A0B352" w14:textId="37D6B750" w:rsidR="00AF6A30" w:rsidRPr="004342F0" w:rsidRDefault="00AF6A30" w:rsidP="00AF6A30">
            <w:pPr>
              <w:spacing w:after="0" w:line="240" w:lineRule="auto"/>
              <w:jc w:val="right"/>
              <w:rPr>
                <w:rFonts w:ascii="Calibri" w:hAnsi="Calibri" w:cs="Calibri"/>
              </w:rPr>
            </w:pPr>
            <w:r w:rsidRPr="00160ADF">
              <w:rPr>
                <w:rFonts w:ascii="Calibri" w:hAnsi="Calibri" w:cs="Calibri"/>
              </w:rPr>
              <w:t>0.7</w:t>
            </w:r>
            <w:r>
              <w:rPr>
                <w:rFonts w:ascii="Calibri" w:hAnsi="Calibri" w:cs="Calibri"/>
              </w:rPr>
              <w:t>0</w:t>
            </w:r>
            <w:r w:rsidRPr="00160ADF">
              <w:rPr>
                <w:rFonts w:ascii="Calibri" w:hAnsi="Calibri" w:cs="Calibri"/>
              </w:rPr>
              <w:t xml:space="preserve"> [0.5</w:t>
            </w:r>
            <w:r>
              <w:rPr>
                <w:rFonts w:ascii="Calibri" w:hAnsi="Calibri" w:cs="Calibri"/>
              </w:rPr>
              <w:t>0</w:t>
            </w:r>
            <w:r w:rsidRPr="00160ADF">
              <w:rPr>
                <w:rFonts w:ascii="Calibri" w:hAnsi="Calibri" w:cs="Calibri"/>
              </w:rPr>
              <w:t>–0.95]</w:t>
            </w:r>
          </w:p>
        </w:tc>
        <w:tc>
          <w:tcPr>
            <w:tcW w:w="239" w:type="dxa"/>
          </w:tcPr>
          <w:p w14:paraId="6A0BF580" w14:textId="77777777" w:rsidR="00AF6A30" w:rsidRPr="004342F0" w:rsidRDefault="00AF6A30" w:rsidP="00AF6A30">
            <w:pPr>
              <w:spacing w:after="0" w:line="240" w:lineRule="auto"/>
              <w:jc w:val="right"/>
              <w:rPr>
                <w:rFonts w:ascii="Calibri" w:hAnsi="Calibri" w:cs="Calibri"/>
              </w:rPr>
            </w:pPr>
          </w:p>
        </w:tc>
        <w:tc>
          <w:tcPr>
            <w:tcW w:w="1757" w:type="dxa"/>
          </w:tcPr>
          <w:p w14:paraId="67D62FDA" w14:textId="77777777" w:rsidR="00AF6A30" w:rsidRDefault="00AF6A30" w:rsidP="00AF6A30">
            <w:pPr>
              <w:spacing w:after="0" w:line="240" w:lineRule="auto"/>
              <w:jc w:val="right"/>
            </w:pPr>
            <w:r w:rsidRPr="004342F0">
              <w:rPr>
                <w:rFonts w:ascii="Calibri" w:hAnsi="Calibri" w:cs="Calibri"/>
              </w:rPr>
              <w:t>16.5 [13.8–19.4]</w:t>
            </w:r>
          </w:p>
        </w:tc>
        <w:tc>
          <w:tcPr>
            <w:tcW w:w="1690" w:type="dxa"/>
          </w:tcPr>
          <w:p w14:paraId="1EF6B4CF"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10.9 [8.7–13.6]</w:t>
            </w:r>
          </w:p>
        </w:tc>
        <w:tc>
          <w:tcPr>
            <w:tcW w:w="1690" w:type="dxa"/>
          </w:tcPr>
          <w:p w14:paraId="79833147" w14:textId="3C58DEC6" w:rsidR="00AF6A30" w:rsidRPr="004342F0" w:rsidRDefault="00AF6A30" w:rsidP="00AF6A30">
            <w:pPr>
              <w:spacing w:after="0" w:line="240" w:lineRule="auto"/>
              <w:jc w:val="right"/>
              <w:rPr>
                <w:rFonts w:ascii="Calibri" w:hAnsi="Calibri" w:cs="Calibri"/>
              </w:rPr>
            </w:pPr>
            <w:r w:rsidRPr="002318D4">
              <w:rPr>
                <w:rFonts w:ascii="Calibri" w:hAnsi="Calibri" w:cs="Calibri"/>
              </w:rPr>
              <w:t>0.66 [0.48–0.91]</w:t>
            </w:r>
          </w:p>
        </w:tc>
      </w:tr>
      <w:tr w:rsidR="00AF6A30" w14:paraId="56460A30" w14:textId="77777777" w:rsidTr="004B594C">
        <w:tc>
          <w:tcPr>
            <w:tcW w:w="1423" w:type="dxa"/>
          </w:tcPr>
          <w:p w14:paraId="45A889B7" w14:textId="77777777" w:rsidR="00AF6A30" w:rsidRDefault="00AF6A30" w:rsidP="00AF6A30">
            <w:pPr>
              <w:spacing w:after="0" w:line="240" w:lineRule="auto"/>
            </w:pPr>
            <w:r>
              <w:t xml:space="preserve">   55</w:t>
            </w:r>
          </w:p>
        </w:tc>
        <w:tc>
          <w:tcPr>
            <w:tcW w:w="1814" w:type="dxa"/>
          </w:tcPr>
          <w:p w14:paraId="6DB7FA9C" w14:textId="77777777" w:rsidR="00AF6A30" w:rsidRDefault="00AF6A30" w:rsidP="00AF6A30">
            <w:pPr>
              <w:spacing w:after="0" w:line="240" w:lineRule="auto"/>
              <w:jc w:val="right"/>
            </w:pPr>
            <w:r w:rsidRPr="004342F0">
              <w:rPr>
                <w:rFonts w:ascii="Calibri" w:hAnsi="Calibri" w:cs="Calibri"/>
              </w:rPr>
              <w:t>28.5 [23.7–33.8]</w:t>
            </w:r>
          </w:p>
        </w:tc>
        <w:tc>
          <w:tcPr>
            <w:tcW w:w="1724" w:type="dxa"/>
          </w:tcPr>
          <w:p w14:paraId="4616174D"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20.1 [15.7–25.4]</w:t>
            </w:r>
          </w:p>
        </w:tc>
        <w:tc>
          <w:tcPr>
            <w:tcW w:w="1702" w:type="dxa"/>
          </w:tcPr>
          <w:p w14:paraId="5888BCB6" w14:textId="50FCF23C" w:rsidR="00AF6A30" w:rsidRPr="004342F0" w:rsidRDefault="00AF6A30" w:rsidP="00AF6A30">
            <w:pPr>
              <w:spacing w:after="0" w:line="240" w:lineRule="auto"/>
              <w:jc w:val="right"/>
              <w:rPr>
                <w:rFonts w:ascii="Calibri" w:hAnsi="Calibri" w:cs="Calibri"/>
              </w:rPr>
            </w:pPr>
            <w:r w:rsidRPr="00160ADF">
              <w:rPr>
                <w:rFonts w:ascii="Calibri" w:hAnsi="Calibri" w:cs="Calibri"/>
              </w:rPr>
              <w:t>0.71 [0.49–0.94]</w:t>
            </w:r>
          </w:p>
        </w:tc>
        <w:tc>
          <w:tcPr>
            <w:tcW w:w="239" w:type="dxa"/>
          </w:tcPr>
          <w:p w14:paraId="10BC86DC" w14:textId="77777777" w:rsidR="00AF6A30" w:rsidRPr="004342F0" w:rsidRDefault="00AF6A30" w:rsidP="00AF6A30">
            <w:pPr>
              <w:spacing w:after="0" w:line="240" w:lineRule="auto"/>
              <w:jc w:val="right"/>
              <w:rPr>
                <w:rFonts w:ascii="Calibri" w:hAnsi="Calibri" w:cs="Calibri"/>
              </w:rPr>
            </w:pPr>
          </w:p>
        </w:tc>
        <w:tc>
          <w:tcPr>
            <w:tcW w:w="1757" w:type="dxa"/>
          </w:tcPr>
          <w:p w14:paraId="2B8E5940" w14:textId="77777777" w:rsidR="00AF6A30" w:rsidRDefault="00AF6A30" w:rsidP="00AF6A30">
            <w:pPr>
              <w:spacing w:after="0" w:line="240" w:lineRule="auto"/>
              <w:jc w:val="right"/>
            </w:pPr>
            <w:r w:rsidRPr="004342F0">
              <w:rPr>
                <w:rFonts w:ascii="Calibri" w:hAnsi="Calibri" w:cs="Calibri"/>
              </w:rPr>
              <w:t>14.9 [12.4–17.7]</w:t>
            </w:r>
          </w:p>
        </w:tc>
        <w:tc>
          <w:tcPr>
            <w:tcW w:w="1690" w:type="dxa"/>
          </w:tcPr>
          <w:p w14:paraId="0F02AFFD"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9.8 [7.7–12.3]</w:t>
            </w:r>
          </w:p>
        </w:tc>
        <w:tc>
          <w:tcPr>
            <w:tcW w:w="1690" w:type="dxa"/>
          </w:tcPr>
          <w:p w14:paraId="7526382D" w14:textId="386721BB" w:rsidR="00AF6A30" w:rsidRPr="004342F0" w:rsidRDefault="00AF6A30" w:rsidP="00AF6A30">
            <w:pPr>
              <w:spacing w:after="0" w:line="240" w:lineRule="auto"/>
              <w:jc w:val="right"/>
              <w:rPr>
                <w:rFonts w:ascii="Calibri" w:hAnsi="Calibri" w:cs="Calibri"/>
              </w:rPr>
            </w:pPr>
            <w:r w:rsidRPr="002318D4">
              <w:rPr>
                <w:rFonts w:ascii="Calibri" w:hAnsi="Calibri" w:cs="Calibri"/>
              </w:rPr>
              <w:t>0.66 [0.47–0.94]</w:t>
            </w:r>
          </w:p>
        </w:tc>
      </w:tr>
      <w:tr w:rsidR="00AF6A30" w14:paraId="469910AD" w14:textId="77777777" w:rsidTr="004B594C">
        <w:tc>
          <w:tcPr>
            <w:tcW w:w="1423" w:type="dxa"/>
          </w:tcPr>
          <w:p w14:paraId="5801A662" w14:textId="77777777" w:rsidR="00AF6A30" w:rsidRDefault="00AF6A30" w:rsidP="00AF6A30">
            <w:pPr>
              <w:spacing w:after="0" w:line="240" w:lineRule="auto"/>
            </w:pPr>
            <w:r>
              <w:t xml:space="preserve">   60</w:t>
            </w:r>
          </w:p>
        </w:tc>
        <w:tc>
          <w:tcPr>
            <w:tcW w:w="1814" w:type="dxa"/>
          </w:tcPr>
          <w:p w14:paraId="5258DA5D" w14:textId="77777777" w:rsidR="00AF6A30" w:rsidRDefault="00AF6A30" w:rsidP="00AF6A30">
            <w:pPr>
              <w:spacing w:after="0" w:line="240" w:lineRule="auto"/>
              <w:jc w:val="right"/>
            </w:pPr>
            <w:r w:rsidRPr="004342F0">
              <w:rPr>
                <w:rFonts w:ascii="Calibri" w:hAnsi="Calibri" w:cs="Calibri"/>
              </w:rPr>
              <w:t>25.7 [21.4–30.5]</w:t>
            </w:r>
          </w:p>
        </w:tc>
        <w:tc>
          <w:tcPr>
            <w:tcW w:w="1724" w:type="dxa"/>
          </w:tcPr>
          <w:p w14:paraId="35BDF6AE"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18.7 [14.9–23.3]</w:t>
            </w:r>
          </w:p>
        </w:tc>
        <w:tc>
          <w:tcPr>
            <w:tcW w:w="1702" w:type="dxa"/>
          </w:tcPr>
          <w:p w14:paraId="53AD4355" w14:textId="12E5BA4C" w:rsidR="00AF6A30" w:rsidRPr="004342F0" w:rsidRDefault="00AF6A30" w:rsidP="00AF6A30">
            <w:pPr>
              <w:spacing w:after="0" w:line="240" w:lineRule="auto"/>
              <w:jc w:val="right"/>
              <w:rPr>
                <w:rFonts w:ascii="Calibri" w:hAnsi="Calibri" w:cs="Calibri"/>
              </w:rPr>
            </w:pPr>
            <w:r w:rsidRPr="00160ADF">
              <w:rPr>
                <w:rFonts w:ascii="Calibri" w:hAnsi="Calibri" w:cs="Calibri"/>
              </w:rPr>
              <w:t>0.73 [0.48–0.94]</w:t>
            </w:r>
          </w:p>
        </w:tc>
        <w:tc>
          <w:tcPr>
            <w:tcW w:w="239" w:type="dxa"/>
          </w:tcPr>
          <w:p w14:paraId="38FCF0B7" w14:textId="77777777" w:rsidR="00AF6A30" w:rsidRPr="004342F0" w:rsidRDefault="00AF6A30" w:rsidP="00AF6A30">
            <w:pPr>
              <w:spacing w:after="0" w:line="240" w:lineRule="auto"/>
              <w:jc w:val="right"/>
              <w:rPr>
                <w:rFonts w:ascii="Calibri" w:hAnsi="Calibri" w:cs="Calibri"/>
              </w:rPr>
            </w:pPr>
          </w:p>
        </w:tc>
        <w:tc>
          <w:tcPr>
            <w:tcW w:w="1757" w:type="dxa"/>
          </w:tcPr>
          <w:p w14:paraId="5AAB7857" w14:textId="77777777" w:rsidR="00AF6A30" w:rsidRDefault="00AF6A30" w:rsidP="00AF6A30">
            <w:pPr>
              <w:spacing w:after="0" w:line="240" w:lineRule="auto"/>
              <w:jc w:val="right"/>
            </w:pPr>
            <w:r w:rsidRPr="004342F0">
              <w:rPr>
                <w:rFonts w:ascii="Calibri" w:hAnsi="Calibri" w:cs="Calibri"/>
              </w:rPr>
              <w:t>14.9 [12.3–18.0]</w:t>
            </w:r>
          </w:p>
        </w:tc>
        <w:tc>
          <w:tcPr>
            <w:tcW w:w="1690" w:type="dxa"/>
          </w:tcPr>
          <w:p w14:paraId="7F3495F7"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9.7 [7.6–12.2]</w:t>
            </w:r>
          </w:p>
        </w:tc>
        <w:tc>
          <w:tcPr>
            <w:tcW w:w="1690" w:type="dxa"/>
          </w:tcPr>
          <w:p w14:paraId="1F6A284F" w14:textId="6785C791" w:rsidR="00AF6A30" w:rsidRPr="004342F0" w:rsidRDefault="00AF6A30" w:rsidP="00AF6A30">
            <w:pPr>
              <w:spacing w:after="0" w:line="240" w:lineRule="auto"/>
              <w:jc w:val="right"/>
              <w:rPr>
                <w:rFonts w:ascii="Calibri" w:hAnsi="Calibri" w:cs="Calibri"/>
              </w:rPr>
            </w:pPr>
            <w:r w:rsidRPr="002318D4">
              <w:rPr>
                <w:rFonts w:ascii="Calibri" w:hAnsi="Calibri" w:cs="Calibri"/>
              </w:rPr>
              <w:t>0.65 [0.47–0.98]</w:t>
            </w:r>
          </w:p>
        </w:tc>
      </w:tr>
      <w:tr w:rsidR="00AF6A30" w14:paraId="263EB34C" w14:textId="77777777" w:rsidTr="004B594C">
        <w:tc>
          <w:tcPr>
            <w:tcW w:w="1423" w:type="dxa"/>
          </w:tcPr>
          <w:p w14:paraId="79219C9A" w14:textId="77777777" w:rsidR="00AF6A30" w:rsidRDefault="00AF6A30" w:rsidP="00AF6A30">
            <w:pPr>
              <w:spacing w:after="0" w:line="240" w:lineRule="auto"/>
            </w:pPr>
            <w:r>
              <w:t xml:space="preserve">   65</w:t>
            </w:r>
          </w:p>
        </w:tc>
        <w:tc>
          <w:tcPr>
            <w:tcW w:w="1814" w:type="dxa"/>
          </w:tcPr>
          <w:p w14:paraId="1981C565" w14:textId="77777777" w:rsidR="00AF6A30" w:rsidRDefault="00AF6A30" w:rsidP="00AF6A30">
            <w:pPr>
              <w:spacing w:after="0" w:line="240" w:lineRule="auto"/>
              <w:jc w:val="right"/>
            </w:pPr>
            <w:r w:rsidRPr="004342F0">
              <w:rPr>
                <w:rFonts w:ascii="Calibri" w:hAnsi="Calibri" w:cs="Calibri"/>
              </w:rPr>
              <w:t>22.6 [18.3–27.5]</w:t>
            </w:r>
          </w:p>
        </w:tc>
        <w:tc>
          <w:tcPr>
            <w:tcW w:w="1724" w:type="dxa"/>
          </w:tcPr>
          <w:p w14:paraId="227E7A80"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17.4 [13.7–21.9]</w:t>
            </w:r>
          </w:p>
        </w:tc>
        <w:tc>
          <w:tcPr>
            <w:tcW w:w="1702" w:type="dxa"/>
          </w:tcPr>
          <w:p w14:paraId="692E4CED" w14:textId="1228A890" w:rsidR="00AF6A30" w:rsidRPr="004342F0" w:rsidRDefault="00AF6A30" w:rsidP="00AF6A30">
            <w:pPr>
              <w:spacing w:after="0" w:line="240" w:lineRule="auto"/>
              <w:jc w:val="right"/>
              <w:rPr>
                <w:rFonts w:ascii="Calibri" w:hAnsi="Calibri" w:cs="Calibri"/>
              </w:rPr>
            </w:pPr>
            <w:r w:rsidRPr="00160ADF">
              <w:rPr>
                <w:rFonts w:ascii="Calibri" w:hAnsi="Calibri" w:cs="Calibri"/>
              </w:rPr>
              <w:t>0.77 [0.44–1.02]</w:t>
            </w:r>
          </w:p>
        </w:tc>
        <w:tc>
          <w:tcPr>
            <w:tcW w:w="239" w:type="dxa"/>
          </w:tcPr>
          <w:p w14:paraId="304A046E" w14:textId="77777777" w:rsidR="00AF6A30" w:rsidRPr="004342F0" w:rsidRDefault="00AF6A30" w:rsidP="00AF6A30">
            <w:pPr>
              <w:spacing w:after="0" w:line="240" w:lineRule="auto"/>
              <w:jc w:val="right"/>
              <w:rPr>
                <w:rFonts w:ascii="Calibri" w:hAnsi="Calibri" w:cs="Calibri"/>
              </w:rPr>
            </w:pPr>
          </w:p>
        </w:tc>
        <w:tc>
          <w:tcPr>
            <w:tcW w:w="1757" w:type="dxa"/>
          </w:tcPr>
          <w:p w14:paraId="2298ABC1" w14:textId="77777777" w:rsidR="00AF6A30" w:rsidRDefault="00AF6A30" w:rsidP="00AF6A30">
            <w:pPr>
              <w:spacing w:after="0" w:line="240" w:lineRule="auto"/>
              <w:jc w:val="right"/>
            </w:pPr>
            <w:r w:rsidRPr="004342F0">
              <w:rPr>
                <w:rFonts w:ascii="Calibri" w:hAnsi="Calibri" w:cs="Calibri"/>
              </w:rPr>
              <w:t>14.8 [11.5–18.8]</w:t>
            </w:r>
          </w:p>
        </w:tc>
        <w:tc>
          <w:tcPr>
            <w:tcW w:w="1690" w:type="dxa"/>
          </w:tcPr>
          <w:p w14:paraId="5601E301"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9.9 [7.3–13.2]</w:t>
            </w:r>
          </w:p>
        </w:tc>
        <w:tc>
          <w:tcPr>
            <w:tcW w:w="1690" w:type="dxa"/>
          </w:tcPr>
          <w:p w14:paraId="216E79AD" w14:textId="7BED1343" w:rsidR="00AF6A30" w:rsidRPr="004342F0" w:rsidRDefault="00AF6A30" w:rsidP="00AF6A30">
            <w:pPr>
              <w:spacing w:after="0" w:line="240" w:lineRule="auto"/>
              <w:jc w:val="right"/>
              <w:rPr>
                <w:rFonts w:ascii="Calibri" w:hAnsi="Calibri" w:cs="Calibri"/>
              </w:rPr>
            </w:pPr>
            <w:r w:rsidRPr="002318D4">
              <w:rPr>
                <w:rFonts w:ascii="Calibri" w:hAnsi="Calibri" w:cs="Calibri"/>
              </w:rPr>
              <w:t>0.67 [0.45–1.1</w:t>
            </w:r>
            <w:r>
              <w:rPr>
                <w:rFonts w:ascii="Calibri" w:hAnsi="Calibri" w:cs="Calibri"/>
              </w:rPr>
              <w:t>0</w:t>
            </w:r>
            <w:r w:rsidRPr="002318D4">
              <w:rPr>
                <w:rFonts w:ascii="Calibri" w:hAnsi="Calibri" w:cs="Calibri"/>
              </w:rPr>
              <w:t>]</w:t>
            </w:r>
          </w:p>
        </w:tc>
      </w:tr>
      <w:tr w:rsidR="00AF6A30" w14:paraId="63760EA9" w14:textId="77777777" w:rsidTr="004B594C">
        <w:tc>
          <w:tcPr>
            <w:tcW w:w="1423" w:type="dxa"/>
          </w:tcPr>
          <w:p w14:paraId="4E712F18" w14:textId="77777777" w:rsidR="00AF6A30" w:rsidRDefault="00AF6A30" w:rsidP="00AF6A30">
            <w:pPr>
              <w:spacing w:after="0" w:line="240" w:lineRule="auto"/>
            </w:pPr>
            <w:r>
              <w:t xml:space="preserve">   70</w:t>
            </w:r>
          </w:p>
        </w:tc>
        <w:tc>
          <w:tcPr>
            <w:tcW w:w="1814" w:type="dxa"/>
          </w:tcPr>
          <w:p w14:paraId="6728864E" w14:textId="77777777" w:rsidR="00AF6A30" w:rsidRDefault="00AF6A30" w:rsidP="00AF6A30">
            <w:pPr>
              <w:spacing w:after="0" w:line="240" w:lineRule="auto"/>
              <w:jc w:val="right"/>
            </w:pPr>
            <w:r w:rsidRPr="004342F0">
              <w:rPr>
                <w:rFonts w:ascii="Calibri" w:hAnsi="Calibri" w:cs="Calibri"/>
              </w:rPr>
              <w:t>19.3 [14.6–25.1]</w:t>
            </w:r>
          </w:p>
        </w:tc>
        <w:tc>
          <w:tcPr>
            <w:tcW w:w="1724" w:type="dxa"/>
          </w:tcPr>
          <w:p w14:paraId="18B54F55"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16.2 [12.0–21.5]</w:t>
            </w:r>
          </w:p>
        </w:tc>
        <w:tc>
          <w:tcPr>
            <w:tcW w:w="1702" w:type="dxa"/>
          </w:tcPr>
          <w:p w14:paraId="7EB1200E" w14:textId="0EAF5316" w:rsidR="00AF6A30" w:rsidRPr="004342F0" w:rsidRDefault="00AF6A30" w:rsidP="00AF6A30">
            <w:pPr>
              <w:spacing w:after="0" w:line="240" w:lineRule="auto"/>
              <w:jc w:val="right"/>
              <w:rPr>
                <w:rFonts w:ascii="Calibri" w:hAnsi="Calibri" w:cs="Calibri"/>
              </w:rPr>
            </w:pPr>
            <w:r w:rsidRPr="00160ADF">
              <w:rPr>
                <w:rFonts w:ascii="Calibri" w:hAnsi="Calibri" w:cs="Calibri"/>
              </w:rPr>
              <w:t>0.84 [0.4</w:t>
            </w:r>
            <w:r>
              <w:rPr>
                <w:rFonts w:ascii="Calibri" w:hAnsi="Calibri" w:cs="Calibri"/>
              </w:rPr>
              <w:t>0</w:t>
            </w:r>
            <w:r w:rsidRPr="00160ADF">
              <w:rPr>
                <w:rFonts w:ascii="Calibri" w:hAnsi="Calibri" w:cs="Calibri"/>
              </w:rPr>
              <w:t>–1.22]</w:t>
            </w:r>
          </w:p>
        </w:tc>
        <w:tc>
          <w:tcPr>
            <w:tcW w:w="239" w:type="dxa"/>
          </w:tcPr>
          <w:p w14:paraId="6C27B16B" w14:textId="77777777" w:rsidR="00AF6A30" w:rsidRPr="004342F0" w:rsidRDefault="00AF6A30" w:rsidP="00AF6A30">
            <w:pPr>
              <w:spacing w:after="0" w:line="240" w:lineRule="auto"/>
              <w:jc w:val="right"/>
              <w:rPr>
                <w:rFonts w:ascii="Calibri" w:hAnsi="Calibri" w:cs="Calibri"/>
              </w:rPr>
            </w:pPr>
          </w:p>
        </w:tc>
        <w:tc>
          <w:tcPr>
            <w:tcW w:w="1757" w:type="dxa"/>
          </w:tcPr>
          <w:p w14:paraId="49CE4B49" w14:textId="77777777" w:rsidR="00AF6A30" w:rsidRDefault="00AF6A30" w:rsidP="00AF6A30">
            <w:pPr>
              <w:spacing w:after="0" w:line="240" w:lineRule="auto"/>
              <w:jc w:val="right"/>
            </w:pPr>
            <w:r w:rsidRPr="004342F0">
              <w:rPr>
                <w:rFonts w:ascii="Calibri" w:hAnsi="Calibri" w:cs="Calibri"/>
              </w:rPr>
              <w:t>12.7 [9.6–16.7]</w:t>
            </w:r>
          </w:p>
        </w:tc>
        <w:tc>
          <w:tcPr>
            <w:tcW w:w="1690" w:type="dxa"/>
          </w:tcPr>
          <w:p w14:paraId="0A2AFB47"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9.7 [7.1–13.3]</w:t>
            </w:r>
          </w:p>
        </w:tc>
        <w:tc>
          <w:tcPr>
            <w:tcW w:w="1690" w:type="dxa"/>
          </w:tcPr>
          <w:p w14:paraId="2DF67869" w14:textId="1FD00348" w:rsidR="00AF6A30" w:rsidRPr="004342F0" w:rsidRDefault="00AF6A30" w:rsidP="00AF6A30">
            <w:pPr>
              <w:spacing w:after="0" w:line="240" w:lineRule="auto"/>
              <w:jc w:val="right"/>
              <w:rPr>
                <w:rFonts w:ascii="Calibri" w:hAnsi="Calibri" w:cs="Calibri"/>
              </w:rPr>
            </w:pPr>
            <w:r w:rsidRPr="002318D4">
              <w:rPr>
                <w:rFonts w:ascii="Calibri" w:hAnsi="Calibri" w:cs="Calibri"/>
              </w:rPr>
              <w:t>0.76 [0.47–1.29]</w:t>
            </w:r>
          </w:p>
        </w:tc>
      </w:tr>
      <w:tr w:rsidR="00AF6A30" w14:paraId="79FDB192" w14:textId="77777777" w:rsidTr="004B594C">
        <w:tc>
          <w:tcPr>
            <w:tcW w:w="1423" w:type="dxa"/>
          </w:tcPr>
          <w:p w14:paraId="431D6447" w14:textId="77777777" w:rsidR="00AF6A30" w:rsidRDefault="00AF6A30" w:rsidP="00AF6A30">
            <w:pPr>
              <w:spacing w:after="0" w:line="240" w:lineRule="auto"/>
            </w:pPr>
            <w:r>
              <w:t xml:space="preserve">   75</w:t>
            </w:r>
          </w:p>
        </w:tc>
        <w:tc>
          <w:tcPr>
            <w:tcW w:w="1814" w:type="dxa"/>
          </w:tcPr>
          <w:p w14:paraId="599CCD6F" w14:textId="77777777" w:rsidR="00AF6A30" w:rsidRDefault="00AF6A30" w:rsidP="00AF6A30">
            <w:pPr>
              <w:spacing w:after="0" w:line="240" w:lineRule="auto"/>
              <w:jc w:val="right"/>
            </w:pPr>
            <w:r w:rsidRPr="004342F0">
              <w:rPr>
                <w:rFonts w:ascii="Calibri" w:hAnsi="Calibri" w:cs="Calibri"/>
              </w:rPr>
              <w:t>16.2 [10.9–23.4]</w:t>
            </w:r>
          </w:p>
        </w:tc>
        <w:tc>
          <w:tcPr>
            <w:tcW w:w="1724" w:type="dxa"/>
          </w:tcPr>
          <w:p w14:paraId="6F820CC3"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15.1 [10.0–22.2]</w:t>
            </w:r>
          </w:p>
        </w:tc>
        <w:tc>
          <w:tcPr>
            <w:tcW w:w="1702" w:type="dxa"/>
          </w:tcPr>
          <w:p w14:paraId="6B309531" w14:textId="2E13A7EA" w:rsidR="00AF6A30" w:rsidRPr="004342F0" w:rsidRDefault="00AF6A30" w:rsidP="00AF6A30">
            <w:pPr>
              <w:spacing w:after="0" w:line="240" w:lineRule="auto"/>
              <w:jc w:val="right"/>
              <w:rPr>
                <w:rFonts w:ascii="Calibri" w:hAnsi="Calibri" w:cs="Calibri"/>
              </w:rPr>
            </w:pPr>
            <w:r w:rsidRPr="00160ADF">
              <w:rPr>
                <w:rFonts w:ascii="Calibri" w:hAnsi="Calibri" w:cs="Calibri"/>
              </w:rPr>
              <w:t>0.93 [0.34–1.61]</w:t>
            </w:r>
          </w:p>
        </w:tc>
        <w:tc>
          <w:tcPr>
            <w:tcW w:w="239" w:type="dxa"/>
          </w:tcPr>
          <w:p w14:paraId="41D8587C" w14:textId="77777777" w:rsidR="00AF6A30" w:rsidRPr="004342F0" w:rsidRDefault="00AF6A30" w:rsidP="00AF6A30">
            <w:pPr>
              <w:spacing w:after="0" w:line="240" w:lineRule="auto"/>
              <w:jc w:val="right"/>
              <w:rPr>
                <w:rFonts w:ascii="Calibri" w:hAnsi="Calibri" w:cs="Calibri"/>
              </w:rPr>
            </w:pPr>
          </w:p>
        </w:tc>
        <w:tc>
          <w:tcPr>
            <w:tcW w:w="1757" w:type="dxa"/>
          </w:tcPr>
          <w:p w14:paraId="23C7653D" w14:textId="77777777" w:rsidR="00AF6A30" w:rsidRDefault="00AF6A30" w:rsidP="00AF6A30">
            <w:pPr>
              <w:spacing w:after="0" w:line="240" w:lineRule="auto"/>
              <w:jc w:val="right"/>
            </w:pPr>
            <w:r w:rsidRPr="004342F0">
              <w:rPr>
                <w:rFonts w:ascii="Calibri" w:hAnsi="Calibri" w:cs="Calibri"/>
              </w:rPr>
              <w:t>8.3 [6.0–11.6]</w:t>
            </w:r>
          </w:p>
        </w:tc>
        <w:tc>
          <w:tcPr>
            <w:tcW w:w="1690" w:type="dxa"/>
          </w:tcPr>
          <w:p w14:paraId="3383A6FC"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8.6 [6.1–11.9]</w:t>
            </w:r>
          </w:p>
        </w:tc>
        <w:tc>
          <w:tcPr>
            <w:tcW w:w="1690" w:type="dxa"/>
          </w:tcPr>
          <w:p w14:paraId="5CA9D282" w14:textId="0A1A9217" w:rsidR="00AF6A30" w:rsidRPr="004342F0" w:rsidRDefault="00AF6A30" w:rsidP="00AF6A30">
            <w:pPr>
              <w:spacing w:after="0" w:line="240" w:lineRule="auto"/>
              <w:jc w:val="right"/>
              <w:rPr>
                <w:rFonts w:ascii="Calibri" w:hAnsi="Calibri" w:cs="Calibri"/>
              </w:rPr>
            </w:pPr>
            <w:r w:rsidRPr="002318D4">
              <w:rPr>
                <w:rFonts w:ascii="Calibri" w:hAnsi="Calibri" w:cs="Calibri"/>
              </w:rPr>
              <w:t>1.03 [0.44–1.66]</w:t>
            </w:r>
          </w:p>
        </w:tc>
      </w:tr>
      <w:tr w:rsidR="00AF6A30" w14:paraId="2BA4E5B2" w14:textId="77777777" w:rsidTr="004B594C">
        <w:tc>
          <w:tcPr>
            <w:tcW w:w="1423" w:type="dxa"/>
          </w:tcPr>
          <w:p w14:paraId="149220E8" w14:textId="77777777" w:rsidR="00AF6A30" w:rsidRDefault="00AF6A30" w:rsidP="00AF6A30">
            <w:pPr>
              <w:spacing w:after="0" w:line="240" w:lineRule="auto"/>
            </w:pPr>
            <w:r>
              <w:t xml:space="preserve">   80</w:t>
            </w:r>
          </w:p>
        </w:tc>
        <w:tc>
          <w:tcPr>
            <w:tcW w:w="1814" w:type="dxa"/>
          </w:tcPr>
          <w:p w14:paraId="4505294A" w14:textId="77777777" w:rsidR="00AF6A30" w:rsidRDefault="00AF6A30" w:rsidP="00AF6A30">
            <w:pPr>
              <w:spacing w:after="0" w:line="240" w:lineRule="auto"/>
              <w:jc w:val="right"/>
            </w:pPr>
            <w:r w:rsidRPr="004342F0">
              <w:rPr>
                <w:rFonts w:ascii="Calibri" w:hAnsi="Calibri" w:cs="Calibri"/>
              </w:rPr>
              <w:t>13.3 [7.7–22.0]</w:t>
            </w:r>
          </w:p>
        </w:tc>
        <w:tc>
          <w:tcPr>
            <w:tcW w:w="1724" w:type="dxa"/>
          </w:tcPr>
          <w:p w14:paraId="720DE0E2"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14.0 [7.9–23.6]</w:t>
            </w:r>
          </w:p>
        </w:tc>
        <w:tc>
          <w:tcPr>
            <w:tcW w:w="1702" w:type="dxa"/>
          </w:tcPr>
          <w:p w14:paraId="1979389D" w14:textId="77133B4C" w:rsidR="00AF6A30" w:rsidRPr="004342F0" w:rsidRDefault="00AF6A30" w:rsidP="00AF6A30">
            <w:pPr>
              <w:spacing w:after="0" w:line="240" w:lineRule="auto"/>
              <w:jc w:val="right"/>
              <w:rPr>
                <w:rFonts w:ascii="Calibri" w:hAnsi="Calibri" w:cs="Calibri"/>
              </w:rPr>
            </w:pPr>
            <w:r w:rsidRPr="00160ADF">
              <w:rPr>
                <w:rFonts w:ascii="Calibri" w:hAnsi="Calibri" w:cs="Calibri"/>
              </w:rPr>
              <w:t>1.06 [0.27–2.3</w:t>
            </w:r>
            <w:r>
              <w:rPr>
                <w:rFonts w:ascii="Calibri" w:hAnsi="Calibri" w:cs="Calibri"/>
              </w:rPr>
              <w:t>0</w:t>
            </w:r>
            <w:r w:rsidRPr="00160ADF">
              <w:rPr>
                <w:rFonts w:ascii="Calibri" w:hAnsi="Calibri" w:cs="Calibri"/>
              </w:rPr>
              <w:t>]</w:t>
            </w:r>
          </w:p>
        </w:tc>
        <w:tc>
          <w:tcPr>
            <w:tcW w:w="239" w:type="dxa"/>
          </w:tcPr>
          <w:p w14:paraId="5A7D91E9" w14:textId="77777777" w:rsidR="00AF6A30" w:rsidRPr="004342F0" w:rsidRDefault="00AF6A30" w:rsidP="00AF6A30">
            <w:pPr>
              <w:spacing w:after="0" w:line="240" w:lineRule="auto"/>
              <w:jc w:val="right"/>
              <w:rPr>
                <w:rFonts w:ascii="Calibri" w:hAnsi="Calibri" w:cs="Calibri"/>
              </w:rPr>
            </w:pPr>
          </w:p>
        </w:tc>
        <w:tc>
          <w:tcPr>
            <w:tcW w:w="1757" w:type="dxa"/>
          </w:tcPr>
          <w:p w14:paraId="1E537E4C" w14:textId="77777777" w:rsidR="00AF6A30" w:rsidRDefault="00AF6A30" w:rsidP="00AF6A30">
            <w:pPr>
              <w:spacing w:after="0" w:line="240" w:lineRule="auto"/>
              <w:jc w:val="right"/>
            </w:pPr>
            <w:r w:rsidRPr="004342F0">
              <w:rPr>
                <w:rFonts w:ascii="Calibri" w:hAnsi="Calibri" w:cs="Calibri"/>
              </w:rPr>
              <w:t>4.1 [2.0–7.9]</w:t>
            </w:r>
          </w:p>
        </w:tc>
        <w:tc>
          <w:tcPr>
            <w:tcW w:w="1690" w:type="dxa"/>
          </w:tcPr>
          <w:p w14:paraId="0420FD9C" w14:textId="77777777" w:rsidR="00AF6A30" w:rsidRPr="004342F0" w:rsidRDefault="00AF6A30" w:rsidP="00AF6A30">
            <w:pPr>
              <w:spacing w:after="0" w:line="240" w:lineRule="auto"/>
              <w:jc w:val="right"/>
              <w:rPr>
                <w:rFonts w:ascii="Calibri" w:hAnsi="Calibri" w:cs="Calibri"/>
              </w:rPr>
            </w:pPr>
            <w:r w:rsidRPr="004342F0">
              <w:rPr>
                <w:rFonts w:ascii="Calibri" w:hAnsi="Calibri" w:cs="Calibri"/>
              </w:rPr>
              <w:t>6.8 [3.5–12.7]</w:t>
            </w:r>
          </w:p>
        </w:tc>
        <w:tc>
          <w:tcPr>
            <w:tcW w:w="1690" w:type="dxa"/>
          </w:tcPr>
          <w:p w14:paraId="00ADEE8A" w14:textId="386320EC" w:rsidR="00AF6A30" w:rsidRPr="004342F0" w:rsidRDefault="00AF6A30" w:rsidP="00AF6A30">
            <w:pPr>
              <w:spacing w:after="0" w:line="240" w:lineRule="auto"/>
              <w:jc w:val="right"/>
              <w:rPr>
                <w:rFonts w:ascii="Calibri" w:hAnsi="Calibri" w:cs="Calibri"/>
              </w:rPr>
            </w:pPr>
            <w:r w:rsidRPr="002318D4">
              <w:rPr>
                <w:rFonts w:ascii="Calibri" w:hAnsi="Calibri" w:cs="Calibri"/>
              </w:rPr>
              <w:t>1.67 [0.23–3.56]</w:t>
            </w:r>
          </w:p>
        </w:tc>
      </w:tr>
      <w:tr w:rsidR="00AF6A30" w:rsidRPr="002571DE" w14:paraId="6590055B" w14:textId="77777777" w:rsidTr="004B594C">
        <w:tc>
          <w:tcPr>
            <w:tcW w:w="1423" w:type="dxa"/>
          </w:tcPr>
          <w:p w14:paraId="700CB507" w14:textId="77777777" w:rsidR="00AF6A30" w:rsidRPr="002571DE" w:rsidRDefault="00AF6A30" w:rsidP="00AF6A30">
            <w:pPr>
              <w:spacing w:after="0" w:line="240" w:lineRule="auto"/>
              <w:rPr>
                <w:sz w:val="12"/>
                <w:szCs w:val="12"/>
              </w:rPr>
            </w:pPr>
          </w:p>
        </w:tc>
        <w:tc>
          <w:tcPr>
            <w:tcW w:w="1814" w:type="dxa"/>
          </w:tcPr>
          <w:p w14:paraId="3289D14E" w14:textId="77777777" w:rsidR="00AF6A30" w:rsidRPr="002571DE" w:rsidRDefault="00AF6A30" w:rsidP="00AF6A30">
            <w:pPr>
              <w:spacing w:after="0" w:line="240" w:lineRule="auto"/>
              <w:rPr>
                <w:sz w:val="12"/>
                <w:szCs w:val="12"/>
              </w:rPr>
            </w:pPr>
          </w:p>
        </w:tc>
        <w:tc>
          <w:tcPr>
            <w:tcW w:w="1724" w:type="dxa"/>
          </w:tcPr>
          <w:p w14:paraId="6C2F7407" w14:textId="77777777" w:rsidR="00AF6A30" w:rsidRPr="002571DE" w:rsidRDefault="00AF6A30" w:rsidP="00AF6A30">
            <w:pPr>
              <w:spacing w:after="0" w:line="240" w:lineRule="auto"/>
              <w:rPr>
                <w:sz w:val="12"/>
                <w:szCs w:val="12"/>
              </w:rPr>
            </w:pPr>
          </w:p>
        </w:tc>
        <w:tc>
          <w:tcPr>
            <w:tcW w:w="1702" w:type="dxa"/>
          </w:tcPr>
          <w:p w14:paraId="73831073" w14:textId="77777777" w:rsidR="00AF6A30" w:rsidRPr="002571DE" w:rsidRDefault="00AF6A30" w:rsidP="00AF6A30">
            <w:pPr>
              <w:spacing w:after="0" w:line="240" w:lineRule="auto"/>
              <w:rPr>
                <w:sz w:val="12"/>
                <w:szCs w:val="12"/>
              </w:rPr>
            </w:pPr>
          </w:p>
        </w:tc>
        <w:tc>
          <w:tcPr>
            <w:tcW w:w="239" w:type="dxa"/>
          </w:tcPr>
          <w:p w14:paraId="061AF8CD" w14:textId="77777777" w:rsidR="00AF6A30" w:rsidRPr="002571DE" w:rsidRDefault="00AF6A30" w:rsidP="00AF6A30">
            <w:pPr>
              <w:spacing w:after="0" w:line="240" w:lineRule="auto"/>
              <w:rPr>
                <w:sz w:val="12"/>
                <w:szCs w:val="12"/>
              </w:rPr>
            </w:pPr>
          </w:p>
        </w:tc>
        <w:tc>
          <w:tcPr>
            <w:tcW w:w="1757" w:type="dxa"/>
          </w:tcPr>
          <w:p w14:paraId="53C78F09" w14:textId="77777777" w:rsidR="00AF6A30" w:rsidRPr="002571DE" w:rsidRDefault="00AF6A30" w:rsidP="00AF6A30">
            <w:pPr>
              <w:spacing w:after="0" w:line="240" w:lineRule="auto"/>
              <w:rPr>
                <w:sz w:val="12"/>
                <w:szCs w:val="12"/>
              </w:rPr>
            </w:pPr>
          </w:p>
        </w:tc>
        <w:tc>
          <w:tcPr>
            <w:tcW w:w="1690" w:type="dxa"/>
          </w:tcPr>
          <w:p w14:paraId="29C73FD0" w14:textId="77777777" w:rsidR="00AF6A30" w:rsidRPr="002571DE" w:rsidRDefault="00AF6A30" w:rsidP="00AF6A30">
            <w:pPr>
              <w:spacing w:after="0" w:line="240" w:lineRule="auto"/>
              <w:rPr>
                <w:sz w:val="12"/>
                <w:szCs w:val="12"/>
              </w:rPr>
            </w:pPr>
          </w:p>
        </w:tc>
        <w:tc>
          <w:tcPr>
            <w:tcW w:w="1690" w:type="dxa"/>
          </w:tcPr>
          <w:p w14:paraId="5BE7C57C" w14:textId="77777777" w:rsidR="00AF6A30" w:rsidRPr="002571DE" w:rsidRDefault="00AF6A30" w:rsidP="00AF6A30">
            <w:pPr>
              <w:spacing w:after="0" w:line="240" w:lineRule="auto"/>
              <w:rPr>
                <w:sz w:val="12"/>
                <w:szCs w:val="12"/>
              </w:rPr>
            </w:pPr>
          </w:p>
        </w:tc>
      </w:tr>
    </w:tbl>
    <w:p w14:paraId="612A4FB2" w14:textId="310FBF17" w:rsidR="00CD2B2B" w:rsidRDefault="00CD2B2B" w:rsidP="00CD2B2B">
      <w:pPr>
        <w:spacing w:after="0" w:line="240" w:lineRule="auto"/>
      </w:pPr>
      <w:r>
        <w:t>CI, confidence interval.</w:t>
      </w:r>
      <w:r w:rsidR="005A2F2D">
        <w:t xml:space="preserve"> PR, prevalence ratio.</w:t>
      </w:r>
    </w:p>
    <w:p w14:paraId="598D942A" w14:textId="6ACA33C8" w:rsidR="000023D9" w:rsidRDefault="000023D9" w:rsidP="000023D9">
      <w:pPr>
        <w:spacing w:after="0" w:line="240" w:lineRule="auto"/>
      </w:pPr>
      <w:r>
        <w:rPr>
          <w:vertAlign w:val="superscript"/>
        </w:rPr>
        <w:t>1</w:t>
      </w:r>
      <w:r>
        <w:t xml:space="preserve"> Among women who tried to quit smoking in the past year. </w:t>
      </w:r>
    </w:p>
    <w:p w14:paraId="4EC271D6" w14:textId="77777777" w:rsidR="00CD2B2B" w:rsidRDefault="00CD2B2B" w:rsidP="00CD2B2B">
      <w:pPr>
        <w:spacing w:after="0" w:line="240" w:lineRule="auto"/>
      </w:pPr>
      <w:r>
        <w:rPr>
          <w:vertAlign w:val="superscript"/>
        </w:rPr>
        <w:t>2</w:t>
      </w:r>
      <w:r>
        <w:t xml:space="preserve"> Among women who smoked in the past year.  </w:t>
      </w:r>
    </w:p>
    <w:p w14:paraId="5809A253" w14:textId="063CC11B" w:rsidR="00CD2B2B" w:rsidRPr="00BE1790" w:rsidRDefault="000023D9" w:rsidP="00CD2B2B">
      <w:pPr>
        <w:spacing w:after="0" w:line="240" w:lineRule="auto"/>
      </w:pPr>
      <w:r>
        <w:rPr>
          <w:vertAlign w:val="superscript"/>
        </w:rPr>
        <w:t>3</w:t>
      </w:r>
      <w:r w:rsidR="00CD2B2B">
        <w:t xml:space="preserve"> Occupational social grades ABC1 = more advantaged, C2DE = less advantaged.</w:t>
      </w:r>
    </w:p>
    <w:p w14:paraId="1A4265FA" w14:textId="77777777" w:rsidR="00451CD6" w:rsidRDefault="00451CD6" w:rsidP="00451CD6">
      <w:pPr>
        <w:autoSpaceDE w:val="0"/>
        <w:autoSpaceDN w:val="0"/>
        <w:adjustRightInd w:val="0"/>
        <w:spacing w:after="0" w:line="240" w:lineRule="auto"/>
        <w:rPr>
          <w:rStyle w:val="normaltextrun"/>
          <w:rFonts w:cstheme="minorHAnsi"/>
        </w:rPr>
      </w:pPr>
      <w:r>
        <w:rPr>
          <w:vertAlign w:val="superscript"/>
        </w:rPr>
        <w:t>4</w:t>
      </w:r>
      <w:r>
        <w:t xml:space="preserve"> Prevalence ratio </w:t>
      </w:r>
      <w:r>
        <w:rPr>
          <w:rStyle w:val="normaltextrun"/>
          <w:rFonts w:cstheme="minorHAnsi"/>
        </w:rPr>
        <w:t>calculated as prevalence among less advantaged women divided by prevalence among more advantaged women, with 95% CIs calculated using bootstrapping (1,000 replications).</w:t>
      </w:r>
    </w:p>
    <w:p w14:paraId="04A540B1" w14:textId="78A8DE60" w:rsidR="00CD2B2B" w:rsidRDefault="00451CD6" w:rsidP="00CD2B2B">
      <w:pPr>
        <w:spacing w:after="0" w:line="240" w:lineRule="auto"/>
      </w:pPr>
      <w:r>
        <w:rPr>
          <w:vertAlign w:val="superscript"/>
        </w:rPr>
        <w:t>5</w:t>
      </w:r>
      <w:r w:rsidR="00CD2B2B">
        <w:t xml:space="preserve"> </w:t>
      </w:r>
      <w:r w:rsidR="00CD2B2B" w:rsidRPr="006A7CBF">
        <w:t xml:space="preserve">Predicted </w:t>
      </w:r>
      <w:r w:rsidR="00CD2B2B">
        <w:t xml:space="preserve">weighted </w:t>
      </w:r>
      <w:r w:rsidR="00CD2B2B" w:rsidRPr="006A7CBF">
        <w:t xml:space="preserve">estimates </w:t>
      </w:r>
      <w:r w:rsidR="00CD2B2B">
        <w:t xml:space="preserve">for individual years of age </w:t>
      </w:r>
      <w:r w:rsidR="00CD2B2B" w:rsidRPr="006A7CBF">
        <w:t>from logistic regression model</w:t>
      </w:r>
      <w:r w:rsidR="00CD2B2B">
        <w:t>s</w:t>
      </w:r>
      <w:r w:rsidR="00CD2B2B" w:rsidRPr="006A7CBF">
        <w:t xml:space="preserve"> with age modelled using restricted cubic splines</w:t>
      </w:r>
      <w:r w:rsidR="00CD2B2B">
        <w:t xml:space="preserve"> (</w:t>
      </w:r>
      <w:r w:rsidR="005C75E7">
        <w:t xml:space="preserve">with three knots for the success rate of quit attempts and five knots for the overall quit rate; </w:t>
      </w:r>
      <w:r w:rsidR="00CD2B2B">
        <w:t xml:space="preserve">see </w:t>
      </w:r>
      <w:r w:rsidR="00DF76B0">
        <w:rPr>
          <w:b/>
          <w:bCs/>
        </w:rPr>
        <w:t>Additional f</w:t>
      </w:r>
      <w:r w:rsidR="00C10179">
        <w:rPr>
          <w:b/>
          <w:bCs/>
        </w:rPr>
        <w:t>ile 1</w:t>
      </w:r>
      <w:r w:rsidR="00903586">
        <w:rPr>
          <w:b/>
          <w:bCs/>
        </w:rPr>
        <w:t>: Table S1</w:t>
      </w:r>
      <w:r w:rsidR="00CD2B2B">
        <w:t xml:space="preserve"> for details of model selection)</w:t>
      </w:r>
      <w:r w:rsidR="00CD2B2B" w:rsidRPr="006A7CBF">
        <w:t>. Note that the model</w:t>
      </w:r>
      <w:r w:rsidR="00CD2B2B">
        <w:t>s</w:t>
      </w:r>
      <w:r w:rsidR="00CD2B2B" w:rsidRPr="006A7CBF">
        <w:t xml:space="preserve"> used to derive these estimates included data from participants of all ages.</w:t>
      </w:r>
    </w:p>
    <w:p w14:paraId="3BC3225D" w14:textId="04CEECBC" w:rsidR="00CD2B2B" w:rsidRPr="00BB29C8" w:rsidRDefault="00CD2B2B" w:rsidP="00752207">
      <w:pPr>
        <w:spacing w:after="0" w:line="240" w:lineRule="auto"/>
      </w:pPr>
      <w:r w:rsidRPr="00456A0B">
        <w:t xml:space="preserve">Unmodelled weighted estimates within age bands are provided in </w:t>
      </w:r>
      <w:r w:rsidR="00DF76B0">
        <w:rPr>
          <w:b/>
          <w:bCs/>
        </w:rPr>
        <w:t>Additional</w:t>
      </w:r>
      <w:r w:rsidR="00DF76B0" w:rsidRPr="00456A0B">
        <w:rPr>
          <w:b/>
          <w:bCs/>
        </w:rPr>
        <w:t xml:space="preserve"> </w:t>
      </w:r>
      <w:r w:rsidR="00DF76B0">
        <w:rPr>
          <w:b/>
          <w:bCs/>
        </w:rPr>
        <w:t>f</w:t>
      </w:r>
      <w:r w:rsidR="00993B67" w:rsidRPr="00456A0B">
        <w:rPr>
          <w:b/>
          <w:bCs/>
        </w:rPr>
        <w:t xml:space="preserve">ile 2: </w:t>
      </w:r>
      <w:r w:rsidRPr="00456A0B">
        <w:rPr>
          <w:b/>
          <w:bCs/>
        </w:rPr>
        <w:t>Table S4</w:t>
      </w:r>
      <w:r w:rsidRPr="00456A0B">
        <w:t>.</w:t>
      </w:r>
      <w:r w:rsidR="00C83A55" w:rsidRPr="00456A0B">
        <w:t xml:space="preserve"> </w:t>
      </w:r>
      <w:r w:rsidR="00C83A55" w:rsidRPr="00456A0B">
        <w:rPr>
          <w:bCs/>
        </w:rPr>
        <w:t xml:space="preserve">Corresponding data for men are provided in </w:t>
      </w:r>
      <w:r w:rsidR="00DF76B0">
        <w:rPr>
          <w:b/>
        </w:rPr>
        <w:t>Additional</w:t>
      </w:r>
      <w:r w:rsidR="00DF76B0" w:rsidRPr="00456A0B">
        <w:rPr>
          <w:b/>
        </w:rPr>
        <w:t xml:space="preserve"> </w:t>
      </w:r>
      <w:r w:rsidR="00DF76B0">
        <w:rPr>
          <w:b/>
        </w:rPr>
        <w:t>f</w:t>
      </w:r>
      <w:r w:rsidR="00C83A55" w:rsidRPr="00456A0B">
        <w:rPr>
          <w:b/>
        </w:rPr>
        <w:t xml:space="preserve">ile 3: Table </w:t>
      </w:r>
      <w:r w:rsidR="00456A0B" w:rsidRPr="00456A0B">
        <w:rPr>
          <w:b/>
        </w:rPr>
        <w:t>S8</w:t>
      </w:r>
      <w:r w:rsidR="00C83A55" w:rsidRPr="00456A0B">
        <w:rPr>
          <w:bCs/>
        </w:rPr>
        <w:t>.</w:t>
      </w:r>
    </w:p>
    <w:p w14:paraId="01DEE9AD" w14:textId="72E5685C" w:rsidR="00B41815" w:rsidRDefault="0004211B" w:rsidP="00B41815">
      <w:pPr>
        <w:spacing w:after="0"/>
      </w:pPr>
      <w:r w:rsidRPr="0082754E">
        <w:br w:type="page"/>
      </w:r>
    </w:p>
    <w:p w14:paraId="0BDD65E5" w14:textId="327B0BD3" w:rsidR="00B41815" w:rsidRDefault="00B41815" w:rsidP="00B41815">
      <w:pPr>
        <w:spacing w:after="0" w:line="240" w:lineRule="auto"/>
        <w:outlineLvl w:val="4"/>
        <w:rPr>
          <w:b/>
        </w:rPr>
        <w:sectPr w:rsidR="00B41815" w:rsidSect="001B0207">
          <w:pgSz w:w="16838" w:h="11906" w:orient="landscape" w:code="9"/>
          <w:pgMar w:top="1440" w:right="1440" w:bottom="1440" w:left="1440" w:header="720" w:footer="720" w:gutter="0"/>
          <w:cols w:space="720"/>
          <w:noEndnote/>
          <w:docGrid w:linePitch="299"/>
        </w:sectPr>
      </w:pPr>
    </w:p>
    <w:p w14:paraId="487B78BC" w14:textId="1EF7F594" w:rsidR="002D2DEE" w:rsidRDefault="002D2DEE" w:rsidP="002D2DEE">
      <w:pPr>
        <w:pStyle w:val="Heading2"/>
      </w:pPr>
      <w:r>
        <w:lastRenderedPageBreak/>
        <w:t>Discussion</w:t>
      </w:r>
    </w:p>
    <w:p w14:paraId="6459964E" w14:textId="40B4588A" w:rsidR="00195F4A" w:rsidRPr="00E440E5" w:rsidRDefault="00D07332" w:rsidP="00076C6F">
      <w:r w:rsidRPr="00E440E5">
        <w:t>These results highlight considerable</w:t>
      </w:r>
      <w:r w:rsidR="00AF114D" w:rsidRPr="00E440E5">
        <w:t xml:space="preserve"> </w:t>
      </w:r>
      <w:r w:rsidR="00FF00F9" w:rsidRPr="00E440E5">
        <w:t>age</w:t>
      </w:r>
      <w:r w:rsidR="00A527D7">
        <w:t>-related</w:t>
      </w:r>
      <w:r w:rsidR="00A46F7F">
        <w:t xml:space="preserve"> and socioeconomic </w:t>
      </w:r>
      <w:r w:rsidRPr="00E440E5">
        <w:t>differences</w:t>
      </w:r>
      <w:r w:rsidR="00AF114D" w:rsidRPr="00E440E5">
        <w:t xml:space="preserve"> in smoking behaviours and cessation outcomes among women in Great Britain.</w:t>
      </w:r>
      <w:r w:rsidR="00076C6F" w:rsidRPr="00E440E5">
        <w:t xml:space="preserve"> </w:t>
      </w:r>
      <w:r w:rsidR="00EF6FA7" w:rsidRPr="00E440E5">
        <w:t xml:space="preserve">Consistent with evidence that smoking initiation is more common in </w:t>
      </w:r>
      <w:r w:rsidR="00DF4F8E" w:rsidRPr="00E440E5">
        <w:t>adolescence</w:t>
      </w:r>
      <w:r w:rsidR="00EF6FA7" w:rsidRPr="00E440E5">
        <w:t xml:space="preserve"> and young adulthood</w:t>
      </w:r>
      <w:r w:rsidR="00F132ED" w:rsidRPr="00E440E5">
        <w:t>,</w:t>
      </w:r>
      <w:r w:rsidR="00F132ED" w:rsidRPr="00E440E5">
        <w:fldChar w:fldCharType="begin"/>
      </w:r>
      <w:r w:rsidR="00C50867">
        <w:instrText xml:space="preserve"> ADDIN ZOTERO_ITEM CSL_CITATION {"citationID":"woqa47i6","properties":{"formattedCitation":"[40, 41]","plainCitation":"[40, 41]","noteIndex":0},"citationItems":[{"id":145,"uris":["http://zotero.org/users/446899/items/W2DZYTHN"],"itemData":{"id":145,"type":"article-journal","abstract":"This cross-sectional study assesses trends in early adult (ages 18-23 years) vs adolescent (age &lt;18 years) cigarette smoking initiation and transition to daily cigarette smoking from 2002 to 2018.","container-title":"JAMA Network Open","DOI":"10.1001/jamanetworkopen.2020.19022","ISSN":"2574-3805","issue":"10","journalAbbreviation":"JAMA Netw Open","note":"PMID: 33021650\nPMCID: PMC7539122","page":"e2019022","source":"PubMed Central","title":"Trends in the Age of Cigarette Smoking Initiation Among Young Adults in the US From 2002 to 2018","volume":"3","author":[{"family":"Barrington-Trimis","given":"Jessica L."},{"family":"Braymiller","given":"Jessica L."},{"family":"Unger","given":"Jennifer B."},{"family":"McConnell","given":"Rob"},{"family":"Stokes","given":"Andrew"},{"family":"Leventhal","given":"Adam M."},{"family":"Sargent","given":"James D."},{"family":"Samet","given":"Jonathan M."},{"family":"Goodwin","given":"Renee D."}],"issued":{"date-parts":[["2020",10,6]]}}},{"id":628,"uris":["http://zotero.org/users/446899/items/2RWGB89C"],"itemData":{"id":628,"type":"report","event-place":"Atlanta, GA","publisher":"U.S. Department of Health and Human Services, Centers for Disease Control and Prevention, National Center for Chronic Disease Prevention and Health Promotion, Office on Smoking and Health","publisher-place":"Atlanta, GA","title":"The Health Consequences of Smoking—50 Years of Progress: A Report of the Surgeon General","author":[{"family":"U.S. Department of Health and Human Services","given":""}],"issued":{"date-parts":[["2014"]]}}}],"schema":"https://github.com/citation-style-language/schema/raw/master/csl-citation.json"} </w:instrText>
      </w:r>
      <w:r w:rsidR="00F132ED" w:rsidRPr="00E440E5">
        <w:fldChar w:fldCharType="separate"/>
      </w:r>
      <w:r w:rsidR="00C50867" w:rsidRPr="00C50867">
        <w:rPr>
          <w:rFonts w:ascii="Calibri" w:hAnsi="Calibri" w:cs="Calibri"/>
        </w:rPr>
        <w:t>[40, 41]</w:t>
      </w:r>
      <w:r w:rsidR="00F132ED" w:rsidRPr="00E440E5">
        <w:fldChar w:fldCharType="end"/>
      </w:r>
      <w:r w:rsidR="00EF6FA7" w:rsidRPr="00E440E5">
        <w:t xml:space="preserve"> we found</w:t>
      </w:r>
      <w:r w:rsidR="00A21C7B" w:rsidRPr="00E440E5">
        <w:t xml:space="preserve"> that</w:t>
      </w:r>
      <w:r w:rsidR="00EF6FA7" w:rsidRPr="00E440E5">
        <w:t xml:space="preserve"> sm</w:t>
      </w:r>
      <w:r w:rsidR="009C7903" w:rsidRPr="00E440E5">
        <w:t xml:space="preserve">oking prevalence was highest among women in their </w:t>
      </w:r>
      <w:r w:rsidR="00DB0331" w:rsidRPr="00E440E5">
        <w:t>20s</w:t>
      </w:r>
      <w:r w:rsidR="009C7903" w:rsidRPr="00E440E5">
        <w:t xml:space="preserve"> and </w:t>
      </w:r>
      <w:r w:rsidR="00DB0331" w:rsidRPr="00E440E5">
        <w:t>30s</w:t>
      </w:r>
      <w:r w:rsidR="00CF466F" w:rsidRPr="00E440E5">
        <w:t>, then declined with age</w:t>
      </w:r>
      <w:r w:rsidR="003E47C4" w:rsidRPr="00E440E5">
        <w:t>.</w:t>
      </w:r>
      <w:r w:rsidR="009C7903" w:rsidRPr="00E440E5">
        <w:t xml:space="preserve"> </w:t>
      </w:r>
      <w:r w:rsidR="004942F4" w:rsidRPr="00E440E5">
        <w:t xml:space="preserve">However, this decline </w:t>
      </w:r>
      <w:r w:rsidR="001639F3">
        <w:t>d</w:t>
      </w:r>
      <w:r w:rsidR="00266EBD">
        <w:t xml:space="preserve">id </w:t>
      </w:r>
      <w:r w:rsidR="004942F4" w:rsidRPr="00E440E5">
        <w:t>not appear to be driven by increasing quit attempts with age</w:t>
      </w:r>
      <w:r w:rsidR="005737F7" w:rsidRPr="00E440E5">
        <w:t>. I</w:t>
      </w:r>
      <w:r w:rsidR="004942F4" w:rsidRPr="00E440E5">
        <w:t>n fact, the likelihood of making a quit attempt</w:t>
      </w:r>
      <w:r w:rsidR="00B728AB" w:rsidRPr="00E440E5">
        <w:t xml:space="preserve"> was</w:t>
      </w:r>
      <w:r w:rsidR="00B728AB" w:rsidRPr="00E440E5">
        <w:rPr>
          <w:i/>
          <w:iCs/>
        </w:rPr>
        <w:t xml:space="preserve"> lower </w:t>
      </w:r>
      <w:r w:rsidR="00B728AB" w:rsidRPr="00E440E5">
        <w:t>at older ages</w:t>
      </w:r>
      <w:r w:rsidR="005D0078" w:rsidRPr="00E440E5">
        <w:t>, suggesting</w:t>
      </w:r>
      <w:r w:rsidR="004942F4" w:rsidRPr="00E440E5">
        <w:t xml:space="preserve"> that the reduction in smoking prevalence across the life course may be </w:t>
      </w:r>
      <w:r w:rsidR="0026106A" w:rsidRPr="00E440E5">
        <w:t>due to</w:t>
      </w:r>
      <w:r w:rsidR="008B25D3" w:rsidRPr="00E440E5">
        <w:t xml:space="preserve"> generational differences in smoking uptake and </w:t>
      </w:r>
      <w:r w:rsidR="00E8122F" w:rsidRPr="00E440E5">
        <w:t>cessation</w:t>
      </w:r>
      <w:r w:rsidR="00C90661">
        <w:t xml:space="preserve"> (</w:t>
      </w:r>
      <w:r w:rsidR="00340CFB">
        <w:t>i.e</w:t>
      </w:r>
      <w:r w:rsidR="00C90661">
        <w:t>., greater uptake in older cohorts)</w:t>
      </w:r>
      <w:r w:rsidR="00AB40B9" w:rsidRPr="00E440E5">
        <w:t>,</w:t>
      </w:r>
      <w:r w:rsidR="00E8122F" w:rsidRPr="00E440E5">
        <w:fldChar w:fldCharType="begin"/>
      </w:r>
      <w:r w:rsidR="00C50867">
        <w:instrText xml:space="preserve"> ADDIN ZOTERO_ITEM CSL_CITATION {"citationID":"xNMrZFTj","properties":{"formattedCitation":"[26]","plainCitation":"[26]","noteIndex":0},"citationItems":[{"id":12650,"uris":["http://zotero.org/users/446899/items/96QRSN5R"],"itemData":{"id":12650,"type":"article-journal","abstract":"Background and aims Smoking prevalence has been falling in England for more than 50 years, but remains a prevalent and major public health problem. This study used an age–period–cohort (APC) approach to measure lifecycle, historical and generational patterns of individual smoking behaviour. Design APC analysis of repeated cross-sectional smoking prevalence data obtained from three nationally representative surveys. Setting England (1972–2019). Participants Individuals aged 18–90 years. Measurements We studied relative odds of current smoking in relation to age in single years from 18 to 90, 24 groups of 2-year survey periods (1972–73 to 2018–19) and 20 groups of 5-year birth cohorts (1907–11 to 1997–2001). Age and period rates were studied for two groups of birth cohorts: those aged 18–25 years and those aged over 25 years. Findings Relative to age 18, the odds of current smoking increased with age until approximately age 25 [odds ratio (OR) = 1.48, 95% confidence interval (CI) = 1.41–1.56] and then decreased progressively to age 90 (OR = 0.06, 95% CI = 0.04–0.08). They also decreased almost linearly with period relative to 1972–73 (for 2018–19: OR = 0.30, 95% CI = 0.26–0.34) and with birth cohort relative to 1902–06, with the largest decreased observed for birth cohort 1992–96 (OR = 0.44, 95% CI = 0.35–0.46) and 1997–2001 (OR = 0.35, 95% CI = 0.74–0.88). Smoking declined in the 18–25 age group by an average of 7% over successive 2-year periods and by an average of 5% in those aged over 25. Conclusions Smoking in England appears to have declined over recent decades mainly as a result of reduced smoking uptake before age 25, and to a lesser extent to smoking cessation after age 25.","container-title":"Addiction","DOI":"10.1111/add.15696","ISSN":"1360-0443","issue":"5","language":"en","license":"© 2021 The Authors. Addiction published by John Wiley &amp; Sons Ltd on behalf of Society for the Study of Addiction.","note":"_eprint: https://onlinelibrary.wiley.com/doi/pdf/10.1111/add.15696","page":"1392-1403","source":"Wiley Online Library","title":"Understanding long-term trends in smoking in England, 1972–2019: an age–period–cohort approach","title-short":"Understanding long-term trends in smoking in England, 1972–2019","volume":"117","author":[{"family":"Opazo Breton","given":"Magdalena"},{"family":"Gillespie","given":"Duncan"},{"family":"Pryce","given":"Robert"},{"family":"Bogdanovica","given":"Ilze"},{"family":"Angus","given":"Colin"},{"family":"Hernandez Alava","given":"Monica"},{"family":"Brennan","given":"Alan"},{"family":"Britton","given":"John"}],"issued":{"date-parts":[["2022"]]}}}],"schema":"https://github.com/citation-style-language/schema/raw/master/csl-citation.json"} </w:instrText>
      </w:r>
      <w:r w:rsidR="00E8122F" w:rsidRPr="00E440E5">
        <w:fldChar w:fldCharType="separate"/>
      </w:r>
      <w:r w:rsidR="00C50867" w:rsidRPr="00C50867">
        <w:rPr>
          <w:rFonts w:ascii="Calibri" w:hAnsi="Calibri" w:cs="Calibri"/>
        </w:rPr>
        <w:t>[26]</w:t>
      </w:r>
      <w:r w:rsidR="00E8122F" w:rsidRPr="00E440E5">
        <w:fldChar w:fldCharType="end"/>
      </w:r>
      <w:r w:rsidR="004942F4" w:rsidRPr="00E440E5">
        <w:t xml:space="preserve"> selective quitting </w:t>
      </w:r>
      <w:r w:rsidR="005E7A63">
        <w:t>by</w:t>
      </w:r>
      <w:r w:rsidR="004942F4" w:rsidRPr="00E440E5">
        <w:t xml:space="preserve"> those most motivated or able to </w:t>
      </w:r>
      <w:r w:rsidR="00036C78">
        <w:t>stop</w:t>
      </w:r>
      <w:r w:rsidR="004942F4" w:rsidRPr="00E440E5">
        <w:t xml:space="preserve"> earlier in life, or higher mortality among older </w:t>
      </w:r>
      <w:r w:rsidR="00762ABA">
        <w:t>women who smoke</w:t>
      </w:r>
      <w:r w:rsidR="00637BB1" w:rsidRPr="00E440E5">
        <w:t>.</w:t>
      </w:r>
      <w:r w:rsidR="0018084F" w:rsidRPr="00E440E5">
        <w:fldChar w:fldCharType="begin"/>
      </w:r>
      <w:r w:rsidR="00C50867">
        <w:instrText xml:space="preserve"> ADDIN ZOTERO_ITEM CSL_CITATION {"citationID":"wMdbO3bO","properties":{"formattedCitation":"[42, 43]","plainCitation":"[42, 43]","noteIndex":0},"citationItems":[{"id":3709,"uris":["http://zotero.org/users/446899/items/X5445UF7"],"itemData":{"id":3709,"type":"article-journal","abstract":"Objective To compare the hazards of cigarette smoking in men who formed their habits at different periods, and the extent of the reduction in risk when cigarette smoking is stopped at different ages.\nDesign Prospective study that has continued from 1951 to 2001.\nSetting United Kingdom.\nParticipants 34 439 male British doctors. Information about their smoking habits was obtained in 1951, and periodically thereafter; cause specific mortality was monitored for 50 years.\nMain outcome measures Overall mortality by smoking habit, considering separately men born in different periods.\nResults The excess mortality associated with smoking chiefly involved vascular, neoplastic, and respiratory diseases that can be caused by smoking. Men born in 1900-1930 who smoked only cigarettes and continued smoking died on average about 10 years younger than lifelong non-smokers. Cessation at age 60, 50, 40, or 30 years gained, respectively, about 3, 6, 9, or 10 years of life expectancy. The excess mortality associated with cigarette smoking was less for men born in the 19th century and was greatest for men born in the 1920s. The cigarette smoker versus non-smoker probabilities of dying in middle age (35-69) were 42% ν24% (a twofold death rate ratio) for those born in 1900-1909, but were 43% ν 15% (a threefold death rate ratio) for those born in the 1920s. At older ages, the cigarette smoker versus non-smoker probabilities of surviving from age 70 to 90 were 10% ν 12% at the death rates of the 1950s (that is, among men born around the 1870s) but were 7% ν 33% (again a threefold death rate ratio) at the death rates of the 1990s (that is, among men born around the 1910s).\nConclusion A substantial progressive decrease in the mortality rates among non-smokers over the past half century (due to prevention and improved treatment of disease) has been wholly outweighed, among cigarette smokers, by a progressive increase in the smoker ν non-smoker death rate ratio due to earlier and more intensive use of cigarettes. Among the men born around 1920, prolonged cigarette smoking from early adult life tripled age specific mortality rates, but cessation at age 50 halved the hazard, and cessation at age 30 avoided almost all of it.","container-title":"BMJ","DOI":"10.1136/bmj.38142.554479.AE","ISSN":"0959-8138, 1468-5833","issue":"7455","journalAbbreviation":"BMJ","language":"en","license":"© 2004 BMJ Publishing Group Ltd.","note":"PMID: 15213107","page":"1519","source":"www.bmj.com","title":"Mortality in relation to smoking: 50 years' observations on male British doctors","title-short":"Mortality in relation to smoking","volume":"328","author":[{"family":"Doll","given":"Richard"},{"family":"Peto","given":"Richard"},{"family":"Boreham","given":"Jillian"},{"family":"Sutherland","given":"Isabelle"}],"issued":{"date-parts":[["2004",6,24]]}}},{"id":127,"uris":["http://zotero.org/users/446899/items/CALEVCNT"],"itemData":{"id":127,"type":"article-journal","container-title":"The Lancet","DOI":"10.1016/S0140-6736(12)61720-6","ISSN":"0140-6736, 1474-547X","issue":"9861","journalAbbreviation":"The Lancet","language":"English","note":"publisher: Elsevier\nPMID: 23107252","page":"133-141","source":"www.thelancet.com","title":"The 21st century hazards of smoking and benefits of stopping: a prospective study of one million women in the UK","title-short":"The 21st century hazards of smoking and benefits of stopping","volume":"381","author":[{"family":"Pirie","given":"Kirstin"},{"family":"Peto","given":"Richard"},{"family":"Reeves","given":"Gillian K."},{"family":"Green","given":"Jane"},{"family":"Beral","given":"Valerie"}],"issued":{"date-parts":[["2013",1,12]]}}}],"schema":"https://github.com/citation-style-language/schema/raw/master/csl-citation.json"} </w:instrText>
      </w:r>
      <w:r w:rsidR="0018084F" w:rsidRPr="00E440E5">
        <w:fldChar w:fldCharType="separate"/>
      </w:r>
      <w:r w:rsidR="00C50867" w:rsidRPr="00C50867">
        <w:rPr>
          <w:rFonts w:ascii="Calibri" w:hAnsi="Calibri" w:cs="Calibri"/>
        </w:rPr>
        <w:t>[42, 43]</w:t>
      </w:r>
      <w:r w:rsidR="0018084F" w:rsidRPr="00E440E5">
        <w:fldChar w:fldCharType="end"/>
      </w:r>
    </w:p>
    <w:p w14:paraId="6BD0F984" w14:textId="0C336B32" w:rsidR="00D614B9" w:rsidRPr="00374F6B" w:rsidRDefault="00850E0C" w:rsidP="00175CCF">
      <w:pPr>
        <w:rPr>
          <w:color w:val="FF0000"/>
        </w:rPr>
      </w:pPr>
      <w:r>
        <w:t xml:space="preserve">Among women who tried to quit smoking, those who were younger – </w:t>
      </w:r>
      <w:r w:rsidR="00D614B9" w:rsidRPr="00632775">
        <w:t xml:space="preserve">especially those in their </w:t>
      </w:r>
      <w:r w:rsidR="00AD3105">
        <w:t>20s</w:t>
      </w:r>
      <w:r w:rsidR="00D614B9" w:rsidRPr="00632775">
        <w:t xml:space="preserve"> and early </w:t>
      </w:r>
      <w:r w:rsidR="00AD3105">
        <w:t>30s</w:t>
      </w:r>
      <w:r>
        <w:t xml:space="preserve"> –</w:t>
      </w:r>
      <w:r w:rsidR="00D614B9" w:rsidRPr="00632775">
        <w:t xml:space="preserve"> tend</w:t>
      </w:r>
      <w:r w:rsidR="00D614B9">
        <w:t>ed</w:t>
      </w:r>
      <w:r w:rsidR="00D614B9" w:rsidRPr="00632775">
        <w:t xml:space="preserve"> to </w:t>
      </w:r>
      <w:r w:rsidR="00111206">
        <w:t>be more successful</w:t>
      </w:r>
      <w:r w:rsidR="00D614B9">
        <w:t xml:space="preserve">. </w:t>
      </w:r>
      <w:r w:rsidR="00036C78">
        <w:t>This may be</w:t>
      </w:r>
      <w:r w:rsidR="00D614B9">
        <w:t xml:space="preserve"> because </w:t>
      </w:r>
      <w:r w:rsidR="00D614B9" w:rsidRPr="00632775">
        <w:t>smoking behavio</w:t>
      </w:r>
      <w:r w:rsidR="00D614B9" w:rsidRPr="00DA6FC5">
        <w:t>u</w:t>
      </w:r>
      <w:r w:rsidR="00D614B9" w:rsidRPr="00632775">
        <w:t>r</w:t>
      </w:r>
      <w:r w:rsidR="00D614B9" w:rsidRPr="00DA6FC5">
        <w:t>s</w:t>
      </w:r>
      <w:r w:rsidR="00D614B9">
        <w:t xml:space="preserve"> are less established</w:t>
      </w:r>
      <w:r w:rsidR="00210EBA">
        <w:t xml:space="preserve"> at younger ages</w:t>
      </w:r>
      <w:r w:rsidR="003E4082">
        <w:t>.</w:t>
      </w:r>
      <w:r w:rsidR="003E4082">
        <w:fldChar w:fldCharType="begin"/>
      </w:r>
      <w:r w:rsidR="00C50867">
        <w:instrText xml:space="preserve"> ADDIN ZOTERO_ITEM CSL_CITATION {"citationID":"0khdM6ek","properties":{"formattedCitation":"[28]","plainCitation":"[28]","noteIndex":0},"citationItems":[{"id":12804,"uris":["http://zotero.org/users/446899/items/LUK2MVWB"],"itemData":{"id":12804,"type":"article-journal","abstract":"Background and Aims Past research has found that young smokers are more likely to make quit attempts; however, there are conflicting findings regarding age and quit success. This study examined the degree to which smoker age is related to making quit attempts and quit success. Design Ten waves of the International Tobacco Control Policy Cohort survey (ITC-4C) collected between 2002 and 2014, with nine wave-to-wave transitions with predictors at the first wave predicting quit attempts and success by the next wave. Setting Canada, the United States, the United Kingdom and Australia. Participants Data from 15 874 smokers categorized into four age groups at baseline (18–24, 25–39, 40–54 and 55+ years). Measurements Age, quit attempts and success (defined as ≥ 30 days abstinence confirmed, if possible, on a third wave for recent attempts). Findings Older smokers were more likely to smoke daily (χ2 = 1557.86, r = 0.136, P &lt; 0.001) than younger smokers. Daily smokers were less likely to report quit attempts (38.1 versus 58.2%) and to achieve 30 days of abstinence (22.9 versus 34.3%) than non-daily smokers. Older daily smokers were less likely to make quit attempts [0.61, confidence interval (CI) = 0.54–0.70, P &lt; 0.001], even after controlling for indicators of nicotine dependence, country, sex, education, income, relationship status and household composition, than younger smokers. Younger smokers (&lt; 25) were more likely to succeed for at least 30 days of abstinence, but only when compared with those aged 40–54 (OR = 0.83, 95% CI = 0.68–0.99). However, when controlling for heaviness of smoking the age effect disappeared. Significant interactions with age were found between age and intention when predicting quit attempts, and age and heaviness of smoking when predicting quit success. Conclusions An international cohort study indicates that young smokers are more likely to attempt to quit and appear to have similar levels of success in abstaining from smoking compared with older smokers when controlling for dependence. Quit success in all ages is most predicted by lower levels of nicotine dependence.","container-title":"Addiction","DOI":"10.1111/add.15454","ISSN":"1360-0443","issue":"9","language":"en","license":"© 2021 Society for the Study of Addiction","note":"_eprint: https://onlinelibrary.wiley.com/doi/pdf/10.1111/add.15454","page":"2509-2520","source":"Wiley Online Library","title":"Age as a predictor of quit attempts and quit success in smoking cessation: findings from the International Tobacco Control Four-Country survey (2002–14)","title-short":"Age as a predictor of quit attempts and quit success in smoking cessation","volume":"116","author":[{"family":"Arancini","given":"Lauren"},{"family":"Borland","given":"Ron"},{"family":"Le Grande","given":"Michael"},{"family":"Mohebbi","given":"Mohammadreza"},{"family":"Dodd","given":"Seetal"},{"family":"Dean","given":"Olivia M."},{"family":"Berk","given":"Michael"},{"family":"McNeill","given":"Ann"},{"family":"Fong","given":"Geoffrey T."},{"family":"Cummings","given":"K. Michael"}],"issued":{"date-parts":[["2021"]]}}}],"schema":"https://github.com/citation-style-language/schema/raw/master/csl-citation.json"} </w:instrText>
      </w:r>
      <w:r w:rsidR="003E4082">
        <w:fldChar w:fldCharType="separate"/>
      </w:r>
      <w:r w:rsidR="00C50867" w:rsidRPr="00C50867">
        <w:rPr>
          <w:rFonts w:ascii="Calibri" w:hAnsi="Calibri" w:cs="Calibri"/>
        </w:rPr>
        <w:t>[28]</w:t>
      </w:r>
      <w:r w:rsidR="003E4082">
        <w:fldChar w:fldCharType="end"/>
      </w:r>
      <w:r w:rsidR="002073EF">
        <w:t xml:space="preserve"> </w:t>
      </w:r>
      <w:r w:rsidR="00C26B51">
        <w:t>Studies show</w:t>
      </w:r>
      <w:r w:rsidR="003C5CBE">
        <w:t xml:space="preserve"> that </w:t>
      </w:r>
      <w:r w:rsidR="0079560F">
        <w:t xml:space="preserve">younger </w:t>
      </w:r>
      <w:r w:rsidR="00F84B46">
        <w:t>people who smoke</w:t>
      </w:r>
      <w:r w:rsidR="00C26B51">
        <w:t xml:space="preserve"> </w:t>
      </w:r>
      <w:r w:rsidR="003C5CBE">
        <w:t>tend to have lower levels of dependence,</w:t>
      </w:r>
      <w:r w:rsidR="00DF47A0">
        <w:fldChar w:fldCharType="begin"/>
      </w:r>
      <w:r w:rsidR="00C50867">
        <w:instrText xml:space="preserve"> ADDIN ZOTERO_ITEM CSL_CITATION {"citationID":"4alslb7p","properties":{"formattedCitation":"[28]","plainCitation":"[28]","noteIndex":0},"citationItems":[{"id":12804,"uris":["http://zotero.org/users/446899/items/LUK2MVWB"],"itemData":{"id":12804,"type":"article-journal","abstract":"Background and Aims Past research has found that young smokers are more likely to make quit attempts; however, there are conflicting findings regarding age and quit success. This study examined the degree to which smoker age is related to making quit attempts and quit success. Design Ten waves of the International Tobacco Control Policy Cohort survey (ITC-4C) collected between 2002 and 2014, with nine wave-to-wave transitions with predictors at the first wave predicting quit attempts and success by the next wave. Setting Canada, the United States, the United Kingdom and Australia. Participants Data from 15 874 smokers categorized into four age groups at baseline (18–24, 25–39, 40–54 and 55+ years). Measurements Age, quit attempts and success (defined as ≥ 30 days abstinence confirmed, if possible, on a third wave for recent attempts). Findings Older smokers were more likely to smoke daily (χ2 = 1557.86, r = 0.136, P &lt; 0.001) than younger smokers. Daily smokers were less likely to report quit attempts (38.1 versus 58.2%) and to achieve 30 days of abstinence (22.9 versus 34.3%) than non-daily smokers. Older daily smokers were less likely to make quit attempts [0.61, confidence interval (CI) = 0.54–0.70, P &lt; 0.001], even after controlling for indicators of nicotine dependence, country, sex, education, income, relationship status and household composition, than younger smokers. Younger smokers (&lt; 25) were more likely to succeed for at least 30 days of abstinence, but only when compared with those aged 40–54 (OR = 0.83, 95% CI = 0.68–0.99). However, when controlling for heaviness of smoking the age effect disappeared. Significant interactions with age were found between age and intention when predicting quit attempts, and age and heaviness of smoking when predicting quit success. Conclusions An international cohort study indicates that young smokers are more likely to attempt to quit and appear to have similar levels of success in abstaining from smoking compared with older smokers when controlling for dependence. Quit success in all ages is most predicted by lower levels of nicotine dependence.","container-title":"Addiction","DOI":"10.1111/add.15454","ISSN":"1360-0443","issue":"9","language":"en","license":"© 2021 Society for the Study of Addiction","note":"_eprint: https://onlinelibrary.wiley.com/doi/pdf/10.1111/add.15454","page":"2509-2520","source":"Wiley Online Library","title":"Age as a predictor of quit attempts and quit success in smoking cessation: findings from the International Tobacco Control Four-Country survey (2002–14)","title-short":"Age as a predictor of quit attempts and quit success in smoking cessation","volume":"116","author":[{"family":"Arancini","given":"Lauren"},{"family":"Borland","given":"Ron"},{"family":"Le Grande","given":"Michael"},{"family":"Mohebbi","given":"Mohammadreza"},{"family":"Dodd","given":"Seetal"},{"family":"Dean","given":"Olivia M."},{"family":"Berk","given":"Michael"},{"family":"McNeill","given":"Ann"},{"family":"Fong","given":"Geoffrey T."},{"family":"Cummings","given":"K. Michael"}],"issued":{"date-parts":[["2021"]]}}}],"schema":"https://github.com/citation-style-language/schema/raw/master/csl-citation.json"} </w:instrText>
      </w:r>
      <w:r w:rsidR="00DF47A0">
        <w:fldChar w:fldCharType="separate"/>
      </w:r>
      <w:r w:rsidR="00C50867" w:rsidRPr="00C50867">
        <w:rPr>
          <w:rFonts w:ascii="Calibri" w:hAnsi="Calibri" w:cs="Calibri"/>
        </w:rPr>
        <w:t>[28]</w:t>
      </w:r>
      <w:r w:rsidR="00DF47A0">
        <w:fldChar w:fldCharType="end"/>
      </w:r>
      <w:r w:rsidR="003C5CBE">
        <w:t xml:space="preserve"> and </w:t>
      </w:r>
      <w:r w:rsidR="00F57320">
        <w:t>across all ages</w:t>
      </w:r>
      <w:r w:rsidR="00C26B51">
        <w:t>,</w:t>
      </w:r>
      <w:r w:rsidR="00F57320">
        <w:t xml:space="preserve"> </w:t>
      </w:r>
      <w:r w:rsidR="00D02851" w:rsidRPr="00D02851">
        <w:t>lower dependence is a strong predictor of quit success</w:t>
      </w:r>
      <w:r w:rsidR="00D60501">
        <w:t>.</w:t>
      </w:r>
      <w:r w:rsidR="00D60501">
        <w:fldChar w:fldCharType="begin"/>
      </w:r>
      <w:r w:rsidR="00C50867">
        <w:instrText xml:space="preserve"> ADDIN ZOTERO_ITEM CSL_CITATION {"citationID":"NI1MiVRo","properties":{"formattedCitation":"[28, 44]","plainCitation":"[28, 44]","noteIndex":0},"citationItems":[{"id":12804,"uris":["http://zotero.org/users/446899/items/LUK2MVWB"],"itemData":{"id":12804,"type":"article-journal","abstract":"Background and Aims Past research has found that young smokers are more likely to make quit attempts; however, there are conflicting findings regarding age and quit success. This study examined the degree to which smoker age is related to making quit attempts and quit success. Design Ten waves of the International Tobacco Control Policy Cohort survey (ITC-4C) collected between 2002 and 2014, with nine wave-to-wave transitions with predictors at the first wave predicting quit attempts and success by the next wave. Setting Canada, the United States, the United Kingdom and Australia. Participants Data from 15 874 smokers categorized into four age groups at baseline (18–24, 25–39, 40–54 and 55+ years). Measurements Age, quit attempts and success (defined as ≥ 30 days abstinence confirmed, if possible, on a third wave for recent attempts). Findings Older smokers were more likely to smoke daily (χ2 = 1557.86, r = 0.136, P &lt; 0.001) than younger smokers. Daily smokers were less likely to report quit attempts (38.1 versus 58.2%) and to achieve 30 days of abstinence (22.9 versus 34.3%) than non-daily smokers. Older daily smokers were less likely to make quit attempts [0.61, confidence interval (CI) = 0.54–0.70, P &lt; 0.001], even after controlling for indicators of nicotine dependence, country, sex, education, income, relationship status and household composition, than younger smokers. Younger smokers (&lt; 25) were more likely to succeed for at least 30 days of abstinence, but only when compared with those aged 40–54 (OR = 0.83, 95% CI = 0.68–0.99). However, when controlling for heaviness of smoking the age effect disappeared. Significant interactions with age were found between age and intention when predicting quit attempts, and age and heaviness of smoking when predicting quit success. Conclusions An international cohort study indicates that young smokers are more likely to attempt to quit and appear to have similar levels of success in abstaining from smoking compared with older smokers when controlling for dependence. Quit success in all ages is most predicted by lower levels of nicotine dependence.","container-title":"Addiction","DOI":"10.1111/add.15454","ISSN":"1360-0443","issue":"9","language":"en","license":"© 2021 Society for the Study of Addiction","note":"_eprint: https://onlinelibrary.wiley.com/doi/pdf/10.1111/add.15454","page":"2509-2520","source":"Wiley Online Library","title":"Age as a predictor of quit attempts and quit success in smoking cessation: findings from the International Tobacco Control Four-Country survey (2002–14)","title-short":"Age as a predictor of quit attempts and quit success in smoking cessation","volume":"116","author":[{"family":"Arancini","given":"Lauren"},{"family":"Borland","given":"Ron"},{"family":"Le Grande","given":"Michael"},{"family":"Mohebbi","given":"Mohammadreza"},{"family":"Dodd","given":"Seetal"},{"family":"Dean","given":"Olivia M."},{"family":"Berk","given":"Michael"},{"family":"McNeill","given":"Ann"},{"family":"Fong","given":"Geoffrey T."},{"family":"Cummings","given":"K. Michael"}],"issued":{"date-parts":[["2021"]]}}},{"id":287,"uris":["http://zotero.org/users/446899/items/B45MUHJF"],"itemData":{"id":287,"type":"article-journal","container-title":"Addiction","DOI":"10.1111/j.1360-0443.2011.03565.x","ISSN":"09652140","issue":"12","language":"en","page":"2110-2121","source":"CrossRef","title":"Predictors of attempts to stop smoking and their success in adult general population samples: a systematic review: Predictors of quit attempts and success","title-short":"Predictors of attempts to stop smoking and their success in adult general population samples","volume":"106","author":[{"family":"Vangeli","given":"Eleni"},{"family":"Stapleton","given":"John"},{"family":"Smit","given":"Eline Suzanne"},{"family":"Borland","given":"Ron"},{"family":"West","given":"Robert"}],"issued":{"date-parts":[["2011",12]]}}}],"schema":"https://github.com/citation-style-language/schema/raw/master/csl-citation.json"} </w:instrText>
      </w:r>
      <w:r w:rsidR="00D60501">
        <w:fldChar w:fldCharType="separate"/>
      </w:r>
      <w:r w:rsidR="00C50867" w:rsidRPr="00C50867">
        <w:rPr>
          <w:rFonts w:ascii="Calibri" w:hAnsi="Calibri" w:cs="Calibri"/>
        </w:rPr>
        <w:t>[28, 44]</w:t>
      </w:r>
      <w:r w:rsidR="00D60501">
        <w:fldChar w:fldCharType="end"/>
      </w:r>
      <w:r w:rsidR="00D60501">
        <w:t xml:space="preserve"> </w:t>
      </w:r>
      <w:r w:rsidR="00D02851">
        <w:t>Additionally, y</w:t>
      </w:r>
      <w:r w:rsidR="00B64218">
        <w:t>ounger</w:t>
      </w:r>
      <w:r w:rsidR="00D614B9" w:rsidRPr="00DA6FC5">
        <w:t xml:space="preserve"> women </w:t>
      </w:r>
      <w:r w:rsidR="002566E9">
        <w:t xml:space="preserve">may be more </w:t>
      </w:r>
      <w:r w:rsidR="00D02851">
        <w:t>influenced by social factors</w:t>
      </w:r>
      <w:r w:rsidR="00D614B9" w:rsidRPr="00DA6FC5">
        <w:t>,</w:t>
      </w:r>
      <w:r w:rsidR="00854D82">
        <w:t xml:space="preserve"> </w:t>
      </w:r>
      <w:r w:rsidR="00A27385" w:rsidRPr="00A27385">
        <w:t>viewing smoking as a way to bond with peers or as a socially normative behaviour</w:t>
      </w:r>
      <w:r w:rsidR="002E21CE">
        <w:t>;</w:t>
      </w:r>
      <w:r w:rsidR="00E12263">
        <w:fldChar w:fldCharType="begin"/>
      </w:r>
      <w:r w:rsidR="00C50867">
        <w:instrText xml:space="preserve"> ADDIN ZOTERO_ITEM CSL_CITATION {"citationID":"MgkKWPcK","properties":{"formattedCitation":"[21]","plainCitation":"[21]","noteIndex":0},"citationItems":[{"id":12717,"uris":["http://zotero.org/users/446899/items/PEBLX72V"],"itemData":{"id":12717,"type":"article-journal","abstract":"This study explored influences on adoption, maintenance and cessation of smoking among young women as they experienced life transitions: leaving home, gaining employment or attending college/university, marriage and parenthood. Standardized, open-ended telephone interviews were conducted with 80 women (including never smokers, continuing smokers, recent adopters and quitters) aged 24–29 years, recruited from participants in the Australian Longitudinal Study on Women's Health. The social context of smoking (socializing with other smokers, drinking alcohol and going to pubs and clubs) was perceived to be a predominant influence on smoking from the time young women left home until they settled into a committed relationship or started their own family. Stress was identified as an important factor as they experienced lifestyle changes. An increased sensitivity to the negative aspects of smoking after turning 21 was reported, and around the mid-20s the women became concerned about the addictive nature of cigarettes. Motherhood was seen to carry increased responsibilities to protect children from passive smoking and there was a perceived importance of positive role modelling to protect children from becoming smokers themselves. This study highlights the need for public health campaigns to address the social role that smoking plays in young women's lives, and the perceived use of cigarettes for stress relief. Life changes such as settling down with a partner and the contemplation of motherhood provide opportunities for targeted interventions to promote quitting.","container-title":"Health Education Research","DOI":"10.1093/her/cyl041","ISSN":"0268-1153","issue":"3","journalAbbreviation":"Health Education Research","page":"428-439","source":"Silverchair","title":"From partying to parenthood: young women's perceptions of cigarette smoking across life transitions","title-short":"From partying to parenthood","volume":"21","author":[{"family":"McDermott","given":"Liane J."},{"family":"Dobson","given":"AJ"},{"family":"Owen","given":"N"}],"issued":{"date-parts":[["2006",7,1]]}}}],"schema":"https://github.com/citation-style-language/schema/raw/master/csl-citation.json"} </w:instrText>
      </w:r>
      <w:r w:rsidR="00E12263">
        <w:fldChar w:fldCharType="separate"/>
      </w:r>
      <w:r w:rsidR="00C50867" w:rsidRPr="00C50867">
        <w:rPr>
          <w:rFonts w:ascii="Calibri" w:hAnsi="Calibri" w:cs="Calibri"/>
        </w:rPr>
        <w:t>[21]</w:t>
      </w:r>
      <w:r w:rsidR="00E12263">
        <w:fldChar w:fldCharType="end"/>
      </w:r>
      <w:r w:rsidR="0070231B">
        <w:t xml:space="preserve"> </w:t>
      </w:r>
      <w:r w:rsidR="00A27385" w:rsidRPr="00A27385">
        <w:t>many identify as ‘social smokers’ and restrict use to specific settings</w:t>
      </w:r>
      <w:r w:rsidR="002E21CE">
        <w:t>.</w:t>
      </w:r>
      <w:r w:rsidR="008E3ED3">
        <w:fldChar w:fldCharType="begin"/>
      </w:r>
      <w:r w:rsidR="00C50867">
        <w:instrText xml:space="preserve"> ADDIN ZOTERO_ITEM CSL_CITATION {"citationID":"MadZ9pAr","properties":{"formattedCitation":"[45]","plainCitation":"[45]","noteIndex":0},"citationItems":[{"id":12807,"uris":["http://zotero.org/users/446899/items/4JDCJVSP"],"itemData":{"id":12807,"type":"article-journal","abstract":"The authors used a social identity perspective to explore young women's perceptions of smoking. They carried out 13 focus groups and 6 intercept interviews with women aged 16 to 28 years in regards to the social identities that might influence young women's smoking behavior. Three identities emerged: the cool smoker applied to the initiation of smoking; considerate smokers, who were older addicted smokers; and the actual and anticipated good mother identity, which applied to young women who quit smoking during pregnancy. These identities add to our understanding of the meaning of smoking within the lives of young women and might allow more focused initiatives with this group to prevent the progression to regular addicted smoking.","container-title":"Qualitative Health Research","DOI":"10.1177/1049732305277844","ISSN":"1049-7323","issue":"10","journalAbbreviation":"Qual Health Res","language":"eng","note":"PMID: 16263916","page":"1345-1359","source":"PubMed","title":"Young women as smokers and nonsmokers: a qualitative social identity approach","title-short":"Young women as smokers and nonsmokers","volume":"15","author":[{"family":"Lennon","given":"Alexia"},{"family":"Gallois","given":"Cindy"},{"family":"Owen","given":"Neville"},{"family":"McDermott","given":"Liane"}],"issued":{"date-parts":[["2005",12]]}}}],"schema":"https://github.com/citation-style-language/schema/raw/master/csl-citation.json"} </w:instrText>
      </w:r>
      <w:r w:rsidR="008E3ED3">
        <w:fldChar w:fldCharType="separate"/>
      </w:r>
      <w:r w:rsidR="00C50867" w:rsidRPr="00C50867">
        <w:rPr>
          <w:rFonts w:ascii="Calibri" w:hAnsi="Calibri" w:cs="Calibri"/>
        </w:rPr>
        <w:t>[45]</w:t>
      </w:r>
      <w:r w:rsidR="008E3ED3">
        <w:fldChar w:fldCharType="end"/>
      </w:r>
      <w:r w:rsidR="00D614B9" w:rsidRPr="00DA6FC5">
        <w:t xml:space="preserve"> </w:t>
      </w:r>
      <w:r w:rsidR="00041F97">
        <w:t xml:space="preserve">When they make the transition from </w:t>
      </w:r>
      <w:r w:rsidR="006F042E">
        <w:t>th</w:t>
      </w:r>
      <w:r w:rsidR="007D0637">
        <w:t xml:space="preserve">is </w:t>
      </w:r>
      <w:r w:rsidR="00041F97">
        <w:t xml:space="preserve">stage of their life </w:t>
      </w:r>
      <w:r w:rsidR="00B36540">
        <w:t xml:space="preserve">to one </w:t>
      </w:r>
      <w:r w:rsidR="00A93903">
        <w:t>that</w:t>
      </w:r>
      <w:r w:rsidR="00B36540">
        <w:t xml:space="preserve"> may be more routine and structured because of employment, family commitments</w:t>
      </w:r>
      <w:r w:rsidR="00594D26">
        <w:t>,</w:t>
      </w:r>
      <w:r w:rsidR="00B36540">
        <w:t xml:space="preserve"> and other commitments</w:t>
      </w:r>
      <w:r w:rsidR="00041F97">
        <w:t xml:space="preserve">, </w:t>
      </w:r>
      <w:r w:rsidR="00B36540">
        <w:t xml:space="preserve">some </w:t>
      </w:r>
      <w:r w:rsidR="00346D46">
        <w:t>women may find it easier to</w:t>
      </w:r>
      <w:r w:rsidR="00041F97">
        <w:t xml:space="preserve"> quit</w:t>
      </w:r>
      <w:r w:rsidR="00D614B9" w:rsidRPr="00DA6FC5">
        <w:t>.</w:t>
      </w:r>
      <w:r w:rsidR="00374F6B">
        <w:fldChar w:fldCharType="begin"/>
      </w:r>
      <w:r w:rsidR="00C50867">
        <w:instrText xml:space="preserve"> ADDIN ZOTERO_ITEM CSL_CITATION {"citationID":"j5nThlZk","properties":{"formattedCitation":"[21, 46, 47]","plainCitation":"[21, 46, 47]","noteIndex":0},"citationItems":[{"id":12717,"uris":["http://zotero.org/users/446899/items/PEBLX72V"],"itemData":{"id":12717,"type":"article-journal","abstract":"This study explored influences on adoption, maintenance and cessation of smoking among young women as they experienced life transitions: leaving home, gaining employment or attending college/university, marriage and parenthood. Standardized, open-ended telephone interviews were conducted with 80 women (including never smokers, continuing smokers, recent adopters and quitters) aged 24–29 years, recruited from participants in the Australian Longitudinal Study on Women's Health. The social context of smoking (socializing with other smokers, drinking alcohol and going to pubs and clubs) was perceived to be a predominant influence on smoking from the time young women left home until they settled into a committed relationship or started their own family. Stress was identified as an important factor as they experienced lifestyle changes. An increased sensitivity to the negative aspects of smoking after turning 21 was reported, and around the mid-20s the women became concerned about the addictive nature of cigarettes. Motherhood was seen to carry increased responsibilities to protect children from passive smoking and there was a perceived importance of positive role modelling to protect children from becoming smokers themselves. This study highlights the need for public health campaigns to address the social role that smoking plays in young women's lives, and the perceived use of cigarettes for stress relief. Life changes such as settling down with a partner and the contemplation of motherhood provide opportunities for targeted interventions to promote quitting.","container-title":"Health Education Research","DOI":"10.1093/her/cyl041","ISSN":"0268-1153","issue":"3","journalAbbreviation":"Health Education Research","page":"428-439","source":"Silverchair","title":"From partying to parenthood: young women's perceptions of cigarette smoking across life transitions","title-short":"From partying to parenthood","volume":"21","author":[{"family":"McDermott","given":"Liane J."},{"family":"Dobson","given":"AJ"},{"family":"Owen","given":"N"}],"issued":{"date-parts":[["2006",7,1]]}}},{"id":12812,"uris":["http://zotero.org/users/446899/items/NMU467RT"],"itemData":{"id":12812,"type":"article-journal","abstract":"We report the first national data on smoking before, during, and after pregnancy. Estimates are based on the 1986 Linked Telephone Survey that reinterviewed 1,550 White women 20-44 years of age who were respondents to the 1985 National Health Interview Survey. An estimated 39 percent of White women who had smoked before pregnancy quit smoking while pregnant (27 percent when they found out they were pregnant and 12 percent later during pregnancy). Women with less than 12 years of education were five times as likely to smoke and one-fourth as likely to quit as those with 16 or more years of education. Women who smoked more than one pack of cigarettes per day before pregnancy were one-fifth as likely to quit as those smoking less. Of the women who quit, 70 percent resumed smoking within one year of delivery. Of those who relapsed, 67 percent resumed smoking within three months of delivery and 93 percent within six months. There is little evidence of educational differentials in relapse rates. The fact that relapse remains high suggests that while health of the fetus is a strong influence on women's smoking habits, women may be less aware of the effect of passive smoke on the infant.","container-title":"American Journal of Public Health","DOI":"10.2105/AJPH.80.5.541","ISSN":"0090-0036","issue":"5","journalAbbreviation":"Am J Public Health","note":"publisher: American Public Health Association","page":"541-544","source":"ajph.aphapublications.org (Atypon)","title":"Smoking before, during, and after pregnancy.","volume":"80","author":[{"family":"Fingerhut","given":"L A"},{"family":"Kleinman","given":"J C"},{"family":"Kendrick","given":"J S"}],"issued":{"date-parts":[["1990",5]]}}},{"id":12814,"uris":["http://zotero.org/users/446899/items/9JRZJ48G"],"itemData":{"id":12814,"type":"article-journal","abstract":"Issues. Second-hand smoke presents a health risk for a large group of entirely helpless nonsmokers: unborn children. Reliable data on women continuing to smoke during pregnancy are essential for effective preventive and interventional programs. The aim of this review is therefore to identify this risk group compared with spontaneous quitters of smoking. Approach. This systematic literature review is based solely on empirical original papers derived from samples of pregnant women smoking at the beginning of pregnancy. In accordance with the QUOROM Statement all population or clinic-based samples were included. Collectives from intervention studies were not included. All studies were from developed nations and published between January 1997 and March 2008. Key Findings. A total of 19 studies were identified. The rate of quitters was between 4.0% and 69.7% for population-based studies, and 26.5% and 47.0% for clinic-based studies. A smoking partner, a large number of children, a high rate of tobacco consumption, as well as deficiencies in prenatal care were predictors of smoking during pregnancy. Implications. This study identifies risk factors and correlates and indicates common obstacles for women to quit smoking during pregnancy. Conclusion. The risk groups that can be defined based on our results are a key target population for preventive measures.[Schneider S, Huy C, Schütz J, Diehl K. Smoking cessation during pregnancy: A systematic literature review. Drug Alcohol Rev 2009]","container-title":"Drug and Alcohol Review","DOI":"10.1111/j.1465-3362.2009.00098.x","ISSN":"1465-3362","issue":"1","language":"en","license":"© 2009 Australasian Professional Society on Alcohol and other Drugs","note":"_eprint: https://onlinelibrary.wiley.com/doi/pdf/10.1111/j.1465-3362.2009.00098.x","page":"81-90","source":"Wiley Online Library","title":"Smoking cessation during pregnancy: A systematic literature review","title-short":"Smoking cessation during pregnancy","volume":"29","author":[{"family":"Schneider","given":"Sven"},{"family":"Huy","given":"Christina"},{"family":"Schütz","given":"Jessica"},{"family":"Diehl","given":"Katharina"}],"issued":{"date-parts":[["2010"]]}}}],"schema":"https://github.com/citation-style-language/schema/raw/master/csl-citation.json"} </w:instrText>
      </w:r>
      <w:r w:rsidR="00374F6B">
        <w:fldChar w:fldCharType="separate"/>
      </w:r>
      <w:r w:rsidR="00C50867" w:rsidRPr="00C50867">
        <w:rPr>
          <w:rFonts w:ascii="Calibri" w:hAnsi="Calibri" w:cs="Calibri"/>
        </w:rPr>
        <w:t>[21, 46, 47]</w:t>
      </w:r>
      <w:r w:rsidR="00374F6B">
        <w:fldChar w:fldCharType="end"/>
      </w:r>
      <w:r w:rsidR="00D614B9" w:rsidRPr="00DA6FC5">
        <w:t xml:space="preserve"> </w:t>
      </w:r>
      <w:r w:rsidR="00D614B9" w:rsidRPr="00632775">
        <w:t xml:space="preserve">In contrast, older women, particularly those in their mid-40s to early 60s, experience </w:t>
      </w:r>
      <w:r w:rsidR="00340969">
        <w:t>less success in quitting</w:t>
      </w:r>
      <w:r w:rsidR="00D614B9" w:rsidRPr="00632775">
        <w:t xml:space="preserve">. This difference may partly </w:t>
      </w:r>
      <w:r w:rsidR="00D614B9" w:rsidRPr="00DA6FC5">
        <w:t>stem from</w:t>
      </w:r>
      <w:r w:rsidR="00D614B9" w:rsidRPr="00632775">
        <w:t xml:space="preserve"> self-selection</w:t>
      </w:r>
      <w:r w:rsidR="003A64D7">
        <w:t xml:space="preserve">: </w:t>
      </w:r>
      <w:r w:rsidR="003A64D7" w:rsidRPr="003A64D7">
        <w:t>women who quit earlier in life are no longer represented in older age groups</w:t>
      </w:r>
      <w:r w:rsidR="00D614B9" w:rsidRPr="00632775">
        <w:t xml:space="preserve">, leaving behind a </w:t>
      </w:r>
      <w:r w:rsidR="0042306B">
        <w:t>cohort</w:t>
      </w:r>
      <w:r w:rsidR="00D614B9" w:rsidRPr="00632775">
        <w:t xml:space="preserve"> of older </w:t>
      </w:r>
      <w:r w:rsidR="008B42FE">
        <w:t>women</w:t>
      </w:r>
      <w:r w:rsidR="002E2EEB">
        <w:t xml:space="preserve"> who smoke</w:t>
      </w:r>
      <w:r w:rsidR="00D614B9" w:rsidRPr="00632775">
        <w:t xml:space="preserve"> </w:t>
      </w:r>
      <w:r w:rsidR="00C31271">
        <w:t>who have</w:t>
      </w:r>
      <w:r w:rsidR="0042306B" w:rsidRPr="0042306B">
        <w:t xml:space="preserve"> longer smoking histories and higher dependence</w:t>
      </w:r>
      <w:r w:rsidR="00D614B9" w:rsidRPr="00632775">
        <w:t>.</w:t>
      </w:r>
      <w:r w:rsidR="004B4678">
        <w:fldChar w:fldCharType="begin"/>
      </w:r>
      <w:r w:rsidR="00C50867">
        <w:instrText xml:space="preserve"> ADDIN ZOTERO_ITEM CSL_CITATION {"citationID":"gpYsrzAY","properties":{"formattedCitation":"[28]","plainCitation":"[28]","noteIndex":0},"citationItems":[{"id":12804,"uris":["http://zotero.org/users/446899/items/LUK2MVWB"],"itemData":{"id":12804,"type":"article-journal","abstract":"Background and Aims Past research has found that young smokers are more likely to make quit attempts; however, there are conflicting findings regarding age and quit success. This study examined the degree to which smoker age is related to making quit attempts and quit success. Design Ten waves of the International Tobacco Control Policy Cohort survey (ITC-4C) collected between 2002 and 2014, with nine wave-to-wave transitions with predictors at the first wave predicting quit attempts and success by the next wave. Setting Canada, the United States, the United Kingdom and Australia. Participants Data from 15 874 smokers categorized into four age groups at baseline (18–24, 25–39, 40–54 and 55+ years). Measurements Age, quit attempts and success (defined as ≥ 30 days abstinence confirmed, if possible, on a third wave for recent attempts). Findings Older smokers were more likely to smoke daily (χ2 = 1557.86, r = 0.136, P &lt; 0.001) than younger smokers. Daily smokers were less likely to report quit attempts (38.1 versus 58.2%) and to achieve 30 days of abstinence (22.9 versus 34.3%) than non-daily smokers. Older daily smokers were less likely to make quit attempts [0.61, confidence interval (CI) = 0.54–0.70, P &lt; 0.001], even after controlling for indicators of nicotine dependence, country, sex, education, income, relationship status and household composition, than younger smokers. Younger smokers (&lt; 25) were more likely to succeed for at least 30 days of abstinence, but only when compared with those aged 40–54 (OR = 0.83, 95% CI = 0.68–0.99). However, when controlling for heaviness of smoking the age effect disappeared. Significant interactions with age were found between age and intention when predicting quit attempts, and age and heaviness of smoking when predicting quit success. Conclusions An international cohort study indicates that young smokers are more likely to attempt to quit and appear to have similar levels of success in abstaining from smoking compared with older smokers when controlling for dependence. Quit success in all ages is most predicted by lower levels of nicotine dependence.","container-title":"Addiction","DOI":"10.1111/add.15454","ISSN":"1360-0443","issue":"9","language":"en","license":"© 2021 Society for the Study of Addiction","note":"_eprint: https://onlinelibrary.wiley.com/doi/pdf/10.1111/add.15454","page":"2509-2520","source":"Wiley Online Library","title":"Age as a predictor of quit attempts and quit success in smoking cessation: findings from the International Tobacco Control Four-Country survey (2002–14)","title-short":"Age as a predictor of quit attempts and quit success in smoking cessation","volume":"116","author":[{"family":"Arancini","given":"Lauren"},{"family":"Borland","given":"Ron"},{"family":"Le Grande","given":"Michael"},{"family":"Mohebbi","given":"Mohammadreza"},{"family":"Dodd","given":"Seetal"},{"family":"Dean","given":"Olivia M."},{"family":"Berk","given":"Michael"},{"family":"McNeill","given":"Ann"},{"family":"Fong","given":"Geoffrey T."},{"family":"Cummings","given":"K. Michael"}],"issued":{"date-parts":[["2021"]]}}}],"schema":"https://github.com/citation-style-language/schema/raw/master/csl-citation.json"} </w:instrText>
      </w:r>
      <w:r w:rsidR="004B4678">
        <w:fldChar w:fldCharType="separate"/>
      </w:r>
      <w:r w:rsidR="00C50867" w:rsidRPr="00C50867">
        <w:rPr>
          <w:rFonts w:ascii="Calibri" w:hAnsi="Calibri" w:cs="Calibri"/>
        </w:rPr>
        <w:t>[28]</w:t>
      </w:r>
      <w:r w:rsidR="004B4678">
        <w:fldChar w:fldCharType="end"/>
      </w:r>
      <w:r w:rsidR="008D74E6">
        <w:t xml:space="preserve"> It is also possible that women </w:t>
      </w:r>
      <w:r w:rsidR="00574997">
        <w:t>experiencing</w:t>
      </w:r>
      <w:r w:rsidR="008B300C">
        <w:t xml:space="preserve"> perimenop</w:t>
      </w:r>
      <w:r w:rsidR="00574997">
        <w:t>ausal</w:t>
      </w:r>
      <w:r w:rsidR="008B300C">
        <w:t xml:space="preserve"> and menopaus</w:t>
      </w:r>
      <w:r w:rsidR="00574997">
        <w:t>al symptoms</w:t>
      </w:r>
      <w:r w:rsidR="00574997" w:rsidRPr="00B710A4">
        <w:rPr>
          <w:highlight w:val="yellow"/>
        </w:rPr>
        <w:fldChar w:fldCharType="begin"/>
      </w:r>
      <w:r w:rsidR="00C50867">
        <w:rPr>
          <w:highlight w:val="yellow"/>
        </w:rPr>
        <w:instrText xml:space="preserve"> ADDIN ZOTERO_ITEM CSL_CITATION {"citationID":"1FPOc2j3","properties":{"formattedCitation":"[48]","plainCitation":"[48]","noteIndex":0},"citationItems":[{"id":12827,"uris":["http://zotero.org/users/446899/items/WIRKBLPD"],"itemData":{"id":12827,"type":"article-journal","abstract":"Numerous symptoms can be attributed to the lack of oestrogen at the time of the menopause. Some of the mechanisms for this are still unclear. However, while there is substantial evidence that many of the symptoms that women encounter during the menopausal period can be directly attributed to oestrogen deficiency, others are less well supported. An up-to-date review of the literature is provided.","collection-title":"Menopause and Menopause Transition","container-title":"Best Practice &amp; Research Clinical Obstetrics &amp; Gynaecology","DOI":"10.1016/j.bpobgyn.2008.10.002","ISSN":"1521-6934","issue":"1","journalAbbreviation":"Best Practice &amp; Research Clinical Obstetrics &amp; Gynaecology","page":"25-32","source":"ScienceDirect","title":"Symptoms of the menopause","volume":"23","author":[{"family":"Bruce","given":"Deborah"},{"family":"Rymer","given":"Janice"}],"issued":{"date-parts":[["2009",2,1]]}}}],"schema":"https://github.com/citation-style-language/schema/raw/master/csl-citation.json"} </w:instrText>
      </w:r>
      <w:r w:rsidR="00574997" w:rsidRPr="00B710A4">
        <w:rPr>
          <w:highlight w:val="yellow"/>
        </w:rPr>
        <w:fldChar w:fldCharType="separate"/>
      </w:r>
      <w:r w:rsidR="00C50867" w:rsidRPr="00C50867">
        <w:rPr>
          <w:rFonts w:ascii="Calibri" w:hAnsi="Calibri" w:cs="Calibri"/>
        </w:rPr>
        <w:t>[48]</w:t>
      </w:r>
      <w:r w:rsidR="00574997" w:rsidRPr="00B710A4">
        <w:rPr>
          <w:highlight w:val="yellow"/>
        </w:rPr>
        <w:fldChar w:fldCharType="end"/>
      </w:r>
      <w:r w:rsidR="008D74E6">
        <w:t xml:space="preserve"> may</w:t>
      </w:r>
      <w:r w:rsidR="00E434FB">
        <w:t xml:space="preserve"> be less likely to initiate a quit attempt and may</w:t>
      </w:r>
      <w:r w:rsidR="008D74E6">
        <w:t xml:space="preserve"> find it more difficult to quit</w:t>
      </w:r>
      <w:r w:rsidR="002F0537">
        <w:t>.</w:t>
      </w:r>
      <w:r w:rsidR="00336A54">
        <w:fldChar w:fldCharType="begin"/>
      </w:r>
      <w:r w:rsidR="00C50867">
        <w:instrText xml:space="preserve"> ADDIN ZOTERO_ITEM CSL_CITATION {"citationID":"wAfLc2Zv","properties":{"formattedCitation":"[49]","plainCitation":"[49]","noteIndex":0},"citationItems":[{"id":13493,"uris":["http://zotero.org/users/446899/items/2I2W79RR"],"itemData":{"id":13493,"type":"article-journal","abstract":"A substantial portion of smokers are peri- or postmenopausal women. Cigarette smoking and menopause have overlapping negative health consequences and may act synergistically to contribute to worse health outcomes in this population. Little is known about issues specific to peri- and postmenopausal women attempting to quit smoking; however, it can be hypothesized that they face unique challenges in quitting smoking. Particularly, negative affect and vasomotor menopausal symptoms may make smoking cessation particularly challenging in this group of women. Peri- and postmenopausal women are also more prone to weight gain following smoking cessation, and concerns about postcessation weight gain may contribute to reduced motivation to quit smoking or to relapse to smoking. Recent evidence suggests that estrogen level may be positively associated with nicotine reward, which may aid in the smoking cessation efforts of postmenopausal women while possibly contributing to worse outcomes in perimenopausal women. Unfortunately, no known studies have compared premenopausal women with peri- or postmenopausal women on smoking cessation outcome variables. Studies in postmenopausal women indicate that hormone therapy (HT) use does not affect nicotine withdrawal, smoking cessation outcomes, or weight gain following smoking cessation; however, a lack of randomized trials limits the strength of these conclusions. Evidence of the effects of HT on mood following smoking cessation is conflicting. Further research is needed to identify the unique factors influencing smoking cessation in peri- and postmenopausal women and to develop and test interventions that target these variables in a way that improves cessation rates among this population.","container-title":"Experimental and Clinical Psychopharmacology","DOI":"10.1037/a0023119","ISSN":"1936-2293","issue":"3","journalAbbreviation":"Exp Clin Psychopharmacol","language":"eng","note":"PMID: 21480728","page":"192-202","source":"PubMed","title":"Smoking cessation in peri- and postmenopausal women: a review","title-short":"Smoking cessation in peri- and postmenopausal women","volume":"19","author":[{"family":"McVay","given":"Megan A."},{"family":"Copeland","given":"Amy L."}],"issued":{"date-parts":[["2011",6]]}}}],"schema":"https://github.com/citation-style-language/schema/raw/master/csl-citation.json"} </w:instrText>
      </w:r>
      <w:r w:rsidR="00336A54">
        <w:fldChar w:fldCharType="separate"/>
      </w:r>
      <w:r w:rsidR="00C50867" w:rsidRPr="00C50867">
        <w:rPr>
          <w:rFonts w:ascii="Calibri" w:hAnsi="Calibri" w:cs="Calibri"/>
        </w:rPr>
        <w:t>[49]</w:t>
      </w:r>
      <w:r w:rsidR="00336A54">
        <w:fldChar w:fldCharType="end"/>
      </w:r>
      <w:r w:rsidR="00B36540">
        <w:t xml:space="preserve"> </w:t>
      </w:r>
      <w:r w:rsidR="002F0537">
        <w:t>T</w:t>
      </w:r>
      <w:r w:rsidR="00B36540">
        <w:t>here could be biological explanations for this</w:t>
      </w:r>
      <w:r w:rsidR="00907287">
        <w:t>,</w:t>
      </w:r>
      <w:r w:rsidR="002F0537">
        <w:t xml:space="preserve"> and/</w:t>
      </w:r>
      <w:r w:rsidR="00B36540">
        <w:t>or social reasons such as a greater number of life and work commitments which mean quitting is not prioritised</w:t>
      </w:r>
      <w:r w:rsidR="008D74E6">
        <w:t>.</w:t>
      </w:r>
    </w:p>
    <w:p w14:paraId="6DE98EEE" w14:textId="16F0D87F" w:rsidR="00D04337" w:rsidRDefault="00331922" w:rsidP="00D614B9">
      <w:r w:rsidRPr="00331922">
        <w:t>Notably, age patterns differed by socioeconomic position</w:t>
      </w:r>
      <w:r w:rsidR="00876FA3">
        <w:t>. W</w:t>
      </w:r>
      <w:r w:rsidRPr="00331922">
        <w:t xml:space="preserve">hile smoking declined steadily with age among more advantaged women, it followed a curvilinear pattern among less advantaged women, peaking </w:t>
      </w:r>
      <w:r w:rsidR="00CF235B">
        <w:t>in the early 40s</w:t>
      </w:r>
      <w:r w:rsidRPr="00331922">
        <w:t xml:space="preserve">. As a result, smoking prevalence was </w:t>
      </w:r>
      <w:r w:rsidR="00A038C7">
        <w:t>more than</w:t>
      </w:r>
      <w:r w:rsidRPr="00331922">
        <w:t xml:space="preserve"> twice as high among less advantaged than more advantaged women between the ages of 35 and 64, highlighting mid-life as a period of particularly marked inequality.</w:t>
      </w:r>
      <w:r w:rsidR="00195F4A">
        <w:t xml:space="preserve"> </w:t>
      </w:r>
      <w:r w:rsidR="00E53783">
        <w:t>A similar pattern was observed among men</w:t>
      </w:r>
      <w:r w:rsidR="008866E6">
        <w:t xml:space="preserve">. </w:t>
      </w:r>
      <w:r w:rsidR="00F12ADB" w:rsidRPr="00F12ADB">
        <w:t xml:space="preserve">These </w:t>
      </w:r>
      <w:r w:rsidR="00F12ADB" w:rsidRPr="00F12ADB">
        <w:lastRenderedPageBreak/>
        <w:t xml:space="preserve">disparities may reflect the </w:t>
      </w:r>
      <w:r w:rsidR="00350473" w:rsidRPr="00350473">
        <w:t xml:space="preserve">cumulative burden of </w:t>
      </w:r>
      <w:r w:rsidR="00A34521">
        <w:t xml:space="preserve">greater life </w:t>
      </w:r>
      <w:r w:rsidR="00350473" w:rsidRPr="00350473">
        <w:t>stress</w:t>
      </w:r>
      <w:r w:rsidR="00A34521">
        <w:t>es</w:t>
      </w:r>
      <w:r w:rsidR="00350473" w:rsidRPr="00350473">
        <w:t xml:space="preserve">, </w:t>
      </w:r>
      <w:r w:rsidR="00A34521">
        <w:t xml:space="preserve">more physically </w:t>
      </w:r>
      <w:r w:rsidR="00350473" w:rsidRPr="00350473">
        <w:t>demanding work and caregiving roles</w:t>
      </w:r>
      <w:r w:rsidR="00533B8C">
        <w:t xml:space="preserve"> (including, for many, the ‘double burden’ o</w:t>
      </w:r>
      <w:r w:rsidR="000A4951">
        <w:t>f caring for still dependent children and also ageing parents)</w:t>
      </w:r>
      <w:r w:rsidR="00350473" w:rsidRPr="00350473">
        <w:t xml:space="preserve">, </w:t>
      </w:r>
      <w:r w:rsidR="00A34521">
        <w:t xml:space="preserve">greater tacit approval toward smoking within their social network, </w:t>
      </w:r>
      <w:r w:rsidR="00350473" w:rsidRPr="00350473">
        <w:t>and limited access to tailored cessation support</w:t>
      </w:r>
      <w:r w:rsidR="00350473">
        <w:t xml:space="preserve"> </w:t>
      </w:r>
      <w:r w:rsidR="005C108B">
        <w:t xml:space="preserve">– factors that disproportionately affect </w:t>
      </w:r>
      <w:r w:rsidR="008866E6">
        <w:t xml:space="preserve">people </w:t>
      </w:r>
      <w:r w:rsidR="005C108B">
        <w:t>with fewer resources</w:t>
      </w:r>
      <w:r w:rsidR="00F12ADB" w:rsidRPr="00F12ADB">
        <w:t>.</w:t>
      </w:r>
      <w:r w:rsidR="00897084">
        <w:fldChar w:fldCharType="begin"/>
      </w:r>
      <w:r w:rsidR="00C50867">
        <w:instrText xml:space="preserve"> ADDIN ZOTERO_ITEM CSL_CITATION {"citationID":"CmW9BI1Y","properties":{"formattedCitation":"[50]","plainCitation":"[50]","noteIndex":0},"citationItems":[{"id":12832,"uris":["http://zotero.org/users/446899/items/Q26W9EZE"],"itemData":{"id":12832,"type":"article-journal","collection-title":"Women and Smoking: An Interdisciplinary Examination of Socioeconomic Influences","container-title":"Drug and Alcohol Dependence","DOI":"10.1016/j.drugalcdep.2009.02.009","ISSN":"0376-8716","journalAbbreviation":"Drug and Alcohol Dependence","page":"S11-S16","source":"ScienceDirect","title":"Women and smoking: Understanding socioeconomic influences","title-short":"Women and smoking","volume":"104","author":[{"family":"Graham","given":"Hilary"}],"issued":{"date-parts":[["2009",10,1]]}}}],"schema":"https://github.com/citation-style-language/schema/raw/master/csl-citation.json"} </w:instrText>
      </w:r>
      <w:r w:rsidR="00897084">
        <w:fldChar w:fldCharType="separate"/>
      </w:r>
      <w:r w:rsidR="00C50867" w:rsidRPr="00C50867">
        <w:rPr>
          <w:rFonts w:ascii="Calibri" w:hAnsi="Calibri" w:cs="Calibri"/>
        </w:rPr>
        <w:t>[50]</w:t>
      </w:r>
      <w:r w:rsidR="00897084">
        <w:fldChar w:fldCharType="end"/>
      </w:r>
      <w:r w:rsidR="005C108B">
        <w:t xml:space="preserve"> </w:t>
      </w:r>
      <w:r w:rsidR="00A34521">
        <w:t>For many, living within an environment where</w:t>
      </w:r>
      <w:r w:rsidR="00A34521" w:rsidRPr="00B00592">
        <w:t xml:space="preserve"> </w:t>
      </w:r>
      <w:r w:rsidR="00A34521">
        <w:t>smoking is culturally and socially acceptable</w:t>
      </w:r>
      <w:r w:rsidR="00B00592" w:rsidRPr="00B00592">
        <w:t xml:space="preserve"> </w:t>
      </w:r>
      <w:r w:rsidR="00475277" w:rsidRPr="00475277">
        <w:t xml:space="preserve">and even </w:t>
      </w:r>
      <w:r w:rsidR="003943C7">
        <w:t xml:space="preserve">an </w:t>
      </w:r>
      <w:r w:rsidR="00475277" w:rsidRPr="00475277">
        <w:t>expected coping strategy,</w:t>
      </w:r>
      <w:r w:rsidR="00A34521">
        <w:t xml:space="preserve"> means that quit attempts are harder to access and undermined, </w:t>
      </w:r>
      <w:r w:rsidR="00475277" w:rsidRPr="00475277">
        <w:t>particularly in the absence of viable alternatives</w:t>
      </w:r>
      <w:r w:rsidR="00A34521">
        <w:t xml:space="preserve"> to deal with stress</w:t>
      </w:r>
      <w:r w:rsidR="00B00592" w:rsidRPr="00B00592">
        <w:t>.</w:t>
      </w:r>
      <w:r w:rsidR="00992C9A">
        <w:fldChar w:fldCharType="begin"/>
      </w:r>
      <w:r w:rsidR="00C50867">
        <w:instrText xml:space="preserve"> ADDIN ZOTERO_ITEM CSL_CITATION {"citationID":"Syg4MVC4","properties":{"formattedCitation":"[30, 51]","plainCitation":"[30, 51]","noteIndex":0},"citationItems":[{"id":351,"uris":["http://zotero.org/users/446899/items/DPH3UIQR"],"itemData":{"id":351,"type":"article-journal","abstract":"Smoking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Sciences","DOI":"10.1111/j.1749-6632.2011.06202.x","ISSN":"1749-6632","journalAbbreviation":"Ann. N. Y. Acad. Sci.","language":"eng","note":"PMID: 22092035","page":"107-123","source":"PubMed","title":"Socioeconomic status and smoking: a review","title-short":"Socioeconomic status and smoking","volume":"1248","author":[{"family":"Hiscock","given":"Rosemary"},{"family":"Bauld","given":"Linda"},{"family":"Amos","given":"Amanda"},{"family":"Fidler","given":"Jennifer A."},{"family":"Munafò","given":"Marcus"}],"issued":{"date-parts":[["2012",2]]}}},{"id":26,"uris":["http://zotero.org/users/446899/items/BK95426N"],"itemData":{"id":26,"type":"article-journal","abstract":"Smoking in high-income countries is now concentrated in poor communities whose relatively high smoking prevalence is explained by greater uptake but above all by lower quit rates. Whilst a number of barriers to smoking cessation have been identified, this is the first paper to situate cessation itself as a classed and cultural practice. Drawing on ethnographic research carried out in a working-class community in the North of England between 2012 and 2015, I theorise smoking cessation as a symbolic practice in relation to the affective experience of class and social mobility. I show that ambivalence about upward mobility as separation and loss translated into ambivalence about smoking cessation. The reason for this was that the social gradient in smoking operated dynamically at the level of the individual life course, i.e. smoking cessation followed upward mobility. A serious health problem was an appropriate reason to quit but older women continued to smoke despite serious health problems. This was linked to historical gender roles leading to women placing a low priority on their own health as well as the intergenerational reproduction of smoking through close affective links with smoking parents.","container-title":"Sociology of Health &amp; Illness","DOI":"10.1111/1467-9566.13039","ISSN":"1467-9566","issue":"3","language":"en","license":"© 2019 The Author. Sociology of Health &amp; Illness published by John Wiley &amp; Sons Ltd on behalf of Foundation for SHIL.","note":"_eprint: https://onlinelibrary.wiley.com/doi/pdf/10.1111/1467-9566.13039","page":"565-578","source":"Wiley Online Library","title":"Explaining the social gradient in smoking and cessation: the peril and promise of social mobility","title-short":"Explaining the social gradient in smoking and cessation","volume":"42","author":[{"family":"Thirlway","given":"Frances"}],"issued":{"date-parts":[["2020"]]}}}],"schema":"https://github.com/citation-style-language/schema/raw/master/csl-citation.json"} </w:instrText>
      </w:r>
      <w:r w:rsidR="00992C9A">
        <w:fldChar w:fldCharType="separate"/>
      </w:r>
      <w:r w:rsidR="00C50867" w:rsidRPr="00C50867">
        <w:rPr>
          <w:rFonts w:ascii="Calibri" w:hAnsi="Calibri" w:cs="Calibri"/>
        </w:rPr>
        <w:t>[30, 51]</w:t>
      </w:r>
      <w:r w:rsidR="00992C9A">
        <w:fldChar w:fldCharType="end"/>
      </w:r>
      <w:r w:rsidR="00475277">
        <w:t xml:space="preserve"> </w:t>
      </w:r>
      <w:r w:rsidR="005E1D35">
        <w:t>As smoking as a stress response is a learn</w:t>
      </w:r>
      <w:r w:rsidR="00F42AF1">
        <w:t>ed</w:t>
      </w:r>
      <w:r w:rsidR="005E1D35">
        <w:t xml:space="preserve"> behaviour,</w:t>
      </w:r>
      <w:r w:rsidR="00457215">
        <w:fldChar w:fldCharType="begin"/>
      </w:r>
      <w:r w:rsidR="00C50867">
        <w:instrText xml:space="preserve"> ADDIN ZOTERO_ITEM CSL_CITATION {"citationID":"ZUKIfoNP","properties":{"formattedCitation":"[52]","plainCitation":"[52]","noteIndex":0},"citationItems":[{"id":4178,"uris":["http://zotero.org/users/446899/items/7STSDQ5F"],"itemData":{"id":4178,"type":"article-journal","container-title":"American Psychologist","issue":"10","page":"817","source":"Google Scholar","title":"Does cigarette smoking cause stress?","volume":"54","author":[{"family":"Parrott","given":"Andy C."}],"issued":{"date-parts":[["1999"]]}}}],"schema":"https://github.com/citation-style-language/schema/raw/master/csl-citation.json"} </w:instrText>
      </w:r>
      <w:r w:rsidR="00457215">
        <w:fldChar w:fldCharType="separate"/>
      </w:r>
      <w:r w:rsidR="00C50867" w:rsidRPr="00C50867">
        <w:rPr>
          <w:rFonts w:ascii="Calibri" w:hAnsi="Calibri" w:cs="Calibri"/>
        </w:rPr>
        <w:t>[52]</w:t>
      </w:r>
      <w:r w:rsidR="00457215">
        <w:fldChar w:fldCharType="end"/>
      </w:r>
      <w:r w:rsidR="005E1D35">
        <w:t xml:space="preserve"> the association of the act of smoking with a</w:t>
      </w:r>
      <w:r w:rsidR="00457215">
        <w:t xml:space="preserve"> perceived</w:t>
      </w:r>
      <w:r w:rsidR="005E1D35">
        <w:t xml:space="preserve"> reduction in stress will </w:t>
      </w:r>
      <w:r w:rsidR="0058462D">
        <w:t xml:space="preserve">likely </w:t>
      </w:r>
      <w:r w:rsidR="005E1D35">
        <w:t>b</w:t>
      </w:r>
      <w:r w:rsidR="0058462D">
        <w:t xml:space="preserve">ecome stronger and more embedded as it is continually reinforced with ageing. </w:t>
      </w:r>
      <w:r w:rsidR="00C753A4">
        <w:t>Moreover, o</w:t>
      </w:r>
      <w:r w:rsidR="007376CD">
        <w:t>lder women</w:t>
      </w:r>
      <w:r w:rsidR="00584D68">
        <w:t xml:space="preserve"> from less advantaged backgrounds</w:t>
      </w:r>
      <w:r w:rsidR="007376CD">
        <w:t xml:space="preserve"> </w:t>
      </w:r>
      <w:r w:rsidR="0050604B">
        <w:t xml:space="preserve">may </w:t>
      </w:r>
      <w:r w:rsidR="007376CD">
        <w:t xml:space="preserve">also place a low priority on their own health, which </w:t>
      </w:r>
      <w:r w:rsidR="00484275">
        <w:t xml:space="preserve">can </w:t>
      </w:r>
      <w:r w:rsidR="001D4293">
        <w:t>lead them to continue smoking e</w:t>
      </w:r>
      <w:r w:rsidR="00484275">
        <w:t xml:space="preserve">ven </w:t>
      </w:r>
      <w:r w:rsidR="001D4293">
        <w:t>in the face of</w:t>
      </w:r>
      <w:r w:rsidR="00484275">
        <w:t xml:space="preserve"> serious health problems.</w:t>
      </w:r>
      <w:r w:rsidR="00484275">
        <w:fldChar w:fldCharType="begin"/>
      </w:r>
      <w:r w:rsidR="00C50867">
        <w:instrText xml:space="preserve"> ADDIN ZOTERO_ITEM CSL_CITATION {"citationID":"X3AJoOlI","properties":{"formattedCitation":"[51]","plainCitation":"[51]","noteIndex":0},"citationItems":[{"id":26,"uris":["http://zotero.org/users/446899/items/BK95426N"],"itemData":{"id":26,"type":"article-journal","abstract":"Smoking in high-income countries is now concentrated in poor communities whose relatively high smoking prevalence is explained by greater uptake but above all by lower quit rates. Whilst a number of barriers to smoking cessation have been identified, this is the first paper to situate cessation itself as a classed and cultural practice. Drawing on ethnographic research carried out in a working-class community in the North of England between 2012 and 2015, I theorise smoking cessation as a symbolic practice in relation to the affective experience of class and social mobility. I show that ambivalence about upward mobility as separation and loss translated into ambivalence about smoking cessation. The reason for this was that the social gradient in smoking operated dynamically at the level of the individual life course, i.e. smoking cessation followed upward mobility. A serious health problem was an appropriate reason to quit but older women continued to smoke despite serious health problems. This was linked to historical gender roles leading to women placing a low priority on their own health as well as the intergenerational reproduction of smoking through close affective links with smoking parents.","container-title":"Sociology of Health &amp; Illness","DOI":"10.1111/1467-9566.13039","ISSN":"1467-9566","issue":"3","language":"en","license":"© 2019 The Author. Sociology of Health &amp; Illness published by John Wiley &amp; Sons Ltd on behalf of Foundation for SHIL.","note":"_eprint: https://onlinelibrary.wiley.com/doi/pdf/10.1111/1467-9566.13039","page":"565-578","source":"Wiley Online Library","title":"Explaining the social gradient in smoking and cessation: the peril and promise of social mobility","title-short":"Explaining the social gradient in smoking and cessation","volume":"42","author":[{"family":"Thirlway","given":"Frances"}],"issued":{"date-parts":[["2020"]]}}}],"schema":"https://github.com/citation-style-language/schema/raw/master/csl-citation.json"} </w:instrText>
      </w:r>
      <w:r w:rsidR="00484275">
        <w:fldChar w:fldCharType="separate"/>
      </w:r>
      <w:r w:rsidR="00C50867" w:rsidRPr="00C50867">
        <w:rPr>
          <w:rFonts w:ascii="Calibri" w:hAnsi="Calibri" w:cs="Calibri"/>
        </w:rPr>
        <w:t>[51]</w:t>
      </w:r>
      <w:r w:rsidR="00484275">
        <w:fldChar w:fldCharType="end"/>
      </w:r>
      <w:r w:rsidR="00484275">
        <w:t xml:space="preserve"> </w:t>
      </w:r>
      <w:r w:rsidR="00475277" w:rsidRPr="00475277">
        <w:t>These combined material, social, and cultural factors can make smoking more deeply embedded in daily life, intensifying challenges to quitting and perpetuating health</w:t>
      </w:r>
      <w:r w:rsidR="00420468">
        <w:t xml:space="preserve"> and care</w:t>
      </w:r>
      <w:r w:rsidR="00475277" w:rsidRPr="00475277">
        <w:t xml:space="preserve"> inequalities</w:t>
      </w:r>
      <w:r w:rsidR="00DA095D">
        <w:t>.</w:t>
      </w:r>
      <w:r w:rsidR="00A34521">
        <w:t xml:space="preserve"> </w:t>
      </w:r>
      <w:r w:rsidR="00DA095D">
        <w:t>T</w:t>
      </w:r>
      <w:r w:rsidR="00A34521">
        <w:t>aking a broad social approach to helping these women quit is a particular challenge moving forward for cessation providers</w:t>
      </w:r>
      <w:r w:rsidR="00475277" w:rsidRPr="00475277">
        <w:t>.</w:t>
      </w:r>
      <w:r w:rsidR="00E507C6">
        <w:t xml:space="preserve"> </w:t>
      </w:r>
      <w:r w:rsidR="00E507C6" w:rsidRPr="00E507C6">
        <w:t>Further, occupational factors such as job security, working conditions, and workplace stress may also contribute to these socioeconomic inequalities in smoking behaviours and cessation outcomes, highlighting the need for policies that address structural and occupational determinants of health.</w:t>
      </w:r>
    </w:p>
    <w:p w14:paraId="00DC4F13" w14:textId="01FDD5D8" w:rsidR="00D00669" w:rsidRDefault="00B3119B" w:rsidP="00E7113C">
      <w:r w:rsidRPr="00B3119B">
        <w:t xml:space="preserve">Despite these structural barriers, quit attempt rates were broadly similar across socioeconomic groups, suggesting less advantaged women were just as motivated to quit. </w:t>
      </w:r>
      <w:r w:rsidR="000324C4">
        <w:t xml:space="preserve">This echoes previous research </w:t>
      </w:r>
      <w:r>
        <w:t>documenting</w:t>
      </w:r>
      <w:r w:rsidR="000324C4">
        <w:t xml:space="preserve"> high levels of motivation to stop smoking in disadvantaged population groups.</w:t>
      </w:r>
      <w:r w:rsidR="00C422D6">
        <w:fldChar w:fldCharType="begin"/>
      </w:r>
      <w:r w:rsidR="00C50867">
        <w:instrText xml:space="preserve"> ADDIN ZOTERO_ITEM CSL_CITATION {"citationID":"2PfklXWA","properties":{"formattedCitation":"[53, 54]","plainCitation":"[53, 54]","noteIndex":0},"citationItems":[{"id":4517,"uris":["http://zotero.org/users/446899/items/3977Z6CJ"],"itemData":{"id":4517,"type":"article-journal","abstract":"Objectives To analyse associations between living in social housing and smoking in England and to evaluate progress towards reducing disparities in smoking prevalence among residents of social housing compared with other housing types.\nDesign Cross-sectional analysis of nationally representative data collected between January 2015 and February 2020.\nSetting England.\nParticipants 105 562 adults (≥16 years).\nPrimary and secondary outcome measures Linear and logistic regression were used to analyse associations between living in social housing (vs other housing types) and smoking status, cigarettes per day, time to first cigarette, exposure to others’ smoking, motivation to stop smoking, quit attempts and use of cessation support. Analyses were adjusted for sex, age, social grade, region and year.\nResults Adults living in social housing had two times the odds of being a smoker (ORadj=2.17, 95% CI 2.08 to 2.27), and the decline in smoking prevalence between 2015 and 2020 was less pronounced in this high-risk group (−7%; ORadj=0.98, 95% CI 0.96 to 1.01) than among adults living in other housing types (−24%; ORadj=0.95, 95% CI 0.94 to 0.96; housing tenure–survey year interaction p=0.020). Smokers living in social housing were more addicted than those in other housing types (smoking within 30 min of waking: ORadj=1.50, 95% CI 1.39 to 1.61), but were no less motivated to stop smoking (ORadj=1.06, 95% CI 0.96 to 1.17) and had higher odds of having made a serious attempt to quit in the past year (ORadj=1.16, 95% CI 1.07 to 1.25). Among smokers who had tried to quit, those living in social housing had higher odds of using evidence-based cessation support (ORadj=1.22, 95% CI 1.07 to 1.39) but lower odds of remaining abstinent (ORadj=0.63, 95% CI 0.52 to 0.76).\nConclusions There remain stark inequalities in smoking and quitting behaviour by housing tenure in England, with declines in prevalence stalling between 2015 and 2020 despite progress in the rest of the population. In the absence of targeted interventions to boost quitting among social housing residents, inequalities in health are likely to worsen.","container-title":"BMJ Open","DOI":"10.1136/bmjopen-2022-061013","ISSN":"2044-6055, 2044-6055","issue":"7","language":"en","license":"© Author(s) (or their employer(s)) 2022.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Addiction","page":"e061013","source":"bmjopen.bmj.com","title":"Smoking in social housing among adults in England, 2015–2020: a nationally representative survey","title-short":"Smoking in social housing among adults in England, 2015–2020","volume":"12","author":[{"family":"Jackson","given":"Sarah E."},{"family":"Cheeseman","given":"Hazel"},{"family":"Arnott","given":"Deborah"},{"family":"Titmarsh","given":"Robbie"},{"family":"Brown","given":"Jamie"}],"issued":{"date-parts":[["2022",7,1]]}}},{"id":4727,"uris":["http://zotero.org/users/446899/items/FQ9LSG63"],"itemData":{"id":4727,"type":"article-journal","abstract":"The prevalence of tobacco smoking among homeless people can reach more than 90%, with related morbidity and mortality being high. However, research in this area is scarce. This study aims to explore smoking and quitting related behaviours, experiences and knowledge in homeless smokers in the context of other substance abuse.","container-title":"BMC Public Health","DOI":"10.1186/1471-2458-13-951","ISSN":"1471-2458","issue":"1","journalAbbreviation":"BMC Public Health","language":"en","page":"951","source":"Springer Link","title":"Tobacco smoking, associated risk behaviours, and experience with quitting: a qualitative study with homeless smokers addicted to drugs and alcohol","title-short":"Tobacco smoking, associated risk behaviours, and experience with quitting","volume":"13","author":[{"family":"Garner","given":"Laura"},{"family":"Ratschen","given":"Elena"}],"issued":{"date-parts":[["2013",10,10]]}}}],"schema":"https://github.com/citation-style-language/schema/raw/master/csl-citation.json"} </w:instrText>
      </w:r>
      <w:r w:rsidR="00C422D6">
        <w:fldChar w:fldCharType="separate"/>
      </w:r>
      <w:r w:rsidR="00C50867" w:rsidRPr="00C50867">
        <w:rPr>
          <w:rFonts w:ascii="Calibri" w:hAnsi="Calibri" w:cs="Calibri"/>
        </w:rPr>
        <w:t>[53, 54]</w:t>
      </w:r>
      <w:r w:rsidR="00C422D6">
        <w:fldChar w:fldCharType="end"/>
      </w:r>
      <w:r w:rsidR="00A04BF0" w:rsidRPr="00A04BF0">
        <w:t xml:space="preserve"> However, </w:t>
      </w:r>
      <w:r w:rsidR="0003000E">
        <w:t>there was some evidence of</w:t>
      </w:r>
      <w:r w:rsidR="007446A6">
        <w:t xml:space="preserve"> a</w:t>
      </w:r>
      <w:r w:rsidR="00A04BF0" w:rsidRPr="00A04BF0">
        <w:t xml:space="preserve"> dip in quit attempts </w:t>
      </w:r>
      <w:r w:rsidR="007446A6">
        <w:t xml:space="preserve">among less advantaged women </w:t>
      </w:r>
      <w:r w:rsidR="00A04BF0" w:rsidRPr="00A04BF0">
        <w:t xml:space="preserve">between the ages of 50 and </w:t>
      </w:r>
      <w:r w:rsidR="00A04BF0" w:rsidRPr="00D614B9">
        <w:t>54</w:t>
      </w:r>
      <w:r w:rsidR="00DE0AC5">
        <w:t xml:space="preserve">, </w:t>
      </w:r>
      <w:r w:rsidR="00A04BF0" w:rsidRPr="00D614B9">
        <w:t xml:space="preserve">a pattern not </w:t>
      </w:r>
      <w:r w:rsidR="003C137A" w:rsidRPr="00D614B9">
        <w:t>seen</w:t>
      </w:r>
      <w:r w:rsidR="00A04BF0" w:rsidRPr="00D614B9">
        <w:t xml:space="preserve"> among </w:t>
      </w:r>
      <w:r w:rsidR="00DE0AC5">
        <w:t xml:space="preserve">their </w:t>
      </w:r>
      <w:r w:rsidR="00A04BF0" w:rsidRPr="00D614B9">
        <w:t xml:space="preserve">more advantaged </w:t>
      </w:r>
      <w:r w:rsidR="00DE0AC5">
        <w:t>peers</w:t>
      </w:r>
      <w:r w:rsidR="00DD744B">
        <w:t xml:space="preserve"> or among less advantaged men of the same age</w:t>
      </w:r>
      <w:r w:rsidR="00DE0AC5">
        <w:t xml:space="preserve">. </w:t>
      </w:r>
      <w:r w:rsidR="00177F7E">
        <w:t xml:space="preserve">This may reflect the </w:t>
      </w:r>
      <w:r w:rsidR="00B710A4" w:rsidRPr="00B710A4">
        <w:t>impact of mid-life transitions such as perimenopause and menopause, which are often accompanied by mood changes, increased stress, and other health challenges</w:t>
      </w:r>
      <w:r w:rsidR="00B710A4">
        <w:t>.</w:t>
      </w:r>
      <w:r w:rsidR="00B710A4" w:rsidRPr="00B710A4">
        <w:rPr>
          <w:highlight w:val="yellow"/>
        </w:rPr>
        <w:fldChar w:fldCharType="begin"/>
      </w:r>
      <w:r w:rsidR="00C50867">
        <w:rPr>
          <w:highlight w:val="yellow"/>
        </w:rPr>
        <w:instrText xml:space="preserve"> ADDIN ZOTERO_ITEM CSL_CITATION {"citationID":"JMfzwqrr","properties":{"formattedCitation":"[48]","plainCitation":"[48]","noteIndex":0},"citationItems":[{"id":12827,"uris":["http://zotero.org/users/446899/items/WIRKBLPD"],"itemData":{"id":12827,"type":"article-journal","abstract":"Numerous symptoms can be attributed to the lack of oestrogen at the time of the menopause. Some of the mechanisms for this are still unclear. However, while there is substantial evidence that many of the symptoms that women encounter during the menopausal period can be directly attributed to oestrogen deficiency, others are less well supported. An up-to-date review of the literature is provided.","collection-title":"Menopause and Menopause Transition","container-title":"Best Practice &amp; Research Clinical Obstetrics &amp; Gynaecology","DOI":"10.1016/j.bpobgyn.2008.10.002","ISSN":"1521-6934","issue":"1","journalAbbreviation":"Best Practice &amp; Research Clinical Obstetrics &amp; Gynaecology","page":"25-32","source":"ScienceDirect","title":"Symptoms of the menopause","volume":"23","author":[{"family":"Bruce","given":"Deborah"},{"family":"Rymer","given":"Janice"}],"issued":{"date-parts":[["2009",2,1]]}}}],"schema":"https://github.com/citation-style-language/schema/raw/master/csl-citation.json"} </w:instrText>
      </w:r>
      <w:r w:rsidR="00B710A4" w:rsidRPr="00B710A4">
        <w:rPr>
          <w:highlight w:val="yellow"/>
        </w:rPr>
        <w:fldChar w:fldCharType="separate"/>
      </w:r>
      <w:r w:rsidR="00C50867" w:rsidRPr="00C50867">
        <w:rPr>
          <w:rFonts w:ascii="Calibri" w:hAnsi="Calibri" w:cs="Calibri"/>
        </w:rPr>
        <w:t>[48]</w:t>
      </w:r>
      <w:r w:rsidR="00B710A4" w:rsidRPr="00B710A4">
        <w:rPr>
          <w:highlight w:val="yellow"/>
        </w:rPr>
        <w:fldChar w:fldCharType="end"/>
      </w:r>
      <w:r w:rsidR="00B710A4">
        <w:t xml:space="preserve"> </w:t>
      </w:r>
      <w:r w:rsidR="00E62C2F" w:rsidRPr="00871C5F">
        <w:t>Hormonal changes during perimenopause and menopause can influence nicotine metabolism</w:t>
      </w:r>
      <w:r w:rsidR="00EB6E44">
        <w:t xml:space="preserve"> and</w:t>
      </w:r>
      <w:r w:rsidR="00E62C2F" w:rsidRPr="00871C5F">
        <w:t xml:space="preserve"> withdrawal experiences, potentially increasing dependence and reducing cessation success.</w:t>
      </w:r>
      <w:r w:rsidR="00E62C2F">
        <w:fldChar w:fldCharType="begin"/>
      </w:r>
      <w:r w:rsidR="00C50867">
        <w:instrText xml:space="preserve"> ADDIN ZOTERO_ITEM CSL_CITATION {"citationID":"LnEuN5Di","properties":{"formattedCitation":"[49]","plainCitation":"[49]","noteIndex":0},"citationItems":[{"id":13493,"uris":["http://zotero.org/users/446899/items/2I2W79RR"],"itemData":{"id":13493,"type":"article-journal","abstract":"A substantial portion of smokers are peri- or postmenopausal women. Cigarette smoking and menopause have overlapping negative health consequences and may act synergistically to contribute to worse health outcomes in this population. Little is known about issues specific to peri- and postmenopausal women attempting to quit smoking; however, it can be hypothesized that they face unique challenges in quitting smoking. Particularly, negative affect and vasomotor menopausal symptoms may make smoking cessation particularly challenging in this group of women. Peri- and postmenopausal women are also more prone to weight gain following smoking cessation, and concerns about postcessation weight gain may contribute to reduced motivation to quit smoking or to relapse to smoking. Recent evidence suggests that estrogen level may be positively associated with nicotine reward, which may aid in the smoking cessation efforts of postmenopausal women while possibly contributing to worse outcomes in perimenopausal women. Unfortunately, no known studies have compared premenopausal women with peri- or postmenopausal women on smoking cessation outcome variables. Studies in postmenopausal women indicate that hormone therapy (HT) use does not affect nicotine withdrawal, smoking cessation outcomes, or weight gain following smoking cessation; however, a lack of randomized trials limits the strength of these conclusions. Evidence of the effects of HT on mood following smoking cessation is conflicting. Further research is needed to identify the unique factors influencing smoking cessation in peri- and postmenopausal women and to develop and test interventions that target these variables in a way that improves cessation rates among this population.","container-title":"Experimental and Clinical Psychopharmacology","DOI":"10.1037/a0023119","ISSN":"1936-2293","issue":"3","journalAbbreviation":"Exp Clin Psychopharmacol","language":"eng","note":"PMID: 21480728","page":"192-202","source":"PubMed","title":"Smoking cessation in peri- and postmenopausal women: a review","title-short":"Smoking cessation in peri- and postmenopausal women","volume":"19","author":[{"family":"McVay","given":"Megan A."},{"family":"Copeland","given":"Amy L."}],"issued":{"date-parts":[["2011",6]]}}}],"schema":"https://github.com/citation-style-language/schema/raw/master/csl-citation.json"} </w:instrText>
      </w:r>
      <w:r w:rsidR="00E62C2F">
        <w:fldChar w:fldCharType="separate"/>
      </w:r>
      <w:r w:rsidR="00C50867" w:rsidRPr="00C50867">
        <w:rPr>
          <w:rFonts w:ascii="Calibri" w:hAnsi="Calibri" w:cs="Calibri"/>
        </w:rPr>
        <w:t>[49]</w:t>
      </w:r>
      <w:r w:rsidR="00E62C2F">
        <w:fldChar w:fldCharType="end"/>
      </w:r>
      <w:r w:rsidR="00E62C2F" w:rsidRPr="00871C5F">
        <w:t xml:space="preserve"> </w:t>
      </w:r>
      <w:r w:rsidR="00FA4AE2">
        <w:t xml:space="preserve">Previous studies have suggested </w:t>
      </w:r>
      <w:r w:rsidR="004D3DF2">
        <w:t>that women from less advantaged background</w:t>
      </w:r>
      <w:r w:rsidR="00974B80">
        <w:t>s</w:t>
      </w:r>
      <w:r w:rsidR="004D3DF2">
        <w:t xml:space="preserve"> experience worse menopausal symptoms</w:t>
      </w:r>
      <w:r w:rsidR="00245600">
        <w:t>,</w:t>
      </w:r>
      <w:r w:rsidR="00245600">
        <w:fldChar w:fldCharType="begin"/>
      </w:r>
      <w:r w:rsidR="00C50867">
        <w:instrText xml:space="preserve"> ADDIN ZOTERO_ITEM CSL_CITATION {"citationID":"O96jFtHy","properties":{"formattedCitation":"[55\\uc0\\u8211{}57]","plainCitation":"[55–57]","noteIndex":0},"citationItems":[{"id":12841,"uris":["http://zotero.org/users/446899/items/5MPKUKWC"],"itemData":{"id":12841,"type":"article-journal","abstract":"Results of recent trials highlight the risks of hormone therapy, increasing the importance of identifying preventive lifestyle factors related to menopausal symptoms. The authors examined the relation of such factors to vasomotor symptoms in the multiethnic sample of 3,302 women, aged 42-52 years at baseline (1995-1997), in the Study of Women's Health Across the Nation (SWAN). All lifestyle factors and symptoms were self-reported. Serum hormone and gonadotropin concentrations were measured once in days 2-7 of the menstrual cycle. After adjustment for covariates using multiple logistic regression, significantly more African-American and Hispanic and fewer Chinese and Japanese than Caucasian women reported vasomotor symptoms. Fewer women with postgraduate education reported vasomotor symptoms. Passive exposure to smoke, but not active smoking, higher body mass index, premenstrual symptoms, perceived stress, and age were also significantly associated with vasomotor symptoms, although a dose-response relation with hours of smoke exposure was not observed. No dietary nutrients were significantly associated with vasomotor symptoms. These cross-sectional findings require further longitudinal exploration to identify lifestyle changes for women that may help prevent vasomotor symptoms.","container-title":"American Journal of Epidemiology","DOI":"10.1093/aje/kwh168","ISSN":"0002-9262","issue":"12","journalAbbreviation":"Am J Epidemiol","language":"eng","note":"PMID: 15191936","page":"1189-1199","source":"PubMed","title":"Lifestyle and demographic factors in relation to vasomotor symptoms: baseline results from the Study of Women's Health Across the Nation","title-short":"Lifestyle and demographic factors in relation to vasomotor symptoms","volume":"159","author":[{"family":"Gold","given":"Ellen B."},{"family":"Block","given":"Gladys"},{"family":"Crawford","given":"Sybil"},{"family":"Lachance","given":"Laurie"},{"family":"FitzGerald","given":"Gordon"},{"family":"Miracle","given":"Heidi"},{"family":"Sherman","given":"Sheryl"}],"issued":{"date-parts":[["2004",6,15]]}}},{"id":12845,"uris":["http://zotero.org/users/446899/items/C8PJGX5H"],"itemData":{"id":12845,"type":"article-journal","abstract":"Many women experience vasomotor symptoms at or around the time of menopause. Hot flushes and night sweats are considered primary menopausal symptoms that may also be associated with sleep and mood disturbances, as well as decreased cognitive function. All of these symptoms may lead to social impairment and work-related difficulties that significantly decrease overall quality of life. Hot flushes have shown a great deal of variability in their frequency and severity in women. In some women, hot flushes persist for several months; in others, they may last for more than 10 years. Traditionally vasomotor symptoms were reported to begin 5 to 10 years prior to the cessation of the final menstrual cycle, corresponding with the initial decline in circulating gonadal hormones; however, night sweats in particular most often begin in perimenopause. The pathogenesis of hot flushes has not yet been fully elucidated, but the circuitry involving estrogen and neurotransmitters, norepinephrine and serotonin specifically, are hypothesized to play a major role in the altered homeostatic thermoregulatory mechanisms underlying these events.","container-title":"Health and Quality of Life Outcomes","DOI":"10.1186/1477-7525-3-47","ISSN":"1477-7525","issue":"1","journalAbbreviation":"Health Qual Life Outcomes","language":"en","page":"47","source":"Springer Link","title":"Psychosocial and socioeconomic burden of vasomotor symptoms in menopause: A comprehensive review","title-short":"Psychosocial and socioeconomic burden of vasomotor symptoms in menopause","volume":"3","author":[{"family":"Utian","given":"Wulf H."}],"issued":{"date-parts":[["2005",8,5]]}}},{"id":12843,"uris":["http://zotero.org/users/446899/items/RUGF9UXC"],"itemData":{"id":12843,"type":"article-journal","abstract":"ObjectiveThis study explores the effect of employment status, occupation and education on menopausal symptoms experienced by women in an urban community in China.Study designCross-sectional survey.Main outcome measuresMenopausal symptoms, medication/supplement use to relieve menopausal symptoms, sociodemographic variables.ResultsRisks for more burdensome menopausal symptoms include less education, non-white collar occupation and unemployment/retirement status. Being employed in a white collar occupation and having higher formal education were protective for hot flashes, dry skin/eyes, heart palpitations and insomnia and were associated with increased usage of medication to alleviate menopausal symptoms.ConclusionsAs Chinese women age and continue working longer, they will spend increasing amounts of time postmenopausal and in the workplace. The development of worksite-based health programmes would be advantageous to female workers of menopausal age in China.","container-title":"Post Reproductive Health","DOI":"10.1177/2053369114544729","ISSN":"2053-3691","issue":"3","journalAbbreviation":"Post Reprod Health","language":"EN","note":"publisher: SAGE Publications","page":"98-103","source":"SAGE Journals","title":"Socioeconomic differences in the menopausal experience of Chinese women","volume":"20","author":[{"family":"Huseth-Zosel","given":"Andrea"},{"family":"Strand","given":"Mark"},{"family":"Perry","given":"Judith"}],"issued":{"date-parts":[["2014",9,1]]}}}],"schema":"https://github.com/citation-style-language/schema/raw/master/csl-citation.json"} </w:instrText>
      </w:r>
      <w:r w:rsidR="00245600">
        <w:fldChar w:fldCharType="separate"/>
      </w:r>
      <w:r w:rsidR="00C50867" w:rsidRPr="00C50867">
        <w:rPr>
          <w:rFonts w:ascii="Calibri" w:hAnsi="Calibri" w:cs="Calibri"/>
        </w:rPr>
        <w:t>[55–57]</w:t>
      </w:r>
      <w:r w:rsidR="00245600">
        <w:fldChar w:fldCharType="end"/>
      </w:r>
      <w:r w:rsidR="00245600">
        <w:t xml:space="preserve"> </w:t>
      </w:r>
      <w:r w:rsidR="0088123B">
        <w:t>potentially increasing</w:t>
      </w:r>
      <w:r w:rsidR="009407D5" w:rsidRPr="00D94DC7">
        <w:t xml:space="preserve"> their </w:t>
      </w:r>
      <w:r w:rsidR="00D94DC7" w:rsidRPr="00D94DC7">
        <w:t xml:space="preserve">reliance on smoking </w:t>
      </w:r>
      <w:r w:rsidR="00D94DC7" w:rsidRPr="00674F22">
        <w:t>as a coping mechanism.</w:t>
      </w:r>
      <w:r w:rsidR="00267321" w:rsidRPr="00674F22">
        <w:t xml:space="preserve"> At the same time, women in this age group are often balancing multiple responsibilities – caring for ageing parents, supporting adult children and grandchildren, and maintaining paid work</w:t>
      </w:r>
      <w:r w:rsidR="00267321" w:rsidRPr="00674F22">
        <w:fldChar w:fldCharType="begin"/>
      </w:r>
      <w:r w:rsidR="00C50867">
        <w:instrText xml:space="preserve"> ADDIN ZOTERO_ITEM CSL_CITATION {"citationID":"FdcZyo7b","properties":{"formattedCitation":"[58]","plainCitation":"[58]","noteIndex":0},"citationItems":[{"id":12834,"uris":["http://zotero.org/users/446899/items/B7QLITRG"],"itemData":{"id":12834,"type":"article-journal","abstract":"Development is a cumulative, lifelong process, but strikingly little is known about development in midlife. As a consequence, many misconceptions exist about the nature of midlife and the developmental milestones and challenges faced by middle-aged adults. We first review dominant views and empirical research that has debunked false narratives. Next, we discuss major opportunities and challenges of midlife. This includes the unique constellation of roles and life transitions that are distinct from earlier and later life phases as well as shifting trends in mental and physical health and in family composition. We additionally highlight the importance of (historical shifts in) intergenerational dynamics of middle-aged adults with their aging parents, adult children, and grandchildren; financial vulnerabilities that emerge and often accrue from economic failures and labor market volatility; the shrinking social and health care safety net; and the rising costs of raising children. In doing so, we discuss issues of diversity and note similarities and differences in midlife experiences across race or ethnicity, sexual orientation, and socioeconomic status. We consider midlife as a pivotal period that includes a focus on balancing gains and losses, linking earlier and later life periods, and bridging generations. Finally, we propose possibilities for promoting reversibility and resilience with interventions and policy changes. The suggested agenda for future research promises to reconceptualize midlife as a key period of life, with a concerted effort to focus on the diversity of midlife experiences in order to meet the unprecedented challenges and opportunities in the 2020s and beyond. (PsycInfo Database Record (c) 2020 APA, all rights reserved)","container-title":"American Psychologist","DOI":"10.1037/amp0000591","ISSN":"1935-990X","issue":"4","note":"publisher-place: US\npublisher: American Psychological Association","page":"470-485","source":"APA PsycNet","title":"Midlife in the 2020s: Opportunities and challenges","title-short":"Midlife in the 2020s","volume":"75","author":[{"family":"Infurna","given":"Frank J."},{"family":"Gerstorf","given":"Denis"},{"family":"Lachman","given":"Margie E."}],"issued":{"date-parts":[["2020"]]}}}],"schema":"https://github.com/citation-style-language/schema/raw/master/csl-citation.json"} </w:instrText>
      </w:r>
      <w:r w:rsidR="00267321" w:rsidRPr="00674F22">
        <w:fldChar w:fldCharType="separate"/>
      </w:r>
      <w:r w:rsidR="00C50867" w:rsidRPr="00C50867">
        <w:rPr>
          <w:rFonts w:ascii="Calibri" w:hAnsi="Calibri" w:cs="Calibri"/>
        </w:rPr>
        <w:t>[58]</w:t>
      </w:r>
      <w:r w:rsidR="00267321" w:rsidRPr="00674F22">
        <w:fldChar w:fldCharType="end"/>
      </w:r>
      <w:r w:rsidR="00267321" w:rsidRPr="00674F22">
        <w:t xml:space="preserve"> – which may leave little time or energy to prioritise </w:t>
      </w:r>
      <w:r w:rsidR="00E577D7">
        <w:t>their own health needs</w:t>
      </w:r>
      <w:r w:rsidR="00FC0FEC">
        <w:t>, including quitting</w:t>
      </w:r>
      <w:r w:rsidR="00267321" w:rsidRPr="00674F22">
        <w:t>. For those from disadvantaged backgrounds, these pressures are compounded by</w:t>
      </w:r>
      <w:r w:rsidR="0081787C">
        <w:t xml:space="preserve"> intersectional risk factors, </w:t>
      </w:r>
      <w:r w:rsidR="0081787C" w:rsidRPr="0081787C">
        <w:t xml:space="preserve">creating overlapping </w:t>
      </w:r>
      <w:r w:rsidR="0081787C">
        <w:t xml:space="preserve">levels of </w:t>
      </w:r>
      <w:r w:rsidR="0081787C" w:rsidRPr="0081787C">
        <w:lastRenderedPageBreak/>
        <w:t>disadvantage</w:t>
      </w:r>
      <w:r w:rsidR="0081787C">
        <w:t>, such as</w:t>
      </w:r>
      <w:r w:rsidR="00267321" w:rsidRPr="00674F22">
        <w:t xml:space="preserve"> reduced access to healthcare, financial insecurity, and lack of </w:t>
      </w:r>
      <w:r w:rsidR="00267321" w:rsidRPr="006873EC">
        <w:t>social support.</w:t>
      </w:r>
      <w:r w:rsidR="00267321" w:rsidRPr="006873EC">
        <w:fldChar w:fldCharType="begin"/>
      </w:r>
      <w:r w:rsidR="00C50867">
        <w:instrText xml:space="preserve"> ADDIN ZOTERO_ITEM CSL_CITATION {"citationID":"oemyM6EJ","properties":{"formattedCitation":"[58]","plainCitation":"[58]","noteIndex":0},"citationItems":[{"id":12834,"uris":["http://zotero.org/users/446899/items/B7QLITRG"],"itemData":{"id":12834,"type":"article-journal","abstract":"Development is a cumulative, lifelong process, but strikingly little is known about development in midlife. As a consequence, many misconceptions exist about the nature of midlife and the developmental milestones and challenges faced by middle-aged adults. We first review dominant views and empirical research that has debunked false narratives. Next, we discuss major opportunities and challenges of midlife. This includes the unique constellation of roles and life transitions that are distinct from earlier and later life phases as well as shifting trends in mental and physical health and in family composition. We additionally highlight the importance of (historical shifts in) intergenerational dynamics of middle-aged adults with their aging parents, adult children, and grandchildren; financial vulnerabilities that emerge and often accrue from economic failures and labor market volatility; the shrinking social and health care safety net; and the rising costs of raising children. In doing so, we discuss issues of diversity and note similarities and differences in midlife experiences across race or ethnicity, sexual orientation, and socioeconomic status. We consider midlife as a pivotal period that includes a focus on balancing gains and losses, linking earlier and later life periods, and bridging generations. Finally, we propose possibilities for promoting reversibility and resilience with interventions and policy changes. The suggested agenda for future research promises to reconceptualize midlife as a key period of life, with a concerted effort to focus on the diversity of midlife experiences in order to meet the unprecedented challenges and opportunities in the 2020s and beyond. (PsycInfo Database Record (c) 2020 APA, all rights reserved)","container-title":"American Psychologist","DOI":"10.1037/amp0000591","ISSN":"1935-990X","issue":"4","note":"publisher-place: US\npublisher: American Psychological Association","page":"470-485","source":"APA PsycNet","title":"Midlife in the 2020s: Opportunities and challenges","title-short":"Midlife in the 2020s","volume":"75","author":[{"family":"Infurna","given":"Frank J."},{"family":"Gerstorf","given":"Denis"},{"family":"Lachman","given":"Margie E."}],"issued":{"date-parts":[["2020"]]}}}],"schema":"https://github.com/citation-style-language/schema/raw/master/csl-citation.json"} </w:instrText>
      </w:r>
      <w:r w:rsidR="00267321" w:rsidRPr="006873EC">
        <w:fldChar w:fldCharType="separate"/>
      </w:r>
      <w:r w:rsidR="00C50867" w:rsidRPr="00C50867">
        <w:rPr>
          <w:rFonts w:ascii="Calibri" w:hAnsi="Calibri" w:cs="Calibri"/>
        </w:rPr>
        <w:t>[58]</w:t>
      </w:r>
      <w:r w:rsidR="00267321" w:rsidRPr="006873EC">
        <w:fldChar w:fldCharType="end"/>
      </w:r>
      <w:r w:rsidR="006873EC" w:rsidRPr="006873EC">
        <w:t xml:space="preserve"> </w:t>
      </w:r>
    </w:p>
    <w:p w14:paraId="762D35D1" w14:textId="104BF4B9" w:rsidR="00625082" w:rsidRPr="00B710A4" w:rsidRDefault="002333FD" w:rsidP="0041397A">
      <w:pPr>
        <w:rPr>
          <w:highlight w:val="yellow"/>
        </w:rPr>
      </w:pPr>
      <w:r w:rsidRPr="006873EC">
        <w:t>Furthermore</w:t>
      </w:r>
      <w:r w:rsidR="00A652C4" w:rsidRPr="006873EC">
        <w:t xml:space="preserve">, </w:t>
      </w:r>
      <w:r w:rsidR="00D824CC">
        <w:t xml:space="preserve">we found that </w:t>
      </w:r>
      <w:r w:rsidR="00A652C4" w:rsidRPr="006873EC">
        <w:t xml:space="preserve">even when quit attempts were made, success rates were consistently lower among less advantaged women, </w:t>
      </w:r>
      <w:r w:rsidR="004E1E48" w:rsidRPr="006873EC">
        <w:t>particularly</w:t>
      </w:r>
      <w:r w:rsidR="00A652C4" w:rsidRPr="006873EC">
        <w:t xml:space="preserve"> in mid-life</w:t>
      </w:r>
      <w:r w:rsidR="006B57D7" w:rsidRPr="006873EC">
        <w:t xml:space="preserve"> (ages 45 to 60)</w:t>
      </w:r>
      <w:r w:rsidR="00A652C4" w:rsidRPr="006873EC">
        <w:t xml:space="preserve">. </w:t>
      </w:r>
      <w:r w:rsidR="004E1E48" w:rsidRPr="006873EC">
        <w:t xml:space="preserve">This </w:t>
      </w:r>
      <w:r w:rsidR="00D52DF4" w:rsidRPr="006873EC">
        <w:t>aligns with previous</w:t>
      </w:r>
      <w:r w:rsidR="004E1E48" w:rsidRPr="006873EC">
        <w:t xml:space="preserve"> </w:t>
      </w:r>
      <w:r w:rsidR="00D52DF4" w:rsidRPr="006873EC">
        <w:t>findings</w:t>
      </w:r>
      <w:r w:rsidR="00A652C4" w:rsidRPr="006873EC">
        <w:t xml:space="preserve"> that people from less advantaged backgrounds experience greater difficulty in quitting smoking</w:t>
      </w:r>
      <w:r w:rsidR="0057545D" w:rsidRPr="006873EC">
        <w:t>,</w:t>
      </w:r>
      <w:r w:rsidR="00870B0B" w:rsidRPr="006873EC">
        <w:fldChar w:fldCharType="begin"/>
      </w:r>
      <w:r w:rsidR="00C50867">
        <w:instrText xml:space="preserve"> ADDIN ZOTERO_ITEM CSL_CITATION {"citationID":"sakxjGWW","properties":{"formattedCitation":"[30, 53, 59, 60]","plainCitation":"[30, 53, 59, 60]","noteIndex":0},"citationItems":[{"id":351,"uris":["http://zotero.org/users/446899/items/DPH3UIQR"],"itemData":{"id":351,"type":"article-journal","abstract":"Smoking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Sciences","DOI":"10.1111/j.1749-6632.2011.06202.x","ISSN":"1749-6632","journalAbbreviation":"Ann. N. Y. Acad. Sci.","language":"eng","note":"PMID: 22092035","page":"107-123","source":"PubMed","title":"Socioeconomic status and smoking: a review","title-short":"Socioeconomic status and smoking","volume":"1248","author":[{"family":"Hiscock","given":"Rosemary"},{"family":"Bauld","given":"Linda"},{"family":"Amos","given":"Amanda"},{"family":"Fidler","given":"Jennifer A."},{"family":"Munafò","given":"Marcus"}],"issued":{"date-parts":[["2012",2]]}}},{"id":4517,"uris":["http://zotero.org/users/446899/items/3977Z6CJ"],"itemData":{"id":4517,"type":"article-journal","abstract":"Objectives To analyse associations between living in social housing and smoking in England and to evaluate progress towards reducing disparities in smoking prevalence among residents of social housing compared with other housing types.\nDesign Cross-sectional analysis of nationally representative data collected between January 2015 and February 2020.\nSetting England.\nParticipants 105 562 adults (≥16 years).\nPrimary and secondary outcome measures Linear and logistic regression were used to analyse associations between living in social housing (vs other housing types) and smoking status, cigarettes per day, time to first cigarette, exposure to others’ smoking, motivation to stop smoking, quit attempts and use of cessation support. Analyses were adjusted for sex, age, social grade, region and year.\nResults Adults living in social housing had two times the odds of being a smoker (ORadj=2.17, 95% CI 2.08 to 2.27), and the decline in smoking prevalence between 2015 and 2020 was less pronounced in this high-risk group (−7%; ORadj=0.98, 95% CI 0.96 to 1.01) than among adults living in other housing types (−24%; ORadj=0.95, 95% CI 0.94 to 0.96; housing tenure–survey year interaction p=0.020). Smokers living in social housing were more addicted than those in other housing types (smoking within 30 min of waking: ORadj=1.50, 95% CI 1.39 to 1.61), but were no less motivated to stop smoking (ORadj=1.06, 95% CI 0.96 to 1.17) and had higher odds of having made a serious attempt to quit in the past year (ORadj=1.16, 95% CI 1.07 to 1.25). Among smokers who had tried to quit, those living in social housing had higher odds of using evidence-based cessation support (ORadj=1.22, 95% CI 1.07 to 1.39) but lower odds of remaining abstinent (ORadj=0.63, 95% CI 0.52 to 0.76).\nConclusions There remain stark inequalities in smoking and quitting behaviour by housing tenure in England, with declines in prevalence stalling between 2015 and 2020 despite progress in the rest of the population. In the absence of targeted interventions to boost quitting among social housing residents, inequalities in health are likely to worsen.","container-title":"BMJ Open","DOI":"10.1136/bmjopen-2022-061013","ISSN":"2044-6055, 2044-6055","issue":"7","language":"en","license":"© Author(s) (or their employer(s)) 2022.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Addiction","page":"e061013","source":"bmjopen.bmj.com","title":"Smoking in social housing among adults in England, 2015–2020: a nationally representative survey","title-short":"Smoking in social housing among adults in England, 2015–2020","volume":"12","author":[{"family":"Jackson","given":"Sarah E."},{"family":"Cheeseman","given":"Hazel"},{"family":"Arnott","given":"Deborah"},{"family":"Titmarsh","given":"Robbie"},{"family":"Brown","given":"Jamie"}],"issued":{"date-parts":[["2022",7,1]]}}},{"id":12821,"uris":["http://zotero.org/users/446899/items/CI23PFLK"],"itemData":{"id":12821,"type":"article-journal","abstract":"Smokers from lower socio-economic groups are less likely to be successful in a quit attempt than more affluent smokers, even when they access smoking cessation services.Data were collected from smoking cessation service users from three contrasting areas of Great Britain—Glasgow, North Cumbria and Nottingham. Routine monitoring data were supplemented with CO-validated smoking status at 52-week follow-up and survey data on socio-economic circumstances and smoking-related behaviour. Analysis was restricted to the 2397 clients aged between 25 and 59.At 52-week follow-up, 14.3% of the most affluent smokers remained quit compared with only 5.3% of the most disadvantaged. After adjustment for demographic factors, the most advantaged clients at the English sites and the Glasgow one-to-one programme were significantly more likely to have remained abstinent than those who were most disadvantaged [odds ratio: 2.5, confidence interval (CI): 1.4–4.7 and 7.5 CI: 1.4–40.3, respectively). Mechanisms producing the inequalities appeared to include treatment compliance, household smokers and referral source.Rather than quitting smoking, disadvantaged smokers quit treatment. More should be done to encourage them to persevere through the first few weeks. Other causes of inequalities in quitting varied with the service provided.","container-title":"Journal of Public Health","DOI":"10.1093/pubmed/fdq097","ISSN":"1741-3842","issue":"1","journalAbbreviation":"Journal of Public Health","page":"39-47","source":"Silverchair","title":"Social inequalities in quitting smoking: what factors mediate the relationship between socioeconomic position and smoking cessation?","title-short":"Social inequalities in quitting smoking","volume":"33","author":[{"family":"Hiscock","given":"Rosemary"},{"family":"Judge","given":"Ken"},{"family":"Bauld","given":"Linda"}],"issued":{"date-parts":[["2011",3,1]]}}},{"id":4919,"uris":["http://zotero.org/users/446899/items/MHEYUFL9"],"itemData":{"id":4919,"type":"article-journal","abstract":"Smokers from lower socioeconomic groups are less likely to be successful in stopping smoking than more affluent smokers, even after accessing cessation programmes. Data were analysed from 3057 clients of nine services. Routine monitoring data were expanded with CO validated smoking status at 52-week follow-up. Backwards logistic regression modelling was used to consider which factors were most important in explaining the relationship between SES and quitting. The odds ratio of stopping smoking among more affluent clients, compared with more disadvantaged clients, after taking into account design variables only, was 1.85 (95% CI 1.44 to 2.37) which declined to 1.44 (1.11 to 1.87) when all controls were included. The factors that explained more than 10% of the decline in the odds ratio were age, proportion of friends and family who smoked, nicotine dependence, and taking varenicline. A range of factors contribute to lower cessation rates for disadvantaged smokers. Some of these can be modified by improved smoking cessation service provision, but others require contributions from wider efforts to improve material, human, and social capital.","container-title":"BioMed Research International","DOI":"10.1155/2015/274056","ISSN":"2314-6141","journalAbbreviation":"Biomed Res Int","language":"eng","note":"PMID: 26273602\nPMCID: PMC4529910","page":"274056","source":"PubMed","title":"Smoking Cessation and Socioeconomic Status: An Update of Existing Evidence from a National Evaluation of English Stop Smoking Services","title-short":"Smoking Cessation and Socioeconomic Status","volume":"2015","author":[{"family":"Hiscock","given":"Rosemary"},{"family":"Dobbie","given":"Fiona"},{"family":"Bauld","given":"Linda"}],"issued":{"date-parts":[["2015"]]}}}],"schema":"https://github.com/citation-style-language/schema/raw/master/csl-citation.json"} </w:instrText>
      </w:r>
      <w:r w:rsidR="00870B0B" w:rsidRPr="006873EC">
        <w:fldChar w:fldCharType="separate"/>
      </w:r>
      <w:r w:rsidR="00C50867" w:rsidRPr="00C50867">
        <w:rPr>
          <w:rFonts w:ascii="Calibri" w:hAnsi="Calibri" w:cs="Calibri"/>
        </w:rPr>
        <w:t>[30, 53, 59, 60]</w:t>
      </w:r>
      <w:r w:rsidR="00870B0B" w:rsidRPr="006873EC">
        <w:fldChar w:fldCharType="end"/>
      </w:r>
      <w:r w:rsidR="004E5569" w:rsidRPr="006873EC">
        <w:t xml:space="preserve"> </w:t>
      </w:r>
      <w:r w:rsidR="00667B60" w:rsidRPr="006873EC">
        <w:t xml:space="preserve">likely </w:t>
      </w:r>
      <w:r w:rsidR="0057545D" w:rsidRPr="006873EC">
        <w:t>due to earlier smoking initiation, stronger dependence,</w:t>
      </w:r>
      <w:r w:rsidR="00667B60" w:rsidRPr="006873EC">
        <w:t xml:space="preserve"> and </w:t>
      </w:r>
      <w:r w:rsidR="00D824CC">
        <w:t>fewer</w:t>
      </w:r>
      <w:r w:rsidR="00EA0DE0" w:rsidRPr="006873EC">
        <w:t xml:space="preserve"> </w:t>
      </w:r>
      <w:r w:rsidR="0081787C">
        <w:t xml:space="preserve">social and cultural </w:t>
      </w:r>
      <w:r w:rsidR="00EA0DE0" w:rsidRPr="006873EC">
        <w:t>resources to support quitting</w:t>
      </w:r>
      <w:r w:rsidR="00667B60" w:rsidRPr="006873EC">
        <w:t>.</w:t>
      </w:r>
      <w:r w:rsidR="008C0FAF" w:rsidRPr="006873EC">
        <w:fldChar w:fldCharType="begin"/>
      </w:r>
      <w:r w:rsidR="00C50867">
        <w:instrText xml:space="preserve"> ADDIN ZOTERO_ITEM CSL_CITATION {"citationID":"OkGkXpJb","properties":{"formattedCitation":"[30]","plainCitation":"[30]","noteIndex":0},"citationItems":[{"id":351,"uris":["http://zotero.org/users/446899/items/DPH3UIQR"],"itemData":{"id":351,"type":"article-journal","abstract":"Smoking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Sciences","DOI":"10.1111/j.1749-6632.2011.06202.x","ISSN":"1749-6632","journalAbbreviation":"Ann. N. Y. Acad. Sci.","language":"eng","note":"PMID: 22092035","page":"107-123","source":"PubMed","title":"Socioeconomic status and smoking: a review","title-short":"Socioeconomic status and smoking","volume":"1248","author":[{"family":"Hiscock","given":"Rosemary"},{"family":"Bauld","given":"Linda"},{"family":"Amos","given":"Amanda"},{"family":"Fidler","given":"Jennifer A."},{"family":"Munafò","given":"Marcus"}],"issued":{"date-parts":[["2012",2]]}}}],"schema":"https://github.com/citation-style-language/schema/raw/master/csl-citation.json"} </w:instrText>
      </w:r>
      <w:r w:rsidR="008C0FAF" w:rsidRPr="006873EC">
        <w:fldChar w:fldCharType="separate"/>
      </w:r>
      <w:r w:rsidR="00C50867" w:rsidRPr="00C50867">
        <w:rPr>
          <w:rFonts w:ascii="Calibri" w:hAnsi="Calibri" w:cs="Calibri"/>
        </w:rPr>
        <w:t>[30]</w:t>
      </w:r>
      <w:r w:rsidR="008C0FAF" w:rsidRPr="006873EC">
        <w:fldChar w:fldCharType="end"/>
      </w:r>
      <w:r w:rsidR="0041397A">
        <w:t xml:space="preserve"> </w:t>
      </w:r>
      <w:r w:rsidR="0041397A" w:rsidRPr="0041397A">
        <w:t>The overall quit rate was highest at age 31 for more advantaged women and at age 25 for less advantaged women. This broadly maps onto differences in the average age of childbirth by socioeconomic position</w:t>
      </w:r>
      <w:r w:rsidR="008F4E98">
        <w:fldChar w:fldCharType="begin"/>
      </w:r>
      <w:r w:rsidR="00C50867">
        <w:instrText xml:space="preserve"> ADDIN ZOTERO_ITEM CSL_CITATION {"citationID":"eG5n5n4r","properties":{"formattedCitation":"[61]","plainCitation":"[61]","noteIndex":0},"citationItems":[{"id":12848,"uris":["http://zotero.org/users/446899/items/7HQVMSP3"],"itemData":{"id":12848,"type":"webpage","title":"Childbearing by socio-economic status and country of birth of mother","URL":"https://www.ons.gov.uk/peoplepopulationandcommunity/birthsdeathsandmarriages/livebirths/articles/anoteonchildbearingbysocioeconomicstatusandcountryofbirthofmother/2016","author":[{"family":"Office for National Statistics","given":""}],"accessed":{"date-parts":[["2025",4,13]]},"issued":{"date-parts":[["2016"]]}}}],"schema":"https://github.com/citation-style-language/schema/raw/master/csl-citation.json"} </w:instrText>
      </w:r>
      <w:r w:rsidR="008F4E98">
        <w:fldChar w:fldCharType="separate"/>
      </w:r>
      <w:r w:rsidR="00C50867" w:rsidRPr="00C50867">
        <w:rPr>
          <w:rFonts w:ascii="Calibri" w:hAnsi="Calibri" w:cs="Calibri"/>
        </w:rPr>
        <w:t>[61]</w:t>
      </w:r>
      <w:r w:rsidR="008F4E98">
        <w:fldChar w:fldCharType="end"/>
      </w:r>
      <w:r w:rsidR="0041397A" w:rsidRPr="0041397A">
        <w:t xml:space="preserve"> and may reflect smoking cessation during pregnancy </w:t>
      </w:r>
      <w:r w:rsidR="008D6798">
        <w:t xml:space="preserve">– a </w:t>
      </w:r>
      <w:r w:rsidR="0041397A" w:rsidRPr="0041397A">
        <w:t>strong mo</w:t>
      </w:r>
      <w:r w:rsidR="008F4E98">
        <w:t>t</w:t>
      </w:r>
      <w:r w:rsidR="0041397A" w:rsidRPr="0041397A">
        <w:t xml:space="preserve">ivator </w:t>
      </w:r>
      <w:r w:rsidR="008D6798">
        <w:t>for quitting</w:t>
      </w:r>
      <w:r w:rsidR="0041397A" w:rsidRPr="0041397A">
        <w:t>.</w:t>
      </w:r>
      <w:r w:rsidR="004A3EDA">
        <w:fldChar w:fldCharType="begin"/>
      </w:r>
      <w:r w:rsidR="00C50867">
        <w:instrText xml:space="preserve"> ADDIN ZOTERO_ITEM CSL_CITATION {"citationID":"1Bipw5Sb","properties":{"formattedCitation":"[21, 22]","plainCitation":"[21, 22]","noteIndex":0},"citationItems":[{"id":12717,"uris":["http://zotero.org/users/446899/items/PEBLX72V"],"itemData":{"id":12717,"type":"article-journal","abstract":"This study explored influences on adoption, maintenance and cessation of smoking among young women as they experienced life transitions: leaving home, gaining employment or attending college/university, marriage and parenthood. Standardized, open-ended telephone interviews were conducted with 80 women (including never smokers, continuing smokers, recent adopters and quitters) aged 24–29 years, recruited from participants in the Australian Longitudinal Study on Women's Health. The social context of smoking (socializing with other smokers, drinking alcohol and going to pubs and clubs) was perceived to be a predominant influence on smoking from the time young women left home until they settled into a committed relationship or started their own family. Stress was identified as an important factor as they experienced lifestyle changes. An increased sensitivity to the negative aspects of smoking after turning 21 was reported, and around the mid-20s the women became concerned about the addictive nature of cigarettes. Motherhood was seen to carry increased responsibilities to protect children from passive smoking and there was a perceived importance of positive role modelling to protect children from becoming smokers themselves. This study highlights the need for public health campaigns to address the social role that smoking plays in young women's lives, and the perceived use of cigarettes for stress relief. Life changes such as settling down with a partner and the contemplation of motherhood provide opportunities for targeted interventions to promote quitting.","container-title":"Health Education Research","DOI":"10.1093/her/cyl041","ISSN":"0268-1153","issue":"3","journalAbbreviation":"Health Education Research","page":"428-439","source":"Silverchair","title":"From partying to parenthood: young women's perceptions of cigarette smoking across life transitions","title-short":"From partying to parenthood","volume":"21","author":[{"family":"McDermott","given":"Liane J."},{"family":"Dobson","given":"AJ"},{"family":"Owen","given":"N"}],"issued":{"date-parts":[["2006",7,1]]}}},{"id":12722,"uris":["http://zotero.org/users/446899/items/2TPFCVJ9"],"itemData":{"id":12722,"type":"article-journal","abstract":"The concept of the socioeconomic lifecourse is increasingly informing understanding of the social patterning of cigarette smoking. We investigated lifecourse influences on (i) women's smoking status (smoker/non-smoker) before pregnancy and (ii) quitting in pregnancy in the UK Millennium Cohort study. Our analyses included conventional measures of the socioeconomic lifecourse (woman's childhood circumstances, education, current socioeconomic circumstances) and measures of her domestic lifecourse (age of becoming a mother, current cohabitation status), as well as parity (first/subsequent child). In analyses of quitting, we also included pre-pregnancy cigarette consumption. Our study underlined, firstly, the importance of lifecourse disadvantage. Those experiencing greater disadvantage with respect to their childhood circumstances, education and current circumstances were at greater risk of being a smoker before pregnancy. A disadvantaged domestic lifecourse – earlier entry into motherhood and lone motherhood–further increased the risk. Poorer childhood circumstances, educational disadvantage, poorer current circumstances and early motherhood also significantly increased the odds of quitting in pregnancy. Secondly, parity was a major predictor of smoking behaviour. First-time mothers had higher odds both of smoking before pregnancy and quitting in pregnancy. The effects of parity were independent of women's lifecourse. Our study supports tobacco control policies which recognise and address inequalities across the lifecourse. However, our study suggests that the dye is not irrevocably cast by social disadvantage: first pregnancy uniformly increases the chances of quitting. Interventions which help smokers having their first baby to quit have an important part to play in promoting maternal and child health.","container-title":"Social Science &amp; Medicine","DOI":"10.1016/j.socscimed.2009.10.041","ISSN":"0277-9536","issue":"4","journalAbbreviation":"Social Science &amp; Medicine","page":"582-587","source":"ScienceDirect","title":"Lifecourse influences on women's smoking before, during and after pregnancy","volume":"70","author":[{"family":"Graham","given":"Hilary"},{"family":"Hawkins","given":"Summer Sherburne"},{"family":"Law","given":"Catherine"}],"issued":{"date-parts":[["2010",2,1]]}}}],"schema":"https://github.com/citation-style-language/schema/raw/master/csl-citation.json"} </w:instrText>
      </w:r>
      <w:r w:rsidR="004A3EDA">
        <w:fldChar w:fldCharType="separate"/>
      </w:r>
      <w:r w:rsidR="00C50867" w:rsidRPr="00C50867">
        <w:rPr>
          <w:rFonts w:ascii="Calibri" w:hAnsi="Calibri" w:cs="Calibri"/>
        </w:rPr>
        <w:t>[21, 22]</w:t>
      </w:r>
      <w:r w:rsidR="004A3EDA">
        <w:fldChar w:fldCharType="end"/>
      </w:r>
      <w:r w:rsidR="0041397A" w:rsidRPr="0041397A">
        <w:t xml:space="preserve"> More advantaged women, who tend to have children later</w:t>
      </w:r>
      <w:r w:rsidR="001D7E12">
        <w:fldChar w:fldCharType="begin"/>
      </w:r>
      <w:r w:rsidR="00C50867">
        <w:instrText xml:space="preserve"> ADDIN ZOTERO_ITEM CSL_CITATION {"citationID":"3RMbDcpE","properties":{"formattedCitation":"[61]","plainCitation":"[61]","noteIndex":0},"citationItems":[{"id":12848,"uris":["http://zotero.org/users/446899/items/7HQVMSP3"],"itemData":{"id":12848,"type":"webpage","title":"Childbearing by socio-economic status and country of birth of mother","URL":"https://www.ons.gov.uk/peoplepopulationandcommunity/birthsdeathsandmarriages/livebirths/articles/anoteonchildbearingbysocioeconomicstatusandcountryofbirthofmother/2016","author":[{"family":"Office for National Statistics","given":""}],"accessed":{"date-parts":[["2025",4,13]]},"issued":{"date-parts":[["2016"]]}}}],"schema":"https://github.com/citation-style-language/schema/raw/master/csl-citation.json"} </w:instrText>
      </w:r>
      <w:r w:rsidR="001D7E12">
        <w:fldChar w:fldCharType="separate"/>
      </w:r>
      <w:r w:rsidR="00C50867" w:rsidRPr="00C50867">
        <w:rPr>
          <w:rFonts w:ascii="Calibri" w:hAnsi="Calibri" w:cs="Calibri"/>
        </w:rPr>
        <w:t>[61]</w:t>
      </w:r>
      <w:r w:rsidR="001D7E12">
        <w:fldChar w:fldCharType="end"/>
      </w:r>
      <w:r w:rsidR="0041397A" w:rsidRPr="0041397A">
        <w:t xml:space="preserve"> and often have greater access to resources and support,</w:t>
      </w:r>
      <w:r w:rsidR="001D7E12">
        <w:fldChar w:fldCharType="begin"/>
      </w:r>
      <w:r w:rsidR="00C50867">
        <w:instrText xml:space="preserve"> ADDIN ZOTERO_ITEM CSL_CITATION {"citationID":"O61FMLo3","properties":{"formattedCitation":"[30]","plainCitation":"[30]","noteIndex":0},"citationItems":[{"id":351,"uris":["http://zotero.org/users/446899/items/DPH3UIQR"],"itemData":{"id":351,"type":"article-journal","abstract":"Smoking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Sciences","DOI":"10.1111/j.1749-6632.2011.06202.x","ISSN":"1749-6632","journalAbbreviation":"Ann. N. Y. Acad. Sci.","language":"eng","note":"PMID: 22092035","page":"107-123","source":"PubMed","title":"Socioeconomic status and smoking: a review","title-short":"Socioeconomic status and smoking","volume":"1248","author":[{"family":"Hiscock","given":"Rosemary"},{"family":"Bauld","given":"Linda"},{"family":"Amos","given":"Amanda"},{"family":"Fidler","given":"Jennifer A."},{"family":"Munafò","given":"Marcus"}],"issued":{"date-parts":[["2012",2]]}}}],"schema":"https://github.com/citation-style-language/schema/raw/master/csl-citation.json"} </w:instrText>
      </w:r>
      <w:r w:rsidR="001D7E12">
        <w:fldChar w:fldCharType="separate"/>
      </w:r>
      <w:r w:rsidR="00C50867" w:rsidRPr="00C50867">
        <w:rPr>
          <w:rFonts w:ascii="Calibri" w:hAnsi="Calibri" w:cs="Calibri"/>
        </w:rPr>
        <w:t>[30]</w:t>
      </w:r>
      <w:r w:rsidR="001D7E12">
        <w:fldChar w:fldCharType="end"/>
      </w:r>
      <w:r w:rsidR="0041397A" w:rsidRPr="0041397A">
        <w:t xml:space="preserve"> </w:t>
      </w:r>
      <w:r w:rsidR="00037FC9">
        <w:t>tend to be</w:t>
      </w:r>
      <w:r w:rsidR="0041397A" w:rsidRPr="0041397A">
        <w:t xml:space="preserve"> more likely to maintain abstinence post-</w:t>
      </w:r>
      <w:r w:rsidR="0085070C">
        <w:t>partum</w:t>
      </w:r>
      <w:r w:rsidR="0041397A" w:rsidRPr="0041397A">
        <w:t>.</w:t>
      </w:r>
      <w:r w:rsidR="0085070C">
        <w:fldChar w:fldCharType="begin"/>
      </w:r>
      <w:r w:rsidR="00C50867">
        <w:instrText xml:space="preserve"> ADDIN ZOTERO_ITEM CSL_CITATION {"citationID":"o30TyI4t","properties":{"formattedCitation":"[62]","plainCitation":"[62]","noteIndex":0},"citationItems":[{"id":12847,"uris":["http://zotero.org/users/446899/items/H9A54P2T"],"itemData":{"id":12847,"type":"article-journal","abstract":"Low socioeconomic status (SES) exacerbates the high rate of smoking relapse in women following childbirth.This study examined multiple models of potential mechanisms linking SES and postpartum smoking relapse among women who quit smoking due to pregnancy.Participants were 251 women enrolled in a randomized clinical trial of a new postpartum smoking relapse prevention intervention. Four models of the prepartum mechanisms linking SES and postpartum smoking relapse were evaluated using a latent variable modeling approach.Each of the hypothesized models were a good fit for the data. As hypothesized, SES indirectly influenced postpartum smoking relapse through increased prepartum negative affect/stress, reduced sense of agency, and increased craving for cigarettes. However, the model that included craving as the sole final pathway between SES and relapse demonstrated superior fit when compared with all other models.Findings have implications for future interventions that aim to reduce postpartum relapse.","container-title":"Annals of Behavioral Medicine","DOI":"10.1007/s12160-012-9434-x","ISSN":"0883-6612","issue":"2","journalAbbreviation":"Annals of Behavioral Medicine","page":"180-191","source":"Silverchair","title":"Pathways Linking Socioeconomic Status and Postpartum Smoking Relapse","volume":"45","author":[{"family":"Businelle","given":"Michael S."},{"family":"Kendzor","given":"Darla E."},{"family":"Reitzel","given":"Lorraine R."},{"family":"Vidrine","given":"Jennifer Irvin"},{"family":"Castro","given":"Yessenia"},{"family":"Mullen","given":"Patricia Dolan"},{"family":"Velasquez","given":"Mary M."},{"family":"Cofta-Woerpel","given":"Ludmila"},{"family":"Cinciripini","given":"Paul M."},{"family":"Greisinger","given":"Anthony J."},{"family":"Wetter","given":"David W."}],"issued":{"date-parts":[["2013",4,1]]}}}],"schema":"https://github.com/citation-style-language/schema/raw/master/csl-citation.json"} </w:instrText>
      </w:r>
      <w:r w:rsidR="0085070C">
        <w:fldChar w:fldCharType="separate"/>
      </w:r>
      <w:r w:rsidR="00C50867" w:rsidRPr="00C50867">
        <w:rPr>
          <w:rFonts w:ascii="Calibri" w:hAnsi="Calibri" w:cs="Calibri"/>
        </w:rPr>
        <w:t>[62]</w:t>
      </w:r>
      <w:r w:rsidR="0085070C">
        <w:fldChar w:fldCharType="end"/>
      </w:r>
      <w:r w:rsidR="0041397A" w:rsidRPr="0041397A">
        <w:t xml:space="preserve"> </w:t>
      </w:r>
      <w:r w:rsidR="00AB23C8">
        <w:t>These patterns may</w:t>
      </w:r>
      <w:r w:rsidR="0041397A" w:rsidRPr="0041397A">
        <w:t xml:space="preserve"> help explain the sustained decline in smoking prevalence observed among </w:t>
      </w:r>
      <w:r w:rsidR="00493C80">
        <w:t>more advantaged women</w:t>
      </w:r>
      <w:r w:rsidR="006351DB">
        <w:t xml:space="preserve"> earlier in life</w:t>
      </w:r>
      <w:r w:rsidR="0041397A" w:rsidRPr="0041397A">
        <w:t>.</w:t>
      </w:r>
    </w:p>
    <w:p w14:paraId="5A7F87BF" w14:textId="4737FC72" w:rsidR="00E13C90" w:rsidRPr="005C2458" w:rsidRDefault="00F758D2" w:rsidP="002A7E3D">
      <w:r w:rsidRPr="005F023F">
        <w:t>Understanding</w:t>
      </w:r>
      <w:r w:rsidR="00DD148E" w:rsidRPr="00DD148E">
        <w:t xml:space="preserve"> barriers </w:t>
      </w:r>
      <w:r w:rsidR="00B64400">
        <w:t xml:space="preserve">to cessation </w:t>
      </w:r>
      <w:r w:rsidR="009D3881" w:rsidRPr="009D3881">
        <w:t>faced by women at different life stages and from different socioeconomic</w:t>
      </w:r>
      <w:r w:rsidR="009D3881">
        <w:t xml:space="preserve"> </w:t>
      </w:r>
      <w:r w:rsidR="002A7E3D" w:rsidRPr="002A7E3D">
        <w:t>backgrounds</w:t>
      </w:r>
      <w:r w:rsidR="002A7E3D">
        <w:t xml:space="preserve"> </w:t>
      </w:r>
      <w:r w:rsidR="00DD148E" w:rsidRPr="00DD148E">
        <w:t xml:space="preserve">is </w:t>
      </w:r>
      <w:r w:rsidR="00DD148E" w:rsidRPr="005F023F">
        <w:t>important</w:t>
      </w:r>
      <w:r w:rsidR="00DD148E" w:rsidRPr="00DD148E">
        <w:t xml:space="preserve"> for developing </w:t>
      </w:r>
      <w:r w:rsidR="00B92A5E" w:rsidRPr="00B92A5E">
        <w:t>more effective, equitable</w:t>
      </w:r>
      <w:r w:rsidR="00BB1246">
        <w:t>,</w:t>
      </w:r>
      <w:r w:rsidR="00B92A5E" w:rsidRPr="00B92A5E">
        <w:t xml:space="preserve"> </w:t>
      </w:r>
      <w:r w:rsidR="00B1622B">
        <w:t xml:space="preserve">and targeted </w:t>
      </w:r>
      <w:r w:rsidR="00B92A5E" w:rsidRPr="00B92A5E">
        <w:t>cessation</w:t>
      </w:r>
      <w:r w:rsidR="00B92A5E">
        <w:t xml:space="preserve"> </w:t>
      </w:r>
      <w:r w:rsidR="00DD148E" w:rsidRPr="00DD148E">
        <w:t>interventions. Tailoring program</w:t>
      </w:r>
      <w:r w:rsidR="00AA2878">
        <w:t>me</w:t>
      </w:r>
      <w:r w:rsidR="00DD148E" w:rsidRPr="00DD148E">
        <w:t xml:space="preserve">s to address the specific challenges faced by older </w:t>
      </w:r>
      <w:r w:rsidR="00D75C2A">
        <w:t xml:space="preserve">and </w:t>
      </w:r>
      <w:r w:rsidR="00B92A5E">
        <w:t>less advantaged</w:t>
      </w:r>
      <w:r w:rsidR="00D75C2A">
        <w:t xml:space="preserve"> </w:t>
      </w:r>
      <w:r w:rsidR="00001F78">
        <w:t xml:space="preserve">women </w:t>
      </w:r>
      <w:r w:rsidR="00F42F23">
        <w:t>– such as</w:t>
      </w:r>
      <w:r w:rsidR="00DD148E" w:rsidRPr="00DD148E">
        <w:t xml:space="preserve"> support with managing stress</w:t>
      </w:r>
      <w:r w:rsidR="00F42F23">
        <w:t>,</w:t>
      </w:r>
      <w:r w:rsidR="00747FBE">
        <w:t xml:space="preserve"> hormonal c</w:t>
      </w:r>
      <w:r w:rsidR="00C74565">
        <w:t>hanges</w:t>
      </w:r>
      <w:r w:rsidR="00DD148E" w:rsidRPr="00DD148E">
        <w:t>,</w:t>
      </w:r>
      <w:r w:rsidR="00F42F23">
        <w:t xml:space="preserve"> or caregiving responsibilities – </w:t>
      </w:r>
      <w:r w:rsidR="00DD148E" w:rsidRPr="00DD148E">
        <w:t xml:space="preserve">could be key to improving cessation outcomes in these groups. </w:t>
      </w:r>
      <w:r w:rsidR="008E47BB">
        <w:t>For example, s</w:t>
      </w:r>
      <w:r w:rsidR="00CD4247" w:rsidRPr="00CD4247">
        <w:t>tress relief is often cited as a primary reason for smoking</w:t>
      </w:r>
      <w:r w:rsidR="001B6A1B">
        <w:t>,</w:t>
      </w:r>
      <w:r w:rsidR="001B6A1B">
        <w:fldChar w:fldCharType="begin"/>
      </w:r>
      <w:r w:rsidR="00C50867">
        <w:instrText xml:space="preserve"> ADDIN ZOTERO_ITEM CSL_CITATION {"citationID":"zG1YeZ8D","properties":{"formattedCitation":"[63, 64]","plainCitation":"[63, 64]","noteIndex":0},"citationItems":[{"id":2982,"uris":["http://zotero.org/users/446899/items/WRP493LJ"],"itemData":{"id":2982,"type":"article-journal","abstract":"AbstractIntroduction:.  Understanding motivation to continue smoking may help the development of smoking cessation interventions. However, little information ex","container-title":"Nicotine &amp; Tobacco Research","DOI":"10.1093/ntr/ntp120","ISSN":"1462-2203","issue":"10","journalAbbreviation":"Nicotine Tob Res","language":"en","page":"1182-1188","source":"academic.oup.com","title":"Self-perceived smoking motives and their correlates in a general population sample","volume":"11","author":[{"family":"Fidler","given":"Jennifer A."},{"family":"West","given":"Robert"}],"issued":{"date-parts":[["2009",10,1]]}}},{"id":4134,"uris":["http://zotero.org/users/446899/items/Y8ABXIAJ"],"itemData":{"id":4134,"type":"article-journal","abstract":"Abstract.  This study investigated smokers' ratings of putative smoking motives and how these relate to smoking patterns, withdrawal symptoms, and short-term ab","container-title":"Nicotine &amp; Tobacco Research","DOI":"10.1080/14622200802027248","ISSN":"1462-2203","issue":"5","journalAbbreviation":"Nicotine Tob Res","language":"en","page":"843-850","source":"academic.oup.com","title":"Motives for Smoking and Their Correlates in Clients Attending Stop Smoking Treatment Services","volume":"10","author":[{"family":"McEwen","given":"Andy"},{"family":"West","given":"Robert"},{"family":"McRobbie","given":"Hayden"}],"issued":{"date-parts":[["2008",5,1]]}}}],"schema":"https://github.com/citation-style-language/schema/raw/master/csl-citation.json"} </w:instrText>
      </w:r>
      <w:r w:rsidR="001B6A1B">
        <w:fldChar w:fldCharType="separate"/>
      </w:r>
      <w:r w:rsidR="00C50867" w:rsidRPr="00C50867">
        <w:rPr>
          <w:rFonts w:ascii="Calibri" w:hAnsi="Calibri" w:cs="Calibri"/>
        </w:rPr>
        <w:t>[63, 64]</w:t>
      </w:r>
      <w:r w:rsidR="001B6A1B">
        <w:fldChar w:fldCharType="end"/>
      </w:r>
      <w:r w:rsidR="001B6A1B">
        <w:t xml:space="preserve"> </w:t>
      </w:r>
      <w:r w:rsidR="00CD4247" w:rsidRPr="00CD4247">
        <w:t>particularly among women,</w:t>
      </w:r>
      <w:r w:rsidR="001B6A1B">
        <w:fldChar w:fldCharType="begin"/>
      </w:r>
      <w:r w:rsidR="00C50867">
        <w:instrText xml:space="preserve"> ADDIN ZOTERO_ITEM CSL_CITATION {"citationID":"LyS4zesc","properties":{"formattedCitation":"[63]","plainCitation":"[63]","noteIndex":0},"citationItems":[{"id":2982,"uris":["http://zotero.org/users/446899/items/WRP493LJ"],"itemData":{"id":2982,"type":"article-journal","abstract":"AbstractIntroduction:.  Understanding motivation to continue smoking may help the development of smoking cessation interventions. However, little information ex","container-title":"Nicotine &amp; Tobacco Research","DOI":"10.1093/ntr/ntp120","ISSN":"1462-2203","issue":"10","journalAbbreviation":"Nicotine Tob Res","language":"en","page":"1182-1188","source":"academic.oup.com","title":"Self-perceived smoking motives and their correlates in a general population sample","volume":"11","author":[{"family":"Fidler","given":"Jennifer A."},{"family":"West","given":"Robert"}],"issued":{"date-parts":[["2009",10,1]]}}}],"schema":"https://github.com/citation-style-language/schema/raw/master/csl-citation.json"} </w:instrText>
      </w:r>
      <w:r w:rsidR="001B6A1B">
        <w:fldChar w:fldCharType="separate"/>
      </w:r>
      <w:r w:rsidR="00C50867" w:rsidRPr="00C50867">
        <w:rPr>
          <w:rFonts w:ascii="Calibri" w:hAnsi="Calibri" w:cs="Calibri"/>
        </w:rPr>
        <w:t>[63]</w:t>
      </w:r>
      <w:r w:rsidR="001B6A1B">
        <w:fldChar w:fldCharType="end"/>
      </w:r>
      <w:r w:rsidR="00CD4247" w:rsidRPr="00CD4247">
        <w:t xml:space="preserve"> who may view cigarettes as a vital coping mechanism</w:t>
      </w:r>
      <w:r w:rsidR="00CD4247">
        <w:t>.</w:t>
      </w:r>
      <w:r w:rsidR="00206C9E">
        <w:t xml:space="preserve"> </w:t>
      </w:r>
      <w:r w:rsidR="0053219D" w:rsidRPr="0053219D">
        <w:t xml:space="preserve">However, this belief is at odds with research showing that perceived stress levels actually </w:t>
      </w:r>
      <w:r w:rsidR="0053219D" w:rsidRPr="00BB1246">
        <w:rPr>
          <w:i/>
          <w:iCs/>
        </w:rPr>
        <w:t>decrease</w:t>
      </w:r>
      <w:r w:rsidR="0053219D" w:rsidRPr="0053219D">
        <w:t xml:space="preserve"> after quitting smoking</w:t>
      </w:r>
      <w:r w:rsidR="00206C9E" w:rsidRPr="00FC3199">
        <w:t>.</w:t>
      </w:r>
      <w:r w:rsidR="00206C9E">
        <w:fldChar w:fldCharType="begin"/>
      </w:r>
      <w:r w:rsidR="00C50867">
        <w:instrText xml:space="preserve"> ADDIN ZOTERO_ITEM CSL_CITATION {"citationID":"FUhreQGG","properties":{"formattedCitation":"[52, 65, 66]","plainCitation":"[52, 65, 66]","noteIndex":0},"citationItems":[{"id":86,"uris":["http://zotero.org/users/446899/items/W6F38NPF"],"itemData":{"id":86,"type":"article-journal","abstract":"Aims Many smokers believe that smoking helps them to cope with stress, and that stopping smoking would deprive them of an effective stress management tool. Changes in stress levels following long-term smoking cessation are not well mapped. This longitudinal project was designed to provide more robust data on post-cessation changes in perceived stress levels by following a cohort of smokers admitted to hospital after myocardial infarction (MI) or for coronary artery bypass (CAB) surgery, as such patients typically achieve higher continuous abstinence rates than other comparable samples. Design A total of 469 smokers hospitalized after MI or CAB surgery and wanting to stop smoking were seen in the hospital and completed 1-year follow-ups. Ratings of helpfulness of smoking in managing stress at baseline, smoking status (validated by salivary cotinine concentration) and ratings of perceived stress at baseline and at 1-year follow-up were collected. Findings Of the patients, 41% (n = 194) maintained abstinence for 1 year. Future abstainers and future smokers did not differ in baseline stress levels or in their perception of coping properties of smoking. However, abstainers recorded a significantly larger decrease in perceived stress than continuing smokers, and the result held when possible confounding factors were controlled for (P &lt; 0.001). Conclusions In highly dependent smokers who report that smoking helps them cope with stress, smoking cessation is associated with lowering of stress. Whatever immediate effects smoking may have on perceived stress, overall it may generate or aggravate negative emotional states. The results provide reassurance to smokers worried that stopping smoking may deprive them of a valuable coping resource.","container-title":"Addiction","DOI":"10.1111/j.1360-0443.2010.02979.x","ISSN":"1360-0443","issue":"8","language":"en","license":"© 2010 The Authors. Journal compilation © 2010 Society for the Study of Addiction","note":"_eprint: https://onlinelibrary.wiley.com/doi/pdf/10.1111/j.1360-0443.2010.02979.x","page":"1466-1471","source":"Wiley Online Library","title":"The effect of stopping smoking on perceived stress levels","volume":"105","author":[{"family":"Hajek","given":"Peter"},{"family":"Taylor","given":"Tamara"},{"family":"McRobbie","given":"Hayden"}],"issued":{"date-parts":[["2010"]]}}},{"id":4178,"uris":["http://zotero.org/users/446899/items/7STSDQ5F"],"itemData":{"id":4178,"type":"article-journal","container-title":"American Psychologist","issue":"10","page":"817","source":"Google Scholar","title":"Does cigarette smoking cause stress?","volume":"54","author":[{"family":"Parrott","given":"Andy C."}],"issued":{"date-parts":[["1999"]]}}},{"id":12766,"uris":["http://zotero.org/users/446899/items/UTHZNSDS"],"itemData":{"id":12766,"type":"article-journal","abstract":"BACKGROUND: There is a common perception that smoking generally helps people to manage stress, and may be a form of 'self-medication' in people with mental health conditions. However, there are biologically plausible reasons why smoking may worsen mental health through neuroadaptations arising from chronic smoking, leading to frequent nicotine withdrawal symptoms (e.g. anxiety, depression, irritability), in which case smoking cessation may help to improve rather than worsen mental health.\nOBJECTIVES: To examine the association between tobacco smoking cessation and change in mental health.\nSEARCH METHODS: We searched the Cochrane Tobacco Addiction Group's Specialised Register, Cochrane Central Register of Controlled Trials, MEDLINE, Embase, PsycINFO, and the trial registries clinicaltrials.gov and the International Clinical Trials Registry Platform, from 14 April 2012 to 07 January 2020. These were updated searches of a previously-conducted non-Cochrane review where searches were conducted from database inception to 13 April 2012.  SELECTION CRITERIA: We included controlled before-after studies, including randomised controlled trials (RCTs) analysed by smoking status at follow-up, and longitudinal cohort studies. In order to be eligible for inclusion studies had to recruit adults who smoked tobacco, and assess whether they quit or continued smoking during the study. They also had to measure a mental health outcome at baseline and at least six weeks later.\nDATA COLLECTION AND ANALYSIS: We followed standard Cochrane methods for screening and data extraction. Our primary outcomes were change in depression symptoms, anxiety symptoms or mixed anxiety and depression symptoms between baseline and follow-up. Secondary outcomes  included change in symptoms of stress, psychological quality of life, positive affect, and social impact or social quality of life, as well as new incidence of depression, anxiety, or mixed anxiety and depression disorders. We assessed the risk of bias for the primary outcomes using a modified ROBINS-I tool.  For change in mental health outcomes, we calculated the pooled standardised mean difference (SMD) and 95% confidence interval (95% CI) for the difference in change in mental health from baseline to follow-up between those who had quit smoking and those who had continued to smoke. For the incidence of psychological disorders, we calculated odds ratios (ORs) and 95% CIs. For all meta-analyses we used a generic inverse variance random-effects model and quantified statistical heterogeneity using I2. We conducted subgroup analyses to investigate any differences in associations between sub-populations, i.e. unselected people with mental illness, people with physical chronic diseases. We assessed the certainty of evidence for our primary outcomes (depression, anxiety, and mixed depression and anxiety) and our secondary social impact outcome using the eight GRADE considerations relevant to non-randomised studies (risk of bias, inconsistency, imprecision, indirectness, publication bias, magnitude of the effect, the influence of all plausible residual confounding, the presence of a dose-response gradient).\nMAIN RESULTS: We included 102 studies representing over 169,500 participants. Sixty-two of these were identified in the updated search for this review and 40 were included in the original version of the review.  Sixty-three studies provided data on change in mental health, 10 were included in meta-analyses of incidence of mental health disorders, and 31 were synthesised narratively.  For all primary outcomes, smoking cessation was associated with an improvement in mental health symptoms compared with continuing to smoke: anxiety symptoms (SMD -0.28, 95% CI -0.43 to -0.13; 15 studies, 3141 participants; I2 = 69%; low-certainty evidence); depression symptoms: (SMD -0.30, 95% CI -0.39 to -0.21; 34 studies, 7156 participants; I2 = 69%' very low-certainty evidence);  mixed anxiety and depression symptoms (SMD -0.31, 95% CI -0.40 to -0.22; 8 studies, 2829 participants; I2 = 0%; moderate certainty evidence).  These findings were robust to preplanned sensitivity analyses, and subgroup analysis generally did not produce evidence of differences in the effect size among subpopulations or based on methodological characteristics. All studies were deemed to be at serious risk of bias due to possible time-varying confounding, and three studies measuring depression symptoms were judged to be at critical risk of bias overall. There was also some evidence of funnel plot asymmetry. For these reasons, we rated our certainty in the estimates for anxiety as low, for depression as very low, and for mixed anxiety and depression as moderate. For the secondary outcomes, smoking cessation was associated with an improvement in symptoms of stress (SMD -0.19, 95% CI -0.34 to -0.04; 4 studies, 1792 participants; I2 = 50%), positive affect (SMD 0.22, 95% CI 0.11 to 0.33; 13 studies, 4880 participants; I2 = 75%), and psychological quality of life (SMD 0.11, 95% CI 0.06 to 0.16; 19 studies, 18,034 participants; I2 = 42%). There was also evidence that smoking cessation was not associated with a reduction in social quality of life, with the confidence interval incorporating the possibility of a small improvement (SMD 0.03, 95% CI 0.00 to 0.06; 9 studies, 14,673 participants; I2 = 0%). The incidence of new mixed anxiety and depression was lower in people who stopped smoking compared with those who continued (OR 0.76, 95% CI 0.66 to 0.86; 3 studies, 8685 participants; I2 = 57%), as was the incidence of anxiety disorder (OR 0.61, 95% CI 0.34 to 1.12; 2 studies, 2293 participants; I2 = 46%). We deemed it inappropriate to present a pooled estimate for the incidence of new cases of clinical depression, as there was high statistical heterogeneity (I2 = 87%).\nAUTHORS' CONCLUSIONS: Taken together, these data provide evidence that mental health does not worsen as a result of quitting smoking, and very low- to moderate-certainty evidence that smoking cessation is associated with small to moderate improvements in mental health.  These improvements are seen in both unselected samples and in subpopulations, including people diagnosed with mental health conditions. Additional studies that use more advanced methods to overcome time-varying confounding would strengthen the evidence in this area.","container-title":"The Cochrane Database of Systematic Reviews","DOI":"10.1002/14651858.CD013522.pub2","ISSN":"1469-493X","issue":"3","journalAbbreviation":"Cochrane Database Syst Rev","language":"eng","note":"PMID: 33687070\nPMCID: PMC8121093","page":"CD013522","source":"PubMed","title":"Smoking cessation for improving mental health","volume":"3","author":[{"family":"Taylor","given":"Gemma Mj"},{"family":"Lindson","given":"Nicola"},{"family":"Farley","given":"Amanda"},{"family":"Leinberger-Jabari","given":"Andrea"},{"family":"Sawyer","given":"Katherine"},{"family":"Te Water Naudé","given":"Rebecca"},{"family":"Theodoulou","given":"Annika"},{"family":"King","given":"Naomi"},{"family":"Burke","given":"Chloe"},{"family":"Aveyard","given":"Paul"}],"issued":{"date-parts":[["2021",3,9]]}}}],"schema":"https://github.com/citation-style-language/schema/raw/master/csl-citation.json"} </w:instrText>
      </w:r>
      <w:r w:rsidR="00206C9E">
        <w:fldChar w:fldCharType="separate"/>
      </w:r>
      <w:r w:rsidR="00C50867" w:rsidRPr="00C50867">
        <w:rPr>
          <w:rFonts w:ascii="Calibri" w:hAnsi="Calibri" w:cs="Calibri"/>
        </w:rPr>
        <w:t>[52, 65, 66]</w:t>
      </w:r>
      <w:r w:rsidR="00206C9E">
        <w:fldChar w:fldCharType="end"/>
      </w:r>
      <w:r w:rsidR="00206C9E" w:rsidRPr="00FC3199">
        <w:t xml:space="preserve"> </w:t>
      </w:r>
      <w:r w:rsidR="0053219D" w:rsidRPr="0053219D">
        <w:t xml:space="preserve">Highlighting this evidence </w:t>
      </w:r>
      <w:r w:rsidR="002E7A36">
        <w:t>could</w:t>
      </w:r>
      <w:r w:rsidR="0053219D" w:rsidRPr="0053219D">
        <w:t xml:space="preserve"> help reshape these perceptions and reduce</w:t>
      </w:r>
      <w:r w:rsidR="002E2D44">
        <w:t xml:space="preserve"> psychological</w:t>
      </w:r>
      <w:r w:rsidR="0053219D" w:rsidRPr="0053219D">
        <w:t xml:space="preserve"> resistance to quitting. Furthermore, acknowledging </w:t>
      </w:r>
      <w:r w:rsidR="00DD148E" w:rsidRPr="00DD148E">
        <w:t xml:space="preserve">the social and familial </w:t>
      </w:r>
      <w:r w:rsidR="002E2D44">
        <w:t>demands placed on</w:t>
      </w:r>
      <w:r w:rsidR="00DD148E" w:rsidRPr="00DD148E">
        <w:t xml:space="preserve"> mid-life women could </w:t>
      </w:r>
      <w:r w:rsidR="002E2D44">
        <w:t xml:space="preserve">help </w:t>
      </w:r>
      <w:r w:rsidR="00DD148E" w:rsidRPr="00DD148E">
        <w:t xml:space="preserve">make </w:t>
      </w:r>
      <w:r w:rsidR="0053219D">
        <w:t>cessation</w:t>
      </w:r>
      <w:r w:rsidR="00DD148E" w:rsidRPr="00DD148E">
        <w:t xml:space="preserve"> </w:t>
      </w:r>
      <w:r w:rsidR="009E167A" w:rsidRPr="009E167A">
        <w:t>support feel more responsive, supportive, and realistic</w:t>
      </w:r>
      <w:r w:rsidR="008D30B3">
        <w:t xml:space="preserve">, </w:t>
      </w:r>
      <w:r w:rsidR="00252F2C">
        <w:t>which may</w:t>
      </w:r>
      <w:r w:rsidR="008D30B3">
        <w:t xml:space="preserve"> improve </w:t>
      </w:r>
      <w:r w:rsidR="009E167A">
        <w:t>outcomes</w:t>
      </w:r>
      <w:r w:rsidR="0053219D">
        <w:t xml:space="preserve"> across</w:t>
      </w:r>
      <w:r w:rsidR="007961EE">
        <w:t xml:space="preserve"> the</w:t>
      </w:r>
      <w:r w:rsidR="00DD148E" w:rsidRPr="00DD148E">
        <w:t xml:space="preserve"> life course.</w:t>
      </w:r>
      <w:r w:rsidR="0098256E">
        <w:t xml:space="preserve"> </w:t>
      </w:r>
      <w:r w:rsidR="003E2409">
        <w:t>Finally, targeted s</w:t>
      </w:r>
      <w:r w:rsidR="003E2409" w:rsidRPr="003E2409">
        <w:t>moking cessation intervention</w:t>
      </w:r>
      <w:r w:rsidR="003E2409">
        <w:t>s</w:t>
      </w:r>
      <w:r w:rsidR="003E2409" w:rsidRPr="003E2409">
        <w:t xml:space="preserve"> for women who continue to smoke entering the menopausal transition may be a fruitful area for intervention development</w:t>
      </w:r>
      <w:r w:rsidR="003E2409">
        <w:t>.</w:t>
      </w:r>
      <w:r w:rsidR="003E2409" w:rsidRPr="003E2409">
        <w:t xml:space="preserve"> </w:t>
      </w:r>
      <w:r w:rsidR="0098256E">
        <w:t xml:space="preserve">Further, qualitative research with women </w:t>
      </w:r>
      <w:r w:rsidR="006D3652">
        <w:t xml:space="preserve">who smoke </w:t>
      </w:r>
      <w:r w:rsidR="0098256E">
        <w:t xml:space="preserve">of different ages </w:t>
      </w:r>
      <w:r w:rsidR="000C5F79">
        <w:t xml:space="preserve">and socioeconomic backgrounds </w:t>
      </w:r>
      <w:r w:rsidR="0098256E">
        <w:t>would be</w:t>
      </w:r>
      <w:r w:rsidR="00287EEE">
        <w:t xml:space="preserve"> important to </w:t>
      </w:r>
      <w:r w:rsidR="0098256E">
        <w:t>inform the development of</w:t>
      </w:r>
      <w:r w:rsidR="00287EEE">
        <w:t xml:space="preserve"> any</w:t>
      </w:r>
      <w:r w:rsidR="0098256E">
        <w:t xml:space="preserve"> such intervention</w:t>
      </w:r>
      <w:r w:rsidR="000C5F79">
        <w:t>s</w:t>
      </w:r>
      <w:r w:rsidR="0098256E">
        <w:t>.</w:t>
      </w:r>
    </w:p>
    <w:p w14:paraId="6EB82A54" w14:textId="42EECB0E" w:rsidR="00AB7769" w:rsidRPr="00AB7769" w:rsidRDefault="00AB7769" w:rsidP="005C2458">
      <w:r w:rsidRPr="00AB7769">
        <w:t xml:space="preserve">From an international perspective, these findings also have broader implications for tobacco control and public health policy. The socioeconomic and gendered patterns observed among women in Great Britain are consistent with evidence from other high-income countries showing that smoking is increasingly concentrated among people with fewer resources and that women face unique social </w:t>
      </w:r>
      <w:r w:rsidRPr="00AB7769">
        <w:lastRenderedPageBreak/>
        <w:t>and biological barriers to quitting.</w:t>
      </w:r>
      <w:r w:rsidR="00B608E0">
        <w:fldChar w:fldCharType="begin"/>
      </w:r>
      <w:r w:rsidR="00C50867">
        <w:instrText xml:space="preserve"> ADDIN ZOTERO_ITEM CSL_CITATION {"citationID":"osoLB3Mv","properties":{"formattedCitation":"[30, 67, 68]","plainCitation":"[30, 67, 68]","noteIndex":0},"citationItems":[{"id":351,"uris":["http://zotero.org/users/446899/items/DPH3UIQR"],"itemData":{"id":351,"type":"article-journal","abstract":"Smoking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Sciences","DOI":"10.1111/j.1749-6632.2011.06202.x","ISSN":"1749-6632","journalAbbreviation":"Ann. N. Y. Acad. Sci.","language":"eng","note":"PMID: 22092035","page":"107-123","source":"PubMed","title":"Socioeconomic status and smoking: a review","title-short":"Socioeconomic status and smoking","volume":"1248","author":[{"family":"Hiscock","given":"Rosemary"},{"family":"Bauld","given":"Linda"},{"family":"Amos","given":"Amanda"},{"family":"Fidler","given":"Jennifer A."},{"family":"Munafò","given":"Marcus"}],"issued":{"date-parts":[["2012",2]]}}},{"id":13483,"uris":["http://zotero.org/users/446899/items/FZHTWQ74"],"itemData":{"id":13483,"type":"article-journal","abstract":"OBJECTIVE: To determine whether in countries with high gender empowerment the female-to-male smoking prevalence ratio is also higher.\nMETHODS: Bivariate and multiple regression analyses were performed to explore the relation between the United Nations Development Programme's gender empowerment measure (GEM) and the female-to-male smoking prevalence ratio (calculated from the 2008 WHO global tobacco control report). Because a country's progression through the various stages of the tobacco epidemic and its gender smoking ratio (GSR) are thought to be influenced by its level of development, we explored this correlation as well, with economic development defined in terms of gross national income (GNI) per capita and income inequality (Gini coefficient).\nFINDINGS: The GSR was significantly and positively correlated with the GEM (r=0.680; P&lt;0.001). In addition, the GEM was the strongest predictor of the GSR (β, adjusted: 0.47; P&lt;0.0001) after controlling for GNI per capita and for Gini coefficient.\nCONCLUSION: Whether progress towards gender empowerment can take place without a corresponding increase in smoking among women remains to be seen. Strong tobacco control measures are needed in countries where women are being increasingly empowered.","container-title":"Bulletin of the World Health Organization","DOI":"10.2471/BLT.10.079905","ISSN":"1564-0604","issue":"3","journalAbbreviation":"Bull World Health Organ","language":"eng","note":"PMID: 21379415\nPMCID: PMC3044247","page":"195-202","source":"PubMed","title":"Gender empowerment and female-to-male smoking prevalence ratios","volume":"89","author":[{"family":"Hitchman","given":"Sara C."},{"family":"Fong","given":"Geoffrey T."}],"issued":{"date-parts":[["2011",3,1]]}}},{"id":13486,"uris":["http://zotero.org/users/446899/items/KKIJFC26"],"itemData":{"id":13486,"type":"article-journal","abstract":"Data from treatment studies tends to show women are less likely to quit smoking than men, but these findings have been disputed, typically based on contradictory evidence from epidemiological investigations. The purpose of this review was to shed light on this conflict. We conducted a qualitative review in January 2016 to examine sources of variation in sex/gender differences for smoking cessation. We identified 214 sex/gender difference tests from 190 studies through Medline and studies were categorized into efficacy trials (k=37), effectiveness trials (k=77), prospective observational studies of cessation (k=40; current smokers transitioning to former smokers), prospective observational studies of relapse (k=6; former smokers transitioning to current smokers), cross-sectional investigations of former smoker prevalence (k=32), and community-based interventions (k=4). We also summarized evidence across time periods, countries, outcome assessments, study sample, and treatment. Evidence from efficacy and effectiveness trials, as well as prospective observational studies of relapse, demonstrated that women have more difficulty maintaining long-term abstinence than men. Findings from prospective observational studies and cross-sectional investigations were mixed and demonstrated that bio-psycho-social variation in samples across place and time may determine whether or not women or men are less likely to quit smoking. Based on these findings, we consider whether sex/gender differences in quitting meet criteria for a disparity and outline directions for further research.","container-title":"Preventive Medicine","DOI":"10.1016/j.ypmed.2016.07.013","ISSN":"1096-0260","journalAbbreviation":"Prev Med","language":"eng","note":"PMID: 27471021\nPMCID: PMC5085924","page":"135-140","source":"PubMed","title":"Sex/gender differences in smoking cessation: A review","title-short":"Sex/gender differences in smoking cessation","volume":"92","author":[{"family":"Smith","given":"Philip H."},{"family":"Bessette","given":"Andrew J."},{"family":"Weinberger","given":"Andrea H."},{"family":"Sheffer","given":"Christine E."},{"family":"McKee","given":"Sherry A."}],"issued":{"date-parts":[["2016",11]]}}}],"schema":"https://github.com/citation-style-language/schema/raw/master/csl-citation.json"} </w:instrText>
      </w:r>
      <w:r w:rsidR="00B608E0">
        <w:fldChar w:fldCharType="separate"/>
      </w:r>
      <w:r w:rsidR="00C50867" w:rsidRPr="00C50867">
        <w:rPr>
          <w:rFonts w:ascii="Calibri" w:hAnsi="Calibri" w:cs="Calibri"/>
        </w:rPr>
        <w:t>[30, 67, 68]</w:t>
      </w:r>
      <w:r w:rsidR="00B608E0">
        <w:fldChar w:fldCharType="end"/>
      </w:r>
      <w:r w:rsidRPr="00AB7769">
        <w:t xml:space="preserve"> To reduce these inequities, international tobacco control strategies could benefit from adopting a gender-responsive approach</w:t>
      </w:r>
      <w:r w:rsidR="00023DAD">
        <w:t xml:space="preserve"> – </w:t>
      </w:r>
      <w:r w:rsidRPr="00AB7769">
        <w:t>for example, by integrating cessation support into reproductive and primary care services, ensuring that national quit programmes are accessible and relevant to women of different ages and socioeconomic backgrounds, and addressing structural determinants such as childcare responsibilities and financial stress. The WHO Framework Convention on Tobacco Control (FCTC) also emphasises the need to consider gender and social inequalities in tobacco policy,</w:t>
      </w:r>
      <w:r w:rsidR="00877EBB">
        <w:fldChar w:fldCharType="begin"/>
      </w:r>
      <w:r w:rsidR="00C50867">
        <w:instrText xml:space="preserve"> ADDIN ZOTERO_ITEM CSL_CITATION {"citationID":"ryOWmmfh","properties":{"formattedCitation":"[69]","plainCitation":"[69]","noteIndex":0},"citationItems":[{"id":13489,"uris":["http://zotero.org/users/446899/items/7WSR9Z2L"],"itemData":{"id":13489,"type":"book","abstract":"&lt;p&gt;This book contains the guidelines adopted by the Conference of the Parties. These seven guidelines cover a wide range of provisions of the WHO Framework Convention on Tobacco Control, such as: the protection of public health policies with respect to tobacco control from commercial and other vested interests of the tobacco industry; protection from exposure to tobacco smoke; packaging and labelling of tobacco products; and tobacco advertising, promotion and sponsorship; and demand reduction measures concerning tobacco dependence and cessation.&lt;br&gt;&lt;br&gt;These guidelines are intended to help Parties to meet their obligations under the respective provisions of the Convention. They reflect the consolidated views of Parties on different aspects of implementation, their experiences and achievements, and the challenges faced. The guidelines also aim to reflect and promote best practices and standards that governments would benefit from in the treaty-implementation process.&lt;/p&gt;","ISBN":"978-92-4-150518-5","language":"en","publisher":"World Health Organization","source":"www.who.int","title":"WHO Framework Convention on Tobacco Control: Guidelines for Implementation of Article 5.3, Articles 8 to 14","title-short":"WHO Framework Convention on Tobacco Control","URL":"https://www.who.int/publications/b/31122","author":[{"family":"World Health Organisation","given":""}],"accessed":{"date-parts":[["2025",10,9]]},"issued":{"date-parts":[["2013",1]]}}}],"schema":"https://github.com/citation-style-language/schema/raw/master/csl-citation.json"} </w:instrText>
      </w:r>
      <w:r w:rsidR="00877EBB">
        <w:fldChar w:fldCharType="separate"/>
      </w:r>
      <w:r w:rsidR="00C50867" w:rsidRPr="00C50867">
        <w:rPr>
          <w:rFonts w:ascii="Calibri" w:hAnsi="Calibri" w:cs="Calibri"/>
        </w:rPr>
        <w:t>[69]</w:t>
      </w:r>
      <w:r w:rsidR="00877EBB">
        <w:fldChar w:fldCharType="end"/>
      </w:r>
      <w:r w:rsidRPr="00AB7769">
        <w:t xml:space="preserve"> and our findings highlight the importance of strengthening these commitments through equitable access to cessation interventions globally.</w:t>
      </w:r>
      <w:r w:rsidR="00B56CF3">
        <w:fldChar w:fldCharType="begin"/>
      </w:r>
      <w:r w:rsidR="00C50867">
        <w:instrText xml:space="preserve"> ADDIN ZOTERO_ITEM CSL_CITATION {"citationID":"O5zwIXNZ","properties":{"formattedCitation":"[70]","plainCitation":"[70]","noteIndex":0},"citationItems":[{"id":13490,"uris":["http://zotero.org/users/446899/items/76YAIKSC"],"itemData":{"id":13490,"type":"article-journal","abstract":"This article assesses the effects of comprehensive tobacco control policies on diverse subpopulations of girls and women who are at increased vulnerability to tobacco use because of disadvantage. The authors report on a recent assessment of experimental literature examining tobacco taxation; smoking location restrictions in public and private spaces; and sales restrictions. A comprehensive search was undertaken to identify relevant studies and evaluation reports. Gender based and diversity analyses were performed to identify pertinent sex differences and gender influences that would affect the application and impact of the policy. Finally, the results were contextualised within the wider literature on women’s tobacco use and women’s health. The authors consider not only the intended policy effects, but also explicitly examine the gendered and/or unintended consequences of these policies on other aspects of girls and women’s health and wellbeing. A framework for developing gender sensitive tobacco programmes and policies for low income girls and women is provided.","container-title":"Journal of Epidemiology &amp; Community Health","DOI":"10.1136/jech.2005.045393","ISSN":"0143-005X, 1470-2738","issue":"suppl 2","language":"en","license":"Copyright 2006 Journal of Epidemiology and Community Health","note":"publisher: BMJ Publishing Group Ltd\nsection: Research report\nPMID: 17708012","page":"ii57-ii65","source":"jech.bmj.com","title":"Tobacco policies and vulnerable girls and women: toward a framework for gender sensitive policy development","title-short":"Tobacco policies and vulnerable girls and women","volume":"60","author":[{"family":"Greaves","given":"Lorraine"},{"family":"Jategaonkar","given":"Natasha"}],"issued":{"date-parts":[["2006",9,1]]}}}],"schema":"https://github.com/citation-style-language/schema/raw/master/csl-citation.json"} </w:instrText>
      </w:r>
      <w:r w:rsidR="00B56CF3">
        <w:fldChar w:fldCharType="separate"/>
      </w:r>
      <w:r w:rsidR="00C50867" w:rsidRPr="00C50867">
        <w:rPr>
          <w:rFonts w:ascii="Calibri" w:hAnsi="Calibri" w:cs="Calibri"/>
        </w:rPr>
        <w:t>[70]</w:t>
      </w:r>
      <w:r w:rsidR="00B56CF3">
        <w:fldChar w:fldCharType="end"/>
      </w:r>
    </w:p>
    <w:p w14:paraId="61F3BD42" w14:textId="22F50C37" w:rsidR="0015082F" w:rsidRDefault="0015082F" w:rsidP="005C2458">
      <w:r w:rsidRPr="005F023F">
        <w:t>This study ha</w:t>
      </w:r>
      <w:r w:rsidR="00461A6A">
        <w:t>s</w:t>
      </w:r>
      <w:r w:rsidRPr="005F023F">
        <w:t xml:space="preserve"> several limitations. </w:t>
      </w:r>
      <w:r w:rsidR="009F5D9F">
        <w:t>First, t</w:t>
      </w:r>
      <w:r w:rsidRPr="005F023F">
        <w:t xml:space="preserve">he cross-sectional nature of the data limits our ability to draw </w:t>
      </w:r>
      <w:r w:rsidRPr="00EF05DF">
        <w:t xml:space="preserve">causal conclusions about the relationships between age, socioeconomic position, and smoking behaviours. </w:t>
      </w:r>
      <w:r w:rsidR="00EF05DF">
        <w:t xml:space="preserve">It is not clear </w:t>
      </w:r>
      <w:r w:rsidR="00B73C8F">
        <w:t>how far</w:t>
      </w:r>
      <w:r w:rsidR="00EF05DF">
        <w:t xml:space="preserve"> </w:t>
      </w:r>
      <w:r w:rsidR="001F74DF">
        <w:t xml:space="preserve">the </w:t>
      </w:r>
      <w:r w:rsidR="00EF05DF">
        <w:t xml:space="preserve">age-related differences observed </w:t>
      </w:r>
      <w:r w:rsidR="00B73C8F">
        <w:t xml:space="preserve">reflect cohort effects as opposed to changes within individuals across the life course. </w:t>
      </w:r>
      <w:r w:rsidRPr="00EF05DF">
        <w:t xml:space="preserve">Longitudinal studies would </w:t>
      </w:r>
      <w:r w:rsidR="008371BE">
        <w:t>help</w:t>
      </w:r>
      <w:r w:rsidRPr="00EF05DF">
        <w:t xml:space="preserve"> better understand how smoking behaviours and cessation </w:t>
      </w:r>
      <w:r w:rsidRPr="004937E9">
        <w:t xml:space="preserve">outcomes evolve over time, particularly </w:t>
      </w:r>
      <w:r w:rsidR="008371BE">
        <w:t>during</w:t>
      </w:r>
      <w:r w:rsidRPr="004937E9">
        <w:t xml:space="preserve"> life stage transitions such as pregnancy, menopause, and retirement.</w:t>
      </w:r>
      <w:r w:rsidR="00720C50">
        <w:t xml:space="preserve"> </w:t>
      </w:r>
      <w:r w:rsidR="00AD24AD">
        <w:t>Second</w:t>
      </w:r>
      <w:r w:rsidR="00A1010F">
        <w:t xml:space="preserve">, </w:t>
      </w:r>
      <w:r w:rsidRPr="004937E9">
        <w:t xml:space="preserve">the use of self-reported data may introduce bias, as </w:t>
      </w:r>
      <w:r w:rsidR="004937E9">
        <w:t>people</w:t>
      </w:r>
      <w:r w:rsidRPr="004937E9">
        <w:t xml:space="preserve"> may underreport smoking or misremember quit attempts, particularly among those who quit </w:t>
      </w:r>
      <w:r w:rsidR="007C797D">
        <w:t>some time</w:t>
      </w:r>
      <w:r w:rsidR="004937E9" w:rsidRPr="004937E9">
        <w:t xml:space="preserve"> </w:t>
      </w:r>
      <w:r w:rsidRPr="004937E9">
        <w:t>ag</w:t>
      </w:r>
      <w:r w:rsidR="00EF5EEF">
        <w:t xml:space="preserve">o. </w:t>
      </w:r>
      <w:r w:rsidR="00621ABC">
        <w:t xml:space="preserve">Third, </w:t>
      </w:r>
      <w:r w:rsidR="00B24B6E">
        <w:t>we</w:t>
      </w:r>
      <w:r w:rsidR="00621ABC" w:rsidRPr="00621ABC">
        <w:t xml:space="preserve"> use</w:t>
      </w:r>
      <w:r w:rsidR="00B24B6E">
        <w:t>d</w:t>
      </w:r>
      <w:r w:rsidR="00621ABC" w:rsidRPr="00621ABC">
        <w:t xml:space="preserve"> a broad binary measure of occupational social grade</w:t>
      </w:r>
      <w:r w:rsidR="005C491A">
        <w:t>;</w:t>
      </w:r>
      <w:r w:rsidR="00621ABC" w:rsidRPr="00621ABC">
        <w:t xml:space="preserve"> future research using finer distinctions or alternative indicators of socioeconomic position (e.g.</w:t>
      </w:r>
      <w:r w:rsidR="00621ABC">
        <w:t>,</w:t>
      </w:r>
      <w:r w:rsidR="00621ABC" w:rsidRPr="00621ABC">
        <w:t xml:space="preserve"> education or income) may provide additional insight into the mechanisms underpinning these inequalities. </w:t>
      </w:r>
      <w:r w:rsidRPr="000A08A3">
        <w:t>Finally,</w:t>
      </w:r>
      <w:r w:rsidR="004937E9" w:rsidRPr="000A08A3">
        <w:t xml:space="preserve"> despite</w:t>
      </w:r>
      <w:r w:rsidRPr="000A08A3">
        <w:t xml:space="preserve"> the </w:t>
      </w:r>
      <w:r w:rsidR="004937E9" w:rsidRPr="000A08A3">
        <w:t xml:space="preserve">large overall </w:t>
      </w:r>
      <w:r w:rsidRPr="000A08A3">
        <w:t xml:space="preserve">sample size, </w:t>
      </w:r>
      <w:r w:rsidR="00B14546">
        <w:t>the</w:t>
      </w:r>
      <w:r w:rsidR="00EF4E93">
        <w:t>re were</w:t>
      </w:r>
      <w:r w:rsidRPr="000A08A3">
        <w:t xml:space="preserve"> relatively small </w:t>
      </w:r>
      <w:r w:rsidR="00117AF2" w:rsidRPr="000A08A3">
        <w:t>numbers of participants within</w:t>
      </w:r>
      <w:r w:rsidRPr="000A08A3">
        <w:t xml:space="preserve"> certain age bands, particularly in the older age ranges</w:t>
      </w:r>
      <w:r w:rsidR="003B342A">
        <w:t xml:space="preserve"> and when restricting the sam</w:t>
      </w:r>
      <w:r w:rsidR="00F060F9">
        <w:t>pl</w:t>
      </w:r>
      <w:r w:rsidR="003B342A">
        <w:t>e to t</w:t>
      </w:r>
      <w:r w:rsidR="00FF4579">
        <w:t xml:space="preserve">hose who had smoked or attempted to quit in the past year. This </w:t>
      </w:r>
      <w:r w:rsidRPr="000A08A3">
        <w:t>could affect the precision of some estimates and contribute to uncertainty in the findings.</w:t>
      </w:r>
      <w:r w:rsidR="00117AF2" w:rsidRPr="000A08A3">
        <w:t xml:space="preserve"> </w:t>
      </w:r>
      <w:r w:rsidR="003B342A" w:rsidRPr="003B342A">
        <w:t xml:space="preserve">However, the use of restricted cubic splines to model age-related differences helps mitigate this issue by incorporating data from participants across all ages to estimate the prevalence of a given outcome for each </w:t>
      </w:r>
      <w:r w:rsidR="003B342A" w:rsidRPr="0010385D">
        <w:t>specific year of age. This approach provides greater statistical power than treating age as a categorical variable, allowing for more accurate and nuanced age-specific estimate</w:t>
      </w:r>
      <w:r w:rsidR="00DC0AB8" w:rsidRPr="0010385D">
        <w:t>s.</w:t>
      </w:r>
    </w:p>
    <w:p w14:paraId="0EE9C5D6" w14:textId="77777777" w:rsidR="00E24583" w:rsidRPr="0010385D" w:rsidRDefault="00E24583" w:rsidP="005C2458"/>
    <w:p w14:paraId="7717E105" w14:textId="25CD0164" w:rsidR="00E24583" w:rsidRDefault="00E24583" w:rsidP="00E24583">
      <w:pPr>
        <w:pStyle w:val="Heading2"/>
      </w:pPr>
      <w:r>
        <w:t>Conclusions</w:t>
      </w:r>
    </w:p>
    <w:p w14:paraId="43D3AB06" w14:textId="031927C8" w:rsidR="006C1529" w:rsidRPr="00462E1A" w:rsidRDefault="00E24583" w:rsidP="00462E1A">
      <w:r>
        <w:t>This</w:t>
      </w:r>
      <w:r w:rsidR="005C2458" w:rsidRPr="005C2458">
        <w:t xml:space="preserve"> study underscores the importance of considering both age and socioeconomic position when designing smoking cessation interventions for women. Tailored strategies that </w:t>
      </w:r>
      <w:r w:rsidR="00CD5BB1">
        <w:t>respond to</w:t>
      </w:r>
      <w:r w:rsidR="005C2458" w:rsidRPr="005C2458">
        <w:t xml:space="preserve"> the unique challenges and life circumstances of women at different ages</w:t>
      </w:r>
      <w:r w:rsidR="00CD5BB1">
        <w:t xml:space="preserve"> – especially those in mid-life </w:t>
      </w:r>
      <w:r w:rsidR="00CD5BB1">
        <w:lastRenderedPageBreak/>
        <w:t xml:space="preserve">and </w:t>
      </w:r>
      <w:r w:rsidR="005C2458" w:rsidRPr="005C2458">
        <w:t>from less advantaged backgrounds</w:t>
      </w:r>
      <w:r w:rsidR="00CD5BB1">
        <w:t xml:space="preserve"> –</w:t>
      </w:r>
      <w:r w:rsidR="005C2458" w:rsidRPr="005C2458">
        <w:t xml:space="preserve"> could improve smoking cessation outcomes and reduce health </w:t>
      </w:r>
      <w:r w:rsidR="00B80072">
        <w:t>inequalities</w:t>
      </w:r>
      <w:r w:rsidR="005C2458" w:rsidRPr="005C2458">
        <w:t>. Future research should explore the underlying factors that contribute to these age-</w:t>
      </w:r>
      <w:r w:rsidR="00105E15">
        <w:t>related</w:t>
      </w:r>
      <w:r w:rsidR="005C2458" w:rsidRPr="005C2458">
        <w:t xml:space="preserve"> and socioeconomic differences in smoking behaviours and cessation success, </w:t>
      </w:r>
      <w:r w:rsidR="00BD6323">
        <w:t>to inform the development of</w:t>
      </w:r>
      <w:r w:rsidR="005C2458" w:rsidRPr="005C2458">
        <w:t xml:space="preserve"> targeted interventions.</w:t>
      </w:r>
      <w:r w:rsidR="006C1529" w:rsidRPr="00D55BAF">
        <w:rPr>
          <w:rFonts w:cstheme="minorHAnsi"/>
        </w:rPr>
        <w:br w:type="page"/>
      </w:r>
    </w:p>
    <w:p w14:paraId="2A54E025" w14:textId="77777777" w:rsidR="004F27FB" w:rsidRPr="00D55BAF" w:rsidRDefault="004F27FB" w:rsidP="00D55BAF">
      <w:pPr>
        <w:pStyle w:val="Heading2"/>
      </w:pPr>
      <w:r w:rsidRPr="00D55BAF">
        <w:lastRenderedPageBreak/>
        <w:t>References</w:t>
      </w:r>
    </w:p>
    <w:p w14:paraId="0B33C959" w14:textId="77777777" w:rsidR="00C50867" w:rsidRDefault="00912AA1" w:rsidP="00C50867">
      <w:pPr>
        <w:pStyle w:val="Bibliography"/>
      </w:pPr>
      <w:r>
        <w:rPr>
          <w:rFonts w:cstheme="minorHAnsi"/>
        </w:rPr>
        <w:fldChar w:fldCharType="begin"/>
      </w:r>
      <w:r w:rsidR="00643098">
        <w:rPr>
          <w:rFonts w:cstheme="minorHAnsi"/>
        </w:rPr>
        <w:instrText xml:space="preserve"> ADDIN ZOTERO_BIBL {"uncited":[],"omitted":[],"custom":[]} CSL_BIBLIOGRAPHY </w:instrText>
      </w:r>
      <w:r>
        <w:rPr>
          <w:rFonts w:cstheme="minorHAnsi"/>
        </w:rPr>
        <w:fldChar w:fldCharType="separate"/>
      </w:r>
      <w:r w:rsidR="00C50867">
        <w:t>1. Huxley RR, Woodward M. Cigarette smoking as a risk factor for coronary heart disease in women compared with men: a systematic review and meta-analysis of prospective cohort studies. The Lancet. 2011;378:1297–305. https://doi.org/10.1016/S0140-6736(11)60781-2.</w:t>
      </w:r>
    </w:p>
    <w:p w14:paraId="5CC000F2" w14:textId="77777777" w:rsidR="00C50867" w:rsidRDefault="00C50867" w:rsidP="00C50867">
      <w:pPr>
        <w:pStyle w:val="Bibliography"/>
      </w:pPr>
      <w:r>
        <w:t>2. Sørheim I-C, Johannessen A, Gulsvik A, Bakke PS, Silverman EK, DeMeo DL. Gender differences in COPD: are women more susceptible to smoking effects than men? Thorax. 2010;65:480–5. https://doi.org/10.1136/thx.2009.122002.</w:t>
      </w:r>
    </w:p>
    <w:p w14:paraId="4CF124CC" w14:textId="77777777" w:rsidR="00C50867" w:rsidRDefault="00C50867" w:rsidP="00C50867">
      <w:pPr>
        <w:pStyle w:val="Bibliography"/>
      </w:pPr>
      <w:r>
        <w:t>3. Malevolti MC, Lugo A, Scala M, Gallus S, Gorini G, Lachi A, et al. Dose-risk relationships between cigarette smoking and cervical cancer: a systematic review and meta-analysis. Eur J Cancer Prev. 2023;32:171. https://doi.org/10.1097/CEJ.0000000000000773.</w:t>
      </w:r>
    </w:p>
    <w:p w14:paraId="5A1D7AA1" w14:textId="77777777" w:rsidR="00C50867" w:rsidRDefault="00C50867" w:rsidP="00C50867">
      <w:pPr>
        <w:pStyle w:val="Bibliography"/>
      </w:pPr>
      <w:r>
        <w:t>4. Yoon V, Maalouf NM, Sakhaee K. The effects of smoking on bone metabolism. Osteoporos Int. 2012;23:2081–92. https://doi.org/10.1007/s00198-012-1940-y.</w:t>
      </w:r>
    </w:p>
    <w:p w14:paraId="37F64822" w14:textId="77777777" w:rsidR="00C50867" w:rsidRDefault="00C50867" w:rsidP="00C50867">
      <w:pPr>
        <w:pStyle w:val="Bibliography"/>
      </w:pPr>
      <w:r>
        <w:t>5. Augood C, Duckitt K, Templeton AA. Smoking and female infertility: a systematic review and meta-analysis. Hum Reprod. 1998;13:1532–9. https://doi.org/10.1093/humrep/13.6.1532.</w:t>
      </w:r>
    </w:p>
    <w:p w14:paraId="7E3A0B6D" w14:textId="77777777" w:rsidR="00C50867" w:rsidRDefault="00C50867" w:rsidP="00C50867">
      <w:pPr>
        <w:pStyle w:val="Bibliography"/>
      </w:pPr>
      <w:r>
        <w:t>6. Sun L, Tan L, Yang F, Luo Y, Li X, Deng H-W, et al. Meta-analysis suggests that smoking is associated with an increased risk of early natural menopause. Menopause. 2012;19:126. https://doi.org/10.1097/gme.0b013e318224f9ac.</w:t>
      </w:r>
    </w:p>
    <w:p w14:paraId="13D554F4" w14:textId="77777777" w:rsidR="00C50867" w:rsidRDefault="00C50867" w:rsidP="00C50867">
      <w:pPr>
        <w:pStyle w:val="Bibliography"/>
      </w:pPr>
      <w:r>
        <w:t>7. Cnattingius S. The epidemiology of smoking during pregnancy: Smoking prevalence, maternal characteristics, and pregnancy outcomes. Nicotine Tob Res. 2004;6 Suppl_2:S125–40. https://doi.org/10.1080/14622200410001669187.</w:t>
      </w:r>
    </w:p>
    <w:p w14:paraId="7A28CDF5" w14:textId="77777777" w:rsidR="00C50867" w:rsidRDefault="00C50867" w:rsidP="00C50867">
      <w:pPr>
        <w:pStyle w:val="Bibliography"/>
      </w:pPr>
      <w:r>
        <w:t>8. Office for National Statistics. Adult smoking habits in the UK: 2023. 2024.</w:t>
      </w:r>
    </w:p>
    <w:p w14:paraId="0A722E7D" w14:textId="77777777" w:rsidR="00C50867" w:rsidRDefault="00C50867" w:rsidP="00C50867">
      <w:pPr>
        <w:pStyle w:val="Bibliography"/>
      </w:pPr>
      <w:r>
        <w:t>9. Pesce G, Marcon A, Calciano L, Perret JL, Abramson MJ, Bono R, et al. Time and age trends in smoking cessation in Europe. PLOS ONE. 2019;14:e0211976. https://doi.org/10.1371/journal.pone.0211976.</w:t>
      </w:r>
    </w:p>
    <w:p w14:paraId="596E15E6" w14:textId="77777777" w:rsidR="00C50867" w:rsidRDefault="00C50867" w:rsidP="00C50867">
      <w:pPr>
        <w:pStyle w:val="Bibliography"/>
      </w:pPr>
      <w:r>
        <w:t>10. Fidler J, Ferguson SG, Brown J, Stapleton J, West R. How does rate of smoking cessation vary by age, gender and social grade? Findings from a population survey in England. Addiction. 2013;108:1680–5. https://doi.org/10.1111/add.12241.</w:t>
      </w:r>
    </w:p>
    <w:p w14:paraId="6F4B0400" w14:textId="77777777" w:rsidR="00C50867" w:rsidRDefault="00C50867" w:rsidP="00C50867">
      <w:pPr>
        <w:pStyle w:val="Bibliography"/>
      </w:pPr>
      <w:r>
        <w:t>11. Jackson SE, Brown J, Shahab L, Cox S. Trends in non-daily cigarette smoking in England, 2006–2024. BMC Med. 2024;22:426. https://doi.org/10.1186/s12916-024-03635-1.</w:t>
      </w:r>
    </w:p>
    <w:p w14:paraId="2BE55FF9" w14:textId="77777777" w:rsidR="00C50867" w:rsidRDefault="00C50867" w:rsidP="00C50867">
      <w:pPr>
        <w:pStyle w:val="Bibliography"/>
      </w:pPr>
      <w:r>
        <w:t>12. Jackson SE, Brown J, Notley C, Shahab L, Cox S. Characterising smoking and nicotine use behaviours among women of reproductive age: a 10-year population study in England. BMC Med. 2024;22:99. https://doi.org/10.1186/s12916-024-03311-4.</w:t>
      </w:r>
    </w:p>
    <w:p w14:paraId="199FA38F" w14:textId="77777777" w:rsidR="00C50867" w:rsidRDefault="00C50867" w:rsidP="00C50867">
      <w:pPr>
        <w:pStyle w:val="Bibliography"/>
      </w:pPr>
      <w:r>
        <w:t>13. Tinkler P. Rebellion, modernity, and romance: Smoking as a gendered practice in popular young women’s magazines, britain 1918–1939. Womens Stud Int Forum. 2001;24:111–22. https://doi.org/10.1016/S0277-5395(00)00165-5.</w:t>
      </w:r>
    </w:p>
    <w:p w14:paraId="1C525F19" w14:textId="77777777" w:rsidR="00C50867" w:rsidRDefault="00C50867" w:rsidP="00C50867">
      <w:pPr>
        <w:pStyle w:val="Bibliography"/>
      </w:pPr>
      <w:r>
        <w:t>14. Triandafilidis Z, Ussher JM, Perz J, Huppatz K. Doing and undoing femininities: An intersectional analysis of young women’s smoking. Fem Psychol. 2017;27:465–88. https://doi.org/10.1177/0959353517693030.</w:t>
      </w:r>
    </w:p>
    <w:p w14:paraId="1F16F3C3" w14:textId="77777777" w:rsidR="00C50867" w:rsidRDefault="00C50867" w:rsidP="00C50867">
      <w:pPr>
        <w:pStyle w:val="Bibliography"/>
      </w:pPr>
      <w:r>
        <w:lastRenderedPageBreak/>
        <w:t>15. Amos A, Haglund M. From social taboo to “torch of freedom”: the marketing of cigarettes to women. Tob Control. 2000;9:3–8. https://doi.org/10.1136/tc.9.1.3.</w:t>
      </w:r>
    </w:p>
    <w:p w14:paraId="4E9243B9" w14:textId="77777777" w:rsidR="00C50867" w:rsidRDefault="00C50867" w:rsidP="00C50867">
      <w:pPr>
        <w:pStyle w:val="Bibliography"/>
      </w:pPr>
      <w:r>
        <w:t>16. Amos A. Women and smoking. Br Med Bull. 1996;52:74–89. https://doi.org/10.1093/oxfordjournals.bmb.a011534.</w:t>
      </w:r>
    </w:p>
    <w:p w14:paraId="5C3CFFC6" w14:textId="77777777" w:rsidR="00C50867" w:rsidRDefault="00C50867" w:rsidP="00C50867">
      <w:pPr>
        <w:pStyle w:val="Bibliography"/>
      </w:pPr>
      <w:r>
        <w:t>17. Pomerleau CS, Zucker AN, Stewart AJ. Characterizing concerns about post-cessation weight gain: results from a national survey of women smokers. Nicotine Tob Res. 2001;3:51–60. https://doi.org/10.1080/14622200125675.</w:t>
      </w:r>
    </w:p>
    <w:p w14:paraId="2B2D3A87" w14:textId="77777777" w:rsidR="00C50867" w:rsidRDefault="00C50867" w:rsidP="00C50867">
      <w:pPr>
        <w:pStyle w:val="Bibliography"/>
      </w:pPr>
      <w:r>
        <w:t>18. Levine MD, Marcus MD, Perkins KA. Women, weight, and smoking: A cognitive behavioral approach to women’s concerns about weight gain following smoking cessation. Cogn Behav Pract. 2003;10:105–11. https://doi.org/10.1016/S1077-7229(03)80018-4.</w:t>
      </w:r>
    </w:p>
    <w:p w14:paraId="012B2098" w14:textId="77777777" w:rsidR="00C50867" w:rsidRDefault="00C50867" w:rsidP="00C50867">
      <w:pPr>
        <w:pStyle w:val="Bibliography"/>
      </w:pPr>
      <w:r>
        <w:t>19. McBride CM, Pirie PL. Postpartum smoking relapse. Addict Behav. 1990;15:165–8. https://doi.org/10.1016/0306-4603(90)90020-X.</w:t>
      </w:r>
    </w:p>
    <w:p w14:paraId="6E8E08A2" w14:textId="77777777" w:rsidR="00C50867" w:rsidRDefault="00C50867" w:rsidP="00C50867">
      <w:pPr>
        <w:pStyle w:val="Bibliography"/>
      </w:pPr>
      <w:r>
        <w:t>20. Zucker AN, Harrell ZA, Miner-Rubino K, Stewart AJ, Pomerleau CS, Boyd CJ. Smoking in College Women: The Role of Thinness Pressures, Media Exposure, and Critical Consciousness. Psychol Women Q. 2001;25:233–41. https://doi.org/10.1111/1471-6402.00024.</w:t>
      </w:r>
    </w:p>
    <w:p w14:paraId="59EE2F81" w14:textId="77777777" w:rsidR="00C50867" w:rsidRDefault="00C50867" w:rsidP="00C50867">
      <w:pPr>
        <w:pStyle w:val="Bibliography"/>
      </w:pPr>
      <w:r>
        <w:t>21. McDermott LJ, Dobson A, Owen N. From partying to parenthood: young women’s perceptions of cigarette smoking across life transitions. Health Educ Res. 2006;21:428–39. https://doi.org/10.1093/her/cyl041.</w:t>
      </w:r>
    </w:p>
    <w:p w14:paraId="21A14899" w14:textId="77777777" w:rsidR="00C50867" w:rsidRDefault="00C50867" w:rsidP="00C50867">
      <w:pPr>
        <w:pStyle w:val="Bibliography"/>
      </w:pPr>
      <w:r>
        <w:t>22. Graham H, Hawkins SS, Law C. Lifecourse influences on women’s smoking before, during and after pregnancy. Soc Sci Med. 2010;70:582–7. https://doi.org/10.1016/j.socscimed.2009.10.041.</w:t>
      </w:r>
    </w:p>
    <w:p w14:paraId="436ADC2A" w14:textId="77777777" w:rsidR="00C50867" w:rsidRDefault="00C50867" w:rsidP="00C50867">
      <w:pPr>
        <w:pStyle w:val="Bibliography"/>
      </w:pPr>
      <w:r>
        <w:t>23. Chesney MA. Women, Work-Related Stress, and Smoking. In: Frankenhaeuser M, Lundberg U, Chesney M, editors. Women, Work, and Health: Stress and Opportunities. Boston, MA: Springer US; 1991. p. 139–55. https://doi.org/10.1007/978-1-4615-3712-0_7.</w:t>
      </w:r>
    </w:p>
    <w:p w14:paraId="758D1524" w14:textId="77777777" w:rsidR="00C50867" w:rsidRDefault="00C50867" w:rsidP="00C50867">
      <w:pPr>
        <w:pStyle w:val="Bibliography"/>
      </w:pPr>
      <w:r>
        <w:t>24. Cook S, Curtis J, Buszkiewicz JH, Brouwer AF, Fleischer NL. Financial Strain and Smoking Cessation and Relapse Among U.S. Adults Who Smoke: A Longitudinal Cohort Study. Am J Prev Med. 2025;68:164–71. https://doi.org/10.1016/j.amepre.2024.09.012.</w:t>
      </w:r>
    </w:p>
    <w:p w14:paraId="4070F6C5" w14:textId="77777777" w:rsidR="00C50867" w:rsidRDefault="00C50867" w:rsidP="00C50867">
      <w:pPr>
        <w:pStyle w:val="Bibliography"/>
      </w:pPr>
      <w:r>
        <w:t>25. Lawless MH, Harrison KA, Grandits GA, Eberly LE, Allen SS. Perceived stress and smoking-related behaviors and symptomatology in male and female smokers. Addict Behav. 2015;51:80–3. https://doi.org/10.1016/j.addbeh.2015.07.011.</w:t>
      </w:r>
    </w:p>
    <w:p w14:paraId="48B7C499" w14:textId="77777777" w:rsidR="00C50867" w:rsidRDefault="00C50867" w:rsidP="00C50867">
      <w:pPr>
        <w:pStyle w:val="Bibliography"/>
      </w:pPr>
      <w:r>
        <w:t>26. Opazo Breton M, Gillespie D, Pryce R, Bogdanovica I, Angus C, Hernandez Alava M, et al. Understanding long-term trends in smoking in England, 1972–2019: an age–period–cohort approach. Addiction. 2022;117:1392–403. https://doi.org/10.1111/add.15696.</w:t>
      </w:r>
    </w:p>
    <w:p w14:paraId="4CFE040A" w14:textId="77777777" w:rsidR="00C50867" w:rsidRDefault="00C50867" w:rsidP="00C50867">
      <w:pPr>
        <w:pStyle w:val="Bibliography"/>
      </w:pPr>
      <w:r>
        <w:t>27. Kerr S, Watson H, Tolson D, Lough M, Brown M. Smoking after the age of 65 years: a qualitative exploration of older current and former smokers’ views on smoking, stopping smoking, and smoking cessation resources and services. Health Soc Care Community. 2006;14:572–82. https://doi.org/10.1111/j.1365-2524.2006.00659.x.</w:t>
      </w:r>
    </w:p>
    <w:p w14:paraId="47EDC109" w14:textId="77777777" w:rsidR="00C50867" w:rsidRDefault="00C50867" w:rsidP="00C50867">
      <w:pPr>
        <w:pStyle w:val="Bibliography"/>
      </w:pPr>
      <w:r>
        <w:t>28. Arancini L, Borland R, Le Grande M, Mohebbi M, Dodd S, Dean OM, et al. Age as a predictor of quit attempts and quit success in smoking cessation: findings from the International Tobacco Control Four-Country survey (2002–14). Addiction. 2021;116:2509–20. https://doi.org/10.1111/add.15454.</w:t>
      </w:r>
    </w:p>
    <w:p w14:paraId="0713421A" w14:textId="77777777" w:rsidR="00C50867" w:rsidRDefault="00C50867" w:rsidP="00C50867">
      <w:pPr>
        <w:pStyle w:val="Bibliography"/>
      </w:pPr>
      <w:r>
        <w:lastRenderedPageBreak/>
        <w:t>29. Huggett SB, Keyes M, Iacono WG, McGue M, Corley RP, Hewitt JK, et al. Age of initiation and transition times to tobacco dependence: early onset and rapid escalated use increase risk for dependence severity. Drug Alcohol Depend. 2019;202:104–10.</w:t>
      </w:r>
    </w:p>
    <w:p w14:paraId="08DB8C08" w14:textId="77777777" w:rsidR="00C50867" w:rsidRDefault="00C50867" w:rsidP="00C50867">
      <w:pPr>
        <w:pStyle w:val="Bibliography"/>
      </w:pPr>
      <w:r>
        <w:t>30. Hiscock R, Bauld L, Amos A, Fidler JA, Munafò M. Socioeconomic status and smoking: a review. Ann N Y Acad Sci. 2012;1248:107–23. https://doi.org/10.1111/j.1749-6632.2011.06202.x.</w:t>
      </w:r>
    </w:p>
    <w:p w14:paraId="6997C54D" w14:textId="77777777" w:rsidR="00C50867" w:rsidRDefault="00C50867" w:rsidP="00C50867">
      <w:pPr>
        <w:pStyle w:val="Bibliography"/>
      </w:pPr>
      <w:r>
        <w:t>31. Orton S, Coleman T, Coleman-Haynes T, Ussher M. Predictors of Postpartum Return to Smoking: A Systematic Review. Nicotine Tob Res Off J Soc Res Nicotine Tob. 2018;20:665–73. https://doi.org/10.1093/ntr/ntx163.</w:t>
      </w:r>
    </w:p>
    <w:p w14:paraId="7E79163A" w14:textId="77777777" w:rsidR="00C50867" w:rsidRDefault="00C50867" w:rsidP="00C50867">
      <w:pPr>
        <w:pStyle w:val="Bibliography"/>
      </w:pPr>
      <w:r>
        <w:t>32. Fidler JA, Shahab L, West O, Jarvis MJ, McEwen A, Stapleton JA, et al. “The smoking toolkit study”: a national study of smoking and smoking cessation in England. BMC Public Health. 2011;11:479. https://doi.org/10.1186/1471-2458-11-479.</w:t>
      </w:r>
    </w:p>
    <w:p w14:paraId="0656A78F" w14:textId="77777777" w:rsidR="00C50867" w:rsidRDefault="00C50867" w:rsidP="00C50867">
      <w:pPr>
        <w:pStyle w:val="Bibliography"/>
      </w:pPr>
      <w:r>
        <w:t>33. Kock L, Shahab L, Moore G, Beard E, Bauld L, Reid G, et al. Protocol for expansion of an existing national monthly survey of smoking behaviour and alcohol use in England to Scotland and Wales: The Smoking and Alcohol Toolkit Study. Wellcome Open Res. 2021;6:67. https://doi.org/10.12688/wellcomeopenres.16700.1.</w:t>
      </w:r>
    </w:p>
    <w:p w14:paraId="4566CF6C" w14:textId="77777777" w:rsidR="00C50867" w:rsidRDefault="00C50867" w:rsidP="00C50867">
      <w:pPr>
        <w:pStyle w:val="Bibliography"/>
      </w:pPr>
      <w:r>
        <w:t>34. Jackson SE, Beard E, Kujawski B, Sunyer E, Michie S, Shahab L, et al. Comparison of Trends in Self-reported Cigarette Consumption and Sales in England, 2011 to 2018. JAMA Netw Open. 2019;2:e1910161. https://doi.org/10.1001/jamanetworkopen.2019.10161.</w:t>
      </w:r>
    </w:p>
    <w:p w14:paraId="14303E19" w14:textId="77777777" w:rsidR="00C50867" w:rsidRDefault="00C50867" w:rsidP="00C50867">
      <w:pPr>
        <w:pStyle w:val="Bibliography"/>
      </w:pPr>
      <w:r>
        <w:t>35. National Readership Survey. Social grade - definitions and discriminatory power. 2007.</w:t>
      </w:r>
    </w:p>
    <w:p w14:paraId="19CB1316" w14:textId="77777777" w:rsidR="00C50867" w:rsidRDefault="00C50867" w:rsidP="00C50867">
      <w:pPr>
        <w:pStyle w:val="Bibliography"/>
      </w:pPr>
      <w:r>
        <w:t>36. Kotz D, West R. Explaining the social gradient in smoking cessation: it’s not in the trying, but in the succeeding. Tob Control. 2009;18:43–6. https://doi.org/10.1136/tc.2008.025981.</w:t>
      </w:r>
    </w:p>
    <w:p w14:paraId="1EA7E9D8" w14:textId="77777777" w:rsidR="00C50867" w:rsidRDefault="00C50867" w:rsidP="00C50867">
      <w:pPr>
        <w:pStyle w:val="Bibliography"/>
      </w:pPr>
      <w:r>
        <w:t>37. Office for National Statistics. Birth characteristics in England and Wales: 2022. 2024. https://www.ons.gov.uk/peoplepopulationandcommunity/birthsdeathsandmarriages/livebirths/bulletins/birthcharacteristicsinenglandandwales/2022. Accessed 3 Apr 2025.</w:t>
      </w:r>
    </w:p>
    <w:p w14:paraId="2AC2B573" w14:textId="77777777" w:rsidR="00C50867" w:rsidRDefault="00C50867" w:rsidP="00C50867">
      <w:pPr>
        <w:pStyle w:val="Bibliography"/>
      </w:pPr>
      <w:r>
        <w:t>38. National Health Service. Menopause. nhs.uk. 2022. https://www.nhs.uk/conditions/menopause/. Accessed 3 Apr 2025.</w:t>
      </w:r>
    </w:p>
    <w:p w14:paraId="0AB7B62D" w14:textId="77777777" w:rsidR="00C50867" w:rsidRDefault="00C50867" w:rsidP="00C50867">
      <w:pPr>
        <w:pStyle w:val="Bibliography"/>
      </w:pPr>
      <w:r>
        <w:t>39. Department for Work and Pensions. State Pension Age Review published. GOV.UK. 2023. https://www.gov.uk/government/news/state-pension-age-review-published. Accessed 3 Apr 2025.</w:t>
      </w:r>
    </w:p>
    <w:p w14:paraId="44D49512" w14:textId="77777777" w:rsidR="00C50867" w:rsidRDefault="00C50867" w:rsidP="00C50867">
      <w:pPr>
        <w:pStyle w:val="Bibliography"/>
      </w:pPr>
      <w:r>
        <w:t>40. Barrington-Trimis JL, Braymiller JL, Unger JB, McConnell R, Stokes A, Leventhal AM, et al. Trends in the Age of Cigarette Smoking Initiation Among Young Adults in the US From 2002 to 2018. JAMA Netw Open. 2020;3:e2019022. https://doi.org/10.1001/jamanetworkopen.2020.19022.</w:t>
      </w:r>
    </w:p>
    <w:p w14:paraId="2A679A46" w14:textId="77777777" w:rsidR="00C50867" w:rsidRDefault="00C50867" w:rsidP="00C50867">
      <w:pPr>
        <w:pStyle w:val="Bibliography"/>
      </w:pPr>
      <w:r>
        <w:t>41. U.S. Department of Health and Human Services. The Health Consequences of Smoking—50 Years of Progress: A Report of the Surgeon General. Atlanta, GA: U.S. Department of Health and Human Services, Centers for Disease Control and Prevention, National Center for Chronic Disease Prevention and Health Promotion, Office on Smoking and Health; 2014.</w:t>
      </w:r>
    </w:p>
    <w:p w14:paraId="639634E3" w14:textId="77777777" w:rsidR="00C50867" w:rsidRDefault="00C50867" w:rsidP="00C50867">
      <w:pPr>
        <w:pStyle w:val="Bibliography"/>
      </w:pPr>
      <w:r>
        <w:t>42. Doll R, Peto R, Boreham J, Sutherland I. Mortality in relation to smoking: 50 years’ observations on male British doctors. BMJ. 2004;328:1519. https://doi.org/10.1136/bmj.38142.554479.AE.</w:t>
      </w:r>
    </w:p>
    <w:p w14:paraId="1477D0EB" w14:textId="77777777" w:rsidR="00C50867" w:rsidRDefault="00C50867" w:rsidP="00C50867">
      <w:pPr>
        <w:pStyle w:val="Bibliography"/>
      </w:pPr>
      <w:r>
        <w:lastRenderedPageBreak/>
        <w:t>43. Pirie K, Peto R, Reeves GK, Green J, Beral V. The 21st century hazards of smoking and benefits of stopping: a prospective study of one million women in the UK. The Lancet. 2013;381:133–41. https://doi.org/10.1016/S0140-6736(12)61720-6.</w:t>
      </w:r>
    </w:p>
    <w:p w14:paraId="539682CA" w14:textId="77777777" w:rsidR="00C50867" w:rsidRDefault="00C50867" w:rsidP="00C50867">
      <w:pPr>
        <w:pStyle w:val="Bibliography"/>
      </w:pPr>
      <w:r>
        <w:t>44. Vangeli E, Stapleton J, Smit ES, Borland R, West R. Predictors of attempts to stop smoking and their success in adult general population samples: a systematic review: Predictors of quit attempts and success. Addiction. 2011;106:2110–21. https://doi.org/10.1111/j.1360-0443.2011.03565.x.</w:t>
      </w:r>
    </w:p>
    <w:p w14:paraId="50245ACB" w14:textId="77777777" w:rsidR="00C50867" w:rsidRDefault="00C50867" w:rsidP="00C50867">
      <w:pPr>
        <w:pStyle w:val="Bibliography"/>
      </w:pPr>
      <w:r>
        <w:t>45. Lennon A, Gallois C, Owen N, McDermott L. Young women as smokers and nonsmokers: a qualitative social identity approach. Qual Health Res. 2005;15:1345–59. https://doi.org/10.1177/1049732305277844.</w:t>
      </w:r>
    </w:p>
    <w:p w14:paraId="1DBC0EAA" w14:textId="77777777" w:rsidR="00C50867" w:rsidRDefault="00C50867" w:rsidP="00C50867">
      <w:pPr>
        <w:pStyle w:val="Bibliography"/>
      </w:pPr>
      <w:r>
        <w:t>46. Fingerhut LA, Kleinman JC, Kendrick JS. Smoking before, during, and after pregnancy. Am J Public Health. 1990;80:541–4. https://doi.org/10.2105/AJPH.80.5.541.</w:t>
      </w:r>
    </w:p>
    <w:p w14:paraId="528B5F55" w14:textId="77777777" w:rsidR="00C50867" w:rsidRDefault="00C50867" w:rsidP="00C50867">
      <w:pPr>
        <w:pStyle w:val="Bibliography"/>
      </w:pPr>
      <w:r>
        <w:t>47. Schneider S, Huy C, Schütz J, Diehl K. Smoking cessation during pregnancy: A systematic literature review. Drug Alcohol Rev. 2010;29:81–90. https://doi.org/10.1111/j.1465-3362.2009.00098.x.</w:t>
      </w:r>
    </w:p>
    <w:p w14:paraId="47D515F9" w14:textId="77777777" w:rsidR="00C50867" w:rsidRDefault="00C50867" w:rsidP="00C50867">
      <w:pPr>
        <w:pStyle w:val="Bibliography"/>
      </w:pPr>
      <w:r>
        <w:t>48. Bruce D, Rymer J. Symptoms of the menopause. Best Pract Res Clin Obstet Gynaecol. 2009;23:25–32. https://doi.org/10.1016/j.bpobgyn.2008.10.002.</w:t>
      </w:r>
    </w:p>
    <w:p w14:paraId="54B8BFFB" w14:textId="77777777" w:rsidR="00C50867" w:rsidRDefault="00C50867" w:rsidP="00C50867">
      <w:pPr>
        <w:pStyle w:val="Bibliography"/>
      </w:pPr>
      <w:r>
        <w:t>49. McVay MA, Copeland AL. Smoking cessation in peri- and postmenopausal women: a review. Exp Clin Psychopharmacol. 2011;19:192–202. https://doi.org/10.1037/a0023119.</w:t>
      </w:r>
    </w:p>
    <w:p w14:paraId="4EA9E7CF" w14:textId="77777777" w:rsidR="00C50867" w:rsidRDefault="00C50867" w:rsidP="00C50867">
      <w:pPr>
        <w:pStyle w:val="Bibliography"/>
      </w:pPr>
      <w:r>
        <w:t>50. Graham H. Women and smoking: Understanding socioeconomic influences. Drug Alcohol Depend. 2009;104:S11–6. https://doi.org/10.1016/j.drugalcdep.2009.02.009.</w:t>
      </w:r>
    </w:p>
    <w:p w14:paraId="672ED20E" w14:textId="77777777" w:rsidR="00C50867" w:rsidRDefault="00C50867" w:rsidP="00C50867">
      <w:pPr>
        <w:pStyle w:val="Bibliography"/>
      </w:pPr>
      <w:r>
        <w:t>51. Thirlway F. Explaining the social gradient in smoking and cessation: the peril and promise of social mobility. Sociol Health Illn. 2020;42:565–78. https://doi.org/10.1111/1467-9566.13039.</w:t>
      </w:r>
    </w:p>
    <w:p w14:paraId="0A3D4578" w14:textId="77777777" w:rsidR="00C50867" w:rsidRDefault="00C50867" w:rsidP="00C50867">
      <w:pPr>
        <w:pStyle w:val="Bibliography"/>
      </w:pPr>
      <w:r>
        <w:t>52. Parrott AC. Does cigarette smoking cause stress? Am Psychol. 1999;54:817.</w:t>
      </w:r>
    </w:p>
    <w:p w14:paraId="6B9ED306" w14:textId="77777777" w:rsidR="00C50867" w:rsidRDefault="00C50867" w:rsidP="00C50867">
      <w:pPr>
        <w:pStyle w:val="Bibliography"/>
      </w:pPr>
      <w:r>
        <w:t>53. Jackson SE, Cheeseman H, Arnott D, Titmarsh R, Brown J. Smoking in social housing among adults in England, 2015–2020: a nationally representative survey. BMJ Open. 2022;12:e061013. https://doi.org/10.1136/bmjopen-2022-061013.</w:t>
      </w:r>
    </w:p>
    <w:p w14:paraId="4712837E" w14:textId="77777777" w:rsidR="00C50867" w:rsidRDefault="00C50867" w:rsidP="00C50867">
      <w:pPr>
        <w:pStyle w:val="Bibliography"/>
      </w:pPr>
      <w:r>
        <w:t>54. Garner L, Ratschen E. Tobacco smoking, associated risk behaviours, and experience with quitting: a qualitative study with homeless smokers addicted to drugs and alcohol. BMC Public Health. 2013;13:951. https://doi.org/10.1186/1471-2458-13-951.</w:t>
      </w:r>
    </w:p>
    <w:p w14:paraId="2C4B4B6C" w14:textId="77777777" w:rsidR="00C50867" w:rsidRDefault="00C50867" w:rsidP="00C50867">
      <w:pPr>
        <w:pStyle w:val="Bibliography"/>
      </w:pPr>
      <w:r>
        <w:t>55. Gold EB, Block G, Crawford S, Lachance L, FitzGerald G, Miracle H, et al. Lifestyle and demographic factors in relation to vasomotor symptoms: baseline results from the Study of Women’s Health Across the Nation. Am J Epidemiol. 2004;159:1189–99. https://doi.org/10.1093/aje/kwh168.</w:t>
      </w:r>
    </w:p>
    <w:p w14:paraId="5F992F1F" w14:textId="77777777" w:rsidR="00C50867" w:rsidRDefault="00C50867" w:rsidP="00C50867">
      <w:pPr>
        <w:pStyle w:val="Bibliography"/>
      </w:pPr>
      <w:r>
        <w:t>56. Utian WH. Psychosocial and socioeconomic burden of vasomotor symptoms in menopause: A comprehensive review. Health Qual Life Outcomes. 2005;3:47. https://doi.org/10.1186/1477-7525-3-47.</w:t>
      </w:r>
    </w:p>
    <w:p w14:paraId="12B19DA5" w14:textId="77777777" w:rsidR="00C50867" w:rsidRDefault="00C50867" w:rsidP="00C50867">
      <w:pPr>
        <w:pStyle w:val="Bibliography"/>
      </w:pPr>
      <w:r>
        <w:t>57. Huseth-Zosel A, Strand M, Perry J. Socioeconomic differences in the menopausal experience of Chinese women. Post Reprod Health. 2014;20:98–103. https://doi.org/10.1177/2053369114544729.</w:t>
      </w:r>
    </w:p>
    <w:p w14:paraId="42F96D33" w14:textId="77777777" w:rsidR="00C50867" w:rsidRDefault="00C50867" w:rsidP="00C50867">
      <w:pPr>
        <w:pStyle w:val="Bibliography"/>
      </w:pPr>
      <w:r>
        <w:lastRenderedPageBreak/>
        <w:t>58. Infurna FJ, Gerstorf D, Lachman ME. Midlife in the 2020s: Opportunities and challenges. Am Psychol. 2020;75:470–85. https://doi.org/10.1037/amp0000591.</w:t>
      </w:r>
    </w:p>
    <w:p w14:paraId="75DF2872" w14:textId="77777777" w:rsidR="00C50867" w:rsidRDefault="00C50867" w:rsidP="00C50867">
      <w:pPr>
        <w:pStyle w:val="Bibliography"/>
      </w:pPr>
      <w:r>
        <w:t>59. Hiscock R, Judge K, Bauld L. Social inequalities in quitting smoking: what factors mediate the relationship between socioeconomic position and smoking cessation? J Public Health. 2011;33:39–47. https://doi.org/10.1093/pubmed/fdq097.</w:t>
      </w:r>
    </w:p>
    <w:p w14:paraId="0D1FA556" w14:textId="77777777" w:rsidR="00C50867" w:rsidRDefault="00C50867" w:rsidP="00C50867">
      <w:pPr>
        <w:pStyle w:val="Bibliography"/>
      </w:pPr>
      <w:r>
        <w:t>60. Hiscock R, Dobbie F, Bauld L. Smoking Cessation and Socioeconomic Status: An Update of Existing Evidence from a National Evaluation of English Stop Smoking Services. BioMed Res Int. 2015;2015:274056. https://doi.org/10.1155/2015/274056.</w:t>
      </w:r>
    </w:p>
    <w:p w14:paraId="12169AE7" w14:textId="77777777" w:rsidR="00C50867" w:rsidRDefault="00C50867" w:rsidP="00C50867">
      <w:pPr>
        <w:pStyle w:val="Bibliography"/>
      </w:pPr>
      <w:r>
        <w:t>61. Office for National Statistics. Childbearing by socio-economic status and country of birth of mother. 2016. https://www.ons.gov.uk/peoplepopulationandcommunity/birthsdeathsandmarriages/livebirths/articles/anoteonchildbearingbysocioeconomicstatusandcountryofbirthofmother/2016. Accessed 13 Apr 2025.</w:t>
      </w:r>
    </w:p>
    <w:p w14:paraId="08414E69" w14:textId="77777777" w:rsidR="00C50867" w:rsidRDefault="00C50867" w:rsidP="00C50867">
      <w:pPr>
        <w:pStyle w:val="Bibliography"/>
      </w:pPr>
      <w:r>
        <w:t>62. Businelle MS, Kendzor DE, Reitzel LR, Vidrine JI, Castro Y, Mullen PD, et al. Pathways Linking Socioeconomic Status and Postpartum Smoking Relapse. Ann Behav Med. 2013;45:180–91. https://doi.org/10.1007/s12160-012-9434-x.</w:t>
      </w:r>
    </w:p>
    <w:p w14:paraId="4C69D85A" w14:textId="77777777" w:rsidR="00C50867" w:rsidRDefault="00C50867" w:rsidP="00C50867">
      <w:pPr>
        <w:pStyle w:val="Bibliography"/>
      </w:pPr>
      <w:r>
        <w:t>63. Fidler JA, West R. Self-perceived smoking motives and their correlates in a general population sample. Nicotine Tob Res. 2009;11:1182–8. https://doi.org/10.1093/ntr/ntp120.</w:t>
      </w:r>
    </w:p>
    <w:p w14:paraId="139DD61B" w14:textId="77777777" w:rsidR="00C50867" w:rsidRDefault="00C50867" w:rsidP="00C50867">
      <w:pPr>
        <w:pStyle w:val="Bibliography"/>
      </w:pPr>
      <w:r>
        <w:t>64. McEwen A, West R, McRobbie H. Motives for Smoking and Their Correlates in Clients Attending Stop Smoking Treatment Services. Nicotine Tob Res. 2008;10:843–50. https://doi.org/10.1080/14622200802027248.</w:t>
      </w:r>
    </w:p>
    <w:p w14:paraId="292B8262" w14:textId="77777777" w:rsidR="00C50867" w:rsidRDefault="00C50867" w:rsidP="00C50867">
      <w:pPr>
        <w:pStyle w:val="Bibliography"/>
      </w:pPr>
      <w:r>
        <w:t>65. Hajek P, Taylor T, McRobbie H. The effect of stopping smoking on perceived stress levels. Addiction. 2010;105:1466–71. https://doi.org/10.1111/j.1360-0443.2010.02979.x.</w:t>
      </w:r>
    </w:p>
    <w:p w14:paraId="0535A267" w14:textId="77777777" w:rsidR="00C50867" w:rsidRDefault="00C50867" w:rsidP="00C50867">
      <w:pPr>
        <w:pStyle w:val="Bibliography"/>
      </w:pPr>
      <w:r>
        <w:t>66. Taylor GM, Lindson N, Farley A, Leinberger-Jabari A, Sawyer K, Te Water Naudé R, et al. Smoking cessation for improving mental health. Cochrane Database Syst Rev. 2021;3:CD013522. https://doi.org/10.1002/14651858.CD013522.pub2.</w:t>
      </w:r>
    </w:p>
    <w:p w14:paraId="75A3F0C1" w14:textId="77777777" w:rsidR="00C50867" w:rsidRDefault="00C50867" w:rsidP="00C50867">
      <w:pPr>
        <w:pStyle w:val="Bibliography"/>
      </w:pPr>
      <w:r>
        <w:t>67. Hitchman SC, Fong GT. Gender empowerment and female-to-male smoking prevalence ratios. Bull World Health Organ. 2011;89:195–202. https://doi.org/10.2471/BLT.10.079905.</w:t>
      </w:r>
    </w:p>
    <w:p w14:paraId="2D5803D1" w14:textId="77777777" w:rsidR="00C50867" w:rsidRDefault="00C50867" w:rsidP="00C50867">
      <w:pPr>
        <w:pStyle w:val="Bibliography"/>
      </w:pPr>
      <w:r>
        <w:t>68. Smith PH, Bessette AJ, Weinberger AH, Sheffer CE, McKee SA. Sex/gender differences in smoking cessation: A review. Prev Med. 2016;92:135–40. https://doi.org/10.1016/j.ypmed.2016.07.013.</w:t>
      </w:r>
    </w:p>
    <w:p w14:paraId="24972B64" w14:textId="77777777" w:rsidR="00C50867" w:rsidRDefault="00C50867" w:rsidP="00C50867">
      <w:pPr>
        <w:pStyle w:val="Bibliography"/>
      </w:pPr>
      <w:r>
        <w:t>69. World Health Organisation. WHO Framework Convention on Tobacco Control: Guidelines for Implementation of Article 5.3, Articles 8 to 14. World Health Organization; 2013.</w:t>
      </w:r>
    </w:p>
    <w:p w14:paraId="56685339" w14:textId="77777777" w:rsidR="00C50867" w:rsidRDefault="00C50867" w:rsidP="00C50867">
      <w:pPr>
        <w:pStyle w:val="Bibliography"/>
      </w:pPr>
      <w:r>
        <w:t>70. Greaves L, Jategaonkar N. Tobacco policies and vulnerable girls and women: toward a framework for gender sensitive policy development. J Epidemiol Community Health. 2006;60 suppl 2:ii57–65. https://doi.org/10.1136/jech.2005.045393.</w:t>
      </w:r>
    </w:p>
    <w:p w14:paraId="2EF98D29" w14:textId="6BD4EA2A" w:rsidR="00F4354C" w:rsidRPr="00D55BAF" w:rsidRDefault="00912AA1" w:rsidP="00CA7D88">
      <w:pPr>
        <w:rPr>
          <w:rFonts w:eastAsiaTheme="majorEastAsia" w:cstheme="minorHAnsi"/>
          <w:sz w:val="26"/>
          <w:szCs w:val="26"/>
        </w:rPr>
      </w:pPr>
      <w:r>
        <w:rPr>
          <w:rFonts w:cstheme="minorHAnsi"/>
        </w:rPr>
        <w:fldChar w:fldCharType="end"/>
      </w:r>
      <w:r w:rsidR="00F4354C" w:rsidRPr="00D55BAF">
        <w:rPr>
          <w:rFonts w:cstheme="minorHAnsi"/>
        </w:rPr>
        <w:br w:type="page"/>
      </w:r>
    </w:p>
    <w:p w14:paraId="36A931BD" w14:textId="77777777" w:rsidR="00814490" w:rsidRPr="00D55BAF" w:rsidRDefault="00814490" w:rsidP="00D55BAF">
      <w:pPr>
        <w:pStyle w:val="Heading2"/>
        <w:sectPr w:rsidR="00814490" w:rsidRPr="00D55BAF" w:rsidSect="00904872">
          <w:pgSz w:w="11906" w:h="16838" w:code="9"/>
          <w:pgMar w:top="1440" w:right="1440" w:bottom="1440" w:left="1440" w:header="720" w:footer="720" w:gutter="0"/>
          <w:cols w:space="720"/>
          <w:noEndnote/>
          <w:docGrid w:linePitch="299"/>
        </w:sectPr>
      </w:pPr>
    </w:p>
    <w:p w14:paraId="6FD915B1" w14:textId="77777777" w:rsidR="006E4CAF" w:rsidRDefault="006E4CAF" w:rsidP="00983473">
      <w:pPr>
        <w:pStyle w:val="Heading2"/>
      </w:pPr>
      <w:r>
        <w:lastRenderedPageBreak/>
        <w:t>List of abbreviations</w:t>
      </w:r>
    </w:p>
    <w:p w14:paraId="3097E4FA" w14:textId="28A82598" w:rsidR="00B951F5" w:rsidRDefault="00B951F5">
      <w:pPr>
        <w:spacing w:after="200" w:line="276" w:lineRule="auto"/>
      </w:pPr>
      <w:r>
        <w:t xml:space="preserve">ABC1, more advantaged </w:t>
      </w:r>
      <w:r w:rsidR="00242EBC">
        <w:t xml:space="preserve">occupational </w:t>
      </w:r>
      <w:r>
        <w:t>social grades</w:t>
      </w:r>
    </w:p>
    <w:p w14:paraId="7C788C25" w14:textId="1B29E08B" w:rsidR="00B951F5" w:rsidRDefault="00B951F5">
      <w:pPr>
        <w:spacing w:after="200" w:line="276" w:lineRule="auto"/>
      </w:pPr>
      <w:r>
        <w:t>AIC, Akaike information criterion</w:t>
      </w:r>
    </w:p>
    <w:p w14:paraId="5822F8C0" w14:textId="68B0187A" w:rsidR="00B951F5" w:rsidRDefault="00B951F5">
      <w:pPr>
        <w:spacing w:after="200" w:line="276" w:lineRule="auto"/>
      </w:pPr>
      <w:r>
        <w:t xml:space="preserve">C2DE, less advantaged </w:t>
      </w:r>
      <w:r w:rsidR="00242EBC">
        <w:t xml:space="preserve">occupational </w:t>
      </w:r>
      <w:r>
        <w:t>social grades</w:t>
      </w:r>
    </w:p>
    <w:p w14:paraId="447B74EA" w14:textId="77777777" w:rsidR="00B951F5" w:rsidRDefault="00B951F5">
      <w:pPr>
        <w:spacing w:after="200" w:line="276" w:lineRule="auto"/>
      </w:pPr>
      <w:r>
        <w:t>CI, confidence interval</w:t>
      </w:r>
    </w:p>
    <w:p w14:paraId="0AF4F2E9" w14:textId="77777777" w:rsidR="00B951F5" w:rsidRDefault="00B951F5">
      <w:pPr>
        <w:spacing w:after="200" w:line="276" w:lineRule="auto"/>
      </w:pPr>
      <w:r>
        <w:t>PR, prevalence ratio</w:t>
      </w:r>
    </w:p>
    <w:p w14:paraId="13028346" w14:textId="11CA02E2" w:rsidR="006E4CAF" w:rsidRDefault="006E4CAF">
      <w:pPr>
        <w:spacing w:after="200" w:line="276" w:lineRule="auto"/>
        <w:rPr>
          <w:rFonts w:eastAsiaTheme="majorEastAsia" w:cstheme="minorHAnsi"/>
          <w:b/>
          <w:bCs/>
          <w:sz w:val="26"/>
          <w:szCs w:val="26"/>
        </w:rPr>
      </w:pPr>
      <w:r>
        <w:br w:type="page"/>
      </w:r>
    </w:p>
    <w:p w14:paraId="4582C8DA" w14:textId="76220ABA" w:rsidR="00962BF6" w:rsidRDefault="00DF76B0" w:rsidP="00983473">
      <w:pPr>
        <w:pStyle w:val="Heading2"/>
      </w:pPr>
      <w:r>
        <w:lastRenderedPageBreak/>
        <w:t>Additional f</w:t>
      </w:r>
      <w:r w:rsidR="00962BF6">
        <w:t>iles</w:t>
      </w:r>
    </w:p>
    <w:p w14:paraId="472EE54E" w14:textId="738CE0CA" w:rsidR="00962BF6" w:rsidRPr="00D055F4" w:rsidRDefault="00DF76B0" w:rsidP="00962BF6">
      <w:r>
        <w:t>Additional</w:t>
      </w:r>
      <w:r w:rsidRPr="00D055F4">
        <w:t xml:space="preserve"> </w:t>
      </w:r>
      <w:r>
        <w:t>f</w:t>
      </w:r>
      <w:r w:rsidR="00962BF6" w:rsidRPr="00D055F4">
        <w:t xml:space="preserve">ile 1: </w:t>
      </w:r>
      <w:r w:rsidR="003B1CDA" w:rsidRPr="00D055F4">
        <w:t>model selection</w:t>
      </w:r>
    </w:p>
    <w:p w14:paraId="061B1780" w14:textId="77777777" w:rsidR="004B39A6" w:rsidRPr="00D055F4" w:rsidRDefault="004B39A6" w:rsidP="0051684C">
      <w:pPr>
        <w:pStyle w:val="ListParagraph"/>
        <w:numPr>
          <w:ilvl w:val="0"/>
          <w:numId w:val="4"/>
        </w:numPr>
        <w:rPr>
          <w:rFonts w:eastAsiaTheme="majorEastAsia"/>
        </w:rPr>
      </w:pPr>
      <w:r w:rsidRPr="00D055F4">
        <w:rPr>
          <w:rFonts w:eastAsiaTheme="majorEastAsia"/>
          <w:b/>
          <w:bCs/>
        </w:rPr>
        <w:t>Table S1.</w:t>
      </w:r>
      <w:r w:rsidRPr="00D055F4">
        <w:rPr>
          <w:rFonts w:eastAsiaTheme="majorEastAsia"/>
        </w:rPr>
        <w:t xml:space="preserve"> Model selection: AIC values for models with 3, 4, and 5 knots</w:t>
      </w:r>
    </w:p>
    <w:p w14:paraId="2776FAD3" w14:textId="3F2C933A" w:rsidR="003B1CDA" w:rsidRPr="00D055F4" w:rsidRDefault="00DF76B0" w:rsidP="00962BF6">
      <w:r>
        <w:t>Additional</w:t>
      </w:r>
      <w:r w:rsidRPr="00D055F4">
        <w:t xml:space="preserve"> </w:t>
      </w:r>
      <w:r>
        <w:t>f</w:t>
      </w:r>
      <w:r w:rsidR="003B1CDA" w:rsidRPr="00D055F4">
        <w:t>ile 2: additional results for women</w:t>
      </w:r>
    </w:p>
    <w:p w14:paraId="54978854" w14:textId="77777777" w:rsidR="001A7BCC" w:rsidRPr="00D055F4" w:rsidRDefault="001A7BCC" w:rsidP="0051684C">
      <w:pPr>
        <w:pStyle w:val="ListParagraph"/>
        <w:numPr>
          <w:ilvl w:val="0"/>
          <w:numId w:val="4"/>
        </w:numPr>
        <w:rPr>
          <w:rFonts w:eastAsiaTheme="majorEastAsia"/>
        </w:rPr>
      </w:pPr>
      <w:r w:rsidRPr="00D055F4">
        <w:rPr>
          <w:rFonts w:eastAsiaTheme="majorEastAsia"/>
          <w:b/>
          <w:bCs/>
        </w:rPr>
        <w:t>Table S2.</w:t>
      </w:r>
      <w:r w:rsidRPr="00D055F4">
        <w:rPr>
          <w:rFonts w:eastAsiaTheme="majorEastAsia"/>
        </w:rPr>
        <w:t xml:space="preserve"> Distribution of participants by age</w:t>
      </w:r>
    </w:p>
    <w:p w14:paraId="1EC7A802" w14:textId="77777777" w:rsidR="008A116C" w:rsidRPr="00D055F4" w:rsidRDefault="008A116C" w:rsidP="0051684C">
      <w:pPr>
        <w:pStyle w:val="ListParagraph"/>
        <w:numPr>
          <w:ilvl w:val="0"/>
          <w:numId w:val="4"/>
        </w:numPr>
        <w:rPr>
          <w:rFonts w:eastAsiaTheme="majorEastAsia"/>
        </w:rPr>
      </w:pPr>
      <w:r w:rsidRPr="00D055F4">
        <w:rPr>
          <w:rFonts w:eastAsiaTheme="majorEastAsia"/>
          <w:b/>
          <w:bCs/>
        </w:rPr>
        <w:t xml:space="preserve">Table S3. </w:t>
      </w:r>
      <w:r w:rsidRPr="00D055F4">
        <w:rPr>
          <w:rFonts w:eastAsiaTheme="majorEastAsia"/>
        </w:rPr>
        <w:t>Observed age-specific estimates of smoking and quitting behaviours among women (≥16y) in Great Britain</w:t>
      </w:r>
    </w:p>
    <w:p w14:paraId="23AB2C0F" w14:textId="77777777" w:rsidR="0051684C" w:rsidRPr="00D055F4" w:rsidRDefault="0051684C" w:rsidP="0051684C">
      <w:pPr>
        <w:pStyle w:val="ListParagraph"/>
        <w:numPr>
          <w:ilvl w:val="0"/>
          <w:numId w:val="4"/>
        </w:numPr>
        <w:rPr>
          <w:rFonts w:eastAsiaTheme="majorEastAsia"/>
        </w:rPr>
      </w:pPr>
      <w:r w:rsidRPr="00D055F4">
        <w:rPr>
          <w:rFonts w:eastAsiaTheme="majorEastAsia"/>
          <w:b/>
          <w:bCs/>
        </w:rPr>
        <w:t>Table S4.</w:t>
      </w:r>
      <w:r w:rsidRPr="00D055F4">
        <w:rPr>
          <w:rFonts w:eastAsiaTheme="majorEastAsia"/>
        </w:rPr>
        <w:t xml:space="preserve"> Observed age-specific estimates of smoking and quitting behaviours by socioeconomic position among women (≥16y) in Great Britain</w:t>
      </w:r>
    </w:p>
    <w:p w14:paraId="0BA9DC8D" w14:textId="50C3AED2" w:rsidR="003B1CDA" w:rsidRPr="00D055F4" w:rsidRDefault="00DF76B0" w:rsidP="00962BF6">
      <w:r>
        <w:t>Additional</w:t>
      </w:r>
      <w:r w:rsidRPr="00D055F4">
        <w:t xml:space="preserve"> </w:t>
      </w:r>
      <w:r>
        <w:t>f</w:t>
      </w:r>
      <w:r w:rsidR="003B1CDA" w:rsidRPr="00D055F4">
        <w:t>ile 3: results for men</w:t>
      </w:r>
    </w:p>
    <w:p w14:paraId="1E0BFFCA" w14:textId="77777777" w:rsidR="005E4FBE" w:rsidRPr="00D055F4" w:rsidRDefault="005E4FBE" w:rsidP="00D055F4">
      <w:pPr>
        <w:pStyle w:val="ListParagraph"/>
        <w:numPr>
          <w:ilvl w:val="0"/>
          <w:numId w:val="5"/>
        </w:numPr>
        <w:rPr>
          <w:rFonts w:eastAsiaTheme="majorEastAsia"/>
        </w:rPr>
      </w:pPr>
      <w:r w:rsidRPr="00D055F4">
        <w:rPr>
          <w:rFonts w:eastAsiaTheme="majorEastAsia"/>
          <w:b/>
          <w:bCs/>
        </w:rPr>
        <w:t>Table S5.</w:t>
      </w:r>
      <w:r w:rsidRPr="00D055F4">
        <w:rPr>
          <w:rFonts w:eastAsiaTheme="majorEastAsia"/>
        </w:rPr>
        <w:t xml:space="preserve"> Distribution of participants by age</w:t>
      </w:r>
    </w:p>
    <w:p w14:paraId="3561CA66" w14:textId="77777777" w:rsidR="00CA4097" w:rsidRPr="00D055F4" w:rsidRDefault="00FC25A8" w:rsidP="00D055F4">
      <w:pPr>
        <w:pStyle w:val="ListParagraph"/>
        <w:numPr>
          <w:ilvl w:val="0"/>
          <w:numId w:val="5"/>
        </w:numPr>
        <w:rPr>
          <w:rFonts w:eastAsia="Times New Roman" w:cs="Arial"/>
          <w:b/>
          <w:bCs/>
          <w:shd w:val="clear" w:color="auto" w:fill="FFFFFF"/>
        </w:rPr>
      </w:pPr>
      <w:r w:rsidRPr="00D055F4">
        <w:rPr>
          <w:rFonts w:eastAsia="Times New Roman" w:cs="Arial"/>
          <w:b/>
          <w:bCs/>
        </w:rPr>
        <w:t xml:space="preserve">Figure S1. </w:t>
      </w:r>
      <w:r w:rsidRPr="00D055F4">
        <w:rPr>
          <w:rFonts w:eastAsia="Times New Roman" w:cs="Arial"/>
          <w:shd w:val="clear" w:color="auto" w:fill="FFFFFF"/>
        </w:rPr>
        <w:t>Age-specific estimates of smoking and quitting behaviours among men (</w:t>
      </w:r>
      <w:r w:rsidRPr="00D055F4">
        <w:rPr>
          <w:rFonts w:eastAsia="Times New Roman"/>
          <w:shd w:val="clear" w:color="auto" w:fill="FFFFFF"/>
        </w:rPr>
        <w:t>≥</w:t>
      </w:r>
      <w:r w:rsidRPr="00D055F4">
        <w:rPr>
          <w:rFonts w:eastAsia="Times New Roman" w:cs="Arial"/>
          <w:shd w:val="clear" w:color="auto" w:fill="FFFFFF"/>
        </w:rPr>
        <w:t>16y) in Great Britain</w:t>
      </w:r>
    </w:p>
    <w:p w14:paraId="34395E73" w14:textId="77777777" w:rsidR="008152DA" w:rsidRPr="00D055F4" w:rsidRDefault="008152DA" w:rsidP="00D055F4">
      <w:pPr>
        <w:pStyle w:val="ListParagraph"/>
        <w:numPr>
          <w:ilvl w:val="0"/>
          <w:numId w:val="5"/>
        </w:numPr>
        <w:rPr>
          <w:rFonts w:eastAsia="Times New Roman" w:cs="Arial"/>
          <w:b/>
          <w:bCs/>
          <w:shd w:val="clear" w:color="auto" w:fill="FFFFFF"/>
        </w:rPr>
      </w:pPr>
      <w:r w:rsidRPr="00D055F4">
        <w:rPr>
          <w:rFonts w:eastAsia="Times New Roman" w:cs="Arial"/>
          <w:b/>
          <w:bCs/>
        </w:rPr>
        <w:t xml:space="preserve">Table S6. </w:t>
      </w:r>
      <w:r w:rsidRPr="00D055F4">
        <w:rPr>
          <w:rFonts w:eastAsia="Times New Roman" w:cs="Arial"/>
        </w:rPr>
        <w:t>Modelled a</w:t>
      </w:r>
      <w:r w:rsidRPr="00D055F4">
        <w:rPr>
          <w:rFonts w:eastAsia="Times New Roman" w:cs="Arial"/>
          <w:shd w:val="clear" w:color="auto" w:fill="FFFFFF"/>
        </w:rPr>
        <w:t>ge-specific estimates of smoking and quitting behaviours among men (</w:t>
      </w:r>
      <w:r w:rsidRPr="00D055F4">
        <w:rPr>
          <w:rFonts w:eastAsia="Times New Roman"/>
          <w:shd w:val="clear" w:color="auto" w:fill="FFFFFF"/>
        </w:rPr>
        <w:t>≥</w:t>
      </w:r>
      <w:r w:rsidRPr="00D055F4">
        <w:rPr>
          <w:rFonts w:eastAsia="Times New Roman" w:cs="Arial"/>
          <w:shd w:val="clear" w:color="auto" w:fill="FFFFFF"/>
        </w:rPr>
        <w:t>16y) in Great Britain</w:t>
      </w:r>
    </w:p>
    <w:p w14:paraId="48FB6779" w14:textId="77777777" w:rsidR="00B333E1" w:rsidRPr="00D055F4" w:rsidRDefault="00B333E1" w:rsidP="00D055F4">
      <w:pPr>
        <w:pStyle w:val="ListParagraph"/>
        <w:numPr>
          <w:ilvl w:val="0"/>
          <w:numId w:val="5"/>
        </w:numPr>
        <w:rPr>
          <w:rFonts w:eastAsia="Times New Roman" w:cs="Arial"/>
          <w:b/>
          <w:bCs/>
        </w:rPr>
      </w:pPr>
      <w:r w:rsidRPr="00D055F4">
        <w:rPr>
          <w:rFonts w:eastAsia="Times New Roman" w:cs="Arial"/>
          <w:b/>
          <w:bCs/>
        </w:rPr>
        <w:t xml:space="preserve">Figure S2. </w:t>
      </w:r>
      <w:r w:rsidRPr="00D055F4">
        <w:rPr>
          <w:rFonts w:eastAsia="Times New Roman" w:cs="Arial"/>
          <w:shd w:val="clear" w:color="auto" w:fill="FFFFFF"/>
        </w:rPr>
        <w:t>Age-specific estimates of smoking and quitting behaviours by socioeconomic position among men (</w:t>
      </w:r>
      <w:r w:rsidRPr="00D055F4">
        <w:rPr>
          <w:rFonts w:eastAsia="Times New Roman"/>
          <w:shd w:val="clear" w:color="auto" w:fill="FFFFFF"/>
        </w:rPr>
        <w:t>≥</w:t>
      </w:r>
      <w:r w:rsidRPr="00D055F4">
        <w:rPr>
          <w:rFonts w:eastAsia="Times New Roman" w:cs="Arial"/>
          <w:shd w:val="clear" w:color="auto" w:fill="FFFFFF"/>
        </w:rPr>
        <w:t>16y) in Great Britain</w:t>
      </w:r>
    </w:p>
    <w:p w14:paraId="68B02559" w14:textId="77777777" w:rsidR="000E7662" w:rsidRPr="00D055F4" w:rsidRDefault="000E7662" w:rsidP="00D055F4">
      <w:pPr>
        <w:pStyle w:val="ListParagraph"/>
        <w:numPr>
          <w:ilvl w:val="0"/>
          <w:numId w:val="5"/>
        </w:numPr>
        <w:rPr>
          <w:rFonts w:eastAsia="Times New Roman" w:cs="Arial"/>
          <w:b/>
          <w:bCs/>
          <w:shd w:val="clear" w:color="auto" w:fill="FFFFFF"/>
        </w:rPr>
      </w:pPr>
      <w:r w:rsidRPr="00D055F4">
        <w:rPr>
          <w:rFonts w:eastAsia="Times New Roman" w:cs="Arial"/>
          <w:b/>
          <w:bCs/>
        </w:rPr>
        <w:t xml:space="preserve">Table S7. </w:t>
      </w:r>
      <w:r w:rsidRPr="00D055F4">
        <w:rPr>
          <w:rFonts w:eastAsia="Times New Roman" w:cs="Arial"/>
        </w:rPr>
        <w:t>Modelled a</w:t>
      </w:r>
      <w:r w:rsidRPr="00D055F4">
        <w:rPr>
          <w:rFonts w:eastAsia="Times New Roman" w:cs="Arial"/>
          <w:shd w:val="clear" w:color="auto" w:fill="FFFFFF"/>
        </w:rPr>
        <w:t>ge-specific estimates of smoking prevalence and the quit attempt rate by socioeconomic position among men (</w:t>
      </w:r>
      <w:r w:rsidRPr="00D055F4">
        <w:rPr>
          <w:rFonts w:eastAsia="Times New Roman"/>
          <w:shd w:val="clear" w:color="auto" w:fill="FFFFFF"/>
        </w:rPr>
        <w:t>≥</w:t>
      </w:r>
      <w:r w:rsidRPr="00D055F4">
        <w:rPr>
          <w:rFonts w:eastAsia="Times New Roman" w:cs="Arial"/>
          <w:shd w:val="clear" w:color="auto" w:fill="FFFFFF"/>
        </w:rPr>
        <w:t>16y) in Great Britain</w:t>
      </w:r>
    </w:p>
    <w:p w14:paraId="1EB4D43E" w14:textId="77777777" w:rsidR="009D7559" w:rsidRPr="00D055F4" w:rsidRDefault="009D7559" w:rsidP="00D055F4">
      <w:pPr>
        <w:pStyle w:val="ListParagraph"/>
        <w:numPr>
          <w:ilvl w:val="0"/>
          <w:numId w:val="5"/>
        </w:numPr>
        <w:rPr>
          <w:rFonts w:eastAsia="Times New Roman" w:cs="Arial"/>
          <w:b/>
          <w:bCs/>
          <w:shd w:val="clear" w:color="auto" w:fill="FFFFFF"/>
        </w:rPr>
      </w:pPr>
      <w:r w:rsidRPr="00D055F4">
        <w:rPr>
          <w:rFonts w:eastAsia="Times New Roman" w:cs="Arial"/>
          <w:b/>
          <w:bCs/>
        </w:rPr>
        <w:t xml:space="preserve">Table S8. </w:t>
      </w:r>
      <w:r w:rsidRPr="00D055F4">
        <w:rPr>
          <w:rFonts w:eastAsia="Times New Roman" w:cs="Arial"/>
        </w:rPr>
        <w:t>Modelled a</w:t>
      </w:r>
      <w:r w:rsidRPr="00D055F4">
        <w:rPr>
          <w:rFonts w:eastAsia="Times New Roman" w:cs="Arial"/>
          <w:shd w:val="clear" w:color="auto" w:fill="FFFFFF"/>
        </w:rPr>
        <w:t>ge-specific estimates of the success rate of quit attempts and overall quit rate by socioeconomic position among men (</w:t>
      </w:r>
      <w:r w:rsidRPr="00D055F4">
        <w:rPr>
          <w:rFonts w:eastAsia="Times New Roman"/>
          <w:shd w:val="clear" w:color="auto" w:fill="FFFFFF"/>
        </w:rPr>
        <w:t>≥</w:t>
      </w:r>
      <w:r w:rsidRPr="00D055F4">
        <w:rPr>
          <w:rFonts w:eastAsia="Times New Roman" w:cs="Arial"/>
          <w:shd w:val="clear" w:color="auto" w:fill="FFFFFF"/>
        </w:rPr>
        <w:t>16y) in Great Britain</w:t>
      </w:r>
    </w:p>
    <w:p w14:paraId="54E95F12" w14:textId="77777777" w:rsidR="00BE5B5A" w:rsidRPr="00D055F4" w:rsidRDefault="00BE5B5A" w:rsidP="00D055F4">
      <w:pPr>
        <w:pStyle w:val="ListParagraph"/>
        <w:numPr>
          <w:ilvl w:val="0"/>
          <w:numId w:val="5"/>
        </w:numPr>
        <w:rPr>
          <w:rFonts w:eastAsiaTheme="majorEastAsia"/>
        </w:rPr>
      </w:pPr>
      <w:r w:rsidRPr="00D055F4">
        <w:rPr>
          <w:rFonts w:eastAsiaTheme="majorEastAsia"/>
          <w:b/>
          <w:bCs/>
        </w:rPr>
        <w:t xml:space="preserve">Table S9. </w:t>
      </w:r>
      <w:r w:rsidRPr="00D055F4">
        <w:rPr>
          <w:rFonts w:eastAsiaTheme="majorEastAsia"/>
        </w:rPr>
        <w:t>Observed age-specific estimates of smoking and quitting behaviours among men (≥16y) in Great Britain</w:t>
      </w:r>
    </w:p>
    <w:p w14:paraId="3EB371E6" w14:textId="77777777" w:rsidR="00D055F4" w:rsidRPr="00D055F4" w:rsidRDefault="00D055F4" w:rsidP="00D055F4">
      <w:pPr>
        <w:pStyle w:val="ListParagraph"/>
        <w:numPr>
          <w:ilvl w:val="0"/>
          <w:numId w:val="5"/>
        </w:numPr>
        <w:rPr>
          <w:rFonts w:eastAsiaTheme="majorEastAsia"/>
        </w:rPr>
      </w:pPr>
      <w:r w:rsidRPr="00D055F4">
        <w:rPr>
          <w:rFonts w:eastAsiaTheme="majorEastAsia"/>
          <w:b/>
          <w:bCs/>
        </w:rPr>
        <w:t>Table S10.</w:t>
      </w:r>
      <w:r w:rsidRPr="00D055F4">
        <w:rPr>
          <w:rFonts w:eastAsiaTheme="majorEastAsia"/>
        </w:rPr>
        <w:t xml:space="preserve"> Observed age-specific estimates of smoking and quitting behaviours by socioeconomic position among men (≥16y) in Great Britain</w:t>
      </w:r>
    </w:p>
    <w:p w14:paraId="391417D0" w14:textId="5A63FD5B" w:rsidR="00962BF6" w:rsidRPr="00D055F4" w:rsidRDefault="00962BF6" w:rsidP="00D055F4">
      <w:pPr>
        <w:pStyle w:val="ListParagraph"/>
        <w:numPr>
          <w:ilvl w:val="0"/>
          <w:numId w:val="5"/>
        </w:numPr>
        <w:rPr>
          <w:rFonts w:eastAsiaTheme="majorEastAsia" w:cstheme="minorHAnsi"/>
          <w:b/>
          <w:bCs/>
          <w:sz w:val="26"/>
          <w:szCs w:val="26"/>
        </w:rPr>
      </w:pPr>
      <w:r>
        <w:br w:type="page"/>
      </w:r>
    </w:p>
    <w:p w14:paraId="13E60351" w14:textId="4E0536CC" w:rsidR="00983473" w:rsidRPr="000429D0" w:rsidRDefault="00983473" w:rsidP="00983473">
      <w:pPr>
        <w:pStyle w:val="Heading2"/>
      </w:pPr>
      <w:r w:rsidRPr="000429D0">
        <w:lastRenderedPageBreak/>
        <w:t xml:space="preserve">Declarations </w:t>
      </w:r>
    </w:p>
    <w:p w14:paraId="7DAFA11B" w14:textId="77777777" w:rsidR="00B16B49" w:rsidRDefault="00B16B49" w:rsidP="00B16B49">
      <w:pPr>
        <w:pStyle w:val="Heading3"/>
      </w:pPr>
      <w:r>
        <w:t xml:space="preserve">Acknowledgments </w:t>
      </w:r>
    </w:p>
    <w:p w14:paraId="55C486FD" w14:textId="77777777" w:rsidR="00B16B49" w:rsidRPr="00C61EA8" w:rsidRDefault="00B16B49" w:rsidP="00B16B49">
      <w:r>
        <w:t>Not applicable.</w:t>
      </w:r>
    </w:p>
    <w:p w14:paraId="6F7B6D40" w14:textId="77777777" w:rsidR="00B16B49" w:rsidRPr="0062320A" w:rsidRDefault="00B16B49" w:rsidP="00B16B49">
      <w:pPr>
        <w:rPr>
          <w:b/>
          <w:bCs/>
        </w:rPr>
      </w:pPr>
      <w:r w:rsidRPr="0062320A">
        <w:rPr>
          <w:b/>
          <w:bCs/>
        </w:rPr>
        <w:t>Consent for publication</w:t>
      </w:r>
    </w:p>
    <w:p w14:paraId="6D1B2C2E" w14:textId="77777777" w:rsidR="00B16B49" w:rsidRPr="0062320A" w:rsidRDefault="00B16B49" w:rsidP="00B16B49">
      <w:r w:rsidRPr="0062320A">
        <w:t>Not applicable.</w:t>
      </w:r>
    </w:p>
    <w:p w14:paraId="5E9CF74E" w14:textId="7AA28ACC" w:rsidR="00C66EBA" w:rsidRDefault="007B6C79" w:rsidP="00210968">
      <w:pPr>
        <w:pStyle w:val="Heading3"/>
      </w:pPr>
      <w:r>
        <w:t>Data availability</w:t>
      </w:r>
    </w:p>
    <w:p w14:paraId="69036020" w14:textId="77777777" w:rsidR="00C66EBA" w:rsidRDefault="00C66EBA" w:rsidP="00C66EBA">
      <w:r>
        <w:t>Data used in these analyses are available on Open Science Framework (</w:t>
      </w:r>
      <w:hyperlink r:id="rId13" w:history="1">
        <w:r w:rsidRPr="001C7A36">
          <w:rPr>
            <w:rStyle w:val="Hyperlink"/>
          </w:rPr>
          <w:t>https://osf.io/w2smk</w:t>
        </w:r>
      </w:hyperlink>
      <w:r>
        <w:t>), with age provided in bands to preserve anonymity.</w:t>
      </w:r>
    </w:p>
    <w:p w14:paraId="0E0C8A43" w14:textId="77777777" w:rsidR="00C66EBA" w:rsidRDefault="00C66EBA" w:rsidP="00C66EBA">
      <w:pPr>
        <w:pStyle w:val="Heading3"/>
      </w:pPr>
      <w:r>
        <w:t>Authors’ contributions</w:t>
      </w:r>
    </w:p>
    <w:p w14:paraId="1220E2F7" w14:textId="5D2E41E3" w:rsidR="00C66EBA" w:rsidRPr="008C6852" w:rsidRDefault="00C66EBA" w:rsidP="00C66EBA">
      <w:r w:rsidRPr="0062320A">
        <w:t xml:space="preserve">Conceptualisation: SJ, </w:t>
      </w:r>
      <w:r>
        <w:t>CN, SC</w:t>
      </w:r>
      <w:r w:rsidRPr="0062320A">
        <w:t>. Formal analysis: S</w:t>
      </w:r>
      <w:r>
        <w:t>J</w:t>
      </w:r>
      <w:r w:rsidRPr="0062320A">
        <w:t xml:space="preserve">. Investigation: SJ, </w:t>
      </w:r>
      <w:r>
        <w:t>CN, SC</w:t>
      </w:r>
      <w:r w:rsidRPr="0062320A">
        <w:t xml:space="preserve">. Methodology: SJ, </w:t>
      </w:r>
      <w:r>
        <w:t>SC</w:t>
      </w:r>
      <w:r w:rsidRPr="0062320A">
        <w:t>. Visualisation: SJ. Writing – original draft: SJ. Writing – review &amp; editing: SJ</w:t>
      </w:r>
      <w:r>
        <w:t>, CN, SC</w:t>
      </w:r>
      <w:r w:rsidRPr="0062320A">
        <w:t>. All authors read and approved the final manuscript.</w:t>
      </w:r>
    </w:p>
    <w:p w14:paraId="522D00EC" w14:textId="77777777" w:rsidR="009E599F" w:rsidRDefault="009E599F" w:rsidP="009E599F">
      <w:pPr>
        <w:pStyle w:val="Heading3"/>
      </w:pPr>
      <w:r w:rsidRPr="000429D0">
        <w:t>Competing interests</w:t>
      </w:r>
    </w:p>
    <w:p w14:paraId="00B9621E" w14:textId="08610B10" w:rsidR="00331499" w:rsidRDefault="00331499" w:rsidP="00331499">
      <w:r w:rsidRPr="007E32C4">
        <w:t>The authors declare that they have no competing interests</w:t>
      </w:r>
      <w:r>
        <w:t>.</w:t>
      </w:r>
    </w:p>
    <w:p w14:paraId="62CC8C92" w14:textId="078E7F61" w:rsidR="009E599F" w:rsidRPr="000429D0" w:rsidRDefault="009E599F" w:rsidP="009E599F">
      <w:pPr>
        <w:pStyle w:val="Heading3"/>
      </w:pPr>
      <w:r w:rsidRPr="000429D0">
        <w:t>Funding</w:t>
      </w:r>
    </w:p>
    <w:p w14:paraId="1C299FD4" w14:textId="65EF39CF" w:rsidR="00134375" w:rsidRDefault="005C7B74" w:rsidP="005C7B74">
      <w:pPr>
        <w:rPr>
          <w:rFonts w:ascii="Calibri" w:eastAsia="Times New Roman" w:hAnsi="Calibri" w:cs="Calibri"/>
          <w:color w:val="000000"/>
        </w:rPr>
      </w:pPr>
      <w:r>
        <w:t xml:space="preserve">This work was supported by </w:t>
      </w:r>
      <w:r w:rsidR="009E599F">
        <w:t>Cancer Research UK (</w:t>
      </w:r>
      <w:r w:rsidR="009E599F">
        <w:rPr>
          <w:rFonts w:eastAsia="Times New Roman" w:cs="Calibri"/>
          <w:color w:val="000000"/>
          <w:shd w:val="clear" w:color="auto" w:fill="FFFFFF"/>
        </w:rPr>
        <w:t>PRCRPG-Nov21\100002</w:t>
      </w:r>
      <w:r w:rsidR="009E599F">
        <w:t>).</w:t>
      </w:r>
      <w:r w:rsidR="00EE18A8">
        <w:t xml:space="preserve"> Data collection for Wales and Scotland </w:t>
      </w:r>
      <w:r w:rsidR="00F174DF">
        <w:t xml:space="preserve">was </w:t>
      </w:r>
      <w:r w:rsidR="00EE18A8">
        <w:t>funded by</w:t>
      </w:r>
      <w:r w:rsidR="001D5508">
        <w:t xml:space="preserve"> the UK Prevention Research Partnership (</w:t>
      </w:r>
      <w:r w:rsidR="00755921" w:rsidRPr="00284066">
        <w:t>MR/S037519/1</w:t>
      </w:r>
      <w:r w:rsidR="001D5508">
        <w:t>) and</w:t>
      </w:r>
      <w:r w:rsidR="001D429B">
        <w:t xml:space="preserve"> the Economic and Social Research Council </w:t>
      </w:r>
      <w:r w:rsidR="001D429B" w:rsidRPr="001D429B">
        <w:t>(ES/Y001044/1)</w:t>
      </w:r>
      <w:r w:rsidR="00EE18A8">
        <w:t>.</w:t>
      </w:r>
      <w:r w:rsidR="009F04E1">
        <w:t xml:space="preserve"> </w:t>
      </w:r>
      <w:r w:rsidR="003E654D" w:rsidRPr="00EE6F55">
        <w:t xml:space="preserve">SC </w:t>
      </w:r>
      <w:r w:rsidR="003E654D" w:rsidRPr="00CB1828">
        <w:t>is a member of the Behavioural Research UK Leadership Hub which is supported by the Economic and Social Research Council (ES/Y001044/1)</w:t>
      </w:r>
      <w:r w:rsidR="003E654D">
        <w:t xml:space="preserve">. </w:t>
      </w:r>
      <w:proofErr w:type="gramStart"/>
      <w:r w:rsidR="009F04E1">
        <w:rPr>
          <w:rFonts w:ascii="Calibri" w:eastAsia="Times New Roman" w:hAnsi="Calibri" w:cs="Calibri"/>
          <w:color w:val="000000"/>
        </w:rPr>
        <w:t>For the purpose of</w:t>
      </w:r>
      <w:proofErr w:type="gramEnd"/>
      <w:r w:rsidR="009F04E1">
        <w:rPr>
          <w:rFonts w:ascii="Calibri" w:eastAsia="Times New Roman" w:hAnsi="Calibri" w:cs="Calibri"/>
          <w:color w:val="000000"/>
        </w:rPr>
        <w:t xml:space="preserve"> Open Access, the author has applied a CC BY public copyright licence to any Author Accepted Manuscript version arising from this submission.</w:t>
      </w:r>
    </w:p>
    <w:p w14:paraId="132B16BD" w14:textId="77777777" w:rsidR="003576CD" w:rsidRDefault="003576CD" w:rsidP="003576CD">
      <w:pPr>
        <w:pStyle w:val="Heading3"/>
      </w:pPr>
      <w:r>
        <w:t>Ethics approval and consent to participate</w:t>
      </w:r>
    </w:p>
    <w:p w14:paraId="73C6229F" w14:textId="43C89A42" w:rsidR="003576CD" w:rsidRPr="005C7B74" w:rsidRDefault="003576CD" w:rsidP="00210968">
      <w:r w:rsidRPr="008A2E86">
        <w:t>Ethical approval for the STS was granted originally by the UCL Ethics Committee (ID 0498/001). The data are not collected by UCL and are anonymized when received by UCL.</w:t>
      </w:r>
      <w:r>
        <w:t xml:space="preserve"> </w:t>
      </w:r>
      <w:r w:rsidRPr="0062320A">
        <w:t>All participants provided verbal consent which was recorded on computers by trained interviewers.</w:t>
      </w:r>
    </w:p>
    <w:sectPr w:rsidR="003576CD" w:rsidRPr="005C7B74" w:rsidSect="00904872">
      <w:pgSz w:w="11906" w:h="16838" w:code="9"/>
      <w:pgMar w:top="1440" w:right="1247" w:bottom="1440" w:left="130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61EB" w14:textId="77777777" w:rsidR="006B3371" w:rsidRDefault="006B3371" w:rsidP="007C0309">
      <w:pPr>
        <w:spacing w:after="0" w:line="240" w:lineRule="auto"/>
      </w:pPr>
      <w:r>
        <w:separator/>
      </w:r>
    </w:p>
  </w:endnote>
  <w:endnote w:type="continuationSeparator" w:id="0">
    <w:p w14:paraId="77C0256C" w14:textId="77777777" w:rsidR="006B3371" w:rsidRDefault="006B3371" w:rsidP="007C0309">
      <w:pPr>
        <w:spacing w:after="0" w:line="240" w:lineRule="auto"/>
      </w:pPr>
      <w:r>
        <w:continuationSeparator/>
      </w:r>
    </w:p>
  </w:endnote>
  <w:endnote w:type="continuationNotice" w:id="1">
    <w:p w14:paraId="43059B48" w14:textId="77777777" w:rsidR="006B3371" w:rsidRDefault="006B3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641675"/>
      <w:docPartObj>
        <w:docPartGallery w:val="Page Numbers (Bottom of Page)"/>
        <w:docPartUnique/>
      </w:docPartObj>
    </w:sdtPr>
    <w:sdtEndPr>
      <w:rPr>
        <w:noProof/>
      </w:rPr>
    </w:sdtEndPr>
    <w:sdtContent>
      <w:p w14:paraId="57F76A4E" w14:textId="77777777" w:rsidR="00F65E95" w:rsidRDefault="00F65E95">
        <w:pPr>
          <w:pStyle w:val="Footer"/>
          <w:jc w:val="right"/>
        </w:pPr>
        <w:r>
          <w:fldChar w:fldCharType="begin"/>
        </w:r>
        <w:r>
          <w:instrText xml:space="preserve"> PAGE   \* MERGEFORMAT </w:instrText>
        </w:r>
        <w:r>
          <w:fldChar w:fldCharType="separate"/>
        </w:r>
        <w:r w:rsidR="009F04E1">
          <w:rPr>
            <w:noProof/>
          </w:rPr>
          <w:t>3</w:t>
        </w:r>
        <w:r>
          <w:rPr>
            <w:noProof/>
          </w:rPr>
          <w:fldChar w:fldCharType="end"/>
        </w:r>
      </w:p>
    </w:sdtContent>
  </w:sdt>
  <w:p w14:paraId="49B607D4" w14:textId="77777777" w:rsidR="00F65E95" w:rsidRDefault="00F65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5193" w14:textId="77777777" w:rsidR="006B3371" w:rsidRDefault="006B3371" w:rsidP="007C0309">
      <w:pPr>
        <w:spacing w:after="0" w:line="240" w:lineRule="auto"/>
      </w:pPr>
      <w:r>
        <w:separator/>
      </w:r>
    </w:p>
  </w:footnote>
  <w:footnote w:type="continuationSeparator" w:id="0">
    <w:p w14:paraId="6AE3F1AD" w14:textId="77777777" w:rsidR="006B3371" w:rsidRDefault="006B3371" w:rsidP="007C0309">
      <w:pPr>
        <w:spacing w:after="0" w:line="240" w:lineRule="auto"/>
      </w:pPr>
      <w:r>
        <w:continuationSeparator/>
      </w:r>
    </w:p>
  </w:footnote>
  <w:footnote w:type="continuationNotice" w:id="1">
    <w:p w14:paraId="41BC73B3" w14:textId="77777777" w:rsidR="006B3371" w:rsidRDefault="006B33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505B3"/>
    <w:multiLevelType w:val="hybridMultilevel"/>
    <w:tmpl w:val="CAFE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1748B"/>
    <w:multiLevelType w:val="hybridMultilevel"/>
    <w:tmpl w:val="4312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FE4955"/>
    <w:multiLevelType w:val="hybridMultilevel"/>
    <w:tmpl w:val="0AC0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9797D"/>
    <w:multiLevelType w:val="hybridMultilevel"/>
    <w:tmpl w:val="14D6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67651"/>
    <w:multiLevelType w:val="hybridMultilevel"/>
    <w:tmpl w:val="8A10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404878">
    <w:abstractNumId w:val="0"/>
  </w:num>
  <w:num w:numId="2" w16cid:durableId="1277372880">
    <w:abstractNumId w:val="3"/>
  </w:num>
  <w:num w:numId="3" w16cid:durableId="1624383995">
    <w:abstractNumId w:val="4"/>
  </w:num>
  <w:num w:numId="4" w16cid:durableId="1819376432">
    <w:abstractNumId w:val="1"/>
  </w:num>
  <w:num w:numId="5" w16cid:durableId="718550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EB"/>
    <w:rsid w:val="00000047"/>
    <w:rsid w:val="000001B3"/>
    <w:rsid w:val="000001D2"/>
    <w:rsid w:val="000001D8"/>
    <w:rsid w:val="00000314"/>
    <w:rsid w:val="00000721"/>
    <w:rsid w:val="00000DE8"/>
    <w:rsid w:val="00000FDA"/>
    <w:rsid w:val="0000106F"/>
    <w:rsid w:val="00001074"/>
    <w:rsid w:val="00001532"/>
    <w:rsid w:val="00001893"/>
    <w:rsid w:val="00001F78"/>
    <w:rsid w:val="0000203B"/>
    <w:rsid w:val="000023D9"/>
    <w:rsid w:val="00002634"/>
    <w:rsid w:val="00002751"/>
    <w:rsid w:val="00002880"/>
    <w:rsid w:val="00002936"/>
    <w:rsid w:val="00002A03"/>
    <w:rsid w:val="00002F94"/>
    <w:rsid w:val="00003430"/>
    <w:rsid w:val="000036A3"/>
    <w:rsid w:val="0000379E"/>
    <w:rsid w:val="00003AD7"/>
    <w:rsid w:val="00003B14"/>
    <w:rsid w:val="00004186"/>
    <w:rsid w:val="00004623"/>
    <w:rsid w:val="00004A61"/>
    <w:rsid w:val="00004A8E"/>
    <w:rsid w:val="00004CB7"/>
    <w:rsid w:val="00004DE0"/>
    <w:rsid w:val="00004EF1"/>
    <w:rsid w:val="0000500F"/>
    <w:rsid w:val="000050CD"/>
    <w:rsid w:val="000052B3"/>
    <w:rsid w:val="0000580C"/>
    <w:rsid w:val="000059A3"/>
    <w:rsid w:val="00005CA0"/>
    <w:rsid w:val="00005D83"/>
    <w:rsid w:val="0000647A"/>
    <w:rsid w:val="00006612"/>
    <w:rsid w:val="00006A82"/>
    <w:rsid w:val="00006FCA"/>
    <w:rsid w:val="00007083"/>
    <w:rsid w:val="00007352"/>
    <w:rsid w:val="000075CE"/>
    <w:rsid w:val="000077E6"/>
    <w:rsid w:val="000079FC"/>
    <w:rsid w:val="00007C56"/>
    <w:rsid w:val="00010049"/>
    <w:rsid w:val="00010211"/>
    <w:rsid w:val="00010313"/>
    <w:rsid w:val="00010410"/>
    <w:rsid w:val="000108D8"/>
    <w:rsid w:val="00010A6D"/>
    <w:rsid w:val="00010F4A"/>
    <w:rsid w:val="0001105D"/>
    <w:rsid w:val="0001138F"/>
    <w:rsid w:val="000115DA"/>
    <w:rsid w:val="0001191A"/>
    <w:rsid w:val="00011A3D"/>
    <w:rsid w:val="00011E4C"/>
    <w:rsid w:val="00011F07"/>
    <w:rsid w:val="00012083"/>
    <w:rsid w:val="000124D2"/>
    <w:rsid w:val="000125E0"/>
    <w:rsid w:val="000126CA"/>
    <w:rsid w:val="00012885"/>
    <w:rsid w:val="00012B3F"/>
    <w:rsid w:val="00012B66"/>
    <w:rsid w:val="00012B68"/>
    <w:rsid w:val="00012DFF"/>
    <w:rsid w:val="00013115"/>
    <w:rsid w:val="0001324E"/>
    <w:rsid w:val="000133B5"/>
    <w:rsid w:val="00013589"/>
    <w:rsid w:val="00013A10"/>
    <w:rsid w:val="00014598"/>
    <w:rsid w:val="000145B7"/>
    <w:rsid w:val="00014661"/>
    <w:rsid w:val="0001480A"/>
    <w:rsid w:val="00014AB7"/>
    <w:rsid w:val="00014B5C"/>
    <w:rsid w:val="00015126"/>
    <w:rsid w:val="00015235"/>
    <w:rsid w:val="00015658"/>
    <w:rsid w:val="000156D6"/>
    <w:rsid w:val="00015736"/>
    <w:rsid w:val="000157A3"/>
    <w:rsid w:val="00015957"/>
    <w:rsid w:val="00015965"/>
    <w:rsid w:val="00015C6F"/>
    <w:rsid w:val="00015E26"/>
    <w:rsid w:val="00015EF9"/>
    <w:rsid w:val="00016021"/>
    <w:rsid w:val="0001616A"/>
    <w:rsid w:val="0001619D"/>
    <w:rsid w:val="0001680B"/>
    <w:rsid w:val="00016867"/>
    <w:rsid w:val="00016927"/>
    <w:rsid w:val="00016AB6"/>
    <w:rsid w:val="00016F05"/>
    <w:rsid w:val="000174CF"/>
    <w:rsid w:val="0001763F"/>
    <w:rsid w:val="00017C3D"/>
    <w:rsid w:val="00017D43"/>
    <w:rsid w:val="00017DFF"/>
    <w:rsid w:val="00017E88"/>
    <w:rsid w:val="00017EF0"/>
    <w:rsid w:val="00017F18"/>
    <w:rsid w:val="00017F43"/>
    <w:rsid w:val="000202A6"/>
    <w:rsid w:val="000204B4"/>
    <w:rsid w:val="000204DC"/>
    <w:rsid w:val="00020569"/>
    <w:rsid w:val="000207AB"/>
    <w:rsid w:val="000207B4"/>
    <w:rsid w:val="000207C9"/>
    <w:rsid w:val="00020FA7"/>
    <w:rsid w:val="00021074"/>
    <w:rsid w:val="0002111A"/>
    <w:rsid w:val="0002124F"/>
    <w:rsid w:val="00021312"/>
    <w:rsid w:val="00021419"/>
    <w:rsid w:val="000215D8"/>
    <w:rsid w:val="00021780"/>
    <w:rsid w:val="00021A40"/>
    <w:rsid w:val="00021F0D"/>
    <w:rsid w:val="000223B6"/>
    <w:rsid w:val="000227B1"/>
    <w:rsid w:val="00022BDB"/>
    <w:rsid w:val="00022D1C"/>
    <w:rsid w:val="00022D42"/>
    <w:rsid w:val="000233BB"/>
    <w:rsid w:val="000233F1"/>
    <w:rsid w:val="000237F7"/>
    <w:rsid w:val="000238F6"/>
    <w:rsid w:val="0002390A"/>
    <w:rsid w:val="00023B76"/>
    <w:rsid w:val="00023DAD"/>
    <w:rsid w:val="000244E4"/>
    <w:rsid w:val="000247C8"/>
    <w:rsid w:val="000247FC"/>
    <w:rsid w:val="00024916"/>
    <w:rsid w:val="00024E05"/>
    <w:rsid w:val="000256FF"/>
    <w:rsid w:val="000257D6"/>
    <w:rsid w:val="00025872"/>
    <w:rsid w:val="000258E3"/>
    <w:rsid w:val="00025AB4"/>
    <w:rsid w:val="00025E14"/>
    <w:rsid w:val="00025E27"/>
    <w:rsid w:val="00026047"/>
    <w:rsid w:val="00026104"/>
    <w:rsid w:val="0002611A"/>
    <w:rsid w:val="000265A5"/>
    <w:rsid w:val="00026757"/>
    <w:rsid w:val="000268E7"/>
    <w:rsid w:val="0002694B"/>
    <w:rsid w:val="00026D21"/>
    <w:rsid w:val="00026D73"/>
    <w:rsid w:val="000270A6"/>
    <w:rsid w:val="00027635"/>
    <w:rsid w:val="00027822"/>
    <w:rsid w:val="00027846"/>
    <w:rsid w:val="00027985"/>
    <w:rsid w:val="00027987"/>
    <w:rsid w:val="00027AF7"/>
    <w:rsid w:val="00027C1B"/>
    <w:rsid w:val="00027D34"/>
    <w:rsid w:val="00027E35"/>
    <w:rsid w:val="0003000E"/>
    <w:rsid w:val="00030132"/>
    <w:rsid w:val="0003016A"/>
    <w:rsid w:val="00030218"/>
    <w:rsid w:val="000306B0"/>
    <w:rsid w:val="0003080D"/>
    <w:rsid w:val="00031153"/>
    <w:rsid w:val="000313A4"/>
    <w:rsid w:val="0003141B"/>
    <w:rsid w:val="00031428"/>
    <w:rsid w:val="000314B1"/>
    <w:rsid w:val="000315DE"/>
    <w:rsid w:val="00031A7B"/>
    <w:rsid w:val="00031D26"/>
    <w:rsid w:val="00031F88"/>
    <w:rsid w:val="000324C4"/>
    <w:rsid w:val="000325BC"/>
    <w:rsid w:val="00032AE6"/>
    <w:rsid w:val="00032BA5"/>
    <w:rsid w:val="000331B5"/>
    <w:rsid w:val="00033373"/>
    <w:rsid w:val="000334C1"/>
    <w:rsid w:val="0003371D"/>
    <w:rsid w:val="000338FD"/>
    <w:rsid w:val="00033A7F"/>
    <w:rsid w:val="00034908"/>
    <w:rsid w:val="00034C72"/>
    <w:rsid w:val="00034E9C"/>
    <w:rsid w:val="00034EE3"/>
    <w:rsid w:val="00034F5E"/>
    <w:rsid w:val="00035437"/>
    <w:rsid w:val="00035656"/>
    <w:rsid w:val="000358A1"/>
    <w:rsid w:val="00035BFA"/>
    <w:rsid w:val="00035C4B"/>
    <w:rsid w:val="00035CA6"/>
    <w:rsid w:val="00036466"/>
    <w:rsid w:val="0003660E"/>
    <w:rsid w:val="0003668D"/>
    <w:rsid w:val="000366D4"/>
    <w:rsid w:val="00036B8D"/>
    <w:rsid w:val="00036BBD"/>
    <w:rsid w:val="00036C78"/>
    <w:rsid w:val="000370CF"/>
    <w:rsid w:val="00037201"/>
    <w:rsid w:val="00037394"/>
    <w:rsid w:val="000374CF"/>
    <w:rsid w:val="000377A4"/>
    <w:rsid w:val="00037918"/>
    <w:rsid w:val="00037AF4"/>
    <w:rsid w:val="00037C5A"/>
    <w:rsid w:val="00037FBF"/>
    <w:rsid w:val="00037FC9"/>
    <w:rsid w:val="00040295"/>
    <w:rsid w:val="0004031F"/>
    <w:rsid w:val="00040675"/>
    <w:rsid w:val="00040954"/>
    <w:rsid w:val="00040AE5"/>
    <w:rsid w:val="00040AEC"/>
    <w:rsid w:val="00041113"/>
    <w:rsid w:val="00041352"/>
    <w:rsid w:val="000414F2"/>
    <w:rsid w:val="0004165D"/>
    <w:rsid w:val="0004172D"/>
    <w:rsid w:val="0004178B"/>
    <w:rsid w:val="00041F97"/>
    <w:rsid w:val="00042013"/>
    <w:rsid w:val="0004211B"/>
    <w:rsid w:val="000422FA"/>
    <w:rsid w:val="0004296A"/>
    <w:rsid w:val="00042F05"/>
    <w:rsid w:val="00043073"/>
    <w:rsid w:val="00043206"/>
    <w:rsid w:val="0004342F"/>
    <w:rsid w:val="000435F3"/>
    <w:rsid w:val="0004385D"/>
    <w:rsid w:val="00043E40"/>
    <w:rsid w:val="00043E44"/>
    <w:rsid w:val="00044314"/>
    <w:rsid w:val="00044608"/>
    <w:rsid w:val="000447EE"/>
    <w:rsid w:val="00044BCB"/>
    <w:rsid w:val="00044C34"/>
    <w:rsid w:val="00044F6F"/>
    <w:rsid w:val="00045451"/>
    <w:rsid w:val="000454DD"/>
    <w:rsid w:val="0004568F"/>
    <w:rsid w:val="0004574E"/>
    <w:rsid w:val="00045814"/>
    <w:rsid w:val="00045D8B"/>
    <w:rsid w:val="00046473"/>
    <w:rsid w:val="0004675A"/>
    <w:rsid w:val="000469FB"/>
    <w:rsid w:val="00046A8D"/>
    <w:rsid w:val="00046DBC"/>
    <w:rsid w:val="00046F7B"/>
    <w:rsid w:val="00046F7E"/>
    <w:rsid w:val="000478CB"/>
    <w:rsid w:val="00047F29"/>
    <w:rsid w:val="0005019E"/>
    <w:rsid w:val="000501C8"/>
    <w:rsid w:val="000503D1"/>
    <w:rsid w:val="00050E86"/>
    <w:rsid w:val="00050FCD"/>
    <w:rsid w:val="000512B7"/>
    <w:rsid w:val="000516F9"/>
    <w:rsid w:val="00051701"/>
    <w:rsid w:val="00052120"/>
    <w:rsid w:val="000522CF"/>
    <w:rsid w:val="0005236C"/>
    <w:rsid w:val="000524B1"/>
    <w:rsid w:val="000525A1"/>
    <w:rsid w:val="000526D4"/>
    <w:rsid w:val="000528C9"/>
    <w:rsid w:val="000532A0"/>
    <w:rsid w:val="000533DA"/>
    <w:rsid w:val="00053427"/>
    <w:rsid w:val="00053446"/>
    <w:rsid w:val="00053668"/>
    <w:rsid w:val="00053CCC"/>
    <w:rsid w:val="00053D21"/>
    <w:rsid w:val="00053E44"/>
    <w:rsid w:val="00053FA3"/>
    <w:rsid w:val="000541FB"/>
    <w:rsid w:val="000546A2"/>
    <w:rsid w:val="00054793"/>
    <w:rsid w:val="00054E09"/>
    <w:rsid w:val="00055DC1"/>
    <w:rsid w:val="00056235"/>
    <w:rsid w:val="000562E6"/>
    <w:rsid w:val="000566DD"/>
    <w:rsid w:val="00056708"/>
    <w:rsid w:val="0005685B"/>
    <w:rsid w:val="00056A7E"/>
    <w:rsid w:val="00056B73"/>
    <w:rsid w:val="00056D10"/>
    <w:rsid w:val="0005748C"/>
    <w:rsid w:val="0005757A"/>
    <w:rsid w:val="000579EF"/>
    <w:rsid w:val="000600EB"/>
    <w:rsid w:val="00060541"/>
    <w:rsid w:val="00060DD1"/>
    <w:rsid w:val="00060DD9"/>
    <w:rsid w:val="00061056"/>
    <w:rsid w:val="000616B5"/>
    <w:rsid w:val="000619F3"/>
    <w:rsid w:val="00061BB4"/>
    <w:rsid w:val="00061BF3"/>
    <w:rsid w:val="00061E02"/>
    <w:rsid w:val="00061E88"/>
    <w:rsid w:val="00061EFD"/>
    <w:rsid w:val="000620EE"/>
    <w:rsid w:val="000622C5"/>
    <w:rsid w:val="0006250E"/>
    <w:rsid w:val="00062858"/>
    <w:rsid w:val="00062994"/>
    <w:rsid w:val="00062C11"/>
    <w:rsid w:val="00062D97"/>
    <w:rsid w:val="00062DB0"/>
    <w:rsid w:val="00062E1A"/>
    <w:rsid w:val="00063092"/>
    <w:rsid w:val="000633E5"/>
    <w:rsid w:val="000636E7"/>
    <w:rsid w:val="00063C0D"/>
    <w:rsid w:val="00063CAC"/>
    <w:rsid w:val="000641F4"/>
    <w:rsid w:val="000646AE"/>
    <w:rsid w:val="00064D25"/>
    <w:rsid w:val="00064F77"/>
    <w:rsid w:val="000650AA"/>
    <w:rsid w:val="0006529F"/>
    <w:rsid w:val="00065315"/>
    <w:rsid w:val="0006537F"/>
    <w:rsid w:val="000654AE"/>
    <w:rsid w:val="00065E1D"/>
    <w:rsid w:val="00065E31"/>
    <w:rsid w:val="0006671C"/>
    <w:rsid w:val="0006687E"/>
    <w:rsid w:val="00066B53"/>
    <w:rsid w:val="00066F72"/>
    <w:rsid w:val="000671A0"/>
    <w:rsid w:val="0006743F"/>
    <w:rsid w:val="00067C34"/>
    <w:rsid w:val="00067CE7"/>
    <w:rsid w:val="00067E4D"/>
    <w:rsid w:val="00067FFC"/>
    <w:rsid w:val="000707C3"/>
    <w:rsid w:val="00071001"/>
    <w:rsid w:val="000710E1"/>
    <w:rsid w:val="0007164E"/>
    <w:rsid w:val="00071653"/>
    <w:rsid w:val="00071925"/>
    <w:rsid w:val="00071A18"/>
    <w:rsid w:val="00071DC1"/>
    <w:rsid w:val="00071E6E"/>
    <w:rsid w:val="0007213A"/>
    <w:rsid w:val="000723B1"/>
    <w:rsid w:val="0007249E"/>
    <w:rsid w:val="000728FE"/>
    <w:rsid w:val="00072DE2"/>
    <w:rsid w:val="000734C3"/>
    <w:rsid w:val="000735D1"/>
    <w:rsid w:val="00073A06"/>
    <w:rsid w:val="00073D03"/>
    <w:rsid w:val="00074055"/>
    <w:rsid w:val="000741DE"/>
    <w:rsid w:val="00074375"/>
    <w:rsid w:val="00074841"/>
    <w:rsid w:val="00074961"/>
    <w:rsid w:val="00074B84"/>
    <w:rsid w:val="00074BA4"/>
    <w:rsid w:val="0007542F"/>
    <w:rsid w:val="000759DB"/>
    <w:rsid w:val="00075BB2"/>
    <w:rsid w:val="00075C71"/>
    <w:rsid w:val="00075DA9"/>
    <w:rsid w:val="00076345"/>
    <w:rsid w:val="000764A6"/>
    <w:rsid w:val="000769D1"/>
    <w:rsid w:val="00076A60"/>
    <w:rsid w:val="00076C6F"/>
    <w:rsid w:val="00076CA2"/>
    <w:rsid w:val="00076CD5"/>
    <w:rsid w:val="00077794"/>
    <w:rsid w:val="00077BB1"/>
    <w:rsid w:val="00077BB6"/>
    <w:rsid w:val="00077F12"/>
    <w:rsid w:val="000800BF"/>
    <w:rsid w:val="00080199"/>
    <w:rsid w:val="000807FA"/>
    <w:rsid w:val="00080939"/>
    <w:rsid w:val="00080DAA"/>
    <w:rsid w:val="000810CB"/>
    <w:rsid w:val="000815D6"/>
    <w:rsid w:val="00081A10"/>
    <w:rsid w:val="00082416"/>
    <w:rsid w:val="000824D8"/>
    <w:rsid w:val="000827C4"/>
    <w:rsid w:val="00082930"/>
    <w:rsid w:val="00082AB5"/>
    <w:rsid w:val="00082C6D"/>
    <w:rsid w:val="00082D8E"/>
    <w:rsid w:val="00082EE0"/>
    <w:rsid w:val="00082F7C"/>
    <w:rsid w:val="000836AB"/>
    <w:rsid w:val="000837FC"/>
    <w:rsid w:val="00083812"/>
    <w:rsid w:val="00083A14"/>
    <w:rsid w:val="00083D82"/>
    <w:rsid w:val="00083E79"/>
    <w:rsid w:val="00083F3D"/>
    <w:rsid w:val="00084468"/>
    <w:rsid w:val="000845C7"/>
    <w:rsid w:val="000845E4"/>
    <w:rsid w:val="00084DDF"/>
    <w:rsid w:val="000850C7"/>
    <w:rsid w:val="000850ED"/>
    <w:rsid w:val="00085292"/>
    <w:rsid w:val="00085601"/>
    <w:rsid w:val="0008577F"/>
    <w:rsid w:val="0008605E"/>
    <w:rsid w:val="000867E7"/>
    <w:rsid w:val="00086D0A"/>
    <w:rsid w:val="00086DDB"/>
    <w:rsid w:val="0008709D"/>
    <w:rsid w:val="000870BA"/>
    <w:rsid w:val="00087B94"/>
    <w:rsid w:val="00087E11"/>
    <w:rsid w:val="00087EE1"/>
    <w:rsid w:val="000900D1"/>
    <w:rsid w:val="00090363"/>
    <w:rsid w:val="000903B3"/>
    <w:rsid w:val="00090BF9"/>
    <w:rsid w:val="000918FF"/>
    <w:rsid w:val="00091FC6"/>
    <w:rsid w:val="000926DC"/>
    <w:rsid w:val="0009278A"/>
    <w:rsid w:val="000928DC"/>
    <w:rsid w:val="000929BC"/>
    <w:rsid w:val="00092B49"/>
    <w:rsid w:val="00092B61"/>
    <w:rsid w:val="00092F27"/>
    <w:rsid w:val="00092F5F"/>
    <w:rsid w:val="000932F2"/>
    <w:rsid w:val="000937B7"/>
    <w:rsid w:val="000939F8"/>
    <w:rsid w:val="00093A36"/>
    <w:rsid w:val="00093D79"/>
    <w:rsid w:val="00093EC0"/>
    <w:rsid w:val="00093F24"/>
    <w:rsid w:val="000940E0"/>
    <w:rsid w:val="000944FE"/>
    <w:rsid w:val="000945F3"/>
    <w:rsid w:val="00094712"/>
    <w:rsid w:val="00094BE4"/>
    <w:rsid w:val="00094C24"/>
    <w:rsid w:val="00094EBE"/>
    <w:rsid w:val="0009567D"/>
    <w:rsid w:val="000957D3"/>
    <w:rsid w:val="000958D5"/>
    <w:rsid w:val="000959C3"/>
    <w:rsid w:val="00095D77"/>
    <w:rsid w:val="00095FFB"/>
    <w:rsid w:val="00096075"/>
    <w:rsid w:val="000960AF"/>
    <w:rsid w:val="0009611C"/>
    <w:rsid w:val="000961A5"/>
    <w:rsid w:val="000962C9"/>
    <w:rsid w:val="000965BE"/>
    <w:rsid w:val="000966AB"/>
    <w:rsid w:val="00096870"/>
    <w:rsid w:val="00096A15"/>
    <w:rsid w:val="00096A7B"/>
    <w:rsid w:val="00097447"/>
    <w:rsid w:val="000974D3"/>
    <w:rsid w:val="00097696"/>
    <w:rsid w:val="00097778"/>
    <w:rsid w:val="00097B19"/>
    <w:rsid w:val="00097C49"/>
    <w:rsid w:val="000A025B"/>
    <w:rsid w:val="000A04E6"/>
    <w:rsid w:val="000A08A3"/>
    <w:rsid w:val="000A0F1F"/>
    <w:rsid w:val="000A10B6"/>
    <w:rsid w:val="000A1349"/>
    <w:rsid w:val="000A1CD0"/>
    <w:rsid w:val="000A218B"/>
    <w:rsid w:val="000A2513"/>
    <w:rsid w:val="000A2A39"/>
    <w:rsid w:val="000A2E6B"/>
    <w:rsid w:val="000A327C"/>
    <w:rsid w:val="000A3365"/>
    <w:rsid w:val="000A356C"/>
    <w:rsid w:val="000A37A3"/>
    <w:rsid w:val="000A39E2"/>
    <w:rsid w:val="000A3E7E"/>
    <w:rsid w:val="000A3EAB"/>
    <w:rsid w:val="000A3FEC"/>
    <w:rsid w:val="000A4048"/>
    <w:rsid w:val="000A44CE"/>
    <w:rsid w:val="000A4951"/>
    <w:rsid w:val="000A4998"/>
    <w:rsid w:val="000A4A2A"/>
    <w:rsid w:val="000A4EAB"/>
    <w:rsid w:val="000A57AD"/>
    <w:rsid w:val="000A59AF"/>
    <w:rsid w:val="000A5A47"/>
    <w:rsid w:val="000A5A5F"/>
    <w:rsid w:val="000A5B13"/>
    <w:rsid w:val="000A5BF5"/>
    <w:rsid w:val="000A5CA2"/>
    <w:rsid w:val="000A5D6F"/>
    <w:rsid w:val="000A5F41"/>
    <w:rsid w:val="000A5FBD"/>
    <w:rsid w:val="000A6C07"/>
    <w:rsid w:val="000A6CD1"/>
    <w:rsid w:val="000A70CA"/>
    <w:rsid w:val="000A7245"/>
    <w:rsid w:val="000A731F"/>
    <w:rsid w:val="000A7ACA"/>
    <w:rsid w:val="000A7D46"/>
    <w:rsid w:val="000A7DED"/>
    <w:rsid w:val="000B0374"/>
    <w:rsid w:val="000B04C5"/>
    <w:rsid w:val="000B0634"/>
    <w:rsid w:val="000B07D3"/>
    <w:rsid w:val="000B0F12"/>
    <w:rsid w:val="000B1048"/>
    <w:rsid w:val="000B10D3"/>
    <w:rsid w:val="000B14F4"/>
    <w:rsid w:val="000B1503"/>
    <w:rsid w:val="000B1689"/>
    <w:rsid w:val="000B1989"/>
    <w:rsid w:val="000B1AC1"/>
    <w:rsid w:val="000B1C9D"/>
    <w:rsid w:val="000B1E1C"/>
    <w:rsid w:val="000B24B8"/>
    <w:rsid w:val="000B24F9"/>
    <w:rsid w:val="000B2A53"/>
    <w:rsid w:val="000B2AA7"/>
    <w:rsid w:val="000B2ABB"/>
    <w:rsid w:val="000B2DC1"/>
    <w:rsid w:val="000B2FD0"/>
    <w:rsid w:val="000B349F"/>
    <w:rsid w:val="000B3CD3"/>
    <w:rsid w:val="000B3D19"/>
    <w:rsid w:val="000B3E54"/>
    <w:rsid w:val="000B3F7D"/>
    <w:rsid w:val="000B4008"/>
    <w:rsid w:val="000B402A"/>
    <w:rsid w:val="000B40D8"/>
    <w:rsid w:val="000B4194"/>
    <w:rsid w:val="000B43A0"/>
    <w:rsid w:val="000B449F"/>
    <w:rsid w:val="000B45F0"/>
    <w:rsid w:val="000B46F3"/>
    <w:rsid w:val="000B475E"/>
    <w:rsid w:val="000B4B1A"/>
    <w:rsid w:val="000B4B73"/>
    <w:rsid w:val="000B4D68"/>
    <w:rsid w:val="000B4E55"/>
    <w:rsid w:val="000B529D"/>
    <w:rsid w:val="000B5476"/>
    <w:rsid w:val="000B55F7"/>
    <w:rsid w:val="000B598C"/>
    <w:rsid w:val="000B5F7F"/>
    <w:rsid w:val="000B6298"/>
    <w:rsid w:val="000B66DC"/>
    <w:rsid w:val="000B6C9C"/>
    <w:rsid w:val="000B6CBE"/>
    <w:rsid w:val="000B719F"/>
    <w:rsid w:val="000B7562"/>
    <w:rsid w:val="000B7707"/>
    <w:rsid w:val="000B796F"/>
    <w:rsid w:val="000B7E24"/>
    <w:rsid w:val="000B7E4C"/>
    <w:rsid w:val="000B7F2F"/>
    <w:rsid w:val="000B7F30"/>
    <w:rsid w:val="000C012C"/>
    <w:rsid w:val="000C03A6"/>
    <w:rsid w:val="000C093C"/>
    <w:rsid w:val="000C0F70"/>
    <w:rsid w:val="000C1629"/>
    <w:rsid w:val="000C19A8"/>
    <w:rsid w:val="000C1F7E"/>
    <w:rsid w:val="000C20CE"/>
    <w:rsid w:val="000C24AC"/>
    <w:rsid w:val="000C26C0"/>
    <w:rsid w:val="000C2C3A"/>
    <w:rsid w:val="000C2D95"/>
    <w:rsid w:val="000C322B"/>
    <w:rsid w:val="000C386E"/>
    <w:rsid w:val="000C3B8C"/>
    <w:rsid w:val="000C4273"/>
    <w:rsid w:val="000C439F"/>
    <w:rsid w:val="000C4B12"/>
    <w:rsid w:val="000C4C5A"/>
    <w:rsid w:val="000C4E26"/>
    <w:rsid w:val="000C4F12"/>
    <w:rsid w:val="000C507F"/>
    <w:rsid w:val="000C52FF"/>
    <w:rsid w:val="000C5389"/>
    <w:rsid w:val="000C56B2"/>
    <w:rsid w:val="000C5A23"/>
    <w:rsid w:val="000C5F1E"/>
    <w:rsid w:val="000C5F79"/>
    <w:rsid w:val="000C668E"/>
    <w:rsid w:val="000C6C70"/>
    <w:rsid w:val="000C6CB0"/>
    <w:rsid w:val="000C6F5C"/>
    <w:rsid w:val="000C71E8"/>
    <w:rsid w:val="000C72BD"/>
    <w:rsid w:val="000C7593"/>
    <w:rsid w:val="000C7636"/>
    <w:rsid w:val="000C773A"/>
    <w:rsid w:val="000C7BAC"/>
    <w:rsid w:val="000C7CE1"/>
    <w:rsid w:val="000C7E6D"/>
    <w:rsid w:val="000C7FDA"/>
    <w:rsid w:val="000D009A"/>
    <w:rsid w:val="000D069C"/>
    <w:rsid w:val="000D08AA"/>
    <w:rsid w:val="000D11A5"/>
    <w:rsid w:val="000D1685"/>
    <w:rsid w:val="000D1874"/>
    <w:rsid w:val="000D1C00"/>
    <w:rsid w:val="000D21B1"/>
    <w:rsid w:val="000D25E8"/>
    <w:rsid w:val="000D27DD"/>
    <w:rsid w:val="000D2E11"/>
    <w:rsid w:val="000D2EC9"/>
    <w:rsid w:val="000D30D3"/>
    <w:rsid w:val="000D3239"/>
    <w:rsid w:val="000D3537"/>
    <w:rsid w:val="000D367C"/>
    <w:rsid w:val="000D3684"/>
    <w:rsid w:val="000D36C4"/>
    <w:rsid w:val="000D3731"/>
    <w:rsid w:val="000D39A3"/>
    <w:rsid w:val="000D3C38"/>
    <w:rsid w:val="000D3D2A"/>
    <w:rsid w:val="000D3D86"/>
    <w:rsid w:val="000D3F21"/>
    <w:rsid w:val="000D4011"/>
    <w:rsid w:val="000D4167"/>
    <w:rsid w:val="000D4374"/>
    <w:rsid w:val="000D4B14"/>
    <w:rsid w:val="000D4D8A"/>
    <w:rsid w:val="000D4F97"/>
    <w:rsid w:val="000D5130"/>
    <w:rsid w:val="000D5329"/>
    <w:rsid w:val="000D554C"/>
    <w:rsid w:val="000D58A8"/>
    <w:rsid w:val="000D5D04"/>
    <w:rsid w:val="000D5EE6"/>
    <w:rsid w:val="000D62FE"/>
    <w:rsid w:val="000D64EC"/>
    <w:rsid w:val="000D67EE"/>
    <w:rsid w:val="000D69DB"/>
    <w:rsid w:val="000D6E82"/>
    <w:rsid w:val="000D70A1"/>
    <w:rsid w:val="000D739B"/>
    <w:rsid w:val="000D7748"/>
    <w:rsid w:val="000D7E0C"/>
    <w:rsid w:val="000E0262"/>
    <w:rsid w:val="000E03C9"/>
    <w:rsid w:val="000E0444"/>
    <w:rsid w:val="000E05FE"/>
    <w:rsid w:val="000E0628"/>
    <w:rsid w:val="000E06F6"/>
    <w:rsid w:val="000E0D0A"/>
    <w:rsid w:val="000E1252"/>
    <w:rsid w:val="000E1950"/>
    <w:rsid w:val="000E1CFA"/>
    <w:rsid w:val="000E1E81"/>
    <w:rsid w:val="000E20B8"/>
    <w:rsid w:val="000E2388"/>
    <w:rsid w:val="000E238D"/>
    <w:rsid w:val="000E248A"/>
    <w:rsid w:val="000E322B"/>
    <w:rsid w:val="000E332B"/>
    <w:rsid w:val="000E361F"/>
    <w:rsid w:val="000E39DD"/>
    <w:rsid w:val="000E421F"/>
    <w:rsid w:val="000E424C"/>
    <w:rsid w:val="000E45B5"/>
    <w:rsid w:val="000E4744"/>
    <w:rsid w:val="000E4ABC"/>
    <w:rsid w:val="000E4CE1"/>
    <w:rsid w:val="000E4D83"/>
    <w:rsid w:val="000E4DE6"/>
    <w:rsid w:val="000E5065"/>
    <w:rsid w:val="000E50A0"/>
    <w:rsid w:val="000E54D6"/>
    <w:rsid w:val="000E56A9"/>
    <w:rsid w:val="000E589F"/>
    <w:rsid w:val="000E59A5"/>
    <w:rsid w:val="000E5CFB"/>
    <w:rsid w:val="000E5D81"/>
    <w:rsid w:val="000E5D86"/>
    <w:rsid w:val="000E6252"/>
    <w:rsid w:val="000E6517"/>
    <w:rsid w:val="000E6A24"/>
    <w:rsid w:val="000E720E"/>
    <w:rsid w:val="000E7662"/>
    <w:rsid w:val="000E7871"/>
    <w:rsid w:val="000E7D60"/>
    <w:rsid w:val="000E7F6A"/>
    <w:rsid w:val="000F004F"/>
    <w:rsid w:val="000F027B"/>
    <w:rsid w:val="000F0354"/>
    <w:rsid w:val="000F03D4"/>
    <w:rsid w:val="000F0722"/>
    <w:rsid w:val="000F08C1"/>
    <w:rsid w:val="000F0A2D"/>
    <w:rsid w:val="000F0A73"/>
    <w:rsid w:val="000F0BE4"/>
    <w:rsid w:val="000F1512"/>
    <w:rsid w:val="000F166E"/>
    <w:rsid w:val="000F16B8"/>
    <w:rsid w:val="000F18FD"/>
    <w:rsid w:val="000F2103"/>
    <w:rsid w:val="000F25F8"/>
    <w:rsid w:val="000F2A46"/>
    <w:rsid w:val="000F345A"/>
    <w:rsid w:val="000F34FF"/>
    <w:rsid w:val="000F3902"/>
    <w:rsid w:val="000F4077"/>
    <w:rsid w:val="000F475F"/>
    <w:rsid w:val="000F4824"/>
    <w:rsid w:val="000F4FAD"/>
    <w:rsid w:val="000F51DE"/>
    <w:rsid w:val="000F5206"/>
    <w:rsid w:val="000F54EB"/>
    <w:rsid w:val="000F5A29"/>
    <w:rsid w:val="000F5AA9"/>
    <w:rsid w:val="000F5CD5"/>
    <w:rsid w:val="000F5D10"/>
    <w:rsid w:val="000F5FAF"/>
    <w:rsid w:val="000F649D"/>
    <w:rsid w:val="000F65E2"/>
    <w:rsid w:val="000F6984"/>
    <w:rsid w:val="000F6BCB"/>
    <w:rsid w:val="000F6C21"/>
    <w:rsid w:val="000F6DBC"/>
    <w:rsid w:val="000F7020"/>
    <w:rsid w:val="000F706E"/>
    <w:rsid w:val="000F7752"/>
    <w:rsid w:val="000F782B"/>
    <w:rsid w:val="000F7C4B"/>
    <w:rsid w:val="000F7DB0"/>
    <w:rsid w:val="000F7EC0"/>
    <w:rsid w:val="00100061"/>
    <w:rsid w:val="001000B0"/>
    <w:rsid w:val="00100222"/>
    <w:rsid w:val="00100340"/>
    <w:rsid w:val="001004A1"/>
    <w:rsid w:val="001005AD"/>
    <w:rsid w:val="00100719"/>
    <w:rsid w:val="00100806"/>
    <w:rsid w:val="001008F3"/>
    <w:rsid w:val="00100907"/>
    <w:rsid w:val="00100A62"/>
    <w:rsid w:val="00100ABE"/>
    <w:rsid w:val="00101025"/>
    <w:rsid w:val="00101041"/>
    <w:rsid w:val="00101195"/>
    <w:rsid w:val="00101472"/>
    <w:rsid w:val="0010175F"/>
    <w:rsid w:val="00101AFC"/>
    <w:rsid w:val="00101FF3"/>
    <w:rsid w:val="0010278E"/>
    <w:rsid w:val="00102AB1"/>
    <w:rsid w:val="00102D9E"/>
    <w:rsid w:val="00102FA7"/>
    <w:rsid w:val="00103829"/>
    <w:rsid w:val="0010385D"/>
    <w:rsid w:val="0010392B"/>
    <w:rsid w:val="00104084"/>
    <w:rsid w:val="001042CC"/>
    <w:rsid w:val="00104731"/>
    <w:rsid w:val="0010474C"/>
    <w:rsid w:val="001049F9"/>
    <w:rsid w:val="00104C9D"/>
    <w:rsid w:val="00104CFD"/>
    <w:rsid w:val="00104F5E"/>
    <w:rsid w:val="001051E4"/>
    <w:rsid w:val="00105795"/>
    <w:rsid w:val="00105A10"/>
    <w:rsid w:val="00105B1D"/>
    <w:rsid w:val="00105C8A"/>
    <w:rsid w:val="00105CA6"/>
    <w:rsid w:val="00105E15"/>
    <w:rsid w:val="00106179"/>
    <w:rsid w:val="00106343"/>
    <w:rsid w:val="00106846"/>
    <w:rsid w:val="001069E6"/>
    <w:rsid w:val="00106DF0"/>
    <w:rsid w:val="00106EE7"/>
    <w:rsid w:val="001071E7"/>
    <w:rsid w:val="0010742B"/>
    <w:rsid w:val="001078EF"/>
    <w:rsid w:val="001104AA"/>
    <w:rsid w:val="001104C7"/>
    <w:rsid w:val="00110630"/>
    <w:rsid w:val="0011086E"/>
    <w:rsid w:val="0011095B"/>
    <w:rsid w:val="0011112A"/>
    <w:rsid w:val="001111DA"/>
    <w:rsid w:val="00111206"/>
    <w:rsid w:val="00111A44"/>
    <w:rsid w:val="0011201B"/>
    <w:rsid w:val="00112610"/>
    <w:rsid w:val="001127F0"/>
    <w:rsid w:val="00112834"/>
    <w:rsid w:val="00112B3E"/>
    <w:rsid w:val="00112C46"/>
    <w:rsid w:val="00112C7E"/>
    <w:rsid w:val="0011310A"/>
    <w:rsid w:val="0011310E"/>
    <w:rsid w:val="001131B9"/>
    <w:rsid w:val="001133FD"/>
    <w:rsid w:val="00113516"/>
    <w:rsid w:val="00113570"/>
    <w:rsid w:val="001136C1"/>
    <w:rsid w:val="001136C6"/>
    <w:rsid w:val="00113A4B"/>
    <w:rsid w:val="00113D4A"/>
    <w:rsid w:val="0011443B"/>
    <w:rsid w:val="00114845"/>
    <w:rsid w:val="00114925"/>
    <w:rsid w:val="00114BC0"/>
    <w:rsid w:val="00114C68"/>
    <w:rsid w:val="00114E8A"/>
    <w:rsid w:val="00114FD0"/>
    <w:rsid w:val="001152EA"/>
    <w:rsid w:val="001153E2"/>
    <w:rsid w:val="0011584F"/>
    <w:rsid w:val="00115B63"/>
    <w:rsid w:val="00115BDF"/>
    <w:rsid w:val="00115D47"/>
    <w:rsid w:val="00116358"/>
    <w:rsid w:val="001163E2"/>
    <w:rsid w:val="001165C4"/>
    <w:rsid w:val="001165F6"/>
    <w:rsid w:val="001166EE"/>
    <w:rsid w:val="00116B65"/>
    <w:rsid w:val="00116D2E"/>
    <w:rsid w:val="00116E43"/>
    <w:rsid w:val="00117756"/>
    <w:rsid w:val="00117946"/>
    <w:rsid w:val="001179B6"/>
    <w:rsid w:val="00117AF2"/>
    <w:rsid w:val="00117D9B"/>
    <w:rsid w:val="00117F80"/>
    <w:rsid w:val="00120040"/>
    <w:rsid w:val="00120091"/>
    <w:rsid w:val="0012034E"/>
    <w:rsid w:val="001204E3"/>
    <w:rsid w:val="0012066C"/>
    <w:rsid w:val="00120796"/>
    <w:rsid w:val="00120ABA"/>
    <w:rsid w:val="00120B89"/>
    <w:rsid w:val="00120BCC"/>
    <w:rsid w:val="00120DB4"/>
    <w:rsid w:val="00120FAA"/>
    <w:rsid w:val="001214C3"/>
    <w:rsid w:val="00121588"/>
    <w:rsid w:val="0012177D"/>
    <w:rsid w:val="00121976"/>
    <w:rsid w:val="00121C10"/>
    <w:rsid w:val="00122159"/>
    <w:rsid w:val="0012218C"/>
    <w:rsid w:val="00122249"/>
    <w:rsid w:val="00122269"/>
    <w:rsid w:val="0012240B"/>
    <w:rsid w:val="00122510"/>
    <w:rsid w:val="00122983"/>
    <w:rsid w:val="00122A3E"/>
    <w:rsid w:val="00122C89"/>
    <w:rsid w:val="00122D6B"/>
    <w:rsid w:val="00123522"/>
    <w:rsid w:val="00123F45"/>
    <w:rsid w:val="00123F81"/>
    <w:rsid w:val="0012421E"/>
    <w:rsid w:val="0012448D"/>
    <w:rsid w:val="00124792"/>
    <w:rsid w:val="0012491E"/>
    <w:rsid w:val="00124A14"/>
    <w:rsid w:val="00125023"/>
    <w:rsid w:val="00125105"/>
    <w:rsid w:val="00125376"/>
    <w:rsid w:val="00125471"/>
    <w:rsid w:val="00125ACE"/>
    <w:rsid w:val="00125B46"/>
    <w:rsid w:val="00125B5C"/>
    <w:rsid w:val="00125C36"/>
    <w:rsid w:val="00125E2F"/>
    <w:rsid w:val="00126184"/>
    <w:rsid w:val="001264E8"/>
    <w:rsid w:val="001266E2"/>
    <w:rsid w:val="0012686B"/>
    <w:rsid w:val="00126E43"/>
    <w:rsid w:val="00127077"/>
    <w:rsid w:val="001270EB"/>
    <w:rsid w:val="001271CF"/>
    <w:rsid w:val="00127320"/>
    <w:rsid w:val="00127393"/>
    <w:rsid w:val="0012752A"/>
    <w:rsid w:val="00127534"/>
    <w:rsid w:val="00127BAA"/>
    <w:rsid w:val="0013005F"/>
    <w:rsid w:val="00130B3A"/>
    <w:rsid w:val="00131014"/>
    <w:rsid w:val="001311FA"/>
    <w:rsid w:val="00131276"/>
    <w:rsid w:val="00131537"/>
    <w:rsid w:val="00131784"/>
    <w:rsid w:val="001319A5"/>
    <w:rsid w:val="00131CAF"/>
    <w:rsid w:val="00131F02"/>
    <w:rsid w:val="00132002"/>
    <w:rsid w:val="00132030"/>
    <w:rsid w:val="001322D5"/>
    <w:rsid w:val="00132310"/>
    <w:rsid w:val="0013251D"/>
    <w:rsid w:val="00132698"/>
    <w:rsid w:val="001326FB"/>
    <w:rsid w:val="00132DE3"/>
    <w:rsid w:val="00132EFA"/>
    <w:rsid w:val="0013305E"/>
    <w:rsid w:val="00133089"/>
    <w:rsid w:val="00133211"/>
    <w:rsid w:val="00133AAB"/>
    <w:rsid w:val="00133E26"/>
    <w:rsid w:val="00134375"/>
    <w:rsid w:val="00134755"/>
    <w:rsid w:val="0013477F"/>
    <w:rsid w:val="00134845"/>
    <w:rsid w:val="001349E9"/>
    <w:rsid w:val="00134A03"/>
    <w:rsid w:val="001356B2"/>
    <w:rsid w:val="00135ADC"/>
    <w:rsid w:val="00135C95"/>
    <w:rsid w:val="00135DB0"/>
    <w:rsid w:val="00135F4A"/>
    <w:rsid w:val="0013614F"/>
    <w:rsid w:val="00136360"/>
    <w:rsid w:val="00136671"/>
    <w:rsid w:val="0013671E"/>
    <w:rsid w:val="00136814"/>
    <w:rsid w:val="00136BEF"/>
    <w:rsid w:val="00137588"/>
    <w:rsid w:val="00137B98"/>
    <w:rsid w:val="00137E29"/>
    <w:rsid w:val="00137E95"/>
    <w:rsid w:val="00137ED6"/>
    <w:rsid w:val="001401ED"/>
    <w:rsid w:val="0014036C"/>
    <w:rsid w:val="00140566"/>
    <w:rsid w:val="00140B1A"/>
    <w:rsid w:val="00140C7D"/>
    <w:rsid w:val="00140C8E"/>
    <w:rsid w:val="00141265"/>
    <w:rsid w:val="001413FA"/>
    <w:rsid w:val="00141ABE"/>
    <w:rsid w:val="00141B87"/>
    <w:rsid w:val="0014295E"/>
    <w:rsid w:val="00142D90"/>
    <w:rsid w:val="00142FF6"/>
    <w:rsid w:val="001432A0"/>
    <w:rsid w:val="001432D6"/>
    <w:rsid w:val="0014355D"/>
    <w:rsid w:val="0014361F"/>
    <w:rsid w:val="001439AB"/>
    <w:rsid w:val="00143C61"/>
    <w:rsid w:val="00143D26"/>
    <w:rsid w:val="00143D50"/>
    <w:rsid w:val="00143F6A"/>
    <w:rsid w:val="0014417C"/>
    <w:rsid w:val="001442F0"/>
    <w:rsid w:val="0014440C"/>
    <w:rsid w:val="00144509"/>
    <w:rsid w:val="0014467B"/>
    <w:rsid w:val="001455C6"/>
    <w:rsid w:val="00145732"/>
    <w:rsid w:val="00145942"/>
    <w:rsid w:val="00145F58"/>
    <w:rsid w:val="00146730"/>
    <w:rsid w:val="00146878"/>
    <w:rsid w:val="001469E8"/>
    <w:rsid w:val="00146BD3"/>
    <w:rsid w:val="00146D3F"/>
    <w:rsid w:val="00146F7E"/>
    <w:rsid w:val="00147164"/>
    <w:rsid w:val="0014728B"/>
    <w:rsid w:val="00147429"/>
    <w:rsid w:val="0014748C"/>
    <w:rsid w:val="00147832"/>
    <w:rsid w:val="0014786E"/>
    <w:rsid w:val="001502D0"/>
    <w:rsid w:val="001505A7"/>
    <w:rsid w:val="001505B2"/>
    <w:rsid w:val="00150735"/>
    <w:rsid w:val="0015082F"/>
    <w:rsid w:val="00150B3C"/>
    <w:rsid w:val="00150E6F"/>
    <w:rsid w:val="00151282"/>
    <w:rsid w:val="00151322"/>
    <w:rsid w:val="001515EF"/>
    <w:rsid w:val="00151726"/>
    <w:rsid w:val="0015198B"/>
    <w:rsid w:val="00151CBA"/>
    <w:rsid w:val="001520A8"/>
    <w:rsid w:val="00152513"/>
    <w:rsid w:val="00152627"/>
    <w:rsid w:val="00152876"/>
    <w:rsid w:val="00152A67"/>
    <w:rsid w:val="00152B24"/>
    <w:rsid w:val="00153440"/>
    <w:rsid w:val="001535F0"/>
    <w:rsid w:val="00153612"/>
    <w:rsid w:val="001538FF"/>
    <w:rsid w:val="00153ABB"/>
    <w:rsid w:val="00153C9E"/>
    <w:rsid w:val="00153EB7"/>
    <w:rsid w:val="00154A38"/>
    <w:rsid w:val="00154D6B"/>
    <w:rsid w:val="00154DF6"/>
    <w:rsid w:val="00154EE7"/>
    <w:rsid w:val="00154FFF"/>
    <w:rsid w:val="001550A2"/>
    <w:rsid w:val="001553E1"/>
    <w:rsid w:val="001553E6"/>
    <w:rsid w:val="00155A7F"/>
    <w:rsid w:val="00155DDF"/>
    <w:rsid w:val="00156066"/>
    <w:rsid w:val="001561B3"/>
    <w:rsid w:val="0015653E"/>
    <w:rsid w:val="00156711"/>
    <w:rsid w:val="00156B16"/>
    <w:rsid w:val="00156B5B"/>
    <w:rsid w:val="00156E13"/>
    <w:rsid w:val="00156F2E"/>
    <w:rsid w:val="0015756C"/>
    <w:rsid w:val="001575F1"/>
    <w:rsid w:val="00157991"/>
    <w:rsid w:val="00157B52"/>
    <w:rsid w:val="00157C7A"/>
    <w:rsid w:val="00157E3E"/>
    <w:rsid w:val="00157E6D"/>
    <w:rsid w:val="001603B4"/>
    <w:rsid w:val="001607DD"/>
    <w:rsid w:val="00160CEF"/>
    <w:rsid w:val="00161029"/>
    <w:rsid w:val="001611B0"/>
    <w:rsid w:val="001612BA"/>
    <w:rsid w:val="001614B2"/>
    <w:rsid w:val="00161849"/>
    <w:rsid w:val="00161B90"/>
    <w:rsid w:val="00162530"/>
    <w:rsid w:val="00162559"/>
    <w:rsid w:val="0016269D"/>
    <w:rsid w:val="00162809"/>
    <w:rsid w:val="0016289B"/>
    <w:rsid w:val="001633F3"/>
    <w:rsid w:val="001635BA"/>
    <w:rsid w:val="00163777"/>
    <w:rsid w:val="001639F3"/>
    <w:rsid w:val="00163E17"/>
    <w:rsid w:val="00163EFB"/>
    <w:rsid w:val="00163F2B"/>
    <w:rsid w:val="0016403A"/>
    <w:rsid w:val="001640D6"/>
    <w:rsid w:val="00164277"/>
    <w:rsid w:val="001648FE"/>
    <w:rsid w:val="001649C2"/>
    <w:rsid w:val="00164B24"/>
    <w:rsid w:val="00164B32"/>
    <w:rsid w:val="00164C00"/>
    <w:rsid w:val="00164D50"/>
    <w:rsid w:val="00165384"/>
    <w:rsid w:val="00165459"/>
    <w:rsid w:val="0016549D"/>
    <w:rsid w:val="00165716"/>
    <w:rsid w:val="001659E3"/>
    <w:rsid w:val="00165A04"/>
    <w:rsid w:val="001661B4"/>
    <w:rsid w:val="0016625F"/>
    <w:rsid w:val="0016626C"/>
    <w:rsid w:val="00166508"/>
    <w:rsid w:val="00166511"/>
    <w:rsid w:val="00166525"/>
    <w:rsid w:val="001668CC"/>
    <w:rsid w:val="00166941"/>
    <w:rsid w:val="001669FF"/>
    <w:rsid w:val="00166BAD"/>
    <w:rsid w:val="001670A7"/>
    <w:rsid w:val="001671B5"/>
    <w:rsid w:val="00167203"/>
    <w:rsid w:val="0016766C"/>
    <w:rsid w:val="00167686"/>
    <w:rsid w:val="00167700"/>
    <w:rsid w:val="00167AA2"/>
    <w:rsid w:val="00167C28"/>
    <w:rsid w:val="00167D0C"/>
    <w:rsid w:val="001700FA"/>
    <w:rsid w:val="00170203"/>
    <w:rsid w:val="001704F8"/>
    <w:rsid w:val="0017058D"/>
    <w:rsid w:val="001705D9"/>
    <w:rsid w:val="00170B62"/>
    <w:rsid w:val="00170C50"/>
    <w:rsid w:val="00170FAC"/>
    <w:rsid w:val="00171146"/>
    <w:rsid w:val="001713E1"/>
    <w:rsid w:val="00171827"/>
    <w:rsid w:val="001718AF"/>
    <w:rsid w:val="001718FF"/>
    <w:rsid w:val="001720BD"/>
    <w:rsid w:val="001723A4"/>
    <w:rsid w:val="001723EE"/>
    <w:rsid w:val="0017268E"/>
    <w:rsid w:val="001726C3"/>
    <w:rsid w:val="001728AB"/>
    <w:rsid w:val="00172F3A"/>
    <w:rsid w:val="001732E9"/>
    <w:rsid w:val="0017382C"/>
    <w:rsid w:val="00173921"/>
    <w:rsid w:val="00173B46"/>
    <w:rsid w:val="00173C4D"/>
    <w:rsid w:val="00173C53"/>
    <w:rsid w:val="00173CCD"/>
    <w:rsid w:val="00173F1D"/>
    <w:rsid w:val="001743AD"/>
    <w:rsid w:val="0017447C"/>
    <w:rsid w:val="00174639"/>
    <w:rsid w:val="00174D14"/>
    <w:rsid w:val="001750D5"/>
    <w:rsid w:val="00175247"/>
    <w:rsid w:val="001752D6"/>
    <w:rsid w:val="0017562F"/>
    <w:rsid w:val="00175A27"/>
    <w:rsid w:val="00175BA6"/>
    <w:rsid w:val="00175CCF"/>
    <w:rsid w:val="0017626A"/>
    <w:rsid w:val="00176520"/>
    <w:rsid w:val="001765DD"/>
    <w:rsid w:val="00176627"/>
    <w:rsid w:val="00176AD5"/>
    <w:rsid w:val="00176B62"/>
    <w:rsid w:val="00176D1B"/>
    <w:rsid w:val="00176FDE"/>
    <w:rsid w:val="00177016"/>
    <w:rsid w:val="001770BF"/>
    <w:rsid w:val="00177164"/>
    <w:rsid w:val="00177362"/>
    <w:rsid w:val="001776D6"/>
    <w:rsid w:val="00177745"/>
    <w:rsid w:val="00177918"/>
    <w:rsid w:val="001779AC"/>
    <w:rsid w:val="001779EE"/>
    <w:rsid w:val="00177BA9"/>
    <w:rsid w:val="00177E80"/>
    <w:rsid w:val="00177EED"/>
    <w:rsid w:val="00177F7E"/>
    <w:rsid w:val="00180489"/>
    <w:rsid w:val="0018084F"/>
    <w:rsid w:val="00180B52"/>
    <w:rsid w:val="00180ECB"/>
    <w:rsid w:val="001811F7"/>
    <w:rsid w:val="001812AC"/>
    <w:rsid w:val="00181447"/>
    <w:rsid w:val="0018153C"/>
    <w:rsid w:val="00181839"/>
    <w:rsid w:val="00181B47"/>
    <w:rsid w:val="00182A2B"/>
    <w:rsid w:val="00182BC4"/>
    <w:rsid w:val="00182E7E"/>
    <w:rsid w:val="00183058"/>
    <w:rsid w:val="001830C7"/>
    <w:rsid w:val="00183555"/>
    <w:rsid w:val="00183D06"/>
    <w:rsid w:val="00183FEA"/>
    <w:rsid w:val="001846E5"/>
    <w:rsid w:val="001847EF"/>
    <w:rsid w:val="00184AAD"/>
    <w:rsid w:val="00185090"/>
    <w:rsid w:val="001850AE"/>
    <w:rsid w:val="001850F9"/>
    <w:rsid w:val="00185458"/>
    <w:rsid w:val="001854F9"/>
    <w:rsid w:val="00185947"/>
    <w:rsid w:val="00185C12"/>
    <w:rsid w:val="00185C8A"/>
    <w:rsid w:val="0018624E"/>
    <w:rsid w:val="0018676B"/>
    <w:rsid w:val="00186A32"/>
    <w:rsid w:val="00186A91"/>
    <w:rsid w:val="00186D17"/>
    <w:rsid w:val="00187A44"/>
    <w:rsid w:val="00187CD1"/>
    <w:rsid w:val="00187E3C"/>
    <w:rsid w:val="00191016"/>
    <w:rsid w:val="0019113F"/>
    <w:rsid w:val="00191241"/>
    <w:rsid w:val="001913A8"/>
    <w:rsid w:val="001916B8"/>
    <w:rsid w:val="001917FE"/>
    <w:rsid w:val="00191FD1"/>
    <w:rsid w:val="00192029"/>
    <w:rsid w:val="001921AA"/>
    <w:rsid w:val="00192587"/>
    <w:rsid w:val="0019362A"/>
    <w:rsid w:val="00193E18"/>
    <w:rsid w:val="00193E92"/>
    <w:rsid w:val="001940F3"/>
    <w:rsid w:val="0019410F"/>
    <w:rsid w:val="00194398"/>
    <w:rsid w:val="0019444A"/>
    <w:rsid w:val="0019466F"/>
    <w:rsid w:val="00194812"/>
    <w:rsid w:val="001948D8"/>
    <w:rsid w:val="0019494E"/>
    <w:rsid w:val="00194C45"/>
    <w:rsid w:val="00194D71"/>
    <w:rsid w:val="00194E52"/>
    <w:rsid w:val="00195226"/>
    <w:rsid w:val="001952B3"/>
    <w:rsid w:val="001955A1"/>
    <w:rsid w:val="001955A7"/>
    <w:rsid w:val="0019579C"/>
    <w:rsid w:val="001957FA"/>
    <w:rsid w:val="0019582D"/>
    <w:rsid w:val="00195B32"/>
    <w:rsid w:val="00195CA3"/>
    <w:rsid w:val="00195E50"/>
    <w:rsid w:val="00195F4A"/>
    <w:rsid w:val="0019611E"/>
    <w:rsid w:val="0019665C"/>
    <w:rsid w:val="001967CA"/>
    <w:rsid w:val="001967E9"/>
    <w:rsid w:val="00196CDB"/>
    <w:rsid w:val="00196F59"/>
    <w:rsid w:val="00197010"/>
    <w:rsid w:val="0019709C"/>
    <w:rsid w:val="0019723D"/>
    <w:rsid w:val="00197327"/>
    <w:rsid w:val="001974B5"/>
    <w:rsid w:val="001977B3"/>
    <w:rsid w:val="001977BD"/>
    <w:rsid w:val="00197BF6"/>
    <w:rsid w:val="00197E4C"/>
    <w:rsid w:val="001A0284"/>
    <w:rsid w:val="001A04F2"/>
    <w:rsid w:val="001A0508"/>
    <w:rsid w:val="001A05B8"/>
    <w:rsid w:val="001A0619"/>
    <w:rsid w:val="001A0859"/>
    <w:rsid w:val="001A085C"/>
    <w:rsid w:val="001A08D5"/>
    <w:rsid w:val="001A0998"/>
    <w:rsid w:val="001A0A1A"/>
    <w:rsid w:val="001A0B8B"/>
    <w:rsid w:val="001A0EF8"/>
    <w:rsid w:val="001A1317"/>
    <w:rsid w:val="001A142A"/>
    <w:rsid w:val="001A1802"/>
    <w:rsid w:val="001A1900"/>
    <w:rsid w:val="001A1A26"/>
    <w:rsid w:val="001A1FC9"/>
    <w:rsid w:val="001A2138"/>
    <w:rsid w:val="001A2AF5"/>
    <w:rsid w:val="001A2E8F"/>
    <w:rsid w:val="001A3492"/>
    <w:rsid w:val="001A34E4"/>
    <w:rsid w:val="001A3970"/>
    <w:rsid w:val="001A3C9B"/>
    <w:rsid w:val="001A3D66"/>
    <w:rsid w:val="001A42A0"/>
    <w:rsid w:val="001A42C7"/>
    <w:rsid w:val="001A474B"/>
    <w:rsid w:val="001A4E6E"/>
    <w:rsid w:val="001A4FAA"/>
    <w:rsid w:val="001A5B16"/>
    <w:rsid w:val="001A5B6F"/>
    <w:rsid w:val="001A5B87"/>
    <w:rsid w:val="001A610F"/>
    <w:rsid w:val="001A61AC"/>
    <w:rsid w:val="001A6FCF"/>
    <w:rsid w:val="001A70F6"/>
    <w:rsid w:val="001A746B"/>
    <w:rsid w:val="001A79C6"/>
    <w:rsid w:val="001A7A33"/>
    <w:rsid w:val="001A7BCC"/>
    <w:rsid w:val="001A7C4F"/>
    <w:rsid w:val="001A7F24"/>
    <w:rsid w:val="001B0207"/>
    <w:rsid w:val="001B049C"/>
    <w:rsid w:val="001B0528"/>
    <w:rsid w:val="001B0601"/>
    <w:rsid w:val="001B0E9D"/>
    <w:rsid w:val="001B0EEF"/>
    <w:rsid w:val="001B0F52"/>
    <w:rsid w:val="001B0FD5"/>
    <w:rsid w:val="001B13A3"/>
    <w:rsid w:val="001B1545"/>
    <w:rsid w:val="001B17C3"/>
    <w:rsid w:val="001B1F37"/>
    <w:rsid w:val="001B22CA"/>
    <w:rsid w:val="001B2319"/>
    <w:rsid w:val="001B23BC"/>
    <w:rsid w:val="001B2482"/>
    <w:rsid w:val="001B24D4"/>
    <w:rsid w:val="001B2AD5"/>
    <w:rsid w:val="001B2C28"/>
    <w:rsid w:val="001B2CE7"/>
    <w:rsid w:val="001B2DFC"/>
    <w:rsid w:val="001B3151"/>
    <w:rsid w:val="001B331C"/>
    <w:rsid w:val="001B37C1"/>
    <w:rsid w:val="001B3910"/>
    <w:rsid w:val="001B3CBF"/>
    <w:rsid w:val="001B3F04"/>
    <w:rsid w:val="001B4AEF"/>
    <w:rsid w:val="001B4B16"/>
    <w:rsid w:val="001B4E11"/>
    <w:rsid w:val="001B4E25"/>
    <w:rsid w:val="001B57DC"/>
    <w:rsid w:val="001B5843"/>
    <w:rsid w:val="001B5893"/>
    <w:rsid w:val="001B5F5D"/>
    <w:rsid w:val="001B63CA"/>
    <w:rsid w:val="001B67A5"/>
    <w:rsid w:val="001B6861"/>
    <w:rsid w:val="001B6A1B"/>
    <w:rsid w:val="001B6A4B"/>
    <w:rsid w:val="001B73EE"/>
    <w:rsid w:val="001B7498"/>
    <w:rsid w:val="001B776C"/>
    <w:rsid w:val="001B7A0B"/>
    <w:rsid w:val="001B7D34"/>
    <w:rsid w:val="001C015E"/>
    <w:rsid w:val="001C02FB"/>
    <w:rsid w:val="001C03BA"/>
    <w:rsid w:val="001C07BA"/>
    <w:rsid w:val="001C09B8"/>
    <w:rsid w:val="001C0A5D"/>
    <w:rsid w:val="001C0CFE"/>
    <w:rsid w:val="001C0F4E"/>
    <w:rsid w:val="001C1235"/>
    <w:rsid w:val="001C14EF"/>
    <w:rsid w:val="001C1576"/>
    <w:rsid w:val="001C159A"/>
    <w:rsid w:val="001C1772"/>
    <w:rsid w:val="001C181D"/>
    <w:rsid w:val="001C191D"/>
    <w:rsid w:val="001C1F46"/>
    <w:rsid w:val="001C21FF"/>
    <w:rsid w:val="001C22D4"/>
    <w:rsid w:val="001C25FC"/>
    <w:rsid w:val="001C26EA"/>
    <w:rsid w:val="001C2F29"/>
    <w:rsid w:val="001C37F5"/>
    <w:rsid w:val="001C3949"/>
    <w:rsid w:val="001C39DC"/>
    <w:rsid w:val="001C3A4D"/>
    <w:rsid w:val="001C3D5D"/>
    <w:rsid w:val="001C427A"/>
    <w:rsid w:val="001C455B"/>
    <w:rsid w:val="001C456E"/>
    <w:rsid w:val="001C467F"/>
    <w:rsid w:val="001C4959"/>
    <w:rsid w:val="001C4BD8"/>
    <w:rsid w:val="001C6018"/>
    <w:rsid w:val="001C6060"/>
    <w:rsid w:val="001C6948"/>
    <w:rsid w:val="001C6A93"/>
    <w:rsid w:val="001C6CD9"/>
    <w:rsid w:val="001C6F3B"/>
    <w:rsid w:val="001C7022"/>
    <w:rsid w:val="001C7031"/>
    <w:rsid w:val="001C7336"/>
    <w:rsid w:val="001C7585"/>
    <w:rsid w:val="001C7716"/>
    <w:rsid w:val="001C79C7"/>
    <w:rsid w:val="001C7A06"/>
    <w:rsid w:val="001C7F15"/>
    <w:rsid w:val="001C7F30"/>
    <w:rsid w:val="001D0815"/>
    <w:rsid w:val="001D0BF0"/>
    <w:rsid w:val="001D0D02"/>
    <w:rsid w:val="001D0DC2"/>
    <w:rsid w:val="001D0F82"/>
    <w:rsid w:val="001D118E"/>
    <w:rsid w:val="001D11A5"/>
    <w:rsid w:val="001D142D"/>
    <w:rsid w:val="001D1F79"/>
    <w:rsid w:val="001D1F95"/>
    <w:rsid w:val="001D21BC"/>
    <w:rsid w:val="001D2271"/>
    <w:rsid w:val="001D2364"/>
    <w:rsid w:val="001D2AD6"/>
    <w:rsid w:val="001D328D"/>
    <w:rsid w:val="001D37FC"/>
    <w:rsid w:val="001D395F"/>
    <w:rsid w:val="001D3B89"/>
    <w:rsid w:val="001D3FCD"/>
    <w:rsid w:val="001D4293"/>
    <w:rsid w:val="001D429B"/>
    <w:rsid w:val="001D42BB"/>
    <w:rsid w:val="001D43D7"/>
    <w:rsid w:val="001D4466"/>
    <w:rsid w:val="001D4611"/>
    <w:rsid w:val="001D48C9"/>
    <w:rsid w:val="001D5508"/>
    <w:rsid w:val="001D595B"/>
    <w:rsid w:val="001D59BB"/>
    <w:rsid w:val="001D5A42"/>
    <w:rsid w:val="001D601B"/>
    <w:rsid w:val="001D611D"/>
    <w:rsid w:val="001D6B86"/>
    <w:rsid w:val="001D75DA"/>
    <w:rsid w:val="001D7685"/>
    <w:rsid w:val="001D76FF"/>
    <w:rsid w:val="001D796B"/>
    <w:rsid w:val="001D7B6B"/>
    <w:rsid w:val="001D7E12"/>
    <w:rsid w:val="001E01D8"/>
    <w:rsid w:val="001E0533"/>
    <w:rsid w:val="001E0921"/>
    <w:rsid w:val="001E0AE6"/>
    <w:rsid w:val="001E0F07"/>
    <w:rsid w:val="001E0F31"/>
    <w:rsid w:val="001E1083"/>
    <w:rsid w:val="001E11A2"/>
    <w:rsid w:val="001E1434"/>
    <w:rsid w:val="001E161A"/>
    <w:rsid w:val="001E1CBC"/>
    <w:rsid w:val="001E28B5"/>
    <w:rsid w:val="001E2CF0"/>
    <w:rsid w:val="001E3491"/>
    <w:rsid w:val="001E37BA"/>
    <w:rsid w:val="001E3C9E"/>
    <w:rsid w:val="001E443A"/>
    <w:rsid w:val="001E46CE"/>
    <w:rsid w:val="001E4D58"/>
    <w:rsid w:val="001E4D8E"/>
    <w:rsid w:val="001E4FAB"/>
    <w:rsid w:val="001E5375"/>
    <w:rsid w:val="001E5D15"/>
    <w:rsid w:val="001E5D17"/>
    <w:rsid w:val="001E5D18"/>
    <w:rsid w:val="001E5E31"/>
    <w:rsid w:val="001E61F4"/>
    <w:rsid w:val="001E6D21"/>
    <w:rsid w:val="001E6D8F"/>
    <w:rsid w:val="001E7107"/>
    <w:rsid w:val="001E7916"/>
    <w:rsid w:val="001E7E84"/>
    <w:rsid w:val="001F004A"/>
    <w:rsid w:val="001F041F"/>
    <w:rsid w:val="001F056B"/>
    <w:rsid w:val="001F0584"/>
    <w:rsid w:val="001F077D"/>
    <w:rsid w:val="001F0A8A"/>
    <w:rsid w:val="001F0F5D"/>
    <w:rsid w:val="001F1477"/>
    <w:rsid w:val="001F1B23"/>
    <w:rsid w:val="001F1BA3"/>
    <w:rsid w:val="001F1DEE"/>
    <w:rsid w:val="001F21E7"/>
    <w:rsid w:val="001F242C"/>
    <w:rsid w:val="001F263E"/>
    <w:rsid w:val="001F28A9"/>
    <w:rsid w:val="001F2AD5"/>
    <w:rsid w:val="001F3130"/>
    <w:rsid w:val="001F3546"/>
    <w:rsid w:val="001F367E"/>
    <w:rsid w:val="001F3921"/>
    <w:rsid w:val="001F3AEB"/>
    <w:rsid w:val="001F3FFE"/>
    <w:rsid w:val="001F45F3"/>
    <w:rsid w:val="001F4646"/>
    <w:rsid w:val="001F4785"/>
    <w:rsid w:val="001F4AC0"/>
    <w:rsid w:val="001F4DEC"/>
    <w:rsid w:val="001F5139"/>
    <w:rsid w:val="001F55C2"/>
    <w:rsid w:val="001F55FF"/>
    <w:rsid w:val="001F56BE"/>
    <w:rsid w:val="001F58F9"/>
    <w:rsid w:val="001F5977"/>
    <w:rsid w:val="001F59FE"/>
    <w:rsid w:val="001F5B47"/>
    <w:rsid w:val="001F5BE5"/>
    <w:rsid w:val="001F5BFE"/>
    <w:rsid w:val="001F5E6E"/>
    <w:rsid w:val="001F6001"/>
    <w:rsid w:val="001F638B"/>
    <w:rsid w:val="001F68EB"/>
    <w:rsid w:val="001F6A36"/>
    <w:rsid w:val="001F6A41"/>
    <w:rsid w:val="001F7036"/>
    <w:rsid w:val="001F7109"/>
    <w:rsid w:val="001F719C"/>
    <w:rsid w:val="001F74DF"/>
    <w:rsid w:val="001F788F"/>
    <w:rsid w:val="001F78D0"/>
    <w:rsid w:val="001F7908"/>
    <w:rsid w:val="001F7DA4"/>
    <w:rsid w:val="00200559"/>
    <w:rsid w:val="002007F7"/>
    <w:rsid w:val="002008E6"/>
    <w:rsid w:val="00200D37"/>
    <w:rsid w:val="00200D3D"/>
    <w:rsid w:val="002012F7"/>
    <w:rsid w:val="00201A34"/>
    <w:rsid w:val="00201BA6"/>
    <w:rsid w:val="00201CED"/>
    <w:rsid w:val="00201D29"/>
    <w:rsid w:val="00202146"/>
    <w:rsid w:val="0020219C"/>
    <w:rsid w:val="002021B7"/>
    <w:rsid w:val="002021D8"/>
    <w:rsid w:val="002022AE"/>
    <w:rsid w:val="00202531"/>
    <w:rsid w:val="0020263B"/>
    <w:rsid w:val="00202899"/>
    <w:rsid w:val="00202A18"/>
    <w:rsid w:val="00202C8D"/>
    <w:rsid w:val="00202E7D"/>
    <w:rsid w:val="00202F08"/>
    <w:rsid w:val="00202F0B"/>
    <w:rsid w:val="002033AE"/>
    <w:rsid w:val="00203D7E"/>
    <w:rsid w:val="00203E61"/>
    <w:rsid w:val="00203F04"/>
    <w:rsid w:val="00204215"/>
    <w:rsid w:val="0020449B"/>
    <w:rsid w:val="00204512"/>
    <w:rsid w:val="0020453D"/>
    <w:rsid w:val="00204B7A"/>
    <w:rsid w:val="00204E1C"/>
    <w:rsid w:val="002055A3"/>
    <w:rsid w:val="00205647"/>
    <w:rsid w:val="002065E2"/>
    <w:rsid w:val="002066A9"/>
    <w:rsid w:val="0020683A"/>
    <w:rsid w:val="002069FA"/>
    <w:rsid w:val="00206C9E"/>
    <w:rsid w:val="002073EF"/>
    <w:rsid w:val="002076F7"/>
    <w:rsid w:val="0020795F"/>
    <w:rsid w:val="00207B23"/>
    <w:rsid w:val="00207BF6"/>
    <w:rsid w:val="00207BF7"/>
    <w:rsid w:val="00207C51"/>
    <w:rsid w:val="00207E03"/>
    <w:rsid w:val="00207FDF"/>
    <w:rsid w:val="002103C8"/>
    <w:rsid w:val="0021051B"/>
    <w:rsid w:val="0021063C"/>
    <w:rsid w:val="00210968"/>
    <w:rsid w:val="00210AF1"/>
    <w:rsid w:val="00210EBA"/>
    <w:rsid w:val="00210F2F"/>
    <w:rsid w:val="0021109F"/>
    <w:rsid w:val="002110E1"/>
    <w:rsid w:val="0021144C"/>
    <w:rsid w:val="0021151B"/>
    <w:rsid w:val="00211554"/>
    <w:rsid w:val="002115CB"/>
    <w:rsid w:val="002117C2"/>
    <w:rsid w:val="0021207F"/>
    <w:rsid w:val="002120ED"/>
    <w:rsid w:val="00212382"/>
    <w:rsid w:val="0021240B"/>
    <w:rsid w:val="0021290F"/>
    <w:rsid w:val="00212EE7"/>
    <w:rsid w:val="002136A4"/>
    <w:rsid w:val="0021397E"/>
    <w:rsid w:val="00213B2A"/>
    <w:rsid w:val="00213EE5"/>
    <w:rsid w:val="0021408B"/>
    <w:rsid w:val="00214729"/>
    <w:rsid w:val="00215120"/>
    <w:rsid w:val="00215285"/>
    <w:rsid w:val="00215394"/>
    <w:rsid w:val="002154F5"/>
    <w:rsid w:val="00215733"/>
    <w:rsid w:val="00215BB5"/>
    <w:rsid w:val="00215C75"/>
    <w:rsid w:val="00215F66"/>
    <w:rsid w:val="00216575"/>
    <w:rsid w:val="00216A10"/>
    <w:rsid w:val="002170E9"/>
    <w:rsid w:val="002173B4"/>
    <w:rsid w:val="00217499"/>
    <w:rsid w:val="00217B03"/>
    <w:rsid w:val="0022001D"/>
    <w:rsid w:val="00220104"/>
    <w:rsid w:val="0022024E"/>
    <w:rsid w:val="0022057F"/>
    <w:rsid w:val="002205E2"/>
    <w:rsid w:val="002207E3"/>
    <w:rsid w:val="00220A9D"/>
    <w:rsid w:val="00220FBB"/>
    <w:rsid w:val="0022193B"/>
    <w:rsid w:val="00221A7A"/>
    <w:rsid w:val="00222135"/>
    <w:rsid w:val="002221BD"/>
    <w:rsid w:val="00222217"/>
    <w:rsid w:val="0022222A"/>
    <w:rsid w:val="00222693"/>
    <w:rsid w:val="0022271C"/>
    <w:rsid w:val="00222773"/>
    <w:rsid w:val="00222C1B"/>
    <w:rsid w:val="00222DBB"/>
    <w:rsid w:val="00222EA3"/>
    <w:rsid w:val="002231A1"/>
    <w:rsid w:val="002231A7"/>
    <w:rsid w:val="002231B4"/>
    <w:rsid w:val="002236B0"/>
    <w:rsid w:val="002236D2"/>
    <w:rsid w:val="002238CF"/>
    <w:rsid w:val="002239D1"/>
    <w:rsid w:val="00223A8C"/>
    <w:rsid w:val="00223B10"/>
    <w:rsid w:val="002240FB"/>
    <w:rsid w:val="00224117"/>
    <w:rsid w:val="0022483C"/>
    <w:rsid w:val="00224843"/>
    <w:rsid w:val="002249E7"/>
    <w:rsid w:val="0022513A"/>
    <w:rsid w:val="002252C6"/>
    <w:rsid w:val="002252F6"/>
    <w:rsid w:val="002253EA"/>
    <w:rsid w:val="0022560A"/>
    <w:rsid w:val="0022576C"/>
    <w:rsid w:val="00225808"/>
    <w:rsid w:val="00225992"/>
    <w:rsid w:val="00226332"/>
    <w:rsid w:val="002264C9"/>
    <w:rsid w:val="002267A8"/>
    <w:rsid w:val="00226D1F"/>
    <w:rsid w:val="00226E9E"/>
    <w:rsid w:val="00226F05"/>
    <w:rsid w:val="002270CF"/>
    <w:rsid w:val="0022712E"/>
    <w:rsid w:val="00227818"/>
    <w:rsid w:val="00227819"/>
    <w:rsid w:val="00227A8B"/>
    <w:rsid w:val="00227F8C"/>
    <w:rsid w:val="0023034A"/>
    <w:rsid w:val="002303C9"/>
    <w:rsid w:val="00230664"/>
    <w:rsid w:val="00230D14"/>
    <w:rsid w:val="00231182"/>
    <w:rsid w:val="002312DD"/>
    <w:rsid w:val="00231302"/>
    <w:rsid w:val="0023142A"/>
    <w:rsid w:val="002314DB"/>
    <w:rsid w:val="002314EC"/>
    <w:rsid w:val="00231786"/>
    <w:rsid w:val="00231DBF"/>
    <w:rsid w:val="00232373"/>
    <w:rsid w:val="00232517"/>
    <w:rsid w:val="00232A61"/>
    <w:rsid w:val="00232EF1"/>
    <w:rsid w:val="00232F20"/>
    <w:rsid w:val="002333FD"/>
    <w:rsid w:val="0023352C"/>
    <w:rsid w:val="00233773"/>
    <w:rsid w:val="0023385A"/>
    <w:rsid w:val="0023398B"/>
    <w:rsid w:val="00233C64"/>
    <w:rsid w:val="00233CBC"/>
    <w:rsid w:val="00233D95"/>
    <w:rsid w:val="00233DA1"/>
    <w:rsid w:val="00233F7B"/>
    <w:rsid w:val="002348F5"/>
    <w:rsid w:val="00235289"/>
    <w:rsid w:val="0023538C"/>
    <w:rsid w:val="0023589F"/>
    <w:rsid w:val="00235D26"/>
    <w:rsid w:val="00235E4F"/>
    <w:rsid w:val="00235E53"/>
    <w:rsid w:val="00235E91"/>
    <w:rsid w:val="0023628C"/>
    <w:rsid w:val="002363D4"/>
    <w:rsid w:val="002365A5"/>
    <w:rsid w:val="00236A09"/>
    <w:rsid w:val="00236A96"/>
    <w:rsid w:val="00237316"/>
    <w:rsid w:val="00237445"/>
    <w:rsid w:val="00237593"/>
    <w:rsid w:val="00237699"/>
    <w:rsid w:val="00237741"/>
    <w:rsid w:val="00237836"/>
    <w:rsid w:val="00237A1C"/>
    <w:rsid w:val="00237BD4"/>
    <w:rsid w:val="00237C2C"/>
    <w:rsid w:val="00237C95"/>
    <w:rsid w:val="00237CA0"/>
    <w:rsid w:val="0024052F"/>
    <w:rsid w:val="002405CD"/>
    <w:rsid w:val="0024072C"/>
    <w:rsid w:val="002407F6"/>
    <w:rsid w:val="00240A12"/>
    <w:rsid w:val="00240B12"/>
    <w:rsid w:val="00240C10"/>
    <w:rsid w:val="00240CAB"/>
    <w:rsid w:val="00240E7C"/>
    <w:rsid w:val="0024104D"/>
    <w:rsid w:val="00241D01"/>
    <w:rsid w:val="00241DD2"/>
    <w:rsid w:val="00241E74"/>
    <w:rsid w:val="00241F1C"/>
    <w:rsid w:val="00241F5A"/>
    <w:rsid w:val="00241FA5"/>
    <w:rsid w:val="00241FD1"/>
    <w:rsid w:val="002421B5"/>
    <w:rsid w:val="00242313"/>
    <w:rsid w:val="0024240C"/>
    <w:rsid w:val="002425C4"/>
    <w:rsid w:val="00242C5E"/>
    <w:rsid w:val="00242E5D"/>
    <w:rsid w:val="00242EBC"/>
    <w:rsid w:val="00242F81"/>
    <w:rsid w:val="00243476"/>
    <w:rsid w:val="0024347F"/>
    <w:rsid w:val="002435BF"/>
    <w:rsid w:val="002439EF"/>
    <w:rsid w:val="00243F7D"/>
    <w:rsid w:val="00243FC8"/>
    <w:rsid w:val="00243FE0"/>
    <w:rsid w:val="00244013"/>
    <w:rsid w:val="002441F7"/>
    <w:rsid w:val="0024477A"/>
    <w:rsid w:val="0024498C"/>
    <w:rsid w:val="00244D22"/>
    <w:rsid w:val="00244FFB"/>
    <w:rsid w:val="00245002"/>
    <w:rsid w:val="00245296"/>
    <w:rsid w:val="00245558"/>
    <w:rsid w:val="00245600"/>
    <w:rsid w:val="00245B2B"/>
    <w:rsid w:val="00245F52"/>
    <w:rsid w:val="002460BD"/>
    <w:rsid w:val="0024619B"/>
    <w:rsid w:val="00246444"/>
    <w:rsid w:val="00246505"/>
    <w:rsid w:val="00246AE5"/>
    <w:rsid w:val="00247288"/>
    <w:rsid w:val="002507F3"/>
    <w:rsid w:val="00250890"/>
    <w:rsid w:val="002509B4"/>
    <w:rsid w:val="00250B98"/>
    <w:rsid w:val="00250CA3"/>
    <w:rsid w:val="0025116D"/>
    <w:rsid w:val="0025241E"/>
    <w:rsid w:val="00252760"/>
    <w:rsid w:val="0025296B"/>
    <w:rsid w:val="00252F2C"/>
    <w:rsid w:val="00252FE7"/>
    <w:rsid w:val="0025309E"/>
    <w:rsid w:val="00253569"/>
    <w:rsid w:val="0025395F"/>
    <w:rsid w:val="00253991"/>
    <w:rsid w:val="00253BDE"/>
    <w:rsid w:val="00253D3F"/>
    <w:rsid w:val="00253F0E"/>
    <w:rsid w:val="002542BC"/>
    <w:rsid w:val="00254511"/>
    <w:rsid w:val="0025483D"/>
    <w:rsid w:val="0025489A"/>
    <w:rsid w:val="00254A44"/>
    <w:rsid w:val="00254B35"/>
    <w:rsid w:val="00254D0A"/>
    <w:rsid w:val="00255290"/>
    <w:rsid w:val="00255389"/>
    <w:rsid w:val="00255501"/>
    <w:rsid w:val="002555F2"/>
    <w:rsid w:val="00255987"/>
    <w:rsid w:val="002566E9"/>
    <w:rsid w:val="00256881"/>
    <w:rsid w:val="00256A50"/>
    <w:rsid w:val="00256DAB"/>
    <w:rsid w:val="002571DE"/>
    <w:rsid w:val="002571F6"/>
    <w:rsid w:val="00257279"/>
    <w:rsid w:val="00257462"/>
    <w:rsid w:val="00257888"/>
    <w:rsid w:val="00257B54"/>
    <w:rsid w:val="00260267"/>
    <w:rsid w:val="002602CA"/>
    <w:rsid w:val="002603C2"/>
    <w:rsid w:val="00260674"/>
    <w:rsid w:val="0026097A"/>
    <w:rsid w:val="0026106A"/>
    <w:rsid w:val="002612B4"/>
    <w:rsid w:val="0026144C"/>
    <w:rsid w:val="002623DF"/>
    <w:rsid w:val="0026281D"/>
    <w:rsid w:val="002628E6"/>
    <w:rsid w:val="002628EF"/>
    <w:rsid w:val="002629A7"/>
    <w:rsid w:val="0026321F"/>
    <w:rsid w:val="00263248"/>
    <w:rsid w:val="002634FB"/>
    <w:rsid w:val="00263B5A"/>
    <w:rsid w:val="00263BFD"/>
    <w:rsid w:val="00263C15"/>
    <w:rsid w:val="00263CB2"/>
    <w:rsid w:val="002643AF"/>
    <w:rsid w:val="002644B8"/>
    <w:rsid w:val="00264A21"/>
    <w:rsid w:val="00264A81"/>
    <w:rsid w:val="00264BE1"/>
    <w:rsid w:val="00265046"/>
    <w:rsid w:val="00265D46"/>
    <w:rsid w:val="00265F72"/>
    <w:rsid w:val="0026616B"/>
    <w:rsid w:val="00266541"/>
    <w:rsid w:val="0026685E"/>
    <w:rsid w:val="002668B9"/>
    <w:rsid w:val="0026690D"/>
    <w:rsid w:val="00266923"/>
    <w:rsid w:val="00266A2F"/>
    <w:rsid w:val="00266EBD"/>
    <w:rsid w:val="00266F3A"/>
    <w:rsid w:val="00266FDC"/>
    <w:rsid w:val="002670E1"/>
    <w:rsid w:val="0026721D"/>
    <w:rsid w:val="00267321"/>
    <w:rsid w:val="00267335"/>
    <w:rsid w:val="00267408"/>
    <w:rsid w:val="00267534"/>
    <w:rsid w:val="00267641"/>
    <w:rsid w:val="0026776A"/>
    <w:rsid w:val="0026793B"/>
    <w:rsid w:val="00267DDE"/>
    <w:rsid w:val="0027037D"/>
    <w:rsid w:val="00270491"/>
    <w:rsid w:val="002704FB"/>
    <w:rsid w:val="00270525"/>
    <w:rsid w:val="00270918"/>
    <w:rsid w:val="00270C3D"/>
    <w:rsid w:val="00270E9F"/>
    <w:rsid w:val="0027116E"/>
    <w:rsid w:val="002715C9"/>
    <w:rsid w:val="002717AD"/>
    <w:rsid w:val="002717EB"/>
    <w:rsid w:val="00271A6F"/>
    <w:rsid w:val="00271C5F"/>
    <w:rsid w:val="00272444"/>
    <w:rsid w:val="002724E2"/>
    <w:rsid w:val="00272560"/>
    <w:rsid w:val="00272698"/>
    <w:rsid w:val="00272A0D"/>
    <w:rsid w:val="00272A70"/>
    <w:rsid w:val="00272ED0"/>
    <w:rsid w:val="00272FA9"/>
    <w:rsid w:val="00273023"/>
    <w:rsid w:val="002730B6"/>
    <w:rsid w:val="0027336C"/>
    <w:rsid w:val="002733B1"/>
    <w:rsid w:val="002735F1"/>
    <w:rsid w:val="00273CA3"/>
    <w:rsid w:val="00273CE6"/>
    <w:rsid w:val="00273D61"/>
    <w:rsid w:val="00273E40"/>
    <w:rsid w:val="0027459A"/>
    <w:rsid w:val="00274A43"/>
    <w:rsid w:val="00274E4A"/>
    <w:rsid w:val="002751A3"/>
    <w:rsid w:val="00275466"/>
    <w:rsid w:val="002757BF"/>
    <w:rsid w:val="00275826"/>
    <w:rsid w:val="002761F0"/>
    <w:rsid w:val="002763F4"/>
    <w:rsid w:val="002764EE"/>
    <w:rsid w:val="002769B5"/>
    <w:rsid w:val="00276C84"/>
    <w:rsid w:val="002774B2"/>
    <w:rsid w:val="0027782C"/>
    <w:rsid w:val="0028031D"/>
    <w:rsid w:val="00280798"/>
    <w:rsid w:val="00280F0E"/>
    <w:rsid w:val="00281019"/>
    <w:rsid w:val="0028122F"/>
    <w:rsid w:val="00281628"/>
    <w:rsid w:val="00281AD2"/>
    <w:rsid w:val="00281C8A"/>
    <w:rsid w:val="002820E5"/>
    <w:rsid w:val="002821E3"/>
    <w:rsid w:val="002823AD"/>
    <w:rsid w:val="00282CF2"/>
    <w:rsid w:val="00283305"/>
    <w:rsid w:val="00283495"/>
    <w:rsid w:val="00283B14"/>
    <w:rsid w:val="00283DFF"/>
    <w:rsid w:val="002840DC"/>
    <w:rsid w:val="0028461A"/>
    <w:rsid w:val="002846A5"/>
    <w:rsid w:val="00284A6C"/>
    <w:rsid w:val="00284D3B"/>
    <w:rsid w:val="0028534A"/>
    <w:rsid w:val="0028556C"/>
    <w:rsid w:val="00285AB7"/>
    <w:rsid w:val="00285C45"/>
    <w:rsid w:val="00286463"/>
    <w:rsid w:val="00286489"/>
    <w:rsid w:val="002864A7"/>
    <w:rsid w:val="002865AA"/>
    <w:rsid w:val="002865F0"/>
    <w:rsid w:val="002866B2"/>
    <w:rsid w:val="0028675C"/>
    <w:rsid w:val="00286773"/>
    <w:rsid w:val="00286954"/>
    <w:rsid w:val="00286AD1"/>
    <w:rsid w:val="00286C01"/>
    <w:rsid w:val="00286CAC"/>
    <w:rsid w:val="00286FFD"/>
    <w:rsid w:val="00287224"/>
    <w:rsid w:val="00287ABA"/>
    <w:rsid w:val="00287E47"/>
    <w:rsid w:val="00287EEE"/>
    <w:rsid w:val="00287FE6"/>
    <w:rsid w:val="00290133"/>
    <w:rsid w:val="0029068D"/>
    <w:rsid w:val="0029094F"/>
    <w:rsid w:val="00290B13"/>
    <w:rsid w:val="00290C81"/>
    <w:rsid w:val="00290D64"/>
    <w:rsid w:val="00290E7D"/>
    <w:rsid w:val="00290F02"/>
    <w:rsid w:val="0029115E"/>
    <w:rsid w:val="002916B8"/>
    <w:rsid w:val="00291C3B"/>
    <w:rsid w:val="00291E16"/>
    <w:rsid w:val="002920D3"/>
    <w:rsid w:val="002923B1"/>
    <w:rsid w:val="002923DF"/>
    <w:rsid w:val="00292C9D"/>
    <w:rsid w:val="00292DD7"/>
    <w:rsid w:val="00292E21"/>
    <w:rsid w:val="00293272"/>
    <w:rsid w:val="002934A9"/>
    <w:rsid w:val="00293D74"/>
    <w:rsid w:val="0029408A"/>
    <w:rsid w:val="002943C0"/>
    <w:rsid w:val="00294460"/>
    <w:rsid w:val="00294E44"/>
    <w:rsid w:val="00294F0C"/>
    <w:rsid w:val="00294F64"/>
    <w:rsid w:val="0029536B"/>
    <w:rsid w:val="0029547F"/>
    <w:rsid w:val="0029557F"/>
    <w:rsid w:val="002955FB"/>
    <w:rsid w:val="0029589D"/>
    <w:rsid w:val="00295E23"/>
    <w:rsid w:val="00295F49"/>
    <w:rsid w:val="002961BE"/>
    <w:rsid w:val="00296428"/>
    <w:rsid w:val="00296494"/>
    <w:rsid w:val="002966FE"/>
    <w:rsid w:val="002968D7"/>
    <w:rsid w:val="00296A18"/>
    <w:rsid w:val="00296B93"/>
    <w:rsid w:val="00296D66"/>
    <w:rsid w:val="002977BA"/>
    <w:rsid w:val="0029783B"/>
    <w:rsid w:val="0029792D"/>
    <w:rsid w:val="002979A5"/>
    <w:rsid w:val="00297CB8"/>
    <w:rsid w:val="00297E9D"/>
    <w:rsid w:val="00297F00"/>
    <w:rsid w:val="00297F62"/>
    <w:rsid w:val="002A04CD"/>
    <w:rsid w:val="002A0992"/>
    <w:rsid w:val="002A0D60"/>
    <w:rsid w:val="002A12FB"/>
    <w:rsid w:val="002A1542"/>
    <w:rsid w:val="002A1920"/>
    <w:rsid w:val="002A1987"/>
    <w:rsid w:val="002A1C34"/>
    <w:rsid w:val="002A1D0A"/>
    <w:rsid w:val="002A1F67"/>
    <w:rsid w:val="002A2012"/>
    <w:rsid w:val="002A21E3"/>
    <w:rsid w:val="002A2464"/>
    <w:rsid w:val="002A2483"/>
    <w:rsid w:val="002A285C"/>
    <w:rsid w:val="002A2BB5"/>
    <w:rsid w:val="002A2D00"/>
    <w:rsid w:val="002A2F17"/>
    <w:rsid w:val="002A307F"/>
    <w:rsid w:val="002A330E"/>
    <w:rsid w:val="002A3762"/>
    <w:rsid w:val="002A3A17"/>
    <w:rsid w:val="002A3ECC"/>
    <w:rsid w:val="002A4315"/>
    <w:rsid w:val="002A4435"/>
    <w:rsid w:val="002A45B2"/>
    <w:rsid w:val="002A46C1"/>
    <w:rsid w:val="002A49E4"/>
    <w:rsid w:val="002A4EEA"/>
    <w:rsid w:val="002A6369"/>
    <w:rsid w:val="002A683E"/>
    <w:rsid w:val="002A69BA"/>
    <w:rsid w:val="002A6DF4"/>
    <w:rsid w:val="002A761F"/>
    <w:rsid w:val="002A7748"/>
    <w:rsid w:val="002A7A03"/>
    <w:rsid w:val="002A7A4C"/>
    <w:rsid w:val="002A7A90"/>
    <w:rsid w:val="002A7BBF"/>
    <w:rsid w:val="002A7E3D"/>
    <w:rsid w:val="002B0093"/>
    <w:rsid w:val="002B0133"/>
    <w:rsid w:val="002B01A4"/>
    <w:rsid w:val="002B055A"/>
    <w:rsid w:val="002B089C"/>
    <w:rsid w:val="002B0B67"/>
    <w:rsid w:val="002B0E09"/>
    <w:rsid w:val="002B115E"/>
    <w:rsid w:val="002B1396"/>
    <w:rsid w:val="002B1604"/>
    <w:rsid w:val="002B1DDD"/>
    <w:rsid w:val="002B208B"/>
    <w:rsid w:val="002B21E7"/>
    <w:rsid w:val="002B21FA"/>
    <w:rsid w:val="002B2452"/>
    <w:rsid w:val="002B2466"/>
    <w:rsid w:val="002B29BE"/>
    <w:rsid w:val="002B2C8C"/>
    <w:rsid w:val="002B2E8B"/>
    <w:rsid w:val="002B3139"/>
    <w:rsid w:val="002B32F9"/>
    <w:rsid w:val="002B421D"/>
    <w:rsid w:val="002B45CC"/>
    <w:rsid w:val="002B4AC9"/>
    <w:rsid w:val="002B4AEC"/>
    <w:rsid w:val="002B4E0E"/>
    <w:rsid w:val="002B4EB5"/>
    <w:rsid w:val="002B5306"/>
    <w:rsid w:val="002B553A"/>
    <w:rsid w:val="002B5D85"/>
    <w:rsid w:val="002B5F6C"/>
    <w:rsid w:val="002B6019"/>
    <w:rsid w:val="002B6210"/>
    <w:rsid w:val="002B635A"/>
    <w:rsid w:val="002B636E"/>
    <w:rsid w:val="002B642D"/>
    <w:rsid w:val="002B646F"/>
    <w:rsid w:val="002B68E0"/>
    <w:rsid w:val="002B6B92"/>
    <w:rsid w:val="002B7024"/>
    <w:rsid w:val="002B75D2"/>
    <w:rsid w:val="002B7630"/>
    <w:rsid w:val="002B7885"/>
    <w:rsid w:val="002B7AFD"/>
    <w:rsid w:val="002B7E03"/>
    <w:rsid w:val="002B7EAC"/>
    <w:rsid w:val="002B7F9C"/>
    <w:rsid w:val="002C034C"/>
    <w:rsid w:val="002C03E6"/>
    <w:rsid w:val="002C06F3"/>
    <w:rsid w:val="002C09DA"/>
    <w:rsid w:val="002C0A70"/>
    <w:rsid w:val="002C0B65"/>
    <w:rsid w:val="002C0B8D"/>
    <w:rsid w:val="002C0D01"/>
    <w:rsid w:val="002C0D2E"/>
    <w:rsid w:val="002C0D80"/>
    <w:rsid w:val="002C10F4"/>
    <w:rsid w:val="002C135E"/>
    <w:rsid w:val="002C142B"/>
    <w:rsid w:val="002C16A2"/>
    <w:rsid w:val="002C16C7"/>
    <w:rsid w:val="002C18C2"/>
    <w:rsid w:val="002C1AC9"/>
    <w:rsid w:val="002C1D33"/>
    <w:rsid w:val="002C2101"/>
    <w:rsid w:val="002C21A6"/>
    <w:rsid w:val="002C2255"/>
    <w:rsid w:val="002C238C"/>
    <w:rsid w:val="002C25FC"/>
    <w:rsid w:val="002C260E"/>
    <w:rsid w:val="002C2D4B"/>
    <w:rsid w:val="002C372E"/>
    <w:rsid w:val="002C384C"/>
    <w:rsid w:val="002C3BF4"/>
    <w:rsid w:val="002C4370"/>
    <w:rsid w:val="002C481C"/>
    <w:rsid w:val="002C49C4"/>
    <w:rsid w:val="002C49CC"/>
    <w:rsid w:val="002C4D0D"/>
    <w:rsid w:val="002C4FCD"/>
    <w:rsid w:val="002C524C"/>
    <w:rsid w:val="002C5623"/>
    <w:rsid w:val="002C56CC"/>
    <w:rsid w:val="002C6082"/>
    <w:rsid w:val="002C643B"/>
    <w:rsid w:val="002C699A"/>
    <w:rsid w:val="002C6BCF"/>
    <w:rsid w:val="002C6D39"/>
    <w:rsid w:val="002C6D9E"/>
    <w:rsid w:val="002C7011"/>
    <w:rsid w:val="002C7B45"/>
    <w:rsid w:val="002D00EA"/>
    <w:rsid w:val="002D0371"/>
    <w:rsid w:val="002D0783"/>
    <w:rsid w:val="002D1382"/>
    <w:rsid w:val="002D17C6"/>
    <w:rsid w:val="002D19F1"/>
    <w:rsid w:val="002D1A6B"/>
    <w:rsid w:val="002D1B4F"/>
    <w:rsid w:val="002D1B6A"/>
    <w:rsid w:val="002D1C0C"/>
    <w:rsid w:val="002D1D3D"/>
    <w:rsid w:val="002D2488"/>
    <w:rsid w:val="002D2662"/>
    <w:rsid w:val="002D2772"/>
    <w:rsid w:val="002D2849"/>
    <w:rsid w:val="002D2ADD"/>
    <w:rsid w:val="002D2CD9"/>
    <w:rsid w:val="002D2DEE"/>
    <w:rsid w:val="002D309D"/>
    <w:rsid w:val="002D3205"/>
    <w:rsid w:val="002D32D4"/>
    <w:rsid w:val="002D3609"/>
    <w:rsid w:val="002D380E"/>
    <w:rsid w:val="002D38FA"/>
    <w:rsid w:val="002D4026"/>
    <w:rsid w:val="002D4030"/>
    <w:rsid w:val="002D4453"/>
    <w:rsid w:val="002D46F2"/>
    <w:rsid w:val="002D4DC1"/>
    <w:rsid w:val="002D4ECD"/>
    <w:rsid w:val="002D4F3B"/>
    <w:rsid w:val="002D50AE"/>
    <w:rsid w:val="002D5242"/>
    <w:rsid w:val="002D5D7C"/>
    <w:rsid w:val="002D5F58"/>
    <w:rsid w:val="002D6008"/>
    <w:rsid w:val="002D615A"/>
    <w:rsid w:val="002D6328"/>
    <w:rsid w:val="002D6360"/>
    <w:rsid w:val="002D64D1"/>
    <w:rsid w:val="002D65AB"/>
    <w:rsid w:val="002D6867"/>
    <w:rsid w:val="002D690E"/>
    <w:rsid w:val="002D6BA4"/>
    <w:rsid w:val="002D6BDB"/>
    <w:rsid w:val="002D6C3F"/>
    <w:rsid w:val="002D6DA1"/>
    <w:rsid w:val="002D745F"/>
    <w:rsid w:val="002D75DE"/>
    <w:rsid w:val="002D79C0"/>
    <w:rsid w:val="002D7AE8"/>
    <w:rsid w:val="002D7B9A"/>
    <w:rsid w:val="002E02B6"/>
    <w:rsid w:val="002E0734"/>
    <w:rsid w:val="002E098C"/>
    <w:rsid w:val="002E0A50"/>
    <w:rsid w:val="002E0AB1"/>
    <w:rsid w:val="002E0BBD"/>
    <w:rsid w:val="002E0C69"/>
    <w:rsid w:val="002E11E2"/>
    <w:rsid w:val="002E13C2"/>
    <w:rsid w:val="002E195C"/>
    <w:rsid w:val="002E1AD6"/>
    <w:rsid w:val="002E1B8C"/>
    <w:rsid w:val="002E1C89"/>
    <w:rsid w:val="002E1F11"/>
    <w:rsid w:val="002E1F71"/>
    <w:rsid w:val="002E2109"/>
    <w:rsid w:val="002E21CE"/>
    <w:rsid w:val="002E26C9"/>
    <w:rsid w:val="002E285A"/>
    <w:rsid w:val="002E287E"/>
    <w:rsid w:val="002E2A79"/>
    <w:rsid w:val="002E2B20"/>
    <w:rsid w:val="002E2D44"/>
    <w:rsid w:val="002E2E68"/>
    <w:rsid w:val="002E2E9D"/>
    <w:rsid w:val="002E2EEB"/>
    <w:rsid w:val="002E30D6"/>
    <w:rsid w:val="002E3123"/>
    <w:rsid w:val="002E3470"/>
    <w:rsid w:val="002E3490"/>
    <w:rsid w:val="002E3509"/>
    <w:rsid w:val="002E3CB8"/>
    <w:rsid w:val="002E3F9E"/>
    <w:rsid w:val="002E404B"/>
    <w:rsid w:val="002E41A6"/>
    <w:rsid w:val="002E4B0A"/>
    <w:rsid w:val="002E4CD8"/>
    <w:rsid w:val="002E4F36"/>
    <w:rsid w:val="002E5822"/>
    <w:rsid w:val="002E5AA9"/>
    <w:rsid w:val="002E5AF8"/>
    <w:rsid w:val="002E5E00"/>
    <w:rsid w:val="002E5E44"/>
    <w:rsid w:val="002E613E"/>
    <w:rsid w:val="002E63FA"/>
    <w:rsid w:val="002E68F0"/>
    <w:rsid w:val="002E72D3"/>
    <w:rsid w:val="002E73B3"/>
    <w:rsid w:val="002E79CB"/>
    <w:rsid w:val="002E7A36"/>
    <w:rsid w:val="002E7B27"/>
    <w:rsid w:val="002F02D0"/>
    <w:rsid w:val="002F0537"/>
    <w:rsid w:val="002F0883"/>
    <w:rsid w:val="002F09A5"/>
    <w:rsid w:val="002F0D91"/>
    <w:rsid w:val="002F104E"/>
    <w:rsid w:val="002F10A9"/>
    <w:rsid w:val="002F1185"/>
    <w:rsid w:val="002F11C2"/>
    <w:rsid w:val="002F181B"/>
    <w:rsid w:val="002F19E7"/>
    <w:rsid w:val="002F25DF"/>
    <w:rsid w:val="002F2659"/>
    <w:rsid w:val="002F26FF"/>
    <w:rsid w:val="002F274F"/>
    <w:rsid w:val="002F29B1"/>
    <w:rsid w:val="002F3286"/>
    <w:rsid w:val="002F3888"/>
    <w:rsid w:val="002F38EA"/>
    <w:rsid w:val="002F3B80"/>
    <w:rsid w:val="002F3EA1"/>
    <w:rsid w:val="002F4263"/>
    <w:rsid w:val="002F48A4"/>
    <w:rsid w:val="002F49AD"/>
    <w:rsid w:val="002F5A4B"/>
    <w:rsid w:val="002F5E1F"/>
    <w:rsid w:val="002F6120"/>
    <w:rsid w:val="002F70B1"/>
    <w:rsid w:val="002F74B3"/>
    <w:rsid w:val="002F7673"/>
    <w:rsid w:val="002F7761"/>
    <w:rsid w:val="002F77E0"/>
    <w:rsid w:val="002F7AFA"/>
    <w:rsid w:val="002F7EA2"/>
    <w:rsid w:val="0030007E"/>
    <w:rsid w:val="00300557"/>
    <w:rsid w:val="0030094B"/>
    <w:rsid w:val="00300CF9"/>
    <w:rsid w:val="0030107A"/>
    <w:rsid w:val="00301241"/>
    <w:rsid w:val="003016D4"/>
    <w:rsid w:val="00301B0B"/>
    <w:rsid w:val="00301F5A"/>
    <w:rsid w:val="00301FBD"/>
    <w:rsid w:val="003023F9"/>
    <w:rsid w:val="003024E1"/>
    <w:rsid w:val="003025ED"/>
    <w:rsid w:val="00302774"/>
    <w:rsid w:val="00302B87"/>
    <w:rsid w:val="00302E84"/>
    <w:rsid w:val="00302E8C"/>
    <w:rsid w:val="00302F31"/>
    <w:rsid w:val="003033DD"/>
    <w:rsid w:val="0030351A"/>
    <w:rsid w:val="0030365F"/>
    <w:rsid w:val="0030395E"/>
    <w:rsid w:val="00303CF4"/>
    <w:rsid w:val="00303DD1"/>
    <w:rsid w:val="0030486F"/>
    <w:rsid w:val="003048F2"/>
    <w:rsid w:val="00304945"/>
    <w:rsid w:val="00304FB0"/>
    <w:rsid w:val="003051A7"/>
    <w:rsid w:val="003052EC"/>
    <w:rsid w:val="00305324"/>
    <w:rsid w:val="00305444"/>
    <w:rsid w:val="00305624"/>
    <w:rsid w:val="00305816"/>
    <w:rsid w:val="00305872"/>
    <w:rsid w:val="003059B3"/>
    <w:rsid w:val="00305C67"/>
    <w:rsid w:val="00305CD1"/>
    <w:rsid w:val="00305DBD"/>
    <w:rsid w:val="00305E84"/>
    <w:rsid w:val="00305FA6"/>
    <w:rsid w:val="00306141"/>
    <w:rsid w:val="0030647A"/>
    <w:rsid w:val="003066F8"/>
    <w:rsid w:val="00306C0F"/>
    <w:rsid w:val="00306D99"/>
    <w:rsid w:val="003070DF"/>
    <w:rsid w:val="00307376"/>
    <w:rsid w:val="00307672"/>
    <w:rsid w:val="003078DB"/>
    <w:rsid w:val="00307A3A"/>
    <w:rsid w:val="00307BED"/>
    <w:rsid w:val="00307D45"/>
    <w:rsid w:val="00307D98"/>
    <w:rsid w:val="003102D6"/>
    <w:rsid w:val="0031066A"/>
    <w:rsid w:val="003108DB"/>
    <w:rsid w:val="00310AF3"/>
    <w:rsid w:val="00310B8D"/>
    <w:rsid w:val="00310E51"/>
    <w:rsid w:val="003110EA"/>
    <w:rsid w:val="00311106"/>
    <w:rsid w:val="003111F4"/>
    <w:rsid w:val="0031165C"/>
    <w:rsid w:val="0031177E"/>
    <w:rsid w:val="00311CFD"/>
    <w:rsid w:val="00311FFD"/>
    <w:rsid w:val="0031208B"/>
    <w:rsid w:val="00312140"/>
    <w:rsid w:val="003124D9"/>
    <w:rsid w:val="003125E3"/>
    <w:rsid w:val="00312609"/>
    <w:rsid w:val="003128BA"/>
    <w:rsid w:val="003134A5"/>
    <w:rsid w:val="003135AF"/>
    <w:rsid w:val="0031361E"/>
    <w:rsid w:val="00313A3A"/>
    <w:rsid w:val="00313BB3"/>
    <w:rsid w:val="00313E28"/>
    <w:rsid w:val="0031433D"/>
    <w:rsid w:val="0031446F"/>
    <w:rsid w:val="00314627"/>
    <w:rsid w:val="003148D8"/>
    <w:rsid w:val="0031492C"/>
    <w:rsid w:val="00314948"/>
    <w:rsid w:val="00314B5C"/>
    <w:rsid w:val="00314BE3"/>
    <w:rsid w:val="00314CF8"/>
    <w:rsid w:val="00314E99"/>
    <w:rsid w:val="003157DF"/>
    <w:rsid w:val="00315D6D"/>
    <w:rsid w:val="00316942"/>
    <w:rsid w:val="00316A69"/>
    <w:rsid w:val="00316AB3"/>
    <w:rsid w:val="00316CB4"/>
    <w:rsid w:val="00317055"/>
    <w:rsid w:val="0031708E"/>
    <w:rsid w:val="003170B0"/>
    <w:rsid w:val="0031733A"/>
    <w:rsid w:val="00317396"/>
    <w:rsid w:val="0031740F"/>
    <w:rsid w:val="0031764C"/>
    <w:rsid w:val="00317911"/>
    <w:rsid w:val="00317ED7"/>
    <w:rsid w:val="003202FA"/>
    <w:rsid w:val="00320334"/>
    <w:rsid w:val="0032067E"/>
    <w:rsid w:val="003206F5"/>
    <w:rsid w:val="00320702"/>
    <w:rsid w:val="00320B9E"/>
    <w:rsid w:val="00320BC8"/>
    <w:rsid w:val="00320E05"/>
    <w:rsid w:val="00321022"/>
    <w:rsid w:val="003211AA"/>
    <w:rsid w:val="0032120B"/>
    <w:rsid w:val="003215DC"/>
    <w:rsid w:val="003219FD"/>
    <w:rsid w:val="00321ABD"/>
    <w:rsid w:val="00321C91"/>
    <w:rsid w:val="00322141"/>
    <w:rsid w:val="003221D1"/>
    <w:rsid w:val="0032224E"/>
    <w:rsid w:val="003222A6"/>
    <w:rsid w:val="0032247A"/>
    <w:rsid w:val="003229C5"/>
    <w:rsid w:val="00322ABB"/>
    <w:rsid w:val="00322C19"/>
    <w:rsid w:val="003237EF"/>
    <w:rsid w:val="00323933"/>
    <w:rsid w:val="00323BE3"/>
    <w:rsid w:val="00324169"/>
    <w:rsid w:val="00324277"/>
    <w:rsid w:val="0032449A"/>
    <w:rsid w:val="003248E8"/>
    <w:rsid w:val="00324997"/>
    <w:rsid w:val="00324B12"/>
    <w:rsid w:val="00324BF4"/>
    <w:rsid w:val="00324E16"/>
    <w:rsid w:val="00325292"/>
    <w:rsid w:val="0032533A"/>
    <w:rsid w:val="003255F7"/>
    <w:rsid w:val="0032578C"/>
    <w:rsid w:val="00325836"/>
    <w:rsid w:val="0032584F"/>
    <w:rsid w:val="00325CA0"/>
    <w:rsid w:val="00325CE8"/>
    <w:rsid w:val="003262B7"/>
    <w:rsid w:val="003262BA"/>
    <w:rsid w:val="003263C0"/>
    <w:rsid w:val="00326AB5"/>
    <w:rsid w:val="00326D14"/>
    <w:rsid w:val="00326F70"/>
    <w:rsid w:val="003271EA"/>
    <w:rsid w:val="00327262"/>
    <w:rsid w:val="003276A4"/>
    <w:rsid w:val="00327BBA"/>
    <w:rsid w:val="0033015E"/>
    <w:rsid w:val="0033023C"/>
    <w:rsid w:val="003303B8"/>
    <w:rsid w:val="00330426"/>
    <w:rsid w:val="00330931"/>
    <w:rsid w:val="0033093D"/>
    <w:rsid w:val="0033093E"/>
    <w:rsid w:val="00330F91"/>
    <w:rsid w:val="00331302"/>
    <w:rsid w:val="00331384"/>
    <w:rsid w:val="00331499"/>
    <w:rsid w:val="003317DC"/>
    <w:rsid w:val="003318F2"/>
    <w:rsid w:val="00331922"/>
    <w:rsid w:val="00331F96"/>
    <w:rsid w:val="00331FFD"/>
    <w:rsid w:val="003320BD"/>
    <w:rsid w:val="0033278F"/>
    <w:rsid w:val="00332B63"/>
    <w:rsid w:val="003330D1"/>
    <w:rsid w:val="0033315A"/>
    <w:rsid w:val="00333392"/>
    <w:rsid w:val="003335E1"/>
    <w:rsid w:val="00333650"/>
    <w:rsid w:val="00333A17"/>
    <w:rsid w:val="00333B95"/>
    <w:rsid w:val="00333C72"/>
    <w:rsid w:val="00333CD8"/>
    <w:rsid w:val="0033418A"/>
    <w:rsid w:val="00334257"/>
    <w:rsid w:val="00334312"/>
    <w:rsid w:val="00334333"/>
    <w:rsid w:val="003347E2"/>
    <w:rsid w:val="00334C55"/>
    <w:rsid w:val="0033503F"/>
    <w:rsid w:val="00335237"/>
    <w:rsid w:val="0033560B"/>
    <w:rsid w:val="003359ED"/>
    <w:rsid w:val="00335A12"/>
    <w:rsid w:val="00335A43"/>
    <w:rsid w:val="00335B32"/>
    <w:rsid w:val="00335BA6"/>
    <w:rsid w:val="00336057"/>
    <w:rsid w:val="0033620C"/>
    <w:rsid w:val="00336435"/>
    <w:rsid w:val="00336474"/>
    <w:rsid w:val="003364FE"/>
    <w:rsid w:val="003367A0"/>
    <w:rsid w:val="003367F3"/>
    <w:rsid w:val="00336A43"/>
    <w:rsid w:val="00336A46"/>
    <w:rsid w:val="00336A54"/>
    <w:rsid w:val="00336AE7"/>
    <w:rsid w:val="00336BBB"/>
    <w:rsid w:val="00336DD6"/>
    <w:rsid w:val="003371D1"/>
    <w:rsid w:val="00337243"/>
    <w:rsid w:val="00337414"/>
    <w:rsid w:val="00337699"/>
    <w:rsid w:val="00337914"/>
    <w:rsid w:val="00337D45"/>
    <w:rsid w:val="00337F1E"/>
    <w:rsid w:val="0034020E"/>
    <w:rsid w:val="003402BB"/>
    <w:rsid w:val="00340481"/>
    <w:rsid w:val="00340969"/>
    <w:rsid w:val="00340CFB"/>
    <w:rsid w:val="00340E49"/>
    <w:rsid w:val="00340F3F"/>
    <w:rsid w:val="0034100B"/>
    <w:rsid w:val="00341030"/>
    <w:rsid w:val="00341270"/>
    <w:rsid w:val="00341475"/>
    <w:rsid w:val="0034161A"/>
    <w:rsid w:val="00341742"/>
    <w:rsid w:val="00341DFB"/>
    <w:rsid w:val="003421A2"/>
    <w:rsid w:val="00342208"/>
    <w:rsid w:val="003422F5"/>
    <w:rsid w:val="00342F39"/>
    <w:rsid w:val="00342FE1"/>
    <w:rsid w:val="003431BB"/>
    <w:rsid w:val="00343334"/>
    <w:rsid w:val="0034335B"/>
    <w:rsid w:val="003435BA"/>
    <w:rsid w:val="003436F2"/>
    <w:rsid w:val="00343B49"/>
    <w:rsid w:val="00343DBA"/>
    <w:rsid w:val="00343F85"/>
    <w:rsid w:val="00343FFB"/>
    <w:rsid w:val="0034419E"/>
    <w:rsid w:val="003442A4"/>
    <w:rsid w:val="003446D6"/>
    <w:rsid w:val="00344CC3"/>
    <w:rsid w:val="00344D86"/>
    <w:rsid w:val="00344F6B"/>
    <w:rsid w:val="0034526B"/>
    <w:rsid w:val="0034528B"/>
    <w:rsid w:val="0034547A"/>
    <w:rsid w:val="00345751"/>
    <w:rsid w:val="00345CC4"/>
    <w:rsid w:val="00345E74"/>
    <w:rsid w:val="00345F9E"/>
    <w:rsid w:val="00346008"/>
    <w:rsid w:val="00346067"/>
    <w:rsid w:val="0034620E"/>
    <w:rsid w:val="00346284"/>
    <w:rsid w:val="003462C8"/>
    <w:rsid w:val="003469F5"/>
    <w:rsid w:val="00346A38"/>
    <w:rsid w:val="00346D46"/>
    <w:rsid w:val="00346E3A"/>
    <w:rsid w:val="00346E50"/>
    <w:rsid w:val="003473A9"/>
    <w:rsid w:val="0034769F"/>
    <w:rsid w:val="003479C5"/>
    <w:rsid w:val="00347F18"/>
    <w:rsid w:val="00347FD9"/>
    <w:rsid w:val="00350069"/>
    <w:rsid w:val="0035017A"/>
    <w:rsid w:val="00350473"/>
    <w:rsid w:val="003504A5"/>
    <w:rsid w:val="00350669"/>
    <w:rsid w:val="00350BD2"/>
    <w:rsid w:val="00351734"/>
    <w:rsid w:val="00351A8B"/>
    <w:rsid w:val="00351E1E"/>
    <w:rsid w:val="00351FA6"/>
    <w:rsid w:val="00352156"/>
    <w:rsid w:val="0035256A"/>
    <w:rsid w:val="003525B0"/>
    <w:rsid w:val="0035275B"/>
    <w:rsid w:val="003529EF"/>
    <w:rsid w:val="00352DC1"/>
    <w:rsid w:val="003535D8"/>
    <w:rsid w:val="00353A13"/>
    <w:rsid w:val="00354089"/>
    <w:rsid w:val="003544BD"/>
    <w:rsid w:val="00354826"/>
    <w:rsid w:val="00354CD1"/>
    <w:rsid w:val="003557EB"/>
    <w:rsid w:val="003558DE"/>
    <w:rsid w:val="00355FF4"/>
    <w:rsid w:val="00356038"/>
    <w:rsid w:val="00356103"/>
    <w:rsid w:val="00356333"/>
    <w:rsid w:val="003563ED"/>
    <w:rsid w:val="003569B6"/>
    <w:rsid w:val="00356B94"/>
    <w:rsid w:val="00356CE1"/>
    <w:rsid w:val="00357179"/>
    <w:rsid w:val="003574CC"/>
    <w:rsid w:val="003576CD"/>
    <w:rsid w:val="00357829"/>
    <w:rsid w:val="00357FAB"/>
    <w:rsid w:val="00360077"/>
    <w:rsid w:val="003600BD"/>
    <w:rsid w:val="003600EB"/>
    <w:rsid w:val="003602AA"/>
    <w:rsid w:val="0036042E"/>
    <w:rsid w:val="00360785"/>
    <w:rsid w:val="0036099C"/>
    <w:rsid w:val="00360C1B"/>
    <w:rsid w:val="00360D41"/>
    <w:rsid w:val="00360EA5"/>
    <w:rsid w:val="00361575"/>
    <w:rsid w:val="00361667"/>
    <w:rsid w:val="0036170A"/>
    <w:rsid w:val="00361898"/>
    <w:rsid w:val="00361AD0"/>
    <w:rsid w:val="00361AF7"/>
    <w:rsid w:val="00361C43"/>
    <w:rsid w:val="00362075"/>
    <w:rsid w:val="003620B5"/>
    <w:rsid w:val="003624F8"/>
    <w:rsid w:val="0036268B"/>
    <w:rsid w:val="00362A69"/>
    <w:rsid w:val="00362BF8"/>
    <w:rsid w:val="00362C13"/>
    <w:rsid w:val="003632EF"/>
    <w:rsid w:val="003634AF"/>
    <w:rsid w:val="003638E3"/>
    <w:rsid w:val="00363C5F"/>
    <w:rsid w:val="00363DD0"/>
    <w:rsid w:val="0036409D"/>
    <w:rsid w:val="00364141"/>
    <w:rsid w:val="003641E1"/>
    <w:rsid w:val="003646E8"/>
    <w:rsid w:val="00364853"/>
    <w:rsid w:val="003649EA"/>
    <w:rsid w:val="00364BEA"/>
    <w:rsid w:val="00364DAC"/>
    <w:rsid w:val="00364EC6"/>
    <w:rsid w:val="00364EED"/>
    <w:rsid w:val="00364F5B"/>
    <w:rsid w:val="00364FA7"/>
    <w:rsid w:val="00365137"/>
    <w:rsid w:val="003652F1"/>
    <w:rsid w:val="0036534D"/>
    <w:rsid w:val="00365557"/>
    <w:rsid w:val="003659CF"/>
    <w:rsid w:val="00365CA8"/>
    <w:rsid w:val="00365D2B"/>
    <w:rsid w:val="00365D7A"/>
    <w:rsid w:val="00365DF5"/>
    <w:rsid w:val="00365F14"/>
    <w:rsid w:val="00365F23"/>
    <w:rsid w:val="003660DF"/>
    <w:rsid w:val="00366352"/>
    <w:rsid w:val="00366B5D"/>
    <w:rsid w:val="00366C1E"/>
    <w:rsid w:val="00367248"/>
    <w:rsid w:val="00367437"/>
    <w:rsid w:val="0036749D"/>
    <w:rsid w:val="003676C7"/>
    <w:rsid w:val="0036773F"/>
    <w:rsid w:val="003677E8"/>
    <w:rsid w:val="0036786A"/>
    <w:rsid w:val="003678C5"/>
    <w:rsid w:val="00367AC4"/>
    <w:rsid w:val="00367C9C"/>
    <w:rsid w:val="00367D46"/>
    <w:rsid w:val="00367DFE"/>
    <w:rsid w:val="00367E8F"/>
    <w:rsid w:val="0037004D"/>
    <w:rsid w:val="0037013B"/>
    <w:rsid w:val="00370741"/>
    <w:rsid w:val="003708F6"/>
    <w:rsid w:val="00370C78"/>
    <w:rsid w:val="00370E16"/>
    <w:rsid w:val="0037104C"/>
    <w:rsid w:val="00371074"/>
    <w:rsid w:val="0037117C"/>
    <w:rsid w:val="00371231"/>
    <w:rsid w:val="00371559"/>
    <w:rsid w:val="00371D52"/>
    <w:rsid w:val="00371D6F"/>
    <w:rsid w:val="00372131"/>
    <w:rsid w:val="00372175"/>
    <w:rsid w:val="003721E0"/>
    <w:rsid w:val="003722B3"/>
    <w:rsid w:val="00372A7F"/>
    <w:rsid w:val="00373054"/>
    <w:rsid w:val="003732CE"/>
    <w:rsid w:val="0037340F"/>
    <w:rsid w:val="003738A9"/>
    <w:rsid w:val="003739B6"/>
    <w:rsid w:val="00373ABC"/>
    <w:rsid w:val="00373D2C"/>
    <w:rsid w:val="00373F21"/>
    <w:rsid w:val="0037406F"/>
    <w:rsid w:val="003742E0"/>
    <w:rsid w:val="00374579"/>
    <w:rsid w:val="003745EC"/>
    <w:rsid w:val="00374722"/>
    <w:rsid w:val="00374C7D"/>
    <w:rsid w:val="00374D54"/>
    <w:rsid w:val="00374F6B"/>
    <w:rsid w:val="00375032"/>
    <w:rsid w:val="00375162"/>
    <w:rsid w:val="00375164"/>
    <w:rsid w:val="003751E7"/>
    <w:rsid w:val="003753C3"/>
    <w:rsid w:val="003754B9"/>
    <w:rsid w:val="003754BB"/>
    <w:rsid w:val="00375D72"/>
    <w:rsid w:val="00375F15"/>
    <w:rsid w:val="003760A1"/>
    <w:rsid w:val="003760A4"/>
    <w:rsid w:val="00376346"/>
    <w:rsid w:val="00377218"/>
    <w:rsid w:val="0037773E"/>
    <w:rsid w:val="0037790A"/>
    <w:rsid w:val="003779E7"/>
    <w:rsid w:val="00377D5B"/>
    <w:rsid w:val="00377EE7"/>
    <w:rsid w:val="00380375"/>
    <w:rsid w:val="003805E0"/>
    <w:rsid w:val="00380964"/>
    <w:rsid w:val="00380CBA"/>
    <w:rsid w:val="00380D0C"/>
    <w:rsid w:val="00380E45"/>
    <w:rsid w:val="00381801"/>
    <w:rsid w:val="00381C54"/>
    <w:rsid w:val="00381D4C"/>
    <w:rsid w:val="00381FC7"/>
    <w:rsid w:val="00382054"/>
    <w:rsid w:val="00382099"/>
    <w:rsid w:val="00382293"/>
    <w:rsid w:val="0038233F"/>
    <w:rsid w:val="0038256A"/>
    <w:rsid w:val="00382768"/>
    <w:rsid w:val="0038291E"/>
    <w:rsid w:val="003829B0"/>
    <w:rsid w:val="00382C2B"/>
    <w:rsid w:val="0038300A"/>
    <w:rsid w:val="003832AF"/>
    <w:rsid w:val="0038387E"/>
    <w:rsid w:val="00383994"/>
    <w:rsid w:val="00383FC3"/>
    <w:rsid w:val="00384036"/>
    <w:rsid w:val="003844E5"/>
    <w:rsid w:val="003849A1"/>
    <w:rsid w:val="00384A4A"/>
    <w:rsid w:val="00384B70"/>
    <w:rsid w:val="00384F3C"/>
    <w:rsid w:val="00384F47"/>
    <w:rsid w:val="00385275"/>
    <w:rsid w:val="003853CD"/>
    <w:rsid w:val="003853FE"/>
    <w:rsid w:val="00385AE5"/>
    <w:rsid w:val="00385B3A"/>
    <w:rsid w:val="003867E3"/>
    <w:rsid w:val="00386856"/>
    <w:rsid w:val="00386F3C"/>
    <w:rsid w:val="003870B9"/>
    <w:rsid w:val="00387255"/>
    <w:rsid w:val="0038731A"/>
    <w:rsid w:val="00387787"/>
    <w:rsid w:val="003878A9"/>
    <w:rsid w:val="00387E8D"/>
    <w:rsid w:val="00387F5C"/>
    <w:rsid w:val="00387FFD"/>
    <w:rsid w:val="003901B4"/>
    <w:rsid w:val="00390330"/>
    <w:rsid w:val="00390395"/>
    <w:rsid w:val="003905CB"/>
    <w:rsid w:val="00390936"/>
    <w:rsid w:val="003909CB"/>
    <w:rsid w:val="00390C34"/>
    <w:rsid w:val="00390D87"/>
    <w:rsid w:val="00391079"/>
    <w:rsid w:val="003913E7"/>
    <w:rsid w:val="0039151A"/>
    <w:rsid w:val="00391C45"/>
    <w:rsid w:val="00391CD7"/>
    <w:rsid w:val="00391CE1"/>
    <w:rsid w:val="00391EBD"/>
    <w:rsid w:val="00391F3E"/>
    <w:rsid w:val="00391FFC"/>
    <w:rsid w:val="00392CD9"/>
    <w:rsid w:val="0039326E"/>
    <w:rsid w:val="003932D5"/>
    <w:rsid w:val="003936E9"/>
    <w:rsid w:val="003939FB"/>
    <w:rsid w:val="0039403B"/>
    <w:rsid w:val="003943B6"/>
    <w:rsid w:val="003943C7"/>
    <w:rsid w:val="00394780"/>
    <w:rsid w:val="0039484F"/>
    <w:rsid w:val="00394AD5"/>
    <w:rsid w:val="00394AEF"/>
    <w:rsid w:val="00394B2C"/>
    <w:rsid w:val="0039511E"/>
    <w:rsid w:val="00395157"/>
    <w:rsid w:val="003952A6"/>
    <w:rsid w:val="003956C1"/>
    <w:rsid w:val="0039572B"/>
    <w:rsid w:val="0039580D"/>
    <w:rsid w:val="0039582F"/>
    <w:rsid w:val="0039593A"/>
    <w:rsid w:val="00395C78"/>
    <w:rsid w:val="00395D8B"/>
    <w:rsid w:val="003960F0"/>
    <w:rsid w:val="00396130"/>
    <w:rsid w:val="003961A0"/>
    <w:rsid w:val="00396364"/>
    <w:rsid w:val="00396698"/>
    <w:rsid w:val="00396892"/>
    <w:rsid w:val="0039696D"/>
    <w:rsid w:val="00396A6B"/>
    <w:rsid w:val="00396C00"/>
    <w:rsid w:val="00396F6F"/>
    <w:rsid w:val="003970FA"/>
    <w:rsid w:val="00397452"/>
    <w:rsid w:val="003975CE"/>
    <w:rsid w:val="00397A39"/>
    <w:rsid w:val="00397A71"/>
    <w:rsid w:val="003A0163"/>
    <w:rsid w:val="003A0595"/>
    <w:rsid w:val="003A05B0"/>
    <w:rsid w:val="003A0858"/>
    <w:rsid w:val="003A130D"/>
    <w:rsid w:val="003A1599"/>
    <w:rsid w:val="003A1633"/>
    <w:rsid w:val="003A166F"/>
    <w:rsid w:val="003A1701"/>
    <w:rsid w:val="003A18C6"/>
    <w:rsid w:val="003A1918"/>
    <w:rsid w:val="003A195E"/>
    <w:rsid w:val="003A19CB"/>
    <w:rsid w:val="003A19E0"/>
    <w:rsid w:val="003A1A4F"/>
    <w:rsid w:val="003A1F9C"/>
    <w:rsid w:val="003A227D"/>
    <w:rsid w:val="003A2550"/>
    <w:rsid w:val="003A263D"/>
    <w:rsid w:val="003A26C8"/>
    <w:rsid w:val="003A2999"/>
    <w:rsid w:val="003A29DD"/>
    <w:rsid w:val="003A2C55"/>
    <w:rsid w:val="003A2ECB"/>
    <w:rsid w:val="003A34A2"/>
    <w:rsid w:val="003A3579"/>
    <w:rsid w:val="003A397E"/>
    <w:rsid w:val="003A39E2"/>
    <w:rsid w:val="003A3B91"/>
    <w:rsid w:val="003A3B99"/>
    <w:rsid w:val="003A3E3D"/>
    <w:rsid w:val="003A4336"/>
    <w:rsid w:val="003A4774"/>
    <w:rsid w:val="003A47AF"/>
    <w:rsid w:val="003A47F8"/>
    <w:rsid w:val="003A5047"/>
    <w:rsid w:val="003A508B"/>
    <w:rsid w:val="003A5299"/>
    <w:rsid w:val="003A535C"/>
    <w:rsid w:val="003A55CC"/>
    <w:rsid w:val="003A56A3"/>
    <w:rsid w:val="003A5D25"/>
    <w:rsid w:val="003A618C"/>
    <w:rsid w:val="003A61FF"/>
    <w:rsid w:val="003A62E8"/>
    <w:rsid w:val="003A6453"/>
    <w:rsid w:val="003A64B7"/>
    <w:rsid w:val="003A64D7"/>
    <w:rsid w:val="003A65BC"/>
    <w:rsid w:val="003A6BB6"/>
    <w:rsid w:val="003A6DE3"/>
    <w:rsid w:val="003A6E56"/>
    <w:rsid w:val="003A71AF"/>
    <w:rsid w:val="003A766E"/>
    <w:rsid w:val="003A77C3"/>
    <w:rsid w:val="003A7A09"/>
    <w:rsid w:val="003A7BE6"/>
    <w:rsid w:val="003A7D61"/>
    <w:rsid w:val="003A7EAA"/>
    <w:rsid w:val="003B017F"/>
    <w:rsid w:val="003B025A"/>
    <w:rsid w:val="003B0366"/>
    <w:rsid w:val="003B0676"/>
    <w:rsid w:val="003B0710"/>
    <w:rsid w:val="003B0732"/>
    <w:rsid w:val="003B07A6"/>
    <w:rsid w:val="003B0940"/>
    <w:rsid w:val="003B0BC5"/>
    <w:rsid w:val="003B0F6C"/>
    <w:rsid w:val="003B1220"/>
    <w:rsid w:val="003B140C"/>
    <w:rsid w:val="003B1478"/>
    <w:rsid w:val="003B18D9"/>
    <w:rsid w:val="003B1CDA"/>
    <w:rsid w:val="003B1F4C"/>
    <w:rsid w:val="003B2834"/>
    <w:rsid w:val="003B2A77"/>
    <w:rsid w:val="003B3164"/>
    <w:rsid w:val="003B342A"/>
    <w:rsid w:val="003B34D4"/>
    <w:rsid w:val="003B3AC6"/>
    <w:rsid w:val="003B3BE5"/>
    <w:rsid w:val="003B3DC2"/>
    <w:rsid w:val="003B3EFE"/>
    <w:rsid w:val="003B474C"/>
    <w:rsid w:val="003B49C1"/>
    <w:rsid w:val="003B4A1D"/>
    <w:rsid w:val="003B4B0F"/>
    <w:rsid w:val="003B4D5A"/>
    <w:rsid w:val="003B502A"/>
    <w:rsid w:val="003B508D"/>
    <w:rsid w:val="003B50B0"/>
    <w:rsid w:val="003B5669"/>
    <w:rsid w:val="003B5B15"/>
    <w:rsid w:val="003B5CEF"/>
    <w:rsid w:val="003B5DEE"/>
    <w:rsid w:val="003B6225"/>
    <w:rsid w:val="003B6420"/>
    <w:rsid w:val="003B6674"/>
    <w:rsid w:val="003B6A86"/>
    <w:rsid w:val="003B6BC1"/>
    <w:rsid w:val="003B6CC7"/>
    <w:rsid w:val="003B70D1"/>
    <w:rsid w:val="003B72F2"/>
    <w:rsid w:val="003B73E6"/>
    <w:rsid w:val="003B7892"/>
    <w:rsid w:val="003B7910"/>
    <w:rsid w:val="003B7F2C"/>
    <w:rsid w:val="003C0946"/>
    <w:rsid w:val="003C0B8F"/>
    <w:rsid w:val="003C0DF7"/>
    <w:rsid w:val="003C0E25"/>
    <w:rsid w:val="003C1243"/>
    <w:rsid w:val="003C137A"/>
    <w:rsid w:val="003C15CD"/>
    <w:rsid w:val="003C1726"/>
    <w:rsid w:val="003C1D7C"/>
    <w:rsid w:val="003C26F2"/>
    <w:rsid w:val="003C2A8D"/>
    <w:rsid w:val="003C2B2F"/>
    <w:rsid w:val="003C2C5E"/>
    <w:rsid w:val="003C2E77"/>
    <w:rsid w:val="003C309B"/>
    <w:rsid w:val="003C31F4"/>
    <w:rsid w:val="003C33B7"/>
    <w:rsid w:val="003C347F"/>
    <w:rsid w:val="003C34CA"/>
    <w:rsid w:val="003C3578"/>
    <w:rsid w:val="003C3792"/>
    <w:rsid w:val="003C3803"/>
    <w:rsid w:val="003C3B14"/>
    <w:rsid w:val="003C463F"/>
    <w:rsid w:val="003C4678"/>
    <w:rsid w:val="003C46C4"/>
    <w:rsid w:val="003C47C4"/>
    <w:rsid w:val="003C4A6C"/>
    <w:rsid w:val="003C4B41"/>
    <w:rsid w:val="003C4F52"/>
    <w:rsid w:val="003C5124"/>
    <w:rsid w:val="003C54B7"/>
    <w:rsid w:val="003C55B4"/>
    <w:rsid w:val="003C5CBE"/>
    <w:rsid w:val="003C5D45"/>
    <w:rsid w:val="003C5F2A"/>
    <w:rsid w:val="003C6000"/>
    <w:rsid w:val="003C6109"/>
    <w:rsid w:val="003C62BB"/>
    <w:rsid w:val="003C63B8"/>
    <w:rsid w:val="003C6700"/>
    <w:rsid w:val="003C6707"/>
    <w:rsid w:val="003C69D7"/>
    <w:rsid w:val="003C6A02"/>
    <w:rsid w:val="003C781A"/>
    <w:rsid w:val="003C78D0"/>
    <w:rsid w:val="003C7BAA"/>
    <w:rsid w:val="003C7DA8"/>
    <w:rsid w:val="003C7E70"/>
    <w:rsid w:val="003D035D"/>
    <w:rsid w:val="003D131A"/>
    <w:rsid w:val="003D1453"/>
    <w:rsid w:val="003D1530"/>
    <w:rsid w:val="003D17BD"/>
    <w:rsid w:val="003D1908"/>
    <w:rsid w:val="003D1AAE"/>
    <w:rsid w:val="003D1E95"/>
    <w:rsid w:val="003D1F5F"/>
    <w:rsid w:val="003D2451"/>
    <w:rsid w:val="003D246A"/>
    <w:rsid w:val="003D2EA9"/>
    <w:rsid w:val="003D3239"/>
    <w:rsid w:val="003D3641"/>
    <w:rsid w:val="003D3802"/>
    <w:rsid w:val="003D380E"/>
    <w:rsid w:val="003D39BC"/>
    <w:rsid w:val="003D3A67"/>
    <w:rsid w:val="003D3EFA"/>
    <w:rsid w:val="003D40C7"/>
    <w:rsid w:val="003D439C"/>
    <w:rsid w:val="003D4768"/>
    <w:rsid w:val="003D4ADA"/>
    <w:rsid w:val="003D518F"/>
    <w:rsid w:val="003D5327"/>
    <w:rsid w:val="003D53BF"/>
    <w:rsid w:val="003D53D3"/>
    <w:rsid w:val="003D53DF"/>
    <w:rsid w:val="003D5651"/>
    <w:rsid w:val="003D59D5"/>
    <w:rsid w:val="003D59F7"/>
    <w:rsid w:val="003D68C3"/>
    <w:rsid w:val="003D6CF4"/>
    <w:rsid w:val="003D710A"/>
    <w:rsid w:val="003D710E"/>
    <w:rsid w:val="003D72A8"/>
    <w:rsid w:val="003D74D0"/>
    <w:rsid w:val="003D762C"/>
    <w:rsid w:val="003D792A"/>
    <w:rsid w:val="003D7C9E"/>
    <w:rsid w:val="003D7CBA"/>
    <w:rsid w:val="003E0018"/>
    <w:rsid w:val="003E0025"/>
    <w:rsid w:val="003E00EF"/>
    <w:rsid w:val="003E03AD"/>
    <w:rsid w:val="003E03D8"/>
    <w:rsid w:val="003E09F9"/>
    <w:rsid w:val="003E0AD4"/>
    <w:rsid w:val="003E1353"/>
    <w:rsid w:val="003E1382"/>
    <w:rsid w:val="003E1FAB"/>
    <w:rsid w:val="003E2351"/>
    <w:rsid w:val="003E2409"/>
    <w:rsid w:val="003E26CF"/>
    <w:rsid w:val="003E2824"/>
    <w:rsid w:val="003E28ED"/>
    <w:rsid w:val="003E2CC6"/>
    <w:rsid w:val="003E2D63"/>
    <w:rsid w:val="003E2EC9"/>
    <w:rsid w:val="003E2FD0"/>
    <w:rsid w:val="003E30C9"/>
    <w:rsid w:val="003E33F6"/>
    <w:rsid w:val="003E3681"/>
    <w:rsid w:val="003E3A81"/>
    <w:rsid w:val="003E3AD5"/>
    <w:rsid w:val="003E3B9D"/>
    <w:rsid w:val="003E4067"/>
    <w:rsid w:val="003E4082"/>
    <w:rsid w:val="003E41B6"/>
    <w:rsid w:val="003E4682"/>
    <w:rsid w:val="003E47C4"/>
    <w:rsid w:val="003E52E4"/>
    <w:rsid w:val="003E538D"/>
    <w:rsid w:val="003E5932"/>
    <w:rsid w:val="003E5A26"/>
    <w:rsid w:val="003E5C06"/>
    <w:rsid w:val="003E5F5C"/>
    <w:rsid w:val="003E6008"/>
    <w:rsid w:val="003E61BC"/>
    <w:rsid w:val="003E61E8"/>
    <w:rsid w:val="003E62AD"/>
    <w:rsid w:val="003E654D"/>
    <w:rsid w:val="003E6A56"/>
    <w:rsid w:val="003E6A7B"/>
    <w:rsid w:val="003E727E"/>
    <w:rsid w:val="003E73C8"/>
    <w:rsid w:val="003E76C3"/>
    <w:rsid w:val="003E7702"/>
    <w:rsid w:val="003E77E5"/>
    <w:rsid w:val="003E785C"/>
    <w:rsid w:val="003E7888"/>
    <w:rsid w:val="003E7F55"/>
    <w:rsid w:val="003F0170"/>
    <w:rsid w:val="003F0347"/>
    <w:rsid w:val="003F0454"/>
    <w:rsid w:val="003F07B0"/>
    <w:rsid w:val="003F0932"/>
    <w:rsid w:val="003F0C88"/>
    <w:rsid w:val="003F1253"/>
    <w:rsid w:val="003F1CDD"/>
    <w:rsid w:val="003F1EAF"/>
    <w:rsid w:val="003F1FFF"/>
    <w:rsid w:val="003F248B"/>
    <w:rsid w:val="003F2695"/>
    <w:rsid w:val="003F28A9"/>
    <w:rsid w:val="003F2B52"/>
    <w:rsid w:val="003F2E2E"/>
    <w:rsid w:val="003F2FB3"/>
    <w:rsid w:val="003F3104"/>
    <w:rsid w:val="003F311F"/>
    <w:rsid w:val="003F31C0"/>
    <w:rsid w:val="003F3260"/>
    <w:rsid w:val="003F32C8"/>
    <w:rsid w:val="003F34AF"/>
    <w:rsid w:val="003F35F5"/>
    <w:rsid w:val="003F3A1C"/>
    <w:rsid w:val="003F3CB6"/>
    <w:rsid w:val="003F3D07"/>
    <w:rsid w:val="003F3D20"/>
    <w:rsid w:val="003F40F0"/>
    <w:rsid w:val="003F42D0"/>
    <w:rsid w:val="003F468B"/>
    <w:rsid w:val="003F46A3"/>
    <w:rsid w:val="003F4F86"/>
    <w:rsid w:val="003F50E8"/>
    <w:rsid w:val="003F534F"/>
    <w:rsid w:val="003F5385"/>
    <w:rsid w:val="003F546D"/>
    <w:rsid w:val="003F5672"/>
    <w:rsid w:val="003F57FD"/>
    <w:rsid w:val="003F5907"/>
    <w:rsid w:val="003F5B1F"/>
    <w:rsid w:val="003F5D25"/>
    <w:rsid w:val="003F5E07"/>
    <w:rsid w:val="003F6056"/>
    <w:rsid w:val="003F626D"/>
    <w:rsid w:val="003F63FF"/>
    <w:rsid w:val="003F642A"/>
    <w:rsid w:val="003F6801"/>
    <w:rsid w:val="003F68FB"/>
    <w:rsid w:val="003F6A17"/>
    <w:rsid w:val="003F6C30"/>
    <w:rsid w:val="003F74D6"/>
    <w:rsid w:val="003F7620"/>
    <w:rsid w:val="003F7933"/>
    <w:rsid w:val="003F7BE5"/>
    <w:rsid w:val="00400106"/>
    <w:rsid w:val="00400337"/>
    <w:rsid w:val="004003C3"/>
    <w:rsid w:val="00400669"/>
    <w:rsid w:val="004006F7"/>
    <w:rsid w:val="00400BB8"/>
    <w:rsid w:val="00400CBD"/>
    <w:rsid w:val="00401780"/>
    <w:rsid w:val="004017CF"/>
    <w:rsid w:val="004017DF"/>
    <w:rsid w:val="00401B4C"/>
    <w:rsid w:val="00401C33"/>
    <w:rsid w:val="00401C85"/>
    <w:rsid w:val="00402179"/>
    <w:rsid w:val="004021CA"/>
    <w:rsid w:val="00402236"/>
    <w:rsid w:val="004022FA"/>
    <w:rsid w:val="004025A0"/>
    <w:rsid w:val="004026C9"/>
    <w:rsid w:val="004027A7"/>
    <w:rsid w:val="00402864"/>
    <w:rsid w:val="00402AED"/>
    <w:rsid w:val="00402DA9"/>
    <w:rsid w:val="00402DE8"/>
    <w:rsid w:val="00402EB9"/>
    <w:rsid w:val="004032A3"/>
    <w:rsid w:val="00403537"/>
    <w:rsid w:val="004036D7"/>
    <w:rsid w:val="00403DEA"/>
    <w:rsid w:val="00403E38"/>
    <w:rsid w:val="00403FA3"/>
    <w:rsid w:val="0040421F"/>
    <w:rsid w:val="00404818"/>
    <w:rsid w:val="004048D4"/>
    <w:rsid w:val="00404ABE"/>
    <w:rsid w:val="00404C0C"/>
    <w:rsid w:val="004050DC"/>
    <w:rsid w:val="00405149"/>
    <w:rsid w:val="004054CF"/>
    <w:rsid w:val="004056E7"/>
    <w:rsid w:val="00405DE8"/>
    <w:rsid w:val="00406C41"/>
    <w:rsid w:val="0040703C"/>
    <w:rsid w:val="004071F6"/>
    <w:rsid w:val="004076D4"/>
    <w:rsid w:val="00407793"/>
    <w:rsid w:val="00407FBF"/>
    <w:rsid w:val="0041012E"/>
    <w:rsid w:val="00410977"/>
    <w:rsid w:val="00410BC2"/>
    <w:rsid w:val="00410D8C"/>
    <w:rsid w:val="0041115A"/>
    <w:rsid w:val="004113FC"/>
    <w:rsid w:val="0041140F"/>
    <w:rsid w:val="004116A7"/>
    <w:rsid w:val="004117B6"/>
    <w:rsid w:val="004118C8"/>
    <w:rsid w:val="00411ADD"/>
    <w:rsid w:val="00411B2A"/>
    <w:rsid w:val="00411C20"/>
    <w:rsid w:val="00411C37"/>
    <w:rsid w:val="00411C7C"/>
    <w:rsid w:val="00411D53"/>
    <w:rsid w:val="00411EE3"/>
    <w:rsid w:val="00411F8D"/>
    <w:rsid w:val="00411FD4"/>
    <w:rsid w:val="00412333"/>
    <w:rsid w:val="004123BA"/>
    <w:rsid w:val="0041251E"/>
    <w:rsid w:val="00412D9C"/>
    <w:rsid w:val="004130B6"/>
    <w:rsid w:val="0041335B"/>
    <w:rsid w:val="00413713"/>
    <w:rsid w:val="0041397A"/>
    <w:rsid w:val="00413E2B"/>
    <w:rsid w:val="00413F4C"/>
    <w:rsid w:val="00414174"/>
    <w:rsid w:val="0041458B"/>
    <w:rsid w:val="004145C1"/>
    <w:rsid w:val="00414C47"/>
    <w:rsid w:val="00414D8D"/>
    <w:rsid w:val="0041505C"/>
    <w:rsid w:val="004151C2"/>
    <w:rsid w:val="004151E7"/>
    <w:rsid w:val="00415356"/>
    <w:rsid w:val="0041541C"/>
    <w:rsid w:val="0041587E"/>
    <w:rsid w:val="00415ABC"/>
    <w:rsid w:val="00416088"/>
    <w:rsid w:val="00416945"/>
    <w:rsid w:val="00416DCD"/>
    <w:rsid w:val="00416E34"/>
    <w:rsid w:val="00416E73"/>
    <w:rsid w:val="00416F83"/>
    <w:rsid w:val="004170DE"/>
    <w:rsid w:val="00417344"/>
    <w:rsid w:val="00417544"/>
    <w:rsid w:val="00417603"/>
    <w:rsid w:val="00417B89"/>
    <w:rsid w:val="00417C2D"/>
    <w:rsid w:val="00417F84"/>
    <w:rsid w:val="004201C5"/>
    <w:rsid w:val="00420361"/>
    <w:rsid w:val="004203A2"/>
    <w:rsid w:val="004203D1"/>
    <w:rsid w:val="00420468"/>
    <w:rsid w:val="00420FC1"/>
    <w:rsid w:val="0042107C"/>
    <w:rsid w:val="004210E3"/>
    <w:rsid w:val="004211E2"/>
    <w:rsid w:val="004213BA"/>
    <w:rsid w:val="0042160A"/>
    <w:rsid w:val="00421637"/>
    <w:rsid w:val="0042170F"/>
    <w:rsid w:val="00421955"/>
    <w:rsid w:val="00421A9D"/>
    <w:rsid w:val="00421AFF"/>
    <w:rsid w:val="00421B0E"/>
    <w:rsid w:val="00421C56"/>
    <w:rsid w:val="00421CF1"/>
    <w:rsid w:val="00421EE2"/>
    <w:rsid w:val="0042204E"/>
    <w:rsid w:val="00422301"/>
    <w:rsid w:val="00422613"/>
    <w:rsid w:val="00422679"/>
    <w:rsid w:val="00422888"/>
    <w:rsid w:val="00422E6B"/>
    <w:rsid w:val="0042306B"/>
    <w:rsid w:val="00423388"/>
    <w:rsid w:val="00423728"/>
    <w:rsid w:val="004238BE"/>
    <w:rsid w:val="00423982"/>
    <w:rsid w:val="004240AE"/>
    <w:rsid w:val="0042479C"/>
    <w:rsid w:val="0042479D"/>
    <w:rsid w:val="00424E4F"/>
    <w:rsid w:val="00424FFA"/>
    <w:rsid w:val="00425145"/>
    <w:rsid w:val="00425225"/>
    <w:rsid w:val="00425292"/>
    <w:rsid w:val="00425495"/>
    <w:rsid w:val="004254FD"/>
    <w:rsid w:val="00425642"/>
    <w:rsid w:val="004256AA"/>
    <w:rsid w:val="00425ADE"/>
    <w:rsid w:val="00425E77"/>
    <w:rsid w:val="00425F09"/>
    <w:rsid w:val="004261D0"/>
    <w:rsid w:val="00426449"/>
    <w:rsid w:val="004267C9"/>
    <w:rsid w:val="00426EBD"/>
    <w:rsid w:val="004270B8"/>
    <w:rsid w:val="004274D9"/>
    <w:rsid w:val="00427695"/>
    <w:rsid w:val="00427994"/>
    <w:rsid w:val="00427A04"/>
    <w:rsid w:val="00430263"/>
    <w:rsid w:val="00430279"/>
    <w:rsid w:val="00430517"/>
    <w:rsid w:val="00430812"/>
    <w:rsid w:val="00430893"/>
    <w:rsid w:val="004309B4"/>
    <w:rsid w:val="00430CDD"/>
    <w:rsid w:val="00430D4D"/>
    <w:rsid w:val="00431061"/>
    <w:rsid w:val="00431218"/>
    <w:rsid w:val="00431297"/>
    <w:rsid w:val="004312BA"/>
    <w:rsid w:val="004317AE"/>
    <w:rsid w:val="004317D3"/>
    <w:rsid w:val="00431928"/>
    <w:rsid w:val="00431EFE"/>
    <w:rsid w:val="004321C0"/>
    <w:rsid w:val="0043250B"/>
    <w:rsid w:val="00432605"/>
    <w:rsid w:val="004326B9"/>
    <w:rsid w:val="004329B4"/>
    <w:rsid w:val="00432A51"/>
    <w:rsid w:val="00432AA4"/>
    <w:rsid w:val="00432AFC"/>
    <w:rsid w:val="00432FE8"/>
    <w:rsid w:val="0043307D"/>
    <w:rsid w:val="0043312A"/>
    <w:rsid w:val="00433CE2"/>
    <w:rsid w:val="00433D69"/>
    <w:rsid w:val="00433D9C"/>
    <w:rsid w:val="00433E1F"/>
    <w:rsid w:val="004341BE"/>
    <w:rsid w:val="00434728"/>
    <w:rsid w:val="00434F60"/>
    <w:rsid w:val="0043511C"/>
    <w:rsid w:val="00435179"/>
    <w:rsid w:val="004353ED"/>
    <w:rsid w:val="00435927"/>
    <w:rsid w:val="004359C5"/>
    <w:rsid w:val="00435BAE"/>
    <w:rsid w:val="00435C17"/>
    <w:rsid w:val="004367FF"/>
    <w:rsid w:val="004368E3"/>
    <w:rsid w:val="00436CBD"/>
    <w:rsid w:val="00436E60"/>
    <w:rsid w:val="0043718E"/>
    <w:rsid w:val="004373F7"/>
    <w:rsid w:val="00437849"/>
    <w:rsid w:val="00437D37"/>
    <w:rsid w:val="00437EFD"/>
    <w:rsid w:val="00440563"/>
    <w:rsid w:val="004406D3"/>
    <w:rsid w:val="00440D5D"/>
    <w:rsid w:val="00441300"/>
    <w:rsid w:val="00441FBE"/>
    <w:rsid w:val="00442375"/>
    <w:rsid w:val="00442397"/>
    <w:rsid w:val="004423FB"/>
    <w:rsid w:val="0044246F"/>
    <w:rsid w:val="00442569"/>
    <w:rsid w:val="00442C57"/>
    <w:rsid w:val="00443160"/>
    <w:rsid w:val="0044375B"/>
    <w:rsid w:val="00443779"/>
    <w:rsid w:val="004437A5"/>
    <w:rsid w:val="004437F7"/>
    <w:rsid w:val="004438AC"/>
    <w:rsid w:val="004438EA"/>
    <w:rsid w:val="00443D54"/>
    <w:rsid w:val="0044480A"/>
    <w:rsid w:val="00444B77"/>
    <w:rsid w:val="00444E71"/>
    <w:rsid w:val="00444FE3"/>
    <w:rsid w:val="00445015"/>
    <w:rsid w:val="00445252"/>
    <w:rsid w:val="00445A10"/>
    <w:rsid w:val="004461DC"/>
    <w:rsid w:val="0044662A"/>
    <w:rsid w:val="00446869"/>
    <w:rsid w:val="00446950"/>
    <w:rsid w:val="004469B8"/>
    <w:rsid w:val="00446A0F"/>
    <w:rsid w:val="00446A2E"/>
    <w:rsid w:val="00446AF8"/>
    <w:rsid w:val="00446C36"/>
    <w:rsid w:val="00446C7C"/>
    <w:rsid w:val="00446EE2"/>
    <w:rsid w:val="00446EE7"/>
    <w:rsid w:val="004471ED"/>
    <w:rsid w:val="00447934"/>
    <w:rsid w:val="00447CC3"/>
    <w:rsid w:val="004503A5"/>
    <w:rsid w:val="00450AB8"/>
    <w:rsid w:val="00450D48"/>
    <w:rsid w:val="00450DB5"/>
    <w:rsid w:val="004518E4"/>
    <w:rsid w:val="0045198D"/>
    <w:rsid w:val="00451A10"/>
    <w:rsid w:val="00451CD6"/>
    <w:rsid w:val="00452380"/>
    <w:rsid w:val="004524FA"/>
    <w:rsid w:val="004524FE"/>
    <w:rsid w:val="00452598"/>
    <w:rsid w:val="004527B9"/>
    <w:rsid w:val="00452950"/>
    <w:rsid w:val="00452A47"/>
    <w:rsid w:val="0045363F"/>
    <w:rsid w:val="0045374D"/>
    <w:rsid w:val="004537D2"/>
    <w:rsid w:val="00453A31"/>
    <w:rsid w:val="00453CB3"/>
    <w:rsid w:val="00453E30"/>
    <w:rsid w:val="00453E72"/>
    <w:rsid w:val="00454253"/>
    <w:rsid w:val="00454307"/>
    <w:rsid w:val="00454796"/>
    <w:rsid w:val="004549F3"/>
    <w:rsid w:val="00454D00"/>
    <w:rsid w:val="00455611"/>
    <w:rsid w:val="00455871"/>
    <w:rsid w:val="0045597F"/>
    <w:rsid w:val="00455C2A"/>
    <w:rsid w:val="00455CD5"/>
    <w:rsid w:val="00455EAC"/>
    <w:rsid w:val="00456113"/>
    <w:rsid w:val="004561F3"/>
    <w:rsid w:val="00456A0B"/>
    <w:rsid w:val="00457149"/>
    <w:rsid w:val="00457215"/>
    <w:rsid w:val="00457AD6"/>
    <w:rsid w:val="00457CAE"/>
    <w:rsid w:val="004600C2"/>
    <w:rsid w:val="0046010B"/>
    <w:rsid w:val="00460493"/>
    <w:rsid w:val="004604EF"/>
    <w:rsid w:val="004605D3"/>
    <w:rsid w:val="00460843"/>
    <w:rsid w:val="00460DD1"/>
    <w:rsid w:val="00460E48"/>
    <w:rsid w:val="00460FE3"/>
    <w:rsid w:val="004610DA"/>
    <w:rsid w:val="00461346"/>
    <w:rsid w:val="004617F7"/>
    <w:rsid w:val="004618CA"/>
    <w:rsid w:val="004619E6"/>
    <w:rsid w:val="00461A6A"/>
    <w:rsid w:val="00461A91"/>
    <w:rsid w:val="00462335"/>
    <w:rsid w:val="004623BF"/>
    <w:rsid w:val="00462581"/>
    <w:rsid w:val="00462B3D"/>
    <w:rsid w:val="00462E1A"/>
    <w:rsid w:val="00462E7F"/>
    <w:rsid w:val="004630D9"/>
    <w:rsid w:val="0046316A"/>
    <w:rsid w:val="00463384"/>
    <w:rsid w:val="0046363B"/>
    <w:rsid w:val="004639CE"/>
    <w:rsid w:val="00463AC5"/>
    <w:rsid w:val="00463C06"/>
    <w:rsid w:val="00463C35"/>
    <w:rsid w:val="00463ECA"/>
    <w:rsid w:val="00463EFB"/>
    <w:rsid w:val="004640B8"/>
    <w:rsid w:val="004642E0"/>
    <w:rsid w:val="00464553"/>
    <w:rsid w:val="0046469F"/>
    <w:rsid w:val="00464914"/>
    <w:rsid w:val="00464B96"/>
    <w:rsid w:val="00464F83"/>
    <w:rsid w:val="00465323"/>
    <w:rsid w:val="004655B4"/>
    <w:rsid w:val="00465967"/>
    <w:rsid w:val="00465CFB"/>
    <w:rsid w:val="00466188"/>
    <w:rsid w:val="004661F5"/>
    <w:rsid w:val="0046643C"/>
    <w:rsid w:val="0046727B"/>
    <w:rsid w:val="004676AD"/>
    <w:rsid w:val="004676E8"/>
    <w:rsid w:val="0046796B"/>
    <w:rsid w:val="00467EB5"/>
    <w:rsid w:val="00470339"/>
    <w:rsid w:val="0047046D"/>
    <w:rsid w:val="00470476"/>
    <w:rsid w:val="00470AC0"/>
    <w:rsid w:val="00470F10"/>
    <w:rsid w:val="0047145C"/>
    <w:rsid w:val="00471691"/>
    <w:rsid w:val="00471732"/>
    <w:rsid w:val="00471A2A"/>
    <w:rsid w:val="00471F16"/>
    <w:rsid w:val="0047258C"/>
    <w:rsid w:val="0047275A"/>
    <w:rsid w:val="004728A3"/>
    <w:rsid w:val="00472E42"/>
    <w:rsid w:val="00472FAD"/>
    <w:rsid w:val="00472FD1"/>
    <w:rsid w:val="0047304D"/>
    <w:rsid w:val="00473910"/>
    <w:rsid w:val="00473C6C"/>
    <w:rsid w:val="00473F9F"/>
    <w:rsid w:val="00473FF0"/>
    <w:rsid w:val="00474550"/>
    <w:rsid w:val="004749CC"/>
    <w:rsid w:val="00474BC6"/>
    <w:rsid w:val="00474DEF"/>
    <w:rsid w:val="00475277"/>
    <w:rsid w:val="00475741"/>
    <w:rsid w:val="00475C94"/>
    <w:rsid w:val="00475DC7"/>
    <w:rsid w:val="00476039"/>
    <w:rsid w:val="0047609A"/>
    <w:rsid w:val="00476A55"/>
    <w:rsid w:val="0047737A"/>
    <w:rsid w:val="004773B0"/>
    <w:rsid w:val="0047755C"/>
    <w:rsid w:val="0047784E"/>
    <w:rsid w:val="0047791C"/>
    <w:rsid w:val="00477CB2"/>
    <w:rsid w:val="00477EB2"/>
    <w:rsid w:val="00480399"/>
    <w:rsid w:val="004804F6"/>
    <w:rsid w:val="0048058B"/>
    <w:rsid w:val="0048072F"/>
    <w:rsid w:val="00480BA9"/>
    <w:rsid w:val="00480E3C"/>
    <w:rsid w:val="0048105C"/>
    <w:rsid w:val="00481138"/>
    <w:rsid w:val="00481D0A"/>
    <w:rsid w:val="00481D2C"/>
    <w:rsid w:val="00482083"/>
    <w:rsid w:val="004827EC"/>
    <w:rsid w:val="00482978"/>
    <w:rsid w:val="00482C0E"/>
    <w:rsid w:val="00482C2B"/>
    <w:rsid w:val="00482C80"/>
    <w:rsid w:val="00483B36"/>
    <w:rsid w:val="00483CAC"/>
    <w:rsid w:val="00483F23"/>
    <w:rsid w:val="0048417F"/>
    <w:rsid w:val="00484275"/>
    <w:rsid w:val="004845E7"/>
    <w:rsid w:val="0048491D"/>
    <w:rsid w:val="004849D4"/>
    <w:rsid w:val="00484C03"/>
    <w:rsid w:val="00484C83"/>
    <w:rsid w:val="0048542C"/>
    <w:rsid w:val="004858E3"/>
    <w:rsid w:val="00485BF6"/>
    <w:rsid w:val="00485DC8"/>
    <w:rsid w:val="00485FA6"/>
    <w:rsid w:val="004860A5"/>
    <w:rsid w:val="0048616A"/>
    <w:rsid w:val="004861D0"/>
    <w:rsid w:val="00486B39"/>
    <w:rsid w:val="00486F30"/>
    <w:rsid w:val="00487788"/>
    <w:rsid w:val="0048795B"/>
    <w:rsid w:val="00487AFE"/>
    <w:rsid w:val="00487C94"/>
    <w:rsid w:val="00490010"/>
    <w:rsid w:val="00490209"/>
    <w:rsid w:val="00490216"/>
    <w:rsid w:val="004902C5"/>
    <w:rsid w:val="00490444"/>
    <w:rsid w:val="004904EE"/>
    <w:rsid w:val="0049091C"/>
    <w:rsid w:val="00490AB8"/>
    <w:rsid w:val="00490CDD"/>
    <w:rsid w:val="00490FEE"/>
    <w:rsid w:val="00491263"/>
    <w:rsid w:val="004912E3"/>
    <w:rsid w:val="004914D1"/>
    <w:rsid w:val="0049168C"/>
    <w:rsid w:val="00491A3B"/>
    <w:rsid w:val="00491A52"/>
    <w:rsid w:val="00491E7B"/>
    <w:rsid w:val="00491FDD"/>
    <w:rsid w:val="0049202E"/>
    <w:rsid w:val="004920D5"/>
    <w:rsid w:val="00492190"/>
    <w:rsid w:val="00492223"/>
    <w:rsid w:val="00492360"/>
    <w:rsid w:val="00492396"/>
    <w:rsid w:val="0049260D"/>
    <w:rsid w:val="00492A73"/>
    <w:rsid w:val="00492AF4"/>
    <w:rsid w:val="00492CDF"/>
    <w:rsid w:val="0049303D"/>
    <w:rsid w:val="00493410"/>
    <w:rsid w:val="00493539"/>
    <w:rsid w:val="00493628"/>
    <w:rsid w:val="004937E9"/>
    <w:rsid w:val="004938C2"/>
    <w:rsid w:val="00493C80"/>
    <w:rsid w:val="00493D63"/>
    <w:rsid w:val="00493F81"/>
    <w:rsid w:val="00493F94"/>
    <w:rsid w:val="0049428A"/>
    <w:rsid w:val="004942F4"/>
    <w:rsid w:val="004943E2"/>
    <w:rsid w:val="00494946"/>
    <w:rsid w:val="00494B25"/>
    <w:rsid w:val="00494F29"/>
    <w:rsid w:val="004952D7"/>
    <w:rsid w:val="00495659"/>
    <w:rsid w:val="00495728"/>
    <w:rsid w:val="004957B3"/>
    <w:rsid w:val="004959DF"/>
    <w:rsid w:val="00495A64"/>
    <w:rsid w:val="00495C00"/>
    <w:rsid w:val="004966A6"/>
    <w:rsid w:val="004966F3"/>
    <w:rsid w:val="00496D00"/>
    <w:rsid w:val="00496E74"/>
    <w:rsid w:val="0049706C"/>
    <w:rsid w:val="00497400"/>
    <w:rsid w:val="004976FA"/>
    <w:rsid w:val="00497883"/>
    <w:rsid w:val="004979EE"/>
    <w:rsid w:val="00497B14"/>
    <w:rsid w:val="00497D60"/>
    <w:rsid w:val="00497EAD"/>
    <w:rsid w:val="004A03A5"/>
    <w:rsid w:val="004A04C4"/>
    <w:rsid w:val="004A07F4"/>
    <w:rsid w:val="004A09C4"/>
    <w:rsid w:val="004A0C24"/>
    <w:rsid w:val="004A0EFA"/>
    <w:rsid w:val="004A10B9"/>
    <w:rsid w:val="004A1160"/>
    <w:rsid w:val="004A137F"/>
    <w:rsid w:val="004A1A23"/>
    <w:rsid w:val="004A1D16"/>
    <w:rsid w:val="004A1EEB"/>
    <w:rsid w:val="004A238E"/>
    <w:rsid w:val="004A23C7"/>
    <w:rsid w:val="004A2433"/>
    <w:rsid w:val="004A291C"/>
    <w:rsid w:val="004A2E70"/>
    <w:rsid w:val="004A32E3"/>
    <w:rsid w:val="004A344D"/>
    <w:rsid w:val="004A3988"/>
    <w:rsid w:val="004A3B60"/>
    <w:rsid w:val="004A3C50"/>
    <w:rsid w:val="004A3E4A"/>
    <w:rsid w:val="004A3E76"/>
    <w:rsid w:val="004A3EDA"/>
    <w:rsid w:val="004A3F41"/>
    <w:rsid w:val="004A3F59"/>
    <w:rsid w:val="004A408D"/>
    <w:rsid w:val="004A416D"/>
    <w:rsid w:val="004A43AA"/>
    <w:rsid w:val="004A4AF9"/>
    <w:rsid w:val="004A4D0E"/>
    <w:rsid w:val="004A4D5D"/>
    <w:rsid w:val="004A4EE2"/>
    <w:rsid w:val="004A529B"/>
    <w:rsid w:val="004A5619"/>
    <w:rsid w:val="004A5681"/>
    <w:rsid w:val="004A5716"/>
    <w:rsid w:val="004A58C1"/>
    <w:rsid w:val="004A5B24"/>
    <w:rsid w:val="004A5BAD"/>
    <w:rsid w:val="004A5E4F"/>
    <w:rsid w:val="004A5F8D"/>
    <w:rsid w:val="004A6095"/>
    <w:rsid w:val="004A60AF"/>
    <w:rsid w:val="004A650A"/>
    <w:rsid w:val="004A66B6"/>
    <w:rsid w:val="004A6778"/>
    <w:rsid w:val="004A67A4"/>
    <w:rsid w:val="004A6AF4"/>
    <w:rsid w:val="004A6BBA"/>
    <w:rsid w:val="004A717C"/>
    <w:rsid w:val="004A7358"/>
    <w:rsid w:val="004A7374"/>
    <w:rsid w:val="004A7967"/>
    <w:rsid w:val="004A7DB7"/>
    <w:rsid w:val="004B0343"/>
    <w:rsid w:val="004B04ED"/>
    <w:rsid w:val="004B0791"/>
    <w:rsid w:val="004B08AA"/>
    <w:rsid w:val="004B11DA"/>
    <w:rsid w:val="004B130B"/>
    <w:rsid w:val="004B136A"/>
    <w:rsid w:val="004B1529"/>
    <w:rsid w:val="004B19F0"/>
    <w:rsid w:val="004B2002"/>
    <w:rsid w:val="004B229F"/>
    <w:rsid w:val="004B27E2"/>
    <w:rsid w:val="004B2D48"/>
    <w:rsid w:val="004B2DF0"/>
    <w:rsid w:val="004B331B"/>
    <w:rsid w:val="004B3807"/>
    <w:rsid w:val="004B38E1"/>
    <w:rsid w:val="004B39A6"/>
    <w:rsid w:val="004B3AB5"/>
    <w:rsid w:val="004B3AD0"/>
    <w:rsid w:val="004B41F6"/>
    <w:rsid w:val="004B4678"/>
    <w:rsid w:val="004B485C"/>
    <w:rsid w:val="004B4AFD"/>
    <w:rsid w:val="004B4C4A"/>
    <w:rsid w:val="004B4C5C"/>
    <w:rsid w:val="004B50B9"/>
    <w:rsid w:val="004B50F6"/>
    <w:rsid w:val="004B5399"/>
    <w:rsid w:val="004B53A8"/>
    <w:rsid w:val="004B54B8"/>
    <w:rsid w:val="004B54D6"/>
    <w:rsid w:val="004B573A"/>
    <w:rsid w:val="004B57CA"/>
    <w:rsid w:val="004B5925"/>
    <w:rsid w:val="004B594C"/>
    <w:rsid w:val="004B5C4B"/>
    <w:rsid w:val="004B5C8C"/>
    <w:rsid w:val="004B5DE8"/>
    <w:rsid w:val="004B5F59"/>
    <w:rsid w:val="004B5FC3"/>
    <w:rsid w:val="004B613E"/>
    <w:rsid w:val="004B6CE2"/>
    <w:rsid w:val="004B701C"/>
    <w:rsid w:val="004B73DC"/>
    <w:rsid w:val="004B7413"/>
    <w:rsid w:val="004B7CA0"/>
    <w:rsid w:val="004B7D1E"/>
    <w:rsid w:val="004C0410"/>
    <w:rsid w:val="004C0492"/>
    <w:rsid w:val="004C0628"/>
    <w:rsid w:val="004C0772"/>
    <w:rsid w:val="004C0FB5"/>
    <w:rsid w:val="004C1A84"/>
    <w:rsid w:val="004C1AC8"/>
    <w:rsid w:val="004C1CCE"/>
    <w:rsid w:val="004C1CED"/>
    <w:rsid w:val="004C209B"/>
    <w:rsid w:val="004C2293"/>
    <w:rsid w:val="004C24FF"/>
    <w:rsid w:val="004C2715"/>
    <w:rsid w:val="004C28B8"/>
    <w:rsid w:val="004C2C43"/>
    <w:rsid w:val="004C2EEC"/>
    <w:rsid w:val="004C2FAB"/>
    <w:rsid w:val="004C333E"/>
    <w:rsid w:val="004C3350"/>
    <w:rsid w:val="004C336B"/>
    <w:rsid w:val="004C3734"/>
    <w:rsid w:val="004C3A26"/>
    <w:rsid w:val="004C3B19"/>
    <w:rsid w:val="004C43F7"/>
    <w:rsid w:val="004C4948"/>
    <w:rsid w:val="004C49CC"/>
    <w:rsid w:val="004C52BD"/>
    <w:rsid w:val="004C5409"/>
    <w:rsid w:val="004C5B7E"/>
    <w:rsid w:val="004C5E85"/>
    <w:rsid w:val="004C69B1"/>
    <w:rsid w:val="004C6A12"/>
    <w:rsid w:val="004C6A17"/>
    <w:rsid w:val="004C6B92"/>
    <w:rsid w:val="004C6BB2"/>
    <w:rsid w:val="004C6CA6"/>
    <w:rsid w:val="004C7409"/>
    <w:rsid w:val="004C775B"/>
    <w:rsid w:val="004C7B21"/>
    <w:rsid w:val="004C7D4C"/>
    <w:rsid w:val="004C7D59"/>
    <w:rsid w:val="004C7D73"/>
    <w:rsid w:val="004C7EC0"/>
    <w:rsid w:val="004C7F2A"/>
    <w:rsid w:val="004D01F6"/>
    <w:rsid w:val="004D036E"/>
    <w:rsid w:val="004D0504"/>
    <w:rsid w:val="004D0716"/>
    <w:rsid w:val="004D093B"/>
    <w:rsid w:val="004D10C5"/>
    <w:rsid w:val="004D1198"/>
    <w:rsid w:val="004D12F8"/>
    <w:rsid w:val="004D175B"/>
    <w:rsid w:val="004D184A"/>
    <w:rsid w:val="004D187E"/>
    <w:rsid w:val="004D1AEE"/>
    <w:rsid w:val="004D1DDC"/>
    <w:rsid w:val="004D2668"/>
    <w:rsid w:val="004D2B8A"/>
    <w:rsid w:val="004D2C87"/>
    <w:rsid w:val="004D2EAD"/>
    <w:rsid w:val="004D3203"/>
    <w:rsid w:val="004D3445"/>
    <w:rsid w:val="004D34B4"/>
    <w:rsid w:val="004D398D"/>
    <w:rsid w:val="004D3DF2"/>
    <w:rsid w:val="004D3E7D"/>
    <w:rsid w:val="004D4283"/>
    <w:rsid w:val="004D42AA"/>
    <w:rsid w:val="004D4E52"/>
    <w:rsid w:val="004D4F92"/>
    <w:rsid w:val="004D5525"/>
    <w:rsid w:val="004D5CCB"/>
    <w:rsid w:val="004D5D1B"/>
    <w:rsid w:val="004D5EA9"/>
    <w:rsid w:val="004D5F79"/>
    <w:rsid w:val="004D6118"/>
    <w:rsid w:val="004D61CD"/>
    <w:rsid w:val="004D6267"/>
    <w:rsid w:val="004D6287"/>
    <w:rsid w:val="004D6E17"/>
    <w:rsid w:val="004D6E2D"/>
    <w:rsid w:val="004D6E81"/>
    <w:rsid w:val="004D77DD"/>
    <w:rsid w:val="004D77F4"/>
    <w:rsid w:val="004D7EE6"/>
    <w:rsid w:val="004E04CC"/>
    <w:rsid w:val="004E064F"/>
    <w:rsid w:val="004E085E"/>
    <w:rsid w:val="004E0E7F"/>
    <w:rsid w:val="004E0FA1"/>
    <w:rsid w:val="004E10FA"/>
    <w:rsid w:val="004E1113"/>
    <w:rsid w:val="004E128E"/>
    <w:rsid w:val="004E1AD4"/>
    <w:rsid w:val="004E1BA7"/>
    <w:rsid w:val="004E1E48"/>
    <w:rsid w:val="004E233A"/>
    <w:rsid w:val="004E2797"/>
    <w:rsid w:val="004E2EBB"/>
    <w:rsid w:val="004E36B9"/>
    <w:rsid w:val="004E3822"/>
    <w:rsid w:val="004E38D2"/>
    <w:rsid w:val="004E3A05"/>
    <w:rsid w:val="004E3A94"/>
    <w:rsid w:val="004E3C24"/>
    <w:rsid w:val="004E3D1D"/>
    <w:rsid w:val="004E40AF"/>
    <w:rsid w:val="004E41CC"/>
    <w:rsid w:val="004E4386"/>
    <w:rsid w:val="004E438E"/>
    <w:rsid w:val="004E462F"/>
    <w:rsid w:val="004E47D9"/>
    <w:rsid w:val="004E48E4"/>
    <w:rsid w:val="004E4952"/>
    <w:rsid w:val="004E49EF"/>
    <w:rsid w:val="004E4DD7"/>
    <w:rsid w:val="004E510F"/>
    <w:rsid w:val="004E5569"/>
    <w:rsid w:val="004E595B"/>
    <w:rsid w:val="004E5C8F"/>
    <w:rsid w:val="004E6227"/>
    <w:rsid w:val="004E62E0"/>
    <w:rsid w:val="004E639B"/>
    <w:rsid w:val="004E69C3"/>
    <w:rsid w:val="004E70FA"/>
    <w:rsid w:val="004E73A2"/>
    <w:rsid w:val="004E748D"/>
    <w:rsid w:val="004E74D5"/>
    <w:rsid w:val="004E75E8"/>
    <w:rsid w:val="004E7A3F"/>
    <w:rsid w:val="004E7E88"/>
    <w:rsid w:val="004E7EB6"/>
    <w:rsid w:val="004F012A"/>
    <w:rsid w:val="004F06BD"/>
    <w:rsid w:val="004F07B7"/>
    <w:rsid w:val="004F0C9D"/>
    <w:rsid w:val="004F0E38"/>
    <w:rsid w:val="004F0E41"/>
    <w:rsid w:val="004F112A"/>
    <w:rsid w:val="004F12A5"/>
    <w:rsid w:val="004F14C4"/>
    <w:rsid w:val="004F15A9"/>
    <w:rsid w:val="004F1868"/>
    <w:rsid w:val="004F1C3B"/>
    <w:rsid w:val="004F2079"/>
    <w:rsid w:val="004F27FB"/>
    <w:rsid w:val="004F2884"/>
    <w:rsid w:val="004F2982"/>
    <w:rsid w:val="004F2E72"/>
    <w:rsid w:val="004F30B2"/>
    <w:rsid w:val="004F315B"/>
    <w:rsid w:val="004F36D2"/>
    <w:rsid w:val="004F3B92"/>
    <w:rsid w:val="004F42BC"/>
    <w:rsid w:val="004F4535"/>
    <w:rsid w:val="004F461A"/>
    <w:rsid w:val="004F4FA6"/>
    <w:rsid w:val="004F50D4"/>
    <w:rsid w:val="004F51B4"/>
    <w:rsid w:val="004F550A"/>
    <w:rsid w:val="004F5940"/>
    <w:rsid w:val="004F598B"/>
    <w:rsid w:val="004F59D1"/>
    <w:rsid w:val="004F659A"/>
    <w:rsid w:val="004F67DA"/>
    <w:rsid w:val="004F68B3"/>
    <w:rsid w:val="004F6B16"/>
    <w:rsid w:val="004F6CDA"/>
    <w:rsid w:val="004F72BA"/>
    <w:rsid w:val="004F739D"/>
    <w:rsid w:val="004F745E"/>
    <w:rsid w:val="004F774C"/>
    <w:rsid w:val="004F7841"/>
    <w:rsid w:val="004F7C9B"/>
    <w:rsid w:val="0050010B"/>
    <w:rsid w:val="00500365"/>
    <w:rsid w:val="0050042D"/>
    <w:rsid w:val="00500B38"/>
    <w:rsid w:val="00500DBD"/>
    <w:rsid w:val="00500FF4"/>
    <w:rsid w:val="00501236"/>
    <w:rsid w:val="005012CE"/>
    <w:rsid w:val="005015B4"/>
    <w:rsid w:val="005019CA"/>
    <w:rsid w:val="00501ADC"/>
    <w:rsid w:val="00501B6E"/>
    <w:rsid w:val="00501C19"/>
    <w:rsid w:val="00501C52"/>
    <w:rsid w:val="00502312"/>
    <w:rsid w:val="00502336"/>
    <w:rsid w:val="00502674"/>
    <w:rsid w:val="00502B21"/>
    <w:rsid w:val="00502C69"/>
    <w:rsid w:val="00502FBB"/>
    <w:rsid w:val="005031F1"/>
    <w:rsid w:val="00503283"/>
    <w:rsid w:val="00503471"/>
    <w:rsid w:val="0050368C"/>
    <w:rsid w:val="00503787"/>
    <w:rsid w:val="00503B50"/>
    <w:rsid w:val="00503C2E"/>
    <w:rsid w:val="00503C67"/>
    <w:rsid w:val="00503DFE"/>
    <w:rsid w:val="00503E3E"/>
    <w:rsid w:val="005040BC"/>
    <w:rsid w:val="0050432D"/>
    <w:rsid w:val="00504684"/>
    <w:rsid w:val="0050477C"/>
    <w:rsid w:val="005048A3"/>
    <w:rsid w:val="00504EAA"/>
    <w:rsid w:val="005050BC"/>
    <w:rsid w:val="00505344"/>
    <w:rsid w:val="005054FD"/>
    <w:rsid w:val="00505616"/>
    <w:rsid w:val="005056B5"/>
    <w:rsid w:val="00505B7F"/>
    <w:rsid w:val="00505BA6"/>
    <w:rsid w:val="00505E9D"/>
    <w:rsid w:val="0050604B"/>
    <w:rsid w:val="00506329"/>
    <w:rsid w:val="005063DB"/>
    <w:rsid w:val="00506BFC"/>
    <w:rsid w:val="00506C36"/>
    <w:rsid w:val="00506CC9"/>
    <w:rsid w:val="00506DC2"/>
    <w:rsid w:val="00506E50"/>
    <w:rsid w:val="00506FA7"/>
    <w:rsid w:val="005072C1"/>
    <w:rsid w:val="005072E5"/>
    <w:rsid w:val="005072FD"/>
    <w:rsid w:val="005079DD"/>
    <w:rsid w:val="00507E3E"/>
    <w:rsid w:val="00510271"/>
    <w:rsid w:val="005106FD"/>
    <w:rsid w:val="005108B1"/>
    <w:rsid w:val="00510D5D"/>
    <w:rsid w:val="00510D81"/>
    <w:rsid w:val="00510E55"/>
    <w:rsid w:val="00510FF7"/>
    <w:rsid w:val="00511173"/>
    <w:rsid w:val="00511C5D"/>
    <w:rsid w:val="00511CDF"/>
    <w:rsid w:val="00511E4C"/>
    <w:rsid w:val="00511EEC"/>
    <w:rsid w:val="00511F32"/>
    <w:rsid w:val="00512018"/>
    <w:rsid w:val="005125F2"/>
    <w:rsid w:val="00512959"/>
    <w:rsid w:val="00512B43"/>
    <w:rsid w:val="00512C4F"/>
    <w:rsid w:val="00512C79"/>
    <w:rsid w:val="00512CE8"/>
    <w:rsid w:val="005133E6"/>
    <w:rsid w:val="0051357E"/>
    <w:rsid w:val="005135AA"/>
    <w:rsid w:val="00513995"/>
    <w:rsid w:val="00513ACE"/>
    <w:rsid w:val="0051411D"/>
    <w:rsid w:val="005142D0"/>
    <w:rsid w:val="00514AD5"/>
    <w:rsid w:val="00514B95"/>
    <w:rsid w:val="00514B9A"/>
    <w:rsid w:val="00514E7F"/>
    <w:rsid w:val="00514EDF"/>
    <w:rsid w:val="00514F42"/>
    <w:rsid w:val="0051528C"/>
    <w:rsid w:val="0051568B"/>
    <w:rsid w:val="00515C8F"/>
    <w:rsid w:val="005162A8"/>
    <w:rsid w:val="005165E3"/>
    <w:rsid w:val="0051665E"/>
    <w:rsid w:val="0051684C"/>
    <w:rsid w:val="00516D0A"/>
    <w:rsid w:val="0051717B"/>
    <w:rsid w:val="00517A58"/>
    <w:rsid w:val="00517E66"/>
    <w:rsid w:val="00517EF9"/>
    <w:rsid w:val="00517F18"/>
    <w:rsid w:val="0052000F"/>
    <w:rsid w:val="005205ED"/>
    <w:rsid w:val="00520638"/>
    <w:rsid w:val="005207FF"/>
    <w:rsid w:val="00520D6E"/>
    <w:rsid w:val="00521157"/>
    <w:rsid w:val="0052186B"/>
    <w:rsid w:val="00521E1F"/>
    <w:rsid w:val="0052205D"/>
    <w:rsid w:val="00522834"/>
    <w:rsid w:val="005228F0"/>
    <w:rsid w:val="00522ED8"/>
    <w:rsid w:val="005233AE"/>
    <w:rsid w:val="00523475"/>
    <w:rsid w:val="005234B1"/>
    <w:rsid w:val="00523CA3"/>
    <w:rsid w:val="00523DC8"/>
    <w:rsid w:val="00524073"/>
    <w:rsid w:val="00524346"/>
    <w:rsid w:val="00524AB9"/>
    <w:rsid w:val="00524EC7"/>
    <w:rsid w:val="00524F7B"/>
    <w:rsid w:val="00524FB4"/>
    <w:rsid w:val="00525274"/>
    <w:rsid w:val="005253BC"/>
    <w:rsid w:val="00525560"/>
    <w:rsid w:val="005259DA"/>
    <w:rsid w:val="00525C34"/>
    <w:rsid w:val="00525C8C"/>
    <w:rsid w:val="00525E5E"/>
    <w:rsid w:val="00526511"/>
    <w:rsid w:val="00526735"/>
    <w:rsid w:val="005267E9"/>
    <w:rsid w:val="005267F1"/>
    <w:rsid w:val="00526A38"/>
    <w:rsid w:val="00526BEF"/>
    <w:rsid w:val="00526C6F"/>
    <w:rsid w:val="005278A6"/>
    <w:rsid w:val="00527B19"/>
    <w:rsid w:val="00527E09"/>
    <w:rsid w:val="00530048"/>
    <w:rsid w:val="00530C00"/>
    <w:rsid w:val="00530EE5"/>
    <w:rsid w:val="0053145F"/>
    <w:rsid w:val="005314B5"/>
    <w:rsid w:val="00531A0D"/>
    <w:rsid w:val="00531F92"/>
    <w:rsid w:val="005320EA"/>
    <w:rsid w:val="0053219D"/>
    <w:rsid w:val="005321BE"/>
    <w:rsid w:val="00532FD8"/>
    <w:rsid w:val="0053319A"/>
    <w:rsid w:val="00533B8C"/>
    <w:rsid w:val="00533C37"/>
    <w:rsid w:val="00533D40"/>
    <w:rsid w:val="00533E98"/>
    <w:rsid w:val="00534080"/>
    <w:rsid w:val="0053410A"/>
    <w:rsid w:val="00534134"/>
    <w:rsid w:val="00534223"/>
    <w:rsid w:val="005343B0"/>
    <w:rsid w:val="00534DBE"/>
    <w:rsid w:val="00535011"/>
    <w:rsid w:val="00535569"/>
    <w:rsid w:val="005355A6"/>
    <w:rsid w:val="00535993"/>
    <w:rsid w:val="00535AFA"/>
    <w:rsid w:val="005361E2"/>
    <w:rsid w:val="00536594"/>
    <w:rsid w:val="00536736"/>
    <w:rsid w:val="00536B27"/>
    <w:rsid w:val="00536B89"/>
    <w:rsid w:val="00536D72"/>
    <w:rsid w:val="0053726E"/>
    <w:rsid w:val="005372FB"/>
    <w:rsid w:val="00537502"/>
    <w:rsid w:val="00537CC7"/>
    <w:rsid w:val="005402A1"/>
    <w:rsid w:val="005402F8"/>
    <w:rsid w:val="005405BC"/>
    <w:rsid w:val="0054078B"/>
    <w:rsid w:val="00540960"/>
    <w:rsid w:val="00541040"/>
    <w:rsid w:val="00541130"/>
    <w:rsid w:val="005413A3"/>
    <w:rsid w:val="00541B1D"/>
    <w:rsid w:val="00541E1E"/>
    <w:rsid w:val="00541F0B"/>
    <w:rsid w:val="00541F54"/>
    <w:rsid w:val="00541F74"/>
    <w:rsid w:val="00541F80"/>
    <w:rsid w:val="00542027"/>
    <w:rsid w:val="00542076"/>
    <w:rsid w:val="00542205"/>
    <w:rsid w:val="005425F2"/>
    <w:rsid w:val="00542612"/>
    <w:rsid w:val="00542781"/>
    <w:rsid w:val="00542A98"/>
    <w:rsid w:val="00542FF2"/>
    <w:rsid w:val="00543876"/>
    <w:rsid w:val="00544316"/>
    <w:rsid w:val="00544662"/>
    <w:rsid w:val="00544806"/>
    <w:rsid w:val="00544AD6"/>
    <w:rsid w:val="00544BC4"/>
    <w:rsid w:val="00544BF9"/>
    <w:rsid w:val="00544C7E"/>
    <w:rsid w:val="00544FB6"/>
    <w:rsid w:val="00545007"/>
    <w:rsid w:val="005458A6"/>
    <w:rsid w:val="00545CC5"/>
    <w:rsid w:val="0054608A"/>
    <w:rsid w:val="00546245"/>
    <w:rsid w:val="0054669E"/>
    <w:rsid w:val="00546D53"/>
    <w:rsid w:val="00546E66"/>
    <w:rsid w:val="00547195"/>
    <w:rsid w:val="005471F1"/>
    <w:rsid w:val="005471F7"/>
    <w:rsid w:val="00547540"/>
    <w:rsid w:val="005479AC"/>
    <w:rsid w:val="00547BCD"/>
    <w:rsid w:val="00547D2F"/>
    <w:rsid w:val="00547D4C"/>
    <w:rsid w:val="00547E3B"/>
    <w:rsid w:val="00550363"/>
    <w:rsid w:val="00550B8E"/>
    <w:rsid w:val="00550C31"/>
    <w:rsid w:val="00550DCC"/>
    <w:rsid w:val="00551032"/>
    <w:rsid w:val="0055119C"/>
    <w:rsid w:val="0055129B"/>
    <w:rsid w:val="0055146D"/>
    <w:rsid w:val="00551636"/>
    <w:rsid w:val="005518AD"/>
    <w:rsid w:val="00551A8F"/>
    <w:rsid w:val="00551C86"/>
    <w:rsid w:val="00551DD5"/>
    <w:rsid w:val="00552087"/>
    <w:rsid w:val="0055212A"/>
    <w:rsid w:val="00552165"/>
    <w:rsid w:val="00552862"/>
    <w:rsid w:val="005532BC"/>
    <w:rsid w:val="00553486"/>
    <w:rsid w:val="0055361F"/>
    <w:rsid w:val="0055393B"/>
    <w:rsid w:val="00553951"/>
    <w:rsid w:val="00553D45"/>
    <w:rsid w:val="00553E37"/>
    <w:rsid w:val="00554041"/>
    <w:rsid w:val="005541E2"/>
    <w:rsid w:val="005544E9"/>
    <w:rsid w:val="005545CE"/>
    <w:rsid w:val="0055464B"/>
    <w:rsid w:val="00554AC3"/>
    <w:rsid w:val="00554C06"/>
    <w:rsid w:val="00554C20"/>
    <w:rsid w:val="00555124"/>
    <w:rsid w:val="00555735"/>
    <w:rsid w:val="00555A84"/>
    <w:rsid w:val="00555F86"/>
    <w:rsid w:val="0055611E"/>
    <w:rsid w:val="00556484"/>
    <w:rsid w:val="005565C4"/>
    <w:rsid w:val="00556EC3"/>
    <w:rsid w:val="005573C8"/>
    <w:rsid w:val="00557460"/>
    <w:rsid w:val="00557541"/>
    <w:rsid w:val="00557822"/>
    <w:rsid w:val="005601EA"/>
    <w:rsid w:val="005602F4"/>
    <w:rsid w:val="0056044F"/>
    <w:rsid w:val="00560823"/>
    <w:rsid w:val="00560B3A"/>
    <w:rsid w:val="00560FE3"/>
    <w:rsid w:val="005617AB"/>
    <w:rsid w:val="005617E7"/>
    <w:rsid w:val="005619E2"/>
    <w:rsid w:val="00561AB8"/>
    <w:rsid w:val="00561E76"/>
    <w:rsid w:val="00561E97"/>
    <w:rsid w:val="00562488"/>
    <w:rsid w:val="0056250E"/>
    <w:rsid w:val="00562569"/>
    <w:rsid w:val="0056261E"/>
    <w:rsid w:val="00562779"/>
    <w:rsid w:val="005628AE"/>
    <w:rsid w:val="00563001"/>
    <w:rsid w:val="0056331B"/>
    <w:rsid w:val="0056342C"/>
    <w:rsid w:val="005634D2"/>
    <w:rsid w:val="00563592"/>
    <w:rsid w:val="00564052"/>
    <w:rsid w:val="0056413C"/>
    <w:rsid w:val="00564142"/>
    <w:rsid w:val="00564418"/>
    <w:rsid w:val="00564654"/>
    <w:rsid w:val="00564F0C"/>
    <w:rsid w:val="00564F5C"/>
    <w:rsid w:val="00565271"/>
    <w:rsid w:val="005653C2"/>
    <w:rsid w:val="005653CD"/>
    <w:rsid w:val="0056542F"/>
    <w:rsid w:val="005655BA"/>
    <w:rsid w:val="00565696"/>
    <w:rsid w:val="005658EA"/>
    <w:rsid w:val="00565C7A"/>
    <w:rsid w:val="00565CE8"/>
    <w:rsid w:val="00566417"/>
    <w:rsid w:val="00566730"/>
    <w:rsid w:val="00566C58"/>
    <w:rsid w:val="00566C9F"/>
    <w:rsid w:val="00566D45"/>
    <w:rsid w:val="00566FA4"/>
    <w:rsid w:val="00566FDA"/>
    <w:rsid w:val="00566FF3"/>
    <w:rsid w:val="005673CA"/>
    <w:rsid w:val="00567F0F"/>
    <w:rsid w:val="005701C1"/>
    <w:rsid w:val="00570332"/>
    <w:rsid w:val="00570680"/>
    <w:rsid w:val="005713E7"/>
    <w:rsid w:val="005716CA"/>
    <w:rsid w:val="005717CB"/>
    <w:rsid w:val="0057194F"/>
    <w:rsid w:val="00571991"/>
    <w:rsid w:val="00571F6F"/>
    <w:rsid w:val="00571F8A"/>
    <w:rsid w:val="005723D2"/>
    <w:rsid w:val="005724D2"/>
    <w:rsid w:val="005726D3"/>
    <w:rsid w:val="005727D0"/>
    <w:rsid w:val="0057280A"/>
    <w:rsid w:val="005728E9"/>
    <w:rsid w:val="00572A15"/>
    <w:rsid w:val="00572B3A"/>
    <w:rsid w:val="00572DAA"/>
    <w:rsid w:val="00572FBE"/>
    <w:rsid w:val="005731EF"/>
    <w:rsid w:val="00573404"/>
    <w:rsid w:val="005735E1"/>
    <w:rsid w:val="005737F7"/>
    <w:rsid w:val="005738E9"/>
    <w:rsid w:val="00573C74"/>
    <w:rsid w:val="00573EE1"/>
    <w:rsid w:val="00573F93"/>
    <w:rsid w:val="00574297"/>
    <w:rsid w:val="0057443E"/>
    <w:rsid w:val="00574997"/>
    <w:rsid w:val="00574A13"/>
    <w:rsid w:val="00574FA3"/>
    <w:rsid w:val="00574FEF"/>
    <w:rsid w:val="005750A4"/>
    <w:rsid w:val="005753CF"/>
    <w:rsid w:val="0057545D"/>
    <w:rsid w:val="00575670"/>
    <w:rsid w:val="00575845"/>
    <w:rsid w:val="0057587A"/>
    <w:rsid w:val="00575BDC"/>
    <w:rsid w:val="00575F71"/>
    <w:rsid w:val="00576096"/>
    <w:rsid w:val="00576152"/>
    <w:rsid w:val="005764EE"/>
    <w:rsid w:val="005764F1"/>
    <w:rsid w:val="00576508"/>
    <w:rsid w:val="005766E7"/>
    <w:rsid w:val="005769BB"/>
    <w:rsid w:val="00576C85"/>
    <w:rsid w:val="00576D0A"/>
    <w:rsid w:val="00577424"/>
    <w:rsid w:val="00577715"/>
    <w:rsid w:val="0057777B"/>
    <w:rsid w:val="005778F5"/>
    <w:rsid w:val="005779B3"/>
    <w:rsid w:val="00577A23"/>
    <w:rsid w:val="0058005A"/>
    <w:rsid w:val="00580451"/>
    <w:rsid w:val="005805C1"/>
    <w:rsid w:val="0058088C"/>
    <w:rsid w:val="005808BF"/>
    <w:rsid w:val="005808C8"/>
    <w:rsid w:val="0058099D"/>
    <w:rsid w:val="00580BE3"/>
    <w:rsid w:val="00580C3D"/>
    <w:rsid w:val="005812F1"/>
    <w:rsid w:val="00581E3B"/>
    <w:rsid w:val="0058215C"/>
    <w:rsid w:val="005825F2"/>
    <w:rsid w:val="00582730"/>
    <w:rsid w:val="005828FA"/>
    <w:rsid w:val="00582A7B"/>
    <w:rsid w:val="00582E10"/>
    <w:rsid w:val="00582F22"/>
    <w:rsid w:val="00582FCC"/>
    <w:rsid w:val="00583830"/>
    <w:rsid w:val="00583940"/>
    <w:rsid w:val="00583AC3"/>
    <w:rsid w:val="00583D06"/>
    <w:rsid w:val="005843B3"/>
    <w:rsid w:val="005844E1"/>
    <w:rsid w:val="0058462D"/>
    <w:rsid w:val="0058469B"/>
    <w:rsid w:val="00584915"/>
    <w:rsid w:val="00584C9F"/>
    <w:rsid w:val="00584D68"/>
    <w:rsid w:val="00584DB8"/>
    <w:rsid w:val="00584F12"/>
    <w:rsid w:val="00584F4C"/>
    <w:rsid w:val="005850DA"/>
    <w:rsid w:val="005854E9"/>
    <w:rsid w:val="005856AA"/>
    <w:rsid w:val="005856C7"/>
    <w:rsid w:val="005857EC"/>
    <w:rsid w:val="0058597F"/>
    <w:rsid w:val="00585B93"/>
    <w:rsid w:val="00585BDF"/>
    <w:rsid w:val="0058628F"/>
    <w:rsid w:val="00586983"/>
    <w:rsid w:val="00586D89"/>
    <w:rsid w:val="00586E09"/>
    <w:rsid w:val="00586E90"/>
    <w:rsid w:val="00586FCA"/>
    <w:rsid w:val="00587008"/>
    <w:rsid w:val="005870B4"/>
    <w:rsid w:val="005872C3"/>
    <w:rsid w:val="00587300"/>
    <w:rsid w:val="005877EB"/>
    <w:rsid w:val="00587953"/>
    <w:rsid w:val="00587C1B"/>
    <w:rsid w:val="00587CAF"/>
    <w:rsid w:val="00590208"/>
    <w:rsid w:val="005904E0"/>
    <w:rsid w:val="00590BD2"/>
    <w:rsid w:val="00590C9D"/>
    <w:rsid w:val="00590E10"/>
    <w:rsid w:val="005911AC"/>
    <w:rsid w:val="0059128F"/>
    <w:rsid w:val="005916AE"/>
    <w:rsid w:val="0059171F"/>
    <w:rsid w:val="0059174D"/>
    <w:rsid w:val="0059189A"/>
    <w:rsid w:val="005919FC"/>
    <w:rsid w:val="00591B94"/>
    <w:rsid w:val="00591B9F"/>
    <w:rsid w:val="00591DD0"/>
    <w:rsid w:val="00591EED"/>
    <w:rsid w:val="00591EF4"/>
    <w:rsid w:val="005928E2"/>
    <w:rsid w:val="00593CE4"/>
    <w:rsid w:val="00593EAE"/>
    <w:rsid w:val="00593F1E"/>
    <w:rsid w:val="005940D6"/>
    <w:rsid w:val="0059442F"/>
    <w:rsid w:val="0059467B"/>
    <w:rsid w:val="0059499B"/>
    <w:rsid w:val="00594D26"/>
    <w:rsid w:val="00594D2A"/>
    <w:rsid w:val="00594DA0"/>
    <w:rsid w:val="00594F4C"/>
    <w:rsid w:val="005951B9"/>
    <w:rsid w:val="00595413"/>
    <w:rsid w:val="0059553C"/>
    <w:rsid w:val="00595E61"/>
    <w:rsid w:val="00596791"/>
    <w:rsid w:val="00596FC8"/>
    <w:rsid w:val="0059735D"/>
    <w:rsid w:val="00597393"/>
    <w:rsid w:val="005975DE"/>
    <w:rsid w:val="00597632"/>
    <w:rsid w:val="005977FA"/>
    <w:rsid w:val="005978C9"/>
    <w:rsid w:val="00597E8C"/>
    <w:rsid w:val="005A0720"/>
    <w:rsid w:val="005A0964"/>
    <w:rsid w:val="005A0A1E"/>
    <w:rsid w:val="005A0CCF"/>
    <w:rsid w:val="005A0ED5"/>
    <w:rsid w:val="005A117B"/>
    <w:rsid w:val="005A14E5"/>
    <w:rsid w:val="005A15EC"/>
    <w:rsid w:val="005A16AB"/>
    <w:rsid w:val="005A179D"/>
    <w:rsid w:val="005A190C"/>
    <w:rsid w:val="005A1A2F"/>
    <w:rsid w:val="005A1B82"/>
    <w:rsid w:val="005A1D31"/>
    <w:rsid w:val="005A1F4A"/>
    <w:rsid w:val="005A1FC0"/>
    <w:rsid w:val="005A2453"/>
    <w:rsid w:val="005A28F8"/>
    <w:rsid w:val="005A2B57"/>
    <w:rsid w:val="005A2F2D"/>
    <w:rsid w:val="005A2FF2"/>
    <w:rsid w:val="005A36C3"/>
    <w:rsid w:val="005A3A62"/>
    <w:rsid w:val="005A43D9"/>
    <w:rsid w:val="005A458F"/>
    <w:rsid w:val="005A4627"/>
    <w:rsid w:val="005A4E40"/>
    <w:rsid w:val="005A5037"/>
    <w:rsid w:val="005A5588"/>
    <w:rsid w:val="005A5ACA"/>
    <w:rsid w:val="005A5E98"/>
    <w:rsid w:val="005A6087"/>
    <w:rsid w:val="005A618A"/>
    <w:rsid w:val="005A661D"/>
    <w:rsid w:val="005A676A"/>
    <w:rsid w:val="005A6DC8"/>
    <w:rsid w:val="005A6FCC"/>
    <w:rsid w:val="005A7017"/>
    <w:rsid w:val="005A7150"/>
    <w:rsid w:val="005A74A5"/>
    <w:rsid w:val="005A784E"/>
    <w:rsid w:val="005A7957"/>
    <w:rsid w:val="005A7AC7"/>
    <w:rsid w:val="005A7DB8"/>
    <w:rsid w:val="005B042A"/>
    <w:rsid w:val="005B0481"/>
    <w:rsid w:val="005B0AEF"/>
    <w:rsid w:val="005B0DE7"/>
    <w:rsid w:val="005B12BD"/>
    <w:rsid w:val="005B12F5"/>
    <w:rsid w:val="005B1306"/>
    <w:rsid w:val="005B1646"/>
    <w:rsid w:val="005B1D9A"/>
    <w:rsid w:val="005B1E82"/>
    <w:rsid w:val="005B22CA"/>
    <w:rsid w:val="005B23F3"/>
    <w:rsid w:val="005B2533"/>
    <w:rsid w:val="005B2739"/>
    <w:rsid w:val="005B2810"/>
    <w:rsid w:val="005B287F"/>
    <w:rsid w:val="005B2D69"/>
    <w:rsid w:val="005B2E5B"/>
    <w:rsid w:val="005B3550"/>
    <w:rsid w:val="005B381B"/>
    <w:rsid w:val="005B3A18"/>
    <w:rsid w:val="005B3C1D"/>
    <w:rsid w:val="005B3CFA"/>
    <w:rsid w:val="005B3F65"/>
    <w:rsid w:val="005B4235"/>
    <w:rsid w:val="005B4262"/>
    <w:rsid w:val="005B4331"/>
    <w:rsid w:val="005B4413"/>
    <w:rsid w:val="005B4C18"/>
    <w:rsid w:val="005B4F01"/>
    <w:rsid w:val="005B4FD6"/>
    <w:rsid w:val="005B5119"/>
    <w:rsid w:val="005B531F"/>
    <w:rsid w:val="005B5778"/>
    <w:rsid w:val="005B616F"/>
    <w:rsid w:val="005B6905"/>
    <w:rsid w:val="005B6B8A"/>
    <w:rsid w:val="005B6DAF"/>
    <w:rsid w:val="005B7495"/>
    <w:rsid w:val="005B770D"/>
    <w:rsid w:val="005B778B"/>
    <w:rsid w:val="005B7886"/>
    <w:rsid w:val="005B7B33"/>
    <w:rsid w:val="005B7BA7"/>
    <w:rsid w:val="005B7BD1"/>
    <w:rsid w:val="005C02D8"/>
    <w:rsid w:val="005C108B"/>
    <w:rsid w:val="005C126E"/>
    <w:rsid w:val="005C12FF"/>
    <w:rsid w:val="005C18A8"/>
    <w:rsid w:val="005C1992"/>
    <w:rsid w:val="005C19D3"/>
    <w:rsid w:val="005C1BE4"/>
    <w:rsid w:val="005C2369"/>
    <w:rsid w:val="005C2375"/>
    <w:rsid w:val="005C2458"/>
    <w:rsid w:val="005C2A3A"/>
    <w:rsid w:val="005C2DDF"/>
    <w:rsid w:val="005C3175"/>
    <w:rsid w:val="005C3349"/>
    <w:rsid w:val="005C3BF3"/>
    <w:rsid w:val="005C42A5"/>
    <w:rsid w:val="005C42AC"/>
    <w:rsid w:val="005C47A1"/>
    <w:rsid w:val="005C491A"/>
    <w:rsid w:val="005C4F94"/>
    <w:rsid w:val="005C4FC2"/>
    <w:rsid w:val="005C5530"/>
    <w:rsid w:val="005C55BC"/>
    <w:rsid w:val="005C55F7"/>
    <w:rsid w:val="005C5647"/>
    <w:rsid w:val="005C5AFC"/>
    <w:rsid w:val="005C60A3"/>
    <w:rsid w:val="005C6164"/>
    <w:rsid w:val="005C6265"/>
    <w:rsid w:val="005C66A2"/>
    <w:rsid w:val="005C698C"/>
    <w:rsid w:val="005C70F1"/>
    <w:rsid w:val="005C72BB"/>
    <w:rsid w:val="005C75E7"/>
    <w:rsid w:val="005C7846"/>
    <w:rsid w:val="005C7B74"/>
    <w:rsid w:val="005C7C46"/>
    <w:rsid w:val="005C7E2C"/>
    <w:rsid w:val="005D0024"/>
    <w:rsid w:val="005D0078"/>
    <w:rsid w:val="005D02F3"/>
    <w:rsid w:val="005D04F9"/>
    <w:rsid w:val="005D077A"/>
    <w:rsid w:val="005D0D3D"/>
    <w:rsid w:val="005D0DEF"/>
    <w:rsid w:val="005D0E44"/>
    <w:rsid w:val="005D136A"/>
    <w:rsid w:val="005D1409"/>
    <w:rsid w:val="005D15DB"/>
    <w:rsid w:val="005D15E9"/>
    <w:rsid w:val="005D1A5D"/>
    <w:rsid w:val="005D2470"/>
    <w:rsid w:val="005D2496"/>
    <w:rsid w:val="005D2CA4"/>
    <w:rsid w:val="005D3399"/>
    <w:rsid w:val="005D3483"/>
    <w:rsid w:val="005D3589"/>
    <w:rsid w:val="005D38E5"/>
    <w:rsid w:val="005D3A84"/>
    <w:rsid w:val="005D3D80"/>
    <w:rsid w:val="005D4122"/>
    <w:rsid w:val="005D412E"/>
    <w:rsid w:val="005D4735"/>
    <w:rsid w:val="005D485E"/>
    <w:rsid w:val="005D4B33"/>
    <w:rsid w:val="005D4E29"/>
    <w:rsid w:val="005D5536"/>
    <w:rsid w:val="005D5691"/>
    <w:rsid w:val="005D5849"/>
    <w:rsid w:val="005D586A"/>
    <w:rsid w:val="005D5883"/>
    <w:rsid w:val="005D5991"/>
    <w:rsid w:val="005D59A9"/>
    <w:rsid w:val="005D5A74"/>
    <w:rsid w:val="005D5B71"/>
    <w:rsid w:val="005D5CB0"/>
    <w:rsid w:val="005D5DCE"/>
    <w:rsid w:val="005D5E76"/>
    <w:rsid w:val="005D5E99"/>
    <w:rsid w:val="005D6227"/>
    <w:rsid w:val="005D6238"/>
    <w:rsid w:val="005D6517"/>
    <w:rsid w:val="005D671D"/>
    <w:rsid w:val="005D694E"/>
    <w:rsid w:val="005D6B9A"/>
    <w:rsid w:val="005D6F30"/>
    <w:rsid w:val="005D701B"/>
    <w:rsid w:val="005D732B"/>
    <w:rsid w:val="005D763E"/>
    <w:rsid w:val="005D7E0B"/>
    <w:rsid w:val="005D7E5A"/>
    <w:rsid w:val="005E01ED"/>
    <w:rsid w:val="005E035A"/>
    <w:rsid w:val="005E040E"/>
    <w:rsid w:val="005E0AB8"/>
    <w:rsid w:val="005E11BD"/>
    <w:rsid w:val="005E127E"/>
    <w:rsid w:val="005E16C4"/>
    <w:rsid w:val="005E1790"/>
    <w:rsid w:val="005E1A43"/>
    <w:rsid w:val="005E1BF6"/>
    <w:rsid w:val="005E1D0D"/>
    <w:rsid w:val="005E1D35"/>
    <w:rsid w:val="005E1FB3"/>
    <w:rsid w:val="005E1FC2"/>
    <w:rsid w:val="005E230B"/>
    <w:rsid w:val="005E2599"/>
    <w:rsid w:val="005E266F"/>
    <w:rsid w:val="005E28C4"/>
    <w:rsid w:val="005E2A59"/>
    <w:rsid w:val="005E2E62"/>
    <w:rsid w:val="005E2FB9"/>
    <w:rsid w:val="005E3701"/>
    <w:rsid w:val="005E38A3"/>
    <w:rsid w:val="005E3F21"/>
    <w:rsid w:val="005E417B"/>
    <w:rsid w:val="005E44F6"/>
    <w:rsid w:val="005E4704"/>
    <w:rsid w:val="005E4BA3"/>
    <w:rsid w:val="005E4EDA"/>
    <w:rsid w:val="005E4FBE"/>
    <w:rsid w:val="005E56A2"/>
    <w:rsid w:val="005E5ACC"/>
    <w:rsid w:val="005E5E57"/>
    <w:rsid w:val="005E6067"/>
    <w:rsid w:val="005E7257"/>
    <w:rsid w:val="005E7576"/>
    <w:rsid w:val="005E75A3"/>
    <w:rsid w:val="005E766B"/>
    <w:rsid w:val="005E76A2"/>
    <w:rsid w:val="005E772B"/>
    <w:rsid w:val="005E794D"/>
    <w:rsid w:val="005E7A63"/>
    <w:rsid w:val="005E7F8B"/>
    <w:rsid w:val="005F00A1"/>
    <w:rsid w:val="005F023F"/>
    <w:rsid w:val="005F045F"/>
    <w:rsid w:val="005F06D5"/>
    <w:rsid w:val="005F09EE"/>
    <w:rsid w:val="005F0C17"/>
    <w:rsid w:val="005F1031"/>
    <w:rsid w:val="005F107A"/>
    <w:rsid w:val="005F119C"/>
    <w:rsid w:val="005F1758"/>
    <w:rsid w:val="005F19A9"/>
    <w:rsid w:val="005F1AF0"/>
    <w:rsid w:val="005F1EF7"/>
    <w:rsid w:val="005F1F49"/>
    <w:rsid w:val="005F20D5"/>
    <w:rsid w:val="005F2349"/>
    <w:rsid w:val="005F246A"/>
    <w:rsid w:val="005F24DC"/>
    <w:rsid w:val="005F25B3"/>
    <w:rsid w:val="005F2650"/>
    <w:rsid w:val="005F2ACA"/>
    <w:rsid w:val="005F2C72"/>
    <w:rsid w:val="005F2CB9"/>
    <w:rsid w:val="005F2E74"/>
    <w:rsid w:val="005F30B9"/>
    <w:rsid w:val="005F3472"/>
    <w:rsid w:val="005F3E9B"/>
    <w:rsid w:val="005F4252"/>
    <w:rsid w:val="005F46C6"/>
    <w:rsid w:val="005F485F"/>
    <w:rsid w:val="005F4AE9"/>
    <w:rsid w:val="005F4B0C"/>
    <w:rsid w:val="005F4D0C"/>
    <w:rsid w:val="005F52D8"/>
    <w:rsid w:val="005F5AFB"/>
    <w:rsid w:val="005F5F9D"/>
    <w:rsid w:val="005F65E0"/>
    <w:rsid w:val="005F6726"/>
    <w:rsid w:val="005F6A9E"/>
    <w:rsid w:val="005F727D"/>
    <w:rsid w:val="005F7313"/>
    <w:rsid w:val="005F7325"/>
    <w:rsid w:val="005F75D6"/>
    <w:rsid w:val="005F781C"/>
    <w:rsid w:val="005F7BAD"/>
    <w:rsid w:val="00600006"/>
    <w:rsid w:val="0060003F"/>
    <w:rsid w:val="00600097"/>
    <w:rsid w:val="006001A7"/>
    <w:rsid w:val="0060024A"/>
    <w:rsid w:val="006003D8"/>
    <w:rsid w:val="006008AC"/>
    <w:rsid w:val="00600EB7"/>
    <w:rsid w:val="00600FE8"/>
    <w:rsid w:val="006010BD"/>
    <w:rsid w:val="0060184D"/>
    <w:rsid w:val="006019A3"/>
    <w:rsid w:val="006019F9"/>
    <w:rsid w:val="00601EDC"/>
    <w:rsid w:val="006020C6"/>
    <w:rsid w:val="00602ED5"/>
    <w:rsid w:val="0060319E"/>
    <w:rsid w:val="006031BF"/>
    <w:rsid w:val="006031E3"/>
    <w:rsid w:val="006037A6"/>
    <w:rsid w:val="006038F8"/>
    <w:rsid w:val="00603AC5"/>
    <w:rsid w:val="00603AF9"/>
    <w:rsid w:val="006042F5"/>
    <w:rsid w:val="006043E9"/>
    <w:rsid w:val="00604865"/>
    <w:rsid w:val="00604873"/>
    <w:rsid w:val="00604F92"/>
    <w:rsid w:val="0060509B"/>
    <w:rsid w:val="006052FF"/>
    <w:rsid w:val="00605336"/>
    <w:rsid w:val="00605916"/>
    <w:rsid w:val="00605A06"/>
    <w:rsid w:val="00605AB8"/>
    <w:rsid w:val="00605AD6"/>
    <w:rsid w:val="00605C2C"/>
    <w:rsid w:val="00605F7B"/>
    <w:rsid w:val="0060615B"/>
    <w:rsid w:val="0060624F"/>
    <w:rsid w:val="00606485"/>
    <w:rsid w:val="006064E2"/>
    <w:rsid w:val="006067E6"/>
    <w:rsid w:val="00606D29"/>
    <w:rsid w:val="00607052"/>
    <w:rsid w:val="0060716C"/>
    <w:rsid w:val="006073AB"/>
    <w:rsid w:val="00607CF5"/>
    <w:rsid w:val="00607E6C"/>
    <w:rsid w:val="00610047"/>
    <w:rsid w:val="00610227"/>
    <w:rsid w:val="00610461"/>
    <w:rsid w:val="00610663"/>
    <w:rsid w:val="0061095E"/>
    <w:rsid w:val="00610987"/>
    <w:rsid w:val="00610A68"/>
    <w:rsid w:val="00610C26"/>
    <w:rsid w:val="00610E8F"/>
    <w:rsid w:val="00610EB2"/>
    <w:rsid w:val="00611102"/>
    <w:rsid w:val="00611152"/>
    <w:rsid w:val="00611327"/>
    <w:rsid w:val="0061170E"/>
    <w:rsid w:val="00611A06"/>
    <w:rsid w:val="0061206B"/>
    <w:rsid w:val="0061225A"/>
    <w:rsid w:val="0061232B"/>
    <w:rsid w:val="006125E0"/>
    <w:rsid w:val="00612621"/>
    <w:rsid w:val="00612759"/>
    <w:rsid w:val="00612E8F"/>
    <w:rsid w:val="00612F00"/>
    <w:rsid w:val="00612F2B"/>
    <w:rsid w:val="00612F5E"/>
    <w:rsid w:val="00613215"/>
    <w:rsid w:val="0061343D"/>
    <w:rsid w:val="0061343F"/>
    <w:rsid w:val="00613A52"/>
    <w:rsid w:val="00613EE7"/>
    <w:rsid w:val="00613F6C"/>
    <w:rsid w:val="00614360"/>
    <w:rsid w:val="00614657"/>
    <w:rsid w:val="00614AE9"/>
    <w:rsid w:val="00614CDD"/>
    <w:rsid w:val="00614E90"/>
    <w:rsid w:val="00614F19"/>
    <w:rsid w:val="00614FED"/>
    <w:rsid w:val="00615321"/>
    <w:rsid w:val="00615454"/>
    <w:rsid w:val="006154C8"/>
    <w:rsid w:val="00615541"/>
    <w:rsid w:val="006157E1"/>
    <w:rsid w:val="00615C3D"/>
    <w:rsid w:val="006161F1"/>
    <w:rsid w:val="006164EE"/>
    <w:rsid w:val="00616AD6"/>
    <w:rsid w:val="00616E31"/>
    <w:rsid w:val="0061724D"/>
    <w:rsid w:val="00617677"/>
    <w:rsid w:val="00617880"/>
    <w:rsid w:val="00617C77"/>
    <w:rsid w:val="00617C99"/>
    <w:rsid w:val="00617E58"/>
    <w:rsid w:val="00617FB5"/>
    <w:rsid w:val="0062008A"/>
    <w:rsid w:val="00621189"/>
    <w:rsid w:val="006214BB"/>
    <w:rsid w:val="00621815"/>
    <w:rsid w:val="00621938"/>
    <w:rsid w:val="00621ABC"/>
    <w:rsid w:val="00621ACB"/>
    <w:rsid w:val="00621FBA"/>
    <w:rsid w:val="00622155"/>
    <w:rsid w:val="006223F4"/>
    <w:rsid w:val="0062290B"/>
    <w:rsid w:val="00622A3D"/>
    <w:rsid w:val="00622B52"/>
    <w:rsid w:val="00623149"/>
    <w:rsid w:val="0062341D"/>
    <w:rsid w:val="00623887"/>
    <w:rsid w:val="00623AEB"/>
    <w:rsid w:val="00623E06"/>
    <w:rsid w:val="00623E3D"/>
    <w:rsid w:val="00623EB6"/>
    <w:rsid w:val="00623FDE"/>
    <w:rsid w:val="006245E4"/>
    <w:rsid w:val="006247F2"/>
    <w:rsid w:val="00624928"/>
    <w:rsid w:val="00624BB3"/>
    <w:rsid w:val="00624CED"/>
    <w:rsid w:val="00624D1C"/>
    <w:rsid w:val="00624F22"/>
    <w:rsid w:val="00624F37"/>
    <w:rsid w:val="00624FEB"/>
    <w:rsid w:val="00625082"/>
    <w:rsid w:val="00625B62"/>
    <w:rsid w:val="00625E43"/>
    <w:rsid w:val="00626956"/>
    <w:rsid w:val="00626962"/>
    <w:rsid w:val="006269F1"/>
    <w:rsid w:val="00626A10"/>
    <w:rsid w:val="00626FA7"/>
    <w:rsid w:val="00626FFF"/>
    <w:rsid w:val="00627150"/>
    <w:rsid w:val="0062719A"/>
    <w:rsid w:val="006271FF"/>
    <w:rsid w:val="006273DC"/>
    <w:rsid w:val="00627EF3"/>
    <w:rsid w:val="00630454"/>
    <w:rsid w:val="006308C5"/>
    <w:rsid w:val="00630CE1"/>
    <w:rsid w:val="00630E98"/>
    <w:rsid w:val="0063102D"/>
    <w:rsid w:val="0063118A"/>
    <w:rsid w:val="00631301"/>
    <w:rsid w:val="006313D2"/>
    <w:rsid w:val="00631A86"/>
    <w:rsid w:val="00631B9D"/>
    <w:rsid w:val="00632022"/>
    <w:rsid w:val="00632358"/>
    <w:rsid w:val="00632476"/>
    <w:rsid w:val="00632775"/>
    <w:rsid w:val="00632C2B"/>
    <w:rsid w:val="00633211"/>
    <w:rsid w:val="00633600"/>
    <w:rsid w:val="0063365A"/>
    <w:rsid w:val="00633799"/>
    <w:rsid w:val="00633E6C"/>
    <w:rsid w:val="00633ECC"/>
    <w:rsid w:val="006341DA"/>
    <w:rsid w:val="00634588"/>
    <w:rsid w:val="00634618"/>
    <w:rsid w:val="00634873"/>
    <w:rsid w:val="00634B38"/>
    <w:rsid w:val="006351DB"/>
    <w:rsid w:val="0063534B"/>
    <w:rsid w:val="006353E1"/>
    <w:rsid w:val="00635640"/>
    <w:rsid w:val="00635DEA"/>
    <w:rsid w:val="00635E75"/>
    <w:rsid w:val="00636103"/>
    <w:rsid w:val="006362CB"/>
    <w:rsid w:val="0063643D"/>
    <w:rsid w:val="00636915"/>
    <w:rsid w:val="00636941"/>
    <w:rsid w:val="00636A4F"/>
    <w:rsid w:val="00636AE4"/>
    <w:rsid w:val="0063709D"/>
    <w:rsid w:val="006370AC"/>
    <w:rsid w:val="006375AD"/>
    <w:rsid w:val="00637711"/>
    <w:rsid w:val="00637B0F"/>
    <w:rsid w:val="00637B6D"/>
    <w:rsid w:val="00637BB1"/>
    <w:rsid w:val="00637FDF"/>
    <w:rsid w:val="0064008A"/>
    <w:rsid w:val="00640181"/>
    <w:rsid w:val="0064029D"/>
    <w:rsid w:val="00640394"/>
    <w:rsid w:val="006405BD"/>
    <w:rsid w:val="006408AE"/>
    <w:rsid w:val="006408E3"/>
    <w:rsid w:val="00640A22"/>
    <w:rsid w:val="00640C8A"/>
    <w:rsid w:val="00640D40"/>
    <w:rsid w:val="00640F5C"/>
    <w:rsid w:val="00640FE4"/>
    <w:rsid w:val="00641049"/>
    <w:rsid w:val="0064139D"/>
    <w:rsid w:val="0064175B"/>
    <w:rsid w:val="006417E4"/>
    <w:rsid w:val="00642563"/>
    <w:rsid w:val="006427B5"/>
    <w:rsid w:val="00642AEA"/>
    <w:rsid w:val="00642CC5"/>
    <w:rsid w:val="00642EEB"/>
    <w:rsid w:val="00643038"/>
    <w:rsid w:val="00643098"/>
    <w:rsid w:val="006432E6"/>
    <w:rsid w:val="00643576"/>
    <w:rsid w:val="00643994"/>
    <w:rsid w:val="00643B37"/>
    <w:rsid w:val="00643ED6"/>
    <w:rsid w:val="00643FF6"/>
    <w:rsid w:val="006444B9"/>
    <w:rsid w:val="00644564"/>
    <w:rsid w:val="006445F8"/>
    <w:rsid w:val="006447E8"/>
    <w:rsid w:val="00644D9A"/>
    <w:rsid w:val="00644F67"/>
    <w:rsid w:val="00645012"/>
    <w:rsid w:val="00645158"/>
    <w:rsid w:val="006456C2"/>
    <w:rsid w:val="00645A4D"/>
    <w:rsid w:val="00645C1E"/>
    <w:rsid w:val="00645DF1"/>
    <w:rsid w:val="00645E3D"/>
    <w:rsid w:val="00645ED8"/>
    <w:rsid w:val="006461D8"/>
    <w:rsid w:val="00646257"/>
    <w:rsid w:val="00646305"/>
    <w:rsid w:val="0064673B"/>
    <w:rsid w:val="0064684F"/>
    <w:rsid w:val="0064690C"/>
    <w:rsid w:val="006469A4"/>
    <w:rsid w:val="00646BF1"/>
    <w:rsid w:val="00647446"/>
    <w:rsid w:val="006475FA"/>
    <w:rsid w:val="00647A00"/>
    <w:rsid w:val="00647A31"/>
    <w:rsid w:val="00650137"/>
    <w:rsid w:val="006503F8"/>
    <w:rsid w:val="00650465"/>
    <w:rsid w:val="006505B8"/>
    <w:rsid w:val="00650680"/>
    <w:rsid w:val="006506C5"/>
    <w:rsid w:val="00650875"/>
    <w:rsid w:val="006508B9"/>
    <w:rsid w:val="00650B9A"/>
    <w:rsid w:val="00651176"/>
    <w:rsid w:val="0065128E"/>
    <w:rsid w:val="006512AD"/>
    <w:rsid w:val="006512F3"/>
    <w:rsid w:val="006517F2"/>
    <w:rsid w:val="00651989"/>
    <w:rsid w:val="00651ADD"/>
    <w:rsid w:val="00651BC2"/>
    <w:rsid w:val="00651FDB"/>
    <w:rsid w:val="0065215F"/>
    <w:rsid w:val="00652367"/>
    <w:rsid w:val="006523D2"/>
    <w:rsid w:val="00652531"/>
    <w:rsid w:val="00652980"/>
    <w:rsid w:val="00653469"/>
    <w:rsid w:val="00653539"/>
    <w:rsid w:val="0065408C"/>
    <w:rsid w:val="00654236"/>
    <w:rsid w:val="00654A44"/>
    <w:rsid w:val="00654DFF"/>
    <w:rsid w:val="00654E85"/>
    <w:rsid w:val="00654F48"/>
    <w:rsid w:val="006559BA"/>
    <w:rsid w:val="00655BF8"/>
    <w:rsid w:val="006562AE"/>
    <w:rsid w:val="006563FF"/>
    <w:rsid w:val="00656649"/>
    <w:rsid w:val="00656C16"/>
    <w:rsid w:val="006570B8"/>
    <w:rsid w:val="006575FE"/>
    <w:rsid w:val="00657866"/>
    <w:rsid w:val="0065788D"/>
    <w:rsid w:val="00657C5D"/>
    <w:rsid w:val="00657E44"/>
    <w:rsid w:val="006602FB"/>
    <w:rsid w:val="0066056E"/>
    <w:rsid w:val="0066077A"/>
    <w:rsid w:val="006607D9"/>
    <w:rsid w:val="0066085D"/>
    <w:rsid w:val="0066090B"/>
    <w:rsid w:val="006609F9"/>
    <w:rsid w:val="00660ECA"/>
    <w:rsid w:val="00660F9D"/>
    <w:rsid w:val="0066153F"/>
    <w:rsid w:val="0066192E"/>
    <w:rsid w:val="00661C1B"/>
    <w:rsid w:val="00661CD2"/>
    <w:rsid w:val="00661D7F"/>
    <w:rsid w:val="00661FFE"/>
    <w:rsid w:val="006622EB"/>
    <w:rsid w:val="00662523"/>
    <w:rsid w:val="00662E4D"/>
    <w:rsid w:val="00663568"/>
    <w:rsid w:val="006636A1"/>
    <w:rsid w:val="00663BB4"/>
    <w:rsid w:val="00663C80"/>
    <w:rsid w:val="00663CCB"/>
    <w:rsid w:val="00663D76"/>
    <w:rsid w:val="00663EBB"/>
    <w:rsid w:val="00664150"/>
    <w:rsid w:val="00664210"/>
    <w:rsid w:val="006643D2"/>
    <w:rsid w:val="0066489E"/>
    <w:rsid w:val="00664F24"/>
    <w:rsid w:val="00665375"/>
    <w:rsid w:val="00665624"/>
    <w:rsid w:val="006657F0"/>
    <w:rsid w:val="00665B42"/>
    <w:rsid w:val="00665CA3"/>
    <w:rsid w:val="00665D52"/>
    <w:rsid w:val="00665F10"/>
    <w:rsid w:val="00666577"/>
    <w:rsid w:val="00666855"/>
    <w:rsid w:val="00666AF3"/>
    <w:rsid w:val="00666BFA"/>
    <w:rsid w:val="00666CAF"/>
    <w:rsid w:val="00666CD1"/>
    <w:rsid w:val="00666F4C"/>
    <w:rsid w:val="00667212"/>
    <w:rsid w:val="0066770D"/>
    <w:rsid w:val="006679FC"/>
    <w:rsid w:val="00667B60"/>
    <w:rsid w:val="00667C19"/>
    <w:rsid w:val="00670184"/>
    <w:rsid w:val="00670551"/>
    <w:rsid w:val="00670557"/>
    <w:rsid w:val="006706BA"/>
    <w:rsid w:val="00670704"/>
    <w:rsid w:val="00670B30"/>
    <w:rsid w:val="00670E32"/>
    <w:rsid w:val="00670EB1"/>
    <w:rsid w:val="00670FE7"/>
    <w:rsid w:val="0067173C"/>
    <w:rsid w:val="00671ACC"/>
    <w:rsid w:val="00671C6C"/>
    <w:rsid w:val="00671CB1"/>
    <w:rsid w:val="00671CC6"/>
    <w:rsid w:val="00671D74"/>
    <w:rsid w:val="00671E4C"/>
    <w:rsid w:val="00671EE3"/>
    <w:rsid w:val="00672476"/>
    <w:rsid w:val="00672FB3"/>
    <w:rsid w:val="0067366C"/>
    <w:rsid w:val="00673B3C"/>
    <w:rsid w:val="00673B67"/>
    <w:rsid w:val="00673D6E"/>
    <w:rsid w:val="00673F16"/>
    <w:rsid w:val="00674398"/>
    <w:rsid w:val="00674AF4"/>
    <w:rsid w:val="00674B71"/>
    <w:rsid w:val="00674D61"/>
    <w:rsid w:val="00674E7E"/>
    <w:rsid w:val="00674F22"/>
    <w:rsid w:val="00675470"/>
    <w:rsid w:val="0067560A"/>
    <w:rsid w:val="00675A6D"/>
    <w:rsid w:val="006765A0"/>
    <w:rsid w:val="00676805"/>
    <w:rsid w:val="00676DDF"/>
    <w:rsid w:val="00677752"/>
    <w:rsid w:val="00677A92"/>
    <w:rsid w:val="00677B04"/>
    <w:rsid w:val="00677C40"/>
    <w:rsid w:val="00677D97"/>
    <w:rsid w:val="00677DC9"/>
    <w:rsid w:val="00680018"/>
    <w:rsid w:val="0068020B"/>
    <w:rsid w:val="0068040A"/>
    <w:rsid w:val="00680A41"/>
    <w:rsid w:val="00680AAF"/>
    <w:rsid w:val="00680AB7"/>
    <w:rsid w:val="00680D1C"/>
    <w:rsid w:val="00680D5D"/>
    <w:rsid w:val="0068119D"/>
    <w:rsid w:val="0068159E"/>
    <w:rsid w:val="00681E07"/>
    <w:rsid w:val="006827BA"/>
    <w:rsid w:val="00682849"/>
    <w:rsid w:val="00682A30"/>
    <w:rsid w:val="00682BC5"/>
    <w:rsid w:val="00682CD9"/>
    <w:rsid w:val="00682F15"/>
    <w:rsid w:val="00682F7C"/>
    <w:rsid w:val="0068311C"/>
    <w:rsid w:val="006831DF"/>
    <w:rsid w:val="00683542"/>
    <w:rsid w:val="00683777"/>
    <w:rsid w:val="006839AA"/>
    <w:rsid w:val="00684314"/>
    <w:rsid w:val="006843C5"/>
    <w:rsid w:val="00684498"/>
    <w:rsid w:val="00684953"/>
    <w:rsid w:val="00684A0C"/>
    <w:rsid w:val="00684A45"/>
    <w:rsid w:val="00684B65"/>
    <w:rsid w:val="00684F68"/>
    <w:rsid w:val="00684FBA"/>
    <w:rsid w:val="00685270"/>
    <w:rsid w:val="0068550C"/>
    <w:rsid w:val="00685876"/>
    <w:rsid w:val="00685A10"/>
    <w:rsid w:val="00685C55"/>
    <w:rsid w:val="00686126"/>
    <w:rsid w:val="00686165"/>
    <w:rsid w:val="006862C7"/>
    <w:rsid w:val="00686300"/>
    <w:rsid w:val="0068692A"/>
    <w:rsid w:val="00686C73"/>
    <w:rsid w:val="0068724A"/>
    <w:rsid w:val="00687343"/>
    <w:rsid w:val="006873EC"/>
    <w:rsid w:val="0068767B"/>
    <w:rsid w:val="00687921"/>
    <w:rsid w:val="0068796F"/>
    <w:rsid w:val="00687E36"/>
    <w:rsid w:val="00687EF5"/>
    <w:rsid w:val="0069023F"/>
    <w:rsid w:val="0069069B"/>
    <w:rsid w:val="00690A1A"/>
    <w:rsid w:val="00690B61"/>
    <w:rsid w:val="0069126C"/>
    <w:rsid w:val="00691351"/>
    <w:rsid w:val="00691999"/>
    <w:rsid w:val="006919F7"/>
    <w:rsid w:val="00691A88"/>
    <w:rsid w:val="00691DE0"/>
    <w:rsid w:val="00691FFF"/>
    <w:rsid w:val="00692182"/>
    <w:rsid w:val="0069230D"/>
    <w:rsid w:val="00692C20"/>
    <w:rsid w:val="00692CA6"/>
    <w:rsid w:val="00693011"/>
    <w:rsid w:val="0069359A"/>
    <w:rsid w:val="00693ECD"/>
    <w:rsid w:val="00694450"/>
    <w:rsid w:val="006944E3"/>
    <w:rsid w:val="006947ED"/>
    <w:rsid w:val="00694835"/>
    <w:rsid w:val="00694930"/>
    <w:rsid w:val="00694938"/>
    <w:rsid w:val="00694A82"/>
    <w:rsid w:val="00694FC2"/>
    <w:rsid w:val="00695354"/>
    <w:rsid w:val="006954A0"/>
    <w:rsid w:val="006956B0"/>
    <w:rsid w:val="0069571E"/>
    <w:rsid w:val="00695C50"/>
    <w:rsid w:val="00695DBE"/>
    <w:rsid w:val="006961F1"/>
    <w:rsid w:val="00696749"/>
    <w:rsid w:val="00696B1A"/>
    <w:rsid w:val="00696D2D"/>
    <w:rsid w:val="00696EDC"/>
    <w:rsid w:val="006970A5"/>
    <w:rsid w:val="00697577"/>
    <w:rsid w:val="006975E3"/>
    <w:rsid w:val="00697787"/>
    <w:rsid w:val="00697958"/>
    <w:rsid w:val="00697C6A"/>
    <w:rsid w:val="00697E69"/>
    <w:rsid w:val="006A06D1"/>
    <w:rsid w:val="006A08AE"/>
    <w:rsid w:val="006A0BEC"/>
    <w:rsid w:val="006A1B6E"/>
    <w:rsid w:val="006A2177"/>
    <w:rsid w:val="006A21FA"/>
    <w:rsid w:val="006A225A"/>
    <w:rsid w:val="006A23C7"/>
    <w:rsid w:val="006A2584"/>
    <w:rsid w:val="006A2AF5"/>
    <w:rsid w:val="006A2D24"/>
    <w:rsid w:val="006A3841"/>
    <w:rsid w:val="006A3991"/>
    <w:rsid w:val="006A3D3B"/>
    <w:rsid w:val="006A3E24"/>
    <w:rsid w:val="006A4053"/>
    <w:rsid w:val="006A41B5"/>
    <w:rsid w:val="006A433D"/>
    <w:rsid w:val="006A4376"/>
    <w:rsid w:val="006A4870"/>
    <w:rsid w:val="006A49F1"/>
    <w:rsid w:val="006A4D2D"/>
    <w:rsid w:val="006A5297"/>
    <w:rsid w:val="006A5785"/>
    <w:rsid w:val="006A59B1"/>
    <w:rsid w:val="006A5A0D"/>
    <w:rsid w:val="006A6324"/>
    <w:rsid w:val="006A65C8"/>
    <w:rsid w:val="006A700A"/>
    <w:rsid w:val="006A737F"/>
    <w:rsid w:val="006A7508"/>
    <w:rsid w:val="006A7981"/>
    <w:rsid w:val="006A7E70"/>
    <w:rsid w:val="006B0347"/>
    <w:rsid w:val="006B0416"/>
    <w:rsid w:val="006B043C"/>
    <w:rsid w:val="006B050C"/>
    <w:rsid w:val="006B06D1"/>
    <w:rsid w:val="006B06F9"/>
    <w:rsid w:val="006B07E3"/>
    <w:rsid w:val="006B0C00"/>
    <w:rsid w:val="006B1740"/>
    <w:rsid w:val="006B1948"/>
    <w:rsid w:val="006B1D8F"/>
    <w:rsid w:val="006B1D9E"/>
    <w:rsid w:val="006B29FB"/>
    <w:rsid w:val="006B2AFF"/>
    <w:rsid w:val="006B2C15"/>
    <w:rsid w:val="006B2CA4"/>
    <w:rsid w:val="006B2E60"/>
    <w:rsid w:val="006B2EEE"/>
    <w:rsid w:val="006B32F8"/>
    <w:rsid w:val="006B333C"/>
    <w:rsid w:val="006B3371"/>
    <w:rsid w:val="006B34F0"/>
    <w:rsid w:val="006B3873"/>
    <w:rsid w:val="006B3C6C"/>
    <w:rsid w:val="006B4595"/>
    <w:rsid w:val="006B5358"/>
    <w:rsid w:val="006B559C"/>
    <w:rsid w:val="006B5616"/>
    <w:rsid w:val="006B5761"/>
    <w:rsid w:val="006B57A9"/>
    <w:rsid w:val="006B57D7"/>
    <w:rsid w:val="006B58E5"/>
    <w:rsid w:val="006B5D61"/>
    <w:rsid w:val="006B602D"/>
    <w:rsid w:val="006B636C"/>
    <w:rsid w:val="006B638A"/>
    <w:rsid w:val="006B66EB"/>
    <w:rsid w:val="006B6972"/>
    <w:rsid w:val="006B6A3C"/>
    <w:rsid w:val="006B6C69"/>
    <w:rsid w:val="006B6E55"/>
    <w:rsid w:val="006B6FB2"/>
    <w:rsid w:val="006B718E"/>
    <w:rsid w:val="006B7401"/>
    <w:rsid w:val="006B78ED"/>
    <w:rsid w:val="006B7A32"/>
    <w:rsid w:val="006B7B34"/>
    <w:rsid w:val="006C008E"/>
    <w:rsid w:val="006C04BD"/>
    <w:rsid w:val="006C082F"/>
    <w:rsid w:val="006C0C42"/>
    <w:rsid w:val="006C0EF4"/>
    <w:rsid w:val="006C1152"/>
    <w:rsid w:val="006C14F6"/>
    <w:rsid w:val="006C1529"/>
    <w:rsid w:val="006C1F5F"/>
    <w:rsid w:val="006C2012"/>
    <w:rsid w:val="006C2182"/>
    <w:rsid w:val="006C2A77"/>
    <w:rsid w:val="006C2B18"/>
    <w:rsid w:val="006C2B33"/>
    <w:rsid w:val="006C2F5A"/>
    <w:rsid w:val="006C3637"/>
    <w:rsid w:val="006C382A"/>
    <w:rsid w:val="006C3D63"/>
    <w:rsid w:val="006C4C3C"/>
    <w:rsid w:val="006C4E32"/>
    <w:rsid w:val="006C53EE"/>
    <w:rsid w:val="006C5809"/>
    <w:rsid w:val="006C5C86"/>
    <w:rsid w:val="006C5DA8"/>
    <w:rsid w:val="006C5FE4"/>
    <w:rsid w:val="006C6053"/>
    <w:rsid w:val="006C63CD"/>
    <w:rsid w:val="006C646C"/>
    <w:rsid w:val="006C6643"/>
    <w:rsid w:val="006C6AB1"/>
    <w:rsid w:val="006C6E2A"/>
    <w:rsid w:val="006C6EAF"/>
    <w:rsid w:val="006C6ED4"/>
    <w:rsid w:val="006C70AF"/>
    <w:rsid w:val="006C7B3C"/>
    <w:rsid w:val="006C7C36"/>
    <w:rsid w:val="006D009F"/>
    <w:rsid w:val="006D0501"/>
    <w:rsid w:val="006D050F"/>
    <w:rsid w:val="006D0698"/>
    <w:rsid w:val="006D0854"/>
    <w:rsid w:val="006D0BB2"/>
    <w:rsid w:val="006D0DC5"/>
    <w:rsid w:val="006D1A45"/>
    <w:rsid w:val="006D1A6E"/>
    <w:rsid w:val="006D1B30"/>
    <w:rsid w:val="006D1C67"/>
    <w:rsid w:val="006D1E5E"/>
    <w:rsid w:val="006D1FC3"/>
    <w:rsid w:val="006D27B0"/>
    <w:rsid w:val="006D28E7"/>
    <w:rsid w:val="006D2C51"/>
    <w:rsid w:val="006D2CF6"/>
    <w:rsid w:val="006D2D14"/>
    <w:rsid w:val="006D3178"/>
    <w:rsid w:val="006D354C"/>
    <w:rsid w:val="006D35F0"/>
    <w:rsid w:val="006D3652"/>
    <w:rsid w:val="006D375B"/>
    <w:rsid w:val="006D3764"/>
    <w:rsid w:val="006D37A4"/>
    <w:rsid w:val="006D3962"/>
    <w:rsid w:val="006D3B48"/>
    <w:rsid w:val="006D3D52"/>
    <w:rsid w:val="006D404C"/>
    <w:rsid w:val="006D4AB8"/>
    <w:rsid w:val="006D4C25"/>
    <w:rsid w:val="006D525C"/>
    <w:rsid w:val="006D52E9"/>
    <w:rsid w:val="006D5350"/>
    <w:rsid w:val="006D57B4"/>
    <w:rsid w:val="006D62C6"/>
    <w:rsid w:val="006D6632"/>
    <w:rsid w:val="006D6764"/>
    <w:rsid w:val="006D6845"/>
    <w:rsid w:val="006D68C2"/>
    <w:rsid w:val="006D74F5"/>
    <w:rsid w:val="006D7CB8"/>
    <w:rsid w:val="006D7CD1"/>
    <w:rsid w:val="006D7E48"/>
    <w:rsid w:val="006D7EC0"/>
    <w:rsid w:val="006E0838"/>
    <w:rsid w:val="006E0B5B"/>
    <w:rsid w:val="006E10AB"/>
    <w:rsid w:val="006E10E0"/>
    <w:rsid w:val="006E125D"/>
    <w:rsid w:val="006E140F"/>
    <w:rsid w:val="006E14B5"/>
    <w:rsid w:val="006E16F3"/>
    <w:rsid w:val="006E19A7"/>
    <w:rsid w:val="006E19E6"/>
    <w:rsid w:val="006E1B4C"/>
    <w:rsid w:val="006E204F"/>
    <w:rsid w:val="006E2288"/>
    <w:rsid w:val="006E22ED"/>
    <w:rsid w:val="006E26A9"/>
    <w:rsid w:val="006E2732"/>
    <w:rsid w:val="006E295D"/>
    <w:rsid w:val="006E32B1"/>
    <w:rsid w:val="006E3356"/>
    <w:rsid w:val="006E34B3"/>
    <w:rsid w:val="006E3535"/>
    <w:rsid w:val="006E4179"/>
    <w:rsid w:val="006E4277"/>
    <w:rsid w:val="006E4684"/>
    <w:rsid w:val="006E4CAF"/>
    <w:rsid w:val="006E4DFF"/>
    <w:rsid w:val="006E4FBD"/>
    <w:rsid w:val="006E55D8"/>
    <w:rsid w:val="006E571E"/>
    <w:rsid w:val="006E5947"/>
    <w:rsid w:val="006E5E8A"/>
    <w:rsid w:val="006E5EE0"/>
    <w:rsid w:val="006E5F55"/>
    <w:rsid w:val="006E630C"/>
    <w:rsid w:val="006E679E"/>
    <w:rsid w:val="006E67E7"/>
    <w:rsid w:val="006E6887"/>
    <w:rsid w:val="006E69C0"/>
    <w:rsid w:val="006E6CCA"/>
    <w:rsid w:val="006E7130"/>
    <w:rsid w:val="006E7637"/>
    <w:rsid w:val="006E7E99"/>
    <w:rsid w:val="006F0073"/>
    <w:rsid w:val="006F0214"/>
    <w:rsid w:val="006F042E"/>
    <w:rsid w:val="006F0FAC"/>
    <w:rsid w:val="006F116F"/>
    <w:rsid w:val="006F17FE"/>
    <w:rsid w:val="006F1CFB"/>
    <w:rsid w:val="006F21BE"/>
    <w:rsid w:val="006F22CB"/>
    <w:rsid w:val="006F297F"/>
    <w:rsid w:val="006F2AF2"/>
    <w:rsid w:val="006F2CF1"/>
    <w:rsid w:val="006F346C"/>
    <w:rsid w:val="006F3481"/>
    <w:rsid w:val="006F3571"/>
    <w:rsid w:val="006F3B37"/>
    <w:rsid w:val="006F3D2F"/>
    <w:rsid w:val="006F43C1"/>
    <w:rsid w:val="006F4888"/>
    <w:rsid w:val="006F4D0E"/>
    <w:rsid w:val="006F4E9F"/>
    <w:rsid w:val="006F51AB"/>
    <w:rsid w:val="006F5396"/>
    <w:rsid w:val="006F5421"/>
    <w:rsid w:val="006F5FB7"/>
    <w:rsid w:val="006F6157"/>
    <w:rsid w:val="006F62B9"/>
    <w:rsid w:val="006F6AC6"/>
    <w:rsid w:val="006F6C3F"/>
    <w:rsid w:val="006F6DBB"/>
    <w:rsid w:val="006F6EE0"/>
    <w:rsid w:val="006F7075"/>
    <w:rsid w:val="006F72E9"/>
    <w:rsid w:val="006F7692"/>
    <w:rsid w:val="006F7D9D"/>
    <w:rsid w:val="006F7E26"/>
    <w:rsid w:val="00700229"/>
    <w:rsid w:val="0070073D"/>
    <w:rsid w:val="00700A60"/>
    <w:rsid w:val="00701135"/>
    <w:rsid w:val="007013ED"/>
    <w:rsid w:val="00701644"/>
    <w:rsid w:val="0070181D"/>
    <w:rsid w:val="00701F3A"/>
    <w:rsid w:val="0070231B"/>
    <w:rsid w:val="0070288F"/>
    <w:rsid w:val="007028DF"/>
    <w:rsid w:val="00702BF3"/>
    <w:rsid w:val="0070360E"/>
    <w:rsid w:val="0070372D"/>
    <w:rsid w:val="007039A9"/>
    <w:rsid w:val="00704064"/>
    <w:rsid w:val="0070425A"/>
    <w:rsid w:val="00704335"/>
    <w:rsid w:val="00704722"/>
    <w:rsid w:val="0070475B"/>
    <w:rsid w:val="007048B3"/>
    <w:rsid w:val="00704B8B"/>
    <w:rsid w:val="00704C7C"/>
    <w:rsid w:val="00704EBC"/>
    <w:rsid w:val="00704FB0"/>
    <w:rsid w:val="00705247"/>
    <w:rsid w:val="00705ECC"/>
    <w:rsid w:val="00706293"/>
    <w:rsid w:val="00706363"/>
    <w:rsid w:val="0070698C"/>
    <w:rsid w:val="00706B42"/>
    <w:rsid w:val="00706BF7"/>
    <w:rsid w:val="007071D2"/>
    <w:rsid w:val="007072F2"/>
    <w:rsid w:val="00707596"/>
    <w:rsid w:val="00707608"/>
    <w:rsid w:val="007076FB"/>
    <w:rsid w:val="00707919"/>
    <w:rsid w:val="00707E89"/>
    <w:rsid w:val="00707F91"/>
    <w:rsid w:val="007100B8"/>
    <w:rsid w:val="00710767"/>
    <w:rsid w:val="00710B29"/>
    <w:rsid w:val="00710B33"/>
    <w:rsid w:val="00710D59"/>
    <w:rsid w:val="00710F4D"/>
    <w:rsid w:val="007110AC"/>
    <w:rsid w:val="0071153E"/>
    <w:rsid w:val="00711585"/>
    <w:rsid w:val="00711722"/>
    <w:rsid w:val="00711A67"/>
    <w:rsid w:val="00711DD2"/>
    <w:rsid w:val="00711E28"/>
    <w:rsid w:val="00711EAF"/>
    <w:rsid w:val="00711EC3"/>
    <w:rsid w:val="007120CB"/>
    <w:rsid w:val="00712311"/>
    <w:rsid w:val="00712514"/>
    <w:rsid w:val="0071258F"/>
    <w:rsid w:val="007125AE"/>
    <w:rsid w:val="007125FE"/>
    <w:rsid w:val="00712D01"/>
    <w:rsid w:val="007130FD"/>
    <w:rsid w:val="0071313D"/>
    <w:rsid w:val="007131A2"/>
    <w:rsid w:val="007133E3"/>
    <w:rsid w:val="00713581"/>
    <w:rsid w:val="00713584"/>
    <w:rsid w:val="0071395F"/>
    <w:rsid w:val="00713AC1"/>
    <w:rsid w:val="00713F18"/>
    <w:rsid w:val="00714298"/>
    <w:rsid w:val="00714355"/>
    <w:rsid w:val="00714442"/>
    <w:rsid w:val="00714460"/>
    <w:rsid w:val="00714702"/>
    <w:rsid w:val="00714B68"/>
    <w:rsid w:val="00714CB7"/>
    <w:rsid w:val="007156B5"/>
    <w:rsid w:val="007157FF"/>
    <w:rsid w:val="00715946"/>
    <w:rsid w:val="00715B07"/>
    <w:rsid w:val="00715E5A"/>
    <w:rsid w:val="00716360"/>
    <w:rsid w:val="0071649B"/>
    <w:rsid w:val="007164CF"/>
    <w:rsid w:val="00716591"/>
    <w:rsid w:val="007165AD"/>
    <w:rsid w:val="00716DAD"/>
    <w:rsid w:val="00716FFF"/>
    <w:rsid w:val="007174A8"/>
    <w:rsid w:val="007200A9"/>
    <w:rsid w:val="007203F6"/>
    <w:rsid w:val="00720669"/>
    <w:rsid w:val="007207C6"/>
    <w:rsid w:val="0072097D"/>
    <w:rsid w:val="00720C50"/>
    <w:rsid w:val="00720E25"/>
    <w:rsid w:val="007211BF"/>
    <w:rsid w:val="007212C4"/>
    <w:rsid w:val="00721451"/>
    <w:rsid w:val="00721498"/>
    <w:rsid w:val="00721549"/>
    <w:rsid w:val="00721AF7"/>
    <w:rsid w:val="00721F04"/>
    <w:rsid w:val="00721F78"/>
    <w:rsid w:val="0072201F"/>
    <w:rsid w:val="007223FB"/>
    <w:rsid w:val="00722E38"/>
    <w:rsid w:val="00722EEC"/>
    <w:rsid w:val="007233E5"/>
    <w:rsid w:val="0072349E"/>
    <w:rsid w:val="0072389D"/>
    <w:rsid w:val="007238FE"/>
    <w:rsid w:val="00723E07"/>
    <w:rsid w:val="00723F7C"/>
    <w:rsid w:val="00724334"/>
    <w:rsid w:val="0072442C"/>
    <w:rsid w:val="00724556"/>
    <w:rsid w:val="00724F3A"/>
    <w:rsid w:val="00725088"/>
    <w:rsid w:val="00725371"/>
    <w:rsid w:val="007255A0"/>
    <w:rsid w:val="00725674"/>
    <w:rsid w:val="00725687"/>
    <w:rsid w:val="00725947"/>
    <w:rsid w:val="007261FA"/>
    <w:rsid w:val="00726215"/>
    <w:rsid w:val="00726917"/>
    <w:rsid w:val="00726B7B"/>
    <w:rsid w:val="00726CB8"/>
    <w:rsid w:val="00726EC7"/>
    <w:rsid w:val="00727105"/>
    <w:rsid w:val="007272AE"/>
    <w:rsid w:val="00727461"/>
    <w:rsid w:val="00727914"/>
    <w:rsid w:val="00727B63"/>
    <w:rsid w:val="00727C54"/>
    <w:rsid w:val="0073039C"/>
    <w:rsid w:val="00730853"/>
    <w:rsid w:val="00730BC1"/>
    <w:rsid w:val="00730CC9"/>
    <w:rsid w:val="007317EE"/>
    <w:rsid w:val="00731AC6"/>
    <w:rsid w:val="00731C26"/>
    <w:rsid w:val="00731FD6"/>
    <w:rsid w:val="0073207D"/>
    <w:rsid w:val="0073222E"/>
    <w:rsid w:val="007328EB"/>
    <w:rsid w:val="00732A84"/>
    <w:rsid w:val="00732FE7"/>
    <w:rsid w:val="00733199"/>
    <w:rsid w:val="0073332F"/>
    <w:rsid w:val="007336C7"/>
    <w:rsid w:val="00733781"/>
    <w:rsid w:val="00733A74"/>
    <w:rsid w:val="00735060"/>
    <w:rsid w:val="007350F2"/>
    <w:rsid w:val="007350FE"/>
    <w:rsid w:val="0073515E"/>
    <w:rsid w:val="00735188"/>
    <w:rsid w:val="00735411"/>
    <w:rsid w:val="0073563A"/>
    <w:rsid w:val="00735775"/>
    <w:rsid w:val="0073596E"/>
    <w:rsid w:val="007366C2"/>
    <w:rsid w:val="00736C14"/>
    <w:rsid w:val="0073705E"/>
    <w:rsid w:val="00737119"/>
    <w:rsid w:val="007376CD"/>
    <w:rsid w:val="0073772E"/>
    <w:rsid w:val="00737DF1"/>
    <w:rsid w:val="00737DF9"/>
    <w:rsid w:val="00737F52"/>
    <w:rsid w:val="00740006"/>
    <w:rsid w:val="00740396"/>
    <w:rsid w:val="0074048D"/>
    <w:rsid w:val="00740528"/>
    <w:rsid w:val="00740A3E"/>
    <w:rsid w:val="00740CC8"/>
    <w:rsid w:val="00740ED6"/>
    <w:rsid w:val="00741124"/>
    <w:rsid w:val="00741165"/>
    <w:rsid w:val="007413DA"/>
    <w:rsid w:val="007419A6"/>
    <w:rsid w:val="00741B9D"/>
    <w:rsid w:val="0074230F"/>
    <w:rsid w:val="00742329"/>
    <w:rsid w:val="007428B6"/>
    <w:rsid w:val="007428FA"/>
    <w:rsid w:val="00742AF1"/>
    <w:rsid w:val="00742BFB"/>
    <w:rsid w:val="00742E75"/>
    <w:rsid w:val="0074315E"/>
    <w:rsid w:val="007436BD"/>
    <w:rsid w:val="00743847"/>
    <w:rsid w:val="00743A98"/>
    <w:rsid w:val="00743AFD"/>
    <w:rsid w:val="00743B65"/>
    <w:rsid w:val="00743D77"/>
    <w:rsid w:val="007446A6"/>
    <w:rsid w:val="00744737"/>
    <w:rsid w:val="00744749"/>
    <w:rsid w:val="00744A9D"/>
    <w:rsid w:val="00745ADB"/>
    <w:rsid w:val="00745B1D"/>
    <w:rsid w:val="007460EE"/>
    <w:rsid w:val="007462E9"/>
    <w:rsid w:val="0074655B"/>
    <w:rsid w:val="007467A2"/>
    <w:rsid w:val="00746904"/>
    <w:rsid w:val="00746E07"/>
    <w:rsid w:val="00746F90"/>
    <w:rsid w:val="007470F6"/>
    <w:rsid w:val="0074716A"/>
    <w:rsid w:val="007478F8"/>
    <w:rsid w:val="00747E91"/>
    <w:rsid w:val="00747F93"/>
    <w:rsid w:val="00747FBE"/>
    <w:rsid w:val="007502D9"/>
    <w:rsid w:val="007503AA"/>
    <w:rsid w:val="0075094B"/>
    <w:rsid w:val="00750DE3"/>
    <w:rsid w:val="00750E98"/>
    <w:rsid w:val="007517B5"/>
    <w:rsid w:val="00751822"/>
    <w:rsid w:val="007519CA"/>
    <w:rsid w:val="00751B36"/>
    <w:rsid w:val="0075205E"/>
    <w:rsid w:val="00752207"/>
    <w:rsid w:val="00752664"/>
    <w:rsid w:val="0075269A"/>
    <w:rsid w:val="007526C5"/>
    <w:rsid w:val="0075270C"/>
    <w:rsid w:val="00752731"/>
    <w:rsid w:val="007527B2"/>
    <w:rsid w:val="00752D36"/>
    <w:rsid w:val="00752DF8"/>
    <w:rsid w:val="00752E29"/>
    <w:rsid w:val="00753087"/>
    <w:rsid w:val="00753190"/>
    <w:rsid w:val="007531F3"/>
    <w:rsid w:val="007538F4"/>
    <w:rsid w:val="007541FA"/>
    <w:rsid w:val="00754333"/>
    <w:rsid w:val="0075441D"/>
    <w:rsid w:val="007549A9"/>
    <w:rsid w:val="00754A1F"/>
    <w:rsid w:val="00754E92"/>
    <w:rsid w:val="00754EFF"/>
    <w:rsid w:val="007553BF"/>
    <w:rsid w:val="0075568E"/>
    <w:rsid w:val="007557ED"/>
    <w:rsid w:val="00755865"/>
    <w:rsid w:val="007558B0"/>
    <w:rsid w:val="007558FA"/>
    <w:rsid w:val="00755921"/>
    <w:rsid w:val="0075593F"/>
    <w:rsid w:val="00755EC3"/>
    <w:rsid w:val="00756335"/>
    <w:rsid w:val="0075636C"/>
    <w:rsid w:val="00756395"/>
    <w:rsid w:val="007564CF"/>
    <w:rsid w:val="00756516"/>
    <w:rsid w:val="00756882"/>
    <w:rsid w:val="007569AC"/>
    <w:rsid w:val="00756A34"/>
    <w:rsid w:val="00756AA0"/>
    <w:rsid w:val="00756B80"/>
    <w:rsid w:val="00756C67"/>
    <w:rsid w:val="00756E20"/>
    <w:rsid w:val="00756F0B"/>
    <w:rsid w:val="00756FE5"/>
    <w:rsid w:val="00757239"/>
    <w:rsid w:val="00757475"/>
    <w:rsid w:val="0075766D"/>
    <w:rsid w:val="00757855"/>
    <w:rsid w:val="00757888"/>
    <w:rsid w:val="00757ACB"/>
    <w:rsid w:val="00757C95"/>
    <w:rsid w:val="00757CDF"/>
    <w:rsid w:val="00757DCA"/>
    <w:rsid w:val="00760A48"/>
    <w:rsid w:val="00760CC4"/>
    <w:rsid w:val="00760DAB"/>
    <w:rsid w:val="00760FAA"/>
    <w:rsid w:val="00761163"/>
    <w:rsid w:val="0076126D"/>
    <w:rsid w:val="007613EE"/>
    <w:rsid w:val="00761D39"/>
    <w:rsid w:val="00761D93"/>
    <w:rsid w:val="00762138"/>
    <w:rsid w:val="007623DD"/>
    <w:rsid w:val="00762554"/>
    <w:rsid w:val="007628D2"/>
    <w:rsid w:val="007629A2"/>
    <w:rsid w:val="007629F6"/>
    <w:rsid w:val="00762ABA"/>
    <w:rsid w:val="00762C41"/>
    <w:rsid w:val="00763438"/>
    <w:rsid w:val="007634ED"/>
    <w:rsid w:val="00763A2A"/>
    <w:rsid w:val="00763BF1"/>
    <w:rsid w:val="00763D15"/>
    <w:rsid w:val="0076424A"/>
    <w:rsid w:val="00764251"/>
    <w:rsid w:val="0076428D"/>
    <w:rsid w:val="00764418"/>
    <w:rsid w:val="00764993"/>
    <w:rsid w:val="00764F8F"/>
    <w:rsid w:val="007653B1"/>
    <w:rsid w:val="00765583"/>
    <w:rsid w:val="00765941"/>
    <w:rsid w:val="00765B07"/>
    <w:rsid w:val="00765C7D"/>
    <w:rsid w:val="00765CCB"/>
    <w:rsid w:val="00765CDF"/>
    <w:rsid w:val="00765D87"/>
    <w:rsid w:val="00766400"/>
    <w:rsid w:val="007669DB"/>
    <w:rsid w:val="00766B5F"/>
    <w:rsid w:val="00766B6A"/>
    <w:rsid w:val="00766BF9"/>
    <w:rsid w:val="00766CF7"/>
    <w:rsid w:val="00766D1D"/>
    <w:rsid w:val="00766E73"/>
    <w:rsid w:val="0076714F"/>
    <w:rsid w:val="007671DF"/>
    <w:rsid w:val="007672A3"/>
    <w:rsid w:val="0076746E"/>
    <w:rsid w:val="007678A4"/>
    <w:rsid w:val="00767AE3"/>
    <w:rsid w:val="00767CE0"/>
    <w:rsid w:val="00767DBB"/>
    <w:rsid w:val="00767E5F"/>
    <w:rsid w:val="00767EF3"/>
    <w:rsid w:val="00770358"/>
    <w:rsid w:val="007703E1"/>
    <w:rsid w:val="007703F4"/>
    <w:rsid w:val="00770416"/>
    <w:rsid w:val="00770639"/>
    <w:rsid w:val="007706CC"/>
    <w:rsid w:val="0077070B"/>
    <w:rsid w:val="00770D55"/>
    <w:rsid w:val="00770EA1"/>
    <w:rsid w:val="00770FA5"/>
    <w:rsid w:val="00771917"/>
    <w:rsid w:val="00771A53"/>
    <w:rsid w:val="00771C17"/>
    <w:rsid w:val="00771FC8"/>
    <w:rsid w:val="00772920"/>
    <w:rsid w:val="00772B87"/>
    <w:rsid w:val="00772EE4"/>
    <w:rsid w:val="00773010"/>
    <w:rsid w:val="0077350E"/>
    <w:rsid w:val="00773994"/>
    <w:rsid w:val="007742C3"/>
    <w:rsid w:val="0077475D"/>
    <w:rsid w:val="007747CA"/>
    <w:rsid w:val="00774BF8"/>
    <w:rsid w:val="00774C24"/>
    <w:rsid w:val="00774EFC"/>
    <w:rsid w:val="00774FF0"/>
    <w:rsid w:val="007750D6"/>
    <w:rsid w:val="0077536F"/>
    <w:rsid w:val="0077548D"/>
    <w:rsid w:val="00775776"/>
    <w:rsid w:val="007757AE"/>
    <w:rsid w:val="00775D82"/>
    <w:rsid w:val="00775FBF"/>
    <w:rsid w:val="007760E3"/>
    <w:rsid w:val="007767CF"/>
    <w:rsid w:val="00776B84"/>
    <w:rsid w:val="00776EA3"/>
    <w:rsid w:val="00776F83"/>
    <w:rsid w:val="007770C4"/>
    <w:rsid w:val="007773A1"/>
    <w:rsid w:val="00777407"/>
    <w:rsid w:val="007777EA"/>
    <w:rsid w:val="0077780A"/>
    <w:rsid w:val="0077782A"/>
    <w:rsid w:val="007779A3"/>
    <w:rsid w:val="00777BE7"/>
    <w:rsid w:val="00777C4D"/>
    <w:rsid w:val="007802D4"/>
    <w:rsid w:val="00780481"/>
    <w:rsid w:val="00780A04"/>
    <w:rsid w:val="00780C24"/>
    <w:rsid w:val="00780D70"/>
    <w:rsid w:val="00780DE0"/>
    <w:rsid w:val="00780E33"/>
    <w:rsid w:val="007811A1"/>
    <w:rsid w:val="007816C4"/>
    <w:rsid w:val="007817AC"/>
    <w:rsid w:val="00781B8E"/>
    <w:rsid w:val="00781BDC"/>
    <w:rsid w:val="00781DB8"/>
    <w:rsid w:val="00782726"/>
    <w:rsid w:val="007828AE"/>
    <w:rsid w:val="00782908"/>
    <w:rsid w:val="00782DA7"/>
    <w:rsid w:val="00783153"/>
    <w:rsid w:val="007834DF"/>
    <w:rsid w:val="00783673"/>
    <w:rsid w:val="00783A28"/>
    <w:rsid w:val="00784028"/>
    <w:rsid w:val="00784527"/>
    <w:rsid w:val="00784817"/>
    <w:rsid w:val="00784928"/>
    <w:rsid w:val="00784DDF"/>
    <w:rsid w:val="0078561D"/>
    <w:rsid w:val="0078594B"/>
    <w:rsid w:val="00785AE7"/>
    <w:rsid w:val="00785CD3"/>
    <w:rsid w:val="00786269"/>
    <w:rsid w:val="00786770"/>
    <w:rsid w:val="007868AC"/>
    <w:rsid w:val="00786A29"/>
    <w:rsid w:val="00787385"/>
    <w:rsid w:val="00787476"/>
    <w:rsid w:val="00790013"/>
    <w:rsid w:val="0079063E"/>
    <w:rsid w:val="007908DB"/>
    <w:rsid w:val="00790B0E"/>
    <w:rsid w:val="00790BE8"/>
    <w:rsid w:val="00790D95"/>
    <w:rsid w:val="0079166C"/>
    <w:rsid w:val="007916BC"/>
    <w:rsid w:val="00791B04"/>
    <w:rsid w:val="00791E80"/>
    <w:rsid w:val="00792132"/>
    <w:rsid w:val="007921BC"/>
    <w:rsid w:val="00792277"/>
    <w:rsid w:val="00792798"/>
    <w:rsid w:val="00792C5A"/>
    <w:rsid w:val="007930FB"/>
    <w:rsid w:val="007931DE"/>
    <w:rsid w:val="0079329A"/>
    <w:rsid w:val="007935F6"/>
    <w:rsid w:val="007936B1"/>
    <w:rsid w:val="00793C02"/>
    <w:rsid w:val="007946BA"/>
    <w:rsid w:val="00794AD7"/>
    <w:rsid w:val="00794DB5"/>
    <w:rsid w:val="007954C3"/>
    <w:rsid w:val="0079560F"/>
    <w:rsid w:val="00795625"/>
    <w:rsid w:val="0079569E"/>
    <w:rsid w:val="007957FD"/>
    <w:rsid w:val="00796175"/>
    <w:rsid w:val="007961EE"/>
    <w:rsid w:val="0079634F"/>
    <w:rsid w:val="007966D3"/>
    <w:rsid w:val="00796940"/>
    <w:rsid w:val="00796AD9"/>
    <w:rsid w:val="00796C67"/>
    <w:rsid w:val="00796EBF"/>
    <w:rsid w:val="0079703C"/>
    <w:rsid w:val="007972D3"/>
    <w:rsid w:val="00797329"/>
    <w:rsid w:val="0079740F"/>
    <w:rsid w:val="007977A4"/>
    <w:rsid w:val="00797A72"/>
    <w:rsid w:val="00797DB1"/>
    <w:rsid w:val="00797F56"/>
    <w:rsid w:val="007A0305"/>
    <w:rsid w:val="007A0B55"/>
    <w:rsid w:val="007A0D3A"/>
    <w:rsid w:val="007A0DE2"/>
    <w:rsid w:val="007A1040"/>
    <w:rsid w:val="007A106B"/>
    <w:rsid w:val="007A1274"/>
    <w:rsid w:val="007A12A5"/>
    <w:rsid w:val="007A12A6"/>
    <w:rsid w:val="007A16A3"/>
    <w:rsid w:val="007A1A4A"/>
    <w:rsid w:val="007A1EC1"/>
    <w:rsid w:val="007A23D3"/>
    <w:rsid w:val="007A244D"/>
    <w:rsid w:val="007A26F2"/>
    <w:rsid w:val="007A29B6"/>
    <w:rsid w:val="007A2DE3"/>
    <w:rsid w:val="007A30FE"/>
    <w:rsid w:val="007A34E9"/>
    <w:rsid w:val="007A355F"/>
    <w:rsid w:val="007A3689"/>
    <w:rsid w:val="007A36F1"/>
    <w:rsid w:val="007A370D"/>
    <w:rsid w:val="007A3A08"/>
    <w:rsid w:val="007A3B9C"/>
    <w:rsid w:val="007A3CCD"/>
    <w:rsid w:val="007A4275"/>
    <w:rsid w:val="007A429E"/>
    <w:rsid w:val="007A4510"/>
    <w:rsid w:val="007A4605"/>
    <w:rsid w:val="007A4629"/>
    <w:rsid w:val="007A4B04"/>
    <w:rsid w:val="007A5192"/>
    <w:rsid w:val="007A5397"/>
    <w:rsid w:val="007A552A"/>
    <w:rsid w:val="007A56A1"/>
    <w:rsid w:val="007A5863"/>
    <w:rsid w:val="007A5A34"/>
    <w:rsid w:val="007A5C0B"/>
    <w:rsid w:val="007A6266"/>
    <w:rsid w:val="007A69FC"/>
    <w:rsid w:val="007A6CC1"/>
    <w:rsid w:val="007A74C5"/>
    <w:rsid w:val="007A76E1"/>
    <w:rsid w:val="007A7E4C"/>
    <w:rsid w:val="007A7ED4"/>
    <w:rsid w:val="007A7F39"/>
    <w:rsid w:val="007B01B0"/>
    <w:rsid w:val="007B01FE"/>
    <w:rsid w:val="007B0656"/>
    <w:rsid w:val="007B0787"/>
    <w:rsid w:val="007B0C39"/>
    <w:rsid w:val="007B0E96"/>
    <w:rsid w:val="007B11FF"/>
    <w:rsid w:val="007B1368"/>
    <w:rsid w:val="007B17B1"/>
    <w:rsid w:val="007B1A8E"/>
    <w:rsid w:val="007B1B6D"/>
    <w:rsid w:val="007B1BBB"/>
    <w:rsid w:val="007B1C0D"/>
    <w:rsid w:val="007B2349"/>
    <w:rsid w:val="007B2853"/>
    <w:rsid w:val="007B29C1"/>
    <w:rsid w:val="007B2AE8"/>
    <w:rsid w:val="007B2D11"/>
    <w:rsid w:val="007B2DE3"/>
    <w:rsid w:val="007B2E0D"/>
    <w:rsid w:val="007B2E63"/>
    <w:rsid w:val="007B3640"/>
    <w:rsid w:val="007B3B22"/>
    <w:rsid w:val="007B3C53"/>
    <w:rsid w:val="007B3F98"/>
    <w:rsid w:val="007B4CFB"/>
    <w:rsid w:val="007B4F44"/>
    <w:rsid w:val="007B5720"/>
    <w:rsid w:val="007B5818"/>
    <w:rsid w:val="007B5CC0"/>
    <w:rsid w:val="007B5DEB"/>
    <w:rsid w:val="007B6032"/>
    <w:rsid w:val="007B605F"/>
    <w:rsid w:val="007B639A"/>
    <w:rsid w:val="007B6706"/>
    <w:rsid w:val="007B673F"/>
    <w:rsid w:val="007B6801"/>
    <w:rsid w:val="007B685F"/>
    <w:rsid w:val="007B68B4"/>
    <w:rsid w:val="007B6C79"/>
    <w:rsid w:val="007B6FA1"/>
    <w:rsid w:val="007B7096"/>
    <w:rsid w:val="007B7298"/>
    <w:rsid w:val="007B7449"/>
    <w:rsid w:val="007B78F1"/>
    <w:rsid w:val="007B794E"/>
    <w:rsid w:val="007B7ACB"/>
    <w:rsid w:val="007B7AE1"/>
    <w:rsid w:val="007B7C02"/>
    <w:rsid w:val="007B7C33"/>
    <w:rsid w:val="007B7FA0"/>
    <w:rsid w:val="007C0018"/>
    <w:rsid w:val="007C00EA"/>
    <w:rsid w:val="007C0309"/>
    <w:rsid w:val="007C0509"/>
    <w:rsid w:val="007C05BB"/>
    <w:rsid w:val="007C09DC"/>
    <w:rsid w:val="007C0A35"/>
    <w:rsid w:val="007C0A9B"/>
    <w:rsid w:val="007C0D95"/>
    <w:rsid w:val="007C0F82"/>
    <w:rsid w:val="007C0FF6"/>
    <w:rsid w:val="007C10DF"/>
    <w:rsid w:val="007C1137"/>
    <w:rsid w:val="007C1277"/>
    <w:rsid w:val="007C1307"/>
    <w:rsid w:val="007C1379"/>
    <w:rsid w:val="007C17E1"/>
    <w:rsid w:val="007C1821"/>
    <w:rsid w:val="007C19A2"/>
    <w:rsid w:val="007C1C02"/>
    <w:rsid w:val="007C1CA2"/>
    <w:rsid w:val="007C2190"/>
    <w:rsid w:val="007C2307"/>
    <w:rsid w:val="007C2B38"/>
    <w:rsid w:val="007C321B"/>
    <w:rsid w:val="007C33B4"/>
    <w:rsid w:val="007C383D"/>
    <w:rsid w:val="007C3840"/>
    <w:rsid w:val="007C38A1"/>
    <w:rsid w:val="007C3B3B"/>
    <w:rsid w:val="007C3E44"/>
    <w:rsid w:val="007C3ED2"/>
    <w:rsid w:val="007C3FA8"/>
    <w:rsid w:val="007C4066"/>
    <w:rsid w:val="007C430B"/>
    <w:rsid w:val="007C49DB"/>
    <w:rsid w:val="007C4D22"/>
    <w:rsid w:val="007C4F62"/>
    <w:rsid w:val="007C516A"/>
    <w:rsid w:val="007C524A"/>
    <w:rsid w:val="007C52B9"/>
    <w:rsid w:val="007C55B8"/>
    <w:rsid w:val="007C5A2D"/>
    <w:rsid w:val="007C5AE1"/>
    <w:rsid w:val="007C5F54"/>
    <w:rsid w:val="007C6076"/>
    <w:rsid w:val="007C6476"/>
    <w:rsid w:val="007C6543"/>
    <w:rsid w:val="007C68FD"/>
    <w:rsid w:val="007C6A50"/>
    <w:rsid w:val="007C6A7A"/>
    <w:rsid w:val="007C6DED"/>
    <w:rsid w:val="007C6FCF"/>
    <w:rsid w:val="007C70DB"/>
    <w:rsid w:val="007C73C7"/>
    <w:rsid w:val="007C75B7"/>
    <w:rsid w:val="007C7809"/>
    <w:rsid w:val="007C78FF"/>
    <w:rsid w:val="007C797D"/>
    <w:rsid w:val="007D0267"/>
    <w:rsid w:val="007D0365"/>
    <w:rsid w:val="007D0393"/>
    <w:rsid w:val="007D044C"/>
    <w:rsid w:val="007D0637"/>
    <w:rsid w:val="007D0666"/>
    <w:rsid w:val="007D0AB2"/>
    <w:rsid w:val="007D0F3A"/>
    <w:rsid w:val="007D138E"/>
    <w:rsid w:val="007D162E"/>
    <w:rsid w:val="007D16A3"/>
    <w:rsid w:val="007D17E8"/>
    <w:rsid w:val="007D1800"/>
    <w:rsid w:val="007D1CB3"/>
    <w:rsid w:val="007D1F81"/>
    <w:rsid w:val="007D20C5"/>
    <w:rsid w:val="007D2227"/>
    <w:rsid w:val="007D238A"/>
    <w:rsid w:val="007D25F6"/>
    <w:rsid w:val="007D293F"/>
    <w:rsid w:val="007D2F42"/>
    <w:rsid w:val="007D3421"/>
    <w:rsid w:val="007D3A7E"/>
    <w:rsid w:val="007D3B3D"/>
    <w:rsid w:val="007D3C1C"/>
    <w:rsid w:val="007D3C69"/>
    <w:rsid w:val="007D3F1B"/>
    <w:rsid w:val="007D44E6"/>
    <w:rsid w:val="007D4586"/>
    <w:rsid w:val="007D4933"/>
    <w:rsid w:val="007D4965"/>
    <w:rsid w:val="007D4B6F"/>
    <w:rsid w:val="007D550D"/>
    <w:rsid w:val="007D58DB"/>
    <w:rsid w:val="007D5BBD"/>
    <w:rsid w:val="007D5D7E"/>
    <w:rsid w:val="007D5EFF"/>
    <w:rsid w:val="007D6129"/>
    <w:rsid w:val="007D614D"/>
    <w:rsid w:val="007D61E3"/>
    <w:rsid w:val="007D65EA"/>
    <w:rsid w:val="007D6BD4"/>
    <w:rsid w:val="007D6BF4"/>
    <w:rsid w:val="007D6D35"/>
    <w:rsid w:val="007D6D3D"/>
    <w:rsid w:val="007D7015"/>
    <w:rsid w:val="007D7919"/>
    <w:rsid w:val="007D7938"/>
    <w:rsid w:val="007D7CC9"/>
    <w:rsid w:val="007D7D16"/>
    <w:rsid w:val="007D7DE6"/>
    <w:rsid w:val="007E01AE"/>
    <w:rsid w:val="007E0212"/>
    <w:rsid w:val="007E0254"/>
    <w:rsid w:val="007E035F"/>
    <w:rsid w:val="007E0E0C"/>
    <w:rsid w:val="007E0F85"/>
    <w:rsid w:val="007E1438"/>
    <w:rsid w:val="007E1581"/>
    <w:rsid w:val="007E1598"/>
    <w:rsid w:val="007E1674"/>
    <w:rsid w:val="007E188F"/>
    <w:rsid w:val="007E19CE"/>
    <w:rsid w:val="007E267F"/>
    <w:rsid w:val="007E2A92"/>
    <w:rsid w:val="007E2CFF"/>
    <w:rsid w:val="007E300E"/>
    <w:rsid w:val="007E3047"/>
    <w:rsid w:val="007E38E6"/>
    <w:rsid w:val="007E39EE"/>
    <w:rsid w:val="007E3D8A"/>
    <w:rsid w:val="007E3DA6"/>
    <w:rsid w:val="007E4678"/>
    <w:rsid w:val="007E47A1"/>
    <w:rsid w:val="007E493D"/>
    <w:rsid w:val="007E49B2"/>
    <w:rsid w:val="007E4A19"/>
    <w:rsid w:val="007E509A"/>
    <w:rsid w:val="007E509F"/>
    <w:rsid w:val="007E544A"/>
    <w:rsid w:val="007E576C"/>
    <w:rsid w:val="007E57A6"/>
    <w:rsid w:val="007E5B89"/>
    <w:rsid w:val="007E5B8A"/>
    <w:rsid w:val="007E5EEF"/>
    <w:rsid w:val="007E624B"/>
    <w:rsid w:val="007E6427"/>
    <w:rsid w:val="007E66B9"/>
    <w:rsid w:val="007E677B"/>
    <w:rsid w:val="007E67C8"/>
    <w:rsid w:val="007E6C11"/>
    <w:rsid w:val="007E7099"/>
    <w:rsid w:val="007E7154"/>
    <w:rsid w:val="007E7576"/>
    <w:rsid w:val="007E7D50"/>
    <w:rsid w:val="007E7EF6"/>
    <w:rsid w:val="007E7F4B"/>
    <w:rsid w:val="007E7F55"/>
    <w:rsid w:val="007F0137"/>
    <w:rsid w:val="007F0786"/>
    <w:rsid w:val="007F0DC8"/>
    <w:rsid w:val="007F0DE2"/>
    <w:rsid w:val="007F0E58"/>
    <w:rsid w:val="007F1043"/>
    <w:rsid w:val="007F1587"/>
    <w:rsid w:val="007F16C0"/>
    <w:rsid w:val="007F1AE7"/>
    <w:rsid w:val="007F1C00"/>
    <w:rsid w:val="007F1CF0"/>
    <w:rsid w:val="007F2689"/>
    <w:rsid w:val="007F2759"/>
    <w:rsid w:val="007F320C"/>
    <w:rsid w:val="007F3629"/>
    <w:rsid w:val="007F3863"/>
    <w:rsid w:val="007F3EF5"/>
    <w:rsid w:val="007F3FB3"/>
    <w:rsid w:val="007F4551"/>
    <w:rsid w:val="007F463B"/>
    <w:rsid w:val="007F4A0D"/>
    <w:rsid w:val="007F4A38"/>
    <w:rsid w:val="007F4A61"/>
    <w:rsid w:val="007F4D7F"/>
    <w:rsid w:val="007F4E55"/>
    <w:rsid w:val="007F5066"/>
    <w:rsid w:val="007F51F0"/>
    <w:rsid w:val="007F546E"/>
    <w:rsid w:val="007F58E6"/>
    <w:rsid w:val="007F5D14"/>
    <w:rsid w:val="007F63B6"/>
    <w:rsid w:val="007F681E"/>
    <w:rsid w:val="007F6A01"/>
    <w:rsid w:val="007F6BBB"/>
    <w:rsid w:val="007F6E26"/>
    <w:rsid w:val="007F7307"/>
    <w:rsid w:val="007F7391"/>
    <w:rsid w:val="007F74F3"/>
    <w:rsid w:val="007F796E"/>
    <w:rsid w:val="008001C5"/>
    <w:rsid w:val="00800230"/>
    <w:rsid w:val="008002AE"/>
    <w:rsid w:val="0080042C"/>
    <w:rsid w:val="00800A54"/>
    <w:rsid w:val="00800D0B"/>
    <w:rsid w:val="00800F56"/>
    <w:rsid w:val="00801077"/>
    <w:rsid w:val="0080121F"/>
    <w:rsid w:val="00801255"/>
    <w:rsid w:val="00801818"/>
    <w:rsid w:val="008018DA"/>
    <w:rsid w:val="00801C0C"/>
    <w:rsid w:val="00801C8A"/>
    <w:rsid w:val="00801D41"/>
    <w:rsid w:val="00803136"/>
    <w:rsid w:val="0080362E"/>
    <w:rsid w:val="0080385F"/>
    <w:rsid w:val="008039B9"/>
    <w:rsid w:val="008039DE"/>
    <w:rsid w:val="00803BAE"/>
    <w:rsid w:val="00803E14"/>
    <w:rsid w:val="00804180"/>
    <w:rsid w:val="0080439A"/>
    <w:rsid w:val="00804761"/>
    <w:rsid w:val="00804B97"/>
    <w:rsid w:val="00804D3D"/>
    <w:rsid w:val="00805448"/>
    <w:rsid w:val="0080561C"/>
    <w:rsid w:val="00805B5E"/>
    <w:rsid w:val="00805DE7"/>
    <w:rsid w:val="00805DEF"/>
    <w:rsid w:val="00805FC5"/>
    <w:rsid w:val="00806163"/>
    <w:rsid w:val="00806266"/>
    <w:rsid w:val="00806314"/>
    <w:rsid w:val="0080639A"/>
    <w:rsid w:val="00806428"/>
    <w:rsid w:val="008066C1"/>
    <w:rsid w:val="008067D4"/>
    <w:rsid w:val="008068B2"/>
    <w:rsid w:val="00806961"/>
    <w:rsid w:val="00806B30"/>
    <w:rsid w:val="00806C99"/>
    <w:rsid w:val="008072F1"/>
    <w:rsid w:val="00807737"/>
    <w:rsid w:val="008079DC"/>
    <w:rsid w:val="00807A6A"/>
    <w:rsid w:val="00807ABE"/>
    <w:rsid w:val="00807B77"/>
    <w:rsid w:val="00810019"/>
    <w:rsid w:val="0081015B"/>
    <w:rsid w:val="0081029E"/>
    <w:rsid w:val="0081033B"/>
    <w:rsid w:val="00810BA9"/>
    <w:rsid w:val="00811180"/>
    <w:rsid w:val="00811423"/>
    <w:rsid w:val="008114C8"/>
    <w:rsid w:val="0081153F"/>
    <w:rsid w:val="008115CD"/>
    <w:rsid w:val="008116B7"/>
    <w:rsid w:val="00811712"/>
    <w:rsid w:val="00811A5F"/>
    <w:rsid w:val="00811A7F"/>
    <w:rsid w:val="0081218A"/>
    <w:rsid w:val="00812476"/>
    <w:rsid w:val="0081266C"/>
    <w:rsid w:val="00812B2D"/>
    <w:rsid w:val="00812DEA"/>
    <w:rsid w:val="0081358E"/>
    <w:rsid w:val="00813B75"/>
    <w:rsid w:val="0081401D"/>
    <w:rsid w:val="008141A7"/>
    <w:rsid w:val="00814320"/>
    <w:rsid w:val="00814490"/>
    <w:rsid w:val="00814C51"/>
    <w:rsid w:val="00814F61"/>
    <w:rsid w:val="00814F66"/>
    <w:rsid w:val="00815253"/>
    <w:rsid w:val="008152DA"/>
    <w:rsid w:val="0081550A"/>
    <w:rsid w:val="00815632"/>
    <w:rsid w:val="00815757"/>
    <w:rsid w:val="00815C78"/>
    <w:rsid w:val="0081658E"/>
    <w:rsid w:val="0081691D"/>
    <w:rsid w:val="008169BE"/>
    <w:rsid w:val="0081729A"/>
    <w:rsid w:val="0081787C"/>
    <w:rsid w:val="00817CFD"/>
    <w:rsid w:val="00817E6F"/>
    <w:rsid w:val="0082019B"/>
    <w:rsid w:val="0082036A"/>
    <w:rsid w:val="0082064D"/>
    <w:rsid w:val="008208D2"/>
    <w:rsid w:val="008209A6"/>
    <w:rsid w:val="00821326"/>
    <w:rsid w:val="00821332"/>
    <w:rsid w:val="008213A2"/>
    <w:rsid w:val="0082179D"/>
    <w:rsid w:val="008221C3"/>
    <w:rsid w:val="00822454"/>
    <w:rsid w:val="00822840"/>
    <w:rsid w:val="0082327D"/>
    <w:rsid w:val="008235E8"/>
    <w:rsid w:val="00823B2C"/>
    <w:rsid w:val="00823CB6"/>
    <w:rsid w:val="00823F27"/>
    <w:rsid w:val="00824C64"/>
    <w:rsid w:val="00824FC8"/>
    <w:rsid w:val="00825B4C"/>
    <w:rsid w:val="00826052"/>
    <w:rsid w:val="0082605E"/>
    <w:rsid w:val="008260BC"/>
    <w:rsid w:val="00826338"/>
    <w:rsid w:val="00826CC7"/>
    <w:rsid w:val="00826D57"/>
    <w:rsid w:val="0082700A"/>
    <w:rsid w:val="0082719D"/>
    <w:rsid w:val="0082754E"/>
    <w:rsid w:val="0082755D"/>
    <w:rsid w:val="0082788A"/>
    <w:rsid w:val="00827D35"/>
    <w:rsid w:val="0083019E"/>
    <w:rsid w:val="008302FE"/>
    <w:rsid w:val="00830338"/>
    <w:rsid w:val="00830609"/>
    <w:rsid w:val="00830A21"/>
    <w:rsid w:val="00830AB9"/>
    <w:rsid w:val="00830F4E"/>
    <w:rsid w:val="00832441"/>
    <w:rsid w:val="008326A9"/>
    <w:rsid w:val="0083272B"/>
    <w:rsid w:val="00832A01"/>
    <w:rsid w:val="00832E53"/>
    <w:rsid w:val="00832EFE"/>
    <w:rsid w:val="00832F92"/>
    <w:rsid w:val="0083300E"/>
    <w:rsid w:val="00833160"/>
    <w:rsid w:val="00833178"/>
    <w:rsid w:val="00833626"/>
    <w:rsid w:val="008338AF"/>
    <w:rsid w:val="00833A4A"/>
    <w:rsid w:val="0083445D"/>
    <w:rsid w:val="00834782"/>
    <w:rsid w:val="00834892"/>
    <w:rsid w:val="00834ABB"/>
    <w:rsid w:val="0083518E"/>
    <w:rsid w:val="008356FC"/>
    <w:rsid w:val="0083618D"/>
    <w:rsid w:val="00836339"/>
    <w:rsid w:val="008369DB"/>
    <w:rsid w:val="00836C87"/>
    <w:rsid w:val="00836D29"/>
    <w:rsid w:val="00836E09"/>
    <w:rsid w:val="00837148"/>
    <w:rsid w:val="008371BE"/>
    <w:rsid w:val="00837522"/>
    <w:rsid w:val="00837800"/>
    <w:rsid w:val="0083786B"/>
    <w:rsid w:val="00837A4A"/>
    <w:rsid w:val="00837A68"/>
    <w:rsid w:val="00837AFC"/>
    <w:rsid w:val="00837C8F"/>
    <w:rsid w:val="008400E3"/>
    <w:rsid w:val="0084034A"/>
    <w:rsid w:val="0084051B"/>
    <w:rsid w:val="008406E4"/>
    <w:rsid w:val="00840883"/>
    <w:rsid w:val="00840E54"/>
    <w:rsid w:val="00841425"/>
    <w:rsid w:val="008416AD"/>
    <w:rsid w:val="008417DD"/>
    <w:rsid w:val="00841975"/>
    <w:rsid w:val="00841AAE"/>
    <w:rsid w:val="008422E2"/>
    <w:rsid w:val="00842540"/>
    <w:rsid w:val="00842D04"/>
    <w:rsid w:val="00843673"/>
    <w:rsid w:val="00843710"/>
    <w:rsid w:val="0084371F"/>
    <w:rsid w:val="00843C50"/>
    <w:rsid w:val="00843C72"/>
    <w:rsid w:val="00843C88"/>
    <w:rsid w:val="00844039"/>
    <w:rsid w:val="0084418D"/>
    <w:rsid w:val="0084451C"/>
    <w:rsid w:val="00844962"/>
    <w:rsid w:val="00844AC7"/>
    <w:rsid w:val="00844C4D"/>
    <w:rsid w:val="0084538A"/>
    <w:rsid w:val="008453B8"/>
    <w:rsid w:val="00845B47"/>
    <w:rsid w:val="00845E09"/>
    <w:rsid w:val="00845F12"/>
    <w:rsid w:val="00845FD4"/>
    <w:rsid w:val="00846249"/>
    <w:rsid w:val="008464DE"/>
    <w:rsid w:val="00846921"/>
    <w:rsid w:val="00846B07"/>
    <w:rsid w:val="00846BA0"/>
    <w:rsid w:val="00846CAE"/>
    <w:rsid w:val="00846FA8"/>
    <w:rsid w:val="0084707D"/>
    <w:rsid w:val="008472F5"/>
    <w:rsid w:val="00847540"/>
    <w:rsid w:val="008475F8"/>
    <w:rsid w:val="00847D2F"/>
    <w:rsid w:val="00847E36"/>
    <w:rsid w:val="0085025E"/>
    <w:rsid w:val="008504AD"/>
    <w:rsid w:val="00850514"/>
    <w:rsid w:val="0085070C"/>
    <w:rsid w:val="00850E0C"/>
    <w:rsid w:val="008513A7"/>
    <w:rsid w:val="0085173D"/>
    <w:rsid w:val="00851BF9"/>
    <w:rsid w:val="00851D34"/>
    <w:rsid w:val="00851E09"/>
    <w:rsid w:val="00851E26"/>
    <w:rsid w:val="00851F03"/>
    <w:rsid w:val="00851F29"/>
    <w:rsid w:val="00851F8F"/>
    <w:rsid w:val="00852153"/>
    <w:rsid w:val="008522BA"/>
    <w:rsid w:val="0085272D"/>
    <w:rsid w:val="0085294A"/>
    <w:rsid w:val="00852E37"/>
    <w:rsid w:val="008535EF"/>
    <w:rsid w:val="008536E7"/>
    <w:rsid w:val="008538F0"/>
    <w:rsid w:val="00853E34"/>
    <w:rsid w:val="00853E53"/>
    <w:rsid w:val="00854412"/>
    <w:rsid w:val="008547DF"/>
    <w:rsid w:val="00854A39"/>
    <w:rsid w:val="00854D82"/>
    <w:rsid w:val="008551C8"/>
    <w:rsid w:val="0085527A"/>
    <w:rsid w:val="00855667"/>
    <w:rsid w:val="00855BAC"/>
    <w:rsid w:val="00855FDB"/>
    <w:rsid w:val="00856071"/>
    <w:rsid w:val="00856085"/>
    <w:rsid w:val="0085625E"/>
    <w:rsid w:val="008566BE"/>
    <w:rsid w:val="00856827"/>
    <w:rsid w:val="00856A9D"/>
    <w:rsid w:val="00856B43"/>
    <w:rsid w:val="00856E02"/>
    <w:rsid w:val="00856FFC"/>
    <w:rsid w:val="00857175"/>
    <w:rsid w:val="008573B6"/>
    <w:rsid w:val="00857441"/>
    <w:rsid w:val="00857A6A"/>
    <w:rsid w:val="00860083"/>
    <w:rsid w:val="00860C25"/>
    <w:rsid w:val="00860FE4"/>
    <w:rsid w:val="008616C6"/>
    <w:rsid w:val="00861821"/>
    <w:rsid w:val="00861E9E"/>
    <w:rsid w:val="008620E7"/>
    <w:rsid w:val="0086266B"/>
    <w:rsid w:val="008628F1"/>
    <w:rsid w:val="00862B52"/>
    <w:rsid w:val="008631E1"/>
    <w:rsid w:val="00863280"/>
    <w:rsid w:val="00863964"/>
    <w:rsid w:val="00863E74"/>
    <w:rsid w:val="00864204"/>
    <w:rsid w:val="008642D8"/>
    <w:rsid w:val="0086430B"/>
    <w:rsid w:val="00864436"/>
    <w:rsid w:val="008645ED"/>
    <w:rsid w:val="00864699"/>
    <w:rsid w:val="00864816"/>
    <w:rsid w:val="00864F68"/>
    <w:rsid w:val="00865315"/>
    <w:rsid w:val="008658D3"/>
    <w:rsid w:val="00865A85"/>
    <w:rsid w:val="00865EAA"/>
    <w:rsid w:val="00865F08"/>
    <w:rsid w:val="00865FE0"/>
    <w:rsid w:val="0086613A"/>
    <w:rsid w:val="00866322"/>
    <w:rsid w:val="008667D4"/>
    <w:rsid w:val="008667DA"/>
    <w:rsid w:val="008668B0"/>
    <w:rsid w:val="0086693A"/>
    <w:rsid w:val="00866A7A"/>
    <w:rsid w:val="00866C70"/>
    <w:rsid w:val="00867470"/>
    <w:rsid w:val="00867968"/>
    <w:rsid w:val="00867973"/>
    <w:rsid w:val="00867E75"/>
    <w:rsid w:val="00867E9A"/>
    <w:rsid w:val="00867EC9"/>
    <w:rsid w:val="0087029D"/>
    <w:rsid w:val="0087031F"/>
    <w:rsid w:val="008703F6"/>
    <w:rsid w:val="008703F7"/>
    <w:rsid w:val="00870921"/>
    <w:rsid w:val="00870B0B"/>
    <w:rsid w:val="00870C77"/>
    <w:rsid w:val="008712C6"/>
    <w:rsid w:val="008714F4"/>
    <w:rsid w:val="0087178D"/>
    <w:rsid w:val="00871C5F"/>
    <w:rsid w:val="00871D0A"/>
    <w:rsid w:val="00871E96"/>
    <w:rsid w:val="008721FE"/>
    <w:rsid w:val="0087247A"/>
    <w:rsid w:val="00872728"/>
    <w:rsid w:val="008727BB"/>
    <w:rsid w:val="00872C36"/>
    <w:rsid w:val="00873490"/>
    <w:rsid w:val="0087352F"/>
    <w:rsid w:val="0087358E"/>
    <w:rsid w:val="0087362D"/>
    <w:rsid w:val="00873783"/>
    <w:rsid w:val="00873A06"/>
    <w:rsid w:val="00873D52"/>
    <w:rsid w:val="00873E0C"/>
    <w:rsid w:val="00873F2B"/>
    <w:rsid w:val="008742C9"/>
    <w:rsid w:val="0087569D"/>
    <w:rsid w:val="0087574D"/>
    <w:rsid w:val="008759BC"/>
    <w:rsid w:val="00875F1F"/>
    <w:rsid w:val="00876091"/>
    <w:rsid w:val="008761B4"/>
    <w:rsid w:val="008761DB"/>
    <w:rsid w:val="00876468"/>
    <w:rsid w:val="008765FD"/>
    <w:rsid w:val="00876648"/>
    <w:rsid w:val="00876DDF"/>
    <w:rsid w:val="00876FA3"/>
    <w:rsid w:val="008771DC"/>
    <w:rsid w:val="008776C9"/>
    <w:rsid w:val="008776F0"/>
    <w:rsid w:val="00877A67"/>
    <w:rsid w:val="00877C10"/>
    <w:rsid w:val="00877CF6"/>
    <w:rsid w:val="00877EBB"/>
    <w:rsid w:val="00880168"/>
    <w:rsid w:val="0088032E"/>
    <w:rsid w:val="00880705"/>
    <w:rsid w:val="008807F3"/>
    <w:rsid w:val="008808FE"/>
    <w:rsid w:val="00880DA3"/>
    <w:rsid w:val="00880E6B"/>
    <w:rsid w:val="0088123B"/>
    <w:rsid w:val="008812A9"/>
    <w:rsid w:val="00881836"/>
    <w:rsid w:val="00881892"/>
    <w:rsid w:val="00881B54"/>
    <w:rsid w:val="008822B7"/>
    <w:rsid w:val="008822E7"/>
    <w:rsid w:val="00882470"/>
    <w:rsid w:val="008824FE"/>
    <w:rsid w:val="00882677"/>
    <w:rsid w:val="008827CC"/>
    <w:rsid w:val="0088293E"/>
    <w:rsid w:val="0088327C"/>
    <w:rsid w:val="00883280"/>
    <w:rsid w:val="008833C5"/>
    <w:rsid w:val="008837D5"/>
    <w:rsid w:val="00883864"/>
    <w:rsid w:val="0088391C"/>
    <w:rsid w:val="00883BEC"/>
    <w:rsid w:val="00883D51"/>
    <w:rsid w:val="00883DC5"/>
    <w:rsid w:val="00883EFF"/>
    <w:rsid w:val="00884275"/>
    <w:rsid w:val="0088481B"/>
    <w:rsid w:val="00884837"/>
    <w:rsid w:val="00884D5E"/>
    <w:rsid w:val="00884FD3"/>
    <w:rsid w:val="00884FF0"/>
    <w:rsid w:val="008853A4"/>
    <w:rsid w:val="0088585D"/>
    <w:rsid w:val="00885E7F"/>
    <w:rsid w:val="0088605E"/>
    <w:rsid w:val="008862C5"/>
    <w:rsid w:val="00886302"/>
    <w:rsid w:val="008866E6"/>
    <w:rsid w:val="0088674F"/>
    <w:rsid w:val="00886795"/>
    <w:rsid w:val="00886944"/>
    <w:rsid w:val="00886988"/>
    <w:rsid w:val="008869C7"/>
    <w:rsid w:val="00886E44"/>
    <w:rsid w:val="00886EBD"/>
    <w:rsid w:val="00887431"/>
    <w:rsid w:val="00887492"/>
    <w:rsid w:val="008874E4"/>
    <w:rsid w:val="008877F0"/>
    <w:rsid w:val="008878C0"/>
    <w:rsid w:val="008879A7"/>
    <w:rsid w:val="008879BA"/>
    <w:rsid w:val="00887CB5"/>
    <w:rsid w:val="0089028B"/>
    <w:rsid w:val="008905D0"/>
    <w:rsid w:val="00890846"/>
    <w:rsid w:val="008910A8"/>
    <w:rsid w:val="00891259"/>
    <w:rsid w:val="00891A37"/>
    <w:rsid w:val="00891F69"/>
    <w:rsid w:val="00892412"/>
    <w:rsid w:val="008926AC"/>
    <w:rsid w:val="008930EC"/>
    <w:rsid w:val="008931D2"/>
    <w:rsid w:val="0089332C"/>
    <w:rsid w:val="008939DF"/>
    <w:rsid w:val="00893C5E"/>
    <w:rsid w:val="00894105"/>
    <w:rsid w:val="008943DC"/>
    <w:rsid w:val="008948BC"/>
    <w:rsid w:val="008948D8"/>
    <w:rsid w:val="00894913"/>
    <w:rsid w:val="00894B17"/>
    <w:rsid w:val="00894C83"/>
    <w:rsid w:val="00895096"/>
    <w:rsid w:val="008950A3"/>
    <w:rsid w:val="008950C0"/>
    <w:rsid w:val="0089538B"/>
    <w:rsid w:val="0089559A"/>
    <w:rsid w:val="00895CE7"/>
    <w:rsid w:val="008960CE"/>
    <w:rsid w:val="0089618D"/>
    <w:rsid w:val="00896241"/>
    <w:rsid w:val="008967E8"/>
    <w:rsid w:val="00896B8A"/>
    <w:rsid w:val="00896CD8"/>
    <w:rsid w:val="00897001"/>
    <w:rsid w:val="00897084"/>
    <w:rsid w:val="008974C9"/>
    <w:rsid w:val="008974FE"/>
    <w:rsid w:val="00897AC3"/>
    <w:rsid w:val="00897CD2"/>
    <w:rsid w:val="00897F35"/>
    <w:rsid w:val="008A03F5"/>
    <w:rsid w:val="008A0429"/>
    <w:rsid w:val="008A0541"/>
    <w:rsid w:val="008A05DA"/>
    <w:rsid w:val="008A0762"/>
    <w:rsid w:val="008A0F5D"/>
    <w:rsid w:val="008A1122"/>
    <w:rsid w:val="008A116C"/>
    <w:rsid w:val="008A1BE2"/>
    <w:rsid w:val="008A1D5F"/>
    <w:rsid w:val="008A21B8"/>
    <w:rsid w:val="008A23AC"/>
    <w:rsid w:val="008A261E"/>
    <w:rsid w:val="008A26B0"/>
    <w:rsid w:val="008A2718"/>
    <w:rsid w:val="008A2848"/>
    <w:rsid w:val="008A288B"/>
    <w:rsid w:val="008A2DAD"/>
    <w:rsid w:val="008A2FFC"/>
    <w:rsid w:val="008A30CD"/>
    <w:rsid w:val="008A35C2"/>
    <w:rsid w:val="008A38FC"/>
    <w:rsid w:val="008A3C99"/>
    <w:rsid w:val="008A3D7C"/>
    <w:rsid w:val="008A3DC1"/>
    <w:rsid w:val="008A4245"/>
    <w:rsid w:val="008A45C3"/>
    <w:rsid w:val="008A47C5"/>
    <w:rsid w:val="008A4845"/>
    <w:rsid w:val="008A4995"/>
    <w:rsid w:val="008A4E4F"/>
    <w:rsid w:val="008A5189"/>
    <w:rsid w:val="008A521D"/>
    <w:rsid w:val="008A5235"/>
    <w:rsid w:val="008A55DF"/>
    <w:rsid w:val="008A60EA"/>
    <w:rsid w:val="008A6117"/>
    <w:rsid w:val="008A6168"/>
    <w:rsid w:val="008A6299"/>
    <w:rsid w:val="008A66B9"/>
    <w:rsid w:val="008A6793"/>
    <w:rsid w:val="008A6EE8"/>
    <w:rsid w:val="008A6F68"/>
    <w:rsid w:val="008A7350"/>
    <w:rsid w:val="008A754F"/>
    <w:rsid w:val="008A7A39"/>
    <w:rsid w:val="008A7BCF"/>
    <w:rsid w:val="008B008C"/>
    <w:rsid w:val="008B0106"/>
    <w:rsid w:val="008B04C1"/>
    <w:rsid w:val="008B08B9"/>
    <w:rsid w:val="008B08DF"/>
    <w:rsid w:val="008B092E"/>
    <w:rsid w:val="008B0A0C"/>
    <w:rsid w:val="008B0C1A"/>
    <w:rsid w:val="008B0D40"/>
    <w:rsid w:val="008B0DA7"/>
    <w:rsid w:val="008B0EB1"/>
    <w:rsid w:val="008B1235"/>
    <w:rsid w:val="008B15C5"/>
    <w:rsid w:val="008B2247"/>
    <w:rsid w:val="008B241C"/>
    <w:rsid w:val="008B24EA"/>
    <w:rsid w:val="008B25D3"/>
    <w:rsid w:val="008B2677"/>
    <w:rsid w:val="008B2889"/>
    <w:rsid w:val="008B288A"/>
    <w:rsid w:val="008B2B41"/>
    <w:rsid w:val="008B300C"/>
    <w:rsid w:val="008B321C"/>
    <w:rsid w:val="008B33AD"/>
    <w:rsid w:val="008B3804"/>
    <w:rsid w:val="008B38E7"/>
    <w:rsid w:val="008B39B7"/>
    <w:rsid w:val="008B3A2A"/>
    <w:rsid w:val="008B3C33"/>
    <w:rsid w:val="008B41CA"/>
    <w:rsid w:val="008B42FE"/>
    <w:rsid w:val="008B4556"/>
    <w:rsid w:val="008B45C6"/>
    <w:rsid w:val="008B468B"/>
    <w:rsid w:val="008B4938"/>
    <w:rsid w:val="008B5282"/>
    <w:rsid w:val="008B53D4"/>
    <w:rsid w:val="008B5A36"/>
    <w:rsid w:val="008B5CAA"/>
    <w:rsid w:val="008B6330"/>
    <w:rsid w:val="008B64C6"/>
    <w:rsid w:val="008B64FD"/>
    <w:rsid w:val="008B6B08"/>
    <w:rsid w:val="008B6BE4"/>
    <w:rsid w:val="008B6C81"/>
    <w:rsid w:val="008B6D44"/>
    <w:rsid w:val="008B6E46"/>
    <w:rsid w:val="008B6F03"/>
    <w:rsid w:val="008B6F31"/>
    <w:rsid w:val="008B701D"/>
    <w:rsid w:val="008B750E"/>
    <w:rsid w:val="008B77BF"/>
    <w:rsid w:val="008B78F0"/>
    <w:rsid w:val="008B79C2"/>
    <w:rsid w:val="008B7D22"/>
    <w:rsid w:val="008B7F0B"/>
    <w:rsid w:val="008B7F94"/>
    <w:rsid w:val="008C0266"/>
    <w:rsid w:val="008C07A9"/>
    <w:rsid w:val="008C08A0"/>
    <w:rsid w:val="008C08D8"/>
    <w:rsid w:val="008C08EC"/>
    <w:rsid w:val="008C0CE4"/>
    <w:rsid w:val="008C0FAF"/>
    <w:rsid w:val="008C11B1"/>
    <w:rsid w:val="008C11C5"/>
    <w:rsid w:val="008C1929"/>
    <w:rsid w:val="008C1991"/>
    <w:rsid w:val="008C19A5"/>
    <w:rsid w:val="008C1E6C"/>
    <w:rsid w:val="008C227D"/>
    <w:rsid w:val="008C283F"/>
    <w:rsid w:val="008C2ACD"/>
    <w:rsid w:val="008C2B41"/>
    <w:rsid w:val="008C2DE8"/>
    <w:rsid w:val="008C3299"/>
    <w:rsid w:val="008C335C"/>
    <w:rsid w:val="008C3411"/>
    <w:rsid w:val="008C35CE"/>
    <w:rsid w:val="008C3840"/>
    <w:rsid w:val="008C3C1A"/>
    <w:rsid w:val="008C3E26"/>
    <w:rsid w:val="008C3EC4"/>
    <w:rsid w:val="008C41F9"/>
    <w:rsid w:val="008C4648"/>
    <w:rsid w:val="008C4770"/>
    <w:rsid w:val="008C4B14"/>
    <w:rsid w:val="008C4B96"/>
    <w:rsid w:val="008C52A6"/>
    <w:rsid w:val="008C5607"/>
    <w:rsid w:val="008C5ABB"/>
    <w:rsid w:val="008C5C2B"/>
    <w:rsid w:val="008C5DD6"/>
    <w:rsid w:val="008C5EA8"/>
    <w:rsid w:val="008C5F04"/>
    <w:rsid w:val="008C60CB"/>
    <w:rsid w:val="008C61B0"/>
    <w:rsid w:val="008C6604"/>
    <w:rsid w:val="008C671F"/>
    <w:rsid w:val="008C698B"/>
    <w:rsid w:val="008C6DA9"/>
    <w:rsid w:val="008C6DAF"/>
    <w:rsid w:val="008C738C"/>
    <w:rsid w:val="008C741C"/>
    <w:rsid w:val="008C74B7"/>
    <w:rsid w:val="008C75A5"/>
    <w:rsid w:val="008C77CA"/>
    <w:rsid w:val="008C7867"/>
    <w:rsid w:val="008C7B81"/>
    <w:rsid w:val="008C7C13"/>
    <w:rsid w:val="008D0202"/>
    <w:rsid w:val="008D024A"/>
    <w:rsid w:val="008D030E"/>
    <w:rsid w:val="008D0649"/>
    <w:rsid w:val="008D079F"/>
    <w:rsid w:val="008D0956"/>
    <w:rsid w:val="008D0A60"/>
    <w:rsid w:val="008D0ED4"/>
    <w:rsid w:val="008D0F22"/>
    <w:rsid w:val="008D0FEA"/>
    <w:rsid w:val="008D10B8"/>
    <w:rsid w:val="008D1123"/>
    <w:rsid w:val="008D1655"/>
    <w:rsid w:val="008D1772"/>
    <w:rsid w:val="008D1DC7"/>
    <w:rsid w:val="008D226B"/>
    <w:rsid w:val="008D2373"/>
    <w:rsid w:val="008D23C3"/>
    <w:rsid w:val="008D25CA"/>
    <w:rsid w:val="008D2A7B"/>
    <w:rsid w:val="008D30B3"/>
    <w:rsid w:val="008D322C"/>
    <w:rsid w:val="008D42C4"/>
    <w:rsid w:val="008D4514"/>
    <w:rsid w:val="008D4664"/>
    <w:rsid w:val="008D46C9"/>
    <w:rsid w:val="008D48B6"/>
    <w:rsid w:val="008D4903"/>
    <w:rsid w:val="008D490E"/>
    <w:rsid w:val="008D49AF"/>
    <w:rsid w:val="008D4C2F"/>
    <w:rsid w:val="008D4CBA"/>
    <w:rsid w:val="008D5038"/>
    <w:rsid w:val="008D53D4"/>
    <w:rsid w:val="008D5548"/>
    <w:rsid w:val="008D5560"/>
    <w:rsid w:val="008D59FF"/>
    <w:rsid w:val="008D5F44"/>
    <w:rsid w:val="008D5F6C"/>
    <w:rsid w:val="008D608C"/>
    <w:rsid w:val="008D60FC"/>
    <w:rsid w:val="008D6223"/>
    <w:rsid w:val="008D6277"/>
    <w:rsid w:val="008D640E"/>
    <w:rsid w:val="008D6756"/>
    <w:rsid w:val="008D6778"/>
    <w:rsid w:val="008D6798"/>
    <w:rsid w:val="008D6CDC"/>
    <w:rsid w:val="008D6E8C"/>
    <w:rsid w:val="008D6E92"/>
    <w:rsid w:val="008D6EC0"/>
    <w:rsid w:val="008D71D7"/>
    <w:rsid w:val="008D733A"/>
    <w:rsid w:val="008D74E6"/>
    <w:rsid w:val="008D74E7"/>
    <w:rsid w:val="008D78CB"/>
    <w:rsid w:val="008D7A61"/>
    <w:rsid w:val="008D7DFD"/>
    <w:rsid w:val="008D7F8E"/>
    <w:rsid w:val="008E0361"/>
    <w:rsid w:val="008E06EB"/>
    <w:rsid w:val="008E0B20"/>
    <w:rsid w:val="008E0D1F"/>
    <w:rsid w:val="008E12BC"/>
    <w:rsid w:val="008E143E"/>
    <w:rsid w:val="008E1482"/>
    <w:rsid w:val="008E1714"/>
    <w:rsid w:val="008E1946"/>
    <w:rsid w:val="008E1BA6"/>
    <w:rsid w:val="008E1DA3"/>
    <w:rsid w:val="008E1DB3"/>
    <w:rsid w:val="008E1DBF"/>
    <w:rsid w:val="008E2264"/>
    <w:rsid w:val="008E250A"/>
    <w:rsid w:val="008E29E5"/>
    <w:rsid w:val="008E2FCF"/>
    <w:rsid w:val="008E31F6"/>
    <w:rsid w:val="008E367D"/>
    <w:rsid w:val="008E369E"/>
    <w:rsid w:val="008E37E8"/>
    <w:rsid w:val="008E3A34"/>
    <w:rsid w:val="008E3A87"/>
    <w:rsid w:val="008E3C00"/>
    <w:rsid w:val="008E3ED3"/>
    <w:rsid w:val="008E42F2"/>
    <w:rsid w:val="008E4399"/>
    <w:rsid w:val="008E45FB"/>
    <w:rsid w:val="008E468E"/>
    <w:rsid w:val="008E4702"/>
    <w:rsid w:val="008E47BB"/>
    <w:rsid w:val="008E4AD4"/>
    <w:rsid w:val="008E4B7F"/>
    <w:rsid w:val="008E5168"/>
    <w:rsid w:val="008E59B0"/>
    <w:rsid w:val="008E5AF2"/>
    <w:rsid w:val="008E60EC"/>
    <w:rsid w:val="008E6383"/>
    <w:rsid w:val="008E63DE"/>
    <w:rsid w:val="008E63E5"/>
    <w:rsid w:val="008E6763"/>
    <w:rsid w:val="008E6A3F"/>
    <w:rsid w:val="008E6A57"/>
    <w:rsid w:val="008E6AE8"/>
    <w:rsid w:val="008E6FFB"/>
    <w:rsid w:val="008E7803"/>
    <w:rsid w:val="008E7B91"/>
    <w:rsid w:val="008F0353"/>
    <w:rsid w:val="008F05E1"/>
    <w:rsid w:val="008F0797"/>
    <w:rsid w:val="008F0827"/>
    <w:rsid w:val="008F11D8"/>
    <w:rsid w:val="008F131F"/>
    <w:rsid w:val="008F154D"/>
    <w:rsid w:val="008F15B9"/>
    <w:rsid w:val="008F1A82"/>
    <w:rsid w:val="008F1B70"/>
    <w:rsid w:val="008F1C77"/>
    <w:rsid w:val="008F1DEB"/>
    <w:rsid w:val="008F2016"/>
    <w:rsid w:val="008F2113"/>
    <w:rsid w:val="008F24B3"/>
    <w:rsid w:val="008F2665"/>
    <w:rsid w:val="008F29D4"/>
    <w:rsid w:val="008F2B53"/>
    <w:rsid w:val="008F2CF9"/>
    <w:rsid w:val="008F2E65"/>
    <w:rsid w:val="008F2F51"/>
    <w:rsid w:val="008F2FEC"/>
    <w:rsid w:val="008F3181"/>
    <w:rsid w:val="008F325A"/>
    <w:rsid w:val="008F32C9"/>
    <w:rsid w:val="008F344A"/>
    <w:rsid w:val="008F3B73"/>
    <w:rsid w:val="008F3DE9"/>
    <w:rsid w:val="008F3F7A"/>
    <w:rsid w:val="008F3FF5"/>
    <w:rsid w:val="008F4169"/>
    <w:rsid w:val="008F4359"/>
    <w:rsid w:val="008F437A"/>
    <w:rsid w:val="008F443F"/>
    <w:rsid w:val="008F479B"/>
    <w:rsid w:val="008F47D3"/>
    <w:rsid w:val="008F495B"/>
    <w:rsid w:val="008F4C11"/>
    <w:rsid w:val="008F4D06"/>
    <w:rsid w:val="008F4E51"/>
    <w:rsid w:val="008F4E98"/>
    <w:rsid w:val="008F5384"/>
    <w:rsid w:val="008F5A2F"/>
    <w:rsid w:val="008F6148"/>
    <w:rsid w:val="008F6200"/>
    <w:rsid w:val="008F673B"/>
    <w:rsid w:val="008F69A9"/>
    <w:rsid w:val="008F69DB"/>
    <w:rsid w:val="008F6AEA"/>
    <w:rsid w:val="008F7121"/>
    <w:rsid w:val="008F75F6"/>
    <w:rsid w:val="008F77C4"/>
    <w:rsid w:val="008F787F"/>
    <w:rsid w:val="008F7AB1"/>
    <w:rsid w:val="008F7B0C"/>
    <w:rsid w:val="00900167"/>
    <w:rsid w:val="009002DC"/>
    <w:rsid w:val="00900B87"/>
    <w:rsid w:val="00901174"/>
    <w:rsid w:val="00901322"/>
    <w:rsid w:val="009015F7"/>
    <w:rsid w:val="00901721"/>
    <w:rsid w:val="009017F2"/>
    <w:rsid w:val="009020DA"/>
    <w:rsid w:val="00902295"/>
    <w:rsid w:val="00902303"/>
    <w:rsid w:val="0090248B"/>
    <w:rsid w:val="00902F1A"/>
    <w:rsid w:val="00903586"/>
    <w:rsid w:val="009035FA"/>
    <w:rsid w:val="00903733"/>
    <w:rsid w:val="0090375E"/>
    <w:rsid w:val="009037C6"/>
    <w:rsid w:val="00903872"/>
    <w:rsid w:val="00903A03"/>
    <w:rsid w:val="00903BA1"/>
    <w:rsid w:val="00903CED"/>
    <w:rsid w:val="00903F58"/>
    <w:rsid w:val="00903F8C"/>
    <w:rsid w:val="0090445D"/>
    <w:rsid w:val="00904872"/>
    <w:rsid w:val="00904F81"/>
    <w:rsid w:val="00905423"/>
    <w:rsid w:val="00905714"/>
    <w:rsid w:val="0090576C"/>
    <w:rsid w:val="0090696D"/>
    <w:rsid w:val="00906B76"/>
    <w:rsid w:val="00907077"/>
    <w:rsid w:val="0090712B"/>
    <w:rsid w:val="00907287"/>
    <w:rsid w:val="00907873"/>
    <w:rsid w:val="00907949"/>
    <w:rsid w:val="0091008B"/>
    <w:rsid w:val="009102E0"/>
    <w:rsid w:val="0091052B"/>
    <w:rsid w:val="009105AC"/>
    <w:rsid w:val="0091080D"/>
    <w:rsid w:val="00910996"/>
    <w:rsid w:val="00910CCF"/>
    <w:rsid w:val="00910FF9"/>
    <w:rsid w:val="0091120A"/>
    <w:rsid w:val="0091149E"/>
    <w:rsid w:val="0091156C"/>
    <w:rsid w:val="009115B4"/>
    <w:rsid w:val="0091160C"/>
    <w:rsid w:val="009119D9"/>
    <w:rsid w:val="00911AA2"/>
    <w:rsid w:val="00911B7F"/>
    <w:rsid w:val="00911B83"/>
    <w:rsid w:val="00911E98"/>
    <w:rsid w:val="0091269A"/>
    <w:rsid w:val="0091273D"/>
    <w:rsid w:val="00912AA1"/>
    <w:rsid w:val="00912BA1"/>
    <w:rsid w:val="00912D2B"/>
    <w:rsid w:val="00912FB5"/>
    <w:rsid w:val="00913328"/>
    <w:rsid w:val="0091391A"/>
    <w:rsid w:val="00913C17"/>
    <w:rsid w:val="00913DEB"/>
    <w:rsid w:val="009140F9"/>
    <w:rsid w:val="0091410F"/>
    <w:rsid w:val="00914144"/>
    <w:rsid w:val="00914510"/>
    <w:rsid w:val="009153A3"/>
    <w:rsid w:val="00915647"/>
    <w:rsid w:val="00915937"/>
    <w:rsid w:val="0091598B"/>
    <w:rsid w:val="00915A78"/>
    <w:rsid w:val="00915D6E"/>
    <w:rsid w:val="00915E0E"/>
    <w:rsid w:val="00915EA9"/>
    <w:rsid w:val="00916112"/>
    <w:rsid w:val="00916200"/>
    <w:rsid w:val="00916291"/>
    <w:rsid w:val="00916491"/>
    <w:rsid w:val="00916603"/>
    <w:rsid w:val="009166EC"/>
    <w:rsid w:val="009168A1"/>
    <w:rsid w:val="009169C5"/>
    <w:rsid w:val="00916B93"/>
    <w:rsid w:val="00917196"/>
    <w:rsid w:val="0091742E"/>
    <w:rsid w:val="0091746F"/>
    <w:rsid w:val="00917A00"/>
    <w:rsid w:val="00917A43"/>
    <w:rsid w:val="00917EC0"/>
    <w:rsid w:val="009200AC"/>
    <w:rsid w:val="0092036F"/>
    <w:rsid w:val="009204F0"/>
    <w:rsid w:val="00920748"/>
    <w:rsid w:val="009208D6"/>
    <w:rsid w:val="00921020"/>
    <w:rsid w:val="0092114E"/>
    <w:rsid w:val="0092142D"/>
    <w:rsid w:val="00921484"/>
    <w:rsid w:val="009217BF"/>
    <w:rsid w:val="00921A3F"/>
    <w:rsid w:val="00921A50"/>
    <w:rsid w:val="00921B85"/>
    <w:rsid w:val="00921C45"/>
    <w:rsid w:val="009226E9"/>
    <w:rsid w:val="00922739"/>
    <w:rsid w:val="00922897"/>
    <w:rsid w:val="00922BC2"/>
    <w:rsid w:val="00922BC6"/>
    <w:rsid w:val="00922D85"/>
    <w:rsid w:val="00923391"/>
    <w:rsid w:val="009234E0"/>
    <w:rsid w:val="0092387B"/>
    <w:rsid w:val="00923F7C"/>
    <w:rsid w:val="0092401B"/>
    <w:rsid w:val="00924028"/>
    <w:rsid w:val="009243A3"/>
    <w:rsid w:val="00924B79"/>
    <w:rsid w:val="00924BF1"/>
    <w:rsid w:val="00924F6C"/>
    <w:rsid w:val="00925044"/>
    <w:rsid w:val="0092612E"/>
    <w:rsid w:val="009261E3"/>
    <w:rsid w:val="0092634D"/>
    <w:rsid w:val="009269D8"/>
    <w:rsid w:val="00926AD6"/>
    <w:rsid w:val="00926C53"/>
    <w:rsid w:val="00927213"/>
    <w:rsid w:val="009277C2"/>
    <w:rsid w:val="009278F6"/>
    <w:rsid w:val="00927B60"/>
    <w:rsid w:val="00927C40"/>
    <w:rsid w:val="00927E17"/>
    <w:rsid w:val="00927E4F"/>
    <w:rsid w:val="009301C1"/>
    <w:rsid w:val="00930CF3"/>
    <w:rsid w:val="00930F3B"/>
    <w:rsid w:val="0093108E"/>
    <w:rsid w:val="00931352"/>
    <w:rsid w:val="00931444"/>
    <w:rsid w:val="0093158F"/>
    <w:rsid w:val="00931866"/>
    <w:rsid w:val="00931CC1"/>
    <w:rsid w:val="00931D07"/>
    <w:rsid w:val="009321BC"/>
    <w:rsid w:val="0093228A"/>
    <w:rsid w:val="009322E7"/>
    <w:rsid w:val="0093298F"/>
    <w:rsid w:val="00932AE2"/>
    <w:rsid w:val="00933031"/>
    <w:rsid w:val="0093324F"/>
    <w:rsid w:val="009332DD"/>
    <w:rsid w:val="009334F1"/>
    <w:rsid w:val="00933A31"/>
    <w:rsid w:val="00933B8E"/>
    <w:rsid w:val="00933CEF"/>
    <w:rsid w:val="00933E4A"/>
    <w:rsid w:val="00933F83"/>
    <w:rsid w:val="00934123"/>
    <w:rsid w:val="00934177"/>
    <w:rsid w:val="0093450B"/>
    <w:rsid w:val="009345D6"/>
    <w:rsid w:val="009346DE"/>
    <w:rsid w:val="00934767"/>
    <w:rsid w:val="00934A48"/>
    <w:rsid w:val="00934ABB"/>
    <w:rsid w:val="00934C9D"/>
    <w:rsid w:val="00934F50"/>
    <w:rsid w:val="00934FB3"/>
    <w:rsid w:val="009356E8"/>
    <w:rsid w:val="00935853"/>
    <w:rsid w:val="009358C9"/>
    <w:rsid w:val="00935ADA"/>
    <w:rsid w:val="00935E16"/>
    <w:rsid w:val="009362BE"/>
    <w:rsid w:val="00936797"/>
    <w:rsid w:val="009367A8"/>
    <w:rsid w:val="00936876"/>
    <w:rsid w:val="009371F3"/>
    <w:rsid w:val="00937C01"/>
    <w:rsid w:val="00937E86"/>
    <w:rsid w:val="00940063"/>
    <w:rsid w:val="009402C1"/>
    <w:rsid w:val="009407D5"/>
    <w:rsid w:val="009413E9"/>
    <w:rsid w:val="0094150E"/>
    <w:rsid w:val="0094182A"/>
    <w:rsid w:val="00941870"/>
    <w:rsid w:val="009418C1"/>
    <w:rsid w:val="009423D7"/>
    <w:rsid w:val="00942555"/>
    <w:rsid w:val="00942599"/>
    <w:rsid w:val="00942631"/>
    <w:rsid w:val="009427BA"/>
    <w:rsid w:val="00942AB1"/>
    <w:rsid w:val="00942EDE"/>
    <w:rsid w:val="00942F9A"/>
    <w:rsid w:val="009436B6"/>
    <w:rsid w:val="009436C4"/>
    <w:rsid w:val="009438DD"/>
    <w:rsid w:val="0094394C"/>
    <w:rsid w:val="00943BD3"/>
    <w:rsid w:val="00943E33"/>
    <w:rsid w:val="00943EFC"/>
    <w:rsid w:val="00944065"/>
    <w:rsid w:val="009441CF"/>
    <w:rsid w:val="009442DC"/>
    <w:rsid w:val="00944598"/>
    <w:rsid w:val="0094467D"/>
    <w:rsid w:val="00944872"/>
    <w:rsid w:val="00944955"/>
    <w:rsid w:val="00944990"/>
    <w:rsid w:val="009449CF"/>
    <w:rsid w:val="00944AD6"/>
    <w:rsid w:val="00944DBB"/>
    <w:rsid w:val="00944EFF"/>
    <w:rsid w:val="00944FE0"/>
    <w:rsid w:val="00945D3A"/>
    <w:rsid w:val="0094613C"/>
    <w:rsid w:val="009462F9"/>
    <w:rsid w:val="0094663E"/>
    <w:rsid w:val="00946A86"/>
    <w:rsid w:val="00946B9D"/>
    <w:rsid w:val="00946BFA"/>
    <w:rsid w:val="00946CF6"/>
    <w:rsid w:val="0094726A"/>
    <w:rsid w:val="009472E8"/>
    <w:rsid w:val="00947A08"/>
    <w:rsid w:val="00947D2E"/>
    <w:rsid w:val="00947DA3"/>
    <w:rsid w:val="00947F14"/>
    <w:rsid w:val="0095074E"/>
    <w:rsid w:val="009507D1"/>
    <w:rsid w:val="009508A0"/>
    <w:rsid w:val="00950A6E"/>
    <w:rsid w:val="00950FFD"/>
    <w:rsid w:val="00951598"/>
    <w:rsid w:val="00951667"/>
    <w:rsid w:val="00951FCB"/>
    <w:rsid w:val="0095235F"/>
    <w:rsid w:val="009523C2"/>
    <w:rsid w:val="009523F9"/>
    <w:rsid w:val="009526E7"/>
    <w:rsid w:val="009528CE"/>
    <w:rsid w:val="00952BE4"/>
    <w:rsid w:val="0095333C"/>
    <w:rsid w:val="00953474"/>
    <w:rsid w:val="009539BB"/>
    <w:rsid w:val="00953B49"/>
    <w:rsid w:val="00953BD3"/>
    <w:rsid w:val="00953E71"/>
    <w:rsid w:val="009541A0"/>
    <w:rsid w:val="00954C16"/>
    <w:rsid w:val="00954CCC"/>
    <w:rsid w:val="00954F10"/>
    <w:rsid w:val="00955031"/>
    <w:rsid w:val="009555A7"/>
    <w:rsid w:val="009556D1"/>
    <w:rsid w:val="0095576D"/>
    <w:rsid w:val="009557DF"/>
    <w:rsid w:val="00955936"/>
    <w:rsid w:val="00955B5E"/>
    <w:rsid w:val="00955DC0"/>
    <w:rsid w:val="00955F8E"/>
    <w:rsid w:val="009560E3"/>
    <w:rsid w:val="009560EC"/>
    <w:rsid w:val="009561AB"/>
    <w:rsid w:val="00956208"/>
    <w:rsid w:val="009562EB"/>
    <w:rsid w:val="009569FC"/>
    <w:rsid w:val="00957071"/>
    <w:rsid w:val="0095722B"/>
    <w:rsid w:val="009574D7"/>
    <w:rsid w:val="009575BF"/>
    <w:rsid w:val="009603FC"/>
    <w:rsid w:val="0096059C"/>
    <w:rsid w:val="009608D0"/>
    <w:rsid w:val="00960ADD"/>
    <w:rsid w:val="00960CD0"/>
    <w:rsid w:val="00960F59"/>
    <w:rsid w:val="00961061"/>
    <w:rsid w:val="00961152"/>
    <w:rsid w:val="009612C4"/>
    <w:rsid w:val="00961512"/>
    <w:rsid w:val="00961973"/>
    <w:rsid w:val="00961BD5"/>
    <w:rsid w:val="00961E16"/>
    <w:rsid w:val="009622F6"/>
    <w:rsid w:val="0096231B"/>
    <w:rsid w:val="00962445"/>
    <w:rsid w:val="00962BF6"/>
    <w:rsid w:val="00962C6E"/>
    <w:rsid w:val="00962DFB"/>
    <w:rsid w:val="00962E20"/>
    <w:rsid w:val="00962EDF"/>
    <w:rsid w:val="00962F1C"/>
    <w:rsid w:val="009635E3"/>
    <w:rsid w:val="00963C6D"/>
    <w:rsid w:val="00963D5B"/>
    <w:rsid w:val="00963DFC"/>
    <w:rsid w:val="0096403E"/>
    <w:rsid w:val="009640F7"/>
    <w:rsid w:val="00964232"/>
    <w:rsid w:val="009645F5"/>
    <w:rsid w:val="00964989"/>
    <w:rsid w:val="00964A12"/>
    <w:rsid w:val="00964A5C"/>
    <w:rsid w:val="00964B15"/>
    <w:rsid w:val="00965299"/>
    <w:rsid w:val="009652FF"/>
    <w:rsid w:val="00965770"/>
    <w:rsid w:val="00965A0A"/>
    <w:rsid w:val="00965CAE"/>
    <w:rsid w:val="00965D72"/>
    <w:rsid w:val="00965E92"/>
    <w:rsid w:val="00965ECE"/>
    <w:rsid w:val="00966019"/>
    <w:rsid w:val="009660A6"/>
    <w:rsid w:val="00966209"/>
    <w:rsid w:val="009663C3"/>
    <w:rsid w:val="00966782"/>
    <w:rsid w:val="009667A1"/>
    <w:rsid w:val="00966988"/>
    <w:rsid w:val="00966F58"/>
    <w:rsid w:val="0096714E"/>
    <w:rsid w:val="00967481"/>
    <w:rsid w:val="0096770A"/>
    <w:rsid w:val="00967BEB"/>
    <w:rsid w:val="00967E96"/>
    <w:rsid w:val="0097007E"/>
    <w:rsid w:val="0097008C"/>
    <w:rsid w:val="00970137"/>
    <w:rsid w:val="009701DC"/>
    <w:rsid w:val="00970347"/>
    <w:rsid w:val="00970397"/>
    <w:rsid w:val="009712B7"/>
    <w:rsid w:val="009714FB"/>
    <w:rsid w:val="00971580"/>
    <w:rsid w:val="009715BE"/>
    <w:rsid w:val="009715D4"/>
    <w:rsid w:val="00971760"/>
    <w:rsid w:val="00971AA1"/>
    <w:rsid w:val="00971B1D"/>
    <w:rsid w:val="00971EE2"/>
    <w:rsid w:val="0097246A"/>
    <w:rsid w:val="009725B0"/>
    <w:rsid w:val="009726BB"/>
    <w:rsid w:val="00972C1F"/>
    <w:rsid w:val="00972CE2"/>
    <w:rsid w:val="00972DE7"/>
    <w:rsid w:val="00973480"/>
    <w:rsid w:val="009734D7"/>
    <w:rsid w:val="0097385E"/>
    <w:rsid w:val="009738BA"/>
    <w:rsid w:val="0097390B"/>
    <w:rsid w:val="00973A08"/>
    <w:rsid w:val="00973B15"/>
    <w:rsid w:val="00973BC4"/>
    <w:rsid w:val="00973E4D"/>
    <w:rsid w:val="00973E7B"/>
    <w:rsid w:val="00973FBA"/>
    <w:rsid w:val="00974446"/>
    <w:rsid w:val="009745D0"/>
    <w:rsid w:val="00974810"/>
    <w:rsid w:val="009748F3"/>
    <w:rsid w:val="00974B80"/>
    <w:rsid w:val="00974BBC"/>
    <w:rsid w:val="0097528D"/>
    <w:rsid w:val="009753A9"/>
    <w:rsid w:val="009753F4"/>
    <w:rsid w:val="009756AF"/>
    <w:rsid w:val="00975C10"/>
    <w:rsid w:val="00975E1C"/>
    <w:rsid w:val="00975EEA"/>
    <w:rsid w:val="0097644F"/>
    <w:rsid w:val="00976595"/>
    <w:rsid w:val="009767D6"/>
    <w:rsid w:val="0097682A"/>
    <w:rsid w:val="00976C41"/>
    <w:rsid w:val="00976F56"/>
    <w:rsid w:val="009770B2"/>
    <w:rsid w:val="009772D1"/>
    <w:rsid w:val="00977408"/>
    <w:rsid w:val="0097774B"/>
    <w:rsid w:val="009778B0"/>
    <w:rsid w:val="00977BFC"/>
    <w:rsid w:val="0098017A"/>
    <w:rsid w:val="009803CB"/>
    <w:rsid w:val="00980504"/>
    <w:rsid w:val="009805E5"/>
    <w:rsid w:val="00980860"/>
    <w:rsid w:val="009808E3"/>
    <w:rsid w:val="00981CE3"/>
    <w:rsid w:val="00981D70"/>
    <w:rsid w:val="009820CF"/>
    <w:rsid w:val="00982286"/>
    <w:rsid w:val="0098256E"/>
    <w:rsid w:val="00982CA0"/>
    <w:rsid w:val="00982F0C"/>
    <w:rsid w:val="00982F31"/>
    <w:rsid w:val="009830A3"/>
    <w:rsid w:val="00983473"/>
    <w:rsid w:val="00983714"/>
    <w:rsid w:val="00983817"/>
    <w:rsid w:val="009838A2"/>
    <w:rsid w:val="00983A4F"/>
    <w:rsid w:val="00984017"/>
    <w:rsid w:val="009840AF"/>
    <w:rsid w:val="0098422E"/>
    <w:rsid w:val="0098458B"/>
    <w:rsid w:val="00984AAE"/>
    <w:rsid w:val="00984B78"/>
    <w:rsid w:val="00984DCD"/>
    <w:rsid w:val="00984F39"/>
    <w:rsid w:val="0098500B"/>
    <w:rsid w:val="00985319"/>
    <w:rsid w:val="00986204"/>
    <w:rsid w:val="00986631"/>
    <w:rsid w:val="0098689E"/>
    <w:rsid w:val="00986A35"/>
    <w:rsid w:val="00986C51"/>
    <w:rsid w:val="00987244"/>
    <w:rsid w:val="009872FB"/>
    <w:rsid w:val="00987599"/>
    <w:rsid w:val="009877C4"/>
    <w:rsid w:val="009877D3"/>
    <w:rsid w:val="00987842"/>
    <w:rsid w:val="009878B5"/>
    <w:rsid w:val="009879CD"/>
    <w:rsid w:val="00987B31"/>
    <w:rsid w:val="00987C4B"/>
    <w:rsid w:val="00987E33"/>
    <w:rsid w:val="0099041F"/>
    <w:rsid w:val="0099049E"/>
    <w:rsid w:val="00990636"/>
    <w:rsid w:val="00990681"/>
    <w:rsid w:val="0099077F"/>
    <w:rsid w:val="00990909"/>
    <w:rsid w:val="00990AB1"/>
    <w:rsid w:val="00990DA7"/>
    <w:rsid w:val="00990E3A"/>
    <w:rsid w:val="009911F1"/>
    <w:rsid w:val="00992043"/>
    <w:rsid w:val="00992163"/>
    <w:rsid w:val="00992408"/>
    <w:rsid w:val="00992415"/>
    <w:rsid w:val="0099271D"/>
    <w:rsid w:val="009927D7"/>
    <w:rsid w:val="009927F0"/>
    <w:rsid w:val="00992982"/>
    <w:rsid w:val="00992A80"/>
    <w:rsid w:val="00992AB8"/>
    <w:rsid w:val="00992B37"/>
    <w:rsid w:val="00992B51"/>
    <w:rsid w:val="00992C9A"/>
    <w:rsid w:val="00992FB1"/>
    <w:rsid w:val="00992FD5"/>
    <w:rsid w:val="009930F0"/>
    <w:rsid w:val="0099324C"/>
    <w:rsid w:val="009934A4"/>
    <w:rsid w:val="00993B67"/>
    <w:rsid w:val="00993DA8"/>
    <w:rsid w:val="00994038"/>
    <w:rsid w:val="0099470D"/>
    <w:rsid w:val="0099471D"/>
    <w:rsid w:val="0099478F"/>
    <w:rsid w:val="0099497F"/>
    <w:rsid w:val="00994C32"/>
    <w:rsid w:val="00995307"/>
    <w:rsid w:val="00995498"/>
    <w:rsid w:val="009955E0"/>
    <w:rsid w:val="00995A5C"/>
    <w:rsid w:val="009962F3"/>
    <w:rsid w:val="009965DB"/>
    <w:rsid w:val="009967C1"/>
    <w:rsid w:val="00996888"/>
    <w:rsid w:val="009968A3"/>
    <w:rsid w:val="0099691F"/>
    <w:rsid w:val="00996C40"/>
    <w:rsid w:val="00996CB1"/>
    <w:rsid w:val="00996E13"/>
    <w:rsid w:val="009973CF"/>
    <w:rsid w:val="00997409"/>
    <w:rsid w:val="0099742A"/>
    <w:rsid w:val="00997B35"/>
    <w:rsid w:val="009A042F"/>
    <w:rsid w:val="009A04D9"/>
    <w:rsid w:val="009A0569"/>
    <w:rsid w:val="009A060C"/>
    <w:rsid w:val="009A07DF"/>
    <w:rsid w:val="009A0810"/>
    <w:rsid w:val="009A0AF4"/>
    <w:rsid w:val="009A0EAB"/>
    <w:rsid w:val="009A13A9"/>
    <w:rsid w:val="009A14E0"/>
    <w:rsid w:val="009A1A0E"/>
    <w:rsid w:val="009A1CDC"/>
    <w:rsid w:val="009A2608"/>
    <w:rsid w:val="009A26A4"/>
    <w:rsid w:val="009A291B"/>
    <w:rsid w:val="009A2A25"/>
    <w:rsid w:val="009A2F67"/>
    <w:rsid w:val="009A308D"/>
    <w:rsid w:val="009A31AA"/>
    <w:rsid w:val="009A359A"/>
    <w:rsid w:val="009A3B11"/>
    <w:rsid w:val="009A3C32"/>
    <w:rsid w:val="009A437D"/>
    <w:rsid w:val="009A4527"/>
    <w:rsid w:val="009A45DC"/>
    <w:rsid w:val="009A5094"/>
    <w:rsid w:val="009A50BF"/>
    <w:rsid w:val="009A5264"/>
    <w:rsid w:val="009A5281"/>
    <w:rsid w:val="009A52BF"/>
    <w:rsid w:val="009A5666"/>
    <w:rsid w:val="009A5A08"/>
    <w:rsid w:val="009A5BC9"/>
    <w:rsid w:val="009A615A"/>
    <w:rsid w:val="009A6201"/>
    <w:rsid w:val="009A6640"/>
    <w:rsid w:val="009A6DF0"/>
    <w:rsid w:val="009A73E3"/>
    <w:rsid w:val="009A772A"/>
    <w:rsid w:val="009A7732"/>
    <w:rsid w:val="009A7DEF"/>
    <w:rsid w:val="009A7EDD"/>
    <w:rsid w:val="009B0120"/>
    <w:rsid w:val="009B054B"/>
    <w:rsid w:val="009B088B"/>
    <w:rsid w:val="009B09C9"/>
    <w:rsid w:val="009B0B2E"/>
    <w:rsid w:val="009B0C34"/>
    <w:rsid w:val="009B0C43"/>
    <w:rsid w:val="009B0DFC"/>
    <w:rsid w:val="009B1BA8"/>
    <w:rsid w:val="009B1FD2"/>
    <w:rsid w:val="009B22D7"/>
    <w:rsid w:val="009B2399"/>
    <w:rsid w:val="009B2486"/>
    <w:rsid w:val="009B284B"/>
    <w:rsid w:val="009B2E51"/>
    <w:rsid w:val="009B2FC7"/>
    <w:rsid w:val="009B307B"/>
    <w:rsid w:val="009B420B"/>
    <w:rsid w:val="009B44A2"/>
    <w:rsid w:val="009B47A0"/>
    <w:rsid w:val="009B4C34"/>
    <w:rsid w:val="009B4E6B"/>
    <w:rsid w:val="009B5160"/>
    <w:rsid w:val="009B545F"/>
    <w:rsid w:val="009B560F"/>
    <w:rsid w:val="009B5A45"/>
    <w:rsid w:val="009B5AAF"/>
    <w:rsid w:val="009B5C42"/>
    <w:rsid w:val="009B5DF7"/>
    <w:rsid w:val="009B5FBD"/>
    <w:rsid w:val="009B6201"/>
    <w:rsid w:val="009B63E0"/>
    <w:rsid w:val="009B6496"/>
    <w:rsid w:val="009B6505"/>
    <w:rsid w:val="009B65E8"/>
    <w:rsid w:val="009B667A"/>
    <w:rsid w:val="009B6B7E"/>
    <w:rsid w:val="009B6EAD"/>
    <w:rsid w:val="009B7130"/>
    <w:rsid w:val="009B733E"/>
    <w:rsid w:val="009B767A"/>
    <w:rsid w:val="009B76DF"/>
    <w:rsid w:val="009B7721"/>
    <w:rsid w:val="009B7761"/>
    <w:rsid w:val="009B7775"/>
    <w:rsid w:val="009B778A"/>
    <w:rsid w:val="009B7E91"/>
    <w:rsid w:val="009B7EB9"/>
    <w:rsid w:val="009C032C"/>
    <w:rsid w:val="009C03DF"/>
    <w:rsid w:val="009C08C3"/>
    <w:rsid w:val="009C0CB3"/>
    <w:rsid w:val="009C0D1B"/>
    <w:rsid w:val="009C0FF7"/>
    <w:rsid w:val="009C172A"/>
    <w:rsid w:val="009C18EF"/>
    <w:rsid w:val="009C193C"/>
    <w:rsid w:val="009C1DD8"/>
    <w:rsid w:val="009C1F05"/>
    <w:rsid w:val="009C1F80"/>
    <w:rsid w:val="009C243F"/>
    <w:rsid w:val="009C2671"/>
    <w:rsid w:val="009C30EE"/>
    <w:rsid w:val="009C38BF"/>
    <w:rsid w:val="009C3C92"/>
    <w:rsid w:val="009C4131"/>
    <w:rsid w:val="009C436C"/>
    <w:rsid w:val="009C4ED7"/>
    <w:rsid w:val="009C5149"/>
    <w:rsid w:val="009C5198"/>
    <w:rsid w:val="009C5674"/>
    <w:rsid w:val="009C590F"/>
    <w:rsid w:val="009C5ACF"/>
    <w:rsid w:val="009C5D3C"/>
    <w:rsid w:val="009C603B"/>
    <w:rsid w:val="009C66CC"/>
    <w:rsid w:val="009C67B1"/>
    <w:rsid w:val="009C6882"/>
    <w:rsid w:val="009C69DF"/>
    <w:rsid w:val="009C6A12"/>
    <w:rsid w:val="009C6B64"/>
    <w:rsid w:val="009C6E21"/>
    <w:rsid w:val="009C70FD"/>
    <w:rsid w:val="009C7236"/>
    <w:rsid w:val="009C7333"/>
    <w:rsid w:val="009C735E"/>
    <w:rsid w:val="009C75A1"/>
    <w:rsid w:val="009C76A8"/>
    <w:rsid w:val="009C770A"/>
    <w:rsid w:val="009C7823"/>
    <w:rsid w:val="009C7903"/>
    <w:rsid w:val="009C7A15"/>
    <w:rsid w:val="009C7A38"/>
    <w:rsid w:val="009C7AF7"/>
    <w:rsid w:val="009C7C21"/>
    <w:rsid w:val="009C7FD8"/>
    <w:rsid w:val="009D03B0"/>
    <w:rsid w:val="009D0940"/>
    <w:rsid w:val="009D0982"/>
    <w:rsid w:val="009D0F81"/>
    <w:rsid w:val="009D10FE"/>
    <w:rsid w:val="009D11E7"/>
    <w:rsid w:val="009D12BB"/>
    <w:rsid w:val="009D15A9"/>
    <w:rsid w:val="009D1662"/>
    <w:rsid w:val="009D17A4"/>
    <w:rsid w:val="009D1DAC"/>
    <w:rsid w:val="009D201A"/>
    <w:rsid w:val="009D209B"/>
    <w:rsid w:val="009D2573"/>
    <w:rsid w:val="009D2A97"/>
    <w:rsid w:val="009D2B97"/>
    <w:rsid w:val="009D30B8"/>
    <w:rsid w:val="009D3403"/>
    <w:rsid w:val="009D348D"/>
    <w:rsid w:val="009D364A"/>
    <w:rsid w:val="009D3881"/>
    <w:rsid w:val="009D3A88"/>
    <w:rsid w:val="009D3D34"/>
    <w:rsid w:val="009D408E"/>
    <w:rsid w:val="009D4787"/>
    <w:rsid w:val="009D4A41"/>
    <w:rsid w:val="009D4C4F"/>
    <w:rsid w:val="009D4E87"/>
    <w:rsid w:val="009D4F17"/>
    <w:rsid w:val="009D4F3E"/>
    <w:rsid w:val="009D509F"/>
    <w:rsid w:val="009D50BB"/>
    <w:rsid w:val="009D51FD"/>
    <w:rsid w:val="009D578E"/>
    <w:rsid w:val="009D5A2F"/>
    <w:rsid w:val="009D5B46"/>
    <w:rsid w:val="009D5BDA"/>
    <w:rsid w:val="009D5D0A"/>
    <w:rsid w:val="009D63C7"/>
    <w:rsid w:val="009D63CD"/>
    <w:rsid w:val="009D6435"/>
    <w:rsid w:val="009D6880"/>
    <w:rsid w:val="009D7483"/>
    <w:rsid w:val="009D7559"/>
    <w:rsid w:val="009D75B9"/>
    <w:rsid w:val="009D7663"/>
    <w:rsid w:val="009D796F"/>
    <w:rsid w:val="009D7EA7"/>
    <w:rsid w:val="009E037F"/>
    <w:rsid w:val="009E0413"/>
    <w:rsid w:val="009E0AE7"/>
    <w:rsid w:val="009E0BA4"/>
    <w:rsid w:val="009E0C88"/>
    <w:rsid w:val="009E0F34"/>
    <w:rsid w:val="009E0FB7"/>
    <w:rsid w:val="009E1058"/>
    <w:rsid w:val="009E1208"/>
    <w:rsid w:val="009E13C8"/>
    <w:rsid w:val="009E15E9"/>
    <w:rsid w:val="009E167A"/>
    <w:rsid w:val="009E1781"/>
    <w:rsid w:val="009E18AC"/>
    <w:rsid w:val="009E1AA5"/>
    <w:rsid w:val="009E1F4C"/>
    <w:rsid w:val="009E2244"/>
    <w:rsid w:val="009E23EB"/>
    <w:rsid w:val="009E2448"/>
    <w:rsid w:val="009E2545"/>
    <w:rsid w:val="009E2633"/>
    <w:rsid w:val="009E2976"/>
    <w:rsid w:val="009E2C0A"/>
    <w:rsid w:val="009E31CA"/>
    <w:rsid w:val="009E3337"/>
    <w:rsid w:val="009E3404"/>
    <w:rsid w:val="009E3675"/>
    <w:rsid w:val="009E3A57"/>
    <w:rsid w:val="009E3EB6"/>
    <w:rsid w:val="009E3EFB"/>
    <w:rsid w:val="009E413B"/>
    <w:rsid w:val="009E4C10"/>
    <w:rsid w:val="009E4E19"/>
    <w:rsid w:val="009E4F04"/>
    <w:rsid w:val="009E51A7"/>
    <w:rsid w:val="009E5240"/>
    <w:rsid w:val="009E5679"/>
    <w:rsid w:val="009E599F"/>
    <w:rsid w:val="009E5C66"/>
    <w:rsid w:val="009E5C80"/>
    <w:rsid w:val="009E6378"/>
    <w:rsid w:val="009E695D"/>
    <w:rsid w:val="009E6982"/>
    <w:rsid w:val="009E6AC4"/>
    <w:rsid w:val="009E6C62"/>
    <w:rsid w:val="009E6CE4"/>
    <w:rsid w:val="009E6E38"/>
    <w:rsid w:val="009E6F88"/>
    <w:rsid w:val="009E713D"/>
    <w:rsid w:val="009E7145"/>
    <w:rsid w:val="009E74C9"/>
    <w:rsid w:val="009E74D3"/>
    <w:rsid w:val="009E7595"/>
    <w:rsid w:val="009F029B"/>
    <w:rsid w:val="009F04E1"/>
    <w:rsid w:val="009F06C2"/>
    <w:rsid w:val="009F07AC"/>
    <w:rsid w:val="009F0A50"/>
    <w:rsid w:val="009F0ADA"/>
    <w:rsid w:val="009F0D43"/>
    <w:rsid w:val="009F0F94"/>
    <w:rsid w:val="009F10DD"/>
    <w:rsid w:val="009F11A6"/>
    <w:rsid w:val="009F17DE"/>
    <w:rsid w:val="009F18BF"/>
    <w:rsid w:val="009F2295"/>
    <w:rsid w:val="009F2662"/>
    <w:rsid w:val="009F26BB"/>
    <w:rsid w:val="009F297A"/>
    <w:rsid w:val="009F2B1A"/>
    <w:rsid w:val="009F2CF3"/>
    <w:rsid w:val="009F2DED"/>
    <w:rsid w:val="009F383E"/>
    <w:rsid w:val="009F3BCD"/>
    <w:rsid w:val="009F3DC9"/>
    <w:rsid w:val="009F421F"/>
    <w:rsid w:val="009F48E4"/>
    <w:rsid w:val="009F495E"/>
    <w:rsid w:val="009F4CDE"/>
    <w:rsid w:val="009F5098"/>
    <w:rsid w:val="009F516D"/>
    <w:rsid w:val="009F51FA"/>
    <w:rsid w:val="009F5560"/>
    <w:rsid w:val="009F5901"/>
    <w:rsid w:val="009F5D9F"/>
    <w:rsid w:val="009F5F1A"/>
    <w:rsid w:val="009F5FB9"/>
    <w:rsid w:val="009F6243"/>
    <w:rsid w:val="009F639E"/>
    <w:rsid w:val="009F65D7"/>
    <w:rsid w:val="009F6608"/>
    <w:rsid w:val="009F6A3A"/>
    <w:rsid w:val="009F6A65"/>
    <w:rsid w:val="009F7176"/>
    <w:rsid w:val="009F7609"/>
    <w:rsid w:val="009F7801"/>
    <w:rsid w:val="009F780B"/>
    <w:rsid w:val="009F7F70"/>
    <w:rsid w:val="00A00FFD"/>
    <w:rsid w:val="00A010A6"/>
    <w:rsid w:val="00A0124E"/>
    <w:rsid w:val="00A013EF"/>
    <w:rsid w:val="00A01D84"/>
    <w:rsid w:val="00A01DBF"/>
    <w:rsid w:val="00A02889"/>
    <w:rsid w:val="00A02AF1"/>
    <w:rsid w:val="00A02E96"/>
    <w:rsid w:val="00A02F54"/>
    <w:rsid w:val="00A03066"/>
    <w:rsid w:val="00A0338E"/>
    <w:rsid w:val="00A03432"/>
    <w:rsid w:val="00A0374E"/>
    <w:rsid w:val="00A038C7"/>
    <w:rsid w:val="00A03E93"/>
    <w:rsid w:val="00A03EC3"/>
    <w:rsid w:val="00A03F05"/>
    <w:rsid w:val="00A04051"/>
    <w:rsid w:val="00A0430B"/>
    <w:rsid w:val="00A048C2"/>
    <w:rsid w:val="00A04BF0"/>
    <w:rsid w:val="00A05802"/>
    <w:rsid w:val="00A05E39"/>
    <w:rsid w:val="00A05F88"/>
    <w:rsid w:val="00A06366"/>
    <w:rsid w:val="00A065E6"/>
    <w:rsid w:val="00A06DAC"/>
    <w:rsid w:val="00A06FC2"/>
    <w:rsid w:val="00A07CCF"/>
    <w:rsid w:val="00A07FA0"/>
    <w:rsid w:val="00A07FBA"/>
    <w:rsid w:val="00A1009F"/>
    <w:rsid w:val="00A1010F"/>
    <w:rsid w:val="00A10153"/>
    <w:rsid w:val="00A10363"/>
    <w:rsid w:val="00A10B03"/>
    <w:rsid w:val="00A10BF8"/>
    <w:rsid w:val="00A10DE5"/>
    <w:rsid w:val="00A10EE4"/>
    <w:rsid w:val="00A10EFC"/>
    <w:rsid w:val="00A11001"/>
    <w:rsid w:val="00A1111E"/>
    <w:rsid w:val="00A114A3"/>
    <w:rsid w:val="00A119CB"/>
    <w:rsid w:val="00A11AF1"/>
    <w:rsid w:val="00A11C8E"/>
    <w:rsid w:val="00A11DF2"/>
    <w:rsid w:val="00A11EBD"/>
    <w:rsid w:val="00A11F4A"/>
    <w:rsid w:val="00A127AC"/>
    <w:rsid w:val="00A12A0E"/>
    <w:rsid w:val="00A12A7A"/>
    <w:rsid w:val="00A12CDF"/>
    <w:rsid w:val="00A13165"/>
    <w:rsid w:val="00A13EDD"/>
    <w:rsid w:val="00A14099"/>
    <w:rsid w:val="00A14364"/>
    <w:rsid w:val="00A1450B"/>
    <w:rsid w:val="00A146F3"/>
    <w:rsid w:val="00A147BF"/>
    <w:rsid w:val="00A147D4"/>
    <w:rsid w:val="00A14C38"/>
    <w:rsid w:val="00A15426"/>
    <w:rsid w:val="00A15510"/>
    <w:rsid w:val="00A159DE"/>
    <w:rsid w:val="00A15B07"/>
    <w:rsid w:val="00A16416"/>
    <w:rsid w:val="00A16467"/>
    <w:rsid w:val="00A164BC"/>
    <w:rsid w:val="00A165B5"/>
    <w:rsid w:val="00A166FE"/>
    <w:rsid w:val="00A16AB8"/>
    <w:rsid w:val="00A16B27"/>
    <w:rsid w:val="00A16EF0"/>
    <w:rsid w:val="00A173D2"/>
    <w:rsid w:val="00A17616"/>
    <w:rsid w:val="00A17762"/>
    <w:rsid w:val="00A17851"/>
    <w:rsid w:val="00A1792A"/>
    <w:rsid w:val="00A179D7"/>
    <w:rsid w:val="00A17F18"/>
    <w:rsid w:val="00A17F31"/>
    <w:rsid w:val="00A17F7C"/>
    <w:rsid w:val="00A17FE7"/>
    <w:rsid w:val="00A20111"/>
    <w:rsid w:val="00A20335"/>
    <w:rsid w:val="00A203EF"/>
    <w:rsid w:val="00A20510"/>
    <w:rsid w:val="00A207FF"/>
    <w:rsid w:val="00A20E14"/>
    <w:rsid w:val="00A21154"/>
    <w:rsid w:val="00A212F1"/>
    <w:rsid w:val="00A215FF"/>
    <w:rsid w:val="00A2161D"/>
    <w:rsid w:val="00A21689"/>
    <w:rsid w:val="00A218B9"/>
    <w:rsid w:val="00A21C7B"/>
    <w:rsid w:val="00A21D17"/>
    <w:rsid w:val="00A21F61"/>
    <w:rsid w:val="00A22210"/>
    <w:rsid w:val="00A224A2"/>
    <w:rsid w:val="00A22788"/>
    <w:rsid w:val="00A2294C"/>
    <w:rsid w:val="00A22F41"/>
    <w:rsid w:val="00A22F9B"/>
    <w:rsid w:val="00A231A6"/>
    <w:rsid w:val="00A23281"/>
    <w:rsid w:val="00A232B8"/>
    <w:rsid w:val="00A2353F"/>
    <w:rsid w:val="00A236C0"/>
    <w:rsid w:val="00A236E0"/>
    <w:rsid w:val="00A23780"/>
    <w:rsid w:val="00A23B65"/>
    <w:rsid w:val="00A240AB"/>
    <w:rsid w:val="00A241BA"/>
    <w:rsid w:val="00A2455D"/>
    <w:rsid w:val="00A24B65"/>
    <w:rsid w:val="00A24DA2"/>
    <w:rsid w:val="00A25170"/>
    <w:rsid w:val="00A258DF"/>
    <w:rsid w:val="00A25A25"/>
    <w:rsid w:val="00A25A5B"/>
    <w:rsid w:val="00A25B86"/>
    <w:rsid w:val="00A25CB9"/>
    <w:rsid w:val="00A25E64"/>
    <w:rsid w:val="00A26546"/>
    <w:rsid w:val="00A26767"/>
    <w:rsid w:val="00A267E9"/>
    <w:rsid w:val="00A26957"/>
    <w:rsid w:val="00A26AC0"/>
    <w:rsid w:val="00A26D48"/>
    <w:rsid w:val="00A26D4C"/>
    <w:rsid w:val="00A27238"/>
    <w:rsid w:val="00A2729D"/>
    <w:rsid w:val="00A27385"/>
    <w:rsid w:val="00A27595"/>
    <w:rsid w:val="00A27692"/>
    <w:rsid w:val="00A27814"/>
    <w:rsid w:val="00A27A4C"/>
    <w:rsid w:val="00A27C59"/>
    <w:rsid w:val="00A30020"/>
    <w:rsid w:val="00A301EB"/>
    <w:rsid w:val="00A304B9"/>
    <w:rsid w:val="00A309F3"/>
    <w:rsid w:val="00A316E7"/>
    <w:rsid w:val="00A319AB"/>
    <w:rsid w:val="00A31A56"/>
    <w:rsid w:val="00A31C9F"/>
    <w:rsid w:val="00A31DFA"/>
    <w:rsid w:val="00A320A7"/>
    <w:rsid w:val="00A3212E"/>
    <w:rsid w:val="00A3254F"/>
    <w:rsid w:val="00A327DE"/>
    <w:rsid w:val="00A32B96"/>
    <w:rsid w:val="00A32C63"/>
    <w:rsid w:val="00A32CE8"/>
    <w:rsid w:val="00A32E65"/>
    <w:rsid w:val="00A330B6"/>
    <w:rsid w:val="00A3343F"/>
    <w:rsid w:val="00A335D8"/>
    <w:rsid w:val="00A33A04"/>
    <w:rsid w:val="00A33C47"/>
    <w:rsid w:val="00A3448D"/>
    <w:rsid w:val="00A34499"/>
    <w:rsid w:val="00A34521"/>
    <w:rsid w:val="00A34669"/>
    <w:rsid w:val="00A347AD"/>
    <w:rsid w:val="00A3482B"/>
    <w:rsid w:val="00A34BDA"/>
    <w:rsid w:val="00A34C22"/>
    <w:rsid w:val="00A34ED8"/>
    <w:rsid w:val="00A34F59"/>
    <w:rsid w:val="00A34F5E"/>
    <w:rsid w:val="00A351AE"/>
    <w:rsid w:val="00A351C9"/>
    <w:rsid w:val="00A357F4"/>
    <w:rsid w:val="00A35B20"/>
    <w:rsid w:val="00A35C55"/>
    <w:rsid w:val="00A35E47"/>
    <w:rsid w:val="00A363D3"/>
    <w:rsid w:val="00A36425"/>
    <w:rsid w:val="00A36491"/>
    <w:rsid w:val="00A36C09"/>
    <w:rsid w:val="00A36C4D"/>
    <w:rsid w:val="00A36E85"/>
    <w:rsid w:val="00A36F8D"/>
    <w:rsid w:val="00A372F3"/>
    <w:rsid w:val="00A37321"/>
    <w:rsid w:val="00A3768D"/>
    <w:rsid w:val="00A3769E"/>
    <w:rsid w:val="00A37891"/>
    <w:rsid w:val="00A378FB"/>
    <w:rsid w:val="00A379E5"/>
    <w:rsid w:val="00A37D8E"/>
    <w:rsid w:val="00A4025F"/>
    <w:rsid w:val="00A406A8"/>
    <w:rsid w:val="00A40732"/>
    <w:rsid w:val="00A410C6"/>
    <w:rsid w:val="00A4155A"/>
    <w:rsid w:val="00A417B3"/>
    <w:rsid w:val="00A41BF0"/>
    <w:rsid w:val="00A41C56"/>
    <w:rsid w:val="00A41DBF"/>
    <w:rsid w:val="00A41E89"/>
    <w:rsid w:val="00A42302"/>
    <w:rsid w:val="00A42885"/>
    <w:rsid w:val="00A429FE"/>
    <w:rsid w:val="00A42A71"/>
    <w:rsid w:val="00A42A8E"/>
    <w:rsid w:val="00A4308C"/>
    <w:rsid w:val="00A43179"/>
    <w:rsid w:val="00A431FA"/>
    <w:rsid w:val="00A434F1"/>
    <w:rsid w:val="00A4359D"/>
    <w:rsid w:val="00A435F9"/>
    <w:rsid w:val="00A43688"/>
    <w:rsid w:val="00A43B99"/>
    <w:rsid w:val="00A43C83"/>
    <w:rsid w:val="00A445C9"/>
    <w:rsid w:val="00A44678"/>
    <w:rsid w:val="00A447EB"/>
    <w:rsid w:val="00A448CE"/>
    <w:rsid w:val="00A44BE2"/>
    <w:rsid w:val="00A44C2A"/>
    <w:rsid w:val="00A44CE9"/>
    <w:rsid w:val="00A44EBE"/>
    <w:rsid w:val="00A459B6"/>
    <w:rsid w:val="00A45AF9"/>
    <w:rsid w:val="00A45C43"/>
    <w:rsid w:val="00A45D63"/>
    <w:rsid w:val="00A45E2E"/>
    <w:rsid w:val="00A45F41"/>
    <w:rsid w:val="00A461C9"/>
    <w:rsid w:val="00A46A75"/>
    <w:rsid w:val="00A46BF8"/>
    <w:rsid w:val="00A46D3C"/>
    <w:rsid w:val="00A46E2F"/>
    <w:rsid w:val="00A46F7F"/>
    <w:rsid w:val="00A47004"/>
    <w:rsid w:val="00A47DE7"/>
    <w:rsid w:val="00A47F03"/>
    <w:rsid w:val="00A500A0"/>
    <w:rsid w:val="00A502A5"/>
    <w:rsid w:val="00A502AE"/>
    <w:rsid w:val="00A504A1"/>
    <w:rsid w:val="00A51127"/>
    <w:rsid w:val="00A51322"/>
    <w:rsid w:val="00A5170E"/>
    <w:rsid w:val="00A5195F"/>
    <w:rsid w:val="00A51DEF"/>
    <w:rsid w:val="00A51F4F"/>
    <w:rsid w:val="00A52652"/>
    <w:rsid w:val="00A5269A"/>
    <w:rsid w:val="00A52708"/>
    <w:rsid w:val="00A527D7"/>
    <w:rsid w:val="00A52995"/>
    <w:rsid w:val="00A52EEC"/>
    <w:rsid w:val="00A52F11"/>
    <w:rsid w:val="00A5302D"/>
    <w:rsid w:val="00A53D05"/>
    <w:rsid w:val="00A54506"/>
    <w:rsid w:val="00A54595"/>
    <w:rsid w:val="00A54660"/>
    <w:rsid w:val="00A546BC"/>
    <w:rsid w:val="00A546CB"/>
    <w:rsid w:val="00A54B3C"/>
    <w:rsid w:val="00A54BD1"/>
    <w:rsid w:val="00A54C6A"/>
    <w:rsid w:val="00A54E39"/>
    <w:rsid w:val="00A54E46"/>
    <w:rsid w:val="00A55449"/>
    <w:rsid w:val="00A556E4"/>
    <w:rsid w:val="00A55E0A"/>
    <w:rsid w:val="00A5672F"/>
    <w:rsid w:val="00A56862"/>
    <w:rsid w:val="00A56A7D"/>
    <w:rsid w:val="00A56B61"/>
    <w:rsid w:val="00A56BBC"/>
    <w:rsid w:val="00A56BC5"/>
    <w:rsid w:val="00A56C89"/>
    <w:rsid w:val="00A56E2A"/>
    <w:rsid w:val="00A56E65"/>
    <w:rsid w:val="00A57265"/>
    <w:rsid w:val="00A574DE"/>
    <w:rsid w:val="00A5789F"/>
    <w:rsid w:val="00A5797A"/>
    <w:rsid w:val="00A57BA2"/>
    <w:rsid w:val="00A607A0"/>
    <w:rsid w:val="00A609E6"/>
    <w:rsid w:val="00A60D87"/>
    <w:rsid w:val="00A60DC0"/>
    <w:rsid w:val="00A60E2B"/>
    <w:rsid w:val="00A60EA0"/>
    <w:rsid w:val="00A6112A"/>
    <w:rsid w:val="00A61376"/>
    <w:rsid w:val="00A61476"/>
    <w:rsid w:val="00A622B9"/>
    <w:rsid w:val="00A622DE"/>
    <w:rsid w:val="00A62480"/>
    <w:rsid w:val="00A6253B"/>
    <w:rsid w:val="00A62681"/>
    <w:rsid w:val="00A62E9B"/>
    <w:rsid w:val="00A63060"/>
    <w:rsid w:val="00A630E7"/>
    <w:rsid w:val="00A632D8"/>
    <w:rsid w:val="00A636BE"/>
    <w:rsid w:val="00A637BA"/>
    <w:rsid w:val="00A63BE0"/>
    <w:rsid w:val="00A63D41"/>
    <w:rsid w:val="00A63DE6"/>
    <w:rsid w:val="00A63E2A"/>
    <w:rsid w:val="00A643A6"/>
    <w:rsid w:val="00A6467E"/>
    <w:rsid w:val="00A64752"/>
    <w:rsid w:val="00A6476A"/>
    <w:rsid w:val="00A65247"/>
    <w:rsid w:val="00A652C4"/>
    <w:rsid w:val="00A65795"/>
    <w:rsid w:val="00A659E9"/>
    <w:rsid w:val="00A65BD6"/>
    <w:rsid w:val="00A65C14"/>
    <w:rsid w:val="00A65E67"/>
    <w:rsid w:val="00A663C1"/>
    <w:rsid w:val="00A66425"/>
    <w:rsid w:val="00A66B97"/>
    <w:rsid w:val="00A66BF0"/>
    <w:rsid w:val="00A66DCD"/>
    <w:rsid w:val="00A67101"/>
    <w:rsid w:val="00A6721C"/>
    <w:rsid w:val="00A67ACB"/>
    <w:rsid w:val="00A67D58"/>
    <w:rsid w:val="00A70130"/>
    <w:rsid w:val="00A703CE"/>
    <w:rsid w:val="00A7092B"/>
    <w:rsid w:val="00A70A8A"/>
    <w:rsid w:val="00A70FE3"/>
    <w:rsid w:val="00A7139C"/>
    <w:rsid w:val="00A7153C"/>
    <w:rsid w:val="00A715E6"/>
    <w:rsid w:val="00A71650"/>
    <w:rsid w:val="00A71A7B"/>
    <w:rsid w:val="00A71DA1"/>
    <w:rsid w:val="00A71DB2"/>
    <w:rsid w:val="00A71ED3"/>
    <w:rsid w:val="00A721EA"/>
    <w:rsid w:val="00A72700"/>
    <w:rsid w:val="00A72B80"/>
    <w:rsid w:val="00A72D67"/>
    <w:rsid w:val="00A72E01"/>
    <w:rsid w:val="00A72E61"/>
    <w:rsid w:val="00A73199"/>
    <w:rsid w:val="00A73242"/>
    <w:rsid w:val="00A7336D"/>
    <w:rsid w:val="00A73664"/>
    <w:rsid w:val="00A737CA"/>
    <w:rsid w:val="00A73F7B"/>
    <w:rsid w:val="00A74502"/>
    <w:rsid w:val="00A7461B"/>
    <w:rsid w:val="00A74901"/>
    <w:rsid w:val="00A74C0D"/>
    <w:rsid w:val="00A74E81"/>
    <w:rsid w:val="00A74EB3"/>
    <w:rsid w:val="00A75300"/>
    <w:rsid w:val="00A7584F"/>
    <w:rsid w:val="00A75BD0"/>
    <w:rsid w:val="00A76020"/>
    <w:rsid w:val="00A761AB"/>
    <w:rsid w:val="00A76298"/>
    <w:rsid w:val="00A76356"/>
    <w:rsid w:val="00A76422"/>
    <w:rsid w:val="00A76BB9"/>
    <w:rsid w:val="00A775AE"/>
    <w:rsid w:val="00A777B2"/>
    <w:rsid w:val="00A8003D"/>
    <w:rsid w:val="00A803A6"/>
    <w:rsid w:val="00A804D2"/>
    <w:rsid w:val="00A806DF"/>
    <w:rsid w:val="00A80BB7"/>
    <w:rsid w:val="00A80D08"/>
    <w:rsid w:val="00A80DFA"/>
    <w:rsid w:val="00A80EE5"/>
    <w:rsid w:val="00A81031"/>
    <w:rsid w:val="00A8124F"/>
    <w:rsid w:val="00A813D1"/>
    <w:rsid w:val="00A81497"/>
    <w:rsid w:val="00A81F3D"/>
    <w:rsid w:val="00A82475"/>
    <w:rsid w:val="00A8258D"/>
    <w:rsid w:val="00A82799"/>
    <w:rsid w:val="00A82B3B"/>
    <w:rsid w:val="00A82EDD"/>
    <w:rsid w:val="00A8323D"/>
    <w:rsid w:val="00A832BF"/>
    <w:rsid w:val="00A83603"/>
    <w:rsid w:val="00A8365E"/>
    <w:rsid w:val="00A83817"/>
    <w:rsid w:val="00A844B7"/>
    <w:rsid w:val="00A84529"/>
    <w:rsid w:val="00A847C2"/>
    <w:rsid w:val="00A84E53"/>
    <w:rsid w:val="00A84E73"/>
    <w:rsid w:val="00A84EA5"/>
    <w:rsid w:val="00A852FF"/>
    <w:rsid w:val="00A854D9"/>
    <w:rsid w:val="00A858EB"/>
    <w:rsid w:val="00A85D56"/>
    <w:rsid w:val="00A85E53"/>
    <w:rsid w:val="00A8623E"/>
    <w:rsid w:val="00A86D67"/>
    <w:rsid w:val="00A87250"/>
    <w:rsid w:val="00A87480"/>
    <w:rsid w:val="00A874D8"/>
    <w:rsid w:val="00A874D9"/>
    <w:rsid w:val="00A878B8"/>
    <w:rsid w:val="00A900C1"/>
    <w:rsid w:val="00A90165"/>
    <w:rsid w:val="00A9054D"/>
    <w:rsid w:val="00A90C63"/>
    <w:rsid w:val="00A90CBB"/>
    <w:rsid w:val="00A915EC"/>
    <w:rsid w:val="00A918C4"/>
    <w:rsid w:val="00A91AF7"/>
    <w:rsid w:val="00A91DFD"/>
    <w:rsid w:val="00A91F01"/>
    <w:rsid w:val="00A9215D"/>
    <w:rsid w:val="00A923AA"/>
    <w:rsid w:val="00A927C8"/>
    <w:rsid w:val="00A92C04"/>
    <w:rsid w:val="00A92C38"/>
    <w:rsid w:val="00A92CEC"/>
    <w:rsid w:val="00A92EDF"/>
    <w:rsid w:val="00A93492"/>
    <w:rsid w:val="00A9370C"/>
    <w:rsid w:val="00A938EF"/>
    <w:rsid w:val="00A93903"/>
    <w:rsid w:val="00A9399C"/>
    <w:rsid w:val="00A93AD6"/>
    <w:rsid w:val="00A940D0"/>
    <w:rsid w:val="00A941CA"/>
    <w:rsid w:val="00A944D8"/>
    <w:rsid w:val="00A944E6"/>
    <w:rsid w:val="00A94502"/>
    <w:rsid w:val="00A94620"/>
    <w:rsid w:val="00A94BE4"/>
    <w:rsid w:val="00A94D77"/>
    <w:rsid w:val="00A94EC6"/>
    <w:rsid w:val="00A951BB"/>
    <w:rsid w:val="00A957BF"/>
    <w:rsid w:val="00A958E6"/>
    <w:rsid w:val="00A95ACA"/>
    <w:rsid w:val="00A95BFC"/>
    <w:rsid w:val="00A95D9F"/>
    <w:rsid w:val="00A96761"/>
    <w:rsid w:val="00A96C39"/>
    <w:rsid w:val="00A97168"/>
    <w:rsid w:val="00A97771"/>
    <w:rsid w:val="00A979B9"/>
    <w:rsid w:val="00A97BE4"/>
    <w:rsid w:val="00A97EB3"/>
    <w:rsid w:val="00A97F48"/>
    <w:rsid w:val="00AA03EC"/>
    <w:rsid w:val="00AA0A5B"/>
    <w:rsid w:val="00AA1005"/>
    <w:rsid w:val="00AA10C4"/>
    <w:rsid w:val="00AA139E"/>
    <w:rsid w:val="00AA156C"/>
    <w:rsid w:val="00AA183E"/>
    <w:rsid w:val="00AA1C5A"/>
    <w:rsid w:val="00AA2060"/>
    <w:rsid w:val="00AA22A8"/>
    <w:rsid w:val="00AA2534"/>
    <w:rsid w:val="00AA258D"/>
    <w:rsid w:val="00AA2866"/>
    <w:rsid w:val="00AA2878"/>
    <w:rsid w:val="00AA2BB5"/>
    <w:rsid w:val="00AA2E4E"/>
    <w:rsid w:val="00AA345E"/>
    <w:rsid w:val="00AA38D3"/>
    <w:rsid w:val="00AA396E"/>
    <w:rsid w:val="00AA3A35"/>
    <w:rsid w:val="00AA3A5B"/>
    <w:rsid w:val="00AA3AE3"/>
    <w:rsid w:val="00AA3DA9"/>
    <w:rsid w:val="00AA3F44"/>
    <w:rsid w:val="00AA414B"/>
    <w:rsid w:val="00AA4315"/>
    <w:rsid w:val="00AA44D0"/>
    <w:rsid w:val="00AA46E8"/>
    <w:rsid w:val="00AA4766"/>
    <w:rsid w:val="00AA49F8"/>
    <w:rsid w:val="00AA4A0A"/>
    <w:rsid w:val="00AA4B1E"/>
    <w:rsid w:val="00AA4BCA"/>
    <w:rsid w:val="00AA4FA3"/>
    <w:rsid w:val="00AA57B9"/>
    <w:rsid w:val="00AA6120"/>
    <w:rsid w:val="00AA620F"/>
    <w:rsid w:val="00AA6242"/>
    <w:rsid w:val="00AA6398"/>
    <w:rsid w:val="00AA643D"/>
    <w:rsid w:val="00AA66D2"/>
    <w:rsid w:val="00AA6A74"/>
    <w:rsid w:val="00AA6C09"/>
    <w:rsid w:val="00AA7162"/>
    <w:rsid w:val="00AA725D"/>
    <w:rsid w:val="00AA73A0"/>
    <w:rsid w:val="00AA75FE"/>
    <w:rsid w:val="00AA7770"/>
    <w:rsid w:val="00AA7842"/>
    <w:rsid w:val="00AB028F"/>
    <w:rsid w:val="00AB03BE"/>
    <w:rsid w:val="00AB03FB"/>
    <w:rsid w:val="00AB0556"/>
    <w:rsid w:val="00AB06B2"/>
    <w:rsid w:val="00AB07E4"/>
    <w:rsid w:val="00AB07F7"/>
    <w:rsid w:val="00AB0B9B"/>
    <w:rsid w:val="00AB0C16"/>
    <w:rsid w:val="00AB107A"/>
    <w:rsid w:val="00AB1157"/>
    <w:rsid w:val="00AB15D6"/>
    <w:rsid w:val="00AB1786"/>
    <w:rsid w:val="00AB17C1"/>
    <w:rsid w:val="00AB1965"/>
    <w:rsid w:val="00AB1F02"/>
    <w:rsid w:val="00AB1F4B"/>
    <w:rsid w:val="00AB1FF5"/>
    <w:rsid w:val="00AB20A7"/>
    <w:rsid w:val="00AB23C8"/>
    <w:rsid w:val="00AB24CA"/>
    <w:rsid w:val="00AB286E"/>
    <w:rsid w:val="00AB2961"/>
    <w:rsid w:val="00AB2E99"/>
    <w:rsid w:val="00AB30CF"/>
    <w:rsid w:val="00AB31B5"/>
    <w:rsid w:val="00AB322C"/>
    <w:rsid w:val="00AB3311"/>
    <w:rsid w:val="00AB36F9"/>
    <w:rsid w:val="00AB392F"/>
    <w:rsid w:val="00AB3F05"/>
    <w:rsid w:val="00AB40B9"/>
    <w:rsid w:val="00AB47BF"/>
    <w:rsid w:val="00AB48BA"/>
    <w:rsid w:val="00AB495A"/>
    <w:rsid w:val="00AB49CD"/>
    <w:rsid w:val="00AB49CE"/>
    <w:rsid w:val="00AB4D76"/>
    <w:rsid w:val="00AB4D96"/>
    <w:rsid w:val="00AB4F0C"/>
    <w:rsid w:val="00AB53F0"/>
    <w:rsid w:val="00AB561E"/>
    <w:rsid w:val="00AB5AD0"/>
    <w:rsid w:val="00AB5B8E"/>
    <w:rsid w:val="00AB5EBA"/>
    <w:rsid w:val="00AB5FA0"/>
    <w:rsid w:val="00AB63EB"/>
    <w:rsid w:val="00AB667C"/>
    <w:rsid w:val="00AB75FA"/>
    <w:rsid w:val="00AB7769"/>
    <w:rsid w:val="00AB785C"/>
    <w:rsid w:val="00AB7884"/>
    <w:rsid w:val="00AC0083"/>
    <w:rsid w:val="00AC0370"/>
    <w:rsid w:val="00AC04C7"/>
    <w:rsid w:val="00AC07AB"/>
    <w:rsid w:val="00AC0C87"/>
    <w:rsid w:val="00AC0CF8"/>
    <w:rsid w:val="00AC0E11"/>
    <w:rsid w:val="00AC0F0E"/>
    <w:rsid w:val="00AC1282"/>
    <w:rsid w:val="00AC15FA"/>
    <w:rsid w:val="00AC1BB6"/>
    <w:rsid w:val="00AC1C4C"/>
    <w:rsid w:val="00AC1C77"/>
    <w:rsid w:val="00AC1F20"/>
    <w:rsid w:val="00AC214E"/>
    <w:rsid w:val="00AC25EE"/>
    <w:rsid w:val="00AC28AE"/>
    <w:rsid w:val="00AC29B9"/>
    <w:rsid w:val="00AC2BFA"/>
    <w:rsid w:val="00AC3784"/>
    <w:rsid w:val="00AC38AA"/>
    <w:rsid w:val="00AC3992"/>
    <w:rsid w:val="00AC39CD"/>
    <w:rsid w:val="00AC3A85"/>
    <w:rsid w:val="00AC3C15"/>
    <w:rsid w:val="00AC4672"/>
    <w:rsid w:val="00AC478F"/>
    <w:rsid w:val="00AC4C8C"/>
    <w:rsid w:val="00AC4EAD"/>
    <w:rsid w:val="00AC5597"/>
    <w:rsid w:val="00AC573A"/>
    <w:rsid w:val="00AC594D"/>
    <w:rsid w:val="00AC5A24"/>
    <w:rsid w:val="00AC5E37"/>
    <w:rsid w:val="00AC5F6A"/>
    <w:rsid w:val="00AC60E5"/>
    <w:rsid w:val="00AC6808"/>
    <w:rsid w:val="00AC6E1D"/>
    <w:rsid w:val="00AC6E20"/>
    <w:rsid w:val="00AC6F30"/>
    <w:rsid w:val="00AC7095"/>
    <w:rsid w:val="00AC7356"/>
    <w:rsid w:val="00AC755B"/>
    <w:rsid w:val="00AC775B"/>
    <w:rsid w:val="00AC7859"/>
    <w:rsid w:val="00AC7906"/>
    <w:rsid w:val="00AC7C90"/>
    <w:rsid w:val="00AC7CEF"/>
    <w:rsid w:val="00AC7E87"/>
    <w:rsid w:val="00AC7EF7"/>
    <w:rsid w:val="00AD003A"/>
    <w:rsid w:val="00AD0376"/>
    <w:rsid w:val="00AD0DEA"/>
    <w:rsid w:val="00AD104F"/>
    <w:rsid w:val="00AD14D6"/>
    <w:rsid w:val="00AD17D1"/>
    <w:rsid w:val="00AD1A2B"/>
    <w:rsid w:val="00AD1DB0"/>
    <w:rsid w:val="00AD1E5E"/>
    <w:rsid w:val="00AD1EDE"/>
    <w:rsid w:val="00AD2106"/>
    <w:rsid w:val="00AD24AD"/>
    <w:rsid w:val="00AD24BF"/>
    <w:rsid w:val="00AD28E7"/>
    <w:rsid w:val="00AD2B4D"/>
    <w:rsid w:val="00AD2B60"/>
    <w:rsid w:val="00AD30E4"/>
    <w:rsid w:val="00AD3105"/>
    <w:rsid w:val="00AD329B"/>
    <w:rsid w:val="00AD32BA"/>
    <w:rsid w:val="00AD3723"/>
    <w:rsid w:val="00AD3778"/>
    <w:rsid w:val="00AD3798"/>
    <w:rsid w:val="00AD3C58"/>
    <w:rsid w:val="00AD3DBC"/>
    <w:rsid w:val="00AD415C"/>
    <w:rsid w:val="00AD45E5"/>
    <w:rsid w:val="00AD4B8D"/>
    <w:rsid w:val="00AD4C66"/>
    <w:rsid w:val="00AD4CC9"/>
    <w:rsid w:val="00AD4F32"/>
    <w:rsid w:val="00AD4F56"/>
    <w:rsid w:val="00AD56DA"/>
    <w:rsid w:val="00AD59AA"/>
    <w:rsid w:val="00AD59F7"/>
    <w:rsid w:val="00AD5A75"/>
    <w:rsid w:val="00AD5AB9"/>
    <w:rsid w:val="00AD5FDD"/>
    <w:rsid w:val="00AD6155"/>
    <w:rsid w:val="00AD6312"/>
    <w:rsid w:val="00AD646A"/>
    <w:rsid w:val="00AD66D7"/>
    <w:rsid w:val="00AD6B59"/>
    <w:rsid w:val="00AD6CBC"/>
    <w:rsid w:val="00AD74DD"/>
    <w:rsid w:val="00AD753A"/>
    <w:rsid w:val="00AD75AA"/>
    <w:rsid w:val="00AD75CC"/>
    <w:rsid w:val="00AD7808"/>
    <w:rsid w:val="00AE00FE"/>
    <w:rsid w:val="00AE04D6"/>
    <w:rsid w:val="00AE0515"/>
    <w:rsid w:val="00AE0558"/>
    <w:rsid w:val="00AE085B"/>
    <w:rsid w:val="00AE0D1D"/>
    <w:rsid w:val="00AE0DC6"/>
    <w:rsid w:val="00AE0EC2"/>
    <w:rsid w:val="00AE10E7"/>
    <w:rsid w:val="00AE1166"/>
    <w:rsid w:val="00AE1516"/>
    <w:rsid w:val="00AE17A5"/>
    <w:rsid w:val="00AE19B2"/>
    <w:rsid w:val="00AE1B2C"/>
    <w:rsid w:val="00AE2120"/>
    <w:rsid w:val="00AE214F"/>
    <w:rsid w:val="00AE2561"/>
    <w:rsid w:val="00AE2FF8"/>
    <w:rsid w:val="00AE3483"/>
    <w:rsid w:val="00AE34BE"/>
    <w:rsid w:val="00AE365C"/>
    <w:rsid w:val="00AE3A65"/>
    <w:rsid w:val="00AE3C47"/>
    <w:rsid w:val="00AE434E"/>
    <w:rsid w:val="00AE43AB"/>
    <w:rsid w:val="00AE43B0"/>
    <w:rsid w:val="00AE43F6"/>
    <w:rsid w:val="00AE47B1"/>
    <w:rsid w:val="00AE49D7"/>
    <w:rsid w:val="00AE4BB7"/>
    <w:rsid w:val="00AE4E2F"/>
    <w:rsid w:val="00AE5005"/>
    <w:rsid w:val="00AE5242"/>
    <w:rsid w:val="00AE5352"/>
    <w:rsid w:val="00AE5BBA"/>
    <w:rsid w:val="00AE5E11"/>
    <w:rsid w:val="00AE630A"/>
    <w:rsid w:val="00AE6318"/>
    <w:rsid w:val="00AE635B"/>
    <w:rsid w:val="00AE63CD"/>
    <w:rsid w:val="00AE64DB"/>
    <w:rsid w:val="00AE66FA"/>
    <w:rsid w:val="00AE6B14"/>
    <w:rsid w:val="00AE7211"/>
    <w:rsid w:val="00AF00B1"/>
    <w:rsid w:val="00AF00B8"/>
    <w:rsid w:val="00AF0410"/>
    <w:rsid w:val="00AF045E"/>
    <w:rsid w:val="00AF04A4"/>
    <w:rsid w:val="00AF04DA"/>
    <w:rsid w:val="00AF0594"/>
    <w:rsid w:val="00AF06CA"/>
    <w:rsid w:val="00AF0BBE"/>
    <w:rsid w:val="00AF114D"/>
    <w:rsid w:val="00AF11A0"/>
    <w:rsid w:val="00AF12A3"/>
    <w:rsid w:val="00AF15BD"/>
    <w:rsid w:val="00AF184D"/>
    <w:rsid w:val="00AF1878"/>
    <w:rsid w:val="00AF1ADB"/>
    <w:rsid w:val="00AF21A8"/>
    <w:rsid w:val="00AF2F2F"/>
    <w:rsid w:val="00AF2FD1"/>
    <w:rsid w:val="00AF2FF0"/>
    <w:rsid w:val="00AF35A3"/>
    <w:rsid w:val="00AF3DF1"/>
    <w:rsid w:val="00AF3E29"/>
    <w:rsid w:val="00AF43A5"/>
    <w:rsid w:val="00AF4A1A"/>
    <w:rsid w:val="00AF4D25"/>
    <w:rsid w:val="00AF5228"/>
    <w:rsid w:val="00AF5269"/>
    <w:rsid w:val="00AF52DA"/>
    <w:rsid w:val="00AF535C"/>
    <w:rsid w:val="00AF54B7"/>
    <w:rsid w:val="00AF563E"/>
    <w:rsid w:val="00AF5C4C"/>
    <w:rsid w:val="00AF5F79"/>
    <w:rsid w:val="00AF6548"/>
    <w:rsid w:val="00AF6571"/>
    <w:rsid w:val="00AF6825"/>
    <w:rsid w:val="00AF6A30"/>
    <w:rsid w:val="00AF6C40"/>
    <w:rsid w:val="00AF6D17"/>
    <w:rsid w:val="00AF7107"/>
    <w:rsid w:val="00AF7563"/>
    <w:rsid w:val="00AF7BEC"/>
    <w:rsid w:val="00AF7D79"/>
    <w:rsid w:val="00AF7F35"/>
    <w:rsid w:val="00B004D0"/>
    <w:rsid w:val="00B00592"/>
    <w:rsid w:val="00B00621"/>
    <w:rsid w:val="00B01014"/>
    <w:rsid w:val="00B01034"/>
    <w:rsid w:val="00B010BC"/>
    <w:rsid w:val="00B0126A"/>
    <w:rsid w:val="00B014A8"/>
    <w:rsid w:val="00B014BD"/>
    <w:rsid w:val="00B01558"/>
    <w:rsid w:val="00B01577"/>
    <w:rsid w:val="00B01683"/>
    <w:rsid w:val="00B017CC"/>
    <w:rsid w:val="00B01931"/>
    <w:rsid w:val="00B0198C"/>
    <w:rsid w:val="00B019EE"/>
    <w:rsid w:val="00B028CF"/>
    <w:rsid w:val="00B028DC"/>
    <w:rsid w:val="00B02B33"/>
    <w:rsid w:val="00B02B6A"/>
    <w:rsid w:val="00B02D81"/>
    <w:rsid w:val="00B02EBC"/>
    <w:rsid w:val="00B031E6"/>
    <w:rsid w:val="00B0366B"/>
    <w:rsid w:val="00B037FD"/>
    <w:rsid w:val="00B03CC2"/>
    <w:rsid w:val="00B03E33"/>
    <w:rsid w:val="00B04097"/>
    <w:rsid w:val="00B04307"/>
    <w:rsid w:val="00B0441E"/>
    <w:rsid w:val="00B0487B"/>
    <w:rsid w:val="00B0489A"/>
    <w:rsid w:val="00B04BD6"/>
    <w:rsid w:val="00B04C56"/>
    <w:rsid w:val="00B051F2"/>
    <w:rsid w:val="00B052BE"/>
    <w:rsid w:val="00B055E0"/>
    <w:rsid w:val="00B05680"/>
    <w:rsid w:val="00B0589C"/>
    <w:rsid w:val="00B05A89"/>
    <w:rsid w:val="00B05C18"/>
    <w:rsid w:val="00B05CA8"/>
    <w:rsid w:val="00B05D06"/>
    <w:rsid w:val="00B061CF"/>
    <w:rsid w:val="00B0648C"/>
    <w:rsid w:val="00B06584"/>
    <w:rsid w:val="00B066CC"/>
    <w:rsid w:val="00B06E68"/>
    <w:rsid w:val="00B0705F"/>
    <w:rsid w:val="00B07458"/>
    <w:rsid w:val="00B076F2"/>
    <w:rsid w:val="00B07B48"/>
    <w:rsid w:val="00B07CDE"/>
    <w:rsid w:val="00B07D7E"/>
    <w:rsid w:val="00B07E34"/>
    <w:rsid w:val="00B10059"/>
    <w:rsid w:val="00B1005C"/>
    <w:rsid w:val="00B105F4"/>
    <w:rsid w:val="00B106C0"/>
    <w:rsid w:val="00B10C5A"/>
    <w:rsid w:val="00B10D4D"/>
    <w:rsid w:val="00B10DCB"/>
    <w:rsid w:val="00B11543"/>
    <w:rsid w:val="00B1159F"/>
    <w:rsid w:val="00B119E8"/>
    <w:rsid w:val="00B11A3B"/>
    <w:rsid w:val="00B11BC4"/>
    <w:rsid w:val="00B11ED4"/>
    <w:rsid w:val="00B11F41"/>
    <w:rsid w:val="00B11FE6"/>
    <w:rsid w:val="00B122C0"/>
    <w:rsid w:val="00B122C1"/>
    <w:rsid w:val="00B123C5"/>
    <w:rsid w:val="00B12495"/>
    <w:rsid w:val="00B125BB"/>
    <w:rsid w:val="00B12B9B"/>
    <w:rsid w:val="00B12CFF"/>
    <w:rsid w:val="00B12ED2"/>
    <w:rsid w:val="00B13137"/>
    <w:rsid w:val="00B1389D"/>
    <w:rsid w:val="00B138C6"/>
    <w:rsid w:val="00B13AB2"/>
    <w:rsid w:val="00B13EA9"/>
    <w:rsid w:val="00B140AC"/>
    <w:rsid w:val="00B141BD"/>
    <w:rsid w:val="00B144DE"/>
    <w:rsid w:val="00B14546"/>
    <w:rsid w:val="00B14569"/>
    <w:rsid w:val="00B148C2"/>
    <w:rsid w:val="00B150FF"/>
    <w:rsid w:val="00B152A2"/>
    <w:rsid w:val="00B15347"/>
    <w:rsid w:val="00B157A0"/>
    <w:rsid w:val="00B15970"/>
    <w:rsid w:val="00B15F63"/>
    <w:rsid w:val="00B16134"/>
    <w:rsid w:val="00B1622B"/>
    <w:rsid w:val="00B162C3"/>
    <w:rsid w:val="00B16478"/>
    <w:rsid w:val="00B16B49"/>
    <w:rsid w:val="00B16C80"/>
    <w:rsid w:val="00B16CBC"/>
    <w:rsid w:val="00B17171"/>
    <w:rsid w:val="00B17801"/>
    <w:rsid w:val="00B17824"/>
    <w:rsid w:val="00B1787C"/>
    <w:rsid w:val="00B17ACA"/>
    <w:rsid w:val="00B17D55"/>
    <w:rsid w:val="00B2040D"/>
    <w:rsid w:val="00B20458"/>
    <w:rsid w:val="00B20467"/>
    <w:rsid w:val="00B209D4"/>
    <w:rsid w:val="00B2110E"/>
    <w:rsid w:val="00B21365"/>
    <w:rsid w:val="00B2140B"/>
    <w:rsid w:val="00B215EF"/>
    <w:rsid w:val="00B21EC8"/>
    <w:rsid w:val="00B21ED9"/>
    <w:rsid w:val="00B22165"/>
    <w:rsid w:val="00B222DA"/>
    <w:rsid w:val="00B22AD6"/>
    <w:rsid w:val="00B22D2B"/>
    <w:rsid w:val="00B22E53"/>
    <w:rsid w:val="00B2366F"/>
    <w:rsid w:val="00B237E9"/>
    <w:rsid w:val="00B237F6"/>
    <w:rsid w:val="00B23E3D"/>
    <w:rsid w:val="00B23E69"/>
    <w:rsid w:val="00B23EA9"/>
    <w:rsid w:val="00B247AD"/>
    <w:rsid w:val="00B24B6E"/>
    <w:rsid w:val="00B24C8E"/>
    <w:rsid w:val="00B24D6E"/>
    <w:rsid w:val="00B24EBC"/>
    <w:rsid w:val="00B25975"/>
    <w:rsid w:val="00B25CD5"/>
    <w:rsid w:val="00B25DB1"/>
    <w:rsid w:val="00B2625B"/>
    <w:rsid w:val="00B26485"/>
    <w:rsid w:val="00B26787"/>
    <w:rsid w:val="00B269EF"/>
    <w:rsid w:val="00B271E8"/>
    <w:rsid w:val="00B27A58"/>
    <w:rsid w:val="00B3013B"/>
    <w:rsid w:val="00B3042C"/>
    <w:rsid w:val="00B30506"/>
    <w:rsid w:val="00B30532"/>
    <w:rsid w:val="00B30C80"/>
    <w:rsid w:val="00B30CA1"/>
    <w:rsid w:val="00B310A6"/>
    <w:rsid w:val="00B3119B"/>
    <w:rsid w:val="00B3220B"/>
    <w:rsid w:val="00B324A4"/>
    <w:rsid w:val="00B32579"/>
    <w:rsid w:val="00B327BD"/>
    <w:rsid w:val="00B327D8"/>
    <w:rsid w:val="00B328CD"/>
    <w:rsid w:val="00B32CF0"/>
    <w:rsid w:val="00B32D68"/>
    <w:rsid w:val="00B32EB3"/>
    <w:rsid w:val="00B32F76"/>
    <w:rsid w:val="00B333E1"/>
    <w:rsid w:val="00B335C6"/>
    <w:rsid w:val="00B33632"/>
    <w:rsid w:val="00B33654"/>
    <w:rsid w:val="00B336B1"/>
    <w:rsid w:val="00B3414D"/>
    <w:rsid w:val="00B3417C"/>
    <w:rsid w:val="00B341D2"/>
    <w:rsid w:val="00B346C9"/>
    <w:rsid w:val="00B349B4"/>
    <w:rsid w:val="00B34A12"/>
    <w:rsid w:val="00B3542C"/>
    <w:rsid w:val="00B35446"/>
    <w:rsid w:val="00B35582"/>
    <w:rsid w:val="00B3589B"/>
    <w:rsid w:val="00B35994"/>
    <w:rsid w:val="00B35B46"/>
    <w:rsid w:val="00B36540"/>
    <w:rsid w:val="00B36842"/>
    <w:rsid w:val="00B36A13"/>
    <w:rsid w:val="00B36B00"/>
    <w:rsid w:val="00B36D37"/>
    <w:rsid w:val="00B36DB0"/>
    <w:rsid w:val="00B37378"/>
    <w:rsid w:val="00B37720"/>
    <w:rsid w:val="00B3786A"/>
    <w:rsid w:val="00B37949"/>
    <w:rsid w:val="00B37A29"/>
    <w:rsid w:val="00B37CE7"/>
    <w:rsid w:val="00B37F34"/>
    <w:rsid w:val="00B40205"/>
    <w:rsid w:val="00B40330"/>
    <w:rsid w:val="00B40905"/>
    <w:rsid w:val="00B409F4"/>
    <w:rsid w:val="00B40A85"/>
    <w:rsid w:val="00B40E04"/>
    <w:rsid w:val="00B41071"/>
    <w:rsid w:val="00B41396"/>
    <w:rsid w:val="00B41815"/>
    <w:rsid w:val="00B41B07"/>
    <w:rsid w:val="00B41B29"/>
    <w:rsid w:val="00B41B67"/>
    <w:rsid w:val="00B41C01"/>
    <w:rsid w:val="00B41E33"/>
    <w:rsid w:val="00B42140"/>
    <w:rsid w:val="00B422A4"/>
    <w:rsid w:val="00B42363"/>
    <w:rsid w:val="00B4249F"/>
    <w:rsid w:val="00B42963"/>
    <w:rsid w:val="00B42D9C"/>
    <w:rsid w:val="00B4339A"/>
    <w:rsid w:val="00B435EC"/>
    <w:rsid w:val="00B437FB"/>
    <w:rsid w:val="00B43A21"/>
    <w:rsid w:val="00B440D5"/>
    <w:rsid w:val="00B44EC2"/>
    <w:rsid w:val="00B4547D"/>
    <w:rsid w:val="00B457A5"/>
    <w:rsid w:val="00B45CE7"/>
    <w:rsid w:val="00B45F2B"/>
    <w:rsid w:val="00B45FC2"/>
    <w:rsid w:val="00B465D6"/>
    <w:rsid w:val="00B46707"/>
    <w:rsid w:val="00B4670B"/>
    <w:rsid w:val="00B47069"/>
    <w:rsid w:val="00B4707A"/>
    <w:rsid w:val="00B47103"/>
    <w:rsid w:val="00B472AE"/>
    <w:rsid w:val="00B477FB"/>
    <w:rsid w:val="00B47947"/>
    <w:rsid w:val="00B47E78"/>
    <w:rsid w:val="00B500CA"/>
    <w:rsid w:val="00B500E9"/>
    <w:rsid w:val="00B503BA"/>
    <w:rsid w:val="00B50598"/>
    <w:rsid w:val="00B505DD"/>
    <w:rsid w:val="00B508D1"/>
    <w:rsid w:val="00B50F12"/>
    <w:rsid w:val="00B5123D"/>
    <w:rsid w:val="00B51374"/>
    <w:rsid w:val="00B5251C"/>
    <w:rsid w:val="00B52647"/>
    <w:rsid w:val="00B52980"/>
    <w:rsid w:val="00B52ACE"/>
    <w:rsid w:val="00B52CED"/>
    <w:rsid w:val="00B52D8E"/>
    <w:rsid w:val="00B53206"/>
    <w:rsid w:val="00B53435"/>
    <w:rsid w:val="00B53552"/>
    <w:rsid w:val="00B54002"/>
    <w:rsid w:val="00B544AA"/>
    <w:rsid w:val="00B544DC"/>
    <w:rsid w:val="00B548B7"/>
    <w:rsid w:val="00B54A04"/>
    <w:rsid w:val="00B54C17"/>
    <w:rsid w:val="00B54C65"/>
    <w:rsid w:val="00B54DA5"/>
    <w:rsid w:val="00B550D4"/>
    <w:rsid w:val="00B55252"/>
    <w:rsid w:val="00B552B3"/>
    <w:rsid w:val="00B55583"/>
    <w:rsid w:val="00B55B33"/>
    <w:rsid w:val="00B55CA1"/>
    <w:rsid w:val="00B55EA1"/>
    <w:rsid w:val="00B56783"/>
    <w:rsid w:val="00B56CF3"/>
    <w:rsid w:val="00B56F3B"/>
    <w:rsid w:val="00B57136"/>
    <w:rsid w:val="00B573AF"/>
    <w:rsid w:val="00B5745E"/>
    <w:rsid w:val="00B575F8"/>
    <w:rsid w:val="00B577C2"/>
    <w:rsid w:val="00B57850"/>
    <w:rsid w:val="00B57B5A"/>
    <w:rsid w:val="00B57C9A"/>
    <w:rsid w:val="00B605FD"/>
    <w:rsid w:val="00B60784"/>
    <w:rsid w:val="00B608E0"/>
    <w:rsid w:val="00B61693"/>
    <w:rsid w:val="00B61B04"/>
    <w:rsid w:val="00B61C08"/>
    <w:rsid w:val="00B61E3D"/>
    <w:rsid w:val="00B61EEA"/>
    <w:rsid w:val="00B621C2"/>
    <w:rsid w:val="00B621C6"/>
    <w:rsid w:val="00B62C55"/>
    <w:rsid w:val="00B62C60"/>
    <w:rsid w:val="00B62DD2"/>
    <w:rsid w:val="00B62FAD"/>
    <w:rsid w:val="00B63903"/>
    <w:rsid w:val="00B6398A"/>
    <w:rsid w:val="00B63CB8"/>
    <w:rsid w:val="00B63F31"/>
    <w:rsid w:val="00B64031"/>
    <w:rsid w:val="00B64120"/>
    <w:rsid w:val="00B641C9"/>
    <w:rsid w:val="00B64218"/>
    <w:rsid w:val="00B64400"/>
    <w:rsid w:val="00B6474D"/>
    <w:rsid w:val="00B648BF"/>
    <w:rsid w:val="00B64ADA"/>
    <w:rsid w:val="00B6541C"/>
    <w:rsid w:val="00B65663"/>
    <w:rsid w:val="00B656B0"/>
    <w:rsid w:val="00B65E77"/>
    <w:rsid w:val="00B65E86"/>
    <w:rsid w:val="00B65F59"/>
    <w:rsid w:val="00B666DF"/>
    <w:rsid w:val="00B66731"/>
    <w:rsid w:val="00B66A87"/>
    <w:rsid w:val="00B6764A"/>
    <w:rsid w:val="00B67E42"/>
    <w:rsid w:val="00B70059"/>
    <w:rsid w:val="00B70131"/>
    <w:rsid w:val="00B7017B"/>
    <w:rsid w:val="00B703D3"/>
    <w:rsid w:val="00B70420"/>
    <w:rsid w:val="00B70570"/>
    <w:rsid w:val="00B705CD"/>
    <w:rsid w:val="00B70827"/>
    <w:rsid w:val="00B70848"/>
    <w:rsid w:val="00B70A56"/>
    <w:rsid w:val="00B70C8E"/>
    <w:rsid w:val="00B70D3F"/>
    <w:rsid w:val="00B710A4"/>
    <w:rsid w:val="00B71635"/>
    <w:rsid w:val="00B71951"/>
    <w:rsid w:val="00B719DB"/>
    <w:rsid w:val="00B71DC1"/>
    <w:rsid w:val="00B72423"/>
    <w:rsid w:val="00B725F9"/>
    <w:rsid w:val="00B728AB"/>
    <w:rsid w:val="00B728C7"/>
    <w:rsid w:val="00B72C46"/>
    <w:rsid w:val="00B72D28"/>
    <w:rsid w:val="00B73294"/>
    <w:rsid w:val="00B7332D"/>
    <w:rsid w:val="00B73472"/>
    <w:rsid w:val="00B735F6"/>
    <w:rsid w:val="00B73AA2"/>
    <w:rsid w:val="00B73B64"/>
    <w:rsid w:val="00B73C8F"/>
    <w:rsid w:val="00B73EA4"/>
    <w:rsid w:val="00B73FEA"/>
    <w:rsid w:val="00B742BC"/>
    <w:rsid w:val="00B748BB"/>
    <w:rsid w:val="00B749D7"/>
    <w:rsid w:val="00B74AD8"/>
    <w:rsid w:val="00B74F20"/>
    <w:rsid w:val="00B753E6"/>
    <w:rsid w:val="00B75568"/>
    <w:rsid w:val="00B75D50"/>
    <w:rsid w:val="00B75F74"/>
    <w:rsid w:val="00B760E2"/>
    <w:rsid w:val="00B760EB"/>
    <w:rsid w:val="00B762B7"/>
    <w:rsid w:val="00B7647E"/>
    <w:rsid w:val="00B76505"/>
    <w:rsid w:val="00B76577"/>
    <w:rsid w:val="00B767D0"/>
    <w:rsid w:val="00B769D7"/>
    <w:rsid w:val="00B76AF7"/>
    <w:rsid w:val="00B76F65"/>
    <w:rsid w:val="00B77CAA"/>
    <w:rsid w:val="00B80072"/>
    <w:rsid w:val="00B800F0"/>
    <w:rsid w:val="00B8019E"/>
    <w:rsid w:val="00B8034A"/>
    <w:rsid w:val="00B80421"/>
    <w:rsid w:val="00B80504"/>
    <w:rsid w:val="00B80A6F"/>
    <w:rsid w:val="00B80BD8"/>
    <w:rsid w:val="00B80F76"/>
    <w:rsid w:val="00B81020"/>
    <w:rsid w:val="00B81112"/>
    <w:rsid w:val="00B81A8C"/>
    <w:rsid w:val="00B81C3A"/>
    <w:rsid w:val="00B82674"/>
    <w:rsid w:val="00B827A8"/>
    <w:rsid w:val="00B82954"/>
    <w:rsid w:val="00B82F97"/>
    <w:rsid w:val="00B8300B"/>
    <w:rsid w:val="00B83096"/>
    <w:rsid w:val="00B8309F"/>
    <w:rsid w:val="00B83385"/>
    <w:rsid w:val="00B834AC"/>
    <w:rsid w:val="00B8367A"/>
    <w:rsid w:val="00B83BF5"/>
    <w:rsid w:val="00B84186"/>
    <w:rsid w:val="00B84866"/>
    <w:rsid w:val="00B849E3"/>
    <w:rsid w:val="00B84CCF"/>
    <w:rsid w:val="00B84E15"/>
    <w:rsid w:val="00B85019"/>
    <w:rsid w:val="00B8554B"/>
    <w:rsid w:val="00B857AF"/>
    <w:rsid w:val="00B8584E"/>
    <w:rsid w:val="00B8589D"/>
    <w:rsid w:val="00B85979"/>
    <w:rsid w:val="00B85A2B"/>
    <w:rsid w:val="00B85C2F"/>
    <w:rsid w:val="00B85EF2"/>
    <w:rsid w:val="00B86229"/>
    <w:rsid w:val="00B862A3"/>
    <w:rsid w:val="00B86422"/>
    <w:rsid w:val="00B86922"/>
    <w:rsid w:val="00B86E7D"/>
    <w:rsid w:val="00B8708C"/>
    <w:rsid w:val="00B87101"/>
    <w:rsid w:val="00B87932"/>
    <w:rsid w:val="00B87ECE"/>
    <w:rsid w:val="00B9002F"/>
    <w:rsid w:val="00B901AB"/>
    <w:rsid w:val="00B9031F"/>
    <w:rsid w:val="00B906FC"/>
    <w:rsid w:val="00B907F2"/>
    <w:rsid w:val="00B9096D"/>
    <w:rsid w:val="00B90B7C"/>
    <w:rsid w:val="00B90BE7"/>
    <w:rsid w:val="00B910BD"/>
    <w:rsid w:val="00B911A4"/>
    <w:rsid w:val="00B914D0"/>
    <w:rsid w:val="00B91611"/>
    <w:rsid w:val="00B91E83"/>
    <w:rsid w:val="00B9204B"/>
    <w:rsid w:val="00B92157"/>
    <w:rsid w:val="00B92199"/>
    <w:rsid w:val="00B92662"/>
    <w:rsid w:val="00B92A5E"/>
    <w:rsid w:val="00B92FD3"/>
    <w:rsid w:val="00B931CA"/>
    <w:rsid w:val="00B9320F"/>
    <w:rsid w:val="00B9326A"/>
    <w:rsid w:val="00B9327D"/>
    <w:rsid w:val="00B93892"/>
    <w:rsid w:val="00B93ADE"/>
    <w:rsid w:val="00B93B11"/>
    <w:rsid w:val="00B93D62"/>
    <w:rsid w:val="00B93EE0"/>
    <w:rsid w:val="00B93EEB"/>
    <w:rsid w:val="00B94391"/>
    <w:rsid w:val="00B944AA"/>
    <w:rsid w:val="00B944E2"/>
    <w:rsid w:val="00B945B6"/>
    <w:rsid w:val="00B9461C"/>
    <w:rsid w:val="00B94939"/>
    <w:rsid w:val="00B94BA7"/>
    <w:rsid w:val="00B951F5"/>
    <w:rsid w:val="00B9544B"/>
    <w:rsid w:val="00B9546D"/>
    <w:rsid w:val="00B95530"/>
    <w:rsid w:val="00B95A8D"/>
    <w:rsid w:val="00B95D1F"/>
    <w:rsid w:val="00B95D5A"/>
    <w:rsid w:val="00B968EA"/>
    <w:rsid w:val="00B96A0C"/>
    <w:rsid w:val="00B96D6E"/>
    <w:rsid w:val="00B96D9B"/>
    <w:rsid w:val="00B96E5F"/>
    <w:rsid w:val="00B974C0"/>
    <w:rsid w:val="00B97BC5"/>
    <w:rsid w:val="00B97CDD"/>
    <w:rsid w:val="00BA042E"/>
    <w:rsid w:val="00BA08DF"/>
    <w:rsid w:val="00BA0A8C"/>
    <w:rsid w:val="00BA0AC4"/>
    <w:rsid w:val="00BA0E83"/>
    <w:rsid w:val="00BA114C"/>
    <w:rsid w:val="00BA16B9"/>
    <w:rsid w:val="00BA1B51"/>
    <w:rsid w:val="00BA1C0A"/>
    <w:rsid w:val="00BA1EC8"/>
    <w:rsid w:val="00BA20D7"/>
    <w:rsid w:val="00BA2270"/>
    <w:rsid w:val="00BA22B0"/>
    <w:rsid w:val="00BA2A1D"/>
    <w:rsid w:val="00BA2E1F"/>
    <w:rsid w:val="00BA32BE"/>
    <w:rsid w:val="00BA36FC"/>
    <w:rsid w:val="00BA3727"/>
    <w:rsid w:val="00BA413B"/>
    <w:rsid w:val="00BA431B"/>
    <w:rsid w:val="00BA439B"/>
    <w:rsid w:val="00BA4955"/>
    <w:rsid w:val="00BA4A30"/>
    <w:rsid w:val="00BA4B74"/>
    <w:rsid w:val="00BA4E0C"/>
    <w:rsid w:val="00BA5110"/>
    <w:rsid w:val="00BA5176"/>
    <w:rsid w:val="00BA5C99"/>
    <w:rsid w:val="00BA5D0B"/>
    <w:rsid w:val="00BA5D3D"/>
    <w:rsid w:val="00BA5DEC"/>
    <w:rsid w:val="00BA5FB2"/>
    <w:rsid w:val="00BA6215"/>
    <w:rsid w:val="00BA6462"/>
    <w:rsid w:val="00BA6520"/>
    <w:rsid w:val="00BA6531"/>
    <w:rsid w:val="00BA6705"/>
    <w:rsid w:val="00BA6AB2"/>
    <w:rsid w:val="00BA6B35"/>
    <w:rsid w:val="00BA6B6E"/>
    <w:rsid w:val="00BA6F59"/>
    <w:rsid w:val="00BA74FC"/>
    <w:rsid w:val="00BA7A44"/>
    <w:rsid w:val="00BA7AD5"/>
    <w:rsid w:val="00BA7F44"/>
    <w:rsid w:val="00BA7FF6"/>
    <w:rsid w:val="00BB0051"/>
    <w:rsid w:val="00BB0D66"/>
    <w:rsid w:val="00BB0D76"/>
    <w:rsid w:val="00BB0F06"/>
    <w:rsid w:val="00BB0F55"/>
    <w:rsid w:val="00BB11EA"/>
    <w:rsid w:val="00BB1246"/>
    <w:rsid w:val="00BB12B6"/>
    <w:rsid w:val="00BB1316"/>
    <w:rsid w:val="00BB152C"/>
    <w:rsid w:val="00BB15AA"/>
    <w:rsid w:val="00BB1638"/>
    <w:rsid w:val="00BB16FF"/>
    <w:rsid w:val="00BB183E"/>
    <w:rsid w:val="00BB18D3"/>
    <w:rsid w:val="00BB1C85"/>
    <w:rsid w:val="00BB1DEC"/>
    <w:rsid w:val="00BB21EF"/>
    <w:rsid w:val="00BB2521"/>
    <w:rsid w:val="00BB2772"/>
    <w:rsid w:val="00BB27E4"/>
    <w:rsid w:val="00BB29C8"/>
    <w:rsid w:val="00BB2B4F"/>
    <w:rsid w:val="00BB2CDB"/>
    <w:rsid w:val="00BB2EAB"/>
    <w:rsid w:val="00BB305F"/>
    <w:rsid w:val="00BB31F8"/>
    <w:rsid w:val="00BB32CC"/>
    <w:rsid w:val="00BB36F1"/>
    <w:rsid w:val="00BB38EF"/>
    <w:rsid w:val="00BB3B4C"/>
    <w:rsid w:val="00BB3FBB"/>
    <w:rsid w:val="00BB3FC9"/>
    <w:rsid w:val="00BB44D5"/>
    <w:rsid w:val="00BB4807"/>
    <w:rsid w:val="00BB4D3B"/>
    <w:rsid w:val="00BB4DCC"/>
    <w:rsid w:val="00BB5614"/>
    <w:rsid w:val="00BB5AB1"/>
    <w:rsid w:val="00BB5B07"/>
    <w:rsid w:val="00BB5B82"/>
    <w:rsid w:val="00BB5E5F"/>
    <w:rsid w:val="00BB6218"/>
    <w:rsid w:val="00BB6484"/>
    <w:rsid w:val="00BB65FD"/>
    <w:rsid w:val="00BB6ACD"/>
    <w:rsid w:val="00BB6D06"/>
    <w:rsid w:val="00BB6D64"/>
    <w:rsid w:val="00BB6E93"/>
    <w:rsid w:val="00BB7176"/>
    <w:rsid w:val="00BB73C4"/>
    <w:rsid w:val="00BB7405"/>
    <w:rsid w:val="00BB77C3"/>
    <w:rsid w:val="00BB79A5"/>
    <w:rsid w:val="00BB7D49"/>
    <w:rsid w:val="00BB7D56"/>
    <w:rsid w:val="00BC00A1"/>
    <w:rsid w:val="00BC079C"/>
    <w:rsid w:val="00BC0B7D"/>
    <w:rsid w:val="00BC0E80"/>
    <w:rsid w:val="00BC16C2"/>
    <w:rsid w:val="00BC1BEE"/>
    <w:rsid w:val="00BC1F58"/>
    <w:rsid w:val="00BC2383"/>
    <w:rsid w:val="00BC2384"/>
    <w:rsid w:val="00BC24B2"/>
    <w:rsid w:val="00BC2A39"/>
    <w:rsid w:val="00BC2B46"/>
    <w:rsid w:val="00BC2E33"/>
    <w:rsid w:val="00BC2F99"/>
    <w:rsid w:val="00BC333E"/>
    <w:rsid w:val="00BC3EC4"/>
    <w:rsid w:val="00BC4275"/>
    <w:rsid w:val="00BC4302"/>
    <w:rsid w:val="00BC452A"/>
    <w:rsid w:val="00BC46B8"/>
    <w:rsid w:val="00BC48A5"/>
    <w:rsid w:val="00BC4F4E"/>
    <w:rsid w:val="00BC50F6"/>
    <w:rsid w:val="00BC5286"/>
    <w:rsid w:val="00BC5337"/>
    <w:rsid w:val="00BC583F"/>
    <w:rsid w:val="00BC5B0D"/>
    <w:rsid w:val="00BC5F4C"/>
    <w:rsid w:val="00BC60E2"/>
    <w:rsid w:val="00BC6A2A"/>
    <w:rsid w:val="00BC6D5F"/>
    <w:rsid w:val="00BC6F72"/>
    <w:rsid w:val="00BC6FAB"/>
    <w:rsid w:val="00BC773C"/>
    <w:rsid w:val="00BC77D3"/>
    <w:rsid w:val="00BC79DB"/>
    <w:rsid w:val="00BC7A0D"/>
    <w:rsid w:val="00BC7A6B"/>
    <w:rsid w:val="00BC7B9D"/>
    <w:rsid w:val="00BC7C7D"/>
    <w:rsid w:val="00BC7E79"/>
    <w:rsid w:val="00BC7F5F"/>
    <w:rsid w:val="00BC7F66"/>
    <w:rsid w:val="00BD0228"/>
    <w:rsid w:val="00BD04A5"/>
    <w:rsid w:val="00BD0D87"/>
    <w:rsid w:val="00BD110E"/>
    <w:rsid w:val="00BD1422"/>
    <w:rsid w:val="00BD146E"/>
    <w:rsid w:val="00BD1C46"/>
    <w:rsid w:val="00BD1FE5"/>
    <w:rsid w:val="00BD22CF"/>
    <w:rsid w:val="00BD250C"/>
    <w:rsid w:val="00BD2718"/>
    <w:rsid w:val="00BD2867"/>
    <w:rsid w:val="00BD2B7C"/>
    <w:rsid w:val="00BD2C0C"/>
    <w:rsid w:val="00BD2C4F"/>
    <w:rsid w:val="00BD2D92"/>
    <w:rsid w:val="00BD2E0B"/>
    <w:rsid w:val="00BD2F80"/>
    <w:rsid w:val="00BD39BF"/>
    <w:rsid w:val="00BD3A25"/>
    <w:rsid w:val="00BD3AAC"/>
    <w:rsid w:val="00BD3FBE"/>
    <w:rsid w:val="00BD42EE"/>
    <w:rsid w:val="00BD44C7"/>
    <w:rsid w:val="00BD45FF"/>
    <w:rsid w:val="00BD4648"/>
    <w:rsid w:val="00BD491F"/>
    <w:rsid w:val="00BD4DDE"/>
    <w:rsid w:val="00BD518D"/>
    <w:rsid w:val="00BD534E"/>
    <w:rsid w:val="00BD53CB"/>
    <w:rsid w:val="00BD55BA"/>
    <w:rsid w:val="00BD58B7"/>
    <w:rsid w:val="00BD5B58"/>
    <w:rsid w:val="00BD6323"/>
    <w:rsid w:val="00BD6929"/>
    <w:rsid w:val="00BD69D3"/>
    <w:rsid w:val="00BD6E0F"/>
    <w:rsid w:val="00BD6EF6"/>
    <w:rsid w:val="00BD6EFD"/>
    <w:rsid w:val="00BD6F52"/>
    <w:rsid w:val="00BD71C7"/>
    <w:rsid w:val="00BD7525"/>
    <w:rsid w:val="00BD7557"/>
    <w:rsid w:val="00BD7901"/>
    <w:rsid w:val="00BD7A42"/>
    <w:rsid w:val="00BE0078"/>
    <w:rsid w:val="00BE0173"/>
    <w:rsid w:val="00BE017F"/>
    <w:rsid w:val="00BE01BD"/>
    <w:rsid w:val="00BE0271"/>
    <w:rsid w:val="00BE08B0"/>
    <w:rsid w:val="00BE0B33"/>
    <w:rsid w:val="00BE0D89"/>
    <w:rsid w:val="00BE1181"/>
    <w:rsid w:val="00BE11ED"/>
    <w:rsid w:val="00BE1252"/>
    <w:rsid w:val="00BE148C"/>
    <w:rsid w:val="00BE1790"/>
    <w:rsid w:val="00BE180D"/>
    <w:rsid w:val="00BE1D4D"/>
    <w:rsid w:val="00BE1F57"/>
    <w:rsid w:val="00BE20EC"/>
    <w:rsid w:val="00BE22FE"/>
    <w:rsid w:val="00BE238C"/>
    <w:rsid w:val="00BE287F"/>
    <w:rsid w:val="00BE2A6F"/>
    <w:rsid w:val="00BE33CC"/>
    <w:rsid w:val="00BE3464"/>
    <w:rsid w:val="00BE348B"/>
    <w:rsid w:val="00BE3587"/>
    <w:rsid w:val="00BE39B9"/>
    <w:rsid w:val="00BE3FBA"/>
    <w:rsid w:val="00BE45BC"/>
    <w:rsid w:val="00BE4A6A"/>
    <w:rsid w:val="00BE5333"/>
    <w:rsid w:val="00BE550F"/>
    <w:rsid w:val="00BE5B5A"/>
    <w:rsid w:val="00BE5CA6"/>
    <w:rsid w:val="00BE5D44"/>
    <w:rsid w:val="00BE5DE2"/>
    <w:rsid w:val="00BE64EB"/>
    <w:rsid w:val="00BE6F2E"/>
    <w:rsid w:val="00BE6F8E"/>
    <w:rsid w:val="00BE74C9"/>
    <w:rsid w:val="00BE78C9"/>
    <w:rsid w:val="00BE799D"/>
    <w:rsid w:val="00BE7B42"/>
    <w:rsid w:val="00BE7BAE"/>
    <w:rsid w:val="00BF006B"/>
    <w:rsid w:val="00BF04C1"/>
    <w:rsid w:val="00BF0995"/>
    <w:rsid w:val="00BF0AE3"/>
    <w:rsid w:val="00BF0CDE"/>
    <w:rsid w:val="00BF14D7"/>
    <w:rsid w:val="00BF1697"/>
    <w:rsid w:val="00BF1E52"/>
    <w:rsid w:val="00BF2065"/>
    <w:rsid w:val="00BF23A5"/>
    <w:rsid w:val="00BF23E1"/>
    <w:rsid w:val="00BF2485"/>
    <w:rsid w:val="00BF2E0A"/>
    <w:rsid w:val="00BF3063"/>
    <w:rsid w:val="00BF3CC1"/>
    <w:rsid w:val="00BF3D73"/>
    <w:rsid w:val="00BF4B3A"/>
    <w:rsid w:val="00BF4B82"/>
    <w:rsid w:val="00BF4C34"/>
    <w:rsid w:val="00BF52D4"/>
    <w:rsid w:val="00BF57E7"/>
    <w:rsid w:val="00BF5B67"/>
    <w:rsid w:val="00BF5E2B"/>
    <w:rsid w:val="00BF6001"/>
    <w:rsid w:val="00BF653A"/>
    <w:rsid w:val="00BF6912"/>
    <w:rsid w:val="00BF6C82"/>
    <w:rsid w:val="00BF6E86"/>
    <w:rsid w:val="00BF7956"/>
    <w:rsid w:val="00BF7BE2"/>
    <w:rsid w:val="00C000A3"/>
    <w:rsid w:val="00C00131"/>
    <w:rsid w:val="00C00322"/>
    <w:rsid w:val="00C00410"/>
    <w:rsid w:val="00C006B6"/>
    <w:rsid w:val="00C013C3"/>
    <w:rsid w:val="00C0160E"/>
    <w:rsid w:val="00C01785"/>
    <w:rsid w:val="00C01B7A"/>
    <w:rsid w:val="00C01C34"/>
    <w:rsid w:val="00C022EC"/>
    <w:rsid w:val="00C022FF"/>
    <w:rsid w:val="00C02649"/>
    <w:rsid w:val="00C02B95"/>
    <w:rsid w:val="00C02E56"/>
    <w:rsid w:val="00C0309D"/>
    <w:rsid w:val="00C031DA"/>
    <w:rsid w:val="00C0351A"/>
    <w:rsid w:val="00C03564"/>
    <w:rsid w:val="00C0377A"/>
    <w:rsid w:val="00C0380A"/>
    <w:rsid w:val="00C03877"/>
    <w:rsid w:val="00C038ED"/>
    <w:rsid w:val="00C03937"/>
    <w:rsid w:val="00C03AF7"/>
    <w:rsid w:val="00C03C35"/>
    <w:rsid w:val="00C045A0"/>
    <w:rsid w:val="00C046BD"/>
    <w:rsid w:val="00C0477B"/>
    <w:rsid w:val="00C04C2E"/>
    <w:rsid w:val="00C05169"/>
    <w:rsid w:val="00C0532C"/>
    <w:rsid w:val="00C053F0"/>
    <w:rsid w:val="00C0571D"/>
    <w:rsid w:val="00C05934"/>
    <w:rsid w:val="00C05975"/>
    <w:rsid w:val="00C05B46"/>
    <w:rsid w:val="00C0628C"/>
    <w:rsid w:val="00C064B5"/>
    <w:rsid w:val="00C06AC2"/>
    <w:rsid w:val="00C06B0D"/>
    <w:rsid w:val="00C06B4B"/>
    <w:rsid w:val="00C06DE8"/>
    <w:rsid w:val="00C0705B"/>
    <w:rsid w:val="00C071E1"/>
    <w:rsid w:val="00C07347"/>
    <w:rsid w:val="00C07943"/>
    <w:rsid w:val="00C079EA"/>
    <w:rsid w:val="00C07A07"/>
    <w:rsid w:val="00C07B22"/>
    <w:rsid w:val="00C07B83"/>
    <w:rsid w:val="00C07E1E"/>
    <w:rsid w:val="00C10112"/>
    <w:rsid w:val="00C10179"/>
    <w:rsid w:val="00C10328"/>
    <w:rsid w:val="00C10953"/>
    <w:rsid w:val="00C10E4F"/>
    <w:rsid w:val="00C10FFC"/>
    <w:rsid w:val="00C112BA"/>
    <w:rsid w:val="00C114C7"/>
    <w:rsid w:val="00C11658"/>
    <w:rsid w:val="00C11893"/>
    <w:rsid w:val="00C11A92"/>
    <w:rsid w:val="00C11C46"/>
    <w:rsid w:val="00C121C6"/>
    <w:rsid w:val="00C1238A"/>
    <w:rsid w:val="00C125AD"/>
    <w:rsid w:val="00C12761"/>
    <w:rsid w:val="00C127B7"/>
    <w:rsid w:val="00C12965"/>
    <w:rsid w:val="00C12CC5"/>
    <w:rsid w:val="00C12D1C"/>
    <w:rsid w:val="00C12E84"/>
    <w:rsid w:val="00C13553"/>
    <w:rsid w:val="00C13D86"/>
    <w:rsid w:val="00C13FEF"/>
    <w:rsid w:val="00C1482C"/>
    <w:rsid w:val="00C15288"/>
    <w:rsid w:val="00C153EB"/>
    <w:rsid w:val="00C15414"/>
    <w:rsid w:val="00C15507"/>
    <w:rsid w:val="00C15522"/>
    <w:rsid w:val="00C15ACD"/>
    <w:rsid w:val="00C15EC3"/>
    <w:rsid w:val="00C16122"/>
    <w:rsid w:val="00C16926"/>
    <w:rsid w:val="00C16DE9"/>
    <w:rsid w:val="00C16F55"/>
    <w:rsid w:val="00C17026"/>
    <w:rsid w:val="00C1704A"/>
    <w:rsid w:val="00C17099"/>
    <w:rsid w:val="00C17203"/>
    <w:rsid w:val="00C177E6"/>
    <w:rsid w:val="00C17A30"/>
    <w:rsid w:val="00C17C8A"/>
    <w:rsid w:val="00C17ECB"/>
    <w:rsid w:val="00C17EFC"/>
    <w:rsid w:val="00C205CC"/>
    <w:rsid w:val="00C20CBD"/>
    <w:rsid w:val="00C21029"/>
    <w:rsid w:val="00C21072"/>
    <w:rsid w:val="00C210ED"/>
    <w:rsid w:val="00C210F8"/>
    <w:rsid w:val="00C214D5"/>
    <w:rsid w:val="00C21A13"/>
    <w:rsid w:val="00C21E6F"/>
    <w:rsid w:val="00C21F73"/>
    <w:rsid w:val="00C22102"/>
    <w:rsid w:val="00C22444"/>
    <w:rsid w:val="00C229AB"/>
    <w:rsid w:val="00C22D4E"/>
    <w:rsid w:val="00C22FF4"/>
    <w:rsid w:val="00C2317F"/>
    <w:rsid w:val="00C23243"/>
    <w:rsid w:val="00C23589"/>
    <w:rsid w:val="00C235A9"/>
    <w:rsid w:val="00C2362E"/>
    <w:rsid w:val="00C23D4E"/>
    <w:rsid w:val="00C23EB1"/>
    <w:rsid w:val="00C23EE1"/>
    <w:rsid w:val="00C2446B"/>
    <w:rsid w:val="00C251BF"/>
    <w:rsid w:val="00C253BC"/>
    <w:rsid w:val="00C2547E"/>
    <w:rsid w:val="00C2597B"/>
    <w:rsid w:val="00C25DD3"/>
    <w:rsid w:val="00C25FAC"/>
    <w:rsid w:val="00C2692C"/>
    <w:rsid w:val="00C26AF7"/>
    <w:rsid w:val="00C26B51"/>
    <w:rsid w:val="00C27109"/>
    <w:rsid w:val="00C271B8"/>
    <w:rsid w:val="00C274C6"/>
    <w:rsid w:val="00C275C9"/>
    <w:rsid w:val="00C27771"/>
    <w:rsid w:val="00C27828"/>
    <w:rsid w:val="00C27942"/>
    <w:rsid w:val="00C279D3"/>
    <w:rsid w:val="00C27A57"/>
    <w:rsid w:val="00C27AE7"/>
    <w:rsid w:val="00C27E19"/>
    <w:rsid w:val="00C300B1"/>
    <w:rsid w:val="00C30241"/>
    <w:rsid w:val="00C305E1"/>
    <w:rsid w:val="00C3064D"/>
    <w:rsid w:val="00C30FD8"/>
    <w:rsid w:val="00C31047"/>
    <w:rsid w:val="00C31270"/>
    <w:rsid w:val="00C31271"/>
    <w:rsid w:val="00C312E2"/>
    <w:rsid w:val="00C31300"/>
    <w:rsid w:val="00C314B7"/>
    <w:rsid w:val="00C31600"/>
    <w:rsid w:val="00C318A8"/>
    <w:rsid w:val="00C318F6"/>
    <w:rsid w:val="00C31933"/>
    <w:rsid w:val="00C3196E"/>
    <w:rsid w:val="00C31A0E"/>
    <w:rsid w:val="00C31A19"/>
    <w:rsid w:val="00C31D4D"/>
    <w:rsid w:val="00C32505"/>
    <w:rsid w:val="00C32726"/>
    <w:rsid w:val="00C32A78"/>
    <w:rsid w:val="00C3317A"/>
    <w:rsid w:val="00C3354B"/>
    <w:rsid w:val="00C335AD"/>
    <w:rsid w:val="00C33818"/>
    <w:rsid w:val="00C33A9C"/>
    <w:rsid w:val="00C33E56"/>
    <w:rsid w:val="00C34241"/>
    <w:rsid w:val="00C342FC"/>
    <w:rsid w:val="00C343EB"/>
    <w:rsid w:val="00C346BE"/>
    <w:rsid w:val="00C348F0"/>
    <w:rsid w:val="00C34A1E"/>
    <w:rsid w:val="00C34AA7"/>
    <w:rsid w:val="00C34FCF"/>
    <w:rsid w:val="00C35085"/>
    <w:rsid w:val="00C3523D"/>
    <w:rsid w:val="00C355C3"/>
    <w:rsid w:val="00C35862"/>
    <w:rsid w:val="00C35C04"/>
    <w:rsid w:val="00C35CF4"/>
    <w:rsid w:val="00C35D6D"/>
    <w:rsid w:val="00C35E4B"/>
    <w:rsid w:val="00C36051"/>
    <w:rsid w:val="00C363FC"/>
    <w:rsid w:val="00C3665F"/>
    <w:rsid w:val="00C36817"/>
    <w:rsid w:val="00C36AAC"/>
    <w:rsid w:val="00C36BF1"/>
    <w:rsid w:val="00C36E79"/>
    <w:rsid w:val="00C36E97"/>
    <w:rsid w:val="00C36E9C"/>
    <w:rsid w:val="00C36EEC"/>
    <w:rsid w:val="00C37868"/>
    <w:rsid w:val="00C378E9"/>
    <w:rsid w:val="00C37D75"/>
    <w:rsid w:val="00C40D5C"/>
    <w:rsid w:val="00C4140B"/>
    <w:rsid w:val="00C41B3C"/>
    <w:rsid w:val="00C41D0D"/>
    <w:rsid w:val="00C4201C"/>
    <w:rsid w:val="00C422D6"/>
    <w:rsid w:val="00C42631"/>
    <w:rsid w:val="00C42951"/>
    <w:rsid w:val="00C42F32"/>
    <w:rsid w:val="00C4300E"/>
    <w:rsid w:val="00C435A6"/>
    <w:rsid w:val="00C43691"/>
    <w:rsid w:val="00C439C0"/>
    <w:rsid w:val="00C4473B"/>
    <w:rsid w:val="00C44794"/>
    <w:rsid w:val="00C44B21"/>
    <w:rsid w:val="00C4508E"/>
    <w:rsid w:val="00C45347"/>
    <w:rsid w:val="00C4539C"/>
    <w:rsid w:val="00C457DB"/>
    <w:rsid w:val="00C458AB"/>
    <w:rsid w:val="00C45AEF"/>
    <w:rsid w:val="00C45F4F"/>
    <w:rsid w:val="00C4620B"/>
    <w:rsid w:val="00C46516"/>
    <w:rsid w:val="00C47008"/>
    <w:rsid w:val="00C472E7"/>
    <w:rsid w:val="00C474FF"/>
    <w:rsid w:val="00C47685"/>
    <w:rsid w:val="00C50867"/>
    <w:rsid w:val="00C50E4E"/>
    <w:rsid w:val="00C50F17"/>
    <w:rsid w:val="00C51227"/>
    <w:rsid w:val="00C5187F"/>
    <w:rsid w:val="00C5192D"/>
    <w:rsid w:val="00C51BEF"/>
    <w:rsid w:val="00C52643"/>
    <w:rsid w:val="00C52703"/>
    <w:rsid w:val="00C52884"/>
    <w:rsid w:val="00C52BA6"/>
    <w:rsid w:val="00C52C00"/>
    <w:rsid w:val="00C52CC5"/>
    <w:rsid w:val="00C52D21"/>
    <w:rsid w:val="00C53763"/>
    <w:rsid w:val="00C5379F"/>
    <w:rsid w:val="00C53932"/>
    <w:rsid w:val="00C540D5"/>
    <w:rsid w:val="00C54400"/>
    <w:rsid w:val="00C54481"/>
    <w:rsid w:val="00C5455D"/>
    <w:rsid w:val="00C5469F"/>
    <w:rsid w:val="00C54802"/>
    <w:rsid w:val="00C54C50"/>
    <w:rsid w:val="00C54EFE"/>
    <w:rsid w:val="00C5537D"/>
    <w:rsid w:val="00C55844"/>
    <w:rsid w:val="00C5588A"/>
    <w:rsid w:val="00C55A21"/>
    <w:rsid w:val="00C55F7D"/>
    <w:rsid w:val="00C56AF7"/>
    <w:rsid w:val="00C56B6B"/>
    <w:rsid w:val="00C56BBC"/>
    <w:rsid w:val="00C56D75"/>
    <w:rsid w:val="00C56E2A"/>
    <w:rsid w:val="00C570F4"/>
    <w:rsid w:val="00C570FF"/>
    <w:rsid w:val="00C574AA"/>
    <w:rsid w:val="00C5780D"/>
    <w:rsid w:val="00C5781D"/>
    <w:rsid w:val="00C57A81"/>
    <w:rsid w:val="00C57C21"/>
    <w:rsid w:val="00C609D4"/>
    <w:rsid w:val="00C60B4C"/>
    <w:rsid w:val="00C60D31"/>
    <w:rsid w:val="00C60E7B"/>
    <w:rsid w:val="00C61372"/>
    <w:rsid w:val="00C61748"/>
    <w:rsid w:val="00C6186E"/>
    <w:rsid w:val="00C61C1B"/>
    <w:rsid w:val="00C61D28"/>
    <w:rsid w:val="00C61FE7"/>
    <w:rsid w:val="00C62139"/>
    <w:rsid w:val="00C62273"/>
    <w:rsid w:val="00C625B4"/>
    <w:rsid w:val="00C62E95"/>
    <w:rsid w:val="00C6350D"/>
    <w:rsid w:val="00C6357D"/>
    <w:rsid w:val="00C638B9"/>
    <w:rsid w:val="00C63A97"/>
    <w:rsid w:val="00C63F4D"/>
    <w:rsid w:val="00C64996"/>
    <w:rsid w:val="00C649C2"/>
    <w:rsid w:val="00C64A2B"/>
    <w:rsid w:val="00C6521E"/>
    <w:rsid w:val="00C654A0"/>
    <w:rsid w:val="00C65A35"/>
    <w:rsid w:val="00C65BD4"/>
    <w:rsid w:val="00C65C36"/>
    <w:rsid w:val="00C65D1C"/>
    <w:rsid w:val="00C65E9E"/>
    <w:rsid w:val="00C65F9D"/>
    <w:rsid w:val="00C660DF"/>
    <w:rsid w:val="00C6624D"/>
    <w:rsid w:val="00C66553"/>
    <w:rsid w:val="00C6665E"/>
    <w:rsid w:val="00C66994"/>
    <w:rsid w:val="00C66EBA"/>
    <w:rsid w:val="00C66FB6"/>
    <w:rsid w:val="00C670A4"/>
    <w:rsid w:val="00C672CE"/>
    <w:rsid w:val="00C6754B"/>
    <w:rsid w:val="00C675FD"/>
    <w:rsid w:val="00C678A3"/>
    <w:rsid w:val="00C67D31"/>
    <w:rsid w:val="00C67DA3"/>
    <w:rsid w:val="00C70150"/>
    <w:rsid w:val="00C701FB"/>
    <w:rsid w:val="00C709B7"/>
    <w:rsid w:val="00C71D40"/>
    <w:rsid w:val="00C72082"/>
    <w:rsid w:val="00C72978"/>
    <w:rsid w:val="00C72B27"/>
    <w:rsid w:val="00C72D5E"/>
    <w:rsid w:val="00C72EAA"/>
    <w:rsid w:val="00C72EB0"/>
    <w:rsid w:val="00C73144"/>
    <w:rsid w:val="00C73431"/>
    <w:rsid w:val="00C73536"/>
    <w:rsid w:val="00C73D77"/>
    <w:rsid w:val="00C73FE5"/>
    <w:rsid w:val="00C74565"/>
    <w:rsid w:val="00C745CB"/>
    <w:rsid w:val="00C74AD2"/>
    <w:rsid w:val="00C74FDA"/>
    <w:rsid w:val="00C75071"/>
    <w:rsid w:val="00C753A4"/>
    <w:rsid w:val="00C7557E"/>
    <w:rsid w:val="00C759FD"/>
    <w:rsid w:val="00C75CCE"/>
    <w:rsid w:val="00C75E33"/>
    <w:rsid w:val="00C7618A"/>
    <w:rsid w:val="00C76864"/>
    <w:rsid w:val="00C768D8"/>
    <w:rsid w:val="00C76B2D"/>
    <w:rsid w:val="00C77160"/>
    <w:rsid w:val="00C7730E"/>
    <w:rsid w:val="00C775CF"/>
    <w:rsid w:val="00C77610"/>
    <w:rsid w:val="00C778EF"/>
    <w:rsid w:val="00C77AA3"/>
    <w:rsid w:val="00C802D4"/>
    <w:rsid w:val="00C80328"/>
    <w:rsid w:val="00C80954"/>
    <w:rsid w:val="00C80F1B"/>
    <w:rsid w:val="00C81198"/>
    <w:rsid w:val="00C81AFD"/>
    <w:rsid w:val="00C81B00"/>
    <w:rsid w:val="00C81BF7"/>
    <w:rsid w:val="00C82329"/>
    <w:rsid w:val="00C823D7"/>
    <w:rsid w:val="00C82563"/>
    <w:rsid w:val="00C8260C"/>
    <w:rsid w:val="00C8290D"/>
    <w:rsid w:val="00C82B80"/>
    <w:rsid w:val="00C82B96"/>
    <w:rsid w:val="00C82C99"/>
    <w:rsid w:val="00C82E31"/>
    <w:rsid w:val="00C8323F"/>
    <w:rsid w:val="00C8349A"/>
    <w:rsid w:val="00C834A0"/>
    <w:rsid w:val="00C8366C"/>
    <w:rsid w:val="00C836FF"/>
    <w:rsid w:val="00C83979"/>
    <w:rsid w:val="00C8399B"/>
    <w:rsid w:val="00C83A55"/>
    <w:rsid w:val="00C83D73"/>
    <w:rsid w:val="00C84380"/>
    <w:rsid w:val="00C84D32"/>
    <w:rsid w:val="00C84DF1"/>
    <w:rsid w:val="00C85062"/>
    <w:rsid w:val="00C8543E"/>
    <w:rsid w:val="00C85865"/>
    <w:rsid w:val="00C85EB7"/>
    <w:rsid w:val="00C863D3"/>
    <w:rsid w:val="00C86681"/>
    <w:rsid w:val="00C868F9"/>
    <w:rsid w:val="00C86B89"/>
    <w:rsid w:val="00C87092"/>
    <w:rsid w:val="00C8725F"/>
    <w:rsid w:val="00C872A0"/>
    <w:rsid w:val="00C874A3"/>
    <w:rsid w:val="00C9002A"/>
    <w:rsid w:val="00C900FB"/>
    <w:rsid w:val="00C90111"/>
    <w:rsid w:val="00C904A8"/>
    <w:rsid w:val="00C90661"/>
    <w:rsid w:val="00C9079D"/>
    <w:rsid w:val="00C90B5A"/>
    <w:rsid w:val="00C90B78"/>
    <w:rsid w:val="00C90C6C"/>
    <w:rsid w:val="00C91416"/>
    <w:rsid w:val="00C916DA"/>
    <w:rsid w:val="00C91BBE"/>
    <w:rsid w:val="00C91C0C"/>
    <w:rsid w:val="00C91D96"/>
    <w:rsid w:val="00C920C2"/>
    <w:rsid w:val="00C92306"/>
    <w:rsid w:val="00C924ED"/>
    <w:rsid w:val="00C9257F"/>
    <w:rsid w:val="00C92735"/>
    <w:rsid w:val="00C9288B"/>
    <w:rsid w:val="00C928A8"/>
    <w:rsid w:val="00C92BA4"/>
    <w:rsid w:val="00C92C0C"/>
    <w:rsid w:val="00C92E00"/>
    <w:rsid w:val="00C92F9C"/>
    <w:rsid w:val="00C93394"/>
    <w:rsid w:val="00C93E78"/>
    <w:rsid w:val="00C93E9D"/>
    <w:rsid w:val="00C9423F"/>
    <w:rsid w:val="00C943B2"/>
    <w:rsid w:val="00C9449A"/>
    <w:rsid w:val="00C945C0"/>
    <w:rsid w:val="00C946C8"/>
    <w:rsid w:val="00C94913"/>
    <w:rsid w:val="00C94CC3"/>
    <w:rsid w:val="00C9508B"/>
    <w:rsid w:val="00C952F2"/>
    <w:rsid w:val="00C954C3"/>
    <w:rsid w:val="00C95A6C"/>
    <w:rsid w:val="00C95B17"/>
    <w:rsid w:val="00C95D6F"/>
    <w:rsid w:val="00C95EBD"/>
    <w:rsid w:val="00C960A8"/>
    <w:rsid w:val="00C96301"/>
    <w:rsid w:val="00C96413"/>
    <w:rsid w:val="00C9644A"/>
    <w:rsid w:val="00C96499"/>
    <w:rsid w:val="00C96A1E"/>
    <w:rsid w:val="00C96DDE"/>
    <w:rsid w:val="00C97379"/>
    <w:rsid w:val="00C973D6"/>
    <w:rsid w:val="00C97456"/>
    <w:rsid w:val="00C9745D"/>
    <w:rsid w:val="00C976D4"/>
    <w:rsid w:val="00C977BB"/>
    <w:rsid w:val="00C97B6F"/>
    <w:rsid w:val="00C97F85"/>
    <w:rsid w:val="00CA00A3"/>
    <w:rsid w:val="00CA0316"/>
    <w:rsid w:val="00CA094D"/>
    <w:rsid w:val="00CA0A42"/>
    <w:rsid w:val="00CA0AF3"/>
    <w:rsid w:val="00CA1638"/>
    <w:rsid w:val="00CA1670"/>
    <w:rsid w:val="00CA1A44"/>
    <w:rsid w:val="00CA1EE8"/>
    <w:rsid w:val="00CA1FB8"/>
    <w:rsid w:val="00CA2C36"/>
    <w:rsid w:val="00CA2D15"/>
    <w:rsid w:val="00CA2E77"/>
    <w:rsid w:val="00CA334C"/>
    <w:rsid w:val="00CA337A"/>
    <w:rsid w:val="00CA3BF7"/>
    <w:rsid w:val="00CA3D9B"/>
    <w:rsid w:val="00CA3E0C"/>
    <w:rsid w:val="00CA3E0F"/>
    <w:rsid w:val="00CA4097"/>
    <w:rsid w:val="00CA431B"/>
    <w:rsid w:val="00CA45C0"/>
    <w:rsid w:val="00CA4952"/>
    <w:rsid w:val="00CA4A27"/>
    <w:rsid w:val="00CA4B09"/>
    <w:rsid w:val="00CA4CBB"/>
    <w:rsid w:val="00CA550A"/>
    <w:rsid w:val="00CA5EF7"/>
    <w:rsid w:val="00CA60FC"/>
    <w:rsid w:val="00CA627A"/>
    <w:rsid w:val="00CA64C4"/>
    <w:rsid w:val="00CA655B"/>
    <w:rsid w:val="00CA65FD"/>
    <w:rsid w:val="00CA676D"/>
    <w:rsid w:val="00CA694B"/>
    <w:rsid w:val="00CA6B2B"/>
    <w:rsid w:val="00CA6B6D"/>
    <w:rsid w:val="00CA6F73"/>
    <w:rsid w:val="00CA7334"/>
    <w:rsid w:val="00CA75D3"/>
    <w:rsid w:val="00CA7789"/>
    <w:rsid w:val="00CA7979"/>
    <w:rsid w:val="00CA7D88"/>
    <w:rsid w:val="00CA7E73"/>
    <w:rsid w:val="00CB0433"/>
    <w:rsid w:val="00CB0983"/>
    <w:rsid w:val="00CB0D6D"/>
    <w:rsid w:val="00CB0E82"/>
    <w:rsid w:val="00CB0F77"/>
    <w:rsid w:val="00CB10B1"/>
    <w:rsid w:val="00CB11A8"/>
    <w:rsid w:val="00CB12D7"/>
    <w:rsid w:val="00CB1591"/>
    <w:rsid w:val="00CB188C"/>
    <w:rsid w:val="00CB1B55"/>
    <w:rsid w:val="00CB2336"/>
    <w:rsid w:val="00CB24B2"/>
    <w:rsid w:val="00CB2655"/>
    <w:rsid w:val="00CB2D67"/>
    <w:rsid w:val="00CB34E5"/>
    <w:rsid w:val="00CB35C4"/>
    <w:rsid w:val="00CB3ADD"/>
    <w:rsid w:val="00CB3E9A"/>
    <w:rsid w:val="00CB3F09"/>
    <w:rsid w:val="00CB3FB8"/>
    <w:rsid w:val="00CB42F0"/>
    <w:rsid w:val="00CB43A5"/>
    <w:rsid w:val="00CB459F"/>
    <w:rsid w:val="00CB484C"/>
    <w:rsid w:val="00CB4A14"/>
    <w:rsid w:val="00CB4F80"/>
    <w:rsid w:val="00CB4FF3"/>
    <w:rsid w:val="00CB503B"/>
    <w:rsid w:val="00CB53CB"/>
    <w:rsid w:val="00CB56CA"/>
    <w:rsid w:val="00CB58E5"/>
    <w:rsid w:val="00CB58ED"/>
    <w:rsid w:val="00CB5A1A"/>
    <w:rsid w:val="00CB5B0F"/>
    <w:rsid w:val="00CB5E58"/>
    <w:rsid w:val="00CB655F"/>
    <w:rsid w:val="00CB6DD7"/>
    <w:rsid w:val="00CB72F7"/>
    <w:rsid w:val="00CB7439"/>
    <w:rsid w:val="00CB7BF2"/>
    <w:rsid w:val="00CB7E84"/>
    <w:rsid w:val="00CC00F9"/>
    <w:rsid w:val="00CC03B8"/>
    <w:rsid w:val="00CC04E7"/>
    <w:rsid w:val="00CC0888"/>
    <w:rsid w:val="00CC0D65"/>
    <w:rsid w:val="00CC0DBA"/>
    <w:rsid w:val="00CC0E3D"/>
    <w:rsid w:val="00CC16ED"/>
    <w:rsid w:val="00CC170C"/>
    <w:rsid w:val="00CC18B1"/>
    <w:rsid w:val="00CC18C3"/>
    <w:rsid w:val="00CC19F2"/>
    <w:rsid w:val="00CC1B20"/>
    <w:rsid w:val="00CC1E34"/>
    <w:rsid w:val="00CC1F2A"/>
    <w:rsid w:val="00CC254C"/>
    <w:rsid w:val="00CC26FA"/>
    <w:rsid w:val="00CC29A4"/>
    <w:rsid w:val="00CC2D59"/>
    <w:rsid w:val="00CC2D83"/>
    <w:rsid w:val="00CC30FA"/>
    <w:rsid w:val="00CC3906"/>
    <w:rsid w:val="00CC3E7E"/>
    <w:rsid w:val="00CC42E4"/>
    <w:rsid w:val="00CC4694"/>
    <w:rsid w:val="00CC46B0"/>
    <w:rsid w:val="00CC4778"/>
    <w:rsid w:val="00CC4866"/>
    <w:rsid w:val="00CC492C"/>
    <w:rsid w:val="00CC50E9"/>
    <w:rsid w:val="00CC52F2"/>
    <w:rsid w:val="00CC52FF"/>
    <w:rsid w:val="00CC5522"/>
    <w:rsid w:val="00CC55FB"/>
    <w:rsid w:val="00CC57BA"/>
    <w:rsid w:val="00CC581B"/>
    <w:rsid w:val="00CC5934"/>
    <w:rsid w:val="00CC5DDD"/>
    <w:rsid w:val="00CC61D4"/>
    <w:rsid w:val="00CC63EF"/>
    <w:rsid w:val="00CC66F0"/>
    <w:rsid w:val="00CC6AF5"/>
    <w:rsid w:val="00CC6E9D"/>
    <w:rsid w:val="00CC6EBA"/>
    <w:rsid w:val="00CC759F"/>
    <w:rsid w:val="00CC7754"/>
    <w:rsid w:val="00CC791D"/>
    <w:rsid w:val="00CC7E02"/>
    <w:rsid w:val="00CC7F91"/>
    <w:rsid w:val="00CD04D9"/>
    <w:rsid w:val="00CD0969"/>
    <w:rsid w:val="00CD0D7A"/>
    <w:rsid w:val="00CD0EB1"/>
    <w:rsid w:val="00CD0FE4"/>
    <w:rsid w:val="00CD116A"/>
    <w:rsid w:val="00CD1748"/>
    <w:rsid w:val="00CD17A7"/>
    <w:rsid w:val="00CD1C1C"/>
    <w:rsid w:val="00CD1D6F"/>
    <w:rsid w:val="00CD1DF9"/>
    <w:rsid w:val="00CD1F00"/>
    <w:rsid w:val="00CD21A4"/>
    <w:rsid w:val="00CD243A"/>
    <w:rsid w:val="00CD262C"/>
    <w:rsid w:val="00CD2B2B"/>
    <w:rsid w:val="00CD2B4D"/>
    <w:rsid w:val="00CD2E02"/>
    <w:rsid w:val="00CD2E87"/>
    <w:rsid w:val="00CD36BC"/>
    <w:rsid w:val="00CD38AC"/>
    <w:rsid w:val="00CD399F"/>
    <w:rsid w:val="00CD3F5E"/>
    <w:rsid w:val="00CD4247"/>
    <w:rsid w:val="00CD428E"/>
    <w:rsid w:val="00CD4573"/>
    <w:rsid w:val="00CD46F0"/>
    <w:rsid w:val="00CD47D2"/>
    <w:rsid w:val="00CD48F3"/>
    <w:rsid w:val="00CD4F00"/>
    <w:rsid w:val="00CD5008"/>
    <w:rsid w:val="00CD50A3"/>
    <w:rsid w:val="00CD539E"/>
    <w:rsid w:val="00CD5545"/>
    <w:rsid w:val="00CD5813"/>
    <w:rsid w:val="00CD5BB1"/>
    <w:rsid w:val="00CD5EF2"/>
    <w:rsid w:val="00CD6362"/>
    <w:rsid w:val="00CD637C"/>
    <w:rsid w:val="00CD6872"/>
    <w:rsid w:val="00CD6BE3"/>
    <w:rsid w:val="00CD7046"/>
    <w:rsid w:val="00CD766A"/>
    <w:rsid w:val="00CD7832"/>
    <w:rsid w:val="00CE0281"/>
    <w:rsid w:val="00CE02A7"/>
    <w:rsid w:val="00CE02D3"/>
    <w:rsid w:val="00CE062A"/>
    <w:rsid w:val="00CE07B2"/>
    <w:rsid w:val="00CE0974"/>
    <w:rsid w:val="00CE09D2"/>
    <w:rsid w:val="00CE0E12"/>
    <w:rsid w:val="00CE101C"/>
    <w:rsid w:val="00CE10E2"/>
    <w:rsid w:val="00CE1867"/>
    <w:rsid w:val="00CE1869"/>
    <w:rsid w:val="00CE1DCB"/>
    <w:rsid w:val="00CE208F"/>
    <w:rsid w:val="00CE228B"/>
    <w:rsid w:val="00CE25F7"/>
    <w:rsid w:val="00CE2887"/>
    <w:rsid w:val="00CE2A7B"/>
    <w:rsid w:val="00CE2BDA"/>
    <w:rsid w:val="00CE2D85"/>
    <w:rsid w:val="00CE3354"/>
    <w:rsid w:val="00CE338D"/>
    <w:rsid w:val="00CE35C8"/>
    <w:rsid w:val="00CE3A3C"/>
    <w:rsid w:val="00CE3EB3"/>
    <w:rsid w:val="00CE440C"/>
    <w:rsid w:val="00CE44CD"/>
    <w:rsid w:val="00CE4555"/>
    <w:rsid w:val="00CE4869"/>
    <w:rsid w:val="00CE492B"/>
    <w:rsid w:val="00CE4C6C"/>
    <w:rsid w:val="00CE4D9E"/>
    <w:rsid w:val="00CE4F59"/>
    <w:rsid w:val="00CE50E0"/>
    <w:rsid w:val="00CE542D"/>
    <w:rsid w:val="00CE54AF"/>
    <w:rsid w:val="00CE56BA"/>
    <w:rsid w:val="00CE5B98"/>
    <w:rsid w:val="00CE5CDE"/>
    <w:rsid w:val="00CE5D46"/>
    <w:rsid w:val="00CE66B0"/>
    <w:rsid w:val="00CE67C0"/>
    <w:rsid w:val="00CE680C"/>
    <w:rsid w:val="00CE70DA"/>
    <w:rsid w:val="00CE716B"/>
    <w:rsid w:val="00CE736A"/>
    <w:rsid w:val="00CE778E"/>
    <w:rsid w:val="00CE78A8"/>
    <w:rsid w:val="00CE7BCA"/>
    <w:rsid w:val="00CE7CAE"/>
    <w:rsid w:val="00CE7D1B"/>
    <w:rsid w:val="00CE7DD3"/>
    <w:rsid w:val="00CE7FC8"/>
    <w:rsid w:val="00CF020A"/>
    <w:rsid w:val="00CF05EB"/>
    <w:rsid w:val="00CF082C"/>
    <w:rsid w:val="00CF0A4A"/>
    <w:rsid w:val="00CF0C1C"/>
    <w:rsid w:val="00CF0DBF"/>
    <w:rsid w:val="00CF0E07"/>
    <w:rsid w:val="00CF13DF"/>
    <w:rsid w:val="00CF1701"/>
    <w:rsid w:val="00CF17B2"/>
    <w:rsid w:val="00CF180F"/>
    <w:rsid w:val="00CF1971"/>
    <w:rsid w:val="00CF1AFB"/>
    <w:rsid w:val="00CF1B62"/>
    <w:rsid w:val="00CF1BC3"/>
    <w:rsid w:val="00CF1BF0"/>
    <w:rsid w:val="00CF1C17"/>
    <w:rsid w:val="00CF235B"/>
    <w:rsid w:val="00CF2481"/>
    <w:rsid w:val="00CF2587"/>
    <w:rsid w:val="00CF279D"/>
    <w:rsid w:val="00CF2A56"/>
    <w:rsid w:val="00CF2E79"/>
    <w:rsid w:val="00CF33E9"/>
    <w:rsid w:val="00CF3511"/>
    <w:rsid w:val="00CF3583"/>
    <w:rsid w:val="00CF35B6"/>
    <w:rsid w:val="00CF3BFF"/>
    <w:rsid w:val="00CF4138"/>
    <w:rsid w:val="00CF43EF"/>
    <w:rsid w:val="00CF43FB"/>
    <w:rsid w:val="00CF466F"/>
    <w:rsid w:val="00CF4700"/>
    <w:rsid w:val="00CF4989"/>
    <w:rsid w:val="00CF4D52"/>
    <w:rsid w:val="00CF4D5A"/>
    <w:rsid w:val="00CF57D9"/>
    <w:rsid w:val="00CF5833"/>
    <w:rsid w:val="00CF5863"/>
    <w:rsid w:val="00CF5B61"/>
    <w:rsid w:val="00CF5ECC"/>
    <w:rsid w:val="00CF5F42"/>
    <w:rsid w:val="00CF60C8"/>
    <w:rsid w:val="00CF6301"/>
    <w:rsid w:val="00CF6A09"/>
    <w:rsid w:val="00CF6F1D"/>
    <w:rsid w:val="00CF7D53"/>
    <w:rsid w:val="00CF7ED0"/>
    <w:rsid w:val="00CF7FC0"/>
    <w:rsid w:val="00D0048F"/>
    <w:rsid w:val="00D00669"/>
    <w:rsid w:val="00D00711"/>
    <w:rsid w:val="00D009C8"/>
    <w:rsid w:val="00D00B16"/>
    <w:rsid w:val="00D00BC3"/>
    <w:rsid w:val="00D00F20"/>
    <w:rsid w:val="00D0107D"/>
    <w:rsid w:val="00D01151"/>
    <w:rsid w:val="00D0135F"/>
    <w:rsid w:val="00D01AA7"/>
    <w:rsid w:val="00D02132"/>
    <w:rsid w:val="00D0218E"/>
    <w:rsid w:val="00D0228A"/>
    <w:rsid w:val="00D02356"/>
    <w:rsid w:val="00D0248B"/>
    <w:rsid w:val="00D025B4"/>
    <w:rsid w:val="00D02807"/>
    <w:rsid w:val="00D02851"/>
    <w:rsid w:val="00D02AE4"/>
    <w:rsid w:val="00D030C1"/>
    <w:rsid w:val="00D03105"/>
    <w:rsid w:val="00D0315F"/>
    <w:rsid w:val="00D035FA"/>
    <w:rsid w:val="00D03773"/>
    <w:rsid w:val="00D03892"/>
    <w:rsid w:val="00D03D71"/>
    <w:rsid w:val="00D04337"/>
    <w:rsid w:val="00D043B1"/>
    <w:rsid w:val="00D043D5"/>
    <w:rsid w:val="00D04508"/>
    <w:rsid w:val="00D047B3"/>
    <w:rsid w:val="00D048C0"/>
    <w:rsid w:val="00D049AE"/>
    <w:rsid w:val="00D04E6F"/>
    <w:rsid w:val="00D0506A"/>
    <w:rsid w:val="00D054DB"/>
    <w:rsid w:val="00D05522"/>
    <w:rsid w:val="00D055F4"/>
    <w:rsid w:val="00D05761"/>
    <w:rsid w:val="00D05D90"/>
    <w:rsid w:val="00D0682B"/>
    <w:rsid w:val="00D068B0"/>
    <w:rsid w:val="00D06A29"/>
    <w:rsid w:val="00D06C74"/>
    <w:rsid w:val="00D07332"/>
    <w:rsid w:val="00D07468"/>
    <w:rsid w:val="00D077A3"/>
    <w:rsid w:val="00D0799C"/>
    <w:rsid w:val="00D07C58"/>
    <w:rsid w:val="00D103BC"/>
    <w:rsid w:val="00D1072C"/>
    <w:rsid w:val="00D108B1"/>
    <w:rsid w:val="00D10A27"/>
    <w:rsid w:val="00D10D8D"/>
    <w:rsid w:val="00D1168C"/>
    <w:rsid w:val="00D11FB3"/>
    <w:rsid w:val="00D12515"/>
    <w:rsid w:val="00D1281C"/>
    <w:rsid w:val="00D12950"/>
    <w:rsid w:val="00D12AED"/>
    <w:rsid w:val="00D1312C"/>
    <w:rsid w:val="00D1314C"/>
    <w:rsid w:val="00D134F3"/>
    <w:rsid w:val="00D134F4"/>
    <w:rsid w:val="00D13804"/>
    <w:rsid w:val="00D145A4"/>
    <w:rsid w:val="00D14628"/>
    <w:rsid w:val="00D14A3F"/>
    <w:rsid w:val="00D14F0F"/>
    <w:rsid w:val="00D15231"/>
    <w:rsid w:val="00D154A3"/>
    <w:rsid w:val="00D15557"/>
    <w:rsid w:val="00D159BA"/>
    <w:rsid w:val="00D15A3C"/>
    <w:rsid w:val="00D1603D"/>
    <w:rsid w:val="00D160A4"/>
    <w:rsid w:val="00D16526"/>
    <w:rsid w:val="00D16563"/>
    <w:rsid w:val="00D1664C"/>
    <w:rsid w:val="00D16822"/>
    <w:rsid w:val="00D169D7"/>
    <w:rsid w:val="00D16B58"/>
    <w:rsid w:val="00D16BED"/>
    <w:rsid w:val="00D176A2"/>
    <w:rsid w:val="00D17775"/>
    <w:rsid w:val="00D17A5C"/>
    <w:rsid w:val="00D17B9C"/>
    <w:rsid w:val="00D20015"/>
    <w:rsid w:val="00D20814"/>
    <w:rsid w:val="00D20AFF"/>
    <w:rsid w:val="00D20C67"/>
    <w:rsid w:val="00D20C87"/>
    <w:rsid w:val="00D20ECF"/>
    <w:rsid w:val="00D210F0"/>
    <w:rsid w:val="00D2167C"/>
    <w:rsid w:val="00D217CB"/>
    <w:rsid w:val="00D21E32"/>
    <w:rsid w:val="00D22271"/>
    <w:rsid w:val="00D2230E"/>
    <w:rsid w:val="00D2237E"/>
    <w:rsid w:val="00D2288A"/>
    <w:rsid w:val="00D22BD8"/>
    <w:rsid w:val="00D22C54"/>
    <w:rsid w:val="00D22DB0"/>
    <w:rsid w:val="00D22DB3"/>
    <w:rsid w:val="00D231B7"/>
    <w:rsid w:val="00D235E3"/>
    <w:rsid w:val="00D23662"/>
    <w:rsid w:val="00D23E3A"/>
    <w:rsid w:val="00D24472"/>
    <w:rsid w:val="00D24498"/>
    <w:rsid w:val="00D24699"/>
    <w:rsid w:val="00D24858"/>
    <w:rsid w:val="00D24FE4"/>
    <w:rsid w:val="00D2505D"/>
    <w:rsid w:val="00D253C1"/>
    <w:rsid w:val="00D2557F"/>
    <w:rsid w:val="00D257A0"/>
    <w:rsid w:val="00D25A76"/>
    <w:rsid w:val="00D25ED9"/>
    <w:rsid w:val="00D2602D"/>
    <w:rsid w:val="00D261D4"/>
    <w:rsid w:val="00D262D8"/>
    <w:rsid w:val="00D26B23"/>
    <w:rsid w:val="00D26B86"/>
    <w:rsid w:val="00D26CBE"/>
    <w:rsid w:val="00D271A8"/>
    <w:rsid w:val="00D2734F"/>
    <w:rsid w:val="00D274A2"/>
    <w:rsid w:val="00D276EA"/>
    <w:rsid w:val="00D27D66"/>
    <w:rsid w:val="00D27DA4"/>
    <w:rsid w:val="00D30403"/>
    <w:rsid w:val="00D308A8"/>
    <w:rsid w:val="00D310DD"/>
    <w:rsid w:val="00D31353"/>
    <w:rsid w:val="00D3145E"/>
    <w:rsid w:val="00D316FA"/>
    <w:rsid w:val="00D31AB4"/>
    <w:rsid w:val="00D31C78"/>
    <w:rsid w:val="00D320D8"/>
    <w:rsid w:val="00D3218B"/>
    <w:rsid w:val="00D32528"/>
    <w:rsid w:val="00D325BD"/>
    <w:rsid w:val="00D32754"/>
    <w:rsid w:val="00D329FB"/>
    <w:rsid w:val="00D32C8D"/>
    <w:rsid w:val="00D32DC9"/>
    <w:rsid w:val="00D32E94"/>
    <w:rsid w:val="00D331AE"/>
    <w:rsid w:val="00D335F3"/>
    <w:rsid w:val="00D33BFD"/>
    <w:rsid w:val="00D33EB6"/>
    <w:rsid w:val="00D33F4F"/>
    <w:rsid w:val="00D345CD"/>
    <w:rsid w:val="00D34643"/>
    <w:rsid w:val="00D34685"/>
    <w:rsid w:val="00D34712"/>
    <w:rsid w:val="00D3486A"/>
    <w:rsid w:val="00D349B5"/>
    <w:rsid w:val="00D34B6E"/>
    <w:rsid w:val="00D34BBE"/>
    <w:rsid w:val="00D34CD4"/>
    <w:rsid w:val="00D34DF6"/>
    <w:rsid w:val="00D35080"/>
    <w:rsid w:val="00D35307"/>
    <w:rsid w:val="00D35335"/>
    <w:rsid w:val="00D3572B"/>
    <w:rsid w:val="00D35748"/>
    <w:rsid w:val="00D35C3B"/>
    <w:rsid w:val="00D35E12"/>
    <w:rsid w:val="00D3606C"/>
    <w:rsid w:val="00D3632A"/>
    <w:rsid w:val="00D365F3"/>
    <w:rsid w:val="00D36AA2"/>
    <w:rsid w:val="00D36ECB"/>
    <w:rsid w:val="00D3768E"/>
    <w:rsid w:val="00D37753"/>
    <w:rsid w:val="00D37886"/>
    <w:rsid w:val="00D378E7"/>
    <w:rsid w:val="00D378FE"/>
    <w:rsid w:val="00D37B7E"/>
    <w:rsid w:val="00D37DF9"/>
    <w:rsid w:val="00D37E64"/>
    <w:rsid w:val="00D40056"/>
    <w:rsid w:val="00D40326"/>
    <w:rsid w:val="00D404BA"/>
    <w:rsid w:val="00D408CC"/>
    <w:rsid w:val="00D40CE1"/>
    <w:rsid w:val="00D40D6F"/>
    <w:rsid w:val="00D40EB9"/>
    <w:rsid w:val="00D412C9"/>
    <w:rsid w:val="00D4193C"/>
    <w:rsid w:val="00D41951"/>
    <w:rsid w:val="00D41BD7"/>
    <w:rsid w:val="00D42272"/>
    <w:rsid w:val="00D42744"/>
    <w:rsid w:val="00D4278B"/>
    <w:rsid w:val="00D428B7"/>
    <w:rsid w:val="00D42DD9"/>
    <w:rsid w:val="00D42F2F"/>
    <w:rsid w:val="00D4307C"/>
    <w:rsid w:val="00D43DA4"/>
    <w:rsid w:val="00D440EA"/>
    <w:rsid w:val="00D44503"/>
    <w:rsid w:val="00D4453A"/>
    <w:rsid w:val="00D44EA0"/>
    <w:rsid w:val="00D44F95"/>
    <w:rsid w:val="00D45269"/>
    <w:rsid w:val="00D45330"/>
    <w:rsid w:val="00D45424"/>
    <w:rsid w:val="00D45832"/>
    <w:rsid w:val="00D45B23"/>
    <w:rsid w:val="00D45BDD"/>
    <w:rsid w:val="00D45CE3"/>
    <w:rsid w:val="00D45DAE"/>
    <w:rsid w:val="00D460CF"/>
    <w:rsid w:val="00D46167"/>
    <w:rsid w:val="00D46533"/>
    <w:rsid w:val="00D465F9"/>
    <w:rsid w:val="00D46AF5"/>
    <w:rsid w:val="00D46DD5"/>
    <w:rsid w:val="00D46DD8"/>
    <w:rsid w:val="00D4713C"/>
    <w:rsid w:val="00D47151"/>
    <w:rsid w:val="00D471B3"/>
    <w:rsid w:val="00D471FD"/>
    <w:rsid w:val="00D4737D"/>
    <w:rsid w:val="00D47433"/>
    <w:rsid w:val="00D4753C"/>
    <w:rsid w:val="00D477C3"/>
    <w:rsid w:val="00D47BCC"/>
    <w:rsid w:val="00D47C41"/>
    <w:rsid w:val="00D47D3B"/>
    <w:rsid w:val="00D50005"/>
    <w:rsid w:val="00D501C0"/>
    <w:rsid w:val="00D501C8"/>
    <w:rsid w:val="00D507DB"/>
    <w:rsid w:val="00D508E4"/>
    <w:rsid w:val="00D50AB2"/>
    <w:rsid w:val="00D50CE8"/>
    <w:rsid w:val="00D50F17"/>
    <w:rsid w:val="00D50F1C"/>
    <w:rsid w:val="00D5105A"/>
    <w:rsid w:val="00D5106F"/>
    <w:rsid w:val="00D516BD"/>
    <w:rsid w:val="00D516D9"/>
    <w:rsid w:val="00D516ED"/>
    <w:rsid w:val="00D51A6D"/>
    <w:rsid w:val="00D52864"/>
    <w:rsid w:val="00D52968"/>
    <w:rsid w:val="00D52DF4"/>
    <w:rsid w:val="00D52E9F"/>
    <w:rsid w:val="00D530A0"/>
    <w:rsid w:val="00D535ED"/>
    <w:rsid w:val="00D53640"/>
    <w:rsid w:val="00D536E6"/>
    <w:rsid w:val="00D53821"/>
    <w:rsid w:val="00D53A01"/>
    <w:rsid w:val="00D53EFE"/>
    <w:rsid w:val="00D540F2"/>
    <w:rsid w:val="00D5465C"/>
    <w:rsid w:val="00D546CA"/>
    <w:rsid w:val="00D546EA"/>
    <w:rsid w:val="00D5498E"/>
    <w:rsid w:val="00D54B49"/>
    <w:rsid w:val="00D54B7F"/>
    <w:rsid w:val="00D54BC2"/>
    <w:rsid w:val="00D54F7F"/>
    <w:rsid w:val="00D54FFE"/>
    <w:rsid w:val="00D55381"/>
    <w:rsid w:val="00D555BF"/>
    <w:rsid w:val="00D55B17"/>
    <w:rsid w:val="00D55BAF"/>
    <w:rsid w:val="00D55D6D"/>
    <w:rsid w:val="00D560FE"/>
    <w:rsid w:val="00D56251"/>
    <w:rsid w:val="00D56537"/>
    <w:rsid w:val="00D5662F"/>
    <w:rsid w:val="00D568A7"/>
    <w:rsid w:val="00D5742C"/>
    <w:rsid w:val="00D5754F"/>
    <w:rsid w:val="00D57793"/>
    <w:rsid w:val="00D579BE"/>
    <w:rsid w:val="00D57A2D"/>
    <w:rsid w:val="00D57CB8"/>
    <w:rsid w:val="00D6045F"/>
    <w:rsid w:val="00D60501"/>
    <w:rsid w:val="00D6052B"/>
    <w:rsid w:val="00D605A2"/>
    <w:rsid w:val="00D60632"/>
    <w:rsid w:val="00D608C1"/>
    <w:rsid w:val="00D60AE3"/>
    <w:rsid w:val="00D612BB"/>
    <w:rsid w:val="00D614B9"/>
    <w:rsid w:val="00D61C24"/>
    <w:rsid w:val="00D61CDB"/>
    <w:rsid w:val="00D61EAA"/>
    <w:rsid w:val="00D6200D"/>
    <w:rsid w:val="00D622AE"/>
    <w:rsid w:val="00D6236F"/>
    <w:rsid w:val="00D62BB2"/>
    <w:rsid w:val="00D62BDD"/>
    <w:rsid w:val="00D6310E"/>
    <w:rsid w:val="00D63551"/>
    <w:rsid w:val="00D636EC"/>
    <w:rsid w:val="00D63A71"/>
    <w:rsid w:val="00D63D80"/>
    <w:rsid w:val="00D63DD2"/>
    <w:rsid w:val="00D63E91"/>
    <w:rsid w:val="00D64043"/>
    <w:rsid w:val="00D642A4"/>
    <w:rsid w:val="00D64324"/>
    <w:rsid w:val="00D64492"/>
    <w:rsid w:val="00D64572"/>
    <w:rsid w:val="00D645BD"/>
    <w:rsid w:val="00D645ED"/>
    <w:rsid w:val="00D64AA6"/>
    <w:rsid w:val="00D64C3D"/>
    <w:rsid w:val="00D64D93"/>
    <w:rsid w:val="00D650CF"/>
    <w:rsid w:val="00D65179"/>
    <w:rsid w:val="00D654E8"/>
    <w:rsid w:val="00D6564B"/>
    <w:rsid w:val="00D65B36"/>
    <w:rsid w:val="00D65C90"/>
    <w:rsid w:val="00D65CE3"/>
    <w:rsid w:val="00D65E0C"/>
    <w:rsid w:val="00D664CD"/>
    <w:rsid w:val="00D66725"/>
    <w:rsid w:val="00D66843"/>
    <w:rsid w:val="00D668DD"/>
    <w:rsid w:val="00D66A7C"/>
    <w:rsid w:val="00D66AB5"/>
    <w:rsid w:val="00D66C4D"/>
    <w:rsid w:val="00D66D64"/>
    <w:rsid w:val="00D67C7D"/>
    <w:rsid w:val="00D70062"/>
    <w:rsid w:val="00D7041E"/>
    <w:rsid w:val="00D704E9"/>
    <w:rsid w:val="00D70608"/>
    <w:rsid w:val="00D7064B"/>
    <w:rsid w:val="00D706E2"/>
    <w:rsid w:val="00D7070B"/>
    <w:rsid w:val="00D70926"/>
    <w:rsid w:val="00D70A68"/>
    <w:rsid w:val="00D70B70"/>
    <w:rsid w:val="00D71B2C"/>
    <w:rsid w:val="00D71CD1"/>
    <w:rsid w:val="00D71D19"/>
    <w:rsid w:val="00D7203A"/>
    <w:rsid w:val="00D72309"/>
    <w:rsid w:val="00D72782"/>
    <w:rsid w:val="00D72B3A"/>
    <w:rsid w:val="00D72CF9"/>
    <w:rsid w:val="00D72DFD"/>
    <w:rsid w:val="00D73044"/>
    <w:rsid w:val="00D730F3"/>
    <w:rsid w:val="00D73151"/>
    <w:rsid w:val="00D731D5"/>
    <w:rsid w:val="00D73287"/>
    <w:rsid w:val="00D7373A"/>
    <w:rsid w:val="00D74257"/>
    <w:rsid w:val="00D74581"/>
    <w:rsid w:val="00D74651"/>
    <w:rsid w:val="00D746CC"/>
    <w:rsid w:val="00D74A56"/>
    <w:rsid w:val="00D74C94"/>
    <w:rsid w:val="00D7503F"/>
    <w:rsid w:val="00D755E1"/>
    <w:rsid w:val="00D758CD"/>
    <w:rsid w:val="00D75BEE"/>
    <w:rsid w:val="00D75C2A"/>
    <w:rsid w:val="00D7630D"/>
    <w:rsid w:val="00D76489"/>
    <w:rsid w:val="00D7655B"/>
    <w:rsid w:val="00D768B9"/>
    <w:rsid w:val="00D76D83"/>
    <w:rsid w:val="00D76DA5"/>
    <w:rsid w:val="00D76EFF"/>
    <w:rsid w:val="00D76F85"/>
    <w:rsid w:val="00D779BB"/>
    <w:rsid w:val="00D77DC9"/>
    <w:rsid w:val="00D800B7"/>
    <w:rsid w:val="00D80120"/>
    <w:rsid w:val="00D801BA"/>
    <w:rsid w:val="00D8028D"/>
    <w:rsid w:val="00D804C8"/>
    <w:rsid w:val="00D8092A"/>
    <w:rsid w:val="00D8098D"/>
    <w:rsid w:val="00D80D63"/>
    <w:rsid w:val="00D81085"/>
    <w:rsid w:val="00D81340"/>
    <w:rsid w:val="00D8141F"/>
    <w:rsid w:val="00D816CC"/>
    <w:rsid w:val="00D8171A"/>
    <w:rsid w:val="00D81B21"/>
    <w:rsid w:val="00D81CE8"/>
    <w:rsid w:val="00D8205B"/>
    <w:rsid w:val="00D82118"/>
    <w:rsid w:val="00D822C8"/>
    <w:rsid w:val="00D824CC"/>
    <w:rsid w:val="00D826F7"/>
    <w:rsid w:val="00D82830"/>
    <w:rsid w:val="00D82995"/>
    <w:rsid w:val="00D82A32"/>
    <w:rsid w:val="00D82DB6"/>
    <w:rsid w:val="00D82F7C"/>
    <w:rsid w:val="00D837F9"/>
    <w:rsid w:val="00D83D75"/>
    <w:rsid w:val="00D83EDA"/>
    <w:rsid w:val="00D83FF3"/>
    <w:rsid w:val="00D84234"/>
    <w:rsid w:val="00D84240"/>
    <w:rsid w:val="00D844AE"/>
    <w:rsid w:val="00D847F2"/>
    <w:rsid w:val="00D84884"/>
    <w:rsid w:val="00D84AD0"/>
    <w:rsid w:val="00D84C1B"/>
    <w:rsid w:val="00D84D0F"/>
    <w:rsid w:val="00D84DF1"/>
    <w:rsid w:val="00D84F6F"/>
    <w:rsid w:val="00D84FDA"/>
    <w:rsid w:val="00D85235"/>
    <w:rsid w:val="00D85635"/>
    <w:rsid w:val="00D85746"/>
    <w:rsid w:val="00D85A99"/>
    <w:rsid w:val="00D85EB7"/>
    <w:rsid w:val="00D86016"/>
    <w:rsid w:val="00D86848"/>
    <w:rsid w:val="00D86903"/>
    <w:rsid w:val="00D869D7"/>
    <w:rsid w:val="00D869D9"/>
    <w:rsid w:val="00D86C1C"/>
    <w:rsid w:val="00D86D1B"/>
    <w:rsid w:val="00D870A7"/>
    <w:rsid w:val="00D870F2"/>
    <w:rsid w:val="00D87237"/>
    <w:rsid w:val="00D877F3"/>
    <w:rsid w:val="00D87D66"/>
    <w:rsid w:val="00D90316"/>
    <w:rsid w:val="00D905E6"/>
    <w:rsid w:val="00D9067F"/>
    <w:rsid w:val="00D9077A"/>
    <w:rsid w:val="00D90A18"/>
    <w:rsid w:val="00D90ABC"/>
    <w:rsid w:val="00D90F96"/>
    <w:rsid w:val="00D9157E"/>
    <w:rsid w:val="00D915A2"/>
    <w:rsid w:val="00D91822"/>
    <w:rsid w:val="00D91B01"/>
    <w:rsid w:val="00D91DD7"/>
    <w:rsid w:val="00D91EF4"/>
    <w:rsid w:val="00D91F3C"/>
    <w:rsid w:val="00D92257"/>
    <w:rsid w:val="00D92577"/>
    <w:rsid w:val="00D93936"/>
    <w:rsid w:val="00D93C4E"/>
    <w:rsid w:val="00D93D28"/>
    <w:rsid w:val="00D9423D"/>
    <w:rsid w:val="00D945B3"/>
    <w:rsid w:val="00D946B9"/>
    <w:rsid w:val="00D949BB"/>
    <w:rsid w:val="00D94DC7"/>
    <w:rsid w:val="00D9548B"/>
    <w:rsid w:val="00D9555D"/>
    <w:rsid w:val="00D955F1"/>
    <w:rsid w:val="00D95699"/>
    <w:rsid w:val="00D956C0"/>
    <w:rsid w:val="00D957E3"/>
    <w:rsid w:val="00D95C39"/>
    <w:rsid w:val="00D95C40"/>
    <w:rsid w:val="00D95C63"/>
    <w:rsid w:val="00D95D00"/>
    <w:rsid w:val="00D95E60"/>
    <w:rsid w:val="00D96149"/>
    <w:rsid w:val="00D9634D"/>
    <w:rsid w:val="00D96A74"/>
    <w:rsid w:val="00D96C84"/>
    <w:rsid w:val="00D96C9B"/>
    <w:rsid w:val="00D9722B"/>
    <w:rsid w:val="00D97362"/>
    <w:rsid w:val="00D97527"/>
    <w:rsid w:val="00D979DD"/>
    <w:rsid w:val="00D97F5C"/>
    <w:rsid w:val="00DA0094"/>
    <w:rsid w:val="00DA0147"/>
    <w:rsid w:val="00DA0482"/>
    <w:rsid w:val="00DA095D"/>
    <w:rsid w:val="00DA0CA3"/>
    <w:rsid w:val="00DA0CD7"/>
    <w:rsid w:val="00DA0D96"/>
    <w:rsid w:val="00DA0F6D"/>
    <w:rsid w:val="00DA1729"/>
    <w:rsid w:val="00DA1733"/>
    <w:rsid w:val="00DA1874"/>
    <w:rsid w:val="00DA18F2"/>
    <w:rsid w:val="00DA18FC"/>
    <w:rsid w:val="00DA1B14"/>
    <w:rsid w:val="00DA1BAD"/>
    <w:rsid w:val="00DA1D61"/>
    <w:rsid w:val="00DA21CE"/>
    <w:rsid w:val="00DA2819"/>
    <w:rsid w:val="00DA2B82"/>
    <w:rsid w:val="00DA2B94"/>
    <w:rsid w:val="00DA2E9E"/>
    <w:rsid w:val="00DA33BA"/>
    <w:rsid w:val="00DA3503"/>
    <w:rsid w:val="00DA3852"/>
    <w:rsid w:val="00DA39C2"/>
    <w:rsid w:val="00DA3DB1"/>
    <w:rsid w:val="00DA419E"/>
    <w:rsid w:val="00DA42A1"/>
    <w:rsid w:val="00DA48E2"/>
    <w:rsid w:val="00DA49CA"/>
    <w:rsid w:val="00DA4D08"/>
    <w:rsid w:val="00DA504C"/>
    <w:rsid w:val="00DA5151"/>
    <w:rsid w:val="00DA53A3"/>
    <w:rsid w:val="00DA53FB"/>
    <w:rsid w:val="00DA568B"/>
    <w:rsid w:val="00DA56F9"/>
    <w:rsid w:val="00DA57B5"/>
    <w:rsid w:val="00DA5898"/>
    <w:rsid w:val="00DA611B"/>
    <w:rsid w:val="00DA624E"/>
    <w:rsid w:val="00DA66B4"/>
    <w:rsid w:val="00DA66CF"/>
    <w:rsid w:val="00DA67F8"/>
    <w:rsid w:val="00DA6CB2"/>
    <w:rsid w:val="00DA6CDC"/>
    <w:rsid w:val="00DA6DD8"/>
    <w:rsid w:val="00DA6E3D"/>
    <w:rsid w:val="00DA6FC5"/>
    <w:rsid w:val="00DA718E"/>
    <w:rsid w:val="00DA73F5"/>
    <w:rsid w:val="00DA7524"/>
    <w:rsid w:val="00DA757A"/>
    <w:rsid w:val="00DA7A5A"/>
    <w:rsid w:val="00DA7BEE"/>
    <w:rsid w:val="00DA7C2E"/>
    <w:rsid w:val="00DA7D25"/>
    <w:rsid w:val="00DA7E62"/>
    <w:rsid w:val="00DB0331"/>
    <w:rsid w:val="00DB0473"/>
    <w:rsid w:val="00DB0E15"/>
    <w:rsid w:val="00DB0E9C"/>
    <w:rsid w:val="00DB0EB3"/>
    <w:rsid w:val="00DB0EE3"/>
    <w:rsid w:val="00DB0F6D"/>
    <w:rsid w:val="00DB136F"/>
    <w:rsid w:val="00DB16DF"/>
    <w:rsid w:val="00DB181A"/>
    <w:rsid w:val="00DB19B9"/>
    <w:rsid w:val="00DB25BD"/>
    <w:rsid w:val="00DB2956"/>
    <w:rsid w:val="00DB2BE4"/>
    <w:rsid w:val="00DB2EED"/>
    <w:rsid w:val="00DB301F"/>
    <w:rsid w:val="00DB3105"/>
    <w:rsid w:val="00DB39D4"/>
    <w:rsid w:val="00DB3A9C"/>
    <w:rsid w:val="00DB3B0C"/>
    <w:rsid w:val="00DB3C6D"/>
    <w:rsid w:val="00DB4040"/>
    <w:rsid w:val="00DB4570"/>
    <w:rsid w:val="00DB4755"/>
    <w:rsid w:val="00DB4875"/>
    <w:rsid w:val="00DB4931"/>
    <w:rsid w:val="00DB4BF9"/>
    <w:rsid w:val="00DB4CA8"/>
    <w:rsid w:val="00DB5147"/>
    <w:rsid w:val="00DB5244"/>
    <w:rsid w:val="00DB56CE"/>
    <w:rsid w:val="00DB5A57"/>
    <w:rsid w:val="00DB5C0C"/>
    <w:rsid w:val="00DB5C14"/>
    <w:rsid w:val="00DB5DE5"/>
    <w:rsid w:val="00DB5EE2"/>
    <w:rsid w:val="00DB5FFC"/>
    <w:rsid w:val="00DB61D2"/>
    <w:rsid w:val="00DB667C"/>
    <w:rsid w:val="00DB6714"/>
    <w:rsid w:val="00DB6809"/>
    <w:rsid w:val="00DB6976"/>
    <w:rsid w:val="00DB7185"/>
    <w:rsid w:val="00DB7393"/>
    <w:rsid w:val="00DB7C6C"/>
    <w:rsid w:val="00DC041D"/>
    <w:rsid w:val="00DC0AB8"/>
    <w:rsid w:val="00DC1006"/>
    <w:rsid w:val="00DC1013"/>
    <w:rsid w:val="00DC10DC"/>
    <w:rsid w:val="00DC1131"/>
    <w:rsid w:val="00DC145B"/>
    <w:rsid w:val="00DC15F3"/>
    <w:rsid w:val="00DC19EB"/>
    <w:rsid w:val="00DC1A29"/>
    <w:rsid w:val="00DC1EF4"/>
    <w:rsid w:val="00DC21F0"/>
    <w:rsid w:val="00DC22B2"/>
    <w:rsid w:val="00DC2637"/>
    <w:rsid w:val="00DC2B95"/>
    <w:rsid w:val="00DC2FA2"/>
    <w:rsid w:val="00DC358B"/>
    <w:rsid w:val="00DC368B"/>
    <w:rsid w:val="00DC3856"/>
    <w:rsid w:val="00DC3BEC"/>
    <w:rsid w:val="00DC460F"/>
    <w:rsid w:val="00DC4A82"/>
    <w:rsid w:val="00DC4AFA"/>
    <w:rsid w:val="00DC4D04"/>
    <w:rsid w:val="00DC522D"/>
    <w:rsid w:val="00DC52CB"/>
    <w:rsid w:val="00DC547A"/>
    <w:rsid w:val="00DC6158"/>
    <w:rsid w:val="00DC6211"/>
    <w:rsid w:val="00DC64A6"/>
    <w:rsid w:val="00DC6802"/>
    <w:rsid w:val="00DC68F6"/>
    <w:rsid w:val="00DC69C7"/>
    <w:rsid w:val="00DC69F5"/>
    <w:rsid w:val="00DC7040"/>
    <w:rsid w:val="00DC71D9"/>
    <w:rsid w:val="00DC7288"/>
    <w:rsid w:val="00DC7301"/>
    <w:rsid w:val="00DC74C2"/>
    <w:rsid w:val="00DC7C28"/>
    <w:rsid w:val="00DD00EC"/>
    <w:rsid w:val="00DD02D3"/>
    <w:rsid w:val="00DD06C4"/>
    <w:rsid w:val="00DD0AF1"/>
    <w:rsid w:val="00DD0C84"/>
    <w:rsid w:val="00DD0F76"/>
    <w:rsid w:val="00DD10B7"/>
    <w:rsid w:val="00DD148E"/>
    <w:rsid w:val="00DD17D9"/>
    <w:rsid w:val="00DD189D"/>
    <w:rsid w:val="00DD1C57"/>
    <w:rsid w:val="00DD1D56"/>
    <w:rsid w:val="00DD1E20"/>
    <w:rsid w:val="00DD1E6C"/>
    <w:rsid w:val="00DD2984"/>
    <w:rsid w:val="00DD2A29"/>
    <w:rsid w:val="00DD2E0C"/>
    <w:rsid w:val="00DD2E65"/>
    <w:rsid w:val="00DD3539"/>
    <w:rsid w:val="00DD36A9"/>
    <w:rsid w:val="00DD3CD0"/>
    <w:rsid w:val="00DD41C6"/>
    <w:rsid w:val="00DD4C37"/>
    <w:rsid w:val="00DD4D70"/>
    <w:rsid w:val="00DD543D"/>
    <w:rsid w:val="00DD576D"/>
    <w:rsid w:val="00DD59D8"/>
    <w:rsid w:val="00DD5C1B"/>
    <w:rsid w:val="00DD5DBC"/>
    <w:rsid w:val="00DD6D03"/>
    <w:rsid w:val="00DD6E09"/>
    <w:rsid w:val="00DD744B"/>
    <w:rsid w:val="00DD7461"/>
    <w:rsid w:val="00DD7477"/>
    <w:rsid w:val="00DD782D"/>
    <w:rsid w:val="00DD7AED"/>
    <w:rsid w:val="00DE0045"/>
    <w:rsid w:val="00DE0354"/>
    <w:rsid w:val="00DE0592"/>
    <w:rsid w:val="00DE0852"/>
    <w:rsid w:val="00DE096C"/>
    <w:rsid w:val="00DE0AC5"/>
    <w:rsid w:val="00DE0B86"/>
    <w:rsid w:val="00DE0FCB"/>
    <w:rsid w:val="00DE11E4"/>
    <w:rsid w:val="00DE17CB"/>
    <w:rsid w:val="00DE181C"/>
    <w:rsid w:val="00DE1853"/>
    <w:rsid w:val="00DE191F"/>
    <w:rsid w:val="00DE1F7F"/>
    <w:rsid w:val="00DE26B0"/>
    <w:rsid w:val="00DE2733"/>
    <w:rsid w:val="00DE27C7"/>
    <w:rsid w:val="00DE2849"/>
    <w:rsid w:val="00DE2A5D"/>
    <w:rsid w:val="00DE2E02"/>
    <w:rsid w:val="00DE2E33"/>
    <w:rsid w:val="00DE3324"/>
    <w:rsid w:val="00DE34B7"/>
    <w:rsid w:val="00DE3A27"/>
    <w:rsid w:val="00DE3C99"/>
    <w:rsid w:val="00DE3D14"/>
    <w:rsid w:val="00DE3DC4"/>
    <w:rsid w:val="00DE3EF3"/>
    <w:rsid w:val="00DE4073"/>
    <w:rsid w:val="00DE429B"/>
    <w:rsid w:val="00DE443B"/>
    <w:rsid w:val="00DE4902"/>
    <w:rsid w:val="00DE4A06"/>
    <w:rsid w:val="00DE5203"/>
    <w:rsid w:val="00DE53C8"/>
    <w:rsid w:val="00DE543E"/>
    <w:rsid w:val="00DE562F"/>
    <w:rsid w:val="00DE5999"/>
    <w:rsid w:val="00DE60E3"/>
    <w:rsid w:val="00DE67F0"/>
    <w:rsid w:val="00DE6B67"/>
    <w:rsid w:val="00DE6BDC"/>
    <w:rsid w:val="00DE6D08"/>
    <w:rsid w:val="00DE6DE0"/>
    <w:rsid w:val="00DE723C"/>
    <w:rsid w:val="00DE75B9"/>
    <w:rsid w:val="00DE7752"/>
    <w:rsid w:val="00DE775E"/>
    <w:rsid w:val="00DE7BD6"/>
    <w:rsid w:val="00DE7C11"/>
    <w:rsid w:val="00DE7CCE"/>
    <w:rsid w:val="00DF0BD4"/>
    <w:rsid w:val="00DF0D0B"/>
    <w:rsid w:val="00DF18EF"/>
    <w:rsid w:val="00DF1A11"/>
    <w:rsid w:val="00DF1CE2"/>
    <w:rsid w:val="00DF2205"/>
    <w:rsid w:val="00DF2385"/>
    <w:rsid w:val="00DF2868"/>
    <w:rsid w:val="00DF2D3D"/>
    <w:rsid w:val="00DF2FDF"/>
    <w:rsid w:val="00DF35D6"/>
    <w:rsid w:val="00DF37C5"/>
    <w:rsid w:val="00DF3B9E"/>
    <w:rsid w:val="00DF407E"/>
    <w:rsid w:val="00DF422D"/>
    <w:rsid w:val="00DF44E5"/>
    <w:rsid w:val="00DF47A0"/>
    <w:rsid w:val="00DF48AF"/>
    <w:rsid w:val="00DF498C"/>
    <w:rsid w:val="00DF4D08"/>
    <w:rsid w:val="00DF4EEC"/>
    <w:rsid w:val="00DF4F8E"/>
    <w:rsid w:val="00DF5062"/>
    <w:rsid w:val="00DF5069"/>
    <w:rsid w:val="00DF5359"/>
    <w:rsid w:val="00DF5B1F"/>
    <w:rsid w:val="00DF5E1B"/>
    <w:rsid w:val="00DF5EB4"/>
    <w:rsid w:val="00DF5EDA"/>
    <w:rsid w:val="00DF6396"/>
    <w:rsid w:val="00DF6E68"/>
    <w:rsid w:val="00DF6EB2"/>
    <w:rsid w:val="00DF6F97"/>
    <w:rsid w:val="00DF7300"/>
    <w:rsid w:val="00DF76B0"/>
    <w:rsid w:val="00DF77E1"/>
    <w:rsid w:val="00DF7930"/>
    <w:rsid w:val="00DF79B3"/>
    <w:rsid w:val="00DF7B52"/>
    <w:rsid w:val="00DF7BB2"/>
    <w:rsid w:val="00E00558"/>
    <w:rsid w:val="00E00575"/>
    <w:rsid w:val="00E0079F"/>
    <w:rsid w:val="00E00802"/>
    <w:rsid w:val="00E0080B"/>
    <w:rsid w:val="00E00835"/>
    <w:rsid w:val="00E00B13"/>
    <w:rsid w:val="00E0107A"/>
    <w:rsid w:val="00E011ED"/>
    <w:rsid w:val="00E0134F"/>
    <w:rsid w:val="00E015AC"/>
    <w:rsid w:val="00E01972"/>
    <w:rsid w:val="00E01A0B"/>
    <w:rsid w:val="00E01AE9"/>
    <w:rsid w:val="00E01B38"/>
    <w:rsid w:val="00E01D0A"/>
    <w:rsid w:val="00E01D86"/>
    <w:rsid w:val="00E01FD5"/>
    <w:rsid w:val="00E0263A"/>
    <w:rsid w:val="00E02892"/>
    <w:rsid w:val="00E029C0"/>
    <w:rsid w:val="00E02A6C"/>
    <w:rsid w:val="00E02C47"/>
    <w:rsid w:val="00E02CE9"/>
    <w:rsid w:val="00E02D7A"/>
    <w:rsid w:val="00E02E10"/>
    <w:rsid w:val="00E02E3C"/>
    <w:rsid w:val="00E02FF2"/>
    <w:rsid w:val="00E03962"/>
    <w:rsid w:val="00E039DA"/>
    <w:rsid w:val="00E039E8"/>
    <w:rsid w:val="00E039F7"/>
    <w:rsid w:val="00E042E3"/>
    <w:rsid w:val="00E045E3"/>
    <w:rsid w:val="00E049CD"/>
    <w:rsid w:val="00E04CA4"/>
    <w:rsid w:val="00E04DA5"/>
    <w:rsid w:val="00E053A7"/>
    <w:rsid w:val="00E05520"/>
    <w:rsid w:val="00E05D4B"/>
    <w:rsid w:val="00E05D61"/>
    <w:rsid w:val="00E0635E"/>
    <w:rsid w:val="00E06480"/>
    <w:rsid w:val="00E069E5"/>
    <w:rsid w:val="00E06C04"/>
    <w:rsid w:val="00E06FD1"/>
    <w:rsid w:val="00E071AC"/>
    <w:rsid w:val="00E07530"/>
    <w:rsid w:val="00E07734"/>
    <w:rsid w:val="00E077BA"/>
    <w:rsid w:val="00E07F72"/>
    <w:rsid w:val="00E103DC"/>
    <w:rsid w:val="00E108E0"/>
    <w:rsid w:val="00E109AA"/>
    <w:rsid w:val="00E10AD9"/>
    <w:rsid w:val="00E11322"/>
    <w:rsid w:val="00E1140F"/>
    <w:rsid w:val="00E11F6B"/>
    <w:rsid w:val="00E12215"/>
    <w:rsid w:val="00E12263"/>
    <w:rsid w:val="00E12E86"/>
    <w:rsid w:val="00E130CA"/>
    <w:rsid w:val="00E1310B"/>
    <w:rsid w:val="00E134B4"/>
    <w:rsid w:val="00E13841"/>
    <w:rsid w:val="00E13B6B"/>
    <w:rsid w:val="00E13C90"/>
    <w:rsid w:val="00E13DC4"/>
    <w:rsid w:val="00E14188"/>
    <w:rsid w:val="00E14417"/>
    <w:rsid w:val="00E1468E"/>
    <w:rsid w:val="00E14FC4"/>
    <w:rsid w:val="00E15658"/>
    <w:rsid w:val="00E158C5"/>
    <w:rsid w:val="00E1593A"/>
    <w:rsid w:val="00E15C80"/>
    <w:rsid w:val="00E16134"/>
    <w:rsid w:val="00E16405"/>
    <w:rsid w:val="00E1648D"/>
    <w:rsid w:val="00E164CB"/>
    <w:rsid w:val="00E16567"/>
    <w:rsid w:val="00E1658B"/>
    <w:rsid w:val="00E16595"/>
    <w:rsid w:val="00E16E75"/>
    <w:rsid w:val="00E16E9D"/>
    <w:rsid w:val="00E17393"/>
    <w:rsid w:val="00E17787"/>
    <w:rsid w:val="00E20753"/>
    <w:rsid w:val="00E209EB"/>
    <w:rsid w:val="00E20B21"/>
    <w:rsid w:val="00E20B37"/>
    <w:rsid w:val="00E20CF4"/>
    <w:rsid w:val="00E20D9C"/>
    <w:rsid w:val="00E20E64"/>
    <w:rsid w:val="00E21223"/>
    <w:rsid w:val="00E218AF"/>
    <w:rsid w:val="00E21DA1"/>
    <w:rsid w:val="00E225AA"/>
    <w:rsid w:val="00E2267D"/>
    <w:rsid w:val="00E228FF"/>
    <w:rsid w:val="00E22AAF"/>
    <w:rsid w:val="00E231D7"/>
    <w:rsid w:val="00E23374"/>
    <w:rsid w:val="00E2352F"/>
    <w:rsid w:val="00E236CF"/>
    <w:rsid w:val="00E23A0A"/>
    <w:rsid w:val="00E23AAE"/>
    <w:rsid w:val="00E23ACC"/>
    <w:rsid w:val="00E23F57"/>
    <w:rsid w:val="00E24441"/>
    <w:rsid w:val="00E24583"/>
    <w:rsid w:val="00E246B1"/>
    <w:rsid w:val="00E24759"/>
    <w:rsid w:val="00E24D70"/>
    <w:rsid w:val="00E24F48"/>
    <w:rsid w:val="00E25603"/>
    <w:rsid w:val="00E25681"/>
    <w:rsid w:val="00E256BB"/>
    <w:rsid w:val="00E2570A"/>
    <w:rsid w:val="00E2578D"/>
    <w:rsid w:val="00E257B4"/>
    <w:rsid w:val="00E259F4"/>
    <w:rsid w:val="00E25C09"/>
    <w:rsid w:val="00E261B7"/>
    <w:rsid w:val="00E261F7"/>
    <w:rsid w:val="00E26C77"/>
    <w:rsid w:val="00E27AB9"/>
    <w:rsid w:val="00E27C42"/>
    <w:rsid w:val="00E27E33"/>
    <w:rsid w:val="00E27FD8"/>
    <w:rsid w:val="00E300AA"/>
    <w:rsid w:val="00E304BB"/>
    <w:rsid w:val="00E30E88"/>
    <w:rsid w:val="00E30EC3"/>
    <w:rsid w:val="00E30F2F"/>
    <w:rsid w:val="00E312F0"/>
    <w:rsid w:val="00E31452"/>
    <w:rsid w:val="00E31E42"/>
    <w:rsid w:val="00E31E49"/>
    <w:rsid w:val="00E31ED3"/>
    <w:rsid w:val="00E32074"/>
    <w:rsid w:val="00E32380"/>
    <w:rsid w:val="00E323CB"/>
    <w:rsid w:val="00E327DC"/>
    <w:rsid w:val="00E32B5A"/>
    <w:rsid w:val="00E32DA3"/>
    <w:rsid w:val="00E33085"/>
    <w:rsid w:val="00E33702"/>
    <w:rsid w:val="00E33F4D"/>
    <w:rsid w:val="00E34062"/>
    <w:rsid w:val="00E34717"/>
    <w:rsid w:val="00E34909"/>
    <w:rsid w:val="00E349F6"/>
    <w:rsid w:val="00E34BE9"/>
    <w:rsid w:val="00E34D16"/>
    <w:rsid w:val="00E34ED6"/>
    <w:rsid w:val="00E34F19"/>
    <w:rsid w:val="00E355CB"/>
    <w:rsid w:val="00E35643"/>
    <w:rsid w:val="00E35A90"/>
    <w:rsid w:val="00E35B26"/>
    <w:rsid w:val="00E35FBF"/>
    <w:rsid w:val="00E361EC"/>
    <w:rsid w:val="00E36439"/>
    <w:rsid w:val="00E365F8"/>
    <w:rsid w:val="00E366A1"/>
    <w:rsid w:val="00E36F35"/>
    <w:rsid w:val="00E371A2"/>
    <w:rsid w:val="00E37B84"/>
    <w:rsid w:val="00E37D88"/>
    <w:rsid w:val="00E37D98"/>
    <w:rsid w:val="00E37FC8"/>
    <w:rsid w:val="00E401CB"/>
    <w:rsid w:val="00E4022B"/>
    <w:rsid w:val="00E4074B"/>
    <w:rsid w:val="00E409EE"/>
    <w:rsid w:val="00E40ADD"/>
    <w:rsid w:val="00E40E46"/>
    <w:rsid w:val="00E40E4A"/>
    <w:rsid w:val="00E41073"/>
    <w:rsid w:val="00E41176"/>
    <w:rsid w:val="00E41585"/>
    <w:rsid w:val="00E41A93"/>
    <w:rsid w:val="00E4228E"/>
    <w:rsid w:val="00E42315"/>
    <w:rsid w:val="00E42A94"/>
    <w:rsid w:val="00E42B2A"/>
    <w:rsid w:val="00E42EF1"/>
    <w:rsid w:val="00E430A1"/>
    <w:rsid w:val="00E432A8"/>
    <w:rsid w:val="00E434FB"/>
    <w:rsid w:val="00E43844"/>
    <w:rsid w:val="00E43AF2"/>
    <w:rsid w:val="00E43D23"/>
    <w:rsid w:val="00E43FF4"/>
    <w:rsid w:val="00E440E5"/>
    <w:rsid w:val="00E4416C"/>
    <w:rsid w:val="00E44213"/>
    <w:rsid w:val="00E44294"/>
    <w:rsid w:val="00E4468F"/>
    <w:rsid w:val="00E44B7C"/>
    <w:rsid w:val="00E44BC4"/>
    <w:rsid w:val="00E45191"/>
    <w:rsid w:val="00E4526F"/>
    <w:rsid w:val="00E45662"/>
    <w:rsid w:val="00E4580B"/>
    <w:rsid w:val="00E45EF5"/>
    <w:rsid w:val="00E4612B"/>
    <w:rsid w:val="00E46171"/>
    <w:rsid w:val="00E464A3"/>
    <w:rsid w:val="00E46646"/>
    <w:rsid w:val="00E46860"/>
    <w:rsid w:val="00E4687D"/>
    <w:rsid w:val="00E46912"/>
    <w:rsid w:val="00E46FDB"/>
    <w:rsid w:val="00E474D1"/>
    <w:rsid w:val="00E47505"/>
    <w:rsid w:val="00E479C5"/>
    <w:rsid w:val="00E47C51"/>
    <w:rsid w:val="00E47E0D"/>
    <w:rsid w:val="00E47F2D"/>
    <w:rsid w:val="00E47F7B"/>
    <w:rsid w:val="00E507C6"/>
    <w:rsid w:val="00E5094B"/>
    <w:rsid w:val="00E50AC6"/>
    <w:rsid w:val="00E50B57"/>
    <w:rsid w:val="00E50C71"/>
    <w:rsid w:val="00E50FC2"/>
    <w:rsid w:val="00E5106E"/>
    <w:rsid w:val="00E5127E"/>
    <w:rsid w:val="00E512D2"/>
    <w:rsid w:val="00E514CA"/>
    <w:rsid w:val="00E514F6"/>
    <w:rsid w:val="00E5198E"/>
    <w:rsid w:val="00E51E55"/>
    <w:rsid w:val="00E522FA"/>
    <w:rsid w:val="00E52FA7"/>
    <w:rsid w:val="00E530E8"/>
    <w:rsid w:val="00E53783"/>
    <w:rsid w:val="00E53853"/>
    <w:rsid w:val="00E53A88"/>
    <w:rsid w:val="00E53F25"/>
    <w:rsid w:val="00E53F89"/>
    <w:rsid w:val="00E54395"/>
    <w:rsid w:val="00E5442E"/>
    <w:rsid w:val="00E54696"/>
    <w:rsid w:val="00E54A69"/>
    <w:rsid w:val="00E54C87"/>
    <w:rsid w:val="00E54C8D"/>
    <w:rsid w:val="00E54F6D"/>
    <w:rsid w:val="00E554A4"/>
    <w:rsid w:val="00E556A1"/>
    <w:rsid w:val="00E55904"/>
    <w:rsid w:val="00E55FFF"/>
    <w:rsid w:val="00E56124"/>
    <w:rsid w:val="00E5675F"/>
    <w:rsid w:val="00E56E20"/>
    <w:rsid w:val="00E56EB1"/>
    <w:rsid w:val="00E5713B"/>
    <w:rsid w:val="00E57375"/>
    <w:rsid w:val="00E57587"/>
    <w:rsid w:val="00E575EE"/>
    <w:rsid w:val="00E577D7"/>
    <w:rsid w:val="00E57963"/>
    <w:rsid w:val="00E57AB8"/>
    <w:rsid w:val="00E57C0C"/>
    <w:rsid w:val="00E57CDA"/>
    <w:rsid w:val="00E57E31"/>
    <w:rsid w:val="00E60062"/>
    <w:rsid w:val="00E600FD"/>
    <w:rsid w:val="00E60588"/>
    <w:rsid w:val="00E605E4"/>
    <w:rsid w:val="00E60744"/>
    <w:rsid w:val="00E60CDD"/>
    <w:rsid w:val="00E61096"/>
    <w:rsid w:val="00E6116C"/>
    <w:rsid w:val="00E6187A"/>
    <w:rsid w:val="00E6190F"/>
    <w:rsid w:val="00E61BD2"/>
    <w:rsid w:val="00E61C83"/>
    <w:rsid w:val="00E61E51"/>
    <w:rsid w:val="00E62368"/>
    <w:rsid w:val="00E62596"/>
    <w:rsid w:val="00E628DF"/>
    <w:rsid w:val="00E62A25"/>
    <w:rsid w:val="00E62C2F"/>
    <w:rsid w:val="00E62FA5"/>
    <w:rsid w:val="00E630C1"/>
    <w:rsid w:val="00E6316B"/>
    <w:rsid w:val="00E63219"/>
    <w:rsid w:val="00E63EF1"/>
    <w:rsid w:val="00E6408D"/>
    <w:rsid w:val="00E640F4"/>
    <w:rsid w:val="00E64382"/>
    <w:rsid w:val="00E64714"/>
    <w:rsid w:val="00E647E6"/>
    <w:rsid w:val="00E64BE7"/>
    <w:rsid w:val="00E655B6"/>
    <w:rsid w:val="00E656A9"/>
    <w:rsid w:val="00E657C7"/>
    <w:rsid w:val="00E65A41"/>
    <w:rsid w:val="00E65A5E"/>
    <w:rsid w:val="00E65DEF"/>
    <w:rsid w:val="00E65FCA"/>
    <w:rsid w:val="00E6603E"/>
    <w:rsid w:val="00E66BA5"/>
    <w:rsid w:val="00E66ED6"/>
    <w:rsid w:val="00E672D6"/>
    <w:rsid w:val="00E67627"/>
    <w:rsid w:val="00E676C2"/>
    <w:rsid w:val="00E679D3"/>
    <w:rsid w:val="00E67E3B"/>
    <w:rsid w:val="00E70265"/>
    <w:rsid w:val="00E702C3"/>
    <w:rsid w:val="00E7099C"/>
    <w:rsid w:val="00E70A0B"/>
    <w:rsid w:val="00E70A33"/>
    <w:rsid w:val="00E70AF0"/>
    <w:rsid w:val="00E70C1A"/>
    <w:rsid w:val="00E70DC8"/>
    <w:rsid w:val="00E70F39"/>
    <w:rsid w:val="00E7111F"/>
    <w:rsid w:val="00E7113C"/>
    <w:rsid w:val="00E7115C"/>
    <w:rsid w:val="00E711BD"/>
    <w:rsid w:val="00E71393"/>
    <w:rsid w:val="00E71501"/>
    <w:rsid w:val="00E71724"/>
    <w:rsid w:val="00E71B2B"/>
    <w:rsid w:val="00E72557"/>
    <w:rsid w:val="00E7264E"/>
    <w:rsid w:val="00E728B5"/>
    <w:rsid w:val="00E72A77"/>
    <w:rsid w:val="00E72F4E"/>
    <w:rsid w:val="00E7326E"/>
    <w:rsid w:val="00E73361"/>
    <w:rsid w:val="00E739F3"/>
    <w:rsid w:val="00E73CC0"/>
    <w:rsid w:val="00E741A4"/>
    <w:rsid w:val="00E7493C"/>
    <w:rsid w:val="00E74A22"/>
    <w:rsid w:val="00E74ED3"/>
    <w:rsid w:val="00E752B6"/>
    <w:rsid w:val="00E7540C"/>
    <w:rsid w:val="00E7584C"/>
    <w:rsid w:val="00E75ABA"/>
    <w:rsid w:val="00E75B76"/>
    <w:rsid w:val="00E75BAA"/>
    <w:rsid w:val="00E75C26"/>
    <w:rsid w:val="00E75D23"/>
    <w:rsid w:val="00E75F03"/>
    <w:rsid w:val="00E760DD"/>
    <w:rsid w:val="00E76134"/>
    <w:rsid w:val="00E766F9"/>
    <w:rsid w:val="00E76957"/>
    <w:rsid w:val="00E770E7"/>
    <w:rsid w:val="00E77362"/>
    <w:rsid w:val="00E7741A"/>
    <w:rsid w:val="00E77543"/>
    <w:rsid w:val="00E77AD4"/>
    <w:rsid w:val="00E77B94"/>
    <w:rsid w:val="00E80029"/>
    <w:rsid w:val="00E800E0"/>
    <w:rsid w:val="00E801D3"/>
    <w:rsid w:val="00E8038D"/>
    <w:rsid w:val="00E8052E"/>
    <w:rsid w:val="00E8075D"/>
    <w:rsid w:val="00E807A4"/>
    <w:rsid w:val="00E8094E"/>
    <w:rsid w:val="00E80B2B"/>
    <w:rsid w:val="00E80D74"/>
    <w:rsid w:val="00E81139"/>
    <w:rsid w:val="00E8122F"/>
    <w:rsid w:val="00E813F7"/>
    <w:rsid w:val="00E814A8"/>
    <w:rsid w:val="00E8156E"/>
    <w:rsid w:val="00E81C54"/>
    <w:rsid w:val="00E81D61"/>
    <w:rsid w:val="00E8227A"/>
    <w:rsid w:val="00E82537"/>
    <w:rsid w:val="00E8279D"/>
    <w:rsid w:val="00E82854"/>
    <w:rsid w:val="00E82A43"/>
    <w:rsid w:val="00E82B97"/>
    <w:rsid w:val="00E82FCC"/>
    <w:rsid w:val="00E83188"/>
    <w:rsid w:val="00E836C6"/>
    <w:rsid w:val="00E8414A"/>
    <w:rsid w:val="00E84CB1"/>
    <w:rsid w:val="00E84CED"/>
    <w:rsid w:val="00E84D10"/>
    <w:rsid w:val="00E84D55"/>
    <w:rsid w:val="00E84DA1"/>
    <w:rsid w:val="00E84E26"/>
    <w:rsid w:val="00E85214"/>
    <w:rsid w:val="00E85422"/>
    <w:rsid w:val="00E85710"/>
    <w:rsid w:val="00E859B8"/>
    <w:rsid w:val="00E85C6D"/>
    <w:rsid w:val="00E85D27"/>
    <w:rsid w:val="00E85D51"/>
    <w:rsid w:val="00E85F49"/>
    <w:rsid w:val="00E86072"/>
    <w:rsid w:val="00E862ED"/>
    <w:rsid w:val="00E866B9"/>
    <w:rsid w:val="00E8670C"/>
    <w:rsid w:val="00E86E9E"/>
    <w:rsid w:val="00E87019"/>
    <w:rsid w:val="00E87B87"/>
    <w:rsid w:val="00E90083"/>
    <w:rsid w:val="00E900C0"/>
    <w:rsid w:val="00E90137"/>
    <w:rsid w:val="00E90167"/>
    <w:rsid w:val="00E906DA"/>
    <w:rsid w:val="00E906ED"/>
    <w:rsid w:val="00E90EB1"/>
    <w:rsid w:val="00E91605"/>
    <w:rsid w:val="00E9171F"/>
    <w:rsid w:val="00E9196B"/>
    <w:rsid w:val="00E91DE5"/>
    <w:rsid w:val="00E927CB"/>
    <w:rsid w:val="00E92A01"/>
    <w:rsid w:val="00E92E45"/>
    <w:rsid w:val="00E92E8F"/>
    <w:rsid w:val="00E9315B"/>
    <w:rsid w:val="00E93169"/>
    <w:rsid w:val="00E933A6"/>
    <w:rsid w:val="00E9360F"/>
    <w:rsid w:val="00E93806"/>
    <w:rsid w:val="00E9385A"/>
    <w:rsid w:val="00E93B3A"/>
    <w:rsid w:val="00E93E3C"/>
    <w:rsid w:val="00E947A1"/>
    <w:rsid w:val="00E94FE2"/>
    <w:rsid w:val="00E950C6"/>
    <w:rsid w:val="00E950E0"/>
    <w:rsid w:val="00E952AF"/>
    <w:rsid w:val="00E95A24"/>
    <w:rsid w:val="00E95AD7"/>
    <w:rsid w:val="00E95D92"/>
    <w:rsid w:val="00E960B9"/>
    <w:rsid w:val="00E963F0"/>
    <w:rsid w:val="00E9650C"/>
    <w:rsid w:val="00E96545"/>
    <w:rsid w:val="00E96648"/>
    <w:rsid w:val="00E966B2"/>
    <w:rsid w:val="00E96A41"/>
    <w:rsid w:val="00E96F75"/>
    <w:rsid w:val="00E97071"/>
    <w:rsid w:val="00E97465"/>
    <w:rsid w:val="00E976C8"/>
    <w:rsid w:val="00E977E6"/>
    <w:rsid w:val="00E97C09"/>
    <w:rsid w:val="00E97E62"/>
    <w:rsid w:val="00EA07D1"/>
    <w:rsid w:val="00EA0897"/>
    <w:rsid w:val="00EA0A0F"/>
    <w:rsid w:val="00EA0A16"/>
    <w:rsid w:val="00EA0BB0"/>
    <w:rsid w:val="00EA0DE0"/>
    <w:rsid w:val="00EA0EC8"/>
    <w:rsid w:val="00EA0F22"/>
    <w:rsid w:val="00EA13B5"/>
    <w:rsid w:val="00EA157F"/>
    <w:rsid w:val="00EA15F5"/>
    <w:rsid w:val="00EA19B3"/>
    <w:rsid w:val="00EA1AB6"/>
    <w:rsid w:val="00EA1E3E"/>
    <w:rsid w:val="00EA1E6C"/>
    <w:rsid w:val="00EA20BC"/>
    <w:rsid w:val="00EA2446"/>
    <w:rsid w:val="00EA28EB"/>
    <w:rsid w:val="00EA2AEB"/>
    <w:rsid w:val="00EA2BF3"/>
    <w:rsid w:val="00EA2CA1"/>
    <w:rsid w:val="00EA2D6E"/>
    <w:rsid w:val="00EA2EB1"/>
    <w:rsid w:val="00EA32C3"/>
    <w:rsid w:val="00EA35E4"/>
    <w:rsid w:val="00EA36B1"/>
    <w:rsid w:val="00EA3757"/>
    <w:rsid w:val="00EA38FA"/>
    <w:rsid w:val="00EA3A2E"/>
    <w:rsid w:val="00EA3E97"/>
    <w:rsid w:val="00EA439B"/>
    <w:rsid w:val="00EA4801"/>
    <w:rsid w:val="00EA4B52"/>
    <w:rsid w:val="00EA4BB1"/>
    <w:rsid w:val="00EA4CC4"/>
    <w:rsid w:val="00EA55AA"/>
    <w:rsid w:val="00EA5730"/>
    <w:rsid w:val="00EA5736"/>
    <w:rsid w:val="00EA58AD"/>
    <w:rsid w:val="00EA5A9B"/>
    <w:rsid w:val="00EA5B3C"/>
    <w:rsid w:val="00EA5D8F"/>
    <w:rsid w:val="00EA5EFB"/>
    <w:rsid w:val="00EA5F3F"/>
    <w:rsid w:val="00EA5F8E"/>
    <w:rsid w:val="00EA6186"/>
    <w:rsid w:val="00EA627B"/>
    <w:rsid w:val="00EA643B"/>
    <w:rsid w:val="00EA69F4"/>
    <w:rsid w:val="00EA719F"/>
    <w:rsid w:val="00EA77C6"/>
    <w:rsid w:val="00EA78DD"/>
    <w:rsid w:val="00EA7AC7"/>
    <w:rsid w:val="00EA7AF1"/>
    <w:rsid w:val="00EA7C69"/>
    <w:rsid w:val="00EA7CAF"/>
    <w:rsid w:val="00EA7CDB"/>
    <w:rsid w:val="00EB0540"/>
    <w:rsid w:val="00EB06D8"/>
    <w:rsid w:val="00EB0717"/>
    <w:rsid w:val="00EB0971"/>
    <w:rsid w:val="00EB0FBD"/>
    <w:rsid w:val="00EB1B43"/>
    <w:rsid w:val="00EB232E"/>
    <w:rsid w:val="00EB2577"/>
    <w:rsid w:val="00EB2645"/>
    <w:rsid w:val="00EB293A"/>
    <w:rsid w:val="00EB2ABC"/>
    <w:rsid w:val="00EB2CDB"/>
    <w:rsid w:val="00EB2D3C"/>
    <w:rsid w:val="00EB321F"/>
    <w:rsid w:val="00EB3345"/>
    <w:rsid w:val="00EB3667"/>
    <w:rsid w:val="00EB373D"/>
    <w:rsid w:val="00EB3978"/>
    <w:rsid w:val="00EB39BF"/>
    <w:rsid w:val="00EB3D76"/>
    <w:rsid w:val="00EB3E67"/>
    <w:rsid w:val="00EB489A"/>
    <w:rsid w:val="00EB4C8D"/>
    <w:rsid w:val="00EB52DB"/>
    <w:rsid w:val="00EB54B1"/>
    <w:rsid w:val="00EB56BF"/>
    <w:rsid w:val="00EB5C60"/>
    <w:rsid w:val="00EB62C6"/>
    <w:rsid w:val="00EB63C3"/>
    <w:rsid w:val="00EB63F5"/>
    <w:rsid w:val="00EB6442"/>
    <w:rsid w:val="00EB6A97"/>
    <w:rsid w:val="00EB6E44"/>
    <w:rsid w:val="00EB6EF1"/>
    <w:rsid w:val="00EB6F11"/>
    <w:rsid w:val="00EB709D"/>
    <w:rsid w:val="00EB7175"/>
    <w:rsid w:val="00EB7331"/>
    <w:rsid w:val="00EB76FD"/>
    <w:rsid w:val="00EB78EC"/>
    <w:rsid w:val="00EB7A8E"/>
    <w:rsid w:val="00EB7AD5"/>
    <w:rsid w:val="00EB7C53"/>
    <w:rsid w:val="00EB7DB4"/>
    <w:rsid w:val="00EB7E18"/>
    <w:rsid w:val="00EC00FA"/>
    <w:rsid w:val="00EC0314"/>
    <w:rsid w:val="00EC041E"/>
    <w:rsid w:val="00EC0A15"/>
    <w:rsid w:val="00EC0D40"/>
    <w:rsid w:val="00EC1011"/>
    <w:rsid w:val="00EC1398"/>
    <w:rsid w:val="00EC1DC1"/>
    <w:rsid w:val="00EC1EC0"/>
    <w:rsid w:val="00EC2070"/>
    <w:rsid w:val="00EC265F"/>
    <w:rsid w:val="00EC2BAB"/>
    <w:rsid w:val="00EC2CB8"/>
    <w:rsid w:val="00EC2EDF"/>
    <w:rsid w:val="00EC2F38"/>
    <w:rsid w:val="00EC3226"/>
    <w:rsid w:val="00EC3305"/>
    <w:rsid w:val="00EC3399"/>
    <w:rsid w:val="00EC3DB6"/>
    <w:rsid w:val="00EC3E79"/>
    <w:rsid w:val="00EC3FF4"/>
    <w:rsid w:val="00EC475C"/>
    <w:rsid w:val="00EC4AA5"/>
    <w:rsid w:val="00EC4D22"/>
    <w:rsid w:val="00EC4E05"/>
    <w:rsid w:val="00EC5507"/>
    <w:rsid w:val="00EC59FC"/>
    <w:rsid w:val="00EC5A3D"/>
    <w:rsid w:val="00EC5BA2"/>
    <w:rsid w:val="00EC627C"/>
    <w:rsid w:val="00EC64D5"/>
    <w:rsid w:val="00EC65C1"/>
    <w:rsid w:val="00EC69CF"/>
    <w:rsid w:val="00EC69D1"/>
    <w:rsid w:val="00EC6B0F"/>
    <w:rsid w:val="00EC6FD2"/>
    <w:rsid w:val="00EC721F"/>
    <w:rsid w:val="00EC759A"/>
    <w:rsid w:val="00EC767A"/>
    <w:rsid w:val="00EC7753"/>
    <w:rsid w:val="00EC7870"/>
    <w:rsid w:val="00EC799D"/>
    <w:rsid w:val="00EC7AAA"/>
    <w:rsid w:val="00EC7DB0"/>
    <w:rsid w:val="00EC7EDE"/>
    <w:rsid w:val="00EC7F82"/>
    <w:rsid w:val="00ED0180"/>
    <w:rsid w:val="00ED057B"/>
    <w:rsid w:val="00ED06E0"/>
    <w:rsid w:val="00ED0E1E"/>
    <w:rsid w:val="00ED0F64"/>
    <w:rsid w:val="00ED1106"/>
    <w:rsid w:val="00ED17B7"/>
    <w:rsid w:val="00ED1B96"/>
    <w:rsid w:val="00ED1C29"/>
    <w:rsid w:val="00ED2010"/>
    <w:rsid w:val="00ED2307"/>
    <w:rsid w:val="00ED2486"/>
    <w:rsid w:val="00ED2712"/>
    <w:rsid w:val="00ED2A43"/>
    <w:rsid w:val="00ED2CEE"/>
    <w:rsid w:val="00ED30FF"/>
    <w:rsid w:val="00ED3373"/>
    <w:rsid w:val="00ED3839"/>
    <w:rsid w:val="00ED39D9"/>
    <w:rsid w:val="00ED3CE1"/>
    <w:rsid w:val="00ED4275"/>
    <w:rsid w:val="00ED4579"/>
    <w:rsid w:val="00ED468C"/>
    <w:rsid w:val="00ED52D7"/>
    <w:rsid w:val="00ED5B56"/>
    <w:rsid w:val="00ED5BF9"/>
    <w:rsid w:val="00ED5E8F"/>
    <w:rsid w:val="00ED5E98"/>
    <w:rsid w:val="00ED64EB"/>
    <w:rsid w:val="00ED6985"/>
    <w:rsid w:val="00ED6CB1"/>
    <w:rsid w:val="00ED6D54"/>
    <w:rsid w:val="00ED70DF"/>
    <w:rsid w:val="00ED71F4"/>
    <w:rsid w:val="00ED74F6"/>
    <w:rsid w:val="00ED75DC"/>
    <w:rsid w:val="00ED78B3"/>
    <w:rsid w:val="00ED7AD8"/>
    <w:rsid w:val="00ED7BFA"/>
    <w:rsid w:val="00ED7D6D"/>
    <w:rsid w:val="00ED7F24"/>
    <w:rsid w:val="00EE013E"/>
    <w:rsid w:val="00EE0191"/>
    <w:rsid w:val="00EE02A2"/>
    <w:rsid w:val="00EE0309"/>
    <w:rsid w:val="00EE0354"/>
    <w:rsid w:val="00EE0854"/>
    <w:rsid w:val="00EE18A8"/>
    <w:rsid w:val="00EE1C4F"/>
    <w:rsid w:val="00EE1C60"/>
    <w:rsid w:val="00EE1EA8"/>
    <w:rsid w:val="00EE2075"/>
    <w:rsid w:val="00EE241F"/>
    <w:rsid w:val="00EE25D4"/>
    <w:rsid w:val="00EE2ABC"/>
    <w:rsid w:val="00EE2F70"/>
    <w:rsid w:val="00EE306D"/>
    <w:rsid w:val="00EE36A1"/>
    <w:rsid w:val="00EE373B"/>
    <w:rsid w:val="00EE3842"/>
    <w:rsid w:val="00EE3A39"/>
    <w:rsid w:val="00EE3D53"/>
    <w:rsid w:val="00EE4110"/>
    <w:rsid w:val="00EE4555"/>
    <w:rsid w:val="00EE4B86"/>
    <w:rsid w:val="00EE4C90"/>
    <w:rsid w:val="00EE4D7A"/>
    <w:rsid w:val="00EE4E0E"/>
    <w:rsid w:val="00EE4F7F"/>
    <w:rsid w:val="00EE4F93"/>
    <w:rsid w:val="00EE4FA8"/>
    <w:rsid w:val="00EE5105"/>
    <w:rsid w:val="00EE5EF3"/>
    <w:rsid w:val="00EE5FF3"/>
    <w:rsid w:val="00EE6269"/>
    <w:rsid w:val="00EE6381"/>
    <w:rsid w:val="00EE65D0"/>
    <w:rsid w:val="00EE67C0"/>
    <w:rsid w:val="00EE6E52"/>
    <w:rsid w:val="00EE6F55"/>
    <w:rsid w:val="00EE72BF"/>
    <w:rsid w:val="00EE7DE7"/>
    <w:rsid w:val="00EE7FA9"/>
    <w:rsid w:val="00EF01C5"/>
    <w:rsid w:val="00EF0300"/>
    <w:rsid w:val="00EF031F"/>
    <w:rsid w:val="00EF05DF"/>
    <w:rsid w:val="00EF09CE"/>
    <w:rsid w:val="00EF0A53"/>
    <w:rsid w:val="00EF0B05"/>
    <w:rsid w:val="00EF0B26"/>
    <w:rsid w:val="00EF0C78"/>
    <w:rsid w:val="00EF0FFB"/>
    <w:rsid w:val="00EF11A7"/>
    <w:rsid w:val="00EF13DB"/>
    <w:rsid w:val="00EF141A"/>
    <w:rsid w:val="00EF15FB"/>
    <w:rsid w:val="00EF160E"/>
    <w:rsid w:val="00EF1766"/>
    <w:rsid w:val="00EF1A8E"/>
    <w:rsid w:val="00EF1BC4"/>
    <w:rsid w:val="00EF1CEF"/>
    <w:rsid w:val="00EF1D50"/>
    <w:rsid w:val="00EF1DFA"/>
    <w:rsid w:val="00EF2518"/>
    <w:rsid w:val="00EF251A"/>
    <w:rsid w:val="00EF2527"/>
    <w:rsid w:val="00EF263D"/>
    <w:rsid w:val="00EF267D"/>
    <w:rsid w:val="00EF2EAE"/>
    <w:rsid w:val="00EF3213"/>
    <w:rsid w:val="00EF36D5"/>
    <w:rsid w:val="00EF4074"/>
    <w:rsid w:val="00EF415A"/>
    <w:rsid w:val="00EF42ED"/>
    <w:rsid w:val="00EF4452"/>
    <w:rsid w:val="00EF487C"/>
    <w:rsid w:val="00EF4936"/>
    <w:rsid w:val="00EF4A31"/>
    <w:rsid w:val="00EF4A85"/>
    <w:rsid w:val="00EF4CE3"/>
    <w:rsid w:val="00EF4E93"/>
    <w:rsid w:val="00EF54A3"/>
    <w:rsid w:val="00EF56C3"/>
    <w:rsid w:val="00EF599A"/>
    <w:rsid w:val="00EF5EEF"/>
    <w:rsid w:val="00EF6CFF"/>
    <w:rsid w:val="00EF6FA7"/>
    <w:rsid w:val="00EF735B"/>
    <w:rsid w:val="00EF76FC"/>
    <w:rsid w:val="00EF790F"/>
    <w:rsid w:val="00EF7AB8"/>
    <w:rsid w:val="00F00064"/>
    <w:rsid w:val="00F0079C"/>
    <w:rsid w:val="00F00A17"/>
    <w:rsid w:val="00F00C9A"/>
    <w:rsid w:val="00F01621"/>
    <w:rsid w:val="00F021D4"/>
    <w:rsid w:val="00F02314"/>
    <w:rsid w:val="00F02830"/>
    <w:rsid w:val="00F02A4D"/>
    <w:rsid w:val="00F02FC5"/>
    <w:rsid w:val="00F0313D"/>
    <w:rsid w:val="00F034EF"/>
    <w:rsid w:val="00F0360A"/>
    <w:rsid w:val="00F037EA"/>
    <w:rsid w:val="00F03879"/>
    <w:rsid w:val="00F04814"/>
    <w:rsid w:val="00F053C5"/>
    <w:rsid w:val="00F0559A"/>
    <w:rsid w:val="00F05E7B"/>
    <w:rsid w:val="00F05FF9"/>
    <w:rsid w:val="00F060F9"/>
    <w:rsid w:val="00F0636E"/>
    <w:rsid w:val="00F0687C"/>
    <w:rsid w:val="00F06DF3"/>
    <w:rsid w:val="00F0715B"/>
    <w:rsid w:val="00F07274"/>
    <w:rsid w:val="00F07781"/>
    <w:rsid w:val="00F07A0F"/>
    <w:rsid w:val="00F100F0"/>
    <w:rsid w:val="00F104FD"/>
    <w:rsid w:val="00F10901"/>
    <w:rsid w:val="00F10A55"/>
    <w:rsid w:val="00F10CCD"/>
    <w:rsid w:val="00F10CFC"/>
    <w:rsid w:val="00F11087"/>
    <w:rsid w:val="00F110D8"/>
    <w:rsid w:val="00F114A5"/>
    <w:rsid w:val="00F114EF"/>
    <w:rsid w:val="00F11671"/>
    <w:rsid w:val="00F1184F"/>
    <w:rsid w:val="00F11950"/>
    <w:rsid w:val="00F11ACD"/>
    <w:rsid w:val="00F11F0F"/>
    <w:rsid w:val="00F128AC"/>
    <w:rsid w:val="00F129DF"/>
    <w:rsid w:val="00F12ADB"/>
    <w:rsid w:val="00F12ED3"/>
    <w:rsid w:val="00F12EE1"/>
    <w:rsid w:val="00F132ED"/>
    <w:rsid w:val="00F1354A"/>
    <w:rsid w:val="00F138E3"/>
    <w:rsid w:val="00F13A42"/>
    <w:rsid w:val="00F13B65"/>
    <w:rsid w:val="00F13F3C"/>
    <w:rsid w:val="00F14704"/>
    <w:rsid w:val="00F14D0E"/>
    <w:rsid w:val="00F14D72"/>
    <w:rsid w:val="00F14E55"/>
    <w:rsid w:val="00F156A2"/>
    <w:rsid w:val="00F15A19"/>
    <w:rsid w:val="00F15A60"/>
    <w:rsid w:val="00F15BEF"/>
    <w:rsid w:val="00F15EFC"/>
    <w:rsid w:val="00F15FFA"/>
    <w:rsid w:val="00F1651D"/>
    <w:rsid w:val="00F166B2"/>
    <w:rsid w:val="00F16856"/>
    <w:rsid w:val="00F16B72"/>
    <w:rsid w:val="00F16E27"/>
    <w:rsid w:val="00F16F7C"/>
    <w:rsid w:val="00F1726D"/>
    <w:rsid w:val="00F174DF"/>
    <w:rsid w:val="00F175D4"/>
    <w:rsid w:val="00F1766B"/>
    <w:rsid w:val="00F2000E"/>
    <w:rsid w:val="00F20161"/>
    <w:rsid w:val="00F20380"/>
    <w:rsid w:val="00F207CD"/>
    <w:rsid w:val="00F20A7C"/>
    <w:rsid w:val="00F20C41"/>
    <w:rsid w:val="00F20EEA"/>
    <w:rsid w:val="00F211F2"/>
    <w:rsid w:val="00F212C1"/>
    <w:rsid w:val="00F212FF"/>
    <w:rsid w:val="00F216BA"/>
    <w:rsid w:val="00F21B25"/>
    <w:rsid w:val="00F21D43"/>
    <w:rsid w:val="00F22578"/>
    <w:rsid w:val="00F226A6"/>
    <w:rsid w:val="00F22B93"/>
    <w:rsid w:val="00F22E63"/>
    <w:rsid w:val="00F22F37"/>
    <w:rsid w:val="00F22F4B"/>
    <w:rsid w:val="00F23030"/>
    <w:rsid w:val="00F236A9"/>
    <w:rsid w:val="00F23977"/>
    <w:rsid w:val="00F23C60"/>
    <w:rsid w:val="00F24033"/>
    <w:rsid w:val="00F241FD"/>
    <w:rsid w:val="00F247FA"/>
    <w:rsid w:val="00F24AF0"/>
    <w:rsid w:val="00F24BDD"/>
    <w:rsid w:val="00F24DD1"/>
    <w:rsid w:val="00F24E8D"/>
    <w:rsid w:val="00F24EB7"/>
    <w:rsid w:val="00F24F41"/>
    <w:rsid w:val="00F25580"/>
    <w:rsid w:val="00F2559A"/>
    <w:rsid w:val="00F257C9"/>
    <w:rsid w:val="00F26349"/>
    <w:rsid w:val="00F263B1"/>
    <w:rsid w:val="00F26503"/>
    <w:rsid w:val="00F26AF6"/>
    <w:rsid w:val="00F26C7A"/>
    <w:rsid w:val="00F26D3C"/>
    <w:rsid w:val="00F2705C"/>
    <w:rsid w:val="00F274A0"/>
    <w:rsid w:val="00F27650"/>
    <w:rsid w:val="00F278BE"/>
    <w:rsid w:val="00F2799F"/>
    <w:rsid w:val="00F27AA4"/>
    <w:rsid w:val="00F27BBF"/>
    <w:rsid w:val="00F27CFE"/>
    <w:rsid w:val="00F27E73"/>
    <w:rsid w:val="00F27E7E"/>
    <w:rsid w:val="00F30245"/>
    <w:rsid w:val="00F304A0"/>
    <w:rsid w:val="00F3083A"/>
    <w:rsid w:val="00F30929"/>
    <w:rsid w:val="00F30AF2"/>
    <w:rsid w:val="00F31206"/>
    <w:rsid w:val="00F31947"/>
    <w:rsid w:val="00F32150"/>
    <w:rsid w:val="00F32429"/>
    <w:rsid w:val="00F326C0"/>
    <w:rsid w:val="00F32A28"/>
    <w:rsid w:val="00F32DEF"/>
    <w:rsid w:val="00F32EE6"/>
    <w:rsid w:val="00F33047"/>
    <w:rsid w:val="00F33696"/>
    <w:rsid w:val="00F33C43"/>
    <w:rsid w:val="00F33DAE"/>
    <w:rsid w:val="00F33ECB"/>
    <w:rsid w:val="00F3408A"/>
    <w:rsid w:val="00F34221"/>
    <w:rsid w:val="00F343A3"/>
    <w:rsid w:val="00F34DE0"/>
    <w:rsid w:val="00F34E23"/>
    <w:rsid w:val="00F351B3"/>
    <w:rsid w:val="00F3636D"/>
    <w:rsid w:val="00F36420"/>
    <w:rsid w:val="00F36553"/>
    <w:rsid w:val="00F36793"/>
    <w:rsid w:val="00F3691D"/>
    <w:rsid w:val="00F370FE"/>
    <w:rsid w:val="00F37634"/>
    <w:rsid w:val="00F3765D"/>
    <w:rsid w:val="00F37974"/>
    <w:rsid w:val="00F3799D"/>
    <w:rsid w:val="00F37B9D"/>
    <w:rsid w:val="00F37C4F"/>
    <w:rsid w:val="00F37C79"/>
    <w:rsid w:val="00F37E24"/>
    <w:rsid w:val="00F4044C"/>
    <w:rsid w:val="00F40639"/>
    <w:rsid w:val="00F409B3"/>
    <w:rsid w:val="00F40F6F"/>
    <w:rsid w:val="00F4154C"/>
    <w:rsid w:val="00F41B95"/>
    <w:rsid w:val="00F42AF1"/>
    <w:rsid w:val="00F42CC8"/>
    <w:rsid w:val="00F42F23"/>
    <w:rsid w:val="00F4309B"/>
    <w:rsid w:val="00F430AF"/>
    <w:rsid w:val="00F432C8"/>
    <w:rsid w:val="00F4354C"/>
    <w:rsid w:val="00F43741"/>
    <w:rsid w:val="00F43BBA"/>
    <w:rsid w:val="00F44A54"/>
    <w:rsid w:val="00F44B47"/>
    <w:rsid w:val="00F44D52"/>
    <w:rsid w:val="00F45171"/>
    <w:rsid w:val="00F452FC"/>
    <w:rsid w:val="00F4540C"/>
    <w:rsid w:val="00F454A4"/>
    <w:rsid w:val="00F455B9"/>
    <w:rsid w:val="00F45F9F"/>
    <w:rsid w:val="00F460F9"/>
    <w:rsid w:val="00F46615"/>
    <w:rsid w:val="00F46662"/>
    <w:rsid w:val="00F46F6D"/>
    <w:rsid w:val="00F47131"/>
    <w:rsid w:val="00F47207"/>
    <w:rsid w:val="00F4729C"/>
    <w:rsid w:val="00F47576"/>
    <w:rsid w:val="00F475BB"/>
    <w:rsid w:val="00F476BF"/>
    <w:rsid w:val="00F476DF"/>
    <w:rsid w:val="00F47877"/>
    <w:rsid w:val="00F47968"/>
    <w:rsid w:val="00F47ACC"/>
    <w:rsid w:val="00F50284"/>
    <w:rsid w:val="00F503FD"/>
    <w:rsid w:val="00F50B69"/>
    <w:rsid w:val="00F50F3C"/>
    <w:rsid w:val="00F51049"/>
    <w:rsid w:val="00F5106F"/>
    <w:rsid w:val="00F5185A"/>
    <w:rsid w:val="00F51AFF"/>
    <w:rsid w:val="00F521D6"/>
    <w:rsid w:val="00F52253"/>
    <w:rsid w:val="00F52425"/>
    <w:rsid w:val="00F52938"/>
    <w:rsid w:val="00F52A34"/>
    <w:rsid w:val="00F52B1D"/>
    <w:rsid w:val="00F52ED1"/>
    <w:rsid w:val="00F530B7"/>
    <w:rsid w:val="00F53264"/>
    <w:rsid w:val="00F532FF"/>
    <w:rsid w:val="00F53395"/>
    <w:rsid w:val="00F535E1"/>
    <w:rsid w:val="00F539BD"/>
    <w:rsid w:val="00F53EFE"/>
    <w:rsid w:val="00F53FD3"/>
    <w:rsid w:val="00F54069"/>
    <w:rsid w:val="00F5439B"/>
    <w:rsid w:val="00F54758"/>
    <w:rsid w:val="00F54826"/>
    <w:rsid w:val="00F54848"/>
    <w:rsid w:val="00F5488B"/>
    <w:rsid w:val="00F548D4"/>
    <w:rsid w:val="00F548F0"/>
    <w:rsid w:val="00F549B0"/>
    <w:rsid w:val="00F54AF7"/>
    <w:rsid w:val="00F54C65"/>
    <w:rsid w:val="00F54E50"/>
    <w:rsid w:val="00F5524F"/>
    <w:rsid w:val="00F55355"/>
    <w:rsid w:val="00F553C8"/>
    <w:rsid w:val="00F55511"/>
    <w:rsid w:val="00F5576B"/>
    <w:rsid w:val="00F55F76"/>
    <w:rsid w:val="00F5649B"/>
    <w:rsid w:val="00F5668C"/>
    <w:rsid w:val="00F56739"/>
    <w:rsid w:val="00F567E9"/>
    <w:rsid w:val="00F56A1C"/>
    <w:rsid w:val="00F56B4B"/>
    <w:rsid w:val="00F57320"/>
    <w:rsid w:val="00F574C0"/>
    <w:rsid w:val="00F57992"/>
    <w:rsid w:val="00F57AFD"/>
    <w:rsid w:val="00F57B80"/>
    <w:rsid w:val="00F60190"/>
    <w:rsid w:val="00F60615"/>
    <w:rsid w:val="00F60683"/>
    <w:rsid w:val="00F6098C"/>
    <w:rsid w:val="00F60D68"/>
    <w:rsid w:val="00F61520"/>
    <w:rsid w:val="00F61AFB"/>
    <w:rsid w:val="00F61D02"/>
    <w:rsid w:val="00F61DB5"/>
    <w:rsid w:val="00F621E7"/>
    <w:rsid w:val="00F62272"/>
    <w:rsid w:val="00F6294A"/>
    <w:rsid w:val="00F629EF"/>
    <w:rsid w:val="00F62A1B"/>
    <w:rsid w:val="00F62ADB"/>
    <w:rsid w:val="00F62B7A"/>
    <w:rsid w:val="00F63025"/>
    <w:rsid w:val="00F635AC"/>
    <w:rsid w:val="00F63D61"/>
    <w:rsid w:val="00F642E6"/>
    <w:rsid w:val="00F64588"/>
    <w:rsid w:val="00F64A0D"/>
    <w:rsid w:val="00F64B9D"/>
    <w:rsid w:val="00F64BDC"/>
    <w:rsid w:val="00F656EC"/>
    <w:rsid w:val="00F65723"/>
    <w:rsid w:val="00F659B0"/>
    <w:rsid w:val="00F659E6"/>
    <w:rsid w:val="00F65A06"/>
    <w:rsid w:val="00F65AD1"/>
    <w:rsid w:val="00F65C2A"/>
    <w:rsid w:val="00F65CCF"/>
    <w:rsid w:val="00F65E67"/>
    <w:rsid w:val="00F65E95"/>
    <w:rsid w:val="00F65EBB"/>
    <w:rsid w:val="00F669B7"/>
    <w:rsid w:val="00F669F6"/>
    <w:rsid w:val="00F66A22"/>
    <w:rsid w:val="00F66BB6"/>
    <w:rsid w:val="00F66E32"/>
    <w:rsid w:val="00F66E38"/>
    <w:rsid w:val="00F67301"/>
    <w:rsid w:val="00F673EA"/>
    <w:rsid w:val="00F67434"/>
    <w:rsid w:val="00F6773E"/>
    <w:rsid w:val="00F678BF"/>
    <w:rsid w:val="00F67BA0"/>
    <w:rsid w:val="00F67C26"/>
    <w:rsid w:val="00F67FF2"/>
    <w:rsid w:val="00F706C9"/>
    <w:rsid w:val="00F70E1F"/>
    <w:rsid w:val="00F70EA2"/>
    <w:rsid w:val="00F70F87"/>
    <w:rsid w:val="00F71084"/>
    <w:rsid w:val="00F71455"/>
    <w:rsid w:val="00F71949"/>
    <w:rsid w:val="00F71A16"/>
    <w:rsid w:val="00F71BE0"/>
    <w:rsid w:val="00F7209D"/>
    <w:rsid w:val="00F721FE"/>
    <w:rsid w:val="00F72240"/>
    <w:rsid w:val="00F723BA"/>
    <w:rsid w:val="00F72687"/>
    <w:rsid w:val="00F72697"/>
    <w:rsid w:val="00F7289D"/>
    <w:rsid w:val="00F72EF0"/>
    <w:rsid w:val="00F731B3"/>
    <w:rsid w:val="00F73489"/>
    <w:rsid w:val="00F739C2"/>
    <w:rsid w:val="00F73D15"/>
    <w:rsid w:val="00F74175"/>
    <w:rsid w:val="00F74276"/>
    <w:rsid w:val="00F748EB"/>
    <w:rsid w:val="00F749EB"/>
    <w:rsid w:val="00F74BF3"/>
    <w:rsid w:val="00F74F23"/>
    <w:rsid w:val="00F75097"/>
    <w:rsid w:val="00F75214"/>
    <w:rsid w:val="00F7561F"/>
    <w:rsid w:val="00F756DE"/>
    <w:rsid w:val="00F75707"/>
    <w:rsid w:val="00F757A4"/>
    <w:rsid w:val="00F758D2"/>
    <w:rsid w:val="00F75D6A"/>
    <w:rsid w:val="00F75ED5"/>
    <w:rsid w:val="00F75F37"/>
    <w:rsid w:val="00F762DF"/>
    <w:rsid w:val="00F76792"/>
    <w:rsid w:val="00F768B8"/>
    <w:rsid w:val="00F769D4"/>
    <w:rsid w:val="00F76B4A"/>
    <w:rsid w:val="00F76C93"/>
    <w:rsid w:val="00F76CD5"/>
    <w:rsid w:val="00F76CE8"/>
    <w:rsid w:val="00F77293"/>
    <w:rsid w:val="00F773BB"/>
    <w:rsid w:val="00F77584"/>
    <w:rsid w:val="00F777A6"/>
    <w:rsid w:val="00F7781C"/>
    <w:rsid w:val="00F778C6"/>
    <w:rsid w:val="00F77C05"/>
    <w:rsid w:val="00F77C5B"/>
    <w:rsid w:val="00F77EC4"/>
    <w:rsid w:val="00F77EDF"/>
    <w:rsid w:val="00F77EE0"/>
    <w:rsid w:val="00F77F69"/>
    <w:rsid w:val="00F8000E"/>
    <w:rsid w:val="00F801C5"/>
    <w:rsid w:val="00F80555"/>
    <w:rsid w:val="00F81002"/>
    <w:rsid w:val="00F8125B"/>
    <w:rsid w:val="00F813E2"/>
    <w:rsid w:val="00F81781"/>
    <w:rsid w:val="00F818D7"/>
    <w:rsid w:val="00F81BCE"/>
    <w:rsid w:val="00F81EC2"/>
    <w:rsid w:val="00F82325"/>
    <w:rsid w:val="00F8253F"/>
    <w:rsid w:val="00F82628"/>
    <w:rsid w:val="00F829D9"/>
    <w:rsid w:val="00F82BE9"/>
    <w:rsid w:val="00F82CC2"/>
    <w:rsid w:val="00F82DB8"/>
    <w:rsid w:val="00F82FE6"/>
    <w:rsid w:val="00F8315E"/>
    <w:rsid w:val="00F83550"/>
    <w:rsid w:val="00F836DE"/>
    <w:rsid w:val="00F839B5"/>
    <w:rsid w:val="00F83BBF"/>
    <w:rsid w:val="00F83C68"/>
    <w:rsid w:val="00F83F28"/>
    <w:rsid w:val="00F83FC0"/>
    <w:rsid w:val="00F84169"/>
    <w:rsid w:val="00F843CA"/>
    <w:rsid w:val="00F84413"/>
    <w:rsid w:val="00F84A05"/>
    <w:rsid w:val="00F84B46"/>
    <w:rsid w:val="00F84B8B"/>
    <w:rsid w:val="00F85041"/>
    <w:rsid w:val="00F85277"/>
    <w:rsid w:val="00F8527B"/>
    <w:rsid w:val="00F85286"/>
    <w:rsid w:val="00F85DAB"/>
    <w:rsid w:val="00F86253"/>
    <w:rsid w:val="00F8661C"/>
    <w:rsid w:val="00F86C03"/>
    <w:rsid w:val="00F87100"/>
    <w:rsid w:val="00F8710B"/>
    <w:rsid w:val="00F877BD"/>
    <w:rsid w:val="00F90A72"/>
    <w:rsid w:val="00F90C71"/>
    <w:rsid w:val="00F91533"/>
    <w:rsid w:val="00F915CA"/>
    <w:rsid w:val="00F91BB1"/>
    <w:rsid w:val="00F91C5C"/>
    <w:rsid w:val="00F91C63"/>
    <w:rsid w:val="00F9233A"/>
    <w:rsid w:val="00F92D80"/>
    <w:rsid w:val="00F93598"/>
    <w:rsid w:val="00F935CE"/>
    <w:rsid w:val="00F93C89"/>
    <w:rsid w:val="00F93F56"/>
    <w:rsid w:val="00F94318"/>
    <w:rsid w:val="00F944C5"/>
    <w:rsid w:val="00F944E1"/>
    <w:rsid w:val="00F94951"/>
    <w:rsid w:val="00F949B1"/>
    <w:rsid w:val="00F94D20"/>
    <w:rsid w:val="00F9502D"/>
    <w:rsid w:val="00F95357"/>
    <w:rsid w:val="00F953BE"/>
    <w:rsid w:val="00F95509"/>
    <w:rsid w:val="00F958B2"/>
    <w:rsid w:val="00F96399"/>
    <w:rsid w:val="00F9682F"/>
    <w:rsid w:val="00F968BD"/>
    <w:rsid w:val="00F96BB4"/>
    <w:rsid w:val="00F96BFB"/>
    <w:rsid w:val="00F96EFB"/>
    <w:rsid w:val="00F9715B"/>
    <w:rsid w:val="00F97374"/>
    <w:rsid w:val="00F97C60"/>
    <w:rsid w:val="00FA0267"/>
    <w:rsid w:val="00FA0506"/>
    <w:rsid w:val="00FA0599"/>
    <w:rsid w:val="00FA06E5"/>
    <w:rsid w:val="00FA0AF2"/>
    <w:rsid w:val="00FA0F64"/>
    <w:rsid w:val="00FA0FFF"/>
    <w:rsid w:val="00FA1290"/>
    <w:rsid w:val="00FA139E"/>
    <w:rsid w:val="00FA13AC"/>
    <w:rsid w:val="00FA155A"/>
    <w:rsid w:val="00FA19BD"/>
    <w:rsid w:val="00FA1D0E"/>
    <w:rsid w:val="00FA2172"/>
    <w:rsid w:val="00FA2917"/>
    <w:rsid w:val="00FA2A49"/>
    <w:rsid w:val="00FA2E75"/>
    <w:rsid w:val="00FA34A4"/>
    <w:rsid w:val="00FA3514"/>
    <w:rsid w:val="00FA45F5"/>
    <w:rsid w:val="00FA4AE2"/>
    <w:rsid w:val="00FA4CFA"/>
    <w:rsid w:val="00FA4D3D"/>
    <w:rsid w:val="00FA4E37"/>
    <w:rsid w:val="00FA51BE"/>
    <w:rsid w:val="00FA5581"/>
    <w:rsid w:val="00FA6050"/>
    <w:rsid w:val="00FA63D2"/>
    <w:rsid w:val="00FA682A"/>
    <w:rsid w:val="00FA6D62"/>
    <w:rsid w:val="00FA7590"/>
    <w:rsid w:val="00FA77F1"/>
    <w:rsid w:val="00FA78F7"/>
    <w:rsid w:val="00FA7AB5"/>
    <w:rsid w:val="00FB026F"/>
    <w:rsid w:val="00FB02EB"/>
    <w:rsid w:val="00FB04E0"/>
    <w:rsid w:val="00FB0984"/>
    <w:rsid w:val="00FB14F4"/>
    <w:rsid w:val="00FB1780"/>
    <w:rsid w:val="00FB18B4"/>
    <w:rsid w:val="00FB19E1"/>
    <w:rsid w:val="00FB1B73"/>
    <w:rsid w:val="00FB1D4B"/>
    <w:rsid w:val="00FB1D74"/>
    <w:rsid w:val="00FB1DFF"/>
    <w:rsid w:val="00FB26BA"/>
    <w:rsid w:val="00FB28D4"/>
    <w:rsid w:val="00FB28E8"/>
    <w:rsid w:val="00FB2EE4"/>
    <w:rsid w:val="00FB331C"/>
    <w:rsid w:val="00FB34F4"/>
    <w:rsid w:val="00FB3681"/>
    <w:rsid w:val="00FB3A79"/>
    <w:rsid w:val="00FB3F45"/>
    <w:rsid w:val="00FB406D"/>
    <w:rsid w:val="00FB428C"/>
    <w:rsid w:val="00FB44DE"/>
    <w:rsid w:val="00FB45D6"/>
    <w:rsid w:val="00FB47A1"/>
    <w:rsid w:val="00FB4D06"/>
    <w:rsid w:val="00FB4F35"/>
    <w:rsid w:val="00FB4F61"/>
    <w:rsid w:val="00FB5031"/>
    <w:rsid w:val="00FB52A8"/>
    <w:rsid w:val="00FB52E8"/>
    <w:rsid w:val="00FB5604"/>
    <w:rsid w:val="00FB5ACC"/>
    <w:rsid w:val="00FB5BA6"/>
    <w:rsid w:val="00FB5BC5"/>
    <w:rsid w:val="00FB66D9"/>
    <w:rsid w:val="00FB67A5"/>
    <w:rsid w:val="00FB6905"/>
    <w:rsid w:val="00FB69F5"/>
    <w:rsid w:val="00FB6BA7"/>
    <w:rsid w:val="00FB6C34"/>
    <w:rsid w:val="00FB7283"/>
    <w:rsid w:val="00FB7520"/>
    <w:rsid w:val="00FB757F"/>
    <w:rsid w:val="00FB7604"/>
    <w:rsid w:val="00FB763C"/>
    <w:rsid w:val="00FB76DD"/>
    <w:rsid w:val="00FB7E10"/>
    <w:rsid w:val="00FC0031"/>
    <w:rsid w:val="00FC009D"/>
    <w:rsid w:val="00FC01EE"/>
    <w:rsid w:val="00FC02FD"/>
    <w:rsid w:val="00FC03B8"/>
    <w:rsid w:val="00FC08DC"/>
    <w:rsid w:val="00FC0F57"/>
    <w:rsid w:val="00FC0F59"/>
    <w:rsid w:val="00FC0FEC"/>
    <w:rsid w:val="00FC1137"/>
    <w:rsid w:val="00FC13BA"/>
    <w:rsid w:val="00FC1FC8"/>
    <w:rsid w:val="00FC2146"/>
    <w:rsid w:val="00FC23D3"/>
    <w:rsid w:val="00FC25A8"/>
    <w:rsid w:val="00FC2C0A"/>
    <w:rsid w:val="00FC2CC4"/>
    <w:rsid w:val="00FC2F67"/>
    <w:rsid w:val="00FC3112"/>
    <w:rsid w:val="00FC3160"/>
    <w:rsid w:val="00FC3199"/>
    <w:rsid w:val="00FC33E5"/>
    <w:rsid w:val="00FC346C"/>
    <w:rsid w:val="00FC3707"/>
    <w:rsid w:val="00FC393C"/>
    <w:rsid w:val="00FC3A53"/>
    <w:rsid w:val="00FC3DC5"/>
    <w:rsid w:val="00FC42CB"/>
    <w:rsid w:val="00FC435B"/>
    <w:rsid w:val="00FC4392"/>
    <w:rsid w:val="00FC45D1"/>
    <w:rsid w:val="00FC46CE"/>
    <w:rsid w:val="00FC46F8"/>
    <w:rsid w:val="00FC498E"/>
    <w:rsid w:val="00FC49EC"/>
    <w:rsid w:val="00FC4CBD"/>
    <w:rsid w:val="00FC4D0E"/>
    <w:rsid w:val="00FC50F3"/>
    <w:rsid w:val="00FC52B4"/>
    <w:rsid w:val="00FC5538"/>
    <w:rsid w:val="00FC575F"/>
    <w:rsid w:val="00FC5774"/>
    <w:rsid w:val="00FC586F"/>
    <w:rsid w:val="00FC5D80"/>
    <w:rsid w:val="00FC5E4A"/>
    <w:rsid w:val="00FC6180"/>
    <w:rsid w:val="00FC61DA"/>
    <w:rsid w:val="00FC62B1"/>
    <w:rsid w:val="00FC637F"/>
    <w:rsid w:val="00FC6516"/>
    <w:rsid w:val="00FC6535"/>
    <w:rsid w:val="00FC65E2"/>
    <w:rsid w:val="00FC6641"/>
    <w:rsid w:val="00FC68C7"/>
    <w:rsid w:val="00FC6A1F"/>
    <w:rsid w:val="00FD022F"/>
    <w:rsid w:val="00FD02A1"/>
    <w:rsid w:val="00FD0A27"/>
    <w:rsid w:val="00FD0BDF"/>
    <w:rsid w:val="00FD0C97"/>
    <w:rsid w:val="00FD0CC7"/>
    <w:rsid w:val="00FD0DE2"/>
    <w:rsid w:val="00FD1367"/>
    <w:rsid w:val="00FD13BA"/>
    <w:rsid w:val="00FD1544"/>
    <w:rsid w:val="00FD173F"/>
    <w:rsid w:val="00FD1806"/>
    <w:rsid w:val="00FD1C5D"/>
    <w:rsid w:val="00FD2048"/>
    <w:rsid w:val="00FD2200"/>
    <w:rsid w:val="00FD25F9"/>
    <w:rsid w:val="00FD26BC"/>
    <w:rsid w:val="00FD3D16"/>
    <w:rsid w:val="00FD3D4D"/>
    <w:rsid w:val="00FD43FC"/>
    <w:rsid w:val="00FD4571"/>
    <w:rsid w:val="00FD4B72"/>
    <w:rsid w:val="00FD5515"/>
    <w:rsid w:val="00FD58CC"/>
    <w:rsid w:val="00FD5CBC"/>
    <w:rsid w:val="00FD6346"/>
    <w:rsid w:val="00FD637D"/>
    <w:rsid w:val="00FD6D6B"/>
    <w:rsid w:val="00FD7052"/>
    <w:rsid w:val="00FD7166"/>
    <w:rsid w:val="00FD72EC"/>
    <w:rsid w:val="00FD74DA"/>
    <w:rsid w:val="00FD7FC6"/>
    <w:rsid w:val="00FE02CF"/>
    <w:rsid w:val="00FE06A5"/>
    <w:rsid w:val="00FE088A"/>
    <w:rsid w:val="00FE0B6C"/>
    <w:rsid w:val="00FE1012"/>
    <w:rsid w:val="00FE105B"/>
    <w:rsid w:val="00FE15D7"/>
    <w:rsid w:val="00FE1AF4"/>
    <w:rsid w:val="00FE2192"/>
    <w:rsid w:val="00FE265E"/>
    <w:rsid w:val="00FE26EE"/>
    <w:rsid w:val="00FE2CA9"/>
    <w:rsid w:val="00FE30C0"/>
    <w:rsid w:val="00FE32B9"/>
    <w:rsid w:val="00FE37F7"/>
    <w:rsid w:val="00FE38D0"/>
    <w:rsid w:val="00FE3ADD"/>
    <w:rsid w:val="00FE41CC"/>
    <w:rsid w:val="00FE41F4"/>
    <w:rsid w:val="00FE430D"/>
    <w:rsid w:val="00FE4313"/>
    <w:rsid w:val="00FE459D"/>
    <w:rsid w:val="00FE4654"/>
    <w:rsid w:val="00FE47BC"/>
    <w:rsid w:val="00FE4ADE"/>
    <w:rsid w:val="00FE4B26"/>
    <w:rsid w:val="00FE4BD0"/>
    <w:rsid w:val="00FE4DC2"/>
    <w:rsid w:val="00FE51E6"/>
    <w:rsid w:val="00FE552B"/>
    <w:rsid w:val="00FE571D"/>
    <w:rsid w:val="00FE5FB2"/>
    <w:rsid w:val="00FE6098"/>
    <w:rsid w:val="00FE60ED"/>
    <w:rsid w:val="00FE65DB"/>
    <w:rsid w:val="00FE6878"/>
    <w:rsid w:val="00FE6DEA"/>
    <w:rsid w:val="00FE74AF"/>
    <w:rsid w:val="00FE7833"/>
    <w:rsid w:val="00FE7C22"/>
    <w:rsid w:val="00FE7F1F"/>
    <w:rsid w:val="00FF00F9"/>
    <w:rsid w:val="00FF052B"/>
    <w:rsid w:val="00FF05AC"/>
    <w:rsid w:val="00FF068B"/>
    <w:rsid w:val="00FF0696"/>
    <w:rsid w:val="00FF06EA"/>
    <w:rsid w:val="00FF0A8D"/>
    <w:rsid w:val="00FF1107"/>
    <w:rsid w:val="00FF1B8F"/>
    <w:rsid w:val="00FF1EAC"/>
    <w:rsid w:val="00FF1F66"/>
    <w:rsid w:val="00FF2778"/>
    <w:rsid w:val="00FF28BA"/>
    <w:rsid w:val="00FF302F"/>
    <w:rsid w:val="00FF30F1"/>
    <w:rsid w:val="00FF3116"/>
    <w:rsid w:val="00FF376C"/>
    <w:rsid w:val="00FF37EC"/>
    <w:rsid w:val="00FF396C"/>
    <w:rsid w:val="00FF39CB"/>
    <w:rsid w:val="00FF3F52"/>
    <w:rsid w:val="00FF4173"/>
    <w:rsid w:val="00FF42AF"/>
    <w:rsid w:val="00FF44DE"/>
    <w:rsid w:val="00FF4579"/>
    <w:rsid w:val="00FF4902"/>
    <w:rsid w:val="00FF4C94"/>
    <w:rsid w:val="00FF5676"/>
    <w:rsid w:val="00FF5959"/>
    <w:rsid w:val="00FF5BE0"/>
    <w:rsid w:val="00FF5C50"/>
    <w:rsid w:val="00FF5DF9"/>
    <w:rsid w:val="00FF648F"/>
    <w:rsid w:val="00FF68D7"/>
    <w:rsid w:val="00FF695D"/>
    <w:rsid w:val="00FF6D98"/>
    <w:rsid w:val="00FF6F9E"/>
    <w:rsid w:val="00FF714F"/>
    <w:rsid w:val="00FF7500"/>
    <w:rsid w:val="00FF751A"/>
    <w:rsid w:val="00FF7537"/>
    <w:rsid w:val="00FF794B"/>
    <w:rsid w:val="00FF7C70"/>
    <w:rsid w:val="00FF7D28"/>
    <w:rsid w:val="00FF7F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8F08"/>
  <w15:docId w15:val="{1E23FF46-E4EC-43B1-84C1-03FC637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FA"/>
    <w:pPr>
      <w:spacing w:after="240" w:line="360" w:lineRule="auto"/>
    </w:pPr>
  </w:style>
  <w:style w:type="paragraph" w:styleId="Heading1">
    <w:name w:val="heading 1"/>
    <w:basedOn w:val="Normal"/>
    <w:next w:val="Normal"/>
    <w:link w:val="Heading1Char"/>
    <w:uiPriority w:val="9"/>
    <w:qFormat/>
    <w:rsid w:val="00D55BAF"/>
    <w:pPr>
      <w:tabs>
        <w:tab w:val="center" w:pos="4680"/>
        <w:tab w:val="right" w:pos="9360"/>
      </w:tabs>
      <w:spacing w:before="480" w:after="0"/>
      <w:contextualSpacing/>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D55BAF"/>
    <w:pPr>
      <w:tabs>
        <w:tab w:val="right" w:pos="9360"/>
      </w:tabs>
      <w:spacing w:before="200" w:after="120" w:line="480" w:lineRule="auto"/>
      <w:outlineLvl w:val="1"/>
    </w:pPr>
    <w:rPr>
      <w:rFonts w:eastAsiaTheme="majorEastAsia" w:cstheme="minorHAnsi"/>
      <w:b/>
      <w:bCs/>
      <w:sz w:val="26"/>
      <w:szCs w:val="26"/>
    </w:rPr>
  </w:style>
  <w:style w:type="paragraph" w:styleId="Heading3">
    <w:name w:val="heading 3"/>
    <w:basedOn w:val="Normal"/>
    <w:next w:val="Normal"/>
    <w:link w:val="Heading3Char"/>
    <w:uiPriority w:val="9"/>
    <w:unhideWhenUsed/>
    <w:qFormat/>
    <w:rsid w:val="00D55BAF"/>
    <w:pPr>
      <w:spacing w:before="120" w:after="120" w:line="480" w:lineRule="auto"/>
      <w:outlineLvl w:val="2"/>
    </w:pPr>
    <w:rPr>
      <w:rFonts w:eastAsiaTheme="majorEastAsia" w:cstheme="minorHAnsi"/>
      <w:b/>
      <w:bCs/>
    </w:rPr>
  </w:style>
  <w:style w:type="paragraph" w:styleId="Heading4">
    <w:name w:val="heading 4"/>
    <w:basedOn w:val="Normal"/>
    <w:next w:val="Normal"/>
    <w:link w:val="Heading4Char"/>
    <w:uiPriority w:val="9"/>
    <w:unhideWhenUsed/>
    <w:qFormat/>
    <w:rsid w:val="00D54B49"/>
    <w:pPr>
      <w:spacing w:before="200"/>
      <w:outlineLvl w:val="3"/>
    </w:pPr>
    <w:rPr>
      <w:rFonts w:eastAsiaTheme="majorEastAsia" w:cstheme="minorHAnsi"/>
      <w:bCs/>
      <w:i/>
      <w:iCs/>
    </w:rPr>
  </w:style>
  <w:style w:type="paragraph" w:styleId="Heading5">
    <w:name w:val="heading 5"/>
    <w:basedOn w:val="Normal"/>
    <w:next w:val="Normal"/>
    <w:link w:val="Heading5Char"/>
    <w:uiPriority w:val="9"/>
    <w:unhideWhenUsed/>
    <w:qFormat/>
    <w:rsid w:val="00A97BE4"/>
    <w:pPr>
      <w:spacing w:after="0" w:line="240" w:lineRule="auto"/>
      <w:outlineLvl w:val="4"/>
    </w:pPr>
    <w:rPr>
      <w:b/>
      <w:bCs/>
    </w:rPr>
  </w:style>
  <w:style w:type="paragraph" w:styleId="Heading6">
    <w:name w:val="heading 6"/>
    <w:basedOn w:val="Normal"/>
    <w:next w:val="Normal"/>
    <w:link w:val="Heading6Char"/>
    <w:uiPriority w:val="9"/>
    <w:semiHidden/>
    <w:unhideWhenUsed/>
    <w:qFormat/>
    <w:rsid w:val="001700F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700F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700F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700F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0FA"/>
    <w:pPr>
      <w:ind w:left="720"/>
      <w:contextualSpacing/>
    </w:pPr>
  </w:style>
  <w:style w:type="paragraph" w:styleId="BalloonText">
    <w:name w:val="Balloon Text"/>
    <w:basedOn w:val="Normal"/>
    <w:link w:val="BalloonTextChar"/>
    <w:uiPriority w:val="99"/>
    <w:semiHidden/>
    <w:unhideWhenUsed/>
    <w:rsid w:val="00AB0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F7"/>
    <w:rPr>
      <w:rFonts w:ascii="Tahoma" w:hAnsi="Tahoma" w:cs="Tahoma"/>
      <w:sz w:val="16"/>
      <w:szCs w:val="16"/>
    </w:rPr>
  </w:style>
  <w:style w:type="table" w:styleId="TableGrid">
    <w:name w:val="Table Grid"/>
    <w:basedOn w:val="TableNormal"/>
    <w:uiPriority w:val="59"/>
    <w:rsid w:val="0036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677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A179D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1Char">
    <w:name w:val="Heading 1 Char"/>
    <w:basedOn w:val="DefaultParagraphFont"/>
    <w:link w:val="Heading1"/>
    <w:uiPriority w:val="9"/>
    <w:rsid w:val="00D55BAF"/>
    <w:rPr>
      <w:rFonts w:eastAsiaTheme="majorEastAsia" w:cstheme="minorHAnsi"/>
      <w:b/>
      <w:bCs/>
      <w:sz w:val="28"/>
      <w:szCs w:val="28"/>
    </w:rPr>
  </w:style>
  <w:style w:type="character" w:customStyle="1" w:styleId="Heading2Char">
    <w:name w:val="Heading 2 Char"/>
    <w:basedOn w:val="DefaultParagraphFont"/>
    <w:link w:val="Heading2"/>
    <w:uiPriority w:val="9"/>
    <w:rsid w:val="00D55BAF"/>
    <w:rPr>
      <w:rFonts w:eastAsiaTheme="majorEastAsia" w:cstheme="minorHAnsi"/>
      <w:b/>
      <w:bCs/>
      <w:sz w:val="26"/>
      <w:szCs w:val="26"/>
    </w:rPr>
  </w:style>
  <w:style w:type="character" w:customStyle="1" w:styleId="Heading3Char">
    <w:name w:val="Heading 3 Char"/>
    <w:basedOn w:val="DefaultParagraphFont"/>
    <w:link w:val="Heading3"/>
    <w:uiPriority w:val="9"/>
    <w:rsid w:val="00D55BAF"/>
    <w:rPr>
      <w:rFonts w:eastAsiaTheme="majorEastAsia" w:cstheme="minorHAnsi"/>
      <w:b/>
      <w:bCs/>
    </w:rPr>
  </w:style>
  <w:style w:type="character" w:customStyle="1" w:styleId="Heading4Char">
    <w:name w:val="Heading 4 Char"/>
    <w:basedOn w:val="DefaultParagraphFont"/>
    <w:link w:val="Heading4"/>
    <w:uiPriority w:val="9"/>
    <w:rsid w:val="00D54B49"/>
    <w:rPr>
      <w:rFonts w:eastAsiaTheme="majorEastAsia" w:cstheme="minorHAnsi"/>
      <w:bCs/>
      <w:i/>
      <w:iCs/>
    </w:rPr>
  </w:style>
  <w:style w:type="character" w:customStyle="1" w:styleId="Heading5Char">
    <w:name w:val="Heading 5 Char"/>
    <w:basedOn w:val="DefaultParagraphFont"/>
    <w:link w:val="Heading5"/>
    <w:uiPriority w:val="9"/>
    <w:rsid w:val="00A97BE4"/>
    <w:rPr>
      <w:b/>
      <w:bCs/>
    </w:rPr>
  </w:style>
  <w:style w:type="character" w:customStyle="1" w:styleId="Heading6Char">
    <w:name w:val="Heading 6 Char"/>
    <w:basedOn w:val="DefaultParagraphFont"/>
    <w:link w:val="Heading6"/>
    <w:uiPriority w:val="9"/>
    <w:semiHidden/>
    <w:rsid w:val="001700F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700F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700F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700F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700F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700F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700F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700FA"/>
    <w:rPr>
      <w:rFonts w:asciiTheme="majorHAnsi" w:eastAsiaTheme="majorEastAsia" w:hAnsiTheme="majorHAnsi" w:cstheme="majorBidi"/>
      <w:i/>
      <w:iCs/>
      <w:spacing w:val="13"/>
      <w:sz w:val="24"/>
      <w:szCs w:val="24"/>
    </w:rPr>
  </w:style>
  <w:style w:type="character" w:styleId="Strong">
    <w:name w:val="Strong"/>
    <w:uiPriority w:val="22"/>
    <w:qFormat/>
    <w:rsid w:val="001700FA"/>
    <w:rPr>
      <w:b/>
      <w:bCs/>
    </w:rPr>
  </w:style>
  <w:style w:type="character" w:styleId="Emphasis">
    <w:name w:val="Emphasis"/>
    <w:uiPriority w:val="20"/>
    <w:qFormat/>
    <w:rsid w:val="001700FA"/>
    <w:rPr>
      <w:b/>
      <w:bCs/>
      <w:i/>
      <w:iCs/>
      <w:spacing w:val="10"/>
      <w:bdr w:val="none" w:sz="0" w:space="0" w:color="auto"/>
      <w:shd w:val="clear" w:color="auto" w:fill="auto"/>
    </w:rPr>
  </w:style>
  <w:style w:type="paragraph" w:styleId="NoSpacing">
    <w:name w:val="No Spacing"/>
    <w:basedOn w:val="Normal"/>
    <w:uiPriority w:val="1"/>
    <w:qFormat/>
    <w:rsid w:val="001700FA"/>
    <w:pPr>
      <w:spacing w:after="0" w:line="240" w:lineRule="auto"/>
    </w:pPr>
  </w:style>
  <w:style w:type="paragraph" w:styleId="Quote">
    <w:name w:val="Quote"/>
    <w:basedOn w:val="Normal"/>
    <w:next w:val="Normal"/>
    <w:link w:val="QuoteChar"/>
    <w:uiPriority w:val="29"/>
    <w:qFormat/>
    <w:rsid w:val="001700FA"/>
    <w:pPr>
      <w:spacing w:before="200" w:after="0"/>
      <w:ind w:left="360" w:right="360"/>
    </w:pPr>
    <w:rPr>
      <w:i/>
      <w:iCs/>
    </w:rPr>
  </w:style>
  <w:style w:type="character" w:customStyle="1" w:styleId="QuoteChar">
    <w:name w:val="Quote Char"/>
    <w:basedOn w:val="DefaultParagraphFont"/>
    <w:link w:val="Quote"/>
    <w:uiPriority w:val="29"/>
    <w:rsid w:val="001700FA"/>
    <w:rPr>
      <w:i/>
      <w:iCs/>
    </w:rPr>
  </w:style>
  <w:style w:type="paragraph" w:styleId="IntenseQuote">
    <w:name w:val="Intense Quote"/>
    <w:basedOn w:val="Normal"/>
    <w:next w:val="Normal"/>
    <w:link w:val="IntenseQuoteChar"/>
    <w:uiPriority w:val="30"/>
    <w:qFormat/>
    <w:rsid w:val="001700F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700FA"/>
    <w:rPr>
      <w:b/>
      <w:bCs/>
      <w:i/>
      <w:iCs/>
    </w:rPr>
  </w:style>
  <w:style w:type="character" w:styleId="SubtleEmphasis">
    <w:name w:val="Subtle Emphasis"/>
    <w:uiPriority w:val="19"/>
    <w:qFormat/>
    <w:rsid w:val="001700FA"/>
    <w:rPr>
      <w:i/>
      <w:iCs/>
    </w:rPr>
  </w:style>
  <w:style w:type="character" w:styleId="IntenseEmphasis">
    <w:name w:val="Intense Emphasis"/>
    <w:uiPriority w:val="21"/>
    <w:qFormat/>
    <w:rsid w:val="001700FA"/>
    <w:rPr>
      <w:b/>
      <w:bCs/>
    </w:rPr>
  </w:style>
  <w:style w:type="character" w:styleId="SubtleReference">
    <w:name w:val="Subtle Reference"/>
    <w:uiPriority w:val="31"/>
    <w:qFormat/>
    <w:rsid w:val="001700FA"/>
    <w:rPr>
      <w:smallCaps/>
    </w:rPr>
  </w:style>
  <w:style w:type="character" w:styleId="IntenseReference">
    <w:name w:val="Intense Reference"/>
    <w:uiPriority w:val="32"/>
    <w:qFormat/>
    <w:rsid w:val="001700FA"/>
    <w:rPr>
      <w:smallCaps/>
      <w:spacing w:val="5"/>
      <w:u w:val="single"/>
    </w:rPr>
  </w:style>
  <w:style w:type="character" w:styleId="BookTitle">
    <w:name w:val="Book Title"/>
    <w:uiPriority w:val="33"/>
    <w:qFormat/>
    <w:rsid w:val="001700FA"/>
    <w:rPr>
      <w:i/>
      <w:iCs/>
      <w:smallCaps/>
      <w:spacing w:val="5"/>
    </w:rPr>
  </w:style>
  <w:style w:type="paragraph" w:styleId="TOCHeading">
    <w:name w:val="TOC Heading"/>
    <w:basedOn w:val="Heading1"/>
    <w:next w:val="Normal"/>
    <w:uiPriority w:val="39"/>
    <w:semiHidden/>
    <w:unhideWhenUsed/>
    <w:qFormat/>
    <w:rsid w:val="001700FA"/>
    <w:pPr>
      <w:outlineLvl w:val="9"/>
    </w:pPr>
    <w:rPr>
      <w:lang w:bidi="en-US"/>
    </w:rPr>
  </w:style>
  <w:style w:type="paragraph" w:styleId="Header">
    <w:name w:val="header"/>
    <w:basedOn w:val="Normal"/>
    <w:link w:val="HeaderChar"/>
    <w:uiPriority w:val="99"/>
    <w:unhideWhenUsed/>
    <w:rsid w:val="007C0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309"/>
  </w:style>
  <w:style w:type="paragraph" w:styleId="Footer">
    <w:name w:val="footer"/>
    <w:basedOn w:val="Normal"/>
    <w:link w:val="FooterChar"/>
    <w:uiPriority w:val="99"/>
    <w:unhideWhenUsed/>
    <w:rsid w:val="007C0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309"/>
  </w:style>
  <w:style w:type="paragraph" w:customStyle="1" w:styleId="Tableleft">
    <w:name w:val="Table left"/>
    <w:link w:val="TableleftChar"/>
    <w:qFormat/>
    <w:rsid w:val="000A3E7E"/>
    <w:pPr>
      <w:spacing w:before="20" w:after="20" w:line="240" w:lineRule="auto"/>
    </w:pPr>
    <w:rPr>
      <w:rFonts w:ascii="Calibri" w:eastAsia="Calibri" w:hAnsi="Calibri" w:cstheme="minorHAnsi"/>
      <w:szCs w:val="20"/>
      <w:lang w:eastAsia="en-GB"/>
    </w:rPr>
  </w:style>
  <w:style w:type="paragraph" w:customStyle="1" w:styleId="Tablecentre">
    <w:name w:val="Table centre"/>
    <w:link w:val="TablecentreChar"/>
    <w:qFormat/>
    <w:rsid w:val="000A3E7E"/>
    <w:pPr>
      <w:spacing w:before="20" w:after="20" w:line="240" w:lineRule="auto"/>
      <w:jc w:val="center"/>
    </w:pPr>
    <w:rPr>
      <w:rFonts w:ascii="Calibri" w:eastAsia="Calibri" w:hAnsi="Calibri" w:cstheme="minorHAnsi"/>
      <w:szCs w:val="20"/>
      <w:lang w:eastAsia="en-GB"/>
    </w:rPr>
  </w:style>
  <w:style w:type="character" w:customStyle="1" w:styleId="TableleftChar">
    <w:name w:val="Table left Char"/>
    <w:basedOn w:val="DefaultParagraphFont"/>
    <w:link w:val="Tableleft"/>
    <w:rsid w:val="000A3E7E"/>
    <w:rPr>
      <w:rFonts w:ascii="Calibri" w:eastAsia="Calibri" w:hAnsi="Calibri" w:cstheme="minorHAnsi"/>
      <w:szCs w:val="20"/>
      <w:lang w:eastAsia="en-GB"/>
    </w:rPr>
  </w:style>
  <w:style w:type="paragraph" w:customStyle="1" w:styleId="Tableheading">
    <w:name w:val="Table heading"/>
    <w:basedOn w:val="Tablecentre"/>
    <w:link w:val="TableheadingChar"/>
    <w:qFormat/>
    <w:rsid w:val="000A3E7E"/>
    <w:rPr>
      <w:b/>
    </w:rPr>
  </w:style>
  <w:style w:type="character" w:customStyle="1" w:styleId="TablecentreChar">
    <w:name w:val="Table centre Char"/>
    <w:basedOn w:val="TableleftChar"/>
    <w:link w:val="Tablecentre"/>
    <w:rsid w:val="000A3E7E"/>
    <w:rPr>
      <w:rFonts w:ascii="Calibri" w:eastAsia="Calibri" w:hAnsi="Calibri" w:cstheme="minorHAnsi"/>
      <w:szCs w:val="20"/>
      <w:lang w:eastAsia="en-GB"/>
    </w:rPr>
  </w:style>
  <w:style w:type="character" w:customStyle="1" w:styleId="TableheadingChar">
    <w:name w:val="Table heading Char"/>
    <w:basedOn w:val="TablecentreChar"/>
    <w:link w:val="Tableheading"/>
    <w:rsid w:val="000A3E7E"/>
    <w:rPr>
      <w:rFonts w:ascii="Calibri" w:eastAsia="Calibri" w:hAnsi="Calibri" w:cstheme="minorHAnsi"/>
      <w:b/>
      <w:szCs w:val="20"/>
      <w:lang w:eastAsia="en-GB"/>
    </w:rPr>
  </w:style>
  <w:style w:type="paragraph" w:styleId="DocumentMap">
    <w:name w:val="Document Map"/>
    <w:basedOn w:val="Normal"/>
    <w:link w:val="DocumentMapChar"/>
    <w:uiPriority w:val="99"/>
    <w:semiHidden/>
    <w:unhideWhenUsed/>
    <w:rsid w:val="00F15BE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15BEF"/>
    <w:rPr>
      <w:rFonts w:ascii="Tahoma" w:hAnsi="Tahoma" w:cs="Tahoma"/>
      <w:sz w:val="16"/>
      <w:szCs w:val="16"/>
    </w:rPr>
  </w:style>
  <w:style w:type="character" w:customStyle="1" w:styleId="apple-converted-space">
    <w:name w:val="apple-converted-space"/>
    <w:basedOn w:val="DefaultParagraphFont"/>
    <w:rsid w:val="003F7BE5"/>
  </w:style>
  <w:style w:type="character" w:styleId="CommentReference">
    <w:name w:val="annotation reference"/>
    <w:basedOn w:val="DefaultParagraphFont"/>
    <w:uiPriority w:val="99"/>
    <w:semiHidden/>
    <w:unhideWhenUsed/>
    <w:rsid w:val="008D030E"/>
    <w:rPr>
      <w:sz w:val="16"/>
      <w:szCs w:val="16"/>
    </w:rPr>
  </w:style>
  <w:style w:type="paragraph" w:styleId="CommentText">
    <w:name w:val="annotation text"/>
    <w:basedOn w:val="Normal"/>
    <w:link w:val="CommentTextChar"/>
    <w:uiPriority w:val="99"/>
    <w:unhideWhenUsed/>
    <w:rsid w:val="008D030E"/>
    <w:pPr>
      <w:spacing w:line="240" w:lineRule="auto"/>
    </w:pPr>
    <w:rPr>
      <w:sz w:val="20"/>
      <w:szCs w:val="20"/>
    </w:rPr>
  </w:style>
  <w:style w:type="character" w:customStyle="1" w:styleId="CommentTextChar">
    <w:name w:val="Comment Text Char"/>
    <w:basedOn w:val="DefaultParagraphFont"/>
    <w:link w:val="CommentText"/>
    <w:uiPriority w:val="99"/>
    <w:rsid w:val="008D030E"/>
    <w:rPr>
      <w:sz w:val="20"/>
      <w:szCs w:val="20"/>
    </w:rPr>
  </w:style>
  <w:style w:type="paragraph" w:styleId="CommentSubject">
    <w:name w:val="annotation subject"/>
    <w:basedOn w:val="CommentText"/>
    <w:next w:val="CommentText"/>
    <w:link w:val="CommentSubjectChar"/>
    <w:uiPriority w:val="99"/>
    <w:semiHidden/>
    <w:unhideWhenUsed/>
    <w:rsid w:val="008D030E"/>
    <w:rPr>
      <w:b/>
      <w:bCs/>
    </w:rPr>
  </w:style>
  <w:style w:type="character" w:customStyle="1" w:styleId="CommentSubjectChar">
    <w:name w:val="Comment Subject Char"/>
    <w:basedOn w:val="CommentTextChar"/>
    <w:link w:val="CommentSubject"/>
    <w:uiPriority w:val="99"/>
    <w:semiHidden/>
    <w:rsid w:val="008D030E"/>
    <w:rPr>
      <w:b/>
      <w:bCs/>
      <w:sz w:val="20"/>
      <w:szCs w:val="20"/>
    </w:rPr>
  </w:style>
  <w:style w:type="character" w:styleId="Hyperlink">
    <w:name w:val="Hyperlink"/>
    <w:basedOn w:val="DefaultParagraphFont"/>
    <w:uiPriority w:val="99"/>
    <w:unhideWhenUsed/>
    <w:rsid w:val="000D4374"/>
    <w:rPr>
      <w:color w:val="0000FF"/>
      <w:u w:val="single"/>
    </w:rPr>
  </w:style>
  <w:style w:type="character" w:customStyle="1" w:styleId="interref">
    <w:name w:val="interref"/>
    <w:basedOn w:val="DefaultParagraphFont"/>
    <w:rsid w:val="000D4374"/>
  </w:style>
  <w:style w:type="paragraph" w:styleId="Bibliography">
    <w:name w:val="Bibliography"/>
    <w:basedOn w:val="Normal"/>
    <w:next w:val="Normal"/>
    <w:uiPriority w:val="37"/>
    <w:unhideWhenUsed/>
    <w:rsid w:val="00C64A2B"/>
    <w:pPr>
      <w:spacing w:line="240" w:lineRule="auto"/>
    </w:pPr>
  </w:style>
  <w:style w:type="paragraph" w:styleId="FootnoteText">
    <w:name w:val="footnote text"/>
    <w:basedOn w:val="Normal"/>
    <w:link w:val="FootnoteTextChar"/>
    <w:uiPriority w:val="99"/>
    <w:semiHidden/>
    <w:unhideWhenUsed/>
    <w:rsid w:val="003F2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2E2E"/>
    <w:rPr>
      <w:sz w:val="20"/>
      <w:szCs w:val="20"/>
    </w:rPr>
  </w:style>
  <w:style w:type="character" w:styleId="FootnoteReference">
    <w:name w:val="footnote reference"/>
    <w:basedOn w:val="DefaultParagraphFont"/>
    <w:uiPriority w:val="99"/>
    <w:semiHidden/>
    <w:unhideWhenUsed/>
    <w:rsid w:val="003F2E2E"/>
    <w:rPr>
      <w:vertAlign w:val="superscript"/>
    </w:rPr>
  </w:style>
  <w:style w:type="character" w:styleId="PlaceholderText">
    <w:name w:val="Placeholder Text"/>
    <w:basedOn w:val="DefaultParagraphFont"/>
    <w:uiPriority w:val="99"/>
    <w:semiHidden/>
    <w:rsid w:val="00ED1C29"/>
    <w:rPr>
      <w:color w:val="808080"/>
    </w:rPr>
  </w:style>
  <w:style w:type="paragraph" w:styleId="NormalWeb">
    <w:name w:val="Normal (Web)"/>
    <w:basedOn w:val="Normal"/>
    <w:uiPriority w:val="99"/>
    <w:unhideWhenUsed/>
    <w:rsid w:val="00DA51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A5151"/>
    <w:pPr>
      <w:spacing w:after="0" w:line="240" w:lineRule="auto"/>
    </w:pPr>
  </w:style>
  <w:style w:type="paragraph" w:customStyle="1" w:styleId="last">
    <w:name w:val="last"/>
    <w:basedOn w:val="Normal"/>
    <w:rsid w:val="00712D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E14B5"/>
    <w:rPr>
      <w:i/>
      <w:iCs/>
    </w:rPr>
  </w:style>
  <w:style w:type="character" w:customStyle="1" w:styleId="paragraph">
    <w:name w:val="paragraph"/>
    <w:basedOn w:val="DefaultParagraphFont"/>
    <w:rsid w:val="00B43A21"/>
  </w:style>
  <w:style w:type="character" w:customStyle="1" w:styleId="abstract">
    <w:name w:val="abstract"/>
    <w:basedOn w:val="DefaultParagraphFont"/>
    <w:rsid w:val="00B43A21"/>
  </w:style>
  <w:style w:type="character" w:customStyle="1" w:styleId="mb">
    <w:name w:val="mb"/>
    <w:basedOn w:val="DefaultParagraphFont"/>
    <w:rsid w:val="00B43A21"/>
  </w:style>
  <w:style w:type="paragraph" w:customStyle="1" w:styleId="Beforetables">
    <w:name w:val="Before tables"/>
    <w:basedOn w:val="Normal"/>
    <w:link w:val="BeforetablesChar"/>
    <w:qFormat/>
    <w:rsid w:val="00B92662"/>
    <w:pPr>
      <w:spacing w:after="0"/>
    </w:pPr>
    <w:rPr>
      <w:sz w:val="8"/>
      <w:szCs w:val="8"/>
    </w:rPr>
  </w:style>
  <w:style w:type="paragraph" w:customStyle="1" w:styleId="Aftertables">
    <w:name w:val="After tables"/>
    <w:basedOn w:val="Normal"/>
    <w:link w:val="AftertablesChar"/>
    <w:qFormat/>
    <w:rsid w:val="007B3B22"/>
    <w:pPr>
      <w:spacing w:after="0"/>
    </w:pPr>
  </w:style>
  <w:style w:type="character" w:customStyle="1" w:styleId="BeforetablesChar">
    <w:name w:val="Before tables Char"/>
    <w:basedOn w:val="DefaultParagraphFont"/>
    <w:link w:val="Beforetables"/>
    <w:rsid w:val="00B92662"/>
    <w:rPr>
      <w:sz w:val="8"/>
      <w:szCs w:val="8"/>
    </w:rPr>
  </w:style>
  <w:style w:type="character" w:customStyle="1" w:styleId="AftertablesChar">
    <w:name w:val="After tables Char"/>
    <w:basedOn w:val="DefaultParagraphFont"/>
    <w:link w:val="Aftertables"/>
    <w:rsid w:val="007B3B22"/>
  </w:style>
  <w:style w:type="character" w:customStyle="1" w:styleId="scp">
    <w:name w:val="scp"/>
    <w:basedOn w:val="DefaultParagraphFont"/>
    <w:rsid w:val="00C574AA"/>
  </w:style>
  <w:style w:type="paragraph" w:customStyle="1" w:styleId="follows-h4">
    <w:name w:val="follows-h4"/>
    <w:basedOn w:val="Normal"/>
    <w:rsid w:val="00C574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
    <w:name w:val="p"/>
    <w:basedOn w:val="Normal"/>
    <w:rsid w:val="006348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
    <w:name w:val="norm"/>
    <w:basedOn w:val="Normal"/>
    <w:rsid w:val="00D620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71925"/>
    <w:rPr>
      <w:color w:val="800080" w:themeColor="followedHyperlink"/>
      <w:u w:val="single"/>
    </w:rPr>
  </w:style>
  <w:style w:type="character" w:customStyle="1" w:styleId="normaltextrun">
    <w:name w:val="normaltextrun"/>
    <w:basedOn w:val="DefaultParagraphFont"/>
    <w:rsid w:val="000962C9"/>
  </w:style>
  <w:style w:type="character" w:styleId="UnresolvedMention">
    <w:name w:val="Unresolved Mention"/>
    <w:basedOn w:val="DefaultParagraphFont"/>
    <w:uiPriority w:val="99"/>
    <w:semiHidden/>
    <w:unhideWhenUsed/>
    <w:rsid w:val="00401B4C"/>
    <w:rPr>
      <w:color w:val="605E5C"/>
      <w:shd w:val="clear" w:color="auto" w:fill="E1DFDD"/>
    </w:rPr>
  </w:style>
  <w:style w:type="paragraph" w:styleId="HTMLPreformatted">
    <w:name w:val="HTML Preformatted"/>
    <w:basedOn w:val="Normal"/>
    <w:link w:val="HTMLPreformattedChar"/>
    <w:uiPriority w:val="99"/>
    <w:semiHidden/>
    <w:unhideWhenUsed/>
    <w:rsid w:val="00E807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075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589">
      <w:bodyDiv w:val="1"/>
      <w:marLeft w:val="0"/>
      <w:marRight w:val="0"/>
      <w:marTop w:val="0"/>
      <w:marBottom w:val="0"/>
      <w:divBdr>
        <w:top w:val="none" w:sz="0" w:space="0" w:color="auto"/>
        <w:left w:val="none" w:sz="0" w:space="0" w:color="auto"/>
        <w:bottom w:val="none" w:sz="0" w:space="0" w:color="auto"/>
        <w:right w:val="none" w:sz="0" w:space="0" w:color="auto"/>
      </w:divBdr>
    </w:div>
    <w:div w:id="14238586">
      <w:bodyDiv w:val="1"/>
      <w:marLeft w:val="0"/>
      <w:marRight w:val="0"/>
      <w:marTop w:val="0"/>
      <w:marBottom w:val="0"/>
      <w:divBdr>
        <w:top w:val="none" w:sz="0" w:space="0" w:color="auto"/>
        <w:left w:val="none" w:sz="0" w:space="0" w:color="auto"/>
        <w:bottom w:val="none" w:sz="0" w:space="0" w:color="auto"/>
        <w:right w:val="none" w:sz="0" w:space="0" w:color="auto"/>
      </w:divBdr>
    </w:div>
    <w:div w:id="34895573">
      <w:bodyDiv w:val="1"/>
      <w:marLeft w:val="0"/>
      <w:marRight w:val="0"/>
      <w:marTop w:val="0"/>
      <w:marBottom w:val="0"/>
      <w:divBdr>
        <w:top w:val="none" w:sz="0" w:space="0" w:color="auto"/>
        <w:left w:val="none" w:sz="0" w:space="0" w:color="auto"/>
        <w:bottom w:val="none" w:sz="0" w:space="0" w:color="auto"/>
        <w:right w:val="none" w:sz="0" w:space="0" w:color="auto"/>
      </w:divBdr>
      <w:divsChild>
        <w:div w:id="1510410404">
          <w:marLeft w:val="0"/>
          <w:marRight w:val="0"/>
          <w:marTop w:val="0"/>
          <w:marBottom w:val="0"/>
          <w:divBdr>
            <w:top w:val="none" w:sz="0" w:space="0" w:color="auto"/>
            <w:left w:val="none" w:sz="0" w:space="0" w:color="auto"/>
            <w:bottom w:val="none" w:sz="0" w:space="0" w:color="auto"/>
            <w:right w:val="none" w:sz="0" w:space="0" w:color="auto"/>
          </w:divBdr>
          <w:divsChild>
            <w:div w:id="1841459227">
              <w:marLeft w:val="0"/>
              <w:marRight w:val="0"/>
              <w:marTop w:val="0"/>
              <w:marBottom w:val="0"/>
              <w:divBdr>
                <w:top w:val="none" w:sz="0" w:space="0" w:color="auto"/>
                <w:left w:val="none" w:sz="0" w:space="0" w:color="auto"/>
                <w:bottom w:val="none" w:sz="0" w:space="0" w:color="auto"/>
                <w:right w:val="none" w:sz="0" w:space="0" w:color="auto"/>
              </w:divBdr>
              <w:divsChild>
                <w:div w:id="1486701462">
                  <w:marLeft w:val="0"/>
                  <w:marRight w:val="0"/>
                  <w:marTop w:val="0"/>
                  <w:marBottom w:val="0"/>
                  <w:divBdr>
                    <w:top w:val="none" w:sz="0" w:space="0" w:color="auto"/>
                    <w:left w:val="none" w:sz="0" w:space="0" w:color="auto"/>
                    <w:bottom w:val="none" w:sz="0" w:space="0" w:color="auto"/>
                    <w:right w:val="none" w:sz="0" w:space="0" w:color="auto"/>
                  </w:divBdr>
                  <w:divsChild>
                    <w:div w:id="1035153577">
                      <w:marLeft w:val="0"/>
                      <w:marRight w:val="0"/>
                      <w:marTop w:val="0"/>
                      <w:marBottom w:val="0"/>
                      <w:divBdr>
                        <w:top w:val="none" w:sz="0" w:space="0" w:color="auto"/>
                        <w:left w:val="none" w:sz="0" w:space="0" w:color="auto"/>
                        <w:bottom w:val="none" w:sz="0" w:space="0" w:color="auto"/>
                        <w:right w:val="none" w:sz="0" w:space="0" w:color="auto"/>
                      </w:divBdr>
                      <w:divsChild>
                        <w:div w:id="1570963524">
                          <w:marLeft w:val="0"/>
                          <w:marRight w:val="0"/>
                          <w:marTop w:val="0"/>
                          <w:marBottom w:val="0"/>
                          <w:divBdr>
                            <w:top w:val="none" w:sz="0" w:space="0" w:color="auto"/>
                            <w:left w:val="none" w:sz="0" w:space="0" w:color="auto"/>
                            <w:bottom w:val="none" w:sz="0" w:space="0" w:color="auto"/>
                            <w:right w:val="none" w:sz="0" w:space="0" w:color="auto"/>
                          </w:divBdr>
                          <w:divsChild>
                            <w:div w:id="1515218486">
                              <w:marLeft w:val="0"/>
                              <w:marRight w:val="0"/>
                              <w:marTop w:val="0"/>
                              <w:marBottom w:val="0"/>
                              <w:divBdr>
                                <w:top w:val="none" w:sz="0" w:space="0" w:color="auto"/>
                                <w:left w:val="none" w:sz="0" w:space="0" w:color="auto"/>
                                <w:bottom w:val="none" w:sz="0" w:space="0" w:color="auto"/>
                                <w:right w:val="none" w:sz="0" w:space="0" w:color="auto"/>
                              </w:divBdr>
                              <w:divsChild>
                                <w:div w:id="1386025180">
                                  <w:marLeft w:val="0"/>
                                  <w:marRight w:val="0"/>
                                  <w:marTop w:val="0"/>
                                  <w:marBottom w:val="0"/>
                                  <w:divBdr>
                                    <w:top w:val="none" w:sz="0" w:space="0" w:color="auto"/>
                                    <w:left w:val="none" w:sz="0" w:space="0" w:color="auto"/>
                                    <w:bottom w:val="none" w:sz="0" w:space="0" w:color="auto"/>
                                    <w:right w:val="none" w:sz="0" w:space="0" w:color="auto"/>
                                  </w:divBdr>
                                  <w:divsChild>
                                    <w:div w:id="4922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3228">
                          <w:marLeft w:val="0"/>
                          <w:marRight w:val="0"/>
                          <w:marTop w:val="0"/>
                          <w:marBottom w:val="0"/>
                          <w:divBdr>
                            <w:top w:val="none" w:sz="0" w:space="0" w:color="auto"/>
                            <w:left w:val="none" w:sz="0" w:space="0" w:color="auto"/>
                            <w:bottom w:val="none" w:sz="0" w:space="0" w:color="auto"/>
                            <w:right w:val="none" w:sz="0" w:space="0" w:color="auto"/>
                          </w:divBdr>
                          <w:divsChild>
                            <w:div w:id="1208420594">
                              <w:marLeft w:val="0"/>
                              <w:marRight w:val="0"/>
                              <w:marTop w:val="0"/>
                              <w:marBottom w:val="0"/>
                              <w:divBdr>
                                <w:top w:val="none" w:sz="0" w:space="0" w:color="auto"/>
                                <w:left w:val="none" w:sz="0" w:space="0" w:color="auto"/>
                                <w:bottom w:val="none" w:sz="0" w:space="0" w:color="auto"/>
                                <w:right w:val="none" w:sz="0" w:space="0" w:color="auto"/>
                              </w:divBdr>
                              <w:divsChild>
                                <w:div w:id="7188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57113">
      <w:bodyDiv w:val="1"/>
      <w:marLeft w:val="0"/>
      <w:marRight w:val="0"/>
      <w:marTop w:val="0"/>
      <w:marBottom w:val="0"/>
      <w:divBdr>
        <w:top w:val="none" w:sz="0" w:space="0" w:color="auto"/>
        <w:left w:val="none" w:sz="0" w:space="0" w:color="auto"/>
        <w:bottom w:val="none" w:sz="0" w:space="0" w:color="auto"/>
        <w:right w:val="none" w:sz="0" w:space="0" w:color="auto"/>
      </w:divBdr>
    </w:div>
    <w:div w:id="53311656">
      <w:bodyDiv w:val="1"/>
      <w:marLeft w:val="0"/>
      <w:marRight w:val="0"/>
      <w:marTop w:val="0"/>
      <w:marBottom w:val="0"/>
      <w:divBdr>
        <w:top w:val="none" w:sz="0" w:space="0" w:color="auto"/>
        <w:left w:val="none" w:sz="0" w:space="0" w:color="auto"/>
        <w:bottom w:val="none" w:sz="0" w:space="0" w:color="auto"/>
        <w:right w:val="none" w:sz="0" w:space="0" w:color="auto"/>
      </w:divBdr>
    </w:div>
    <w:div w:id="73626389">
      <w:bodyDiv w:val="1"/>
      <w:marLeft w:val="0"/>
      <w:marRight w:val="0"/>
      <w:marTop w:val="0"/>
      <w:marBottom w:val="0"/>
      <w:divBdr>
        <w:top w:val="none" w:sz="0" w:space="0" w:color="auto"/>
        <w:left w:val="none" w:sz="0" w:space="0" w:color="auto"/>
        <w:bottom w:val="none" w:sz="0" w:space="0" w:color="auto"/>
        <w:right w:val="none" w:sz="0" w:space="0" w:color="auto"/>
      </w:divBdr>
      <w:divsChild>
        <w:div w:id="1409307110">
          <w:marLeft w:val="0"/>
          <w:marRight w:val="0"/>
          <w:marTop w:val="0"/>
          <w:marBottom w:val="0"/>
          <w:divBdr>
            <w:top w:val="none" w:sz="0" w:space="0" w:color="auto"/>
            <w:left w:val="none" w:sz="0" w:space="0" w:color="auto"/>
            <w:bottom w:val="none" w:sz="0" w:space="0" w:color="auto"/>
            <w:right w:val="none" w:sz="0" w:space="0" w:color="auto"/>
          </w:divBdr>
          <w:divsChild>
            <w:div w:id="642540139">
              <w:marLeft w:val="0"/>
              <w:marRight w:val="0"/>
              <w:marTop w:val="0"/>
              <w:marBottom w:val="0"/>
              <w:divBdr>
                <w:top w:val="none" w:sz="0" w:space="0" w:color="auto"/>
                <w:left w:val="none" w:sz="0" w:space="0" w:color="auto"/>
                <w:bottom w:val="none" w:sz="0" w:space="0" w:color="auto"/>
                <w:right w:val="none" w:sz="0" w:space="0" w:color="auto"/>
              </w:divBdr>
              <w:divsChild>
                <w:div w:id="573399395">
                  <w:marLeft w:val="0"/>
                  <w:marRight w:val="0"/>
                  <w:marTop w:val="0"/>
                  <w:marBottom w:val="0"/>
                  <w:divBdr>
                    <w:top w:val="none" w:sz="0" w:space="0" w:color="auto"/>
                    <w:left w:val="none" w:sz="0" w:space="0" w:color="auto"/>
                    <w:bottom w:val="none" w:sz="0" w:space="0" w:color="auto"/>
                    <w:right w:val="none" w:sz="0" w:space="0" w:color="auto"/>
                  </w:divBdr>
                  <w:divsChild>
                    <w:div w:id="715858036">
                      <w:marLeft w:val="0"/>
                      <w:marRight w:val="0"/>
                      <w:marTop w:val="0"/>
                      <w:marBottom w:val="0"/>
                      <w:divBdr>
                        <w:top w:val="none" w:sz="0" w:space="0" w:color="auto"/>
                        <w:left w:val="none" w:sz="0" w:space="0" w:color="auto"/>
                        <w:bottom w:val="none" w:sz="0" w:space="0" w:color="auto"/>
                        <w:right w:val="none" w:sz="0" w:space="0" w:color="auto"/>
                      </w:divBdr>
                      <w:divsChild>
                        <w:div w:id="1759983353">
                          <w:marLeft w:val="0"/>
                          <w:marRight w:val="0"/>
                          <w:marTop w:val="0"/>
                          <w:marBottom w:val="0"/>
                          <w:divBdr>
                            <w:top w:val="none" w:sz="0" w:space="0" w:color="auto"/>
                            <w:left w:val="none" w:sz="0" w:space="0" w:color="auto"/>
                            <w:bottom w:val="none" w:sz="0" w:space="0" w:color="auto"/>
                            <w:right w:val="none" w:sz="0" w:space="0" w:color="auto"/>
                          </w:divBdr>
                          <w:divsChild>
                            <w:div w:id="619412611">
                              <w:marLeft w:val="0"/>
                              <w:marRight w:val="0"/>
                              <w:marTop w:val="0"/>
                              <w:marBottom w:val="0"/>
                              <w:divBdr>
                                <w:top w:val="none" w:sz="0" w:space="0" w:color="auto"/>
                                <w:left w:val="none" w:sz="0" w:space="0" w:color="auto"/>
                                <w:bottom w:val="none" w:sz="0" w:space="0" w:color="auto"/>
                                <w:right w:val="none" w:sz="0" w:space="0" w:color="auto"/>
                              </w:divBdr>
                              <w:divsChild>
                                <w:div w:id="642278384">
                                  <w:marLeft w:val="0"/>
                                  <w:marRight w:val="0"/>
                                  <w:marTop w:val="0"/>
                                  <w:marBottom w:val="0"/>
                                  <w:divBdr>
                                    <w:top w:val="none" w:sz="0" w:space="0" w:color="auto"/>
                                    <w:left w:val="none" w:sz="0" w:space="0" w:color="auto"/>
                                    <w:bottom w:val="none" w:sz="0" w:space="0" w:color="auto"/>
                                    <w:right w:val="none" w:sz="0" w:space="0" w:color="auto"/>
                                  </w:divBdr>
                                  <w:divsChild>
                                    <w:div w:id="9639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46073">
                          <w:marLeft w:val="0"/>
                          <w:marRight w:val="0"/>
                          <w:marTop w:val="0"/>
                          <w:marBottom w:val="0"/>
                          <w:divBdr>
                            <w:top w:val="none" w:sz="0" w:space="0" w:color="auto"/>
                            <w:left w:val="none" w:sz="0" w:space="0" w:color="auto"/>
                            <w:bottom w:val="none" w:sz="0" w:space="0" w:color="auto"/>
                            <w:right w:val="none" w:sz="0" w:space="0" w:color="auto"/>
                          </w:divBdr>
                          <w:divsChild>
                            <w:div w:id="1605763917">
                              <w:marLeft w:val="0"/>
                              <w:marRight w:val="0"/>
                              <w:marTop w:val="0"/>
                              <w:marBottom w:val="0"/>
                              <w:divBdr>
                                <w:top w:val="none" w:sz="0" w:space="0" w:color="auto"/>
                                <w:left w:val="none" w:sz="0" w:space="0" w:color="auto"/>
                                <w:bottom w:val="none" w:sz="0" w:space="0" w:color="auto"/>
                                <w:right w:val="none" w:sz="0" w:space="0" w:color="auto"/>
                              </w:divBdr>
                              <w:divsChild>
                                <w:div w:id="20256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14400">
      <w:bodyDiv w:val="1"/>
      <w:marLeft w:val="0"/>
      <w:marRight w:val="0"/>
      <w:marTop w:val="0"/>
      <w:marBottom w:val="0"/>
      <w:divBdr>
        <w:top w:val="none" w:sz="0" w:space="0" w:color="auto"/>
        <w:left w:val="none" w:sz="0" w:space="0" w:color="auto"/>
        <w:bottom w:val="none" w:sz="0" w:space="0" w:color="auto"/>
        <w:right w:val="none" w:sz="0" w:space="0" w:color="auto"/>
      </w:divBdr>
    </w:div>
    <w:div w:id="128089498">
      <w:bodyDiv w:val="1"/>
      <w:marLeft w:val="0"/>
      <w:marRight w:val="0"/>
      <w:marTop w:val="0"/>
      <w:marBottom w:val="0"/>
      <w:divBdr>
        <w:top w:val="none" w:sz="0" w:space="0" w:color="auto"/>
        <w:left w:val="none" w:sz="0" w:space="0" w:color="auto"/>
        <w:bottom w:val="none" w:sz="0" w:space="0" w:color="auto"/>
        <w:right w:val="none" w:sz="0" w:space="0" w:color="auto"/>
      </w:divBdr>
    </w:div>
    <w:div w:id="147332202">
      <w:bodyDiv w:val="1"/>
      <w:marLeft w:val="0"/>
      <w:marRight w:val="0"/>
      <w:marTop w:val="0"/>
      <w:marBottom w:val="0"/>
      <w:divBdr>
        <w:top w:val="none" w:sz="0" w:space="0" w:color="auto"/>
        <w:left w:val="none" w:sz="0" w:space="0" w:color="auto"/>
        <w:bottom w:val="none" w:sz="0" w:space="0" w:color="auto"/>
        <w:right w:val="none" w:sz="0" w:space="0" w:color="auto"/>
      </w:divBdr>
    </w:div>
    <w:div w:id="184562450">
      <w:bodyDiv w:val="1"/>
      <w:marLeft w:val="0"/>
      <w:marRight w:val="0"/>
      <w:marTop w:val="0"/>
      <w:marBottom w:val="0"/>
      <w:divBdr>
        <w:top w:val="none" w:sz="0" w:space="0" w:color="auto"/>
        <w:left w:val="none" w:sz="0" w:space="0" w:color="auto"/>
        <w:bottom w:val="none" w:sz="0" w:space="0" w:color="auto"/>
        <w:right w:val="none" w:sz="0" w:space="0" w:color="auto"/>
      </w:divBdr>
      <w:divsChild>
        <w:div w:id="172036291">
          <w:marLeft w:val="0"/>
          <w:marRight w:val="0"/>
          <w:marTop w:val="0"/>
          <w:marBottom w:val="0"/>
          <w:divBdr>
            <w:top w:val="none" w:sz="0" w:space="0" w:color="auto"/>
            <w:left w:val="none" w:sz="0" w:space="0" w:color="auto"/>
            <w:bottom w:val="none" w:sz="0" w:space="0" w:color="auto"/>
            <w:right w:val="none" w:sz="0" w:space="0" w:color="auto"/>
          </w:divBdr>
          <w:divsChild>
            <w:div w:id="16398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2210">
      <w:bodyDiv w:val="1"/>
      <w:marLeft w:val="0"/>
      <w:marRight w:val="0"/>
      <w:marTop w:val="0"/>
      <w:marBottom w:val="0"/>
      <w:divBdr>
        <w:top w:val="none" w:sz="0" w:space="0" w:color="auto"/>
        <w:left w:val="none" w:sz="0" w:space="0" w:color="auto"/>
        <w:bottom w:val="none" w:sz="0" w:space="0" w:color="auto"/>
        <w:right w:val="none" w:sz="0" w:space="0" w:color="auto"/>
      </w:divBdr>
      <w:divsChild>
        <w:div w:id="1533568332">
          <w:marLeft w:val="0"/>
          <w:marRight w:val="0"/>
          <w:marTop w:val="0"/>
          <w:marBottom w:val="0"/>
          <w:divBdr>
            <w:top w:val="none" w:sz="0" w:space="0" w:color="auto"/>
            <w:left w:val="none" w:sz="0" w:space="0" w:color="auto"/>
            <w:bottom w:val="none" w:sz="0" w:space="0" w:color="auto"/>
            <w:right w:val="none" w:sz="0" w:space="0" w:color="auto"/>
          </w:divBdr>
        </w:div>
        <w:div w:id="688916467">
          <w:marLeft w:val="0"/>
          <w:marRight w:val="0"/>
          <w:marTop w:val="0"/>
          <w:marBottom w:val="0"/>
          <w:divBdr>
            <w:top w:val="none" w:sz="0" w:space="0" w:color="auto"/>
            <w:left w:val="none" w:sz="0" w:space="0" w:color="auto"/>
            <w:bottom w:val="none" w:sz="0" w:space="0" w:color="auto"/>
            <w:right w:val="none" w:sz="0" w:space="0" w:color="auto"/>
          </w:divBdr>
        </w:div>
      </w:divsChild>
    </w:div>
    <w:div w:id="256913925">
      <w:bodyDiv w:val="1"/>
      <w:marLeft w:val="0"/>
      <w:marRight w:val="0"/>
      <w:marTop w:val="0"/>
      <w:marBottom w:val="0"/>
      <w:divBdr>
        <w:top w:val="none" w:sz="0" w:space="0" w:color="auto"/>
        <w:left w:val="none" w:sz="0" w:space="0" w:color="auto"/>
        <w:bottom w:val="none" w:sz="0" w:space="0" w:color="auto"/>
        <w:right w:val="none" w:sz="0" w:space="0" w:color="auto"/>
      </w:divBdr>
    </w:div>
    <w:div w:id="261035681">
      <w:bodyDiv w:val="1"/>
      <w:marLeft w:val="0"/>
      <w:marRight w:val="0"/>
      <w:marTop w:val="0"/>
      <w:marBottom w:val="0"/>
      <w:divBdr>
        <w:top w:val="none" w:sz="0" w:space="0" w:color="auto"/>
        <w:left w:val="none" w:sz="0" w:space="0" w:color="auto"/>
        <w:bottom w:val="none" w:sz="0" w:space="0" w:color="auto"/>
        <w:right w:val="none" w:sz="0" w:space="0" w:color="auto"/>
      </w:divBdr>
      <w:divsChild>
        <w:div w:id="601036047">
          <w:marLeft w:val="0"/>
          <w:marRight w:val="0"/>
          <w:marTop w:val="240"/>
          <w:marBottom w:val="0"/>
          <w:divBdr>
            <w:top w:val="none" w:sz="0" w:space="0" w:color="auto"/>
            <w:left w:val="none" w:sz="0" w:space="0" w:color="auto"/>
            <w:bottom w:val="none" w:sz="0" w:space="0" w:color="auto"/>
            <w:right w:val="none" w:sz="0" w:space="0" w:color="auto"/>
          </w:divBdr>
        </w:div>
        <w:div w:id="1812940100">
          <w:marLeft w:val="0"/>
          <w:marRight w:val="0"/>
          <w:marTop w:val="240"/>
          <w:marBottom w:val="0"/>
          <w:divBdr>
            <w:top w:val="none" w:sz="0" w:space="0" w:color="auto"/>
            <w:left w:val="none" w:sz="0" w:space="0" w:color="auto"/>
            <w:bottom w:val="none" w:sz="0" w:space="0" w:color="auto"/>
            <w:right w:val="none" w:sz="0" w:space="0" w:color="auto"/>
          </w:divBdr>
        </w:div>
        <w:div w:id="1390955878">
          <w:marLeft w:val="0"/>
          <w:marRight w:val="0"/>
          <w:marTop w:val="240"/>
          <w:marBottom w:val="0"/>
          <w:divBdr>
            <w:top w:val="none" w:sz="0" w:space="0" w:color="auto"/>
            <w:left w:val="none" w:sz="0" w:space="0" w:color="auto"/>
            <w:bottom w:val="none" w:sz="0" w:space="0" w:color="auto"/>
            <w:right w:val="none" w:sz="0" w:space="0" w:color="auto"/>
          </w:divBdr>
        </w:div>
        <w:div w:id="1706372710">
          <w:marLeft w:val="0"/>
          <w:marRight w:val="0"/>
          <w:marTop w:val="240"/>
          <w:marBottom w:val="0"/>
          <w:divBdr>
            <w:top w:val="none" w:sz="0" w:space="0" w:color="auto"/>
            <w:left w:val="none" w:sz="0" w:space="0" w:color="auto"/>
            <w:bottom w:val="none" w:sz="0" w:space="0" w:color="auto"/>
            <w:right w:val="none" w:sz="0" w:space="0" w:color="auto"/>
          </w:divBdr>
        </w:div>
      </w:divsChild>
    </w:div>
    <w:div w:id="299843329">
      <w:bodyDiv w:val="1"/>
      <w:marLeft w:val="0"/>
      <w:marRight w:val="0"/>
      <w:marTop w:val="0"/>
      <w:marBottom w:val="0"/>
      <w:divBdr>
        <w:top w:val="none" w:sz="0" w:space="0" w:color="auto"/>
        <w:left w:val="none" w:sz="0" w:space="0" w:color="auto"/>
        <w:bottom w:val="none" w:sz="0" w:space="0" w:color="auto"/>
        <w:right w:val="none" w:sz="0" w:space="0" w:color="auto"/>
      </w:divBdr>
    </w:div>
    <w:div w:id="300810413">
      <w:bodyDiv w:val="1"/>
      <w:marLeft w:val="0"/>
      <w:marRight w:val="0"/>
      <w:marTop w:val="0"/>
      <w:marBottom w:val="0"/>
      <w:divBdr>
        <w:top w:val="none" w:sz="0" w:space="0" w:color="auto"/>
        <w:left w:val="none" w:sz="0" w:space="0" w:color="auto"/>
        <w:bottom w:val="none" w:sz="0" w:space="0" w:color="auto"/>
        <w:right w:val="none" w:sz="0" w:space="0" w:color="auto"/>
      </w:divBdr>
    </w:div>
    <w:div w:id="310522309">
      <w:bodyDiv w:val="1"/>
      <w:marLeft w:val="0"/>
      <w:marRight w:val="0"/>
      <w:marTop w:val="0"/>
      <w:marBottom w:val="0"/>
      <w:divBdr>
        <w:top w:val="none" w:sz="0" w:space="0" w:color="auto"/>
        <w:left w:val="none" w:sz="0" w:space="0" w:color="auto"/>
        <w:bottom w:val="none" w:sz="0" w:space="0" w:color="auto"/>
        <w:right w:val="none" w:sz="0" w:space="0" w:color="auto"/>
      </w:divBdr>
    </w:div>
    <w:div w:id="321545172">
      <w:bodyDiv w:val="1"/>
      <w:marLeft w:val="0"/>
      <w:marRight w:val="0"/>
      <w:marTop w:val="0"/>
      <w:marBottom w:val="0"/>
      <w:divBdr>
        <w:top w:val="none" w:sz="0" w:space="0" w:color="auto"/>
        <w:left w:val="none" w:sz="0" w:space="0" w:color="auto"/>
        <w:bottom w:val="none" w:sz="0" w:space="0" w:color="auto"/>
        <w:right w:val="none" w:sz="0" w:space="0" w:color="auto"/>
      </w:divBdr>
      <w:divsChild>
        <w:div w:id="1202132517">
          <w:marLeft w:val="0"/>
          <w:marRight w:val="0"/>
          <w:marTop w:val="0"/>
          <w:marBottom w:val="0"/>
          <w:divBdr>
            <w:top w:val="none" w:sz="0" w:space="0" w:color="auto"/>
            <w:left w:val="none" w:sz="0" w:space="0" w:color="auto"/>
            <w:bottom w:val="none" w:sz="0" w:space="0" w:color="auto"/>
            <w:right w:val="none" w:sz="0" w:space="0" w:color="auto"/>
          </w:divBdr>
          <w:divsChild>
            <w:div w:id="7219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5284">
      <w:bodyDiv w:val="1"/>
      <w:marLeft w:val="0"/>
      <w:marRight w:val="0"/>
      <w:marTop w:val="0"/>
      <w:marBottom w:val="0"/>
      <w:divBdr>
        <w:top w:val="none" w:sz="0" w:space="0" w:color="auto"/>
        <w:left w:val="none" w:sz="0" w:space="0" w:color="auto"/>
        <w:bottom w:val="none" w:sz="0" w:space="0" w:color="auto"/>
        <w:right w:val="none" w:sz="0" w:space="0" w:color="auto"/>
      </w:divBdr>
    </w:div>
    <w:div w:id="391544398">
      <w:bodyDiv w:val="1"/>
      <w:marLeft w:val="0"/>
      <w:marRight w:val="0"/>
      <w:marTop w:val="0"/>
      <w:marBottom w:val="0"/>
      <w:divBdr>
        <w:top w:val="none" w:sz="0" w:space="0" w:color="auto"/>
        <w:left w:val="none" w:sz="0" w:space="0" w:color="auto"/>
        <w:bottom w:val="none" w:sz="0" w:space="0" w:color="auto"/>
        <w:right w:val="none" w:sz="0" w:space="0" w:color="auto"/>
      </w:divBdr>
    </w:div>
    <w:div w:id="411392673">
      <w:bodyDiv w:val="1"/>
      <w:marLeft w:val="0"/>
      <w:marRight w:val="0"/>
      <w:marTop w:val="0"/>
      <w:marBottom w:val="0"/>
      <w:divBdr>
        <w:top w:val="none" w:sz="0" w:space="0" w:color="auto"/>
        <w:left w:val="none" w:sz="0" w:space="0" w:color="auto"/>
        <w:bottom w:val="none" w:sz="0" w:space="0" w:color="auto"/>
        <w:right w:val="none" w:sz="0" w:space="0" w:color="auto"/>
      </w:divBdr>
    </w:div>
    <w:div w:id="440539136">
      <w:bodyDiv w:val="1"/>
      <w:marLeft w:val="0"/>
      <w:marRight w:val="0"/>
      <w:marTop w:val="0"/>
      <w:marBottom w:val="0"/>
      <w:divBdr>
        <w:top w:val="none" w:sz="0" w:space="0" w:color="auto"/>
        <w:left w:val="none" w:sz="0" w:space="0" w:color="auto"/>
        <w:bottom w:val="none" w:sz="0" w:space="0" w:color="auto"/>
        <w:right w:val="none" w:sz="0" w:space="0" w:color="auto"/>
      </w:divBdr>
    </w:div>
    <w:div w:id="518352113">
      <w:bodyDiv w:val="1"/>
      <w:marLeft w:val="0"/>
      <w:marRight w:val="0"/>
      <w:marTop w:val="0"/>
      <w:marBottom w:val="0"/>
      <w:divBdr>
        <w:top w:val="none" w:sz="0" w:space="0" w:color="auto"/>
        <w:left w:val="none" w:sz="0" w:space="0" w:color="auto"/>
        <w:bottom w:val="none" w:sz="0" w:space="0" w:color="auto"/>
        <w:right w:val="none" w:sz="0" w:space="0" w:color="auto"/>
      </w:divBdr>
    </w:div>
    <w:div w:id="531965485">
      <w:bodyDiv w:val="1"/>
      <w:marLeft w:val="0"/>
      <w:marRight w:val="0"/>
      <w:marTop w:val="0"/>
      <w:marBottom w:val="0"/>
      <w:divBdr>
        <w:top w:val="none" w:sz="0" w:space="0" w:color="auto"/>
        <w:left w:val="none" w:sz="0" w:space="0" w:color="auto"/>
        <w:bottom w:val="none" w:sz="0" w:space="0" w:color="auto"/>
        <w:right w:val="none" w:sz="0" w:space="0" w:color="auto"/>
      </w:divBdr>
    </w:div>
    <w:div w:id="570384521">
      <w:bodyDiv w:val="1"/>
      <w:marLeft w:val="0"/>
      <w:marRight w:val="0"/>
      <w:marTop w:val="0"/>
      <w:marBottom w:val="0"/>
      <w:divBdr>
        <w:top w:val="none" w:sz="0" w:space="0" w:color="auto"/>
        <w:left w:val="none" w:sz="0" w:space="0" w:color="auto"/>
        <w:bottom w:val="none" w:sz="0" w:space="0" w:color="auto"/>
        <w:right w:val="none" w:sz="0" w:space="0" w:color="auto"/>
      </w:divBdr>
    </w:div>
    <w:div w:id="586427571">
      <w:bodyDiv w:val="1"/>
      <w:marLeft w:val="0"/>
      <w:marRight w:val="0"/>
      <w:marTop w:val="0"/>
      <w:marBottom w:val="0"/>
      <w:divBdr>
        <w:top w:val="none" w:sz="0" w:space="0" w:color="auto"/>
        <w:left w:val="none" w:sz="0" w:space="0" w:color="auto"/>
        <w:bottom w:val="none" w:sz="0" w:space="0" w:color="auto"/>
        <w:right w:val="none" w:sz="0" w:space="0" w:color="auto"/>
      </w:divBdr>
      <w:divsChild>
        <w:div w:id="1822190006">
          <w:marLeft w:val="0"/>
          <w:marRight w:val="0"/>
          <w:marTop w:val="0"/>
          <w:marBottom w:val="0"/>
          <w:divBdr>
            <w:top w:val="none" w:sz="0" w:space="0" w:color="auto"/>
            <w:left w:val="none" w:sz="0" w:space="0" w:color="auto"/>
            <w:bottom w:val="none" w:sz="0" w:space="0" w:color="auto"/>
            <w:right w:val="none" w:sz="0" w:space="0" w:color="auto"/>
          </w:divBdr>
        </w:div>
        <w:div w:id="535043269">
          <w:marLeft w:val="0"/>
          <w:marRight w:val="0"/>
          <w:marTop w:val="0"/>
          <w:marBottom w:val="0"/>
          <w:divBdr>
            <w:top w:val="none" w:sz="0" w:space="0" w:color="auto"/>
            <w:left w:val="none" w:sz="0" w:space="0" w:color="auto"/>
            <w:bottom w:val="none" w:sz="0" w:space="0" w:color="auto"/>
            <w:right w:val="none" w:sz="0" w:space="0" w:color="auto"/>
          </w:divBdr>
        </w:div>
        <w:div w:id="1149513066">
          <w:marLeft w:val="0"/>
          <w:marRight w:val="0"/>
          <w:marTop w:val="0"/>
          <w:marBottom w:val="0"/>
          <w:divBdr>
            <w:top w:val="none" w:sz="0" w:space="0" w:color="auto"/>
            <w:left w:val="none" w:sz="0" w:space="0" w:color="auto"/>
            <w:bottom w:val="none" w:sz="0" w:space="0" w:color="auto"/>
            <w:right w:val="none" w:sz="0" w:space="0" w:color="auto"/>
          </w:divBdr>
        </w:div>
        <w:div w:id="1335645611">
          <w:marLeft w:val="0"/>
          <w:marRight w:val="0"/>
          <w:marTop w:val="0"/>
          <w:marBottom w:val="0"/>
          <w:divBdr>
            <w:top w:val="none" w:sz="0" w:space="0" w:color="auto"/>
            <w:left w:val="none" w:sz="0" w:space="0" w:color="auto"/>
            <w:bottom w:val="none" w:sz="0" w:space="0" w:color="auto"/>
            <w:right w:val="none" w:sz="0" w:space="0" w:color="auto"/>
          </w:divBdr>
        </w:div>
        <w:div w:id="894974300">
          <w:marLeft w:val="0"/>
          <w:marRight w:val="0"/>
          <w:marTop w:val="0"/>
          <w:marBottom w:val="0"/>
          <w:divBdr>
            <w:top w:val="none" w:sz="0" w:space="0" w:color="auto"/>
            <w:left w:val="none" w:sz="0" w:space="0" w:color="auto"/>
            <w:bottom w:val="none" w:sz="0" w:space="0" w:color="auto"/>
            <w:right w:val="none" w:sz="0" w:space="0" w:color="auto"/>
          </w:divBdr>
        </w:div>
        <w:div w:id="594098895">
          <w:marLeft w:val="0"/>
          <w:marRight w:val="0"/>
          <w:marTop w:val="0"/>
          <w:marBottom w:val="0"/>
          <w:divBdr>
            <w:top w:val="none" w:sz="0" w:space="0" w:color="auto"/>
            <w:left w:val="none" w:sz="0" w:space="0" w:color="auto"/>
            <w:bottom w:val="none" w:sz="0" w:space="0" w:color="auto"/>
            <w:right w:val="none" w:sz="0" w:space="0" w:color="auto"/>
          </w:divBdr>
        </w:div>
        <w:div w:id="1115633325">
          <w:marLeft w:val="0"/>
          <w:marRight w:val="0"/>
          <w:marTop w:val="0"/>
          <w:marBottom w:val="0"/>
          <w:divBdr>
            <w:top w:val="none" w:sz="0" w:space="0" w:color="auto"/>
            <w:left w:val="none" w:sz="0" w:space="0" w:color="auto"/>
            <w:bottom w:val="none" w:sz="0" w:space="0" w:color="auto"/>
            <w:right w:val="none" w:sz="0" w:space="0" w:color="auto"/>
          </w:divBdr>
        </w:div>
        <w:div w:id="347291936">
          <w:marLeft w:val="0"/>
          <w:marRight w:val="0"/>
          <w:marTop w:val="0"/>
          <w:marBottom w:val="0"/>
          <w:divBdr>
            <w:top w:val="none" w:sz="0" w:space="0" w:color="auto"/>
            <w:left w:val="none" w:sz="0" w:space="0" w:color="auto"/>
            <w:bottom w:val="none" w:sz="0" w:space="0" w:color="auto"/>
            <w:right w:val="none" w:sz="0" w:space="0" w:color="auto"/>
          </w:divBdr>
        </w:div>
        <w:div w:id="2043896907">
          <w:marLeft w:val="0"/>
          <w:marRight w:val="0"/>
          <w:marTop w:val="0"/>
          <w:marBottom w:val="0"/>
          <w:divBdr>
            <w:top w:val="none" w:sz="0" w:space="0" w:color="auto"/>
            <w:left w:val="none" w:sz="0" w:space="0" w:color="auto"/>
            <w:bottom w:val="none" w:sz="0" w:space="0" w:color="auto"/>
            <w:right w:val="none" w:sz="0" w:space="0" w:color="auto"/>
          </w:divBdr>
        </w:div>
        <w:div w:id="847407036">
          <w:marLeft w:val="0"/>
          <w:marRight w:val="0"/>
          <w:marTop w:val="0"/>
          <w:marBottom w:val="0"/>
          <w:divBdr>
            <w:top w:val="none" w:sz="0" w:space="0" w:color="auto"/>
            <w:left w:val="none" w:sz="0" w:space="0" w:color="auto"/>
            <w:bottom w:val="none" w:sz="0" w:space="0" w:color="auto"/>
            <w:right w:val="none" w:sz="0" w:space="0" w:color="auto"/>
          </w:divBdr>
        </w:div>
        <w:div w:id="1008798136">
          <w:marLeft w:val="0"/>
          <w:marRight w:val="0"/>
          <w:marTop w:val="0"/>
          <w:marBottom w:val="0"/>
          <w:divBdr>
            <w:top w:val="none" w:sz="0" w:space="0" w:color="auto"/>
            <w:left w:val="none" w:sz="0" w:space="0" w:color="auto"/>
            <w:bottom w:val="none" w:sz="0" w:space="0" w:color="auto"/>
            <w:right w:val="none" w:sz="0" w:space="0" w:color="auto"/>
          </w:divBdr>
        </w:div>
        <w:div w:id="1947152790">
          <w:marLeft w:val="0"/>
          <w:marRight w:val="0"/>
          <w:marTop w:val="0"/>
          <w:marBottom w:val="0"/>
          <w:divBdr>
            <w:top w:val="none" w:sz="0" w:space="0" w:color="auto"/>
            <w:left w:val="none" w:sz="0" w:space="0" w:color="auto"/>
            <w:bottom w:val="none" w:sz="0" w:space="0" w:color="auto"/>
            <w:right w:val="none" w:sz="0" w:space="0" w:color="auto"/>
          </w:divBdr>
        </w:div>
        <w:div w:id="1793403269">
          <w:marLeft w:val="0"/>
          <w:marRight w:val="0"/>
          <w:marTop w:val="0"/>
          <w:marBottom w:val="0"/>
          <w:divBdr>
            <w:top w:val="none" w:sz="0" w:space="0" w:color="auto"/>
            <w:left w:val="none" w:sz="0" w:space="0" w:color="auto"/>
            <w:bottom w:val="none" w:sz="0" w:space="0" w:color="auto"/>
            <w:right w:val="none" w:sz="0" w:space="0" w:color="auto"/>
          </w:divBdr>
        </w:div>
        <w:div w:id="1702247060">
          <w:marLeft w:val="0"/>
          <w:marRight w:val="0"/>
          <w:marTop w:val="0"/>
          <w:marBottom w:val="0"/>
          <w:divBdr>
            <w:top w:val="none" w:sz="0" w:space="0" w:color="auto"/>
            <w:left w:val="none" w:sz="0" w:space="0" w:color="auto"/>
            <w:bottom w:val="none" w:sz="0" w:space="0" w:color="auto"/>
            <w:right w:val="none" w:sz="0" w:space="0" w:color="auto"/>
          </w:divBdr>
        </w:div>
        <w:div w:id="1374379965">
          <w:marLeft w:val="0"/>
          <w:marRight w:val="0"/>
          <w:marTop w:val="0"/>
          <w:marBottom w:val="0"/>
          <w:divBdr>
            <w:top w:val="none" w:sz="0" w:space="0" w:color="auto"/>
            <w:left w:val="none" w:sz="0" w:space="0" w:color="auto"/>
            <w:bottom w:val="none" w:sz="0" w:space="0" w:color="auto"/>
            <w:right w:val="none" w:sz="0" w:space="0" w:color="auto"/>
          </w:divBdr>
        </w:div>
        <w:div w:id="49965286">
          <w:marLeft w:val="0"/>
          <w:marRight w:val="0"/>
          <w:marTop w:val="0"/>
          <w:marBottom w:val="0"/>
          <w:divBdr>
            <w:top w:val="none" w:sz="0" w:space="0" w:color="auto"/>
            <w:left w:val="none" w:sz="0" w:space="0" w:color="auto"/>
            <w:bottom w:val="none" w:sz="0" w:space="0" w:color="auto"/>
            <w:right w:val="none" w:sz="0" w:space="0" w:color="auto"/>
          </w:divBdr>
        </w:div>
        <w:div w:id="2036687354">
          <w:marLeft w:val="0"/>
          <w:marRight w:val="0"/>
          <w:marTop w:val="0"/>
          <w:marBottom w:val="0"/>
          <w:divBdr>
            <w:top w:val="none" w:sz="0" w:space="0" w:color="auto"/>
            <w:left w:val="none" w:sz="0" w:space="0" w:color="auto"/>
            <w:bottom w:val="none" w:sz="0" w:space="0" w:color="auto"/>
            <w:right w:val="none" w:sz="0" w:space="0" w:color="auto"/>
          </w:divBdr>
        </w:div>
        <w:div w:id="1504979038">
          <w:marLeft w:val="0"/>
          <w:marRight w:val="0"/>
          <w:marTop w:val="0"/>
          <w:marBottom w:val="0"/>
          <w:divBdr>
            <w:top w:val="none" w:sz="0" w:space="0" w:color="auto"/>
            <w:left w:val="none" w:sz="0" w:space="0" w:color="auto"/>
            <w:bottom w:val="none" w:sz="0" w:space="0" w:color="auto"/>
            <w:right w:val="none" w:sz="0" w:space="0" w:color="auto"/>
          </w:divBdr>
        </w:div>
        <w:div w:id="539248809">
          <w:marLeft w:val="0"/>
          <w:marRight w:val="0"/>
          <w:marTop w:val="0"/>
          <w:marBottom w:val="0"/>
          <w:divBdr>
            <w:top w:val="none" w:sz="0" w:space="0" w:color="auto"/>
            <w:left w:val="none" w:sz="0" w:space="0" w:color="auto"/>
            <w:bottom w:val="none" w:sz="0" w:space="0" w:color="auto"/>
            <w:right w:val="none" w:sz="0" w:space="0" w:color="auto"/>
          </w:divBdr>
        </w:div>
        <w:div w:id="730037435">
          <w:marLeft w:val="0"/>
          <w:marRight w:val="0"/>
          <w:marTop w:val="0"/>
          <w:marBottom w:val="0"/>
          <w:divBdr>
            <w:top w:val="none" w:sz="0" w:space="0" w:color="auto"/>
            <w:left w:val="none" w:sz="0" w:space="0" w:color="auto"/>
            <w:bottom w:val="none" w:sz="0" w:space="0" w:color="auto"/>
            <w:right w:val="none" w:sz="0" w:space="0" w:color="auto"/>
          </w:divBdr>
        </w:div>
        <w:div w:id="807086024">
          <w:marLeft w:val="0"/>
          <w:marRight w:val="0"/>
          <w:marTop w:val="0"/>
          <w:marBottom w:val="0"/>
          <w:divBdr>
            <w:top w:val="none" w:sz="0" w:space="0" w:color="auto"/>
            <w:left w:val="none" w:sz="0" w:space="0" w:color="auto"/>
            <w:bottom w:val="none" w:sz="0" w:space="0" w:color="auto"/>
            <w:right w:val="none" w:sz="0" w:space="0" w:color="auto"/>
          </w:divBdr>
        </w:div>
        <w:div w:id="911499752">
          <w:marLeft w:val="0"/>
          <w:marRight w:val="0"/>
          <w:marTop w:val="0"/>
          <w:marBottom w:val="0"/>
          <w:divBdr>
            <w:top w:val="none" w:sz="0" w:space="0" w:color="auto"/>
            <w:left w:val="none" w:sz="0" w:space="0" w:color="auto"/>
            <w:bottom w:val="none" w:sz="0" w:space="0" w:color="auto"/>
            <w:right w:val="none" w:sz="0" w:space="0" w:color="auto"/>
          </w:divBdr>
        </w:div>
      </w:divsChild>
    </w:div>
    <w:div w:id="629242253">
      <w:bodyDiv w:val="1"/>
      <w:marLeft w:val="0"/>
      <w:marRight w:val="0"/>
      <w:marTop w:val="0"/>
      <w:marBottom w:val="0"/>
      <w:divBdr>
        <w:top w:val="none" w:sz="0" w:space="0" w:color="auto"/>
        <w:left w:val="none" w:sz="0" w:space="0" w:color="auto"/>
        <w:bottom w:val="none" w:sz="0" w:space="0" w:color="auto"/>
        <w:right w:val="none" w:sz="0" w:space="0" w:color="auto"/>
      </w:divBdr>
      <w:divsChild>
        <w:div w:id="1914774244">
          <w:marLeft w:val="0"/>
          <w:marRight w:val="0"/>
          <w:marTop w:val="0"/>
          <w:marBottom w:val="0"/>
          <w:divBdr>
            <w:top w:val="none" w:sz="0" w:space="0" w:color="auto"/>
            <w:left w:val="none" w:sz="0" w:space="0" w:color="auto"/>
            <w:bottom w:val="none" w:sz="0" w:space="0" w:color="auto"/>
            <w:right w:val="none" w:sz="0" w:space="0" w:color="auto"/>
          </w:divBdr>
          <w:divsChild>
            <w:div w:id="6375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90014">
      <w:bodyDiv w:val="1"/>
      <w:marLeft w:val="0"/>
      <w:marRight w:val="0"/>
      <w:marTop w:val="0"/>
      <w:marBottom w:val="0"/>
      <w:divBdr>
        <w:top w:val="none" w:sz="0" w:space="0" w:color="auto"/>
        <w:left w:val="none" w:sz="0" w:space="0" w:color="auto"/>
        <w:bottom w:val="none" w:sz="0" w:space="0" w:color="auto"/>
        <w:right w:val="none" w:sz="0" w:space="0" w:color="auto"/>
      </w:divBdr>
      <w:divsChild>
        <w:div w:id="1291132014">
          <w:marLeft w:val="0"/>
          <w:marRight w:val="0"/>
          <w:marTop w:val="0"/>
          <w:marBottom w:val="0"/>
          <w:divBdr>
            <w:top w:val="none" w:sz="0" w:space="0" w:color="auto"/>
            <w:left w:val="none" w:sz="0" w:space="0" w:color="auto"/>
            <w:bottom w:val="none" w:sz="0" w:space="0" w:color="auto"/>
            <w:right w:val="none" w:sz="0" w:space="0" w:color="auto"/>
          </w:divBdr>
          <w:divsChild>
            <w:div w:id="1877501034">
              <w:marLeft w:val="0"/>
              <w:marRight w:val="0"/>
              <w:marTop w:val="0"/>
              <w:marBottom w:val="0"/>
              <w:divBdr>
                <w:top w:val="none" w:sz="0" w:space="0" w:color="auto"/>
                <w:left w:val="none" w:sz="0" w:space="0" w:color="auto"/>
                <w:bottom w:val="none" w:sz="0" w:space="0" w:color="auto"/>
                <w:right w:val="none" w:sz="0" w:space="0" w:color="auto"/>
              </w:divBdr>
              <w:divsChild>
                <w:div w:id="1560435838">
                  <w:marLeft w:val="0"/>
                  <w:marRight w:val="0"/>
                  <w:marTop w:val="0"/>
                  <w:marBottom w:val="0"/>
                  <w:divBdr>
                    <w:top w:val="none" w:sz="0" w:space="0" w:color="auto"/>
                    <w:left w:val="none" w:sz="0" w:space="0" w:color="auto"/>
                    <w:bottom w:val="none" w:sz="0" w:space="0" w:color="auto"/>
                    <w:right w:val="none" w:sz="0" w:space="0" w:color="auto"/>
                  </w:divBdr>
                  <w:divsChild>
                    <w:div w:id="445735805">
                      <w:marLeft w:val="0"/>
                      <w:marRight w:val="0"/>
                      <w:marTop w:val="0"/>
                      <w:marBottom w:val="0"/>
                      <w:divBdr>
                        <w:top w:val="none" w:sz="0" w:space="0" w:color="auto"/>
                        <w:left w:val="none" w:sz="0" w:space="0" w:color="auto"/>
                        <w:bottom w:val="none" w:sz="0" w:space="0" w:color="auto"/>
                        <w:right w:val="none" w:sz="0" w:space="0" w:color="auto"/>
                      </w:divBdr>
                      <w:divsChild>
                        <w:div w:id="1368986706">
                          <w:marLeft w:val="0"/>
                          <w:marRight w:val="0"/>
                          <w:marTop w:val="0"/>
                          <w:marBottom w:val="0"/>
                          <w:divBdr>
                            <w:top w:val="none" w:sz="0" w:space="0" w:color="auto"/>
                            <w:left w:val="none" w:sz="0" w:space="0" w:color="auto"/>
                            <w:bottom w:val="none" w:sz="0" w:space="0" w:color="auto"/>
                            <w:right w:val="none" w:sz="0" w:space="0" w:color="auto"/>
                          </w:divBdr>
                          <w:divsChild>
                            <w:div w:id="2147309176">
                              <w:marLeft w:val="0"/>
                              <w:marRight w:val="0"/>
                              <w:marTop w:val="0"/>
                              <w:marBottom w:val="0"/>
                              <w:divBdr>
                                <w:top w:val="none" w:sz="0" w:space="0" w:color="auto"/>
                                <w:left w:val="none" w:sz="0" w:space="0" w:color="auto"/>
                                <w:bottom w:val="none" w:sz="0" w:space="0" w:color="auto"/>
                                <w:right w:val="none" w:sz="0" w:space="0" w:color="auto"/>
                              </w:divBdr>
                              <w:divsChild>
                                <w:div w:id="1756627845">
                                  <w:marLeft w:val="0"/>
                                  <w:marRight w:val="0"/>
                                  <w:marTop w:val="0"/>
                                  <w:marBottom w:val="0"/>
                                  <w:divBdr>
                                    <w:top w:val="none" w:sz="0" w:space="0" w:color="auto"/>
                                    <w:left w:val="none" w:sz="0" w:space="0" w:color="auto"/>
                                    <w:bottom w:val="none" w:sz="0" w:space="0" w:color="auto"/>
                                    <w:right w:val="none" w:sz="0" w:space="0" w:color="auto"/>
                                  </w:divBdr>
                                  <w:divsChild>
                                    <w:div w:id="14328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077742">
                          <w:marLeft w:val="0"/>
                          <w:marRight w:val="0"/>
                          <w:marTop w:val="0"/>
                          <w:marBottom w:val="0"/>
                          <w:divBdr>
                            <w:top w:val="none" w:sz="0" w:space="0" w:color="auto"/>
                            <w:left w:val="none" w:sz="0" w:space="0" w:color="auto"/>
                            <w:bottom w:val="none" w:sz="0" w:space="0" w:color="auto"/>
                            <w:right w:val="none" w:sz="0" w:space="0" w:color="auto"/>
                          </w:divBdr>
                          <w:divsChild>
                            <w:div w:id="664361020">
                              <w:marLeft w:val="0"/>
                              <w:marRight w:val="0"/>
                              <w:marTop w:val="0"/>
                              <w:marBottom w:val="0"/>
                              <w:divBdr>
                                <w:top w:val="none" w:sz="0" w:space="0" w:color="auto"/>
                                <w:left w:val="none" w:sz="0" w:space="0" w:color="auto"/>
                                <w:bottom w:val="none" w:sz="0" w:space="0" w:color="auto"/>
                                <w:right w:val="none" w:sz="0" w:space="0" w:color="auto"/>
                              </w:divBdr>
                              <w:divsChild>
                                <w:div w:id="5298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113024">
      <w:bodyDiv w:val="1"/>
      <w:marLeft w:val="0"/>
      <w:marRight w:val="0"/>
      <w:marTop w:val="0"/>
      <w:marBottom w:val="0"/>
      <w:divBdr>
        <w:top w:val="none" w:sz="0" w:space="0" w:color="auto"/>
        <w:left w:val="none" w:sz="0" w:space="0" w:color="auto"/>
        <w:bottom w:val="none" w:sz="0" w:space="0" w:color="auto"/>
        <w:right w:val="none" w:sz="0" w:space="0" w:color="auto"/>
      </w:divBdr>
    </w:div>
    <w:div w:id="730428708">
      <w:bodyDiv w:val="1"/>
      <w:marLeft w:val="0"/>
      <w:marRight w:val="0"/>
      <w:marTop w:val="0"/>
      <w:marBottom w:val="0"/>
      <w:divBdr>
        <w:top w:val="none" w:sz="0" w:space="0" w:color="auto"/>
        <w:left w:val="none" w:sz="0" w:space="0" w:color="auto"/>
        <w:bottom w:val="none" w:sz="0" w:space="0" w:color="auto"/>
        <w:right w:val="none" w:sz="0" w:space="0" w:color="auto"/>
      </w:divBdr>
    </w:div>
    <w:div w:id="737673447">
      <w:bodyDiv w:val="1"/>
      <w:marLeft w:val="0"/>
      <w:marRight w:val="0"/>
      <w:marTop w:val="0"/>
      <w:marBottom w:val="0"/>
      <w:divBdr>
        <w:top w:val="none" w:sz="0" w:space="0" w:color="auto"/>
        <w:left w:val="none" w:sz="0" w:space="0" w:color="auto"/>
        <w:bottom w:val="none" w:sz="0" w:space="0" w:color="auto"/>
        <w:right w:val="none" w:sz="0" w:space="0" w:color="auto"/>
      </w:divBdr>
      <w:divsChild>
        <w:div w:id="164980417">
          <w:marLeft w:val="0"/>
          <w:marRight w:val="0"/>
          <w:marTop w:val="0"/>
          <w:marBottom w:val="0"/>
          <w:divBdr>
            <w:top w:val="none" w:sz="0" w:space="0" w:color="auto"/>
            <w:left w:val="none" w:sz="0" w:space="0" w:color="auto"/>
            <w:bottom w:val="none" w:sz="0" w:space="0" w:color="auto"/>
            <w:right w:val="none" w:sz="0" w:space="0" w:color="auto"/>
          </w:divBdr>
          <w:divsChild>
            <w:div w:id="1351487379">
              <w:marLeft w:val="0"/>
              <w:marRight w:val="0"/>
              <w:marTop w:val="0"/>
              <w:marBottom w:val="0"/>
              <w:divBdr>
                <w:top w:val="none" w:sz="0" w:space="0" w:color="auto"/>
                <w:left w:val="none" w:sz="0" w:space="0" w:color="auto"/>
                <w:bottom w:val="none" w:sz="0" w:space="0" w:color="auto"/>
                <w:right w:val="none" w:sz="0" w:space="0" w:color="auto"/>
              </w:divBdr>
              <w:divsChild>
                <w:div w:id="693381195">
                  <w:marLeft w:val="0"/>
                  <w:marRight w:val="0"/>
                  <w:marTop w:val="0"/>
                  <w:marBottom w:val="0"/>
                  <w:divBdr>
                    <w:top w:val="none" w:sz="0" w:space="0" w:color="auto"/>
                    <w:left w:val="none" w:sz="0" w:space="0" w:color="auto"/>
                    <w:bottom w:val="none" w:sz="0" w:space="0" w:color="auto"/>
                    <w:right w:val="none" w:sz="0" w:space="0" w:color="auto"/>
                  </w:divBdr>
                  <w:divsChild>
                    <w:div w:id="1616448931">
                      <w:marLeft w:val="0"/>
                      <w:marRight w:val="0"/>
                      <w:marTop w:val="0"/>
                      <w:marBottom w:val="0"/>
                      <w:divBdr>
                        <w:top w:val="none" w:sz="0" w:space="0" w:color="auto"/>
                        <w:left w:val="none" w:sz="0" w:space="0" w:color="auto"/>
                        <w:bottom w:val="none" w:sz="0" w:space="0" w:color="auto"/>
                        <w:right w:val="none" w:sz="0" w:space="0" w:color="auto"/>
                      </w:divBdr>
                      <w:divsChild>
                        <w:div w:id="443382212">
                          <w:marLeft w:val="0"/>
                          <w:marRight w:val="0"/>
                          <w:marTop w:val="0"/>
                          <w:marBottom w:val="0"/>
                          <w:divBdr>
                            <w:top w:val="none" w:sz="0" w:space="0" w:color="auto"/>
                            <w:left w:val="none" w:sz="0" w:space="0" w:color="auto"/>
                            <w:bottom w:val="none" w:sz="0" w:space="0" w:color="auto"/>
                            <w:right w:val="none" w:sz="0" w:space="0" w:color="auto"/>
                          </w:divBdr>
                          <w:divsChild>
                            <w:div w:id="800423699">
                              <w:marLeft w:val="0"/>
                              <w:marRight w:val="0"/>
                              <w:marTop w:val="0"/>
                              <w:marBottom w:val="0"/>
                              <w:divBdr>
                                <w:top w:val="none" w:sz="0" w:space="0" w:color="auto"/>
                                <w:left w:val="none" w:sz="0" w:space="0" w:color="auto"/>
                                <w:bottom w:val="none" w:sz="0" w:space="0" w:color="auto"/>
                                <w:right w:val="none" w:sz="0" w:space="0" w:color="auto"/>
                              </w:divBdr>
                              <w:divsChild>
                                <w:div w:id="2103329881">
                                  <w:marLeft w:val="0"/>
                                  <w:marRight w:val="0"/>
                                  <w:marTop w:val="0"/>
                                  <w:marBottom w:val="0"/>
                                  <w:divBdr>
                                    <w:top w:val="none" w:sz="0" w:space="0" w:color="auto"/>
                                    <w:left w:val="none" w:sz="0" w:space="0" w:color="auto"/>
                                    <w:bottom w:val="none" w:sz="0" w:space="0" w:color="auto"/>
                                    <w:right w:val="none" w:sz="0" w:space="0" w:color="auto"/>
                                  </w:divBdr>
                                  <w:divsChild>
                                    <w:div w:id="9124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5721">
                          <w:marLeft w:val="0"/>
                          <w:marRight w:val="0"/>
                          <w:marTop w:val="0"/>
                          <w:marBottom w:val="0"/>
                          <w:divBdr>
                            <w:top w:val="none" w:sz="0" w:space="0" w:color="auto"/>
                            <w:left w:val="none" w:sz="0" w:space="0" w:color="auto"/>
                            <w:bottom w:val="none" w:sz="0" w:space="0" w:color="auto"/>
                            <w:right w:val="none" w:sz="0" w:space="0" w:color="auto"/>
                          </w:divBdr>
                          <w:divsChild>
                            <w:div w:id="1199440607">
                              <w:marLeft w:val="0"/>
                              <w:marRight w:val="0"/>
                              <w:marTop w:val="0"/>
                              <w:marBottom w:val="0"/>
                              <w:divBdr>
                                <w:top w:val="none" w:sz="0" w:space="0" w:color="auto"/>
                                <w:left w:val="none" w:sz="0" w:space="0" w:color="auto"/>
                                <w:bottom w:val="none" w:sz="0" w:space="0" w:color="auto"/>
                                <w:right w:val="none" w:sz="0" w:space="0" w:color="auto"/>
                              </w:divBdr>
                              <w:divsChild>
                                <w:div w:id="21324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945318">
      <w:bodyDiv w:val="1"/>
      <w:marLeft w:val="0"/>
      <w:marRight w:val="0"/>
      <w:marTop w:val="0"/>
      <w:marBottom w:val="0"/>
      <w:divBdr>
        <w:top w:val="none" w:sz="0" w:space="0" w:color="auto"/>
        <w:left w:val="none" w:sz="0" w:space="0" w:color="auto"/>
        <w:bottom w:val="none" w:sz="0" w:space="0" w:color="auto"/>
        <w:right w:val="none" w:sz="0" w:space="0" w:color="auto"/>
      </w:divBdr>
      <w:divsChild>
        <w:div w:id="386537868">
          <w:marLeft w:val="0"/>
          <w:marRight w:val="0"/>
          <w:marTop w:val="0"/>
          <w:marBottom w:val="0"/>
          <w:divBdr>
            <w:top w:val="none" w:sz="0" w:space="0" w:color="auto"/>
            <w:left w:val="none" w:sz="0" w:space="0" w:color="auto"/>
            <w:bottom w:val="none" w:sz="0" w:space="0" w:color="auto"/>
            <w:right w:val="none" w:sz="0" w:space="0" w:color="auto"/>
          </w:divBdr>
          <w:divsChild>
            <w:div w:id="49912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466">
      <w:bodyDiv w:val="1"/>
      <w:marLeft w:val="0"/>
      <w:marRight w:val="0"/>
      <w:marTop w:val="0"/>
      <w:marBottom w:val="0"/>
      <w:divBdr>
        <w:top w:val="none" w:sz="0" w:space="0" w:color="auto"/>
        <w:left w:val="none" w:sz="0" w:space="0" w:color="auto"/>
        <w:bottom w:val="none" w:sz="0" w:space="0" w:color="auto"/>
        <w:right w:val="none" w:sz="0" w:space="0" w:color="auto"/>
      </w:divBdr>
    </w:div>
    <w:div w:id="962616291">
      <w:bodyDiv w:val="1"/>
      <w:marLeft w:val="0"/>
      <w:marRight w:val="0"/>
      <w:marTop w:val="0"/>
      <w:marBottom w:val="0"/>
      <w:divBdr>
        <w:top w:val="none" w:sz="0" w:space="0" w:color="auto"/>
        <w:left w:val="none" w:sz="0" w:space="0" w:color="auto"/>
        <w:bottom w:val="none" w:sz="0" w:space="0" w:color="auto"/>
        <w:right w:val="none" w:sz="0" w:space="0" w:color="auto"/>
      </w:divBdr>
    </w:div>
    <w:div w:id="991640496">
      <w:bodyDiv w:val="1"/>
      <w:marLeft w:val="0"/>
      <w:marRight w:val="0"/>
      <w:marTop w:val="0"/>
      <w:marBottom w:val="0"/>
      <w:divBdr>
        <w:top w:val="none" w:sz="0" w:space="0" w:color="auto"/>
        <w:left w:val="none" w:sz="0" w:space="0" w:color="auto"/>
        <w:bottom w:val="none" w:sz="0" w:space="0" w:color="auto"/>
        <w:right w:val="none" w:sz="0" w:space="0" w:color="auto"/>
      </w:divBdr>
    </w:div>
    <w:div w:id="1045258360">
      <w:bodyDiv w:val="1"/>
      <w:marLeft w:val="0"/>
      <w:marRight w:val="0"/>
      <w:marTop w:val="0"/>
      <w:marBottom w:val="0"/>
      <w:divBdr>
        <w:top w:val="none" w:sz="0" w:space="0" w:color="auto"/>
        <w:left w:val="none" w:sz="0" w:space="0" w:color="auto"/>
        <w:bottom w:val="none" w:sz="0" w:space="0" w:color="auto"/>
        <w:right w:val="none" w:sz="0" w:space="0" w:color="auto"/>
      </w:divBdr>
    </w:div>
    <w:div w:id="1090808155">
      <w:bodyDiv w:val="1"/>
      <w:marLeft w:val="0"/>
      <w:marRight w:val="0"/>
      <w:marTop w:val="0"/>
      <w:marBottom w:val="0"/>
      <w:divBdr>
        <w:top w:val="none" w:sz="0" w:space="0" w:color="auto"/>
        <w:left w:val="none" w:sz="0" w:space="0" w:color="auto"/>
        <w:bottom w:val="none" w:sz="0" w:space="0" w:color="auto"/>
        <w:right w:val="none" w:sz="0" w:space="0" w:color="auto"/>
      </w:divBdr>
    </w:div>
    <w:div w:id="1094519850">
      <w:bodyDiv w:val="1"/>
      <w:marLeft w:val="0"/>
      <w:marRight w:val="0"/>
      <w:marTop w:val="0"/>
      <w:marBottom w:val="0"/>
      <w:divBdr>
        <w:top w:val="none" w:sz="0" w:space="0" w:color="auto"/>
        <w:left w:val="none" w:sz="0" w:space="0" w:color="auto"/>
        <w:bottom w:val="none" w:sz="0" w:space="0" w:color="auto"/>
        <w:right w:val="none" w:sz="0" w:space="0" w:color="auto"/>
      </w:divBdr>
      <w:divsChild>
        <w:div w:id="812209913">
          <w:marLeft w:val="0"/>
          <w:marRight w:val="0"/>
          <w:marTop w:val="0"/>
          <w:marBottom w:val="0"/>
          <w:divBdr>
            <w:top w:val="none" w:sz="0" w:space="0" w:color="auto"/>
            <w:left w:val="none" w:sz="0" w:space="0" w:color="auto"/>
            <w:bottom w:val="none" w:sz="0" w:space="0" w:color="auto"/>
            <w:right w:val="none" w:sz="0" w:space="0" w:color="auto"/>
          </w:divBdr>
          <w:divsChild>
            <w:div w:id="1575434799">
              <w:marLeft w:val="0"/>
              <w:marRight w:val="0"/>
              <w:marTop w:val="0"/>
              <w:marBottom w:val="0"/>
              <w:divBdr>
                <w:top w:val="none" w:sz="0" w:space="0" w:color="auto"/>
                <w:left w:val="none" w:sz="0" w:space="0" w:color="auto"/>
                <w:bottom w:val="none" w:sz="0" w:space="0" w:color="auto"/>
                <w:right w:val="none" w:sz="0" w:space="0" w:color="auto"/>
              </w:divBdr>
              <w:divsChild>
                <w:div w:id="615672421">
                  <w:marLeft w:val="0"/>
                  <w:marRight w:val="0"/>
                  <w:marTop w:val="0"/>
                  <w:marBottom w:val="0"/>
                  <w:divBdr>
                    <w:top w:val="none" w:sz="0" w:space="0" w:color="auto"/>
                    <w:left w:val="none" w:sz="0" w:space="0" w:color="auto"/>
                    <w:bottom w:val="none" w:sz="0" w:space="0" w:color="auto"/>
                    <w:right w:val="none" w:sz="0" w:space="0" w:color="auto"/>
                  </w:divBdr>
                  <w:divsChild>
                    <w:div w:id="1002664185">
                      <w:marLeft w:val="0"/>
                      <w:marRight w:val="0"/>
                      <w:marTop w:val="0"/>
                      <w:marBottom w:val="0"/>
                      <w:divBdr>
                        <w:top w:val="none" w:sz="0" w:space="0" w:color="auto"/>
                        <w:left w:val="none" w:sz="0" w:space="0" w:color="auto"/>
                        <w:bottom w:val="none" w:sz="0" w:space="0" w:color="auto"/>
                        <w:right w:val="none" w:sz="0" w:space="0" w:color="auto"/>
                      </w:divBdr>
                      <w:divsChild>
                        <w:div w:id="107437019">
                          <w:marLeft w:val="0"/>
                          <w:marRight w:val="0"/>
                          <w:marTop w:val="0"/>
                          <w:marBottom w:val="0"/>
                          <w:divBdr>
                            <w:top w:val="none" w:sz="0" w:space="0" w:color="auto"/>
                            <w:left w:val="none" w:sz="0" w:space="0" w:color="auto"/>
                            <w:bottom w:val="none" w:sz="0" w:space="0" w:color="auto"/>
                            <w:right w:val="none" w:sz="0" w:space="0" w:color="auto"/>
                          </w:divBdr>
                          <w:divsChild>
                            <w:div w:id="1930701213">
                              <w:marLeft w:val="0"/>
                              <w:marRight w:val="0"/>
                              <w:marTop w:val="0"/>
                              <w:marBottom w:val="0"/>
                              <w:divBdr>
                                <w:top w:val="none" w:sz="0" w:space="0" w:color="auto"/>
                                <w:left w:val="none" w:sz="0" w:space="0" w:color="auto"/>
                                <w:bottom w:val="none" w:sz="0" w:space="0" w:color="auto"/>
                                <w:right w:val="none" w:sz="0" w:space="0" w:color="auto"/>
                              </w:divBdr>
                              <w:divsChild>
                                <w:div w:id="1642884570">
                                  <w:marLeft w:val="0"/>
                                  <w:marRight w:val="0"/>
                                  <w:marTop w:val="0"/>
                                  <w:marBottom w:val="0"/>
                                  <w:divBdr>
                                    <w:top w:val="none" w:sz="0" w:space="0" w:color="auto"/>
                                    <w:left w:val="none" w:sz="0" w:space="0" w:color="auto"/>
                                    <w:bottom w:val="none" w:sz="0" w:space="0" w:color="auto"/>
                                    <w:right w:val="none" w:sz="0" w:space="0" w:color="auto"/>
                                  </w:divBdr>
                                  <w:divsChild>
                                    <w:div w:id="18432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9909">
                          <w:marLeft w:val="0"/>
                          <w:marRight w:val="0"/>
                          <w:marTop w:val="0"/>
                          <w:marBottom w:val="0"/>
                          <w:divBdr>
                            <w:top w:val="none" w:sz="0" w:space="0" w:color="auto"/>
                            <w:left w:val="none" w:sz="0" w:space="0" w:color="auto"/>
                            <w:bottom w:val="none" w:sz="0" w:space="0" w:color="auto"/>
                            <w:right w:val="none" w:sz="0" w:space="0" w:color="auto"/>
                          </w:divBdr>
                          <w:divsChild>
                            <w:div w:id="2128035823">
                              <w:marLeft w:val="0"/>
                              <w:marRight w:val="0"/>
                              <w:marTop w:val="0"/>
                              <w:marBottom w:val="0"/>
                              <w:divBdr>
                                <w:top w:val="none" w:sz="0" w:space="0" w:color="auto"/>
                                <w:left w:val="none" w:sz="0" w:space="0" w:color="auto"/>
                                <w:bottom w:val="none" w:sz="0" w:space="0" w:color="auto"/>
                                <w:right w:val="none" w:sz="0" w:space="0" w:color="auto"/>
                              </w:divBdr>
                              <w:divsChild>
                                <w:div w:id="2931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031460">
      <w:bodyDiv w:val="1"/>
      <w:marLeft w:val="0"/>
      <w:marRight w:val="0"/>
      <w:marTop w:val="0"/>
      <w:marBottom w:val="0"/>
      <w:divBdr>
        <w:top w:val="none" w:sz="0" w:space="0" w:color="auto"/>
        <w:left w:val="none" w:sz="0" w:space="0" w:color="auto"/>
        <w:bottom w:val="none" w:sz="0" w:space="0" w:color="auto"/>
        <w:right w:val="none" w:sz="0" w:space="0" w:color="auto"/>
      </w:divBdr>
    </w:div>
    <w:div w:id="1128282702">
      <w:bodyDiv w:val="1"/>
      <w:marLeft w:val="0"/>
      <w:marRight w:val="0"/>
      <w:marTop w:val="0"/>
      <w:marBottom w:val="0"/>
      <w:divBdr>
        <w:top w:val="none" w:sz="0" w:space="0" w:color="auto"/>
        <w:left w:val="none" w:sz="0" w:space="0" w:color="auto"/>
        <w:bottom w:val="none" w:sz="0" w:space="0" w:color="auto"/>
        <w:right w:val="none" w:sz="0" w:space="0" w:color="auto"/>
      </w:divBdr>
      <w:divsChild>
        <w:div w:id="1565139375">
          <w:marLeft w:val="0"/>
          <w:marRight w:val="0"/>
          <w:marTop w:val="0"/>
          <w:marBottom w:val="0"/>
          <w:divBdr>
            <w:top w:val="none" w:sz="0" w:space="0" w:color="auto"/>
            <w:left w:val="none" w:sz="0" w:space="0" w:color="auto"/>
            <w:bottom w:val="none" w:sz="0" w:space="0" w:color="auto"/>
            <w:right w:val="none" w:sz="0" w:space="0" w:color="auto"/>
          </w:divBdr>
          <w:divsChild>
            <w:div w:id="1673988773">
              <w:marLeft w:val="0"/>
              <w:marRight w:val="0"/>
              <w:marTop w:val="0"/>
              <w:marBottom w:val="0"/>
              <w:divBdr>
                <w:top w:val="none" w:sz="0" w:space="0" w:color="auto"/>
                <w:left w:val="none" w:sz="0" w:space="0" w:color="auto"/>
                <w:bottom w:val="none" w:sz="0" w:space="0" w:color="auto"/>
                <w:right w:val="none" w:sz="0" w:space="0" w:color="auto"/>
              </w:divBdr>
              <w:divsChild>
                <w:div w:id="1984773776">
                  <w:marLeft w:val="0"/>
                  <w:marRight w:val="0"/>
                  <w:marTop w:val="0"/>
                  <w:marBottom w:val="0"/>
                  <w:divBdr>
                    <w:top w:val="none" w:sz="0" w:space="0" w:color="auto"/>
                    <w:left w:val="none" w:sz="0" w:space="0" w:color="auto"/>
                    <w:bottom w:val="none" w:sz="0" w:space="0" w:color="auto"/>
                    <w:right w:val="none" w:sz="0" w:space="0" w:color="auto"/>
                  </w:divBdr>
                </w:div>
                <w:div w:id="1000356918">
                  <w:marLeft w:val="0"/>
                  <w:marRight w:val="0"/>
                  <w:marTop w:val="0"/>
                  <w:marBottom w:val="0"/>
                  <w:divBdr>
                    <w:top w:val="none" w:sz="0" w:space="0" w:color="auto"/>
                    <w:left w:val="none" w:sz="0" w:space="0" w:color="auto"/>
                    <w:bottom w:val="none" w:sz="0" w:space="0" w:color="auto"/>
                    <w:right w:val="none" w:sz="0" w:space="0" w:color="auto"/>
                  </w:divBdr>
                </w:div>
                <w:div w:id="1849178983">
                  <w:marLeft w:val="0"/>
                  <w:marRight w:val="0"/>
                  <w:marTop w:val="0"/>
                  <w:marBottom w:val="0"/>
                  <w:divBdr>
                    <w:top w:val="none" w:sz="0" w:space="0" w:color="auto"/>
                    <w:left w:val="none" w:sz="0" w:space="0" w:color="auto"/>
                    <w:bottom w:val="none" w:sz="0" w:space="0" w:color="auto"/>
                    <w:right w:val="none" w:sz="0" w:space="0" w:color="auto"/>
                  </w:divBdr>
                </w:div>
                <w:div w:id="1799376453">
                  <w:marLeft w:val="0"/>
                  <w:marRight w:val="0"/>
                  <w:marTop w:val="0"/>
                  <w:marBottom w:val="0"/>
                  <w:divBdr>
                    <w:top w:val="none" w:sz="0" w:space="0" w:color="auto"/>
                    <w:left w:val="none" w:sz="0" w:space="0" w:color="auto"/>
                    <w:bottom w:val="none" w:sz="0" w:space="0" w:color="auto"/>
                    <w:right w:val="none" w:sz="0" w:space="0" w:color="auto"/>
                  </w:divBdr>
                </w:div>
                <w:div w:id="1366101245">
                  <w:marLeft w:val="0"/>
                  <w:marRight w:val="0"/>
                  <w:marTop w:val="0"/>
                  <w:marBottom w:val="0"/>
                  <w:divBdr>
                    <w:top w:val="none" w:sz="0" w:space="0" w:color="auto"/>
                    <w:left w:val="none" w:sz="0" w:space="0" w:color="auto"/>
                    <w:bottom w:val="none" w:sz="0" w:space="0" w:color="auto"/>
                    <w:right w:val="none" w:sz="0" w:space="0" w:color="auto"/>
                  </w:divBdr>
                </w:div>
                <w:div w:id="1585608252">
                  <w:marLeft w:val="0"/>
                  <w:marRight w:val="0"/>
                  <w:marTop w:val="0"/>
                  <w:marBottom w:val="0"/>
                  <w:divBdr>
                    <w:top w:val="none" w:sz="0" w:space="0" w:color="auto"/>
                    <w:left w:val="none" w:sz="0" w:space="0" w:color="auto"/>
                    <w:bottom w:val="none" w:sz="0" w:space="0" w:color="auto"/>
                    <w:right w:val="none" w:sz="0" w:space="0" w:color="auto"/>
                  </w:divBdr>
                </w:div>
                <w:div w:id="2109962664">
                  <w:marLeft w:val="0"/>
                  <w:marRight w:val="0"/>
                  <w:marTop w:val="0"/>
                  <w:marBottom w:val="0"/>
                  <w:divBdr>
                    <w:top w:val="none" w:sz="0" w:space="0" w:color="auto"/>
                    <w:left w:val="none" w:sz="0" w:space="0" w:color="auto"/>
                    <w:bottom w:val="none" w:sz="0" w:space="0" w:color="auto"/>
                    <w:right w:val="none" w:sz="0" w:space="0" w:color="auto"/>
                  </w:divBdr>
                </w:div>
                <w:div w:id="1583025084">
                  <w:marLeft w:val="0"/>
                  <w:marRight w:val="0"/>
                  <w:marTop w:val="0"/>
                  <w:marBottom w:val="0"/>
                  <w:divBdr>
                    <w:top w:val="none" w:sz="0" w:space="0" w:color="auto"/>
                    <w:left w:val="none" w:sz="0" w:space="0" w:color="auto"/>
                    <w:bottom w:val="none" w:sz="0" w:space="0" w:color="auto"/>
                    <w:right w:val="none" w:sz="0" w:space="0" w:color="auto"/>
                  </w:divBdr>
                </w:div>
                <w:div w:id="1052999327">
                  <w:marLeft w:val="0"/>
                  <w:marRight w:val="0"/>
                  <w:marTop w:val="0"/>
                  <w:marBottom w:val="0"/>
                  <w:divBdr>
                    <w:top w:val="none" w:sz="0" w:space="0" w:color="auto"/>
                    <w:left w:val="none" w:sz="0" w:space="0" w:color="auto"/>
                    <w:bottom w:val="none" w:sz="0" w:space="0" w:color="auto"/>
                    <w:right w:val="none" w:sz="0" w:space="0" w:color="auto"/>
                  </w:divBdr>
                </w:div>
                <w:div w:id="1509061522">
                  <w:marLeft w:val="0"/>
                  <w:marRight w:val="0"/>
                  <w:marTop w:val="0"/>
                  <w:marBottom w:val="0"/>
                  <w:divBdr>
                    <w:top w:val="none" w:sz="0" w:space="0" w:color="auto"/>
                    <w:left w:val="none" w:sz="0" w:space="0" w:color="auto"/>
                    <w:bottom w:val="none" w:sz="0" w:space="0" w:color="auto"/>
                    <w:right w:val="none" w:sz="0" w:space="0" w:color="auto"/>
                  </w:divBdr>
                </w:div>
                <w:div w:id="1328090455">
                  <w:marLeft w:val="0"/>
                  <w:marRight w:val="0"/>
                  <w:marTop w:val="0"/>
                  <w:marBottom w:val="0"/>
                  <w:divBdr>
                    <w:top w:val="none" w:sz="0" w:space="0" w:color="auto"/>
                    <w:left w:val="none" w:sz="0" w:space="0" w:color="auto"/>
                    <w:bottom w:val="none" w:sz="0" w:space="0" w:color="auto"/>
                    <w:right w:val="none" w:sz="0" w:space="0" w:color="auto"/>
                  </w:divBdr>
                </w:div>
                <w:div w:id="1394160261">
                  <w:marLeft w:val="0"/>
                  <w:marRight w:val="0"/>
                  <w:marTop w:val="0"/>
                  <w:marBottom w:val="0"/>
                  <w:divBdr>
                    <w:top w:val="none" w:sz="0" w:space="0" w:color="auto"/>
                    <w:left w:val="none" w:sz="0" w:space="0" w:color="auto"/>
                    <w:bottom w:val="none" w:sz="0" w:space="0" w:color="auto"/>
                    <w:right w:val="none" w:sz="0" w:space="0" w:color="auto"/>
                  </w:divBdr>
                </w:div>
                <w:div w:id="946235228">
                  <w:marLeft w:val="0"/>
                  <w:marRight w:val="0"/>
                  <w:marTop w:val="0"/>
                  <w:marBottom w:val="0"/>
                  <w:divBdr>
                    <w:top w:val="none" w:sz="0" w:space="0" w:color="auto"/>
                    <w:left w:val="none" w:sz="0" w:space="0" w:color="auto"/>
                    <w:bottom w:val="none" w:sz="0" w:space="0" w:color="auto"/>
                    <w:right w:val="none" w:sz="0" w:space="0" w:color="auto"/>
                  </w:divBdr>
                </w:div>
                <w:div w:id="1790053022">
                  <w:marLeft w:val="0"/>
                  <w:marRight w:val="0"/>
                  <w:marTop w:val="0"/>
                  <w:marBottom w:val="0"/>
                  <w:divBdr>
                    <w:top w:val="none" w:sz="0" w:space="0" w:color="auto"/>
                    <w:left w:val="none" w:sz="0" w:space="0" w:color="auto"/>
                    <w:bottom w:val="none" w:sz="0" w:space="0" w:color="auto"/>
                    <w:right w:val="none" w:sz="0" w:space="0" w:color="auto"/>
                  </w:divBdr>
                </w:div>
                <w:div w:id="1210916323">
                  <w:marLeft w:val="0"/>
                  <w:marRight w:val="0"/>
                  <w:marTop w:val="0"/>
                  <w:marBottom w:val="0"/>
                  <w:divBdr>
                    <w:top w:val="none" w:sz="0" w:space="0" w:color="auto"/>
                    <w:left w:val="none" w:sz="0" w:space="0" w:color="auto"/>
                    <w:bottom w:val="none" w:sz="0" w:space="0" w:color="auto"/>
                    <w:right w:val="none" w:sz="0" w:space="0" w:color="auto"/>
                  </w:divBdr>
                </w:div>
                <w:div w:id="576136028">
                  <w:marLeft w:val="0"/>
                  <w:marRight w:val="0"/>
                  <w:marTop w:val="0"/>
                  <w:marBottom w:val="0"/>
                  <w:divBdr>
                    <w:top w:val="none" w:sz="0" w:space="0" w:color="auto"/>
                    <w:left w:val="none" w:sz="0" w:space="0" w:color="auto"/>
                    <w:bottom w:val="none" w:sz="0" w:space="0" w:color="auto"/>
                    <w:right w:val="none" w:sz="0" w:space="0" w:color="auto"/>
                  </w:divBdr>
                </w:div>
                <w:div w:id="547911804">
                  <w:marLeft w:val="0"/>
                  <w:marRight w:val="0"/>
                  <w:marTop w:val="0"/>
                  <w:marBottom w:val="0"/>
                  <w:divBdr>
                    <w:top w:val="none" w:sz="0" w:space="0" w:color="auto"/>
                    <w:left w:val="none" w:sz="0" w:space="0" w:color="auto"/>
                    <w:bottom w:val="none" w:sz="0" w:space="0" w:color="auto"/>
                    <w:right w:val="none" w:sz="0" w:space="0" w:color="auto"/>
                  </w:divBdr>
                </w:div>
                <w:div w:id="1598292777">
                  <w:marLeft w:val="0"/>
                  <w:marRight w:val="0"/>
                  <w:marTop w:val="0"/>
                  <w:marBottom w:val="0"/>
                  <w:divBdr>
                    <w:top w:val="none" w:sz="0" w:space="0" w:color="auto"/>
                    <w:left w:val="none" w:sz="0" w:space="0" w:color="auto"/>
                    <w:bottom w:val="none" w:sz="0" w:space="0" w:color="auto"/>
                    <w:right w:val="none" w:sz="0" w:space="0" w:color="auto"/>
                  </w:divBdr>
                </w:div>
                <w:div w:id="9772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471">
          <w:marLeft w:val="0"/>
          <w:marRight w:val="0"/>
          <w:marTop w:val="0"/>
          <w:marBottom w:val="0"/>
          <w:divBdr>
            <w:top w:val="none" w:sz="0" w:space="0" w:color="auto"/>
            <w:left w:val="none" w:sz="0" w:space="0" w:color="auto"/>
            <w:bottom w:val="none" w:sz="0" w:space="0" w:color="auto"/>
            <w:right w:val="none" w:sz="0" w:space="0" w:color="auto"/>
          </w:divBdr>
          <w:divsChild>
            <w:div w:id="1178882433">
              <w:marLeft w:val="0"/>
              <w:marRight w:val="0"/>
              <w:marTop w:val="0"/>
              <w:marBottom w:val="0"/>
              <w:divBdr>
                <w:top w:val="none" w:sz="0" w:space="0" w:color="auto"/>
                <w:left w:val="none" w:sz="0" w:space="0" w:color="auto"/>
                <w:bottom w:val="none" w:sz="0" w:space="0" w:color="auto"/>
                <w:right w:val="none" w:sz="0" w:space="0" w:color="auto"/>
              </w:divBdr>
              <w:divsChild>
                <w:div w:id="1156217441">
                  <w:marLeft w:val="0"/>
                  <w:marRight w:val="0"/>
                  <w:marTop w:val="0"/>
                  <w:marBottom w:val="0"/>
                  <w:divBdr>
                    <w:top w:val="none" w:sz="0" w:space="0" w:color="auto"/>
                    <w:left w:val="none" w:sz="0" w:space="0" w:color="auto"/>
                    <w:bottom w:val="none" w:sz="0" w:space="0" w:color="auto"/>
                    <w:right w:val="none" w:sz="0" w:space="0" w:color="auto"/>
                  </w:divBdr>
                </w:div>
                <w:div w:id="41368298">
                  <w:marLeft w:val="0"/>
                  <w:marRight w:val="0"/>
                  <w:marTop w:val="0"/>
                  <w:marBottom w:val="0"/>
                  <w:divBdr>
                    <w:top w:val="none" w:sz="0" w:space="0" w:color="auto"/>
                    <w:left w:val="none" w:sz="0" w:space="0" w:color="auto"/>
                    <w:bottom w:val="none" w:sz="0" w:space="0" w:color="auto"/>
                    <w:right w:val="none" w:sz="0" w:space="0" w:color="auto"/>
                  </w:divBdr>
                </w:div>
                <w:div w:id="1161771459">
                  <w:marLeft w:val="0"/>
                  <w:marRight w:val="0"/>
                  <w:marTop w:val="0"/>
                  <w:marBottom w:val="0"/>
                  <w:divBdr>
                    <w:top w:val="none" w:sz="0" w:space="0" w:color="auto"/>
                    <w:left w:val="none" w:sz="0" w:space="0" w:color="auto"/>
                    <w:bottom w:val="none" w:sz="0" w:space="0" w:color="auto"/>
                    <w:right w:val="none" w:sz="0" w:space="0" w:color="auto"/>
                  </w:divBdr>
                </w:div>
                <w:div w:id="116683969">
                  <w:marLeft w:val="0"/>
                  <w:marRight w:val="0"/>
                  <w:marTop w:val="0"/>
                  <w:marBottom w:val="0"/>
                  <w:divBdr>
                    <w:top w:val="none" w:sz="0" w:space="0" w:color="auto"/>
                    <w:left w:val="none" w:sz="0" w:space="0" w:color="auto"/>
                    <w:bottom w:val="none" w:sz="0" w:space="0" w:color="auto"/>
                    <w:right w:val="none" w:sz="0" w:space="0" w:color="auto"/>
                  </w:divBdr>
                </w:div>
                <w:div w:id="1199666460">
                  <w:marLeft w:val="0"/>
                  <w:marRight w:val="0"/>
                  <w:marTop w:val="0"/>
                  <w:marBottom w:val="0"/>
                  <w:divBdr>
                    <w:top w:val="none" w:sz="0" w:space="0" w:color="auto"/>
                    <w:left w:val="none" w:sz="0" w:space="0" w:color="auto"/>
                    <w:bottom w:val="none" w:sz="0" w:space="0" w:color="auto"/>
                    <w:right w:val="none" w:sz="0" w:space="0" w:color="auto"/>
                  </w:divBdr>
                </w:div>
                <w:div w:id="1890728012">
                  <w:marLeft w:val="0"/>
                  <w:marRight w:val="0"/>
                  <w:marTop w:val="0"/>
                  <w:marBottom w:val="0"/>
                  <w:divBdr>
                    <w:top w:val="none" w:sz="0" w:space="0" w:color="auto"/>
                    <w:left w:val="none" w:sz="0" w:space="0" w:color="auto"/>
                    <w:bottom w:val="none" w:sz="0" w:space="0" w:color="auto"/>
                    <w:right w:val="none" w:sz="0" w:space="0" w:color="auto"/>
                  </w:divBdr>
                </w:div>
                <w:div w:id="1404718176">
                  <w:marLeft w:val="0"/>
                  <w:marRight w:val="0"/>
                  <w:marTop w:val="0"/>
                  <w:marBottom w:val="0"/>
                  <w:divBdr>
                    <w:top w:val="none" w:sz="0" w:space="0" w:color="auto"/>
                    <w:left w:val="none" w:sz="0" w:space="0" w:color="auto"/>
                    <w:bottom w:val="none" w:sz="0" w:space="0" w:color="auto"/>
                    <w:right w:val="none" w:sz="0" w:space="0" w:color="auto"/>
                  </w:divBdr>
                </w:div>
                <w:div w:id="217324773">
                  <w:marLeft w:val="0"/>
                  <w:marRight w:val="0"/>
                  <w:marTop w:val="0"/>
                  <w:marBottom w:val="0"/>
                  <w:divBdr>
                    <w:top w:val="none" w:sz="0" w:space="0" w:color="auto"/>
                    <w:left w:val="none" w:sz="0" w:space="0" w:color="auto"/>
                    <w:bottom w:val="none" w:sz="0" w:space="0" w:color="auto"/>
                    <w:right w:val="none" w:sz="0" w:space="0" w:color="auto"/>
                  </w:divBdr>
                </w:div>
                <w:div w:id="528567832">
                  <w:marLeft w:val="0"/>
                  <w:marRight w:val="0"/>
                  <w:marTop w:val="0"/>
                  <w:marBottom w:val="0"/>
                  <w:divBdr>
                    <w:top w:val="none" w:sz="0" w:space="0" w:color="auto"/>
                    <w:left w:val="none" w:sz="0" w:space="0" w:color="auto"/>
                    <w:bottom w:val="none" w:sz="0" w:space="0" w:color="auto"/>
                    <w:right w:val="none" w:sz="0" w:space="0" w:color="auto"/>
                  </w:divBdr>
                </w:div>
                <w:div w:id="173350860">
                  <w:marLeft w:val="0"/>
                  <w:marRight w:val="0"/>
                  <w:marTop w:val="0"/>
                  <w:marBottom w:val="0"/>
                  <w:divBdr>
                    <w:top w:val="none" w:sz="0" w:space="0" w:color="auto"/>
                    <w:left w:val="none" w:sz="0" w:space="0" w:color="auto"/>
                    <w:bottom w:val="none" w:sz="0" w:space="0" w:color="auto"/>
                    <w:right w:val="none" w:sz="0" w:space="0" w:color="auto"/>
                  </w:divBdr>
                </w:div>
                <w:div w:id="1473600579">
                  <w:marLeft w:val="0"/>
                  <w:marRight w:val="0"/>
                  <w:marTop w:val="0"/>
                  <w:marBottom w:val="0"/>
                  <w:divBdr>
                    <w:top w:val="none" w:sz="0" w:space="0" w:color="auto"/>
                    <w:left w:val="none" w:sz="0" w:space="0" w:color="auto"/>
                    <w:bottom w:val="none" w:sz="0" w:space="0" w:color="auto"/>
                    <w:right w:val="none" w:sz="0" w:space="0" w:color="auto"/>
                  </w:divBdr>
                </w:div>
                <w:div w:id="430006259">
                  <w:marLeft w:val="0"/>
                  <w:marRight w:val="0"/>
                  <w:marTop w:val="0"/>
                  <w:marBottom w:val="0"/>
                  <w:divBdr>
                    <w:top w:val="none" w:sz="0" w:space="0" w:color="auto"/>
                    <w:left w:val="none" w:sz="0" w:space="0" w:color="auto"/>
                    <w:bottom w:val="none" w:sz="0" w:space="0" w:color="auto"/>
                    <w:right w:val="none" w:sz="0" w:space="0" w:color="auto"/>
                  </w:divBdr>
                </w:div>
                <w:div w:id="329866295">
                  <w:marLeft w:val="0"/>
                  <w:marRight w:val="0"/>
                  <w:marTop w:val="0"/>
                  <w:marBottom w:val="0"/>
                  <w:divBdr>
                    <w:top w:val="none" w:sz="0" w:space="0" w:color="auto"/>
                    <w:left w:val="none" w:sz="0" w:space="0" w:color="auto"/>
                    <w:bottom w:val="none" w:sz="0" w:space="0" w:color="auto"/>
                    <w:right w:val="none" w:sz="0" w:space="0" w:color="auto"/>
                  </w:divBdr>
                </w:div>
                <w:div w:id="14450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4941">
      <w:bodyDiv w:val="1"/>
      <w:marLeft w:val="0"/>
      <w:marRight w:val="0"/>
      <w:marTop w:val="0"/>
      <w:marBottom w:val="0"/>
      <w:divBdr>
        <w:top w:val="none" w:sz="0" w:space="0" w:color="auto"/>
        <w:left w:val="none" w:sz="0" w:space="0" w:color="auto"/>
        <w:bottom w:val="none" w:sz="0" w:space="0" w:color="auto"/>
        <w:right w:val="none" w:sz="0" w:space="0" w:color="auto"/>
      </w:divBdr>
    </w:div>
    <w:div w:id="1173301900">
      <w:bodyDiv w:val="1"/>
      <w:marLeft w:val="0"/>
      <w:marRight w:val="0"/>
      <w:marTop w:val="0"/>
      <w:marBottom w:val="0"/>
      <w:divBdr>
        <w:top w:val="none" w:sz="0" w:space="0" w:color="auto"/>
        <w:left w:val="none" w:sz="0" w:space="0" w:color="auto"/>
        <w:bottom w:val="none" w:sz="0" w:space="0" w:color="auto"/>
        <w:right w:val="none" w:sz="0" w:space="0" w:color="auto"/>
      </w:divBdr>
    </w:div>
    <w:div w:id="1189681254">
      <w:bodyDiv w:val="1"/>
      <w:marLeft w:val="0"/>
      <w:marRight w:val="0"/>
      <w:marTop w:val="0"/>
      <w:marBottom w:val="0"/>
      <w:divBdr>
        <w:top w:val="none" w:sz="0" w:space="0" w:color="auto"/>
        <w:left w:val="none" w:sz="0" w:space="0" w:color="auto"/>
        <w:bottom w:val="none" w:sz="0" w:space="0" w:color="auto"/>
        <w:right w:val="none" w:sz="0" w:space="0" w:color="auto"/>
      </w:divBdr>
      <w:divsChild>
        <w:div w:id="763232991">
          <w:marLeft w:val="0"/>
          <w:marRight w:val="0"/>
          <w:marTop w:val="0"/>
          <w:marBottom w:val="0"/>
          <w:divBdr>
            <w:top w:val="none" w:sz="0" w:space="0" w:color="auto"/>
            <w:left w:val="none" w:sz="0" w:space="0" w:color="auto"/>
            <w:bottom w:val="none" w:sz="0" w:space="0" w:color="auto"/>
            <w:right w:val="none" w:sz="0" w:space="0" w:color="auto"/>
          </w:divBdr>
        </w:div>
        <w:div w:id="459223383">
          <w:marLeft w:val="0"/>
          <w:marRight w:val="0"/>
          <w:marTop w:val="0"/>
          <w:marBottom w:val="0"/>
          <w:divBdr>
            <w:top w:val="none" w:sz="0" w:space="0" w:color="auto"/>
            <w:left w:val="none" w:sz="0" w:space="0" w:color="auto"/>
            <w:bottom w:val="none" w:sz="0" w:space="0" w:color="auto"/>
            <w:right w:val="none" w:sz="0" w:space="0" w:color="auto"/>
          </w:divBdr>
        </w:div>
        <w:div w:id="1682852808">
          <w:marLeft w:val="0"/>
          <w:marRight w:val="0"/>
          <w:marTop w:val="0"/>
          <w:marBottom w:val="0"/>
          <w:divBdr>
            <w:top w:val="none" w:sz="0" w:space="0" w:color="auto"/>
            <w:left w:val="none" w:sz="0" w:space="0" w:color="auto"/>
            <w:bottom w:val="none" w:sz="0" w:space="0" w:color="auto"/>
            <w:right w:val="none" w:sz="0" w:space="0" w:color="auto"/>
          </w:divBdr>
        </w:div>
      </w:divsChild>
    </w:div>
    <w:div w:id="1218513408">
      <w:bodyDiv w:val="1"/>
      <w:marLeft w:val="0"/>
      <w:marRight w:val="0"/>
      <w:marTop w:val="0"/>
      <w:marBottom w:val="0"/>
      <w:divBdr>
        <w:top w:val="none" w:sz="0" w:space="0" w:color="auto"/>
        <w:left w:val="none" w:sz="0" w:space="0" w:color="auto"/>
        <w:bottom w:val="none" w:sz="0" w:space="0" w:color="auto"/>
        <w:right w:val="none" w:sz="0" w:space="0" w:color="auto"/>
      </w:divBdr>
    </w:div>
    <w:div w:id="1277255350">
      <w:bodyDiv w:val="1"/>
      <w:marLeft w:val="0"/>
      <w:marRight w:val="0"/>
      <w:marTop w:val="0"/>
      <w:marBottom w:val="0"/>
      <w:divBdr>
        <w:top w:val="none" w:sz="0" w:space="0" w:color="auto"/>
        <w:left w:val="none" w:sz="0" w:space="0" w:color="auto"/>
        <w:bottom w:val="none" w:sz="0" w:space="0" w:color="auto"/>
        <w:right w:val="none" w:sz="0" w:space="0" w:color="auto"/>
      </w:divBdr>
    </w:div>
    <w:div w:id="1334185693">
      <w:bodyDiv w:val="1"/>
      <w:marLeft w:val="0"/>
      <w:marRight w:val="0"/>
      <w:marTop w:val="0"/>
      <w:marBottom w:val="0"/>
      <w:divBdr>
        <w:top w:val="none" w:sz="0" w:space="0" w:color="auto"/>
        <w:left w:val="none" w:sz="0" w:space="0" w:color="auto"/>
        <w:bottom w:val="none" w:sz="0" w:space="0" w:color="auto"/>
        <w:right w:val="none" w:sz="0" w:space="0" w:color="auto"/>
      </w:divBdr>
    </w:div>
    <w:div w:id="1364984117">
      <w:bodyDiv w:val="1"/>
      <w:marLeft w:val="0"/>
      <w:marRight w:val="0"/>
      <w:marTop w:val="0"/>
      <w:marBottom w:val="0"/>
      <w:divBdr>
        <w:top w:val="none" w:sz="0" w:space="0" w:color="auto"/>
        <w:left w:val="none" w:sz="0" w:space="0" w:color="auto"/>
        <w:bottom w:val="none" w:sz="0" w:space="0" w:color="auto"/>
        <w:right w:val="none" w:sz="0" w:space="0" w:color="auto"/>
      </w:divBdr>
    </w:div>
    <w:div w:id="1397167325">
      <w:bodyDiv w:val="1"/>
      <w:marLeft w:val="0"/>
      <w:marRight w:val="0"/>
      <w:marTop w:val="0"/>
      <w:marBottom w:val="0"/>
      <w:divBdr>
        <w:top w:val="none" w:sz="0" w:space="0" w:color="auto"/>
        <w:left w:val="none" w:sz="0" w:space="0" w:color="auto"/>
        <w:bottom w:val="none" w:sz="0" w:space="0" w:color="auto"/>
        <w:right w:val="none" w:sz="0" w:space="0" w:color="auto"/>
      </w:divBdr>
    </w:div>
    <w:div w:id="1407192573">
      <w:bodyDiv w:val="1"/>
      <w:marLeft w:val="0"/>
      <w:marRight w:val="0"/>
      <w:marTop w:val="0"/>
      <w:marBottom w:val="0"/>
      <w:divBdr>
        <w:top w:val="none" w:sz="0" w:space="0" w:color="auto"/>
        <w:left w:val="none" w:sz="0" w:space="0" w:color="auto"/>
        <w:bottom w:val="none" w:sz="0" w:space="0" w:color="auto"/>
        <w:right w:val="none" w:sz="0" w:space="0" w:color="auto"/>
      </w:divBdr>
    </w:div>
    <w:div w:id="1507983559">
      <w:bodyDiv w:val="1"/>
      <w:marLeft w:val="0"/>
      <w:marRight w:val="0"/>
      <w:marTop w:val="0"/>
      <w:marBottom w:val="0"/>
      <w:divBdr>
        <w:top w:val="none" w:sz="0" w:space="0" w:color="auto"/>
        <w:left w:val="none" w:sz="0" w:space="0" w:color="auto"/>
        <w:bottom w:val="none" w:sz="0" w:space="0" w:color="auto"/>
        <w:right w:val="none" w:sz="0" w:space="0" w:color="auto"/>
      </w:divBdr>
    </w:div>
    <w:div w:id="1508403939">
      <w:bodyDiv w:val="1"/>
      <w:marLeft w:val="0"/>
      <w:marRight w:val="0"/>
      <w:marTop w:val="0"/>
      <w:marBottom w:val="0"/>
      <w:divBdr>
        <w:top w:val="none" w:sz="0" w:space="0" w:color="auto"/>
        <w:left w:val="none" w:sz="0" w:space="0" w:color="auto"/>
        <w:bottom w:val="none" w:sz="0" w:space="0" w:color="auto"/>
        <w:right w:val="none" w:sz="0" w:space="0" w:color="auto"/>
      </w:divBdr>
      <w:divsChild>
        <w:div w:id="723260269">
          <w:marLeft w:val="0"/>
          <w:marRight w:val="0"/>
          <w:marTop w:val="0"/>
          <w:marBottom w:val="0"/>
          <w:divBdr>
            <w:top w:val="none" w:sz="0" w:space="0" w:color="auto"/>
            <w:left w:val="none" w:sz="0" w:space="0" w:color="auto"/>
            <w:bottom w:val="none" w:sz="0" w:space="0" w:color="auto"/>
            <w:right w:val="none" w:sz="0" w:space="0" w:color="auto"/>
          </w:divBdr>
          <w:divsChild>
            <w:div w:id="735082188">
              <w:marLeft w:val="0"/>
              <w:marRight w:val="0"/>
              <w:marTop w:val="0"/>
              <w:marBottom w:val="0"/>
              <w:divBdr>
                <w:top w:val="none" w:sz="0" w:space="0" w:color="auto"/>
                <w:left w:val="none" w:sz="0" w:space="0" w:color="auto"/>
                <w:bottom w:val="none" w:sz="0" w:space="0" w:color="auto"/>
                <w:right w:val="none" w:sz="0" w:space="0" w:color="auto"/>
              </w:divBdr>
              <w:divsChild>
                <w:div w:id="1462923910">
                  <w:marLeft w:val="0"/>
                  <w:marRight w:val="0"/>
                  <w:marTop w:val="0"/>
                  <w:marBottom w:val="0"/>
                  <w:divBdr>
                    <w:top w:val="none" w:sz="0" w:space="0" w:color="auto"/>
                    <w:left w:val="none" w:sz="0" w:space="0" w:color="auto"/>
                    <w:bottom w:val="none" w:sz="0" w:space="0" w:color="auto"/>
                    <w:right w:val="none" w:sz="0" w:space="0" w:color="auto"/>
                  </w:divBdr>
                  <w:divsChild>
                    <w:div w:id="776410983">
                      <w:marLeft w:val="0"/>
                      <w:marRight w:val="0"/>
                      <w:marTop w:val="0"/>
                      <w:marBottom w:val="0"/>
                      <w:divBdr>
                        <w:top w:val="none" w:sz="0" w:space="0" w:color="auto"/>
                        <w:left w:val="none" w:sz="0" w:space="0" w:color="auto"/>
                        <w:bottom w:val="none" w:sz="0" w:space="0" w:color="auto"/>
                        <w:right w:val="none" w:sz="0" w:space="0" w:color="auto"/>
                      </w:divBdr>
                      <w:divsChild>
                        <w:div w:id="1815026825">
                          <w:marLeft w:val="0"/>
                          <w:marRight w:val="0"/>
                          <w:marTop w:val="0"/>
                          <w:marBottom w:val="0"/>
                          <w:divBdr>
                            <w:top w:val="none" w:sz="0" w:space="0" w:color="auto"/>
                            <w:left w:val="none" w:sz="0" w:space="0" w:color="auto"/>
                            <w:bottom w:val="none" w:sz="0" w:space="0" w:color="auto"/>
                            <w:right w:val="none" w:sz="0" w:space="0" w:color="auto"/>
                          </w:divBdr>
                          <w:divsChild>
                            <w:div w:id="1084842090">
                              <w:marLeft w:val="0"/>
                              <w:marRight w:val="0"/>
                              <w:marTop w:val="0"/>
                              <w:marBottom w:val="0"/>
                              <w:divBdr>
                                <w:top w:val="none" w:sz="0" w:space="0" w:color="auto"/>
                                <w:left w:val="none" w:sz="0" w:space="0" w:color="auto"/>
                                <w:bottom w:val="none" w:sz="0" w:space="0" w:color="auto"/>
                                <w:right w:val="none" w:sz="0" w:space="0" w:color="auto"/>
                              </w:divBdr>
                              <w:divsChild>
                                <w:div w:id="866404092">
                                  <w:marLeft w:val="0"/>
                                  <w:marRight w:val="0"/>
                                  <w:marTop w:val="0"/>
                                  <w:marBottom w:val="0"/>
                                  <w:divBdr>
                                    <w:top w:val="none" w:sz="0" w:space="0" w:color="auto"/>
                                    <w:left w:val="none" w:sz="0" w:space="0" w:color="auto"/>
                                    <w:bottom w:val="none" w:sz="0" w:space="0" w:color="auto"/>
                                    <w:right w:val="none" w:sz="0" w:space="0" w:color="auto"/>
                                  </w:divBdr>
                                  <w:divsChild>
                                    <w:div w:id="18088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602">
                          <w:marLeft w:val="0"/>
                          <w:marRight w:val="0"/>
                          <w:marTop w:val="0"/>
                          <w:marBottom w:val="0"/>
                          <w:divBdr>
                            <w:top w:val="none" w:sz="0" w:space="0" w:color="auto"/>
                            <w:left w:val="none" w:sz="0" w:space="0" w:color="auto"/>
                            <w:bottom w:val="none" w:sz="0" w:space="0" w:color="auto"/>
                            <w:right w:val="none" w:sz="0" w:space="0" w:color="auto"/>
                          </w:divBdr>
                          <w:divsChild>
                            <w:div w:id="1485470528">
                              <w:marLeft w:val="0"/>
                              <w:marRight w:val="0"/>
                              <w:marTop w:val="0"/>
                              <w:marBottom w:val="0"/>
                              <w:divBdr>
                                <w:top w:val="none" w:sz="0" w:space="0" w:color="auto"/>
                                <w:left w:val="none" w:sz="0" w:space="0" w:color="auto"/>
                                <w:bottom w:val="none" w:sz="0" w:space="0" w:color="auto"/>
                                <w:right w:val="none" w:sz="0" w:space="0" w:color="auto"/>
                              </w:divBdr>
                              <w:divsChild>
                                <w:div w:id="13117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497976">
      <w:bodyDiv w:val="1"/>
      <w:marLeft w:val="0"/>
      <w:marRight w:val="0"/>
      <w:marTop w:val="0"/>
      <w:marBottom w:val="0"/>
      <w:divBdr>
        <w:top w:val="none" w:sz="0" w:space="0" w:color="auto"/>
        <w:left w:val="none" w:sz="0" w:space="0" w:color="auto"/>
        <w:bottom w:val="none" w:sz="0" w:space="0" w:color="auto"/>
        <w:right w:val="none" w:sz="0" w:space="0" w:color="auto"/>
      </w:divBdr>
      <w:divsChild>
        <w:div w:id="759759140">
          <w:marLeft w:val="0"/>
          <w:marRight w:val="0"/>
          <w:marTop w:val="0"/>
          <w:marBottom w:val="0"/>
          <w:divBdr>
            <w:top w:val="none" w:sz="0" w:space="0" w:color="auto"/>
            <w:left w:val="none" w:sz="0" w:space="0" w:color="auto"/>
            <w:bottom w:val="none" w:sz="0" w:space="0" w:color="auto"/>
            <w:right w:val="none" w:sz="0" w:space="0" w:color="auto"/>
          </w:divBdr>
          <w:divsChild>
            <w:div w:id="457451968">
              <w:marLeft w:val="0"/>
              <w:marRight w:val="0"/>
              <w:marTop w:val="0"/>
              <w:marBottom w:val="0"/>
              <w:divBdr>
                <w:top w:val="none" w:sz="0" w:space="0" w:color="auto"/>
                <w:left w:val="none" w:sz="0" w:space="0" w:color="auto"/>
                <w:bottom w:val="none" w:sz="0" w:space="0" w:color="auto"/>
                <w:right w:val="none" w:sz="0" w:space="0" w:color="auto"/>
              </w:divBdr>
              <w:divsChild>
                <w:div w:id="617175984">
                  <w:marLeft w:val="0"/>
                  <w:marRight w:val="0"/>
                  <w:marTop w:val="0"/>
                  <w:marBottom w:val="0"/>
                  <w:divBdr>
                    <w:top w:val="none" w:sz="0" w:space="0" w:color="auto"/>
                    <w:left w:val="none" w:sz="0" w:space="0" w:color="auto"/>
                    <w:bottom w:val="none" w:sz="0" w:space="0" w:color="auto"/>
                    <w:right w:val="none" w:sz="0" w:space="0" w:color="auto"/>
                  </w:divBdr>
                  <w:divsChild>
                    <w:div w:id="649407695">
                      <w:marLeft w:val="0"/>
                      <w:marRight w:val="0"/>
                      <w:marTop w:val="0"/>
                      <w:marBottom w:val="0"/>
                      <w:divBdr>
                        <w:top w:val="none" w:sz="0" w:space="0" w:color="auto"/>
                        <w:left w:val="none" w:sz="0" w:space="0" w:color="auto"/>
                        <w:bottom w:val="none" w:sz="0" w:space="0" w:color="auto"/>
                        <w:right w:val="none" w:sz="0" w:space="0" w:color="auto"/>
                      </w:divBdr>
                      <w:divsChild>
                        <w:div w:id="502824066">
                          <w:marLeft w:val="0"/>
                          <w:marRight w:val="0"/>
                          <w:marTop w:val="0"/>
                          <w:marBottom w:val="0"/>
                          <w:divBdr>
                            <w:top w:val="none" w:sz="0" w:space="0" w:color="auto"/>
                            <w:left w:val="none" w:sz="0" w:space="0" w:color="auto"/>
                            <w:bottom w:val="none" w:sz="0" w:space="0" w:color="auto"/>
                            <w:right w:val="none" w:sz="0" w:space="0" w:color="auto"/>
                          </w:divBdr>
                          <w:divsChild>
                            <w:div w:id="384767475">
                              <w:marLeft w:val="0"/>
                              <w:marRight w:val="0"/>
                              <w:marTop w:val="0"/>
                              <w:marBottom w:val="0"/>
                              <w:divBdr>
                                <w:top w:val="none" w:sz="0" w:space="0" w:color="auto"/>
                                <w:left w:val="none" w:sz="0" w:space="0" w:color="auto"/>
                                <w:bottom w:val="none" w:sz="0" w:space="0" w:color="auto"/>
                                <w:right w:val="none" w:sz="0" w:space="0" w:color="auto"/>
                              </w:divBdr>
                              <w:divsChild>
                                <w:div w:id="461577228">
                                  <w:marLeft w:val="0"/>
                                  <w:marRight w:val="0"/>
                                  <w:marTop w:val="0"/>
                                  <w:marBottom w:val="0"/>
                                  <w:divBdr>
                                    <w:top w:val="none" w:sz="0" w:space="0" w:color="auto"/>
                                    <w:left w:val="none" w:sz="0" w:space="0" w:color="auto"/>
                                    <w:bottom w:val="none" w:sz="0" w:space="0" w:color="auto"/>
                                    <w:right w:val="none" w:sz="0" w:space="0" w:color="auto"/>
                                  </w:divBdr>
                                  <w:divsChild>
                                    <w:div w:id="17466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3014">
                          <w:marLeft w:val="0"/>
                          <w:marRight w:val="0"/>
                          <w:marTop w:val="0"/>
                          <w:marBottom w:val="0"/>
                          <w:divBdr>
                            <w:top w:val="none" w:sz="0" w:space="0" w:color="auto"/>
                            <w:left w:val="none" w:sz="0" w:space="0" w:color="auto"/>
                            <w:bottom w:val="none" w:sz="0" w:space="0" w:color="auto"/>
                            <w:right w:val="none" w:sz="0" w:space="0" w:color="auto"/>
                          </w:divBdr>
                          <w:divsChild>
                            <w:div w:id="1906984268">
                              <w:marLeft w:val="0"/>
                              <w:marRight w:val="0"/>
                              <w:marTop w:val="0"/>
                              <w:marBottom w:val="0"/>
                              <w:divBdr>
                                <w:top w:val="none" w:sz="0" w:space="0" w:color="auto"/>
                                <w:left w:val="none" w:sz="0" w:space="0" w:color="auto"/>
                                <w:bottom w:val="none" w:sz="0" w:space="0" w:color="auto"/>
                                <w:right w:val="none" w:sz="0" w:space="0" w:color="auto"/>
                              </w:divBdr>
                              <w:divsChild>
                                <w:div w:id="11586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737330">
      <w:bodyDiv w:val="1"/>
      <w:marLeft w:val="0"/>
      <w:marRight w:val="0"/>
      <w:marTop w:val="0"/>
      <w:marBottom w:val="0"/>
      <w:divBdr>
        <w:top w:val="none" w:sz="0" w:space="0" w:color="auto"/>
        <w:left w:val="none" w:sz="0" w:space="0" w:color="auto"/>
        <w:bottom w:val="none" w:sz="0" w:space="0" w:color="auto"/>
        <w:right w:val="none" w:sz="0" w:space="0" w:color="auto"/>
      </w:divBdr>
    </w:div>
    <w:div w:id="1526137349">
      <w:bodyDiv w:val="1"/>
      <w:marLeft w:val="0"/>
      <w:marRight w:val="0"/>
      <w:marTop w:val="0"/>
      <w:marBottom w:val="0"/>
      <w:divBdr>
        <w:top w:val="none" w:sz="0" w:space="0" w:color="auto"/>
        <w:left w:val="none" w:sz="0" w:space="0" w:color="auto"/>
        <w:bottom w:val="none" w:sz="0" w:space="0" w:color="auto"/>
        <w:right w:val="none" w:sz="0" w:space="0" w:color="auto"/>
      </w:divBdr>
    </w:div>
    <w:div w:id="1536890283">
      <w:bodyDiv w:val="1"/>
      <w:marLeft w:val="0"/>
      <w:marRight w:val="0"/>
      <w:marTop w:val="0"/>
      <w:marBottom w:val="0"/>
      <w:divBdr>
        <w:top w:val="none" w:sz="0" w:space="0" w:color="auto"/>
        <w:left w:val="none" w:sz="0" w:space="0" w:color="auto"/>
        <w:bottom w:val="none" w:sz="0" w:space="0" w:color="auto"/>
        <w:right w:val="none" w:sz="0" w:space="0" w:color="auto"/>
      </w:divBdr>
    </w:div>
    <w:div w:id="1547791736">
      <w:bodyDiv w:val="1"/>
      <w:marLeft w:val="0"/>
      <w:marRight w:val="0"/>
      <w:marTop w:val="0"/>
      <w:marBottom w:val="0"/>
      <w:divBdr>
        <w:top w:val="none" w:sz="0" w:space="0" w:color="auto"/>
        <w:left w:val="none" w:sz="0" w:space="0" w:color="auto"/>
        <w:bottom w:val="none" w:sz="0" w:space="0" w:color="auto"/>
        <w:right w:val="none" w:sz="0" w:space="0" w:color="auto"/>
      </w:divBdr>
      <w:divsChild>
        <w:div w:id="900214476">
          <w:marLeft w:val="0"/>
          <w:marRight w:val="0"/>
          <w:marTop w:val="0"/>
          <w:marBottom w:val="0"/>
          <w:divBdr>
            <w:top w:val="none" w:sz="0" w:space="0" w:color="auto"/>
            <w:left w:val="none" w:sz="0" w:space="0" w:color="auto"/>
            <w:bottom w:val="none" w:sz="0" w:space="0" w:color="auto"/>
            <w:right w:val="none" w:sz="0" w:space="0" w:color="auto"/>
          </w:divBdr>
          <w:divsChild>
            <w:div w:id="271012718">
              <w:marLeft w:val="0"/>
              <w:marRight w:val="0"/>
              <w:marTop w:val="0"/>
              <w:marBottom w:val="0"/>
              <w:divBdr>
                <w:top w:val="none" w:sz="0" w:space="0" w:color="auto"/>
                <w:left w:val="none" w:sz="0" w:space="0" w:color="auto"/>
                <w:bottom w:val="none" w:sz="0" w:space="0" w:color="auto"/>
                <w:right w:val="none" w:sz="0" w:space="0" w:color="auto"/>
              </w:divBdr>
              <w:divsChild>
                <w:div w:id="508175399">
                  <w:marLeft w:val="0"/>
                  <w:marRight w:val="0"/>
                  <w:marTop w:val="0"/>
                  <w:marBottom w:val="0"/>
                  <w:divBdr>
                    <w:top w:val="none" w:sz="0" w:space="0" w:color="auto"/>
                    <w:left w:val="none" w:sz="0" w:space="0" w:color="auto"/>
                    <w:bottom w:val="none" w:sz="0" w:space="0" w:color="auto"/>
                    <w:right w:val="none" w:sz="0" w:space="0" w:color="auto"/>
                  </w:divBdr>
                  <w:divsChild>
                    <w:div w:id="188180438">
                      <w:marLeft w:val="0"/>
                      <w:marRight w:val="0"/>
                      <w:marTop w:val="0"/>
                      <w:marBottom w:val="0"/>
                      <w:divBdr>
                        <w:top w:val="none" w:sz="0" w:space="0" w:color="auto"/>
                        <w:left w:val="none" w:sz="0" w:space="0" w:color="auto"/>
                        <w:bottom w:val="none" w:sz="0" w:space="0" w:color="auto"/>
                        <w:right w:val="none" w:sz="0" w:space="0" w:color="auto"/>
                      </w:divBdr>
                      <w:divsChild>
                        <w:div w:id="840122669">
                          <w:marLeft w:val="0"/>
                          <w:marRight w:val="0"/>
                          <w:marTop w:val="0"/>
                          <w:marBottom w:val="0"/>
                          <w:divBdr>
                            <w:top w:val="none" w:sz="0" w:space="0" w:color="auto"/>
                            <w:left w:val="none" w:sz="0" w:space="0" w:color="auto"/>
                            <w:bottom w:val="none" w:sz="0" w:space="0" w:color="auto"/>
                            <w:right w:val="none" w:sz="0" w:space="0" w:color="auto"/>
                          </w:divBdr>
                          <w:divsChild>
                            <w:div w:id="930047691">
                              <w:marLeft w:val="0"/>
                              <w:marRight w:val="0"/>
                              <w:marTop w:val="0"/>
                              <w:marBottom w:val="0"/>
                              <w:divBdr>
                                <w:top w:val="none" w:sz="0" w:space="0" w:color="auto"/>
                                <w:left w:val="none" w:sz="0" w:space="0" w:color="auto"/>
                                <w:bottom w:val="none" w:sz="0" w:space="0" w:color="auto"/>
                                <w:right w:val="none" w:sz="0" w:space="0" w:color="auto"/>
                              </w:divBdr>
                              <w:divsChild>
                                <w:div w:id="241763840">
                                  <w:marLeft w:val="0"/>
                                  <w:marRight w:val="0"/>
                                  <w:marTop w:val="0"/>
                                  <w:marBottom w:val="0"/>
                                  <w:divBdr>
                                    <w:top w:val="none" w:sz="0" w:space="0" w:color="auto"/>
                                    <w:left w:val="none" w:sz="0" w:space="0" w:color="auto"/>
                                    <w:bottom w:val="none" w:sz="0" w:space="0" w:color="auto"/>
                                    <w:right w:val="none" w:sz="0" w:space="0" w:color="auto"/>
                                  </w:divBdr>
                                  <w:divsChild>
                                    <w:div w:id="15930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3794">
                          <w:marLeft w:val="0"/>
                          <w:marRight w:val="0"/>
                          <w:marTop w:val="0"/>
                          <w:marBottom w:val="0"/>
                          <w:divBdr>
                            <w:top w:val="none" w:sz="0" w:space="0" w:color="auto"/>
                            <w:left w:val="none" w:sz="0" w:space="0" w:color="auto"/>
                            <w:bottom w:val="none" w:sz="0" w:space="0" w:color="auto"/>
                            <w:right w:val="none" w:sz="0" w:space="0" w:color="auto"/>
                          </w:divBdr>
                          <w:divsChild>
                            <w:div w:id="317154540">
                              <w:marLeft w:val="0"/>
                              <w:marRight w:val="0"/>
                              <w:marTop w:val="0"/>
                              <w:marBottom w:val="0"/>
                              <w:divBdr>
                                <w:top w:val="none" w:sz="0" w:space="0" w:color="auto"/>
                                <w:left w:val="none" w:sz="0" w:space="0" w:color="auto"/>
                                <w:bottom w:val="none" w:sz="0" w:space="0" w:color="auto"/>
                                <w:right w:val="none" w:sz="0" w:space="0" w:color="auto"/>
                              </w:divBdr>
                              <w:divsChild>
                                <w:div w:id="1241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756248">
      <w:bodyDiv w:val="1"/>
      <w:marLeft w:val="0"/>
      <w:marRight w:val="0"/>
      <w:marTop w:val="0"/>
      <w:marBottom w:val="0"/>
      <w:divBdr>
        <w:top w:val="none" w:sz="0" w:space="0" w:color="auto"/>
        <w:left w:val="none" w:sz="0" w:space="0" w:color="auto"/>
        <w:bottom w:val="none" w:sz="0" w:space="0" w:color="auto"/>
        <w:right w:val="none" w:sz="0" w:space="0" w:color="auto"/>
      </w:divBdr>
    </w:div>
    <w:div w:id="1592084399">
      <w:bodyDiv w:val="1"/>
      <w:marLeft w:val="0"/>
      <w:marRight w:val="0"/>
      <w:marTop w:val="0"/>
      <w:marBottom w:val="0"/>
      <w:divBdr>
        <w:top w:val="none" w:sz="0" w:space="0" w:color="auto"/>
        <w:left w:val="none" w:sz="0" w:space="0" w:color="auto"/>
        <w:bottom w:val="none" w:sz="0" w:space="0" w:color="auto"/>
        <w:right w:val="none" w:sz="0" w:space="0" w:color="auto"/>
      </w:divBdr>
    </w:div>
    <w:div w:id="1610551040">
      <w:bodyDiv w:val="1"/>
      <w:marLeft w:val="0"/>
      <w:marRight w:val="0"/>
      <w:marTop w:val="0"/>
      <w:marBottom w:val="0"/>
      <w:divBdr>
        <w:top w:val="none" w:sz="0" w:space="0" w:color="auto"/>
        <w:left w:val="none" w:sz="0" w:space="0" w:color="auto"/>
        <w:bottom w:val="none" w:sz="0" w:space="0" w:color="auto"/>
        <w:right w:val="none" w:sz="0" w:space="0" w:color="auto"/>
      </w:divBdr>
    </w:div>
    <w:div w:id="1647860562">
      <w:bodyDiv w:val="1"/>
      <w:marLeft w:val="0"/>
      <w:marRight w:val="0"/>
      <w:marTop w:val="0"/>
      <w:marBottom w:val="0"/>
      <w:divBdr>
        <w:top w:val="none" w:sz="0" w:space="0" w:color="auto"/>
        <w:left w:val="none" w:sz="0" w:space="0" w:color="auto"/>
        <w:bottom w:val="none" w:sz="0" w:space="0" w:color="auto"/>
        <w:right w:val="none" w:sz="0" w:space="0" w:color="auto"/>
      </w:divBdr>
    </w:div>
    <w:div w:id="1652909889">
      <w:bodyDiv w:val="1"/>
      <w:marLeft w:val="0"/>
      <w:marRight w:val="0"/>
      <w:marTop w:val="0"/>
      <w:marBottom w:val="0"/>
      <w:divBdr>
        <w:top w:val="none" w:sz="0" w:space="0" w:color="auto"/>
        <w:left w:val="none" w:sz="0" w:space="0" w:color="auto"/>
        <w:bottom w:val="none" w:sz="0" w:space="0" w:color="auto"/>
        <w:right w:val="none" w:sz="0" w:space="0" w:color="auto"/>
      </w:divBdr>
    </w:div>
    <w:div w:id="1667242879">
      <w:bodyDiv w:val="1"/>
      <w:marLeft w:val="0"/>
      <w:marRight w:val="0"/>
      <w:marTop w:val="0"/>
      <w:marBottom w:val="0"/>
      <w:divBdr>
        <w:top w:val="none" w:sz="0" w:space="0" w:color="auto"/>
        <w:left w:val="none" w:sz="0" w:space="0" w:color="auto"/>
        <w:bottom w:val="none" w:sz="0" w:space="0" w:color="auto"/>
        <w:right w:val="none" w:sz="0" w:space="0" w:color="auto"/>
      </w:divBdr>
      <w:divsChild>
        <w:div w:id="1360084795">
          <w:marLeft w:val="0"/>
          <w:marRight w:val="0"/>
          <w:marTop w:val="0"/>
          <w:marBottom w:val="0"/>
          <w:divBdr>
            <w:top w:val="none" w:sz="0" w:space="0" w:color="auto"/>
            <w:left w:val="none" w:sz="0" w:space="0" w:color="auto"/>
            <w:bottom w:val="none" w:sz="0" w:space="0" w:color="auto"/>
            <w:right w:val="none" w:sz="0" w:space="0" w:color="auto"/>
          </w:divBdr>
          <w:divsChild>
            <w:div w:id="2108848489">
              <w:marLeft w:val="0"/>
              <w:marRight w:val="0"/>
              <w:marTop w:val="0"/>
              <w:marBottom w:val="0"/>
              <w:divBdr>
                <w:top w:val="none" w:sz="0" w:space="0" w:color="auto"/>
                <w:left w:val="none" w:sz="0" w:space="0" w:color="auto"/>
                <w:bottom w:val="none" w:sz="0" w:space="0" w:color="auto"/>
                <w:right w:val="none" w:sz="0" w:space="0" w:color="auto"/>
              </w:divBdr>
              <w:divsChild>
                <w:div w:id="1753164759">
                  <w:marLeft w:val="0"/>
                  <w:marRight w:val="0"/>
                  <w:marTop w:val="0"/>
                  <w:marBottom w:val="0"/>
                  <w:divBdr>
                    <w:top w:val="none" w:sz="0" w:space="0" w:color="auto"/>
                    <w:left w:val="none" w:sz="0" w:space="0" w:color="auto"/>
                    <w:bottom w:val="none" w:sz="0" w:space="0" w:color="auto"/>
                    <w:right w:val="none" w:sz="0" w:space="0" w:color="auto"/>
                  </w:divBdr>
                  <w:divsChild>
                    <w:div w:id="607784967">
                      <w:marLeft w:val="0"/>
                      <w:marRight w:val="0"/>
                      <w:marTop w:val="0"/>
                      <w:marBottom w:val="0"/>
                      <w:divBdr>
                        <w:top w:val="none" w:sz="0" w:space="0" w:color="auto"/>
                        <w:left w:val="none" w:sz="0" w:space="0" w:color="auto"/>
                        <w:bottom w:val="none" w:sz="0" w:space="0" w:color="auto"/>
                        <w:right w:val="none" w:sz="0" w:space="0" w:color="auto"/>
                      </w:divBdr>
                      <w:divsChild>
                        <w:div w:id="97718807">
                          <w:marLeft w:val="0"/>
                          <w:marRight w:val="0"/>
                          <w:marTop w:val="0"/>
                          <w:marBottom w:val="0"/>
                          <w:divBdr>
                            <w:top w:val="none" w:sz="0" w:space="0" w:color="auto"/>
                            <w:left w:val="none" w:sz="0" w:space="0" w:color="auto"/>
                            <w:bottom w:val="none" w:sz="0" w:space="0" w:color="auto"/>
                            <w:right w:val="none" w:sz="0" w:space="0" w:color="auto"/>
                          </w:divBdr>
                          <w:divsChild>
                            <w:div w:id="1642880544">
                              <w:marLeft w:val="0"/>
                              <w:marRight w:val="0"/>
                              <w:marTop w:val="0"/>
                              <w:marBottom w:val="0"/>
                              <w:divBdr>
                                <w:top w:val="none" w:sz="0" w:space="0" w:color="auto"/>
                                <w:left w:val="none" w:sz="0" w:space="0" w:color="auto"/>
                                <w:bottom w:val="none" w:sz="0" w:space="0" w:color="auto"/>
                                <w:right w:val="none" w:sz="0" w:space="0" w:color="auto"/>
                              </w:divBdr>
                              <w:divsChild>
                                <w:div w:id="2010252701">
                                  <w:marLeft w:val="0"/>
                                  <w:marRight w:val="0"/>
                                  <w:marTop w:val="0"/>
                                  <w:marBottom w:val="0"/>
                                  <w:divBdr>
                                    <w:top w:val="none" w:sz="0" w:space="0" w:color="auto"/>
                                    <w:left w:val="none" w:sz="0" w:space="0" w:color="auto"/>
                                    <w:bottom w:val="none" w:sz="0" w:space="0" w:color="auto"/>
                                    <w:right w:val="none" w:sz="0" w:space="0" w:color="auto"/>
                                  </w:divBdr>
                                  <w:divsChild>
                                    <w:div w:id="12041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0430">
                          <w:marLeft w:val="0"/>
                          <w:marRight w:val="0"/>
                          <w:marTop w:val="0"/>
                          <w:marBottom w:val="0"/>
                          <w:divBdr>
                            <w:top w:val="none" w:sz="0" w:space="0" w:color="auto"/>
                            <w:left w:val="none" w:sz="0" w:space="0" w:color="auto"/>
                            <w:bottom w:val="none" w:sz="0" w:space="0" w:color="auto"/>
                            <w:right w:val="none" w:sz="0" w:space="0" w:color="auto"/>
                          </w:divBdr>
                          <w:divsChild>
                            <w:div w:id="652026227">
                              <w:marLeft w:val="0"/>
                              <w:marRight w:val="0"/>
                              <w:marTop w:val="0"/>
                              <w:marBottom w:val="0"/>
                              <w:divBdr>
                                <w:top w:val="none" w:sz="0" w:space="0" w:color="auto"/>
                                <w:left w:val="none" w:sz="0" w:space="0" w:color="auto"/>
                                <w:bottom w:val="none" w:sz="0" w:space="0" w:color="auto"/>
                                <w:right w:val="none" w:sz="0" w:space="0" w:color="auto"/>
                              </w:divBdr>
                              <w:divsChild>
                                <w:div w:id="235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21635">
      <w:bodyDiv w:val="1"/>
      <w:marLeft w:val="0"/>
      <w:marRight w:val="0"/>
      <w:marTop w:val="0"/>
      <w:marBottom w:val="0"/>
      <w:divBdr>
        <w:top w:val="none" w:sz="0" w:space="0" w:color="auto"/>
        <w:left w:val="none" w:sz="0" w:space="0" w:color="auto"/>
        <w:bottom w:val="none" w:sz="0" w:space="0" w:color="auto"/>
        <w:right w:val="none" w:sz="0" w:space="0" w:color="auto"/>
      </w:divBdr>
    </w:div>
    <w:div w:id="1705329953">
      <w:bodyDiv w:val="1"/>
      <w:marLeft w:val="0"/>
      <w:marRight w:val="0"/>
      <w:marTop w:val="0"/>
      <w:marBottom w:val="0"/>
      <w:divBdr>
        <w:top w:val="none" w:sz="0" w:space="0" w:color="auto"/>
        <w:left w:val="none" w:sz="0" w:space="0" w:color="auto"/>
        <w:bottom w:val="none" w:sz="0" w:space="0" w:color="auto"/>
        <w:right w:val="none" w:sz="0" w:space="0" w:color="auto"/>
      </w:divBdr>
    </w:div>
    <w:div w:id="1705709075">
      <w:bodyDiv w:val="1"/>
      <w:marLeft w:val="0"/>
      <w:marRight w:val="0"/>
      <w:marTop w:val="0"/>
      <w:marBottom w:val="0"/>
      <w:divBdr>
        <w:top w:val="none" w:sz="0" w:space="0" w:color="auto"/>
        <w:left w:val="none" w:sz="0" w:space="0" w:color="auto"/>
        <w:bottom w:val="none" w:sz="0" w:space="0" w:color="auto"/>
        <w:right w:val="none" w:sz="0" w:space="0" w:color="auto"/>
      </w:divBdr>
      <w:divsChild>
        <w:div w:id="1793405875">
          <w:marLeft w:val="0"/>
          <w:marRight w:val="0"/>
          <w:marTop w:val="0"/>
          <w:marBottom w:val="0"/>
          <w:divBdr>
            <w:top w:val="none" w:sz="0" w:space="0" w:color="auto"/>
            <w:left w:val="none" w:sz="0" w:space="0" w:color="auto"/>
            <w:bottom w:val="none" w:sz="0" w:space="0" w:color="auto"/>
            <w:right w:val="none" w:sz="0" w:space="0" w:color="auto"/>
          </w:divBdr>
          <w:divsChild>
            <w:div w:id="168493959">
              <w:marLeft w:val="0"/>
              <w:marRight w:val="0"/>
              <w:marTop w:val="0"/>
              <w:marBottom w:val="0"/>
              <w:divBdr>
                <w:top w:val="none" w:sz="0" w:space="0" w:color="auto"/>
                <w:left w:val="none" w:sz="0" w:space="0" w:color="auto"/>
                <w:bottom w:val="none" w:sz="0" w:space="0" w:color="auto"/>
                <w:right w:val="none" w:sz="0" w:space="0" w:color="auto"/>
              </w:divBdr>
              <w:divsChild>
                <w:div w:id="717708591">
                  <w:marLeft w:val="0"/>
                  <w:marRight w:val="0"/>
                  <w:marTop w:val="0"/>
                  <w:marBottom w:val="0"/>
                  <w:divBdr>
                    <w:top w:val="none" w:sz="0" w:space="0" w:color="auto"/>
                    <w:left w:val="none" w:sz="0" w:space="0" w:color="auto"/>
                    <w:bottom w:val="none" w:sz="0" w:space="0" w:color="auto"/>
                    <w:right w:val="none" w:sz="0" w:space="0" w:color="auto"/>
                  </w:divBdr>
                  <w:divsChild>
                    <w:div w:id="986784438">
                      <w:marLeft w:val="0"/>
                      <w:marRight w:val="0"/>
                      <w:marTop w:val="0"/>
                      <w:marBottom w:val="0"/>
                      <w:divBdr>
                        <w:top w:val="none" w:sz="0" w:space="0" w:color="auto"/>
                        <w:left w:val="none" w:sz="0" w:space="0" w:color="auto"/>
                        <w:bottom w:val="none" w:sz="0" w:space="0" w:color="auto"/>
                        <w:right w:val="none" w:sz="0" w:space="0" w:color="auto"/>
                      </w:divBdr>
                      <w:divsChild>
                        <w:div w:id="1771582281">
                          <w:marLeft w:val="0"/>
                          <w:marRight w:val="0"/>
                          <w:marTop w:val="0"/>
                          <w:marBottom w:val="0"/>
                          <w:divBdr>
                            <w:top w:val="none" w:sz="0" w:space="0" w:color="auto"/>
                            <w:left w:val="none" w:sz="0" w:space="0" w:color="auto"/>
                            <w:bottom w:val="none" w:sz="0" w:space="0" w:color="auto"/>
                            <w:right w:val="none" w:sz="0" w:space="0" w:color="auto"/>
                          </w:divBdr>
                          <w:divsChild>
                            <w:div w:id="1725982099">
                              <w:marLeft w:val="0"/>
                              <w:marRight w:val="0"/>
                              <w:marTop w:val="0"/>
                              <w:marBottom w:val="0"/>
                              <w:divBdr>
                                <w:top w:val="none" w:sz="0" w:space="0" w:color="auto"/>
                                <w:left w:val="none" w:sz="0" w:space="0" w:color="auto"/>
                                <w:bottom w:val="none" w:sz="0" w:space="0" w:color="auto"/>
                                <w:right w:val="none" w:sz="0" w:space="0" w:color="auto"/>
                              </w:divBdr>
                              <w:divsChild>
                                <w:div w:id="963851477">
                                  <w:marLeft w:val="0"/>
                                  <w:marRight w:val="0"/>
                                  <w:marTop w:val="0"/>
                                  <w:marBottom w:val="0"/>
                                  <w:divBdr>
                                    <w:top w:val="none" w:sz="0" w:space="0" w:color="auto"/>
                                    <w:left w:val="none" w:sz="0" w:space="0" w:color="auto"/>
                                    <w:bottom w:val="none" w:sz="0" w:space="0" w:color="auto"/>
                                    <w:right w:val="none" w:sz="0" w:space="0" w:color="auto"/>
                                  </w:divBdr>
                                  <w:divsChild>
                                    <w:div w:id="12852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8555">
                          <w:marLeft w:val="0"/>
                          <w:marRight w:val="0"/>
                          <w:marTop w:val="0"/>
                          <w:marBottom w:val="0"/>
                          <w:divBdr>
                            <w:top w:val="none" w:sz="0" w:space="0" w:color="auto"/>
                            <w:left w:val="none" w:sz="0" w:space="0" w:color="auto"/>
                            <w:bottom w:val="none" w:sz="0" w:space="0" w:color="auto"/>
                            <w:right w:val="none" w:sz="0" w:space="0" w:color="auto"/>
                          </w:divBdr>
                          <w:divsChild>
                            <w:div w:id="2114932812">
                              <w:marLeft w:val="0"/>
                              <w:marRight w:val="0"/>
                              <w:marTop w:val="0"/>
                              <w:marBottom w:val="0"/>
                              <w:divBdr>
                                <w:top w:val="none" w:sz="0" w:space="0" w:color="auto"/>
                                <w:left w:val="none" w:sz="0" w:space="0" w:color="auto"/>
                                <w:bottom w:val="none" w:sz="0" w:space="0" w:color="auto"/>
                                <w:right w:val="none" w:sz="0" w:space="0" w:color="auto"/>
                              </w:divBdr>
                              <w:divsChild>
                                <w:div w:id="1127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170154">
      <w:bodyDiv w:val="1"/>
      <w:marLeft w:val="0"/>
      <w:marRight w:val="0"/>
      <w:marTop w:val="0"/>
      <w:marBottom w:val="0"/>
      <w:divBdr>
        <w:top w:val="none" w:sz="0" w:space="0" w:color="auto"/>
        <w:left w:val="none" w:sz="0" w:space="0" w:color="auto"/>
        <w:bottom w:val="none" w:sz="0" w:space="0" w:color="auto"/>
        <w:right w:val="none" w:sz="0" w:space="0" w:color="auto"/>
      </w:divBdr>
    </w:div>
    <w:div w:id="1794902371">
      <w:bodyDiv w:val="1"/>
      <w:marLeft w:val="0"/>
      <w:marRight w:val="0"/>
      <w:marTop w:val="0"/>
      <w:marBottom w:val="0"/>
      <w:divBdr>
        <w:top w:val="none" w:sz="0" w:space="0" w:color="auto"/>
        <w:left w:val="none" w:sz="0" w:space="0" w:color="auto"/>
        <w:bottom w:val="none" w:sz="0" w:space="0" w:color="auto"/>
        <w:right w:val="none" w:sz="0" w:space="0" w:color="auto"/>
      </w:divBdr>
    </w:div>
    <w:div w:id="1812743748">
      <w:bodyDiv w:val="1"/>
      <w:marLeft w:val="0"/>
      <w:marRight w:val="0"/>
      <w:marTop w:val="0"/>
      <w:marBottom w:val="0"/>
      <w:divBdr>
        <w:top w:val="none" w:sz="0" w:space="0" w:color="auto"/>
        <w:left w:val="none" w:sz="0" w:space="0" w:color="auto"/>
        <w:bottom w:val="none" w:sz="0" w:space="0" w:color="auto"/>
        <w:right w:val="none" w:sz="0" w:space="0" w:color="auto"/>
      </w:divBdr>
    </w:div>
    <w:div w:id="1894660896">
      <w:bodyDiv w:val="1"/>
      <w:marLeft w:val="0"/>
      <w:marRight w:val="0"/>
      <w:marTop w:val="0"/>
      <w:marBottom w:val="0"/>
      <w:divBdr>
        <w:top w:val="none" w:sz="0" w:space="0" w:color="auto"/>
        <w:left w:val="none" w:sz="0" w:space="0" w:color="auto"/>
        <w:bottom w:val="none" w:sz="0" w:space="0" w:color="auto"/>
        <w:right w:val="none" w:sz="0" w:space="0" w:color="auto"/>
      </w:divBdr>
      <w:divsChild>
        <w:div w:id="131599727">
          <w:marLeft w:val="0"/>
          <w:marRight w:val="0"/>
          <w:marTop w:val="0"/>
          <w:marBottom w:val="0"/>
          <w:divBdr>
            <w:top w:val="none" w:sz="0" w:space="0" w:color="auto"/>
            <w:left w:val="none" w:sz="0" w:space="0" w:color="auto"/>
            <w:bottom w:val="none" w:sz="0" w:space="0" w:color="auto"/>
            <w:right w:val="none" w:sz="0" w:space="0" w:color="auto"/>
          </w:divBdr>
          <w:divsChild>
            <w:div w:id="1601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7802">
      <w:bodyDiv w:val="1"/>
      <w:marLeft w:val="0"/>
      <w:marRight w:val="0"/>
      <w:marTop w:val="0"/>
      <w:marBottom w:val="0"/>
      <w:divBdr>
        <w:top w:val="none" w:sz="0" w:space="0" w:color="auto"/>
        <w:left w:val="none" w:sz="0" w:space="0" w:color="auto"/>
        <w:bottom w:val="none" w:sz="0" w:space="0" w:color="auto"/>
        <w:right w:val="none" w:sz="0" w:space="0" w:color="auto"/>
      </w:divBdr>
      <w:divsChild>
        <w:div w:id="1964119868">
          <w:marLeft w:val="0"/>
          <w:marRight w:val="0"/>
          <w:marTop w:val="0"/>
          <w:marBottom w:val="0"/>
          <w:divBdr>
            <w:top w:val="none" w:sz="0" w:space="0" w:color="auto"/>
            <w:left w:val="none" w:sz="0" w:space="0" w:color="auto"/>
            <w:bottom w:val="none" w:sz="0" w:space="0" w:color="auto"/>
            <w:right w:val="none" w:sz="0" w:space="0" w:color="auto"/>
          </w:divBdr>
          <w:divsChild>
            <w:div w:id="1619988691">
              <w:marLeft w:val="0"/>
              <w:marRight w:val="0"/>
              <w:marTop w:val="0"/>
              <w:marBottom w:val="0"/>
              <w:divBdr>
                <w:top w:val="none" w:sz="0" w:space="0" w:color="auto"/>
                <w:left w:val="none" w:sz="0" w:space="0" w:color="auto"/>
                <w:bottom w:val="none" w:sz="0" w:space="0" w:color="auto"/>
                <w:right w:val="none" w:sz="0" w:space="0" w:color="auto"/>
              </w:divBdr>
              <w:divsChild>
                <w:div w:id="1488476302">
                  <w:marLeft w:val="0"/>
                  <w:marRight w:val="0"/>
                  <w:marTop w:val="0"/>
                  <w:marBottom w:val="0"/>
                  <w:divBdr>
                    <w:top w:val="none" w:sz="0" w:space="0" w:color="auto"/>
                    <w:left w:val="none" w:sz="0" w:space="0" w:color="auto"/>
                    <w:bottom w:val="none" w:sz="0" w:space="0" w:color="auto"/>
                    <w:right w:val="none" w:sz="0" w:space="0" w:color="auto"/>
                  </w:divBdr>
                  <w:divsChild>
                    <w:div w:id="1647859243">
                      <w:marLeft w:val="0"/>
                      <w:marRight w:val="0"/>
                      <w:marTop w:val="0"/>
                      <w:marBottom w:val="0"/>
                      <w:divBdr>
                        <w:top w:val="none" w:sz="0" w:space="0" w:color="auto"/>
                        <w:left w:val="none" w:sz="0" w:space="0" w:color="auto"/>
                        <w:bottom w:val="none" w:sz="0" w:space="0" w:color="auto"/>
                        <w:right w:val="none" w:sz="0" w:space="0" w:color="auto"/>
                      </w:divBdr>
                      <w:divsChild>
                        <w:div w:id="2126727412">
                          <w:marLeft w:val="0"/>
                          <w:marRight w:val="0"/>
                          <w:marTop w:val="0"/>
                          <w:marBottom w:val="0"/>
                          <w:divBdr>
                            <w:top w:val="none" w:sz="0" w:space="0" w:color="auto"/>
                            <w:left w:val="none" w:sz="0" w:space="0" w:color="auto"/>
                            <w:bottom w:val="none" w:sz="0" w:space="0" w:color="auto"/>
                            <w:right w:val="none" w:sz="0" w:space="0" w:color="auto"/>
                          </w:divBdr>
                          <w:divsChild>
                            <w:div w:id="1693070907">
                              <w:marLeft w:val="0"/>
                              <w:marRight w:val="0"/>
                              <w:marTop w:val="0"/>
                              <w:marBottom w:val="0"/>
                              <w:divBdr>
                                <w:top w:val="none" w:sz="0" w:space="0" w:color="auto"/>
                                <w:left w:val="none" w:sz="0" w:space="0" w:color="auto"/>
                                <w:bottom w:val="none" w:sz="0" w:space="0" w:color="auto"/>
                                <w:right w:val="none" w:sz="0" w:space="0" w:color="auto"/>
                              </w:divBdr>
                              <w:divsChild>
                                <w:div w:id="2052456644">
                                  <w:marLeft w:val="0"/>
                                  <w:marRight w:val="0"/>
                                  <w:marTop w:val="0"/>
                                  <w:marBottom w:val="0"/>
                                  <w:divBdr>
                                    <w:top w:val="none" w:sz="0" w:space="0" w:color="auto"/>
                                    <w:left w:val="none" w:sz="0" w:space="0" w:color="auto"/>
                                    <w:bottom w:val="none" w:sz="0" w:space="0" w:color="auto"/>
                                    <w:right w:val="none" w:sz="0" w:space="0" w:color="auto"/>
                                  </w:divBdr>
                                  <w:divsChild>
                                    <w:div w:id="191293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2956">
                          <w:marLeft w:val="0"/>
                          <w:marRight w:val="0"/>
                          <w:marTop w:val="0"/>
                          <w:marBottom w:val="0"/>
                          <w:divBdr>
                            <w:top w:val="none" w:sz="0" w:space="0" w:color="auto"/>
                            <w:left w:val="none" w:sz="0" w:space="0" w:color="auto"/>
                            <w:bottom w:val="none" w:sz="0" w:space="0" w:color="auto"/>
                            <w:right w:val="none" w:sz="0" w:space="0" w:color="auto"/>
                          </w:divBdr>
                          <w:divsChild>
                            <w:div w:id="1945381148">
                              <w:marLeft w:val="0"/>
                              <w:marRight w:val="0"/>
                              <w:marTop w:val="0"/>
                              <w:marBottom w:val="0"/>
                              <w:divBdr>
                                <w:top w:val="none" w:sz="0" w:space="0" w:color="auto"/>
                                <w:left w:val="none" w:sz="0" w:space="0" w:color="auto"/>
                                <w:bottom w:val="none" w:sz="0" w:space="0" w:color="auto"/>
                                <w:right w:val="none" w:sz="0" w:space="0" w:color="auto"/>
                              </w:divBdr>
                              <w:divsChild>
                                <w:div w:id="15399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307448">
      <w:bodyDiv w:val="1"/>
      <w:marLeft w:val="0"/>
      <w:marRight w:val="0"/>
      <w:marTop w:val="0"/>
      <w:marBottom w:val="0"/>
      <w:divBdr>
        <w:top w:val="none" w:sz="0" w:space="0" w:color="auto"/>
        <w:left w:val="none" w:sz="0" w:space="0" w:color="auto"/>
        <w:bottom w:val="none" w:sz="0" w:space="0" w:color="auto"/>
        <w:right w:val="none" w:sz="0" w:space="0" w:color="auto"/>
      </w:divBdr>
      <w:divsChild>
        <w:div w:id="1097824915">
          <w:marLeft w:val="0"/>
          <w:marRight w:val="0"/>
          <w:marTop w:val="0"/>
          <w:marBottom w:val="0"/>
          <w:divBdr>
            <w:top w:val="none" w:sz="0" w:space="0" w:color="auto"/>
            <w:left w:val="none" w:sz="0" w:space="0" w:color="auto"/>
            <w:bottom w:val="none" w:sz="0" w:space="0" w:color="auto"/>
            <w:right w:val="none" w:sz="0" w:space="0" w:color="auto"/>
          </w:divBdr>
          <w:divsChild>
            <w:div w:id="17103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150">
      <w:bodyDiv w:val="1"/>
      <w:marLeft w:val="0"/>
      <w:marRight w:val="0"/>
      <w:marTop w:val="0"/>
      <w:marBottom w:val="0"/>
      <w:divBdr>
        <w:top w:val="none" w:sz="0" w:space="0" w:color="auto"/>
        <w:left w:val="none" w:sz="0" w:space="0" w:color="auto"/>
        <w:bottom w:val="none" w:sz="0" w:space="0" w:color="auto"/>
        <w:right w:val="none" w:sz="0" w:space="0" w:color="auto"/>
      </w:divBdr>
    </w:div>
    <w:div w:id="2108040062">
      <w:bodyDiv w:val="1"/>
      <w:marLeft w:val="0"/>
      <w:marRight w:val="0"/>
      <w:marTop w:val="0"/>
      <w:marBottom w:val="0"/>
      <w:divBdr>
        <w:top w:val="none" w:sz="0" w:space="0" w:color="auto"/>
        <w:left w:val="none" w:sz="0" w:space="0" w:color="auto"/>
        <w:bottom w:val="none" w:sz="0" w:space="0" w:color="auto"/>
        <w:right w:val="none" w:sz="0" w:space="0" w:color="auto"/>
      </w:divBdr>
    </w:div>
    <w:div w:id="2128507164">
      <w:bodyDiv w:val="1"/>
      <w:marLeft w:val="0"/>
      <w:marRight w:val="0"/>
      <w:marTop w:val="0"/>
      <w:marBottom w:val="0"/>
      <w:divBdr>
        <w:top w:val="none" w:sz="0" w:space="0" w:color="auto"/>
        <w:left w:val="none" w:sz="0" w:space="0" w:color="auto"/>
        <w:bottom w:val="none" w:sz="0" w:space="0" w:color="auto"/>
        <w:right w:val="none" w:sz="0" w:space="0" w:color="auto"/>
      </w:divBdr>
      <w:divsChild>
        <w:div w:id="1361392847">
          <w:marLeft w:val="0"/>
          <w:marRight w:val="0"/>
          <w:marTop w:val="0"/>
          <w:marBottom w:val="0"/>
          <w:divBdr>
            <w:top w:val="none" w:sz="0" w:space="0" w:color="auto"/>
            <w:left w:val="none" w:sz="0" w:space="0" w:color="auto"/>
            <w:bottom w:val="none" w:sz="0" w:space="0" w:color="auto"/>
            <w:right w:val="none" w:sz="0" w:space="0" w:color="auto"/>
          </w:divBdr>
          <w:divsChild>
            <w:div w:id="1159730750">
              <w:marLeft w:val="0"/>
              <w:marRight w:val="0"/>
              <w:marTop w:val="0"/>
              <w:marBottom w:val="0"/>
              <w:divBdr>
                <w:top w:val="none" w:sz="0" w:space="0" w:color="auto"/>
                <w:left w:val="none" w:sz="0" w:space="0" w:color="auto"/>
                <w:bottom w:val="none" w:sz="0" w:space="0" w:color="auto"/>
                <w:right w:val="none" w:sz="0" w:space="0" w:color="auto"/>
              </w:divBdr>
              <w:divsChild>
                <w:div w:id="146014887">
                  <w:marLeft w:val="0"/>
                  <w:marRight w:val="0"/>
                  <w:marTop w:val="0"/>
                  <w:marBottom w:val="0"/>
                  <w:divBdr>
                    <w:top w:val="none" w:sz="0" w:space="0" w:color="auto"/>
                    <w:left w:val="none" w:sz="0" w:space="0" w:color="auto"/>
                    <w:bottom w:val="none" w:sz="0" w:space="0" w:color="auto"/>
                    <w:right w:val="none" w:sz="0" w:space="0" w:color="auto"/>
                  </w:divBdr>
                  <w:divsChild>
                    <w:div w:id="1305504762">
                      <w:marLeft w:val="0"/>
                      <w:marRight w:val="0"/>
                      <w:marTop w:val="0"/>
                      <w:marBottom w:val="0"/>
                      <w:divBdr>
                        <w:top w:val="none" w:sz="0" w:space="0" w:color="auto"/>
                        <w:left w:val="none" w:sz="0" w:space="0" w:color="auto"/>
                        <w:bottom w:val="none" w:sz="0" w:space="0" w:color="auto"/>
                        <w:right w:val="none" w:sz="0" w:space="0" w:color="auto"/>
                      </w:divBdr>
                      <w:divsChild>
                        <w:div w:id="1153521613">
                          <w:marLeft w:val="0"/>
                          <w:marRight w:val="0"/>
                          <w:marTop w:val="0"/>
                          <w:marBottom w:val="0"/>
                          <w:divBdr>
                            <w:top w:val="none" w:sz="0" w:space="0" w:color="auto"/>
                            <w:left w:val="none" w:sz="0" w:space="0" w:color="auto"/>
                            <w:bottom w:val="none" w:sz="0" w:space="0" w:color="auto"/>
                            <w:right w:val="none" w:sz="0" w:space="0" w:color="auto"/>
                          </w:divBdr>
                          <w:divsChild>
                            <w:div w:id="1603757515">
                              <w:marLeft w:val="0"/>
                              <w:marRight w:val="0"/>
                              <w:marTop w:val="0"/>
                              <w:marBottom w:val="0"/>
                              <w:divBdr>
                                <w:top w:val="none" w:sz="0" w:space="0" w:color="auto"/>
                                <w:left w:val="none" w:sz="0" w:space="0" w:color="auto"/>
                                <w:bottom w:val="none" w:sz="0" w:space="0" w:color="auto"/>
                                <w:right w:val="none" w:sz="0" w:space="0" w:color="auto"/>
                              </w:divBdr>
                              <w:divsChild>
                                <w:div w:id="494614047">
                                  <w:marLeft w:val="0"/>
                                  <w:marRight w:val="0"/>
                                  <w:marTop w:val="0"/>
                                  <w:marBottom w:val="0"/>
                                  <w:divBdr>
                                    <w:top w:val="none" w:sz="0" w:space="0" w:color="auto"/>
                                    <w:left w:val="none" w:sz="0" w:space="0" w:color="auto"/>
                                    <w:bottom w:val="none" w:sz="0" w:space="0" w:color="auto"/>
                                    <w:right w:val="none" w:sz="0" w:space="0" w:color="auto"/>
                                  </w:divBdr>
                                  <w:divsChild>
                                    <w:div w:id="13067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1582">
                          <w:marLeft w:val="0"/>
                          <w:marRight w:val="0"/>
                          <w:marTop w:val="0"/>
                          <w:marBottom w:val="0"/>
                          <w:divBdr>
                            <w:top w:val="none" w:sz="0" w:space="0" w:color="auto"/>
                            <w:left w:val="none" w:sz="0" w:space="0" w:color="auto"/>
                            <w:bottom w:val="none" w:sz="0" w:space="0" w:color="auto"/>
                            <w:right w:val="none" w:sz="0" w:space="0" w:color="auto"/>
                          </w:divBdr>
                          <w:divsChild>
                            <w:div w:id="1334648315">
                              <w:marLeft w:val="0"/>
                              <w:marRight w:val="0"/>
                              <w:marTop w:val="0"/>
                              <w:marBottom w:val="0"/>
                              <w:divBdr>
                                <w:top w:val="none" w:sz="0" w:space="0" w:color="auto"/>
                                <w:left w:val="none" w:sz="0" w:space="0" w:color="auto"/>
                                <w:bottom w:val="none" w:sz="0" w:space="0" w:color="auto"/>
                                <w:right w:val="none" w:sz="0" w:space="0" w:color="auto"/>
                              </w:divBdr>
                              <w:divsChild>
                                <w:div w:id="17403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jackson@ucl.ac.uk" TargetMode="External"/><Relationship Id="rId13" Type="http://schemas.openxmlformats.org/officeDocument/2006/relationships/hyperlink" Target="https://osf.io/w2s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sf.io/w2sm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5231-2272-4F5C-9730-AC3310F63A85}">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4</TotalTime>
  <Pages>28</Pages>
  <Words>38247</Words>
  <Characters>218008</Characters>
  <Application>Microsoft Office Word</Application>
  <DocSecurity>4</DocSecurity>
  <Lines>1816</Lines>
  <Paragraphs>511</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255744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Jackson</dc:creator>
  <cp:lastModifiedBy>Caitlin Notley (MED - Staff)</cp:lastModifiedBy>
  <cp:revision>2</cp:revision>
  <cp:lastPrinted>2025-10-22T09:56:00Z</cp:lastPrinted>
  <dcterms:created xsi:type="dcterms:W3CDTF">2025-12-11T14:18:00Z</dcterms:created>
  <dcterms:modified xsi:type="dcterms:W3CDTF">2025-12-11T14:18:00Z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id="4AUHNG6Q"/&gt;&lt;style id="http://www.zotero.org/styles/bmc-medicine" hasBibliography="1" bibliographyStyleHasBeenSet="1"/&gt;&lt;prefs&gt;&lt;pref name="fieldType" value="Field"/&gt;&lt;pref name="storeReferences" val</vt:lpwstr>
  </property>
  <property fmtid="{D5CDD505-2E9C-101B-9397-08002B2CF9AE}" pid="3" name="ZOTERO_PREF_2">
    <vt:lpwstr>ue="true"/&gt;&lt;pref name="automaticJournalAbbreviations" value="true"/&gt;&lt;/prefs&gt;&lt;/data&gt;</vt:lpwstr>
  </property>
</Properties>
</file>