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F80A" w14:textId="77777777" w:rsidR="00A207BE" w:rsidRPr="005C44F5" w:rsidRDefault="00A207BE" w:rsidP="00A207BE">
      <w:pPr>
        <w:autoSpaceDE w:val="0"/>
        <w:autoSpaceDN w:val="0"/>
        <w:adjustRightInd w:val="0"/>
        <w:rPr>
          <w:rFonts w:ascii="Calibri" w:eastAsia="MS Mincho" w:hAnsi="Calibri" w:cs="Calibri"/>
          <w:b/>
          <w:bCs/>
          <w:sz w:val="28"/>
          <w:szCs w:val="28"/>
          <w:lang w:val="en-US"/>
        </w:rPr>
      </w:pPr>
      <w:bookmarkStart w:id="0" w:name="_Hlk120782151"/>
      <w:bookmarkStart w:id="1" w:name="_Hlk115853485"/>
      <w:r w:rsidRPr="005C44F5">
        <w:rPr>
          <w:rFonts w:ascii="Calibri" w:eastAsia="MS Mincho" w:hAnsi="Calibri" w:cs="Calibri"/>
          <w:b/>
          <w:bCs/>
          <w:sz w:val="28"/>
          <w:szCs w:val="28"/>
          <w:lang w:val="en-US"/>
        </w:rPr>
        <w:t>A critical political analysis of wellbeing support for postgraduate researchers in higher education</w:t>
      </w:r>
    </w:p>
    <w:p w14:paraId="383F8EB2" w14:textId="77777777" w:rsidR="00A207BE" w:rsidRPr="004E4EB5" w:rsidRDefault="00A207BE" w:rsidP="00A207BE">
      <w:pPr>
        <w:autoSpaceDE w:val="0"/>
        <w:autoSpaceDN w:val="0"/>
        <w:adjustRightInd w:val="0"/>
        <w:rPr>
          <w:rFonts w:ascii="Calibri" w:eastAsia="MS Mincho" w:hAnsi="Calibri" w:cs="Calibri"/>
        </w:rPr>
      </w:pPr>
    </w:p>
    <w:p w14:paraId="79520E30" w14:textId="77777777" w:rsidR="00A207BE" w:rsidRPr="004E4EB5" w:rsidRDefault="00A207BE" w:rsidP="00A207BE">
      <w:pPr>
        <w:autoSpaceDE w:val="0"/>
        <w:autoSpaceDN w:val="0"/>
        <w:adjustRightInd w:val="0"/>
        <w:rPr>
          <w:rFonts w:ascii="Calibri" w:eastAsia="MS Mincho" w:hAnsi="Calibri" w:cs="Calibri"/>
          <w:b/>
          <w:bCs/>
        </w:rPr>
      </w:pPr>
      <w:r w:rsidRPr="004E4EB5">
        <w:rPr>
          <w:rFonts w:ascii="Calibri" w:eastAsia="MS Mincho" w:hAnsi="Calibri" w:cs="Calibri"/>
          <w:b/>
          <w:bCs/>
        </w:rPr>
        <w:t xml:space="preserve">John Turnpenny </w:t>
      </w:r>
    </w:p>
    <w:p w14:paraId="5BF74B3C" w14:textId="77777777" w:rsidR="00A207BE" w:rsidRPr="004E4EB5" w:rsidRDefault="00A207BE" w:rsidP="00A207BE">
      <w:pPr>
        <w:autoSpaceDE w:val="0"/>
        <w:autoSpaceDN w:val="0"/>
        <w:adjustRightInd w:val="0"/>
        <w:rPr>
          <w:rFonts w:ascii="Calibri" w:eastAsia="MS Mincho" w:hAnsi="Calibri" w:cs="Calibri"/>
        </w:rPr>
      </w:pPr>
      <w:r w:rsidRPr="004E4EB5">
        <w:rPr>
          <w:rFonts w:ascii="Calibri" w:eastAsia="MS Mincho" w:hAnsi="Calibri" w:cs="Calibri"/>
        </w:rPr>
        <w:t>University of East Anglia</w:t>
      </w:r>
    </w:p>
    <w:p w14:paraId="390E2A1E" w14:textId="77777777" w:rsidR="00A207BE" w:rsidRPr="004E4EB5" w:rsidRDefault="00A207BE" w:rsidP="00A207BE">
      <w:pPr>
        <w:autoSpaceDE w:val="0"/>
        <w:autoSpaceDN w:val="0"/>
        <w:adjustRightInd w:val="0"/>
        <w:rPr>
          <w:rFonts w:ascii="Calibri" w:eastAsia="MS Mincho" w:hAnsi="Calibri" w:cs="Calibri"/>
        </w:rPr>
      </w:pPr>
      <w:r w:rsidRPr="004E4EB5">
        <w:rPr>
          <w:rFonts w:ascii="Calibri" w:eastAsia="MS Mincho" w:hAnsi="Calibri" w:cs="Calibri"/>
        </w:rPr>
        <w:t>Norwich, NR4 7TJ, UK</w:t>
      </w:r>
    </w:p>
    <w:p w14:paraId="6F729B42" w14:textId="77777777" w:rsidR="00A207BE" w:rsidRPr="004E4EB5" w:rsidRDefault="00A207BE" w:rsidP="00A207BE">
      <w:pPr>
        <w:autoSpaceDE w:val="0"/>
        <w:autoSpaceDN w:val="0"/>
        <w:adjustRightInd w:val="0"/>
        <w:rPr>
          <w:rFonts w:ascii="Calibri" w:eastAsia="MS Mincho" w:hAnsi="Calibri" w:cs="Calibri"/>
        </w:rPr>
      </w:pPr>
      <w:hyperlink r:id="rId8" w:history="1">
        <w:r w:rsidRPr="004E4EB5">
          <w:rPr>
            <w:rFonts w:ascii="Calibri" w:eastAsia="MS Mincho" w:hAnsi="Calibri" w:cs="Calibri"/>
            <w:color w:val="0000FF"/>
            <w:u w:val="single"/>
          </w:rPr>
          <w:t>j.turnpenny@uea.ac.uk</w:t>
        </w:r>
      </w:hyperlink>
    </w:p>
    <w:p w14:paraId="1ABB356E" w14:textId="77777777" w:rsidR="00A207BE" w:rsidRPr="004E4EB5" w:rsidRDefault="00A207BE" w:rsidP="00A207BE">
      <w:pPr>
        <w:autoSpaceDE w:val="0"/>
        <w:autoSpaceDN w:val="0"/>
        <w:adjustRightInd w:val="0"/>
        <w:rPr>
          <w:rFonts w:ascii="Calibri" w:eastAsia="MS Mincho" w:hAnsi="Calibri" w:cs="Calibri"/>
        </w:rPr>
      </w:pPr>
    </w:p>
    <w:p w14:paraId="1AFD7995" w14:textId="77777777" w:rsidR="00A207BE" w:rsidRPr="004E4EB5" w:rsidRDefault="00A207BE" w:rsidP="00A207BE">
      <w:pPr>
        <w:rPr>
          <w:rFonts w:ascii="Calibri" w:eastAsia="Times New Roman" w:hAnsi="Calibri" w:cs="Calibri"/>
          <w:b/>
          <w:bCs/>
          <w:lang w:eastAsia="en-GB"/>
        </w:rPr>
      </w:pPr>
      <w:r w:rsidRPr="004E4EB5">
        <w:rPr>
          <w:rFonts w:ascii="Calibri" w:eastAsia="Times New Roman" w:hAnsi="Calibri" w:cs="Calibri"/>
          <w:b/>
          <w:bCs/>
          <w:lang w:eastAsia="en-GB"/>
        </w:rPr>
        <w:t>Abstract</w:t>
      </w:r>
    </w:p>
    <w:p w14:paraId="092DFA96" w14:textId="77777777" w:rsidR="00A207BE" w:rsidRPr="004E4EB5" w:rsidRDefault="00A207BE" w:rsidP="00A207BE">
      <w:pPr>
        <w:rPr>
          <w:rFonts w:ascii="Calibri" w:eastAsia="Times New Roman" w:hAnsi="Calibri" w:cs="Calibri"/>
          <w:lang w:eastAsia="en-GB"/>
        </w:rPr>
      </w:pPr>
      <w:r w:rsidRPr="005C44F5">
        <w:rPr>
          <w:rFonts w:cstheme="minorHAnsi"/>
        </w:rPr>
        <w:t>While improving wellbeing is a prominent policy goal, political analysis of wellbeing is a vital but to date under-researched sub-field. This article is focused on the politics surrounding concern about the wellbeing of postgraduate researchers (PGRs) at higher education (HE) institutions in the UK. There have been several recent policy interventions to support PGR wellbeing within the context of ongoing debate about the status of PGRs, including whether they are students or staff. This article asks how and why PGRs’ status ambiguity affects the policy capacities to support PGR wellbeing. It does this through an analysis of capacities to steer, design and benefit from interventions. It is based on fifteen interviews with individuals who had prominent leadership roles in recent ‘flagship’ PGR support projects, analysed using reflexive thematic analysis. It shows that while support for PGR wellbeing features prominently in the UK policy context, there appear to be gaps in the effective design and implementation of that support. Specifically, there is evidence of low political capacity at individual, organisational and systemic levels, which leads to significant gaps in operational capacity. These in turn can amplify low political capacity. The article concludes with some implications for a political analysis of wellbeing, consequent policy implications, and some promising lines for future research.</w:t>
      </w:r>
    </w:p>
    <w:p w14:paraId="43F2FB79" w14:textId="77777777" w:rsidR="00A207BE" w:rsidRPr="004E4EB5" w:rsidRDefault="00A207BE" w:rsidP="00A207BE">
      <w:pPr>
        <w:rPr>
          <w:rFonts w:ascii="Calibri" w:eastAsia="Times New Roman" w:hAnsi="Calibri" w:cs="Calibri"/>
          <w:lang w:eastAsia="en-GB"/>
        </w:rPr>
      </w:pPr>
    </w:p>
    <w:p w14:paraId="5BA62686" w14:textId="77777777" w:rsidR="00A207BE" w:rsidRPr="004E4EB5" w:rsidRDefault="00A207BE" w:rsidP="00A207BE">
      <w:pPr>
        <w:rPr>
          <w:rFonts w:ascii="Calibri" w:eastAsia="Times New Roman" w:hAnsi="Calibri" w:cs="Calibri"/>
          <w:b/>
          <w:bCs/>
          <w:lang w:eastAsia="en-GB"/>
        </w:rPr>
      </w:pPr>
      <w:r w:rsidRPr="004E4EB5">
        <w:rPr>
          <w:rFonts w:ascii="Calibri" w:eastAsia="Times New Roman" w:hAnsi="Calibri" w:cs="Calibri"/>
          <w:b/>
          <w:bCs/>
          <w:lang w:eastAsia="en-GB"/>
        </w:rPr>
        <w:t>Keywords</w:t>
      </w:r>
    </w:p>
    <w:p w14:paraId="1020CD28" w14:textId="77777777" w:rsidR="00A207BE" w:rsidRDefault="00A207BE" w:rsidP="00A207BE">
      <w:pPr>
        <w:rPr>
          <w:rFonts w:ascii="Calibri" w:eastAsia="Times New Roman" w:hAnsi="Calibri" w:cs="Calibri"/>
          <w:lang w:eastAsia="en-GB"/>
        </w:rPr>
      </w:pPr>
      <w:r w:rsidRPr="004E4EB5">
        <w:rPr>
          <w:rFonts w:ascii="Calibri" w:eastAsia="Times New Roman" w:hAnsi="Calibri" w:cs="Calibri"/>
          <w:lang w:eastAsia="en-GB"/>
        </w:rPr>
        <w:t>Wellbeing; policy capacity; United Kingdom; postgraduate researchers; higher education</w:t>
      </w:r>
      <w:r>
        <w:rPr>
          <w:rFonts w:ascii="Calibri" w:eastAsia="Times New Roman" w:hAnsi="Calibri" w:cs="Calibri"/>
          <w:lang w:eastAsia="en-GB"/>
        </w:rPr>
        <w:t>; higher education policy; wellbeing policy</w:t>
      </w:r>
    </w:p>
    <w:p w14:paraId="1DC41519" w14:textId="77777777" w:rsidR="00A207BE" w:rsidRDefault="00A207BE" w:rsidP="00EE69E6">
      <w:pPr>
        <w:tabs>
          <w:tab w:val="left" w:pos="1522"/>
        </w:tabs>
        <w:rPr>
          <w:rFonts w:asciiTheme="majorHAnsi" w:hAnsiTheme="majorHAnsi" w:cstheme="majorHAnsi"/>
        </w:rPr>
      </w:pPr>
    </w:p>
    <w:p w14:paraId="3026937B" w14:textId="77777777" w:rsidR="00A207BE" w:rsidRDefault="00A207BE" w:rsidP="00EE69E6">
      <w:pPr>
        <w:tabs>
          <w:tab w:val="left" w:pos="1522"/>
        </w:tabs>
        <w:rPr>
          <w:rFonts w:asciiTheme="majorHAnsi" w:hAnsiTheme="majorHAnsi" w:cstheme="majorHAnsi"/>
        </w:rPr>
      </w:pPr>
    </w:p>
    <w:p w14:paraId="447F0619" w14:textId="066A1EA7" w:rsidR="00EE69E6" w:rsidRPr="00570EC0" w:rsidRDefault="00AF0157" w:rsidP="00EE69E6">
      <w:pPr>
        <w:tabs>
          <w:tab w:val="left" w:pos="1522"/>
        </w:tabs>
        <w:rPr>
          <w:rFonts w:asciiTheme="majorHAnsi" w:hAnsiTheme="majorHAnsi" w:cstheme="majorHAnsi"/>
          <w:highlight w:val="cyan"/>
        </w:rPr>
      </w:pPr>
      <w:r w:rsidRPr="007A1CBA">
        <w:rPr>
          <w:rFonts w:asciiTheme="majorHAnsi" w:hAnsiTheme="majorHAnsi" w:cstheme="majorHAnsi"/>
        </w:rPr>
        <w:t>Recent years have seen a rise in wellbeing as a</w:t>
      </w:r>
      <w:r w:rsidRPr="00097221">
        <w:rPr>
          <w:rFonts w:asciiTheme="majorHAnsi" w:hAnsiTheme="majorHAnsi" w:cstheme="majorHAnsi"/>
        </w:rPr>
        <w:t xml:space="preserve"> policy</w:t>
      </w:r>
      <w:r w:rsidRPr="007A1CBA">
        <w:rPr>
          <w:rFonts w:asciiTheme="majorHAnsi" w:hAnsiTheme="majorHAnsi" w:cstheme="majorHAnsi"/>
        </w:rPr>
        <w:t xml:space="preserve"> goal </w:t>
      </w:r>
      <w:r>
        <w:rPr>
          <w:rFonts w:asciiTheme="majorHAnsi" w:hAnsiTheme="majorHAnsi" w:cstheme="majorHAnsi"/>
        </w:rPr>
        <w:t>(Bache</w:t>
      </w:r>
      <w:r w:rsidR="003031AB">
        <w:rPr>
          <w:rFonts w:asciiTheme="majorHAnsi" w:hAnsiTheme="majorHAnsi" w:cstheme="majorHAnsi"/>
        </w:rPr>
        <w:t xml:space="preserve"> et al</w:t>
      </w:r>
      <w:r>
        <w:rPr>
          <w:rFonts w:asciiTheme="majorHAnsi" w:hAnsiTheme="majorHAnsi" w:cstheme="majorHAnsi"/>
        </w:rPr>
        <w:t xml:space="preserve">, 2016) </w:t>
      </w:r>
      <w:r w:rsidRPr="007A1CBA">
        <w:rPr>
          <w:rFonts w:asciiTheme="majorHAnsi" w:hAnsiTheme="majorHAnsi" w:cstheme="majorHAnsi"/>
        </w:rPr>
        <w:t xml:space="preserve">at multiple levels </w:t>
      </w:r>
      <w:r w:rsidR="005C32E0">
        <w:rPr>
          <w:rFonts w:asciiTheme="majorHAnsi" w:hAnsiTheme="majorHAnsi" w:cstheme="majorHAnsi"/>
        </w:rPr>
        <w:t>including</w:t>
      </w:r>
      <w:r w:rsidRPr="007A1CBA">
        <w:rPr>
          <w:rFonts w:asciiTheme="majorHAnsi" w:hAnsiTheme="majorHAnsi" w:cstheme="majorHAnsi"/>
        </w:rPr>
        <w:t xml:space="preserve"> </w:t>
      </w:r>
      <w:r w:rsidRPr="009E5646">
        <w:rPr>
          <w:rFonts w:asciiTheme="majorHAnsi" w:hAnsiTheme="majorHAnsi" w:cstheme="majorHAnsi"/>
        </w:rPr>
        <w:t>international (WHO</w:t>
      </w:r>
      <w:r w:rsidR="00DB379F" w:rsidRPr="009E5646">
        <w:rPr>
          <w:rFonts w:asciiTheme="majorHAnsi" w:hAnsiTheme="majorHAnsi" w:cstheme="majorHAnsi"/>
        </w:rPr>
        <w:t xml:space="preserve"> 20</w:t>
      </w:r>
      <w:r w:rsidR="00C308A1" w:rsidRPr="009E5646">
        <w:rPr>
          <w:rFonts w:asciiTheme="majorHAnsi" w:hAnsiTheme="majorHAnsi" w:cstheme="majorHAnsi"/>
        </w:rPr>
        <w:t>22</w:t>
      </w:r>
      <w:r w:rsidR="000C7ED5" w:rsidRPr="009E5646">
        <w:rPr>
          <w:rFonts w:asciiTheme="majorHAnsi" w:hAnsiTheme="majorHAnsi" w:cstheme="majorHAnsi"/>
        </w:rPr>
        <w:t xml:space="preserve">; Sustainable Development </w:t>
      </w:r>
      <w:r w:rsidR="00C308A1" w:rsidRPr="009E5646">
        <w:rPr>
          <w:rFonts w:asciiTheme="majorHAnsi" w:hAnsiTheme="majorHAnsi" w:cstheme="majorHAnsi"/>
        </w:rPr>
        <w:t>Goals</w:t>
      </w:r>
      <w:r w:rsidR="00C308A1" w:rsidRPr="009E5646">
        <w:rPr>
          <w:rStyle w:val="FootnoteReference"/>
          <w:rFonts w:asciiTheme="majorHAnsi" w:hAnsiTheme="majorHAnsi" w:cstheme="majorHAnsi"/>
        </w:rPr>
        <w:footnoteReference w:id="1"/>
      </w:r>
      <w:r w:rsidR="000C7ED5" w:rsidRPr="009E5646">
        <w:rPr>
          <w:rFonts w:asciiTheme="majorHAnsi" w:hAnsiTheme="majorHAnsi" w:cstheme="majorHAnsi"/>
        </w:rPr>
        <w:t>)</w:t>
      </w:r>
      <w:r w:rsidRPr="009E5646">
        <w:rPr>
          <w:rFonts w:asciiTheme="majorHAnsi" w:hAnsiTheme="majorHAnsi" w:cstheme="majorHAnsi"/>
        </w:rPr>
        <w:t xml:space="preserve"> national </w:t>
      </w:r>
      <w:r w:rsidR="005C32E0" w:rsidRPr="009E5646">
        <w:rPr>
          <w:rFonts w:asciiTheme="majorHAnsi" w:hAnsiTheme="majorHAnsi" w:cstheme="majorHAnsi"/>
        </w:rPr>
        <w:t>(</w:t>
      </w:r>
      <w:r w:rsidRPr="009E5646">
        <w:rPr>
          <w:rFonts w:asciiTheme="majorHAnsi" w:hAnsiTheme="majorHAnsi" w:cstheme="majorHAnsi"/>
        </w:rPr>
        <w:t>e.g. Bache 2020), sub-national (</w:t>
      </w:r>
      <w:r w:rsidR="009E5646" w:rsidRPr="009E5646">
        <w:rPr>
          <w:rFonts w:asciiTheme="majorHAnsi" w:hAnsiTheme="majorHAnsi" w:cstheme="majorHAnsi"/>
        </w:rPr>
        <w:t xml:space="preserve">e.g. </w:t>
      </w:r>
      <w:r w:rsidR="00244CAB">
        <w:rPr>
          <w:rFonts w:asciiTheme="majorHAnsi" w:hAnsiTheme="majorHAnsi" w:cstheme="majorHAnsi"/>
        </w:rPr>
        <w:t>LGA 2023</w:t>
      </w:r>
      <w:r w:rsidRPr="009E5646">
        <w:rPr>
          <w:rFonts w:asciiTheme="majorHAnsi" w:hAnsiTheme="majorHAnsi" w:cstheme="majorHAnsi"/>
        </w:rPr>
        <w:t>), and organisational (</w:t>
      </w:r>
      <w:r w:rsidR="009E5646" w:rsidRPr="009E5646">
        <w:rPr>
          <w:rFonts w:asciiTheme="majorHAnsi" w:hAnsiTheme="majorHAnsi" w:cstheme="majorHAnsi"/>
        </w:rPr>
        <w:t>e.g. Brough et al 2021</w:t>
      </w:r>
      <w:r w:rsidRPr="009E5646">
        <w:rPr>
          <w:rFonts w:asciiTheme="majorHAnsi" w:hAnsiTheme="majorHAnsi" w:cstheme="majorHAnsi"/>
        </w:rPr>
        <w:t xml:space="preserve">). </w:t>
      </w:r>
      <w:r w:rsidR="007441D3">
        <w:rPr>
          <w:rFonts w:asciiTheme="majorHAnsi" w:hAnsiTheme="majorHAnsi" w:cstheme="majorHAnsi"/>
        </w:rPr>
        <w:t>However,</w:t>
      </w:r>
      <w:r w:rsidRPr="009E5646">
        <w:rPr>
          <w:rFonts w:asciiTheme="majorHAnsi" w:hAnsiTheme="majorHAnsi" w:cstheme="majorHAnsi"/>
        </w:rPr>
        <w:t xml:space="preserve"> </w:t>
      </w:r>
      <w:r w:rsidRPr="00097221">
        <w:rPr>
          <w:rFonts w:asciiTheme="majorHAnsi" w:hAnsiTheme="majorHAnsi" w:cstheme="majorHAnsi"/>
        </w:rPr>
        <w:t>political analysis</w:t>
      </w:r>
      <w:r w:rsidRPr="009E5646">
        <w:rPr>
          <w:rFonts w:asciiTheme="majorHAnsi" w:hAnsiTheme="majorHAnsi" w:cstheme="majorHAnsi"/>
        </w:rPr>
        <w:t xml:space="preserve"> </w:t>
      </w:r>
      <w:r w:rsidRPr="00EE69E6">
        <w:rPr>
          <w:rFonts w:asciiTheme="majorHAnsi" w:hAnsiTheme="majorHAnsi" w:cstheme="majorHAnsi"/>
        </w:rPr>
        <w:t xml:space="preserve">of wellbeing is a vital but to date rather under-researched sub-field, and ripe for further study. </w:t>
      </w:r>
      <w:r w:rsidR="00EE69E6" w:rsidRPr="00EE69E6">
        <w:rPr>
          <w:rFonts w:asciiTheme="majorHAnsi" w:hAnsiTheme="majorHAnsi" w:cstheme="majorHAnsi"/>
        </w:rPr>
        <w:t xml:space="preserve">Both the concept and practice of wellbeing have attracted analysis from political studies, organisational studies and human geography perspectives. These include: </w:t>
      </w:r>
      <w:r w:rsidR="007441D3">
        <w:rPr>
          <w:rFonts w:asciiTheme="majorHAnsi" w:hAnsiTheme="majorHAnsi" w:cstheme="majorHAnsi"/>
        </w:rPr>
        <w:t xml:space="preserve">exploring </w:t>
      </w:r>
      <w:r w:rsidR="00EE69E6" w:rsidRPr="00EE69E6">
        <w:rPr>
          <w:rFonts w:asciiTheme="majorHAnsi" w:hAnsiTheme="majorHAnsi" w:cstheme="majorHAnsi"/>
        </w:rPr>
        <w:t xml:space="preserve">social, political and institutional dynamics, and critique of the primacy of individual responsibility for wellbeing; the idea of wellbeing itself; why (a particular understanding of) it is promoted; </w:t>
      </w:r>
      <w:r w:rsidR="007441D3">
        <w:rPr>
          <w:rFonts w:asciiTheme="majorHAnsi" w:hAnsiTheme="majorHAnsi" w:cstheme="majorHAnsi"/>
        </w:rPr>
        <w:t xml:space="preserve">and </w:t>
      </w:r>
      <w:r w:rsidR="00EE69E6" w:rsidRPr="00EE69E6">
        <w:rPr>
          <w:rFonts w:asciiTheme="majorHAnsi" w:hAnsiTheme="majorHAnsi" w:cstheme="majorHAnsi"/>
        </w:rPr>
        <w:t xml:space="preserve">the implications for how different interventions might play out in </w:t>
      </w:r>
      <w:r w:rsidR="00EE69E6" w:rsidRPr="00EE69E6">
        <w:rPr>
          <w:rFonts w:asciiTheme="majorHAnsi" w:hAnsiTheme="majorHAnsi" w:cstheme="majorHAnsi"/>
        </w:rPr>
        <w:lastRenderedPageBreak/>
        <w:t>practice, including difficulties encountered when evaluating wellbeing initiatives and policies (</w:t>
      </w:r>
      <w:proofErr w:type="spellStart"/>
      <w:r w:rsidR="00EE69E6" w:rsidRPr="00EE69E6">
        <w:rPr>
          <w:rFonts w:asciiTheme="majorHAnsi" w:hAnsiTheme="majorHAnsi" w:cstheme="majorHAnsi"/>
        </w:rPr>
        <w:t>Schwanen</w:t>
      </w:r>
      <w:proofErr w:type="spellEnd"/>
      <w:r w:rsidR="00EE69E6" w:rsidRPr="00EE69E6">
        <w:rPr>
          <w:rFonts w:asciiTheme="majorHAnsi" w:hAnsiTheme="majorHAnsi" w:cstheme="majorHAnsi"/>
        </w:rPr>
        <w:t xml:space="preserve"> and Atkinson 2015; Bache et al 2016; White 2017; Bache </w:t>
      </w:r>
      <w:r w:rsidR="001E1C22">
        <w:rPr>
          <w:rFonts w:asciiTheme="majorHAnsi" w:hAnsiTheme="majorHAnsi" w:cstheme="majorHAnsi"/>
        </w:rPr>
        <w:t>and</w:t>
      </w:r>
      <w:r w:rsidR="00EE69E6" w:rsidRPr="00EE69E6">
        <w:rPr>
          <w:rFonts w:asciiTheme="majorHAnsi" w:hAnsiTheme="majorHAnsi" w:cstheme="majorHAnsi"/>
        </w:rPr>
        <w:t xml:space="preserve"> Scott 2018; Atkinson 2020; </w:t>
      </w:r>
      <w:r w:rsidR="00EE69E6" w:rsidRPr="00EE69E6">
        <w:rPr>
          <w:rFonts w:asciiTheme="majorHAnsi" w:hAnsiTheme="majorHAnsi" w:cstheme="majorHAnsi"/>
          <w:bCs/>
        </w:rPr>
        <w:t xml:space="preserve">Burke and </w:t>
      </w:r>
      <w:proofErr w:type="spellStart"/>
      <w:r w:rsidR="00EE69E6" w:rsidRPr="00EE69E6">
        <w:rPr>
          <w:rFonts w:asciiTheme="majorHAnsi" w:hAnsiTheme="majorHAnsi" w:cstheme="majorHAnsi"/>
          <w:bCs/>
        </w:rPr>
        <w:t>Pignata</w:t>
      </w:r>
      <w:proofErr w:type="spellEnd"/>
      <w:r w:rsidR="00EE69E6" w:rsidRPr="00EE69E6">
        <w:rPr>
          <w:rFonts w:asciiTheme="majorHAnsi" w:hAnsiTheme="majorHAnsi" w:cstheme="majorHAnsi"/>
          <w:bCs/>
        </w:rPr>
        <w:t xml:space="preserve">, 2020; </w:t>
      </w:r>
      <w:r w:rsidR="00EE69E6" w:rsidRPr="00EE69E6">
        <w:rPr>
          <w:rFonts w:asciiTheme="majorHAnsi" w:hAnsiTheme="majorHAnsi" w:cstheme="majorHAnsi"/>
        </w:rPr>
        <w:t>Patey et al 2021; Searle et al 2021; Watson et al 2023). Examining the "barriers to policy change, the most effective policy instruments ... and the challenges of implementation" (Bache and Scott 2018</w:t>
      </w:r>
      <w:r w:rsidR="0078060E">
        <w:rPr>
          <w:rFonts w:asciiTheme="majorHAnsi" w:hAnsiTheme="majorHAnsi" w:cstheme="majorHAnsi"/>
        </w:rPr>
        <w:t xml:space="preserve">: </w:t>
      </w:r>
      <w:r w:rsidR="00EE69E6" w:rsidRPr="00EE69E6">
        <w:rPr>
          <w:rFonts w:asciiTheme="majorHAnsi" w:hAnsiTheme="majorHAnsi" w:cstheme="majorHAnsi"/>
        </w:rPr>
        <w:t xml:space="preserve">7) is an important part of understanding why (or why not) interventions might fare well. </w:t>
      </w:r>
      <w:r w:rsidR="005E384F">
        <w:rPr>
          <w:rFonts w:asciiTheme="majorHAnsi" w:hAnsiTheme="majorHAnsi" w:cstheme="majorHAnsi"/>
        </w:rPr>
        <w:t>R</w:t>
      </w:r>
      <w:r w:rsidR="00EE69E6" w:rsidRPr="00EE69E6">
        <w:rPr>
          <w:rFonts w:asciiTheme="majorHAnsi" w:hAnsiTheme="majorHAnsi" w:cstheme="majorHAnsi"/>
        </w:rPr>
        <w:t>esearch to better understand the "different capabilities of various actors to access and affect" interventions (Bache and Scott 2018</w:t>
      </w:r>
      <w:r w:rsidR="0078060E">
        <w:rPr>
          <w:rFonts w:asciiTheme="majorHAnsi" w:hAnsiTheme="majorHAnsi" w:cstheme="majorHAnsi"/>
        </w:rPr>
        <w:t xml:space="preserve">: </w:t>
      </w:r>
      <w:r w:rsidR="00EE69E6" w:rsidRPr="00EE69E6">
        <w:rPr>
          <w:rFonts w:asciiTheme="majorHAnsi" w:hAnsiTheme="majorHAnsi" w:cstheme="majorHAnsi"/>
        </w:rPr>
        <w:t>7) is crucial</w:t>
      </w:r>
      <w:r w:rsidR="005E384F">
        <w:rPr>
          <w:rFonts w:asciiTheme="majorHAnsi" w:hAnsiTheme="majorHAnsi" w:cstheme="majorHAnsi"/>
        </w:rPr>
        <w:t xml:space="preserve">, including </w:t>
      </w:r>
      <w:r w:rsidR="00EE69E6" w:rsidRPr="00EE69E6">
        <w:rPr>
          <w:rFonts w:asciiTheme="majorHAnsi" w:hAnsiTheme="majorHAnsi" w:cstheme="majorHAnsi"/>
        </w:rPr>
        <w:t>capacity to steer, design and benefit</w:t>
      </w:r>
      <w:r w:rsidR="0078060E">
        <w:rPr>
          <w:rFonts w:asciiTheme="majorHAnsi" w:hAnsiTheme="majorHAnsi" w:cstheme="majorHAnsi"/>
        </w:rPr>
        <w:t xml:space="preserve"> </w:t>
      </w:r>
      <w:r w:rsidR="00EE69E6" w:rsidRPr="00EE69E6">
        <w:rPr>
          <w:rFonts w:asciiTheme="majorHAnsi" w:hAnsiTheme="majorHAnsi" w:cstheme="majorHAnsi"/>
        </w:rPr>
        <w:t>or lose out from interventions (Brough et al 2021; Searle et al 2021).</w:t>
      </w:r>
      <w:r w:rsidR="00EE69E6">
        <w:rPr>
          <w:rFonts w:asciiTheme="majorHAnsi" w:hAnsiTheme="majorHAnsi" w:cstheme="majorHAnsi"/>
        </w:rPr>
        <w:t xml:space="preserve"> </w:t>
      </w:r>
    </w:p>
    <w:p w14:paraId="12F2986D" w14:textId="34A970BF" w:rsidR="000A1EF4" w:rsidRPr="009D3DF4" w:rsidRDefault="00BD36B8" w:rsidP="00095D80">
      <w:pPr>
        <w:autoSpaceDE w:val="0"/>
        <w:autoSpaceDN w:val="0"/>
        <w:adjustRightInd w:val="0"/>
        <w:ind w:firstLine="720"/>
        <w:rPr>
          <w:rFonts w:asciiTheme="majorHAnsi" w:hAnsiTheme="majorHAnsi" w:cstheme="majorHAnsi"/>
        </w:rPr>
      </w:pPr>
      <w:r>
        <w:rPr>
          <w:rFonts w:asciiTheme="majorHAnsi" w:hAnsiTheme="majorHAnsi" w:cstheme="majorHAnsi"/>
        </w:rPr>
        <w:t xml:space="preserve">This article is concerned with the politics surrounding </w:t>
      </w:r>
      <w:r w:rsidR="00F56428" w:rsidRPr="007A1CBA">
        <w:rPr>
          <w:rFonts w:asciiTheme="majorHAnsi" w:hAnsiTheme="majorHAnsi" w:cstheme="majorHAnsi"/>
        </w:rPr>
        <w:t xml:space="preserve">the prominent concern with the wellbeing of students and staff at higher education (HE) institutions. As educational and social communities, workplaces, </w:t>
      </w:r>
      <w:r>
        <w:rPr>
          <w:rFonts w:asciiTheme="majorHAnsi" w:hAnsiTheme="majorHAnsi" w:cstheme="majorHAnsi"/>
        </w:rPr>
        <w:t xml:space="preserve">often major employers, </w:t>
      </w:r>
      <w:r w:rsidR="00F56428" w:rsidRPr="007A1CBA">
        <w:rPr>
          <w:rFonts w:asciiTheme="majorHAnsi" w:hAnsiTheme="majorHAnsi" w:cstheme="majorHAnsi"/>
        </w:rPr>
        <w:t>and key organisations for delivering government policy</w:t>
      </w:r>
      <w:r w:rsidR="00C64FF1">
        <w:rPr>
          <w:rFonts w:asciiTheme="majorHAnsi" w:hAnsiTheme="majorHAnsi" w:cstheme="majorHAnsi"/>
        </w:rPr>
        <w:t xml:space="preserve">, they are </w:t>
      </w:r>
      <w:r w:rsidR="0087251D">
        <w:rPr>
          <w:rFonts w:asciiTheme="majorHAnsi" w:hAnsiTheme="majorHAnsi" w:cstheme="majorHAnsi"/>
        </w:rPr>
        <w:t xml:space="preserve">thus </w:t>
      </w:r>
      <w:r w:rsidR="00C64FF1">
        <w:rPr>
          <w:rFonts w:asciiTheme="majorHAnsi" w:hAnsiTheme="majorHAnsi" w:cstheme="majorHAnsi"/>
        </w:rPr>
        <w:t xml:space="preserve">sites of </w:t>
      </w:r>
      <w:r w:rsidR="0087251D">
        <w:rPr>
          <w:rFonts w:asciiTheme="majorHAnsi" w:hAnsiTheme="majorHAnsi" w:cstheme="majorHAnsi"/>
        </w:rPr>
        <w:t>argument</w:t>
      </w:r>
      <w:r w:rsidR="00C64FF1">
        <w:rPr>
          <w:rFonts w:asciiTheme="majorHAnsi" w:hAnsiTheme="majorHAnsi" w:cstheme="majorHAnsi"/>
        </w:rPr>
        <w:t xml:space="preserve"> about their primary purpose. </w:t>
      </w:r>
      <w:r w:rsidR="00ED4C19">
        <w:rPr>
          <w:rFonts w:asciiTheme="majorHAnsi" w:hAnsiTheme="majorHAnsi" w:cstheme="majorHAnsi"/>
        </w:rPr>
        <w:t>In the UK, for example, t</w:t>
      </w:r>
      <w:r w:rsidR="00F56428" w:rsidRPr="007A1CBA">
        <w:rPr>
          <w:rFonts w:asciiTheme="majorHAnsi" w:hAnsiTheme="majorHAnsi" w:cstheme="majorHAnsi"/>
        </w:rPr>
        <w:t xml:space="preserve">here has been concern about wellbeing and health </w:t>
      </w:r>
      <w:r w:rsidR="00C64FF1">
        <w:rPr>
          <w:rFonts w:asciiTheme="majorHAnsi" w:hAnsiTheme="majorHAnsi" w:cstheme="majorHAnsi"/>
        </w:rPr>
        <w:t xml:space="preserve">in HE </w:t>
      </w:r>
      <w:r w:rsidR="00F56428" w:rsidRPr="007A1CBA">
        <w:rPr>
          <w:rFonts w:asciiTheme="majorHAnsi" w:hAnsiTheme="majorHAnsi" w:cstheme="majorHAnsi"/>
        </w:rPr>
        <w:t>generally for decades</w:t>
      </w:r>
      <w:r w:rsidR="00E9539F">
        <w:rPr>
          <w:rFonts w:asciiTheme="majorHAnsi" w:hAnsiTheme="majorHAnsi" w:cstheme="majorHAnsi"/>
        </w:rPr>
        <w:t xml:space="preserve"> (e.g. Crook 2020)</w:t>
      </w:r>
      <w:r w:rsidR="00F56428" w:rsidRPr="007A1CBA">
        <w:rPr>
          <w:rFonts w:asciiTheme="majorHAnsi" w:hAnsiTheme="majorHAnsi" w:cstheme="majorHAnsi"/>
        </w:rPr>
        <w:t>.</w:t>
      </w:r>
      <w:r w:rsidR="00E9539F">
        <w:rPr>
          <w:rFonts w:asciiTheme="majorHAnsi" w:hAnsiTheme="majorHAnsi" w:cstheme="majorHAnsi"/>
        </w:rPr>
        <w:t xml:space="preserve"> </w:t>
      </w:r>
      <w:r w:rsidR="0078060E">
        <w:rPr>
          <w:rFonts w:asciiTheme="majorHAnsi" w:hAnsiTheme="majorHAnsi" w:cstheme="majorHAnsi"/>
        </w:rPr>
        <w:t>T</w:t>
      </w:r>
      <w:r w:rsidR="00F56428" w:rsidRPr="007A1CBA">
        <w:rPr>
          <w:rFonts w:asciiTheme="majorHAnsi" w:hAnsiTheme="majorHAnsi" w:cstheme="majorHAnsi"/>
        </w:rPr>
        <w:t xml:space="preserve">here </w:t>
      </w:r>
      <w:r w:rsidR="00E9539F">
        <w:rPr>
          <w:rFonts w:asciiTheme="majorHAnsi" w:hAnsiTheme="majorHAnsi" w:cstheme="majorHAnsi"/>
        </w:rPr>
        <w:t xml:space="preserve">are </w:t>
      </w:r>
      <w:r w:rsidR="00F56428" w:rsidRPr="007A1CBA">
        <w:rPr>
          <w:rFonts w:asciiTheme="majorHAnsi" w:hAnsiTheme="majorHAnsi" w:cstheme="majorHAnsi"/>
        </w:rPr>
        <w:t xml:space="preserve">no shortage of </w:t>
      </w:r>
      <w:r w:rsidR="00CE1944">
        <w:rPr>
          <w:rFonts w:asciiTheme="majorHAnsi" w:hAnsiTheme="majorHAnsi" w:cstheme="majorHAnsi"/>
        </w:rPr>
        <w:t xml:space="preserve">recent </w:t>
      </w:r>
      <w:r w:rsidR="00F56428" w:rsidRPr="007A1CBA">
        <w:rPr>
          <w:rFonts w:asciiTheme="majorHAnsi" w:hAnsiTheme="majorHAnsi" w:cstheme="majorHAnsi"/>
        </w:rPr>
        <w:t xml:space="preserve">initiatives to support wellbeing in </w:t>
      </w:r>
      <w:r w:rsidR="00ED4C19">
        <w:rPr>
          <w:rFonts w:asciiTheme="majorHAnsi" w:hAnsiTheme="majorHAnsi" w:cstheme="majorHAnsi"/>
        </w:rPr>
        <w:t xml:space="preserve">UK </w:t>
      </w:r>
      <w:r w:rsidR="00F56428" w:rsidRPr="007A1CBA">
        <w:rPr>
          <w:rFonts w:asciiTheme="majorHAnsi" w:hAnsiTheme="majorHAnsi" w:cstheme="majorHAnsi"/>
        </w:rPr>
        <w:t xml:space="preserve">HE institutions at </w:t>
      </w:r>
      <w:r w:rsidR="000A1EF4">
        <w:rPr>
          <w:rFonts w:asciiTheme="majorHAnsi" w:hAnsiTheme="majorHAnsi" w:cstheme="majorHAnsi"/>
        </w:rPr>
        <w:t xml:space="preserve">both </w:t>
      </w:r>
      <w:r w:rsidR="00F56428" w:rsidRPr="007A1CBA">
        <w:rPr>
          <w:rFonts w:asciiTheme="majorHAnsi" w:hAnsiTheme="majorHAnsi" w:cstheme="majorHAnsi"/>
        </w:rPr>
        <w:t>st</w:t>
      </w:r>
      <w:r w:rsidR="00F56428" w:rsidRPr="006437E1">
        <w:rPr>
          <w:rFonts w:asciiTheme="majorHAnsi" w:hAnsiTheme="majorHAnsi" w:cstheme="majorHAnsi"/>
        </w:rPr>
        <w:t>rategic and project-levels</w:t>
      </w:r>
      <w:r w:rsidR="009A4E5F" w:rsidRPr="006437E1">
        <w:rPr>
          <w:rFonts w:asciiTheme="majorHAnsi" w:hAnsiTheme="majorHAnsi" w:cstheme="majorHAnsi"/>
        </w:rPr>
        <w:t xml:space="preserve">, in many cases covering both wellbeing and mental health more specifically </w:t>
      </w:r>
      <w:r w:rsidR="00F56428" w:rsidRPr="006437E1">
        <w:rPr>
          <w:rFonts w:asciiTheme="majorHAnsi" w:hAnsiTheme="majorHAnsi" w:cstheme="majorHAnsi"/>
        </w:rPr>
        <w:t>(</w:t>
      </w:r>
      <w:r w:rsidR="001C03F7" w:rsidRPr="006437E1">
        <w:rPr>
          <w:rFonts w:asciiTheme="majorHAnsi" w:hAnsiTheme="majorHAnsi" w:cstheme="majorHAnsi"/>
        </w:rPr>
        <w:t xml:space="preserve">see for example </w:t>
      </w:r>
      <w:r w:rsidR="001C03F7" w:rsidRPr="006437E1">
        <w:rPr>
          <w:rFonts w:asciiTheme="majorHAnsi" w:hAnsiTheme="majorHAnsi" w:cstheme="majorHAnsi"/>
          <w:i/>
          <w:iCs/>
        </w:rPr>
        <w:t>The University Mental Health Charter</w:t>
      </w:r>
      <w:r w:rsidR="001C03F7" w:rsidRPr="006437E1">
        <w:rPr>
          <w:rFonts w:asciiTheme="majorHAnsi" w:hAnsiTheme="majorHAnsi" w:cstheme="majorHAnsi"/>
        </w:rPr>
        <w:t xml:space="preserve"> (Hughes </w:t>
      </w:r>
      <w:r w:rsidR="001E1C22">
        <w:rPr>
          <w:rFonts w:asciiTheme="majorHAnsi" w:hAnsiTheme="majorHAnsi" w:cstheme="majorHAnsi"/>
        </w:rPr>
        <w:t>and</w:t>
      </w:r>
      <w:r w:rsidR="001C03F7" w:rsidRPr="006437E1">
        <w:rPr>
          <w:rFonts w:asciiTheme="majorHAnsi" w:hAnsiTheme="majorHAnsi" w:cstheme="majorHAnsi"/>
        </w:rPr>
        <w:t xml:space="preserve"> Spanner 2019); </w:t>
      </w:r>
      <w:proofErr w:type="spellStart"/>
      <w:r w:rsidR="006437E1" w:rsidRPr="006437E1">
        <w:rPr>
          <w:rFonts w:asciiTheme="majorHAnsi" w:hAnsiTheme="majorHAnsi" w:cstheme="majorHAnsi"/>
          <w:i/>
          <w:iCs/>
        </w:rPr>
        <w:t>Stepchange</w:t>
      </w:r>
      <w:proofErr w:type="spellEnd"/>
      <w:r w:rsidR="006437E1" w:rsidRPr="006437E1">
        <w:rPr>
          <w:rFonts w:asciiTheme="majorHAnsi" w:hAnsiTheme="majorHAnsi" w:cstheme="majorHAnsi"/>
          <w:i/>
          <w:iCs/>
        </w:rPr>
        <w:t>: Mentally Healthy Universities</w:t>
      </w:r>
      <w:r w:rsidR="006437E1" w:rsidRPr="006437E1">
        <w:rPr>
          <w:rFonts w:asciiTheme="majorHAnsi" w:hAnsiTheme="majorHAnsi" w:cstheme="majorHAnsi"/>
        </w:rPr>
        <w:t xml:space="preserve"> (UUK, 2020); </w:t>
      </w:r>
      <w:r w:rsidR="006171E7" w:rsidRPr="006437E1">
        <w:rPr>
          <w:rFonts w:asciiTheme="majorHAnsi" w:hAnsiTheme="majorHAnsi" w:cstheme="majorHAnsi"/>
        </w:rPr>
        <w:t>Student Mental Health Evidence Hub</w:t>
      </w:r>
      <w:r w:rsidR="006171E7" w:rsidRPr="006437E1">
        <w:rPr>
          <w:rStyle w:val="FootnoteReference"/>
          <w:rFonts w:asciiTheme="majorHAnsi" w:hAnsiTheme="majorHAnsi" w:cstheme="majorHAnsi"/>
        </w:rPr>
        <w:footnoteReference w:id="2"/>
      </w:r>
      <w:r w:rsidR="006171E7" w:rsidRPr="006437E1">
        <w:rPr>
          <w:rFonts w:asciiTheme="majorHAnsi" w:hAnsiTheme="majorHAnsi" w:cstheme="majorHAnsi"/>
        </w:rPr>
        <w:t xml:space="preserve"> launched in October </w:t>
      </w:r>
      <w:r w:rsidR="006171E7" w:rsidRPr="009D3DF4">
        <w:rPr>
          <w:rFonts w:asciiTheme="majorHAnsi" w:hAnsiTheme="majorHAnsi" w:cstheme="majorHAnsi"/>
        </w:rPr>
        <w:t>2023</w:t>
      </w:r>
      <w:r w:rsidR="001C03F7" w:rsidRPr="009D3DF4">
        <w:rPr>
          <w:rFonts w:asciiTheme="majorHAnsi" w:hAnsiTheme="majorHAnsi" w:cstheme="majorHAnsi"/>
        </w:rPr>
        <w:t>;</w:t>
      </w:r>
      <w:r w:rsidR="001C03F7" w:rsidRPr="009D3DF4">
        <w:rPr>
          <w:rFonts w:asciiTheme="majorHAnsi" w:hAnsiTheme="majorHAnsi" w:cstheme="majorHAnsi"/>
          <w:b/>
          <w:bCs/>
        </w:rPr>
        <w:t xml:space="preserve"> </w:t>
      </w:r>
      <w:r w:rsidR="005C6756" w:rsidRPr="009D3DF4">
        <w:rPr>
          <w:rFonts w:asciiTheme="majorHAnsi" w:hAnsiTheme="majorHAnsi" w:cstheme="majorHAnsi"/>
        </w:rPr>
        <w:t>DfE (2023)</w:t>
      </w:r>
      <w:r w:rsidR="006437E1" w:rsidRPr="009D3DF4">
        <w:rPr>
          <w:rFonts w:asciiTheme="majorHAnsi" w:hAnsiTheme="majorHAnsi" w:cstheme="majorHAnsi"/>
        </w:rPr>
        <w:t>)</w:t>
      </w:r>
      <w:r w:rsidR="009D3DF4" w:rsidRPr="009D3DF4">
        <w:rPr>
          <w:rFonts w:asciiTheme="majorHAnsi" w:hAnsiTheme="majorHAnsi" w:cstheme="majorHAnsi"/>
        </w:rPr>
        <w:t xml:space="preserve">. </w:t>
      </w:r>
      <w:r w:rsidR="001C03F7" w:rsidRPr="009D3DF4">
        <w:rPr>
          <w:rFonts w:asciiTheme="majorHAnsi" w:hAnsiTheme="majorHAnsi" w:cstheme="majorHAnsi"/>
        </w:rPr>
        <w:t xml:space="preserve">Both the </w:t>
      </w:r>
      <w:r w:rsidR="001C03F7" w:rsidRPr="009D3DF4">
        <w:rPr>
          <w:rFonts w:asciiTheme="majorHAnsi" w:hAnsiTheme="majorHAnsi" w:cstheme="majorHAnsi"/>
          <w:i/>
          <w:iCs/>
        </w:rPr>
        <w:t>University Mental Health Charter</w:t>
      </w:r>
      <w:r w:rsidR="001C03F7" w:rsidRPr="009D3DF4">
        <w:rPr>
          <w:rFonts w:asciiTheme="majorHAnsi" w:hAnsiTheme="majorHAnsi" w:cstheme="majorHAnsi"/>
        </w:rPr>
        <w:t xml:space="preserve"> and </w:t>
      </w:r>
      <w:proofErr w:type="spellStart"/>
      <w:r w:rsidR="006437E1" w:rsidRPr="009D3DF4">
        <w:rPr>
          <w:rFonts w:asciiTheme="majorHAnsi" w:hAnsiTheme="majorHAnsi" w:cstheme="majorHAnsi"/>
          <w:i/>
          <w:iCs/>
        </w:rPr>
        <w:t>Stepchange</w:t>
      </w:r>
      <w:proofErr w:type="spellEnd"/>
      <w:r w:rsidR="001C03F7" w:rsidRPr="009D3DF4">
        <w:rPr>
          <w:rFonts w:asciiTheme="majorHAnsi" w:hAnsiTheme="majorHAnsi" w:cstheme="majorHAnsi"/>
        </w:rPr>
        <w:t xml:space="preserve"> </w:t>
      </w:r>
      <w:r w:rsidR="000A1EF4" w:rsidRPr="009D3DF4">
        <w:rPr>
          <w:rFonts w:asciiTheme="majorHAnsi" w:hAnsiTheme="majorHAnsi" w:cstheme="majorHAnsi"/>
        </w:rPr>
        <w:t xml:space="preserve">emphasised the importance of the whole university community, including students at all levels, and all types of staff, and of causes and actions </w:t>
      </w:r>
      <w:r w:rsidR="00ED4C19">
        <w:rPr>
          <w:rFonts w:asciiTheme="majorHAnsi" w:hAnsiTheme="majorHAnsi" w:cstheme="majorHAnsi"/>
        </w:rPr>
        <w:t xml:space="preserve">in wider </w:t>
      </w:r>
      <w:r w:rsidR="000A1EF4" w:rsidRPr="009D3DF4">
        <w:rPr>
          <w:rFonts w:asciiTheme="majorHAnsi" w:hAnsiTheme="majorHAnsi" w:cstheme="majorHAnsi"/>
        </w:rPr>
        <w:t xml:space="preserve">environment and culture as well as the individual level. </w:t>
      </w:r>
    </w:p>
    <w:p w14:paraId="3E888393" w14:textId="67FD37F8" w:rsidR="002C78EE" w:rsidRPr="00ED4C19" w:rsidRDefault="0078060E" w:rsidP="00095D80">
      <w:pPr>
        <w:pStyle w:val="CommentText"/>
        <w:ind w:firstLine="720"/>
        <w:rPr>
          <w:rFonts w:asciiTheme="majorHAnsi" w:hAnsiTheme="majorHAnsi" w:cstheme="majorHAnsi"/>
        </w:rPr>
      </w:pPr>
      <w:r>
        <w:rPr>
          <w:rFonts w:asciiTheme="majorHAnsi" w:hAnsiTheme="majorHAnsi" w:cstheme="majorHAnsi"/>
        </w:rPr>
        <w:t>W</w:t>
      </w:r>
      <w:r w:rsidR="002C78EE" w:rsidRPr="00ED4C19">
        <w:rPr>
          <w:rFonts w:asciiTheme="majorHAnsi" w:hAnsiTheme="majorHAnsi" w:cstheme="majorHAnsi"/>
        </w:rPr>
        <w:t>hile these initiatives represent a major step, more work is required to explore</w:t>
      </w:r>
      <w:r w:rsidR="00BF6F10">
        <w:rPr>
          <w:rFonts w:asciiTheme="majorHAnsi" w:hAnsiTheme="majorHAnsi" w:cstheme="majorHAnsi"/>
        </w:rPr>
        <w:t xml:space="preserve"> </w:t>
      </w:r>
      <w:r w:rsidR="00355256">
        <w:rPr>
          <w:rFonts w:asciiTheme="majorHAnsi" w:hAnsiTheme="majorHAnsi" w:cstheme="majorHAnsi"/>
        </w:rPr>
        <w:t>different</w:t>
      </w:r>
      <w:r w:rsidR="002C78EE" w:rsidRPr="00ED4C19">
        <w:rPr>
          <w:rFonts w:asciiTheme="majorHAnsi" w:hAnsiTheme="majorHAnsi" w:cstheme="majorHAnsi"/>
        </w:rPr>
        <w:t xml:space="preserve"> political aspects of mental health and wellbeing in the HE context. For example,</w:t>
      </w:r>
      <w:r w:rsidR="00AE6062">
        <w:rPr>
          <w:rFonts w:asciiTheme="majorHAnsi" w:hAnsiTheme="majorHAnsi" w:cstheme="majorHAnsi"/>
        </w:rPr>
        <w:t xml:space="preserve"> understanding why </w:t>
      </w:r>
      <w:r w:rsidR="00AE6062" w:rsidRPr="00ED4C19">
        <w:rPr>
          <w:rFonts w:asciiTheme="majorHAnsi" w:hAnsiTheme="majorHAnsi" w:cstheme="majorHAnsi"/>
        </w:rPr>
        <w:t xml:space="preserve">interventions </w:t>
      </w:r>
      <w:r w:rsidR="00AE6062">
        <w:rPr>
          <w:rFonts w:asciiTheme="majorHAnsi" w:hAnsiTheme="majorHAnsi" w:cstheme="majorHAnsi"/>
        </w:rPr>
        <w:t>to support wellbeing can</w:t>
      </w:r>
      <w:r w:rsidR="00AE6062" w:rsidRPr="00ED4C19">
        <w:rPr>
          <w:rFonts w:asciiTheme="majorHAnsi" w:hAnsiTheme="majorHAnsi" w:cstheme="majorHAnsi"/>
        </w:rPr>
        <w:t xml:space="preserve"> struggle to have impact</w:t>
      </w:r>
      <w:r w:rsidR="00AE6062">
        <w:rPr>
          <w:rFonts w:asciiTheme="majorHAnsi" w:hAnsiTheme="majorHAnsi" w:cstheme="majorHAnsi"/>
        </w:rPr>
        <w:t xml:space="preserve"> </w:t>
      </w:r>
      <w:r w:rsidR="00547A77">
        <w:rPr>
          <w:rFonts w:asciiTheme="majorHAnsi" w:hAnsiTheme="majorHAnsi" w:cstheme="majorHAnsi"/>
        </w:rPr>
        <w:t xml:space="preserve">needs more than </w:t>
      </w:r>
      <w:r w:rsidR="002C78EE" w:rsidRPr="00ED4C19">
        <w:rPr>
          <w:rFonts w:asciiTheme="majorHAnsi" w:hAnsiTheme="majorHAnsi" w:cstheme="majorHAnsi"/>
        </w:rPr>
        <w:t>a politically-neutral exercise of overcoming barriers to a commonly-agreed goa</w:t>
      </w:r>
      <w:r w:rsidR="007B7A80">
        <w:rPr>
          <w:rFonts w:asciiTheme="majorHAnsi" w:hAnsiTheme="majorHAnsi" w:cstheme="majorHAnsi"/>
        </w:rPr>
        <w:t xml:space="preserve">l. </w:t>
      </w:r>
      <w:r w:rsidR="00547A77">
        <w:rPr>
          <w:rFonts w:asciiTheme="majorHAnsi" w:hAnsiTheme="majorHAnsi" w:cstheme="majorHAnsi"/>
        </w:rPr>
        <w:t>T</w:t>
      </w:r>
      <w:r w:rsidR="002C78EE" w:rsidRPr="00ED4C19">
        <w:rPr>
          <w:rFonts w:asciiTheme="majorHAnsi" w:hAnsiTheme="majorHAnsi" w:cstheme="majorHAnsi"/>
        </w:rPr>
        <w:t>he structures of HE can be so unsupportive that strategies like ‘tactical concealment’ of wellbeing-promoting actions may operate as a form of political resistance (Jones et al 2023</w:t>
      </w:r>
      <w:r w:rsidR="00BD57B2">
        <w:rPr>
          <w:rFonts w:asciiTheme="majorHAnsi" w:hAnsiTheme="majorHAnsi" w:cstheme="majorHAnsi"/>
        </w:rPr>
        <w:t>)</w:t>
      </w:r>
      <w:r w:rsidR="002C78EE" w:rsidRPr="00ED4C19">
        <w:rPr>
          <w:rFonts w:asciiTheme="majorHAnsi" w:hAnsiTheme="majorHAnsi" w:cstheme="majorHAnsi"/>
        </w:rPr>
        <w:t>.</w:t>
      </w:r>
    </w:p>
    <w:p w14:paraId="33FFF15F" w14:textId="076C750E" w:rsidR="00322A92" w:rsidRDefault="00E9539F" w:rsidP="00095D80">
      <w:pPr>
        <w:ind w:firstLine="720"/>
        <w:rPr>
          <w:rFonts w:asciiTheme="majorHAnsi" w:hAnsiTheme="majorHAnsi" w:cstheme="majorHAnsi"/>
        </w:rPr>
      </w:pPr>
      <w:r>
        <w:rPr>
          <w:rFonts w:asciiTheme="majorHAnsi" w:hAnsiTheme="majorHAnsi" w:cstheme="majorHAnsi"/>
        </w:rPr>
        <w:t>P</w:t>
      </w:r>
      <w:r w:rsidR="00FD6704">
        <w:rPr>
          <w:rFonts w:asciiTheme="majorHAnsi" w:hAnsiTheme="majorHAnsi" w:cstheme="majorHAnsi"/>
        </w:rPr>
        <w:t xml:space="preserve">ostgraduate researchers </w:t>
      </w:r>
      <w:r w:rsidR="000B16D4" w:rsidRPr="00B90ABB">
        <w:rPr>
          <w:rFonts w:asciiTheme="majorHAnsi" w:hAnsiTheme="majorHAnsi" w:cstheme="majorHAnsi"/>
        </w:rPr>
        <w:t>(PGRs</w:t>
      </w:r>
      <w:r w:rsidR="000B16D4" w:rsidRPr="00B90ABB">
        <w:rPr>
          <w:rStyle w:val="FootnoteReference"/>
          <w:rFonts w:asciiTheme="majorHAnsi" w:hAnsiTheme="majorHAnsi" w:cstheme="majorHAnsi"/>
        </w:rPr>
        <w:footnoteReference w:id="3"/>
      </w:r>
      <w:r w:rsidR="000B16D4" w:rsidRPr="00B90ABB">
        <w:rPr>
          <w:rFonts w:asciiTheme="majorHAnsi" w:hAnsiTheme="majorHAnsi" w:cstheme="majorHAnsi"/>
        </w:rPr>
        <w:t>)</w:t>
      </w:r>
      <w:r w:rsidR="00FD6704">
        <w:rPr>
          <w:rFonts w:asciiTheme="majorHAnsi" w:hAnsiTheme="majorHAnsi" w:cstheme="majorHAnsi"/>
        </w:rPr>
        <w:t xml:space="preserve"> occupy a unique place in HE institutions. </w:t>
      </w:r>
      <w:r w:rsidR="00937C3B">
        <w:rPr>
          <w:rFonts w:asciiTheme="majorHAnsi" w:hAnsiTheme="majorHAnsi" w:cstheme="majorHAnsi"/>
        </w:rPr>
        <w:t xml:space="preserve">Debates around their role and activities, and around their wellbeing, </w:t>
      </w:r>
      <w:r w:rsidR="002C0B0B">
        <w:rPr>
          <w:rFonts w:asciiTheme="majorHAnsi" w:hAnsiTheme="majorHAnsi" w:cstheme="majorHAnsi"/>
        </w:rPr>
        <w:t xml:space="preserve">are prominent. </w:t>
      </w:r>
      <w:r w:rsidR="00BF6F10">
        <w:rPr>
          <w:rFonts w:asciiTheme="majorHAnsi" w:hAnsiTheme="majorHAnsi" w:cstheme="majorHAnsi"/>
        </w:rPr>
        <w:t>I</w:t>
      </w:r>
      <w:r w:rsidR="00303866">
        <w:rPr>
          <w:rFonts w:asciiTheme="majorHAnsi" w:hAnsiTheme="majorHAnsi" w:cstheme="majorHAnsi"/>
        </w:rPr>
        <w:t>n</w:t>
      </w:r>
      <w:r w:rsidR="00073DAB">
        <w:rPr>
          <w:rFonts w:asciiTheme="majorHAnsi" w:hAnsiTheme="majorHAnsi" w:cstheme="majorHAnsi"/>
        </w:rPr>
        <w:t xml:space="preserve"> the UK</w:t>
      </w:r>
      <w:r w:rsidR="003D394F">
        <w:rPr>
          <w:rFonts w:asciiTheme="majorHAnsi" w:hAnsiTheme="majorHAnsi" w:cstheme="majorHAnsi"/>
        </w:rPr>
        <w:t xml:space="preserve"> this is a live policy area</w:t>
      </w:r>
      <w:r w:rsidR="0049795B" w:rsidRPr="00FF248C">
        <w:rPr>
          <w:rFonts w:asciiTheme="majorHAnsi" w:hAnsiTheme="majorHAnsi" w:cstheme="majorHAnsi"/>
        </w:rPr>
        <w:t xml:space="preserve">, with examples of </w:t>
      </w:r>
      <w:r w:rsidR="00383225" w:rsidRPr="00FF248C">
        <w:rPr>
          <w:rFonts w:asciiTheme="majorHAnsi" w:hAnsiTheme="majorHAnsi" w:cstheme="majorHAnsi"/>
        </w:rPr>
        <w:t>f</w:t>
      </w:r>
      <w:r w:rsidR="00DE3991" w:rsidRPr="00FF248C">
        <w:rPr>
          <w:rFonts w:asciiTheme="majorHAnsi" w:hAnsiTheme="majorHAnsi" w:cstheme="majorHAnsi"/>
        </w:rPr>
        <w:t xml:space="preserve">unding programmes to </w:t>
      </w:r>
      <w:r w:rsidR="00383225" w:rsidRPr="00FF248C">
        <w:rPr>
          <w:rFonts w:asciiTheme="majorHAnsi" w:hAnsiTheme="majorHAnsi" w:cstheme="majorHAnsi"/>
        </w:rPr>
        <w:t>improve PGR wellbeing</w:t>
      </w:r>
      <w:r w:rsidR="00DE3991" w:rsidRPr="00FF248C">
        <w:rPr>
          <w:rFonts w:asciiTheme="majorHAnsi" w:hAnsiTheme="majorHAnsi" w:cstheme="majorHAnsi"/>
        </w:rPr>
        <w:t xml:space="preserve"> (</w:t>
      </w:r>
      <w:proofErr w:type="spellStart"/>
      <w:r w:rsidR="00DE3991" w:rsidRPr="00FF248C">
        <w:rPr>
          <w:rFonts w:asciiTheme="majorHAnsi" w:hAnsiTheme="majorHAnsi" w:cstheme="majorHAnsi"/>
        </w:rPr>
        <w:t>Hefce</w:t>
      </w:r>
      <w:proofErr w:type="spellEnd"/>
      <w:r w:rsidR="00DE3991" w:rsidRPr="00FF248C">
        <w:rPr>
          <w:rFonts w:asciiTheme="majorHAnsi" w:hAnsiTheme="majorHAnsi" w:cstheme="majorHAnsi"/>
        </w:rPr>
        <w:t xml:space="preserve"> 2017; Metcalfe et al 2020</w:t>
      </w:r>
      <w:r w:rsidR="00383225" w:rsidRPr="00FF248C">
        <w:rPr>
          <w:rFonts w:asciiTheme="majorHAnsi" w:hAnsiTheme="majorHAnsi" w:cstheme="majorHAnsi"/>
        </w:rPr>
        <w:t>)</w:t>
      </w:r>
      <w:r w:rsidR="002B3DDB" w:rsidRPr="00FF248C">
        <w:rPr>
          <w:rFonts w:asciiTheme="majorHAnsi" w:hAnsiTheme="majorHAnsi" w:cstheme="majorHAnsi"/>
        </w:rPr>
        <w:t xml:space="preserve"> </w:t>
      </w:r>
      <w:r w:rsidR="00383225" w:rsidRPr="00FF248C">
        <w:rPr>
          <w:rFonts w:asciiTheme="majorHAnsi" w:hAnsiTheme="majorHAnsi" w:cstheme="majorHAnsi"/>
        </w:rPr>
        <w:t>and a long-term national policy and funding framework aimed at improving the research environment and support for PGRs (BEIS, 2021)</w:t>
      </w:r>
      <w:r w:rsidR="00FF248C" w:rsidRPr="00FF248C">
        <w:rPr>
          <w:rFonts w:asciiTheme="majorHAnsi" w:hAnsiTheme="majorHAnsi" w:cstheme="majorHAnsi"/>
        </w:rPr>
        <w:t>, with</w:t>
      </w:r>
      <w:r w:rsidR="002B3DDB" w:rsidRPr="00FF248C">
        <w:rPr>
          <w:rFonts w:asciiTheme="majorHAnsi" w:hAnsiTheme="majorHAnsi" w:cstheme="majorHAnsi"/>
          <w:i/>
          <w:iCs/>
        </w:rPr>
        <w:t xml:space="preserve"> </w:t>
      </w:r>
      <w:r w:rsidR="002B3DDB" w:rsidRPr="00FF248C">
        <w:rPr>
          <w:rFonts w:asciiTheme="majorHAnsi" w:hAnsiTheme="majorHAnsi" w:cstheme="majorHAnsi"/>
        </w:rPr>
        <w:t>promot</w:t>
      </w:r>
      <w:r w:rsidR="00FF248C" w:rsidRPr="00FF248C">
        <w:rPr>
          <w:rFonts w:asciiTheme="majorHAnsi" w:hAnsiTheme="majorHAnsi" w:cstheme="majorHAnsi"/>
        </w:rPr>
        <w:t>ing</w:t>
      </w:r>
      <w:r w:rsidR="002B3DDB" w:rsidRPr="00FF248C">
        <w:rPr>
          <w:rFonts w:asciiTheme="majorHAnsi" w:hAnsiTheme="majorHAnsi" w:cstheme="majorHAnsi"/>
        </w:rPr>
        <w:t xml:space="preserve"> and safeguard</w:t>
      </w:r>
      <w:r w:rsidR="00FF248C" w:rsidRPr="00FF248C">
        <w:rPr>
          <w:rFonts w:asciiTheme="majorHAnsi" w:hAnsiTheme="majorHAnsi" w:cstheme="majorHAnsi"/>
        </w:rPr>
        <w:t>ing</w:t>
      </w:r>
      <w:r w:rsidR="002B3DDB" w:rsidRPr="00FF248C">
        <w:rPr>
          <w:rFonts w:asciiTheme="majorHAnsi" w:hAnsiTheme="majorHAnsi" w:cstheme="majorHAnsi"/>
        </w:rPr>
        <w:t xml:space="preserve"> wellbeing</w:t>
      </w:r>
      <w:r w:rsidR="00FF248C" w:rsidRPr="00FF248C">
        <w:rPr>
          <w:rFonts w:asciiTheme="majorHAnsi" w:hAnsiTheme="majorHAnsi" w:cstheme="majorHAnsi"/>
        </w:rPr>
        <w:t xml:space="preserve"> as a key principle. </w:t>
      </w:r>
      <w:r w:rsidR="00CC434A" w:rsidRPr="00FF248C">
        <w:rPr>
          <w:rFonts w:ascii="Calibri" w:hAnsi="Calibri" w:cs="Calibri"/>
        </w:rPr>
        <w:t xml:space="preserve">The </w:t>
      </w:r>
      <w:r w:rsidR="00351CEE" w:rsidRPr="00FF248C">
        <w:rPr>
          <w:rFonts w:ascii="Calibri" w:hAnsi="Calibri" w:cs="Calibri"/>
        </w:rPr>
        <w:t>very presence of the</w:t>
      </w:r>
      <w:r w:rsidR="00897F20" w:rsidRPr="00FF248C">
        <w:rPr>
          <w:rFonts w:ascii="Calibri" w:hAnsi="Calibri" w:cs="Calibri"/>
        </w:rPr>
        <w:t>se</w:t>
      </w:r>
      <w:r w:rsidR="00CC434A" w:rsidRPr="00FF248C">
        <w:rPr>
          <w:rFonts w:ascii="Calibri" w:hAnsi="Calibri" w:cs="Calibri"/>
        </w:rPr>
        <w:t xml:space="preserve"> </w:t>
      </w:r>
      <w:r w:rsidR="00F3434F" w:rsidRPr="00FF248C">
        <w:rPr>
          <w:rFonts w:ascii="Calibri" w:hAnsi="Calibri" w:cs="Calibri"/>
        </w:rPr>
        <w:t>initiatives</w:t>
      </w:r>
      <w:r w:rsidR="00351CEE" w:rsidRPr="00FF248C">
        <w:rPr>
          <w:rFonts w:ascii="Calibri" w:hAnsi="Calibri" w:cs="Calibri"/>
        </w:rPr>
        <w:t xml:space="preserve"> might suggest a strong commitment to PGR wellbeing</w:t>
      </w:r>
      <w:r w:rsidR="00FF7E62" w:rsidRPr="00FF248C">
        <w:rPr>
          <w:rFonts w:ascii="Calibri" w:hAnsi="Calibri" w:cs="Calibri"/>
        </w:rPr>
        <w:t xml:space="preserve">. </w:t>
      </w:r>
      <w:r w:rsidR="00D81998">
        <w:rPr>
          <w:rFonts w:ascii="Calibri" w:hAnsi="Calibri" w:cs="Calibri"/>
        </w:rPr>
        <w:t xml:space="preserve">However, </w:t>
      </w:r>
      <w:r w:rsidR="00322A92">
        <w:rPr>
          <w:rFonts w:ascii="Calibri" w:hAnsi="Calibri" w:cs="Calibri"/>
        </w:rPr>
        <w:t xml:space="preserve">we need better understanding </w:t>
      </w:r>
      <w:r w:rsidR="005B3266">
        <w:rPr>
          <w:rFonts w:ascii="Calibri" w:hAnsi="Calibri" w:cs="Calibri"/>
        </w:rPr>
        <w:t xml:space="preserve">of </w:t>
      </w:r>
      <w:r w:rsidR="001A0E55" w:rsidRPr="001A0E55">
        <w:rPr>
          <w:rFonts w:asciiTheme="majorHAnsi" w:hAnsiTheme="majorHAnsi" w:cstheme="majorHAnsi"/>
        </w:rPr>
        <w:t>how</w:t>
      </w:r>
      <w:r w:rsidR="00C84FD4" w:rsidRPr="001A0E55">
        <w:rPr>
          <w:rFonts w:asciiTheme="majorHAnsi" w:hAnsiTheme="majorHAnsi" w:cstheme="majorHAnsi"/>
        </w:rPr>
        <w:t xml:space="preserve"> some of the interventions put in place to support PGRs</w:t>
      </w:r>
      <w:r w:rsidR="001A0E55" w:rsidRPr="001A0E55">
        <w:rPr>
          <w:rFonts w:asciiTheme="majorHAnsi" w:hAnsiTheme="majorHAnsi" w:cstheme="majorHAnsi"/>
        </w:rPr>
        <w:t xml:space="preserve"> play out in practice</w:t>
      </w:r>
      <w:r w:rsidR="00D81998">
        <w:rPr>
          <w:rFonts w:asciiTheme="majorHAnsi" w:hAnsiTheme="majorHAnsi" w:cstheme="majorHAnsi"/>
        </w:rPr>
        <w:t>. This includes</w:t>
      </w:r>
      <w:r w:rsidR="00C84FD4" w:rsidRPr="001A0E55">
        <w:rPr>
          <w:rFonts w:asciiTheme="majorHAnsi" w:hAnsiTheme="majorHAnsi" w:cstheme="majorHAnsi"/>
        </w:rPr>
        <w:t xml:space="preserve"> the mechanisms surrounding the interventions</w:t>
      </w:r>
      <w:r w:rsidR="00D103C4">
        <w:rPr>
          <w:rFonts w:asciiTheme="majorHAnsi" w:hAnsiTheme="majorHAnsi" w:cstheme="majorHAnsi"/>
        </w:rPr>
        <w:t xml:space="preserve">, </w:t>
      </w:r>
      <w:r w:rsidR="00C84FD4" w:rsidRPr="001A0E55">
        <w:rPr>
          <w:rFonts w:asciiTheme="majorHAnsi" w:hAnsiTheme="majorHAnsi" w:cstheme="majorHAnsi"/>
        </w:rPr>
        <w:t>for example why</w:t>
      </w:r>
      <w:r w:rsidR="00621C17">
        <w:rPr>
          <w:rFonts w:asciiTheme="majorHAnsi" w:hAnsiTheme="majorHAnsi" w:cstheme="majorHAnsi"/>
        </w:rPr>
        <w:t xml:space="preserve">, </w:t>
      </w:r>
      <w:r w:rsidR="00C84FD4" w:rsidRPr="001A0E55">
        <w:rPr>
          <w:rFonts w:asciiTheme="majorHAnsi" w:hAnsiTheme="majorHAnsi" w:cstheme="majorHAnsi"/>
        </w:rPr>
        <w:t xml:space="preserve">when, how, by whom </w:t>
      </w:r>
      <w:r w:rsidR="00C84FD4" w:rsidRPr="001A0E55">
        <w:rPr>
          <w:rFonts w:asciiTheme="majorHAnsi" w:hAnsiTheme="majorHAnsi" w:cstheme="majorHAnsi"/>
        </w:rPr>
        <w:lastRenderedPageBreak/>
        <w:t xml:space="preserve">interventions were </w:t>
      </w:r>
      <w:r w:rsidR="00C84FD4" w:rsidRPr="00CE1944">
        <w:rPr>
          <w:rFonts w:asciiTheme="majorHAnsi" w:hAnsiTheme="majorHAnsi" w:cstheme="majorHAnsi"/>
        </w:rPr>
        <w:t>selected</w:t>
      </w:r>
      <w:r w:rsidR="00D81998">
        <w:rPr>
          <w:rFonts w:asciiTheme="majorHAnsi" w:hAnsiTheme="majorHAnsi" w:cstheme="majorHAnsi"/>
        </w:rPr>
        <w:t>,</w:t>
      </w:r>
      <w:r w:rsidR="00C84FD4" w:rsidRPr="00CE1944">
        <w:rPr>
          <w:rFonts w:asciiTheme="majorHAnsi" w:hAnsiTheme="majorHAnsi" w:cstheme="majorHAnsi"/>
        </w:rPr>
        <w:t xml:space="preserve"> to what extent these were seen to have 'succeeded' or 'failed', and why.</w:t>
      </w:r>
      <w:r w:rsidR="00130D1F">
        <w:rPr>
          <w:rFonts w:asciiTheme="majorHAnsi" w:hAnsiTheme="majorHAnsi" w:cstheme="majorHAnsi"/>
        </w:rPr>
        <w:t xml:space="preserve"> In </w:t>
      </w:r>
      <w:r w:rsidR="002D012A" w:rsidRPr="002D012A">
        <w:rPr>
          <w:rFonts w:asciiTheme="majorHAnsi" w:hAnsiTheme="majorHAnsi" w:cstheme="majorHAnsi"/>
        </w:rPr>
        <w:t>this article</w:t>
      </w:r>
      <w:r w:rsidR="00130D1F" w:rsidRPr="002D012A">
        <w:rPr>
          <w:rFonts w:asciiTheme="majorHAnsi" w:hAnsiTheme="majorHAnsi" w:cstheme="majorHAnsi"/>
        </w:rPr>
        <w:t xml:space="preserve"> </w:t>
      </w:r>
      <w:r w:rsidR="00322A92" w:rsidRPr="002D012A">
        <w:rPr>
          <w:rFonts w:asciiTheme="majorHAnsi" w:hAnsiTheme="majorHAnsi" w:cstheme="majorHAnsi"/>
        </w:rPr>
        <w:t xml:space="preserve">I argue that one particular </w:t>
      </w:r>
      <w:r w:rsidR="00464290" w:rsidRPr="002D012A">
        <w:rPr>
          <w:rFonts w:asciiTheme="majorHAnsi" w:hAnsiTheme="majorHAnsi" w:cstheme="majorHAnsi"/>
        </w:rPr>
        <w:t xml:space="preserve">aspect of </w:t>
      </w:r>
      <w:r w:rsidR="00D13FA0" w:rsidRPr="002D012A">
        <w:rPr>
          <w:rFonts w:asciiTheme="majorHAnsi" w:hAnsiTheme="majorHAnsi" w:cstheme="majorHAnsi"/>
        </w:rPr>
        <w:t xml:space="preserve">the </w:t>
      </w:r>
      <w:r w:rsidR="00464290" w:rsidRPr="002D012A">
        <w:rPr>
          <w:rFonts w:asciiTheme="majorHAnsi" w:hAnsiTheme="majorHAnsi" w:cstheme="majorHAnsi"/>
        </w:rPr>
        <w:t>PGR l</w:t>
      </w:r>
      <w:r w:rsidR="00D13FA0" w:rsidRPr="002D012A">
        <w:rPr>
          <w:rFonts w:asciiTheme="majorHAnsi" w:hAnsiTheme="majorHAnsi" w:cstheme="majorHAnsi"/>
        </w:rPr>
        <w:t>andscape</w:t>
      </w:r>
      <w:r w:rsidR="00464290" w:rsidRPr="002D012A">
        <w:rPr>
          <w:rFonts w:asciiTheme="majorHAnsi" w:hAnsiTheme="majorHAnsi" w:cstheme="majorHAnsi"/>
        </w:rPr>
        <w:t xml:space="preserve"> </w:t>
      </w:r>
      <w:r w:rsidR="002D012A" w:rsidRPr="002D012A">
        <w:rPr>
          <w:rFonts w:asciiTheme="majorHAnsi" w:hAnsiTheme="majorHAnsi" w:cstheme="majorHAnsi"/>
        </w:rPr>
        <w:t>has</w:t>
      </w:r>
      <w:r w:rsidR="00464290" w:rsidRPr="002D012A">
        <w:rPr>
          <w:rFonts w:asciiTheme="majorHAnsi" w:hAnsiTheme="majorHAnsi" w:cstheme="majorHAnsi"/>
        </w:rPr>
        <w:t xml:space="preserve"> major </w:t>
      </w:r>
      <w:r w:rsidR="00322A92" w:rsidRPr="002D012A">
        <w:rPr>
          <w:rFonts w:asciiTheme="majorHAnsi" w:hAnsiTheme="majorHAnsi" w:cstheme="majorHAnsi"/>
        </w:rPr>
        <w:t xml:space="preserve">implications for design and implementation of </w:t>
      </w:r>
      <w:r w:rsidR="00621C17">
        <w:rPr>
          <w:rFonts w:asciiTheme="majorHAnsi" w:hAnsiTheme="majorHAnsi" w:cstheme="majorHAnsi"/>
        </w:rPr>
        <w:t xml:space="preserve">wellbeing </w:t>
      </w:r>
      <w:r w:rsidR="00322A92" w:rsidRPr="002D012A">
        <w:rPr>
          <w:rFonts w:asciiTheme="majorHAnsi" w:hAnsiTheme="majorHAnsi" w:cstheme="majorHAnsi"/>
        </w:rPr>
        <w:t>support</w:t>
      </w:r>
      <w:r w:rsidR="002D012A" w:rsidRPr="002D012A">
        <w:rPr>
          <w:rFonts w:asciiTheme="majorHAnsi" w:hAnsiTheme="majorHAnsi" w:cstheme="majorHAnsi"/>
        </w:rPr>
        <w:t>: i</w:t>
      </w:r>
      <w:r w:rsidR="00D13FA0" w:rsidRPr="002D012A">
        <w:rPr>
          <w:rFonts w:asciiTheme="majorHAnsi" w:hAnsiTheme="majorHAnsi" w:cstheme="majorHAnsi"/>
        </w:rPr>
        <w:t>n the UK there is ongoing debate about the status of PGRs, including whether they are students or staff</w:t>
      </w:r>
      <w:r w:rsidR="002D012A" w:rsidRPr="002D012A">
        <w:rPr>
          <w:rFonts w:asciiTheme="majorHAnsi" w:hAnsiTheme="majorHAnsi" w:cstheme="majorHAnsi"/>
        </w:rPr>
        <w:t xml:space="preserve"> </w:t>
      </w:r>
      <w:r w:rsidR="00BE1A00" w:rsidRPr="002D012A">
        <w:rPr>
          <w:rFonts w:asciiTheme="majorHAnsi" w:hAnsiTheme="majorHAnsi" w:cstheme="majorHAnsi"/>
        </w:rPr>
        <w:t>(</w:t>
      </w:r>
      <w:r w:rsidR="002D012A" w:rsidRPr="002D012A">
        <w:rPr>
          <w:rFonts w:asciiTheme="majorHAnsi" w:hAnsiTheme="majorHAnsi" w:cstheme="majorHAnsi"/>
        </w:rPr>
        <w:t xml:space="preserve">Morris, 2021; </w:t>
      </w:r>
      <w:r w:rsidR="00BE1A00" w:rsidRPr="002D012A">
        <w:rPr>
          <w:rFonts w:asciiTheme="majorHAnsi" w:hAnsiTheme="majorHAnsi" w:cstheme="majorHAnsi"/>
        </w:rPr>
        <w:t xml:space="preserve">UKRI </w:t>
      </w:r>
      <w:r w:rsidR="001E1C22">
        <w:rPr>
          <w:rFonts w:asciiTheme="majorHAnsi" w:hAnsiTheme="majorHAnsi" w:cstheme="majorHAnsi"/>
        </w:rPr>
        <w:t>and</w:t>
      </w:r>
      <w:r w:rsidR="00BE1A00" w:rsidRPr="002D012A">
        <w:rPr>
          <w:rFonts w:asciiTheme="majorHAnsi" w:hAnsiTheme="majorHAnsi" w:cstheme="majorHAnsi"/>
        </w:rPr>
        <w:t xml:space="preserve"> Pye Tait 2023)</w:t>
      </w:r>
      <w:r w:rsidR="002D012A" w:rsidRPr="002D012A">
        <w:rPr>
          <w:rFonts w:asciiTheme="majorHAnsi" w:hAnsiTheme="majorHAnsi" w:cstheme="majorHAnsi"/>
        </w:rPr>
        <w:t>.</w:t>
      </w:r>
      <w:r w:rsidR="00322A92" w:rsidRPr="0025242F">
        <w:rPr>
          <w:rFonts w:asciiTheme="majorHAnsi" w:hAnsiTheme="majorHAnsi" w:cstheme="majorHAnsi"/>
        </w:rPr>
        <w:t xml:space="preserve"> </w:t>
      </w:r>
    </w:p>
    <w:p w14:paraId="33A2F652" w14:textId="402E4065" w:rsidR="00EF44B8" w:rsidRDefault="00CA4190" w:rsidP="00095D80">
      <w:pPr>
        <w:ind w:firstLine="720"/>
        <w:rPr>
          <w:rFonts w:asciiTheme="majorHAnsi" w:hAnsiTheme="majorHAnsi" w:cstheme="majorHAnsi"/>
          <w:i/>
          <w:iCs/>
        </w:rPr>
      </w:pPr>
      <w:r w:rsidRPr="003663A8">
        <w:rPr>
          <w:rFonts w:asciiTheme="majorHAnsi" w:hAnsiTheme="majorHAnsi" w:cstheme="majorHAnsi"/>
          <w:lang w:val="en-US"/>
        </w:rPr>
        <w:t xml:space="preserve">This article </w:t>
      </w:r>
      <w:r w:rsidRPr="003663A8">
        <w:rPr>
          <w:rFonts w:asciiTheme="majorHAnsi" w:hAnsiTheme="majorHAnsi" w:cstheme="majorHAnsi"/>
        </w:rPr>
        <w:t xml:space="preserve">examines how and why status ambiguity matters in the context of design and implementation of interventions to support PGR wellbeing. It does this </w:t>
      </w:r>
      <w:r>
        <w:rPr>
          <w:rFonts w:asciiTheme="majorHAnsi" w:hAnsiTheme="majorHAnsi" w:cstheme="majorHAnsi"/>
        </w:rPr>
        <w:t xml:space="preserve">through analysis </w:t>
      </w:r>
      <w:r w:rsidRPr="00116B9F">
        <w:rPr>
          <w:rFonts w:asciiTheme="majorHAnsi" w:hAnsiTheme="majorHAnsi" w:cstheme="majorHAnsi"/>
          <w:lang w:val="en-US"/>
        </w:rPr>
        <w:t xml:space="preserve">of </w:t>
      </w:r>
      <w:r w:rsidRPr="00116B9F">
        <w:rPr>
          <w:rFonts w:asciiTheme="majorHAnsi" w:hAnsiTheme="majorHAnsi" w:cstheme="majorHAnsi"/>
          <w:i/>
          <w:iCs/>
          <w:lang w:val="en-US"/>
        </w:rPr>
        <w:t xml:space="preserve">policy capacity. </w:t>
      </w:r>
      <w:r w:rsidRPr="00116B9F">
        <w:rPr>
          <w:rFonts w:asciiTheme="majorHAnsi" w:hAnsiTheme="majorHAnsi" w:cstheme="majorHAnsi"/>
          <w:lang w:val="en-US"/>
        </w:rPr>
        <w:t>Avoiding policy failures (Wu et al 2015), or adequately “perform</w:t>
      </w:r>
      <w:r>
        <w:rPr>
          <w:rFonts w:asciiTheme="majorHAnsi" w:hAnsiTheme="majorHAnsi" w:cstheme="majorHAnsi"/>
          <w:lang w:val="en-US"/>
        </w:rPr>
        <w:t>[</w:t>
      </w:r>
      <w:proofErr w:type="spellStart"/>
      <w:r>
        <w:rPr>
          <w:rFonts w:asciiTheme="majorHAnsi" w:hAnsiTheme="majorHAnsi" w:cstheme="majorHAnsi"/>
          <w:lang w:val="en-US"/>
        </w:rPr>
        <w:t>ing</w:t>
      </w:r>
      <w:proofErr w:type="spellEnd"/>
      <w:r>
        <w:rPr>
          <w:rFonts w:asciiTheme="majorHAnsi" w:hAnsiTheme="majorHAnsi" w:cstheme="majorHAnsi"/>
          <w:lang w:val="en-US"/>
        </w:rPr>
        <w:t>]</w:t>
      </w:r>
      <w:r w:rsidRPr="00116B9F">
        <w:rPr>
          <w:rFonts w:asciiTheme="majorHAnsi" w:hAnsiTheme="majorHAnsi" w:cstheme="majorHAnsi"/>
          <w:lang w:val="en-US"/>
        </w:rPr>
        <w:t xml:space="preserve"> policy functions" (Capano et al 2020: 298), depends on the ability to exercise three types of skills or competences: Analytical, Operational, Political</w:t>
      </w:r>
      <w:r w:rsidR="00180494">
        <w:rPr>
          <w:rFonts w:asciiTheme="majorHAnsi" w:hAnsiTheme="majorHAnsi" w:cstheme="majorHAnsi"/>
          <w:lang w:val="en-US"/>
        </w:rPr>
        <w:t xml:space="preserve">. </w:t>
      </w:r>
      <w:r w:rsidRPr="00116B9F">
        <w:rPr>
          <w:rFonts w:asciiTheme="majorHAnsi" w:hAnsiTheme="majorHAnsi" w:cstheme="majorHAnsi"/>
          <w:lang w:val="en-US"/>
        </w:rPr>
        <w:t xml:space="preserve"> </w:t>
      </w:r>
      <w:r w:rsidR="0092378F">
        <w:rPr>
          <w:rFonts w:asciiTheme="majorHAnsi" w:hAnsiTheme="majorHAnsi" w:cstheme="majorHAnsi"/>
          <w:lang w:val="en-US"/>
        </w:rPr>
        <w:t>Analytical skills</w:t>
      </w:r>
      <w:r w:rsidR="000C4D34">
        <w:rPr>
          <w:rFonts w:asciiTheme="majorHAnsi" w:hAnsiTheme="majorHAnsi" w:cstheme="majorHAnsi"/>
          <w:lang w:val="en-US"/>
        </w:rPr>
        <w:t xml:space="preserve"> include those that allow creation and investigation of policy alternatives</w:t>
      </w:r>
      <w:r w:rsidR="0034369D">
        <w:rPr>
          <w:rFonts w:asciiTheme="majorHAnsi" w:hAnsiTheme="majorHAnsi" w:cstheme="majorHAnsi"/>
          <w:lang w:val="en-US"/>
        </w:rPr>
        <w:t xml:space="preserve">. </w:t>
      </w:r>
      <w:r w:rsidR="000C4D34">
        <w:rPr>
          <w:rFonts w:asciiTheme="majorHAnsi" w:hAnsiTheme="majorHAnsi" w:cstheme="majorHAnsi"/>
          <w:lang w:val="en-US"/>
        </w:rPr>
        <w:t>Operational skills allow resources to be deployed to pursue chosen policies</w:t>
      </w:r>
      <w:r w:rsidR="0034369D">
        <w:rPr>
          <w:rFonts w:asciiTheme="majorHAnsi" w:hAnsiTheme="majorHAnsi" w:cstheme="majorHAnsi"/>
          <w:lang w:val="en-US"/>
        </w:rPr>
        <w:t xml:space="preserve">. </w:t>
      </w:r>
      <w:r w:rsidR="000C4D34">
        <w:rPr>
          <w:rFonts w:asciiTheme="majorHAnsi" w:hAnsiTheme="majorHAnsi" w:cstheme="majorHAnsi"/>
          <w:lang w:val="en-US"/>
        </w:rPr>
        <w:t>Political skills</w:t>
      </w:r>
      <w:r w:rsidR="00732581">
        <w:rPr>
          <w:rFonts w:asciiTheme="majorHAnsi" w:hAnsiTheme="majorHAnsi" w:cstheme="majorHAnsi"/>
          <w:lang w:val="en-US"/>
        </w:rPr>
        <w:t xml:space="preserve"> in this context</w:t>
      </w:r>
      <w:r w:rsidR="000C4D34">
        <w:rPr>
          <w:rFonts w:asciiTheme="majorHAnsi" w:hAnsiTheme="majorHAnsi" w:cstheme="majorHAnsi"/>
          <w:lang w:val="en-US"/>
        </w:rPr>
        <w:t xml:space="preserve"> include </w:t>
      </w:r>
      <w:r w:rsidR="008C1AA4">
        <w:rPr>
          <w:rFonts w:asciiTheme="majorHAnsi" w:hAnsiTheme="majorHAnsi" w:cstheme="majorHAnsi"/>
          <w:lang w:val="en-US"/>
        </w:rPr>
        <w:t xml:space="preserve">gathering support and overcoming opposition to policy design and </w:t>
      </w:r>
      <w:r w:rsidR="008C1AA4" w:rsidRPr="008C1AA4">
        <w:rPr>
          <w:rFonts w:asciiTheme="majorHAnsi" w:hAnsiTheme="majorHAnsi" w:cstheme="majorHAnsi"/>
          <w:lang w:val="en-US"/>
        </w:rPr>
        <w:t>implementation (</w:t>
      </w:r>
      <w:r w:rsidR="008C1AA4" w:rsidRPr="008C1AA4">
        <w:rPr>
          <w:rFonts w:asciiTheme="majorHAnsi" w:hAnsiTheme="majorHAnsi" w:cstheme="majorHAnsi"/>
        </w:rPr>
        <w:t>Howlett and Ramesh 2016; Bali and Ramesh 2021).</w:t>
      </w:r>
      <w:r w:rsidR="008C1AA4">
        <w:rPr>
          <w:rFonts w:asciiTheme="majorHAnsi" w:hAnsiTheme="majorHAnsi" w:cstheme="majorHAnsi"/>
        </w:rPr>
        <w:t xml:space="preserve"> </w:t>
      </w:r>
      <w:proofErr w:type="spellStart"/>
      <w:r w:rsidR="008C1AA4">
        <w:rPr>
          <w:rFonts w:asciiTheme="majorHAnsi" w:hAnsiTheme="majorHAnsi" w:cstheme="majorHAnsi"/>
        </w:rPr>
        <w:t>Ea</w:t>
      </w:r>
      <w:r w:rsidR="00F454C0" w:rsidRPr="00957F15">
        <w:rPr>
          <w:rFonts w:asciiTheme="majorHAnsi" w:hAnsiTheme="majorHAnsi" w:cstheme="majorHAnsi"/>
          <w:lang w:val="en-US"/>
        </w:rPr>
        <w:t>ch</w:t>
      </w:r>
      <w:proofErr w:type="spellEnd"/>
      <w:r w:rsidR="00F454C0" w:rsidRPr="00957F15">
        <w:rPr>
          <w:rFonts w:asciiTheme="majorHAnsi" w:hAnsiTheme="majorHAnsi" w:cstheme="majorHAnsi"/>
          <w:lang w:val="en-US"/>
        </w:rPr>
        <w:t xml:space="preserve"> </w:t>
      </w:r>
      <w:r w:rsidR="008C1AA4">
        <w:rPr>
          <w:rFonts w:asciiTheme="majorHAnsi" w:hAnsiTheme="majorHAnsi" w:cstheme="majorHAnsi"/>
          <w:lang w:val="en-US"/>
        </w:rPr>
        <w:t xml:space="preserve">type </w:t>
      </w:r>
      <w:r w:rsidR="00F454C0" w:rsidRPr="00957F15">
        <w:rPr>
          <w:rFonts w:asciiTheme="majorHAnsi" w:hAnsiTheme="majorHAnsi" w:cstheme="majorHAnsi"/>
          <w:lang w:val="en-US"/>
        </w:rPr>
        <w:t>involv</w:t>
      </w:r>
      <w:r w:rsidR="008C1AA4">
        <w:rPr>
          <w:rFonts w:asciiTheme="majorHAnsi" w:hAnsiTheme="majorHAnsi" w:cstheme="majorHAnsi"/>
          <w:lang w:val="en-US"/>
        </w:rPr>
        <w:t>es</w:t>
      </w:r>
      <w:r w:rsidR="00F454C0" w:rsidRPr="00957F15">
        <w:rPr>
          <w:rFonts w:asciiTheme="majorHAnsi" w:hAnsiTheme="majorHAnsi" w:cstheme="majorHAnsi"/>
          <w:lang w:val="en-US"/>
        </w:rPr>
        <w:t xml:space="preserve"> resources or capabilities at three different levels: Individual</w:t>
      </w:r>
      <w:r w:rsidR="00180494">
        <w:rPr>
          <w:rFonts w:asciiTheme="majorHAnsi" w:hAnsiTheme="majorHAnsi" w:cstheme="majorHAnsi"/>
          <w:lang w:val="en-US"/>
        </w:rPr>
        <w:t xml:space="preserve"> (particular people)</w:t>
      </w:r>
      <w:r w:rsidR="00F454C0" w:rsidRPr="00957F15">
        <w:rPr>
          <w:rFonts w:asciiTheme="majorHAnsi" w:hAnsiTheme="majorHAnsi" w:cstheme="majorHAnsi"/>
          <w:lang w:val="en-US"/>
        </w:rPr>
        <w:t xml:space="preserve">, </w:t>
      </w:r>
      <w:proofErr w:type="spellStart"/>
      <w:r w:rsidR="00F454C0" w:rsidRPr="00957F15">
        <w:rPr>
          <w:rFonts w:asciiTheme="majorHAnsi" w:hAnsiTheme="majorHAnsi" w:cstheme="majorHAnsi"/>
          <w:lang w:val="en-US"/>
        </w:rPr>
        <w:t>Organi</w:t>
      </w:r>
      <w:r w:rsidR="00274057">
        <w:rPr>
          <w:rFonts w:asciiTheme="majorHAnsi" w:hAnsiTheme="majorHAnsi" w:cstheme="majorHAnsi"/>
          <w:lang w:val="en-US"/>
        </w:rPr>
        <w:t>s</w:t>
      </w:r>
      <w:r w:rsidR="00F454C0" w:rsidRPr="00957F15">
        <w:rPr>
          <w:rFonts w:asciiTheme="majorHAnsi" w:hAnsiTheme="majorHAnsi" w:cstheme="majorHAnsi"/>
          <w:lang w:val="en-US"/>
        </w:rPr>
        <w:t>ational</w:t>
      </w:r>
      <w:proofErr w:type="spellEnd"/>
      <w:r w:rsidR="00180494">
        <w:rPr>
          <w:rFonts w:asciiTheme="majorHAnsi" w:hAnsiTheme="majorHAnsi" w:cstheme="majorHAnsi"/>
          <w:lang w:val="en-US"/>
        </w:rPr>
        <w:t xml:space="preserve"> (for example one university)</w:t>
      </w:r>
      <w:r w:rsidR="00F454C0" w:rsidRPr="00957F15">
        <w:rPr>
          <w:rFonts w:asciiTheme="majorHAnsi" w:hAnsiTheme="majorHAnsi" w:cstheme="majorHAnsi"/>
          <w:lang w:val="en-US"/>
        </w:rPr>
        <w:t>, and Systemic</w:t>
      </w:r>
      <w:r w:rsidR="0092378F">
        <w:rPr>
          <w:rFonts w:asciiTheme="majorHAnsi" w:hAnsiTheme="majorHAnsi" w:cstheme="majorHAnsi"/>
          <w:lang w:val="en-US"/>
        </w:rPr>
        <w:t>,</w:t>
      </w:r>
      <w:r w:rsidR="00180494">
        <w:rPr>
          <w:rFonts w:asciiTheme="majorHAnsi" w:hAnsiTheme="majorHAnsi" w:cstheme="majorHAnsi"/>
          <w:lang w:val="en-US"/>
        </w:rPr>
        <w:t xml:space="preserve"> including the wider socio-political landscape</w:t>
      </w:r>
      <w:r w:rsidR="00F454C0" w:rsidRPr="00957F15">
        <w:rPr>
          <w:rFonts w:asciiTheme="majorHAnsi" w:hAnsiTheme="majorHAnsi" w:cstheme="majorHAnsi"/>
          <w:lang w:val="en-US"/>
        </w:rPr>
        <w:t>.</w:t>
      </w:r>
      <w:r w:rsidR="00F454C0" w:rsidRPr="00116B9F">
        <w:rPr>
          <w:rFonts w:asciiTheme="majorHAnsi" w:hAnsiTheme="majorHAnsi" w:cstheme="majorHAnsi"/>
          <w:lang w:val="en-US"/>
        </w:rPr>
        <w:t xml:space="preserve"> </w:t>
      </w:r>
      <w:r w:rsidR="00415029">
        <w:rPr>
          <w:rFonts w:asciiTheme="majorHAnsi" w:hAnsiTheme="majorHAnsi" w:cstheme="majorHAnsi"/>
          <w:lang w:val="en-US"/>
        </w:rPr>
        <w:t>U</w:t>
      </w:r>
      <w:r w:rsidRPr="00F61B03">
        <w:rPr>
          <w:rFonts w:asciiTheme="majorHAnsi" w:hAnsiTheme="majorHAnsi" w:cstheme="majorHAnsi"/>
          <w:lang w:val="en-US"/>
        </w:rPr>
        <w:t>sing this framework can help understand how strong or weak</w:t>
      </w:r>
      <w:r>
        <w:rPr>
          <w:rFonts w:asciiTheme="majorHAnsi" w:hAnsiTheme="majorHAnsi" w:cstheme="majorHAnsi"/>
          <w:lang w:val="en-US"/>
        </w:rPr>
        <w:t xml:space="preserve"> the</w:t>
      </w:r>
      <w:r w:rsidRPr="00F61B03">
        <w:rPr>
          <w:rFonts w:asciiTheme="majorHAnsi" w:hAnsiTheme="majorHAnsi" w:cstheme="majorHAnsi"/>
          <w:lang w:val="en-US"/>
        </w:rPr>
        <w:t xml:space="preserve"> capacities to support PGR wellbeing are</w:t>
      </w:r>
      <w:r>
        <w:rPr>
          <w:rFonts w:asciiTheme="majorHAnsi" w:hAnsiTheme="majorHAnsi" w:cstheme="majorHAnsi"/>
          <w:lang w:val="en-US"/>
        </w:rPr>
        <w:t xml:space="preserve">, within and beyond </w:t>
      </w:r>
      <w:r w:rsidRPr="00252E2C">
        <w:rPr>
          <w:rFonts w:asciiTheme="majorHAnsi" w:hAnsiTheme="majorHAnsi" w:cstheme="majorHAnsi"/>
          <w:lang w:val="en-US"/>
        </w:rPr>
        <w:t xml:space="preserve">HE </w:t>
      </w:r>
      <w:proofErr w:type="spellStart"/>
      <w:r w:rsidRPr="00252E2C">
        <w:rPr>
          <w:rFonts w:asciiTheme="majorHAnsi" w:hAnsiTheme="majorHAnsi" w:cstheme="majorHAnsi"/>
          <w:lang w:val="en-US"/>
        </w:rPr>
        <w:t>organisations</w:t>
      </w:r>
      <w:proofErr w:type="spellEnd"/>
      <w:r>
        <w:rPr>
          <w:rFonts w:asciiTheme="majorHAnsi" w:hAnsiTheme="majorHAnsi" w:cstheme="majorHAnsi"/>
          <w:lang w:val="en-US"/>
        </w:rPr>
        <w:t xml:space="preserve">, given the </w:t>
      </w:r>
      <w:r w:rsidRPr="003663A8">
        <w:rPr>
          <w:rFonts w:asciiTheme="majorHAnsi" w:hAnsiTheme="majorHAnsi" w:cstheme="majorHAnsi"/>
        </w:rPr>
        <w:t xml:space="preserve">status ambiguity </w:t>
      </w:r>
      <w:r>
        <w:rPr>
          <w:rFonts w:asciiTheme="majorHAnsi" w:hAnsiTheme="majorHAnsi" w:cstheme="majorHAnsi"/>
        </w:rPr>
        <w:t>of PGRs</w:t>
      </w:r>
      <w:r>
        <w:rPr>
          <w:rFonts w:asciiTheme="majorHAnsi" w:hAnsiTheme="majorHAnsi" w:cstheme="majorHAnsi"/>
          <w:lang w:val="en-US"/>
        </w:rPr>
        <w:t xml:space="preserve">. The framework explicitly captures </w:t>
      </w:r>
      <w:r w:rsidRPr="00252E2C">
        <w:rPr>
          <w:rFonts w:asciiTheme="majorHAnsi" w:hAnsiTheme="majorHAnsi" w:cstheme="majorHAnsi"/>
          <w:lang w:val="en-US"/>
        </w:rPr>
        <w:t>the multi-actor and multi-level nature of wellbeing policy analysis</w:t>
      </w:r>
      <w:r>
        <w:rPr>
          <w:rFonts w:asciiTheme="majorHAnsi" w:hAnsiTheme="majorHAnsi" w:cstheme="majorHAnsi"/>
          <w:lang w:val="en-US"/>
        </w:rPr>
        <w:t xml:space="preserve">, including some of the political aspects of what occurs. The framework is also helpful for examining dynamics – how different types of capacity influence each other - which can help go beyond listing ‘barriers to and enablers of’ interventions. </w:t>
      </w:r>
      <w:r>
        <w:rPr>
          <w:rFonts w:asciiTheme="majorHAnsi" w:hAnsiTheme="majorHAnsi" w:cstheme="majorHAnsi"/>
        </w:rPr>
        <w:t xml:space="preserve">Better </w:t>
      </w:r>
      <w:r w:rsidRPr="006A28EF">
        <w:rPr>
          <w:rFonts w:asciiTheme="majorHAnsi" w:hAnsiTheme="majorHAnsi" w:cstheme="majorHAnsi"/>
        </w:rPr>
        <w:t xml:space="preserve">understanding the different </w:t>
      </w:r>
      <w:r>
        <w:rPr>
          <w:rFonts w:asciiTheme="majorHAnsi" w:hAnsiTheme="majorHAnsi" w:cstheme="majorHAnsi"/>
        </w:rPr>
        <w:t>types</w:t>
      </w:r>
      <w:r w:rsidRPr="006A28EF">
        <w:rPr>
          <w:rFonts w:asciiTheme="majorHAnsi" w:hAnsiTheme="majorHAnsi" w:cstheme="majorHAnsi"/>
        </w:rPr>
        <w:t xml:space="preserve"> of capacity </w:t>
      </w:r>
      <w:r>
        <w:rPr>
          <w:rFonts w:asciiTheme="majorHAnsi" w:hAnsiTheme="majorHAnsi" w:cstheme="majorHAnsi"/>
        </w:rPr>
        <w:t>could</w:t>
      </w:r>
      <w:r w:rsidRPr="006A28EF">
        <w:rPr>
          <w:rFonts w:asciiTheme="majorHAnsi" w:hAnsiTheme="majorHAnsi" w:cstheme="majorHAnsi"/>
        </w:rPr>
        <w:t xml:space="preserve"> improve interventions by </w:t>
      </w:r>
      <w:r w:rsidRPr="006A28EF">
        <w:rPr>
          <w:rFonts w:asciiTheme="majorHAnsi" w:hAnsiTheme="majorHAnsi" w:cstheme="majorHAnsi"/>
          <w:lang w:val="en-US"/>
        </w:rPr>
        <w:t xml:space="preserve">making a more precise assessment of where strengths and weaknesses </w:t>
      </w:r>
      <w:r w:rsidR="00CD24A8">
        <w:rPr>
          <w:rFonts w:asciiTheme="majorHAnsi" w:hAnsiTheme="majorHAnsi" w:cstheme="majorHAnsi"/>
          <w:lang w:val="en-US"/>
        </w:rPr>
        <w:t xml:space="preserve">lie </w:t>
      </w:r>
      <w:r w:rsidRPr="006A28EF">
        <w:rPr>
          <w:rFonts w:asciiTheme="majorHAnsi" w:hAnsiTheme="majorHAnsi" w:cstheme="majorHAnsi"/>
          <w:lang w:val="en-US"/>
        </w:rPr>
        <w:t>in ability to make and implement policy (Wu et al, 2015; Capano and Howlett 2020)</w:t>
      </w:r>
      <w:r>
        <w:rPr>
          <w:rFonts w:asciiTheme="majorHAnsi" w:hAnsiTheme="majorHAnsi" w:cstheme="majorHAnsi"/>
          <w:lang w:val="en-US"/>
        </w:rPr>
        <w:t>.</w:t>
      </w:r>
      <w:r w:rsidRPr="006A28EF">
        <w:rPr>
          <w:rFonts w:asciiTheme="majorHAnsi" w:hAnsiTheme="majorHAnsi" w:cstheme="majorHAnsi"/>
          <w:lang w:val="en-US"/>
        </w:rPr>
        <w:t xml:space="preserve"> </w:t>
      </w:r>
      <w:r>
        <w:rPr>
          <w:rFonts w:asciiTheme="majorHAnsi" w:hAnsiTheme="majorHAnsi" w:cstheme="majorHAnsi"/>
        </w:rPr>
        <w:t>In sum, t</w:t>
      </w:r>
      <w:r w:rsidR="007A2BA1">
        <w:rPr>
          <w:rFonts w:asciiTheme="majorHAnsi" w:hAnsiTheme="majorHAnsi" w:cstheme="majorHAnsi"/>
        </w:rPr>
        <w:t>he research question is:</w:t>
      </w:r>
      <w:r w:rsidR="005404F3">
        <w:rPr>
          <w:rFonts w:asciiTheme="majorHAnsi" w:hAnsiTheme="majorHAnsi" w:cstheme="majorHAnsi"/>
        </w:rPr>
        <w:t xml:space="preserve"> </w:t>
      </w:r>
      <w:r w:rsidR="007A2BA1" w:rsidRPr="005404F3">
        <w:rPr>
          <w:rFonts w:asciiTheme="majorHAnsi" w:hAnsiTheme="majorHAnsi" w:cstheme="majorHAnsi"/>
          <w:i/>
          <w:iCs/>
        </w:rPr>
        <w:t>How and why does PGR status ambiguity affect the policy capacities to support PGR wellbeing?</w:t>
      </w:r>
    </w:p>
    <w:p w14:paraId="2CEEBA06" w14:textId="3E196F2F" w:rsidR="0027132C" w:rsidRDefault="00B569CF" w:rsidP="00397FF6">
      <w:pPr>
        <w:autoSpaceDE w:val="0"/>
        <w:autoSpaceDN w:val="0"/>
        <w:adjustRightInd w:val="0"/>
        <w:ind w:firstLine="720"/>
        <w:rPr>
          <w:rFonts w:asciiTheme="majorHAnsi" w:hAnsiTheme="majorHAnsi" w:cstheme="majorHAnsi"/>
        </w:rPr>
      </w:pPr>
      <w:r>
        <w:rPr>
          <w:rFonts w:ascii="Calibri" w:hAnsi="Calibri" w:cs="Calibri"/>
        </w:rPr>
        <w:t>In t</w:t>
      </w:r>
      <w:r w:rsidR="00CA4190" w:rsidRPr="00CA4190">
        <w:rPr>
          <w:rFonts w:ascii="Calibri" w:hAnsi="Calibri" w:cs="Calibri"/>
        </w:rPr>
        <w:t xml:space="preserve">he </w:t>
      </w:r>
      <w:r w:rsidR="00AF0157" w:rsidRPr="00CA4190">
        <w:rPr>
          <w:rFonts w:asciiTheme="majorHAnsi" w:hAnsiTheme="majorHAnsi" w:cstheme="majorHAnsi"/>
        </w:rPr>
        <w:t>rest of the article</w:t>
      </w:r>
      <w:r w:rsidR="001042F7">
        <w:rPr>
          <w:rFonts w:asciiTheme="majorHAnsi" w:hAnsiTheme="majorHAnsi" w:cstheme="majorHAnsi"/>
        </w:rPr>
        <w:t>,</w:t>
      </w:r>
      <w:r w:rsidR="00AF0157" w:rsidRPr="00CA4190">
        <w:rPr>
          <w:rFonts w:asciiTheme="majorHAnsi" w:hAnsiTheme="majorHAnsi" w:cstheme="majorHAnsi"/>
        </w:rPr>
        <w:t xml:space="preserve"> </w:t>
      </w:r>
      <w:r w:rsidR="009733EE">
        <w:rPr>
          <w:rFonts w:asciiTheme="majorHAnsi" w:hAnsiTheme="majorHAnsi" w:cstheme="majorHAnsi"/>
        </w:rPr>
        <w:t>t</w:t>
      </w:r>
      <w:r w:rsidR="0063301E">
        <w:rPr>
          <w:rFonts w:asciiTheme="majorHAnsi" w:hAnsiTheme="majorHAnsi" w:cstheme="majorHAnsi"/>
        </w:rPr>
        <w:t>he next section examines literature on wellbeing in HE, especially regarding PGRs</w:t>
      </w:r>
      <w:r w:rsidR="008A6264">
        <w:rPr>
          <w:rFonts w:asciiTheme="majorHAnsi" w:hAnsiTheme="majorHAnsi" w:cstheme="majorHAnsi"/>
        </w:rPr>
        <w:t>, and introduce</w:t>
      </w:r>
      <w:r w:rsidR="0063301E">
        <w:rPr>
          <w:rFonts w:asciiTheme="majorHAnsi" w:hAnsiTheme="majorHAnsi" w:cstheme="majorHAnsi"/>
        </w:rPr>
        <w:t>s two critical aspects of the UK policy context on PGR wellbeing</w:t>
      </w:r>
      <w:r w:rsidR="008A6264">
        <w:rPr>
          <w:rFonts w:asciiTheme="majorHAnsi" w:hAnsiTheme="majorHAnsi" w:cstheme="majorHAnsi"/>
        </w:rPr>
        <w:t xml:space="preserve">. </w:t>
      </w:r>
      <w:r w:rsidR="00193314">
        <w:rPr>
          <w:rFonts w:asciiTheme="majorHAnsi" w:hAnsiTheme="majorHAnsi" w:cstheme="majorHAnsi"/>
        </w:rPr>
        <w:t xml:space="preserve">The next section </w:t>
      </w:r>
      <w:r w:rsidR="008A6264">
        <w:rPr>
          <w:rFonts w:asciiTheme="majorHAnsi" w:hAnsiTheme="majorHAnsi" w:cstheme="majorHAnsi"/>
        </w:rPr>
        <w:t>summaris</w:t>
      </w:r>
      <w:r w:rsidR="00193314">
        <w:rPr>
          <w:rFonts w:asciiTheme="majorHAnsi" w:hAnsiTheme="majorHAnsi" w:cstheme="majorHAnsi"/>
        </w:rPr>
        <w:t>es the methodology</w:t>
      </w:r>
      <w:r w:rsidR="008A6264">
        <w:rPr>
          <w:rFonts w:asciiTheme="majorHAnsi" w:hAnsiTheme="majorHAnsi" w:cstheme="majorHAnsi"/>
        </w:rPr>
        <w:t xml:space="preserve">, </w:t>
      </w:r>
      <w:r w:rsidR="006B4285">
        <w:rPr>
          <w:rFonts w:asciiTheme="majorHAnsi" w:hAnsiTheme="majorHAnsi" w:cstheme="majorHAnsi"/>
        </w:rPr>
        <w:t xml:space="preserve">including development of the research question, </w:t>
      </w:r>
      <w:r w:rsidR="008A6264">
        <w:rPr>
          <w:rFonts w:asciiTheme="majorHAnsi" w:hAnsiTheme="majorHAnsi" w:cstheme="majorHAnsi"/>
        </w:rPr>
        <w:t xml:space="preserve">and </w:t>
      </w:r>
      <w:r w:rsidR="0063301E">
        <w:rPr>
          <w:rFonts w:asciiTheme="majorHAnsi" w:hAnsiTheme="majorHAnsi" w:cstheme="majorHAnsi"/>
        </w:rPr>
        <w:t xml:space="preserve">presents an interpretation of the policy capacity framework. </w:t>
      </w:r>
      <w:r w:rsidR="008A6264">
        <w:rPr>
          <w:rFonts w:asciiTheme="majorHAnsi" w:hAnsiTheme="majorHAnsi" w:cstheme="majorHAnsi"/>
        </w:rPr>
        <w:t xml:space="preserve">The </w:t>
      </w:r>
      <w:r w:rsidR="0063301E">
        <w:rPr>
          <w:rFonts w:asciiTheme="majorHAnsi" w:hAnsiTheme="majorHAnsi" w:cstheme="majorHAnsi"/>
        </w:rPr>
        <w:t>following section</w:t>
      </w:r>
      <w:r w:rsidR="0027132C">
        <w:rPr>
          <w:rFonts w:asciiTheme="majorHAnsi" w:hAnsiTheme="majorHAnsi" w:cstheme="majorHAnsi"/>
        </w:rPr>
        <w:t xml:space="preserve"> presents analysis of different types of policy capacity and some of their inter-relations. </w:t>
      </w:r>
      <w:r w:rsidR="0063301E">
        <w:rPr>
          <w:rFonts w:asciiTheme="majorHAnsi" w:hAnsiTheme="majorHAnsi" w:cstheme="majorHAnsi"/>
        </w:rPr>
        <w:t xml:space="preserve">Finally, </w:t>
      </w:r>
      <w:r w:rsidR="0027132C">
        <w:rPr>
          <w:rFonts w:asciiTheme="majorHAnsi" w:hAnsiTheme="majorHAnsi" w:cstheme="majorHAnsi"/>
        </w:rPr>
        <w:t>the discussion section presents key points in answer to the research question, and reflections on different areas of literature, including implications for political analysis of wellbeing</w:t>
      </w:r>
      <w:r w:rsidR="00F90FAE">
        <w:rPr>
          <w:rFonts w:asciiTheme="majorHAnsi" w:hAnsiTheme="majorHAnsi" w:cstheme="majorHAnsi"/>
        </w:rPr>
        <w:t>. It briefly reflects on policy implications</w:t>
      </w:r>
      <w:r w:rsidR="0027132C">
        <w:rPr>
          <w:rFonts w:asciiTheme="majorHAnsi" w:hAnsiTheme="majorHAnsi" w:cstheme="majorHAnsi"/>
        </w:rPr>
        <w:t xml:space="preserve">, and </w:t>
      </w:r>
      <w:r w:rsidR="00F90FAE">
        <w:rPr>
          <w:rFonts w:asciiTheme="majorHAnsi" w:hAnsiTheme="majorHAnsi" w:cstheme="majorHAnsi"/>
        </w:rPr>
        <w:t>sets out some promising lines for future research.</w:t>
      </w:r>
    </w:p>
    <w:p w14:paraId="35F7F706" w14:textId="6D7795F5" w:rsidR="0064162F" w:rsidRPr="00CA4190" w:rsidRDefault="0064162F" w:rsidP="00397FF6">
      <w:pPr>
        <w:autoSpaceDE w:val="0"/>
        <w:autoSpaceDN w:val="0"/>
        <w:adjustRightInd w:val="0"/>
        <w:rPr>
          <w:rFonts w:asciiTheme="majorHAnsi" w:hAnsiTheme="majorHAnsi" w:cstheme="majorHAnsi"/>
          <w:b/>
          <w:bCs/>
          <w:iCs/>
          <w:sz w:val="32"/>
          <w:szCs w:val="32"/>
        </w:rPr>
      </w:pPr>
    </w:p>
    <w:p w14:paraId="0CFD1BBE" w14:textId="2957B5C1" w:rsidR="00741380" w:rsidRPr="00095D80" w:rsidRDefault="001C3896" w:rsidP="00397FF6">
      <w:pPr>
        <w:rPr>
          <w:rFonts w:asciiTheme="majorHAnsi" w:hAnsiTheme="majorHAnsi" w:cstheme="majorHAnsi"/>
          <w:b/>
          <w:bCs/>
          <w:iCs/>
        </w:rPr>
      </w:pPr>
      <w:r w:rsidRPr="00095D80">
        <w:rPr>
          <w:rFonts w:asciiTheme="majorHAnsi" w:hAnsiTheme="majorHAnsi" w:cstheme="majorHAnsi"/>
          <w:b/>
          <w:bCs/>
          <w:iCs/>
        </w:rPr>
        <w:t xml:space="preserve">PGR </w:t>
      </w:r>
      <w:r w:rsidR="00741380" w:rsidRPr="00095D80">
        <w:rPr>
          <w:rFonts w:asciiTheme="majorHAnsi" w:hAnsiTheme="majorHAnsi" w:cstheme="majorHAnsi"/>
          <w:b/>
          <w:bCs/>
        </w:rPr>
        <w:t>Wellbeing in Higher Education</w:t>
      </w:r>
    </w:p>
    <w:p w14:paraId="4D7C4A2F" w14:textId="521B3B19" w:rsidR="00741380" w:rsidRDefault="00741380" w:rsidP="00741380">
      <w:pPr>
        <w:rPr>
          <w:rFonts w:cstheme="minorHAnsi"/>
          <w:color w:val="00B050"/>
        </w:rPr>
      </w:pPr>
      <w:r w:rsidRPr="00B90ABB">
        <w:rPr>
          <w:rFonts w:asciiTheme="majorHAnsi" w:hAnsiTheme="majorHAnsi" w:cstheme="majorHAnsi"/>
        </w:rPr>
        <w:t>The wellbeing of students and employees at HE institutions has been the focus of extensive research in many countries in recent years (</w:t>
      </w:r>
      <w:proofErr w:type="spellStart"/>
      <w:r w:rsidRPr="00B90ABB">
        <w:rPr>
          <w:rFonts w:asciiTheme="majorHAnsi" w:hAnsiTheme="majorHAnsi" w:cstheme="majorHAnsi"/>
        </w:rPr>
        <w:t>Pignata</w:t>
      </w:r>
      <w:proofErr w:type="spellEnd"/>
      <w:r w:rsidRPr="00B90ABB">
        <w:rPr>
          <w:rFonts w:asciiTheme="majorHAnsi" w:hAnsiTheme="majorHAnsi" w:cstheme="majorHAnsi"/>
        </w:rPr>
        <w:t xml:space="preserve"> </w:t>
      </w:r>
      <w:r w:rsidR="001E1C22">
        <w:rPr>
          <w:rFonts w:asciiTheme="majorHAnsi" w:hAnsiTheme="majorHAnsi" w:cstheme="majorHAnsi"/>
        </w:rPr>
        <w:t>and</w:t>
      </w:r>
      <w:r w:rsidRPr="00B90ABB">
        <w:rPr>
          <w:rFonts w:asciiTheme="majorHAnsi" w:hAnsiTheme="majorHAnsi" w:cstheme="majorHAnsi"/>
        </w:rPr>
        <w:t xml:space="preserve"> </w:t>
      </w:r>
      <w:proofErr w:type="spellStart"/>
      <w:r w:rsidRPr="00B90ABB">
        <w:rPr>
          <w:rFonts w:asciiTheme="majorHAnsi" w:hAnsiTheme="majorHAnsi" w:cstheme="majorHAnsi"/>
        </w:rPr>
        <w:t>Winefield</w:t>
      </w:r>
      <w:proofErr w:type="spellEnd"/>
      <w:r w:rsidRPr="00B90ABB">
        <w:rPr>
          <w:rFonts w:asciiTheme="majorHAnsi" w:hAnsiTheme="majorHAnsi" w:cstheme="majorHAnsi"/>
        </w:rPr>
        <w:t xml:space="preserve"> 2015; Kinman </w:t>
      </w:r>
      <w:r w:rsidR="001E1C22">
        <w:rPr>
          <w:rFonts w:asciiTheme="majorHAnsi" w:hAnsiTheme="majorHAnsi" w:cstheme="majorHAnsi"/>
        </w:rPr>
        <w:t>and</w:t>
      </w:r>
      <w:r w:rsidRPr="00B90ABB">
        <w:rPr>
          <w:rFonts w:asciiTheme="majorHAnsi" w:hAnsiTheme="majorHAnsi" w:cstheme="majorHAnsi"/>
        </w:rPr>
        <w:t xml:space="preserve"> Wray 2020</w:t>
      </w:r>
      <w:r w:rsidR="00397FF6">
        <w:rPr>
          <w:rFonts w:asciiTheme="majorHAnsi" w:hAnsiTheme="majorHAnsi" w:cstheme="majorHAnsi"/>
        </w:rPr>
        <w:t>;</w:t>
      </w:r>
      <w:r w:rsidR="00397FF6" w:rsidRPr="00397FF6">
        <w:rPr>
          <w:rFonts w:asciiTheme="majorHAnsi" w:hAnsiTheme="majorHAnsi" w:cstheme="majorHAnsi"/>
        </w:rPr>
        <w:t xml:space="preserve"> </w:t>
      </w:r>
      <w:r w:rsidR="00397FF6" w:rsidRPr="00B90ABB">
        <w:rPr>
          <w:rFonts w:asciiTheme="majorHAnsi" w:hAnsiTheme="majorHAnsi" w:cstheme="majorHAnsi"/>
        </w:rPr>
        <w:t xml:space="preserve">Watson </w:t>
      </w:r>
      <w:r w:rsidR="001E1C22">
        <w:rPr>
          <w:rFonts w:asciiTheme="majorHAnsi" w:hAnsiTheme="majorHAnsi" w:cstheme="majorHAnsi"/>
        </w:rPr>
        <w:t>and</w:t>
      </w:r>
      <w:r w:rsidR="00397FF6" w:rsidRPr="00B90ABB">
        <w:rPr>
          <w:rFonts w:asciiTheme="majorHAnsi" w:hAnsiTheme="majorHAnsi" w:cstheme="majorHAnsi"/>
        </w:rPr>
        <w:t xml:space="preserve"> Turnpenny 2022</w:t>
      </w:r>
      <w:r w:rsidRPr="00B90ABB">
        <w:rPr>
          <w:rFonts w:asciiTheme="majorHAnsi" w:hAnsiTheme="majorHAnsi" w:cstheme="majorHAnsi"/>
        </w:rPr>
        <w:t xml:space="preserve">). </w:t>
      </w:r>
      <w:r>
        <w:rPr>
          <w:rFonts w:asciiTheme="majorHAnsi" w:hAnsiTheme="majorHAnsi" w:cstheme="majorHAnsi"/>
        </w:rPr>
        <w:t>Rese</w:t>
      </w:r>
      <w:r w:rsidR="00124D19">
        <w:rPr>
          <w:rFonts w:asciiTheme="majorHAnsi" w:hAnsiTheme="majorHAnsi" w:cstheme="majorHAnsi"/>
        </w:rPr>
        <w:t>arch foci</w:t>
      </w:r>
      <w:r>
        <w:rPr>
          <w:rFonts w:asciiTheme="majorHAnsi" w:hAnsiTheme="majorHAnsi" w:cstheme="majorHAnsi"/>
        </w:rPr>
        <w:t xml:space="preserve"> include d</w:t>
      </w:r>
      <w:r w:rsidRPr="006640EB">
        <w:rPr>
          <w:rFonts w:asciiTheme="majorHAnsi" w:hAnsiTheme="majorHAnsi" w:cstheme="majorHAnsi"/>
        </w:rPr>
        <w:t xml:space="preserve">efinition of </w:t>
      </w:r>
      <w:r>
        <w:rPr>
          <w:rFonts w:asciiTheme="majorHAnsi" w:hAnsiTheme="majorHAnsi" w:cstheme="majorHAnsi"/>
        </w:rPr>
        <w:t xml:space="preserve">multiple </w:t>
      </w:r>
      <w:r w:rsidRPr="006640EB">
        <w:rPr>
          <w:rFonts w:asciiTheme="majorHAnsi" w:hAnsiTheme="majorHAnsi" w:cstheme="majorHAnsi"/>
        </w:rPr>
        <w:t xml:space="preserve">terms </w:t>
      </w:r>
      <w:r>
        <w:rPr>
          <w:rFonts w:asciiTheme="majorHAnsi" w:hAnsiTheme="majorHAnsi" w:cstheme="majorHAnsi"/>
        </w:rPr>
        <w:t xml:space="preserve">around mental health and wellbeing, and </w:t>
      </w:r>
      <w:r w:rsidRPr="006640EB">
        <w:rPr>
          <w:rFonts w:asciiTheme="majorHAnsi" w:hAnsiTheme="majorHAnsi" w:cstheme="majorHAnsi"/>
        </w:rPr>
        <w:t xml:space="preserve">attempts to </w:t>
      </w:r>
      <w:r>
        <w:rPr>
          <w:rFonts w:asciiTheme="majorHAnsi" w:hAnsiTheme="majorHAnsi" w:cstheme="majorHAnsi"/>
        </w:rPr>
        <w:t xml:space="preserve">specify the inter-relations between them </w:t>
      </w:r>
      <w:r w:rsidRPr="006640EB">
        <w:rPr>
          <w:rFonts w:asciiTheme="majorHAnsi" w:hAnsiTheme="majorHAnsi" w:cstheme="majorHAnsi"/>
        </w:rPr>
        <w:t>(</w:t>
      </w:r>
      <w:r>
        <w:rPr>
          <w:rFonts w:asciiTheme="majorHAnsi" w:hAnsiTheme="majorHAnsi" w:cstheme="majorHAnsi"/>
        </w:rPr>
        <w:t xml:space="preserve">Brown 2016; </w:t>
      </w:r>
      <w:r w:rsidRPr="006640EB">
        <w:rPr>
          <w:rFonts w:asciiTheme="majorHAnsi" w:hAnsiTheme="majorHAnsi" w:cstheme="majorHAnsi"/>
        </w:rPr>
        <w:t>Hewitt 2019</w:t>
      </w:r>
      <w:r w:rsidR="00397FF6">
        <w:rPr>
          <w:rFonts w:asciiTheme="majorHAnsi" w:hAnsiTheme="majorHAnsi" w:cstheme="majorHAnsi"/>
        </w:rPr>
        <w:t>;</w:t>
      </w:r>
      <w:r w:rsidRPr="006640EB">
        <w:rPr>
          <w:rFonts w:asciiTheme="majorHAnsi" w:hAnsiTheme="majorHAnsi" w:cstheme="majorHAnsi"/>
        </w:rPr>
        <w:t xml:space="preserve"> Dodd et al 2021)</w:t>
      </w:r>
      <w:r>
        <w:rPr>
          <w:rFonts w:asciiTheme="majorHAnsi" w:hAnsiTheme="majorHAnsi" w:cstheme="majorHAnsi"/>
        </w:rPr>
        <w:t xml:space="preserve"> and i</w:t>
      </w:r>
      <w:r w:rsidRPr="006640EB">
        <w:rPr>
          <w:rFonts w:asciiTheme="majorHAnsi" w:hAnsiTheme="majorHAnsi" w:cstheme="majorHAnsi"/>
        </w:rPr>
        <w:t>mplications for evaluation and selection of indicators (Dodd et al 2021)</w:t>
      </w:r>
      <w:r>
        <w:rPr>
          <w:rFonts w:asciiTheme="majorHAnsi" w:hAnsiTheme="majorHAnsi" w:cstheme="majorHAnsi"/>
        </w:rPr>
        <w:t xml:space="preserve">; </w:t>
      </w:r>
      <w:r>
        <w:rPr>
          <w:rFonts w:asciiTheme="majorHAnsi" w:hAnsiTheme="majorHAnsi" w:cstheme="majorHAnsi"/>
        </w:rPr>
        <w:lastRenderedPageBreak/>
        <w:t>the c</w:t>
      </w:r>
      <w:r w:rsidRPr="006640EB">
        <w:rPr>
          <w:rFonts w:asciiTheme="majorHAnsi" w:hAnsiTheme="majorHAnsi" w:cstheme="majorHAnsi"/>
        </w:rPr>
        <w:t>ontext</w:t>
      </w:r>
      <w:r>
        <w:rPr>
          <w:rFonts w:asciiTheme="majorHAnsi" w:hAnsiTheme="majorHAnsi" w:cstheme="majorHAnsi"/>
        </w:rPr>
        <w:t xml:space="preserve"> including policy landscape and legal requirements (Hubble </w:t>
      </w:r>
      <w:r w:rsidR="001E1C22">
        <w:rPr>
          <w:rFonts w:asciiTheme="majorHAnsi" w:hAnsiTheme="majorHAnsi" w:cstheme="majorHAnsi"/>
        </w:rPr>
        <w:t>and</w:t>
      </w:r>
      <w:r>
        <w:rPr>
          <w:rFonts w:asciiTheme="majorHAnsi" w:hAnsiTheme="majorHAnsi" w:cstheme="majorHAnsi"/>
        </w:rPr>
        <w:t xml:space="preserve"> Bolton 2020); research programmes (e.g. </w:t>
      </w:r>
      <w:proofErr w:type="spellStart"/>
      <w:r>
        <w:rPr>
          <w:rFonts w:asciiTheme="majorHAnsi" w:hAnsiTheme="majorHAnsi" w:cstheme="majorHAnsi"/>
        </w:rPr>
        <w:t>SMaRteN</w:t>
      </w:r>
      <w:proofErr w:type="spellEnd"/>
      <w:r>
        <w:rPr>
          <w:rFonts w:asciiTheme="majorHAnsi" w:hAnsiTheme="majorHAnsi" w:cstheme="majorHAnsi"/>
        </w:rPr>
        <w:t>: the UK’s Student Mental Health Research Network</w:t>
      </w:r>
      <w:r>
        <w:rPr>
          <w:rStyle w:val="FootnoteReference"/>
          <w:rFonts w:asciiTheme="majorHAnsi" w:hAnsiTheme="majorHAnsi" w:cstheme="majorHAnsi"/>
        </w:rPr>
        <w:footnoteReference w:id="4"/>
      </w:r>
      <w:r>
        <w:rPr>
          <w:rFonts w:asciiTheme="majorHAnsi" w:hAnsiTheme="majorHAnsi" w:cstheme="majorHAnsi"/>
        </w:rPr>
        <w:t>); and various i</w:t>
      </w:r>
      <w:r w:rsidRPr="006640EB">
        <w:rPr>
          <w:rFonts w:asciiTheme="majorHAnsi" w:hAnsiTheme="majorHAnsi" w:cstheme="majorHAnsi"/>
        </w:rPr>
        <w:t>nterventions</w:t>
      </w:r>
      <w:r>
        <w:rPr>
          <w:rFonts w:asciiTheme="majorHAnsi" w:hAnsiTheme="majorHAnsi" w:cstheme="majorHAnsi"/>
        </w:rPr>
        <w:t xml:space="preserve"> and how they play out (Worsley et al 2020; the </w:t>
      </w:r>
      <w:proofErr w:type="spellStart"/>
      <w:r>
        <w:rPr>
          <w:rFonts w:asciiTheme="majorHAnsi" w:hAnsiTheme="majorHAnsi" w:cstheme="majorHAnsi"/>
        </w:rPr>
        <w:t>OfS</w:t>
      </w:r>
      <w:proofErr w:type="spellEnd"/>
      <w:r>
        <w:rPr>
          <w:rFonts w:asciiTheme="majorHAnsi" w:hAnsiTheme="majorHAnsi" w:cstheme="majorHAnsi"/>
        </w:rPr>
        <w:t>: Office for Students</w:t>
      </w:r>
      <w:r>
        <w:rPr>
          <w:rStyle w:val="FootnoteReference"/>
          <w:rFonts w:asciiTheme="majorHAnsi" w:hAnsiTheme="majorHAnsi" w:cstheme="majorHAnsi"/>
        </w:rPr>
        <w:footnoteReference w:id="5"/>
      </w:r>
      <w:r>
        <w:rPr>
          <w:rFonts w:asciiTheme="majorHAnsi" w:hAnsiTheme="majorHAnsi" w:cstheme="majorHAnsi"/>
        </w:rPr>
        <w:t>).</w:t>
      </w:r>
    </w:p>
    <w:p w14:paraId="372C47F2" w14:textId="77777777" w:rsidR="0087433C" w:rsidRDefault="00F27AAB" w:rsidP="0087433C">
      <w:pPr>
        <w:ind w:firstLine="720"/>
        <w:rPr>
          <w:rFonts w:asciiTheme="majorHAnsi" w:hAnsiTheme="majorHAnsi" w:cstheme="majorHAnsi"/>
        </w:rPr>
      </w:pPr>
      <w:r w:rsidRPr="00B90ABB">
        <w:rPr>
          <w:rFonts w:asciiTheme="majorHAnsi" w:hAnsiTheme="majorHAnsi" w:cstheme="majorHAnsi"/>
        </w:rPr>
        <w:t xml:space="preserve">While much attention has focussed on undergraduate students and, to some extent, staff, the mental health and wellbeing of postgraduate researchers has until recently been relatively little-studied. </w:t>
      </w:r>
      <w:r w:rsidR="00D81998">
        <w:rPr>
          <w:rFonts w:asciiTheme="majorHAnsi" w:hAnsiTheme="majorHAnsi" w:cstheme="majorHAnsi"/>
        </w:rPr>
        <w:t xml:space="preserve">However, </w:t>
      </w:r>
      <w:r w:rsidRPr="00B90ABB">
        <w:rPr>
          <w:rFonts w:asciiTheme="majorHAnsi" w:hAnsiTheme="majorHAnsi" w:cstheme="majorHAnsi"/>
        </w:rPr>
        <w:t xml:space="preserve">this literature is growing, and stories of PGRs' experiences have recently entered the mainstream via </w:t>
      </w:r>
      <w:r w:rsidRPr="000B16D4">
        <w:rPr>
          <w:rFonts w:asciiTheme="majorHAnsi" w:hAnsiTheme="majorHAnsi" w:cstheme="majorHAnsi"/>
          <w:i/>
          <w:iCs/>
        </w:rPr>
        <w:t xml:space="preserve">'Real Life' </w:t>
      </w:r>
      <w:r w:rsidRPr="00B90ABB">
        <w:rPr>
          <w:rFonts w:asciiTheme="majorHAnsi" w:hAnsiTheme="majorHAnsi" w:cstheme="majorHAnsi"/>
        </w:rPr>
        <w:t>by Brandon Taylor, shortlisted for the 2020 Booker Prize</w:t>
      </w:r>
      <w:r w:rsidRPr="00B90ABB">
        <w:rPr>
          <w:rStyle w:val="FootnoteReference"/>
          <w:rFonts w:asciiTheme="majorHAnsi" w:hAnsiTheme="majorHAnsi" w:cstheme="majorHAnsi"/>
        </w:rPr>
        <w:footnoteReference w:id="6"/>
      </w:r>
      <w:r w:rsidRPr="00B90ABB">
        <w:rPr>
          <w:rFonts w:asciiTheme="majorHAnsi" w:hAnsiTheme="majorHAnsi" w:cstheme="majorHAnsi"/>
        </w:rPr>
        <w:t>. PGRs are particularly interesting because there is a long-identified and apparently extensive problem with poor PGR wellbeing across institutions and countries</w:t>
      </w:r>
      <w:r>
        <w:rPr>
          <w:rFonts w:asciiTheme="majorHAnsi" w:hAnsiTheme="majorHAnsi" w:cstheme="majorHAnsi"/>
        </w:rPr>
        <w:t xml:space="preserve"> (Nature 2019a, 2019b; Woolston, 2019)</w:t>
      </w:r>
      <w:r w:rsidRPr="00B90ABB">
        <w:rPr>
          <w:rFonts w:asciiTheme="majorHAnsi" w:hAnsiTheme="majorHAnsi" w:cstheme="majorHAnsi"/>
        </w:rPr>
        <w:t xml:space="preserve">. </w:t>
      </w:r>
    </w:p>
    <w:p w14:paraId="0B2BB420" w14:textId="67DC6314" w:rsidR="00BA06C0" w:rsidRPr="004031DD" w:rsidRDefault="00F27AAB" w:rsidP="00FF01BA">
      <w:pPr>
        <w:ind w:firstLine="720"/>
        <w:rPr>
          <w:rFonts w:asciiTheme="majorHAnsi" w:hAnsiTheme="majorHAnsi" w:cstheme="majorHAnsi"/>
        </w:rPr>
      </w:pPr>
      <w:r w:rsidRPr="00B90ABB">
        <w:rPr>
          <w:rFonts w:asciiTheme="majorHAnsi" w:hAnsiTheme="majorHAnsi" w:cstheme="majorHAnsi"/>
        </w:rPr>
        <w:t xml:space="preserve">Research on PGR </w:t>
      </w:r>
      <w:r>
        <w:rPr>
          <w:rFonts w:asciiTheme="majorHAnsi" w:hAnsiTheme="majorHAnsi" w:cstheme="majorHAnsi"/>
        </w:rPr>
        <w:t xml:space="preserve">mental health and </w:t>
      </w:r>
      <w:r w:rsidRPr="00B90ABB">
        <w:rPr>
          <w:rFonts w:asciiTheme="majorHAnsi" w:hAnsiTheme="majorHAnsi" w:cstheme="majorHAnsi"/>
        </w:rPr>
        <w:t>wellbeing (</w:t>
      </w:r>
      <w:r>
        <w:rPr>
          <w:rFonts w:asciiTheme="majorHAnsi" w:hAnsiTheme="majorHAnsi" w:cstheme="majorHAnsi"/>
        </w:rPr>
        <w:t xml:space="preserve">e.g. </w:t>
      </w:r>
      <w:r w:rsidR="00F37CE0" w:rsidRPr="00B90ABB">
        <w:rPr>
          <w:rFonts w:asciiTheme="majorHAnsi" w:hAnsiTheme="majorHAnsi" w:cstheme="majorHAnsi"/>
        </w:rPr>
        <w:t>Metcalfe</w:t>
      </w:r>
      <w:r w:rsidR="00F37CE0">
        <w:rPr>
          <w:rFonts w:asciiTheme="majorHAnsi" w:hAnsiTheme="majorHAnsi" w:cstheme="majorHAnsi"/>
        </w:rPr>
        <w:t xml:space="preserve"> et al </w:t>
      </w:r>
      <w:r w:rsidR="00F37CE0" w:rsidRPr="00B90ABB">
        <w:rPr>
          <w:rFonts w:asciiTheme="majorHAnsi" w:hAnsiTheme="majorHAnsi" w:cstheme="majorHAnsi"/>
        </w:rPr>
        <w:t>2018;</w:t>
      </w:r>
      <w:r w:rsidR="00F37CE0">
        <w:rPr>
          <w:rFonts w:asciiTheme="majorHAnsi" w:hAnsiTheme="majorHAnsi" w:cstheme="majorHAnsi"/>
        </w:rPr>
        <w:t xml:space="preserve"> </w:t>
      </w:r>
      <w:r w:rsidRPr="00B90ABB">
        <w:rPr>
          <w:rFonts w:asciiTheme="majorHAnsi" w:hAnsiTheme="majorHAnsi" w:cstheme="majorHAnsi"/>
        </w:rPr>
        <w:t>Metcalfe et al 2020; Watson and Turnpenny 2022</w:t>
      </w:r>
      <w:r w:rsidR="0084535A">
        <w:rPr>
          <w:rFonts w:asciiTheme="majorHAnsi" w:hAnsiTheme="majorHAnsi" w:cstheme="majorHAnsi"/>
        </w:rPr>
        <w:t xml:space="preserve">) </w:t>
      </w:r>
      <w:r>
        <w:rPr>
          <w:rFonts w:asciiTheme="majorHAnsi" w:hAnsiTheme="majorHAnsi" w:cstheme="majorHAnsi"/>
        </w:rPr>
        <w:t xml:space="preserve">covers several different angles. </w:t>
      </w:r>
      <w:r w:rsidR="0087433C">
        <w:rPr>
          <w:rFonts w:asciiTheme="majorHAnsi" w:hAnsiTheme="majorHAnsi" w:cstheme="majorHAnsi"/>
        </w:rPr>
        <w:t xml:space="preserve">First, </w:t>
      </w:r>
      <w:r w:rsidR="00171C02">
        <w:rPr>
          <w:rFonts w:asciiTheme="majorHAnsi" w:hAnsiTheme="majorHAnsi" w:cstheme="majorHAnsi"/>
        </w:rPr>
        <w:t xml:space="preserve">in common with wellbeing research generally </w:t>
      </w:r>
      <w:r w:rsidR="00171C02" w:rsidRPr="0087433C">
        <w:rPr>
          <w:rFonts w:asciiTheme="majorHAnsi" w:hAnsiTheme="majorHAnsi" w:cstheme="majorHAnsi"/>
        </w:rPr>
        <w:t>(</w:t>
      </w:r>
      <w:r w:rsidR="00171C02">
        <w:rPr>
          <w:rFonts w:asciiTheme="majorHAnsi" w:hAnsiTheme="majorHAnsi" w:cstheme="majorHAnsi"/>
        </w:rPr>
        <w:t xml:space="preserve">e.g. </w:t>
      </w:r>
      <w:r w:rsidR="00DA57E6" w:rsidRPr="0087433C">
        <w:rPr>
          <w:rFonts w:asciiTheme="majorHAnsi" w:hAnsiTheme="majorHAnsi" w:cstheme="majorHAnsi"/>
        </w:rPr>
        <w:t>White 2017</w:t>
      </w:r>
      <w:r w:rsidR="00DA57E6">
        <w:rPr>
          <w:rFonts w:asciiTheme="majorHAnsi" w:hAnsiTheme="majorHAnsi" w:cstheme="majorHAnsi"/>
        </w:rPr>
        <w:t xml:space="preserve">; </w:t>
      </w:r>
      <w:r w:rsidR="00171C02" w:rsidRPr="0087433C">
        <w:rPr>
          <w:rFonts w:asciiTheme="majorHAnsi" w:hAnsiTheme="majorHAnsi" w:cstheme="majorHAnsi"/>
        </w:rPr>
        <w:t xml:space="preserve">Bache and Scott 2018; Atkinson 2020; </w:t>
      </w:r>
      <w:r w:rsidR="00DA57E6" w:rsidRPr="0087433C">
        <w:rPr>
          <w:rFonts w:asciiTheme="majorHAnsi" w:hAnsiTheme="majorHAnsi" w:cstheme="majorHAnsi"/>
        </w:rPr>
        <w:t>Searle et al 2021</w:t>
      </w:r>
      <w:r w:rsidR="00DA57E6">
        <w:rPr>
          <w:rFonts w:asciiTheme="majorHAnsi" w:hAnsiTheme="majorHAnsi" w:cstheme="majorHAnsi"/>
        </w:rPr>
        <w:t xml:space="preserve">; </w:t>
      </w:r>
      <w:r w:rsidR="00171C02" w:rsidRPr="0087433C">
        <w:rPr>
          <w:rFonts w:asciiTheme="majorHAnsi" w:hAnsiTheme="majorHAnsi" w:cstheme="majorHAnsi"/>
        </w:rPr>
        <w:t>Watson et al 2023)</w:t>
      </w:r>
      <w:r w:rsidR="00171C02">
        <w:rPr>
          <w:rFonts w:asciiTheme="majorHAnsi" w:hAnsiTheme="majorHAnsi" w:cstheme="majorHAnsi"/>
        </w:rPr>
        <w:t xml:space="preserve">, understanding </w:t>
      </w:r>
      <w:r w:rsidR="0087433C" w:rsidRPr="0087433C">
        <w:rPr>
          <w:rFonts w:asciiTheme="majorHAnsi" w:hAnsiTheme="majorHAnsi" w:cstheme="majorHAnsi"/>
        </w:rPr>
        <w:t xml:space="preserve">how and why different factors interact in different contexts to influence the experience of wellbeing </w:t>
      </w:r>
      <w:r w:rsidR="0087433C">
        <w:rPr>
          <w:rFonts w:asciiTheme="majorHAnsi" w:hAnsiTheme="majorHAnsi" w:cstheme="majorHAnsi"/>
        </w:rPr>
        <w:t xml:space="preserve">are </w:t>
      </w:r>
      <w:r w:rsidR="00171C02">
        <w:rPr>
          <w:rFonts w:asciiTheme="majorHAnsi" w:hAnsiTheme="majorHAnsi" w:cstheme="majorHAnsi"/>
        </w:rPr>
        <w:t xml:space="preserve">central. </w:t>
      </w:r>
      <w:r w:rsidR="0087433C">
        <w:rPr>
          <w:rFonts w:asciiTheme="majorHAnsi" w:hAnsiTheme="majorHAnsi" w:cstheme="majorHAnsi"/>
        </w:rPr>
        <w:t>I</w:t>
      </w:r>
      <w:r w:rsidR="004843D9">
        <w:rPr>
          <w:rFonts w:asciiTheme="majorHAnsi" w:hAnsiTheme="majorHAnsi" w:cstheme="majorHAnsi"/>
        </w:rPr>
        <w:t>nvestigation into</w:t>
      </w:r>
      <w:r w:rsidRPr="0084535A">
        <w:rPr>
          <w:rFonts w:asciiTheme="majorHAnsi" w:hAnsiTheme="majorHAnsi" w:cstheme="majorHAnsi"/>
        </w:rPr>
        <w:t xml:space="preserve"> the type and extent of mental health and wellbeing problems</w:t>
      </w:r>
      <w:r w:rsidRPr="001F6236">
        <w:rPr>
          <w:rFonts w:asciiTheme="majorHAnsi" w:hAnsiTheme="majorHAnsi" w:cstheme="majorHAnsi"/>
        </w:rPr>
        <w:t xml:space="preserve"> (e.g. Hazell et al 2020; 2021</w:t>
      </w:r>
      <w:r>
        <w:rPr>
          <w:rFonts w:asciiTheme="majorHAnsi" w:hAnsiTheme="majorHAnsi" w:cstheme="majorHAnsi"/>
        </w:rPr>
        <w:t>; Casey et al 2022</w:t>
      </w:r>
      <w:r w:rsidRPr="001F6236">
        <w:rPr>
          <w:rFonts w:asciiTheme="majorHAnsi" w:hAnsiTheme="majorHAnsi" w:cstheme="majorHAnsi"/>
        </w:rPr>
        <w:t xml:space="preserve">) reveals PGRs report significantly greater anxiety and depression compared with </w:t>
      </w:r>
      <w:r w:rsidR="00A41F8A">
        <w:rPr>
          <w:rFonts w:asciiTheme="majorHAnsi" w:hAnsiTheme="majorHAnsi" w:cstheme="majorHAnsi"/>
        </w:rPr>
        <w:t>a ‘</w:t>
      </w:r>
      <w:r w:rsidR="00A41F8A" w:rsidRPr="001F6236">
        <w:rPr>
          <w:rFonts w:asciiTheme="majorHAnsi" w:hAnsiTheme="majorHAnsi" w:cstheme="majorHAnsi"/>
        </w:rPr>
        <w:t>control</w:t>
      </w:r>
      <w:r w:rsidR="00A41F8A">
        <w:rPr>
          <w:rFonts w:asciiTheme="majorHAnsi" w:hAnsiTheme="majorHAnsi" w:cstheme="majorHAnsi"/>
        </w:rPr>
        <w:t xml:space="preserve">’ sample of </w:t>
      </w:r>
      <w:r w:rsidRPr="001F6236">
        <w:rPr>
          <w:rFonts w:asciiTheme="majorHAnsi" w:hAnsiTheme="majorHAnsi" w:cstheme="majorHAnsi"/>
        </w:rPr>
        <w:t>educated working</w:t>
      </w:r>
      <w:r w:rsidR="00A41F8A">
        <w:rPr>
          <w:rFonts w:asciiTheme="majorHAnsi" w:hAnsiTheme="majorHAnsi" w:cstheme="majorHAnsi"/>
        </w:rPr>
        <w:t xml:space="preserve"> people</w:t>
      </w:r>
      <w:r w:rsidRPr="001F6236">
        <w:rPr>
          <w:rFonts w:asciiTheme="majorHAnsi" w:hAnsiTheme="majorHAnsi" w:cstheme="majorHAnsi"/>
        </w:rPr>
        <w:t>.</w:t>
      </w:r>
      <w:r>
        <w:rPr>
          <w:rFonts w:asciiTheme="majorHAnsi" w:hAnsiTheme="majorHAnsi" w:cstheme="majorHAnsi"/>
        </w:rPr>
        <w:t xml:space="preserve"> </w:t>
      </w:r>
      <w:r w:rsidR="001C6B2C">
        <w:rPr>
          <w:rFonts w:asciiTheme="majorHAnsi" w:hAnsiTheme="majorHAnsi" w:cstheme="majorHAnsi"/>
        </w:rPr>
        <w:t>D</w:t>
      </w:r>
      <w:r>
        <w:rPr>
          <w:rFonts w:asciiTheme="majorHAnsi" w:hAnsiTheme="majorHAnsi" w:cstheme="majorHAnsi"/>
        </w:rPr>
        <w:t xml:space="preserve">emographic, occupational, social and psychological risk factors </w:t>
      </w:r>
      <w:r w:rsidR="001C6B2C">
        <w:rPr>
          <w:rFonts w:asciiTheme="majorHAnsi" w:hAnsiTheme="majorHAnsi" w:cstheme="majorHAnsi"/>
        </w:rPr>
        <w:t xml:space="preserve">are </w:t>
      </w:r>
      <w:r w:rsidR="005B6704">
        <w:rPr>
          <w:rFonts w:asciiTheme="majorHAnsi" w:hAnsiTheme="majorHAnsi" w:cstheme="majorHAnsi"/>
        </w:rPr>
        <w:t>important</w:t>
      </w:r>
      <w:r w:rsidR="001C6B2C">
        <w:rPr>
          <w:rFonts w:asciiTheme="majorHAnsi" w:hAnsiTheme="majorHAnsi" w:cstheme="majorHAnsi"/>
        </w:rPr>
        <w:t xml:space="preserve">, including age, gender, nationality, mode of study, nature of the relationship with supervisors and degree of isolation </w:t>
      </w:r>
      <w:r>
        <w:rPr>
          <w:rFonts w:asciiTheme="majorHAnsi" w:hAnsiTheme="majorHAnsi" w:cstheme="majorHAnsi"/>
        </w:rPr>
        <w:t>(Hazell et al 2020; Berry et al 2021)</w:t>
      </w:r>
      <w:r w:rsidR="001C6B2C">
        <w:rPr>
          <w:rFonts w:asciiTheme="majorHAnsi" w:hAnsiTheme="majorHAnsi" w:cstheme="majorHAnsi"/>
        </w:rPr>
        <w:t>.</w:t>
      </w:r>
      <w:r>
        <w:rPr>
          <w:rFonts w:asciiTheme="majorHAnsi" w:hAnsiTheme="majorHAnsi" w:cstheme="majorHAnsi"/>
        </w:rPr>
        <w:t xml:space="preserve"> </w:t>
      </w:r>
      <w:r w:rsidR="001C6B2C">
        <w:rPr>
          <w:rFonts w:asciiTheme="majorHAnsi" w:hAnsiTheme="majorHAnsi" w:cstheme="majorHAnsi"/>
        </w:rPr>
        <w:t>S</w:t>
      </w:r>
      <w:r>
        <w:rPr>
          <w:rFonts w:asciiTheme="majorHAnsi" w:hAnsiTheme="majorHAnsi" w:cstheme="majorHAnsi"/>
        </w:rPr>
        <w:t xml:space="preserve">tructural causes (Nature 2019a) are </w:t>
      </w:r>
      <w:r w:rsidR="001C6B2C">
        <w:rPr>
          <w:rFonts w:asciiTheme="majorHAnsi" w:hAnsiTheme="majorHAnsi" w:cstheme="majorHAnsi"/>
        </w:rPr>
        <w:t xml:space="preserve">also crucial, </w:t>
      </w:r>
      <w:r>
        <w:rPr>
          <w:rFonts w:asciiTheme="majorHAnsi" w:hAnsiTheme="majorHAnsi" w:cstheme="majorHAnsi"/>
        </w:rPr>
        <w:t xml:space="preserve">such as power relationships with supervisors, financial and </w:t>
      </w:r>
      <w:r w:rsidRPr="002C4A2D">
        <w:rPr>
          <w:rFonts w:asciiTheme="majorHAnsi" w:hAnsiTheme="majorHAnsi" w:cstheme="majorHAnsi"/>
        </w:rPr>
        <w:t xml:space="preserve">contract insecurity, </w:t>
      </w:r>
      <w:r w:rsidR="00AE4F6B">
        <w:rPr>
          <w:rFonts w:asciiTheme="majorHAnsi" w:hAnsiTheme="majorHAnsi" w:cstheme="majorHAnsi"/>
        </w:rPr>
        <w:t xml:space="preserve">and </w:t>
      </w:r>
      <w:r w:rsidRPr="002C4A2D">
        <w:rPr>
          <w:rFonts w:asciiTheme="majorHAnsi" w:hAnsiTheme="majorHAnsi" w:cstheme="majorHAnsi"/>
        </w:rPr>
        <w:t>pressure to perform</w:t>
      </w:r>
      <w:r w:rsidR="00F20CDC">
        <w:rPr>
          <w:rFonts w:asciiTheme="majorHAnsi" w:hAnsiTheme="majorHAnsi" w:cstheme="majorHAnsi"/>
        </w:rPr>
        <w:t xml:space="preserve">. These are in turn </w:t>
      </w:r>
      <w:r w:rsidR="007A4D29">
        <w:rPr>
          <w:rFonts w:asciiTheme="majorHAnsi" w:hAnsiTheme="majorHAnsi" w:cstheme="majorHAnsi"/>
        </w:rPr>
        <w:t>related to</w:t>
      </w:r>
      <w:r w:rsidR="00F20CDC">
        <w:rPr>
          <w:rFonts w:asciiTheme="majorHAnsi" w:hAnsiTheme="majorHAnsi" w:cstheme="majorHAnsi"/>
        </w:rPr>
        <w:t xml:space="preserve"> </w:t>
      </w:r>
      <w:r w:rsidR="007A4D29">
        <w:rPr>
          <w:rFonts w:asciiTheme="majorHAnsi" w:hAnsiTheme="majorHAnsi" w:cstheme="majorHAnsi"/>
        </w:rPr>
        <w:t>the</w:t>
      </w:r>
      <w:r w:rsidR="00F20CDC">
        <w:rPr>
          <w:rFonts w:asciiTheme="majorHAnsi" w:hAnsiTheme="majorHAnsi" w:cstheme="majorHAnsi"/>
        </w:rPr>
        <w:t xml:space="preserve"> socio-political context </w:t>
      </w:r>
      <w:r w:rsidR="007A4D29">
        <w:rPr>
          <w:rFonts w:asciiTheme="majorHAnsi" w:hAnsiTheme="majorHAnsi" w:cstheme="majorHAnsi"/>
        </w:rPr>
        <w:t xml:space="preserve">of </w:t>
      </w:r>
      <w:r w:rsidRPr="002C4A2D">
        <w:rPr>
          <w:rFonts w:asciiTheme="majorHAnsi" w:hAnsiTheme="majorHAnsi" w:cstheme="majorHAnsi"/>
        </w:rPr>
        <w:t xml:space="preserve">marketisation, </w:t>
      </w:r>
      <w:proofErr w:type="spellStart"/>
      <w:r w:rsidRPr="002C4A2D">
        <w:rPr>
          <w:rFonts w:asciiTheme="majorHAnsi" w:hAnsiTheme="majorHAnsi" w:cstheme="majorHAnsi"/>
        </w:rPr>
        <w:t>financialisation</w:t>
      </w:r>
      <w:proofErr w:type="spellEnd"/>
      <w:r w:rsidRPr="002C4A2D">
        <w:rPr>
          <w:rFonts w:asciiTheme="majorHAnsi" w:hAnsiTheme="majorHAnsi" w:cstheme="majorHAnsi"/>
        </w:rPr>
        <w:t xml:space="preserve"> and liberalisation of the </w:t>
      </w:r>
      <w:r w:rsidR="007A4D29">
        <w:rPr>
          <w:rFonts w:asciiTheme="majorHAnsi" w:hAnsiTheme="majorHAnsi" w:cstheme="majorHAnsi"/>
        </w:rPr>
        <w:t xml:space="preserve">HE </w:t>
      </w:r>
      <w:proofErr w:type="gramStart"/>
      <w:r w:rsidRPr="002C4A2D">
        <w:rPr>
          <w:rFonts w:asciiTheme="majorHAnsi" w:hAnsiTheme="majorHAnsi" w:cstheme="majorHAnsi"/>
        </w:rPr>
        <w:t>sector</w:t>
      </w:r>
      <w:proofErr w:type="gramEnd"/>
      <w:r w:rsidRPr="002C4A2D">
        <w:rPr>
          <w:rFonts w:asciiTheme="majorHAnsi" w:hAnsiTheme="majorHAnsi" w:cstheme="majorHAnsi"/>
        </w:rPr>
        <w:t xml:space="preserve"> over decades (Vernon, 2018)</w:t>
      </w:r>
      <w:r w:rsidR="00F20CDC">
        <w:rPr>
          <w:rFonts w:asciiTheme="majorHAnsi" w:hAnsiTheme="majorHAnsi" w:cstheme="majorHAnsi"/>
        </w:rPr>
        <w:t xml:space="preserve">, including </w:t>
      </w:r>
      <w:r w:rsidR="007A4D29">
        <w:rPr>
          <w:rFonts w:asciiTheme="majorHAnsi" w:hAnsiTheme="majorHAnsi" w:cstheme="majorHAnsi"/>
        </w:rPr>
        <w:t>casualisation (Loveday 2018)</w:t>
      </w:r>
      <w:r w:rsidR="004031DD">
        <w:rPr>
          <w:rFonts w:asciiTheme="majorHAnsi" w:hAnsiTheme="majorHAnsi" w:cstheme="majorHAnsi"/>
        </w:rPr>
        <w:t xml:space="preserve"> and</w:t>
      </w:r>
      <w:r w:rsidR="009930EA">
        <w:rPr>
          <w:rFonts w:asciiTheme="majorHAnsi" w:hAnsiTheme="majorHAnsi" w:cstheme="majorHAnsi"/>
        </w:rPr>
        <w:t xml:space="preserve"> </w:t>
      </w:r>
      <w:r w:rsidR="00F20CDC">
        <w:rPr>
          <w:rFonts w:asciiTheme="majorHAnsi" w:hAnsiTheme="majorHAnsi" w:cstheme="majorHAnsi"/>
        </w:rPr>
        <w:t xml:space="preserve">excessive performance measurement </w:t>
      </w:r>
      <w:r w:rsidRPr="002C4A2D">
        <w:rPr>
          <w:rFonts w:asciiTheme="majorHAnsi" w:hAnsiTheme="majorHAnsi" w:cstheme="majorHAnsi"/>
        </w:rPr>
        <w:t>(Nature</w:t>
      </w:r>
      <w:r w:rsidRPr="004031DD">
        <w:rPr>
          <w:rFonts w:asciiTheme="majorHAnsi" w:hAnsiTheme="majorHAnsi" w:cstheme="majorHAnsi"/>
        </w:rPr>
        <w:t xml:space="preserve"> 2019b</w:t>
      </w:r>
      <w:r w:rsidR="0078060E" w:rsidRPr="004031DD">
        <w:rPr>
          <w:rFonts w:asciiTheme="majorHAnsi" w:hAnsiTheme="majorHAnsi" w:cstheme="majorHAnsi"/>
        </w:rPr>
        <w:t>:</w:t>
      </w:r>
      <w:r w:rsidRPr="004031DD">
        <w:rPr>
          <w:rFonts w:asciiTheme="majorHAnsi" w:hAnsiTheme="majorHAnsi" w:cstheme="majorHAnsi"/>
        </w:rPr>
        <w:t xml:space="preserve"> 258)</w:t>
      </w:r>
      <w:r w:rsidR="004031DD" w:rsidRPr="004031DD">
        <w:rPr>
          <w:rFonts w:asciiTheme="majorHAnsi" w:hAnsiTheme="majorHAnsi" w:cstheme="majorHAnsi"/>
        </w:rPr>
        <w:t xml:space="preserve">. Again, </w:t>
      </w:r>
      <w:r w:rsidR="00B42797" w:rsidRPr="004031DD">
        <w:rPr>
          <w:rFonts w:asciiTheme="majorHAnsi" w:hAnsiTheme="majorHAnsi" w:cstheme="majorHAnsi"/>
        </w:rPr>
        <w:t xml:space="preserve">factors such as </w:t>
      </w:r>
      <w:r w:rsidR="009930EA" w:rsidRPr="004031DD">
        <w:rPr>
          <w:rFonts w:asciiTheme="majorHAnsi" w:hAnsiTheme="majorHAnsi" w:cstheme="majorHAnsi"/>
        </w:rPr>
        <w:t>g</w:t>
      </w:r>
      <w:r w:rsidR="007A4D29" w:rsidRPr="004031DD">
        <w:rPr>
          <w:rFonts w:asciiTheme="majorHAnsi" w:hAnsiTheme="majorHAnsi" w:cstheme="majorHAnsi"/>
        </w:rPr>
        <w:t>ender, ethnicity, nationality</w:t>
      </w:r>
      <w:r w:rsidR="009930EA" w:rsidRPr="004031DD">
        <w:rPr>
          <w:rFonts w:asciiTheme="majorHAnsi" w:hAnsiTheme="majorHAnsi" w:cstheme="majorHAnsi"/>
        </w:rPr>
        <w:t>, race and age, and the intersectional relations between these</w:t>
      </w:r>
      <w:r w:rsidR="004031DD" w:rsidRPr="004031DD">
        <w:rPr>
          <w:rFonts w:asciiTheme="majorHAnsi" w:hAnsiTheme="majorHAnsi" w:cstheme="majorHAnsi"/>
        </w:rPr>
        <w:t xml:space="preserve">, are </w:t>
      </w:r>
      <w:r w:rsidR="00DA0BEC">
        <w:rPr>
          <w:rFonts w:asciiTheme="majorHAnsi" w:hAnsiTheme="majorHAnsi" w:cstheme="majorHAnsi"/>
        </w:rPr>
        <w:t>influent</w:t>
      </w:r>
      <w:r w:rsidR="004031DD" w:rsidRPr="004031DD">
        <w:rPr>
          <w:rFonts w:asciiTheme="majorHAnsi" w:hAnsiTheme="majorHAnsi" w:cstheme="majorHAnsi"/>
        </w:rPr>
        <w:t>ial</w:t>
      </w:r>
      <w:r w:rsidR="00B42797" w:rsidRPr="004031DD">
        <w:rPr>
          <w:rFonts w:asciiTheme="majorHAnsi" w:hAnsiTheme="majorHAnsi" w:cstheme="majorHAnsi"/>
        </w:rPr>
        <w:t xml:space="preserve"> </w:t>
      </w:r>
      <w:r w:rsidR="009930EA" w:rsidRPr="004031DD">
        <w:rPr>
          <w:rFonts w:asciiTheme="majorHAnsi" w:hAnsiTheme="majorHAnsi" w:cstheme="majorHAnsi"/>
        </w:rPr>
        <w:t xml:space="preserve">(see for example </w:t>
      </w:r>
      <w:r w:rsidR="009930EA" w:rsidRPr="0087433C">
        <w:rPr>
          <w:rFonts w:asciiTheme="majorHAnsi" w:hAnsiTheme="majorHAnsi" w:cstheme="majorHAnsi"/>
        </w:rPr>
        <w:t>Loveday 2018; Briscoe-Palmer and Mattocks 2021)</w:t>
      </w:r>
      <w:r w:rsidR="00B42797" w:rsidRPr="0087433C">
        <w:rPr>
          <w:rFonts w:asciiTheme="majorHAnsi" w:hAnsiTheme="majorHAnsi" w:cstheme="majorHAnsi"/>
        </w:rPr>
        <w:t>.</w:t>
      </w:r>
      <w:r w:rsidR="0087433C" w:rsidRPr="0087433C">
        <w:rPr>
          <w:rFonts w:asciiTheme="majorHAnsi" w:hAnsiTheme="majorHAnsi" w:cstheme="majorHAnsi"/>
        </w:rPr>
        <w:t xml:space="preserve"> </w:t>
      </w:r>
    </w:p>
    <w:p w14:paraId="46C89473" w14:textId="19859DD7" w:rsidR="003E690B" w:rsidRPr="001271C8" w:rsidRDefault="00F27AAB" w:rsidP="00143435">
      <w:pPr>
        <w:ind w:firstLine="720"/>
        <w:rPr>
          <w:rFonts w:asciiTheme="majorHAnsi" w:hAnsiTheme="majorHAnsi" w:cstheme="majorHAnsi"/>
        </w:rPr>
      </w:pPr>
      <w:r w:rsidRPr="009367E7">
        <w:rPr>
          <w:rFonts w:asciiTheme="majorHAnsi" w:hAnsiTheme="majorHAnsi" w:cstheme="majorHAnsi"/>
        </w:rPr>
        <w:t xml:space="preserve">A second broad area of </w:t>
      </w:r>
      <w:r w:rsidRPr="000D6085">
        <w:rPr>
          <w:rFonts w:asciiTheme="majorHAnsi" w:hAnsiTheme="majorHAnsi" w:cstheme="majorHAnsi"/>
        </w:rPr>
        <w:t>research describes and evaluates interventions designed</w:t>
      </w:r>
      <w:r w:rsidRPr="009367E7">
        <w:rPr>
          <w:rFonts w:asciiTheme="majorHAnsi" w:hAnsiTheme="majorHAnsi" w:cstheme="majorHAnsi"/>
        </w:rPr>
        <w:t xml:space="preserve"> to</w:t>
      </w:r>
      <w:r w:rsidR="000D6085">
        <w:rPr>
          <w:rFonts w:asciiTheme="majorHAnsi" w:hAnsiTheme="majorHAnsi" w:cstheme="majorHAnsi"/>
        </w:rPr>
        <w:t xml:space="preserve"> </w:t>
      </w:r>
      <w:r w:rsidR="00E747F0">
        <w:rPr>
          <w:rFonts w:asciiTheme="majorHAnsi" w:hAnsiTheme="majorHAnsi" w:cstheme="majorHAnsi"/>
        </w:rPr>
        <w:t>directly or indirectly</w:t>
      </w:r>
      <w:r w:rsidR="000D6085">
        <w:rPr>
          <w:rFonts w:asciiTheme="majorHAnsi" w:hAnsiTheme="majorHAnsi" w:cstheme="majorHAnsi"/>
        </w:rPr>
        <w:t xml:space="preserve"> </w:t>
      </w:r>
      <w:r w:rsidRPr="009367E7">
        <w:rPr>
          <w:rFonts w:asciiTheme="majorHAnsi" w:hAnsiTheme="majorHAnsi" w:cstheme="majorHAnsi"/>
        </w:rPr>
        <w:t xml:space="preserve">support PGR wellbeing and mental health. </w:t>
      </w:r>
      <w:r w:rsidR="001271C8">
        <w:rPr>
          <w:rFonts w:asciiTheme="majorHAnsi" w:hAnsiTheme="majorHAnsi" w:cstheme="majorHAnsi"/>
        </w:rPr>
        <w:t>There is a</w:t>
      </w:r>
      <w:r w:rsidR="001271C8" w:rsidRPr="001271C8">
        <w:rPr>
          <w:rFonts w:asciiTheme="majorHAnsi" w:hAnsiTheme="majorHAnsi" w:cstheme="majorHAnsi"/>
        </w:rPr>
        <w:t xml:space="preserve"> wide range of literature discussing efforts </w:t>
      </w:r>
      <w:r w:rsidR="00654CEC">
        <w:rPr>
          <w:rFonts w:asciiTheme="majorHAnsi" w:hAnsiTheme="majorHAnsi" w:cstheme="majorHAnsi"/>
        </w:rPr>
        <w:t xml:space="preserve">to </w:t>
      </w:r>
      <w:r w:rsidR="001271C8" w:rsidRPr="001271C8">
        <w:rPr>
          <w:rFonts w:asciiTheme="majorHAnsi" w:hAnsiTheme="majorHAnsi" w:cstheme="majorHAnsi"/>
        </w:rPr>
        <w:t>support staff and</w:t>
      </w:r>
      <w:r w:rsidR="00654CEC">
        <w:rPr>
          <w:rFonts w:asciiTheme="majorHAnsi" w:hAnsiTheme="majorHAnsi" w:cstheme="majorHAnsi"/>
        </w:rPr>
        <w:t>/or</w:t>
      </w:r>
      <w:r w:rsidR="001271C8" w:rsidRPr="001271C8">
        <w:rPr>
          <w:rFonts w:asciiTheme="majorHAnsi" w:hAnsiTheme="majorHAnsi" w:cstheme="majorHAnsi"/>
        </w:rPr>
        <w:t xml:space="preserve"> PGRs (e.g. </w:t>
      </w:r>
      <w:r w:rsidR="006F51EA" w:rsidRPr="001271C8">
        <w:rPr>
          <w:rFonts w:asciiTheme="majorHAnsi" w:hAnsiTheme="majorHAnsi" w:cstheme="majorHAnsi"/>
        </w:rPr>
        <w:t>Nature 2019a, b</w:t>
      </w:r>
      <w:r w:rsidR="006F51EA">
        <w:rPr>
          <w:rFonts w:asciiTheme="majorHAnsi" w:hAnsiTheme="majorHAnsi" w:cstheme="majorHAnsi"/>
        </w:rPr>
        <w:t>;</w:t>
      </w:r>
      <w:r w:rsidR="006F51EA" w:rsidRPr="001271C8">
        <w:rPr>
          <w:rFonts w:asciiTheme="majorHAnsi" w:hAnsiTheme="majorHAnsi" w:cstheme="majorHAnsi"/>
        </w:rPr>
        <w:t xml:space="preserve"> Woolston 2019; Cornell 2020;</w:t>
      </w:r>
      <w:r w:rsidR="006F51EA">
        <w:rPr>
          <w:rFonts w:asciiTheme="majorHAnsi" w:hAnsiTheme="majorHAnsi" w:cstheme="majorHAnsi"/>
        </w:rPr>
        <w:t xml:space="preserve"> </w:t>
      </w:r>
      <w:proofErr w:type="spellStart"/>
      <w:r w:rsidR="00AA2FC6">
        <w:rPr>
          <w:rFonts w:asciiTheme="majorHAnsi" w:hAnsiTheme="majorHAnsi" w:cstheme="majorHAnsi"/>
        </w:rPr>
        <w:t>Pignata</w:t>
      </w:r>
      <w:proofErr w:type="spellEnd"/>
      <w:r w:rsidR="00AA2FC6">
        <w:rPr>
          <w:rFonts w:asciiTheme="majorHAnsi" w:hAnsiTheme="majorHAnsi" w:cstheme="majorHAnsi"/>
        </w:rPr>
        <w:t xml:space="preserve"> 2020; </w:t>
      </w:r>
      <w:r w:rsidR="001271C8" w:rsidRPr="001271C8">
        <w:rPr>
          <w:rFonts w:asciiTheme="majorHAnsi" w:hAnsiTheme="majorHAnsi" w:cstheme="majorHAnsi"/>
        </w:rPr>
        <w:t xml:space="preserve">Wray and Kinman 2021; Byrom et al 2022). </w:t>
      </w:r>
      <w:r w:rsidRPr="009367E7">
        <w:rPr>
          <w:rFonts w:asciiTheme="majorHAnsi" w:hAnsiTheme="majorHAnsi" w:cstheme="majorHAnsi"/>
        </w:rPr>
        <w:t xml:space="preserve">Watson and Turnpenny’s (2022) review of </w:t>
      </w:r>
      <w:r w:rsidR="001271C8">
        <w:rPr>
          <w:rFonts w:asciiTheme="majorHAnsi" w:hAnsiTheme="majorHAnsi" w:cstheme="majorHAnsi"/>
        </w:rPr>
        <w:t>the specifically PGR</w:t>
      </w:r>
      <w:r w:rsidRPr="009367E7">
        <w:rPr>
          <w:rFonts w:asciiTheme="majorHAnsi" w:hAnsiTheme="majorHAnsi" w:cstheme="majorHAnsi"/>
        </w:rPr>
        <w:t xml:space="preserve"> literature outlined four broad types of approach</w:t>
      </w:r>
      <w:r>
        <w:rPr>
          <w:rFonts w:asciiTheme="majorHAnsi" w:hAnsiTheme="majorHAnsi" w:cstheme="majorHAnsi"/>
        </w:rPr>
        <w:t xml:space="preserve"> to support</w:t>
      </w:r>
      <w:r w:rsidRPr="009367E7">
        <w:rPr>
          <w:rFonts w:asciiTheme="majorHAnsi" w:hAnsiTheme="majorHAnsi" w:cstheme="majorHAnsi"/>
        </w:rPr>
        <w:t>:</w:t>
      </w:r>
      <w:r>
        <w:rPr>
          <w:rFonts w:asciiTheme="majorHAnsi" w:hAnsiTheme="majorHAnsi" w:cstheme="majorHAnsi"/>
        </w:rPr>
        <w:t xml:space="preserve"> e</w:t>
      </w:r>
      <w:r w:rsidRPr="009367E7">
        <w:rPr>
          <w:rFonts w:asciiTheme="majorHAnsi" w:hAnsiTheme="majorHAnsi" w:cstheme="majorHAnsi"/>
        </w:rPr>
        <w:t>nhancing the relationship between PGRs and their supervisors;</w:t>
      </w:r>
      <w:r>
        <w:rPr>
          <w:rFonts w:asciiTheme="majorHAnsi" w:hAnsiTheme="majorHAnsi" w:cstheme="majorHAnsi"/>
        </w:rPr>
        <w:t xml:space="preserve"> b</w:t>
      </w:r>
      <w:r w:rsidRPr="009367E7">
        <w:rPr>
          <w:rFonts w:asciiTheme="majorHAnsi" w:hAnsiTheme="majorHAnsi" w:cstheme="majorHAnsi"/>
        </w:rPr>
        <w:t>uilding psychological and emotional resources</w:t>
      </w:r>
      <w:r>
        <w:rPr>
          <w:rFonts w:asciiTheme="majorHAnsi" w:hAnsiTheme="majorHAnsi" w:cstheme="majorHAnsi"/>
        </w:rPr>
        <w:t>; d</w:t>
      </w:r>
      <w:r w:rsidRPr="009367E7">
        <w:rPr>
          <w:rFonts w:asciiTheme="majorHAnsi" w:hAnsiTheme="majorHAnsi" w:cstheme="majorHAnsi"/>
        </w:rPr>
        <w:t>eveloping perso</w:t>
      </w:r>
      <w:r w:rsidRPr="00FF0C36">
        <w:rPr>
          <w:rFonts w:asciiTheme="majorHAnsi" w:hAnsiTheme="majorHAnsi" w:cstheme="majorHAnsi"/>
        </w:rPr>
        <w:t xml:space="preserve">nal and professional skills; developing PGR </w:t>
      </w:r>
      <w:r w:rsidRPr="00FF0C36">
        <w:rPr>
          <w:rFonts w:asciiTheme="majorHAnsi" w:hAnsiTheme="majorHAnsi" w:cstheme="majorHAnsi"/>
        </w:rPr>
        <w:lastRenderedPageBreak/>
        <w:t>community (see also Hazell et al 2020</w:t>
      </w:r>
      <w:r>
        <w:rPr>
          <w:rFonts w:asciiTheme="majorHAnsi" w:hAnsiTheme="majorHAnsi" w:cstheme="majorHAnsi"/>
        </w:rPr>
        <w:t>; Casey et al 2022</w:t>
      </w:r>
      <w:r w:rsidRPr="003D2506">
        <w:rPr>
          <w:rFonts w:asciiTheme="majorHAnsi" w:hAnsiTheme="majorHAnsi" w:cstheme="majorHAnsi"/>
        </w:rPr>
        <w:t>).</w:t>
      </w:r>
      <w:r w:rsidRPr="003D2506">
        <w:rPr>
          <w:rFonts w:asciiTheme="majorHAnsi" w:hAnsiTheme="majorHAnsi" w:cstheme="majorHAnsi"/>
          <w:color w:val="00B050"/>
        </w:rPr>
        <w:t xml:space="preserve"> </w:t>
      </w:r>
      <w:r w:rsidR="003C72B4" w:rsidRPr="003D2506">
        <w:rPr>
          <w:rFonts w:asciiTheme="majorHAnsi" w:hAnsiTheme="majorHAnsi" w:cstheme="majorHAnsi"/>
        </w:rPr>
        <w:t xml:space="preserve">Within the UK context, see examples such </w:t>
      </w:r>
      <w:r w:rsidR="003C72B4" w:rsidRPr="001271C8">
        <w:rPr>
          <w:rFonts w:asciiTheme="majorHAnsi" w:hAnsiTheme="majorHAnsi" w:cstheme="majorHAnsi"/>
        </w:rPr>
        <w:t xml:space="preserve">as </w:t>
      </w:r>
      <w:r w:rsidR="003E690B" w:rsidRPr="001271C8">
        <w:rPr>
          <w:rFonts w:asciiTheme="majorHAnsi" w:hAnsiTheme="majorHAnsi" w:cstheme="majorHAnsi"/>
        </w:rPr>
        <w:t>Homer et al 2021</w:t>
      </w:r>
      <w:r w:rsidR="00786F07">
        <w:rPr>
          <w:rFonts w:asciiTheme="majorHAnsi" w:hAnsiTheme="majorHAnsi" w:cstheme="majorHAnsi"/>
        </w:rPr>
        <w:t>,</w:t>
      </w:r>
      <w:r w:rsidR="003E690B" w:rsidRPr="001271C8">
        <w:rPr>
          <w:rFonts w:asciiTheme="majorHAnsi" w:hAnsiTheme="majorHAnsi" w:cstheme="majorHAnsi"/>
        </w:rPr>
        <w:t xml:space="preserve"> Panayidou and Priest 2021, and the resources at UK Council for Graduate Education (UKCGE)</w:t>
      </w:r>
      <w:r w:rsidR="003E690B" w:rsidRPr="001271C8">
        <w:rPr>
          <w:rStyle w:val="FootnoteReference"/>
          <w:rFonts w:asciiTheme="majorHAnsi" w:hAnsiTheme="majorHAnsi" w:cstheme="majorHAnsi"/>
        </w:rPr>
        <w:footnoteReference w:id="7"/>
      </w:r>
      <w:r w:rsidR="003E690B" w:rsidRPr="001271C8">
        <w:rPr>
          <w:rFonts w:asciiTheme="majorHAnsi" w:hAnsiTheme="majorHAnsi" w:cstheme="majorHAnsi"/>
        </w:rPr>
        <w:t>.</w:t>
      </w:r>
      <w:r w:rsidR="001271C8" w:rsidRPr="001271C8">
        <w:rPr>
          <w:rFonts w:asciiTheme="majorHAnsi" w:hAnsiTheme="majorHAnsi" w:cstheme="majorHAnsi"/>
        </w:rPr>
        <w:t xml:space="preserve"> </w:t>
      </w:r>
    </w:p>
    <w:p w14:paraId="166D2A5F" w14:textId="349115EB" w:rsidR="00F27AAB" w:rsidRPr="00B90ABB" w:rsidRDefault="00F27AAB" w:rsidP="008F1C60">
      <w:pPr>
        <w:ind w:firstLine="720"/>
        <w:rPr>
          <w:rFonts w:asciiTheme="majorHAnsi" w:hAnsiTheme="majorHAnsi" w:cstheme="majorHAnsi"/>
        </w:rPr>
      </w:pPr>
      <w:r w:rsidRPr="001271C8">
        <w:rPr>
          <w:rFonts w:asciiTheme="majorHAnsi" w:hAnsiTheme="majorHAnsi" w:cstheme="majorHAnsi"/>
        </w:rPr>
        <w:t>T</w:t>
      </w:r>
      <w:r w:rsidR="00143435" w:rsidRPr="001271C8">
        <w:rPr>
          <w:rFonts w:asciiTheme="majorHAnsi" w:hAnsiTheme="majorHAnsi" w:cstheme="majorHAnsi"/>
        </w:rPr>
        <w:t>hi</w:t>
      </w:r>
      <w:r w:rsidRPr="001271C8">
        <w:rPr>
          <w:rFonts w:asciiTheme="majorHAnsi" w:hAnsiTheme="majorHAnsi" w:cstheme="majorHAnsi"/>
        </w:rPr>
        <w:t xml:space="preserve">s </w:t>
      </w:r>
      <w:r w:rsidR="00C132D1" w:rsidRPr="001271C8">
        <w:rPr>
          <w:rFonts w:asciiTheme="majorHAnsi" w:hAnsiTheme="majorHAnsi" w:cstheme="majorHAnsi"/>
        </w:rPr>
        <w:t>raises</w:t>
      </w:r>
      <w:r w:rsidRPr="001271C8">
        <w:rPr>
          <w:rFonts w:asciiTheme="majorHAnsi" w:hAnsiTheme="majorHAnsi" w:cstheme="majorHAnsi"/>
        </w:rPr>
        <w:t xml:space="preserve"> questions about implementation</w:t>
      </w:r>
      <w:r w:rsidR="00143435" w:rsidRPr="001271C8">
        <w:rPr>
          <w:rFonts w:asciiTheme="majorHAnsi" w:hAnsiTheme="majorHAnsi" w:cstheme="majorHAnsi"/>
        </w:rPr>
        <w:t>, a third</w:t>
      </w:r>
      <w:r w:rsidR="00143435">
        <w:rPr>
          <w:rFonts w:asciiTheme="majorHAnsi" w:hAnsiTheme="majorHAnsi" w:cstheme="majorHAnsi"/>
        </w:rPr>
        <w:t xml:space="preserve"> area of research although not nearly as widely covered as the other two in the context of PGRs</w:t>
      </w:r>
      <w:r>
        <w:rPr>
          <w:rFonts w:asciiTheme="majorHAnsi" w:hAnsiTheme="majorHAnsi" w:cstheme="majorHAnsi"/>
        </w:rPr>
        <w:t xml:space="preserve">. </w:t>
      </w:r>
      <w:r w:rsidR="00FA41A9">
        <w:rPr>
          <w:rFonts w:asciiTheme="majorHAnsi" w:hAnsiTheme="majorHAnsi" w:cstheme="majorHAnsi"/>
        </w:rPr>
        <w:t xml:space="preserve">Differing contexts, as mentioned above, affect not only experience of wellbeing but how </w:t>
      </w:r>
      <w:r w:rsidR="00FA41A9" w:rsidRPr="00143435">
        <w:rPr>
          <w:rFonts w:asciiTheme="majorHAnsi" w:hAnsiTheme="majorHAnsi" w:cstheme="majorHAnsi"/>
        </w:rPr>
        <w:t>wellbeing support in</w:t>
      </w:r>
      <w:r w:rsidR="00326CE4">
        <w:rPr>
          <w:rFonts w:asciiTheme="majorHAnsi" w:hAnsiTheme="majorHAnsi" w:cstheme="majorHAnsi"/>
        </w:rPr>
        <w:t>tervention</w:t>
      </w:r>
      <w:r w:rsidR="00FA41A9">
        <w:rPr>
          <w:rFonts w:asciiTheme="majorHAnsi" w:hAnsiTheme="majorHAnsi" w:cstheme="majorHAnsi"/>
        </w:rPr>
        <w:t>s are designed and received (Brough et al 2021; Watson et al 2023)</w:t>
      </w:r>
      <w:r w:rsidR="00143435" w:rsidRPr="00143435">
        <w:rPr>
          <w:rFonts w:asciiTheme="majorHAnsi" w:hAnsiTheme="majorHAnsi" w:cstheme="majorHAnsi"/>
        </w:rPr>
        <w:t>, including capacity to design</w:t>
      </w:r>
      <w:r w:rsidR="00143435">
        <w:rPr>
          <w:rFonts w:asciiTheme="majorHAnsi" w:hAnsiTheme="majorHAnsi" w:cstheme="majorHAnsi"/>
        </w:rPr>
        <w:t xml:space="preserve">, </w:t>
      </w:r>
      <w:r w:rsidR="00143435" w:rsidRPr="00143435">
        <w:rPr>
          <w:rFonts w:asciiTheme="majorHAnsi" w:hAnsiTheme="majorHAnsi" w:cstheme="majorHAnsi"/>
        </w:rPr>
        <w:t>steer</w:t>
      </w:r>
      <w:r w:rsidR="00143435">
        <w:rPr>
          <w:rFonts w:asciiTheme="majorHAnsi" w:hAnsiTheme="majorHAnsi" w:cstheme="majorHAnsi"/>
        </w:rPr>
        <w:t xml:space="preserve">, </w:t>
      </w:r>
      <w:r w:rsidR="00143435" w:rsidRPr="00143435">
        <w:rPr>
          <w:rFonts w:asciiTheme="majorHAnsi" w:hAnsiTheme="majorHAnsi" w:cstheme="majorHAnsi"/>
        </w:rPr>
        <w:t>engage with</w:t>
      </w:r>
      <w:r w:rsidR="00143435">
        <w:rPr>
          <w:rFonts w:asciiTheme="majorHAnsi" w:hAnsiTheme="majorHAnsi" w:cstheme="majorHAnsi"/>
        </w:rPr>
        <w:t xml:space="preserve"> or </w:t>
      </w:r>
      <w:r w:rsidR="00143435" w:rsidRPr="00143435">
        <w:rPr>
          <w:rFonts w:asciiTheme="majorHAnsi" w:hAnsiTheme="majorHAnsi" w:cstheme="majorHAnsi"/>
        </w:rPr>
        <w:t xml:space="preserve">benefit from </w:t>
      </w:r>
      <w:r w:rsidR="00143435">
        <w:rPr>
          <w:rFonts w:asciiTheme="majorHAnsi" w:hAnsiTheme="majorHAnsi" w:cstheme="majorHAnsi"/>
        </w:rPr>
        <w:t>them</w:t>
      </w:r>
      <w:r w:rsidR="00A806FE">
        <w:rPr>
          <w:rFonts w:asciiTheme="majorHAnsi" w:hAnsiTheme="majorHAnsi" w:cstheme="majorHAnsi"/>
        </w:rPr>
        <w:t>.</w:t>
      </w:r>
      <w:r w:rsidR="00143435">
        <w:rPr>
          <w:rFonts w:asciiTheme="majorHAnsi" w:hAnsiTheme="majorHAnsi" w:cstheme="majorHAnsi"/>
        </w:rPr>
        <w:t xml:space="preserve"> </w:t>
      </w:r>
      <w:r>
        <w:rPr>
          <w:rFonts w:asciiTheme="majorHAnsi" w:hAnsiTheme="majorHAnsi" w:cstheme="majorHAnsi"/>
        </w:rPr>
        <w:t>W</w:t>
      </w:r>
      <w:r w:rsidRPr="0001703F">
        <w:rPr>
          <w:rFonts w:asciiTheme="majorHAnsi" w:hAnsiTheme="majorHAnsi" w:cstheme="majorHAnsi"/>
        </w:rPr>
        <w:t xml:space="preserve">ray and Kinman </w:t>
      </w:r>
      <w:r>
        <w:rPr>
          <w:rFonts w:asciiTheme="majorHAnsi" w:hAnsiTheme="majorHAnsi" w:cstheme="majorHAnsi"/>
        </w:rPr>
        <w:t>(2021), examining HE staff,</w:t>
      </w:r>
      <w:r w:rsidRPr="0001703F">
        <w:rPr>
          <w:rFonts w:asciiTheme="majorHAnsi" w:hAnsiTheme="majorHAnsi" w:cstheme="majorHAnsi"/>
        </w:rPr>
        <w:t xml:space="preserve"> identif</w:t>
      </w:r>
      <w:r>
        <w:rPr>
          <w:rFonts w:asciiTheme="majorHAnsi" w:hAnsiTheme="majorHAnsi" w:cstheme="majorHAnsi"/>
        </w:rPr>
        <w:t>ied</w:t>
      </w:r>
      <w:r w:rsidRPr="0001703F">
        <w:rPr>
          <w:rFonts w:asciiTheme="majorHAnsi" w:hAnsiTheme="majorHAnsi" w:cstheme="majorHAnsi"/>
        </w:rPr>
        <w:t xml:space="preserve"> gaps between policy intention and inadequate implementation of interventions, such as lack of resources in counselling provision.</w:t>
      </w:r>
      <w:r>
        <w:rPr>
          <w:rFonts w:asciiTheme="majorHAnsi" w:hAnsiTheme="majorHAnsi" w:cstheme="majorHAnsi"/>
        </w:rPr>
        <w:t xml:space="preserve"> Valeix et al (2021), exploring the perspectives of implementers of PGR support projects, found they encounter dilemmas around identity, values, motivations and relationships which can have a major impact on the ways projects are implemented. The status of </w:t>
      </w:r>
      <w:r w:rsidRPr="00BF2D7B">
        <w:rPr>
          <w:rFonts w:asciiTheme="majorHAnsi" w:hAnsiTheme="majorHAnsi" w:cstheme="majorHAnsi"/>
        </w:rPr>
        <w:t xml:space="preserve">postgraduates </w:t>
      </w:r>
      <w:r w:rsidR="00D259C2" w:rsidRPr="00BF2D7B">
        <w:rPr>
          <w:rFonts w:asciiTheme="majorHAnsi" w:hAnsiTheme="majorHAnsi" w:cstheme="majorHAnsi"/>
        </w:rPr>
        <w:t xml:space="preserve">- </w:t>
      </w:r>
      <w:r w:rsidR="00D259C2" w:rsidRPr="00BF2D7B">
        <w:rPr>
          <w:rFonts w:ascii="Calibri" w:eastAsia="Times New Roman" w:hAnsi="Calibri" w:cs="Calibri"/>
          <w:lang w:eastAsia="en-GB"/>
        </w:rPr>
        <w:t>what Morris (2021</w:t>
      </w:r>
      <w:r w:rsidR="0078060E">
        <w:rPr>
          <w:rFonts w:ascii="Calibri" w:eastAsia="Times New Roman" w:hAnsi="Calibri" w:cs="Calibri"/>
          <w:lang w:eastAsia="en-GB"/>
        </w:rPr>
        <w:t xml:space="preserve">: </w:t>
      </w:r>
      <w:r w:rsidR="00D259C2" w:rsidRPr="00BF2D7B">
        <w:rPr>
          <w:rFonts w:ascii="Calibri" w:eastAsia="Times New Roman" w:hAnsi="Calibri" w:cs="Calibri"/>
          <w:lang w:eastAsia="en-GB"/>
        </w:rPr>
        <w:t>131) calls the “</w:t>
      </w:r>
      <w:r w:rsidR="00D259C2" w:rsidRPr="00BF2D7B">
        <w:rPr>
          <w:rFonts w:ascii="Calibri" w:eastAsia="MS Mincho" w:hAnsi="Calibri" w:cs="Calibri"/>
        </w:rPr>
        <w:t>uncertain, in-between position of postgraduate learners”</w:t>
      </w:r>
      <w:r w:rsidR="00423A7E" w:rsidRPr="00BF2D7B">
        <w:rPr>
          <w:rFonts w:ascii="Calibri" w:eastAsia="MS Mincho" w:hAnsi="Calibri" w:cs="Calibri"/>
        </w:rPr>
        <w:t xml:space="preserve"> -</w:t>
      </w:r>
      <w:r w:rsidR="00892F75" w:rsidRPr="00BF2D7B">
        <w:rPr>
          <w:rFonts w:ascii="Calibri" w:eastAsia="MS Mincho" w:hAnsi="Calibri" w:cs="Calibri"/>
        </w:rPr>
        <w:t xml:space="preserve"> </w:t>
      </w:r>
      <w:r w:rsidR="00D259C2" w:rsidRPr="00BF2D7B">
        <w:rPr>
          <w:rFonts w:asciiTheme="majorHAnsi" w:hAnsiTheme="majorHAnsi" w:cstheme="majorHAnsi"/>
        </w:rPr>
        <w:t>is particularly</w:t>
      </w:r>
      <w:r w:rsidR="00D259C2">
        <w:rPr>
          <w:rFonts w:asciiTheme="majorHAnsi" w:hAnsiTheme="majorHAnsi" w:cstheme="majorHAnsi"/>
        </w:rPr>
        <w:t xml:space="preserve"> </w:t>
      </w:r>
      <w:r w:rsidR="005904EF">
        <w:rPr>
          <w:rFonts w:asciiTheme="majorHAnsi" w:hAnsiTheme="majorHAnsi" w:cstheme="majorHAnsi"/>
        </w:rPr>
        <w:t>important</w:t>
      </w:r>
      <w:r w:rsidR="00A806FE">
        <w:rPr>
          <w:rFonts w:asciiTheme="majorHAnsi" w:hAnsiTheme="majorHAnsi" w:cstheme="majorHAnsi"/>
        </w:rPr>
        <w:t xml:space="preserve"> in this context</w:t>
      </w:r>
      <w:r w:rsidR="00D259C2">
        <w:rPr>
          <w:rFonts w:asciiTheme="majorHAnsi" w:hAnsiTheme="majorHAnsi" w:cstheme="majorHAnsi"/>
        </w:rPr>
        <w:t>.</w:t>
      </w:r>
      <w:r w:rsidR="00892F75">
        <w:rPr>
          <w:rFonts w:asciiTheme="majorHAnsi" w:hAnsiTheme="majorHAnsi" w:cstheme="majorHAnsi"/>
        </w:rPr>
        <w:t xml:space="preserve"> </w:t>
      </w:r>
      <w:r w:rsidRPr="00B90ABB">
        <w:rPr>
          <w:rFonts w:asciiTheme="majorHAnsi" w:hAnsiTheme="majorHAnsi" w:cstheme="majorHAnsi"/>
        </w:rPr>
        <w:t>PGRs are often seen as neither</w:t>
      </w:r>
      <w:r w:rsidR="00423A7E">
        <w:rPr>
          <w:rFonts w:asciiTheme="majorHAnsi" w:hAnsiTheme="majorHAnsi" w:cstheme="majorHAnsi"/>
        </w:rPr>
        <w:t>,</w:t>
      </w:r>
      <w:r w:rsidRPr="00B90ABB">
        <w:rPr>
          <w:rFonts w:asciiTheme="majorHAnsi" w:hAnsiTheme="majorHAnsi" w:cstheme="majorHAnsi"/>
        </w:rPr>
        <w:t xml:space="preserve"> or confusingly both</w:t>
      </w:r>
      <w:r w:rsidR="00423A7E">
        <w:rPr>
          <w:rFonts w:asciiTheme="majorHAnsi" w:hAnsiTheme="majorHAnsi" w:cstheme="majorHAnsi"/>
        </w:rPr>
        <w:t>,</w:t>
      </w:r>
      <w:r w:rsidRPr="00B90ABB">
        <w:rPr>
          <w:rFonts w:asciiTheme="majorHAnsi" w:hAnsiTheme="majorHAnsi" w:cstheme="majorHAnsi"/>
        </w:rPr>
        <w:t xml:space="preserve"> staff and students. While they pay fees to the</w:t>
      </w:r>
      <w:r w:rsidR="0002739A">
        <w:rPr>
          <w:rFonts w:asciiTheme="majorHAnsi" w:hAnsiTheme="majorHAnsi" w:cstheme="majorHAnsi"/>
        </w:rPr>
        <w:t>ir</w:t>
      </w:r>
      <w:r w:rsidRPr="00B90ABB">
        <w:rPr>
          <w:rFonts w:asciiTheme="majorHAnsi" w:hAnsiTheme="majorHAnsi" w:cstheme="majorHAnsi"/>
        </w:rPr>
        <w:t xml:space="preserve"> institution, they contribute significantly to research communities and outputs and have research performance pressures from both their institution and for their own careers. They contribute to teaching, often playing a </w:t>
      </w:r>
      <w:r w:rsidR="006726B4">
        <w:rPr>
          <w:rFonts w:asciiTheme="majorHAnsi" w:hAnsiTheme="majorHAnsi" w:cstheme="majorHAnsi"/>
        </w:rPr>
        <w:t>vit</w:t>
      </w:r>
      <w:r w:rsidRPr="00B90ABB">
        <w:rPr>
          <w:rFonts w:asciiTheme="majorHAnsi" w:hAnsiTheme="majorHAnsi" w:cstheme="majorHAnsi"/>
        </w:rPr>
        <w:t>al role in delivering courses while on casual contracts. Career prospects for research and teaching are often insecure, and PGRs have little bargaining power.</w:t>
      </w:r>
      <w:r>
        <w:rPr>
          <w:rFonts w:asciiTheme="majorHAnsi" w:hAnsiTheme="majorHAnsi" w:cstheme="majorHAnsi"/>
        </w:rPr>
        <w:t xml:space="preserve"> This has major impact both on the PGRs themselves</w:t>
      </w:r>
      <w:r w:rsidR="00B34922">
        <w:rPr>
          <w:rFonts w:asciiTheme="majorHAnsi" w:hAnsiTheme="majorHAnsi" w:cstheme="majorHAnsi"/>
        </w:rPr>
        <w:t xml:space="preserve"> and</w:t>
      </w:r>
      <w:r>
        <w:rPr>
          <w:rFonts w:asciiTheme="majorHAnsi" w:hAnsiTheme="majorHAnsi" w:cstheme="majorHAnsi"/>
        </w:rPr>
        <w:t xml:space="preserve"> on the ways interventions to support wellbeing play out (Morris, 2021). </w:t>
      </w:r>
      <w:r w:rsidR="0002739A">
        <w:rPr>
          <w:rFonts w:asciiTheme="majorHAnsi" w:hAnsiTheme="majorHAnsi" w:cstheme="majorHAnsi"/>
        </w:rPr>
        <w:t>S</w:t>
      </w:r>
      <w:r w:rsidRPr="00B90ABB">
        <w:rPr>
          <w:rFonts w:asciiTheme="majorHAnsi" w:hAnsiTheme="majorHAnsi" w:cstheme="majorHAnsi"/>
        </w:rPr>
        <w:t xml:space="preserve">ince many of these challenges appear </w:t>
      </w:r>
      <w:proofErr w:type="gramStart"/>
      <w:r w:rsidRPr="00B90ABB">
        <w:rPr>
          <w:rFonts w:asciiTheme="majorHAnsi" w:hAnsiTheme="majorHAnsi" w:cstheme="majorHAnsi"/>
        </w:rPr>
        <w:t>across</w:t>
      </w:r>
      <w:proofErr w:type="gramEnd"/>
      <w:r w:rsidRPr="00B90ABB">
        <w:rPr>
          <w:rFonts w:asciiTheme="majorHAnsi" w:hAnsiTheme="majorHAnsi" w:cstheme="majorHAnsi"/>
        </w:rPr>
        <w:t xml:space="preserve"> HE more generally, studying PGRs can yield important insights with much wider application.</w:t>
      </w:r>
    </w:p>
    <w:p w14:paraId="1CBDC494" w14:textId="77777777" w:rsidR="0038414D" w:rsidRDefault="0038414D" w:rsidP="00905093">
      <w:pPr>
        <w:rPr>
          <w:rFonts w:asciiTheme="majorHAnsi" w:hAnsiTheme="majorHAnsi" w:cstheme="majorHAnsi"/>
          <w:i/>
          <w:iCs/>
        </w:rPr>
      </w:pPr>
    </w:p>
    <w:p w14:paraId="0D6DC199" w14:textId="6BEA7600" w:rsidR="00905093" w:rsidRPr="00935BCB" w:rsidRDefault="00935BCB" w:rsidP="00905093">
      <w:pPr>
        <w:rPr>
          <w:rFonts w:asciiTheme="majorHAnsi" w:hAnsiTheme="majorHAnsi" w:cstheme="majorHAnsi"/>
          <w:i/>
          <w:iCs/>
        </w:rPr>
      </w:pPr>
      <w:r w:rsidRPr="00935BCB">
        <w:rPr>
          <w:rFonts w:asciiTheme="majorHAnsi" w:hAnsiTheme="majorHAnsi" w:cstheme="majorHAnsi"/>
          <w:i/>
          <w:iCs/>
        </w:rPr>
        <w:t>The UK policy context</w:t>
      </w:r>
    </w:p>
    <w:p w14:paraId="40334DC9" w14:textId="2329133E" w:rsidR="004A49CA" w:rsidRDefault="00F207AD" w:rsidP="00786B06">
      <w:pPr>
        <w:rPr>
          <w:rFonts w:asciiTheme="majorHAnsi" w:hAnsiTheme="majorHAnsi" w:cstheme="majorHAnsi"/>
        </w:rPr>
      </w:pPr>
      <w:r w:rsidRPr="00C17F98">
        <w:rPr>
          <w:rFonts w:asciiTheme="majorHAnsi" w:hAnsiTheme="majorHAnsi" w:cstheme="majorHAnsi"/>
        </w:rPr>
        <w:t>Researcher, including PGR, wellbeing features prominently in the UK policy context</w:t>
      </w:r>
      <w:r w:rsidR="00935BCB">
        <w:rPr>
          <w:rFonts w:asciiTheme="majorHAnsi" w:hAnsiTheme="majorHAnsi" w:cstheme="majorHAnsi"/>
        </w:rPr>
        <w:t>,</w:t>
      </w:r>
      <w:r w:rsidR="0002739A">
        <w:rPr>
          <w:rFonts w:asciiTheme="majorHAnsi" w:hAnsiTheme="majorHAnsi" w:cstheme="majorHAnsi"/>
        </w:rPr>
        <w:t xml:space="preserve"> as</w:t>
      </w:r>
      <w:r w:rsidR="00935BCB">
        <w:rPr>
          <w:rFonts w:asciiTheme="majorHAnsi" w:hAnsiTheme="majorHAnsi" w:cstheme="majorHAnsi"/>
        </w:rPr>
        <w:t xml:space="preserve"> illustrated by t</w:t>
      </w:r>
      <w:r w:rsidR="00630BF2">
        <w:rPr>
          <w:rFonts w:asciiTheme="majorHAnsi" w:hAnsiTheme="majorHAnsi" w:cstheme="majorHAnsi"/>
        </w:rPr>
        <w:t>wo examples</w:t>
      </w:r>
      <w:r w:rsidR="00935BCB">
        <w:rPr>
          <w:rFonts w:asciiTheme="majorHAnsi" w:hAnsiTheme="majorHAnsi" w:cstheme="majorHAnsi"/>
        </w:rPr>
        <w:t>. First, i</w:t>
      </w:r>
      <w:r w:rsidR="004405D4" w:rsidRPr="00150C1B">
        <w:rPr>
          <w:rFonts w:asciiTheme="majorHAnsi" w:hAnsiTheme="majorHAnsi" w:cstheme="majorHAnsi"/>
        </w:rPr>
        <w:t>n November 2017, the Higher Education Funding Council for England (HEFCE)</w:t>
      </w:r>
      <w:r w:rsidR="004405D4" w:rsidRPr="00150C1B">
        <w:rPr>
          <w:rStyle w:val="FootnoteReference"/>
          <w:rFonts w:asciiTheme="majorHAnsi" w:hAnsiTheme="majorHAnsi" w:cstheme="majorHAnsi"/>
        </w:rPr>
        <w:footnoteReference w:id="8"/>
      </w:r>
      <w:r w:rsidR="004405D4" w:rsidRPr="00150C1B">
        <w:rPr>
          <w:rFonts w:asciiTheme="majorHAnsi" w:hAnsiTheme="majorHAnsi" w:cstheme="majorHAnsi"/>
        </w:rPr>
        <w:t xml:space="preserve"> issued a call for a network of projects “to identify and support good practice to improve mental health and wellbeing for [PGRs]” (</w:t>
      </w:r>
      <w:proofErr w:type="spellStart"/>
      <w:r w:rsidR="004405D4" w:rsidRPr="00150C1B">
        <w:rPr>
          <w:rFonts w:asciiTheme="majorHAnsi" w:hAnsiTheme="majorHAnsi" w:cstheme="majorHAnsi"/>
        </w:rPr>
        <w:t>Hefce</w:t>
      </w:r>
      <w:proofErr w:type="spellEnd"/>
      <w:r w:rsidR="004405D4" w:rsidRPr="00150C1B">
        <w:rPr>
          <w:rFonts w:asciiTheme="majorHAnsi" w:hAnsiTheme="majorHAnsi" w:cstheme="majorHAnsi"/>
        </w:rPr>
        <w:t xml:space="preserve"> 2017, Annex A</w:t>
      </w:r>
      <w:r w:rsidR="0078060E">
        <w:rPr>
          <w:rFonts w:asciiTheme="majorHAnsi" w:hAnsiTheme="majorHAnsi" w:cstheme="majorHAnsi"/>
        </w:rPr>
        <w:t>:</w:t>
      </w:r>
      <w:r w:rsidR="004405D4" w:rsidRPr="00150C1B">
        <w:rPr>
          <w:rFonts w:asciiTheme="majorHAnsi" w:hAnsiTheme="majorHAnsi" w:cstheme="majorHAnsi"/>
        </w:rPr>
        <w:t xml:space="preserve"> 1)</w:t>
      </w:r>
      <w:r w:rsidR="004405D4">
        <w:rPr>
          <w:rFonts w:asciiTheme="majorHAnsi" w:hAnsiTheme="majorHAnsi" w:cstheme="majorHAnsi"/>
        </w:rPr>
        <w:t>. They were to be supported by the C</w:t>
      </w:r>
      <w:r w:rsidR="004405D4" w:rsidRPr="00150C1B">
        <w:rPr>
          <w:rFonts w:asciiTheme="majorHAnsi" w:hAnsiTheme="majorHAnsi" w:cstheme="majorHAnsi"/>
        </w:rPr>
        <w:t>atalyst Fund</w:t>
      </w:r>
      <w:r w:rsidR="004405D4">
        <w:rPr>
          <w:rFonts w:asciiTheme="majorHAnsi" w:hAnsiTheme="majorHAnsi" w:cstheme="majorHAnsi"/>
        </w:rPr>
        <w:t xml:space="preserve"> -</w:t>
      </w:r>
      <w:r w:rsidR="004405D4" w:rsidRPr="00150C1B">
        <w:rPr>
          <w:rFonts w:asciiTheme="majorHAnsi" w:hAnsiTheme="majorHAnsi" w:cstheme="majorHAnsi"/>
        </w:rPr>
        <w:t xml:space="preserve"> an established mechanism to support strategic priorities (</w:t>
      </w:r>
      <w:proofErr w:type="spellStart"/>
      <w:r w:rsidR="004405D4" w:rsidRPr="00150C1B">
        <w:rPr>
          <w:rFonts w:asciiTheme="majorHAnsi" w:hAnsiTheme="majorHAnsi" w:cstheme="majorHAnsi"/>
        </w:rPr>
        <w:t>Hefce</w:t>
      </w:r>
      <w:proofErr w:type="spellEnd"/>
      <w:r w:rsidR="004405D4" w:rsidRPr="00150C1B">
        <w:rPr>
          <w:rFonts w:asciiTheme="majorHAnsi" w:hAnsiTheme="majorHAnsi" w:cstheme="majorHAnsi"/>
        </w:rPr>
        <w:t xml:space="preserve"> 2017)</w:t>
      </w:r>
      <w:r w:rsidR="004405D4">
        <w:rPr>
          <w:rFonts w:asciiTheme="majorHAnsi" w:hAnsiTheme="majorHAnsi" w:cstheme="majorHAnsi"/>
        </w:rPr>
        <w:t xml:space="preserve">. Seventeen </w:t>
      </w:r>
      <w:r w:rsidR="004405D4" w:rsidRPr="00150C1B">
        <w:rPr>
          <w:rFonts w:asciiTheme="majorHAnsi" w:hAnsiTheme="majorHAnsi" w:cstheme="majorHAnsi"/>
        </w:rPr>
        <w:t>projects</w:t>
      </w:r>
      <w:r w:rsidR="00CA6154">
        <w:rPr>
          <w:rFonts w:asciiTheme="majorHAnsi" w:hAnsiTheme="majorHAnsi" w:cstheme="majorHAnsi"/>
        </w:rPr>
        <w:t>,</w:t>
      </w:r>
      <w:r w:rsidR="00CA6154" w:rsidRPr="00CA6154">
        <w:rPr>
          <w:rFonts w:asciiTheme="majorHAnsi" w:hAnsiTheme="majorHAnsi" w:cstheme="majorHAnsi"/>
        </w:rPr>
        <w:t xml:space="preserve"> </w:t>
      </w:r>
      <w:r w:rsidR="00CA6154" w:rsidRPr="00150C1B">
        <w:rPr>
          <w:rFonts w:asciiTheme="majorHAnsi" w:hAnsiTheme="majorHAnsi" w:cstheme="majorHAnsi"/>
        </w:rPr>
        <w:t>involving</w:t>
      </w:r>
      <w:r w:rsidR="00CA6154">
        <w:rPr>
          <w:rFonts w:asciiTheme="majorHAnsi" w:hAnsiTheme="majorHAnsi" w:cstheme="majorHAnsi"/>
        </w:rPr>
        <w:t xml:space="preserve"> twenty-two English </w:t>
      </w:r>
      <w:r w:rsidR="00CA6154" w:rsidRPr="00150C1B">
        <w:rPr>
          <w:rFonts w:asciiTheme="majorHAnsi" w:hAnsiTheme="majorHAnsi" w:cstheme="majorHAnsi"/>
        </w:rPr>
        <w:t>universities</w:t>
      </w:r>
      <w:r w:rsidR="00CA6154">
        <w:rPr>
          <w:rFonts w:asciiTheme="majorHAnsi" w:hAnsiTheme="majorHAnsi" w:cstheme="majorHAnsi"/>
        </w:rPr>
        <w:t>,</w:t>
      </w:r>
      <w:r w:rsidR="004405D4" w:rsidRPr="00150C1B">
        <w:rPr>
          <w:rFonts w:asciiTheme="majorHAnsi" w:hAnsiTheme="majorHAnsi" w:cstheme="majorHAnsi"/>
        </w:rPr>
        <w:t xml:space="preserve"> </w:t>
      </w:r>
      <w:r w:rsidR="00CA6154">
        <w:rPr>
          <w:rFonts w:asciiTheme="majorHAnsi" w:hAnsiTheme="majorHAnsi" w:cstheme="majorHAnsi"/>
        </w:rPr>
        <w:t>received funding of £1.5 million</w:t>
      </w:r>
      <w:r w:rsidR="004405D4" w:rsidRPr="00150C1B">
        <w:rPr>
          <w:rFonts w:asciiTheme="majorHAnsi" w:hAnsiTheme="majorHAnsi" w:cstheme="majorHAnsi"/>
        </w:rPr>
        <w:t xml:space="preserve"> </w:t>
      </w:r>
      <w:r w:rsidR="00370D8B">
        <w:rPr>
          <w:rFonts w:asciiTheme="majorHAnsi" w:hAnsiTheme="majorHAnsi" w:cstheme="majorHAnsi"/>
        </w:rPr>
        <w:t>between March 2018 and January 2020</w:t>
      </w:r>
      <w:r w:rsidR="004405D4" w:rsidRPr="00150C1B">
        <w:rPr>
          <w:rFonts w:asciiTheme="majorHAnsi" w:hAnsiTheme="majorHAnsi" w:cstheme="majorHAnsi"/>
        </w:rPr>
        <w:t>. Progress on the projects generated significant publicity (e.g. Nature 2019a)</w:t>
      </w:r>
      <w:r w:rsidR="004405D4">
        <w:rPr>
          <w:rFonts w:asciiTheme="majorHAnsi" w:hAnsiTheme="majorHAnsi" w:cstheme="majorHAnsi"/>
        </w:rPr>
        <w:t>. The programme</w:t>
      </w:r>
      <w:r w:rsidR="003042AE">
        <w:rPr>
          <w:rFonts w:asciiTheme="majorHAnsi" w:hAnsiTheme="majorHAnsi" w:cstheme="majorHAnsi"/>
        </w:rPr>
        <w:t>’s</w:t>
      </w:r>
      <w:r w:rsidR="004405D4">
        <w:rPr>
          <w:rFonts w:asciiTheme="majorHAnsi" w:hAnsiTheme="majorHAnsi" w:cstheme="majorHAnsi"/>
        </w:rPr>
        <w:t xml:space="preserve"> </w:t>
      </w:r>
      <w:r w:rsidR="003042AE">
        <w:rPr>
          <w:rFonts w:asciiTheme="majorHAnsi" w:hAnsiTheme="majorHAnsi" w:cstheme="majorHAnsi"/>
          <w:i/>
          <w:iCs/>
        </w:rPr>
        <w:t xml:space="preserve">ex </w:t>
      </w:r>
      <w:r w:rsidR="003042AE" w:rsidRPr="003042AE">
        <w:rPr>
          <w:rFonts w:asciiTheme="majorHAnsi" w:hAnsiTheme="majorHAnsi" w:cstheme="majorHAnsi"/>
          <w:i/>
          <w:iCs/>
        </w:rPr>
        <w:t>post</w:t>
      </w:r>
      <w:r w:rsidR="003042AE">
        <w:rPr>
          <w:rFonts w:asciiTheme="majorHAnsi" w:hAnsiTheme="majorHAnsi" w:cstheme="majorHAnsi"/>
        </w:rPr>
        <w:t xml:space="preserve"> </w:t>
      </w:r>
      <w:r w:rsidR="004405D4" w:rsidRPr="003042AE">
        <w:rPr>
          <w:rFonts w:asciiTheme="majorHAnsi" w:hAnsiTheme="majorHAnsi" w:cstheme="majorHAnsi"/>
        </w:rPr>
        <w:t>evaluation</w:t>
      </w:r>
      <w:r w:rsidR="004405D4">
        <w:rPr>
          <w:rFonts w:asciiTheme="majorHAnsi" w:hAnsiTheme="majorHAnsi" w:cstheme="majorHAnsi"/>
        </w:rPr>
        <w:t xml:space="preserve"> (Metcalfe et al 2020)</w:t>
      </w:r>
      <w:r w:rsidR="003157DA">
        <w:rPr>
          <w:rFonts w:asciiTheme="majorHAnsi" w:hAnsiTheme="majorHAnsi" w:cstheme="majorHAnsi"/>
        </w:rPr>
        <w:t xml:space="preserve"> </w:t>
      </w:r>
      <w:r w:rsidR="004405D4">
        <w:rPr>
          <w:rFonts w:asciiTheme="majorHAnsi" w:hAnsiTheme="majorHAnsi" w:cstheme="majorHAnsi"/>
        </w:rPr>
        <w:t>set out various enablers for wellbeing interventions,</w:t>
      </w:r>
      <w:r w:rsidR="00786B06">
        <w:rPr>
          <w:rFonts w:asciiTheme="majorHAnsi" w:hAnsiTheme="majorHAnsi" w:cstheme="majorHAnsi"/>
        </w:rPr>
        <w:t xml:space="preserve"> and these </w:t>
      </w:r>
      <w:r w:rsidR="00450DB8" w:rsidRPr="00F15B24">
        <w:rPr>
          <w:rFonts w:asciiTheme="majorHAnsi" w:hAnsiTheme="majorHAnsi" w:cstheme="majorHAnsi"/>
        </w:rPr>
        <w:t>important</w:t>
      </w:r>
      <w:r w:rsidR="0048174A">
        <w:rPr>
          <w:rFonts w:asciiTheme="majorHAnsi" w:hAnsiTheme="majorHAnsi" w:cstheme="majorHAnsi"/>
        </w:rPr>
        <w:t xml:space="preserve"> and often challenging </w:t>
      </w:r>
      <w:r w:rsidR="00450DB8" w:rsidRPr="00F15B24">
        <w:rPr>
          <w:rFonts w:asciiTheme="majorHAnsi" w:hAnsiTheme="majorHAnsi" w:cstheme="majorHAnsi"/>
        </w:rPr>
        <w:t>findings</w:t>
      </w:r>
      <w:r w:rsidR="00786B06">
        <w:rPr>
          <w:rFonts w:asciiTheme="majorHAnsi" w:hAnsiTheme="majorHAnsi" w:cstheme="majorHAnsi"/>
        </w:rPr>
        <w:t xml:space="preserve"> </w:t>
      </w:r>
      <w:r w:rsidR="0048174A">
        <w:rPr>
          <w:rFonts w:asciiTheme="majorHAnsi" w:hAnsiTheme="majorHAnsi" w:cstheme="majorHAnsi"/>
        </w:rPr>
        <w:t>raised</w:t>
      </w:r>
      <w:r w:rsidR="00450DB8" w:rsidRPr="00F15B24">
        <w:rPr>
          <w:rFonts w:asciiTheme="majorHAnsi" w:hAnsiTheme="majorHAnsi" w:cstheme="majorHAnsi"/>
        </w:rPr>
        <w:t xml:space="preserve"> questions </w:t>
      </w:r>
      <w:r w:rsidR="004A49CA">
        <w:rPr>
          <w:rFonts w:asciiTheme="majorHAnsi" w:hAnsiTheme="majorHAnsi" w:cstheme="majorHAnsi"/>
        </w:rPr>
        <w:t xml:space="preserve">about the influence of structures and processes. </w:t>
      </w:r>
    </w:p>
    <w:p w14:paraId="56FC9274" w14:textId="6AC98CC2" w:rsidR="0080793C" w:rsidRDefault="004327D8" w:rsidP="004327D8">
      <w:pPr>
        <w:ind w:firstLine="720"/>
        <w:rPr>
          <w:rFonts w:asciiTheme="majorHAnsi" w:hAnsiTheme="majorHAnsi" w:cstheme="majorHAnsi"/>
        </w:rPr>
      </w:pPr>
      <w:r>
        <w:rPr>
          <w:rFonts w:asciiTheme="majorHAnsi" w:hAnsiTheme="majorHAnsi" w:cstheme="majorHAnsi"/>
        </w:rPr>
        <w:lastRenderedPageBreak/>
        <w:t>Second, m</w:t>
      </w:r>
      <w:r w:rsidR="002C40D4">
        <w:rPr>
          <w:rFonts w:asciiTheme="majorHAnsi" w:hAnsiTheme="majorHAnsi" w:cstheme="majorHAnsi"/>
        </w:rPr>
        <w:t>ore recently t</w:t>
      </w:r>
      <w:r w:rsidR="00384D20">
        <w:rPr>
          <w:rFonts w:asciiTheme="majorHAnsi" w:hAnsiTheme="majorHAnsi" w:cstheme="majorHAnsi"/>
        </w:rPr>
        <w:t xml:space="preserve">he priority on wellbeing can be seen particularly </w:t>
      </w:r>
      <w:r w:rsidR="0025242F">
        <w:rPr>
          <w:rFonts w:asciiTheme="majorHAnsi" w:hAnsiTheme="majorHAnsi" w:cstheme="majorHAnsi"/>
        </w:rPr>
        <w:t>clearly in t</w:t>
      </w:r>
      <w:r w:rsidR="000E0D74" w:rsidRPr="0025242F">
        <w:rPr>
          <w:rFonts w:asciiTheme="majorHAnsi" w:hAnsiTheme="majorHAnsi" w:cstheme="majorHAnsi"/>
        </w:rPr>
        <w:t xml:space="preserve">he </w:t>
      </w:r>
      <w:r w:rsidR="000E0D74" w:rsidRPr="0025242F">
        <w:rPr>
          <w:rFonts w:asciiTheme="majorHAnsi" w:hAnsiTheme="majorHAnsi" w:cstheme="majorHAnsi"/>
          <w:i/>
          <w:iCs/>
        </w:rPr>
        <w:t>New Deal for Postgraduate Research</w:t>
      </w:r>
      <w:r w:rsidR="000E0D74" w:rsidRPr="0025242F">
        <w:rPr>
          <w:rStyle w:val="FootnoteReference"/>
          <w:rFonts w:asciiTheme="majorHAnsi" w:hAnsiTheme="majorHAnsi" w:cstheme="majorHAnsi"/>
          <w:i/>
          <w:iCs/>
        </w:rPr>
        <w:footnoteReference w:id="9"/>
      </w:r>
      <w:r w:rsidR="00042119" w:rsidRPr="0025242F">
        <w:rPr>
          <w:rFonts w:asciiTheme="majorHAnsi" w:hAnsiTheme="majorHAnsi" w:cstheme="majorHAnsi"/>
        </w:rPr>
        <w:t xml:space="preserve"> (see BEIS, 2021)</w:t>
      </w:r>
      <w:r w:rsidR="00384D20">
        <w:rPr>
          <w:rFonts w:asciiTheme="majorHAnsi" w:hAnsiTheme="majorHAnsi" w:cstheme="majorHAnsi"/>
        </w:rPr>
        <w:t>,</w:t>
      </w:r>
      <w:r w:rsidR="000E0D74" w:rsidRPr="0025242F">
        <w:rPr>
          <w:rFonts w:asciiTheme="majorHAnsi" w:hAnsiTheme="majorHAnsi" w:cstheme="majorHAnsi"/>
        </w:rPr>
        <w:t xml:space="preserve"> a long-term </w:t>
      </w:r>
      <w:r w:rsidR="002B3DDB">
        <w:rPr>
          <w:rFonts w:asciiTheme="majorHAnsi" w:hAnsiTheme="majorHAnsi" w:cstheme="majorHAnsi"/>
        </w:rPr>
        <w:t>policy and funding</w:t>
      </w:r>
      <w:r w:rsidR="000E0D74" w:rsidRPr="0025242F">
        <w:rPr>
          <w:rFonts w:asciiTheme="majorHAnsi" w:hAnsiTheme="majorHAnsi" w:cstheme="majorHAnsi"/>
        </w:rPr>
        <w:t xml:space="preserve"> programme </w:t>
      </w:r>
      <w:r w:rsidR="009809A9" w:rsidRPr="0025242F">
        <w:rPr>
          <w:rFonts w:asciiTheme="majorHAnsi" w:hAnsiTheme="majorHAnsi" w:cstheme="majorHAnsi"/>
        </w:rPr>
        <w:t xml:space="preserve">aimed at </w:t>
      </w:r>
      <w:r w:rsidR="000E0D74" w:rsidRPr="0025242F">
        <w:rPr>
          <w:rFonts w:asciiTheme="majorHAnsi" w:hAnsiTheme="majorHAnsi" w:cstheme="majorHAnsi"/>
        </w:rPr>
        <w:t>improv</w:t>
      </w:r>
      <w:r w:rsidR="009809A9" w:rsidRPr="0025242F">
        <w:rPr>
          <w:rFonts w:asciiTheme="majorHAnsi" w:hAnsiTheme="majorHAnsi" w:cstheme="majorHAnsi"/>
        </w:rPr>
        <w:t>ing</w:t>
      </w:r>
      <w:r w:rsidR="000E0D74" w:rsidRPr="0025242F">
        <w:rPr>
          <w:rFonts w:asciiTheme="majorHAnsi" w:hAnsiTheme="majorHAnsi" w:cstheme="majorHAnsi"/>
        </w:rPr>
        <w:t xml:space="preserve"> the </w:t>
      </w:r>
      <w:r w:rsidR="009809A9" w:rsidRPr="0025242F">
        <w:rPr>
          <w:rFonts w:asciiTheme="majorHAnsi" w:hAnsiTheme="majorHAnsi" w:cstheme="majorHAnsi"/>
        </w:rPr>
        <w:t xml:space="preserve">research </w:t>
      </w:r>
      <w:r w:rsidR="000E0D74" w:rsidRPr="0025242F">
        <w:rPr>
          <w:rFonts w:asciiTheme="majorHAnsi" w:hAnsiTheme="majorHAnsi" w:cstheme="majorHAnsi"/>
        </w:rPr>
        <w:t xml:space="preserve">environment and support for </w:t>
      </w:r>
      <w:r w:rsidR="009809A9" w:rsidRPr="0025242F">
        <w:rPr>
          <w:rFonts w:asciiTheme="majorHAnsi" w:hAnsiTheme="majorHAnsi" w:cstheme="majorHAnsi"/>
        </w:rPr>
        <w:t>PGRs</w:t>
      </w:r>
      <w:r w:rsidR="000E0D74" w:rsidRPr="0025242F">
        <w:rPr>
          <w:rFonts w:asciiTheme="majorHAnsi" w:hAnsiTheme="majorHAnsi" w:cstheme="majorHAnsi"/>
        </w:rPr>
        <w:t xml:space="preserve">. The first principle </w:t>
      </w:r>
      <w:r w:rsidR="007F30E5" w:rsidRPr="0025242F">
        <w:rPr>
          <w:rFonts w:asciiTheme="majorHAnsi" w:hAnsiTheme="majorHAnsi" w:cstheme="majorHAnsi"/>
        </w:rPr>
        <w:t xml:space="preserve">of the initial </w:t>
      </w:r>
      <w:r w:rsidR="006524BC">
        <w:rPr>
          <w:rFonts w:asciiTheme="majorHAnsi" w:hAnsiTheme="majorHAnsi" w:cstheme="majorHAnsi"/>
        </w:rPr>
        <w:t>‘C</w:t>
      </w:r>
      <w:r w:rsidR="007F30E5" w:rsidRPr="0025242F">
        <w:rPr>
          <w:rFonts w:asciiTheme="majorHAnsi" w:hAnsiTheme="majorHAnsi" w:cstheme="majorHAnsi"/>
        </w:rPr>
        <w:t xml:space="preserve">all for </w:t>
      </w:r>
      <w:r w:rsidR="006524BC">
        <w:rPr>
          <w:rFonts w:asciiTheme="majorHAnsi" w:hAnsiTheme="majorHAnsi" w:cstheme="majorHAnsi"/>
        </w:rPr>
        <w:t>I</w:t>
      </w:r>
      <w:r w:rsidR="007F30E5" w:rsidRPr="0025242F">
        <w:rPr>
          <w:rFonts w:asciiTheme="majorHAnsi" w:hAnsiTheme="majorHAnsi" w:cstheme="majorHAnsi"/>
        </w:rPr>
        <w:t>nput</w:t>
      </w:r>
      <w:r w:rsidR="006524BC">
        <w:rPr>
          <w:rFonts w:asciiTheme="majorHAnsi" w:hAnsiTheme="majorHAnsi" w:cstheme="majorHAnsi"/>
        </w:rPr>
        <w:t>’</w:t>
      </w:r>
      <w:r w:rsidR="007F30E5" w:rsidRPr="0025242F">
        <w:rPr>
          <w:rFonts w:asciiTheme="majorHAnsi" w:hAnsiTheme="majorHAnsi" w:cstheme="majorHAnsi"/>
        </w:rPr>
        <w:t xml:space="preserve"> consultation</w:t>
      </w:r>
      <w:r w:rsidR="00741D69" w:rsidRPr="0025242F">
        <w:rPr>
          <w:rFonts w:asciiTheme="majorHAnsi" w:hAnsiTheme="majorHAnsi" w:cstheme="majorHAnsi"/>
        </w:rPr>
        <w:t>, led by UKRI</w:t>
      </w:r>
      <w:r w:rsidR="006858AA" w:rsidRPr="0025242F">
        <w:rPr>
          <w:rStyle w:val="FootnoteReference"/>
          <w:rFonts w:asciiTheme="majorHAnsi" w:hAnsiTheme="majorHAnsi" w:cstheme="majorHAnsi"/>
        </w:rPr>
        <w:footnoteReference w:id="10"/>
      </w:r>
      <w:r w:rsidR="00741D69" w:rsidRPr="0025242F">
        <w:rPr>
          <w:rFonts w:asciiTheme="majorHAnsi" w:hAnsiTheme="majorHAnsi" w:cstheme="majorHAnsi"/>
        </w:rPr>
        <w:t xml:space="preserve"> through 2022, </w:t>
      </w:r>
      <w:r w:rsidR="007F30E5" w:rsidRPr="00A07CE9">
        <w:rPr>
          <w:rFonts w:asciiTheme="majorHAnsi" w:hAnsiTheme="majorHAnsi" w:cstheme="majorHAnsi"/>
        </w:rPr>
        <w:t>was</w:t>
      </w:r>
      <w:r w:rsidR="000E0D74" w:rsidRPr="00A07CE9">
        <w:rPr>
          <w:rFonts w:asciiTheme="majorHAnsi" w:hAnsiTheme="majorHAnsi" w:cstheme="majorHAnsi"/>
        </w:rPr>
        <w:t xml:space="preserve"> “to promote and safeguard wellbeing”</w:t>
      </w:r>
      <w:r w:rsidR="006524BC" w:rsidRPr="00A07CE9">
        <w:rPr>
          <w:rFonts w:asciiTheme="majorHAnsi" w:hAnsiTheme="majorHAnsi" w:cstheme="majorHAnsi"/>
        </w:rPr>
        <w:t>.</w:t>
      </w:r>
      <w:r w:rsidR="006524BC">
        <w:rPr>
          <w:rFonts w:asciiTheme="majorHAnsi" w:hAnsiTheme="majorHAnsi" w:cstheme="majorHAnsi"/>
        </w:rPr>
        <w:t xml:space="preserve"> A</w:t>
      </w:r>
      <w:r w:rsidR="00B138E6" w:rsidRPr="0025242F">
        <w:rPr>
          <w:rFonts w:asciiTheme="majorHAnsi" w:hAnsiTheme="majorHAnsi" w:cstheme="majorHAnsi"/>
        </w:rPr>
        <w:t xml:space="preserve"> key theme emerging from this consultation was the importance of support networks, mental health and work-life balance (UKRI </w:t>
      </w:r>
      <w:r w:rsidR="001E1C22">
        <w:rPr>
          <w:rFonts w:asciiTheme="majorHAnsi" w:hAnsiTheme="majorHAnsi" w:cstheme="majorHAnsi"/>
        </w:rPr>
        <w:t>and</w:t>
      </w:r>
      <w:r w:rsidR="00854EAA" w:rsidRPr="0025242F">
        <w:rPr>
          <w:rFonts w:asciiTheme="majorHAnsi" w:hAnsiTheme="majorHAnsi" w:cstheme="majorHAnsi"/>
        </w:rPr>
        <w:t xml:space="preserve"> Pye Tait </w:t>
      </w:r>
      <w:r w:rsidR="00B138E6" w:rsidRPr="0025242F">
        <w:rPr>
          <w:rFonts w:asciiTheme="majorHAnsi" w:hAnsiTheme="majorHAnsi" w:cstheme="majorHAnsi"/>
        </w:rPr>
        <w:t xml:space="preserve">2023). </w:t>
      </w:r>
      <w:r w:rsidR="00741D69" w:rsidRPr="0025242F">
        <w:rPr>
          <w:rFonts w:asciiTheme="majorHAnsi" w:hAnsiTheme="majorHAnsi" w:cstheme="majorHAnsi"/>
        </w:rPr>
        <w:t>M</w:t>
      </w:r>
      <w:r w:rsidR="000E0D74" w:rsidRPr="0025242F">
        <w:rPr>
          <w:rFonts w:asciiTheme="majorHAnsi" w:hAnsiTheme="majorHAnsi" w:cstheme="majorHAnsi"/>
        </w:rPr>
        <w:t>any o</w:t>
      </w:r>
      <w:r w:rsidR="00741D69" w:rsidRPr="0025242F">
        <w:rPr>
          <w:rFonts w:asciiTheme="majorHAnsi" w:hAnsiTheme="majorHAnsi" w:cstheme="majorHAnsi"/>
        </w:rPr>
        <w:t xml:space="preserve">f </w:t>
      </w:r>
      <w:r w:rsidR="000E0D74" w:rsidRPr="0025242F">
        <w:rPr>
          <w:rFonts w:asciiTheme="majorHAnsi" w:hAnsiTheme="majorHAnsi" w:cstheme="majorHAnsi"/>
        </w:rPr>
        <w:t>the</w:t>
      </w:r>
      <w:r w:rsidR="00741D69" w:rsidRPr="0025242F">
        <w:rPr>
          <w:rFonts w:asciiTheme="majorHAnsi" w:hAnsiTheme="majorHAnsi" w:cstheme="majorHAnsi"/>
        </w:rPr>
        <w:t xml:space="preserve"> </w:t>
      </w:r>
      <w:r w:rsidR="00B138E6" w:rsidRPr="0025242F">
        <w:rPr>
          <w:rFonts w:asciiTheme="majorHAnsi" w:hAnsiTheme="majorHAnsi" w:cstheme="majorHAnsi"/>
        </w:rPr>
        <w:t xml:space="preserve">other </w:t>
      </w:r>
      <w:r w:rsidR="00741D69" w:rsidRPr="0025242F">
        <w:rPr>
          <w:rFonts w:asciiTheme="majorHAnsi" w:hAnsiTheme="majorHAnsi" w:cstheme="majorHAnsi"/>
        </w:rPr>
        <w:t xml:space="preserve">themes arising were </w:t>
      </w:r>
      <w:r w:rsidR="00B138E6" w:rsidRPr="0025242F">
        <w:rPr>
          <w:rFonts w:asciiTheme="majorHAnsi" w:hAnsiTheme="majorHAnsi" w:cstheme="majorHAnsi"/>
        </w:rPr>
        <w:t xml:space="preserve">also </w:t>
      </w:r>
      <w:r w:rsidR="000E0D74" w:rsidRPr="0025242F">
        <w:rPr>
          <w:rFonts w:asciiTheme="majorHAnsi" w:hAnsiTheme="majorHAnsi" w:cstheme="majorHAnsi"/>
        </w:rPr>
        <w:t>related to wellbeing, including career development, affordability</w:t>
      </w:r>
      <w:r w:rsidR="00741D69" w:rsidRPr="0025242F">
        <w:rPr>
          <w:rFonts w:asciiTheme="majorHAnsi" w:hAnsiTheme="majorHAnsi" w:cstheme="majorHAnsi"/>
        </w:rPr>
        <w:t xml:space="preserve">, accessibility, </w:t>
      </w:r>
      <w:r w:rsidR="00B138E6" w:rsidRPr="0025242F">
        <w:rPr>
          <w:rFonts w:asciiTheme="majorHAnsi" w:hAnsiTheme="majorHAnsi" w:cstheme="majorHAnsi"/>
        </w:rPr>
        <w:t xml:space="preserve">consistency in supervision, </w:t>
      </w:r>
      <w:r w:rsidR="000E0D74" w:rsidRPr="0025242F">
        <w:rPr>
          <w:rFonts w:asciiTheme="majorHAnsi" w:hAnsiTheme="majorHAnsi" w:cstheme="majorHAnsi"/>
        </w:rPr>
        <w:t>inclusivity</w:t>
      </w:r>
      <w:r w:rsidR="0051551D" w:rsidRPr="0025242F">
        <w:rPr>
          <w:rFonts w:asciiTheme="majorHAnsi" w:hAnsiTheme="majorHAnsi" w:cstheme="majorHAnsi"/>
        </w:rPr>
        <w:t xml:space="preserve"> and</w:t>
      </w:r>
      <w:r w:rsidR="000E0D74" w:rsidRPr="0025242F">
        <w:rPr>
          <w:rFonts w:asciiTheme="majorHAnsi" w:hAnsiTheme="majorHAnsi" w:cstheme="majorHAnsi"/>
        </w:rPr>
        <w:t xml:space="preserve"> diversity.</w:t>
      </w:r>
      <w:r w:rsidR="00B72D32" w:rsidRPr="0025242F">
        <w:rPr>
          <w:rFonts w:asciiTheme="majorHAnsi" w:hAnsiTheme="majorHAnsi" w:cstheme="majorHAnsi"/>
        </w:rPr>
        <w:t xml:space="preserve"> Most appear relatively uncontroversial, at least in theory. </w:t>
      </w:r>
      <w:r w:rsidR="0080793C">
        <w:rPr>
          <w:rFonts w:asciiTheme="majorHAnsi" w:hAnsiTheme="majorHAnsi" w:cstheme="majorHAnsi"/>
        </w:rPr>
        <w:t xml:space="preserve">There are significant overlaps with, for example, the </w:t>
      </w:r>
      <w:r w:rsidR="0080793C" w:rsidRPr="0025242F">
        <w:rPr>
          <w:rFonts w:asciiTheme="majorHAnsi" w:hAnsiTheme="majorHAnsi" w:cstheme="majorHAnsi"/>
          <w:i/>
          <w:iCs/>
        </w:rPr>
        <w:t xml:space="preserve">Concordat to Support the Career Development of Researchers </w:t>
      </w:r>
      <w:r w:rsidR="0080793C" w:rsidRPr="0025242F">
        <w:rPr>
          <w:rFonts w:asciiTheme="majorHAnsi" w:hAnsiTheme="majorHAnsi" w:cstheme="majorHAnsi"/>
        </w:rPr>
        <w:t>(2019)</w:t>
      </w:r>
      <w:r w:rsidR="0080793C" w:rsidRPr="0025242F">
        <w:rPr>
          <w:rStyle w:val="FootnoteReference"/>
          <w:rFonts w:asciiTheme="majorHAnsi" w:hAnsiTheme="majorHAnsi" w:cstheme="majorHAnsi"/>
        </w:rPr>
        <w:footnoteReference w:id="11"/>
      </w:r>
      <w:r w:rsidR="0080793C" w:rsidRPr="0025242F">
        <w:rPr>
          <w:rFonts w:asciiTheme="majorHAnsi" w:hAnsiTheme="majorHAnsi" w:cstheme="majorHAnsi"/>
        </w:rPr>
        <w:t xml:space="preserve">, </w:t>
      </w:r>
      <w:r w:rsidR="0080793C">
        <w:rPr>
          <w:rFonts w:asciiTheme="majorHAnsi" w:hAnsiTheme="majorHAnsi" w:cstheme="majorHAnsi"/>
        </w:rPr>
        <w:t>which has established</w:t>
      </w:r>
      <w:r w:rsidR="0080793C" w:rsidRPr="0025242F">
        <w:rPr>
          <w:rFonts w:asciiTheme="majorHAnsi" w:hAnsiTheme="majorHAnsi" w:cstheme="majorHAnsi"/>
        </w:rPr>
        <w:t xml:space="preserve"> principles and responsibilities for different actors</w:t>
      </w:r>
      <w:r w:rsidR="0080793C">
        <w:rPr>
          <w:rFonts w:asciiTheme="majorHAnsi" w:hAnsiTheme="majorHAnsi" w:cstheme="majorHAnsi"/>
        </w:rPr>
        <w:t>, both</w:t>
      </w:r>
      <w:r w:rsidR="0080793C" w:rsidRPr="0025242F">
        <w:rPr>
          <w:rFonts w:asciiTheme="majorHAnsi" w:hAnsiTheme="majorHAnsi" w:cstheme="majorHAnsi"/>
        </w:rPr>
        <w:t xml:space="preserve"> individuals and institutions</w:t>
      </w:r>
      <w:r w:rsidR="0080793C">
        <w:rPr>
          <w:rFonts w:asciiTheme="majorHAnsi" w:hAnsiTheme="majorHAnsi" w:cstheme="majorHAnsi"/>
        </w:rPr>
        <w:t>,</w:t>
      </w:r>
      <w:r w:rsidR="0080793C" w:rsidRPr="0025242F">
        <w:rPr>
          <w:rFonts w:asciiTheme="majorHAnsi" w:hAnsiTheme="majorHAnsi" w:cstheme="majorHAnsi"/>
        </w:rPr>
        <w:t xml:space="preserve"> involved in employing and supporting researchers. </w:t>
      </w:r>
      <w:r w:rsidR="0080793C">
        <w:rPr>
          <w:rFonts w:asciiTheme="majorHAnsi" w:hAnsiTheme="majorHAnsi" w:cstheme="majorHAnsi"/>
        </w:rPr>
        <w:t>M</w:t>
      </w:r>
      <w:r w:rsidR="0080793C" w:rsidRPr="0025242F">
        <w:rPr>
          <w:rFonts w:asciiTheme="majorHAnsi" w:hAnsiTheme="majorHAnsi" w:cstheme="majorHAnsi"/>
        </w:rPr>
        <w:t>any of the principles such as environment and culture, professional and career development are relevant to PGRs.</w:t>
      </w:r>
    </w:p>
    <w:p w14:paraId="2B2E30DC" w14:textId="3DB77077" w:rsidR="00DB6B53" w:rsidRDefault="00D73B6E" w:rsidP="00DB6B53">
      <w:pPr>
        <w:ind w:firstLine="720"/>
        <w:rPr>
          <w:rFonts w:asciiTheme="majorHAnsi" w:hAnsiTheme="majorHAnsi" w:cstheme="majorHAnsi"/>
        </w:rPr>
      </w:pPr>
      <w:r>
        <w:rPr>
          <w:rFonts w:asciiTheme="majorHAnsi" w:hAnsiTheme="majorHAnsi" w:cstheme="majorHAnsi"/>
        </w:rPr>
        <w:t>However, there appears to be some way to go before these principles are thoroughly integrated into practice. For example, a</w:t>
      </w:r>
      <w:r w:rsidR="00EB0E0B" w:rsidRPr="0025242F">
        <w:rPr>
          <w:rFonts w:asciiTheme="majorHAnsi" w:hAnsiTheme="majorHAnsi" w:cstheme="majorHAnsi"/>
        </w:rPr>
        <w:t xml:space="preserve"> 2023 government</w:t>
      </w:r>
      <w:r w:rsidR="00186AC9">
        <w:rPr>
          <w:rFonts w:asciiTheme="majorHAnsi" w:hAnsiTheme="majorHAnsi" w:cstheme="majorHAnsi"/>
        </w:rPr>
        <w:t>-</w:t>
      </w:r>
      <w:r w:rsidR="00EB0E0B" w:rsidRPr="0025242F">
        <w:rPr>
          <w:rFonts w:asciiTheme="majorHAnsi" w:hAnsiTheme="majorHAnsi" w:cstheme="majorHAnsi"/>
        </w:rPr>
        <w:t xml:space="preserve">commissioned survey (DfE 2023) reported that </w:t>
      </w:r>
      <w:r w:rsidR="00EB0E0B" w:rsidRPr="0025242F">
        <w:rPr>
          <w:rFonts w:asciiTheme="majorHAnsi" w:hAnsiTheme="majorHAnsi" w:cstheme="majorHAnsi"/>
          <w:shd w:val="clear" w:color="auto" w:fill="FFFFFF"/>
        </w:rPr>
        <w:t>60% of HEIs “[</w:t>
      </w:r>
      <w:r w:rsidR="00EB0E0B" w:rsidRPr="0025242F">
        <w:rPr>
          <w:rFonts w:asciiTheme="majorHAnsi" w:hAnsiTheme="majorHAnsi" w:cstheme="majorHAnsi"/>
        </w:rPr>
        <w:t xml:space="preserve">offer] practices or services targeted specifically to support the mental health and wellbeing of” </w:t>
      </w:r>
      <w:r w:rsidR="00EB0E0B" w:rsidRPr="0025242F">
        <w:rPr>
          <w:rFonts w:asciiTheme="majorHAnsi" w:hAnsiTheme="majorHAnsi" w:cstheme="majorHAnsi"/>
          <w:shd w:val="clear" w:color="auto" w:fill="FFFFFF"/>
        </w:rPr>
        <w:t xml:space="preserve">postgraduate students (p.50). </w:t>
      </w:r>
      <w:r w:rsidR="00EB0E0B">
        <w:rPr>
          <w:rFonts w:asciiTheme="majorHAnsi" w:hAnsiTheme="majorHAnsi" w:cstheme="majorHAnsi"/>
          <w:shd w:val="clear" w:color="auto" w:fill="FFFFFF"/>
        </w:rPr>
        <w:t xml:space="preserve">This of </w:t>
      </w:r>
      <w:r w:rsidR="00EB0E0B" w:rsidRPr="00D359CF">
        <w:rPr>
          <w:rFonts w:asciiTheme="majorHAnsi" w:hAnsiTheme="majorHAnsi" w:cstheme="majorHAnsi"/>
          <w:shd w:val="clear" w:color="auto" w:fill="FFFFFF"/>
        </w:rPr>
        <w:t>course still means 40% do not.</w:t>
      </w:r>
      <w:r w:rsidRPr="00D359CF">
        <w:rPr>
          <w:rFonts w:asciiTheme="majorHAnsi" w:hAnsiTheme="majorHAnsi" w:cstheme="majorHAnsi"/>
          <w:shd w:val="clear" w:color="auto" w:fill="FFFFFF"/>
        </w:rPr>
        <w:t xml:space="preserve"> </w:t>
      </w:r>
      <w:r w:rsidR="00D723CC">
        <w:rPr>
          <w:rFonts w:asciiTheme="majorHAnsi" w:hAnsiTheme="majorHAnsi" w:cstheme="majorHAnsi"/>
          <w:shd w:val="clear" w:color="auto" w:fill="FFFFFF"/>
        </w:rPr>
        <w:t>Further</w:t>
      </w:r>
      <w:r w:rsidR="00DB6B53">
        <w:rPr>
          <w:rFonts w:asciiTheme="majorHAnsi" w:hAnsiTheme="majorHAnsi" w:cstheme="majorHAnsi"/>
        </w:rPr>
        <w:t>,</w:t>
      </w:r>
      <w:r w:rsidR="00D359CF" w:rsidRPr="00D359CF">
        <w:rPr>
          <w:rFonts w:asciiTheme="majorHAnsi" w:hAnsiTheme="majorHAnsi" w:cstheme="majorHAnsi"/>
        </w:rPr>
        <w:t xml:space="preserve"> </w:t>
      </w:r>
      <w:r w:rsidR="00DB6B53">
        <w:rPr>
          <w:rFonts w:asciiTheme="majorHAnsi" w:hAnsiTheme="majorHAnsi" w:cstheme="majorHAnsi"/>
        </w:rPr>
        <w:t xml:space="preserve">the </w:t>
      </w:r>
      <w:r w:rsidR="00DB6B53" w:rsidRPr="00D359CF">
        <w:rPr>
          <w:rFonts w:asciiTheme="majorHAnsi" w:hAnsiTheme="majorHAnsi" w:cstheme="majorHAnsi"/>
        </w:rPr>
        <w:t xml:space="preserve">question of the status of PGRs (Morris, 2021) </w:t>
      </w:r>
      <w:r w:rsidR="00DB6B53" w:rsidRPr="00D359CF">
        <w:rPr>
          <w:rFonts w:ascii="Calibri" w:eastAsia="MS Mincho" w:hAnsi="Calibri" w:cs="Calibri"/>
        </w:rPr>
        <w:t xml:space="preserve">shows no imminent sign of resolution: </w:t>
      </w:r>
      <w:r w:rsidR="00DB6B53" w:rsidRPr="00D359CF">
        <w:rPr>
          <w:rFonts w:asciiTheme="majorHAnsi" w:hAnsiTheme="majorHAnsi" w:cstheme="majorHAnsi"/>
        </w:rPr>
        <w:t xml:space="preserve">“There is extensive debate as to the relative drawbacks and merits of classifying students as staff, and there is no clear consensus among respondents.” (UKRI </w:t>
      </w:r>
      <w:r w:rsidR="00DB6B53">
        <w:rPr>
          <w:rFonts w:asciiTheme="majorHAnsi" w:hAnsiTheme="majorHAnsi" w:cstheme="majorHAnsi"/>
        </w:rPr>
        <w:t>and</w:t>
      </w:r>
      <w:r w:rsidR="00DB6B53" w:rsidRPr="00D359CF">
        <w:rPr>
          <w:rFonts w:asciiTheme="majorHAnsi" w:hAnsiTheme="majorHAnsi" w:cstheme="majorHAnsi"/>
        </w:rPr>
        <w:t xml:space="preserve"> Pye Tait 2023</w:t>
      </w:r>
      <w:r w:rsidR="00DB6B53">
        <w:rPr>
          <w:rFonts w:asciiTheme="majorHAnsi" w:hAnsiTheme="majorHAnsi" w:cstheme="majorHAnsi"/>
        </w:rPr>
        <w:t xml:space="preserve">: </w:t>
      </w:r>
      <w:r w:rsidR="00DB6B53" w:rsidRPr="00D359CF">
        <w:rPr>
          <w:rFonts w:asciiTheme="majorHAnsi" w:hAnsiTheme="majorHAnsi" w:cstheme="majorHAnsi"/>
        </w:rPr>
        <w:t xml:space="preserve">31). </w:t>
      </w:r>
      <w:r w:rsidR="00DB6B53">
        <w:rPr>
          <w:rFonts w:asciiTheme="majorHAnsi" w:hAnsiTheme="majorHAnsi" w:cstheme="majorHAnsi"/>
        </w:rPr>
        <w:t>UKRI and Pye Tait (2023)</w:t>
      </w:r>
      <w:r w:rsidR="00DB6B53" w:rsidRPr="00D359CF">
        <w:rPr>
          <w:rFonts w:asciiTheme="majorHAnsi" w:hAnsiTheme="majorHAnsi" w:cstheme="majorHAnsi"/>
        </w:rPr>
        <w:t xml:space="preserve"> sets out some of these merits and drawbacks, and potential ways to resolve status ambiguity</w:t>
      </w:r>
      <w:r w:rsidR="00DB6B53">
        <w:rPr>
          <w:rFonts w:asciiTheme="majorHAnsi" w:hAnsiTheme="majorHAnsi" w:cstheme="majorHAnsi"/>
        </w:rPr>
        <w:t>. S</w:t>
      </w:r>
      <w:r w:rsidR="00DB6B53" w:rsidRPr="00D359CF">
        <w:rPr>
          <w:rFonts w:asciiTheme="majorHAnsi" w:hAnsiTheme="majorHAnsi" w:cstheme="majorHAnsi"/>
        </w:rPr>
        <w:t xml:space="preserve">ee also UKRI’s response for their position </w:t>
      </w:r>
      <w:r w:rsidR="00DB6B53">
        <w:rPr>
          <w:rFonts w:asciiTheme="majorHAnsi" w:hAnsiTheme="majorHAnsi" w:cstheme="majorHAnsi"/>
        </w:rPr>
        <w:t>(</w:t>
      </w:r>
      <w:r w:rsidR="00DB6B53" w:rsidRPr="00D359CF">
        <w:rPr>
          <w:rFonts w:asciiTheme="majorHAnsi" w:hAnsiTheme="majorHAnsi" w:cstheme="majorHAnsi"/>
        </w:rPr>
        <w:t xml:space="preserve">UKRI 2023). </w:t>
      </w:r>
      <w:r w:rsidR="00DB6B53">
        <w:rPr>
          <w:rFonts w:asciiTheme="majorHAnsi" w:hAnsiTheme="majorHAnsi" w:cstheme="majorHAnsi"/>
        </w:rPr>
        <w:t>However,</w:t>
      </w:r>
      <w:r w:rsidR="00DB6B53" w:rsidRPr="00D359CF">
        <w:rPr>
          <w:rFonts w:asciiTheme="majorHAnsi" w:hAnsiTheme="majorHAnsi" w:cstheme="majorHAnsi"/>
        </w:rPr>
        <w:t xml:space="preserve"> the </w:t>
      </w:r>
      <w:r w:rsidR="00DB6B53" w:rsidRPr="000E7228">
        <w:rPr>
          <w:rFonts w:asciiTheme="majorHAnsi" w:hAnsiTheme="majorHAnsi" w:cstheme="majorHAnsi"/>
        </w:rPr>
        <w:t>detailed implications of this ambiguity</w:t>
      </w:r>
      <w:r w:rsidR="00DB6B53" w:rsidRPr="00D359CF">
        <w:rPr>
          <w:rFonts w:asciiTheme="majorHAnsi" w:hAnsiTheme="majorHAnsi" w:cstheme="majorHAnsi"/>
        </w:rPr>
        <w:t xml:space="preserve"> are not covered much beyond the uncertainty that brings. The suggestion is that resolving ambiguity will improve PGRs’ experiences all round</w:t>
      </w:r>
      <w:r w:rsidR="00DB6B53">
        <w:rPr>
          <w:rFonts w:asciiTheme="majorHAnsi" w:hAnsiTheme="majorHAnsi" w:cstheme="majorHAnsi"/>
        </w:rPr>
        <w:t>, b</w:t>
      </w:r>
      <w:r w:rsidR="00DB6B53" w:rsidRPr="00D359CF">
        <w:rPr>
          <w:rFonts w:asciiTheme="majorHAnsi" w:hAnsiTheme="majorHAnsi" w:cstheme="majorHAnsi"/>
        </w:rPr>
        <w:t>ut this is by no means necessarily so.</w:t>
      </w:r>
    </w:p>
    <w:p w14:paraId="6978B742" w14:textId="77777777" w:rsidR="008F1C60" w:rsidRDefault="008F1C60" w:rsidP="00976A48">
      <w:pPr>
        <w:autoSpaceDE w:val="0"/>
        <w:autoSpaceDN w:val="0"/>
        <w:adjustRightInd w:val="0"/>
        <w:rPr>
          <w:rFonts w:asciiTheme="majorHAnsi" w:hAnsiTheme="majorHAnsi" w:cstheme="majorHAnsi"/>
          <w:b/>
          <w:bCs/>
        </w:rPr>
      </w:pPr>
    </w:p>
    <w:p w14:paraId="0F9417B1" w14:textId="698AC757" w:rsidR="00976A48" w:rsidRPr="00E52242" w:rsidRDefault="00976A48" w:rsidP="00976A48">
      <w:pPr>
        <w:autoSpaceDE w:val="0"/>
        <w:autoSpaceDN w:val="0"/>
        <w:adjustRightInd w:val="0"/>
        <w:rPr>
          <w:rFonts w:asciiTheme="majorHAnsi" w:hAnsiTheme="majorHAnsi" w:cstheme="majorHAnsi"/>
          <w:b/>
          <w:bCs/>
        </w:rPr>
      </w:pPr>
      <w:r w:rsidRPr="00E52242">
        <w:rPr>
          <w:rFonts w:asciiTheme="majorHAnsi" w:hAnsiTheme="majorHAnsi" w:cstheme="majorHAnsi"/>
          <w:b/>
          <w:bCs/>
        </w:rPr>
        <w:t>Methodology</w:t>
      </w:r>
    </w:p>
    <w:p w14:paraId="52E8D9AE" w14:textId="76E87284" w:rsidR="00DE34C7" w:rsidRDefault="00DF5182" w:rsidP="00DE34C7">
      <w:pPr>
        <w:rPr>
          <w:rFonts w:ascii="Calibri" w:eastAsia="Times New Roman" w:hAnsi="Calibri" w:cs="Calibri"/>
          <w:lang w:eastAsia="en-GB"/>
        </w:rPr>
      </w:pPr>
      <w:r>
        <w:rPr>
          <w:rFonts w:ascii="Calibri" w:eastAsia="Times New Roman" w:hAnsi="Calibri" w:cs="Calibri"/>
          <w:lang w:eastAsia="en-GB"/>
        </w:rPr>
        <w:t>Th</w:t>
      </w:r>
      <w:r w:rsidR="00AA3237">
        <w:rPr>
          <w:rFonts w:ascii="Calibri" w:eastAsia="Times New Roman" w:hAnsi="Calibri" w:cs="Calibri"/>
          <w:lang w:eastAsia="en-GB"/>
        </w:rPr>
        <w:t>is article’s</w:t>
      </w:r>
      <w:r>
        <w:rPr>
          <w:rFonts w:ascii="Calibri" w:eastAsia="Times New Roman" w:hAnsi="Calibri" w:cs="Calibri"/>
          <w:lang w:eastAsia="en-GB"/>
        </w:rPr>
        <w:t xml:space="preserve"> primary methodology was s</w:t>
      </w:r>
      <w:r w:rsidR="00B64373">
        <w:rPr>
          <w:rFonts w:ascii="Calibri" w:eastAsia="Times New Roman" w:hAnsi="Calibri" w:cs="Calibri"/>
          <w:lang w:eastAsia="en-GB"/>
        </w:rPr>
        <w:t>emi-structured elite interviews</w:t>
      </w:r>
      <w:r w:rsidR="00D360FC">
        <w:rPr>
          <w:rFonts w:ascii="Calibri" w:eastAsia="Times New Roman" w:hAnsi="Calibri" w:cs="Calibri"/>
          <w:lang w:eastAsia="en-GB"/>
        </w:rPr>
        <w:t>,</w:t>
      </w:r>
      <w:r w:rsidR="00C20BA4">
        <w:rPr>
          <w:rFonts w:ascii="Calibri" w:eastAsia="Times New Roman" w:hAnsi="Calibri" w:cs="Calibri"/>
          <w:lang w:eastAsia="en-GB"/>
        </w:rPr>
        <w:t xml:space="preserve"> analysed using </w:t>
      </w:r>
      <w:r w:rsidR="00C20BA4" w:rsidRPr="002D7EF0">
        <w:rPr>
          <w:rFonts w:ascii="Calibri" w:eastAsia="Times New Roman" w:hAnsi="Calibri" w:cs="Calibri"/>
          <w:lang w:eastAsia="en-GB"/>
        </w:rPr>
        <w:t>reflexive thematic analysis</w:t>
      </w:r>
      <w:r w:rsidR="001910B8">
        <w:rPr>
          <w:rFonts w:ascii="Calibri" w:eastAsia="Times New Roman" w:hAnsi="Calibri" w:cs="Calibri"/>
          <w:lang w:eastAsia="en-GB"/>
        </w:rPr>
        <w:t xml:space="preserve"> (TA)</w:t>
      </w:r>
      <w:r w:rsidR="00C20BA4" w:rsidRPr="002D7EF0">
        <w:rPr>
          <w:rFonts w:ascii="Calibri" w:eastAsia="Times New Roman" w:hAnsi="Calibri" w:cs="Calibri"/>
          <w:lang w:eastAsia="en-GB"/>
        </w:rPr>
        <w:t xml:space="preserve"> (Braun and Clarke</w:t>
      </w:r>
      <w:r w:rsidR="002D7EF0" w:rsidRPr="002D7EF0">
        <w:rPr>
          <w:rFonts w:ascii="Calibri" w:eastAsia="Times New Roman" w:hAnsi="Calibri" w:cs="Calibri"/>
          <w:lang w:eastAsia="en-GB"/>
        </w:rPr>
        <w:t xml:space="preserve"> 2021</w:t>
      </w:r>
      <w:r w:rsidR="00C20BA4" w:rsidRPr="002D7EF0">
        <w:rPr>
          <w:rFonts w:ascii="Calibri" w:eastAsia="Times New Roman" w:hAnsi="Calibri" w:cs="Calibri"/>
          <w:lang w:eastAsia="en-GB"/>
        </w:rPr>
        <w:t>)</w:t>
      </w:r>
      <w:r w:rsidR="004A306E" w:rsidRPr="002D7EF0">
        <w:rPr>
          <w:rFonts w:ascii="Calibri" w:eastAsia="Times New Roman" w:hAnsi="Calibri" w:cs="Calibri"/>
          <w:lang w:eastAsia="en-GB"/>
        </w:rPr>
        <w:t xml:space="preserve">. </w:t>
      </w:r>
      <w:r>
        <w:rPr>
          <w:rFonts w:ascii="Calibri" w:eastAsia="Times New Roman" w:hAnsi="Calibri" w:cs="Calibri"/>
          <w:lang w:eastAsia="en-GB"/>
        </w:rPr>
        <w:t xml:space="preserve">Interviewees were </w:t>
      </w:r>
      <w:r w:rsidR="00855CEF">
        <w:rPr>
          <w:rFonts w:ascii="Calibri" w:eastAsia="Times New Roman" w:hAnsi="Calibri" w:cs="Calibri"/>
          <w:lang w:eastAsia="en-GB"/>
        </w:rPr>
        <w:t>approached</w:t>
      </w:r>
      <w:r>
        <w:rPr>
          <w:rFonts w:ascii="Calibri" w:eastAsia="Times New Roman" w:hAnsi="Calibri" w:cs="Calibri"/>
          <w:lang w:eastAsia="en-GB"/>
        </w:rPr>
        <w:t xml:space="preserve"> </w:t>
      </w:r>
      <w:r w:rsidR="00855CEF">
        <w:rPr>
          <w:rFonts w:ascii="Calibri" w:eastAsia="Times New Roman" w:hAnsi="Calibri" w:cs="Calibri"/>
          <w:lang w:eastAsia="en-GB"/>
        </w:rPr>
        <w:t>because</w:t>
      </w:r>
      <w:r>
        <w:rPr>
          <w:rFonts w:ascii="Calibri" w:eastAsia="Times New Roman" w:hAnsi="Calibri" w:cs="Calibri"/>
          <w:lang w:eastAsia="en-GB"/>
        </w:rPr>
        <w:t xml:space="preserve"> they had led, or had a prominent leadership role in</w:t>
      </w:r>
      <w:r w:rsidR="00C20BA4">
        <w:rPr>
          <w:rFonts w:ascii="Calibri" w:eastAsia="Times New Roman" w:hAnsi="Calibri" w:cs="Calibri"/>
          <w:lang w:eastAsia="en-GB"/>
        </w:rPr>
        <w:t>,</w:t>
      </w:r>
      <w:r>
        <w:rPr>
          <w:rFonts w:ascii="Calibri" w:eastAsia="Times New Roman" w:hAnsi="Calibri" w:cs="Calibri"/>
          <w:lang w:eastAsia="en-GB"/>
        </w:rPr>
        <w:t xml:space="preserve"> the </w:t>
      </w:r>
      <w:r w:rsidR="004A306E">
        <w:rPr>
          <w:rFonts w:ascii="Calibri" w:eastAsia="Times New Roman" w:hAnsi="Calibri" w:cs="Calibri"/>
          <w:lang w:eastAsia="en-GB"/>
        </w:rPr>
        <w:t xml:space="preserve">seventeen </w:t>
      </w:r>
      <w:r>
        <w:rPr>
          <w:rFonts w:ascii="Calibri" w:eastAsia="Times New Roman" w:hAnsi="Calibri" w:cs="Calibri"/>
          <w:lang w:eastAsia="en-GB"/>
        </w:rPr>
        <w:t xml:space="preserve">Catalyst projects. </w:t>
      </w:r>
      <w:r w:rsidR="004A306E">
        <w:rPr>
          <w:rFonts w:ascii="Calibri" w:eastAsia="Times New Roman" w:hAnsi="Calibri" w:cs="Calibri"/>
          <w:lang w:eastAsia="en-GB"/>
        </w:rPr>
        <w:t xml:space="preserve">These </w:t>
      </w:r>
      <w:r w:rsidR="0049789A">
        <w:rPr>
          <w:rFonts w:ascii="Calibri" w:eastAsia="Times New Roman" w:hAnsi="Calibri" w:cs="Calibri"/>
          <w:lang w:eastAsia="en-GB"/>
        </w:rPr>
        <w:t>were</w:t>
      </w:r>
      <w:r w:rsidR="004A306E">
        <w:rPr>
          <w:rFonts w:ascii="Calibri" w:eastAsia="Times New Roman" w:hAnsi="Calibri" w:cs="Calibri"/>
          <w:lang w:eastAsia="en-GB"/>
        </w:rPr>
        <w:t xml:space="preserve"> considered ‘front runner’ projects and institutions</w:t>
      </w:r>
      <w:r w:rsidR="007C07B8">
        <w:rPr>
          <w:rFonts w:ascii="Calibri" w:eastAsia="Times New Roman" w:hAnsi="Calibri" w:cs="Calibri"/>
          <w:lang w:eastAsia="en-GB"/>
        </w:rPr>
        <w:t>,</w:t>
      </w:r>
      <w:r w:rsidR="004A306E">
        <w:rPr>
          <w:rFonts w:ascii="Calibri" w:eastAsia="Times New Roman" w:hAnsi="Calibri" w:cs="Calibri"/>
          <w:lang w:eastAsia="en-GB"/>
        </w:rPr>
        <w:t xml:space="preserve"> and likely to yield</w:t>
      </w:r>
      <w:r w:rsidR="00C20BA4">
        <w:rPr>
          <w:rFonts w:ascii="Calibri" w:eastAsia="Times New Roman" w:hAnsi="Calibri" w:cs="Calibri"/>
          <w:lang w:eastAsia="en-GB"/>
        </w:rPr>
        <w:t xml:space="preserve"> </w:t>
      </w:r>
      <w:r w:rsidR="004A306E" w:rsidRPr="004A306E">
        <w:rPr>
          <w:rFonts w:ascii="Calibri" w:eastAsia="Times New Roman" w:hAnsi="Calibri" w:cs="Calibri"/>
          <w:lang w:eastAsia="en-GB"/>
        </w:rPr>
        <w:t xml:space="preserve">detailed insights. </w:t>
      </w:r>
      <w:r w:rsidRPr="004A306E">
        <w:rPr>
          <w:rFonts w:ascii="Calibri" w:eastAsia="Times New Roman" w:hAnsi="Calibri" w:cs="Calibri"/>
          <w:lang w:eastAsia="en-GB"/>
        </w:rPr>
        <w:t xml:space="preserve">The aim was not to </w:t>
      </w:r>
      <w:r w:rsidRPr="004A306E">
        <w:rPr>
          <w:rFonts w:asciiTheme="majorHAnsi" w:hAnsiTheme="majorHAnsi" w:cstheme="majorHAnsi"/>
        </w:rPr>
        <w:t>evaluate individual projects, or specific interventions, or individual universities. It was rather to</w:t>
      </w:r>
      <w:r w:rsidRPr="004A306E">
        <w:rPr>
          <w:rFonts w:asciiTheme="majorHAnsi" w:hAnsiTheme="majorHAnsi" w:cstheme="majorHAnsi"/>
          <w:color w:val="00B0F0"/>
        </w:rPr>
        <w:t xml:space="preserve"> </w:t>
      </w:r>
      <w:r w:rsidR="004A306E">
        <w:rPr>
          <w:rFonts w:ascii="Calibri" w:eastAsia="Times New Roman" w:hAnsi="Calibri" w:cs="Calibri"/>
          <w:lang w:eastAsia="en-GB"/>
        </w:rPr>
        <w:t>encourage interviewees to share their experiences of both interventions to support PGR wellbeing, and of PGR wellbeing challenges more generally in their institutions and beyond</w:t>
      </w:r>
      <w:r w:rsidR="00633BF2">
        <w:rPr>
          <w:rFonts w:ascii="Calibri" w:eastAsia="Times New Roman" w:hAnsi="Calibri" w:cs="Calibri"/>
          <w:lang w:eastAsia="en-GB"/>
        </w:rPr>
        <w:t>.</w:t>
      </w:r>
      <w:r w:rsidR="00D360FC">
        <w:rPr>
          <w:rFonts w:ascii="Calibri" w:eastAsia="Times New Roman" w:hAnsi="Calibri" w:cs="Calibri"/>
          <w:lang w:eastAsia="en-GB"/>
        </w:rPr>
        <w:t xml:space="preserve"> Therefore, I wanted interviewees from as wide a range of universities</w:t>
      </w:r>
      <w:r w:rsidR="00D360FC" w:rsidRPr="00D360FC">
        <w:rPr>
          <w:rFonts w:ascii="Calibri" w:eastAsia="Times New Roman" w:hAnsi="Calibri" w:cs="Calibri"/>
          <w:lang w:eastAsia="en-GB"/>
        </w:rPr>
        <w:t xml:space="preserve"> as possible</w:t>
      </w:r>
      <w:r w:rsidR="00D360FC">
        <w:rPr>
          <w:rFonts w:ascii="Calibri" w:eastAsia="Times New Roman" w:hAnsi="Calibri" w:cs="Calibri"/>
          <w:lang w:eastAsia="en-GB"/>
        </w:rPr>
        <w:t xml:space="preserve">. Resources limited the number of interviews, so I initially approached </w:t>
      </w:r>
      <w:r w:rsidR="00D360FC" w:rsidRPr="00D360FC">
        <w:rPr>
          <w:rFonts w:ascii="Calibri" w:eastAsia="Times New Roman" w:hAnsi="Calibri" w:cs="Calibri"/>
          <w:lang w:eastAsia="en-GB"/>
        </w:rPr>
        <w:t xml:space="preserve">the most recently-named lead person of all seventeen projects. </w:t>
      </w:r>
      <w:r w:rsidR="002861D5">
        <w:rPr>
          <w:rFonts w:ascii="Calibri" w:eastAsia="Times New Roman" w:hAnsi="Calibri" w:cs="Calibri"/>
          <w:lang w:eastAsia="en-GB"/>
        </w:rPr>
        <w:t xml:space="preserve">My own </w:t>
      </w:r>
      <w:r w:rsidR="002861D5">
        <w:rPr>
          <w:rFonts w:ascii="Calibri" w:eastAsia="Times New Roman" w:hAnsi="Calibri" w:cs="Calibri"/>
          <w:lang w:eastAsia="en-GB"/>
        </w:rPr>
        <w:lastRenderedPageBreak/>
        <w:t xml:space="preserve">position as leader of one of the Catalyst projects, and former head of </w:t>
      </w:r>
      <w:r w:rsidR="00D16296">
        <w:rPr>
          <w:rFonts w:ascii="Calibri" w:eastAsia="Times New Roman" w:hAnsi="Calibri" w:cs="Calibri"/>
          <w:lang w:eastAsia="en-GB"/>
        </w:rPr>
        <w:t>my faculty’s</w:t>
      </w:r>
      <w:r w:rsidR="002861D5">
        <w:rPr>
          <w:rFonts w:ascii="Calibri" w:eastAsia="Times New Roman" w:hAnsi="Calibri" w:cs="Calibri"/>
          <w:lang w:eastAsia="en-GB"/>
        </w:rPr>
        <w:t xml:space="preserve"> Graduate School at my university, </w:t>
      </w:r>
      <w:r w:rsidR="002861D5" w:rsidRPr="00D360FC">
        <w:rPr>
          <w:rFonts w:ascii="Calibri" w:eastAsia="Times New Roman" w:hAnsi="Calibri" w:cs="Calibri"/>
          <w:lang w:eastAsia="en-GB"/>
        </w:rPr>
        <w:t>enabled access as I knew several potential interviewees personally through Catalyst network events and conferences</w:t>
      </w:r>
      <w:r w:rsidR="002861D5">
        <w:rPr>
          <w:rFonts w:ascii="Calibri" w:eastAsia="Times New Roman" w:hAnsi="Calibri" w:cs="Calibri"/>
          <w:lang w:eastAsia="en-GB"/>
        </w:rPr>
        <w:t xml:space="preserve">. </w:t>
      </w:r>
      <w:r w:rsidR="00DE34C7">
        <w:rPr>
          <w:rFonts w:ascii="Calibri" w:eastAsia="Times New Roman" w:hAnsi="Calibri" w:cs="Calibri"/>
          <w:lang w:eastAsia="en-GB"/>
        </w:rPr>
        <w:t xml:space="preserve">Being an ‘insider’ in this regard enabled a likely higher response rate, and increased trust from respondents. </w:t>
      </w:r>
      <w:r w:rsidR="00D360FC" w:rsidRPr="00D360FC">
        <w:rPr>
          <w:rFonts w:asciiTheme="majorHAnsi" w:hAnsiTheme="majorHAnsi" w:cstheme="majorHAnsi"/>
        </w:rPr>
        <w:t>F</w:t>
      </w:r>
      <w:r w:rsidR="003C0544">
        <w:rPr>
          <w:rFonts w:asciiTheme="majorHAnsi" w:hAnsiTheme="majorHAnsi" w:cstheme="majorHAnsi"/>
        </w:rPr>
        <w:t>if</w:t>
      </w:r>
      <w:r w:rsidR="00D360FC" w:rsidRPr="00D360FC">
        <w:rPr>
          <w:rFonts w:asciiTheme="majorHAnsi" w:hAnsiTheme="majorHAnsi" w:cstheme="majorHAnsi"/>
        </w:rPr>
        <w:t xml:space="preserve">teen </w:t>
      </w:r>
      <w:r w:rsidR="002861D5">
        <w:rPr>
          <w:rFonts w:asciiTheme="majorHAnsi" w:hAnsiTheme="majorHAnsi" w:cstheme="majorHAnsi"/>
        </w:rPr>
        <w:t xml:space="preserve">people </w:t>
      </w:r>
      <w:r w:rsidR="00D360FC" w:rsidRPr="00D360FC">
        <w:rPr>
          <w:rFonts w:asciiTheme="majorHAnsi" w:hAnsiTheme="majorHAnsi" w:cstheme="majorHAnsi"/>
        </w:rPr>
        <w:t>were</w:t>
      </w:r>
      <w:r w:rsidR="00D360FC" w:rsidRPr="00D360FC">
        <w:rPr>
          <w:rFonts w:ascii="Calibri" w:eastAsia="Times New Roman" w:hAnsi="Calibri" w:cs="Calibri"/>
          <w:lang w:eastAsia="en-GB"/>
        </w:rPr>
        <w:t xml:space="preserve"> interviewed (</w:t>
      </w:r>
      <w:r w:rsidR="0064432E" w:rsidRPr="00882ED4">
        <w:rPr>
          <w:rStyle w:val="standard1"/>
          <w:rFonts w:ascii="Calibri" w:hAnsi="Calibri" w:cs="Calibri"/>
          <w:color w:val="auto"/>
          <w:sz w:val="24"/>
          <w:szCs w:val="24"/>
        </w:rPr>
        <w:t xml:space="preserve">randomly-assigned </w:t>
      </w:r>
      <w:r w:rsidR="00DF7937">
        <w:rPr>
          <w:rFonts w:ascii="Calibri" w:eastAsia="Times New Roman" w:hAnsi="Calibri" w:cs="Calibri"/>
          <w:lang w:eastAsia="en-GB"/>
        </w:rPr>
        <w:t>numbe</w:t>
      </w:r>
      <w:r w:rsidR="0064432E">
        <w:rPr>
          <w:rFonts w:ascii="Calibri" w:eastAsia="Times New Roman" w:hAnsi="Calibri" w:cs="Calibri"/>
          <w:lang w:eastAsia="en-GB"/>
        </w:rPr>
        <w:t>rs</w:t>
      </w:r>
      <w:r w:rsidR="00DF7937">
        <w:rPr>
          <w:rFonts w:ascii="Calibri" w:eastAsia="Times New Roman" w:hAnsi="Calibri" w:cs="Calibri"/>
          <w:lang w:eastAsia="en-GB"/>
        </w:rPr>
        <w:t xml:space="preserve"> </w:t>
      </w:r>
      <w:r w:rsidR="00D360FC" w:rsidRPr="00D360FC">
        <w:rPr>
          <w:rFonts w:ascii="Calibri" w:eastAsia="Times New Roman" w:hAnsi="Calibri" w:cs="Calibri"/>
          <w:lang w:eastAsia="en-GB"/>
        </w:rPr>
        <w:t>IV01 to 1</w:t>
      </w:r>
      <w:r w:rsidR="003C0544">
        <w:rPr>
          <w:rFonts w:ascii="Calibri" w:eastAsia="Times New Roman" w:hAnsi="Calibri" w:cs="Calibri"/>
          <w:lang w:eastAsia="en-GB"/>
        </w:rPr>
        <w:t>5</w:t>
      </w:r>
      <w:r w:rsidR="00D360FC" w:rsidRPr="00D360FC">
        <w:rPr>
          <w:rFonts w:ascii="Calibri" w:eastAsia="Times New Roman" w:hAnsi="Calibri" w:cs="Calibri"/>
          <w:lang w:eastAsia="en-GB"/>
        </w:rPr>
        <w:t xml:space="preserve">), </w:t>
      </w:r>
      <w:r w:rsidR="003D52B0">
        <w:rPr>
          <w:rFonts w:ascii="Calibri" w:eastAsia="Times New Roman" w:hAnsi="Calibri" w:cs="Calibri"/>
          <w:lang w:eastAsia="en-GB"/>
        </w:rPr>
        <w:t>from</w:t>
      </w:r>
      <w:r w:rsidR="00D360FC" w:rsidRPr="00D360FC">
        <w:rPr>
          <w:rFonts w:ascii="Calibri" w:eastAsia="Times New Roman" w:hAnsi="Calibri" w:cs="Calibri"/>
          <w:lang w:eastAsia="en-GB"/>
        </w:rPr>
        <w:t xml:space="preserve"> </w:t>
      </w:r>
      <w:r w:rsidR="003C0544">
        <w:rPr>
          <w:rFonts w:ascii="Calibri" w:eastAsia="Times New Roman" w:hAnsi="Calibri" w:cs="Calibri"/>
          <w:lang w:eastAsia="en-GB"/>
        </w:rPr>
        <w:t>four</w:t>
      </w:r>
      <w:r w:rsidR="002861D5">
        <w:rPr>
          <w:rFonts w:ascii="Calibri" w:eastAsia="Times New Roman" w:hAnsi="Calibri" w:cs="Calibri"/>
          <w:lang w:eastAsia="en-GB"/>
        </w:rPr>
        <w:t>teen</w:t>
      </w:r>
      <w:r w:rsidR="00D360FC" w:rsidRPr="00D360FC">
        <w:rPr>
          <w:rFonts w:ascii="Calibri" w:eastAsia="Times New Roman" w:hAnsi="Calibri" w:cs="Calibri"/>
          <w:lang w:eastAsia="en-GB"/>
        </w:rPr>
        <w:t xml:space="preserve"> </w:t>
      </w:r>
      <w:r w:rsidR="002861D5">
        <w:rPr>
          <w:rFonts w:ascii="Calibri" w:eastAsia="Times New Roman" w:hAnsi="Calibri" w:cs="Calibri"/>
          <w:lang w:eastAsia="en-GB"/>
        </w:rPr>
        <w:t>projects/</w:t>
      </w:r>
      <w:r w:rsidR="00D360FC" w:rsidRPr="00D360FC">
        <w:rPr>
          <w:rFonts w:ascii="Calibri" w:eastAsia="Times New Roman" w:hAnsi="Calibri" w:cs="Calibri"/>
          <w:lang w:eastAsia="en-GB"/>
        </w:rPr>
        <w:t xml:space="preserve">universities (Unis A to </w:t>
      </w:r>
      <w:r w:rsidR="003C0544">
        <w:rPr>
          <w:rFonts w:ascii="Calibri" w:eastAsia="Times New Roman" w:hAnsi="Calibri" w:cs="Calibri"/>
          <w:lang w:eastAsia="en-GB"/>
        </w:rPr>
        <w:t>N</w:t>
      </w:r>
      <w:r w:rsidR="00D360FC" w:rsidRPr="00D360FC">
        <w:rPr>
          <w:rFonts w:ascii="Calibri" w:eastAsia="Times New Roman" w:hAnsi="Calibri" w:cs="Calibri"/>
          <w:lang w:eastAsia="en-GB"/>
        </w:rPr>
        <w:t>)</w:t>
      </w:r>
      <w:r w:rsidR="00B0547C">
        <w:rPr>
          <w:rFonts w:ascii="Calibri" w:eastAsia="Times New Roman" w:hAnsi="Calibri" w:cs="Calibri"/>
          <w:lang w:eastAsia="en-GB"/>
        </w:rPr>
        <w:t>; s</w:t>
      </w:r>
      <w:r w:rsidR="00844766">
        <w:rPr>
          <w:rFonts w:ascii="Calibri" w:eastAsia="Times New Roman" w:hAnsi="Calibri" w:cs="Calibri"/>
          <w:lang w:eastAsia="en-GB"/>
        </w:rPr>
        <w:t xml:space="preserve">ee Table </w:t>
      </w:r>
      <w:r w:rsidR="003B4A75">
        <w:rPr>
          <w:rFonts w:ascii="Calibri" w:eastAsia="Times New Roman" w:hAnsi="Calibri" w:cs="Calibri"/>
          <w:lang w:eastAsia="en-GB"/>
        </w:rPr>
        <w:t>1</w:t>
      </w:r>
      <w:r w:rsidR="00844766">
        <w:rPr>
          <w:rFonts w:ascii="Calibri" w:eastAsia="Times New Roman" w:hAnsi="Calibri" w:cs="Calibri"/>
          <w:lang w:eastAsia="en-GB"/>
        </w:rPr>
        <w:t xml:space="preserve">. </w:t>
      </w:r>
      <w:r w:rsidR="00D360FC">
        <w:rPr>
          <w:rFonts w:ascii="Calibri" w:eastAsia="Times New Roman" w:hAnsi="Calibri" w:cs="Calibri"/>
          <w:lang w:eastAsia="en-GB"/>
        </w:rPr>
        <w:t>O</w:t>
      </w:r>
      <w:r w:rsidR="00D360FC" w:rsidRPr="00D360FC">
        <w:rPr>
          <w:rFonts w:ascii="Calibri" w:eastAsia="Times New Roman" w:hAnsi="Calibri" w:cs="Calibri"/>
          <w:lang w:eastAsia="en-GB"/>
        </w:rPr>
        <w:t xml:space="preserve">ne </w:t>
      </w:r>
      <w:r w:rsidR="00D360FC">
        <w:rPr>
          <w:rFonts w:ascii="Calibri" w:eastAsia="Times New Roman" w:hAnsi="Calibri" w:cs="Calibri"/>
          <w:lang w:eastAsia="en-GB"/>
        </w:rPr>
        <w:t xml:space="preserve">person </w:t>
      </w:r>
      <w:r w:rsidR="00D360FC" w:rsidRPr="00D360FC">
        <w:rPr>
          <w:rFonts w:ascii="Calibri" w:eastAsia="Times New Roman" w:hAnsi="Calibri" w:cs="Calibri"/>
          <w:lang w:eastAsia="en-GB"/>
        </w:rPr>
        <w:t xml:space="preserve">declined, </w:t>
      </w:r>
      <w:r w:rsidR="003C0544">
        <w:rPr>
          <w:rFonts w:ascii="Calibri" w:eastAsia="Times New Roman" w:hAnsi="Calibri" w:cs="Calibri"/>
          <w:lang w:eastAsia="en-GB"/>
        </w:rPr>
        <w:t>one</w:t>
      </w:r>
      <w:r w:rsidR="00D360FC" w:rsidRPr="00D360FC">
        <w:rPr>
          <w:rFonts w:ascii="Calibri" w:eastAsia="Times New Roman" w:hAnsi="Calibri" w:cs="Calibri"/>
          <w:lang w:eastAsia="en-GB"/>
        </w:rPr>
        <w:t xml:space="preserve"> did not reply, and one agreed </w:t>
      </w:r>
      <w:r w:rsidR="00EE4E55">
        <w:rPr>
          <w:rFonts w:ascii="Calibri" w:eastAsia="Times New Roman" w:hAnsi="Calibri" w:cs="Calibri"/>
          <w:lang w:eastAsia="en-GB"/>
        </w:rPr>
        <w:t>in principle but</w:t>
      </w:r>
      <w:r w:rsidR="00D360FC" w:rsidRPr="00D360FC">
        <w:rPr>
          <w:rFonts w:ascii="Calibri" w:eastAsia="Times New Roman" w:hAnsi="Calibri" w:cs="Calibri"/>
          <w:lang w:eastAsia="en-GB"/>
        </w:rPr>
        <w:t xml:space="preserve"> was unable to p</w:t>
      </w:r>
      <w:r w:rsidR="00EE4E55">
        <w:rPr>
          <w:rFonts w:ascii="Calibri" w:eastAsia="Times New Roman" w:hAnsi="Calibri" w:cs="Calibri"/>
          <w:lang w:eastAsia="en-GB"/>
        </w:rPr>
        <w:t>articipate</w:t>
      </w:r>
      <w:r w:rsidR="00D360FC" w:rsidRPr="00D360FC">
        <w:rPr>
          <w:rFonts w:ascii="Calibri" w:eastAsia="Times New Roman" w:hAnsi="Calibri" w:cs="Calibri"/>
          <w:lang w:eastAsia="en-GB"/>
        </w:rPr>
        <w:t xml:space="preserve"> for </w:t>
      </w:r>
      <w:r w:rsidR="003C0544">
        <w:rPr>
          <w:rFonts w:ascii="Calibri" w:eastAsia="Times New Roman" w:hAnsi="Calibri" w:cs="Calibri"/>
          <w:lang w:eastAsia="en-GB"/>
        </w:rPr>
        <w:t>timing</w:t>
      </w:r>
      <w:r w:rsidR="00D360FC" w:rsidRPr="00D360FC">
        <w:rPr>
          <w:rFonts w:ascii="Calibri" w:eastAsia="Times New Roman" w:hAnsi="Calibri" w:cs="Calibri"/>
          <w:lang w:eastAsia="en-GB"/>
        </w:rPr>
        <w:t xml:space="preserve"> reasons.</w:t>
      </w:r>
      <w:r w:rsidR="001232F2">
        <w:rPr>
          <w:rFonts w:ascii="Calibri" w:eastAsia="Times New Roman" w:hAnsi="Calibri" w:cs="Calibri"/>
          <w:lang w:eastAsia="en-GB"/>
        </w:rPr>
        <w:t xml:space="preserve"> Interviewees held a wide range of r</w:t>
      </w:r>
      <w:r w:rsidR="001232F2" w:rsidRPr="001232F2">
        <w:rPr>
          <w:rFonts w:ascii="Calibri" w:eastAsia="Times New Roman" w:hAnsi="Calibri" w:cs="Calibri"/>
          <w:lang w:eastAsia="en-GB"/>
        </w:rPr>
        <w:t>oles</w:t>
      </w:r>
      <w:r w:rsidR="001232F2">
        <w:rPr>
          <w:rFonts w:ascii="Calibri" w:eastAsia="Times New Roman" w:hAnsi="Calibri" w:cs="Calibri"/>
          <w:lang w:eastAsia="en-GB"/>
        </w:rPr>
        <w:t xml:space="preserve"> - including </w:t>
      </w:r>
      <w:r w:rsidR="001232F2" w:rsidRPr="001232F2">
        <w:rPr>
          <w:rFonts w:ascii="Calibri" w:eastAsia="Times New Roman" w:hAnsi="Calibri" w:cs="Calibri"/>
          <w:lang w:eastAsia="en-GB"/>
        </w:rPr>
        <w:t>academics, student services including therapists, researcher developers, professional services such as Graduate School staff</w:t>
      </w:r>
      <w:r w:rsidR="001232F2">
        <w:rPr>
          <w:rFonts w:ascii="Calibri" w:eastAsia="Times New Roman" w:hAnsi="Calibri" w:cs="Calibri"/>
          <w:lang w:eastAsia="en-GB"/>
        </w:rPr>
        <w:t xml:space="preserve"> – and s</w:t>
      </w:r>
      <w:r w:rsidR="001232F2" w:rsidRPr="001232F2">
        <w:rPr>
          <w:rFonts w:ascii="Calibri" w:eastAsia="Times New Roman" w:hAnsi="Calibri" w:cs="Calibri"/>
          <w:lang w:eastAsia="en-GB"/>
        </w:rPr>
        <w:t>eniorities</w:t>
      </w:r>
      <w:r w:rsidR="006C780F">
        <w:rPr>
          <w:rFonts w:ascii="Calibri" w:eastAsia="Times New Roman" w:hAnsi="Calibri" w:cs="Calibri"/>
          <w:lang w:eastAsia="en-GB"/>
        </w:rPr>
        <w:t>,</w:t>
      </w:r>
      <w:r w:rsidR="001232F2" w:rsidRPr="001232F2">
        <w:rPr>
          <w:rFonts w:ascii="Calibri" w:eastAsia="Times New Roman" w:hAnsi="Calibri" w:cs="Calibri"/>
          <w:lang w:eastAsia="en-GB"/>
        </w:rPr>
        <w:t xml:space="preserve"> </w:t>
      </w:r>
      <w:r w:rsidR="001232F2">
        <w:rPr>
          <w:rFonts w:ascii="Calibri" w:eastAsia="Times New Roman" w:hAnsi="Calibri" w:cs="Calibri"/>
          <w:lang w:eastAsia="en-GB"/>
        </w:rPr>
        <w:t xml:space="preserve">including </w:t>
      </w:r>
      <w:r w:rsidR="001232F2" w:rsidRPr="001232F2">
        <w:rPr>
          <w:rFonts w:ascii="Calibri" w:eastAsia="Times New Roman" w:hAnsi="Calibri" w:cs="Calibri"/>
          <w:lang w:eastAsia="en-GB"/>
        </w:rPr>
        <w:t>PGR</w:t>
      </w:r>
      <w:r w:rsidR="001232F2">
        <w:rPr>
          <w:rFonts w:ascii="Calibri" w:eastAsia="Times New Roman" w:hAnsi="Calibri" w:cs="Calibri"/>
          <w:lang w:eastAsia="en-GB"/>
        </w:rPr>
        <w:t>s</w:t>
      </w:r>
      <w:r w:rsidR="001232F2" w:rsidRPr="001232F2">
        <w:rPr>
          <w:rFonts w:ascii="Calibri" w:eastAsia="Times New Roman" w:hAnsi="Calibri" w:cs="Calibri"/>
          <w:lang w:eastAsia="en-GB"/>
        </w:rPr>
        <w:t>, project managers</w:t>
      </w:r>
      <w:r w:rsidR="001232F2">
        <w:rPr>
          <w:rFonts w:ascii="Calibri" w:eastAsia="Times New Roman" w:hAnsi="Calibri" w:cs="Calibri"/>
          <w:lang w:eastAsia="en-GB"/>
        </w:rPr>
        <w:t xml:space="preserve">, and </w:t>
      </w:r>
      <w:r w:rsidR="001232F2" w:rsidRPr="001232F2">
        <w:rPr>
          <w:rFonts w:ascii="Calibri" w:eastAsia="Times New Roman" w:hAnsi="Calibri" w:cs="Calibri"/>
          <w:lang w:eastAsia="en-GB"/>
        </w:rPr>
        <w:t>senior academic</w:t>
      </w:r>
      <w:r w:rsidR="001232F2">
        <w:rPr>
          <w:rFonts w:ascii="Calibri" w:eastAsia="Times New Roman" w:hAnsi="Calibri" w:cs="Calibri"/>
          <w:lang w:eastAsia="en-GB"/>
        </w:rPr>
        <w:t xml:space="preserve"> and professional services</w:t>
      </w:r>
      <w:r w:rsidR="001232F2" w:rsidRPr="001232F2">
        <w:rPr>
          <w:rFonts w:ascii="Calibri" w:eastAsia="Times New Roman" w:hAnsi="Calibri" w:cs="Calibri"/>
          <w:lang w:eastAsia="en-GB"/>
        </w:rPr>
        <w:t xml:space="preserve"> leads</w:t>
      </w:r>
      <w:r w:rsidR="001232F2">
        <w:rPr>
          <w:rFonts w:ascii="Calibri" w:eastAsia="Times New Roman" w:hAnsi="Calibri" w:cs="Calibri"/>
          <w:lang w:eastAsia="en-GB"/>
        </w:rPr>
        <w:t>.</w:t>
      </w:r>
      <w:r w:rsidR="00DE34C7">
        <w:rPr>
          <w:rFonts w:ascii="Calibri" w:eastAsia="Times New Roman" w:hAnsi="Calibri" w:cs="Calibri"/>
          <w:lang w:eastAsia="en-GB"/>
        </w:rPr>
        <w:t xml:space="preserve"> This variety of institutions, roles and backgrounds</w:t>
      </w:r>
      <w:r w:rsidR="008F7848">
        <w:rPr>
          <w:rFonts w:ascii="Calibri" w:eastAsia="Times New Roman" w:hAnsi="Calibri" w:cs="Calibri"/>
          <w:lang w:eastAsia="en-GB"/>
        </w:rPr>
        <w:t>, and</w:t>
      </w:r>
      <w:r w:rsidR="00277247">
        <w:rPr>
          <w:rFonts w:ascii="Calibri" w:eastAsia="Times New Roman" w:hAnsi="Calibri" w:cs="Calibri"/>
          <w:lang w:eastAsia="en-GB"/>
        </w:rPr>
        <w:t xml:space="preserve"> </w:t>
      </w:r>
      <w:r w:rsidR="003F174D">
        <w:rPr>
          <w:rFonts w:ascii="Calibri" w:eastAsia="Times New Roman" w:hAnsi="Calibri" w:cs="Calibri"/>
          <w:lang w:eastAsia="en-GB"/>
        </w:rPr>
        <w:t xml:space="preserve">corresponding variety </w:t>
      </w:r>
      <w:r w:rsidR="00277247">
        <w:rPr>
          <w:rFonts w:ascii="Calibri" w:eastAsia="Times New Roman" w:hAnsi="Calibri" w:cs="Calibri"/>
          <w:lang w:eastAsia="en-GB"/>
        </w:rPr>
        <w:t xml:space="preserve">of </w:t>
      </w:r>
      <w:r w:rsidR="003F174D">
        <w:rPr>
          <w:rFonts w:ascii="Calibri" w:eastAsia="Times New Roman" w:hAnsi="Calibri" w:cs="Calibri"/>
          <w:lang w:eastAsia="en-GB"/>
        </w:rPr>
        <w:t>voic</w:t>
      </w:r>
      <w:r w:rsidR="00277247">
        <w:rPr>
          <w:rFonts w:ascii="Calibri" w:eastAsia="Times New Roman" w:hAnsi="Calibri" w:cs="Calibri"/>
          <w:lang w:eastAsia="en-GB"/>
        </w:rPr>
        <w:t>es</w:t>
      </w:r>
      <w:r w:rsidR="003F174D">
        <w:rPr>
          <w:rFonts w:ascii="Calibri" w:eastAsia="Times New Roman" w:hAnsi="Calibri" w:cs="Calibri"/>
          <w:lang w:eastAsia="en-GB"/>
        </w:rPr>
        <w:t xml:space="preserve">, </w:t>
      </w:r>
      <w:r w:rsidR="00DE34C7">
        <w:rPr>
          <w:rFonts w:ascii="Calibri" w:eastAsia="Times New Roman" w:hAnsi="Calibri" w:cs="Calibri"/>
          <w:lang w:eastAsia="en-GB"/>
        </w:rPr>
        <w:t>helped address a potential disadvantage of my ‘insider’ status</w:t>
      </w:r>
      <w:r w:rsidR="0027219D">
        <w:rPr>
          <w:rFonts w:ascii="Calibri" w:eastAsia="Times New Roman" w:hAnsi="Calibri" w:cs="Calibri"/>
          <w:lang w:eastAsia="en-GB"/>
        </w:rPr>
        <w:t>, in challenging potential unquestioned shared assumptions</w:t>
      </w:r>
      <w:r w:rsidR="00E1068E">
        <w:rPr>
          <w:rFonts w:ascii="Calibri" w:eastAsia="Times New Roman" w:hAnsi="Calibri" w:cs="Calibri"/>
          <w:lang w:eastAsia="en-GB"/>
        </w:rPr>
        <w:t xml:space="preserve">. </w:t>
      </w:r>
      <w:r w:rsidR="0052061A">
        <w:rPr>
          <w:rFonts w:ascii="Calibri" w:eastAsia="Times New Roman" w:hAnsi="Calibri" w:cs="Calibri"/>
          <w:lang w:eastAsia="en-GB"/>
        </w:rPr>
        <w:t>A variety of voices making similar points strengthened confidence in key themes developed from the interviews</w:t>
      </w:r>
      <w:r w:rsidR="006A71B9">
        <w:rPr>
          <w:rFonts w:ascii="Calibri" w:eastAsia="Times New Roman" w:hAnsi="Calibri" w:cs="Calibri"/>
          <w:lang w:eastAsia="en-GB"/>
        </w:rPr>
        <w:t>.</w:t>
      </w:r>
    </w:p>
    <w:p w14:paraId="281B3DEE" w14:textId="77777777" w:rsidR="00360AAA" w:rsidRDefault="00360AAA" w:rsidP="00DF5182">
      <w:pPr>
        <w:rPr>
          <w:rFonts w:ascii="Calibri" w:eastAsia="Times New Roman" w:hAnsi="Calibri" w:cs="Calibri"/>
          <w:lang w:eastAsia="en-GB"/>
        </w:rPr>
      </w:pPr>
    </w:p>
    <w:p w14:paraId="4A2F867E" w14:textId="6AC8B92E" w:rsidR="00360AAA" w:rsidRDefault="00360AAA" w:rsidP="00DF5182">
      <w:pPr>
        <w:rPr>
          <w:rFonts w:ascii="Calibri" w:eastAsia="Times New Roman" w:hAnsi="Calibri" w:cs="Calibri"/>
          <w:lang w:eastAsia="en-GB"/>
        </w:rPr>
      </w:pPr>
      <w:r>
        <w:rPr>
          <w:rFonts w:ascii="Calibri" w:eastAsia="Times New Roman" w:hAnsi="Calibri" w:cs="Calibri"/>
          <w:lang w:eastAsia="en-GB"/>
        </w:rPr>
        <w:t>**TABLE 1</w:t>
      </w:r>
      <w:r w:rsidR="00925780">
        <w:rPr>
          <w:rFonts w:ascii="Calibri" w:eastAsia="Times New Roman" w:hAnsi="Calibri" w:cs="Calibri"/>
          <w:lang w:eastAsia="en-GB"/>
        </w:rPr>
        <w:t xml:space="preserve"> here</w:t>
      </w:r>
      <w:r>
        <w:rPr>
          <w:rFonts w:ascii="Calibri" w:eastAsia="Times New Roman" w:hAnsi="Calibri" w:cs="Calibri"/>
          <w:lang w:eastAsia="en-GB"/>
        </w:rPr>
        <w:t>**</w:t>
      </w:r>
    </w:p>
    <w:p w14:paraId="5BB28DA9" w14:textId="77777777" w:rsidR="00844766" w:rsidRDefault="00844766" w:rsidP="001736E3">
      <w:pPr>
        <w:rPr>
          <w:rFonts w:ascii="Calibri" w:eastAsia="Times New Roman" w:hAnsi="Calibri" w:cs="Calibri"/>
          <w:lang w:eastAsia="en-GB"/>
        </w:rPr>
      </w:pPr>
    </w:p>
    <w:p w14:paraId="3899A2F9" w14:textId="020CC796" w:rsidR="005C32D4" w:rsidRDefault="00B64373" w:rsidP="005C32D4">
      <w:pPr>
        <w:rPr>
          <w:rFonts w:asciiTheme="majorHAnsi" w:hAnsiTheme="majorHAnsi" w:cstheme="majorHAnsi"/>
        </w:rPr>
      </w:pPr>
      <w:r w:rsidRPr="00882ED4">
        <w:rPr>
          <w:rFonts w:ascii="Calibri" w:eastAsia="Times New Roman" w:hAnsi="Calibri" w:cs="Calibri"/>
          <w:lang w:eastAsia="en-GB"/>
        </w:rPr>
        <w:t>Each participant received a brief information sheet about the research</w:t>
      </w:r>
      <w:r w:rsidR="00F20520" w:rsidRPr="00882ED4">
        <w:rPr>
          <w:rFonts w:ascii="Calibri" w:eastAsia="Times New Roman" w:hAnsi="Calibri" w:cs="Calibri"/>
          <w:lang w:eastAsia="en-GB"/>
        </w:rPr>
        <w:t xml:space="preserve"> aims</w:t>
      </w:r>
      <w:r w:rsidRPr="00882ED4">
        <w:rPr>
          <w:rFonts w:ascii="Calibri" w:eastAsia="Times New Roman" w:hAnsi="Calibri" w:cs="Calibri"/>
          <w:lang w:eastAsia="en-GB"/>
        </w:rPr>
        <w:t>, and a consent form which explained</w:t>
      </w:r>
      <w:r w:rsidR="00882ED4" w:rsidRPr="00882ED4">
        <w:rPr>
          <w:rFonts w:ascii="Calibri" w:eastAsia="Times New Roman" w:hAnsi="Calibri" w:cs="Calibri"/>
          <w:lang w:eastAsia="en-GB"/>
        </w:rPr>
        <w:t xml:space="preserve"> what participation involved</w:t>
      </w:r>
      <w:r w:rsidR="00F20520" w:rsidRPr="00882ED4">
        <w:rPr>
          <w:rFonts w:ascii="Calibri" w:eastAsia="Times New Roman" w:hAnsi="Calibri" w:cs="Calibri"/>
          <w:lang w:eastAsia="en-GB"/>
        </w:rPr>
        <w:t>, including the right to withdraw participation</w:t>
      </w:r>
      <w:r w:rsidR="00882ED4" w:rsidRPr="00882ED4">
        <w:rPr>
          <w:rFonts w:ascii="Calibri" w:eastAsia="Times New Roman" w:hAnsi="Calibri" w:cs="Calibri"/>
          <w:lang w:eastAsia="en-GB"/>
        </w:rPr>
        <w:t xml:space="preserve"> and </w:t>
      </w:r>
      <w:r w:rsidR="00F20520" w:rsidRPr="00882ED4">
        <w:rPr>
          <w:rFonts w:ascii="Calibri" w:eastAsia="Times New Roman" w:hAnsi="Calibri" w:cs="Calibri"/>
          <w:lang w:eastAsia="en-GB"/>
        </w:rPr>
        <w:t>to keep material ‘off the record’</w:t>
      </w:r>
      <w:r w:rsidR="00882ED4" w:rsidRPr="00882ED4">
        <w:rPr>
          <w:rFonts w:ascii="Calibri" w:eastAsia="Times New Roman" w:hAnsi="Calibri" w:cs="Calibri"/>
          <w:lang w:eastAsia="en-GB"/>
        </w:rPr>
        <w:t xml:space="preserve">. </w:t>
      </w:r>
      <w:r w:rsidR="00F24B4A">
        <w:rPr>
          <w:rFonts w:ascii="Calibri" w:eastAsia="Times New Roman" w:hAnsi="Calibri" w:cs="Calibri"/>
          <w:lang w:eastAsia="en-GB"/>
        </w:rPr>
        <w:t>Since t</w:t>
      </w:r>
      <w:r w:rsidR="00882ED4" w:rsidRPr="00882ED4">
        <w:rPr>
          <w:rFonts w:ascii="Calibri" w:eastAsia="Times New Roman" w:hAnsi="Calibri" w:cs="Calibri"/>
          <w:lang w:eastAsia="en-GB"/>
        </w:rPr>
        <w:t xml:space="preserve">he aim was not to evaluate individual projects, staff or universities, anonymity of interviewees was a key element of the research, allowing them to speak more freely than they may otherwise have done. </w:t>
      </w:r>
      <w:r w:rsidR="000235EF">
        <w:rPr>
          <w:rFonts w:ascii="Calibri" w:eastAsia="Times New Roman" w:hAnsi="Calibri" w:cs="Calibri"/>
          <w:lang w:eastAsia="en-GB"/>
        </w:rPr>
        <w:t xml:space="preserve">This was deemed essential given some of the sensitive material being discussed. </w:t>
      </w:r>
      <w:r w:rsidR="00882ED4" w:rsidRPr="00882ED4">
        <w:rPr>
          <w:rStyle w:val="standard1"/>
          <w:rFonts w:ascii="Calibri" w:hAnsi="Calibri" w:cs="Calibri"/>
          <w:color w:val="auto"/>
          <w:sz w:val="24"/>
          <w:szCs w:val="24"/>
        </w:rPr>
        <w:t xml:space="preserve">All practicable steps were taken to protect the privacy, confidentiality and security of interview data, in accordance with the </w:t>
      </w:r>
      <w:r w:rsidR="003966C6">
        <w:rPr>
          <w:rStyle w:val="standard1"/>
          <w:rFonts w:ascii="Calibri" w:hAnsi="Calibri" w:cs="Calibri"/>
          <w:color w:val="auto"/>
          <w:sz w:val="24"/>
          <w:szCs w:val="24"/>
        </w:rPr>
        <w:t>a</w:t>
      </w:r>
      <w:r w:rsidR="004A3215">
        <w:rPr>
          <w:rStyle w:val="standard1"/>
          <w:rFonts w:ascii="Calibri" w:hAnsi="Calibri" w:cs="Calibri"/>
          <w:color w:val="auto"/>
          <w:sz w:val="24"/>
          <w:szCs w:val="24"/>
        </w:rPr>
        <w:t>uthor’s University</w:t>
      </w:r>
      <w:r w:rsidR="00882ED4" w:rsidRPr="00882ED4">
        <w:rPr>
          <w:rStyle w:val="standard1"/>
          <w:rFonts w:ascii="Calibri" w:hAnsi="Calibri" w:cs="Calibri"/>
          <w:color w:val="auto"/>
          <w:sz w:val="24"/>
          <w:szCs w:val="24"/>
        </w:rPr>
        <w:t xml:space="preserve"> ethical procedures, </w:t>
      </w:r>
      <w:r w:rsidR="00882ED4" w:rsidRPr="00882ED4">
        <w:rPr>
          <w:rFonts w:ascii="Calibri" w:hAnsi="Calibri" w:cs="Calibri"/>
        </w:rPr>
        <w:t>and the General Data Protection Regulation (as incorporated in the UK Data Protection Act 2018).</w:t>
      </w:r>
      <w:r w:rsidR="00882ED4" w:rsidRPr="00882ED4">
        <w:rPr>
          <w:rStyle w:val="standard1"/>
          <w:rFonts w:ascii="Calibri" w:hAnsi="Calibri" w:cs="Calibri"/>
          <w:color w:val="auto"/>
          <w:sz w:val="24"/>
          <w:szCs w:val="24"/>
        </w:rPr>
        <w:t xml:space="preserve"> Quotes from interviewees </w:t>
      </w:r>
      <w:r w:rsidR="001355D4">
        <w:rPr>
          <w:rStyle w:val="standard1"/>
          <w:rFonts w:ascii="Calibri" w:hAnsi="Calibri" w:cs="Calibri"/>
          <w:color w:val="auto"/>
          <w:sz w:val="24"/>
          <w:szCs w:val="24"/>
        </w:rPr>
        <w:t>used in this article were</w:t>
      </w:r>
      <w:r w:rsidR="00882ED4" w:rsidRPr="00882ED4">
        <w:rPr>
          <w:rStyle w:val="standard1"/>
          <w:rFonts w:ascii="Calibri" w:hAnsi="Calibri" w:cs="Calibri"/>
          <w:color w:val="auto"/>
          <w:sz w:val="24"/>
          <w:szCs w:val="24"/>
        </w:rPr>
        <w:t xml:space="preserve"> anonymised</w:t>
      </w:r>
      <w:r w:rsidR="004A3215">
        <w:rPr>
          <w:rStyle w:val="standard1"/>
          <w:rFonts w:ascii="Calibri" w:hAnsi="Calibri" w:cs="Calibri"/>
          <w:color w:val="auto"/>
          <w:sz w:val="24"/>
          <w:szCs w:val="24"/>
        </w:rPr>
        <w:t>: n</w:t>
      </w:r>
      <w:r w:rsidR="00882ED4" w:rsidRPr="00882ED4">
        <w:rPr>
          <w:rStyle w:val="standard1"/>
          <w:rFonts w:ascii="Calibri" w:hAnsi="Calibri" w:cs="Calibri"/>
          <w:color w:val="auto"/>
          <w:sz w:val="24"/>
          <w:szCs w:val="24"/>
        </w:rPr>
        <w:t xml:space="preserve">ames, job titles and names of institutions were removed, and attribution made as agreed with participants. </w:t>
      </w:r>
      <w:r w:rsidR="000D117B" w:rsidRPr="00882ED4">
        <w:rPr>
          <w:rFonts w:ascii="Calibri" w:eastAsia="Times New Roman" w:hAnsi="Calibri" w:cs="Calibri"/>
          <w:lang w:eastAsia="en-GB"/>
        </w:rPr>
        <w:t xml:space="preserve">All </w:t>
      </w:r>
      <w:r w:rsidR="00882ED4">
        <w:rPr>
          <w:rFonts w:ascii="Calibri" w:eastAsia="Times New Roman" w:hAnsi="Calibri" w:cs="Calibri"/>
          <w:lang w:eastAsia="en-GB"/>
        </w:rPr>
        <w:t xml:space="preserve">interviews </w:t>
      </w:r>
      <w:r w:rsidR="000D117B" w:rsidRPr="00882ED4">
        <w:rPr>
          <w:rFonts w:ascii="Calibri" w:eastAsia="Times New Roman" w:hAnsi="Calibri" w:cs="Calibri"/>
          <w:lang w:eastAsia="en-GB"/>
        </w:rPr>
        <w:t xml:space="preserve">took place online, via Microsoft Teams. Interviews were all recorded and transcribed using the MS Teams Transcribe function, which produced a Word document that was then checked </w:t>
      </w:r>
      <w:r w:rsidR="004A3215">
        <w:rPr>
          <w:rFonts w:ascii="Calibri" w:eastAsia="Times New Roman" w:hAnsi="Calibri" w:cs="Calibri"/>
          <w:lang w:eastAsia="en-GB"/>
        </w:rPr>
        <w:t>against</w:t>
      </w:r>
      <w:r w:rsidR="000D117B" w:rsidRPr="00882ED4">
        <w:rPr>
          <w:rFonts w:ascii="Calibri" w:eastAsia="Times New Roman" w:hAnsi="Calibri" w:cs="Calibri"/>
          <w:lang w:eastAsia="en-GB"/>
        </w:rPr>
        <w:t xml:space="preserve"> a voice recording made on a separate device</w:t>
      </w:r>
      <w:r w:rsidR="00882ED4">
        <w:rPr>
          <w:rFonts w:ascii="Calibri" w:eastAsia="Times New Roman" w:hAnsi="Calibri" w:cs="Calibri"/>
          <w:lang w:eastAsia="en-GB"/>
        </w:rPr>
        <w:t>,</w:t>
      </w:r>
      <w:r w:rsidR="000D117B" w:rsidRPr="00882ED4">
        <w:rPr>
          <w:rFonts w:ascii="Calibri" w:eastAsia="Times New Roman" w:hAnsi="Calibri" w:cs="Calibri"/>
          <w:lang w:eastAsia="en-GB"/>
        </w:rPr>
        <w:t xml:space="preserve"> and corrected. Interviews ranged in length from 50 </w:t>
      </w:r>
      <w:r w:rsidR="00B02383">
        <w:rPr>
          <w:rFonts w:ascii="Calibri" w:eastAsia="Times New Roman" w:hAnsi="Calibri" w:cs="Calibri"/>
          <w:lang w:eastAsia="en-GB"/>
        </w:rPr>
        <w:t xml:space="preserve">to 80 </w:t>
      </w:r>
      <w:r w:rsidR="000D117B" w:rsidRPr="00882ED4">
        <w:rPr>
          <w:rFonts w:ascii="Calibri" w:eastAsia="Times New Roman" w:hAnsi="Calibri" w:cs="Calibri"/>
          <w:lang w:eastAsia="en-GB"/>
        </w:rPr>
        <w:t>minutes.</w:t>
      </w:r>
      <w:r w:rsidR="005C32D4">
        <w:rPr>
          <w:rFonts w:ascii="Calibri" w:eastAsia="Times New Roman" w:hAnsi="Calibri" w:cs="Calibri"/>
          <w:lang w:eastAsia="en-GB"/>
        </w:rPr>
        <w:t xml:space="preserve"> </w:t>
      </w:r>
    </w:p>
    <w:p w14:paraId="293DAF7E" w14:textId="6C2B9518" w:rsidR="005C32D4" w:rsidRDefault="005C32D4" w:rsidP="005C32D4">
      <w:pPr>
        <w:ind w:firstLine="720"/>
        <w:rPr>
          <w:rFonts w:ascii="Calibri" w:eastAsia="MS Mincho" w:hAnsi="Calibri" w:cs="Calibri"/>
        </w:rPr>
      </w:pPr>
      <w:r>
        <w:rPr>
          <w:rFonts w:ascii="Calibri" w:eastAsia="Times New Roman" w:hAnsi="Calibri" w:cs="Calibri"/>
          <w:lang w:eastAsia="en-GB"/>
        </w:rPr>
        <w:t xml:space="preserve">Interviews were structured around four broad areas: i) interviewees’ </w:t>
      </w:r>
      <w:r w:rsidRPr="006C780F">
        <w:rPr>
          <w:rFonts w:ascii="Calibri" w:eastAsia="Times New Roman" w:hAnsi="Calibri" w:cs="Calibri"/>
          <w:lang w:eastAsia="en-GB"/>
        </w:rPr>
        <w:t>background and experience</w:t>
      </w:r>
      <w:r>
        <w:rPr>
          <w:rFonts w:ascii="Calibri" w:eastAsia="Times New Roman" w:hAnsi="Calibri" w:cs="Calibri"/>
          <w:lang w:eastAsia="en-GB"/>
        </w:rPr>
        <w:t xml:space="preserve"> and </w:t>
      </w:r>
      <w:r w:rsidRPr="006C780F">
        <w:rPr>
          <w:rFonts w:ascii="Calibri" w:eastAsia="Times New Roman" w:hAnsi="Calibri" w:cs="Calibri"/>
          <w:lang w:eastAsia="en-GB"/>
        </w:rPr>
        <w:t>role as related to PGR wellbeing</w:t>
      </w:r>
      <w:r>
        <w:rPr>
          <w:rFonts w:ascii="Calibri" w:eastAsia="Times New Roman" w:hAnsi="Calibri" w:cs="Calibri"/>
          <w:lang w:eastAsia="en-GB"/>
        </w:rPr>
        <w:t xml:space="preserve">; ii) particular PGR wellbeing interventions the interviewees were familiar with; iii) interviewees’ organisations’ approach to PGR wellbeing; iv) wider social and political factors in HE and beyond. </w:t>
      </w:r>
      <w:r w:rsidR="00EC70A7">
        <w:rPr>
          <w:rFonts w:ascii="Calibri" w:eastAsia="Times New Roman" w:hAnsi="Calibri" w:cs="Calibri"/>
          <w:lang w:eastAsia="en-GB"/>
        </w:rPr>
        <w:t>The initial research questions were:</w:t>
      </w:r>
      <w:r w:rsidR="00EC70A7" w:rsidRPr="00EC70A7">
        <w:rPr>
          <w:rFonts w:ascii="Calibri" w:eastAsia="Times New Roman" w:hAnsi="Calibri" w:cs="Calibri"/>
          <w:i/>
          <w:iCs/>
          <w:lang w:eastAsia="en-GB"/>
        </w:rPr>
        <w:t xml:space="preserve"> What are potential strong or weak policy capacities around PGR wellbeing, and around efforts</w:t>
      </w:r>
      <w:r w:rsidR="00EC70A7" w:rsidRPr="00EC70A7">
        <w:rPr>
          <w:rFonts w:ascii="Calibri" w:eastAsia="MS Mincho" w:hAnsi="Calibri" w:cs="Calibri"/>
          <w:i/>
          <w:iCs/>
        </w:rPr>
        <w:t xml:space="preserve"> to support PGR wellbeing?</w:t>
      </w:r>
      <w:r w:rsidR="00EC70A7">
        <w:rPr>
          <w:rFonts w:ascii="Calibri" w:eastAsia="MS Mincho" w:hAnsi="Calibri" w:cs="Calibri"/>
          <w:i/>
          <w:iCs/>
        </w:rPr>
        <w:t xml:space="preserve"> </w:t>
      </w:r>
      <w:r>
        <w:rPr>
          <w:rFonts w:ascii="Calibri" w:eastAsia="Times New Roman" w:hAnsi="Calibri" w:cs="Calibri"/>
          <w:lang w:eastAsia="en-GB"/>
        </w:rPr>
        <w:t xml:space="preserve">Rather than asking directly about different elements of policy capacity, questions were framed around interviewees’ experiences, what they thought went well/badly, and why. </w:t>
      </w:r>
      <w:r w:rsidRPr="004746E3">
        <w:rPr>
          <w:rFonts w:ascii="Calibri" w:eastAsia="Times New Roman" w:hAnsi="Calibri" w:cs="Calibri"/>
          <w:lang w:eastAsia="en-GB"/>
        </w:rPr>
        <w:t xml:space="preserve">Interviews </w:t>
      </w:r>
      <w:bookmarkStart w:id="2" w:name="_Hlk121402115"/>
      <w:r w:rsidRPr="004746E3">
        <w:rPr>
          <w:rFonts w:ascii="Calibri" w:eastAsia="Times New Roman" w:hAnsi="Calibri" w:cs="Calibri"/>
          <w:lang w:eastAsia="en-GB"/>
        </w:rPr>
        <w:t>developed based on</w:t>
      </w:r>
      <w:r w:rsidRPr="004746E3">
        <w:rPr>
          <w:rFonts w:ascii="Calibri" w:eastAsia="MS Mincho" w:hAnsi="Calibri" w:cs="Calibri"/>
        </w:rPr>
        <w:t xml:space="preserve"> interviewees’ responses, while particularly picking up on points relevant to policy capacity.</w:t>
      </w:r>
      <w:bookmarkEnd w:id="2"/>
    </w:p>
    <w:p w14:paraId="39E4A471" w14:textId="77777777" w:rsidR="00150AD6" w:rsidRDefault="00150AD6" w:rsidP="005645C3">
      <w:pPr>
        <w:rPr>
          <w:rFonts w:ascii="Calibri" w:eastAsia="Times New Roman" w:hAnsi="Calibri" w:cs="Calibri"/>
          <w:lang w:eastAsia="en-GB"/>
        </w:rPr>
      </w:pPr>
    </w:p>
    <w:p w14:paraId="65FAFC63" w14:textId="29D84358" w:rsidR="002527AA" w:rsidRDefault="002527AA" w:rsidP="002527AA">
      <w:pPr>
        <w:autoSpaceDE w:val="0"/>
        <w:autoSpaceDN w:val="0"/>
        <w:adjustRightInd w:val="0"/>
        <w:rPr>
          <w:rFonts w:ascii="Calibri" w:hAnsi="Calibri" w:cs="Calibri"/>
          <w:i/>
          <w:iCs/>
        </w:rPr>
      </w:pPr>
      <w:r w:rsidRPr="003D7D0F">
        <w:rPr>
          <w:rFonts w:ascii="Calibri" w:hAnsi="Calibri" w:cs="Calibri"/>
          <w:i/>
          <w:iCs/>
        </w:rPr>
        <w:t>Analysis process</w:t>
      </w:r>
      <w:r w:rsidR="00150AD6">
        <w:rPr>
          <w:rFonts w:ascii="Calibri" w:hAnsi="Calibri" w:cs="Calibri"/>
          <w:i/>
          <w:iCs/>
        </w:rPr>
        <w:t xml:space="preserve"> and </w:t>
      </w:r>
      <w:r w:rsidR="008F0E6E">
        <w:rPr>
          <w:rFonts w:ascii="Calibri" w:hAnsi="Calibri" w:cs="Calibri"/>
          <w:i/>
          <w:iCs/>
        </w:rPr>
        <w:t xml:space="preserve">research question </w:t>
      </w:r>
      <w:r w:rsidR="00150AD6">
        <w:rPr>
          <w:rFonts w:ascii="Calibri" w:hAnsi="Calibri" w:cs="Calibri"/>
          <w:i/>
          <w:iCs/>
        </w:rPr>
        <w:t>evolution</w:t>
      </w:r>
    </w:p>
    <w:p w14:paraId="3B5E6CA9" w14:textId="77777777" w:rsidR="00696F7B" w:rsidRDefault="008F0E6E" w:rsidP="00696F7B">
      <w:pPr>
        <w:autoSpaceDE w:val="0"/>
        <w:autoSpaceDN w:val="0"/>
        <w:adjustRightInd w:val="0"/>
        <w:rPr>
          <w:rFonts w:ascii="Calibri" w:hAnsi="Calibri" w:cs="Calibri"/>
        </w:rPr>
      </w:pPr>
      <w:r w:rsidRPr="003D7D0F">
        <w:rPr>
          <w:rFonts w:ascii="Calibri" w:hAnsi="Calibri" w:cs="Calibri"/>
        </w:rPr>
        <w:lastRenderedPageBreak/>
        <w:t>Analysis was a</w:t>
      </w:r>
      <w:r>
        <w:rPr>
          <w:rFonts w:ascii="Calibri" w:hAnsi="Calibri" w:cs="Calibri"/>
        </w:rPr>
        <w:t xml:space="preserve">n </w:t>
      </w:r>
      <w:r w:rsidRPr="003D7D0F">
        <w:rPr>
          <w:rFonts w:ascii="Calibri" w:hAnsi="Calibri" w:cs="Calibri"/>
        </w:rPr>
        <w:t xml:space="preserve">iterative process of coding the transcripts, developing themes and stories and their inter-relations. In keeping with reflexive TA, themes were not categories for listing ‘what interviewees said about X’. Rather they reflected my own interpretation of what interviewees’ comments said and implied about support for PGR wellbeing, in the light of the different elements of policy capacity. This was a necessity as well as a positive choice: the extremely rich dataset of around 150 000 interview words yielded far too many stories to attempt a comprehensive mapping by the nine elements of </w:t>
      </w:r>
      <w:r w:rsidRPr="00437351">
        <w:rPr>
          <w:rFonts w:ascii="Calibri" w:hAnsi="Calibri" w:cs="Calibri"/>
        </w:rPr>
        <w:t>policy capacity in one article.</w:t>
      </w:r>
      <w:r w:rsidR="00D0253D">
        <w:rPr>
          <w:rFonts w:ascii="Calibri" w:hAnsi="Calibri" w:cs="Calibri"/>
        </w:rPr>
        <w:t xml:space="preserve"> </w:t>
      </w:r>
    </w:p>
    <w:p w14:paraId="18CAECB5" w14:textId="406CB3CE" w:rsidR="00696F7B" w:rsidRDefault="00F808EB" w:rsidP="00F808EB">
      <w:pPr>
        <w:autoSpaceDE w:val="0"/>
        <w:autoSpaceDN w:val="0"/>
        <w:adjustRightInd w:val="0"/>
        <w:ind w:firstLine="720"/>
        <w:rPr>
          <w:rFonts w:asciiTheme="majorHAnsi" w:hAnsiTheme="majorHAnsi" w:cstheme="majorHAnsi"/>
          <w:i/>
          <w:iCs/>
        </w:rPr>
      </w:pPr>
      <w:r w:rsidRPr="00EC70A7">
        <w:rPr>
          <w:rFonts w:ascii="Calibri" w:hAnsi="Calibri" w:cs="Calibri"/>
        </w:rPr>
        <w:t>This article’s focus is on the Operational and Political policy capacity implications of PGR status ambiguity</w:t>
      </w:r>
      <w:r w:rsidR="00696F7B">
        <w:rPr>
          <w:rFonts w:ascii="Calibri" w:hAnsi="Calibri" w:cs="Calibri"/>
        </w:rPr>
        <w:t xml:space="preserve">. </w:t>
      </w:r>
      <w:r w:rsidR="00696F7B" w:rsidRPr="00EC70A7">
        <w:rPr>
          <w:rFonts w:ascii="Calibri" w:hAnsi="Calibri" w:cs="Calibri"/>
        </w:rPr>
        <w:t>This was a crucial theme developed through thematic analysis from both the policy context and the overall dataset</w:t>
      </w:r>
      <w:r w:rsidR="000111C3">
        <w:rPr>
          <w:rFonts w:ascii="Calibri" w:hAnsi="Calibri" w:cs="Calibri"/>
        </w:rPr>
        <w:t xml:space="preserve">. Status ambiguity, identified above through literature and policy context as potentially crucial, </w:t>
      </w:r>
      <w:r w:rsidR="00442881">
        <w:rPr>
          <w:rFonts w:ascii="Calibri" w:hAnsi="Calibri" w:cs="Calibri"/>
        </w:rPr>
        <w:t xml:space="preserve">also </w:t>
      </w:r>
      <w:r w:rsidR="000111C3">
        <w:rPr>
          <w:rFonts w:ascii="Calibri" w:hAnsi="Calibri" w:cs="Calibri"/>
        </w:rPr>
        <w:t>came through strongly, unprompted, in the interviews</w:t>
      </w:r>
      <w:r w:rsidR="00442881">
        <w:rPr>
          <w:rFonts w:ascii="Calibri" w:hAnsi="Calibri" w:cs="Calibri"/>
        </w:rPr>
        <w:t xml:space="preserve">. </w:t>
      </w:r>
      <w:r w:rsidR="00A87E82">
        <w:rPr>
          <w:rFonts w:ascii="Calibri" w:hAnsi="Calibri" w:cs="Calibri"/>
        </w:rPr>
        <w:t>Congruent with reflexive thematic analysis, t</w:t>
      </w:r>
      <w:r w:rsidR="00442881">
        <w:rPr>
          <w:rFonts w:ascii="Calibri" w:hAnsi="Calibri" w:cs="Calibri"/>
        </w:rPr>
        <w:t xml:space="preserve">he initial research questions </w:t>
      </w:r>
      <w:r w:rsidR="00A87E82">
        <w:rPr>
          <w:rFonts w:ascii="Calibri" w:hAnsi="Calibri" w:cs="Calibri"/>
        </w:rPr>
        <w:t xml:space="preserve">therefore </w:t>
      </w:r>
      <w:r w:rsidR="00442881">
        <w:rPr>
          <w:rFonts w:ascii="Calibri" w:hAnsi="Calibri" w:cs="Calibri"/>
        </w:rPr>
        <w:t xml:space="preserve">evolved through a “dialogue between the interpretation of the patterned meaning and the research question” (Braun and Clarke, </w:t>
      </w:r>
      <w:r w:rsidR="00442881" w:rsidRPr="00A87E82">
        <w:rPr>
          <w:rFonts w:ascii="Calibri" w:hAnsi="Calibri" w:cs="Calibri"/>
        </w:rPr>
        <w:t>2022: 12)</w:t>
      </w:r>
      <w:r w:rsidR="00A87E82" w:rsidRPr="00A87E82">
        <w:rPr>
          <w:rFonts w:ascii="Calibri" w:hAnsi="Calibri" w:cs="Calibri"/>
        </w:rPr>
        <w:t xml:space="preserve"> into: </w:t>
      </w:r>
      <w:bookmarkStart w:id="3" w:name="_Hlk175304085"/>
      <w:r w:rsidR="000111C3" w:rsidRPr="00A87E82">
        <w:rPr>
          <w:rFonts w:asciiTheme="majorHAnsi" w:hAnsiTheme="majorHAnsi" w:cstheme="majorHAnsi"/>
          <w:i/>
          <w:iCs/>
        </w:rPr>
        <w:t>How and why does PGR status ambiguity affect the policy capacities to support PGR wellbeing?</w:t>
      </w:r>
    </w:p>
    <w:bookmarkEnd w:id="3"/>
    <w:p w14:paraId="4BCC8B76" w14:textId="792C2577" w:rsidR="00F808EB" w:rsidRPr="00437351" w:rsidRDefault="00F808EB" w:rsidP="00F808EB">
      <w:pPr>
        <w:autoSpaceDE w:val="0"/>
        <w:autoSpaceDN w:val="0"/>
        <w:adjustRightInd w:val="0"/>
        <w:ind w:firstLine="720"/>
        <w:rPr>
          <w:rFonts w:ascii="Calibri" w:hAnsi="Calibri" w:cs="Calibri"/>
        </w:rPr>
      </w:pPr>
      <w:r w:rsidRPr="00EC70A7">
        <w:rPr>
          <w:rFonts w:ascii="Calibri" w:hAnsi="Calibri" w:cs="Calibri"/>
        </w:rPr>
        <w:t xml:space="preserve">What follows is an interpretation based on some points made repeatedly and strongly across multiple interviews, that </w:t>
      </w:r>
      <w:r w:rsidRPr="00437351">
        <w:rPr>
          <w:rFonts w:ascii="Calibri" w:eastAsia="Times New Roman" w:hAnsi="Calibri" w:cs="Calibri"/>
          <w:lang w:eastAsia="en-GB"/>
        </w:rPr>
        <w:t>suggested a variety of strong/weak policy capacities,</w:t>
      </w:r>
      <w:r w:rsidRPr="00437351">
        <w:rPr>
          <w:rFonts w:ascii="Calibri" w:hAnsi="Calibri" w:cs="Calibri"/>
        </w:rPr>
        <w:t xml:space="preserve"> and powerful illustrations of their inter-relations and dynamics. </w:t>
      </w:r>
      <w:r w:rsidR="00A87E82">
        <w:rPr>
          <w:rFonts w:ascii="Calibri" w:hAnsi="Calibri" w:cs="Calibri"/>
        </w:rPr>
        <w:t>S</w:t>
      </w:r>
      <w:r w:rsidR="00A87E82" w:rsidRPr="00EC70A7">
        <w:rPr>
          <w:rFonts w:ascii="Calibri" w:hAnsi="Calibri" w:cs="Calibri"/>
        </w:rPr>
        <w:t xml:space="preserve">ee Table 2 for the </w:t>
      </w:r>
      <w:r w:rsidR="00A87E82" w:rsidRPr="00EC70A7">
        <w:rPr>
          <w:rFonts w:asciiTheme="majorHAnsi" w:hAnsiTheme="majorHAnsi" w:cstheme="majorHAnsi"/>
        </w:rPr>
        <w:t>interpretation of the policy capacity framework for the article’s research question</w:t>
      </w:r>
      <w:r w:rsidR="00A87E82">
        <w:rPr>
          <w:rFonts w:asciiTheme="majorHAnsi" w:hAnsiTheme="majorHAnsi" w:cstheme="majorHAnsi"/>
        </w:rPr>
        <w:t xml:space="preserve">. </w:t>
      </w:r>
      <w:r w:rsidRPr="00437351">
        <w:rPr>
          <w:rFonts w:ascii="Calibri" w:hAnsi="Calibri" w:cs="Calibri"/>
        </w:rPr>
        <w:t>While Analytical capacities are also crucial, they will be examined in a separate article to allow the Operational-Political dynamics to be fully explored here.</w:t>
      </w:r>
    </w:p>
    <w:p w14:paraId="010F1725" w14:textId="77777777" w:rsidR="00F808EB" w:rsidRDefault="00F808EB" w:rsidP="00F808EB">
      <w:pPr>
        <w:rPr>
          <w:rFonts w:ascii="Calibri" w:eastAsia="Times New Roman" w:hAnsi="Calibri" w:cs="Calibri"/>
          <w:b/>
          <w:bCs/>
          <w:lang w:eastAsia="en-GB"/>
        </w:rPr>
      </w:pPr>
    </w:p>
    <w:p w14:paraId="6EFBC54A" w14:textId="3AF7A1C9" w:rsidR="00F808EB" w:rsidRDefault="00F808EB" w:rsidP="00F808EB">
      <w:pPr>
        <w:autoSpaceDE w:val="0"/>
        <w:autoSpaceDN w:val="0"/>
        <w:adjustRightInd w:val="0"/>
        <w:rPr>
          <w:rFonts w:ascii="Calibri" w:eastAsia="Times New Roman" w:hAnsi="Calibri" w:cs="Calibri"/>
          <w:lang w:eastAsia="en-GB"/>
        </w:rPr>
      </w:pPr>
      <w:r>
        <w:rPr>
          <w:rFonts w:ascii="Calibri" w:eastAsia="Times New Roman" w:hAnsi="Calibri" w:cs="Calibri"/>
          <w:lang w:eastAsia="en-GB"/>
        </w:rPr>
        <w:t>**TABLE 2 here**</w:t>
      </w:r>
    </w:p>
    <w:p w14:paraId="7198DE09" w14:textId="372B2EDE" w:rsidR="00284D44" w:rsidRDefault="00284D44">
      <w:pPr>
        <w:rPr>
          <w:rFonts w:ascii="Calibri" w:eastAsia="Times New Roman" w:hAnsi="Calibri" w:cs="Calibri"/>
          <w:b/>
          <w:bCs/>
          <w:lang w:eastAsia="en-GB"/>
        </w:rPr>
      </w:pPr>
    </w:p>
    <w:p w14:paraId="78A8DF49" w14:textId="69620CFB" w:rsidR="0009406D" w:rsidRDefault="0009406D">
      <w:pPr>
        <w:rPr>
          <w:rFonts w:ascii="Calibri" w:eastAsia="Times New Roman" w:hAnsi="Calibri" w:cs="Calibri"/>
          <w:b/>
          <w:bCs/>
          <w:lang w:eastAsia="en-GB"/>
        </w:rPr>
      </w:pPr>
      <w:r w:rsidRPr="00B632F4">
        <w:rPr>
          <w:rFonts w:ascii="Calibri" w:eastAsia="Times New Roman" w:hAnsi="Calibri" w:cs="Calibri"/>
          <w:b/>
          <w:bCs/>
          <w:lang w:eastAsia="en-GB"/>
        </w:rPr>
        <w:t>Analysis</w:t>
      </w:r>
    </w:p>
    <w:p w14:paraId="0D799AA6" w14:textId="3A89CDBB" w:rsidR="00302F51" w:rsidRDefault="00BE2574" w:rsidP="00FA668F">
      <w:pPr>
        <w:rPr>
          <w:rFonts w:ascii="Calibri" w:eastAsia="Times New Roman" w:hAnsi="Calibri" w:cs="Calibri"/>
          <w:lang w:eastAsia="en-GB"/>
        </w:rPr>
      </w:pPr>
      <w:r w:rsidRPr="00BC1281">
        <w:rPr>
          <w:rFonts w:asciiTheme="majorHAnsi" w:hAnsiTheme="majorHAnsi" w:cstheme="majorHAnsi"/>
        </w:rPr>
        <w:t xml:space="preserve">The presence </w:t>
      </w:r>
      <w:r w:rsidRPr="00957E1C">
        <w:rPr>
          <w:rFonts w:asciiTheme="majorHAnsi" w:hAnsiTheme="majorHAnsi" w:cstheme="majorHAnsi"/>
        </w:rPr>
        <w:t>of the New Deal and other initiatives above suggest high capacit</w:t>
      </w:r>
      <w:r w:rsidR="009C7821" w:rsidRPr="00957E1C">
        <w:rPr>
          <w:rFonts w:asciiTheme="majorHAnsi" w:hAnsiTheme="majorHAnsi" w:cstheme="majorHAnsi"/>
        </w:rPr>
        <w:t>ies at Systemic level</w:t>
      </w:r>
      <w:r w:rsidR="00302F51" w:rsidRPr="00957E1C">
        <w:rPr>
          <w:rFonts w:asciiTheme="majorHAnsi" w:hAnsiTheme="majorHAnsi" w:cstheme="majorHAnsi"/>
        </w:rPr>
        <w:t>. Political-Systemic capacity appeared strong</w:t>
      </w:r>
      <w:r w:rsidR="00565151">
        <w:rPr>
          <w:rFonts w:asciiTheme="majorHAnsi" w:hAnsiTheme="majorHAnsi" w:cstheme="majorHAnsi"/>
        </w:rPr>
        <w:t>.</w:t>
      </w:r>
      <w:r w:rsidR="00302F51" w:rsidRPr="00957E1C">
        <w:rPr>
          <w:rFonts w:asciiTheme="majorHAnsi" w:hAnsiTheme="majorHAnsi" w:cstheme="majorHAnsi"/>
        </w:rPr>
        <w:t xml:space="preserve"> PGR wellbeing was seen as enough of a priority to have funding allocated specifically for projects that supported it, through the Catalyst fund [Operational-Systemic capacity].</w:t>
      </w:r>
      <w:r w:rsidR="00302F51" w:rsidRPr="00957E1C">
        <w:rPr>
          <w:rFonts w:ascii="Calibri" w:eastAsia="Times New Roman" w:hAnsi="Calibri" w:cs="Calibri"/>
          <w:lang w:eastAsia="en-GB"/>
        </w:rPr>
        <w:t xml:space="preserve"> </w:t>
      </w:r>
      <w:r w:rsidR="00BF61F8" w:rsidRPr="00957E1C">
        <w:rPr>
          <w:rFonts w:asciiTheme="majorHAnsi" w:hAnsiTheme="majorHAnsi" w:cstheme="majorHAnsi"/>
        </w:rPr>
        <w:t>Political and Operational and capacity strength was indicated at the</w:t>
      </w:r>
      <w:r w:rsidR="00F42C1D" w:rsidRPr="00957E1C">
        <w:rPr>
          <w:rFonts w:asciiTheme="majorHAnsi" w:hAnsiTheme="majorHAnsi" w:cstheme="majorHAnsi"/>
        </w:rPr>
        <w:t xml:space="preserve"> </w:t>
      </w:r>
      <w:r w:rsidRPr="00957E1C">
        <w:rPr>
          <w:rFonts w:asciiTheme="majorHAnsi" w:hAnsiTheme="majorHAnsi" w:cstheme="majorHAnsi"/>
        </w:rPr>
        <w:t>Organisational</w:t>
      </w:r>
      <w:r w:rsidR="00F42C1D" w:rsidRPr="00957E1C">
        <w:rPr>
          <w:rFonts w:asciiTheme="majorHAnsi" w:hAnsiTheme="majorHAnsi" w:cstheme="majorHAnsi"/>
        </w:rPr>
        <w:t xml:space="preserve"> level too</w:t>
      </w:r>
      <w:r w:rsidR="00565151">
        <w:rPr>
          <w:rFonts w:asciiTheme="majorHAnsi" w:hAnsiTheme="majorHAnsi" w:cstheme="majorHAnsi"/>
        </w:rPr>
        <w:t>. B</w:t>
      </w:r>
      <w:r w:rsidRPr="00957E1C">
        <w:rPr>
          <w:rFonts w:asciiTheme="majorHAnsi" w:hAnsiTheme="majorHAnsi" w:cstheme="majorHAnsi"/>
        </w:rPr>
        <w:t>idding institutions were required to show significant commitment</w:t>
      </w:r>
      <w:r w:rsidR="00F42C1D" w:rsidRPr="00957E1C">
        <w:rPr>
          <w:rFonts w:asciiTheme="majorHAnsi" w:hAnsiTheme="majorHAnsi" w:cstheme="majorHAnsi"/>
        </w:rPr>
        <w:t xml:space="preserve"> </w:t>
      </w:r>
      <w:r w:rsidR="00BF61F8" w:rsidRPr="00957E1C">
        <w:rPr>
          <w:rFonts w:asciiTheme="majorHAnsi" w:hAnsiTheme="majorHAnsi" w:cstheme="majorHAnsi"/>
        </w:rPr>
        <w:t xml:space="preserve">in order </w:t>
      </w:r>
      <w:r w:rsidR="00F42C1D" w:rsidRPr="00957E1C">
        <w:rPr>
          <w:rFonts w:asciiTheme="majorHAnsi" w:hAnsiTheme="majorHAnsi" w:cstheme="majorHAnsi"/>
        </w:rPr>
        <w:t>to receive Catalyst funding</w:t>
      </w:r>
      <w:r w:rsidRPr="00957E1C">
        <w:rPr>
          <w:rFonts w:asciiTheme="majorHAnsi" w:hAnsiTheme="majorHAnsi" w:cstheme="majorHAnsi"/>
        </w:rPr>
        <w:t xml:space="preserve">. </w:t>
      </w:r>
      <w:r w:rsidR="00F42C1D" w:rsidRPr="00957E1C">
        <w:rPr>
          <w:rFonts w:asciiTheme="majorHAnsi" w:hAnsiTheme="majorHAnsi" w:cstheme="majorHAnsi"/>
        </w:rPr>
        <w:t>Applications were to both demonstrate existing capacity and help build it: to “[relate] to institutions’ own strategies and policies for supporting mental health and wellbeing for their students” (</w:t>
      </w:r>
      <w:proofErr w:type="spellStart"/>
      <w:r w:rsidR="00C7246C">
        <w:rPr>
          <w:rFonts w:asciiTheme="majorHAnsi" w:hAnsiTheme="majorHAnsi" w:cstheme="majorHAnsi"/>
        </w:rPr>
        <w:t>Hefce</w:t>
      </w:r>
      <w:proofErr w:type="spellEnd"/>
      <w:r w:rsidR="00C7246C">
        <w:rPr>
          <w:rFonts w:asciiTheme="majorHAnsi" w:hAnsiTheme="majorHAnsi" w:cstheme="majorHAnsi"/>
        </w:rPr>
        <w:t xml:space="preserve"> 2017:</w:t>
      </w:r>
      <w:r w:rsidR="00F42C1D" w:rsidRPr="00957E1C">
        <w:rPr>
          <w:rFonts w:asciiTheme="majorHAnsi" w:hAnsiTheme="majorHAnsi" w:cstheme="majorHAnsi"/>
        </w:rPr>
        <w:t xml:space="preserve"> 1)</w:t>
      </w:r>
      <w:r w:rsidR="00BF61F8" w:rsidRPr="00957E1C">
        <w:rPr>
          <w:rFonts w:asciiTheme="majorHAnsi" w:hAnsiTheme="majorHAnsi" w:cstheme="majorHAnsi"/>
        </w:rPr>
        <w:t xml:space="preserve">. </w:t>
      </w:r>
      <w:r w:rsidRPr="00957E1C">
        <w:rPr>
          <w:rFonts w:asciiTheme="majorHAnsi" w:hAnsiTheme="majorHAnsi" w:cstheme="majorHAnsi"/>
        </w:rPr>
        <w:t>Projects were to demonstrate “commitment from senior leaders across the institution” (</w:t>
      </w:r>
      <w:proofErr w:type="spellStart"/>
      <w:r w:rsidR="00C7246C">
        <w:rPr>
          <w:rFonts w:asciiTheme="majorHAnsi" w:hAnsiTheme="majorHAnsi" w:cstheme="majorHAnsi"/>
        </w:rPr>
        <w:t>Hefce</w:t>
      </w:r>
      <w:proofErr w:type="spellEnd"/>
      <w:r w:rsidR="00C7246C">
        <w:rPr>
          <w:rFonts w:asciiTheme="majorHAnsi" w:hAnsiTheme="majorHAnsi" w:cstheme="majorHAnsi"/>
        </w:rPr>
        <w:t xml:space="preserve"> 2017 </w:t>
      </w:r>
      <w:r w:rsidRPr="00957E1C">
        <w:rPr>
          <w:rFonts w:asciiTheme="majorHAnsi" w:hAnsiTheme="majorHAnsi" w:cstheme="majorHAnsi"/>
        </w:rPr>
        <w:t>Annex A</w:t>
      </w:r>
      <w:r w:rsidR="00C7246C">
        <w:rPr>
          <w:rFonts w:asciiTheme="majorHAnsi" w:hAnsiTheme="majorHAnsi" w:cstheme="majorHAnsi"/>
        </w:rPr>
        <w:t>:</w:t>
      </w:r>
      <w:r w:rsidRPr="00957E1C">
        <w:rPr>
          <w:rFonts w:asciiTheme="majorHAnsi" w:hAnsiTheme="majorHAnsi" w:cstheme="majorHAnsi"/>
        </w:rPr>
        <w:t xml:space="preserve"> 3) [Political-</w:t>
      </w:r>
      <w:r w:rsidR="00FC1451">
        <w:rPr>
          <w:rFonts w:asciiTheme="majorHAnsi" w:hAnsiTheme="majorHAnsi" w:cstheme="majorHAnsi"/>
        </w:rPr>
        <w:t>O</w:t>
      </w:r>
      <w:r w:rsidRPr="00957E1C">
        <w:rPr>
          <w:rFonts w:asciiTheme="majorHAnsi" w:hAnsiTheme="majorHAnsi" w:cstheme="majorHAnsi"/>
        </w:rPr>
        <w:t>rganisational] but this was ensured by a financial commitment: “Funding will be provided on the basis that institutions will match HEFCE funding on a one-to-one basis, as part of risk-sharing and demonstrating value for money.” (</w:t>
      </w:r>
      <w:proofErr w:type="spellStart"/>
      <w:r w:rsidR="00C7246C">
        <w:rPr>
          <w:rFonts w:asciiTheme="majorHAnsi" w:hAnsiTheme="majorHAnsi" w:cstheme="majorHAnsi"/>
        </w:rPr>
        <w:t>Hefce</w:t>
      </w:r>
      <w:proofErr w:type="spellEnd"/>
      <w:r w:rsidR="00C7246C">
        <w:rPr>
          <w:rFonts w:asciiTheme="majorHAnsi" w:hAnsiTheme="majorHAnsi" w:cstheme="majorHAnsi"/>
        </w:rPr>
        <w:t xml:space="preserve"> 2017 </w:t>
      </w:r>
      <w:r w:rsidR="00C7246C" w:rsidRPr="00957E1C">
        <w:rPr>
          <w:rFonts w:asciiTheme="majorHAnsi" w:hAnsiTheme="majorHAnsi" w:cstheme="majorHAnsi"/>
        </w:rPr>
        <w:t>Annex A</w:t>
      </w:r>
      <w:r w:rsidR="00C7246C">
        <w:rPr>
          <w:rFonts w:asciiTheme="majorHAnsi" w:hAnsiTheme="majorHAnsi" w:cstheme="majorHAnsi"/>
        </w:rPr>
        <w:t>:</w:t>
      </w:r>
      <w:r w:rsidR="00C7246C" w:rsidRPr="00957E1C">
        <w:rPr>
          <w:rFonts w:asciiTheme="majorHAnsi" w:hAnsiTheme="majorHAnsi" w:cstheme="majorHAnsi"/>
        </w:rPr>
        <w:t xml:space="preserve"> </w:t>
      </w:r>
      <w:r w:rsidRPr="00957E1C">
        <w:rPr>
          <w:rFonts w:asciiTheme="majorHAnsi" w:hAnsiTheme="majorHAnsi" w:cstheme="majorHAnsi"/>
        </w:rPr>
        <w:t>1) [Operational-</w:t>
      </w:r>
      <w:r w:rsidR="00FC1451">
        <w:rPr>
          <w:rFonts w:asciiTheme="majorHAnsi" w:hAnsiTheme="majorHAnsi" w:cstheme="majorHAnsi"/>
        </w:rPr>
        <w:t>O</w:t>
      </w:r>
      <w:r w:rsidRPr="00957E1C">
        <w:rPr>
          <w:rFonts w:asciiTheme="majorHAnsi" w:hAnsiTheme="majorHAnsi" w:cstheme="majorHAnsi"/>
        </w:rPr>
        <w:t>rganisational]. Projects were to “ensure that the broadest range of PGR students are reached, particularly those who may be more vulnerable to mental health difficulties” (</w:t>
      </w:r>
      <w:proofErr w:type="spellStart"/>
      <w:r w:rsidR="00C7246C">
        <w:rPr>
          <w:rFonts w:asciiTheme="majorHAnsi" w:hAnsiTheme="majorHAnsi" w:cstheme="majorHAnsi"/>
        </w:rPr>
        <w:t>Hefce</w:t>
      </w:r>
      <w:proofErr w:type="spellEnd"/>
      <w:r w:rsidR="00C7246C">
        <w:rPr>
          <w:rFonts w:asciiTheme="majorHAnsi" w:hAnsiTheme="majorHAnsi" w:cstheme="majorHAnsi"/>
        </w:rPr>
        <w:t xml:space="preserve"> 2017 </w:t>
      </w:r>
      <w:r w:rsidR="00C7246C" w:rsidRPr="00957E1C">
        <w:rPr>
          <w:rFonts w:asciiTheme="majorHAnsi" w:hAnsiTheme="majorHAnsi" w:cstheme="majorHAnsi"/>
        </w:rPr>
        <w:t>Annex A</w:t>
      </w:r>
      <w:r w:rsidR="00C7246C">
        <w:rPr>
          <w:rFonts w:asciiTheme="majorHAnsi" w:hAnsiTheme="majorHAnsi" w:cstheme="majorHAnsi"/>
        </w:rPr>
        <w:t>:</w:t>
      </w:r>
      <w:r w:rsidR="00C7246C" w:rsidRPr="00957E1C">
        <w:rPr>
          <w:rFonts w:asciiTheme="majorHAnsi" w:hAnsiTheme="majorHAnsi" w:cstheme="majorHAnsi"/>
        </w:rPr>
        <w:t xml:space="preserve"> </w:t>
      </w:r>
      <w:r w:rsidRPr="00957E1C">
        <w:rPr>
          <w:rFonts w:asciiTheme="majorHAnsi" w:hAnsiTheme="majorHAnsi" w:cstheme="majorHAnsi"/>
        </w:rPr>
        <w:t xml:space="preserve">2). </w:t>
      </w:r>
      <w:r w:rsidR="003251B6">
        <w:rPr>
          <w:rFonts w:asciiTheme="majorHAnsi" w:hAnsiTheme="majorHAnsi" w:cstheme="majorHAnsi"/>
        </w:rPr>
        <w:t>R</w:t>
      </w:r>
      <w:r w:rsidRPr="00957E1C">
        <w:rPr>
          <w:rFonts w:asciiTheme="majorHAnsi" w:hAnsiTheme="majorHAnsi" w:cstheme="majorHAnsi"/>
        </w:rPr>
        <w:t>ather than being activities ‘done to’ PGRs, bids had to show engagement with a range of perspectives: “how PGR students will be engaged with the process throughout the development, implementation and evaluation of the project” (</w:t>
      </w:r>
      <w:proofErr w:type="spellStart"/>
      <w:r w:rsidR="00C7246C">
        <w:rPr>
          <w:rFonts w:asciiTheme="majorHAnsi" w:hAnsiTheme="majorHAnsi" w:cstheme="majorHAnsi"/>
        </w:rPr>
        <w:t>Hefce</w:t>
      </w:r>
      <w:proofErr w:type="spellEnd"/>
      <w:r w:rsidR="00C7246C">
        <w:rPr>
          <w:rFonts w:asciiTheme="majorHAnsi" w:hAnsiTheme="majorHAnsi" w:cstheme="majorHAnsi"/>
        </w:rPr>
        <w:t xml:space="preserve"> </w:t>
      </w:r>
      <w:r w:rsidR="00C7246C">
        <w:rPr>
          <w:rFonts w:asciiTheme="majorHAnsi" w:hAnsiTheme="majorHAnsi" w:cstheme="majorHAnsi"/>
        </w:rPr>
        <w:lastRenderedPageBreak/>
        <w:t xml:space="preserve">2017 </w:t>
      </w:r>
      <w:r w:rsidR="00C7246C" w:rsidRPr="00957E1C">
        <w:rPr>
          <w:rFonts w:asciiTheme="majorHAnsi" w:hAnsiTheme="majorHAnsi" w:cstheme="majorHAnsi"/>
        </w:rPr>
        <w:t xml:space="preserve">Annex </w:t>
      </w:r>
      <w:r w:rsidR="00C7246C">
        <w:rPr>
          <w:rFonts w:asciiTheme="majorHAnsi" w:hAnsiTheme="majorHAnsi" w:cstheme="majorHAnsi"/>
        </w:rPr>
        <w:t>B:</w:t>
      </w:r>
      <w:r w:rsidR="00C7246C" w:rsidRPr="00957E1C">
        <w:rPr>
          <w:rFonts w:asciiTheme="majorHAnsi" w:hAnsiTheme="majorHAnsi" w:cstheme="majorHAnsi"/>
        </w:rPr>
        <w:t xml:space="preserve"> </w:t>
      </w:r>
      <w:r w:rsidRPr="00957E1C">
        <w:rPr>
          <w:rFonts w:asciiTheme="majorHAnsi" w:hAnsiTheme="majorHAnsi" w:cstheme="majorHAnsi"/>
        </w:rPr>
        <w:t>2) [Political-</w:t>
      </w:r>
      <w:r w:rsidR="00FC1451">
        <w:rPr>
          <w:rFonts w:asciiTheme="majorHAnsi" w:hAnsiTheme="majorHAnsi" w:cstheme="majorHAnsi"/>
        </w:rPr>
        <w:t>O</w:t>
      </w:r>
      <w:r w:rsidRPr="00957E1C">
        <w:rPr>
          <w:rFonts w:asciiTheme="majorHAnsi" w:hAnsiTheme="majorHAnsi" w:cstheme="majorHAnsi"/>
        </w:rPr>
        <w:t>rganisational</w:t>
      </w:r>
      <w:r w:rsidR="00302F51" w:rsidRPr="00957E1C">
        <w:rPr>
          <w:rFonts w:asciiTheme="majorHAnsi" w:hAnsiTheme="majorHAnsi" w:cstheme="majorHAnsi"/>
        </w:rPr>
        <w:t>],</w:t>
      </w:r>
      <w:r w:rsidRPr="00957E1C">
        <w:rPr>
          <w:rFonts w:asciiTheme="majorHAnsi" w:hAnsiTheme="majorHAnsi" w:cstheme="majorHAnsi"/>
        </w:rPr>
        <w:t xml:space="preserve"> building a wide range of support across the institution</w:t>
      </w:r>
      <w:r w:rsidR="00302F51" w:rsidRPr="00957E1C">
        <w:rPr>
          <w:rFonts w:asciiTheme="majorHAnsi" w:hAnsiTheme="majorHAnsi" w:cstheme="majorHAnsi"/>
        </w:rPr>
        <w:t>.</w:t>
      </w:r>
      <w:r w:rsidR="00B0547C">
        <w:rPr>
          <w:rFonts w:asciiTheme="majorHAnsi" w:hAnsiTheme="majorHAnsi" w:cstheme="majorHAnsi"/>
        </w:rPr>
        <w:t xml:space="preserve"> </w:t>
      </w:r>
      <w:r w:rsidR="00DA7469">
        <w:rPr>
          <w:rFonts w:ascii="Calibri" w:eastAsia="Times New Roman" w:hAnsi="Calibri" w:cs="Calibri"/>
          <w:lang w:eastAsia="en-GB"/>
        </w:rPr>
        <w:t xml:space="preserve">However, </w:t>
      </w:r>
      <w:r w:rsidR="00DD363B" w:rsidRPr="00957E1C">
        <w:rPr>
          <w:rFonts w:ascii="Calibri" w:eastAsia="Times New Roman" w:hAnsi="Calibri" w:cs="Calibri"/>
          <w:lang w:eastAsia="en-GB"/>
        </w:rPr>
        <w:t>in spite of these</w:t>
      </w:r>
      <w:r w:rsidR="00DD363B">
        <w:rPr>
          <w:rFonts w:ascii="Calibri" w:eastAsia="Times New Roman" w:hAnsi="Calibri" w:cs="Calibri"/>
          <w:lang w:eastAsia="en-GB"/>
        </w:rPr>
        <w:t xml:space="preserve"> encouraging signs, there is evidence of in particular </w:t>
      </w:r>
      <w:r w:rsidR="00F53472">
        <w:rPr>
          <w:rFonts w:ascii="Calibri" w:eastAsia="Times New Roman" w:hAnsi="Calibri" w:cs="Calibri"/>
          <w:lang w:eastAsia="en-GB"/>
        </w:rPr>
        <w:t>P</w:t>
      </w:r>
      <w:r w:rsidR="00DD363B">
        <w:rPr>
          <w:rFonts w:ascii="Calibri" w:eastAsia="Times New Roman" w:hAnsi="Calibri" w:cs="Calibri"/>
          <w:lang w:eastAsia="en-GB"/>
        </w:rPr>
        <w:t xml:space="preserve">olitical and </w:t>
      </w:r>
      <w:r w:rsidR="00F53472">
        <w:rPr>
          <w:rFonts w:ascii="Calibri" w:eastAsia="Times New Roman" w:hAnsi="Calibri" w:cs="Calibri"/>
          <w:lang w:eastAsia="en-GB"/>
        </w:rPr>
        <w:t>O</w:t>
      </w:r>
      <w:r w:rsidR="00DD363B">
        <w:rPr>
          <w:rFonts w:ascii="Calibri" w:eastAsia="Times New Roman" w:hAnsi="Calibri" w:cs="Calibri"/>
          <w:lang w:eastAsia="en-GB"/>
        </w:rPr>
        <w:t>perational incapacities that can have a major impact on design and implementation of interventions in practice.</w:t>
      </w:r>
    </w:p>
    <w:p w14:paraId="7BAC5C69" w14:textId="77777777" w:rsidR="00DD363B" w:rsidRPr="00B0547C" w:rsidRDefault="00DD363B" w:rsidP="00FA668F">
      <w:pPr>
        <w:rPr>
          <w:rFonts w:ascii="Calibri" w:eastAsia="Times New Roman" w:hAnsi="Calibri" w:cs="Calibri"/>
          <w:lang w:eastAsia="en-GB"/>
        </w:rPr>
      </w:pPr>
    </w:p>
    <w:p w14:paraId="18768FC6" w14:textId="77777777" w:rsidR="004576A6" w:rsidRDefault="00FA668F" w:rsidP="00B402AB">
      <w:pPr>
        <w:rPr>
          <w:rFonts w:ascii="Calibri" w:eastAsia="Times New Roman" w:hAnsi="Calibri" w:cs="Calibri"/>
          <w:b/>
          <w:bCs/>
          <w:i/>
          <w:iCs/>
          <w:lang w:eastAsia="en-GB"/>
        </w:rPr>
      </w:pPr>
      <w:r w:rsidRPr="00B0547C">
        <w:rPr>
          <w:rFonts w:ascii="Calibri" w:eastAsia="Times New Roman" w:hAnsi="Calibri" w:cs="Calibri"/>
          <w:b/>
          <w:bCs/>
          <w:i/>
          <w:iCs/>
          <w:lang w:eastAsia="en-GB"/>
        </w:rPr>
        <w:t>Political capacity</w:t>
      </w:r>
    </w:p>
    <w:p w14:paraId="742E93C3" w14:textId="29E3C05A" w:rsidR="008B216B" w:rsidRDefault="00BE3C22" w:rsidP="00B402AB">
      <w:pPr>
        <w:rPr>
          <w:rFonts w:ascii="Calibri" w:eastAsia="MS Mincho" w:hAnsi="Calibri" w:cs="Calibri"/>
        </w:rPr>
      </w:pPr>
      <w:r>
        <w:rPr>
          <w:rFonts w:ascii="Calibri" w:eastAsia="MS Mincho" w:hAnsi="Calibri" w:cs="Calibri"/>
        </w:rPr>
        <w:t xml:space="preserve">How is </w:t>
      </w:r>
      <w:r w:rsidR="006175D6" w:rsidRPr="00F04AB6">
        <w:rPr>
          <w:rFonts w:ascii="Calibri" w:eastAsia="MS Mincho" w:hAnsi="Calibri" w:cs="Calibri"/>
        </w:rPr>
        <w:t>PGRs’ status a</w:t>
      </w:r>
      <w:r w:rsidR="00DD363B" w:rsidRPr="00F04AB6">
        <w:rPr>
          <w:rFonts w:ascii="Calibri" w:eastAsia="MS Mincho" w:hAnsi="Calibri" w:cs="Calibri"/>
        </w:rPr>
        <w:t>mbiguity</w:t>
      </w:r>
      <w:r w:rsidR="0055464B" w:rsidRPr="00F04AB6">
        <w:rPr>
          <w:rFonts w:ascii="Calibri" w:eastAsia="MS Mincho" w:hAnsi="Calibri" w:cs="Calibri"/>
        </w:rPr>
        <w:t xml:space="preserve">, being </w:t>
      </w:r>
      <w:r w:rsidR="0055464B" w:rsidRPr="00F04AB6">
        <w:rPr>
          <w:rFonts w:ascii="Calibri" w:eastAsia="MS Mincho" w:hAnsi="Calibri" w:cs="Calibri"/>
          <w:i/>
          <w:iCs/>
        </w:rPr>
        <w:t>“not quite students and ... not quite staff”</w:t>
      </w:r>
      <w:r w:rsidR="0055464B" w:rsidRPr="00F04AB6">
        <w:rPr>
          <w:rFonts w:ascii="Calibri" w:eastAsia="MS Mincho" w:hAnsi="Calibri" w:cs="Calibri"/>
        </w:rPr>
        <w:t xml:space="preserve"> [IV06], </w:t>
      </w:r>
      <w:r w:rsidR="00BD2E85" w:rsidRPr="00F04AB6">
        <w:rPr>
          <w:rFonts w:ascii="Calibri" w:eastAsia="MS Mincho" w:hAnsi="Calibri" w:cs="Calibri"/>
        </w:rPr>
        <w:t>pivotal</w:t>
      </w:r>
      <w:r>
        <w:rPr>
          <w:rFonts w:ascii="Calibri" w:eastAsia="MS Mincho" w:hAnsi="Calibri" w:cs="Calibri"/>
        </w:rPr>
        <w:t>?</w:t>
      </w:r>
      <w:r w:rsidR="00BD2E85" w:rsidRPr="00F04AB6">
        <w:rPr>
          <w:rFonts w:ascii="Calibri" w:eastAsia="MS Mincho" w:hAnsi="Calibri" w:cs="Calibri"/>
        </w:rPr>
        <w:t xml:space="preserve"> While </w:t>
      </w:r>
      <w:r w:rsidR="00200B54" w:rsidRPr="00F04AB6">
        <w:rPr>
          <w:rFonts w:ascii="Calibri" w:eastAsia="MS Mincho" w:hAnsi="Calibri" w:cs="Calibri"/>
        </w:rPr>
        <w:t xml:space="preserve">both </w:t>
      </w:r>
      <w:r w:rsidR="00CE2066" w:rsidRPr="00F04AB6">
        <w:rPr>
          <w:rFonts w:asciiTheme="majorHAnsi" w:hAnsiTheme="majorHAnsi" w:cstheme="majorHAnsi"/>
        </w:rPr>
        <w:t>status within institutions</w:t>
      </w:r>
      <w:r w:rsidR="00200B54" w:rsidRPr="00F04AB6">
        <w:rPr>
          <w:rFonts w:asciiTheme="majorHAnsi" w:hAnsiTheme="majorHAnsi" w:cstheme="majorHAnsi"/>
        </w:rPr>
        <w:t>, and</w:t>
      </w:r>
      <w:r w:rsidR="00CE2066" w:rsidRPr="00F04AB6">
        <w:rPr>
          <w:rFonts w:asciiTheme="majorHAnsi" w:hAnsiTheme="majorHAnsi" w:cstheme="majorHAnsi"/>
        </w:rPr>
        <w:t xml:space="preserve"> “</w:t>
      </w:r>
      <w:r w:rsidR="00CE2066" w:rsidRPr="00F04AB6">
        <w:rPr>
          <w:rFonts w:ascii="Calibri" w:eastAsia="MS Mincho" w:hAnsi="Calibri" w:cs="Calibri"/>
        </w:rPr>
        <w:t xml:space="preserve">gendered, classed, raced, aged, </w:t>
      </w:r>
      <w:proofErr w:type="spellStart"/>
      <w:r w:rsidR="00CE2066" w:rsidRPr="00F04AB6">
        <w:rPr>
          <w:rFonts w:ascii="Calibri" w:eastAsia="MS Mincho" w:hAnsi="Calibri" w:cs="Calibri"/>
        </w:rPr>
        <w:t>ableised</w:t>
      </w:r>
      <w:proofErr w:type="spellEnd"/>
      <w:r w:rsidR="00CE2066" w:rsidRPr="00F04AB6">
        <w:rPr>
          <w:rFonts w:ascii="Calibri" w:eastAsia="MS Mincho" w:hAnsi="Calibri" w:cs="Calibri"/>
        </w:rPr>
        <w:t xml:space="preserve"> and carer positionalities” (Morris, 2021: 132)</w:t>
      </w:r>
      <w:r w:rsidR="00200B54" w:rsidRPr="00F04AB6">
        <w:rPr>
          <w:rFonts w:ascii="Calibri" w:eastAsia="MS Mincho" w:hAnsi="Calibri" w:cs="Calibri"/>
        </w:rPr>
        <w:t xml:space="preserve">, have significant impact on experience of wellbeing, </w:t>
      </w:r>
      <w:r w:rsidR="001D7B9B" w:rsidRPr="00F04AB6">
        <w:rPr>
          <w:rFonts w:ascii="Calibri" w:eastAsia="MS Mincho" w:hAnsi="Calibri" w:cs="Calibri"/>
        </w:rPr>
        <w:t>t</w:t>
      </w:r>
      <w:r w:rsidR="00CE2066" w:rsidRPr="00F04AB6">
        <w:rPr>
          <w:rFonts w:ascii="Calibri" w:eastAsia="MS Mincho" w:hAnsi="Calibri" w:cs="Calibri"/>
        </w:rPr>
        <w:t xml:space="preserve">he themes developed for this article focus in particular on </w:t>
      </w:r>
      <w:r w:rsidR="001D7B9B" w:rsidRPr="00F04AB6">
        <w:rPr>
          <w:rFonts w:ascii="Calibri" w:eastAsia="MS Mincho" w:hAnsi="Calibri" w:cs="Calibri"/>
        </w:rPr>
        <w:t xml:space="preserve">PGR status </w:t>
      </w:r>
      <w:r w:rsidR="001D7B9B" w:rsidRPr="00F04AB6">
        <w:rPr>
          <w:rFonts w:asciiTheme="majorHAnsi" w:hAnsiTheme="majorHAnsi" w:cstheme="majorHAnsi"/>
        </w:rPr>
        <w:t>within HE institutions</w:t>
      </w:r>
      <w:r w:rsidR="001D7B9B">
        <w:rPr>
          <w:rFonts w:asciiTheme="majorHAnsi" w:hAnsiTheme="majorHAnsi" w:cstheme="majorHAnsi"/>
          <w:color w:val="242424"/>
        </w:rPr>
        <w:t xml:space="preserve">, and the implications of this for efforts to support wellbeing. </w:t>
      </w:r>
      <w:r w:rsidR="00A20808">
        <w:rPr>
          <w:rFonts w:asciiTheme="majorHAnsi" w:hAnsiTheme="majorHAnsi" w:cstheme="majorHAnsi"/>
          <w:color w:val="242424"/>
        </w:rPr>
        <w:t>R</w:t>
      </w:r>
      <w:r w:rsidR="001D7B9B">
        <w:rPr>
          <w:rFonts w:asciiTheme="majorHAnsi" w:hAnsiTheme="majorHAnsi" w:cstheme="majorHAnsi"/>
          <w:color w:val="242424"/>
        </w:rPr>
        <w:t xml:space="preserve">ecurring </w:t>
      </w:r>
      <w:r w:rsidR="00F04AB6">
        <w:rPr>
          <w:rFonts w:asciiTheme="majorHAnsi" w:hAnsiTheme="majorHAnsi" w:cstheme="majorHAnsi"/>
          <w:color w:val="242424"/>
        </w:rPr>
        <w:t xml:space="preserve">points made by </w:t>
      </w:r>
      <w:r w:rsidR="001D7B9B">
        <w:rPr>
          <w:rFonts w:asciiTheme="majorHAnsi" w:hAnsiTheme="majorHAnsi" w:cstheme="majorHAnsi"/>
          <w:color w:val="242424"/>
        </w:rPr>
        <w:t>interview</w:t>
      </w:r>
      <w:r w:rsidR="00F04AB6">
        <w:rPr>
          <w:rFonts w:asciiTheme="majorHAnsi" w:hAnsiTheme="majorHAnsi" w:cstheme="majorHAnsi"/>
          <w:color w:val="242424"/>
        </w:rPr>
        <w:t>ee</w:t>
      </w:r>
      <w:r w:rsidR="001D7B9B">
        <w:rPr>
          <w:rFonts w:asciiTheme="majorHAnsi" w:hAnsiTheme="majorHAnsi" w:cstheme="majorHAnsi"/>
          <w:color w:val="242424"/>
        </w:rPr>
        <w:t>s</w:t>
      </w:r>
      <w:r w:rsidR="00F04AB6">
        <w:rPr>
          <w:rFonts w:asciiTheme="majorHAnsi" w:hAnsiTheme="majorHAnsi" w:cstheme="majorHAnsi"/>
          <w:color w:val="242424"/>
        </w:rPr>
        <w:t xml:space="preserve"> </w:t>
      </w:r>
      <w:r w:rsidR="00251577">
        <w:rPr>
          <w:rFonts w:asciiTheme="majorHAnsi" w:hAnsiTheme="majorHAnsi" w:cstheme="majorHAnsi"/>
          <w:color w:val="242424"/>
        </w:rPr>
        <w:t xml:space="preserve">suggest a mutually reinforcing relationship between ambiguity in organisational status and </w:t>
      </w:r>
      <w:r w:rsidR="00CE2066" w:rsidRPr="00E0304E">
        <w:rPr>
          <w:rFonts w:ascii="Calibri" w:eastAsia="MS Mincho" w:hAnsi="Calibri" w:cs="Calibri"/>
        </w:rPr>
        <w:t>what might be called ‘organisational marginalisation’</w:t>
      </w:r>
      <w:r w:rsidR="00251577">
        <w:rPr>
          <w:rFonts w:ascii="Calibri" w:eastAsia="MS Mincho" w:hAnsi="Calibri" w:cs="Calibri"/>
        </w:rPr>
        <w:t xml:space="preserve"> </w:t>
      </w:r>
      <w:r w:rsidR="006A323E">
        <w:rPr>
          <w:rFonts w:ascii="Calibri" w:eastAsia="MS Mincho" w:hAnsi="Calibri" w:cs="Calibri"/>
        </w:rPr>
        <w:t>when it comes to</w:t>
      </w:r>
      <w:r w:rsidR="00251577">
        <w:rPr>
          <w:rFonts w:ascii="Calibri" w:eastAsia="MS Mincho" w:hAnsi="Calibri" w:cs="Calibri"/>
        </w:rPr>
        <w:t xml:space="preserve"> design and implementation of wellbeing support.</w:t>
      </w:r>
    </w:p>
    <w:p w14:paraId="18EA7F26" w14:textId="5B1CC5A3" w:rsidR="00A56030" w:rsidRPr="00C93E05" w:rsidRDefault="00C44C07" w:rsidP="00105151">
      <w:pPr>
        <w:ind w:firstLine="720"/>
        <w:rPr>
          <w:rFonts w:ascii="Calibri" w:eastAsia="MS Mincho" w:hAnsi="Calibri" w:cs="Calibri"/>
        </w:rPr>
      </w:pPr>
      <w:r>
        <w:rPr>
          <w:rFonts w:ascii="Calibri" w:eastAsia="MS Mincho" w:hAnsi="Calibri" w:cs="Calibri"/>
        </w:rPr>
        <w:t xml:space="preserve">This section explores some of the Political competences set out in Table 2. </w:t>
      </w:r>
      <w:r w:rsidR="00105151">
        <w:rPr>
          <w:rFonts w:ascii="Calibri" w:eastAsia="MS Mincho" w:hAnsi="Calibri" w:cs="Calibri"/>
        </w:rPr>
        <w:t>T</w:t>
      </w:r>
      <w:r w:rsidR="00105151" w:rsidRPr="00105151">
        <w:rPr>
          <w:rFonts w:ascii="Calibri" w:eastAsia="MS Mincho" w:hAnsi="Calibri" w:cs="Calibri"/>
        </w:rPr>
        <w:t>here is evidence of low Political capacity</w:t>
      </w:r>
      <w:r w:rsidR="00105151">
        <w:rPr>
          <w:rFonts w:ascii="Calibri" w:eastAsia="MS Mincho" w:hAnsi="Calibri" w:cs="Calibri"/>
        </w:rPr>
        <w:t xml:space="preserve"> </w:t>
      </w:r>
      <w:r w:rsidR="00105151" w:rsidRPr="00105151">
        <w:rPr>
          <w:rFonts w:ascii="Calibri" w:eastAsia="MS Mincho" w:hAnsi="Calibri" w:cs="Calibri"/>
        </w:rPr>
        <w:t xml:space="preserve">at </w:t>
      </w:r>
      <w:r w:rsidR="00105151">
        <w:rPr>
          <w:rFonts w:ascii="Calibri" w:eastAsia="MS Mincho" w:hAnsi="Calibri" w:cs="Calibri"/>
        </w:rPr>
        <w:t xml:space="preserve">all </w:t>
      </w:r>
      <w:r w:rsidR="00105151" w:rsidRPr="00105151">
        <w:rPr>
          <w:rFonts w:ascii="Calibri" w:eastAsia="MS Mincho" w:hAnsi="Calibri" w:cs="Calibri"/>
        </w:rPr>
        <w:t>levels</w:t>
      </w:r>
      <w:r w:rsidR="00105151">
        <w:rPr>
          <w:rFonts w:ascii="Calibri" w:eastAsia="MS Mincho" w:hAnsi="Calibri" w:cs="Calibri"/>
        </w:rPr>
        <w:t xml:space="preserve">. In </w:t>
      </w:r>
      <w:r w:rsidR="00105151" w:rsidRPr="00105151">
        <w:rPr>
          <w:rFonts w:ascii="Calibri" w:eastAsia="MS Mincho" w:hAnsi="Calibri" w:cs="Calibri"/>
        </w:rPr>
        <w:t xml:space="preserve">particular, </w:t>
      </w:r>
      <w:r w:rsidR="00105151">
        <w:rPr>
          <w:rFonts w:ascii="Calibri" w:eastAsia="MS Mincho" w:hAnsi="Calibri" w:cs="Calibri"/>
        </w:rPr>
        <w:t xml:space="preserve">there is </w:t>
      </w:r>
      <w:r w:rsidR="00105151" w:rsidRPr="00105151">
        <w:rPr>
          <w:rFonts w:ascii="Calibri" w:eastAsia="MS Mincho" w:hAnsi="Calibri" w:cs="Calibri"/>
        </w:rPr>
        <w:t xml:space="preserve">strong evidence of </w:t>
      </w:r>
      <w:r w:rsidR="00105151">
        <w:rPr>
          <w:rFonts w:ascii="Calibri" w:eastAsia="MS Mincho" w:hAnsi="Calibri" w:cs="Calibri"/>
        </w:rPr>
        <w:t xml:space="preserve">a </w:t>
      </w:r>
      <w:r w:rsidR="00105151" w:rsidRPr="00105151">
        <w:rPr>
          <w:rFonts w:ascii="Calibri" w:eastAsia="MS Mincho" w:hAnsi="Calibri" w:cs="Calibri"/>
        </w:rPr>
        <w:t>relationship between organisational marginalisation and low Political capacity in design</w:t>
      </w:r>
      <w:r w:rsidR="00105151">
        <w:rPr>
          <w:rFonts w:ascii="Calibri" w:eastAsia="MS Mincho" w:hAnsi="Calibri" w:cs="Calibri"/>
        </w:rPr>
        <w:t xml:space="preserve"> and </w:t>
      </w:r>
      <w:r w:rsidR="00105151" w:rsidRPr="00105151">
        <w:rPr>
          <w:rFonts w:ascii="Calibri" w:eastAsia="MS Mincho" w:hAnsi="Calibri" w:cs="Calibri"/>
        </w:rPr>
        <w:t>implementation of</w:t>
      </w:r>
      <w:r w:rsidR="00105151">
        <w:rPr>
          <w:rFonts w:ascii="Calibri" w:eastAsia="MS Mincho" w:hAnsi="Calibri" w:cs="Calibri"/>
        </w:rPr>
        <w:t xml:space="preserve"> interventions. </w:t>
      </w:r>
      <w:r w:rsidR="0009238C" w:rsidRPr="00C93E05">
        <w:rPr>
          <w:rFonts w:ascii="Calibri" w:eastAsia="MS Mincho" w:hAnsi="Calibri" w:cs="Calibri"/>
        </w:rPr>
        <w:t xml:space="preserve">At the </w:t>
      </w:r>
      <w:r w:rsidR="00FC1451" w:rsidRPr="00C93E05">
        <w:rPr>
          <w:rFonts w:ascii="Calibri" w:eastAsia="Times New Roman" w:hAnsi="Calibri" w:cs="Calibri"/>
          <w:lang w:eastAsia="en-GB"/>
        </w:rPr>
        <w:t>I</w:t>
      </w:r>
      <w:r w:rsidR="0009238C" w:rsidRPr="00C93E05">
        <w:rPr>
          <w:rFonts w:ascii="Calibri" w:eastAsia="Times New Roman" w:hAnsi="Calibri" w:cs="Calibri"/>
          <w:lang w:eastAsia="en-GB"/>
        </w:rPr>
        <w:t xml:space="preserve">ndividual level, </w:t>
      </w:r>
      <w:r w:rsidR="0009238C" w:rsidRPr="00C93E05">
        <w:rPr>
          <w:rFonts w:ascii="Calibri" w:eastAsia="MS Mincho" w:hAnsi="Calibri" w:cs="Calibri"/>
        </w:rPr>
        <w:t xml:space="preserve">lack of understanding </w:t>
      </w:r>
      <w:r w:rsidR="00957E1C" w:rsidRPr="00C93E05">
        <w:rPr>
          <w:rFonts w:ascii="Calibri" w:eastAsia="MS Mincho" w:hAnsi="Calibri" w:cs="Calibri"/>
        </w:rPr>
        <w:t xml:space="preserve">of </w:t>
      </w:r>
      <w:r w:rsidR="0009238C" w:rsidRPr="00C93E05">
        <w:rPr>
          <w:rFonts w:ascii="Calibri" w:eastAsia="MS Mincho" w:hAnsi="Calibri" w:cs="Calibri"/>
        </w:rPr>
        <w:t>what PGR involves</w:t>
      </w:r>
      <w:r w:rsidR="003C6ED3" w:rsidRPr="00C93E05">
        <w:rPr>
          <w:rFonts w:ascii="Calibri" w:eastAsia="MS Mincho" w:hAnsi="Calibri" w:cs="Calibri"/>
        </w:rPr>
        <w:t xml:space="preserve">, and even what </w:t>
      </w:r>
      <w:r w:rsidR="006A4DE0" w:rsidRPr="00C93E05">
        <w:rPr>
          <w:rFonts w:ascii="Calibri" w:eastAsia="MS Mincho" w:hAnsi="Calibri" w:cs="Calibri"/>
        </w:rPr>
        <w:t>it</w:t>
      </w:r>
      <w:r w:rsidR="003C6ED3" w:rsidRPr="00C93E05">
        <w:rPr>
          <w:rFonts w:ascii="Calibri" w:eastAsia="MS Mincho" w:hAnsi="Calibri" w:cs="Calibri"/>
        </w:rPr>
        <w:t xml:space="preserve"> is,</w:t>
      </w:r>
      <w:r w:rsidR="0009238C" w:rsidRPr="00C93E05">
        <w:rPr>
          <w:rFonts w:ascii="Calibri" w:eastAsia="MS Mincho" w:hAnsi="Calibri" w:cs="Calibri"/>
        </w:rPr>
        <w:t xml:space="preserve"> </w:t>
      </w:r>
      <w:r w:rsidR="0009238C" w:rsidRPr="00C93E05">
        <w:rPr>
          <w:rFonts w:ascii="Calibri" w:eastAsia="Calibri" w:hAnsi="Calibri" w:cs="Calibri"/>
        </w:rPr>
        <w:t>can appear in many parts of the institution, even in places ‘close’ to PGR work [IV</w:t>
      </w:r>
      <w:r w:rsidR="00900FD5">
        <w:rPr>
          <w:rFonts w:ascii="Calibri" w:eastAsia="Calibri" w:hAnsi="Calibri" w:cs="Calibri"/>
        </w:rPr>
        <w:t>s</w:t>
      </w:r>
      <w:r w:rsidR="0009238C" w:rsidRPr="00C93E05">
        <w:rPr>
          <w:rFonts w:ascii="Calibri" w:eastAsia="Calibri" w:hAnsi="Calibri" w:cs="Calibri"/>
        </w:rPr>
        <w:t>10</w:t>
      </w:r>
      <w:r w:rsidR="003C6ED3" w:rsidRPr="00C93E05">
        <w:rPr>
          <w:rFonts w:ascii="Calibri" w:eastAsia="Calibri" w:hAnsi="Calibri" w:cs="Calibri"/>
        </w:rPr>
        <w:t>;</w:t>
      </w:r>
      <w:r w:rsidR="00900FD5">
        <w:rPr>
          <w:rFonts w:ascii="Calibri" w:eastAsia="Calibri" w:hAnsi="Calibri" w:cs="Calibri"/>
        </w:rPr>
        <w:t xml:space="preserve"> </w:t>
      </w:r>
      <w:r w:rsidR="003C6ED3" w:rsidRPr="00C93E05">
        <w:rPr>
          <w:rFonts w:ascii="Calibri" w:hAnsi="Calibri" w:cs="Calibri"/>
        </w:rPr>
        <w:t>14]</w:t>
      </w:r>
      <w:r w:rsidR="0009238C" w:rsidRPr="00C93E05">
        <w:rPr>
          <w:rFonts w:ascii="Calibri" w:eastAsia="Calibri" w:hAnsi="Calibri" w:cs="Calibri"/>
        </w:rPr>
        <w:t xml:space="preserve">. </w:t>
      </w:r>
      <w:r w:rsidR="0009238C" w:rsidRPr="00C93E05">
        <w:rPr>
          <w:rFonts w:ascii="Calibri" w:hAnsi="Calibri" w:cs="Calibri"/>
        </w:rPr>
        <w:t xml:space="preserve">People </w:t>
      </w:r>
      <w:r w:rsidR="003C6ED3" w:rsidRPr="00C93E05">
        <w:rPr>
          <w:rFonts w:ascii="Calibri" w:hAnsi="Calibri" w:cs="Calibri"/>
        </w:rPr>
        <w:t xml:space="preserve">can </w:t>
      </w:r>
      <w:r w:rsidR="0009238C" w:rsidRPr="00C93E05">
        <w:rPr>
          <w:rFonts w:ascii="Calibri" w:hAnsi="Calibri" w:cs="Calibri"/>
        </w:rPr>
        <w:t xml:space="preserve">misunderstand </w:t>
      </w:r>
      <w:r w:rsidR="003C6ED3" w:rsidRPr="00C93E05">
        <w:rPr>
          <w:rFonts w:ascii="Calibri" w:hAnsi="Calibri" w:cs="Calibri"/>
        </w:rPr>
        <w:t xml:space="preserve">the primary reasons </w:t>
      </w:r>
      <w:r w:rsidR="0009238C" w:rsidRPr="00C93E05">
        <w:rPr>
          <w:rFonts w:ascii="Calibri" w:hAnsi="Calibri" w:cs="Calibri"/>
        </w:rPr>
        <w:t xml:space="preserve">why people do </w:t>
      </w:r>
      <w:r w:rsidR="003C6ED3" w:rsidRPr="00C93E05">
        <w:rPr>
          <w:rFonts w:ascii="Calibri" w:hAnsi="Calibri" w:cs="Calibri"/>
        </w:rPr>
        <w:t>postgraduate research</w:t>
      </w:r>
      <w:r w:rsidR="0009238C" w:rsidRPr="00C93E05">
        <w:rPr>
          <w:rFonts w:ascii="Calibri" w:hAnsi="Calibri" w:cs="Calibri"/>
        </w:rPr>
        <w:t xml:space="preserve"> [IV03]</w:t>
      </w:r>
      <w:r w:rsidR="006175D6" w:rsidRPr="00C93E05">
        <w:rPr>
          <w:rFonts w:ascii="Calibri" w:hAnsi="Calibri" w:cs="Calibri"/>
        </w:rPr>
        <w:t>.</w:t>
      </w:r>
      <w:r w:rsidR="0009238C" w:rsidRPr="00C93E05">
        <w:rPr>
          <w:rFonts w:ascii="Calibri" w:hAnsi="Calibri" w:cs="Calibri"/>
        </w:rPr>
        <w:t xml:space="preserve"> </w:t>
      </w:r>
      <w:r w:rsidR="00C13590" w:rsidRPr="00C93E05">
        <w:rPr>
          <w:rFonts w:ascii="Calibri" w:hAnsi="Calibri" w:cs="Calibri"/>
        </w:rPr>
        <w:t xml:space="preserve">At the </w:t>
      </w:r>
      <w:r w:rsidR="00FC1451" w:rsidRPr="00C93E05">
        <w:rPr>
          <w:rFonts w:ascii="Calibri" w:hAnsi="Calibri" w:cs="Calibri"/>
        </w:rPr>
        <w:t>O</w:t>
      </w:r>
      <w:r w:rsidR="005C20CE" w:rsidRPr="00C93E05">
        <w:rPr>
          <w:rFonts w:asciiTheme="majorHAnsi" w:eastAsia="MS Mincho" w:hAnsiTheme="majorHAnsi" w:cstheme="majorHAnsi"/>
        </w:rPr>
        <w:t>rganisational</w:t>
      </w:r>
      <w:r w:rsidR="00C13590" w:rsidRPr="00C93E05">
        <w:rPr>
          <w:rFonts w:asciiTheme="majorHAnsi" w:eastAsia="MS Mincho" w:hAnsiTheme="majorHAnsi" w:cstheme="majorHAnsi"/>
        </w:rPr>
        <w:t xml:space="preserve"> level, g</w:t>
      </w:r>
      <w:r w:rsidR="000A4810" w:rsidRPr="00C93E05">
        <w:rPr>
          <w:rFonts w:asciiTheme="majorHAnsi" w:eastAsia="MS Mincho" w:hAnsiTheme="majorHAnsi" w:cstheme="majorHAnsi"/>
        </w:rPr>
        <w:t>iven the wide contribution of PGRs to different aspects of HE institutions, one might expect their voice to be prominent. However, l</w:t>
      </w:r>
      <w:r w:rsidR="00FA668F" w:rsidRPr="00C93E05">
        <w:rPr>
          <w:rFonts w:asciiTheme="majorHAnsi" w:eastAsia="MS Mincho" w:hAnsiTheme="majorHAnsi" w:cstheme="majorHAnsi"/>
        </w:rPr>
        <w:t xml:space="preserve">ow </w:t>
      </w:r>
      <w:r w:rsidR="00F53472" w:rsidRPr="00C93E05">
        <w:rPr>
          <w:rFonts w:asciiTheme="majorHAnsi" w:eastAsia="MS Mincho" w:hAnsiTheme="majorHAnsi" w:cstheme="majorHAnsi"/>
        </w:rPr>
        <w:t>P</w:t>
      </w:r>
      <w:r w:rsidR="00FA668F" w:rsidRPr="00C93E05">
        <w:rPr>
          <w:rFonts w:asciiTheme="majorHAnsi" w:eastAsia="MS Mincho" w:hAnsiTheme="majorHAnsi" w:cstheme="majorHAnsi"/>
        </w:rPr>
        <w:t>olitical capacity appeared most clearly in the ambiguous</w:t>
      </w:r>
      <w:r w:rsidR="006E0126" w:rsidRPr="00C93E05">
        <w:rPr>
          <w:rFonts w:asciiTheme="majorHAnsi" w:eastAsia="MS Mincho" w:hAnsiTheme="majorHAnsi" w:cstheme="majorHAnsi"/>
        </w:rPr>
        <w:t xml:space="preserve"> and </w:t>
      </w:r>
      <w:r w:rsidR="00FA668F" w:rsidRPr="00C93E05">
        <w:rPr>
          <w:rFonts w:asciiTheme="majorHAnsi" w:eastAsia="MS Mincho" w:hAnsiTheme="majorHAnsi" w:cstheme="majorHAnsi"/>
        </w:rPr>
        <w:t xml:space="preserve">marginal status of PGRs within institutions [IV02]. Phrases such as </w:t>
      </w:r>
      <w:r w:rsidR="00FA668F" w:rsidRPr="00C93E05">
        <w:rPr>
          <w:rFonts w:asciiTheme="majorHAnsi" w:eastAsia="MS Mincho" w:hAnsiTheme="majorHAnsi" w:cstheme="majorHAnsi"/>
          <w:i/>
          <w:iCs/>
        </w:rPr>
        <w:t>“afterthought”</w:t>
      </w:r>
      <w:r w:rsidR="00FA668F" w:rsidRPr="00C93E05">
        <w:rPr>
          <w:rFonts w:asciiTheme="majorHAnsi" w:eastAsia="MS Mincho" w:hAnsiTheme="majorHAnsi" w:cstheme="majorHAnsi"/>
        </w:rPr>
        <w:t xml:space="preserve"> [IV01], </w:t>
      </w:r>
      <w:r w:rsidR="00FA668F" w:rsidRPr="00C93E05">
        <w:rPr>
          <w:rFonts w:asciiTheme="majorHAnsi" w:eastAsia="Times New Roman" w:hAnsiTheme="majorHAnsi" w:cstheme="majorHAnsi"/>
          <w:i/>
          <w:iCs/>
          <w:lang w:eastAsia="en-GB"/>
        </w:rPr>
        <w:t>“left by the wayside”</w:t>
      </w:r>
      <w:r w:rsidR="00FA668F" w:rsidRPr="00C93E05">
        <w:rPr>
          <w:rFonts w:asciiTheme="majorHAnsi" w:eastAsia="Times New Roman" w:hAnsiTheme="majorHAnsi" w:cstheme="majorHAnsi"/>
          <w:lang w:eastAsia="en-GB"/>
        </w:rPr>
        <w:t xml:space="preserve"> [IV04], and </w:t>
      </w:r>
      <w:r w:rsidR="00FA668F" w:rsidRPr="00C93E05">
        <w:rPr>
          <w:rFonts w:asciiTheme="majorHAnsi" w:eastAsia="Times New Roman" w:hAnsiTheme="majorHAnsi" w:cstheme="majorHAnsi"/>
          <w:i/>
          <w:iCs/>
          <w:lang w:eastAsia="en-GB"/>
        </w:rPr>
        <w:t>“</w:t>
      </w:r>
      <w:r w:rsidR="005003A2" w:rsidRPr="00C93E05">
        <w:rPr>
          <w:rFonts w:asciiTheme="majorHAnsi" w:eastAsia="Times New Roman" w:hAnsiTheme="majorHAnsi" w:cstheme="majorHAnsi"/>
          <w:i/>
          <w:iCs/>
          <w:lang w:eastAsia="en-GB"/>
        </w:rPr>
        <w:t xml:space="preserve">[PGRs are] the </w:t>
      </w:r>
      <w:r w:rsidR="00FA668F" w:rsidRPr="00C93E05">
        <w:rPr>
          <w:rFonts w:asciiTheme="majorHAnsi" w:eastAsia="MS Mincho" w:hAnsiTheme="majorHAnsi" w:cstheme="majorHAnsi"/>
          <w:i/>
          <w:iCs/>
        </w:rPr>
        <w:t>Cinderella</w:t>
      </w:r>
      <w:r w:rsidR="005003A2" w:rsidRPr="00C93E05">
        <w:rPr>
          <w:rFonts w:asciiTheme="majorHAnsi" w:eastAsia="MS Mincho" w:hAnsiTheme="majorHAnsi" w:cstheme="majorHAnsi"/>
          <w:i/>
          <w:iCs/>
        </w:rPr>
        <w:t xml:space="preserve"> of all universities</w:t>
      </w:r>
      <w:r w:rsidR="00FA668F" w:rsidRPr="00C93E05">
        <w:rPr>
          <w:rFonts w:asciiTheme="majorHAnsi" w:eastAsia="MS Mincho" w:hAnsiTheme="majorHAnsi" w:cstheme="majorHAnsi"/>
          <w:i/>
          <w:iCs/>
        </w:rPr>
        <w:t>”</w:t>
      </w:r>
      <w:r w:rsidR="00FA668F" w:rsidRPr="00C93E05">
        <w:rPr>
          <w:rFonts w:asciiTheme="majorHAnsi" w:eastAsia="MS Mincho" w:hAnsiTheme="majorHAnsi" w:cstheme="majorHAnsi"/>
        </w:rPr>
        <w:t xml:space="preserve"> [IV10</w:t>
      </w:r>
      <w:r w:rsidR="00AB342E" w:rsidRPr="00C93E05">
        <w:rPr>
          <w:rFonts w:asciiTheme="majorHAnsi" w:eastAsia="MS Mincho" w:hAnsiTheme="majorHAnsi" w:cstheme="majorHAnsi"/>
        </w:rPr>
        <w:t>]</w:t>
      </w:r>
      <w:r w:rsidR="00FA668F" w:rsidRPr="00C93E05">
        <w:rPr>
          <w:rFonts w:asciiTheme="majorHAnsi" w:eastAsia="MS Mincho" w:hAnsiTheme="majorHAnsi" w:cstheme="majorHAnsi"/>
        </w:rPr>
        <w:t xml:space="preserve"> recurred frequently. PGR can have a very small voice institutionally that even the presence of funding might struggle to </w:t>
      </w:r>
      <w:r>
        <w:rPr>
          <w:rFonts w:asciiTheme="majorHAnsi" w:eastAsia="MS Mincho" w:hAnsiTheme="majorHAnsi" w:cstheme="majorHAnsi"/>
        </w:rPr>
        <w:t xml:space="preserve">influence. The </w:t>
      </w:r>
      <w:r w:rsidR="00FA668F" w:rsidRPr="00C93E05">
        <w:rPr>
          <w:rFonts w:ascii="Calibri" w:eastAsia="MS Mincho" w:hAnsi="Calibri" w:cs="Calibri"/>
        </w:rPr>
        <w:t>impacts on the PGRs</w:t>
      </w:r>
      <w:r>
        <w:rPr>
          <w:rFonts w:ascii="Calibri" w:eastAsia="MS Mincho" w:hAnsi="Calibri" w:cs="Calibri"/>
        </w:rPr>
        <w:t xml:space="preserve">, </w:t>
      </w:r>
      <w:r w:rsidR="00FA668F" w:rsidRPr="00C93E05">
        <w:rPr>
          <w:rFonts w:ascii="Calibri" w:eastAsia="MS Mincho" w:hAnsi="Calibri" w:cs="Calibri"/>
        </w:rPr>
        <w:t xml:space="preserve">and staff working </w:t>
      </w:r>
      <w:r>
        <w:rPr>
          <w:rFonts w:ascii="Calibri" w:eastAsia="MS Mincho" w:hAnsi="Calibri" w:cs="Calibri"/>
        </w:rPr>
        <w:t xml:space="preserve">with them, </w:t>
      </w:r>
      <w:r w:rsidR="00FA668F" w:rsidRPr="00C93E05">
        <w:rPr>
          <w:rFonts w:ascii="Calibri" w:eastAsia="MS Mincho" w:hAnsi="Calibri" w:cs="Calibri"/>
        </w:rPr>
        <w:t>was palpable</w:t>
      </w:r>
      <w:r w:rsidR="00E5451D" w:rsidRPr="00C93E05">
        <w:rPr>
          <w:rFonts w:ascii="Calibri" w:eastAsia="MS Mincho" w:hAnsi="Calibri" w:cs="Calibri"/>
        </w:rPr>
        <w:t>:</w:t>
      </w:r>
    </w:p>
    <w:p w14:paraId="1A3C8059" w14:textId="77777777" w:rsidR="00E5451D" w:rsidRPr="00C93E05" w:rsidRDefault="00E5451D" w:rsidP="00B402AB">
      <w:pPr>
        <w:rPr>
          <w:rFonts w:ascii="Calibri" w:eastAsia="MS Mincho" w:hAnsi="Calibri" w:cs="Calibri"/>
        </w:rPr>
      </w:pPr>
    </w:p>
    <w:p w14:paraId="1C268985" w14:textId="23705F71" w:rsidR="00A56030" w:rsidRPr="00C93E05" w:rsidRDefault="00A56030" w:rsidP="00B402AB">
      <w:pPr>
        <w:rPr>
          <w:rFonts w:ascii="Calibri" w:eastAsia="MS Mincho" w:hAnsi="Calibri" w:cs="Calibri"/>
        </w:rPr>
      </w:pPr>
      <w:r w:rsidRPr="00C93E05">
        <w:rPr>
          <w:rFonts w:ascii="Calibri" w:eastAsia="MS Mincho" w:hAnsi="Calibri" w:cs="Calibri"/>
          <w:i/>
          <w:iCs/>
        </w:rPr>
        <w:t>“</w:t>
      </w:r>
      <w:proofErr w:type="gramStart"/>
      <w:r w:rsidRPr="00C93E05">
        <w:rPr>
          <w:rFonts w:ascii="Calibri" w:hAnsi="Calibri" w:cs="Calibri"/>
          <w:i/>
          <w:iCs/>
        </w:rPr>
        <w:t>intensely</w:t>
      </w:r>
      <w:proofErr w:type="gramEnd"/>
      <w:r w:rsidRPr="00C93E05">
        <w:rPr>
          <w:rFonts w:ascii="Calibri" w:hAnsi="Calibri" w:cs="Calibri"/>
          <w:i/>
          <w:iCs/>
        </w:rPr>
        <w:t xml:space="preserve"> frustrating and demoralising for</w:t>
      </w:r>
      <w:r w:rsidR="00E5451D" w:rsidRPr="00C93E05">
        <w:rPr>
          <w:rFonts w:ascii="Calibri" w:hAnsi="Calibri" w:cs="Calibri"/>
          <w:i/>
          <w:iCs/>
        </w:rPr>
        <w:t>…</w:t>
      </w:r>
      <w:r w:rsidRPr="00C93E05">
        <w:rPr>
          <w:rFonts w:ascii="Calibri" w:hAnsi="Calibri" w:cs="Calibri"/>
          <w:i/>
          <w:iCs/>
        </w:rPr>
        <w:t xml:space="preserve"> academics who were really involved with that community</w:t>
      </w:r>
      <w:r w:rsidR="00E5451D" w:rsidRPr="00C93E05">
        <w:rPr>
          <w:rFonts w:ascii="Calibri" w:hAnsi="Calibri" w:cs="Calibri"/>
          <w:i/>
          <w:iCs/>
        </w:rPr>
        <w:t xml:space="preserve">, </w:t>
      </w:r>
      <w:r w:rsidRPr="00C93E05">
        <w:rPr>
          <w:rFonts w:ascii="Calibri" w:hAnsi="Calibri" w:cs="Calibri"/>
          <w:i/>
          <w:iCs/>
        </w:rPr>
        <w:t>just not to feel that</w:t>
      </w:r>
      <w:r w:rsidR="00AC1AAA" w:rsidRPr="00C93E05">
        <w:rPr>
          <w:rFonts w:ascii="Calibri" w:hAnsi="Calibri" w:cs="Calibri"/>
          <w:i/>
          <w:iCs/>
        </w:rPr>
        <w:t xml:space="preserve"> </w:t>
      </w:r>
      <w:r w:rsidRPr="00C93E05">
        <w:rPr>
          <w:rFonts w:ascii="Calibri" w:hAnsi="Calibri" w:cs="Calibri"/>
          <w:i/>
          <w:iCs/>
        </w:rPr>
        <w:t>it was heard”</w:t>
      </w:r>
      <w:r w:rsidRPr="00C93E05">
        <w:rPr>
          <w:rFonts w:ascii="Calibri" w:hAnsi="Calibri" w:cs="Calibri"/>
        </w:rPr>
        <w:t xml:space="preserve"> [IV08]</w:t>
      </w:r>
    </w:p>
    <w:p w14:paraId="16741BD4" w14:textId="77777777" w:rsidR="00A56030" w:rsidRPr="00C93E05" w:rsidRDefault="00A56030" w:rsidP="00B402AB">
      <w:pPr>
        <w:rPr>
          <w:rFonts w:ascii="Calibri" w:eastAsia="MS Mincho" w:hAnsi="Calibri" w:cs="Calibri"/>
        </w:rPr>
      </w:pPr>
    </w:p>
    <w:p w14:paraId="09DFF703" w14:textId="0D7C753B" w:rsidR="004E576D" w:rsidRPr="00C27798" w:rsidRDefault="00FA668F" w:rsidP="00B402AB">
      <w:pPr>
        <w:rPr>
          <w:rFonts w:asciiTheme="majorHAnsi" w:eastAsia="MS Mincho" w:hAnsiTheme="majorHAnsi" w:cstheme="majorHAnsi"/>
        </w:rPr>
      </w:pPr>
      <w:r w:rsidRPr="00C27798">
        <w:rPr>
          <w:rFonts w:ascii="Calibri" w:eastAsia="MS Mincho" w:hAnsi="Calibri" w:cs="Calibri"/>
        </w:rPr>
        <w:t>Lack of both careful</w:t>
      </w:r>
      <w:r w:rsidRPr="00C27798">
        <w:rPr>
          <w:rFonts w:asciiTheme="majorHAnsi" w:eastAsia="MS Mincho" w:hAnsiTheme="majorHAnsi" w:cstheme="majorHAnsi"/>
        </w:rPr>
        <w:t xml:space="preserve"> consideration and </w:t>
      </w:r>
      <w:r w:rsidR="00AF0BC4" w:rsidRPr="00C27798">
        <w:rPr>
          <w:rFonts w:asciiTheme="majorHAnsi" w:eastAsia="MS Mincho" w:hAnsiTheme="majorHAnsi" w:cstheme="majorHAnsi"/>
        </w:rPr>
        <w:t>institutional influence</w:t>
      </w:r>
      <w:r w:rsidRPr="00C27798">
        <w:rPr>
          <w:rFonts w:asciiTheme="majorHAnsi" w:eastAsia="MS Mincho" w:hAnsiTheme="majorHAnsi" w:cstheme="majorHAnsi"/>
        </w:rPr>
        <w:t xml:space="preserve"> can lead to </w:t>
      </w:r>
      <w:r w:rsidR="00C27798" w:rsidRPr="00C27798">
        <w:rPr>
          <w:rFonts w:asciiTheme="majorHAnsi" w:eastAsia="MS Mincho" w:hAnsiTheme="majorHAnsi" w:cstheme="majorHAnsi"/>
        </w:rPr>
        <w:t>c</w:t>
      </w:r>
      <w:r w:rsidR="00C27798" w:rsidRPr="00C27798">
        <w:rPr>
          <w:rFonts w:ascii="Calibri" w:eastAsia="MS Mincho" w:hAnsi="Calibri" w:cs="Calibri"/>
        </w:rPr>
        <w:t xml:space="preserve">onsidering PGR requirements only after every other group’s </w:t>
      </w:r>
      <w:proofErr w:type="gramStart"/>
      <w:r w:rsidR="00C27798" w:rsidRPr="00C27798">
        <w:rPr>
          <w:rFonts w:ascii="Calibri" w:eastAsia="MS Mincho" w:hAnsi="Calibri" w:cs="Calibri"/>
        </w:rPr>
        <w:t>requirements</w:t>
      </w:r>
      <w:proofErr w:type="gramEnd"/>
      <w:r w:rsidR="00C27798" w:rsidRPr="00C27798">
        <w:rPr>
          <w:rFonts w:ascii="Calibri" w:eastAsia="MS Mincho" w:hAnsi="Calibri" w:cs="Calibri"/>
        </w:rPr>
        <w:t xml:space="preserve"> [IV10], </w:t>
      </w:r>
      <w:r w:rsidRPr="00C27798">
        <w:rPr>
          <w:rFonts w:asciiTheme="majorHAnsi" w:eastAsia="MS Mincho" w:hAnsiTheme="majorHAnsi" w:cstheme="majorHAnsi"/>
        </w:rPr>
        <w:t>inappropriate advice or expectations, and even exclusion</w:t>
      </w:r>
      <w:r w:rsidR="00F06DD5" w:rsidRPr="00C27798">
        <w:rPr>
          <w:rFonts w:asciiTheme="majorHAnsi" w:eastAsia="MS Mincho" w:hAnsiTheme="majorHAnsi" w:cstheme="majorHAnsi"/>
        </w:rPr>
        <w:t>. F</w:t>
      </w:r>
      <w:r w:rsidRPr="00C27798">
        <w:rPr>
          <w:rFonts w:asciiTheme="majorHAnsi" w:eastAsia="MS Mincho" w:hAnsiTheme="majorHAnsi" w:cstheme="majorHAnsi"/>
        </w:rPr>
        <w:t>or example</w:t>
      </w:r>
      <w:r w:rsidR="004E576D" w:rsidRPr="00C27798">
        <w:rPr>
          <w:rFonts w:asciiTheme="majorHAnsi" w:eastAsia="MS Mincho" w:hAnsiTheme="majorHAnsi" w:cstheme="majorHAnsi"/>
        </w:rPr>
        <w:t>:</w:t>
      </w:r>
    </w:p>
    <w:p w14:paraId="435FE4C4" w14:textId="77777777" w:rsidR="004E576D" w:rsidRPr="00C27798" w:rsidRDefault="004E576D" w:rsidP="00B402AB">
      <w:pPr>
        <w:rPr>
          <w:rFonts w:asciiTheme="majorHAnsi" w:eastAsia="MS Mincho" w:hAnsiTheme="majorHAnsi" w:cstheme="majorHAnsi"/>
        </w:rPr>
      </w:pPr>
    </w:p>
    <w:p w14:paraId="177EBF7E" w14:textId="77777777" w:rsidR="004E576D" w:rsidRPr="00C93E05" w:rsidRDefault="004E576D" w:rsidP="004E576D">
      <w:pPr>
        <w:rPr>
          <w:rFonts w:asciiTheme="majorHAnsi" w:hAnsiTheme="majorHAnsi" w:cstheme="majorHAnsi"/>
          <w:i/>
          <w:iCs/>
        </w:rPr>
      </w:pPr>
      <w:r w:rsidRPr="00C27798">
        <w:rPr>
          <w:rFonts w:asciiTheme="majorHAnsi" w:hAnsiTheme="majorHAnsi" w:cstheme="majorHAnsi"/>
          <w:i/>
          <w:iCs/>
        </w:rPr>
        <w:t>“there was an assumption [during Covid], and I would say to an extent</w:t>
      </w:r>
      <w:r w:rsidRPr="00C93E05">
        <w:rPr>
          <w:rFonts w:asciiTheme="majorHAnsi" w:hAnsiTheme="majorHAnsi" w:cstheme="majorHAnsi"/>
          <w:i/>
          <w:iCs/>
        </w:rPr>
        <w:t xml:space="preserve"> still it is, that all PGRs were middle class academics in the same way that the people in charge of making the decisions were, and I found it incredibly frustrating to be told it's good for your mental health to, you know, move your work environment, go and work in the dining room. Go and sit in the garden for a couple of hours</w:t>
      </w:r>
      <w:r>
        <w:rPr>
          <w:rFonts w:asciiTheme="majorHAnsi" w:hAnsiTheme="majorHAnsi" w:cstheme="majorHAnsi"/>
          <w:i/>
          <w:iCs/>
        </w:rPr>
        <w:t xml:space="preserve"> ..</w:t>
      </w:r>
      <w:r w:rsidRPr="00C93E05">
        <w:rPr>
          <w:rFonts w:asciiTheme="majorHAnsi" w:hAnsiTheme="majorHAnsi" w:cstheme="majorHAnsi"/>
          <w:i/>
          <w:iCs/>
        </w:rPr>
        <w:t>.</w:t>
      </w:r>
      <w:r>
        <w:rPr>
          <w:rFonts w:asciiTheme="majorHAnsi" w:hAnsiTheme="majorHAnsi" w:cstheme="majorHAnsi"/>
          <w:i/>
          <w:iCs/>
        </w:rPr>
        <w:t xml:space="preserve"> </w:t>
      </w:r>
      <w:r w:rsidRPr="00C93E05">
        <w:rPr>
          <w:rFonts w:asciiTheme="majorHAnsi" w:hAnsiTheme="majorHAnsi" w:cstheme="majorHAnsi"/>
          <w:i/>
          <w:iCs/>
        </w:rPr>
        <w:t xml:space="preserve">every PGR I knew at that point was working from either student accommodation so they had a desk in their bedroom, from a makeshift desk, and none of us had a garden…I was politely </w:t>
      </w:r>
      <w:r w:rsidRPr="00C93E05">
        <w:rPr>
          <w:rFonts w:asciiTheme="majorHAnsi" w:hAnsiTheme="majorHAnsi" w:cstheme="majorHAnsi"/>
          <w:i/>
          <w:iCs/>
        </w:rPr>
        <w:lastRenderedPageBreak/>
        <w:t xml:space="preserve">asked to leave a meeting with the [Dean] for my faculty for asking if they had any useful advice for people who didn't live in houses with gardens. </w:t>
      </w:r>
      <w:proofErr w:type="gramStart"/>
      <w:r w:rsidRPr="00C93E05">
        <w:rPr>
          <w:rFonts w:asciiTheme="majorHAnsi" w:hAnsiTheme="majorHAnsi" w:cstheme="majorHAnsi"/>
          <w:i/>
          <w:iCs/>
        </w:rPr>
        <w:t>Yes.“</w:t>
      </w:r>
      <w:proofErr w:type="gramEnd"/>
      <w:r w:rsidRPr="00F06DD5">
        <w:rPr>
          <w:rFonts w:asciiTheme="majorHAnsi" w:hAnsiTheme="majorHAnsi" w:cstheme="majorHAnsi"/>
        </w:rPr>
        <w:t xml:space="preserve"> [IV06]</w:t>
      </w:r>
    </w:p>
    <w:p w14:paraId="116087B2" w14:textId="77777777" w:rsidR="00FE5D59" w:rsidRPr="00C93E05" w:rsidRDefault="00FE5D59" w:rsidP="00B402AB">
      <w:pPr>
        <w:rPr>
          <w:rFonts w:asciiTheme="majorHAnsi" w:eastAsia="MS Mincho" w:hAnsiTheme="majorHAnsi" w:cstheme="majorHAnsi"/>
          <w:i/>
          <w:iCs/>
        </w:rPr>
      </w:pPr>
    </w:p>
    <w:p w14:paraId="1B31B07B" w14:textId="2B083F2E" w:rsidR="00A337B1" w:rsidRDefault="00FA668F" w:rsidP="00B402AB">
      <w:pPr>
        <w:rPr>
          <w:rFonts w:asciiTheme="majorHAnsi" w:hAnsiTheme="majorHAnsi" w:cstheme="majorHAnsi"/>
        </w:rPr>
      </w:pPr>
      <w:r w:rsidRPr="00C93E05">
        <w:rPr>
          <w:rFonts w:asciiTheme="majorHAnsi" w:eastAsia="MS Mincho" w:hAnsiTheme="majorHAnsi" w:cstheme="majorHAnsi"/>
        </w:rPr>
        <w:t xml:space="preserve">At the </w:t>
      </w:r>
      <w:r w:rsidR="00FC1451" w:rsidRPr="00C93E05">
        <w:rPr>
          <w:rFonts w:asciiTheme="majorHAnsi" w:eastAsia="MS Mincho" w:hAnsiTheme="majorHAnsi" w:cstheme="majorHAnsi"/>
        </w:rPr>
        <w:t>S</w:t>
      </w:r>
      <w:r w:rsidRPr="00C93E05">
        <w:rPr>
          <w:rFonts w:asciiTheme="majorHAnsi" w:eastAsia="MS Mincho" w:hAnsiTheme="majorHAnsi" w:cstheme="majorHAnsi"/>
        </w:rPr>
        <w:t xml:space="preserve">ystemic level, </w:t>
      </w:r>
      <w:r w:rsidR="001443E9" w:rsidRPr="00C93E05">
        <w:rPr>
          <w:rFonts w:asciiTheme="majorHAnsi" w:eastAsia="MS Mincho" w:hAnsiTheme="majorHAnsi" w:cstheme="majorHAnsi"/>
        </w:rPr>
        <w:t xml:space="preserve">while stigma around mental health in </w:t>
      </w:r>
      <w:r w:rsidR="00630BF2" w:rsidRPr="00C93E05">
        <w:rPr>
          <w:rFonts w:asciiTheme="majorHAnsi" w:eastAsia="MS Mincho" w:hAnsiTheme="majorHAnsi" w:cstheme="majorHAnsi"/>
        </w:rPr>
        <w:t>the UK</w:t>
      </w:r>
      <w:r w:rsidR="001443E9" w:rsidRPr="00C93E05">
        <w:rPr>
          <w:rFonts w:asciiTheme="majorHAnsi" w:eastAsia="MS Mincho" w:hAnsiTheme="majorHAnsi" w:cstheme="majorHAnsi"/>
        </w:rPr>
        <w:t xml:space="preserve"> may be </w:t>
      </w:r>
      <w:r w:rsidR="001443E9" w:rsidRPr="00C93E05">
        <w:rPr>
          <w:rFonts w:asciiTheme="majorHAnsi" w:hAnsiTheme="majorHAnsi" w:cstheme="majorHAnsi"/>
        </w:rPr>
        <w:t>reducing with wider societal awareness [IV06], in part due to the Covid-19 pandemic [IV02</w:t>
      </w:r>
      <w:r w:rsidR="00FF39E6" w:rsidRPr="00C93E05">
        <w:rPr>
          <w:rFonts w:asciiTheme="majorHAnsi" w:hAnsiTheme="majorHAnsi" w:cstheme="majorHAnsi"/>
        </w:rPr>
        <w:t>]</w:t>
      </w:r>
      <w:r w:rsidR="001443E9" w:rsidRPr="00C93E05">
        <w:rPr>
          <w:rFonts w:asciiTheme="majorHAnsi" w:hAnsiTheme="majorHAnsi" w:cstheme="majorHAnsi"/>
        </w:rPr>
        <w:t>, this is relatively recent</w:t>
      </w:r>
      <w:r w:rsidR="000A4810" w:rsidRPr="00C93E05">
        <w:rPr>
          <w:rFonts w:asciiTheme="majorHAnsi" w:hAnsiTheme="majorHAnsi" w:cstheme="majorHAnsi"/>
        </w:rPr>
        <w:t xml:space="preserve"> [IV</w:t>
      </w:r>
      <w:r w:rsidR="00F538CB">
        <w:rPr>
          <w:rFonts w:asciiTheme="majorHAnsi" w:hAnsiTheme="majorHAnsi" w:cstheme="majorHAnsi"/>
        </w:rPr>
        <w:t>s</w:t>
      </w:r>
      <w:r w:rsidR="000A4810" w:rsidRPr="00C93E05">
        <w:rPr>
          <w:rFonts w:asciiTheme="majorHAnsi" w:hAnsiTheme="majorHAnsi" w:cstheme="majorHAnsi"/>
        </w:rPr>
        <w:t>05</w:t>
      </w:r>
      <w:r w:rsidR="006508CD" w:rsidRPr="00C93E05">
        <w:rPr>
          <w:rFonts w:asciiTheme="majorHAnsi" w:hAnsiTheme="majorHAnsi" w:cstheme="majorHAnsi"/>
        </w:rPr>
        <w:t xml:space="preserve">; </w:t>
      </w:r>
      <w:r w:rsidR="000A4810" w:rsidRPr="00C93E05">
        <w:rPr>
          <w:rFonts w:asciiTheme="majorHAnsi" w:hAnsiTheme="majorHAnsi" w:cstheme="majorHAnsi"/>
        </w:rPr>
        <w:t>11]</w:t>
      </w:r>
      <w:r w:rsidR="001443E9" w:rsidRPr="00C93E05">
        <w:rPr>
          <w:rFonts w:asciiTheme="majorHAnsi" w:hAnsiTheme="majorHAnsi" w:cstheme="majorHAnsi"/>
        </w:rPr>
        <w:t xml:space="preserve">. Mental wellbeing </w:t>
      </w:r>
      <w:r w:rsidR="00A337B1">
        <w:rPr>
          <w:rFonts w:asciiTheme="majorHAnsi" w:hAnsiTheme="majorHAnsi" w:cstheme="majorHAnsi"/>
        </w:rPr>
        <w:t>is often not</w:t>
      </w:r>
      <w:r w:rsidR="001443E9" w:rsidRPr="00C93E05">
        <w:rPr>
          <w:rFonts w:asciiTheme="majorHAnsi" w:hAnsiTheme="majorHAnsi" w:cstheme="majorHAnsi"/>
        </w:rPr>
        <w:t xml:space="preserve"> taken seriously, </w:t>
      </w:r>
      <w:r w:rsidR="00A337B1">
        <w:rPr>
          <w:rFonts w:asciiTheme="majorHAnsi" w:hAnsiTheme="majorHAnsi" w:cstheme="majorHAnsi"/>
        </w:rPr>
        <w:t>or</w:t>
      </w:r>
      <w:r w:rsidR="001443E9" w:rsidRPr="00C93E05">
        <w:rPr>
          <w:rFonts w:asciiTheme="majorHAnsi" w:hAnsiTheme="majorHAnsi" w:cstheme="majorHAnsi"/>
        </w:rPr>
        <w:t xml:space="preserve"> associated with embarrassment or lack of understandin</w:t>
      </w:r>
      <w:r w:rsidR="00A337B1">
        <w:rPr>
          <w:rFonts w:asciiTheme="majorHAnsi" w:hAnsiTheme="majorHAnsi" w:cstheme="majorHAnsi"/>
        </w:rPr>
        <w:t>g,</w:t>
      </w:r>
      <w:r w:rsidR="001443E9" w:rsidRPr="00C93E05">
        <w:rPr>
          <w:rFonts w:asciiTheme="majorHAnsi" w:hAnsiTheme="majorHAnsi" w:cstheme="majorHAnsi"/>
        </w:rPr>
        <w:t xml:space="preserve"> even among health professionals</w:t>
      </w:r>
      <w:r w:rsidR="00A337B1">
        <w:rPr>
          <w:rFonts w:asciiTheme="majorHAnsi" w:hAnsiTheme="majorHAnsi" w:cstheme="majorHAnsi"/>
        </w:rPr>
        <w:t xml:space="preserve">. Crucially, it can </w:t>
      </w:r>
      <w:r w:rsidR="001443E9" w:rsidRPr="00C93E05">
        <w:rPr>
          <w:rFonts w:asciiTheme="majorHAnsi" w:hAnsiTheme="majorHAnsi" w:cstheme="majorHAnsi"/>
        </w:rPr>
        <w:t xml:space="preserve">be </w:t>
      </w:r>
      <w:r w:rsidR="00377995" w:rsidRPr="00C93E05">
        <w:rPr>
          <w:rFonts w:asciiTheme="majorHAnsi" w:hAnsiTheme="majorHAnsi" w:cstheme="majorHAnsi"/>
        </w:rPr>
        <w:t xml:space="preserve">framed as individuals’ weakness </w:t>
      </w:r>
      <w:r w:rsidR="00185BE7" w:rsidRPr="00C93E05">
        <w:rPr>
          <w:rFonts w:asciiTheme="majorHAnsi" w:hAnsiTheme="majorHAnsi" w:cstheme="majorHAnsi"/>
        </w:rPr>
        <w:t>[IV11</w:t>
      </w:r>
      <w:r w:rsidR="006508CD" w:rsidRPr="00C93E05">
        <w:rPr>
          <w:rFonts w:asciiTheme="majorHAnsi" w:hAnsiTheme="majorHAnsi" w:cstheme="majorHAnsi"/>
        </w:rPr>
        <w:t>]</w:t>
      </w:r>
      <w:r w:rsidR="001443E9" w:rsidRPr="00C93E05">
        <w:rPr>
          <w:rFonts w:asciiTheme="majorHAnsi" w:hAnsiTheme="majorHAnsi" w:cstheme="majorHAnsi"/>
        </w:rPr>
        <w:t>.</w:t>
      </w:r>
      <w:r w:rsidR="006A5EAC" w:rsidRPr="00C93E05">
        <w:rPr>
          <w:rFonts w:asciiTheme="majorHAnsi" w:hAnsiTheme="majorHAnsi" w:cstheme="majorHAnsi"/>
        </w:rPr>
        <w:t xml:space="preserve"> </w:t>
      </w:r>
      <w:r w:rsidR="00B402AB" w:rsidRPr="00C93E05">
        <w:rPr>
          <w:rFonts w:asciiTheme="majorHAnsi" w:hAnsiTheme="majorHAnsi" w:cstheme="majorHAnsi"/>
        </w:rPr>
        <w:t xml:space="preserve">This relates to </w:t>
      </w:r>
      <w:r w:rsidR="002923C5" w:rsidRPr="00C93E05">
        <w:rPr>
          <w:rFonts w:asciiTheme="majorHAnsi" w:hAnsiTheme="majorHAnsi" w:cstheme="majorHAnsi"/>
        </w:rPr>
        <w:t xml:space="preserve">political </w:t>
      </w:r>
      <w:r w:rsidR="00814670" w:rsidRPr="00C93E05">
        <w:rPr>
          <w:rFonts w:asciiTheme="majorHAnsi" w:hAnsiTheme="majorHAnsi" w:cstheme="majorHAnsi"/>
        </w:rPr>
        <w:t xml:space="preserve">and societal </w:t>
      </w:r>
      <w:r w:rsidR="002923C5" w:rsidRPr="00C93E05">
        <w:rPr>
          <w:rFonts w:asciiTheme="majorHAnsi" w:hAnsiTheme="majorHAnsi" w:cstheme="majorHAnsi"/>
        </w:rPr>
        <w:t>narrative about cancel culture</w:t>
      </w:r>
      <w:r w:rsidR="00F36912" w:rsidRPr="00C93E05">
        <w:rPr>
          <w:rFonts w:asciiTheme="majorHAnsi" w:hAnsiTheme="majorHAnsi" w:cstheme="majorHAnsi"/>
        </w:rPr>
        <w:t xml:space="preserve"> and </w:t>
      </w:r>
      <w:r w:rsidR="00B402AB" w:rsidRPr="00C93E05">
        <w:rPr>
          <w:rFonts w:asciiTheme="majorHAnsi" w:hAnsiTheme="majorHAnsi" w:cstheme="majorHAnsi"/>
        </w:rPr>
        <w:t>‘</w:t>
      </w:r>
      <w:r w:rsidR="00F36912" w:rsidRPr="00C93E05">
        <w:rPr>
          <w:rFonts w:asciiTheme="majorHAnsi" w:hAnsiTheme="majorHAnsi" w:cstheme="majorHAnsi"/>
        </w:rPr>
        <w:t>snowflakes</w:t>
      </w:r>
      <w:r w:rsidR="00B402AB" w:rsidRPr="00C93E05">
        <w:rPr>
          <w:rFonts w:asciiTheme="majorHAnsi" w:hAnsiTheme="majorHAnsi" w:cstheme="majorHAnsi"/>
        </w:rPr>
        <w:t>’</w:t>
      </w:r>
      <w:r w:rsidR="00717ACC" w:rsidRPr="00C93E05">
        <w:rPr>
          <w:rFonts w:asciiTheme="majorHAnsi" w:hAnsiTheme="majorHAnsi" w:cstheme="majorHAnsi"/>
        </w:rPr>
        <w:t>, invalidating</w:t>
      </w:r>
      <w:r w:rsidR="00B402AB" w:rsidRPr="00C93E05">
        <w:rPr>
          <w:rFonts w:asciiTheme="majorHAnsi" w:hAnsiTheme="majorHAnsi" w:cstheme="majorHAnsi"/>
        </w:rPr>
        <w:t xml:space="preserve"> students’ experiences </w:t>
      </w:r>
      <w:r w:rsidR="002923C5" w:rsidRPr="00C93E05">
        <w:rPr>
          <w:rFonts w:asciiTheme="majorHAnsi" w:hAnsiTheme="majorHAnsi" w:cstheme="majorHAnsi"/>
        </w:rPr>
        <w:t>[IV11</w:t>
      </w:r>
      <w:r w:rsidR="00960EAA" w:rsidRPr="00C93E05">
        <w:rPr>
          <w:rFonts w:asciiTheme="majorHAnsi" w:hAnsiTheme="majorHAnsi" w:cstheme="majorHAnsi"/>
        </w:rPr>
        <w:t>]</w:t>
      </w:r>
      <w:r w:rsidR="00A337B1">
        <w:rPr>
          <w:rFonts w:asciiTheme="majorHAnsi" w:hAnsiTheme="majorHAnsi" w:cstheme="majorHAnsi"/>
        </w:rPr>
        <w:t xml:space="preserve">. </w:t>
      </w:r>
      <w:r w:rsidR="00B402AB" w:rsidRPr="00C93E05">
        <w:rPr>
          <w:rFonts w:asciiTheme="majorHAnsi" w:hAnsiTheme="majorHAnsi" w:cstheme="majorHAnsi"/>
        </w:rPr>
        <w:t xml:space="preserve">Overall, </w:t>
      </w:r>
      <w:r w:rsidR="00A337B1">
        <w:rPr>
          <w:rFonts w:asciiTheme="majorHAnsi" w:hAnsiTheme="majorHAnsi" w:cstheme="majorHAnsi"/>
        </w:rPr>
        <w:t xml:space="preserve">there is </w:t>
      </w:r>
      <w:r w:rsidR="00B402AB" w:rsidRPr="00C93E05">
        <w:rPr>
          <w:rFonts w:asciiTheme="majorHAnsi" w:hAnsiTheme="majorHAnsi" w:cstheme="majorHAnsi"/>
        </w:rPr>
        <w:t xml:space="preserve">a </w:t>
      </w:r>
      <w:r w:rsidR="00096283" w:rsidRPr="00C93E05">
        <w:rPr>
          <w:rFonts w:asciiTheme="majorHAnsi" w:hAnsiTheme="majorHAnsi" w:cstheme="majorHAnsi"/>
        </w:rPr>
        <w:t>sense t</w:t>
      </w:r>
      <w:r w:rsidR="000A4810" w:rsidRPr="00C93E05">
        <w:rPr>
          <w:rFonts w:asciiTheme="majorHAnsi" w:hAnsiTheme="majorHAnsi" w:cstheme="majorHAnsi"/>
        </w:rPr>
        <w:t xml:space="preserve">he HE </w:t>
      </w:r>
      <w:proofErr w:type="gramStart"/>
      <w:r w:rsidR="000A4810" w:rsidRPr="00C93E05">
        <w:rPr>
          <w:rFonts w:asciiTheme="majorHAnsi" w:hAnsiTheme="majorHAnsi" w:cstheme="majorHAnsi"/>
        </w:rPr>
        <w:t>sector</w:t>
      </w:r>
      <w:proofErr w:type="gramEnd"/>
      <w:r w:rsidR="000A4810" w:rsidRPr="00C93E05">
        <w:rPr>
          <w:rFonts w:asciiTheme="majorHAnsi" w:hAnsiTheme="majorHAnsi" w:cstheme="majorHAnsi"/>
        </w:rPr>
        <w:t xml:space="preserve"> in the UK is </w:t>
      </w:r>
      <w:r w:rsidR="00E422E6" w:rsidRPr="00C93E05">
        <w:rPr>
          <w:rFonts w:asciiTheme="majorHAnsi" w:hAnsiTheme="majorHAnsi" w:cstheme="majorHAnsi"/>
        </w:rPr>
        <w:t>under attack</w:t>
      </w:r>
      <w:r w:rsidR="00717ACC" w:rsidRPr="00C93E05">
        <w:rPr>
          <w:rFonts w:asciiTheme="majorHAnsi" w:hAnsiTheme="majorHAnsi" w:cstheme="majorHAnsi"/>
        </w:rPr>
        <w:t xml:space="preserve"> from media and government</w:t>
      </w:r>
      <w:r w:rsidR="00F538CB">
        <w:rPr>
          <w:rFonts w:asciiTheme="majorHAnsi" w:hAnsiTheme="majorHAnsi" w:cstheme="majorHAnsi"/>
        </w:rPr>
        <w:t xml:space="preserve">, </w:t>
      </w:r>
      <w:r w:rsidR="00717ACC" w:rsidRPr="00C93E05">
        <w:rPr>
          <w:rFonts w:asciiTheme="majorHAnsi" w:hAnsiTheme="majorHAnsi" w:cstheme="majorHAnsi"/>
        </w:rPr>
        <w:t xml:space="preserve">and </w:t>
      </w:r>
      <w:r w:rsidR="00E422E6" w:rsidRPr="00C93E05">
        <w:rPr>
          <w:rFonts w:asciiTheme="majorHAnsi" w:hAnsiTheme="majorHAnsi" w:cstheme="majorHAnsi"/>
        </w:rPr>
        <w:t xml:space="preserve">at war with itself, </w:t>
      </w:r>
      <w:r w:rsidR="00717ACC" w:rsidRPr="00C93E05">
        <w:rPr>
          <w:rFonts w:asciiTheme="majorHAnsi" w:hAnsiTheme="majorHAnsi" w:cstheme="majorHAnsi"/>
        </w:rPr>
        <w:t>lead</w:t>
      </w:r>
      <w:r w:rsidR="00A337B1">
        <w:rPr>
          <w:rFonts w:asciiTheme="majorHAnsi" w:hAnsiTheme="majorHAnsi" w:cstheme="majorHAnsi"/>
        </w:rPr>
        <w:t>ing</w:t>
      </w:r>
      <w:r w:rsidR="00CB6D1C" w:rsidRPr="00C93E05">
        <w:rPr>
          <w:rFonts w:asciiTheme="majorHAnsi" w:hAnsiTheme="majorHAnsi" w:cstheme="majorHAnsi"/>
        </w:rPr>
        <w:t xml:space="preserve"> </w:t>
      </w:r>
      <w:r w:rsidR="00717ACC" w:rsidRPr="00C93E05">
        <w:rPr>
          <w:rFonts w:asciiTheme="majorHAnsi" w:hAnsiTheme="majorHAnsi" w:cstheme="majorHAnsi"/>
        </w:rPr>
        <w:t xml:space="preserve">to a </w:t>
      </w:r>
      <w:r w:rsidR="00E422E6" w:rsidRPr="00C93E05">
        <w:rPr>
          <w:rFonts w:asciiTheme="majorHAnsi" w:hAnsiTheme="majorHAnsi" w:cstheme="majorHAnsi"/>
        </w:rPr>
        <w:t>climate of fear and competition</w:t>
      </w:r>
      <w:r w:rsidR="00A337B1">
        <w:rPr>
          <w:rFonts w:asciiTheme="majorHAnsi" w:hAnsiTheme="majorHAnsi" w:cstheme="majorHAnsi"/>
        </w:rPr>
        <w:t>:</w:t>
      </w:r>
    </w:p>
    <w:p w14:paraId="717AB15C" w14:textId="77777777" w:rsidR="00A337B1" w:rsidRDefault="00A337B1" w:rsidP="00B402AB">
      <w:pPr>
        <w:rPr>
          <w:rFonts w:asciiTheme="majorHAnsi" w:hAnsiTheme="majorHAnsi" w:cstheme="majorHAnsi"/>
        </w:rPr>
      </w:pPr>
    </w:p>
    <w:p w14:paraId="3AB67299" w14:textId="77777777" w:rsidR="00A337B1" w:rsidRPr="00C93E05" w:rsidRDefault="00A337B1" w:rsidP="00A337B1">
      <w:pPr>
        <w:rPr>
          <w:rFonts w:asciiTheme="majorHAnsi" w:eastAsia="MS Mincho" w:hAnsiTheme="majorHAnsi" w:cstheme="majorHAnsi"/>
          <w:i/>
          <w:iCs/>
        </w:rPr>
      </w:pPr>
      <w:r w:rsidRPr="00C93E05">
        <w:rPr>
          <w:rFonts w:asciiTheme="majorHAnsi" w:hAnsiTheme="majorHAnsi" w:cstheme="majorHAnsi"/>
          <w:i/>
          <w:iCs/>
        </w:rPr>
        <w:t>“</w:t>
      </w:r>
      <w:proofErr w:type="gramStart"/>
      <w:r w:rsidRPr="00C93E05">
        <w:rPr>
          <w:rFonts w:asciiTheme="majorHAnsi" w:hAnsiTheme="majorHAnsi" w:cstheme="majorHAnsi"/>
          <w:i/>
          <w:iCs/>
        </w:rPr>
        <w:t>universities</w:t>
      </w:r>
      <w:proofErr w:type="gramEnd"/>
      <w:r w:rsidRPr="00C93E05">
        <w:rPr>
          <w:rFonts w:asciiTheme="majorHAnsi" w:hAnsiTheme="majorHAnsi" w:cstheme="majorHAnsi"/>
          <w:i/>
          <w:iCs/>
        </w:rPr>
        <w:t xml:space="preserve">…should stop being bashed by central government. Cause that infuriates me, because it's very clearly for, you know, political ends” </w:t>
      </w:r>
      <w:r w:rsidRPr="00F538CB">
        <w:rPr>
          <w:rFonts w:asciiTheme="majorHAnsi" w:hAnsiTheme="majorHAnsi" w:cstheme="majorHAnsi"/>
        </w:rPr>
        <w:t>[IV09]</w:t>
      </w:r>
    </w:p>
    <w:p w14:paraId="2972F890" w14:textId="77777777" w:rsidR="00A337B1" w:rsidRDefault="00A337B1" w:rsidP="00B402AB">
      <w:pPr>
        <w:rPr>
          <w:rFonts w:asciiTheme="majorHAnsi" w:hAnsiTheme="majorHAnsi" w:cstheme="majorHAnsi"/>
        </w:rPr>
      </w:pPr>
    </w:p>
    <w:p w14:paraId="371ED708" w14:textId="77777777" w:rsidR="0034072D" w:rsidRDefault="0034072D" w:rsidP="0034072D">
      <w:pPr>
        <w:rPr>
          <w:rFonts w:asciiTheme="majorHAnsi" w:hAnsiTheme="majorHAnsi" w:cstheme="majorHAnsi"/>
        </w:rPr>
      </w:pPr>
      <w:r>
        <w:rPr>
          <w:rFonts w:asciiTheme="majorHAnsi" w:hAnsiTheme="majorHAnsi" w:cstheme="majorHAnsi"/>
        </w:rPr>
        <w:t>C</w:t>
      </w:r>
      <w:r w:rsidRPr="00C93E05">
        <w:rPr>
          <w:rFonts w:asciiTheme="majorHAnsi" w:hAnsiTheme="majorHAnsi" w:cstheme="majorHAnsi"/>
        </w:rPr>
        <w:t>onversely</w:t>
      </w:r>
      <w:r>
        <w:rPr>
          <w:rFonts w:asciiTheme="majorHAnsi" w:hAnsiTheme="majorHAnsi" w:cstheme="majorHAnsi"/>
        </w:rPr>
        <w:t>,</w:t>
      </w:r>
      <w:r w:rsidRPr="00C93E05">
        <w:rPr>
          <w:rFonts w:asciiTheme="majorHAnsi" w:hAnsiTheme="majorHAnsi" w:cstheme="majorHAnsi"/>
        </w:rPr>
        <w:t xml:space="preserve"> some media reporting of students in welfare crisis claim</w:t>
      </w:r>
      <w:r>
        <w:rPr>
          <w:rFonts w:asciiTheme="majorHAnsi" w:hAnsiTheme="majorHAnsi" w:cstheme="majorHAnsi"/>
        </w:rPr>
        <w:t xml:space="preserve"> that</w:t>
      </w:r>
      <w:r w:rsidRPr="00C93E05">
        <w:rPr>
          <w:rFonts w:asciiTheme="majorHAnsi" w:hAnsiTheme="majorHAnsi" w:cstheme="majorHAnsi"/>
        </w:rPr>
        <w:t xml:space="preserve"> universities are not doing enough [IV12].</w:t>
      </w:r>
      <w:r>
        <w:rPr>
          <w:rFonts w:asciiTheme="majorHAnsi" w:hAnsiTheme="majorHAnsi" w:cstheme="majorHAnsi"/>
        </w:rPr>
        <w:t xml:space="preserve"> In such an environment, u</w:t>
      </w:r>
      <w:r w:rsidRPr="00C93E05">
        <w:rPr>
          <w:rFonts w:asciiTheme="majorHAnsi" w:hAnsiTheme="majorHAnsi" w:cstheme="majorHAnsi"/>
        </w:rPr>
        <w:t>niversities can panic and attempt to over-control student wellbeing [IV12].</w:t>
      </w:r>
    </w:p>
    <w:p w14:paraId="26862896" w14:textId="77777777" w:rsidR="00555E6B" w:rsidRDefault="00555E6B" w:rsidP="00FA668F">
      <w:pPr>
        <w:rPr>
          <w:rFonts w:asciiTheme="majorHAnsi" w:eastAsia="MS Mincho" w:hAnsiTheme="majorHAnsi" w:cstheme="majorHAnsi"/>
        </w:rPr>
      </w:pPr>
    </w:p>
    <w:p w14:paraId="23FFA9F4" w14:textId="77777777" w:rsidR="00FA668F" w:rsidRDefault="00FA668F" w:rsidP="00FA668F">
      <w:pPr>
        <w:rPr>
          <w:rFonts w:ascii="Calibri" w:eastAsia="MS Mincho" w:hAnsi="Calibri" w:cs="Calibri"/>
          <w:b/>
          <w:bCs/>
          <w:i/>
          <w:iCs/>
        </w:rPr>
      </w:pPr>
      <w:r w:rsidRPr="00C93E05">
        <w:rPr>
          <w:rFonts w:ascii="Calibri" w:eastAsia="MS Mincho" w:hAnsi="Calibri" w:cs="Calibri"/>
          <w:b/>
          <w:bCs/>
          <w:i/>
          <w:iCs/>
        </w:rPr>
        <w:t>Operational capacity</w:t>
      </w:r>
    </w:p>
    <w:p w14:paraId="4726B14A" w14:textId="3204ED4B" w:rsidR="005744AB" w:rsidRPr="00C93E05" w:rsidRDefault="00B5081A" w:rsidP="00DF2F6E">
      <w:pPr>
        <w:rPr>
          <w:rFonts w:asciiTheme="majorHAnsi" w:eastAsia="MS Mincho" w:hAnsiTheme="majorHAnsi" w:cstheme="majorHAnsi"/>
        </w:rPr>
      </w:pPr>
      <w:r>
        <w:rPr>
          <w:rFonts w:ascii="Calibri" w:eastAsia="MS Mincho" w:hAnsi="Calibri" w:cs="Calibri"/>
        </w:rPr>
        <w:t xml:space="preserve">This section explores some of the Operational competences set out in Table 2. </w:t>
      </w:r>
      <w:r w:rsidR="00A6316C">
        <w:rPr>
          <w:rFonts w:ascii="Calibri" w:eastAsia="MS Mincho" w:hAnsi="Calibri" w:cs="Calibri"/>
        </w:rPr>
        <w:t>L</w:t>
      </w:r>
      <w:r>
        <w:rPr>
          <w:rFonts w:ascii="Calibri" w:eastAsia="MS Mincho" w:hAnsi="Calibri" w:cs="Calibri"/>
        </w:rPr>
        <w:t>ack of these w</w:t>
      </w:r>
      <w:r w:rsidR="003833C9">
        <w:rPr>
          <w:rFonts w:ascii="Calibri" w:eastAsia="MS Mincho" w:hAnsi="Calibri" w:cs="Calibri"/>
        </w:rPr>
        <w:t>as</w:t>
      </w:r>
      <w:r>
        <w:rPr>
          <w:rFonts w:ascii="Calibri" w:eastAsia="MS Mincho" w:hAnsi="Calibri" w:cs="Calibri"/>
        </w:rPr>
        <w:t xml:space="preserve"> most evident at the Organisational level</w:t>
      </w:r>
      <w:r w:rsidR="0034072D">
        <w:rPr>
          <w:rFonts w:ascii="Calibri" w:eastAsia="MS Mincho" w:hAnsi="Calibri" w:cs="Calibri"/>
        </w:rPr>
        <w:t xml:space="preserve">, and manifest in two main ways. </w:t>
      </w:r>
      <w:r w:rsidR="0040249B" w:rsidRPr="00C93E05">
        <w:rPr>
          <w:rFonts w:ascii="Calibri" w:eastAsia="MS Mincho" w:hAnsi="Calibri" w:cs="Calibri"/>
        </w:rPr>
        <w:t xml:space="preserve">First, </w:t>
      </w:r>
      <w:r w:rsidR="00BC1FE7">
        <w:rPr>
          <w:rFonts w:ascii="Calibri" w:eastAsia="MS Mincho" w:hAnsi="Calibri" w:cs="Calibri"/>
        </w:rPr>
        <w:t xml:space="preserve">around </w:t>
      </w:r>
      <w:r w:rsidR="0040249B" w:rsidRPr="00C93E05">
        <w:rPr>
          <w:rFonts w:ascii="Calibri" w:eastAsia="MS Mincho" w:hAnsi="Calibri" w:cs="Calibri"/>
        </w:rPr>
        <w:t xml:space="preserve">resources: </w:t>
      </w:r>
      <w:r w:rsidR="00FA668F" w:rsidRPr="00C93E05">
        <w:rPr>
          <w:rFonts w:ascii="Calibri" w:eastAsia="MS Mincho" w:hAnsi="Calibri" w:cs="Calibri"/>
        </w:rPr>
        <w:t>PGRs often get less resource compared with other areas of university</w:t>
      </w:r>
      <w:r w:rsidR="00F52057" w:rsidRPr="00C93E05">
        <w:rPr>
          <w:rFonts w:ascii="Calibri" w:eastAsia="MS Mincho" w:hAnsi="Calibri" w:cs="Calibri"/>
        </w:rPr>
        <w:t xml:space="preserve"> life,</w:t>
      </w:r>
      <w:r w:rsidR="00F52057" w:rsidRPr="00C93E05">
        <w:rPr>
          <w:rFonts w:asciiTheme="majorHAnsi" w:eastAsia="MS Mincho" w:hAnsiTheme="majorHAnsi" w:cstheme="majorHAnsi"/>
        </w:rPr>
        <w:t xml:space="preserve"> </w:t>
      </w:r>
      <w:r w:rsidR="00F52057" w:rsidRPr="00C93E05">
        <w:rPr>
          <w:rFonts w:asciiTheme="majorHAnsi" w:hAnsiTheme="majorHAnsi" w:cstheme="majorHAnsi"/>
        </w:rPr>
        <w:t>even in elite universities</w:t>
      </w:r>
      <w:r w:rsidR="00DF2F6E">
        <w:rPr>
          <w:rFonts w:asciiTheme="majorHAnsi" w:hAnsiTheme="majorHAnsi" w:cstheme="majorHAnsi"/>
        </w:rPr>
        <w:t xml:space="preserve">, </w:t>
      </w:r>
      <w:r w:rsidR="00DF2F6E" w:rsidRPr="00C93E05">
        <w:rPr>
          <w:rFonts w:asciiTheme="majorHAnsi" w:eastAsia="MS Mincho" w:hAnsiTheme="majorHAnsi" w:cstheme="majorHAnsi"/>
        </w:rPr>
        <w:t>including time to design, set up and properly run wellbeing interventions</w:t>
      </w:r>
      <w:r w:rsidR="00DF2F6E" w:rsidRPr="00C93E05">
        <w:rPr>
          <w:rFonts w:asciiTheme="majorHAnsi" w:hAnsiTheme="majorHAnsi" w:cstheme="majorHAnsi"/>
        </w:rPr>
        <w:t xml:space="preserve"> [IV01; </w:t>
      </w:r>
      <w:r w:rsidR="00DF2F6E">
        <w:rPr>
          <w:rFonts w:asciiTheme="majorHAnsi" w:hAnsiTheme="majorHAnsi" w:cstheme="majorHAnsi"/>
        </w:rPr>
        <w:t xml:space="preserve">09; </w:t>
      </w:r>
      <w:r w:rsidR="00DF2F6E" w:rsidRPr="00C93E05">
        <w:rPr>
          <w:rFonts w:asciiTheme="majorHAnsi" w:hAnsiTheme="majorHAnsi" w:cstheme="majorHAnsi"/>
        </w:rPr>
        <w:t>12]</w:t>
      </w:r>
      <w:r w:rsidR="00DF2F6E">
        <w:rPr>
          <w:rFonts w:asciiTheme="majorHAnsi" w:hAnsiTheme="majorHAnsi" w:cstheme="majorHAnsi"/>
        </w:rPr>
        <w:t>:</w:t>
      </w:r>
    </w:p>
    <w:p w14:paraId="49C50776" w14:textId="77777777" w:rsidR="00C75AB8" w:rsidRPr="00C93E05" w:rsidRDefault="00C75AB8" w:rsidP="00C75AB8">
      <w:pPr>
        <w:rPr>
          <w:rFonts w:asciiTheme="majorHAnsi" w:eastAsia="MS Mincho" w:hAnsiTheme="majorHAnsi" w:cstheme="majorHAnsi"/>
          <w:i/>
          <w:iCs/>
        </w:rPr>
      </w:pPr>
    </w:p>
    <w:p w14:paraId="3A87ACA3" w14:textId="338F82CC" w:rsidR="005744AB" w:rsidRPr="00C93E05" w:rsidRDefault="005744AB" w:rsidP="00F52057">
      <w:pPr>
        <w:rPr>
          <w:rFonts w:asciiTheme="majorHAnsi" w:eastAsia="MS Mincho" w:hAnsiTheme="majorHAnsi" w:cstheme="majorHAnsi"/>
          <w:i/>
          <w:iCs/>
        </w:rPr>
      </w:pPr>
      <w:r w:rsidRPr="00C93E05">
        <w:rPr>
          <w:rFonts w:asciiTheme="majorHAnsi" w:hAnsiTheme="majorHAnsi" w:cstheme="majorHAnsi"/>
          <w:i/>
          <w:iCs/>
        </w:rPr>
        <w:t xml:space="preserve">“[Uni K] could be considered quite an elite university, right? </w:t>
      </w:r>
      <w:r w:rsidR="00F74869" w:rsidRPr="00C93E05">
        <w:rPr>
          <w:rFonts w:asciiTheme="majorHAnsi" w:hAnsiTheme="majorHAnsi" w:cstheme="majorHAnsi"/>
          <w:i/>
          <w:iCs/>
        </w:rPr>
        <w:t>… But</w:t>
      </w:r>
      <w:r w:rsidRPr="00C93E05">
        <w:rPr>
          <w:rFonts w:asciiTheme="majorHAnsi" w:hAnsiTheme="majorHAnsi" w:cstheme="majorHAnsi"/>
          <w:i/>
          <w:iCs/>
        </w:rPr>
        <w:t xml:space="preserve"> the welfare services are run on an absolute shoestring budget and there is no, like the funding that we receive has not changed in the last </w:t>
      </w:r>
      <w:r w:rsidR="00F538CB">
        <w:rPr>
          <w:rFonts w:asciiTheme="majorHAnsi" w:hAnsiTheme="majorHAnsi" w:cstheme="majorHAnsi"/>
          <w:i/>
          <w:iCs/>
        </w:rPr>
        <w:t>N</w:t>
      </w:r>
      <w:r w:rsidRPr="00C93E05">
        <w:rPr>
          <w:rFonts w:asciiTheme="majorHAnsi" w:hAnsiTheme="majorHAnsi" w:cstheme="majorHAnsi"/>
          <w:i/>
          <w:iCs/>
        </w:rPr>
        <w:t xml:space="preserve"> years. In </w:t>
      </w:r>
      <w:proofErr w:type="gramStart"/>
      <w:r w:rsidRPr="00C93E05">
        <w:rPr>
          <w:rFonts w:asciiTheme="majorHAnsi" w:hAnsiTheme="majorHAnsi" w:cstheme="majorHAnsi"/>
          <w:i/>
          <w:iCs/>
        </w:rPr>
        <w:t>fact</w:t>
      </w:r>
      <w:proofErr w:type="gramEnd"/>
      <w:r w:rsidRPr="00C93E05">
        <w:rPr>
          <w:rFonts w:asciiTheme="majorHAnsi" w:hAnsiTheme="majorHAnsi" w:cstheme="majorHAnsi"/>
          <w:i/>
          <w:iCs/>
        </w:rPr>
        <w:t xml:space="preserve"> we’re</w:t>
      </w:r>
      <w:r w:rsidR="00F74869" w:rsidRPr="00C93E05">
        <w:rPr>
          <w:rFonts w:asciiTheme="majorHAnsi" w:hAnsiTheme="majorHAnsi" w:cstheme="majorHAnsi"/>
          <w:i/>
          <w:iCs/>
        </w:rPr>
        <w:t xml:space="preserve"> </w:t>
      </w:r>
      <w:r w:rsidRPr="00C93E05">
        <w:rPr>
          <w:rFonts w:asciiTheme="majorHAnsi" w:hAnsiTheme="majorHAnsi" w:cstheme="majorHAnsi"/>
          <w:i/>
          <w:iCs/>
        </w:rPr>
        <w:t>... underpaid and under</w:t>
      </w:r>
      <w:r w:rsidR="00F74869" w:rsidRPr="00C93E05">
        <w:rPr>
          <w:rFonts w:asciiTheme="majorHAnsi" w:hAnsiTheme="majorHAnsi" w:cstheme="majorHAnsi"/>
          <w:i/>
          <w:iCs/>
        </w:rPr>
        <w:t>-</w:t>
      </w:r>
      <w:r w:rsidRPr="00C93E05">
        <w:rPr>
          <w:rFonts w:asciiTheme="majorHAnsi" w:hAnsiTheme="majorHAnsi" w:cstheme="majorHAnsi"/>
          <w:i/>
          <w:iCs/>
        </w:rPr>
        <w:t xml:space="preserve">supported” </w:t>
      </w:r>
      <w:r w:rsidRPr="00F538CB">
        <w:rPr>
          <w:rFonts w:asciiTheme="majorHAnsi" w:hAnsiTheme="majorHAnsi" w:cstheme="majorHAnsi"/>
        </w:rPr>
        <w:t>[IV12]</w:t>
      </w:r>
    </w:p>
    <w:p w14:paraId="1D562D39" w14:textId="77777777" w:rsidR="00C75AB8" w:rsidRPr="00C93E05" w:rsidRDefault="00C75AB8" w:rsidP="00C75AB8">
      <w:pPr>
        <w:rPr>
          <w:rFonts w:asciiTheme="majorHAnsi" w:hAnsiTheme="majorHAnsi" w:cstheme="majorHAnsi"/>
        </w:rPr>
      </w:pPr>
    </w:p>
    <w:p w14:paraId="429C9A65" w14:textId="39DA958A" w:rsidR="00816B9E" w:rsidRPr="00C93E05" w:rsidRDefault="00F52057" w:rsidP="00816B9E">
      <w:pPr>
        <w:rPr>
          <w:rFonts w:asciiTheme="majorHAnsi" w:hAnsiTheme="majorHAnsi" w:cstheme="majorHAnsi"/>
        </w:rPr>
      </w:pPr>
      <w:r w:rsidRPr="00C93E05">
        <w:rPr>
          <w:rFonts w:asciiTheme="majorHAnsi" w:hAnsiTheme="majorHAnsi" w:cstheme="majorHAnsi"/>
        </w:rPr>
        <w:t xml:space="preserve">Second, fragmentation: responsibility </w:t>
      </w:r>
      <w:r w:rsidR="00DC4032" w:rsidRPr="00C93E05">
        <w:rPr>
          <w:rFonts w:asciiTheme="majorHAnsi" w:hAnsiTheme="majorHAnsi" w:cstheme="majorHAnsi"/>
        </w:rPr>
        <w:t xml:space="preserve">for PGRs cuts across several </w:t>
      </w:r>
      <w:r w:rsidRPr="00C93E05">
        <w:rPr>
          <w:rFonts w:asciiTheme="majorHAnsi" w:hAnsiTheme="majorHAnsi" w:cstheme="majorHAnsi"/>
        </w:rPr>
        <w:t xml:space="preserve">organisational </w:t>
      </w:r>
      <w:r w:rsidR="00DC4032" w:rsidRPr="00C93E05">
        <w:rPr>
          <w:rFonts w:asciiTheme="majorHAnsi" w:hAnsiTheme="majorHAnsi" w:cstheme="majorHAnsi"/>
        </w:rPr>
        <w:t xml:space="preserve">functions [IV04] </w:t>
      </w:r>
      <w:r w:rsidRPr="00C93E05">
        <w:rPr>
          <w:rFonts w:asciiTheme="majorHAnsi" w:hAnsiTheme="majorHAnsi" w:cstheme="majorHAnsi"/>
        </w:rPr>
        <w:t>at levels from research group to Faculty, and across different professional services</w:t>
      </w:r>
      <w:r w:rsidR="00DC4032" w:rsidRPr="00C93E05">
        <w:rPr>
          <w:rFonts w:asciiTheme="majorHAnsi" w:hAnsiTheme="majorHAnsi" w:cstheme="majorHAnsi"/>
        </w:rPr>
        <w:t xml:space="preserve"> [IV14]</w:t>
      </w:r>
      <w:r w:rsidRPr="00C93E05">
        <w:rPr>
          <w:rFonts w:asciiTheme="majorHAnsi" w:hAnsiTheme="majorHAnsi" w:cstheme="majorHAnsi"/>
        </w:rPr>
        <w:t>. This can result in p</w:t>
      </w:r>
      <w:r w:rsidR="00FA668F" w:rsidRPr="00C93E05">
        <w:rPr>
          <w:rFonts w:asciiTheme="majorHAnsi" w:eastAsia="MS Mincho" w:hAnsiTheme="majorHAnsi" w:cstheme="majorHAnsi"/>
        </w:rPr>
        <w:t xml:space="preserve">aradoxes </w:t>
      </w:r>
      <w:r w:rsidR="001875D7">
        <w:rPr>
          <w:rFonts w:asciiTheme="majorHAnsi" w:eastAsia="MS Mincho" w:hAnsiTheme="majorHAnsi" w:cstheme="majorHAnsi"/>
        </w:rPr>
        <w:t xml:space="preserve">through </w:t>
      </w:r>
      <w:r w:rsidR="00FA668F" w:rsidRPr="00C93E05">
        <w:rPr>
          <w:rFonts w:asciiTheme="majorHAnsi" w:eastAsia="MS Mincho" w:hAnsiTheme="majorHAnsi" w:cstheme="majorHAnsi"/>
        </w:rPr>
        <w:t xml:space="preserve">being in-between support and bureaucratic systems, institutional processes and structures </w:t>
      </w:r>
      <w:r w:rsidR="001875D7">
        <w:rPr>
          <w:rFonts w:asciiTheme="majorHAnsi" w:eastAsia="MS Mincho" w:hAnsiTheme="majorHAnsi" w:cstheme="majorHAnsi"/>
        </w:rPr>
        <w:t xml:space="preserve">which </w:t>
      </w:r>
      <w:r w:rsidR="00FA668F" w:rsidRPr="00C93E05">
        <w:rPr>
          <w:rFonts w:asciiTheme="majorHAnsi" w:eastAsia="MS Mincho" w:hAnsiTheme="majorHAnsi" w:cstheme="majorHAnsi"/>
        </w:rPr>
        <w:t>developed around PGR as afterthought</w:t>
      </w:r>
      <w:r w:rsidRPr="00C93E05">
        <w:rPr>
          <w:rFonts w:asciiTheme="majorHAnsi" w:eastAsia="MS Mincho" w:hAnsiTheme="majorHAnsi" w:cstheme="majorHAnsi"/>
        </w:rPr>
        <w:t xml:space="preserve">. </w:t>
      </w:r>
      <w:r w:rsidR="0007524B" w:rsidRPr="00C93E05">
        <w:rPr>
          <w:rFonts w:asciiTheme="majorHAnsi" w:eastAsia="Times New Roman" w:hAnsiTheme="majorHAnsi" w:cstheme="majorHAnsi"/>
          <w:lang w:eastAsia="en-GB"/>
        </w:rPr>
        <w:t xml:space="preserve">For example, at the Organisational level, IV03 explained that delays in processing stipends were dealt with much less urgently than </w:t>
      </w:r>
      <w:r w:rsidR="001875D7">
        <w:rPr>
          <w:rFonts w:asciiTheme="majorHAnsi" w:eastAsia="Times New Roman" w:hAnsiTheme="majorHAnsi" w:cstheme="majorHAnsi"/>
          <w:lang w:eastAsia="en-GB"/>
        </w:rPr>
        <w:t xml:space="preserve">if it had occurred for </w:t>
      </w:r>
      <w:r w:rsidR="0007524B" w:rsidRPr="00C93E05">
        <w:rPr>
          <w:rFonts w:asciiTheme="majorHAnsi" w:eastAsia="Times New Roman" w:hAnsiTheme="majorHAnsi" w:cstheme="majorHAnsi"/>
          <w:lang w:eastAsia="en-GB"/>
        </w:rPr>
        <w:t xml:space="preserve">staff, which would have caused ‘uproar’. Another interviewee gave the example of PGRs being left off crucial </w:t>
      </w:r>
      <w:r w:rsidR="00B0327C">
        <w:rPr>
          <w:rFonts w:asciiTheme="majorHAnsi" w:eastAsia="Times New Roman" w:hAnsiTheme="majorHAnsi" w:cstheme="majorHAnsi"/>
          <w:lang w:eastAsia="en-GB"/>
        </w:rPr>
        <w:t>email lists</w:t>
      </w:r>
      <w:r w:rsidR="005C3B49" w:rsidRPr="00C93E05">
        <w:rPr>
          <w:rFonts w:asciiTheme="majorHAnsi" w:eastAsia="Times New Roman" w:hAnsiTheme="majorHAnsi" w:cstheme="majorHAnsi"/>
          <w:lang w:eastAsia="en-GB"/>
        </w:rPr>
        <w:t xml:space="preserve">, </w:t>
      </w:r>
      <w:r w:rsidR="0007524B" w:rsidRPr="00C93E05">
        <w:rPr>
          <w:rFonts w:asciiTheme="majorHAnsi" w:eastAsia="Times New Roman" w:hAnsiTheme="majorHAnsi" w:cstheme="majorHAnsi"/>
          <w:lang w:eastAsia="en-GB"/>
        </w:rPr>
        <w:t xml:space="preserve">leaving </w:t>
      </w:r>
      <w:r w:rsidR="001875D7">
        <w:rPr>
          <w:rFonts w:asciiTheme="majorHAnsi" w:eastAsia="Times New Roman" w:hAnsiTheme="majorHAnsi" w:cstheme="majorHAnsi"/>
          <w:lang w:eastAsia="en-GB"/>
        </w:rPr>
        <w:t>them</w:t>
      </w:r>
      <w:r w:rsidR="0007524B" w:rsidRPr="00C93E05">
        <w:rPr>
          <w:rFonts w:asciiTheme="majorHAnsi" w:eastAsia="Times New Roman" w:hAnsiTheme="majorHAnsi" w:cstheme="majorHAnsi"/>
          <w:lang w:eastAsia="en-GB"/>
        </w:rPr>
        <w:t xml:space="preserve"> to discover important news in an ad hoc way [IV04].</w:t>
      </w:r>
      <w:r w:rsidR="002B49D0">
        <w:rPr>
          <w:rFonts w:asciiTheme="majorHAnsi" w:eastAsia="Times New Roman" w:hAnsiTheme="majorHAnsi" w:cstheme="majorHAnsi"/>
          <w:lang w:eastAsia="en-GB"/>
        </w:rPr>
        <w:t xml:space="preserve"> </w:t>
      </w:r>
      <w:r w:rsidR="00816B9E">
        <w:rPr>
          <w:rFonts w:asciiTheme="majorHAnsi" w:eastAsia="Times New Roman" w:hAnsiTheme="majorHAnsi" w:cstheme="majorHAnsi"/>
          <w:lang w:eastAsia="en-GB"/>
        </w:rPr>
        <w:t>When it comes to wellbeing interventions, e</w:t>
      </w:r>
      <w:r w:rsidR="00816B9E" w:rsidRPr="00C93E05">
        <w:rPr>
          <w:rFonts w:asciiTheme="majorHAnsi" w:eastAsia="MS Mincho" w:hAnsiTheme="majorHAnsi" w:cstheme="majorHAnsi"/>
        </w:rPr>
        <w:t xml:space="preserve">fforts are commonly spread across faculties, departments, </w:t>
      </w:r>
      <w:r w:rsidR="00816B9E">
        <w:rPr>
          <w:rFonts w:asciiTheme="majorHAnsi" w:eastAsia="MS Mincho" w:hAnsiTheme="majorHAnsi" w:cstheme="majorHAnsi"/>
        </w:rPr>
        <w:t xml:space="preserve">and </w:t>
      </w:r>
      <w:r w:rsidR="00816B9E" w:rsidRPr="00C93E05">
        <w:rPr>
          <w:rFonts w:asciiTheme="majorHAnsi" w:eastAsia="MS Mincho" w:hAnsiTheme="majorHAnsi" w:cstheme="majorHAnsi"/>
        </w:rPr>
        <w:t xml:space="preserve">different professional services, each with different operating procedures and priorities, and complex and often inconsistent relationships between them </w:t>
      </w:r>
      <w:r w:rsidR="00816B9E" w:rsidRPr="00C93E05">
        <w:rPr>
          <w:rFonts w:asciiTheme="majorHAnsi" w:hAnsiTheme="majorHAnsi" w:cstheme="majorHAnsi"/>
        </w:rPr>
        <w:t>[IV</w:t>
      </w:r>
      <w:r w:rsidR="00816B9E">
        <w:rPr>
          <w:rFonts w:asciiTheme="majorHAnsi" w:hAnsiTheme="majorHAnsi" w:cstheme="majorHAnsi"/>
        </w:rPr>
        <w:t>s</w:t>
      </w:r>
      <w:r w:rsidR="00816B9E" w:rsidRPr="00C93E05">
        <w:rPr>
          <w:rFonts w:asciiTheme="majorHAnsi" w:hAnsiTheme="majorHAnsi" w:cstheme="majorHAnsi"/>
        </w:rPr>
        <w:t>02; 05; 06; 12]</w:t>
      </w:r>
      <w:r w:rsidR="00816B9E">
        <w:rPr>
          <w:rFonts w:asciiTheme="majorHAnsi" w:hAnsiTheme="majorHAnsi" w:cstheme="majorHAnsi"/>
        </w:rPr>
        <w:t>:</w:t>
      </w:r>
      <w:r w:rsidR="00816B9E" w:rsidRPr="00C93E05">
        <w:rPr>
          <w:rFonts w:asciiTheme="majorHAnsi" w:hAnsiTheme="majorHAnsi" w:cstheme="majorHAnsi"/>
        </w:rPr>
        <w:t xml:space="preserve"> </w:t>
      </w:r>
    </w:p>
    <w:p w14:paraId="0CDBF594" w14:textId="77777777" w:rsidR="00816B9E" w:rsidRPr="00C93E05" w:rsidRDefault="00816B9E" w:rsidP="00816B9E">
      <w:pPr>
        <w:rPr>
          <w:rFonts w:asciiTheme="majorHAnsi" w:hAnsiTheme="majorHAnsi" w:cstheme="majorHAnsi"/>
        </w:rPr>
      </w:pPr>
    </w:p>
    <w:p w14:paraId="6D68DCEB" w14:textId="77777777" w:rsidR="00816B9E" w:rsidRPr="00C93E05" w:rsidRDefault="00816B9E" w:rsidP="00816B9E">
      <w:pPr>
        <w:rPr>
          <w:rFonts w:asciiTheme="majorHAnsi" w:hAnsiTheme="majorHAnsi" w:cstheme="majorHAnsi"/>
          <w:i/>
          <w:iCs/>
        </w:rPr>
      </w:pPr>
      <w:r w:rsidRPr="00C93E05">
        <w:rPr>
          <w:rFonts w:asciiTheme="majorHAnsi" w:hAnsiTheme="majorHAnsi" w:cstheme="majorHAnsi"/>
          <w:i/>
          <w:iCs/>
        </w:rPr>
        <w:lastRenderedPageBreak/>
        <w:t>“</w:t>
      </w:r>
      <w:proofErr w:type="gramStart"/>
      <w:r w:rsidRPr="00C93E05">
        <w:rPr>
          <w:rFonts w:asciiTheme="majorHAnsi" w:hAnsiTheme="majorHAnsi" w:cstheme="majorHAnsi"/>
          <w:i/>
          <w:iCs/>
        </w:rPr>
        <w:t>the</w:t>
      </w:r>
      <w:proofErr w:type="gramEnd"/>
      <w:r w:rsidRPr="00C93E05">
        <w:rPr>
          <w:rFonts w:asciiTheme="majorHAnsi" w:hAnsiTheme="majorHAnsi" w:cstheme="majorHAnsi"/>
          <w:i/>
          <w:iCs/>
        </w:rPr>
        <w:t xml:space="preserve"> things we wanted to do, which then kind of took more time because you've got to then liaise with the whole other entity in itself that have their own kind of policies and procedures and red tape and budgeting constraints and staff constraints" [IV05]</w:t>
      </w:r>
    </w:p>
    <w:p w14:paraId="7BB3FA77" w14:textId="77777777" w:rsidR="00816B9E" w:rsidRDefault="00816B9E" w:rsidP="002B49D0">
      <w:pPr>
        <w:rPr>
          <w:rFonts w:asciiTheme="majorHAnsi" w:eastAsia="Times New Roman" w:hAnsiTheme="majorHAnsi" w:cstheme="majorHAnsi"/>
          <w:lang w:eastAsia="en-GB"/>
        </w:rPr>
      </w:pPr>
    </w:p>
    <w:p w14:paraId="43FE7E25" w14:textId="77777777" w:rsidR="00BF34BC" w:rsidRPr="00C93E05" w:rsidRDefault="00BF34BC" w:rsidP="00BF34BC">
      <w:pPr>
        <w:rPr>
          <w:rFonts w:asciiTheme="majorHAnsi" w:hAnsiTheme="majorHAnsi" w:cstheme="majorHAnsi"/>
        </w:rPr>
      </w:pPr>
      <w:r w:rsidRPr="00BF34BC">
        <w:rPr>
          <w:rFonts w:asciiTheme="majorHAnsi" w:hAnsiTheme="majorHAnsi" w:cstheme="majorHAnsi"/>
        </w:rPr>
        <w:t xml:space="preserve">The </w:t>
      </w:r>
      <w:r w:rsidRPr="00C93E05">
        <w:rPr>
          <w:rFonts w:asciiTheme="majorHAnsi" w:hAnsiTheme="majorHAnsi" w:cstheme="majorHAnsi"/>
        </w:rPr>
        <w:t>resulting duplication of roles [IV12]</w:t>
      </w:r>
      <w:bookmarkStart w:id="4" w:name="_Hlk134189679"/>
      <w:r w:rsidRPr="00C93E05">
        <w:rPr>
          <w:rFonts w:asciiTheme="majorHAnsi" w:hAnsiTheme="majorHAnsi" w:cstheme="majorHAnsi"/>
        </w:rPr>
        <w:t xml:space="preserve"> and of interventions [IV09] can lead to gaps in provision [IV12], or lack of engagement in the interventions</w:t>
      </w:r>
      <w:r>
        <w:rPr>
          <w:rFonts w:asciiTheme="majorHAnsi" w:hAnsiTheme="majorHAnsi" w:cstheme="majorHAnsi"/>
        </w:rPr>
        <w:t>:</w:t>
      </w:r>
      <w:r w:rsidRPr="00C93E05">
        <w:rPr>
          <w:rFonts w:asciiTheme="majorHAnsi" w:hAnsiTheme="majorHAnsi" w:cstheme="majorHAnsi"/>
        </w:rPr>
        <w:t xml:space="preserve"> </w:t>
      </w:r>
    </w:p>
    <w:p w14:paraId="153A213E" w14:textId="77777777" w:rsidR="00BF34BC" w:rsidRPr="00C93E05" w:rsidRDefault="00BF34BC" w:rsidP="00BF34BC">
      <w:pPr>
        <w:rPr>
          <w:rFonts w:asciiTheme="majorHAnsi" w:hAnsiTheme="majorHAnsi" w:cstheme="majorHAnsi"/>
          <w:i/>
          <w:iCs/>
        </w:rPr>
      </w:pPr>
    </w:p>
    <w:p w14:paraId="721A0C28" w14:textId="77777777" w:rsidR="00BF34BC" w:rsidRPr="00C93E05" w:rsidRDefault="00BF34BC" w:rsidP="00BF34BC">
      <w:pPr>
        <w:pStyle w:val="CommentText"/>
        <w:rPr>
          <w:rFonts w:asciiTheme="majorHAnsi" w:hAnsiTheme="majorHAnsi" w:cstheme="majorHAnsi"/>
          <w:i/>
          <w:iCs/>
        </w:rPr>
      </w:pPr>
      <w:r w:rsidRPr="00C93E05">
        <w:rPr>
          <w:rFonts w:asciiTheme="majorHAnsi" w:hAnsiTheme="majorHAnsi" w:cstheme="majorHAnsi"/>
          <w:i/>
          <w:iCs/>
        </w:rPr>
        <w:t>"</w:t>
      </w:r>
      <w:proofErr w:type="gramStart"/>
      <w:r w:rsidRPr="00C93E05">
        <w:rPr>
          <w:rFonts w:asciiTheme="majorHAnsi" w:hAnsiTheme="majorHAnsi" w:cstheme="majorHAnsi"/>
          <w:i/>
          <w:iCs/>
        </w:rPr>
        <w:t>the</w:t>
      </w:r>
      <w:proofErr w:type="gramEnd"/>
      <w:r w:rsidRPr="00C93E05">
        <w:rPr>
          <w:rFonts w:asciiTheme="majorHAnsi" w:hAnsiTheme="majorHAnsi" w:cstheme="majorHAnsi"/>
          <w:i/>
          <w:iCs/>
        </w:rPr>
        <w:t xml:space="preserve"> sheer scale of [Uni H] is its own worst enemy, because quite often multiple agents within the institution will run the same training because they don't know that the other person's … running the same thing… It's all hodgepodge.… so many different pots of money, so many different people trying to tick boxes on their own" </w:t>
      </w:r>
      <w:r w:rsidRPr="00817506">
        <w:rPr>
          <w:rFonts w:asciiTheme="majorHAnsi" w:hAnsiTheme="majorHAnsi" w:cstheme="majorHAnsi"/>
        </w:rPr>
        <w:t>[IV09]</w:t>
      </w:r>
    </w:p>
    <w:p w14:paraId="6C51430E" w14:textId="77777777" w:rsidR="00BF34BC" w:rsidRPr="00C93E05" w:rsidRDefault="00BF34BC" w:rsidP="00BF34BC">
      <w:pPr>
        <w:rPr>
          <w:rFonts w:asciiTheme="majorHAnsi" w:hAnsiTheme="majorHAnsi" w:cstheme="majorHAnsi"/>
          <w:i/>
          <w:iCs/>
        </w:rPr>
      </w:pPr>
    </w:p>
    <w:p w14:paraId="048658EA" w14:textId="77777777" w:rsidR="00BF34BC" w:rsidRPr="00C93E05" w:rsidRDefault="00BF34BC" w:rsidP="00BF34BC">
      <w:pPr>
        <w:rPr>
          <w:rFonts w:asciiTheme="majorHAnsi" w:hAnsiTheme="majorHAnsi" w:cstheme="majorHAnsi"/>
        </w:rPr>
      </w:pPr>
      <w:r w:rsidRPr="00C93E05">
        <w:rPr>
          <w:rFonts w:asciiTheme="majorHAnsi" w:hAnsiTheme="majorHAnsi" w:cstheme="majorHAnsi"/>
        </w:rPr>
        <w:t xml:space="preserve">However, there are plenty of examples of </w:t>
      </w:r>
      <w:r w:rsidRPr="00C93E05">
        <w:rPr>
          <w:rFonts w:asciiTheme="majorHAnsi" w:eastAsia="MS Mincho" w:hAnsiTheme="majorHAnsi" w:cstheme="majorHAnsi"/>
        </w:rPr>
        <w:t xml:space="preserve">attempts to overcome fragmentation, including relatively successful cross-division collaboration </w:t>
      </w:r>
      <w:r w:rsidRPr="00C93E05">
        <w:rPr>
          <w:rFonts w:asciiTheme="majorHAnsi" w:hAnsiTheme="majorHAnsi" w:cstheme="majorHAnsi"/>
        </w:rPr>
        <w:t>[IV</w:t>
      </w:r>
      <w:r>
        <w:rPr>
          <w:rFonts w:asciiTheme="majorHAnsi" w:hAnsiTheme="majorHAnsi" w:cstheme="majorHAnsi"/>
        </w:rPr>
        <w:t>s</w:t>
      </w:r>
      <w:r w:rsidRPr="00C93E05">
        <w:rPr>
          <w:rFonts w:asciiTheme="majorHAnsi" w:hAnsiTheme="majorHAnsi" w:cstheme="majorHAnsi"/>
        </w:rPr>
        <w:t>01</w:t>
      </w:r>
      <w:r>
        <w:rPr>
          <w:rFonts w:asciiTheme="majorHAnsi" w:hAnsiTheme="majorHAnsi" w:cstheme="majorHAnsi"/>
        </w:rPr>
        <w:t xml:space="preserve">; </w:t>
      </w:r>
      <w:r w:rsidRPr="00C93E05">
        <w:rPr>
          <w:rFonts w:asciiTheme="majorHAnsi" w:hAnsiTheme="majorHAnsi" w:cstheme="majorHAnsi"/>
        </w:rPr>
        <w:t xml:space="preserve">04; 14; 15]. </w:t>
      </w:r>
      <w:r w:rsidRPr="00C93E05">
        <w:rPr>
          <w:rFonts w:asciiTheme="majorHAnsi" w:eastAsia="Calibri" w:hAnsiTheme="majorHAnsi" w:cstheme="majorHAnsi"/>
        </w:rPr>
        <w:t xml:space="preserve">The process of designing context-relevant resources </w:t>
      </w:r>
      <w:r w:rsidRPr="00C93E05">
        <w:rPr>
          <w:rFonts w:asciiTheme="majorHAnsi" w:hAnsiTheme="majorHAnsi" w:cstheme="majorHAnsi"/>
        </w:rPr>
        <w:t>[IV</w:t>
      </w:r>
      <w:r>
        <w:rPr>
          <w:rFonts w:asciiTheme="majorHAnsi" w:hAnsiTheme="majorHAnsi" w:cstheme="majorHAnsi"/>
        </w:rPr>
        <w:t>s</w:t>
      </w:r>
      <w:r w:rsidRPr="00C93E05">
        <w:rPr>
          <w:rFonts w:asciiTheme="majorHAnsi" w:hAnsiTheme="majorHAnsi" w:cstheme="majorHAnsi"/>
        </w:rPr>
        <w:t xml:space="preserve">04; 09; 10] </w:t>
      </w:r>
      <w:r w:rsidRPr="00C93E05">
        <w:rPr>
          <w:rFonts w:asciiTheme="majorHAnsi" w:eastAsia="Calibri" w:hAnsiTheme="majorHAnsi" w:cstheme="majorHAnsi"/>
        </w:rPr>
        <w:t>within a more strategic proactive approach can include raising awareness with student services about day-to-day life, needs and appropriate language for PGRs [IV06]. Building such capacity can also happen through workshop</w:t>
      </w:r>
      <w:r>
        <w:rPr>
          <w:rFonts w:asciiTheme="majorHAnsi" w:eastAsia="Calibri" w:hAnsiTheme="majorHAnsi" w:cstheme="majorHAnsi"/>
        </w:rPr>
        <w:t xml:space="preserve">s on </w:t>
      </w:r>
      <w:r w:rsidRPr="00C93E05">
        <w:rPr>
          <w:rFonts w:asciiTheme="majorHAnsi" w:eastAsia="Calibri" w:hAnsiTheme="majorHAnsi" w:cstheme="majorHAnsi"/>
        </w:rPr>
        <w:t xml:space="preserve">specifically PGR experiences, such as </w:t>
      </w:r>
      <w:r>
        <w:rPr>
          <w:rFonts w:asciiTheme="majorHAnsi" w:eastAsia="Calibri" w:hAnsiTheme="majorHAnsi" w:cstheme="majorHAnsi"/>
        </w:rPr>
        <w:t xml:space="preserve">problem-solving </w:t>
      </w:r>
      <w:r w:rsidRPr="00C93E05">
        <w:rPr>
          <w:rFonts w:asciiTheme="majorHAnsi" w:eastAsia="Calibri" w:hAnsiTheme="majorHAnsi" w:cstheme="majorHAnsi"/>
        </w:rPr>
        <w:t xml:space="preserve">around supervision [IV07]. </w:t>
      </w:r>
      <w:bookmarkEnd w:id="4"/>
      <w:r w:rsidRPr="00C93E05">
        <w:rPr>
          <w:rFonts w:asciiTheme="majorHAnsi" w:eastAsia="MS Mincho" w:hAnsiTheme="majorHAnsi" w:cstheme="majorHAnsi"/>
        </w:rPr>
        <w:t xml:space="preserve">However, these can be hard to apply in practice. </w:t>
      </w:r>
      <w:r w:rsidRPr="00C93E05">
        <w:rPr>
          <w:rFonts w:asciiTheme="majorHAnsi" w:hAnsiTheme="majorHAnsi" w:cstheme="majorHAnsi"/>
        </w:rPr>
        <w:t>Bureaucratic processes themselves can mitigate against collaboration [IV</w:t>
      </w:r>
      <w:r>
        <w:rPr>
          <w:rFonts w:asciiTheme="majorHAnsi" w:hAnsiTheme="majorHAnsi" w:cstheme="majorHAnsi"/>
        </w:rPr>
        <w:t>s</w:t>
      </w:r>
      <w:r w:rsidRPr="00C93E05">
        <w:rPr>
          <w:rFonts w:asciiTheme="majorHAnsi" w:hAnsiTheme="majorHAnsi" w:cstheme="majorHAnsi"/>
        </w:rPr>
        <w:t>02; 05]</w:t>
      </w:r>
      <w:r>
        <w:rPr>
          <w:rFonts w:asciiTheme="majorHAnsi" w:hAnsiTheme="majorHAnsi" w:cstheme="majorHAnsi"/>
        </w:rPr>
        <w:t>:</w:t>
      </w:r>
      <w:r w:rsidRPr="00C93E05">
        <w:rPr>
          <w:rFonts w:asciiTheme="majorHAnsi" w:hAnsiTheme="majorHAnsi" w:cstheme="majorHAnsi"/>
        </w:rPr>
        <w:t xml:space="preserve"> </w:t>
      </w:r>
    </w:p>
    <w:p w14:paraId="310DC0FB" w14:textId="77777777" w:rsidR="00BF34BC" w:rsidRPr="00C93E05" w:rsidRDefault="00BF34BC" w:rsidP="00BF34BC">
      <w:pPr>
        <w:rPr>
          <w:rFonts w:asciiTheme="majorHAnsi" w:hAnsiTheme="majorHAnsi" w:cstheme="majorHAnsi"/>
          <w:i/>
          <w:iCs/>
        </w:rPr>
      </w:pPr>
    </w:p>
    <w:p w14:paraId="77B12AF5" w14:textId="77777777" w:rsidR="00BF34BC" w:rsidRPr="00C93E05" w:rsidRDefault="00BF34BC" w:rsidP="00BF34BC">
      <w:pPr>
        <w:rPr>
          <w:rFonts w:asciiTheme="majorHAnsi" w:hAnsiTheme="majorHAnsi" w:cstheme="majorHAnsi"/>
          <w:i/>
          <w:iCs/>
        </w:rPr>
      </w:pPr>
      <w:r w:rsidRPr="00C93E05">
        <w:rPr>
          <w:rFonts w:asciiTheme="majorHAnsi" w:hAnsiTheme="majorHAnsi" w:cstheme="majorHAnsi"/>
          <w:i/>
          <w:iCs/>
        </w:rPr>
        <w:t>"</w:t>
      </w:r>
      <w:proofErr w:type="gramStart"/>
      <w:r w:rsidRPr="00C93E05">
        <w:rPr>
          <w:rFonts w:asciiTheme="majorHAnsi" w:hAnsiTheme="majorHAnsi" w:cstheme="majorHAnsi"/>
          <w:i/>
          <w:iCs/>
        </w:rPr>
        <w:t>you</w:t>
      </w:r>
      <w:proofErr w:type="gramEnd"/>
      <w:r w:rsidRPr="00C93E05">
        <w:rPr>
          <w:rFonts w:asciiTheme="majorHAnsi" w:hAnsiTheme="majorHAnsi" w:cstheme="majorHAnsi"/>
          <w:i/>
          <w:iCs/>
        </w:rPr>
        <w:t xml:space="preserve"> might as well be on a different planet if you're in a different faculty terms of trying to sort, negotiate workloads and allocations" </w:t>
      </w:r>
      <w:r w:rsidRPr="00845709">
        <w:rPr>
          <w:rFonts w:asciiTheme="majorHAnsi" w:hAnsiTheme="majorHAnsi" w:cstheme="majorHAnsi"/>
        </w:rPr>
        <w:t>[IV02]</w:t>
      </w:r>
    </w:p>
    <w:p w14:paraId="62C9E7AC" w14:textId="77777777" w:rsidR="00BF34BC" w:rsidRPr="00C93E05" w:rsidRDefault="00BF34BC" w:rsidP="00BF34BC">
      <w:pPr>
        <w:rPr>
          <w:rFonts w:asciiTheme="majorHAnsi" w:hAnsiTheme="majorHAnsi" w:cstheme="majorHAnsi"/>
          <w:i/>
          <w:iCs/>
        </w:rPr>
      </w:pPr>
    </w:p>
    <w:p w14:paraId="76C99643" w14:textId="77777777" w:rsidR="00BF34BC" w:rsidRPr="00C93E05" w:rsidRDefault="00BF34BC" w:rsidP="00BF34BC">
      <w:pPr>
        <w:rPr>
          <w:rFonts w:asciiTheme="majorHAnsi" w:hAnsiTheme="majorHAnsi" w:cstheme="majorHAnsi"/>
        </w:rPr>
      </w:pPr>
      <w:r w:rsidRPr="00C93E05">
        <w:rPr>
          <w:rFonts w:asciiTheme="majorHAnsi" w:hAnsiTheme="majorHAnsi" w:cstheme="majorHAnsi"/>
        </w:rPr>
        <w:t>E</w:t>
      </w:r>
      <w:r w:rsidRPr="00C93E05">
        <w:rPr>
          <w:rFonts w:asciiTheme="majorHAnsi" w:eastAsia="MS Mincho" w:hAnsiTheme="majorHAnsi" w:cstheme="majorHAnsi"/>
        </w:rPr>
        <w:t>ven if there is a high-level organisational commitment to improve wellbeing, this is difficult to implement when it encounters structures which developed around PGRs as afterthought [IV01]</w:t>
      </w:r>
      <w:r>
        <w:rPr>
          <w:rFonts w:asciiTheme="majorHAnsi" w:eastAsia="MS Mincho" w:hAnsiTheme="majorHAnsi" w:cstheme="majorHAnsi"/>
        </w:rPr>
        <w:t>. Similar difficulties arise where there is lack of c</w:t>
      </w:r>
      <w:r w:rsidRPr="00C93E05">
        <w:rPr>
          <w:rFonts w:asciiTheme="majorHAnsi" w:hAnsiTheme="majorHAnsi" w:cstheme="majorHAnsi"/>
        </w:rPr>
        <w:t xml:space="preserve">larity about how ideas translate to action </w:t>
      </w:r>
      <w:r>
        <w:rPr>
          <w:rFonts w:asciiTheme="majorHAnsi" w:hAnsiTheme="majorHAnsi" w:cstheme="majorHAnsi"/>
        </w:rPr>
        <w:t xml:space="preserve">and </w:t>
      </w:r>
      <w:r w:rsidRPr="00C93E05">
        <w:rPr>
          <w:rFonts w:asciiTheme="majorHAnsi" w:hAnsiTheme="majorHAnsi" w:cstheme="majorHAnsi"/>
        </w:rPr>
        <w:t>where boundaries of responsibility lie [IV05]</w:t>
      </w:r>
      <w:r>
        <w:rPr>
          <w:rFonts w:asciiTheme="majorHAnsi" w:hAnsiTheme="majorHAnsi" w:cstheme="majorHAnsi"/>
        </w:rPr>
        <w:t>, or w</w:t>
      </w:r>
      <w:r w:rsidRPr="00C93E05">
        <w:rPr>
          <w:rFonts w:asciiTheme="majorHAnsi" w:hAnsiTheme="majorHAnsi" w:cstheme="majorHAnsi"/>
        </w:rPr>
        <w:t xml:space="preserve">here strategic level actions happen so slowly that </w:t>
      </w:r>
      <w:bookmarkStart w:id="5" w:name="_Hlk134361710"/>
      <w:r w:rsidRPr="00C93E05">
        <w:rPr>
          <w:rFonts w:asciiTheme="majorHAnsi" w:hAnsiTheme="majorHAnsi" w:cstheme="majorHAnsi"/>
        </w:rPr>
        <w:t xml:space="preserve">problems can change before action is taken </w:t>
      </w:r>
      <w:bookmarkEnd w:id="5"/>
      <w:r w:rsidRPr="00C93E05">
        <w:rPr>
          <w:rFonts w:asciiTheme="majorHAnsi" w:hAnsiTheme="majorHAnsi" w:cstheme="majorHAnsi"/>
        </w:rPr>
        <w:t>[IV09]. H</w:t>
      </w:r>
      <w:r w:rsidRPr="00C93E05">
        <w:rPr>
          <w:rFonts w:asciiTheme="majorHAnsi" w:eastAsia="MS Mincho" w:hAnsiTheme="majorHAnsi" w:cstheme="majorHAnsi"/>
        </w:rPr>
        <w:t xml:space="preserve">ard </w:t>
      </w:r>
      <w:r w:rsidRPr="00652A5E">
        <w:rPr>
          <w:rFonts w:asciiTheme="majorHAnsi" w:eastAsia="MS Mincho" w:hAnsiTheme="majorHAnsi" w:cstheme="majorHAnsi"/>
        </w:rPr>
        <w:t>work, understanding and sensitivity – all capacity-intensive, often at the Individual level - are required to overcome these challenges. It can be challenging to manage the complexity of working</w:t>
      </w:r>
      <w:r w:rsidRPr="00C93E05">
        <w:rPr>
          <w:rFonts w:asciiTheme="majorHAnsi" w:eastAsia="MS Mincho" w:hAnsiTheme="majorHAnsi" w:cstheme="majorHAnsi"/>
        </w:rPr>
        <w:t xml:space="preserve"> across different parts of the institution </w:t>
      </w:r>
      <w:r w:rsidRPr="00C93E05">
        <w:rPr>
          <w:rFonts w:asciiTheme="majorHAnsi" w:hAnsiTheme="majorHAnsi" w:cstheme="majorHAnsi"/>
        </w:rPr>
        <w:t>[IV</w:t>
      </w:r>
      <w:r>
        <w:rPr>
          <w:rFonts w:asciiTheme="majorHAnsi" w:hAnsiTheme="majorHAnsi" w:cstheme="majorHAnsi"/>
        </w:rPr>
        <w:t>s</w:t>
      </w:r>
      <w:r w:rsidRPr="00C93E05">
        <w:rPr>
          <w:rFonts w:asciiTheme="majorHAnsi" w:hAnsiTheme="majorHAnsi" w:cstheme="majorHAnsi"/>
        </w:rPr>
        <w:t>05;</w:t>
      </w:r>
      <w:r w:rsidRPr="00C93E05">
        <w:rPr>
          <w:rFonts w:asciiTheme="majorHAnsi" w:eastAsia="MS Mincho" w:hAnsiTheme="majorHAnsi" w:cstheme="majorHAnsi"/>
        </w:rPr>
        <w:t xml:space="preserve"> </w:t>
      </w:r>
      <w:r w:rsidRPr="00C93E05">
        <w:rPr>
          <w:rFonts w:asciiTheme="majorHAnsi" w:hAnsiTheme="majorHAnsi" w:cstheme="majorHAnsi"/>
        </w:rPr>
        <w:t>08]</w:t>
      </w:r>
      <w:r w:rsidRPr="00C93E05">
        <w:rPr>
          <w:rFonts w:asciiTheme="majorHAnsi" w:eastAsia="MS Mincho" w:hAnsiTheme="majorHAnsi" w:cstheme="majorHAnsi"/>
        </w:rPr>
        <w:t>, especially if knowledge about postgraduate research is low, or where PGRs</w:t>
      </w:r>
      <w:r>
        <w:rPr>
          <w:rFonts w:asciiTheme="majorHAnsi" w:eastAsia="MS Mincho" w:hAnsiTheme="majorHAnsi" w:cstheme="majorHAnsi"/>
        </w:rPr>
        <w:t>’</w:t>
      </w:r>
      <w:r w:rsidRPr="00C93E05">
        <w:rPr>
          <w:rFonts w:asciiTheme="majorHAnsi" w:eastAsia="MS Mincho" w:hAnsiTheme="majorHAnsi" w:cstheme="majorHAnsi"/>
        </w:rPr>
        <w:t xml:space="preserve"> </w:t>
      </w:r>
      <w:r>
        <w:rPr>
          <w:rFonts w:asciiTheme="majorHAnsi" w:eastAsia="MS Mincho" w:hAnsiTheme="majorHAnsi" w:cstheme="majorHAnsi"/>
        </w:rPr>
        <w:t>voices are not heard</w:t>
      </w:r>
      <w:r>
        <w:rPr>
          <w:rFonts w:asciiTheme="majorHAnsi" w:eastAsia="Calibri" w:hAnsiTheme="majorHAnsi" w:cstheme="majorHAnsi"/>
        </w:rPr>
        <w:t>:</w:t>
      </w:r>
    </w:p>
    <w:p w14:paraId="2E966DF2" w14:textId="77777777" w:rsidR="00BF34BC" w:rsidRPr="00C93E05" w:rsidRDefault="00BF34BC" w:rsidP="00BF34BC">
      <w:pPr>
        <w:rPr>
          <w:rFonts w:asciiTheme="majorHAnsi" w:eastAsia="MS Mincho" w:hAnsiTheme="majorHAnsi" w:cstheme="majorHAnsi"/>
        </w:rPr>
      </w:pPr>
    </w:p>
    <w:p w14:paraId="5C049C14" w14:textId="77777777" w:rsidR="00BF34BC" w:rsidRPr="00C93E05" w:rsidRDefault="00BF34BC" w:rsidP="00BF34BC">
      <w:pPr>
        <w:pStyle w:val="CommentText"/>
        <w:rPr>
          <w:rFonts w:asciiTheme="majorHAnsi" w:eastAsia="MS Mincho" w:hAnsiTheme="majorHAnsi" w:cstheme="majorHAnsi"/>
          <w:i/>
          <w:iCs/>
        </w:rPr>
      </w:pPr>
      <w:r w:rsidRPr="00C93E05">
        <w:rPr>
          <w:rFonts w:asciiTheme="majorHAnsi" w:hAnsiTheme="majorHAnsi" w:cstheme="majorHAnsi"/>
          <w:i/>
          <w:iCs/>
        </w:rPr>
        <w:t>"</w:t>
      </w:r>
      <w:proofErr w:type="gramStart"/>
      <w:r w:rsidRPr="00C93E05">
        <w:rPr>
          <w:rFonts w:asciiTheme="majorHAnsi" w:hAnsiTheme="majorHAnsi" w:cstheme="majorHAnsi"/>
          <w:i/>
          <w:iCs/>
        </w:rPr>
        <w:t>what</w:t>
      </w:r>
      <w:proofErr w:type="gramEnd"/>
      <w:r w:rsidRPr="00C93E05">
        <w:rPr>
          <w:rFonts w:asciiTheme="majorHAnsi" w:hAnsiTheme="majorHAnsi" w:cstheme="majorHAnsi"/>
          <w:i/>
          <w:iCs/>
        </w:rPr>
        <w:t xml:space="preserve"> the students needed, the organisation wouldn't support in terms of where we put information for them, and how they … made contacts with other parts of the university support network … those were probably some of the more difficult days that I had on the project, and I had to have some quite ... I had to really represent that community, to try and push through that" </w:t>
      </w:r>
      <w:r w:rsidRPr="00845709">
        <w:rPr>
          <w:rFonts w:asciiTheme="majorHAnsi" w:hAnsiTheme="majorHAnsi" w:cstheme="majorHAnsi"/>
        </w:rPr>
        <w:t>[IV08]</w:t>
      </w:r>
    </w:p>
    <w:p w14:paraId="46A3598D" w14:textId="77777777" w:rsidR="0019102B" w:rsidRPr="00C93E05" w:rsidRDefault="0019102B" w:rsidP="00F52057">
      <w:pPr>
        <w:rPr>
          <w:rFonts w:asciiTheme="majorHAnsi" w:eastAsia="Times New Roman" w:hAnsiTheme="majorHAnsi" w:cstheme="majorHAnsi"/>
          <w:lang w:eastAsia="en-GB"/>
        </w:rPr>
      </w:pPr>
    </w:p>
    <w:p w14:paraId="7E2BBE83" w14:textId="3006D85B" w:rsidR="00463169" w:rsidRPr="00C93E05" w:rsidRDefault="00E4232A" w:rsidP="00FA668F">
      <w:pPr>
        <w:rPr>
          <w:rFonts w:asciiTheme="majorHAnsi" w:eastAsia="Times New Roman" w:hAnsiTheme="majorHAnsi" w:cstheme="majorHAnsi"/>
          <w:b/>
          <w:bCs/>
          <w:i/>
          <w:iCs/>
          <w:lang w:eastAsia="en-GB"/>
        </w:rPr>
      </w:pPr>
      <w:bookmarkStart w:id="6" w:name="_Hlk175385808"/>
      <w:r>
        <w:rPr>
          <w:rFonts w:asciiTheme="majorHAnsi" w:eastAsia="Times New Roman" w:hAnsiTheme="majorHAnsi" w:cstheme="majorHAnsi"/>
          <w:b/>
          <w:bCs/>
          <w:i/>
          <w:iCs/>
          <w:lang w:eastAsia="en-GB"/>
        </w:rPr>
        <w:t xml:space="preserve">Interactions between </w:t>
      </w:r>
      <w:r w:rsidR="005C3B49" w:rsidRPr="00C93E05">
        <w:rPr>
          <w:rFonts w:asciiTheme="majorHAnsi" w:eastAsia="Times New Roman" w:hAnsiTheme="majorHAnsi" w:cstheme="majorHAnsi"/>
          <w:b/>
          <w:bCs/>
          <w:i/>
          <w:iCs/>
          <w:lang w:eastAsia="en-GB"/>
        </w:rPr>
        <w:t>Political</w:t>
      </w:r>
      <w:r>
        <w:rPr>
          <w:rFonts w:asciiTheme="majorHAnsi" w:eastAsia="Times New Roman" w:hAnsiTheme="majorHAnsi" w:cstheme="majorHAnsi"/>
          <w:b/>
          <w:bCs/>
          <w:i/>
          <w:iCs/>
          <w:lang w:eastAsia="en-GB"/>
        </w:rPr>
        <w:t xml:space="preserve"> and </w:t>
      </w:r>
      <w:r w:rsidR="005C3B49" w:rsidRPr="00C93E05">
        <w:rPr>
          <w:rFonts w:asciiTheme="majorHAnsi" w:eastAsia="Times New Roman" w:hAnsiTheme="majorHAnsi" w:cstheme="majorHAnsi"/>
          <w:b/>
          <w:bCs/>
          <w:i/>
          <w:iCs/>
          <w:lang w:eastAsia="en-GB"/>
        </w:rPr>
        <w:t xml:space="preserve">Operational </w:t>
      </w:r>
      <w:r>
        <w:rPr>
          <w:rFonts w:asciiTheme="majorHAnsi" w:eastAsia="Times New Roman" w:hAnsiTheme="majorHAnsi" w:cstheme="majorHAnsi"/>
          <w:b/>
          <w:bCs/>
          <w:i/>
          <w:iCs/>
          <w:lang w:eastAsia="en-GB"/>
        </w:rPr>
        <w:t>competences</w:t>
      </w:r>
    </w:p>
    <w:bookmarkEnd w:id="6"/>
    <w:p w14:paraId="58ED0AA9" w14:textId="05A8CECD" w:rsidR="00C502BC" w:rsidRPr="00B93C16" w:rsidRDefault="00711D65" w:rsidP="008514A9">
      <w:pPr>
        <w:rPr>
          <w:rFonts w:ascii="Calibri" w:eastAsia="MS Mincho" w:hAnsi="Calibri" w:cs="Calibri"/>
        </w:rPr>
      </w:pPr>
      <w:r>
        <w:rPr>
          <w:rFonts w:asciiTheme="majorHAnsi" w:eastAsia="Times New Roman" w:hAnsiTheme="majorHAnsi" w:cstheme="majorHAnsi"/>
          <w:lang w:eastAsia="en-GB"/>
        </w:rPr>
        <w:t xml:space="preserve">Resources and fragmentation indicate overarching Operational competence gaps which </w:t>
      </w:r>
      <w:r w:rsidR="00233BD8">
        <w:rPr>
          <w:rFonts w:asciiTheme="majorHAnsi" w:eastAsia="Times New Roman" w:hAnsiTheme="majorHAnsi" w:cstheme="majorHAnsi"/>
          <w:lang w:eastAsia="en-GB"/>
        </w:rPr>
        <w:t xml:space="preserve">are crucial elements of how Political and Operational competences interact. </w:t>
      </w:r>
      <w:r w:rsidR="009A45E7" w:rsidRPr="00B93C16">
        <w:rPr>
          <w:rFonts w:ascii="Calibri" w:eastAsia="MS Mincho" w:hAnsi="Calibri" w:cs="Calibri"/>
        </w:rPr>
        <w:lastRenderedPageBreak/>
        <w:t>This section explores t</w:t>
      </w:r>
      <w:r w:rsidR="007F5304" w:rsidRPr="00B93C16">
        <w:rPr>
          <w:rFonts w:ascii="Calibri" w:eastAsia="MS Mincho" w:hAnsi="Calibri" w:cs="Calibri"/>
        </w:rPr>
        <w:t xml:space="preserve">hree </w:t>
      </w:r>
      <w:r w:rsidR="00346A3C" w:rsidRPr="00B93C16">
        <w:rPr>
          <w:rFonts w:ascii="Calibri" w:eastAsia="MS Mincho" w:hAnsi="Calibri" w:cs="Calibri"/>
        </w:rPr>
        <w:t>themes illustrat</w:t>
      </w:r>
      <w:r w:rsidR="001607E5">
        <w:rPr>
          <w:rFonts w:ascii="Calibri" w:eastAsia="MS Mincho" w:hAnsi="Calibri" w:cs="Calibri"/>
        </w:rPr>
        <w:t>ing</w:t>
      </w:r>
      <w:r w:rsidR="009A45E7" w:rsidRPr="00B93C16">
        <w:rPr>
          <w:rFonts w:ascii="Calibri" w:eastAsia="MS Mincho" w:hAnsi="Calibri" w:cs="Calibri"/>
        </w:rPr>
        <w:t xml:space="preserve"> </w:t>
      </w:r>
      <w:r w:rsidR="00B93C16" w:rsidRPr="00B93C16">
        <w:rPr>
          <w:rFonts w:ascii="Calibri" w:eastAsia="MS Mincho" w:hAnsi="Calibri" w:cs="Calibri"/>
        </w:rPr>
        <w:t xml:space="preserve">how low Operational capacity </w:t>
      </w:r>
      <w:r w:rsidR="00B93C16" w:rsidRPr="00B93C16">
        <w:rPr>
          <w:rFonts w:ascii="Calibri" w:eastAsia="Times New Roman" w:hAnsi="Calibri" w:cs="Calibri"/>
          <w:lang w:eastAsia="en-GB"/>
        </w:rPr>
        <w:t xml:space="preserve">reflects, but can also amplify, low Political capacity. </w:t>
      </w:r>
      <w:r w:rsidR="00E92354" w:rsidRPr="00B93C16">
        <w:rPr>
          <w:rFonts w:ascii="Calibri" w:eastAsia="MS Mincho" w:hAnsi="Calibri" w:cs="Calibri"/>
        </w:rPr>
        <w:t xml:space="preserve">In each case, the </w:t>
      </w:r>
      <w:r w:rsidR="00777AEF" w:rsidRPr="00B93C16">
        <w:rPr>
          <w:rFonts w:ascii="Calibri" w:eastAsia="MS Mincho" w:hAnsi="Calibri" w:cs="Calibri"/>
        </w:rPr>
        <w:t xml:space="preserve">interactions </w:t>
      </w:r>
      <w:r w:rsidR="00E4232A" w:rsidRPr="00B93C16">
        <w:rPr>
          <w:rFonts w:ascii="Calibri" w:eastAsia="MS Mincho" w:hAnsi="Calibri" w:cs="Calibri"/>
        </w:rPr>
        <w:t>occur most clearly at Individual and Organisational levels.</w:t>
      </w:r>
    </w:p>
    <w:p w14:paraId="0D3CFE51" w14:textId="77777777" w:rsidR="00C502BC" w:rsidRPr="00C93E05" w:rsidRDefault="00C502BC" w:rsidP="00FA668F">
      <w:pPr>
        <w:rPr>
          <w:rFonts w:ascii="Calibri" w:eastAsia="MS Mincho" w:hAnsi="Calibri" w:cs="Calibri"/>
        </w:rPr>
      </w:pPr>
    </w:p>
    <w:p w14:paraId="0646829D" w14:textId="16845E5F" w:rsidR="00D35B76" w:rsidRPr="00C93E05" w:rsidRDefault="00D35B76" w:rsidP="00D35B76">
      <w:pPr>
        <w:rPr>
          <w:rFonts w:ascii="Calibri" w:eastAsia="MS Mincho" w:hAnsi="Calibri" w:cs="Calibri"/>
          <w:i/>
          <w:iCs/>
          <w:u w:val="single"/>
        </w:rPr>
      </w:pPr>
      <w:r w:rsidRPr="00C93E05">
        <w:rPr>
          <w:rFonts w:ascii="Calibri" w:eastAsia="MS Mincho" w:hAnsi="Calibri" w:cs="Calibri"/>
          <w:i/>
          <w:iCs/>
          <w:u w:val="single"/>
        </w:rPr>
        <w:t>Lack of understanding</w:t>
      </w:r>
    </w:p>
    <w:p w14:paraId="1DF5259B" w14:textId="6FD197C8" w:rsidR="00A056FD" w:rsidRPr="00C93E05" w:rsidRDefault="001607E5" w:rsidP="00A644AD">
      <w:pPr>
        <w:rPr>
          <w:rFonts w:ascii="Calibri" w:eastAsia="MS Mincho" w:hAnsi="Calibri" w:cs="Calibri"/>
        </w:rPr>
      </w:pPr>
      <w:r w:rsidRPr="001607E5">
        <w:rPr>
          <w:rFonts w:asciiTheme="majorHAnsi" w:eastAsia="Times New Roman" w:hAnsiTheme="majorHAnsi" w:cstheme="majorHAnsi"/>
          <w:lang w:eastAsia="en-GB"/>
        </w:rPr>
        <w:t>Low Political capacity manifest in various forms of lack of understanding can lead to low Operational capacity.</w:t>
      </w:r>
      <w:r w:rsidRPr="001607E5">
        <w:rPr>
          <w:rFonts w:ascii="Calibri" w:eastAsia="MS Mincho" w:hAnsi="Calibri" w:cs="Calibri"/>
        </w:rPr>
        <w:t xml:space="preserve"> </w:t>
      </w:r>
      <w:r w:rsidR="00583C92" w:rsidRPr="001607E5">
        <w:rPr>
          <w:rFonts w:ascii="Calibri" w:eastAsia="MS Mincho" w:hAnsi="Calibri" w:cs="Calibri"/>
        </w:rPr>
        <w:t xml:space="preserve">A </w:t>
      </w:r>
      <w:r w:rsidR="00583C92" w:rsidRPr="00652A5E">
        <w:rPr>
          <w:rFonts w:ascii="Calibri" w:eastAsia="MS Mincho" w:hAnsi="Calibri" w:cs="Calibri"/>
        </w:rPr>
        <w:t xml:space="preserve">common observation was </w:t>
      </w:r>
      <w:r w:rsidR="0003640E" w:rsidRPr="00652A5E">
        <w:rPr>
          <w:rFonts w:ascii="Calibri" w:eastAsia="MS Mincho" w:hAnsi="Calibri" w:cs="Calibri"/>
        </w:rPr>
        <w:t>interventions’</w:t>
      </w:r>
      <w:r w:rsidR="00583C92" w:rsidRPr="00652A5E">
        <w:rPr>
          <w:rFonts w:ascii="Calibri" w:eastAsia="MS Mincho" w:hAnsi="Calibri" w:cs="Calibri"/>
        </w:rPr>
        <w:t xml:space="preserve"> lack of fit with PGR needs.</w:t>
      </w:r>
      <w:r w:rsidR="003C104E" w:rsidRPr="00652A5E">
        <w:rPr>
          <w:rFonts w:ascii="Calibri" w:eastAsia="MS Mincho" w:hAnsi="Calibri" w:cs="Calibri"/>
        </w:rPr>
        <w:t xml:space="preserve"> </w:t>
      </w:r>
      <w:r w:rsidR="00FC4529" w:rsidRPr="00652A5E">
        <w:rPr>
          <w:rFonts w:ascii="Calibri" w:eastAsia="Times New Roman" w:hAnsi="Calibri" w:cs="Calibri"/>
          <w:lang w:eastAsia="en-GB"/>
        </w:rPr>
        <w:t xml:space="preserve">At the </w:t>
      </w:r>
      <w:r w:rsidR="00FC1451" w:rsidRPr="00652A5E">
        <w:rPr>
          <w:rFonts w:ascii="Calibri" w:eastAsia="Times New Roman" w:hAnsi="Calibri" w:cs="Calibri"/>
          <w:lang w:eastAsia="en-GB"/>
        </w:rPr>
        <w:t>I</w:t>
      </w:r>
      <w:r w:rsidR="00FC4529" w:rsidRPr="00652A5E">
        <w:rPr>
          <w:rFonts w:ascii="Calibri" w:eastAsia="Times New Roman" w:hAnsi="Calibri" w:cs="Calibri"/>
          <w:lang w:eastAsia="en-GB"/>
        </w:rPr>
        <w:t>ndividual level, i</w:t>
      </w:r>
      <w:r w:rsidR="00D35B76" w:rsidRPr="00652A5E">
        <w:rPr>
          <w:rFonts w:ascii="Calibri" w:eastAsia="Times New Roman" w:hAnsi="Calibri" w:cs="Calibri"/>
          <w:lang w:eastAsia="en-GB"/>
        </w:rPr>
        <w:t>nterventions to support wellbeing ma</w:t>
      </w:r>
      <w:r w:rsidR="00D35B76" w:rsidRPr="00652A5E">
        <w:rPr>
          <w:rFonts w:asciiTheme="majorHAnsi" w:eastAsia="Times New Roman" w:hAnsiTheme="majorHAnsi" w:cstheme="majorHAnsi"/>
          <w:lang w:eastAsia="en-GB"/>
        </w:rPr>
        <w:t>y not be designed by people who underst</w:t>
      </w:r>
      <w:r w:rsidR="00FC4529" w:rsidRPr="00652A5E">
        <w:rPr>
          <w:rFonts w:asciiTheme="majorHAnsi" w:eastAsia="Times New Roman" w:hAnsiTheme="majorHAnsi" w:cstheme="majorHAnsi"/>
          <w:lang w:eastAsia="en-GB"/>
        </w:rPr>
        <w:t>an</w:t>
      </w:r>
      <w:r w:rsidR="00D35B76" w:rsidRPr="00652A5E">
        <w:rPr>
          <w:rFonts w:asciiTheme="majorHAnsi" w:eastAsia="Times New Roman" w:hAnsiTheme="majorHAnsi" w:cstheme="majorHAnsi"/>
          <w:lang w:eastAsia="en-GB"/>
        </w:rPr>
        <w:t xml:space="preserve">d what postgraduate research involves </w:t>
      </w:r>
      <w:r w:rsidR="002F4127" w:rsidRPr="00652A5E">
        <w:rPr>
          <w:rFonts w:asciiTheme="majorHAnsi" w:eastAsia="Times New Roman" w:hAnsiTheme="majorHAnsi" w:cstheme="majorHAnsi"/>
          <w:lang w:eastAsia="en-GB"/>
        </w:rPr>
        <w:t>[IV06]</w:t>
      </w:r>
      <w:r w:rsidR="00FC4529" w:rsidRPr="00652A5E">
        <w:rPr>
          <w:rFonts w:asciiTheme="majorHAnsi" w:eastAsia="Times New Roman" w:hAnsiTheme="majorHAnsi" w:cstheme="majorHAnsi"/>
          <w:lang w:eastAsia="en-GB"/>
        </w:rPr>
        <w:t>. I</w:t>
      </w:r>
      <w:r w:rsidR="00EF4730" w:rsidRPr="00652A5E">
        <w:rPr>
          <w:rFonts w:asciiTheme="majorHAnsi" w:eastAsia="Times New Roman" w:hAnsiTheme="majorHAnsi" w:cstheme="majorHAnsi"/>
          <w:lang w:eastAsia="en-GB"/>
        </w:rPr>
        <w:t>nterviewees</w:t>
      </w:r>
      <w:r w:rsidR="00D1726F" w:rsidRPr="00652A5E">
        <w:rPr>
          <w:rFonts w:asciiTheme="majorHAnsi" w:eastAsia="Times New Roman" w:hAnsiTheme="majorHAnsi" w:cstheme="majorHAnsi"/>
          <w:lang w:eastAsia="en-GB"/>
        </w:rPr>
        <w:t xml:space="preserve"> </w:t>
      </w:r>
      <w:r w:rsidR="00FC4529" w:rsidRPr="00652A5E">
        <w:rPr>
          <w:rFonts w:asciiTheme="majorHAnsi" w:eastAsia="Times New Roman" w:hAnsiTheme="majorHAnsi" w:cstheme="majorHAnsi"/>
          <w:lang w:eastAsia="en-GB"/>
        </w:rPr>
        <w:t xml:space="preserve">repeatedly </w:t>
      </w:r>
      <w:r w:rsidR="00D1726F" w:rsidRPr="00652A5E">
        <w:rPr>
          <w:rFonts w:asciiTheme="majorHAnsi" w:eastAsia="Times New Roman" w:hAnsiTheme="majorHAnsi" w:cstheme="majorHAnsi"/>
          <w:lang w:eastAsia="en-GB"/>
        </w:rPr>
        <w:t>said this was important for capacity</w:t>
      </w:r>
      <w:r w:rsidR="00754602" w:rsidRPr="00652A5E">
        <w:rPr>
          <w:rFonts w:asciiTheme="majorHAnsi" w:eastAsia="Times New Roman" w:hAnsiTheme="majorHAnsi" w:cstheme="majorHAnsi"/>
          <w:lang w:eastAsia="en-GB"/>
        </w:rPr>
        <w:t xml:space="preserve">. </w:t>
      </w:r>
      <w:r w:rsidR="00A82C07" w:rsidRPr="00652A5E">
        <w:rPr>
          <w:rFonts w:asciiTheme="majorHAnsi" w:eastAsia="Times New Roman" w:hAnsiTheme="majorHAnsi" w:cstheme="majorHAnsi"/>
          <w:lang w:eastAsia="en-GB"/>
        </w:rPr>
        <w:t>It includes</w:t>
      </w:r>
      <w:r w:rsidR="00D35B76" w:rsidRPr="00652A5E">
        <w:rPr>
          <w:rFonts w:asciiTheme="majorHAnsi" w:eastAsia="Times New Roman" w:hAnsiTheme="majorHAnsi" w:cstheme="majorHAnsi"/>
          <w:lang w:eastAsia="en-GB"/>
        </w:rPr>
        <w:t xml:space="preserve"> </w:t>
      </w:r>
      <w:r w:rsidR="00317591" w:rsidRPr="00652A5E">
        <w:rPr>
          <w:rFonts w:asciiTheme="majorHAnsi" w:hAnsiTheme="majorHAnsi" w:cstheme="majorHAnsi"/>
        </w:rPr>
        <w:t>recent knowledge of what a PhD is</w:t>
      </w:r>
      <w:r w:rsidR="00F047EE" w:rsidRPr="00652A5E">
        <w:rPr>
          <w:rFonts w:asciiTheme="majorHAnsi" w:hAnsiTheme="majorHAnsi" w:cstheme="majorHAnsi"/>
        </w:rPr>
        <w:t xml:space="preserve">, </w:t>
      </w:r>
      <w:r w:rsidR="00317591" w:rsidRPr="00652A5E">
        <w:rPr>
          <w:rFonts w:asciiTheme="majorHAnsi" w:hAnsiTheme="majorHAnsi" w:cstheme="majorHAnsi"/>
        </w:rPr>
        <w:t>of different ways of doing PhDs,</w:t>
      </w:r>
      <w:r w:rsidR="00317591" w:rsidRPr="00652A5E">
        <w:rPr>
          <w:rFonts w:asciiTheme="majorHAnsi" w:eastAsia="Times New Roman" w:hAnsiTheme="majorHAnsi" w:cstheme="majorHAnsi"/>
          <w:lang w:eastAsia="en-GB"/>
        </w:rPr>
        <w:t xml:space="preserve"> </w:t>
      </w:r>
      <w:r w:rsidR="00D35B76" w:rsidRPr="00652A5E">
        <w:rPr>
          <w:rFonts w:asciiTheme="majorHAnsi" w:eastAsia="Times New Roman" w:hAnsiTheme="majorHAnsi" w:cstheme="majorHAnsi"/>
          <w:lang w:eastAsia="en-GB"/>
        </w:rPr>
        <w:t xml:space="preserve">personal experience of having done PGR or by working closely with PGRs, the activities they engage in and the challenges they face </w:t>
      </w:r>
      <w:r w:rsidR="003C104E" w:rsidRPr="00652A5E">
        <w:rPr>
          <w:rFonts w:asciiTheme="majorHAnsi" w:eastAsia="Times New Roman" w:hAnsiTheme="majorHAnsi" w:cstheme="majorHAnsi"/>
          <w:lang w:eastAsia="en-GB"/>
        </w:rPr>
        <w:t>[</w:t>
      </w:r>
      <w:r w:rsidR="00B60A09" w:rsidRPr="00652A5E">
        <w:rPr>
          <w:rFonts w:asciiTheme="majorHAnsi" w:hAnsiTheme="majorHAnsi" w:cstheme="majorHAnsi"/>
        </w:rPr>
        <w:t>IV</w:t>
      </w:r>
      <w:r w:rsidR="00272927" w:rsidRPr="00652A5E">
        <w:rPr>
          <w:rFonts w:asciiTheme="majorHAnsi" w:hAnsiTheme="majorHAnsi" w:cstheme="majorHAnsi"/>
        </w:rPr>
        <w:t>s</w:t>
      </w:r>
      <w:r w:rsidR="00B60A09" w:rsidRPr="00652A5E">
        <w:rPr>
          <w:rFonts w:asciiTheme="majorHAnsi" w:hAnsiTheme="majorHAnsi" w:cstheme="majorHAnsi"/>
        </w:rPr>
        <w:t>01</w:t>
      </w:r>
      <w:r w:rsidR="003C104E" w:rsidRPr="00652A5E">
        <w:rPr>
          <w:rFonts w:asciiTheme="majorHAnsi" w:hAnsiTheme="majorHAnsi" w:cstheme="majorHAnsi"/>
        </w:rPr>
        <w:t xml:space="preserve">; </w:t>
      </w:r>
      <w:r w:rsidR="00317591" w:rsidRPr="00652A5E">
        <w:rPr>
          <w:rFonts w:asciiTheme="majorHAnsi" w:hAnsiTheme="majorHAnsi" w:cstheme="majorHAnsi"/>
        </w:rPr>
        <w:t>02</w:t>
      </w:r>
      <w:r w:rsidR="003C104E" w:rsidRPr="00652A5E">
        <w:rPr>
          <w:rFonts w:asciiTheme="majorHAnsi" w:hAnsiTheme="majorHAnsi" w:cstheme="majorHAnsi"/>
        </w:rPr>
        <w:t xml:space="preserve">; </w:t>
      </w:r>
      <w:r w:rsidR="00727EA3" w:rsidRPr="00652A5E">
        <w:rPr>
          <w:rFonts w:asciiTheme="majorHAnsi" w:hAnsiTheme="majorHAnsi" w:cstheme="majorHAnsi"/>
        </w:rPr>
        <w:t xml:space="preserve">03; </w:t>
      </w:r>
      <w:r w:rsidR="00EF4730" w:rsidRPr="00652A5E">
        <w:rPr>
          <w:rFonts w:asciiTheme="majorHAnsi" w:hAnsiTheme="majorHAnsi" w:cstheme="majorHAnsi"/>
        </w:rPr>
        <w:t>04</w:t>
      </w:r>
      <w:r w:rsidR="003C104E" w:rsidRPr="00652A5E">
        <w:rPr>
          <w:rFonts w:asciiTheme="majorHAnsi" w:hAnsiTheme="majorHAnsi" w:cstheme="majorHAnsi"/>
        </w:rPr>
        <w:t xml:space="preserve">; </w:t>
      </w:r>
      <w:r w:rsidR="0041312D" w:rsidRPr="00652A5E">
        <w:rPr>
          <w:rFonts w:asciiTheme="majorHAnsi" w:hAnsiTheme="majorHAnsi" w:cstheme="majorHAnsi"/>
        </w:rPr>
        <w:t>05</w:t>
      </w:r>
      <w:r w:rsidR="00FB5686" w:rsidRPr="00652A5E">
        <w:rPr>
          <w:rFonts w:asciiTheme="majorHAnsi" w:hAnsiTheme="majorHAnsi" w:cstheme="majorHAnsi"/>
        </w:rPr>
        <w:t>; 06;</w:t>
      </w:r>
      <w:r w:rsidR="003C104E" w:rsidRPr="00652A5E">
        <w:rPr>
          <w:rFonts w:asciiTheme="majorHAnsi" w:hAnsiTheme="majorHAnsi" w:cstheme="majorHAnsi"/>
        </w:rPr>
        <w:t xml:space="preserve"> </w:t>
      </w:r>
      <w:r w:rsidR="00183D00" w:rsidRPr="00652A5E">
        <w:rPr>
          <w:rFonts w:asciiTheme="majorHAnsi" w:hAnsiTheme="majorHAnsi" w:cstheme="majorHAnsi"/>
        </w:rPr>
        <w:t>07</w:t>
      </w:r>
      <w:r w:rsidR="00F047EE" w:rsidRPr="00652A5E">
        <w:rPr>
          <w:rFonts w:asciiTheme="majorHAnsi" w:hAnsiTheme="majorHAnsi" w:cstheme="majorHAnsi"/>
        </w:rPr>
        <w:t xml:space="preserve">; </w:t>
      </w:r>
      <w:r w:rsidR="00D35B76" w:rsidRPr="00652A5E">
        <w:rPr>
          <w:rFonts w:asciiTheme="majorHAnsi" w:hAnsiTheme="majorHAnsi" w:cstheme="majorHAnsi"/>
        </w:rPr>
        <w:t>13</w:t>
      </w:r>
      <w:r w:rsidR="00D1726F" w:rsidRPr="00652A5E">
        <w:rPr>
          <w:rFonts w:asciiTheme="majorHAnsi" w:hAnsiTheme="majorHAnsi" w:cstheme="majorHAnsi"/>
        </w:rPr>
        <w:t xml:space="preserve">; </w:t>
      </w:r>
      <w:r w:rsidR="00D35B76" w:rsidRPr="00652A5E">
        <w:rPr>
          <w:rFonts w:asciiTheme="majorHAnsi" w:hAnsiTheme="majorHAnsi" w:cstheme="majorHAnsi"/>
        </w:rPr>
        <w:t>14]</w:t>
      </w:r>
      <w:r w:rsidR="00583C92" w:rsidRPr="00652A5E">
        <w:rPr>
          <w:rFonts w:asciiTheme="majorHAnsi" w:hAnsiTheme="majorHAnsi" w:cstheme="majorHAnsi"/>
        </w:rPr>
        <w:t xml:space="preserve">. </w:t>
      </w:r>
      <w:r w:rsidR="00A644AD" w:rsidRPr="00652A5E">
        <w:rPr>
          <w:rFonts w:ascii="Calibri" w:eastAsia="MS Mincho" w:hAnsi="Calibri" w:cs="Calibri"/>
        </w:rPr>
        <w:t xml:space="preserve">At the </w:t>
      </w:r>
      <w:r w:rsidR="00FC1451" w:rsidRPr="00652A5E">
        <w:rPr>
          <w:rFonts w:ascii="Calibri" w:eastAsia="MS Mincho" w:hAnsi="Calibri" w:cs="Calibri"/>
        </w:rPr>
        <w:t>O</w:t>
      </w:r>
      <w:r w:rsidR="00A644AD" w:rsidRPr="00652A5E">
        <w:rPr>
          <w:rFonts w:ascii="Calibri" w:eastAsia="MS Mincho" w:hAnsi="Calibri" w:cs="Calibri"/>
        </w:rPr>
        <w:t>rganisational level, intervention design can miss relevant perspectives such as on work-life balance</w:t>
      </w:r>
      <w:r w:rsidR="00A82C07" w:rsidRPr="00652A5E">
        <w:rPr>
          <w:rFonts w:ascii="Calibri" w:eastAsia="MS Mincho" w:hAnsi="Calibri" w:cs="Calibri"/>
        </w:rPr>
        <w:t xml:space="preserve"> and </w:t>
      </w:r>
      <w:r w:rsidR="00A644AD" w:rsidRPr="00652A5E">
        <w:rPr>
          <w:rFonts w:ascii="Calibri" w:eastAsia="MS Mincho" w:hAnsi="Calibri" w:cs="Calibri"/>
        </w:rPr>
        <w:t>other ideas that may be relevant to staff</w:t>
      </w:r>
      <w:r w:rsidR="00A82C07" w:rsidRPr="00652A5E">
        <w:rPr>
          <w:rFonts w:ascii="Calibri" w:eastAsia="MS Mincho" w:hAnsi="Calibri" w:cs="Calibri"/>
        </w:rPr>
        <w:t xml:space="preserve">, because PGRs are being thought of as students </w:t>
      </w:r>
      <w:r w:rsidR="00A644AD" w:rsidRPr="00652A5E">
        <w:rPr>
          <w:rFonts w:ascii="Calibri" w:eastAsia="MS Mincho" w:hAnsi="Calibri" w:cs="Calibri"/>
        </w:rPr>
        <w:t>[IV07]</w:t>
      </w:r>
      <w:r w:rsidR="00B76168" w:rsidRPr="00652A5E">
        <w:rPr>
          <w:rFonts w:ascii="Calibri" w:eastAsia="MS Mincho" w:hAnsi="Calibri" w:cs="Calibri"/>
        </w:rPr>
        <w:t>. While interventions</w:t>
      </w:r>
      <w:r w:rsidR="00B76168" w:rsidRPr="00C93E05">
        <w:rPr>
          <w:rFonts w:ascii="Calibri" w:eastAsia="MS Mincho" w:hAnsi="Calibri" w:cs="Calibri"/>
        </w:rPr>
        <w:t xml:space="preserve"> may themselves be based on </w:t>
      </w:r>
      <w:r w:rsidR="00272927">
        <w:rPr>
          <w:rFonts w:ascii="Calibri" w:eastAsia="MS Mincho" w:hAnsi="Calibri" w:cs="Calibri"/>
        </w:rPr>
        <w:t xml:space="preserve">credible </w:t>
      </w:r>
      <w:r w:rsidR="00B76168" w:rsidRPr="00C93E05">
        <w:rPr>
          <w:rFonts w:ascii="Calibri" w:eastAsia="MS Mincho" w:hAnsi="Calibri" w:cs="Calibri"/>
        </w:rPr>
        <w:t>literature [IV07], they are also often based on what is already being d</w:t>
      </w:r>
      <w:r w:rsidR="00197921">
        <w:rPr>
          <w:rFonts w:ascii="Calibri" w:eastAsia="MS Mincho" w:hAnsi="Calibri" w:cs="Calibri"/>
        </w:rPr>
        <w:t>one in the institution</w:t>
      </w:r>
      <w:r w:rsidR="00B76168" w:rsidRPr="00C93E05">
        <w:rPr>
          <w:rFonts w:ascii="Calibri" w:eastAsia="MS Mincho" w:hAnsi="Calibri" w:cs="Calibri"/>
        </w:rPr>
        <w:t xml:space="preserve">. It may be administratively easier and reduce the resources required [IV07] to open such interventions to PGRs, but they </w:t>
      </w:r>
      <w:r w:rsidR="00197921">
        <w:rPr>
          <w:rFonts w:ascii="Calibri" w:eastAsia="MS Mincho" w:hAnsi="Calibri" w:cs="Calibri"/>
        </w:rPr>
        <w:t>we</w:t>
      </w:r>
      <w:r w:rsidR="00B76168" w:rsidRPr="00C93E05">
        <w:rPr>
          <w:rFonts w:ascii="Calibri" w:eastAsia="MS Mincho" w:hAnsi="Calibri" w:cs="Calibri"/>
        </w:rPr>
        <w:t xml:space="preserve">re often mainly designed and aimed at undergraduate </w:t>
      </w:r>
      <w:r w:rsidR="00A63309">
        <w:rPr>
          <w:rFonts w:ascii="Calibri" w:eastAsia="MS Mincho" w:hAnsi="Calibri" w:cs="Calibri"/>
        </w:rPr>
        <w:t xml:space="preserve">(UG) </w:t>
      </w:r>
      <w:r w:rsidR="00B76168" w:rsidRPr="00C93E05">
        <w:rPr>
          <w:rFonts w:ascii="Calibri" w:eastAsia="MS Mincho" w:hAnsi="Calibri" w:cs="Calibri"/>
        </w:rPr>
        <w:t>students [IV06</w:t>
      </w:r>
      <w:r w:rsidR="00A835D6" w:rsidRPr="00C93E05">
        <w:rPr>
          <w:rFonts w:ascii="Calibri" w:eastAsia="MS Mincho" w:hAnsi="Calibri" w:cs="Calibri"/>
        </w:rPr>
        <w:t>]</w:t>
      </w:r>
      <w:r w:rsidR="00A056FD" w:rsidRPr="00C93E05">
        <w:rPr>
          <w:rFonts w:ascii="Calibri" w:eastAsia="MS Mincho" w:hAnsi="Calibri" w:cs="Calibri"/>
        </w:rPr>
        <w:t xml:space="preserve">. </w:t>
      </w:r>
      <w:r w:rsidR="00B76168" w:rsidRPr="00C93E05">
        <w:rPr>
          <w:rFonts w:ascii="Calibri" w:eastAsia="MS Mincho" w:hAnsi="Calibri" w:cs="Calibri"/>
        </w:rPr>
        <w:t xml:space="preserve">Since UGs have very different needs, this may not always be appropriate [IV14]. </w:t>
      </w:r>
      <w:r w:rsidR="00B76168" w:rsidRPr="00C93E05">
        <w:rPr>
          <w:rFonts w:ascii="Calibri" w:eastAsia="Calibri" w:hAnsi="Calibri" w:cs="Calibri"/>
        </w:rPr>
        <w:t xml:space="preserve">In the most extreme cases, the interventions themselves may not be appropriate, for example offering note-taking for lectures [IV06]. </w:t>
      </w:r>
      <w:r w:rsidR="00DA7469">
        <w:rPr>
          <w:rFonts w:ascii="Calibri" w:eastAsia="Calibri" w:hAnsi="Calibri" w:cs="Calibri"/>
        </w:rPr>
        <w:t>T</w:t>
      </w:r>
      <w:r w:rsidR="00B76168" w:rsidRPr="00C93E05">
        <w:rPr>
          <w:rFonts w:ascii="Calibri" w:eastAsia="MS Mincho" w:hAnsi="Calibri" w:cs="Calibri"/>
        </w:rPr>
        <w:t xml:space="preserve">he timing of events can </w:t>
      </w:r>
      <w:r w:rsidR="00DA7469">
        <w:rPr>
          <w:rFonts w:ascii="Calibri" w:eastAsia="MS Mincho" w:hAnsi="Calibri" w:cs="Calibri"/>
        </w:rPr>
        <w:t xml:space="preserve">also </w:t>
      </w:r>
      <w:r w:rsidR="00B76168" w:rsidRPr="00C93E05">
        <w:rPr>
          <w:rFonts w:ascii="Calibri" w:eastAsia="MS Mincho" w:hAnsi="Calibri" w:cs="Calibri"/>
        </w:rPr>
        <w:t xml:space="preserve">be </w:t>
      </w:r>
      <w:r w:rsidR="00A63309">
        <w:rPr>
          <w:rFonts w:ascii="Calibri" w:eastAsia="MS Mincho" w:hAnsi="Calibri" w:cs="Calibri"/>
        </w:rPr>
        <w:t>inappropriate</w:t>
      </w:r>
      <w:r w:rsidR="00B76168" w:rsidRPr="00C93E05">
        <w:rPr>
          <w:rFonts w:ascii="Calibri" w:eastAsia="MS Mincho" w:hAnsi="Calibri" w:cs="Calibri"/>
        </w:rPr>
        <w:t xml:space="preserve">, for example </w:t>
      </w:r>
      <w:r w:rsidR="00A63309">
        <w:rPr>
          <w:rFonts w:ascii="Calibri" w:eastAsia="MS Mincho" w:hAnsi="Calibri" w:cs="Calibri"/>
        </w:rPr>
        <w:t xml:space="preserve">scheduled </w:t>
      </w:r>
      <w:r w:rsidR="00B76168" w:rsidRPr="00C93E05">
        <w:rPr>
          <w:rFonts w:ascii="Calibri" w:eastAsia="MS Mincho" w:hAnsi="Calibri" w:cs="Calibri"/>
        </w:rPr>
        <w:t xml:space="preserve">in the middle of the normal working day [IV07]. </w:t>
      </w:r>
      <w:r w:rsidR="00A63309">
        <w:rPr>
          <w:rFonts w:ascii="Calibri" w:eastAsia="MS Mincho" w:hAnsi="Calibri" w:cs="Calibri"/>
        </w:rPr>
        <w:t>W</w:t>
      </w:r>
      <w:r w:rsidR="00B76168" w:rsidRPr="00C93E05">
        <w:rPr>
          <w:rFonts w:ascii="Calibri" w:eastAsia="MS Mincho" w:hAnsi="Calibri" w:cs="Calibri"/>
        </w:rPr>
        <w:t xml:space="preserve">ho is involved with the events may </w:t>
      </w:r>
      <w:r w:rsidR="00A63309">
        <w:rPr>
          <w:rFonts w:ascii="Calibri" w:eastAsia="MS Mincho" w:hAnsi="Calibri" w:cs="Calibri"/>
        </w:rPr>
        <w:t xml:space="preserve">also </w:t>
      </w:r>
      <w:r w:rsidR="00B76168" w:rsidRPr="00C93E05">
        <w:rPr>
          <w:rFonts w:ascii="Calibri" w:eastAsia="MS Mincho" w:hAnsi="Calibri" w:cs="Calibri"/>
        </w:rPr>
        <w:t xml:space="preserve">be difficult. PGRs may not want – or find it ethically </w:t>
      </w:r>
      <w:r w:rsidR="00B76168" w:rsidRPr="00C93E05">
        <w:rPr>
          <w:rFonts w:asciiTheme="majorHAnsi" w:eastAsia="MS Mincho" w:hAnsiTheme="majorHAnsi" w:cstheme="majorHAnsi"/>
        </w:rPr>
        <w:t xml:space="preserve">permissible </w:t>
      </w:r>
      <w:r w:rsidR="00A63309">
        <w:rPr>
          <w:rFonts w:asciiTheme="majorHAnsi" w:eastAsia="MS Mincho" w:hAnsiTheme="majorHAnsi" w:cstheme="majorHAnsi"/>
        </w:rPr>
        <w:t xml:space="preserve">- </w:t>
      </w:r>
      <w:r w:rsidR="00B76168" w:rsidRPr="00C93E05">
        <w:rPr>
          <w:rFonts w:asciiTheme="majorHAnsi" w:eastAsia="MS Mincho" w:hAnsiTheme="majorHAnsi" w:cstheme="majorHAnsi"/>
        </w:rPr>
        <w:t xml:space="preserve">to mingle with </w:t>
      </w:r>
      <w:r w:rsidR="00A63309">
        <w:rPr>
          <w:rFonts w:asciiTheme="majorHAnsi" w:eastAsia="MS Mincho" w:hAnsiTheme="majorHAnsi" w:cstheme="majorHAnsi"/>
        </w:rPr>
        <w:t>UGs</w:t>
      </w:r>
      <w:r w:rsidR="00B76168" w:rsidRPr="00C93E05">
        <w:rPr>
          <w:rFonts w:asciiTheme="majorHAnsi" w:eastAsia="MS Mincho" w:hAnsiTheme="majorHAnsi" w:cstheme="majorHAnsi"/>
        </w:rPr>
        <w:t xml:space="preserve"> in that context</w:t>
      </w:r>
      <w:r w:rsidR="00B76168" w:rsidRPr="00C93E05">
        <w:rPr>
          <w:rFonts w:ascii="Calibri" w:eastAsia="MS Mincho" w:hAnsi="Calibri" w:cs="Calibri"/>
        </w:rPr>
        <w:t xml:space="preserve">, with the </w:t>
      </w:r>
      <w:r w:rsidR="002E0F62">
        <w:rPr>
          <w:rFonts w:ascii="Calibri" w:eastAsia="MS Mincho" w:hAnsi="Calibri" w:cs="Calibri"/>
        </w:rPr>
        <w:t xml:space="preserve">attendant </w:t>
      </w:r>
      <w:r w:rsidR="00B76168" w:rsidRPr="00C93E05">
        <w:rPr>
          <w:rFonts w:ascii="Calibri" w:eastAsia="MS Mincho" w:hAnsi="Calibri" w:cs="Calibri"/>
        </w:rPr>
        <w:t>compromises of privacy and conflicts of interest [IV</w:t>
      </w:r>
      <w:r w:rsidR="00272927">
        <w:rPr>
          <w:rFonts w:ascii="Calibri" w:eastAsia="MS Mincho" w:hAnsi="Calibri" w:cs="Calibri"/>
        </w:rPr>
        <w:t>s</w:t>
      </w:r>
      <w:r w:rsidR="00B76168" w:rsidRPr="00C93E05">
        <w:rPr>
          <w:rFonts w:ascii="Calibri" w:eastAsia="MS Mincho" w:hAnsi="Calibri" w:cs="Calibri"/>
        </w:rPr>
        <w:t xml:space="preserve">07; </w:t>
      </w:r>
      <w:r w:rsidR="00272927">
        <w:rPr>
          <w:rFonts w:ascii="Calibri" w:eastAsia="MS Mincho" w:hAnsi="Calibri" w:cs="Calibri"/>
        </w:rPr>
        <w:t>1</w:t>
      </w:r>
      <w:r w:rsidR="00B76168" w:rsidRPr="00C93E05">
        <w:rPr>
          <w:rFonts w:ascii="Calibri" w:eastAsia="MS Mincho" w:hAnsi="Calibri" w:cs="Calibri"/>
        </w:rPr>
        <w:t>4]</w:t>
      </w:r>
      <w:r w:rsidR="00272927">
        <w:rPr>
          <w:rFonts w:ascii="Calibri" w:eastAsia="MS Mincho" w:hAnsi="Calibri" w:cs="Calibri"/>
        </w:rPr>
        <w:t>:</w:t>
      </w:r>
    </w:p>
    <w:p w14:paraId="6D7E0528" w14:textId="77777777" w:rsidR="00A056FD" w:rsidRPr="00C93E05" w:rsidRDefault="00A056FD" w:rsidP="00A644AD">
      <w:pPr>
        <w:rPr>
          <w:rFonts w:ascii="Calibri" w:eastAsia="MS Mincho" w:hAnsi="Calibri" w:cs="Calibri"/>
        </w:rPr>
      </w:pPr>
    </w:p>
    <w:p w14:paraId="7E831B2F" w14:textId="2BE492A9" w:rsidR="00A056FD" w:rsidRPr="00C93E05" w:rsidRDefault="00FB5AF7" w:rsidP="00A644AD">
      <w:pPr>
        <w:rPr>
          <w:rFonts w:asciiTheme="majorHAnsi" w:eastAsia="MS Mincho" w:hAnsiTheme="majorHAnsi" w:cstheme="majorHAnsi"/>
          <w:i/>
          <w:iCs/>
        </w:rPr>
      </w:pPr>
      <w:r w:rsidRPr="00C93E05">
        <w:rPr>
          <w:rFonts w:asciiTheme="majorHAnsi" w:hAnsiTheme="majorHAnsi" w:cstheme="majorHAnsi"/>
          <w:i/>
          <w:iCs/>
        </w:rPr>
        <w:t>“</w:t>
      </w:r>
      <w:proofErr w:type="gramStart"/>
      <w:r w:rsidR="00A056FD" w:rsidRPr="00C93E05">
        <w:rPr>
          <w:rFonts w:asciiTheme="majorHAnsi" w:hAnsiTheme="majorHAnsi" w:cstheme="majorHAnsi"/>
          <w:i/>
          <w:iCs/>
        </w:rPr>
        <w:t>it</w:t>
      </w:r>
      <w:proofErr w:type="gramEnd"/>
      <w:r w:rsidR="00A056FD" w:rsidRPr="00C93E05">
        <w:rPr>
          <w:rFonts w:asciiTheme="majorHAnsi" w:hAnsiTheme="majorHAnsi" w:cstheme="majorHAnsi"/>
          <w:i/>
          <w:iCs/>
        </w:rPr>
        <w:t xml:space="preserve"> was really uncomfortable being with the undergrads, because sometimes </w:t>
      </w:r>
      <w:r w:rsidR="000D041E" w:rsidRPr="00C93E05">
        <w:rPr>
          <w:rFonts w:asciiTheme="majorHAnsi" w:hAnsiTheme="majorHAnsi" w:cstheme="majorHAnsi"/>
          <w:i/>
          <w:iCs/>
        </w:rPr>
        <w:t>[PGRs]</w:t>
      </w:r>
      <w:r w:rsidR="00A056FD" w:rsidRPr="00C93E05">
        <w:rPr>
          <w:rFonts w:asciiTheme="majorHAnsi" w:hAnsiTheme="majorHAnsi" w:cstheme="majorHAnsi"/>
          <w:i/>
          <w:iCs/>
        </w:rPr>
        <w:t xml:space="preserve"> were teaching the undergrads, so it's like “that's my student from class. I don't </w:t>
      </w:r>
      <w:proofErr w:type="spellStart"/>
      <w:r w:rsidR="00A056FD" w:rsidRPr="00C93E05">
        <w:rPr>
          <w:rFonts w:asciiTheme="majorHAnsi" w:hAnsiTheme="majorHAnsi" w:cstheme="majorHAnsi"/>
          <w:i/>
          <w:iCs/>
        </w:rPr>
        <w:t>wanna</w:t>
      </w:r>
      <w:proofErr w:type="spellEnd"/>
      <w:r w:rsidR="00A056FD" w:rsidRPr="00C93E05">
        <w:rPr>
          <w:rFonts w:asciiTheme="majorHAnsi" w:hAnsiTheme="majorHAnsi" w:cstheme="majorHAnsi"/>
          <w:i/>
          <w:iCs/>
        </w:rPr>
        <w:t xml:space="preserve"> run and jog and chat with you.” </w:t>
      </w:r>
      <w:r w:rsidR="00A056FD" w:rsidRPr="00C93E05">
        <w:rPr>
          <w:rFonts w:asciiTheme="majorHAnsi" w:eastAsia="MS Mincho" w:hAnsiTheme="majorHAnsi" w:cstheme="majorHAnsi"/>
          <w:i/>
          <w:iCs/>
        </w:rPr>
        <w:t xml:space="preserve"> </w:t>
      </w:r>
      <w:r w:rsidR="00A056FD" w:rsidRPr="00FE6976">
        <w:rPr>
          <w:rFonts w:asciiTheme="majorHAnsi" w:eastAsia="MS Mincho" w:hAnsiTheme="majorHAnsi" w:cstheme="majorHAnsi"/>
        </w:rPr>
        <w:t>[IV07]</w:t>
      </w:r>
    </w:p>
    <w:p w14:paraId="2CDB6A68" w14:textId="77777777" w:rsidR="00A056FD" w:rsidRPr="00C93E05" w:rsidRDefault="00A056FD" w:rsidP="00A644AD">
      <w:pPr>
        <w:rPr>
          <w:rFonts w:asciiTheme="majorHAnsi" w:eastAsia="MS Mincho" w:hAnsiTheme="majorHAnsi" w:cstheme="majorHAnsi"/>
          <w:i/>
          <w:iCs/>
        </w:rPr>
      </w:pPr>
    </w:p>
    <w:p w14:paraId="0817734D" w14:textId="4BB2A63A" w:rsidR="00325F0E" w:rsidRPr="00C93E05" w:rsidRDefault="00D616EA" w:rsidP="00A644AD">
      <w:pPr>
        <w:rPr>
          <w:rFonts w:ascii="Calibri" w:eastAsia="Calibri" w:hAnsi="Calibri" w:cs="Calibri"/>
        </w:rPr>
      </w:pPr>
      <w:r w:rsidRPr="00D616EA">
        <w:rPr>
          <w:rFonts w:ascii="Calibri" w:eastAsia="Calibri" w:hAnsi="Calibri" w:cs="Calibri"/>
        </w:rPr>
        <w:t xml:space="preserve">So, paradoxically, </w:t>
      </w:r>
      <w:r w:rsidRPr="00D616EA">
        <w:rPr>
          <w:rFonts w:asciiTheme="majorHAnsi" w:eastAsia="MS Mincho" w:hAnsiTheme="majorHAnsi" w:cstheme="majorHAnsi"/>
        </w:rPr>
        <w:t>increased support for undergraduate students can actually make support of PGRs more difficult.</w:t>
      </w:r>
      <w:r>
        <w:rPr>
          <w:rFonts w:asciiTheme="majorHAnsi" w:eastAsia="MS Mincho" w:hAnsiTheme="majorHAnsi" w:cstheme="majorHAnsi"/>
        </w:rPr>
        <w:t xml:space="preserve"> </w:t>
      </w:r>
      <w:r w:rsidR="00C366BA">
        <w:rPr>
          <w:rFonts w:asciiTheme="majorHAnsi" w:eastAsia="MS Mincho" w:hAnsiTheme="majorHAnsi" w:cstheme="majorHAnsi"/>
        </w:rPr>
        <w:t>Additionally, e</w:t>
      </w:r>
      <w:r w:rsidR="00B76168" w:rsidRPr="00C93E05">
        <w:rPr>
          <w:rFonts w:ascii="Calibri" w:eastAsia="MS Mincho" w:hAnsi="Calibri" w:cs="Calibri"/>
        </w:rPr>
        <w:t xml:space="preserve">ven if interventions </w:t>
      </w:r>
      <w:r w:rsidR="00FE6976">
        <w:rPr>
          <w:rFonts w:ascii="Calibri" w:eastAsia="MS Mincho" w:hAnsi="Calibri" w:cs="Calibri"/>
        </w:rPr>
        <w:t>we</w:t>
      </w:r>
      <w:r w:rsidR="00B76168" w:rsidRPr="00C93E05">
        <w:rPr>
          <w:rFonts w:ascii="Calibri" w:eastAsia="MS Mincho" w:hAnsi="Calibri" w:cs="Calibri"/>
        </w:rPr>
        <w:t xml:space="preserve">re designed specifically for PGRs, they may be less strategic and more </w:t>
      </w:r>
      <w:r w:rsidR="00B76168" w:rsidRPr="00C93E05">
        <w:rPr>
          <w:rFonts w:ascii="Calibri" w:eastAsia="Calibri" w:hAnsi="Calibri" w:cs="Calibri"/>
        </w:rPr>
        <w:t xml:space="preserve">a reactive response to external pressures such as national Research Assessment processes, and </w:t>
      </w:r>
      <w:r w:rsidR="00183C0B">
        <w:rPr>
          <w:rFonts w:ascii="Calibri" w:eastAsia="Calibri" w:hAnsi="Calibri" w:cs="Calibri"/>
        </w:rPr>
        <w:t>gap</w:t>
      </w:r>
      <w:r w:rsidR="00B76168" w:rsidRPr="00C93E05">
        <w:rPr>
          <w:rFonts w:ascii="Calibri" w:eastAsia="Calibri" w:hAnsi="Calibri" w:cs="Calibri"/>
        </w:rPr>
        <w:t xml:space="preserve">s left by previous </w:t>
      </w:r>
      <w:r w:rsidR="00FE6976">
        <w:rPr>
          <w:rFonts w:ascii="Calibri" w:eastAsia="Calibri" w:hAnsi="Calibri" w:cs="Calibri"/>
        </w:rPr>
        <w:t>decisions:</w:t>
      </w:r>
      <w:r w:rsidR="00634213" w:rsidRPr="00C93E05">
        <w:rPr>
          <w:rFonts w:ascii="Calibri" w:eastAsia="Calibri" w:hAnsi="Calibri" w:cs="Calibri"/>
        </w:rPr>
        <w:t xml:space="preserve"> </w:t>
      </w:r>
    </w:p>
    <w:p w14:paraId="05920733" w14:textId="77777777" w:rsidR="00325F0E" w:rsidRPr="00C93E05" w:rsidRDefault="00325F0E" w:rsidP="00A644AD">
      <w:pPr>
        <w:rPr>
          <w:rFonts w:asciiTheme="majorHAnsi" w:eastAsia="Calibri" w:hAnsiTheme="majorHAnsi" w:cstheme="majorHAnsi"/>
          <w:i/>
          <w:iCs/>
        </w:rPr>
      </w:pPr>
    </w:p>
    <w:p w14:paraId="5F5EC302" w14:textId="06EAC5C2" w:rsidR="00325F0E" w:rsidRPr="00C93E05" w:rsidRDefault="00325F0E" w:rsidP="00A644AD">
      <w:pPr>
        <w:rPr>
          <w:rFonts w:asciiTheme="majorHAnsi" w:hAnsiTheme="majorHAnsi" w:cstheme="majorHAnsi"/>
          <w:i/>
          <w:iCs/>
        </w:rPr>
      </w:pPr>
      <w:r w:rsidRPr="00C93E05">
        <w:rPr>
          <w:rFonts w:asciiTheme="majorHAnsi" w:hAnsiTheme="majorHAnsi" w:cstheme="majorHAnsi"/>
          <w:i/>
          <w:iCs/>
        </w:rPr>
        <w:t>“</w:t>
      </w:r>
      <w:proofErr w:type="gramStart"/>
      <w:r w:rsidRPr="00C93E05">
        <w:rPr>
          <w:rFonts w:asciiTheme="majorHAnsi" w:hAnsiTheme="majorHAnsi" w:cstheme="majorHAnsi"/>
          <w:i/>
          <w:iCs/>
        </w:rPr>
        <w:t>maybe</w:t>
      </w:r>
      <w:proofErr w:type="gramEnd"/>
      <w:r w:rsidRPr="00C93E05">
        <w:rPr>
          <w:rFonts w:asciiTheme="majorHAnsi" w:hAnsiTheme="majorHAnsi" w:cstheme="majorHAnsi"/>
          <w:i/>
          <w:iCs/>
        </w:rPr>
        <w:t xml:space="preserve"> it's me being cynical because they've gotten rid of … the dedicated PGR mental health person</w:t>
      </w:r>
      <w:r w:rsidR="00513052">
        <w:rPr>
          <w:rFonts w:asciiTheme="majorHAnsi" w:hAnsiTheme="majorHAnsi" w:cstheme="majorHAnsi"/>
          <w:i/>
          <w:iCs/>
        </w:rPr>
        <w:t>, a</w:t>
      </w:r>
      <w:r w:rsidRPr="00C93E05">
        <w:rPr>
          <w:rFonts w:asciiTheme="majorHAnsi" w:hAnsiTheme="majorHAnsi" w:cstheme="majorHAnsi"/>
          <w:i/>
          <w:iCs/>
        </w:rPr>
        <w:t>nd went ‘ah crap</w:t>
      </w:r>
      <w:r w:rsidR="002E29F6">
        <w:rPr>
          <w:rFonts w:asciiTheme="majorHAnsi" w:hAnsiTheme="majorHAnsi" w:cstheme="majorHAnsi"/>
          <w:i/>
          <w:iCs/>
        </w:rPr>
        <w:t>…</w:t>
      </w:r>
      <w:r w:rsidRPr="00C93E05">
        <w:rPr>
          <w:rFonts w:asciiTheme="majorHAnsi" w:hAnsiTheme="majorHAnsi" w:cstheme="majorHAnsi"/>
          <w:i/>
          <w:iCs/>
        </w:rPr>
        <w:t xml:space="preserve"> none [of the] rest of our staff know anything about PGRs, so we need to give them something’</w:t>
      </w:r>
      <w:r w:rsidR="00513052">
        <w:rPr>
          <w:rFonts w:asciiTheme="majorHAnsi" w:hAnsiTheme="majorHAnsi" w:cstheme="majorHAnsi"/>
          <w:i/>
          <w:iCs/>
        </w:rPr>
        <w:t>. A</w:t>
      </w:r>
      <w:r w:rsidRPr="00C93E05">
        <w:rPr>
          <w:rFonts w:asciiTheme="majorHAnsi" w:hAnsiTheme="majorHAnsi" w:cstheme="majorHAnsi"/>
          <w:i/>
          <w:iCs/>
        </w:rPr>
        <w:t xml:space="preserve">nd on the social contact side, I think they looked at the REF scores and went ‘Ah crap. Everyone's having a terrible time in terms of research culture. What can we do?’ </w:t>
      </w:r>
      <w:proofErr w:type="gramStart"/>
      <w:r w:rsidRPr="00C93E05">
        <w:rPr>
          <w:rFonts w:asciiTheme="majorHAnsi" w:hAnsiTheme="majorHAnsi" w:cstheme="majorHAnsi"/>
          <w:i/>
          <w:iCs/>
        </w:rPr>
        <w:t xml:space="preserve">“ </w:t>
      </w:r>
      <w:r w:rsidRPr="002E29F6">
        <w:rPr>
          <w:rFonts w:asciiTheme="majorHAnsi" w:hAnsiTheme="majorHAnsi" w:cstheme="majorHAnsi"/>
        </w:rPr>
        <w:t>[</w:t>
      </w:r>
      <w:proofErr w:type="gramEnd"/>
      <w:r w:rsidRPr="002E29F6">
        <w:rPr>
          <w:rFonts w:asciiTheme="majorHAnsi" w:hAnsiTheme="majorHAnsi" w:cstheme="majorHAnsi"/>
        </w:rPr>
        <w:t>IV06]</w:t>
      </w:r>
    </w:p>
    <w:p w14:paraId="16FE4469" w14:textId="77777777" w:rsidR="00244982" w:rsidRPr="00D616EA" w:rsidRDefault="00244982" w:rsidP="00420659">
      <w:pPr>
        <w:rPr>
          <w:rFonts w:asciiTheme="majorHAnsi" w:eastAsia="MS Mincho" w:hAnsiTheme="majorHAnsi" w:cstheme="majorHAnsi"/>
        </w:rPr>
      </w:pPr>
    </w:p>
    <w:p w14:paraId="4F9F3A0C" w14:textId="5391AF48" w:rsidR="00C45821" w:rsidRPr="00C93E05" w:rsidRDefault="00585A81" w:rsidP="00420659">
      <w:pPr>
        <w:rPr>
          <w:rFonts w:asciiTheme="majorHAnsi" w:hAnsiTheme="majorHAnsi" w:cstheme="majorHAnsi"/>
        </w:rPr>
      </w:pPr>
      <w:r w:rsidRPr="00D616EA">
        <w:rPr>
          <w:rFonts w:asciiTheme="majorHAnsi" w:eastAsia="MS Mincho" w:hAnsiTheme="majorHAnsi" w:cstheme="majorHAnsi"/>
        </w:rPr>
        <w:lastRenderedPageBreak/>
        <w:t xml:space="preserve">Lack of understanding PGR can cause </w:t>
      </w:r>
      <w:r w:rsidR="00690947" w:rsidRPr="00652A5E">
        <w:rPr>
          <w:rFonts w:asciiTheme="majorHAnsi" w:eastAsia="MS Mincho" w:hAnsiTheme="majorHAnsi" w:cstheme="majorHAnsi"/>
        </w:rPr>
        <w:t xml:space="preserve">additional work at </w:t>
      </w:r>
      <w:r w:rsidR="00FC1451" w:rsidRPr="00652A5E">
        <w:rPr>
          <w:rFonts w:asciiTheme="majorHAnsi" w:hAnsiTheme="majorHAnsi" w:cstheme="majorHAnsi"/>
        </w:rPr>
        <w:t>I</w:t>
      </w:r>
      <w:r w:rsidR="00690947" w:rsidRPr="00652A5E">
        <w:rPr>
          <w:rFonts w:asciiTheme="majorHAnsi" w:hAnsiTheme="majorHAnsi" w:cstheme="majorHAnsi"/>
        </w:rPr>
        <w:t>ndividual level.</w:t>
      </w:r>
      <w:r w:rsidRPr="00652A5E">
        <w:rPr>
          <w:rFonts w:asciiTheme="majorHAnsi" w:hAnsiTheme="majorHAnsi" w:cstheme="majorHAnsi"/>
        </w:rPr>
        <w:t xml:space="preserve"> I</w:t>
      </w:r>
      <w:r w:rsidR="001A31FD" w:rsidRPr="00652A5E">
        <w:rPr>
          <w:rFonts w:asciiTheme="majorHAnsi" w:hAnsiTheme="majorHAnsi" w:cstheme="majorHAnsi"/>
        </w:rPr>
        <w:t xml:space="preserve">f the source of the </w:t>
      </w:r>
      <w:r w:rsidRPr="00652A5E">
        <w:rPr>
          <w:rFonts w:asciiTheme="majorHAnsi" w:hAnsiTheme="majorHAnsi" w:cstheme="majorHAnsi"/>
        </w:rPr>
        <w:t xml:space="preserve">intervention </w:t>
      </w:r>
      <w:r w:rsidR="001A31FD" w:rsidRPr="00652A5E">
        <w:rPr>
          <w:rFonts w:asciiTheme="majorHAnsi" w:hAnsiTheme="majorHAnsi" w:cstheme="majorHAnsi"/>
        </w:rPr>
        <w:t>idea was not the PGR community</w:t>
      </w:r>
      <w:r w:rsidRPr="00D616EA">
        <w:rPr>
          <w:rFonts w:asciiTheme="majorHAnsi" w:hAnsiTheme="majorHAnsi" w:cstheme="majorHAnsi"/>
        </w:rPr>
        <w:t>,</w:t>
      </w:r>
      <w:r w:rsidR="001A31FD" w:rsidRPr="00D616EA">
        <w:rPr>
          <w:rFonts w:asciiTheme="majorHAnsi" w:hAnsiTheme="majorHAnsi" w:cstheme="majorHAnsi"/>
        </w:rPr>
        <w:t xml:space="preserve"> persuasion</w:t>
      </w:r>
      <w:r w:rsidR="0018668B" w:rsidRPr="00D616EA">
        <w:rPr>
          <w:rFonts w:asciiTheme="majorHAnsi" w:hAnsiTheme="majorHAnsi" w:cstheme="majorHAnsi"/>
        </w:rPr>
        <w:t xml:space="preserve"> </w:t>
      </w:r>
      <w:r w:rsidRPr="00D616EA">
        <w:rPr>
          <w:rFonts w:asciiTheme="majorHAnsi" w:hAnsiTheme="majorHAnsi" w:cstheme="majorHAnsi"/>
        </w:rPr>
        <w:t xml:space="preserve">was needed </w:t>
      </w:r>
      <w:r w:rsidR="0018668B" w:rsidRPr="00D616EA">
        <w:rPr>
          <w:rFonts w:asciiTheme="majorHAnsi" w:hAnsiTheme="majorHAnsi" w:cstheme="majorHAnsi"/>
        </w:rPr>
        <w:t>by the intervention leaders</w:t>
      </w:r>
      <w:r w:rsidRPr="00D616EA">
        <w:rPr>
          <w:rFonts w:asciiTheme="majorHAnsi" w:hAnsiTheme="majorHAnsi" w:cstheme="majorHAnsi"/>
        </w:rPr>
        <w:t xml:space="preserve"> to convince th</w:t>
      </w:r>
      <w:r w:rsidR="00C45821" w:rsidRPr="00D616EA">
        <w:rPr>
          <w:rFonts w:asciiTheme="majorHAnsi" w:hAnsiTheme="majorHAnsi" w:cstheme="majorHAnsi"/>
        </w:rPr>
        <w:t>at</w:t>
      </w:r>
      <w:r w:rsidRPr="00D616EA">
        <w:rPr>
          <w:rFonts w:asciiTheme="majorHAnsi" w:hAnsiTheme="majorHAnsi" w:cstheme="majorHAnsi"/>
        </w:rPr>
        <w:t xml:space="preserve"> community</w:t>
      </w:r>
      <w:r w:rsidR="002E29F6" w:rsidRPr="00D616EA">
        <w:rPr>
          <w:rFonts w:asciiTheme="majorHAnsi" w:hAnsiTheme="majorHAnsi" w:cstheme="majorHAnsi"/>
        </w:rPr>
        <w:t>:</w:t>
      </w:r>
      <w:r w:rsidRPr="00C93E05">
        <w:rPr>
          <w:rFonts w:asciiTheme="majorHAnsi" w:hAnsiTheme="majorHAnsi" w:cstheme="majorHAnsi"/>
        </w:rPr>
        <w:t xml:space="preserve"> </w:t>
      </w:r>
    </w:p>
    <w:p w14:paraId="77148957" w14:textId="77777777" w:rsidR="00C45821" w:rsidRPr="00C93E05" w:rsidRDefault="00C45821" w:rsidP="00420659">
      <w:pPr>
        <w:rPr>
          <w:rFonts w:asciiTheme="majorHAnsi" w:hAnsiTheme="majorHAnsi" w:cstheme="majorHAnsi"/>
          <w:i/>
          <w:iCs/>
        </w:rPr>
      </w:pPr>
    </w:p>
    <w:p w14:paraId="2CA0F689" w14:textId="0A9F63BB" w:rsidR="00C45821" w:rsidRPr="00C93E05" w:rsidRDefault="00C45821" w:rsidP="00420659">
      <w:pPr>
        <w:rPr>
          <w:rFonts w:asciiTheme="majorHAnsi" w:hAnsiTheme="majorHAnsi" w:cstheme="majorHAnsi"/>
          <w:i/>
          <w:iCs/>
        </w:rPr>
      </w:pPr>
      <w:r w:rsidRPr="00C93E05">
        <w:rPr>
          <w:rFonts w:asciiTheme="majorHAnsi" w:hAnsiTheme="majorHAnsi" w:cstheme="majorHAnsi"/>
          <w:i/>
          <w:iCs/>
        </w:rPr>
        <w:t xml:space="preserve">“I didn't want to come in and sort of start, like, I guess, a bull in a </w:t>
      </w:r>
      <w:proofErr w:type="spellStart"/>
      <w:r w:rsidRPr="00C93E05">
        <w:rPr>
          <w:rFonts w:asciiTheme="majorHAnsi" w:hAnsiTheme="majorHAnsi" w:cstheme="majorHAnsi"/>
          <w:i/>
          <w:iCs/>
        </w:rPr>
        <w:t>china</w:t>
      </w:r>
      <w:proofErr w:type="spellEnd"/>
      <w:r w:rsidRPr="00C93E05">
        <w:rPr>
          <w:rFonts w:asciiTheme="majorHAnsi" w:hAnsiTheme="majorHAnsi" w:cstheme="majorHAnsi"/>
          <w:i/>
          <w:iCs/>
        </w:rPr>
        <w:t xml:space="preserve"> shop really saying ‘oh you, so we've got this great idea’. Because it wasn't coming from that community initially, it was coming from staff outside of that community, thinking that that would be a good focus for the community to go down. </w:t>
      </w:r>
      <w:proofErr w:type="gramStart"/>
      <w:r w:rsidRPr="00C93E05">
        <w:rPr>
          <w:rFonts w:asciiTheme="majorHAnsi" w:hAnsiTheme="majorHAnsi" w:cstheme="majorHAnsi"/>
          <w:i/>
          <w:iCs/>
        </w:rPr>
        <w:t>So</w:t>
      </w:r>
      <w:proofErr w:type="gramEnd"/>
      <w:r w:rsidRPr="00C93E05">
        <w:rPr>
          <w:rFonts w:asciiTheme="majorHAnsi" w:hAnsiTheme="majorHAnsi" w:cstheme="majorHAnsi"/>
          <w:i/>
          <w:iCs/>
        </w:rPr>
        <w:t xml:space="preserve"> I had to persuade people that this was something that would benefit the community” </w:t>
      </w:r>
      <w:r w:rsidRPr="002E29F6">
        <w:rPr>
          <w:rFonts w:asciiTheme="majorHAnsi" w:hAnsiTheme="majorHAnsi" w:cstheme="majorHAnsi"/>
        </w:rPr>
        <w:t>[IV08]</w:t>
      </w:r>
    </w:p>
    <w:p w14:paraId="0FB6386A" w14:textId="77777777" w:rsidR="00C45821" w:rsidRPr="00C93E05" w:rsidRDefault="00C45821" w:rsidP="00420659">
      <w:pPr>
        <w:rPr>
          <w:rFonts w:asciiTheme="majorHAnsi" w:hAnsiTheme="majorHAnsi" w:cstheme="majorHAnsi"/>
          <w:i/>
          <w:iCs/>
        </w:rPr>
      </w:pPr>
    </w:p>
    <w:p w14:paraId="3449452C" w14:textId="07F77D25" w:rsidR="00420659" w:rsidRDefault="00A223C6" w:rsidP="00420659">
      <w:pPr>
        <w:rPr>
          <w:rFonts w:asciiTheme="majorHAnsi" w:eastAsia="MS Mincho" w:hAnsiTheme="majorHAnsi" w:cstheme="majorHAnsi"/>
        </w:rPr>
      </w:pPr>
      <w:r>
        <w:rPr>
          <w:rFonts w:asciiTheme="majorHAnsi" w:hAnsiTheme="majorHAnsi" w:cstheme="majorHAnsi"/>
        </w:rPr>
        <w:t>Similarly, l</w:t>
      </w:r>
      <w:r w:rsidR="0018668B" w:rsidRPr="00C93E05">
        <w:rPr>
          <w:rFonts w:asciiTheme="majorHAnsi" w:eastAsia="MS Mincho" w:hAnsiTheme="majorHAnsi" w:cstheme="majorHAnsi"/>
        </w:rPr>
        <w:t xml:space="preserve">ack of understanding </w:t>
      </w:r>
      <w:r w:rsidR="0018668B" w:rsidRPr="00C93E05">
        <w:rPr>
          <w:rFonts w:asciiTheme="majorHAnsi" w:hAnsiTheme="majorHAnsi" w:cstheme="majorHAnsi"/>
        </w:rPr>
        <w:t xml:space="preserve">of the </w:t>
      </w:r>
      <w:r w:rsidR="00585A81" w:rsidRPr="00C93E05">
        <w:rPr>
          <w:rFonts w:asciiTheme="majorHAnsi" w:hAnsiTheme="majorHAnsi" w:cstheme="majorHAnsi"/>
        </w:rPr>
        <w:t>intervention</w:t>
      </w:r>
      <w:r w:rsidR="0018668B" w:rsidRPr="00C93E05">
        <w:rPr>
          <w:rFonts w:asciiTheme="majorHAnsi" w:hAnsiTheme="majorHAnsi" w:cstheme="majorHAnsi"/>
        </w:rPr>
        <w:t xml:space="preserve"> </w:t>
      </w:r>
      <w:r w:rsidR="0018668B" w:rsidRPr="00C93E05">
        <w:rPr>
          <w:rFonts w:asciiTheme="majorHAnsi" w:eastAsia="Calibri" w:hAnsiTheme="majorHAnsi" w:cstheme="majorHAnsi"/>
        </w:rPr>
        <w:t xml:space="preserve">can require extra work to convince colleagues to </w:t>
      </w:r>
      <w:r>
        <w:rPr>
          <w:rFonts w:asciiTheme="majorHAnsi" w:eastAsia="Calibri" w:hAnsiTheme="majorHAnsi" w:cstheme="majorHAnsi"/>
        </w:rPr>
        <w:t xml:space="preserve">offer </w:t>
      </w:r>
      <w:r w:rsidR="0018668B" w:rsidRPr="00C93E05">
        <w:rPr>
          <w:rFonts w:asciiTheme="majorHAnsi" w:eastAsia="Calibri" w:hAnsiTheme="majorHAnsi" w:cstheme="majorHAnsi"/>
        </w:rPr>
        <w:t>support</w:t>
      </w:r>
      <w:r>
        <w:rPr>
          <w:rFonts w:asciiTheme="majorHAnsi" w:eastAsia="Calibri" w:hAnsiTheme="majorHAnsi" w:cstheme="majorHAnsi"/>
        </w:rPr>
        <w:t>, apply</w:t>
      </w:r>
      <w:r w:rsidR="0018668B" w:rsidRPr="00C93E05">
        <w:rPr>
          <w:rFonts w:asciiTheme="majorHAnsi" w:eastAsia="Calibri" w:hAnsiTheme="majorHAnsi" w:cstheme="majorHAnsi"/>
        </w:rPr>
        <w:t xml:space="preserve"> for funding, </w:t>
      </w:r>
      <w:r w:rsidR="009A20E1">
        <w:rPr>
          <w:rFonts w:asciiTheme="majorHAnsi" w:eastAsia="Calibri" w:hAnsiTheme="majorHAnsi" w:cstheme="majorHAnsi"/>
        </w:rPr>
        <w:t>or</w:t>
      </w:r>
      <w:r w:rsidR="0018668B" w:rsidRPr="00C93E05">
        <w:rPr>
          <w:rFonts w:asciiTheme="majorHAnsi" w:eastAsia="Calibri" w:hAnsiTheme="majorHAnsi" w:cstheme="majorHAnsi"/>
        </w:rPr>
        <w:t xml:space="preserve"> </w:t>
      </w:r>
      <w:r w:rsidR="0093340B">
        <w:rPr>
          <w:rFonts w:asciiTheme="majorHAnsi" w:eastAsia="Calibri" w:hAnsiTheme="majorHAnsi" w:cstheme="majorHAnsi"/>
        </w:rPr>
        <w:t xml:space="preserve">undertake </w:t>
      </w:r>
      <w:r w:rsidR="0018668B" w:rsidRPr="00C93E05">
        <w:rPr>
          <w:rFonts w:asciiTheme="majorHAnsi" w:eastAsia="Calibri" w:hAnsiTheme="majorHAnsi" w:cstheme="majorHAnsi"/>
        </w:rPr>
        <w:t>other</w:t>
      </w:r>
      <w:r w:rsidR="00790C1F" w:rsidRPr="00C93E05">
        <w:rPr>
          <w:rFonts w:asciiTheme="majorHAnsi" w:eastAsia="Calibri" w:hAnsiTheme="majorHAnsi" w:cstheme="majorHAnsi"/>
        </w:rPr>
        <w:t xml:space="preserve"> activities</w:t>
      </w:r>
      <w:r w:rsidR="0018668B" w:rsidRPr="00C93E05">
        <w:rPr>
          <w:rFonts w:asciiTheme="majorHAnsi" w:eastAsia="Calibri" w:hAnsiTheme="majorHAnsi" w:cstheme="majorHAnsi"/>
        </w:rPr>
        <w:t xml:space="preserve"> [IV08]</w:t>
      </w:r>
      <w:r w:rsidR="00477E61" w:rsidRPr="00C93E05">
        <w:rPr>
          <w:rFonts w:asciiTheme="majorHAnsi" w:eastAsia="Calibri" w:hAnsiTheme="majorHAnsi" w:cstheme="majorHAnsi"/>
        </w:rPr>
        <w:t>. For example</w:t>
      </w:r>
      <w:r w:rsidR="00585A81" w:rsidRPr="00C93E05">
        <w:rPr>
          <w:rFonts w:asciiTheme="majorHAnsi" w:eastAsia="Calibri" w:hAnsiTheme="majorHAnsi" w:cstheme="majorHAnsi"/>
        </w:rPr>
        <w:t>, if</w:t>
      </w:r>
      <w:r w:rsidR="0018668B" w:rsidRPr="00C93E05">
        <w:rPr>
          <w:rFonts w:asciiTheme="majorHAnsi" w:eastAsia="Calibri" w:hAnsiTheme="majorHAnsi" w:cstheme="majorHAnsi"/>
        </w:rPr>
        <w:t xml:space="preserve"> </w:t>
      </w:r>
      <w:r w:rsidR="00585A81" w:rsidRPr="00C93E05">
        <w:rPr>
          <w:rFonts w:asciiTheme="majorHAnsi" w:eastAsia="Calibri" w:hAnsiTheme="majorHAnsi" w:cstheme="majorHAnsi"/>
        </w:rPr>
        <w:t>a r</w:t>
      </w:r>
      <w:r w:rsidR="0018668B" w:rsidRPr="00C93E05">
        <w:rPr>
          <w:rFonts w:asciiTheme="majorHAnsi" w:hAnsiTheme="majorHAnsi" w:cstheme="majorHAnsi"/>
        </w:rPr>
        <w:t xml:space="preserve">esearch </w:t>
      </w:r>
      <w:r w:rsidR="00585A81" w:rsidRPr="00C93E05">
        <w:rPr>
          <w:rFonts w:asciiTheme="majorHAnsi" w:hAnsiTheme="majorHAnsi" w:cstheme="majorHAnsi"/>
        </w:rPr>
        <w:t>administrative office</w:t>
      </w:r>
      <w:r w:rsidR="0018668B" w:rsidRPr="00C93E05">
        <w:rPr>
          <w:rFonts w:asciiTheme="majorHAnsi" w:hAnsiTheme="majorHAnsi" w:cstheme="majorHAnsi"/>
        </w:rPr>
        <w:t xml:space="preserve"> didn’t understand the project</w:t>
      </w:r>
      <w:r w:rsidR="00585A81" w:rsidRPr="00C93E05">
        <w:rPr>
          <w:rFonts w:asciiTheme="majorHAnsi" w:hAnsiTheme="majorHAnsi" w:cstheme="majorHAnsi"/>
        </w:rPr>
        <w:t>, it needed</w:t>
      </w:r>
      <w:r w:rsidR="0018668B" w:rsidRPr="00C93E05">
        <w:rPr>
          <w:rFonts w:asciiTheme="majorHAnsi" w:hAnsiTheme="majorHAnsi" w:cstheme="majorHAnsi"/>
        </w:rPr>
        <w:t xml:space="preserve"> </w:t>
      </w:r>
      <w:r w:rsidR="009A20E1">
        <w:rPr>
          <w:rFonts w:asciiTheme="majorHAnsi" w:hAnsiTheme="majorHAnsi" w:cstheme="majorHAnsi"/>
        </w:rPr>
        <w:t xml:space="preserve">additional work by </w:t>
      </w:r>
      <w:r w:rsidR="0018668B" w:rsidRPr="00C93E05">
        <w:rPr>
          <w:rFonts w:asciiTheme="majorHAnsi" w:hAnsiTheme="majorHAnsi" w:cstheme="majorHAnsi"/>
        </w:rPr>
        <w:t>experts</w:t>
      </w:r>
      <w:r w:rsidR="009A20E1">
        <w:rPr>
          <w:rFonts w:asciiTheme="majorHAnsi" w:hAnsiTheme="majorHAnsi" w:cstheme="majorHAnsi"/>
        </w:rPr>
        <w:t xml:space="preserve"> to </w:t>
      </w:r>
      <w:r w:rsidR="003B119A" w:rsidRPr="00652A5E">
        <w:rPr>
          <w:rFonts w:asciiTheme="majorHAnsi" w:hAnsiTheme="majorHAnsi" w:cstheme="majorHAnsi"/>
        </w:rPr>
        <w:t>persuade</w:t>
      </w:r>
      <w:r w:rsidR="009A20E1" w:rsidRPr="00652A5E">
        <w:rPr>
          <w:rFonts w:asciiTheme="majorHAnsi" w:hAnsiTheme="majorHAnsi" w:cstheme="majorHAnsi"/>
        </w:rPr>
        <w:t xml:space="preserve"> that the ideas were credible [IV10]. </w:t>
      </w:r>
      <w:r w:rsidR="00D07268" w:rsidRPr="00652A5E">
        <w:rPr>
          <w:rFonts w:asciiTheme="majorHAnsi" w:hAnsiTheme="majorHAnsi" w:cstheme="majorHAnsi"/>
        </w:rPr>
        <w:t xml:space="preserve">At the </w:t>
      </w:r>
      <w:r w:rsidR="00FC1451" w:rsidRPr="00652A5E">
        <w:rPr>
          <w:rFonts w:asciiTheme="majorHAnsi" w:hAnsiTheme="majorHAnsi" w:cstheme="majorHAnsi"/>
        </w:rPr>
        <w:t>O</w:t>
      </w:r>
      <w:r w:rsidR="00D07268" w:rsidRPr="00652A5E">
        <w:rPr>
          <w:rFonts w:asciiTheme="majorHAnsi" w:hAnsiTheme="majorHAnsi" w:cstheme="majorHAnsi"/>
        </w:rPr>
        <w:t xml:space="preserve">rganisational level, lack of understanding can result in operational </w:t>
      </w:r>
      <w:r w:rsidR="00F11AD2" w:rsidRPr="00652A5E">
        <w:rPr>
          <w:rFonts w:asciiTheme="majorHAnsi" w:eastAsia="MS Mincho" w:hAnsiTheme="majorHAnsi" w:cstheme="majorHAnsi"/>
        </w:rPr>
        <w:t>hurdles which are particularly difficult to jump</w:t>
      </w:r>
      <w:r w:rsidR="00D07268" w:rsidRPr="00652A5E">
        <w:rPr>
          <w:rFonts w:asciiTheme="majorHAnsi" w:eastAsia="MS Mincho" w:hAnsiTheme="majorHAnsi" w:cstheme="majorHAnsi"/>
        </w:rPr>
        <w:t>.</w:t>
      </w:r>
      <w:r w:rsidR="00F11AD2" w:rsidRPr="00652A5E">
        <w:rPr>
          <w:rFonts w:asciiTheme="majorHAnsi" w:eastAsia="MS Mincho" w:hAnsiTheme="majorHAnsi" w:cstheme="majorHAnsi"/>
        </w:rPr>
        <w:t xml:space="preserve">  </w:t>
      </w:r>
      <w:r w:rsidR="00420659" w:rsidRPr="00652A5E">
        <w:rPr>
          <w:rFonts w:asciiTheme="majorHAnsi" w:eastAsia="MS Mincho" w:hAnsiTheme="majorHAnsi" w:cstheme="majorHAnsi"/>
        </w:rPr>
        <w:t>IV06 explained that within-university networks for staff such as on specific research</w:t>
      </w:r>
      <w:r w:rsidR="00420659" w:rsidRPr="00C93E05">
        <w:rPr>
          <w:rFonts w:asciiTheme="majorHAnsi" w:eastAsia="MS Mincho" w:hAnsiTheme="majorHAnsi" w:cstheme="majorHAnsi"/>
        </w:rPr>
        <w:t xml:space="preserve"> themes either excluded PGRs, leaving connections often down to luck rather than systematic networking, or required PGRs to do the work to set these up themselves. This was disproportionately difficult as </w:t>
      </w:r>
      <w:r w:rsidR="00171B45">
        <w:rPr>
          <w:rFonts w:asciiTheme="majorHAnsi" w:eastAsia="MS Mincho" w:hAnsiTheme="majorHAnsi" w:cstheme="majorHAnsi"/>
        </w:rPr>
        <w:t>PGRs</w:t>
      </w:r>
      <w:r w:rsidR="00420659" w:rsidRPr="00C93E05">
        <w:rPr>
          <w:rFonts w:asciiTheme="majorHAnsi" w:eastAsia="MS Mincho" w:hAnsiTheme="majorHAnsi" w:cstheme="majorHAnsi"/>
        </w:rPr>
        <w:t xml:space="preserve"> were not classed as staff, affecting access to IT departments, advice for navigating </w:t>
      </w:r>
      <w:r w:rsidR="00171B45">
        <w:rPr>
          <w:rFonts w:asciiTheme="majorHAnsi" w:eastAsia="MS Mincho" w:hAnsiTheme="majorHAnsi" w:cstheme="majorHAnsi"/>
        </w:rPr>
        <w:t>data protection</w:t>
      </w:r>
      <w:r w:rsidR="00420659" w:rsidRPr="00C93E05">
        <w:rPr>
          <w:rFonts w:asciiTheme="majorHAnsi" w:eastAsia="MS Mincho" w:hAnsiTheme="majorHAnsi" w:cstheme="majorHAnsi"/>
        </w:rPr>
        <w:t xml:space="preserve"> requirements, and permissions to set up networks [IV06]. The</w:t>
      </w:r>
      <w:r w:rsidR="00960D66">
        <w:rPr>
          <w:rFonts w:asciiTheme="majorHAnsi" w:eastAsia="MS Mincho" w:hAnsiTheme="majorHAnsi" w:cstheme="majorHAnsi"/>
        </w:rPr>
        <w:t>re are</w:t>
      </w:r>
      <w:r w:rsidR="00420659" w:rsidRPr="00C93E05">
        <w:rPr>
          <w:rFonts w:asciiTheme="majorHAnsi" w:eastAsia="MS Mincho" w:hAnsiTheme="majorHAnsi" w:cstheme="majorHAnsi"/>
        </w:rPr>
        <w:t xml:space="preserve"> implications for equality, and the sense that the institution, with all its capacity which it deploys for undergraduates and staff, could do more [IV06]. A similar experience at the same institution when designing a different wellbeing intervention reinforced the same </w:t>
      </w:r>
      <w:r w:rsidR="009A20E1">
        <w:rPr>
          <w:rFonts w:asciiTheme="majorHAnsi" w:eastAsia="MS Mincho" w:hAnsiTheme="majorHAnsi" w:cstheme="majorHAnsi"/>
        </w:rPr>
        <w:t>point. R</w:t>
      </w:r>
      <w:r w:rsidR="00420659" w:rsidRPr="00C93E05">
        <w:rPr>
          <w:rFonts w:asciiTheme="majorHAnsi" w:eastAsia="MS Mincho" w:hAnsiTheme="majorHAnsi" w:cstheme="majorHAnsi"/>
        </w:rPr>
        <w:t>isk assessments and room bookings had to be carried out by PGRs themselves, with lack of appropriate PGR facilities, where</w:t>
      </w:r>
      <w:r w:rsidR="008E5150">
        <w:rPr>
          <w:rFonts w:asciiTheme="majorHAnsi" w:eastAsia="MS Mincho" w:hAnsiTheme="majorHAnsi" w:cstheme="majorHAnsi"/>
        </w:rPr>
        <w:t>as</w:t>
      </w:r>
      <w:r w:rsidR="00420659" w:rsidRPr="00C93E05">
        <w:rPr>
          <w:rFonts w:asciiTheme="majorHAnsi" w:eastAsia="MS Mincho" w:hAnsiTheme="majorHAnsi" w:cstheme="majorHAnsi"/>
        </w:rPr>
        <w:t xml:space="preserve"> </w:t>
      </w:r>
      <w:r w:rsidR="009A20E1">
        <w:rPr>
          <w:rFonts w:asciiTheme="majorHAnsi" w:eastAsia="MS Mincho" w:hAnsiTheme="majorHAnsi" w:cstheme="majorHAnsi"/>
        </w:rPr>
        <w:t>UG</w:t>
      </w:r>
      <w:r w:rsidR="00420659" w:rsidRPr="00C93E05">
        <w:rPr>
          <w:rFonts w:asciiTheme="majorHAnsi" w:eastAsia="MS Mincho" w:hAnsiTheme="majorHAnsi" w:cstheme="majorHAnsi"/>
        </w:rPr>
        <w:t>s could rely on university or Student Union support [IV06].</w:t>
      </w:r>
    </w:p>
    <w:p w14:paraId="10858217" w14:textId="77777777" w:rsidR="00485F00" w:rsidRDefault="00485F00" w:rsidP="00420659">
      <w:pPr>
        <w:rPr>
          <w:rFonts w:asciiTheme="majorHAnsi" w:eastAsia="MS Mincho" w:hAnsiTheme="majorHAnsi" w:cstheme="majorHAnsi"/>
        </w:rPr>
      </w:pPr>
    </w:p>
    <w:p w14:paraId="407A9FDE" w14:textId="39FB9EF0" w:rsidR="00374A3D" w:rsidRPr="00C93E05" w:rsidRDefault="000527F8" w:rsidP="00FA668F">
      <w:pPr>
        <w:rPr>
          <w:rFonts w:ascii="Calibri" w:eastAsia="MS Mincho" w:hAnsi="Calibri" w:cs="Calibri"/>
          <w:i/>
          <w:iCs/>
          <w:u w:val="single"/>
        </w:rPr>
      </w:pPr>
      <w:r>
        <w:rPr>
          <w:rFonts w:ascii="Calibri" w:eastAsia="MS Mincho" w:hAnsi="Calibri" w:cs="Calibri"/>
          <w:i/>
          <w:iCs/>
          <w:u w:val="single"/>
        </w:rPr>
        <w:t>R</w:t>
      </w:r>
      <w:r w:rsidR="00CC0C2B" w:rsidRPr="00C93E05">
        <w:rPr>
          <w:rFonts w:ascii="Calibri" w:eastAsia="MS Mincho" w:hAnsi="Calibri" w:cs="Calibri"/>
          <w:i/>
          <w:iCs/>
          <w:u w:val="single"/>
        </w:rPr>
        <w:t>eliance</w:t>
      </w:r>
      <w:r w:rsidR="00374A3D" w:rsidRPr="00C93E05">
        <w:rPr>
          <w:rFonts w:ascii="Calibri" w:eastAsia="MS Mincho" w:hAnsi="Calibri" w:cs="Calibri"/>
          <w:i/>
          <w:iCs/>
          <w:u w:val="single"/>
        </w:rPr>
        <w:t xml:space="preserve"> on individuals</w:t>
      </w:r>
    </w:p>
    <w:p w14:paraId="1B66CC3C" w14:textId="3AFC9821" w:rsidR="00F74869" w:rsidRPr="00C93E05" w:rsidRDefault="000527F8" w:rsidP="00F74869">
      <w:pPr>
        <w:rPr>
          <w:rFonts w:asciiTheme="majorHAnsi" w:hAnsiTheme="majorHAnsi" w:cstheme="majorHAnsi"/>
        </w:rPr>
      </w:pPr>
      <w:r w:rsidRPr="00142578">
        <w:rPr>
          <w:rFonts w:asciiTheme="majorHAnsi" w:eastAsia="Times New Roman" w:hAnsiTheme="majorHAnsi" w:cstheme="majorHAnsi"/>
          <w:lang w:eastAsia="en-GB"/>
        </w:rPr>
        <w:t xml:space="preserve">Low Operational capacity manifest through heavy reliance on particular individuals can amplify low Political capacity. </w:t>
      </w:r>
      <w:r w:rsidR="008C22F3" w:rsidRPr="00142578">
        <w:rPr>
          <w:rFonts w:asciiTheme="majorHAnsi" w:eastAsia="MS Mincho" w:hAnsiTheme="majorHAnsi" w:cstheme="majorHAnsi"/>
        </w:rPr>
        <w:t>There is frequent</w:t>
      </w:r>
      <w:r w:rsidR="007B66A6" w:rsidRPr="00142578">
        <w:rPr>
          <w:rFonts w:asciiTheme="majorHAnsi" w:eastAsia="MS Mincho" w:hAnsiTheme="majorHAnsi" w:cstheme="majorHAnsi"/>
        </w:rPr>
        <w:t xml:space="preserve"> </w:t>
      </w:r>
      <w:r w:rsidR="007B66A6" w:rsidRPr="00C93E05">
        <w:rPr>
          <w:rFonts w:asciiTheme="majorHAnsi" w:eastAsia="MS Mincho" w:hAnsiTheme="majorHAnsi" w:cstheme="majorHAnsi"/>
        </w:rPr>
        <w:t>relian</w:t>
      </w:r>
      <w:r w:rsidR="008C22F3" w:rsidRPr="00C93E05">
        <w:rPr>
          <w:rFonts w:asciiTheme="majorHAnsi" w:eastAsia="MS Mincho" w:hAnsiTheme="majorHAnsi" w:cstheme="majorHAnsi"/>
        </w:rPr>
        <w:t>ce</w:t>
      </w:r>
      <w:r w:rsidR="007B66A6" w:rsidRPr="00C93E05">
        <w:rPr>
          <w:rFonts w:asciiTheme="majorHAnsi" w:eastAsia="MS Mincho" w:hAnsiTheme="majorHAnsi" w:cstheme="majorHAnsi"/>
        </w:rPr>
        <w:t xml:space="preserve"> on </w:t>
      </w:r>
      <w:r w:rsidR="007B66A6" w:rsidRPr="00C93E05">
        <w:rPr>
          <w:rFonts w:asciiTheme="majorHAnsi" w:hAnsiTheme="majorHAnsi" w:cstheme="majorHAnsi"/>
        </w:rPr>
        <w:t xml:space="preserve">motivated talented individuals </w:t>
      </w:r>
      <w:r w:rsidR="007C7E26" w:rsidRPr="00C93E05">
        <w:rPr>
          <w:rFonts w:asciiTheme="majorHAnsi" w:hAnsiTheme="majorHAnsi" w:cstheme="majorHAnsi"/>
        </w:rPr>
        <w:t xml:space="preserve">and their embedded personal knowledge </w:t>
      </w:r>
      <w:r w:rsidR="007B66A6" w:rsidRPr="00C93E05">
        <w:rPr>
          <w:rFonts w:asciiTheme="majorHAnsi" w:hAnsiTheme="majorHAnsi" w:cstheme="majorHAnsi"/>
        </w:rPr>
        <w:t xml:space="preserve">in </w:t>
      </w:r>
      <w:r w:rsidR="007C7E26" w:rsidRPr="00C93E05">
        <w:rPr>
          <w:rFonts w:asciiTheme="majorHAnsi" w:hAnsiTheme="majorHAnsi" w:cstheme="majorHAnsi"/>
        </w:rPr>
        <w:t xml:space="preserve">designing, bidding for, </w:t>
      </w:r>
      <w:r w:rsidR="007B66A6" w:rsidRPr="00C93E05">
        <w:rPr>
          <w:rFonts w:asciiTheme="majorHAnsi" w:hAnsiTheme="majorHAnsi" w:cstheme="majorHAnsi"/>
        </w:rPr>
        <w:t xml:space="preserve">leading, </w:t>
      </w:r>
      <w:r w:rsidR="007C7E26" w:rsidRPr="00C93E05">
        <w:rPr>
          <w:rFonts w:asciiTheme="majorHAnsi" w:hAnsiTheme="majorHAnsi" w:cstheme="majorHAnsi"/>
        </w:rPr>
        <w:t xml:space="preserve">and </w:t>
      </w:r>
      <w:r w:rsidR="007B66A6" w:rsidRPr="00C93E05">
        <w:rPr>
          <w:rFonts w:asciiTheme="majorHAnsi" w:hAnsiTheme="majorHAnsi" w:cstheme="majorHAnsi"/>
        </w:rPr>
        <w:t xml:space="preserve">staffing interventions </w:t>
      </w:r>
      <w:r w:rsidR="007C7E26" w:rsidRPr="00C93E05">
        <w:rPr>
          <w:rFonts w:asciiTheme="majorHAnsi" w:hAnsiTheme="majorHAnsi" w:cstheme="majorHAnsi"/>
        </w:rPr>
        <w:t>[IV</w:t>
      </w:r>
      <w:r w:rsidR="008E5150">
        <w:rPr>
          <w:rFonts w:asciiTheme="majorHAnsi" w:hAnsiTheme="majorHAnsi" w:cstheme="majorHAnsi"/>
        </w:rPr>
        <w:t>s</w:t>
      </w:r>
      <w:r w:rsidR="007C7E26" w:rsidRPr="00C93E05">
        <w:rPr>
          <w:rFonts w:asciiTheme="majorHAnsi" w:hAnsiTheme="majorHAnsi" w:cstheme="majorHAnsi"/>
        </w:rPr>
        <w:t>02</w:t>
      </w:r>
      <w:r w:rsidR="008C22F3" w:rsidRPr="00C93E05">
        <w:rPr>
          <w:rFonts w:asciiTheme="majorHAnsi" w:hAnsiTheme="majorHAnsi" w:cstheme="majorHAnsi"/>
        </w:rPr>
        <w:t xml:space="preserve">; </w:t>
      </w:r>
      <w:r w:rsidR="007B66A6" w:rsidRPr="00C93E05">
        <w:rPr>
          <w:rFonts w:asciiTheme="majorHAnsi" w:hAnsiTheme="majorHAnsi" w:cstheme="majorHAnsi"/>
        </w:rPr>
        <w:t>04; 05</w:t>
      </w:r>
      <w:r w:rsidR="008C22F3" w:rsidRPr="00C93E05">
        <w:rPr>
          <w:rFonts w:asciiTheme="majorHAnsi" w:hAnsiTheme="majorHAnsi" w:cstheme="majorHAnsi"/>
        </w:rPr>
        <w:t xml:space="preserve">; </w:t>
      </w:r>
      <w:r w:rsidR="007B66A6" w:rsidRPr="00C93E05">
        <w:rPr>
          <w:rFonts w:asciiTheme="majorHAnsi" w:hAnsiTheme="majorHAnsi" w:cstheme="majorHAnsi"/>
        </w:rPr>
        <w:t>14]</w:t>
      </w:r>
      <w:r w:rsidR="007C7E26" w:rsidRPr="00C93E05">
        <w:rPr>
          <w:rFonts w:asciiTheme="majorHAnsi" w:hAnsiTheme="majorHAnsi" w:cstheme="majorHAnsi"/>
        </w:rPr>
        <w:t xml:space="preserve">, </w:t>
      </w:r>
      <w:r w:rsidR="00F74869" w:rsidRPr="00C93E05">
        <w:rPr>
          <w:rFonts w:asciiTheme="majorHAnsi" w:hAnsiTheme="majorHAnsi" w:cstheme="majorHAnsi"/>
        </w:rPr>
        <w:t xml:space="preserve">and at senior levels for </w:t>
      </w:r>
      <w:r w:rsidR="002C0B0B">
        <w:rPr>
          <w:rFonts w:asciiTheme="majorHAnsi" w:hAnsiTheme="majorHAnsi" w:cstheme="majorHAnsi"/>
        </w:rPr>
        <w:t>advocacy</w:t>
      </w:r>
      <w:r w:rsidR="00F74869" w:rsidRPr="00C93E05">
        <w:rPr>
          <w:rFonts w:asciiTheme="majorHAnsi" w:hAnsiTheme="majorHAnsi" w:cstheme="majorHAnsi"/>
        </w:rPr>
        <w:t xml:space="preserve"> [IV</w:t>
      </w:r>
      <w:r w:rsidR="008E5150">
        <w:rPr>
          <w:rFonts w:asciiTheme="majorHAnsi" w:hAnsiTheme="majorHAnsi" w:cstheme="majorHAnsi"/>
        </w:rPr>
        <w:t>s</w:t>
      </w:r>
      <w:r w:rsidR="00F74869" w:rsidRPr="00C93E05">
        <w:rPr>
          <w:rFonts w:asciiTheme="majorHAnsi" w:hAnsiTheme="majorHAnsi" w:cstheme="majorHAnsi"/>
        </w:rPr>
        <w:t xml:space="preserve">11; 13]. </w:t>
      </w:r>
    </w:p>
    <w:p w14:paraId="1E8120FE" w14:textId="77777777" w:rsidR="002D1732" w:rsidRPr="00C93E05" w:rsidRDefault="002D1732" w:rsidP="00133C3E">
      <w:pPr>
        <w:rPr>
          <w:rFonts w:asciiTheme="majorHAnsi" w:hAnsiTheme="majorHAnsi" w:cstheme="majorHAnsi"/>
          <w:i/>
          <w:iCs/>
        </w:rPr>
      </w:pPr>
    </w:p>
    <w:p w14:paraId="2F8877A9" w14:textId="0453B6DF" w:rsidR="002D1732" w:rsidRPr="00C93E05" w:rsidRDefault="002D1732" w:rsidP="00133C3E">
      <w:pPr>
        <w:rPr>
          <w:rFonts w:asciiTheme="majorHAnsi" w:hAnsiTheme="majorHAnsi" w:cstheme="majorHAnsi"/>
          <w:i/>
          <w:iCs/>
        </w:rPr>
      </w:pPr>
      <w:r w:rsidRPr="00C93E05">
        <w:rPr>
          <w:rFonts w:asciiTheme="majorHAnsi" w:hAnsiTheme="majorHAnsi" w:cstheme="majorHAnsi"/>
          <w:i/>
          <w:iCs/>
        </w:rPr>
        <w:t xml:space="preserve">"I found the lack of things written down in forms or explanations really difficult, so it’s more having to try and negotiate with individuals who had to agree it was OK on a </w:t>
      </w:r>
      <w:proofErr w:type="gramStart"/>
      <w:r w:rsidRPr="00C93E05">
        <w:rPr>
          <w:rFonts w:asciiTheme="majorHAnsi" w:hAnsiTheme="majorHAnsi" w:cstheme="majorHAnsi"/>
          <w:i/>
          <w:iCs/>
        </w:rPr>
        <w:t>one to one</w:t>
      </w:r>
      <w:proofErr w:type="gramEnd"/>
      <w:r w:rsidRPr="00C93E05">
        <w:rPr>
          <w:rFonts w:asciiTheme="majorHAnsi" w:hAnsiTheme="majorHAnsi" w:cstheme="majorHAnsi"/>
          <w:i/>
          <w:iCs/>
        </w:rPr>
        <w:t xml:space="preserve"> basis rather than there just being a process" </w:t>
      </w:r>
      <w:r w:rsidRPr="008E5150">
        <w:rPr>
          <w:rFonts w:asciiTheme="majorHAnsi" w:hAnsiTheme="majorHAnsi" w:cstheme="majorHAnsi"/>
        </w:rPr>
        <w:t>[IV02]</w:t>
      </w:r>
    </w:p>
    <w:p w14:paraId="668B06C8" w14:textId="77777777" w:rsidR="002D1732" w:rsidRPr="00C93E05" w:rsidRDefault="002D1732" w:rsidP="00133C3E">
      <w:pPr>
        <w:rPr>
          <w:rFonts w:asciiTheme="majorHAnsi" w:hAnsiTheme="majorHAnsi" w:cstheme="majorHAnsi"/>
          <w:i/>
          <w:iCs/>
        </w:rPr>
      </w:pPr>
    </w:p>
    <w:p w14:paraId="75AC3717" w14:textId="4EC2EC39" w:rsidR="002D1732" w:rsidRPr="00C93E05" w:rsidRDefault="002D1732" w:rsidP="00133C3E">
      <w:pPr>
        <w:rPr>
          <w:rFonts w:asciiTheme="majorHAnsi" w:hAnsiTheme="majorHAnsi" w:cstheme="majorHAnsi"/>
          <w:i/>
          <w:iCs/>
        </w:rPr>
      </w:pPr>
      <w:r w:rsidRPr="00C93E05">
        <w:rPr>
          <w:rFonts w:asciiTheme="majorHAnsi" w:hAnsiTheme="majorHAnsi" w:cstheme="majorHAnsi"/>
          <w:i/>
          <w:iCs/>
        </w:rPr>
        <w:t>"</w:t>
      </w:r>
      <w:r w:rsidR="00F74869" w:rsidRPr="00C93E05">
        <w:rPr>
          <w:rFonts w:asciiTheme="majorHAnsi" w:hAnsiTheme="majorHAnsi" w:cstheme="majorHAnsi"/>
          <w:i/>
          <w:iCs/>
        </w:rPr>
        <w:t>[Placement student]</w:t>
      </w:r>
      <w:r w:rsidRPr="00C93E05">
        <w:rPr>
          <w:rFonts w:asciiTheme="majorHAnsi" w:hAnsiTheme="majorHAnsi" w:cstheme="majorHAnsi"/>
          <w:i/>
          <w:iCs/>
        </w:rPr>
        <w:t xml:space="preserve"> was basically the reputation of [Uni C Catalyst Project] I would say at [partner university] </w:t>
      </w:r>
      <w:r w:rsidR="00F74869" w:rsidRPr="00C93E05">
        <w:rPr>
          <w:rFonts w:asciiTheme="majorHAnsi" w:hAnsiTheme="majorHAnsi" w:cstheme="majorHAnsi"/>
          <w:i/>
          <w:iCs/>
        </w:rPr>
        <w:t xml:space="preserve">… </w:t>
      </w:r>
      <w:r w:rsidRPr="00C93E05">
        <w:rPr>
          <w:rFonts w:asciiTheme="majorHAnsi" w:hAnsiTheme="majorHAnsi" w:cstheme="majorHAnsi"/>
          <w:i/>
          <w:iCs/>
        </w:rPr>
        <w:t>she was the main reason it I think it had an okay reputation there"</w:t>
      </w:r>
      <w:r w:rsidRPr="008E5150">
        <w:rPr>
          <w:rFonts w:asciiTheme="majorHAnsi" w:hAnsiTheme="majorHAnsi" w:cstheme="majorHAnsi"/>
        </w:rPr>
        <w:t xml:space="preserve"> [IV04]</w:t>
      </w:r>
    </w:p>
    <w:p w14:paraId="47B694E6" w14:textId="77777777" w:rsidR="002D1732" w:rsidRPr="00C93E05" w:rsidRDefault="002D1732" w:rsidP="00133C3E">
      <w:pPr>
        <w:rPr>
          <w:rFonts w:asciiTheme="majorHAnsi" w:hAnsiTheme="majorHAnsi" w:cstheme="majorHAnsi"/>
          <w:i/>
          <w:iCs/>
        </w:rPr>
      </w:pPr>
    </w:p>
    <w:p w14:paraId="311FFF29" w14:textId="7E7E55E0" w:rsidR="002C3951" w:rsidRPr="00C93E05" w:rsidRDefault="007338B5" w:rsidP="00133C3E">
      <w:pPr>
        <w:rPr>
          <w:rFonts w:asciiTheme="majorHAnsi" w:hAnsiTheme="majorHAnsi" w:cstheme="majorHAnsi"/>
        </w:rPr>
      </w:pPr>
      <w:r w:rsidRPr="00385ECF">
        <w:rPr>
          <w:rFonts w:asciiTheme="majorHAnsi" w:hAnsiTheme="majorHAnsi" w:cstheme="majorHAnsi"/>
        </w:rPr>
        <w:t xml:space="preserve">Reliance on </w:t>
      </w:r>
      <w:r w:rsidR="000B6D45" w:rsidRPr="00385ECF">
        <w:rPr>
          <w:rFonts w:asciiTheme="majorHAnsi" w:hAnsiTheme="majorHAnsi" w:cstheme="majorHAnsi"/>
        </w:rPr>
        <w:t>such</w:t>
      </w:r>
      <w:r w:rsidRPr="00385ECF">
        <w:rPr>
          <w:rFonts w:asciiTheme="majorHAnsi" w:hAnsiTheme="majorHAnsi" w:cstheme="majorHAnsi"/>
        </w:rPr>
        <w:t xml:space="preserve"> </w:t>
      </w:r>
      <w:r w:rsidR="007C7E26" w:rsidRPr="00385ECF">
        <w:rPr>
          <w:rFonts w:asciiTheme="majorHAnsi" w:hAnsiTheme="majorHAnsi" w:cstheme="majorHAnsi"/>
        </w:rPr>
        <w:t xml:space="preserve">key people </w:t>
      </w:r>
      <w:r w:rsidRPr="00385ECF">
        <w:rPr>
          <w:rFonts w:asciiTheme="majorHAnsi" w:hAnsiTheme="majorHAnsi" w:cstheme="majorHAnsi"/>
        </w:rPr>
        <w:t xml:space="preserve">rather than </w:t>
      </w:r>
      <w:r w:rsidR="000B6D45" w:rsidRPr="00385ECF">
        <w:rPr>
          <w:rFonts w:asciiTheme="majorHAnsi" w:hAnsiTheme="majorHAnsi" w:cstheme="majorHAnsi"/>
        </w:rPr>
        <w:t xml:space="preserve">embedding in </w:t>
      </w:r>
      <w:r w:rsidRPr="00385ECF">
        <w:rPr>
          <w:rFonts w:asciiTheme="majorHAnsi" w:hAnsiTheme="majorHAnsi" w:cstheme="majorHAnsi"/>
        </w:rPr>
        <w:t>institutional plan</w:t>
      </w:r>
      <w:r w:rsidR="000B6D45" w:rsidRPr="00385ECF">
        <w:rPr>
          <w:rFonts w:asciiTheme="majorHAnsi" w:hAnsiTheme="majorHAnsi" w:cstheme="majorHAnsi"/>
        </w:rPr>
        <w:t>s</w:t>
      </w:r>
      <w:r w:rsidRPr="00385ECF">
        <w:rPr>
          <w:rFonts w:asciiTheme="majorHAnsi" w:hAnsiTheme="majorHAnsi" w:cstheme="majorHAnsi"/>
        </w:rPr>
        <w:t xml:space="preserve"> </w:t>
      </w:r>
      <w:r w:rsidR="004710D8" w:rsidRPr="00385ECF">
        <w:rPr>
          <w:rFonts w:asciiTheme="majorHAnsi" w:hAnsiTheme="majorHAnsi" w:cstheme="majorHAnsi"/>
        </w:rPr>
        <w:t>[IV</w:t>
      </w:r>
      <w:r w:rsidR="008E5150" w:rsidRPr="00385ECF">
        <w:rPr>
          <w:rFonts w:asciiTheme="majorHAnsi" w:hAnsiTheme="majorHAnsi" w:cstheme="majorHAnsi"/>
        </w:rPr>
        <w:t>s</w:t>
      </w:r>
      <w:r w:rsidR="004710D8" w:rsidRPr="00385ECF">
        <w:rPr>
          <w:rFonts w:asciiTheme="majorHAnsi" w:hAnsiTheme="majorHAnsi" w:cstheme="majorHAnsi"/>
        </w:rPr>
        <w:t>01</w:t>
      </w:r>
      <w:r w:rsidR="00E843FF" w:rsidRPr="00385ECF">
        <w:rPr>
          <w:rFonts w:asciiTheme="majorHAnsi" w:hAnsiTheme="majorHAnsi" w:cstheme="majorHAnsi"/>
        </w:rPr>
        <w:t>; 13; 15</w:t>
      </w:r>
      <w:r w:rsidR="007F5DFA" w:rsidRPr="00385ECF">
        <w:rPr>
          <w:rFonts w:asciiTheme="majorHAnsi" w:hAnsiTheme="majorHAnsi" w:cstheme="majorHAnsi"/>
        </w:rPr>
        <w:t>]</w:t>
      </w:r>
      <w:r w:rsidR="000B6D45" w:rsidRPr="00385ECF">
        <w:rPr>
          <w:rFonts w:asciiTheme="majorHAnsi" w:hAnsiTheme="majorHAnsi" w:cstheme="majorHAnsi"/>
        </w:rPr>
        <w:t xml:space="preserve"> can have multiple consequences. Those individuals</w:t>
      </w:r>
      <w:r w:rsidR="000B6D45" w:rsidRPr="00C93E05">
        <w:rPr>
          <w:rFonts w:asciiTheme="majorHAnsi" w:hAnsiTheme="majorHAnsi" w:cstheme="majorHAnsi"/>
        </w:rPr>
        <w:t xml:space="preserve"> </w:t>
      </w:r>
      <w:r w:rsidR="000B6D45" w:rsidRPr="00652A5E">
        <w:rPr>
          <w:rFonts w:asciiTheme="majorHAnsi" w:hAnsiTheme="majorHAnsi" w:cstheme="majorHAnsi"/>
        </w:rPr>
        <w:t>can be responsible for PGR wellbeing</w:t>
      </w:r>
      <w:r w:rsidR="00756E48" w:rsidRPr="00652A5E">
        <w:rPr>
          <w:rFonts w:asciiTheme="majorHAnsi" w:hAnsiTheme="majorHAnsi" w:cstheme="majorHAnsi"/>
        </w:rPr>
        <w:t xml:space="preserve"> ‘on top of’ </w:t>
      </w:r>
      <w:r w:rsidR="008F0AC5" w:rsidRPr="00652A5E">
        <w:rPr>
          <w:rFonts w:asciiTheme="majorHAnsi" w:hAnsiTheme="majorHAnsi" w:cstheme="majorHAnsi"/>
        </w:rPr>
        <w:t xml:space="preserve">their </w:t>
      </w:r>
      <w:r w:rsidR="00756E48" w:rsidRPr="00652A5E">
        <w:rPr>
          <w:rFonts w:asciiTheme="majorHAnsi" w:hAnsiTheme="majorHAnsi" w:cstheme="majorHAnsi"/>
        </w:rPr>
        <w:t xml:space="preserve">other roles </w:t>
      </w:r>
      <w:r w:rsidR="008F0AC5" w:rsidRPr="00652A5E">
        <w:rPr>
          <w:rFonts w:asciiTheme="majorHAnsi" w:hAnsiTheme="majorHAnsi" w:cstheme="majorHAnsi"/>
        </w:rPr>
        <w:t xml:space="preserve">resulting in severe </w:t>
      </w:r>
      <w:r w:rsidR="00FC1451" w:rsidRPr="00652A5E">
        <w:rPr>
          <w:rFonts w:asciiTheme="majorHAnsi" w:hAnsiTheme="majorHAnsi" w:cstheme="majorHAnsi"/>
        </w:rPr>
        <w:t>I</w:t>
      </w:r>
      <w:r w:rsidR="008F0AC5" w:rsidRPr="00652A5E">
        <w:rPr>
          <w:rFonts w:asciiTheme="majorHAnsi" w:hAnsiTheme="majorHAnsi" w:cstheme="majorHAnsi"/>
        </w:rPr>
        <w:t xml:space="preserve">ndividual capacity </w:t>
      </w:r>
      <w:r w:rsidR="008F0AC5" w:rsidRPr="00652A5E">
        <w:rPr>
          <w:rFonts w:asciiTheme="majorHAnsi" w:hAnsiTheme="majorHAnsi" w:cstheme="majorHAnsi"/>
        </w:rPr>
        <w:lastRenderedPageBreak/>
        <w:t xml:space="preserve">challenges </w:t>
      </w:r>
      <w:r w:rsidR="00756E48" w:rsidRPr="00652A5E">
        <w:rPr>
          <w:rFonts w:asciiTheme="majorHAnsi" w:hAnsiTheme="majorHAnsi" w:cstheme="majorHAnsi"/>
        </w:rPr>
        <w:t>[IV</w:t>
      </w:r>
      <w:r w:rsidR="008E5150" w:rsidRPr="00652A5E">
        <w:rPr>
          <w:rFonts w:asciiTheme="majorHAnsi" w:hAnsiTheme="majorHAnsi" w:cstheme="majorHAnsi"/>
        </w:rPr>
        <w:t>s</w:t>
      </w:r>
      <w:r w:rsidR="00756E48" w:rsidRPr="00652A5E">
        <w:rPr>
          <w:rFonts w:asciiTheme="majorHAnsi" w:hAnsiTheme="majorHAnsi" w:cstheme="majorHAnsi"/>
        </w:rPr>
        <w:t>05</w:t>
      </w:r>
      <w:r w:rsidR="00E843FF" w:rsidRPr="00652A5E">
        <w:rPr>
          <w:rFonts w:asciiTheme="majorHAnsi" w:hAnsiTheme="majorHAnsi" w:cstheme="majorHAnsi"/>
        </w:rPr>
        <w:t xml:space="preserve">; </w:t>
      </w:r>
      <w:r w:rsidR="00756E48" w:rsidRPr="00652A5E">
        <w:rPr>
          <w:rFonts w:asciiTheme="majorHAnsi" w:hAnsiTheme="majorHAnsi" w:cstheme="majorHAnsi"/>
        </w:rPr>
        <w:t>12</w:t>
      </w:r>
      <w:r w:rsidR="00E843FF" w:rsidRPr="00652A5E">
        <w:rPr>
          <w:rFonts w:asciiTheme="majorHAnsi" w:hAnsiTheme="majorHAnsi" w:cstheme="majorHAnsi"/>
        </w:rPr>
        <w:t xml:space="preserve">; </w:t>
      </w:r>
      <w:r w:rsidR="00756E48" w:rsidRPr="00652A5E">
        <w:rPr>
          <w:rFonts w:asciiTheme="majorHAnsi" w:hAnsiTheme="majorHAnsi" w:cstheme="majorHAnsi"/>
        </w:rPr>
        <w:t>14]</w:t>
      </w:r>
      <w:r w:rsidR="008E5150" w:rsidRPr="00652A5E">
        <w:rPr>
          <w:rFonts w:asciiTheme="majorHAnsi" w:hAnsiTheme="majorHAnsi" w:cstheme="majorHAnsi"/>
        </w:rPr>
        <w:t xml:space="preserve">. </w:t>
      </w:r>
      <w:r w:rsidR="00DA7469" w:rsidRPr="00652A5E">
        <w:rPr>
          <w:rFonts w:asciiTheme="majorHAnsi" w:hAnsiTheme="majorHAnsi" w:cstheme="majorHAnsi"/>
        </w:rPr>
        <w:t>R</w:t>
      </w:r>
      <w:r w:rsidR="00756E48" w:rsidRPr="00652A5E">
        <w:rPr>
          <w:rFonts w:asciiTheme="majorHAnsi" w:eastAsia="MS Mincho" w:hAnsiTheme="majorHAnsi" w:cstheme="majorHAnsi"/>
        </w:rPr>
        <w:t>elying on a few key voices rather than</w:t>
      </w:r>
      <w:r w:rsidR="00756E48" w:rsidRPr="00C93E05">
        <w:rPr>
          <w:rFonts w:asciiTheme="majorHAnsi" w:eastAsia="MS Mincho" w:hAnsiTheme="majorHAnsi" w:cstheme="majorHAnsi"/>
        </w:rPr>
        <w:t xml:space="preserve"> deeper embedding within institutional structures </w:t>
      </w:r>
      <w:r w:rsidR="00DA7469">
        <w:rPr>
          <w:rFonts w:asciiTheme="majorHAnsi" w:eastAsia="MS Mincho" w:hAnsiTheme="majorHAnsi" w:cstheme="majorHAnsi"/>
        </w:rPr>
        <w:t xml:space="preserve">also </w:t>
      </w:r>
      <w:r w:rsidR="00756E48" w:rsidRPr="00C93E05">
        <w:rPr>
          <w:rFonts w:asciiTheme="majorHAnsi" w:eastAsia="MS Mincho" w:hAnsiTheme="majorHAnsi" w:cstheme="majorHAnsi"/>
        </w:rPr>
        <w:t xml:space="preserve">make interventions, and PGR voice generally, vulnerable </w:t>
      </w:r>
      <w:r w:rsidRPr="00C93E05">
        <w:rPr>
          <w:rFonts w:asciiTheme="majorHAnsi" w:hAnsiTheme="majorHAnsi" w:cstheme="majorHAnsi"/>
        </w:rPr>
        <w:t xml:space="preserve">to </w:t>
      </w:r>
      <w:r w:rsidR="008F0AC5" w:rsidRPr="00C93E05">
        <w:rPr>
          <w:rFonts w:asciiTheme="majorHAnsi" w:hAnsiTheme="majorHAnsi" w:cstheme="majorHAnsi"/>
        </w:rPr>
        <w:t xml:space="preserve">those </w:t>
      </w:r>
      <w:r w:rsidRPr="00C93E05">
        <w:rPr>
          <w:rFonts w:asciiTheme="majorHAnsi" w:hAnsiTheme="majorHAnsi" w:cstheme="majorHAnsi"/>
        </w:rPr>
        <w:t>people</w:t>
      </w:r>
      <w:r w:rsidR="008F0AC5" w:rsidRPr="00C93E05">
        <w:rPr>
          <w:rFonts w:asciiTheme="majorHAnsi" w:hAnsiTheme="majorHAnsi" w:cstheme="majorHAnsi"/>
        </w:rPr>
        <w:t xml:space="preserve"> </w:t>
      </w:r>
      <w:r w:rsidRPr="00C93E05">
        <w:rPr>
          <w:rFonts w:asciiTheme="majorHAnsi" w:hAnsiTheme="majorHAnsi" w:cstheme="majorHAnsi"/>
        </w:rPr>
        <w:t xml:space="preserve">leaving </w:t>
      </w:r>
      <w:r w:rsidR="00AD5065" w:rsidRPr="00C93E05">
        <w:rPr>
          <w:rFonts w:asciiTheme="majorHAnsi" w:hAnsiTheme="majorHAnsi" w:cstheme="majorHAnsi"/>
        </w:rPr>
        <w:t>[IV</w:t>
      </w:r>
      <w:r w:rsidR="008E5150">
        <w:rPr>
          <w:rFonts w:asciiTheme="majorHAnsi" w:hAnsiTheme="majorHAnsi" w:cstheme="majorHAnsi"/>
        </w:rPr>
        <w:t>s</w:t>
      </w:r>
      <w:r w:rsidR="00AD5065" w:rsidRPr="00C93E05">
        <w:rPr>
          <w:rFonts w:asciiTheme="majorHAnsi" w:hAnsiTheme="majorHAnsi" w:cstheme="majorHAnsi"/>
        </w:rPr>
        <w:t>01</w:t>
      </w:r>
      <w:r w:rsidR="002967FB" w:rsidRPr="00C93E05">
        <w:rPr>
          <w:rFonts w:asciiTheme="majorHAnsi" w:hAnsiTheme="majorHAnsi" w:cstheme="majorHAnsi"/>
        </w:rPr>
        <w:t xml:space="preserve">; </w:t>
      </w:r>
      <w:r w:rsidR="00AD5065" w:rsidRPr="00C93E05">
        <w:rPr>
          <w:rFonts w:asciiTheme="majorHAnsi" w:hAnsiTheme="majorHAnsi" w:cstheme="majorHAnsi"/>
        </w:rPr>
        <w:t>02</w:t>
      </w:r>
      <w:r w:rsidR="002967FB" w:rsidRPr="00C93E05">
        <w:rPr>
          <w:rFonts w:asciiTheme="majorHAnsi" w:hAnsiTheme="majorHAnsi" w:cstheme="majorHAnsi"/>
        </w:rPr>
        <w:t xml:space="preserve">; </w:t>
      </w:r>
      <w:r w:rsidR="00657D94" w:rsidRPr="00C93E05">
        <w:rPr>
          <w:rFonts w:asciiTheme="majorHAnsi" w:hAnsiTheme="majorHAnsi" w:cstheme="majorHAnsi"/>
        </w:rPr>
        <w:t>08</w:t>
      </w:r>
      <w:r w:rsidR="002967FB" w:rsidRPr="00C93E05">
        <w:rPr>
          <w:rFonts w:asciiTheme="majorHAnsi" w:hAnsiTheme="majorHAnsi" w:cstheme="majorHAnsi"/>
        </w:rPr>
        <w:t xml:space="preserve">; </w:t>
      </w:r>
      <w:r w:rsidR="007F5DFA" w:rsidRPr="00C93E05">
        <w:rPr>
          <w:rFonts w:asciiTheme="majorHAnsi" w:hAnsiTheme="majorHAnsi" w:cstheme="majorHAnsi"/>
        </w:rPr>
        <w:t>13]</w:t>
      </w:r>
      <w:r w:rsidR="008E5150">
        <w:rPr>
          <w:rFonts w:asciiTheme="majorHAnsi" w:hAnsiTheme="majorHAnsi" w:cstheme="majorHAnsi"/>
        </w:rPr>
        <w:t>:</w:t>
      </w:r>
      <w:r w:rsidR="00133C3E" w:rsidRPr="00C93E05">
        <w:rPr>
          <w:rFonts w:asciiTheme="majorHAnsi" w:hAnsiTheme="majorHAnsi" w:cstheme="majorHAnsi"/>
        </w:rPr>
        <w:t xml:space="preserve"> </w:t>
      </w:r>
    </w:p>
    <w:p w14:paraId="33B86B65" w14:textId="77777777" w:rsidR="002C3951" w:rsidRPr="00C93E05" w:rsidRDefault="002C3951" w:rsidP="00133C3E">
      <w:pPr>
        <w:rPr>
          <w:rFonts w:asciiTheme="majorHAnsi" w:hAnsiTheme="majorHAnsi" w:cstheme="majorHAnsi"/>
          <w:i/>
          <w:iCs/>
        </w:rPr>
      </w:pPr>
    </w:p>
    <w:p w14:paraId="00FE7254" w14:textId="0A8542EE" w:rsidR="00A65CDB" w:rsidRPr="00C93E05" w:rsidRDefault="00A65CDB" w:rsidP="00133C3E">
      <w:pPr>
        <w:rPr>
          <w:rFonts w:asciiTheme="majorHAnsi" w:hAnsiTheme="majorHAnsi" w:cstheme="majorHAnsi"/>
          <w:i/>
          <w:iCs/>
        </w:rPr>
      </w:pPr>
      <w:r w:rsidRPr="00C93E05">
        <w:rPr>
          <w:rFonts w:asciiTheme="majorHAnsi" w:hAnsiTheme="majorHAnsi" w:cstheme="majorHAnsi"/>
          <w:i/>
          <w:iCs/>
        </w:rPr>
        <w:t xml:space="preserve">" </w:t>
      </w:r>
      <w:proofErr w:type="gramStart"/>
      <w:r w:rsidRPr="00C93E05">
        <w:rPr>
          <w:rFonts w:asciiTheme="majorHAnsi" w:hAnsiTheme="majorHAnsi" w:cstheme="majorHAnsi"/>
          <w:i/>
          <w:iCs/>
        </w:rPr>
        <w:t>shortly</w:t>
      </w:r>
      <w:proofErr w:type="gramEnd"/>
      <w:r w:rsidRPr="00C93E05">
        <w:rPr>
          <w:rFonts w:asciiTheme="majorHAnsi" w:hAnsiTheme="majorHAnsi" w:cstheme="majorHAnsi"/>
          <w:i/>
          <w:iCs/>
        </w:rPr>
        <w:t xml:space="preserve"> after the project was completed, the PVC for research and innovation left and got a job somewhere else. And then </w:t>
      </w:r>
      <w:r w:rsidR="0056697F" w:rsidRPr="00C93E05">
        <w:rPr>
          <w:rFonts w:asciiTheme="majorHAnsi" w:hAnsiTheme="majorHAnsi" w:cstheme="majorHAnsi"/>
          <w:i/>
          <w:iCs/>
        </w:rPr>
        <w:t xml:space="preserve">… </w:t>
      </w:r>
      <w:r w:rsidRPr="00C93E05">
        <w:rPr>
          <w:rFonts w:asciiTheme="majorHAnsi" w:hAnsiTheme="majorHAnsi" w:cstheme="majorHAnsi"/>
          <w:i/>
          <w:iCs/>
        </w:rPr>
        <w:t xml:space="preserve">we had an interim </w:t>
      </w:r>
      <w:r w:rsidR="0056697F" w:rsidRPr="00C93E05">
        <w:rPr>
          <w:rFonts w:asciiTheme="majorHAnsi" w:hAnsiTheme="majorHAnsi" w:cstheme="majorHAnsi"/>
          <w:i/>
          <w:iCs/>
        </w:rPr>
        <w:t xml:space="preserve">… </w:t>
      </w:r>
      <w:r w:rsidRPr="00C93E05">
        <w:rPr>
          <w:rFonts w:asciiTheme="majorHAnsi" w:hAnsiTheme="majorHAnsi" w:cstheme="majorHAnsi"/>
          <w:i/>
          <w:iCs/>
        </w:rPr>
        <w:t xml:space="preserve">a couple of changes, anyway, and so all the top-level support that we'd had through the project really sort of faded away. We were too reliant on one person really, as being our advocate in University Executive, and because there wasn't an immediate replacement we lost the momentum" </w:t>
      </w:r>
      <w:r w:rsidRPr="00843D00">
        <w:rPr>
          <w:rFonts w:asciiTheme="majorHAnsi" w:hAnsiTheme="majorHAnsi" w:cstheme="majorHAnsi"/>
        </w:rPr>
        <w:t>[IV02]</w:t>
      </w:r>
    </w:p>
    <w:p w14:paraId="315F7A86" w14:textId="77777777" w:rsidR="002C3951" w:rsidRPr="00C93E05" w:rsidRDefault="002C3951" w:rsidP="00133C3E">
      <w:pPr>
        <w:rPr>
          <w:rFonts w:asciiTheme="majorHAnsi" w:hAnsiTheme="majorHAnsi" w:cstheme="majorHAnsi"/>
          <w:i/>
          <w:iCs/>
        </w:rPr>
      </w:pPr>
    </w:p>
    <w:p w14:paraId="029D538B" w14:textId="4F5D21B4" w:rsidR="00AE1E5B" w:rsidRPr="00C93E05" w:rsidRDefault="00843D00" w:rsidP="00133C3E">
      <w:pPr>
        <w:rPr>
          <w:rFonts w:asciiTheme="majorHAnsi" w:hAnsiTheme="majorHAnsi" w:cstheme="majorHAnsi"/>
        </w:rPr>
      </w:pPr>
      <w:r>
        <w:rPr>
          <w:rFonts w:asciiTheme="majorHAnsi" w:hAnsiTheme="majorHAnsi" w:cstheme="majorHAnsi"/>
        </w:rPr>
        <w:t>E</w:t>
      </w:r>
      <w:r w:rsidR="00133C3E" w:rsidRPr="00C93E05">
        <w:rPr>
          <w:rFonts w:asciiTheme="majorHAnsi" w:hAnsiTheme="majorHAnsi" w:cstheme="majorHAnsi"/>
        </w:rPr>
        <w:t xml:space="preserve">ven if </w:t>
      </w:r>
      <w:r>
        <w:rPr>
          <w:rFonts w:asciiTheme="majorHAnsi" w:hAnsiTheme="majorHAnsi" w:cstheme="majorHAnsi"/>
        </w:rPr>
        <w:t>people</w:t>
      </w:r>
      <w:r w:rsidR="00133C3E" w:rsidRPr="00C93E05">
        <w:rPr>
          <w:rFonts w:asciiTheme="majorHAnsi" w:hAnsiTheme="majorHAnsi" w:cstheme="majorHAnsi"/>
        </w:rPr>
        <w:t xml:space="preserve"> stay, jobs done ‘on </w:t>
      </w:r>
      <w:r w:rsidR="00133C3E" w:rsidRPr="00652A5E">
        <w:rPr>
          <w:rFonts w:asciiTheme="majorHAnsi" w:hAnsiTheme="majorHAnsi" w:cstheme="majorHAnsi"/>
        </w:rPr>
        <w:t>top of’ other things tend to get dropped</w:t>
      </w:r>
      <w:r w:rsidR="00916937" w:rsidRPr="00652A5E">
        <w:rPr>
          <w:rFonts w:asciiTheme="majorHAnsi" w:hAnsiTheme="majorHAnsi" w:cstheme="majorHAnsi"/>
        </w:rPr>
        <w:t xml:space="preserve"> in a crisis</w:t>
      </w:r>
      <w:r w:rsidR="00133C3E" w:rsidRPr="00652A5E">
        <w:rPr>
          <w:rFonts w:asciiTheme="majorHAnsi" w:hAnsiTheme="majorHAnsi" w:cstheme="majorHAnsi"/>
        </w:rPr>
        <w:t xml:space="preserve"> [IV05]</w:t>
      </w:r>
      <w:r w:rsidR="000268C0" w:rsidRPr="00652A5E">
        <w:rPr>
          <w:rFonts w:asciiTheme="majorHAnsi" w:hAnsiTheme="majorHAnsi" w:cstheme="majorHAnsi"/>
        </w:rPr>
        <w:t>. The burden can often fall on those individuals with p</w:t>
      </w:r>
      <w:r w:rsidR="009F7348" w:rsidRPr="00652A5E">
        <w:rPr>
          <w:rFonts w:asciiTheme="majorHAnsi" w:eastAsia="Calibri" w:hAnsiTheme="majorHAnsi" w:cstheme="majorHAnsi"/>
        </w:rPr>
        <w:t>ersonal knowledge of projects</w:t>
      </w:r>
      <w:r w:rsidR="000268C0" w:rsidRPr="00652A5E">
        <w:rPr>
          <w:rFonts w:asciiTheme="majorHAnsi" w:eastAsia="Calibri" w:hAnsiTheme="majorHAnsi" w:cstheme="majorHAnsi"/>
        </w:rPr>
        <w:t>, passion</w:t>
      </w:r>
      <w:r w:rsidR="009F7348" w:rsidRPr="00652A5E">
        <w:rPr>
          <w:rFonts w:asciiTheme="majorHAnsi" w:eastAsia="Calibri" w:hAnsiTheme="majorHAnsi" w:cstheme="majorHAnsi"/>
        </w:rPr>
        <w:t xml:space="preserve"> and commitment to action </w:t>
      </w:r>
      <w:r w:rsidR="009F7348" w:rsidRPr="00652A5E">
        <w:rPr>
          <w:rFonts w:asciiTheme="majorHAnsi" w:hAnsiTheme="majorHAnsi" w:cstheme="majorHAnsi"/>
        </w:rPr>
        <w:t>[IV</w:t>
      </w:r>
      <w:r w:rsidRPr="00652A5E">
        <w:rPr>
          <w:rFonts w:asciiTheme="majorHAnsi" w:hAnsiTheme="majorHAnsi" w:cstheme="majorHAnsi"/>
        </w:rPr>
        <w:t>s</w:t>
      </w:r>
      <w:r w:rsidR="009F7348" w:rsidRPr="00652A5E">
        <w:rPr>
          <w:rFonts w:asciiTheme="majorHAnsi" w:hAnsiTheme="majorHAnsi" w:cstheme="majorHAnsi"/>
        </w:rPr>
        <w:t>01</w:t>
      </w:r>
      <w:r w:rsidR="00916937" w:rsidRPr="00C93E05">
        <w:rPr>
          <w:rFonts w:asciiTheme="majorHAnsi" w:hAnsiTheme="majorHAnsi" w:cstheme="majorHAnsi"/>
        </w:rPr>
        <w:t xml:space="preserve">; </w:t>
      </w:r>
      <w:r w:rsidR="009F7348" w:rsidRPr="00C93E05">
        <w:rPr>
          <w:rFonts w:asciiTheme="majorHAnsi" w:hAnsiTheme="majorHAnsi" w:cstheme="majorHAnsi"/>
        </w:rPr>
        <w:t>04</w:t>
      </w:r>
      <w:r w:rsidR="00916937" w:rsidRPr="00C93E05">
        <w:rPr>
          <w:rFonts w:asciiTheme="majorHAnsi" w:hAnsiTheme="majorHAnsi" w:cstheme="majorHAnsi"/>
        </w:rPr>
        <w:t xml:space="preserve">; </w:t>
      </w:r>
      <w:r>
        <w:rPr>
          <w:rFonts w:asciiTheme="majorHAnsi" w:hAnsiTheme="majorHAnsi" w:cstheme="majorHAnsi"/>
        </w:rPr>
        <w:t>0</w:t>
      </w:r>
      <w:r w:rsidR="00133C3E" w:rsidRPr="00C93E05">
        <w:rPr>
          <w:rFonts w:asciiTheme="majorHAnsi" w:hAnsiTheme="majorHAnsi" w:cstheme="majorHAnsi"/>
        </w:rPr>
        <w:t>6</w:t>
      </w:r>
      <w:r w:rsidR="00916937" w:rsidRPr="00C93E05">
        <w:rPr>
          <w:rFonts w:asciiTheme="majorHAnsi" w:hAnsiTheme="majorHAnsi" w:cstheme="majorHAnsi"/>
        </w:rPr>
        <w:t xml:space="preserve">; </w:t>
      </w:r>
      <w:r w:rsidR="000268C0" w:rsidRPr="00C93E05">
        <w:rPr>
          <w:rFonts w:asciiTheme="majorHAnsi" w:hAnsiTheme="majorHAnsi" w:cstheme="majorHAnsi"/>
        </w:rPr>
        <w:t>15]</w:t>
      </w:r>
      <w:r w:rsidR="009F7348" w:rsidRPr="00C93E05">
        <w:rPr>
          <w:rFonts w:asciiTheme="majorHAnsi" w:hAnsiTheme="majorHAnsi" w:cstheme="majorHAnsi"/>
        </w:rPr>
        <w:t xml:space="preserve">, and pride </w:t>
      </w:r>
      <w:r w:rsidR="00133C3E" w:rsidRPr="00C93E05">
        <w:rPr>
          <w:rFonts w:asciiTheme="majorHAnsi" w:hAnsiTheme="majorHAnsi" w:cstheme="majorHAnsi"/>
        </w:rPr>
        <w:t>[IV04</w:t>
      </w:r>
      <w:r w:rsidR="009F7348" w:rsidRPr="00C93E05">
        <w:rPr>
          <w:rFonts w:asciiTheme="majorHAnsi" w:hAnsiTheme="majorHAnsi" w:cstheme="majorHAnsi"/>
        </w:rPr>
        <w:t>]</w:t>
      </w:r>
      <w:r w:rsidR="000268C0" w:rsidRPr="00C93E05">
        <w:rPr>
          <w:rFonts w:asciiTheme="majorHAnsi" w:hAnsiTheme="majorHAnsi" w:cstheme="majorHAnsi"/>
        </w:rPr>
        <w:t xml:space="preserve">, who can feel pressure to make extra </w:t>
      </w:r>
      <w:r w:rsidR="009F7348" w:rsidRPr="00C93E05">
        <w:rPr>
          <w:rFonts w:asciiTheme="majorHAnsi" w:hAnsiTheme="majorHAnsi" w:cstheme="majorHAnsi"/>
        </w:rPr>
        <w:t>efforts</w:t>
      </w:r>
      <w:r w:rsidR="00AD133D" w:rsidRPr="00C93E05">
        <w:rPr>
          <w:rFonts w:asciiTheme="majorHAnsi" w:hAnsiTheme="majorHAnsi" w:cstheme="majorHAnsi"/>
        </w:rPr>
        <w:t xml:space="preserve"> </w:t>
      </w:r>
      <w:r w:rsidR="009F7348" w:rsidRPr="00C93E05">
        <w:rPr>
          <w:rFonts w:asciiTheme="majorHAnsi" w:hAnsiTheme="majorHAnsi" w:cstheme="majorHAnsi"/>
        </w:rPr>
        <w:t>[IV03]</w:t>
      </w:r>
      <w:r>
        <w:rPr>
          <w:rFonts w:asciiTheme="majorHAnsi" w:hAnsiTheme="majorHAnsi" w:cstheme="majorHAnsi"/>
        </w:rPr>
        <w:t>:</w:t>
      </w:r>
      <w:r w:rsidR="000268C0" w:rsidRPr="00C93E05">
        <w:rPr>
          <w:rFonts w:asciiTheme="majorHAnsi" w:hAnsiTheme="majorHAnsi" w:cstheme="majorHAnsi"/>
        </w:rPr>
        <w:t xml:space="preserve"> </w:t>
      </w:r>
    </w:p>
    <w:p w14:paraId="13A9FBF1" w14:textId="77777777" w:rsidR="00AE1E5B" w:rsidRPr="00C93E05" w:rsidRDefault="00AE1E5B" w:rsidP="00133C3E">
      <w:pPr>
        <w:rPr>
          <w:rFonts w:asciiTheme="majorHAnsi" w:hAnsiTheme="majorHAnsi" w:cstheme="majorHAnsi"/>
          <w:i/>
          <w:iCs/>
        </w:rPr>
      </w:pPr>
    </w:p>
    <w:p w14:paraId="6F8EF2F6" w14:textId="57060C72" w:rsidR="00AE1E5B" w:rsidRPr="00C93E05" w:rsidRDefault="00AE1E5B" w:rsidP="00133C3E">
      <w:pPr>
        <w:rPr>
          <w:rFonts w:asciiTheme="majorHAnsi" w:hAnsiTheme="majorHAnsi" w:cstheme="majorHAnsi"/>
          <w:i/>
          <w:iCs/>
        </w:rPr>
      </w:pPr>
      <w:r w:rsidRPr="00C93E05">
        <w:rPr>
          <w:rFonts w:asciiTheme="majorHAnsi" w:hAnsiTheme="majorHAnsi" w:cstheme="majorHAnsi"/>
          <w:i/>
          <w:iCs/>
        </w:rPr>
        <w:t>"</w:t>
      </w:r>
      <w:proofErr w:type="gramStart"/>
      <w:r w:rsidRPr="00C93E05">
        <w:rPr>
          <w:rFonts w:asciiTheme="majorHAnsi" w:hAnsiTheme="majorHAnsi" w:cstheme="majorHAnsi"/>
          <w:i/>
          <w:iCs/>
        </w:rPr>
        <w:t>during</w:t>
      </w:r>
      <w:proofErr w:type="gramEnd"/>
      <w:r w:rsidRPr="00C93E05">
        <w:rPr>
          <w:rFonts w:asciiTheme="majorHAnsi" w:hAnsiTheme="majorHAnsi" w:cstheme="majorHAnsi"/>
          <w:i/>
          <w:iCs/>
        </w:rPr>
        <w:t xml:space="preserve"> that time [Covid], both me and the colleagues that I mentioned overworked massively. </w:t>
      </w:r>
      <w:proofErr w:type="gramStart"/>
      <w:r w:rsidRPr="00C93E05">
        <w:rPr>
          <w:rFonts w:asciiTheme="majorHAnsi" w:hAnsiTheme="majorHAnsi" w:cstheme="majorHAnsi"/>
          <w:i/>
          <w:iCs/>
        </w:rPr>
        <w:t>So</w:t>
      </w:r>
      <w:proofErr w:type="gramEnd"/>
      <w:r w:rsidRPr="00C93E05">
        <w:rPr>
          <w:rFonts w:asciiTheme="majorHAnsi" w:hAnsiTheme="majorHAnsi" w:cstheme="majorHAnsi"/>
          <w:i/>
          <w:iCs/>
        </w:rPr>
        <w:t xml:space="preserve"> I think for a whole year I was working at least 10 to 12 hours every day</w:t>
      </w:r>
      <w:r w:rsidR="00843D00">
        <w:rPr>
          <w:rFonts w:asciiTheme="majorHAnsi" w:hAnsiTheme="majorHAnsi" w:cstheme="majorHAnsi"/>
          <w:i/>
          <w:iCs/>
        </w:rPr>
        <w:t xml:space="preserve"> …</w:t>
      </w:r>
      <w:r w:rsidRPr="00C93E05">
        <w:rPr>
          <w:rFonts w:asciiTheme="majorHAnsi" w:hAnsiTheme="majorHAnsi" w:cstheme="majorHAnsi"/>
          <w:i/>
          <w:iCs/>
        </w:rPr>
        <w:t xml:space="preserve"> I felt like I had to carry the responsibility for making sure that I was supporting PGRs as much as possible." </w:t>
      </w:r>
      <w:r w:rsidRPr="00843D00">
        <w:rPr>
          <w:rFonts w:asciiTheme="majorHAnsi" w:hAnsiTheme="majorHAnsi" w:cstheme="majorHAnsi"/>
        </w:rPr>
        <w:t>[IV01]</w:t>
      </w:r>
    </w:p>
    <w:p w14:paraId="342193CE" w14:textId="77777777" w:rsidR="00AE1E5B" w:rsidRPr="00C93E05" w:rsidRDefault="00AE1E5B" w:rsidP="00133C3E">
      <w:pPr>
        <w:rPr>
          <w:rFonts w:asciiTheme="majorHAnsi" w:hAnsiTheme="majorHAnsi" w:cstheme="majorHAnsi"/>
          <w:i/>
          <w:iCs/>
        </w:rPr>
      </w:pPr>
    </w:p>
    <w:p w14:paraId="46A0B7C3" w14:textId="3E899F3D" w:rsidR="009F7348" w:rsidRPr="00C93E05" w:rsidRDefault="005B0EEA" w:rsidP="00133C3E">
      <w:pPr>
        <w:rPr>
          <w:rFonts w:asciiTheme="majorHAnsi" w:eastAsia="MS Mincho" w:hAnsiTheme="majorHAnsi" w:cstheme="majorHAnsi"/>
        </w:rPr>
      </w:pPr>
      <w:r w:rsidRPr="00C93E05">
        <w:rPr>
          <w:rFonts w:asciiTheme="majorHAnsi" w:eastAsia="MS Mincho" w:hAnsiTheme="majorHAnsi" w:cstheme="majorHAnsi"/>
        </w:rPr>
        <w:t xml:space="preserve">Relying on people with good will, passion and personal interest </w:t>
      </w:r>
      <w:r w:rsidRPr="00C93E05">
        <w:rPr>
          <w:rFonts w:asciiTheme="majorHAnsi" w:hAnsiTheme="majorHAnsi" w:cstheme="majorHAnsi"/>
        </w:rPr>
        <w:t>[IV02]</w:t>
      </w:r>
      <w:r w:rsidRPr="00C93E05">
        <w:rPr>
          <w:rFonts w:asciiTheme="majorHAnsi" w:eastAsia="MS Mincho" w:hAnsiTheme="majorHAnsi" w:cstheme="majorHAnsi"/>
        </w:rPr>
        <w:t xml:space="preserve"> who may have mental health issues themselves which can limit their capacity [IV06]</w:t>
      </w:r>
      <w:r w:rsidR="00CD3114">
        <w:rPr>
          <w:rFonts w:asciiTheme="majorHAnsi" w:eastAsia="MS Mincho" w:hAnsiTheme="majorHAnsi" w:cstheme="majorHAnsi"/>
        </w:rPr>
        <w:t>, is often not sustainable</w:t>
      </w:r>
      <w:r w:rsidRPr="00C93E05">
        <w:rPr>
          <w:rFonts w:asciiTheme="majorHAnsi" w:eastAsia="MS Mincho" w:hAnsiTheme="majorHAnsi" w:cstheme="majorHAnsi"/>
        </w:rPr>
        <w:t xml:space="preserve">. PGRs contribute a lot of their own </w:t>
      </w:r>
      <w:r w:rsidRPr="00652A5E">
        <w:rPr>
          <w:rFonts w:asciiTheme="majorHAnsi" w:eastAsia="MS Mincho" w:hAnsiTheme="majorHAnsi" w:cstheme="majorHAnsi"/>
        </w:rPr>
        <w:t xml:space="preserve">personal </w:t>
      </w:r>
      <w:r w:rsidR="00946AB1" w:rsidRPr="00652A5E">
        <w:rPr>
          <w:rFonts w:asciiTheme="majorHAnsi" w:eastAsia="MS Mincho" w:hAnsiTheme="majorHAnsi" w:cstheme="majorHAnsi"/>
        </w:rPr>
        <w:t>emotional experiences</w:t>
      </w:r>
      <w:r w:rsidRPr="00652A5E">
        <w:rPr>
          <w:rFonts w:asciiTheme="majorHAnsi" w:eastAsia="MS Mincho" w:hAnsiTheme="majorHAnsi" w:cstheme="majorHAnsi"/>
        </w:rPr>
        <w:t xml:space="preserve">, </w:t>
      </w:r>
      <w:r w:rsidR="00946AB1" w:rsidRPr="00652A5E">
        <w:rPr>
          <w:rFonts w:asciiTheme="majorHAnsi" w:eastAsia="MS Mincho" w:hAnsiTheme="majorHAnsi" w:cstheme="majorHAnsi"/>
        </w:rPr>
        <w:t>but</w:t>
      </w:r>
      <w:r w:rsidRPr="00652A5E">
        <w:rPr>
          <w:rFonts w:asciiTheme="majorHAnsi" w:eastAsia="MS Mincho" w:hAnsiTheme="majorHAnsi" w:cstheme="majorHAnsi"/>
        </w:rPr>
        <w:t xml:space="preserve"> in some cases are inexperienced in different ways of working. Even if PGRs are paid for their time it</w:t>
      </w:r>
      <w:r w:rsidR="00F05841" w:rsidRPr="00652A5E">
        <w:rPr>
          <w:rFonts w:asciiTheme="majorHAnsi" w:eastAsia="MS Mincho" w:hAnsiTheme="majorHAnsi" w:cstheme="majorHAnsi"/>
        </w:rPr>
        <w:t xml:space="preserve"> i</w:t>
      </w:r>
      <w:r w:rsidRPr="00652A5E">
        <w:rPr>
          <w:rFonts w:asciiTheme="majorHAnsi" w:eastAsia="MS Mincho" w:hAnsiTheme="majorHAnsi" w:cstheme="majorHAnsi"/>
        </w:rPr>
        <w:t xml:space="preserve">s still a lot to ask of them both emotionally and practically [IV04]. </w:t>
      </w:r>
      <w:r w:rsidRPr="00652A5E">
        <w:rPr>
          <w:rFonts w:asciiTheme="majorHAnsi" w:hAnsiTheme="majorHAnsi" w:cstheme="majorHAnsi"/>
        </w:rPr>
        <w:t xml:space="preserve">At the </w:t>
      </w:r>
      <w:r w:rsidR="00FC1451" w:rsidRPr="00652A5E">
        <w:rPr>
          <w:rFonts w:asciiTheme="majorHAnsi" w:hAnsiTheme="majorHAnsi" w:cstheme="majorHAnsi"/>
        </w:rPr>
        <w:t>O</w:t>
      </w:r>
      <w:r w:rsidRPr="00652A5E">
        <w:rPr>
          <w:rFonts w:asciiTheme="majorHAnsi" w:hAnsiTheme="majorHAnsi" w:cstheme="majorHAnsi"/>
        </w:rPr>
        <w:t>rganisational level</w:t>
      </w:r>
      <w:r w:rsidR="000268C0" w:rsidRPr="00652A5E">
        <w:rPr>
          <w:rFonts w:asciiTheme="majorHAnsi" w:hAnsiTheme="majorHAnsi" w:cstheme="majorHAnsi"/>
        </w:rPr>
        <w:t xml:space="preserve">, this </w:t>
      </w:r>
      <w:r w:rsidR="009F7348" w:rsidRPr="00652A5E">
        <w:rPr>
          <w:rFonts w:asciiTheme="majorHAnsi" w:eastAsia="Calibri" w:hAnsiTheme="majorHAnsi" w:cstheme="majorHAnsi"/>
        </w:rPr>
        <w:t>can signal to the institution that</w:t>
      </w:r>
      <w:r w:rsidR="009F7348" w:rsidRPr="00C93E05">
        <w:rPr>
          <w:rFonts w:asciiTheme="majorHAnsi" w:eastAsia="Calibri" w:hAnsiTheme="majorHAnsi" w:cstheme="majorHAnsi"/>
        </w:rPr>
        <w:t xml:space="preserve"> vital work will be undertaken without necessarily committing more resources</w:t>
      </w:r>
      <w:r w:rsidR="00DA7469">
        <w:rPr>
          <w:rFonts w:asciiTheme="majorHAnsi" w:eastAsia="Calibri" w:hAnsiTheme="majorHAnsi" w:cstheme="majorHAnsi"/>
        </w:rPr>
        <w:t xml:space="preserve">, or even </w:t>
      </w:r>
      <w:r w:rsidR="009F7348" w:rsidRPr="00C93E05">
        <w:rPr>
          <w:rFonts w:asciiTheme="majorHAnsi" w:eastAsia="Calibri" w:hAnsiTheme="majorHAnsi" w:cstheme="majorHAnsi"/>
        </w:rPr>
        <w:t xml:space="preserve">that PGRs’ </w:t>
      </w:r>
      <w:r w:rsidR="00AA5516">
        <w:rPr>
          <w:rFonts w:asciiTheme="majorHAnsi" w:eastAsia="Calibri" w:hAnsiTheme="majorHAnsi" w:cstheme="majorHAnsi"/>
        </w:rPr>
        <w:t xml:space="preserve">personal </w:t>
      </w:r>
      <w:r w:rsidR="009F7348" w:rsidRPr="00C93E05">
        <w:rPr>
          <w:rFonts w:asciiTheme="majorHAnsi" w:eastAsia="Calibri" w:hAnsiTheme="majorHAnsi" w:cstheme="majorHAnsi"/>
        </w:rPr>
        <w:t>experiences may be used for the institutions’ benefit</w:t>
      </w:r>
      <w:r w:rsidR="00AA5516">
        <w:rPr>
          <w:rFonts w:asciiTheme="majorHAnsi" w:eastAsia="Calibri" w:hAnsiTheme="majorHAnsi" w:cstheme="majorHAnsi"/>
        </w:rPr>
        <w:t xml:space="preserve"> </w:t>
      </w:r>
      <w:r w:rsidR="009F7348" w:rsidRPr="00C93E05">
        <w:rPr>
          <w:rFonts w:asciiTheme="majorHAnsi" w:eastAsia="Calibri" w:hAnsiTheme="majorHAnsi" w:cstheme="majorHAnsi"/>
        </w:rPr>
        <w:t xml:space="preserve">[IV06]. </w:t>
      </w:r>
    </w:p>
    <w:p w14:paraId="4BD28838" w14:textId="77777777" w:rsidR="00CC0C2B" w:rsidRPr="00C93E05" w:rsidRDefault="00CC0C2B" w:rsidP="00FA668F">
      <w:pPr>
        <w:rPr>
          <w:rFonts w:asciiTheme="majorHAnsi" w:eastAsia="MS Mincho" w:hAnsiTheme="majorHAnsi" w:cstheme="majorHAnsi"/>
        </w:rPr>
      </w:pPr>
    </w:p>
    <w:p w14:paraId="737EBA86" w14:textId="24696B1A" w:rsidR="00CF68C2" w:rsidRPr="00C93E05" w:rsidRDefault="00374A3D" w:rsidP="00FA668F">
      <w:pPr>
        <w:rPr>
          <w:rFonts w:ascii="Calibri" w:eastAsia="MS Mincho" w:hAnsi="Calibri" w:cs="Calibri"/>
          <w:i/>
          <w:iCs/>
          <w:u w:val="single"/>
        </w:rPr>
      </w:pPr>
      <w:r w:rsidRPr="00C93E05">
        <w:rPr>
          <w:rFonts w:ascii="Calibri" w:eastAsia="MS Mincho" w:hAnsi="Calibri" w:cs="Calibri"/>
          <w:i/>
          <w:iCs/>
          <w:u w:val="single"/>
        </w:rPr>
        <w:t>Fragmentation of</w:t>
      </w:r>
      <w:r w:rsidR="00BF52BB" w:rsidRPr="00C93E05">
        <w:rPr>
          <w:rFonts w:ascii="Calibri" w:eastAsia="MS Mincho" w:hAnsi="Calibri" w:cs="Calibri"/>
          <w:i/>
          <w:iCs/>
          <w:u w:val="single"/>
        </w:rPr>
        <w:t xml:space="preserve"> </w:t>
      </w:r>
      <w:r w:rsidRPr="00C93E05">
        <w:rPr>
          <w:rFonts w:ascii="Calibri" w:eastAsia="MS Mincho" w:hAnsi="Calibri" w:cs="Calibri"/>
          <w:i/>
          <w:iCs/>
          <w:u w:val="single"/>
        </w:rPr>
        <w:t>governance</w:t>
      </w:r>
    </w:p>
    <w:p w14:paraId="5A14E4B5" w14:textId="7A1D2999" w:rsidR="00416382" w:rsidRPr="00C93E05" w:rsidRDefault="007E63C0" w:rsidP="006538A7">
      <w:pPr>
        <w:rPr>
          <w:rFonts w:asciiTheme="majorHAnsi" w:eastAsia="MS Mincho" w:hAnsiTheme="majorHAnsi" w:cstheme="majorHAnsi"/>
        </w:rPr>
      </w:pPr>
      <w:r w:rsidRPr="00371F38">
        <w:rPr>
          <w:rFonts w:ascii="Calibri" w:eastAsia="MS Mincho" w:hAnsi="Calibri" w:cs="Calibri"/>
        </w:rPr>
        <w:t>Attempts to addres</w:t>
      </w:r>
      <w:r w:rsidR="00A90DE7">
        <w:rPr>
          <w:rFonts w:ascii="Calibri" w:eastAsia="MS Mincho" w:hAnsi="Calibri" w:cs="Calibri"/>
        </w:rPr>
        <w:t xml:space="preserve">s </w:t>
      </w:r>
      <w:r w:rsidR="00A90DE7" w:rsidRPr="00BF34BC">
        <w:rPr>
          <w:rFonts w:asciiTheme="majorHAnsi" w:eastAsia="Times New Roman" w:hAnsiTheme="majorHAnsi" w:cstheme="majorHAnsi"/>
          <w:lang w:eastAsia="en-GB"/>
        </w:rPr>
        <w:t>fragmentation of PGR governance</w:t>
      </w:r>
      <w:r w:rsidRPr="00371F38">
        <w:rPr>
          <w:rFonts w:ascii="Calibri" w:eastAsia="MS Mincho" w:hAnsi="Calibri" w:cs="Calibri"/>
        </w:rPr>
        <w:t xml:space="preserve"> </w:t>
      </w:r>
      <w:r w:rsidR="004C782D" w:rsidRPr="00371F38">
        <w:rPr>
          <w:rFonts w:ascii="Calibri" w:eastAsia="MS Mincho" w:hAnsi="Calibri" w:cs="Calibri"/>
        </w:rPr>
        <w:t xml:space="preserve">can </w:t>
      </w:r>
      <w:r w:rsidR="00E67B9D">
        <w:rPr>
          <w:rFonts w:ascii="Calibri" w:eastAsia="MS Mincho" w:hAnsi="Calibri" w:cs="Calibri"/>
        </w:rPr>
        <w:t>actua</w:t>
      </w:r>
      <w:r w:rsidR="00A90DE7">
        <w:rPr>
          <w:rFonts w:ascii="Calibri" w:eastAsia="MS Mincho" w:hAnsi="Calibri" w:cs="Calibri"/>
        </w:rPr>
        <w:t xml:space="preserve">lly </w:t>
      </w:r>
      <w:r w:rsidR="004C782D" w:rsidRPr="00371F38">
        <w:rPr>
          <w:rFonts w:ascii="Calibri" w:eastAsia="MS Mincho" w:hAnsi="Calibri" w:cs="Calibri"/>
        </w:rPr>
        <w:t xml:space="preserve">amplify </w:t>
      </w:r>
      <w:r w:rsidR="00151B50" w:rsidRPr="00371F38">
        <w:rPr>
          <w:rFonts w:ascii="Calibri" w:eastAsia="MS Mincho" w:hAnsi="Calibri" w:cs="Calibri"/>
        </w:rPr>
        <w:t xml:space="preserve">organisational </w:t>
      </w:r>
      <w:r w:rsidR="004C782D" w:rsidRPr="00371F38">
        <w:rPr>
          <w:rFonts w:ascii="Calibri" w:eastAsia="MS Mincho" w:hAnsi="Calibri" w:cs="Calibri"/>
        </w:rPr>
        <w:t>marginalisation</w:t>
      </w:r>
      <w:r w:rsidRPr="00371F38">
        <w:rPr>
          <w:rFonts w:ascii="Calibri" w:eastAsia="MS Mincho" w:hAnsi="Calibri" w:cs="Calibri"/>
        </w:rPr>
        <w:t xml:space="preserve">, </w:t>
      </w:r>
      <w:r w:rsidR="00425CAE" w:rsidRPr="00371F38">
        <w:rPr>
          <w:rFonts w:ascii="Calibri" w:eastAsia="MS Mincho" w:hAnsi="Calibri" w:cs="Calibri"/>
        </w:rPr>
        <w:t>reinforc</w:t>
      </w:r>
      <w:r w:rsidRPr="00371F38">
        <w:rPr>
          <w:rFonts w:ascii="Calibri" w:eastAsia="MS Mincho" w:hAnsi="Calibri" w:cs="Calibri"/>
        </w:rPr>
        <w:t>ing</w:t>
      </w:r>
      <w:r w:rsidR="00425CAE" w:rsidRPr="00371F38">
        <w:rPr>
          <w:rFonts w:ascii="Calibri" w:eastAsia="MS Mincho" w:hAnsi="Calibri" w:cs="Calibri"/>
        </w:rPr>
        <w:t xml:space="preserve"> </w:t>
      </w:r>
      <w:r w:rsidRPr="00371F38">
        <w:rPr>
          <w:rFonts w:ascii="Calibri" w:eastAsia="MS Mincho" w:hAnsi="Calibri" w:cs="Calibri"/>
        </w:rPr>
        <w:t>l</w:t>
      </w:r>
      <w:r w:rsidR="00425CAE" w:rsidRPr="00371F38">
        <w:rPr>
          <w:rFonts w:ascii="Calibri" w:eastAsia="MS Mincho" w:hAnsi="Calibri" w:cs="Calibri"/>
        </w:rPr>
        <w:t>ow</w:t>
      </w:r>
      <w:r w:rsidRPr="00371F38">
        <w:rPr>
          <w:rFonts w:ascii="Calibri" w:eastAsia="MS Mincho" w:hAnsi="Calibri" w:cs="Calibri"/>
        </w:rPr>
        <w:t xml:space="preserve"> Political capacity</w:t>
      </w:r>
      <w:r w:rsidRPr="00C93E05">
        <w:rPr>
          <w:rFonts w:ascii="Calibri" w:eastAsia="MS Mincho" w:hAnsi="Calibri" w:cs="Calibri"/>
        </w:rPr>
        <w:t>.</w:t>
      </w:r>
      <w:r w:rsidR="00CD35B6" w:rsidRPr="00C93E05">
        <w:rPr>
          <w:rFonts w:ascii="Calibri" w:eastAsia="MS Mincho" w:hAnsi="Calibri" w:cs="Calibri"/>
        </w:rPr>
        <w:t xml:space="preserve"> </w:t>
      </w:r>
      <w:r w:rsidR="006538A7" w:rsidRPr="00C93E05">
        <w:rPr>
          <w:rFonts w:ascii="Calibri" w:eastAsia="MS Mincho" w:hAnsi="Calibri" w:cs="Calibri"/>
        </w:rPr>
        <w:t>T</w:t>
      </w:r>
      <w:r w:rsidR="00FA668F" w:rsidRPr="00C93E05">
        <w:rPr>
          <w:rFonts w:ascii="Calibri" w:eastAsia="MS Mincho" w:hAnsi="Calibri" w:cs="Calibri"/>
        </w:rPr>
        <w:t xml:space="preserve">ensions between different parts of an organisation can manifest particularly sharply through those at the margins [IV15]. </w:t>
      </w:r>
      <w:r w:rsidR="006538A7" w:rsidRPr="00C93E05">
        <w:rPr>
          <w:rFonts w:ascii="Calibri" w:eastAsia="MS Mincho" w:hAnsi="Calibri" w:cs="Calibri"/>
        </w:rPr>
        <w:t>Open</w:t>
      </w:r>
      <w:r w:rsidR="00FA668F" w:rsidRPr="00C93E05">
        <w:rPr>
          <w:rFonts w:ascii="Calibri" w:eastAsia="MS Mincho" w:hAnsi="Calibri" w:cs="Calibri"/>
        </w:rPr>
        <w:t xml:space="preserve"> disagreement over who is responsible for PGRs [IV01] </w:t>
      </w:r>
      <w:r w:rsidR="00F65CD8" w:rsidRPr="00C93E05">
        <w:rPr>
          <w:rFonts w:ascii="Calibri" w:eastAsia="MS Mincho" w:hAnsi="Calibri" w:cs="Calibri"/>
        </w:rPr>
        <w:t xml:space="preserve">directly affects </w:t>
      </w:r>
      <w:r w:rsidR="00FA668F" w:rsidRPr="00C93E05">
        <w:rPr>
          <w:rFonts w:ascii="Calibri" w:eastAsia="MS Mincho" w:hAnsi="Calibri" w:cs="Calibri"/>
        </w:rPr>
        <w:t>PGRs through uncertainty over where to find support [IV1</w:t>
      </w:r>
      <w:r w:rsidR="00325EBE" w:rsidRPr="00C93E05">
        <w:rPr>
          <w:rFonts w:ascii="Calibri" w:eastAsia="MS Mincho" w:hAnsi="Calibri" w:cs="Calibri"/>
        </w:rPr>
        <w:t>5</w:t>
      </w:r>
      <w:r w:rsidR="00FA668F" w:rsidRPr="00C93E05">
        <w:rPr>
          <w:rFonts w:ascii="Calibri" w:eastAsia="MS Mincho" w:hAnsi="Calibri" w:cs="Calibri"/>
        </w:rPr>
        <w:t>]</w:t>
      </w:r>
      <w:r w:rsidR="008554E3">
        <w:rPr>
          <w:rFonts w:ascii="Calibri" w:eastAsia="MS Mincho" w:hAnsi="Calibri" w:cs="Calibri"/>
        </w:rPr>
        <w:t xml:space="preserve">. </w:t>
      </w:r>
      <w:r w:rsidR="00FA668F" w:rsidRPr="00C93E05">
        <w:rPr>
          <w:rFonts w:ascii="Calibri" w:eastAsia="MS Mincho" w:hAnsi="Calibri" w:cs="Calibri"/>
        </w:rPr>
        <w:t xml:space="preserve"> </w:t>
      </w:r>
      <w:r w:rsidR="00FA668F" w:rsidRPr="00C93E05">
        <w:rPr>
          <w:rFonts w:asciiTheme="majorHAnsi" w:eastAsia="MS Mincho" w:hAnsiTheme="majorHAnsi" w:cstheme="majorHAnsi"/>
        </w:rPr>
        <w:t xml:space="preserve">PGRs’ fluid status </w:t>
      </w:r>
      <w:r w:rsidR="007C4E72" w:rsidRPr="00C93E05">
        <w:rPr>
          <w:rFonts w:asciiTheme="majorHAnsi" w:eastAsia="MS Mincho" w:hAnsiTheme="majorHAnsi" w:cstheme="majorHAnsi"/>
        </w:rPr>
        <w:t>may</w:t>
      </w:r>
      <w:r w:rsidR="00FA668F" w:rsidRPr="00C93E05">
        <w:rPr>
          <w:rFonts w:asciiTheme="majorHAnsi" w:eastAsia="MS Mincho" w:hAnsiTheme="majorHAnsi" w:cstheme="majorHAnsi"/>
        </w:rPr>
        <w:t xml:space="preserve"> actually be used against them</w:t>
      </w:r>
      <w:r w:rsidR="00845709">
        <w:rPr>
          <w:rFonts w:asciiTheme="majorHAnsi" w:eastAsia="MS Mincho" w:hAnsiTheme="majorHAnsi" w:cstheme="majorHAnsi"/>
        </w:rPr>
        <w:t>:</w:t>
      </w:r>
      <w:r w:rsidR="00FA668F" w:rsidRPr="00C93E05">
        <w:rPr>
          <w:rFonts w:asciiTheme="majorHAnsi" w:eastAsia="MS Mincho" w:hAnsiTheme="majorHAnsi" w:cstheme="majorHAnsi"/>
        </w:rPr>
        <w:t xml:space="preserve"> </w:t>
      </w:r>
    </w:p>
    <w:p w14:paraId="6DDCD547" w14:textId="77777777" w:rsidR="00A022BB" w:rsidRPr="00C93E05" w:rsidRDefault="00A022BB" w:rsidP="00F65CD8">
      <w:pPr>
        <w:rPr>
          <w:rFonts w:asciiTheme="majorHAnsi" w:hAnsiTheme="majorHAnsi" w:cstheme="majorHAnsi"/>
          <w:i/>
          <w:iCs/>
        </w:rPr>
      </w:pPr>
    </w:p>
    <w:p w14:paraId="36AC820F" w14:textId="7E156105" w:rsidR="00C92578" w:rsidRPr="00C93E05" w:rsidRDefault="00C92578" w:rsidP="00F65CD8">
      <w:pPr>
        <w:rPr>
          <w:rFonts w:asciiTheme="majorHAnsi" w:eastAsia="MS Mincho" w:hAnsiTheme="majorHAnsi" w:cstheme="majorHAnsi"/>
          <w:i/>
          <w:iCs/>
        </w:rPr>
      </w:pPr>
      <w:r w:rsidRPr="00C93E05">
        <w:rPr>
          <w:rFonts w:asciiTheme="majorHAnsi" w:eastAsia="MS Mincho" w:hAnsiTheme="majorHAnsi" w:cstheme="majorHAnsi"/>
          <w:i/>
          <w:iCs/>
        </w:rPr>
        <w:t>“</w:t>
      </w:r>
      <w:proofErr w:type="gramStart"/>
      <w:r w:rsidRPr="00C93E05">
        <w:rPr>
          <w:rFonts w:asciiTheme="majorHAnsi" w:eastAsia="MS Mincho" w:hAnsiTheme="majorHAnsi" w:cstheme="majorHAnsi"/>
          <w:i/>
          <w:iCs/>
        </w:rPr>
        <w:t>when</w:t>
      </w:r>
      <w:proofErr w:type="gramEnd"/>
      <w:r w:rsidRPr="00C93E05">
        <w:rPr>
          <w:rFonts w:asciiTheme="majorHAnsi" w:eastAsia="MS Mincho" w:hAnsiTheme="majorHAnsi" w:cstheme="majorHAnsi"/>
          <w:i/>
          <w:iCs/>
        </w:rPr>
        <w:t xml:space="preserve"> it suits the university, we are staff</w:t>
      </w:r>
      <w:r w:rsidR="00845709">
        <w:rPr>
          <w:rFonts w:asciiTheme="majorHAnsi" w:eastAsia="MS Mincho" w:hAnsiTheme="majorHAnsi" w:cstheme="majorHAnsi"/>
          <w:i/>
          <w:iCs/>
        </w:rPr>
        <w:t>.</w:t>
      </w:r>
      <w:r w:rsidRPr="00C93E05">
        <w:rPr>
          <w:rFonts w:asciiTheme="majorHAnsi" w:eastAsia="MS Mincho" w:hAnsiTheme="majorHAnsi" w:cstheme="majorHAnsi"/>
          <w:i/>
          <w:iCs/>
        </w:rPr>
        <w:t xml:space="preserve"> </w:t>
      </w:r>
      <w:r w:rsidR="00845709">
        <w:rPr>
          <w:rFonts w:asciiTheme="majorHAnsi" w:eastAsia="MS Mincho" w:hAnsiTheme="majorHAnsi" w:cstheme="majorHAnsi"/>
          <w:i/>
          <w:iCs/>
        </w:rPr>
        <w:t>W</w:t>
      </w:r>
      <w:r w:rsidRPr="00C93E05">
        <w:rPr>
          <w:rFonts w:asciiTheme="majorHAnsi" w:eastAsia="MS Mincho" w:hAnsiTheme="majorHAnsi" w:cstheme="majorHAnsi"/>
          <w:i/>
          <w:iCs/>
        </w:rPr>
        <w:t>hen it suits the university, we are students”</w:t>
      </w:r>
      <w:r w:rsidRPr="00845709">
        <w:rPr>
          <w:rFonts w:asciiTheme="majorHAnsi" w:eastAsia="MS Mincho" w:hAnsiTheme="majorHAnsi" w:cstheme="majorHAnsi"/>
        </w:rPr>
        <w:t xml:space="preserve"> [IV06]</w:t>
      </w:r>
    </w:p>
    <w:p w14:paraId="6C81C3C2" w14:textId="77777777" w:rsidR="00C92578" w:rsidRPr="00C93E05" w:rsidRDefault="00C92578" w:rsidP="00F65CD8">
      <w:pPr>
        <w:rPr>
          <w:rFonts w:asciiTheme="majorHAnsi" w:hAnsiTheme="majorHAnsi" w:cstheme="majorHAnsi"/>
          <w:i/>
          <w:iCs/>
        </w:rPr>
      </w:pPr>
    </w:p>
    <w:p w14:paraId="5DD951BC" w14:textId="3F3BC308" w:rsidR="002A05F5" w:rsidRPr="00C93E05" w:rsidRDefault="000B17CD" w:rsidP="009D7094">
      <w:pPr>
        <w:rPr>
          <w:rFonts w:asciiTheme="majorHAnsi" w:hAnsiTheme="majorHAnsi" w:cstheme="majorHAnsi"/>
        </w:rPr>
      </w:pPr>
      <w:r w:rsidRPr="00C93E05">
        <w:rPr>
          <w:rFonts w:asciiTheme="majorHAnsi" w:hAnsiTheme="majorHAnsi" w:cstheme="majorHAnsi"/>
        </w:rPr>
        <w:t>A range of</w:t>
      </w:r>
      <w:r w:rsidR="00583853" w:rsidRPr="00C93E05">
        <w:rPr>
          <w:rFonts w:asciiTheme="majorHAnsi" w:hAnsiTheme="majorHAnsi" w:cstheme="majorHAnsi"/>
        </w:rPr>
        <w:t xml:space="preserve"> interests </w:t>
      </w:r>
      <w:r w:rsidR="002909FD">
        <w:rPr>
          <w:rFonts w:asciiTheme="majorHAnsi" w:hAnsiTheme="majorHAnsi" w:cstheme="majorHAnsi"/>
        </w:rPr>
        <w:t xml:space="preserve">- </w:t>
      </w:r>
      <w:r w:rsidR="002909FD" w:rsidRPr="00C93E05">
        <w:rPr>
          <w:rFonts w:asciiTheme="majorHAnsi" w:hAnsiTheme="majorHAnsi" w:cstheme="majorHAnsi"/>
        </w:rPr>
        <w:t xml:space="preserve">even </w:t>
      </w:r>
      <w:r w:rsidR="002909FD" w:rsidRPr="00C93E05">
        <w:rPr>
          <w:rFonts w:asciiTheme="majorHAnsi" w:eastAsia="MS Mincho" w:hAnsiTheme="majorHAnsi" w:cstheme="majorHAnsi"/>
        </w:rPr>
        <w:t xml:space="preserve">‘turf war’ </w:t>
      </w:r>
      <w:r w:rsidR="002909FD" w:rsidRPr="00C93E05">
        <w:rPr>
          <w:rFonts w:asciiTheme="majorHAnsi" w:hAnsiTheme="majorHAnsi" w:cstheme="majorHAnsi"/>
        </w:rPr>
        <w:t>[IV01]</w:t>
      </w:r>
      <w:r w:rsidR="002909FD">
        <w:rPr>
          <w:rFonts w:asciiTheme="majorHAnsi" w:hAnsiTheme="majorHAnsi" w:cstheme="majorHAnsi"/>
        </w:rPr>
        <w:t xml:space="preserve"> - </w:t>
      </w:r>
      <w:r w:rsidR="00583853" w:rsidRPr="00C93E05">
        <w:rPr>
          <w:rFonts w:asciiTheme="majorHAnsi" w:hAnsiTheme="majorHAnsi" w:cstheme="majorHAnsi"/>
        </w:rPr>
        <w:t xml:space="preserve">shaping </w:t>
      </w:r>
      <w:r w:rsidR="00210540" w:rsidRPr="00C93E05">
        <w:rPr>
          <w:rFonts w:asciiTheme="majorHAnsi" w:hAnsiTheme="majorHAnsi" w:cstheme="majorHAnsi"/>
        </w:rPr>
        <w:t xml:space="preserve">both </w:t>
      </w:r>
      <w:r w:rsidR="00583853" w:rsidRPr="00C93E05">
        <w:rPr>
          <w:rFonts w:asciiTheme="majorHAnsi" w:hAnsiTheme="majorHAnsi" w:cstheme="majorHAnsi"/>
        </w:rPr>
        <w:t>what interventions are prioritised [IV11]</w:t>
      </w:r>
      <w:r w:rsidR="00210540" w:rsidRPr="00C93E05">
        <w:rPr>
          <w:rFonts w:asciiTheme="majorHAnsi" w:hAnsiTheme="majorHAnsi" w:cstheme="majorHAnsi"/>
        </w:rPr>
        <w:t xml:space="preserve"> and whose</w:t>
      </w:r>
      <w:r w:rsidR="00A022BB" w:rsidRPr="00C93E05">
        <w:rPr>
          <w:rFonts w:asciiTheme="majorHAnsi" w:hAnsiTheme="majorHAnsi" w:cstheme="majorHAnsi"/>
        </w:rPr>
        <w:t xml:space="preserve"> agendas</w:t>
      </w:r>
      <w:r w:rsidR="00210540" w:rsidRPr="00C93E05">
        <w:rPr>
          <w:rFonts w:asciiTheme="majorHAnsi" w:hAnsiTheme="majorHAnsi" w:cstheme="majorHAnsi"/>
        </w:rPr>
        <w:t xml:space="preserve"> assert control</w:t>
      </w:r>
      <w:r w:rsidR="00A022BB" w:rsidRPr="00C93E05">
        <w:rPr>
          <w:rFonts w:asciiTheme="majorHAnsi" w:hAnsiTheme="majorHAnsi" w:cstheme="majorHAnsi"/>
        </w:rPr>
        <w:t xml:space="preserve"> [IV</w:t>
      </w:r>
      <w:r w:rsidR="00845709">
        <w:rPr>
          <w:rFonts w:asciiTheme="majorHAnsi" w:hAnsiTheme="majorHAnsi" w:cstheme="majorHAnsi"/>
        </w:rPr>
        <w:t>s</w:t>
      </w:r>
      <w:r w:rsidR="00A022BB" w:rsidRPr="00C93E05">
        <w:rPr>
          <w:rFonts w:asciiTheme="majorHAnsi" w:hAnsiTheme="majorHAnsi" w:cstheme="majorHAnsi"/>
        </w:rPr>
        <w:t>05</w:t>
      </w:r>
      <w:r w:rsidR="00845709">
        <w:rPr>
          <w:rFonts w:asciiTheme="majorHAnsi" w:hAnsiTheme="majorHAnsi" w:cstheme="majorHAnsi"/>
        </w:rPr>
        <w:t xml:space="preserve">; </w:t>
      </w:r>
      <w:r w:rsidR="003453DF" w:rsidRPr="00C93E05">
        <w:rPr>
          <w:rFonts w:asciiTheme="majorHAnsi" w:hAnsiTheme="majorHAnsi" w:cstheme="majorHAnsi"/>
        </w:rPr>
        <w:t>09</w:t>
      </w:r>
      <w:r w:rsidR="003113C0" w:rsidRPr="00C93E05">
        <w:rPr>
          <w:rFonts w:asciiTheme="majorHAnsi" w:hAnsiTheme="majorHAnsi" w:cstheme="majorHAnsi"/>
        </w:rPr>
        <w:t xml:space="preserve">; </w:t>
      </w:r>
      <w:r w:rsidR="00210540" w:rsidRPr="00C93E05">
        <w:rPr>
          <w:rFonts w:asciiTheme="majorHAnsi" w:hAnsiTheme="majorHAnsi" w:cstheme="majorHAnsi"/>
        </w:rPr>
        <w:t>15]</w:t>
      </w:r>
      <w:r w:rsidRPr="00C93E05">
        <w:rPr>
          <w:rFonts w:asciiTheme="majorHAnsi" w:hAnsiTheme="majorHAnsi" w:cstheme="majorHAnsi"/>
        </w:rPr>
        <w:t xml:space="preserve"> has multiple effects. It </w:t>
      </w:r>
      <w:r w:rsidR="009911C1" w:rsidRPr="00C93E05">
        <w:rPr>
          <w:rFonts w:asciiTheme="majorHAnsi" w:hAnsiTheme="majorHAnsi" w:cstheme="majorHAnsi"/>
        </w:rPr>
        <w:t xml:space="preserve">can increase </w:t>
      </w:r>
      <w:r w:rsidR="0032274A" w:rsidRPr="00C93E05">
        <w:rPr>
          <w:rFonts w:asciiTheme="majorHAnsi" w:eastAsia="MS Mincho" w:hAnsiTheme="majorHAnsi" w:cstheme="majorHAnsi"/>
        </w:rPr>
        <w:t>the work required to gather cross-institutional support for interventions</w:t>
      </w:r>
      <w:r w:rsidR="00346D54">
        <w:rPr>
          <w:rFonts w:asciiTheme="majorHAnsi" w:eastAsia="MS Mincho" w:hAnsiTheme="majorHAnsi" w:cstheme="majorHAnsi"/>
        </w:rPr>
        <w:t>: for example, r</w:t>
      </w:r>
      <w:r w:rsidR="0032274A" w:rsidRPr="00C93E05">
        <w:rPr>
          <w:rFonts w:asciiTheme="majorHAnsi" w:eastAsia="MS Mincho" w:hAnsiTheme="majorHAnsi" w:cstheme="majorHAnsi"/>
        </w:rPr>
        <w:t>e-framing PGR-related projects in multiple ways to resonate with different actors</w:t>
      </w:r>
      <w:r w:rsidR="00346D54">
        <w:rPr>
          <w:rFonts w:asciiTheme="majorHAnsi" w:eastAsia="MS Mincho" w:hAnsiTheme="majorHAnsi" w:cstheme="majorHAnsi"/>
        </w:rPr>
        <w:t xml:space="preserve"> and </w:t>
      </w:r>
      <w:r w:rsidR="007E16A9" w:rsidRPr="00C93E05">
        <w:rPr>
          <w:rFonts w:asciiTheme="majorHAnsi" w:eastAsia="MS Mincho" w:hAnsiTheme="majorHAnsi" w:cstheme="majorHAnsi"/>
        </w:rPr>
        <w:t>align with other institutional priorities</w:t>
      </w:r>
      <w:r w:rsidR="0032274A" w:rsidRPr="00C93E05">
        <w:rPr>
          <w:rFonts w:asciiTheme="majorHAnsi" w:eastAsia="MS Mincho" w:hAnsiTheme="majorHAnsi" w:cstheme="majorHAnsi"/>
        </w:rPr>
        <w:t xml:space="preserve"> [IV08]</w:t>
      </w:r>
      <w:r w:rsidR="007E16A9" w:rsidRPr="00C93E05">
        <w:rPr>
          <w:rFonts w:asciiTheme="majorHAnsi" w:eastAsia="MS Mincho" w:hAnsiTheme="majorHAnsi" w:cstheme="majorHAnsi"/>
        </w:rPr>
        <w:t>.</w:t>
      </w:r>
      <w:r w:rsidR="00B06626" w:rsidRPr="00C93E05">
        <w:rPr>
          <w:rFonts w:asciiTheme="majorHAnsi" w:eastAsia="MS Mincho" w:hAnsiTheme="majorHAnsi" w:cstheme="majorHAnsi"/>
        </w:rPr>
        <w:t xml:space="preserve"> </w:t>
      </w:r>
      <w:r w:rsidR="00B06626" w:rsidRPr="00C93E05">
        <w:rPr>
          <w:rFonts w:asciiTheme="majorHAnsi" w:hAnsiTheme="majorHAnsi" w:cstheme="majorHAnsi"/>
        </w:rPr>
        <w:t xml:space="preserve">It </w:t>
      </w:r>
      <w:r w:rsidR="00B06626" w:rsidRPr="00C93E05">
        <w:rPr>
          <w:rFonts w:asciiTheme="majorHAnsi" w:hAnsiTheme="majorHAnsi" w:cstheme="majorHAnsi"/>
        </w:rPr>
        <w:lastRenderedPageBreak/>
        <w:t>can be difficult to a</w:t>
      </w:r>
      <w:r w:rsidR="00A27A38" w:rsidRPr="00C93E05">
        <w:rPr>
          <w:rFonts w:asciiTheme="majorHAnsi" w:hAnsiTheme="majorHAnsi" w:cstheme="majorHAnsi"/>
        </w:rPr>
        <w:t xml:space="preserve">void </w:t>
      </w:r>
      <w:r w:rsidR="00E36DAB" w:rsidRPr="00C93E05">
        <w:rPr>
          <w:rFonts w:asciiTheme="majorHAnsi" w:hAnsiTheme="majorHAnsi" w:cstheme="majorHAnsi"/>
        </w:rPr>
        <w:t>conflict,</w:t>
      </w:r>
      <w:r w:rsidR="00A27A38" w:rsidRPr="00C93E05">
        <w:rPr>
          <w:rFonts w:asciiTheme="majorHAnsi" w:hAnsiTheme="majorHAnsi" w:cstheme="majorHAnsi"/>
        </w:rPr>
        <w:t xml:space="preserve"> e</w:t>
      </w:r>
      <w:r w:rsidR="009976E9" w:rsidRPr="00C93E05">
        <w:rPr>
          <w:rFonts w:asciiTheme="majorHAnsi" w:hAnsiTheme="majorHAnsi" w:cstheme="majorHAnsi"/>
        </w:rPr>
        <w:t>sp</w:t>
      </w:r>
      <w:r w:rsidR="00A27A38" w:rsidRPr="00C93E05">
        <w:rPr>
          <w:rFonts w:asciiTheme="majorHAnsi" w:hAnsiTheme="majorHAnsi" w:cstheme="majorHAnsi"/>
        </w:rPr>
        <w:t>ecially</w:t>
      </w:r>
      <w:r w:rsidR="009976E9" w:rsidRPr="00C93E05">
        <w:rPr>
          <w:rFonts w:asciiTheme="majorHAnsi" w:hAnsiTheme="majorHAnsi" w:cstheme="majorHAnsi"/>
        </w:rPr>
        <w:t xml:space="preserve"> when </w:t>
      </w:r>
      <w:r w:rsidR="00A27A38" w:rsidRPr="00C93E05">
        <w:rPr>
          <w:rFonts w:asciiTheme="majorHAnsi" w:hAnsiTheme="majorHAnsi" w:cstheme="majorHAnsi"/>
        </w:rPr>
        <w:t>responsibility boundaries</w:t>
      </w:r>
      <w:r w:rsidR="0047422F" w:rsidRPr="00C93E05">
        <w:rPr>
          <w:rFonts w:asciiTheme="majorHAnsi" w:hAnsiTheme="majorHAnsi" w:cstheme="majorHAnsi"/>
        </w:rPr>
        <w:t xml:space="preserve"> are blurred</w:t>
      </w:r>
      <w:r w:rsidR="00A27A38" w:rsidRPr="00C93E05">
        <w:rPr>
          <w:rFonts w:asciiTheme="majorHAnsi" w:hAnsiTheme="majorHAnsi" w:cstheme="majorHAnsi"/>
        </w:rPr>
        <w:t xml:space="preserve"> </w:t>
      </w:r>
      <w:r w:rsidR="009976E9" w:rsidRPr="00C93E05">
        <w:rPr>
          <w:rFonts w:asciiTheme="majorHAnsi" w:hAnsiTheme="majorHAnsi" w:cstheme="majorHAnsi"/>
        </w:rPr>
        <w:t>[IV01]</w:t>
      </w:r>
      <w:r w:rsidR="00B06626" w:rsidRPr="00C93E05">
        <w:rPr>
          <w:rFonts w:asciiTheme="majorHAnsi" w:hAnsiTheme="majorHAnsi" w:cstheme="majorHAnsi"/>
        </w:rPr>
        <w:t xml:space="preserve"> and actors may guard their work: </w:t>
      </w:r>
    </w:p>
    <w:p w14:paraId="2421BFA6" w14:textId="77777777" w:rsidR="002A05F5" w:rsidRPr="00C93E05" w:rsidRDefault="002A05F5" w:rsidP="009D7094">
      <w:pPr>
        <w:rPr>
          <w:rFonts w:asciiTheme="majorHAnsi" w:hAnsiTheme="majorHAnsi" w:cstheme="majorHAnsi"/>
          <w:i/>
          <w:iCs/>
        </w:rPr>
      </w:pPr>
    </w:p>
    <w:p w14:paraId="1C80D10B" w14:textId="7F842527" w:rsidR="002A05F5" w:rsidRPr="00C93E05" w:rsidRDefault="00B06626" w:rsidP="009D7094">
      <w:pPr>
        <w:rPr>
          <w:rFonts w:asciiTheme="majorHAnsi" w:hAnsiTheme="majorHAnsi" w:cstheme="majorHAnsi"/>
          <w:i/>
          <w:iCs/>
        </w:rPr>
      </w:pPr>
      <w:r w:rsidRPr="00C93E05">
        <w:rPr>
          <w:rFonts w:asciiTheme="majorHAnsi" w:hAnsiTheme="majorHAnsi" w:cstheme="majorHAnsi"/>
          <w:i/>
          <w:iCs/>
        </w:rPr>
        <w:t>“</w:t>
      </w:r>
      <w:proofErr w:type="gramStart"/>
      <w:r w:rsidRPr="00C93E05">
        <w:rPr>
          <w:rFonts w:asciiTheme="majorHAnsi" w:hAnsiTheme="majorHAnsi" w:cstheme="majorHAnsi"/>
          <w:i/>
          <w:iCs/>
        </w:rPr>
        <w:t>there</w:t>
      </w:r>
      <w:proofErr w:type="gramEnd"/>
      <w:r w:rsidRPr="00C93E05">
        <w:rPr>
          <w:rFonts w:asciiTheme="majorHAnsi" w:hAnsiTheme="majorHAnsi" w:cstheme="majorHAnsi"/>
          <w:i/>
          <w:iCs/>
        </w:rPr>
        <w:t xml:space="preserve"> is probably agents within the university who might look at something that we… do and get really pissed off because … they feel like we're stepping on somebody's toes</w:t>
      </w:r>
      <w:r w:rsidR="00E36DAB" w:rsidRPr="00C93E05">
        <w:rPr>
          <w:rFonts w:asciiTheme="majorHAnsi" w:hAnsiTheme="majorHAnsi" w:cstheme="majorHAnsi"/>
          <w:i/>
          <w:iCs/>
        </w:rPr>
        <w:t xml:space="preserve">… </w:t>
      </w:r>
      <w:r w:rsidRPr="00C93E05">
        <w:rPr>
          <w:rFonts w:asciiTheme="majorHAnsi" w:hAnsiTheme="majorHAnsi" w:cstheme="majorHAnsi"/>
          <w:i/>
          <w:iCs/>
        </w:rPr>
        <w:t xml:space="preserve">you have a centre that provides the support but jealously guards it. So </w:t>
      </w:r>
      <w:proofErr w:type="gramStart"/>
      <w:r w:rsidRPr="00C93E05">
        <w:rPr>
          <w:rFonts w:asciiTheme="majorHAnsi" w:hAnsiTheme="majorHAnsi" w:cstheme="majorHAnsi"/>
          <w:i/>
          <w:iCs/>
        </w:rPr>
        <w:t>again</w:t>
      </w:r>
      <w:proofErr w:type="gramEnd"/>
      <w:r w:rsidRPr="00C93E05">
        <w:rPr>
          <w:rFonts w:asciiTheme="majorHAnsi" w:hAnsiTheme="majorHAnsi" w:cstheme="majorHAnsi"/>
          <w:i/>
          <w:iCs/>
        </w:rPr>
        <w:t xml:space="preserve"> there is lots of politics with a small p that you have to navigate” </w:t>
      </w:r>
      <w:r w:rsidRPr="00DA2250">
        <w:rPr>
          <w:rFonts w:asciiTheme="majorHAnsi" w:hAnsiTheme="majorHAnsi" w:cstheme="majorHAnsi"/>
        </w:rPr>
        <w:t>[IV09]</w:t>
      </w:r>
      <w:r w:rsidRPr="00C93E05">
        <w:rPr>
          <w:rFonts w:asciiTheme="majorHAnsi" w:hAnsiTheme="majorHAnsi" w:cstheme="majorHAnsi"/>
          <w:i/>
          <w:iCs/>
        </w:rPr>
        <w:t xml:space="preserve"> </w:t>
      </w:r>
    </w:p>
    <w:p w14:paraId="7DAE4296" w14:textId="77777777" w:rsidR="002A05F5" w:rsidRPr="00C93E05" w:rsidRDefault="002A05F5" w:rsidP="009D7094">
      <w:pPr>
        <w:rPr>
          <w:rFonts w:asciiTheme="majorHAnsi" w:hAnsiTheme="majorHAnsi" w:cstheme="majorHAnsi"/>
          <w:i/>
          <w:iCs/>
        </w:rPr>
      </w:pPr>
    </w:p>
    <w:p w14:paraId="7D2ADE30" w14:textId="3C40217D" w:rsidR="001F09B0" w:rsidRPr="00C93E05" w:rsidRDefault="00B06626" w:rsidP="0008728F">
      <w:pPr>
        <w:rPr>
          <w:rFonts w:asciiTheme="majorHAnsi" w:hAnsiTheme="majorHAnsi" w:cstheme="majorHAnsi"/>
        </w:rPr>
      </w:pPr>
      <w:r w:rsidRPr="00C93E05">
        <w:rPr>
          <w:rFonts w:asciiTheme="majorHAnsi" w:hAnsiTheme="majorHAnsi" w:cstheme="majorHAnsi"/>
        </w:rPr>
        <w:t xml:space="preserve">Experience of this can discourage action </w:t>
      </w:r>
      <w:r w:rsidR="003E1E40" w:rsidRPr="00C93E05">
        <w:rPr>
          <w:rFonts w:asciiTheme="majorHAnsi" w:hAnsiTheme="majorHAnsi" w:cstheme="majorHAnsi"/>
        </w:rPr>
        <w:t>[IV01</w:t>
      </w:r>
      <w:r w:rsidR="0008728F" w:rsidRPr="00C93E05">
        <w:rPr>
          <w:rFonts w:asciiTheme="majorHAnsi" w:hAnsiTheme="majorHAnsi" w:cstheme="majorHAnsi"/>
        </w:rPr>
        <w:t>]</w:t>
      </w:r>
      <w:r w:rsidR="0047422F" w:rsidRPr="00C93E05">
        <w:rPr>
          <w:rFonts w:asciiTheme="majorHAnsi" w:hAnsiTheme="majorHAnsi" w:cstheme="majorHAnsi"/>
        </w:rPr>
        <w:t xml:space="preserve">, </w:t>
      </w:r>
      <w:r w:rsidR="00205E98" w:rsidRPr="00C93E05">
        <w:rPr>
          <w:rFonts w:asciiTheme="majorHAnsi" w:hAnsiTheme="majorHAnsi" w:cstheme="majorHAnsi"/>
        </w:rPr>
        <w:t xml:space="preserve">or </w:t>
      </w:r>
      <w:r w:rsidRPr="00C93E05">
        <w:rPr>
          <w:rFonts w:asciiTheme="majorHAnsi" w:hAnsiTheme="majorHAnsi" w:cstheme="majorHAnsi"/>
        </w:rPr>
        <w:t>exacerbate conflict through f</w:t>
      </w:r>
      <w:r w:rsidR="000B17CD" w:rsidRPr="00C93E05">
        <w:rPr>
          <w:rFonts w:asciiTheme="majorHAnsi" w:hAnsiTheme="majorHAnsi" w:cstheme="majorHAnsi"/>
        </w:rPr>
        <w:t>rustration with processes [IV09]</w:t>
      </w:r>
      <w:r w:rsidR="0008728F" w:rsidRPr="00C93E05">
        <w:rPr>
          <w:rFonts w:asciiTheme="majorHAnsi" w:hAnsiTheme="majorHAnsi" w:cstheme="majorHAnsi"/>
        </w:rPr>
        <w:t>, or</w:t>
      </w:r>
      <w:r w:rsidR="009D7094" w:rsidRPr="00C93E05">
        <w:rPr>
          <w:rFonts w:asciiTheme="majorHAnsi" w:hAnsiTheme="majorHAnsi" w:cstheme="majorHAnsi"/>
        </w:rPr>
        <w:t xml:space="preserve"> </w:t>
      </w:r>
      <w:r w:rsidR="00DA2250">
        <w:rPr>
          <w:rFonts w:asciiTheme="majorHAnsi" w:hAnsiTheme="majorHAnsi" w:cstheme="majorHAnsi"/>
        </w:rPr>
        <w:t xml:space="preserve">create </w:t>
      </w:r>
      <w:r w:rsidR="009D7094" w:rsidRPr="00C93E05">
        <w:rPr>
          <w:rFonts w:asciiTheme="majorHAnsi" w:hAnsiTheme="majorHAnsi" w:cstheme="majorHAnsi"/>
        </w:rPr>
        <w:t>p</w:t>
      </w:r>
      <w:r w:rsidR="001F09B0" w:rsidRPr="00C93E05">
        <w:rPr>
          <w:rFonts w:asciiTheme="majorHAnsi" w:hAnsiTheme="majorHAnsi" w:cstheme="majorHAnsi"/>
        </w:rPr>
        <w:t>erception of an intervention as representing management</w:t>
      </w:r>
      <w:r w:rsidR="00DA2250">
        <w:rPr>
          <w:rFonts w:asciiTheme="majorHAnsi" w:hAnsiTheme="majorHAnsi" w:cstheme="majorHAnsi"/>
        </w:rPr>
        <w:t>:</w:t>
      </w:r>
    </w:p>
    <w:p w14:paraId="62E4BA9E" w14:textId="77777777" w:rsidR="00205E98" w:rsidRPr="00C93E05" w:rsidRDefault="00205E98" w:rsidP="009D7094">
      <w:pPr>
        <w:rPr>
          <w:rFonts w:asciiTheme="majorHAnsi" w:hAnsiTheme="majorHAnsi" w:cstheme="majorHAnsi"/>
          <w:i/>
          <w:iCs/>
        </w:rPr>
      </w:pPr>
    </w:p>
    <w:p w14:paraId="2CA346F4" w14:textId="3C8ACF8B" w:rsidR="00205E98" w:rsidRDefault="00205E98" w:rsidP="009D7094">
      <w:pPr>
        <w:rPr>
          <w:rFonts w:asciiTheme="majorHAnsi" w:hAnsiTheme="majorHAnsi" w:cstheme="majorHAnsi"/>
        </w:rPr>
      </w:pPr>
      <w:r w:rsidRPr="00C93E05">
        <w:rPr>
          <w:rFonts w:asciiTheme="majorHAnsi" w:hAnsiTheme="majorHAnsi" w:cstheme="majorHAnsi"/>
          <w:i/>
          <w:iCs/>
        </w:rPr>
        <w:t>"</w:t>
      </w:r>
      <w:proofErr w:type="gramStart"/>
      <w:r w:rsidRPr="00C93E05">
        <w:rPr>
          <w:rFonts w:asciiTheme="majorHAnsi" w:hAnsiTheme="majorHAnsi" w:cstheme="majorHAnsi"/>
          <w:i/>
          <w:iCs/>
        </w:rPr>
        <w:t>we</w:t>
      </w:r>
      <w:proofErr w:type="gramEnd"/>
      <w:r w:rsidRPr="00C93E05">
        <w:rPr>
          <w:rFonts w:asciiTheme="majorHAnsi" w:hAnsiTheme="majorHAnsi" w:cstheme="majorHAnsi"/>
          <w:i/>
          <w:iCs/>
        </w:rPr>
        <w:t xml:space="preserve"> were seen to be representative of management through the </w:t>
      </w:r>
      <w:proofErr w:type="spellStart"/>
      <w:r w:rsidRPr="00C93E05">
        <w:rPr>
          <w:rFonts w:asciiTheme="majorHAnsi" w:hAnsiTheme="majorHAnsi" w:cstheme="majorHAnsi"/>
          <w:i/>
          <w:iCs/>
        </w:rPr>
        <w:t>Hefce</w:t>
      </w:r>
      <w:proofErr w:type="spellEnd"/>
      <w:r w:rsidRPr="00C93E05">
        <w:rPr>
          <w:rFonts w:asciiTheme="majorHAnsi" w:hAnsiTheme="majorHAnsi" w:cstheme="majorHAnsi"/>
          <w:i/>
          <w:iCs/>
        </w:rPr>
        <w:t xml:space="preserve"> project: there was a lot of anger. It was quite extraordinary how angry pe</w:t>
      </w:r>
      <w:r w:rsidR="00A31945" w:rsidRPr="00C93E05">
        <w:rPr>
          <w:rFonts w:asciiTheme="majorHAnsi" w:hAnsiTheme="majorHAnsi" w:cstheme="majorHAnsi"/>
          <w:i/>
          <w:iCs/>
        </w:rPr>
        <w:t>… [</w:t>
      </w:r>
      <w:r w:rsidR="00EE4770" w:rsidRPr="00C93E05">
        <w:rPr>
          <w:rFonts w:asciiTheme="majorHAnsi" w:hAnsiTheme="majorHAnsi" w:cstheme="majorHAnsi"/>
          <w:i/>
          <w:iCs/>
        </w:rPr>
        <w:t>notable pause</w:t>
      </w:r>
      <w:r w:rsidR="00A31945" w:rsidRPr="00C93E05">
        <w:rPr>
          <w:rFonts w:asciiTheme="majorHAnsi" w:hAnsiTheme="majorHAnsi" w:cstheme="majorHAnsi"/>
          <w:i/>
          <w:iCs/>
        </w:rPr>
        <w:t>]</w:t>
      </w:r>
      <w:r w:rsidRPr="00C93E05">
        <w:rPr>
          <w:rFonts w:asciiTheme="majorHAnsi" w:hAnsiTheme="majorHAnsi" w:cstheme="majorHAnsi"/>
          <w:i/>
          <w:iCs/>
        </w:rPr>
        <w:t xml:space="preserve">" </w:t>
      </w:r>
      <w:r w:rsidRPr="00DA2250">
        <w:rPr>
          <w:rFonts w:asciiTheme="majorHAnsi" w:hAnsiTheme="majorHAnsi" w:cstheme="majorHAnsi"/>
        </w:rPr>
        <w:t>[IV11]</w:t>
      </w:r>
    </w:p>
    <w:p w14:paraId="30FCF100" w14:textId="77777777" w:rsidR="00AA2FC6" w:rsidRDefault="00AA2FC6" w:rsidP="009D7094">
      <w:pPr>
        <w:rPr>
          <w:rFonts w:asciiTheme="majorHAnsi" w:hAnsiTheme="majorHAnsi" w:cstheme="majorHAnsi"/>
        </w:rPr>
      </w:pPr>
    </w:p>
    <w:bookmarkEnd w:id="0"/>
    <w:p w14:paraId="67D2F2A0" w14:textId="6B6DEB1F" w:rsidR="00CB4280" w:rsidRPr="001A7F44" w:rsidRDefault="00CB4280" w:rsidP="001D4CC9">
      <w:pPr>
        <w:rPr>
          <w:rFonts w:asciiTheme="majorHAnsi" w:hAnsiTheme="majorHAnsi" w:cstheme="majorHAnsi"/>
          <w:b/>
          <w:bCs/>
        </w:rPr>
      </w:pPr>
      <w:r w:rsidRPr="001A7F44">
        <w:rPr>
          <w:rFonts w:asciiTheme="majorHAnsi" w:hAnsiTheme="majorHAnsi" w:cstheme="majorHAnsi"/>
          <w:b/>
          <w:bCs/>
        </w:rPr>
        <w:t>Discussion</w:t>
      </w:r>
    </w:p>
    <w:bookmarkEnd w:id="1"/>
    <w:p w14:paraId="4D3FDCB1" w14:textId="77777777" w:rsidR="00652A5E" w:rsidRDefault="00406549" w:rsidP="00903507">
      <w:pPr>
        <w:rPr>
          <w:rFonts w:asciiTheme="majorHAnsi" w:hAnsiTheme="majorHAnsi" w:cstheme="majorHAnsi"/>
        </w:rPr>
      </w:pPr>
      <w:r>
        <w:rPr>
          <w:rFonts w:asciiTheme="majorHAnsi" w:hAnsiTheme="majorHAnsi" w:cstheme="majorHAnsi"/>
        </w:rPr>
        <w:t xml:space="preserve">This article has contributed to the </w:t>
      </w:r>
      <w:r w:rsidRPr="000A0822">
        <w:rPr>
          <w:rFonts w:asciiTheme="majorHAnsi" w:hAnsiTheme="majorHAnsi" w:cstheme="majorHAnsi"/>
        </w:rPr>
        <w:t>growing literature on political analysis of wellbeing</w:t>
      </w:r>
      <w:r w:rsidR="00964637" w:rsidRPr="000A0822">
        <w:rPr>
          <w:rFonts w:asciiTheme="majorHAnsi" w:hAnsiTheme="majorHAnsi" w:cstheme="majorHAnsi"/>
        </w:rPr>
        <w:t>,</w:t>
      </w:r>
      <w:r w:rsidR="00A41B50" w:rsidRPr="000A0822">
        <w:rPr>
          <w:rFonts w:asciiTheme="majorHAnsi" w:hAnsiTheme="majorHAnsi" w:cstheme="majorHAnsi"/>
        </w:rPr>
        <w:t xml:space="preserve"> with a focus on </w:t>
      </w:r>
      <w:r w:rsidR="00537B89">
        <w:rPr>
          <w:rFonts w:asciiTheme="majorHAnsi" w:hAnsiTheme="majorHAnsi" w:cstheme="majorHAnsi"/>
        </w:rPr>
        <w:t xml:space="preserve">the </w:t>
      </w:r>
      <w:r w:rsidR="00537B89" w:rsidRPr="000A0822">
        <w:rPr>
          <w:rFonts w:asciiTheme="majorHAnsi" w:hAnsiTheme="majorHAnsi" w:cstheme="majorHAnsi"/>
        </w:rPr>
        <w:t xml:space="preserve">policy capacities to support </w:t>
      </w:r>
      <w:r w:rsidR="00A41B50" w:rsidRPr="000A0822">
        <w:rPr>
          <w:rFonts w:asciiTheme="majorHAnsi" w:hAnsiTheme="majorHAnsi" w:cstheme="majorHAnsi"/>
        </w:rPr>
        <w:t xml:space="preserve">the wellbeing of </w:t>
      </w:r>
      <w:r w:rsidR="00DE1675">
        <w:rPr>
          <w:rFonts w:asciiTheme="majorHAnsi" w:hAnsiTheme="majorHAnsi" w:cstheme="majorHAnsi"/>
        </w:rPr>
        <w:t>postgraduate researchers</w:t>
      </w:r>
      <w:r w:rsidR="00A41B50" w:rsidRPr="000A0822">
        <w:rPr>
          <w:rFonts w:asciiTheme="majorHAnsi" w:hAnsiTheme="majorHAnsi" w:cstheme="majorHAnsi"/>
        </w:rPr>
        <w:t xml:space="preserve"> </w:t>
      </w:r>
      <w:r w:rsidR="00227782" w:rsidRPr="000A0822">
        <w:rPr>
          <w:rFonts w:asciiTheme="majorHAnsi" w:hAnsiTheme="majorHAnsi" w:cstheme="majorHAnsi"/>
        </w:rPr>
        <w:t>at higher education institutions</w:t>
      </w:r>
      <w:r w:rsidR="00A41B50" w:rsidRPr="000A0822">
        <w:rPr>
          <w:rFonts w:asciiTheme="majorHAnsi" w:hAnsiTheme="majorHAnsi" w:cstheme="majorHAnsi"/>
        </w:rPr>
        <w:t xml:space="preserve"> in the UK. While support for </w:t>
      </w:r>
      <w:r w:rsidR="00DB086A">
        <w:rPr>
          <w:rFonts w:asciiTheme="majorHAnsi" w:hAnsiTheme="majorHAnsi" w:cstheme="majorHAnsi"/>
        </w:rPr>
        <w:t>PGR</w:t>
      </w:r>
      <w:r w:rsidR="00A41B50" w:rsidRPr="000A0822">
        <w:rPr>
          <w:rFonts w:asciiTheme="majorHAnsi" w:hAnsiTheme="majorHAnsi" w:cstheme="majorHAnsi"/>
        </w:rPr>
        <w:t xml:space="preserve"> wellbeing features prominently in the UK policy context, there appear to be gaps in effective design and implementation of that support.  </w:t>
      </w:r>
      <w:r w:rsidR="00CC4A93" w:rsidRPr="000A0822">
        <w:rPr>
          <w:rFonts w:asciiTheme="majorHAnsi" w:hAnsiTheme="majorHAnsi" w:cstheme="majorHAnsi"/>
        </w:rPr>
        <w:t xml:space="preserve">One key </w:t>
      </w:r>
      <w:r w:rsidR="00055D39" w:rsidRPr="000A0822">
        <w:rPr>
          <w:rFonts w:asciiTheme="majorHAnsi" w:hAnsiTheme="majorHAnsi" w:cstheme="majorHAnsi"/>
        </w:rPr>
        <w:t>issue</w:t>
      </w:r>
      <w:r w:rsidR="00CC4A93" w:rsidRPr="000A0822">
        <w:rPr>
          <w:rFonts w:asciiTheme="majorHAnsi" w:hAnsiTheme="majorHAnsi" w:cstheme="majorHAnsi"/>
        </w:rPr>
        <w:t xml:space="preserve"> recognised in </w:t>
      </w:r>
      <w:r w:rsidR="00055D39" w:rsidRPr="000A0822">
        <w:rPr>
          <w:rFonts w:asciiTheme="majorHAnsi" w:hAnsiTheme="majorHAnsi" w:cstheme="majorHAnsi"/>
        </w:rPr>
        <w:t xml:space="preserve">both academic </w:t>
      </w:r>
      <w:r w:rsidR="00CC4A93" w:rsidRPr="000A0822">
        <w:rPr>
          <w:rFonts w:asciiTheme="majorHAnsi" w:hAnsiTheme="majorHAnsi" w:cstheme="majorHAnsi"/>
        </w:rPr>
        <w:t>literature and policy appears to be</w:t>
      </w:r>
      <w:r w:rsidR="00055D39" w:rsidRPr="000A0822">
        <w:rPr>
          <w:rFonts w:asciiTheme="majorHAnsi" w:hAnsiTheme="majorHAnsi" w:cstheme="majorHAnsi"/>
        </w:rPr>
        <w:t xml:space="preserve"> the status ambiguity of PGRs. </w:t>
      </w:r>
      <w:r w:rsidR="00BF320B">
        <w:rPr>
          <w:rFonts w:asciiTheme="majorHAnsi" w:hAnsiTheme="majorHAnsi" w:cstheme="majorHAnsi"/>
        </w:rPr>
        <w:t>Analysis in this</w:t>
      </w:r>
      <w:r w:rsidR="00055D39" w:rsidRPr="000A0822">
        <w:rPr>
          <w:rFonts w:asciiTheme="majorHAnsi" w:hAnsiTheme="majorHAnsi" w:cstheme="majorHAnsi"/>
        </w:rPr>
        <w:t xml:space="preserve"> article </w:t>
      </w:r>
      <w:r w:rsidR="00BF320B">
        <w:rPr>
          <w:rFonts w:asciiTheme="majorHAnsi" w:hAnsiTheme="majorHAnsi" w:cstheme="majorHAnsi"/>
        </w:rPr>
        <w:t xml:space="preserve">has shown </w:t>
      </w:r>
      <w:r w:rsidR="00055D39" w:rsidRPr="000A0822">
        <w:rPr>
          <w:rFonts w:asciiTheme="majorHAnsi" w:hAnsiTheme="majorHAnsi" w:cstheme="majorHAnsi"/>
        </w:rPr>
        <w:t>that status ambiguity has significant implications not just for PGR wellbeing directly but</w:t>
      </w:r>
      <w:r w:rsidR="00964637" w:rsidRPr="000A0822">
        <w:rPr>
          <w:rFonts w:asciiTheme="majorHAnsi" w:hAnsiTheme="majorHAnsi" w:cstheme="majorHAnsi"/>
        </w:rPr>
        <w:t xml:space="preserve"> also for </w:t>
      </w:r>
      <w:r w:rsidR="00537B89">
        <w:rPr>
          <w:rFonts w:asciiTheme="majorHAnsi" w:hAnsiTheme="majorHAnsi" w:cstheme="majorHAnsi"/>
        </w:rPr>
        <w:t>wellbeing support</w:t>
      </w:r>
      <w:r w:rsidR="000A0822" w:rsidRPr="000A0822">
        <w:rPr>
          <w:rFonts w:asciiTheme="majorHAnsi" w:hAnsiTheme="majorHAnsi" w:cstheme="majorHAnsi"/>
        </w:rPr>
        <w:t xml:space="preserve">. </w:t>
      </w:r>
    </w:p>
    <w:p w14:paraId="06F3EBA7" w14:textId="1553DC87" w:rsidR="00E16732" w:rsidRPr="00652A5E" w:rsidRDefault="000A0822" w:rsidP="00652A5E">
      <w:pPr>
        <w:ind w:firstLine="720"/>
        <w:rPr>
          <w:rFonts w:asciiTheme="majorHAnsi" w:hAnsiTheme="majorHAnsi" w:cstheme="majorHAnsi"/>
        </w:rPr>
      </w:pPr>
      <w:r w:rsidRPr="000A0822">
        <w:rPr>
          <w:rFonts w:asciiTheme="majorHAnsi" w:hAnsiTheme="majorHAnsi" w:cstheme="majorHAnsi"/>
        </w:rPr>
        <w:t xml:space="preserve">In answer to the research question: </w:t>
      </w:r>
      <w:r w:rsidR="00C32048" w:rsidRPr="00903507">
        <w:rPr>
          <w:rFonts w:asciiTheme="majorHAnsi" w:hAnsiTheme="majorHAnsi" w:cstheme="majorHAnsi"/>
          <w:i/>
          <w:iCs/>
        </w:rPr>
        <w:t>How and why does PGR status ambiguity affect the policy capacities to support PGR wellbeing?</w:t>
      </w:r>
      <w:r w:rsidR="00903507">
        <w:rPr>
          <w:rFonts w:asciiTheme="majorHAnsi" w:hAnsiTheme="majorHAnsi" w:cstheme="majorHAnsi"/>
          <w:i/>
          <w:iCs/>
        </w:rPr>
        <w:t xml:space="preserve"> </w:t>
      </w:r>
      <w:r w:rsidR="00EF6754">
        <w:rPr>
          <w:rFonts w:asciiTheme="majorHAnsi" w:hAnsiTheme="majorHAnsi" w:cstheme="majorHAnsi"/>
        </w:rPr>
        <w:t>t</w:t>
      </w:r>
      <w:r w:rsidR="00522324">
        <w:rPr>
          <w:rFonts w:asciiTheme="majorHAnsi" w:hAnsiTheme="majorHAnsi" w:cstheme="majorHAnsi"/>
        </w:rPr>
        <w:t xml:space="preserve">here are several key messages. </w:t>
      </w:r>
      <w:r w:rsidR="00D7532D">
        <w:rPr>
          <w:rFonts w:asciiTheme="majorHAnsi" w:hAnsiTheme="majorHAnsi" w:cstheme="majorHAnsi"/>
        </w:rPr>
        <w:t xml:space="preserve">First, </w:t>
      </w:r>
      <w:r w:rsidR="00D7532D" w:rsidRPr="00D02355">
        <w:rPr>
          <w:rFonts w:asciiTheme="majorHAnsi" w:hAnsiTheme="majorHAnsi" w:cstheme="majorHAnsi"/>
        </w:rPr>
        <w:t xml:space="preserve">there is </w:t>
      </w:r>
      <w:r w:rsidR="00D7532D" w:rsidRPr="00D02355">
        <w:rPr>
          <w:rFonts w:asciiTheme="majorHAnsi" w:hAnsiTheme="majorHAnsi" w:cstheme="majorHAnsi"/>
          <w:color w:val="242424"/>
        </w:rPr>
        <w:t xml:space="preserve">a mutually reinforcing relationship between ambiguity in organisational status and </w:t>
      </w:r>
      <w:r w:rsidR="00D7532D" w:rsidRPr="00D02355">
        <w:rPr>
          <w:rFonts w:ascii="Calibri" w:eastAsia="MS Mincho" w:hAnsi="Calibri" w:cs="Calibri"/>
        </w:rPr>
        <w:t>what might be called ‘organisational marginalisation’ when it comes to design and implementation of wellbeing support.</w:t>
      </w:r>
      <w:r w:rsidR="00D7532D">
        <w:rPr>
          <w:rFonts w:ascii="Calibri" w:eastAsia="MS Mincho" w:hAnsi="Calibri" w:cs="Calibri"/>
        </w:rPr>
        <w:t xml:space="preserve"> </w:t>
      </w:r>
      <w:r w:rsidR="00D7532D">
        <w:rPr>
          <w:rFonts w:asciiTheme="majorHAnsi" w:hAnsiTheme="majorHAnsi" w:cstheme="majorHAnsi"/>
        </w:rPr>
        <w:t>Second</w:t>
      </w:r>
      <w:r w:rsidR="00522324">
        <w:rPr>
          <w:rFonts w:asciiTheme="majorHAnsi" w:hAnsiTheme="majorHAnsi" w:cstheme="majorHAnsi"/>
        </w:rPr>
        <w:t xml:space="preserve">, </w:t>
      </w:r>
      <w:r w:rsidR="00D02355" w:rsidRPr="00D02355">
        <w:rPr>
          <w:rFonts w:asciiTheme="majorHAnsi" w:hAnsiTheme="majorHAnsi" w:cstheme="majorHAnsi"/>
        </w:rPr>
        <w:t>t</w:t>
      </w:r>
      <w:r w:rsidR="00D02355" w:rsidRPr="00D02355">
        <w:rPr>
          <w:rFonts w:ascii="Calibri" w:eastAsia="MS Mincho" w:hAnsi="Calibri" w:cs="Calibri"/>
        </w:rPr>
        <w:t xml:space="preserve">here is evidence of low Political capacity at all levels. </w:t>
      </w:r>
      <w:r w:rsidR="00D02355" w:rsidRPr="00D02355">
        <w:rPr>
          <w:rFonts w:asciiTheme="majorHAnsi" w:hAnsiTheme="majorHAnsi" w:cstheme="majorHAnsi"/>
        </w:rPr>
        <w:t>In particular,</w:t>
      </w:r>
      <w:r w:rsidR="006338A1" w:rsidRPr="00D02355">
        <w:rPr>
          <w:rFonts w:asciiTheme="majorHAnsi" w:hAnsiTheme="majorHAnsi" w:cstheme="majorHAnsi"/>
        </w:rPr>
        <w:t xml:space="preserve"> </w:t>
      </w:r>
      <w:r w:rsidR="006C095A" w:rsidRPr="00D02355">
        <w:rPr>
          <w:rFonts w:ascii="Calibri" w:eastAsia="MS Mincho" w:hAnsi="Calibri" w:cs="Calibri"/>
        </w:rPr>
        <w:t xml:space="preserve">there is strong evidence of a relationship between organisational marginalisation and low Political capacity, </w:t>
      </w:r>
      <w:r w:rsidR="00522324" w:rsidRPr="00D02355">
        <w:rPr>
          <w:rFonts w:asciiTheme="majorHAnsi" w:hAnsiTheme="majorHAnsi" w:cstheme="majorHAnsi"/>
        </w:rPr>
        <w:t>including lack of understanding by other staff and students and low institutional voice.</w:t>
      </w:r>
      <w:r w:rsidR="00522324">
        <w:rPr>
          <w:rFonts w:asciiTheme="majorHAnsi" w:hAnsiTheme="majorHAnsi" w:cstheme="majorHAnsi"/>
        </w:rPr>
        <w:t xml:space="preserve"> </w:t>
      </w:r>
      <w:r w:rsidR="006C095A">
        <w:rPr>
          <w:rFonts w:asciiTheme="majorHAnsi" w:hAnsiTheme="majorHAnsi" w:cstheme="majorHAnsi"/>
        </w:rPr>
        <w:t>Third</w:t>
      </w:r>
      <w:r w:rsidR="00522324">
        <w:rPr>
          <w:rFonts w:asciiTheme="majorHAnsi" w:hAnsiTheme="majorHAnsi" w:cstheme="majorHAnsi"/>
        </w:rPr>
        <w:t xml:space="preserve">, </w:t>
      </w:r>
      <w:r w:rsidR="003D54B0">
        <w:rPr>
          <w:rFonts w:asciiTheme="majorHAnsi" w:hAnsiTheme="majorHAnsi" w:cstheme="majorHAnsi"/>
        </w:rPr>
        <w:t>there are</w:t>
      </w:r>
      <w:r w:rsidR="00522324">
        <w:rPr>
          <w:rFonts w:asciiTheme="majorHAnsi" w:hAnsiTheme="majorHAnsi" w:cstheme="majorHAnsi"/>
        </w:rPr>
        <w:t xml:space="preserve"> significant gaps in Operational capacity</w:t>
      </w:r>
      <w:r w:rsidR="001113AE">
        <w:rPr>
          <w:rFonts w:asciiTheme="majorHAnsi" w:hAnsiTheme="majorHAnsi" w:cstheme="majorHAnsi"/>
        </w:rPr>
        <w:t>, in particular lack of resources and the consequences of fragmented governance.</w:t>
      </w:r>
      <w:r w:rsidR="00A85E0E">
        <w:rPr>
          <w:rFonts w:asciiTheme="majorHAnsi" w:hAnsiTheme="majorHAnsi" w:cstheme="majorHAnsi"/>
        </w:rPr>
        <w:t xml:space="preserve"> </w:t>
      </w:r>
      <w:r w:rsidR="008206D2">
        <w:rPr>
          <w:rFonts w:asciiTheme="majorHAnsi" w:hAnsiTheme="majorHAnsi" w:cstheme="majorHAnsi"/>
        </w:rPr>
        <w:t>Fourth</w:t>
      </w:r>
      <w:r w:rsidR="00A85E0E">
        <w:rPr>
          <w:rFonts w:asciiTheme="majorHAnsi" w:hAnsiTheme="majorHAnsi" w:cstheme="majorHAnsi"/>
        </w:rPr>
        <w:t xml:space="preserve">, </w:t>
      </w:r>
      <w:r w:rsidR="00A85E0E">
        <w:rPr>
          <w:rFonts w:asciiTheme="majorHAnsi" w:eastAsia="MS Mincho" w:hAnsiTheme="majorHAnsi" w:cstheme="majorHAnsi"/>
        </w:rPr>
        <w:t xml:space="preserve">low Operational capacity reflects, </w:t>
      </w:r>
      <w:r w:rsidR="00377D78" w:rsidRPr="00930F69">
        <w:rPr>
          <w:rFonts w:asciiTheme="majorHAnsi" w:eastAsia="Times New Roman" w:hAnsiTheme="majorHAnsi" w:cstheme="majorHAnsi"/>
          <w:lang w:eastAsia="en-GB"/>
        </w:rPr>
        <w:t>but can also amplify,</w:t>
      </w:r>
      <w:r w:rsidR="00A85E0E">
        <w:rPr>
          <w:rFonts w:asciiTheme="majorHAnsi" w:eastAsia="Times New Roman" w:hAnsiTheme="majorHAnsi" w:cstheme="majorHAnsi"/>
          <w:lang w:eastAsia="en-GB"/>
        </w:rPr>
        <w:t xml:space="preserve"> low Political capacity. E</w:t>
      </w:r>
      <w:r w:rsidR="001A4767" w:rsidRPr="00930F69">
        <w:rPr>
          <w:rFonts w:asciiTheme="majorHAnsi" w:eastAsia="MS Mincho" w:hAnsiTheme="majorHAnsi" w:cstheme="majorHAnsi"/>
        </w:rPr>
        <w:t xml:space="preserve">xamining </w:t>
      </w:r>
      <w:r w:rsidR="00A85E0E">
        <w:rPr>
          <w:rFonts w:asciiTheme="majorHAnsi" w:eastAsia="MS Mincho" w:hAnsiTheme="majorHAnsi" w:cstheme="majorHAnsi"/>
        </w:rPr>
        <w:t>in detail the</w:t>
      </w:r>
      <w:r w:rsidR="001A4767" w:rsidRPr="00930F69">
        <w:rPr>
          <w:rFonts w:asciiTheme="majorHAnsi" w:eastAsia="MS Mincho" w:hAnsiTheme="majorHAnsi" w:cstheme="majorHAnsi"/>
        </w:rPr>
        <w:t xml:space="preserve"> two-way interaction between Political and Operational incapacities</w:t>
      </w:r>
      <w:r w:rsidR="00335D4F">
        <w:rPr>
          <w:rFonts w:asciiTheme="majorHAnsi" w:eastAsia="MS Mincho" w:hAnsiTheme="majorHAnsi" w:cstheme="majorHAnsi"/>
        </w:rPr>
        <w:t xml:space="preserve"> drew attention to t</w:t>
      </w:r>
      <w:r w:rsidR="001A4767" w:rsidRPr="00930F69">
        <w:rPr>
          <w:rFonts w:asciiTheme="majorHAnsi" w:eastAsia="MS Mincho" w:hAnsiTheme="majorHAnsi" w:cstheme="majorHAnsi"/>
        </w:rPr>
        <w:t>hree particularly important themes</w:t>
      </w:r>
      <w:r w:rsidR="00E16732" w:rsidRPr="00930F69">
        <w:rPr>
          <w:rFonts w:asciiTheme="majorHAnsi" w:eastAsia="MS Mincho" w:hAnsiTheme="majorHAnsi" w:cstheme="majorHAnsi"/>
        </w:rPr>
        <w:t>:</w:t>
      </w:r>
      <w:r w:rsidR="00E16732" w:rsidRPr="00335D4F">
        <w:rPr>
          <w:rFonts w:asciiTheme="majorHAnsi" w:eastAsia="Times New Roman" w:hAnsiTheme="majorHAnsi" w:cstheme="majorHAnsi"/>
          <w:lang w:eastAsia="en-GB"/>
        </w:rPr>
        <w:t xml:space="preserve"> </w:t>
      </w:r>
      <w:r w:rsidR="00335D4F">
        <w:rPr>
          <w:rFonts w:asciiTheme="majorHAnsi" w:eastAsia="Times New Roman" w:hAnsiTheme="majorHAnsi" w:cstheme="majorHAnsi"/>
          <w:lang w:eastAsia="en-GB"/>
        </w:rPr>
        <w:t xml:space="preserve">a) </w:t>
      </w:r>
      <w:r w:rsidR="00E16732" w:rsidRPr="00335D4F">
        <w:rPr>
          <w:rFonts w:asciiTheme="majorHAnsi" w:eastAsia="Times New Roman" w:hAnsiTheme="majorHAnsi" w:cstheme="majorHAnsi"/>
          <w:lang w:eastAsia="en-GB"/>
        </w:rPr>
        <w:t xml:space="preserve">how </w:t>
      </w:r>
      <w:r w:rsidR="00335D4F">
        <w:rPr>
          <w:rFonts w:asciiTheme="majorHAnsi" w:eastAsia="Times New Roman" w:hAnsiTheme="majorHAnsi" w:cstheme="majorHAnsi"/>
          <w:lang w:eastAsia="en-GB"/>
        </w:rPr>
        <w:t>l</w:t>
      </w:r>
      <w:r w:rsidR="00E16732" w:rsidRPr="00335D4F">
        <w:rPr>
          <w:rFonts w:asciiTheme="majorHAnsi" w:eastAsia="Times New Roman" w:hAnsiTheme="majorHAnsi" w:cstheme="majorHAnsi"/>
          <w:lang w:eastAsia="en-GB"/>
        </w:rPr>
        <w:t xml:space="preserve">ow Political </w:t>
      </w:r>
      <w:r w:rsidR="00E16732" w:rsidRPr="00E8376B">
        <w:rPr>
          <w:rFonts w:asciiTheme="majorHAnsi" w:eastAsia="Times New Roman" w:hAnsiTheme="majorHAnsi" w:cstheme="majorHAnsi"/>
          <w:lang w:eastAsia="en-GB"/>
        </w:rPr>
        <w:t xml:space="preserve">capacity manifest in </w:t>
      </w:r>
      <w:r w:rsidR="008206D2" w:rsidRPr="00E8376B">
        <w:rPr>
          <w:rFonts w:asciiTheme="majorHAnsi" w:eastAsia="Times New Roman" w:hAnsiTheme="majorHAnsi" w:cstheme="majorHAnsi"/>
          <w:lang w:eastAsia="en-GB"/>
        </w:rPr>
        <w:t xml:space="preserve">various forms of lack of understanding can lead to </w:t>
      </w:r>
      <w:r w:rsidR="00E16732" w:rsidRPr="00E8376B">
        <w:rPr>
          <w:rFonts w:asciiTheme="majorHAnsi" w:eastAsia="Times New Roman" w:hAnsiTheme="majorHAnsi" w:cstheme="majorHAnsi"/>
          <w:lang w:eastAsia="en-GB"/>
        </w:rPr>
        <w:t>low Operational capacity</w:t>
      </w:r>
      <w:r w:rsidR="00335D4F" w:rsidRPr="00E8376B">
        <w:rPr>
          <w:rFonts w:asciiTheme="majorHAnsi" w:eastAsia="Times New Roman" w:hAnsiTheme="majorHAnsi" w:cstheme="majorHAnsi"/>
          <w:lang w:eastAsia="en-GB"/>
        </w:rPr>
        <w:t>;</w:t>
      </w:r>
      <w:r w:rsidR="00335D4F" w:rsidRPr="00335D4F">
        <w:rPr>
          <w:rFonts w:asciiTheme="majorHAnsi" w:eastAsia="Times New Roman" w:hAnsiTheme="majorHAnsi" w:cstheme="majorHAnsi"/>
          <w:lang w:eastAsia="en-GB"/>
        </w:rPr>
        <w:t xml:space="preserve"> </w:t>
      </w:r>
      <w:r w:rsidR="00335D4F" w:rsidRPr="00224112">
        <w:rPr>
          <w:rFonts w:asciiTheme="majorHAnsi" w:eastAsia="Times New Roman" w:hAnsiTheme="majorHAnsi" w:cstheme="majorHAnsi"/>
          <w:lang w:eastAsia="en-GB"/>
        </w:rPr>
        <w:t xml:space="preserve">b) </w:t>
      </w:r>
      <w:r w:rsidR="00E16732" w:rsidRPr="00224112">
        <w:rPr>
          <w:rFonts w:asciiTheme="majorHAnsi" w:eastAsia="Times New Roman" w:hAnsiTheme="majorHAnsi" w:cstheme="majorHAnsi"/>
          <w:lang w:eastAsia="en-GB"/>
        </w:rPr>
        <w:t xml:space="preserve">how </w:t>
      </w:r>
      <w:r w:rsidR="00335D4F" w:rsidRPr="00224112">
        <w:rPr>
          <w:rFonts w:asciiTheme="majorHAnsi" w:eastAsia="Times New Roman" w:hAnsiTheme="majorHAnsi" w:cstheme="majorHAnsi"/>
          <w:lang w:eastAsia="en-GB"/>
        </w:rPr>
        <w:t>l</w:t>
      </w:r>
      <w:r w:rsidR="00E16732" w:rsidRPr="00224112">
        <w:rPr>
          <w:rFonts w:asciiTheme="majorHAnsi" w:eastAsia="Times New Roman" w:hAnsiTheme="majorHAnsi" w:cstheme="majorHAnsi"/>
          <w:lang w:eastAsia="en-GB"/>
        </w:rPr>
        <w:t xml:space="preserve">ow Operational capacity manifest through </w:t>
      </w:r>
      <w:r w:rsidR="008206D2" w:rsidRPr="00224112">
        <w:rPr>
          <w:rFonts w:asciiTheme="majorHAnsi" w:eastAsia="Times New Roman" w:hAnsiTheme="majorHAnsi" w:cstheme="majorHAnsi"/>
          <w:lang w:eastAsia="en-GB"/>
        </w:rPr>
        <w:t xml:space="preserve">heavy reliance on particular individuals can amplify </w:t>
      </w:r>
      <w:r w:rsidR="00E16732" w:rsidRPr="00224112">
        <w:rPr>
          <w:rFonts w:asciiTheme="majorHAnsi" w:eastAsia="Times New Roman" w:hAnsiTheme="majorHAnsi" w:cstheme="majorHAnsi"/>
          <w:lang w:eastAsia="en-GB"/>
        </w:rPr>
        <w:t>low Political capacity</w:t>
      </w:r>
      <w:r w:rsidR="00335D4F" w:rsidRPr="00224112">
        <w:rPr>
          <w:rFonts w:asciiTheme="majorHAnsi" w:eastAsia="Times New Roman" w:hAnsiTheme="majorHAnsi" w:cstheme="majorHAnsi"/>
          <w:lang w:eastAsia="en-GB"/>
        </w:rPr>
        <w:t>;</w:t>
      </w:r>
      <w:r w:rsidR="00335D4F">
        <w:rPr>
          <w:rFonts w:asciiTheme="majorHAnsi" w:eastAsia="Times New Roman" w:hAnsiTheme="majorHAnsi" w:cstheme="majorHAnsi"/>
          <w:lang w:eastAsia="en-GB"/>
        </w:rPr>
        <w:t xml:space="preserve"> </w:t>
      </w:r>
      <w:r w:rsidR="00335D4F" w:rsidRPr="00BE41A0">
        <w:rPr>
          <w:rFonts w:asciiTheme="majorHAnsi" w:eastAsia="Times New Roman" w:hAnsiTheme="majorHAnsi" w:cstheme="majorHAnsi"/>
          <w:lang w:eastAsia="en-GB"/>
        </w:rPr>
        <w:t>c</w:t>
      </w:r>
      <w:r w:rsidR="00E16732" w:rsidRPr="00BE41A0">
        <w:rPr>
          <w:rFonts w:asciiTheme="majorHAnsi" w:eastAsia="Times New Roman" w:hAnsiTheme="majorHAnsi" w:cstheme="majorHAnsi"/>
          <w:lang w:eastAsia="en-GB"/>
        </w:rPr>
        <w:t>) how</w:t>
      </w:r>
      <w:r w:rsidR="00335D4F" w:rsidRPr="00BE41A0">
        <w:rPr>
          <w:rFonts w:asciiTheme="majorHAnsi" w:eastAsia="Times New Roman" w:hAnsiTheme="majorHAnsi" w:cstheme="majorHAnsi"/>
          <w:lang w:eastAsia="en-GB"/>
        </w:rPr>
        <w:t xml:space="preserve"> l</w:t>
      </w:r>
      <w:r w:rsidR="00E16732" w:rsidRPr="00BE41A0">
        <w:rPr>
          <w:rFonts w:asciiTheme="majorHAnsi" w:eastAsia="Times New Roman" w:hAnsiTheme="majorHAnsi" w:cstheme="majorHAnsi"/>
          <w:lang w:eastAsia="en-GB"/>
        </w:rPr>
        <w:t>ow Operational capacity manifest through fragmentation of PGR governance</w:t>
      </w:r>
      <w:r w:rsidR="00BE41A0" w:rsidRPr="00BE41A0">
        <w:rPr>
          <w:rFonts w:asciiTheme="majorHAnsi" w:eastAsia="Times New Roman" w:hAnsiTheme="majorHAnsi" w:cstheme="majorHAnsi"/>
          <w:lang w:eastAsia="en-GB"/>
        </w:rPr>
        <w:t xml:space="preserve"> can amplify</w:t>
      </w:r>
      <w:r w:rsidR="00E16732" w:rsidRPr="00BE41A0">
        <w:rPr>
          <w:rFonts w:asciiTheme="majorHAnsi" w:eastAsia="Times New Roman" w:hAnsiTheme="majorHAnsi" w:cstheme="majorHAnsi"/>
          <w:lang w:eastAsia="en-GB"/>
        </w:rPr>
        <w:t xml:space="preserve"> </w:t>
      </w:r>
      <w:r w:rsidR="00BE41A0" w:rsidRPr="00BE41A0">
        <w:rPr>
          <w:rFonts w:ascii="Calibri" w:eastAsia="MS Mincho" w:hAnsi="Calibri" w:cs="Calibri"/>
        </w:rPr>
        <w:t>organisational marginalisation, reinforcing low Political capacity</w:t>
      </w:r>
      <w:r w:rsidR="00335D4F" w:rsidRPr="00BE41A0">
        <w:rPr>
          <w:rFonts w:asciiTheme="majorHAnsi" w:eastAsia="Times New Roman" w:hAnsiTheme="majorHAnsi" w:cstheme="majorHAnsi"/>
          <w:lang w:eastAsia="en-GB"/>
        </w:rPr>
        <w:t>.</w:t>
      </w:r>
    </w:p>
    <w:p w14:paraId="4F5B974E" w14:textId="6150C49A" w:rsidR="00B30C72" w:rsidRDefault="006541CE" w:rsidP="00903507">
      <w:pPr>
        <w:ind w:firstLine="720"/>
        <w:rPr>
          <w:rFonts w:asciiTheme="majorHAnsi" w:hAnsiTheme="majorHAnsi" w:cstheme="majorHAnsi"/>
        </w:rPr>
      </w:pPr>
      <w:r>
        <w:rPr>
          <w:rFonts w:asciiTheme="majorHAnsi" w:hAnsiTheme="majorHAnsi" w:cstheme="majorHAnsi"/>
        </w:rPr>
        <w:t>The</w:t>
      </w:r>
      <w:r w:rsidR="00D530AB">
        <w:rPr>
          <w:rFonts w:asciiTheme="majorHAnsi" w:hAnsiTheme="majorHAnsi" w:cstheme="majorHAnsi"/>
        </w:rPr>
        <w:t xml:space="preserve"> </w:t>
      </w:r>
      <w:r w:rsidR="00D530AB" w:rsidRPr="004A3D80">
        <w:rPr>
          <w:rFonts w:asciiTheme="majorHAnsi" w:hAnsiTheme="majorHAnsi" w:cstheme="majorHAnsi"/>
        </w:rPr>
        <w:t>implications of “the uncertain, in-between position of postgraduate learners” (Morris 2021: 131)</w:t>
      </w:r>
      <w:r w:rsidR="00D530AB">
        <w:rPr>
          <w:rFonts w:asciiTheme="majorHAnsi" w:hAnsiTheme="majorHAnsi" w:cstheme="majorHAnsi"/>
        </w:rPr>
        <w:t xml:space="preserve">, especially the </w:t>
      </w:r>
      <w:r w:rsidRPr="004A3D80">
        <w:rPr>
          <w:rFonts w:asciiTheme="majorHAnsi" w:hAnsiTheme="majorHAnsi" w:cstheme="majorHAnsi"/>
        </w:rPr>
        <w:t xml:space="preserve">role of political and social structures and institutions on </w:t>
      </w:r>
      <w:r>
        <w:rPr>
          <w:rFonts w:asciiTheme="majorHAnsi" w:hAnsiTheme="majorHAnsi" w:cstheme="majorHAnsi"/>
        </w:rPr>
        <w:t xml:space="preserve">direct </w:t>
      </w:r>
      <w:r w:rsidRPr="004A3D80">
        <w:rPr>
          <w:rFonts w:asciiTheme="majorHAnsi" w:hAnsiTheme="majorHAnsi" w:cstheme="majorHAnsi"/>
        </w:rPr>
        <w:t xml:space="preserve">“experiences </w:t>
      </w:r>
      <w:r>
        <w:rPr>
          <w:rFonts w:asciiTheme="majorHAnsi" w:hAnsiTheme="majorHAnsi" w:cstheme="majorHAnsi"/>
        </w:rPr>
        <w:t>of belonging and non-belonging” (Morris 2021: 131) and the consequences of these for peoples’ lives</w:t>
      </w:r>
      <w:r w:rsidR="00D530AB">
        <w:rPr>
          <w:rFonts w:asciiTheme="majorHAnsi" w:hAnsiTheme="majorHAnsi" w:cstheme="majorHAnsi"/>
        </w:rPr>
        <w:t>,</w:t>
      </w:r>
      <w:r>
        <w:rPr>
          <w:rFonts w:asciiTheme="majorHAnsi" w:hAnsiTheme="majorHAnsi" w:cstheme="majorHAnsi"/>
        </w:rPr>
        <w:t xml:space="preserve"> are well-explored by Morris. </w:t>
      </w:r>
      <w:r>
        <w:rPr>
          <w:rFonts w:asciiTheme="majorHAnsi" w:hAnsiTheme="majorHAnsi" w:cstheme="majorHAnsi"/>
        </w:rPr>
        <w:lastRenderedPageBreak/>
        <w:t>This</w:t>
      </w:r>
      <w:r w:rsidR="004A3D80">
        <w:rPr>
          <w:rFonts w:asciiTheme="majorHAnsi" w:hAnsiTheme="majorHAnsi" w:cstheme="majorHAnsi"/>
        </w:rPr>
        <w:t xml:space="preserve"> article has drawn </w:t>
      </w:r>
      <w:r w:rsidR="004A3D80" w:rsidRPr="004A3D80">
        <w:rPr>
          <w:rFonts w:asciiTheme="majorHAnsi" w:hAnsiTheme="majorHAnsi" w:cstheme="majorHAnsi"/>
        </w:rPr>
        <w:t xml:space="preserve">out in detail some of the implications </w:t>
      </w:r>
      <w:r w:rsidR="00D530AB">
        <w:rPr>
          <w:rFonts w:asciiTheme="majorHAnsi" w:hAnsiTheme="majorHAnsi" w:cstheme="majorHAnsi"/>
        </w:rPr>
        <w:t>for</w:t>
      </w:r>
      <w:r w:rsidR="00CB1826">
        <w:rPr>
          <w:rFonts w:asciiTheme="majorHAnsi" w:hAnsiTheme="majorHAnsi" w:cstheme="majorHAnsi"/>
        </w:rPr>
        <w:t xml:space="preserve"> </w:t>
      </w:r>
      <w:r w:rsidR="004A3D80">
        <w:rPr>
          <w:rFonts w:asciiTheme="majorHAnsi" w:hAnsiTheme="majorHAnsi" w:cstheme="majorHAnsi"/>
        </w:rPr>
        <w:t xml:space="preserve">the ways that support for PGR wellbeing is designed and implemented. </w:t>
      </w:r>
    </w:p>
    <w:p w14:paraId="10AB5E35" w14:textId="20ACE853" w:rsidR="00CB1826" w:rsidRDefault="00215768" w:rsidP="00903507">
      <w:pPr>
        <w:ind w:firstLine="720"/>
        <w:rPr>
          <w:rFonts w:asciiTheme="majorHAnsi" w:eastAsia="Calibri" w:hAnsiTheme="majorHAnsi" w:cstheme="majorHAnsi"/>
        </w:rPr>
      </w:pPr>
      <w:r>
        <w:rPr>
          <w:rFonts w:asciiTheme="majorHAnsi" w:hAnsiTheme="majorHAnsi" w:cstheme="majorHAnsi"/>
        </w:rPr>
        <w:t xml:space="preserve">The </w:t>
      </w:r>
      <w:r w:rsidR="00DB6A03">
        <w:rPr>
          <w:rFonts w:asciiTheme="majorHAnsi" w:hAnsiTheme="majorHAnsi" w:cstheme="majorHAnsi"/>
        </w:rPr>
        <w:t xml:space="preserve">policy capacity analysis has helped clarify some of the </w:t>
      </w:r>
      <w:r>
        <w:rPr>
          <w:rFonts w:asciiTheme="majorHAnsi" w:hAnsiTheme="majorHAnsi" w:cstheme="majorHAnsi"/>
        </w:rPr>
        <w:t xml:space="preserve">multi-dimensional </w:t>
      </w:r>
      <w:r w:rsidR="00DB6A03">
        <w:rPr>
          <w:rFonts w:asciiTheme="majorHAnsi" w:hAnsiTheme="majorHAnsi" w:cstheme="majorHAnsi"/>
        </w:rPr>
        <w:t>mechanisms surrounding challenges in supporting PGR wellbeing</w:t>
      </w:r>
      <w:r w:rsidR="00C32C23">
        <w:rPr>
          <w:rFonts w:asciiTheme="majorHAnsi" w:hAnsiTheme="majorHAnsi" w:cstheme="majorHAnsi"/>
        </w:rPr>
        <w:t>,</w:t>
      </w:r>
      <w:r w:rsidR="00DB6A03">
        <w:rPr>
          <w:rFonts w:asciiTheme="majorHAnsi" w:hAnsiTheme="majorHAnsi" w:cstheme="majorHAnsi"/>
        </w:rPr>
        <w:t xml:space="preserve"> such as </w:t>
      </w:r>
      <w:r w:rsidR="004A3D80">
        <w:rPr>
          <w:rFonts w:asciiTheme="majorHAnsi" w:hAnsiTheme="majorHAnsi" w:cstheme="majorHAnsi"/>
        </w:rPr>
        <w:t>encountering paradoxes</w:t>
      </w:r>
      <w:r w:rsidR="00DB6A03">
        <w:rPr>
          <w:rFonts w:asciiTheme="majorHAnsi" w:hAnsiTheme="majorHAnsi" w:cstheme="majorHAnsi"/>
        </w:rPr>
        <w:t xml:space="preserve"> in administrative processes, and allocation of resources such as funding, physical space and administrative support (see Morris 2021).</w:t>
      </w:r>
      <w:r w:rsidR="00C32C23">
        <w:rPr>
          <w:rFonts w:asciiTheme="majorHAnsi" w:hAnsiTheme="majorHAnsi" w:cstheme="majorHAnsi"/>
        </w:rPr>
        <w:t xml:space="preserve"> The experiences of implementers of PGR support projects</w:t>
      </w:r>
      <w:r w:rsidR="00CE6841">
        <w:rPr>
          <w:rFonts w:asciiTheme="majorHAnsi" w:hAnsiTheme="majorHAnsi" w:cstheme="majorHAnsi"/>
        </w:rPr>
        <w:t>,</w:t>
      </w:r>
      <w:r w:rsidR="00C32C23">
        <w:rPr>
          <w:rFonts w:asciiTheme="majorHAnsi" w:hAnsiTheme="majorHAnsi" w:cstheme="majorHAnsi"/>
        </w:rPr>
        <w:t xml:space="preserve"> </w:t>
      </w:r>
      <w:r w:rsidR="00ED5D18">
        <w:rPr>
          <w:rFonts w:asciiTheme="majorHAnsi" w:eastAsia="Calibri" w:hAnsiTheme="majorHAnsi" w:cstheme="majorHAnsi"/>
        </w:rPr>
        <w:t xml:space="preserve">including multiple different identities and pressures, precarity, emotional labour, the importance of </w:t>
      </w:r>
      <w:r w:rsidR="00591719">
        <w:rPr>
          <w:rFonts w:asciiTheme="majorHAnsi" w:eastAsia="Calibri" w:hAnsiTheme="majorHAnsi" w:cstheme="majorHAnsi"/>
        </w:rPr>
        <w:t xml:space="preserve">certain key individuals, and disjoints between individual efforts and institutional changes </w:t>
      </w:r>
      <w:r w:rsidR="00591719">
        <w:rPr>
          <w:rFonts w:asciiTheme="majorHAnsi" w:hAnsiTheme="majorHAnsi" w:cstheme="majorHAnsi"/>
        </w:rPr>
        <w:t>(</w:t>
      </w:r>
      <w:r w:rsidR="00591719" w:rsidRPr="004B2977">
        <w:rPr>
          <w:rFonts w:asciiTheme="majorHAnsi" w:eastAsia="Calibri" w:hAnsiTheme="majorHAnsi" w:cstheme="majorHAnsi"/>
        </w:rPr>
        <w:t>Valeix et al 2021</w:t>
      </w:r>
      <w:r w:rsidR="00591719">
        <w:rPr>
          <w:rFonts w:asciiTheme="majorHAnsi" w:eastAsia="Calibri" w:hAnsiTheme="majorHAnsi" w:cstheme="majorHAnsi"/>
        </w:rPr>
        <w:t>) resonate clearly</w:t>
      </w:r>
      <w:r w:rsidR="00CE6841">
        <w:rPr>
          <w:rFonts w:asciiTheme="majorHAnsi" w:eastAsia="Calibri" w:hAnsiTheme="majorHAnsi" w:cstheme="majorHAnsi"/>
        </w:rPr>
        <w:t>,</w:t>
      </w:r>
      <w:r w:rsidR="00591719">
        <w:rPr>
          <w:rFonts w:asciiTheme="majorHAnsi" w:eastAsia="Calibri" w:hAnsiTheme="majorHAnsi" w:cstheme="majorHAnsi"/>
        </w:rPr>
        <w:t xml:space="preserve"> and have multiple impacts on the ways in</w:t>
      </w:r>
      <w:r w:rsidR="00326CE4">
        <w:rPr>
          <w:rFonts w:asciiTheme="majorHAnsi" w:eastAsia="Calibri" w:hAnsiTheme="majorHAnsi" w:cstheme="majorHAnsi"/>
        </w:rPr>
        <w:t>tervention</w:t>
      </w:r>
      <w:r w:rsidR="00591719">
        <w:rPr>
          <w:rFonts w:asciiTheme="majorHAnsi" w:eastAsia="Calibri" w:hAnsiTheme="majorHAnsi" w:cstheme="majorHAnsi"/>
        </w:rPr>
        <w:t>s are designed and implemented.</w:t>
      </w:r>
    </w:p>
    <w:p w14:paraId="505EBAF8" w14:textId="77777777" w:rsidR="00ED0D0E" w:rsidRDefault="003F4344" w:rsidP="00ED0D0E">
      <w:pPr>
        <w:pStyle w:val="CommentText"/>
        <w:ind w:firstLine="720"/>
        <w:rPr>
          <w:rFonts w:asciiTheme="majorHAnsi" w:eastAsia="Times New Roman" w:hAnsiTheme="majorHAnsi" w:cstheme="majorHAnsi"/>
          <w:lang w:eastAsia="en-GB"/>
        </w:rPr>
      </w:pPr>
      <w:r>
        <w:rPr>
          <w:rFonts w:asciiTheme="majorHAnsi" w:hAnsiTheme="majorHAnsi" w:cstheme="majorHAnsi"/>
        </w:rPr>
        <w:t xml:space="preserve">What does this mean for </w:t>
      </w:r>
      <w:r w:rsidRPr="00C71A13">
        <w:rPr>
          <w:rFonts w:asciiTheme="majorHAnsi" w:hAnsiTheme="majorHAnsi" w:cstheme="majorHAnsi"/>
        </w:rPr>
        <w:t>research on political analysis of wellbeing</w:t>
      </w:r>
      <w:r w:rsidR="009734B9">
        <w:rPr>
          <w:rFonts w:asciiTheme="majorHAnsi" w:hAnsiTheme="majorHAnsi" w:cstheme="majorHAnsi"/>
        </w:rPr>
        <w:t xml:space="preserve"> more widely</w:t>
      </w:r>
      <w:r w:rsidR="00720D7B" w:rsidRPr="00C71A13">
        <w:rPr>
          <w:rFonts w:asciiTheme="majorHAnsi" w:hAnsiTheme="majorHAnsi" w:cstheme="majorHAnsi"/>
        </w:rPr>
        <w:t xml:space="preserve">? Policy capacity </w:t>
      </w:r>
      <w:r w:rsidR="00821E1D">
        <w:rPr>
          <w:rFonts w:asciiTheme="majorHAnsi" w:hAnsiTheme="majorHAnsi" w:cstheme="majorHAnsi"/>
        </w:rPr>
        <w:t>ha</w:t>
      </w:r>
      <w:r w:rsidR="00720D7B" w:rsidRPr="00C71A13">
        <w:rPr>
          <w:rFonts w:asciiTheme="majorHAnsi" w:hAnsiTheme="majorHAnsi" w:cstheme="majorHAnsi"/>
        </w:rPr>
        <w:t xml:space="preserve">s </w:t>
      </w:r>
      <w:r w:rsidR="00821E1D">
        <w:rPr>
          <w:rFonts w:asciiTheme="majorHAnsi" w:hAnsiTheme="majorHAnsi" w:cstheme="majorHAnsi"/>
        </w:rPr>
        <w:t xml:space="preserve">proved </w:t>
      </w:r>
      <w:r w:rsidR="00720D7B" w:rsidRPr="00C71A13">
        <w:rPr>
          <w:rFonts w:asciiTheme="majorHAnsi" w:hAnsiTheme="majorHAnsi" w:cstheme="majorHAnsi"/>
        </w:rPr>
        <w:t xml:space="preserve">a useful way of drawing out </w:t>
      </w:r>
      <w:r w:rsidR="00C71A13" w:rsidRPr="00C71A13">
        <w:rPr>
          <w:rFonts w:asciiTheme="majorHAnsi" w:hAnsiTheme="majorHAnsi" w:cstheme="majorHAnsi"/>
        </w:rPr>
        <w:t xml:space="preserve">multiple dimensions associated with "barriers to policy change, the most effective policy instruments ... and the challenges of </w:t>
      </w:r>
      <w:r w:rsidR="00C71A13" w:rsidRPr="008F006B">
        <w:rPr>
          <w:rFonts w:asciiTheme="majorHAnsi" w:hAnsiTheme="majorHAnsi" w:cstheme="majorHAnsi"/>
        </w:rPr>
        <w:t>implementation" (Bache and Scott 2018</w:t>
      </w:r>
      <w:r w:rsidR="0078060E">
        <w:rPr>
          <w:rFonts w:asciiTheme="majorHAnsi" w:hAnsiTheme="majorHAnsi" w:cstheme="majorHAnsi"/>
        </w:rPr>
        <w:t>:</w:t>
      </w:r>
      <w:r w:rsidR="00C71A13" w:rsidRPr="008F006B">
        <w:rPr>
          <w:rFonts w:asciiTheme="majorHAnsi" w:hAnsiTheme="majorHAnsi" w:cstheme="majorHAnsi"/>
        </w:rPr>
        <w:t xml:space="preserve"> 7), </w:t>
      </w:r>
      <w:r w:rsidR="00842791">
        <w:rPr>
          <w:rFonts w:asciiTheme="majorHAnsi" w:hAnsiTheme="majorHAnsi" w:cstheme="majorHAnsi"/>
        </w:rPr>
        <w:t xml:space="preserve">including </w:t>
      </w:r>
      <w:r w:rsidR="00C71A13" w:rsidRPr="008F006B">
        <w:rPr>
          <w:rFonts w:asciiTheme="majorHAnsi" w:hAnsiTheme="majorHAnsi" w:cstheme="majorHAnsi"/>
        </w:rPr>
        <w:t>the "different capabilities of various actors to access and affect" interventions (Bache and Scott 2018</w:t>
      </w:r>
      <w:r w:rsidR="0078060E">
        <w:rPr>
          <w:rFonts w:asciiTheme="majorHAnsi" w:hAnsiTheme="majorHAnsi" w:cstheme="majorHAnsi"/>
        </w:rPr>
        <w:t xml:space="preserve">: </w:t>
      </w:r>
      <w:r w:rsidR="00C71A13" w:rsidRPr="008F006B">
        <w:rPr>
          <w:rFonts w:asciiTheme="majorHAnsi" w:hAnsiTheme="majorHAnsi" w:cstheme="majorHAnsi"/>
        </w:rPr>
        <w:t xml:space="preserve">7; Brough et al 2021; Searle et al 2021). </w:t>
      </w:r>
      <w:r w:rsidR="0086079B">
        <w:rPr>
          <w:rFonts w:asciiTheme="majorHAnsi" w:hAnsiTheme="majorHAnsi" w:cstheme="majorHAnsi"/>
        </w:rPr>
        <w:t xml:space="preserve">While the </w:t>
      </w:r>
      <w:r w:rsidR="00B41623">
        <w:rPr>
          <w:rFonts w:asciiTheme="majorHAnsi" w:hAnsiTheme="majorHAnsi" w:cstheme="majorHAnsi"/>
        </w:rPr>
        <w:t>framework</w:t>
      </w:r>
      <w:r w:rsidR="0086079B">
        <w:rPr>
          <w:rFonts w:asciiTheme="majorHAnsi" w:hAnsiTheme="majorHAnsi" w:cstheme="majorHAnsi"/>
        </w:rPr>
        <w:t xml:space="preserve"> presented </w:t>
      </w:r>
      <w:r w:rsidR="008F3022">
        <w:rPr>
          <w:rFonts w:asciiTheme="majorHAnsi" w:hAnsiTheme="majorHAnsi" w:cstheme="majorHAnsi"/>
        </w:rPr>
        <w:t xml:space="preserve">is quite simple (compare, for </w:t>
      </w:r>
      <w:r w:rsidR="0086079B">
        <w:rPr>
          <w:rFonts w:asciiTheme="majorHAnsi" w:hAnsiTheme="majorHAnsi" w:cstheme="majorHAnsi"/>
        </w:rPr>
        <w:t xml:space="preserve">example, with the theoretical developments in </w:t>
      </w:r>
      <w:r w:rsidR="00B41623">
        <w:rPr>
          <w:rFonts w:asciiTheme="majorHAnsi" w:hAnsiTheme="majorHAnsi" w:cstheme="majorHAnsi"/>
        </w:rPr>
        <w:t xml:space="preserve">Brenton et al </w:t>
      </w:r>
      <w:r w:rsidR="0086079B">
        <w:rPr>
          <w:rFonts w:asciiTheme="majorHAnsi" w:hAnsiTheme="majorHAnsi" w:cstheme="majorHAnsi"/>
        </w:rPr>
        <w:t>(</w:t>
      </w:r>
      <w:r w:rsidR="00B41623">
        <w:rPr>
          <w:rFonts w:asciiTheme="majorHAnsi" w:hAnsiTheme="majorHAnsi" w:cstheme="majorHAnsi"/>
        </w:rPr>
        <w:t>2023</w:t>
      </w:r>
      <w:r w:rsidR="0086079B">
        <w:rPr>
          <w:rFonts w:asciiTheme="majorHAnsi" w:hAnsiTheme="majorHAnsi" w:cstheme="majorHAnsi"/>
        </w:rPr>
        <w:t xml:space="preserve">), </w:t>
      </w:r>
      <w:r w:rsidR="006A3DE2">
        <w:rPr>
          <w:rFonts w:asciiTheme="majorHAnsi" w:hAnsiTheme="majorHAnsi" w:cstheme="majorHAnsi"/>
        </w:rPr>
        <w:t xml:space="preserve">and </w:t>
      </w:r>
      <w:r w:rsidR="000A38C3">
        <w:rPr>
          <w:rFonts w:asciiTheme="majorHAnsi" w:hAnsiTheme="majorHAnsi" w:cstheme="majorHAnsi"/>
        </w:rPr>
        <w:t>employ</w:t>
      </w:r>
      <w:r w:rsidR="006A3DE2">
        <w:rPr>
          <w:rFonts w:asciiTheme="majorHAnsi" w:hAnsiTheme="majorHAnsi" w:cstheme="majorHAnsi"/>
        </w:rPr>
        <w:t xml:space="preserve">s very specific aspects of the political, </w:t>
      </w:r>
      <w:r w:rsidR="0086079B">
        <w:rPr>
          <w:rFonts w:asciiTheme="majorHAnsi" w:hAnsiTheme="majorHAnsi" w:cstheme="majorHAnsi"/>
        </w:rPr>
        <w:t>a</w:t>
      </w:r>
      <w:r w:rsidR="00821E1D" w:rsidRPr="008F006B">
        <w:rPr>
          <w:rFonts w:asciiTheme="majorHAnsi" w:hAnsiTheme="majorHAnsi" w:cstheme="majorHAnsi"/>
        </w:rPr>
        <w:t xml:space="preserve">pplying a policy capacity analysis to a case </w:t>
      </w:r>
      <w:r w:rsidR="005970BC">
        <w:rPr>
          <w:rFonts w:asciiTheme="majorHAnsi" w:hAnsiTheme="majorHAnsi" w:cstheme="majorHAnsi"/>
        </w:rPr>
        <w:t>with many</w:t>
      </w:r>
      <w:r w:rsidR="00821E1D" w:rsidRPr="008F006B">
        <w:rPr>
          <w:rFonts w:asciiTheme="majorHAnsi" w:hAnsiTheme="majorHAnsi" w:cstheme="majorHAnsi"/>
        </w:rPr>
        <w:t xml:space="preserve"> national policy initiatives and institutional priorities and projects, </w:t>
      </w:r>
      <w:r w:rsidR="00BD685E" w:rsidRPr="008F006B">
        <w:rPr>
          <w:rFonts w:asciiTheme="majorHAnsi" w:hAnsiTheme="majorHAnsi" w:cstheme="majorHAnsi"/>
        </w:rPr>
        <w:t xml:space="preserve">can help </w:t>
      </w:r>
      <w:r w:rsidR="005F26E0" w:rsidRPr="008F006B">
        <w:rPr>
          <w:rFonts w:asciiTheme="majorHAnsi" w:hAnsiTheme="majorHAnsi" w:cstheme="majorHAnsi"/>
        </w:rPr>
        <w:t>understand why interventions to support wellbeing can struggle to have impact</w:t>
      </w:r>
      <w:r w:rsidR="00BD685E" w:rsidRPr="008F006B">
        <w:rPr>
          <w:rFonts w:asciiTheme="majorHAnsi" w:hAnsiTheme="majorHAnsi" w:cstheme="majorHAnsi"/>
        </w:rPr>
        <w:t xml:space="preserve">. In the case of PGRs in HE, </w:t>
      </w:r>
      <w:r w:rsidR="00930F69" w:rsidRPr="008F006B">
        <w:rPr>
          <w:rFonts w:asciiTheme="majorHAnsi" w:eastAsia="Times New Roman" w:hAnsiTheme="majorHAnsi" w:cstheme="majorHAnsi"/>
          <w:lang w:eastAsia="en-GB"/>
        </w:rPr>
        <w:t>th</w:t>
      </w:r>
      <w:r w:rsidR="00B64B77" w:rsidRPr="008F006B">
        <w:rPr>
          <w:rFonts w:asciiTheme="majorHAnsi" w:eastAsia="Times New Roman" w:hAnsiTheme="majorHAnsi" w:cstheme="majorHAnsi"/>
          <w:lang w:eastAsia="en-GB"/>
        </w:rPr>
        <w:t>e implications of</w:t>
      </w:r>
      <w:r w:rsidR="00EE5AB8" w:rsidRPr="008F006B">
        <w:rPr>
          <w:rFonts w:asciiTheme="majorHAnsi" w:eastAsia="Times New Roman" w:hAnsiTheme="majorHAnsi" w:cstheme="majorHAnsi"/>
          <w:lang w:eastAsia="en-GB"/>
        </w:rPr>
        <w:t xml:space="preserve"> status ambiguity </w:t>
      </w:r>
      <w:r w:rsidR="00930F69" w:rsidRPr="008F006B">
        <w:rPr>
          <w:rFonts w:asciiTheme="majorHAnsi" w:eastAsia="Times New Roman" w:hAnsiTheme="majorHAnsi" w:cstheme="majorHAnsi"/>
          <w:lang w:eastAsia="en-GB"/>
        </w:rPr>
        <w:t>affect interventions in some important</w:t>
      </w:r>
      <w:r w:rsidR="00D41CFA" w:rsidRPr="008F006B">
        <w:rPr>
          <w:rFonts w:asciiTheme="majorHAnsi" w:eastAsia="Times New Roman" w:hAnsiTheme="majorHAnsi" w:cstheme="majorHAnsi"/>
          <w:lang w:eastAsia="en-GB"/>
        </w:rPr>
        <w:t xml:space="preserve"> </w:t>
      </w:r>
      <w:r w:rsidR="00B64B77" w:rsidRPr="008F006B">
        <w:rPr>
          <w:rFonts w:asciiTheme="majorHAnsi" w:eastAsia="Times New Roman" w:hAnsiTheme="majorHAnsi" w:cstheme="majorHAnsi"/>
          <w:lang w:eastAsia="en-GB"/>
        </w:rPr>
        <w:t xml:space="preserve">complex </w:t>
      </w:r>
      <w:r w:rsidR="00EE5AB8" w:rsidRPr="008F006B">
        <w:rPr>
          <w:rFonts w:asciiTheme="majorHAnsi" w:eastAsia="Times New Roman" w:hAnsiTheme="majorHAnsi" w:cstheme="majorHAnsi"/>
          <w:lang w:eastAsia="en-GB"/>
        </w:rPr>
        <w:t xml:space="preserve">ways. In particular, the analysis suggests it is not likely that an institution or individual deciding to resolve PGR status ambiguity one way or the other will suddenly improve PGR wellbeing. Resolving the </w:t>
      </w:r>
      <w:r w:rsidR="00F050AD" w:rsidRPr="008F006B">
        <w:rPr>
          <w:rFonts w:asciiTheme="majorHAnsi" w:eastAsia="Times New Roman" w:hAnsiTheme="majorHAnsi" w:cstheme="majorHAnsi"/>
          <w:lang w:eastAsia="en-GB"/>
        </w:rPr>
        <w:t xml:space="preserve">‘uncertain’ </w:t>
      </w:r>
      <w:r w:rsidR="00EE5AB8" w:rsidRPr="008F006B">
        <w:rPr>
          <w:rFonts w:asciiTheme="majorHAnsi" w:eastAsia="Times New Roman" w:hAnsiTheme="majorHAnsi" w:cstheme="majorHAnsi"/>
          <w:lang w:eastAsia="en-GB"/>
        </w:rPr>
        <w:t>will</w:t>
      </w:r>
      <w:r w:rsidR="00F050AD" w:rsidRPr="008F006B">
        <w:rPr>
          <w:rFonts w:asciiTheme="majorHAnsi" w:eastAsia="Times New Roman" w:hAnsiTheme="majorHAnsi" w:cstheme="majorHAnsi"/>
          <w:lang w:eastAsia="en-GB"/>
        </w:rPr>
        <w:t xml:space="preserve"> not necessarily resolve the ‘in-between’. R</w:t>
      </w:r>
      <w:r w:rsidR="00005BFF" w:rsidRPr="008F006B">
        <w:rPr>
          <w:rFonts w:asciiTheme="majorHAnsi" w:eastAsia="Times New Roman" w:hAnsiTheme="majorHAnsi" w:cstheme="majorHAnsi"/>
          <w:lang w:eastAsia="en-GB"/>
        </w:rPr>
        <w:t xml:space="preserve">ather, </w:t>
      </w:r>
      <w:r w:rsidR="00EE5AB8" w:rsidRPr="008F006B">
        <w:rPr>
          <w:rFonts w:asciiTheme="majorHAnsi" w:eastAsia="Times New Roman" w:hAnsiTheme="majorHAnsi" w:cstheme="majorHAnsi"/>
          <w:lang w:eastAsia="en-GB"/>
        </w:rPr>
        <w:t xml:space="preserve">paying attention to </w:t>
      </w:r>
      <w:r w:rsidR="00D41CFA" w:rsidRPr="008F006B">
        <w:rPr>
          <w:rFonts w:asciiTheme="majorHAnsi" w:eastAsia="Times New Roman" w:hAnsiTheme="majorHAnsi" w:cstheme="majorHAnsi"/>
          <w:lang w:eastAsia="en-GB"/>
        </w:rPr>
        <w:t xml:space="preserve">the </w:t>
      </w:r>
      <w:r w:rsidR="00EE5AB8" w:rsidRPr="008F006B">
        <w:rPr>
          <w:rFonts w:asciiTheme="majorHAnsi" w:eastAsia="Times New Roman" w:hAnsiTheme="majorHAnsi" w:cstheme="majorHAnsi"/>
          <w:lang w:eastAsia="en-GB"/>
        </w:rPr>
        <w:t>complex c</w:t>
      </w:r>
      <w:r w:rsidR="00B64B77" w:rsidRPr="008F006B">
        <w:rPr>
          <w:rFonts w:asciiTheme="majorHAnsi" w:eastAsia="Times New Roman" w:hAnsiTheme="majorHAnsi" w:cstheme="majorHAnsi"/>
          <w:lang w:eastAsia="en-GB"/>
        </w:rPr>
        <w:t>onsequences</w:t>
      </w:r>
      <w:r w:rsidR="00EE5AB8" w:rsidRPr="008F006B">
        <w:rPr>
          <w:rFonts w:asciiTheme="majorHAnsi" w:eastAsia="Times New Roman" w:hAnsiTheme="majorHAnsi" w:cstheme="majorHAnsi"/>
          <w:lang w:eastAsia="en-GB"/>
        </w:rPr>
        <w:t xml:space="preserve"> of policy directions, </w:t>
      </w:r>
      <w:r w:rsidR="00EE5AB8" w:rsidRPr="002F32A6">
        <w:rPr>
          <w:rFonts w:asciiTheme="majorHAnsi" w:eastAsia="Times New Roman" w:hAnsiTheme="majorHAnsi" w:cstheme="majorHAnsi"/>
          <w:lang w:eastAsia="en-GB"/>
        </w:rPr>
        <w:t xml:space="preserve">and </w:t>
      </w:r>
      <w:r w:rsidR="002F31E6">
        <w:rPr>
          <w:rFonts w:asciiTheme="majorHAnsi" w:eastAsia="Times New Roman" w:hAnsiTheme="majorHAnsi" w:cstheme="majorHAnsi"/>
          <w:lang w:eastAsia="en-GB"/>
        </w:rPr>
        <w:t xml:space="preserve">minimising organisational marginalisation </w:t>
      </w:r>
      <w:r w:rsidR="002B7A2D" w:rsidRPr="008F006B">
        <w:rPr>
          <w:rFonts w:asciiTheme="majorHAnsi" w:eastAsia="Times New Roman" w:hAnsiTheme="majorHAnsi" w:cstheme="majorHAnsi"/>
          <w:lang w:eastAsia="en-GB"/>
        </w:rPr>
        <w:t xml:space="preserve">is </w:t>
      </w:r>
      <w:r w:rsidR="00EE5AB8" w:rsidRPr="008F006B">
        <w:rPr>
          <w:rFonts w:asciiTheme="majorHAnsi" w:eastAsia="Times New Roman" w:hAnsiTheme="majorHAnsi" w:cstheme="majorHAnsi"/>
          <w:lang w:eastAsia="en-GB"/>
        </w:rPr>
        <w:t xml:space="preserve">likely </w:t>
      </w:r>
      <w:proofErr w:type="gramStart"/>
      <w:r w:rsidR="00EE5AB8" w:rsidRPr="008F006B">
        <w:rPr>
          <w:rFonts w:asciiTheme="majorHAnsi" w:eastAsia="Times New Roman" w:hAnsiTheme="majorHAnsi" w:cstheme="majorHAnsi"/>
          <w:lang w:eastAsia="en-GB"/>
        </w:rPr>
        <w:t>have</w:t>
      </w:r>
      <w:proofErr w:type="gramEnd"/>
      <w:r w:rsidR="00EE5AB8" w:rsidRPr="008F006B">
        <w:rPr>
          <w:rFonts w:asciiTheme="majorHAnsi" w:eastAsia="Times New Roman" w:hAnsiTheme="majorHAnsi" w:cstheme="majorHAnsi"/>
          <w:lang w:eastAsia="en-GB"/>
        </w:rPr>
        <w:t xml:space="preserve"> more success</w:t>
      </w:r>
      <w:r w:rsidR="002B7A2D" w:rsidRPr="008F006B">
        <w:rPr>
          <w:rFonts w:asciiTheme="majorHAnsi" w:eastAsia="Times New Roman" w:hAnsiTheme="majorHAnsi" w:cstheme="majorHAnsi"/>
          <w:lang w:eastAsia="en-GB"/>
        </w:rPr>
        <w:t>.</w:t>
      </w:r>
      <w:r w:rsidR="00C110AE">
        <w:rPr>
          <w:rFonts w:asciiTheme="majorHAnsi" w:eastAsia="Times New Roman" w:hAnsiTheme="majorHAnsi" w:cstheme="majorHAnsi"/>
          <w:lang w:eastAsia="en-GB"/>
        </w:rPr>
        <w:t xml:space="preserve"> This is of course</w:t>
      </w:r>
      <w:r w:rsidR="00C110AE" w:rsidRPr="008F006B">
        <w:rPr>
          <w:rFonts w:asciiTheme="majorHAnsi" w:eastAsia="Times New Roman" w:hAnsiTheme="majorHAnsi" w:cstheme="majorHAnsi"/>
          <w:lang w:eastAsia="en-GB"/>
        </w:rPr>
        <w:t xml:space="preserve"> a challenging prospect</w:t>
      </w:r>
      <w:r w:rsidR="00C110AE">
        <w:rPr>
          <w:rFonts w:asciiTheme="majorHAnsi" w:eastAsia="Times New Roman" w:hAnsiTheme="majorHAnsi" w:cstheme="majorHAnsi"/>
          <w:lang w:eastAsia="en-GB"/>
        </w:rPr>
        <w:t>.</w:t>
      </w:r>
    </w:p>
    <w:p w14:paraId="0B474C14" w14:textId="743F0B45" w:rsidR="00D43410" w:rsidRPr="008F006B" w:rsidRDefault="00C41105" w:rsidP="00ED0D0E">
      <w:pPr>
        <w:pStyle w:val="CommentText"/>
        <w:ind w:firstLine="720"/>
        <w:rPr>
          <w:rFonts w:asciiTheme="majorHAnsi" w:hAnsiTheme="majorHAnsi" w:cstheme="majorHAnsi"/>
          <w:bCs/>
        </w:rPr>
      </w:pPr>
      <w:r w:rsidRPr="008F006B">
        <w:rPr>
          <w:rFonts w:asciiTheme="majorHAnsi" w:eastAsia="Times New Roman" w:hAnsiTheme="majorHAnsi" w:cstheme="majorHAnsi"/>
          <w:lang w:eastAsia="en-GB"/>
        </w:rPr>
        <w:t xml:space="preserve">Finally, what </w:t>
      </w:r>
      <w:r>
        <w:rPr>
          <w:rFonts w:asciiTheme="majorHAnsi" w:eastAsia="Times New Roman" w:hAnsiTheme="majorHAnsi" w:cstheme="majorHAnsi"/>
          <w:lang w:eastAsia="en-GB"/>
        </w:rPr>
        <w:t xml:space="preserve">directions might future </w:t>
      </w:r>
      <w:r w:rsidRPr="008F006B">
        <w:rPr>
          <w:rFonts w:asciiTheme="majorHAnsi" w:eastAsia="Times New Roman" w:hAnsiTheme="majorHAnsi" w:cstheme="majorHAnsi"/>
          <w:lang w:eastAsia="en-GB"/>
        </w:rPr>
        <w:t xml:space="preserve">research </w:t>
      </w:r>
      <w:r>
        <w:rPr>
          <w:rFonts w:asciiTheme="majorHAnsi" w:eastAsia="Times New Roman" w:hAnsiTheme="majorHAnsi" w:cstheme="majorHAnsi"/>
          <w:lang w:eastAsia="en-GB"/>
        </w:rPr>
        <w:t>take</w:t>
      </w:r>
      <w:r w:rsidRPr="008F006B">
        <w:rPr>
          <w:rFonts w:asciiTheme="majorHAnsi" w:eastAsia="Times New Roman" w:hAnsiTheme="majorHAnsi" w:cstheme="majorHAnsi"/>
          <w:lang w:eastAsia="en-GB"/>
        </w:rPr>
        <w:t>?</w:t>
      </w:r>
      <w:r w:rsidR="009077FC">
        <w:rPr>
          <w:rFonts w:asciiTheme="majorHAnsi" w:eastAsia="Times New Roman" w:hAnsiTheme="majorHAnsi" w:cstheme="majorHAnsi"/>
          <w:lang w:eastAsia="en-GB"/>
        </w:rPr>
        <w:t xml:space="preserve"> </w:t>
      </w:r>
      <w:r w:rsidR="00D21B1E">
        <w:rPr>
          <w:rFonts w:asciiTheme="majorHAnsi" w:hAnsiTheme="majorHAnsi" w:cstheme="majorHAnsi"/>
        </w:rPr>
        <w:t>The p</w:t>
      </w:r>
      <w:r w:rsidR="00D21B1E" w:rsidRPr="00D21B1E">
        <w:rPr>
          <w:rFonts w:asciiTheme="majorHAnsi" w:hAnsiTheme="majorHAnsi" w:cstheme="majorHAnsi"/>
        </w:rPr>
        <w:t xml:space="preserve">olicy capacity </w:t>
      </w:r>
      <w:r w:rsidR="006C7793">
        <w:rPr>
          <w:rFonts w:asciiTheme="majorHAnsi" w:hAnsiTheme="majorHAnsi" w:cstheme="majorHAnsi"/>
        </w:rPr>
        <w:t xml:space="preserve">framework </w:t>
      </w:r>
      <w:r w:rsidR="00D21B1E" w:rsidRPr="00D21B1E">
        <w:rPr>
          <w:rFonts w:asciiTheme="majorHAnsi" w:hAnsiTheme="majorHAnsi" w:cstheme="majorHAnsi"/>
        </w:rPr>
        <w:t>could be applied further</w:t>
      </w:r>
      <w:r w:rsidR="004663EB">
        <w:rPr>
          <w:rFonts w:asciiTheme="majorHAnsi" w:hAnsiTheme="majorHAnsi" w:cstheme="majorHAnsi"/>
        </w:rPr>
        <w:t xml:space="preserve"> in analysis of the politics of PGR wellbeing</w:t>
      </w:r>
      <w:r w:rsidR="00EB19CD">
        <w:rPr>
          <w:rFonts w:asciiTheme="majorHAnsi" w:hAnsiTheme="majorHAnsi" w:cstheme="majorHAnsi"/>
        </w:rPr>
        <w:t xml:space="preserve">, </w:t>
      </w:r>
      <w:r w:rsidR="007E70E8">
        <w:rPr>
          <w:rFonts w:asciiTheme="majorHAnsi" w:hAnsiTheme="majorHAnsi" w:cstheme="majorHAnsi"/>
        </w:rPr>
        <w:t>deploying</w:t>
      </w:r>
      <w:r w:rsidR="00EB19CD">
        <w:rPr>
          <w:rFonts w:asciiTheme="majorHAnsi" w:hAnsiTheme="majorHAnsi" w:cstheme="majorHAnsi"/>
        </w:rPr>
        <w:t xml:space="preserve"> a more sophisticated theoretical </w:t>
      </w:r>
      <w:r w:rsidR="00EB19CD" w:rsidRPr="00E1775B">
        <w:rPr>
          <w:rFonts w:asciiTheme="majorHAnsi" w:hAnsiTheme="majorHAnsi" w:cstheme="majorHAnsi"/>
        </w:rPr>
        <w:t>approach (e.g. Brenton et al 2023)</w:t>
      </w:r>
      <w:r w:rsidR="005926EF" w:rsidRPr="00E1775B">
        <w:rPr>
          <w:rFonts w:asciiTheme="majorHAnsi" w:hAnsiTheme="majorHAnsi" w:cstheme="majorHAnsi"/>
        </w:rPr>
        <w:t xml:space="preserve"> </w:t>
      </w:r>
      <w:r w:rsidR="00E1775B">
        <w:rPr>
          <w:rFonts w:asciiTheme="majorHAnsi" w:hAnsiTheme="majorHAnsi" w:cstheme="majorHAnsi"/>
        </w:rPr>
        <w:t>with a</w:t>
      </w:r>
      <w:r w:rsidR="00E1775B" w:rsidRPr="00E1775B">
        <w:rPr>
          <w:rFonts w:asciiTheme="majorHAnsi" w:hAnsiTheme="majorHAnsi" w:cstheme="majorHAnsi"/>
        </w:rPr>
        <w:t xml:space="preserve"> richer consideration of the political</w:t>
      </w:r>
      <w:r w:rsidR="005926EF" w:rsidRPr="00E1775B">
        <w:rPr>
          <w:rFonts w:asciiTheme="majorHAnsi" w:hAnsiTheme="majorHAnsi" w:cstheme="majorHAnsi"/>
        </w:rPr>
        <w:t>.</w:t>
      </w:r>
      <w:r w:rsidR="00D43410" w:rsidRPr="00EB19CD">
        <w:rPr>
          <w:rFonts w:asciiTheme="majorHAnsi" w:eastAsia="Times New Roman" w:hAnsiTheme="majorHAnsi" w:cstheme="majorHAnsi"/>
          <w:color w:val="FF0000"/>
          <w:lang w:eastAsia="en-GB"/>
        </w:rPr>
        <w:t xml:space="preserve"> </w:t>
      </w:r>
      <w:r w:rsidR="00620411" w:rsidRPr="008F006B">
        <w:rPr>
          <w:rFonts w:asciiTheme="majorHAnsi" w:eastAsia="Times New Roman" w:hAnsiTheme="majorHAnsi" w:cstheme="majorHAnsi"/>
          <w:lang w:eastAsia="en-GB"/>
        </w:rPr>
        <w:t xml:space="preserve">One line of research would delve into </w:t>
      </w:r>
      <w:r w:rsidR="00620411" w:rsidRPr="008F006B">
        <w:rPr>
          <w:rFonts w:asciiTheme="majorHAnsi" w:hAnsiTheme="majorHAnsi" w:cstheme="majorHAnsi"/>
        </w:rPr>
        <w:t>Analytical capacity aspects of the same case study</w:t>
      </w:r>
      <w:r w:rsidR="00620411">
        <w:rPr>
          <w:rFonts w:asciiTheme="majorHAnsi" w:hAnsiTheme="majorHAnsi" w:cstheme="majorHAnsi"/>
        </w:rPr>
        <w:t>. This includes</w:t>
      </w:r>
      <w:r w:rsidR="00620411" w:rsidRPr="008F006B">
        <w:rPr>
          <w:rFonts w:asciiTheme="majorHAnsi" w:hAnsiTheme="majorHAnsi" w:cstheme="majorHAnsi"/>
        </w:rPr>
        <w:t xml:space="preserve"> the nature and operation of expertise</w:t>
      </w:r>
      <w:r w:rsidR="00620411" w:rsidRPr="008F006B">
        <w:rPr>
          <w:rFonts w:asciiTheme="majorHAnsi" w:eastAsia="MS Mincho" w:hAnsiTheme="majorHAnsi" w:cstheme="majorHAnsi"/>
        </w:rPr>
        <w:t xml:space="preserve"> in design and selection of interventions, information resources, institutions for creating and mobilising ideas</w:t>
      </w:r>
      <w:r w:rsidR="00620411" w:rsidRPr="008F006B">
        <w:rPr>
          <w:rFonts w:asciiTheme="majorHAnsi" w:hAnsiTheme="majorHAnsi" w:cstheme="majorHAnsi"/>
          <w:bCs/>
        </w:rPr>
        <w:t xml:space="preserve"> about causes of problems, and potential solutions, and </w:t>
      </w:r>
      <w:r w:rsidR="00620411" w:rsidRPr="008F006B">
        <w:rPr>
          <w:rFonts w:asciiTheme="majorHAnsi" w:eastAsia="MS Mincho" w:hAnsiTheme="majorHAnsi" w:cstheme="majorHAnsi"/>
        </w:rPr>
        <w:t xml:space="preserve">processes to deploy all these effectively. </w:t>
      </w:r>
      <w:r w:rsidR="00351C6F">
        <w:rPr>
          <w:rFonts w:asciiTheme="majorHAnsi" w:hAnsiTheme="majorHAnsi" w:cstheme="majorHAnsi"/>
          <w:shd w:val="clear" w:color="auto" w:fill="FFFFFF"/>
        </w:rPr>
        <w:t>While this article has focussed on organisational marginali</w:t>
      </w:r>
      <w:r w:rsidR="00274057">
        <w:rPr>
          <w:rFonts w:asciiTheme="majorHAnsi" w:hAnsiTheme="majorHAnsi" w:cstheme="majorHAnsi"/>
          <w:shd w:val="clear" w:color="auto" w:fill="FFFFFF"/>
        </w:rPr>
        <w:t>s</w:t>
      </w:r>
      <w:r w:rsidR="00351C6F">
        <w:rPr>
          <w:rFonts w:asciiTheme="majorHAnsi" w:hAnsiTheme="majorHAnsi" w:cstheme="majorHAnsi"/>
          <w:shd w:val="clear" w:color="auto" w:fill="FFFFFF"/>
        </w:rPr>
        <w:t xml:space="preserve">ation, </w:t>
      </w:r>
      <w:r w:rsidR="00906345">
        <w:rPr>
          <w:rFonts w:asciiTheme="majorHAnsi" w:hAnsiTheme="majorHAnsi" w:cstheme="majorHAnsi"/>
          <w:shd w:val="clear" w:color="auto" w:fill="FFFFFF"/>
        </w:rPr>
        <w:t>there is also</w:t>
      </w:r>
      <w:r w:rsidR="00054698">
        <w:rPr>
          <w:rFonts w:asciiTheme="majorHAnsi" w:hAnsiTheme="majorHAnsi" w:cstheme="majorHAnsi"/>
          <w:shd w:val="clear" w:color="auto" w:fill="FFFFFF"/>
        </w:rPr>
        <w:t xml:space="preserve"> </w:t>
      </w:r>
      <w:r w:rsidR="00351C6F">
        <w:rPr>
          <w:rFonts w:asciiTheme="majorHAnsi" w:hAnsiTheme="majorHAnsi" w:cstheme="majorHAnsi"/>
          <w:shd w:val="clear" w:color="auto" w:fill="FFFFFF"/>
        </w:rPr>
        <w:t xml:space="preserve">evidence of classism, ableism and potential exploitation. </w:t>
      </w:r>
      <w:r w:rsidR="006C5952">
        <w:rPr>
          <w:rFonts w:asciiTheme="majorHAnsi" w:eastAsia="MS Mincho" w:hAnsiTheme="majorHAnsi" w:cstheme="majorHAnsi"/>
        </w:rPr>
        <w:t>C</w:t>
      </w:r>
      <w:r w:rsidR="00620411" w:rsidRPr="008F006B">
        <w:rPr>
          <w:rFonts w:asciiTheme="majorHAnsi" w:eastAsia="MS Mincho" w:hAnsiTheme="majorHAnsi" w:cstheme="majorHAnsi"/>
        </w:rPr>
        <w:t xml:space="preserve">ritical analysis of appropriate </w:t>
      </w:r>
      <w:r w:rsidR="00620411" w:rsidRPr="008F006B">
        <w:rPr>
          <w:rFonts w:asciiTheme="majorHAnsi" w:hAnsiTheme="majorHAnsi" w:cstheme="majorHAnsi"/>
          <w:bCs/>
        </w:rPr>
        <w:t>different types of expertise, processes to include diversity of expertise in problem-framing and solutio</w:t>
      </w:r>
      <w:r w:rsidR="00620411" w:rsidRPr="00C46CEC">
        <w:rPr>
          <w:rFonts w:asciiTheme="majorHAnsi" w:hAnsiTheme="majorHAnsi" w:cstheme="majorHAnsi"/>
          <w:bCs/>
        </w:rPr>
        <w:t>ns, and capacities to engage in these processes</w:t>
      </w:r>
      <w:r w:rsidR="0029026A">
        <w:rPr>
          <w:rFonts w:asciiTheme="majorHAnsi" w:hAnsiTheme="majorHAnsi" w:cstheme="majorHAnsi"/>
          <w:bCs/>
        </w:rPr>
        <w:t>, is one way to explore</w:t>
      </w:r>
      <w:r w:rsidR="006C5952" w:rsidRPr="00C46CEC">
        <w:rPr>
          <w:rFonts w:asciiTheme="majorHAnsi" w:hAnsiTheme="majorHAnsi" w:cstheme="majorHAnsi"/>
          <w:bCs/>
        </w:rPr>
        <w:t xml:space="preserve"> </w:t>
      </w:r>
      <w:r w:rsidR="006C5952" w:rsidRPr="00ED0D0E">
        <w:rPr>
          <w:rFonts w:asciiTheme="majorHAnsi" w:hAnsiTheme="majorHAnsi" w:cstheme="majorHAnsi"/>
        </w:rPr>
        <w:t>how organi</w:t>
      </w:r>
      <w:r w:rsidR="00274057" w:rsidRPr="00ED0D0E">
        <w:rPr>
          <w:rFonts w:asciiTheme="majorHAnsi" w:hAnsiTheme="majorHAnsi" w:cstheme="majorHAnsi"/>
        </w:rPr>
        <w:t>s</w:t>
      </w:r>
      <w:r w:rsidR="006C5952" w:rsidRPr="00ED0D0E">
        <w:rPr>
          <w:rFonts w:asciiTheme="majorHAnsi" w:hAnsiTheme="majorHAnsi" w:cstheme="majorHAnsi"/>
        </w:rPr>
        <w:t>ational marginali</w:t>
      </w:r>
      <w:r w:rsidR="00274057" w:rsidRPr="00ED0D0E">
        <w:rPr>
          <w:rFonts w:asciiTheme="majorHAnsi" w:hAnsiTheme="majorHAnsi" w:cstheme="majorHAnsi"/>
        </w:rPr>
        <w:t>s</w:t>
      </w:r>
      <w:r w:rsidR="006C5952" w:rsidRPr="00ED0D0E">
        <w:rPr>
          <w:rFonts w:asciiTheme="majorHAnsi" w:hAnsiTheme="majorHAnsi" w:cstheme="majorHAnsi"/>
        </w:rPr>
        <w:t xml:space="preserve">ation and other </w:t>
      </w:r>
      <w:r w:rsidR="006C5952" w:rsidRPr="00ED0D0E">
        <w:rPr>
          <w:rFonts w:asciiTheme="majorHAnsi" w:hAnsiTheme="majorHAnsi" w:cstheme="majorHAnsi"/>
          <w:shd w:val="clear" w:color="auto" w:fill="FFFFFF"/>
        </w:rPr>
        <w:t xml:space="preserve">equity-related dimensions interact to affect </w:t>
      </w:r>
      <w:r w:rsidR="00255FB1" w:rsidRPr="00ED0D0E">
        <w:rPr>
          <w:rFonts w:ascii="Calibri" w:eastAsia="MS Mincho" w:hAnsi="Calibri" w:cs="Calibri"/>
          <w:color w:val="000000"/>
        </w:rPr>
        <w:t>capacities to design, lead, implement, and engage with</w:t>
      </w:r>
      <w:r w:rsidR="006C5952" w:rsidRPr="00ED0D0E">
        <w:rPr>
          <w:rFonts w:asciiTheme="majorHAnsi" w:hAnsiTheme="majorHAnsi" w:cstheme="majorHAnsi"/>
          <w:shd w:val="clear" w:color="auto" w:fill="FFFFFF"/>
        </w:rPr>
        <w:t xml:space="preserve"> interventions</w:t>
      </w:r>
      <w:r w:rsidR="00437E60" w:rsidRPr="00B872CD">
        <w:rPr>
          <w:rFonts w:asciiTheme="majorHAnsi" w:hAnsiTheme="majorHAnsi" w:cstheme="majorHAnsi"/>
          <w:shd w:val="clear" w:color="auto" w:fill="FFFFFF"/>
        </w:rPr>
        <w:t xml:space="preserve"> (Valeix et al 2021; Morris 2021).</w:t>
      </w:r>
      <w:r w:rsidR="00B872CD" w:rsidRPr="00B872CD">
        <w:rPr>
          <w:rFonts w:asciiTheme="majorHAnsi" w:hAnsiTheme="majorHAnsi" w:cstheme="majorHAnsi"/>
          <w:shd w:val="clear" w:color="auto" w:fill="FFFFFF"/>
        </w:rPr>
        <w:t xml:space="preserve"> </w:t>
      </w:r>
      <w:r w:rsidR="00FA04EB" w:rsidRPr="00B872CD">
        <w:rPr>
          <w:rFonts w:asciiTheme="majorHAnsi" w:hAnsiTheme="majorHAnsi" w:cstheme="majorHAnsi"/>
          <w:shd w:val="clear" w:color="auto" w:fill="FFFFFF"/>
        </w:rPr>
        <w:t>As a consequence, how mi</w:t>
      </w:r>
      <w:r w:rsidR="00F16041" w:rsidRPr="00B872CD">
        <w:rPr>
          <w:rFonts w:asciiTheme="majorHAnsi" w:hAnsiTheme="majorHAnsi" w:cstheme="majorHAnsi"/>
          <w:shd w:val="clear" w:color="auto" w:fill="FFFFFF"/>
        </w:rPr>
        <w:t xml:space="preserve">ght equity-related dimensions be </w:t>
      </w:r>
      <w:r w:rsidR="00B148CC" w:rsidRPr="00B872CD">
        <w:rPr>
          <w:rFonts w:asciiTheme="majorHAnsi" w:hAnsiTheme="majorHAnsi" w:cstheme="majorHAnsi"/>
          <w:shd w:val="clear" w:color="auto" w:fill="FFFFFF"/>
        </w:rPr>
        <w:t>better</w:t>
      </w:r>
      <w:r w:rsidR="00F16041" w:rsidRPr="00B872CD">
        <w:rPr>
          <w:rFonts w:asciiTheme="majorHAnsi" w:hAnsiTheme="majorHAnsi" w:cstheme="majorHAnsi"/>
          <w:shd w:val="clear" w:color="auto" w:fill="FFFFFF"/>
        </w:rPr>
        <w:t xml:space="preserve"> considered in design and implementation of wellbeing support (Valeix et al 2021)?</w:t>
      </w:r>
      <w:r w:rsidR="00F16041" w:rsidRPr="00C46CEC">
        <w:rPr>
          <w:rFonts w:asciiTheme="majorHAnsi" w:hAnsiTheme="majorHAnsi" w:cstheme="majorHAnsi"/>
          <w:shd w:val="clear" w:color="auto" w:fill="FFFFFF"/>
        </w:rPr>
        <w:t xml:space="preserve"> </w:t>
      </w:r>
      <w:r w:rsidR="00FA394D" w:rsidRPr="00C46CEC">
        <w:rPr>
          <w:rFonts w:asciiTheme="majorHAnsi" w:hAnsiTheme="majorHAnsi" w:cstheme="majorHAnsi"/>
          <w:bCs/>
        </w:rPr>
        <w:t>Second, t</w:t>
      </w:r>
      <w:r w:rsidR="00FA394D" w:rsidRPr="00C46CEC">
        <w:rPr>
          <w:rFonts w:ascii="Calibri" w:eastAsia="MS Mincho" w:hAnsi="Calibri" w:cs="Calibri"/>
          <w:color w:val="000000"/>
        </w:rPr>
        <w:t xml:space="preserve">his article discusses </w:t>
      </w:r>
      <w:r w:rsidR="00E35A6A" w:rsidRPr="00C46CEC">
        <w:rPr>
          <w:rFonts w:ascii="Calibri" w:eastAsia="MS Mincho" w:hAnsi="Calibri" w:cs="Calibri"/>
          <w:color w:val="000000"/>
        </w:rPr>
        <w:t>people with diverse roles and levels of seniority</w:t>
      </w:r>
      <w:r w:rsidR="00FA394D" w:rsidRPr="00C46CEC">
        <w:rPr>
          <w:rFonts w:ascii="Calibri" w:eastAsia="MS Mincho" w:hAnsi="Calibri" w:cs="Calibri"/>
          <w:color w:val="000000"/>
        </w:rPr>
        <w:t xml:space="preserve">, involved in design, </w:t>
      </w:r>
      <w:r w:rsidR="00FA394D" w:rsidRPr="00C46CEC">
        <w:rPr>
          <w:rFonts w:ascii="Calibri" w:eastAsia="MS Mincho" w:hAnsi="Calibri" w:cs="Calibri"/>
          <w:color w:val="000000"/>
        </w:rPr>
        <w:lastRenderedPageBreak/>
        <w:t>leadership and implementation across varied institutions</w:t>
      </w:r>
      <w:r w:rsidR="00E35A6A" w:rsidRPr="00C46CEC">
        <w:rPr>
          <w:rFonts w:ascii="Calibri" w:eastAsia="MS Mincho" w:hAnsi="Calibri" w:cs="Calibri"/>
          <w:color w:val="000000"/>
        </w:rPr>
        <w:t xml:space="preserve">. </w:t>
      </w:r>
      <w:r w:rsidR="00FA394D" w:rsidRPr="00C46CEC">
        <w:rPr>
          <w:rFonts w:ascii="Calibri" w:eastAsia="MS Mincho" w:hAnsi="Calibri" w:cs="Calibri"/>
          <w:color w:val="000000"/>
        </w:rPr>
        <w:t>While this was a deliberate choice (see Methodology), it</w:t>
      </w:r>
      <w:r w:rsidR="00E35A6A" w:rsidRPr="00C46CEC">
        <w:rPr>
          <w:rFonts w:ascii="Calibri" w:eastAsia="MS Mincho" w:hAnsi="Calibri" w:cs="Calibri"/>
          <w:color w:val="000000"/>
        </w:rPr>
        <w:t xml:space="preserve"> limited ability to comment on the effects of these variables.</w:t>
      </w:r>
      <w:r w:rsidR="00FA394D" w:rsidRPr="00C46CEC">
        <w:rPr>
          <w:rFonts w:ascii="Calibri" w:eastAsia="MS Mincho" w:hAnsi="Calibri" w:cs="Calibri"/>
          <w:color w:val="000000"/>
        </w:rPr>
        <w:t xml:space="preserve"> </w:t>
      </w:r>
      <w:r w:rsidR="00BC7141" w:rsidRPr="00C46CEC">
        <w:rPr>
          <w:rFonts w:ascii="Calibri" w:eastAsia="MS Mincho" w:hAnsi="Calibri" w:cs="Calibri"/>
          <w:color w:val="000000"/>
        </w:rPr>
        <w:t xml:space="preserve">Future research could </w:t>
      </w:r>
      <w:r w:rsidR="00C46CEC" w:rsidRPr="00C46CEC">
        <w:rPr>
          <w:rFonts w:ascii="Calibri" w:eastAsia="MS Mincho" w:hAnsi="Calibri" w:cs="Calibri"/>
          <w:color w:val="000000"/>
        </w:rPr>
        <w:t xml:space="preserve">do this through </w:t>
      </w:r>
      <w:r w:rsidR="00C46CEC" w:rsidRPr="00C46CEC">
        <w:rPr>
          <w:rFonts w:asciiTheme="majorHAnsi" w:hAnsiTheme="majorHAnsi" w:cstheme="majorHAnsi"/>
          <w:bCs/>
        </w:rPr>
        <w:t>expanding the sample</w:t>
      </w:r>
      <w:r w:rsidR="00C46CEC" w:rsidRPr="00C46CEC">
        <w:rPr>
          <w:rFonts w:asciiTheme="majorHAnsi" w:hAnsiTheme="majorHAnsi" w:cstheme="majorHAnsi"/>
          <w:color w:val="242424"/>
        </w:rPr>
        <w:t xml:space="preserve">, for example examining the influence of HE institutional type. It could also </w:t>
      </w:r>
      <w:r w:rsidR="00E35A6A" w:rsidRPr="00C46CEC">
        <w:rPr>
          <w:rFonts w:asciiTheme="majorHAnsi" w:hAnsiTheme="majorHAnsi" w:cstheme="majorHAnsi"/>
          <w:color w:val="242424"/>
        </w:rPr>
        <w:t>bring out PGR experience more</w:t>
      </w:r>
      <w:r w:rsidR="00C46CEC" w:rsidRPr="00C46CEC">
        <w:rPr>
          <w:rFonts w:asciiTheme="majorHAnsi" w:hAnsiTheme="majorHAnsi" w:cstheme="majorHAnsi"/>
          <w:color w:val="242424"/>
        </w:rPr>
        <w:t xml:space="preserve">, for example </w:t>
      </w:r>
      <w:r w:rsidR="00BC7141" w:rsidRPr="00C46CEC">
        <w:rPr>
          <w:rFonts w:ascii="Calibri" w:eastAsia="MS Mincho" w:hAnsi="Calibri" w:cs="Calibri"/>
          <w:color w:val="000000"/>
        </w:rPr>
        <w:t>examin</w:t>
      </w:r>
      <w:r w:rsidR="00C46CEC" w:rsidRPr="00C46CEC">
        <w:rPr>
          <w:rFonts w:ascii="Calibri" w:eastAsia="MS Mincho" w:hAnsi="Calibri" w:cs="Calibri"/>
          <w:color w:val="000000"/>
        </w:rPr>
        <w:t>ing</w:t>
      </w:r>
      <w:r w:rsidR="00BC7141" w:rsidRPr="00C46CEC">
        <w:rPr>
          <w:rFonts w:ascii="Calibri" w:eastAsia="MS Mincho" w:hAnsi="Calibri" w:cs="Calibri"/>
          <w:color w:val="000000"/>
        </w:rPr>
        <w:t xml:space="preserve"> perspectives of those experiencing support but not involved in leadership</w:t>
      </w:r>
      <w:r w:rsidR="00C46CEC" w:rsidRPr="00C46CEC">
        <w:rPr>
          <w:rFonts w:ascii="Calibri" w:eastAsia="MS Mincho" w:hAnsi="Calibri" w:cs="Calibri"/>
          <w:color w:val="000000"/>
        </w:rPr>
        <w:t>,</w:t>
      </w:r>
      <w:r w:rsidR="00E35A6A" w:rsidRPr="00C46CEC">
        <w:rPr>
          <w:rFonts w:ascii="Calibri" w:eastAsia="MS Mincho" w:hAnsi="Calibri" w:cs="Calibri"/>
          <w:color w:val="000000"/>
        </w:rPr>
        <w:t xml:space="preserve"> </w:t>
      </w:r>
      <w:r w:rsidR="00BC7141" w:rsidRPr="00C46CEC">
        <w:rPr>
          <w:rFonts w:asciiTheme="majorHAnsi" w:hAnsiTheme="majorHAnsi" w:cstheme="majorHAnsi"/>
          <w:color w:val="242424"/>
        </w:rPr>
        <w:t xml:space="preserve">including Individual-Political capacity. </w:t>
      </w:r>
      <w:r w:rsidR="00ED0D0E">
        <w:rPr>
          <w:rFonts w:asciiTheme="majorHAnsi" w:hAnsiTheme="majorHAnsi" w:cstheme="majorHAnsi"/>
          <w:color w:val="242424"/>
        </w:rPr>
        <w:t>Third, b</w:t>
      </w:r>
      <w:r w:rsidR="00D655A3" w:rsidRPr="008F006B">
        <w:rPr>
          <w:rFonts w:asciiTheme="majorHAnsi" w:hAnsiTheme="majorHAnsi" w:cstheme="majorHAnsi"/>
          <w:bCs/>
        </w:rPr>
        <w:t xml:space="preserve">eyond this case study of the UK, further research could explore different countries comparatively, especially revealing given the very different systems of postgraduate research at the same time as concern with wellbeing transcends national borders. </w:t>
      </w:r>
      <w:bookmarkStart w:id="7" w:name="_Hlk172023945"/>
      <w:r w:rsidR="00CF3060" w:rsidRPr="00CF3060">
        <w:rPr>
          <w:rFonts w:asciiTheme="majorHAnsi" w:eastAsia="Times New Roman" w:hAnsiTheme="majorHAnsi" w:cstheme="majorHAnsi"/>
          <w:lang w:eastAsia="en-GB"/>
        </w:rPr>
        <w:t>Overall,</w:t>
      </w:r>
      <w:r w:rsidR="009A01EB" w:rsidRPr="00CF3060">
        <w:rPr>
          <w:rFonts w:asciiTheme="majorHAnsi" w:hAnsiTheme="majorHAnsi" w:cstheme="majorHAnsi"/>
          <w:bCs/>
        </w:rPr>
        <w:t xml:space="preserve"> b</w:t>
      </w:r>
      <w:r w:rsidR="008F006B" w:rsidRPr="008F006B">
        <w:rPr>
          <w:rFonts w:asciiTheme="majorHAnsi" w:hAnsiTheme="majorHAnsi" w:cstheme="majorHAnsi"/>
          <w:bCs/>
        </w:rPr>
        <w:t>etter understanding the politics of wellbeing is a growing field of study</w:t>
      </w:r>
      <w:r w:rsidR="00E55D9F">
        <w:rPr>
          <w:rFonts w:asciiTheme="majorHAnsi" w:hAnsiTheme="majorHAnsi" w:cstheme="majorHAnsi"/>
          <w:bCs/>
        </w:rPr>
        <w:t xml:space="preserve">. It has an </w:t>
      </w:r>
      <w:r w:rsidR="00E55D9F" w:rsidRPr="00E55D9F">
        <w:rPr>
          <w:rFonts w:asciiTheme="majorHAnsi" w:hAnsiTheme="majorHAnsi" w:cstheme="majorHAnsi"/>
          <w:bCs/>
        </w:rPr>
        <w:t>urgency</w:t>
      </w:r>
      <w:r w:rsidR="00C46CEC" w:rsidRPr="00E55D9F">
        <w:rPr>
          <w:rFonts w:asciiTheme="majorHAnsi" w:hAnsiTheme="majorHAnsi" w:cstheme="majorHAnsi"/>
          <w:bCs/>
        </w:rPr>
        <w:t xml:space="preserve"> </w:t>
      </w:r>
      <w:r w:rsidR="009A01EB" w:rsidRPr="00E55D9F">
        <w:rPr>
          <w:rFonts w:asciiTheme="majorHAnsi" w:hAnsiTheme="majorHAnsi" w:cstheme="majorHAnsi"/>
          <w:bCs/>
        </w:rPr>
        <w:t>in particular f</w:t>
      </w:r>
      <w:r w:rsidR="00D43410" w:rsidRPr="00E55D9F">
        <w:rPr>
          <w:rFonts w:asciiTheme="majorHAnsi" w:hAnsiTheme="majorHAnsi" w:cstheme="majorHAnsi"/>
          <w:bCs/>
        </w:rPr>
        <w:t xml:space="preserve">or the sake of </w:t>
      </w:r>
      <w:r w:rsidR="00C46CEC" w:rsidRPr="00E55D9F">
        <w:rPr>
          <w:rFonts w:asciiTheme="majorHAnsi" w:hAnsiTheme="majorHAnsi" w:cstheme="majorHAnsi"/>
          <w:bCs/>
        </w:rPr>
        <w:t xml:space="preserve">people like </w:t>
      </w:r>
      <w:r w:rsidR="00D43410" w:rsidRPr="00E55D9F">
        <w:rPr>
          <w:rFonts w:asciiTheme="majorHAnsi" w:hAnsiTheme="majorHAnsi" w:cstheme="majorHAnsi"/>
          <w:bCs/>
        </w:rPr>
        <w:t xml:space="preserve">PGRs – </w:t>
      </w:r>
      <w:r w:rsidR="00C46CEC" w:rsidRPr="00E55D9F">
        <w:rPr>
          <w:rFonts w:asciiTheme="majorHAnsi" w:hAnsiTheme="majorHAnsi" w:cstheme="majorHAnsi"/>
          <w:bCs/>
        </w:rPr>
        <w:t>those</w:t>
      </w:r>
      <w:r w:rsidR="00D43410" w:rsidRPr="00E55D9F">
        <w:rPr>
          <w:rFonts w:asciiTheme="majorHAnsi" w:hAnsiTheme="majorHAnsi" w:cstheme="majorHAnsi"/>
          <w:bCs/>
        </w:rPr>
        <w:t xml:space="preserve"> ‘not quite students and not quite staff’ </w:t>
      </w:r>
      <w:r w:rsidR="00E55D9F" w:rsidRPr="00E55D9F">
        <w:rPr>
          <w:rFonts w:asciiTheme="majorHAnsi" w:hAnsiTheme="majorHAnsi" w:cstheme="majorHAnsi"/>
          <w:bCs/>
        </w:rPr>
        <w:t>who experience the sharp end of politics.</w:t>
      </w:r>
    </w:p>
    <w:bookmarkEnd w:id="7"/>
    <w:p w14:paraId="7B65A465" w14:textId="77777777" w:rsidR="008F006B" w:rsidRPr="008F006B" w:rsidRDefault="008F006B" w:rsidP="008F006B">
      <w:pPr>
        <w:pStyle w:val="CommentText"/>
        <w:rPr>
          <w:rStyle w:val="Strong"/>
          <w:rFonts w:asciiTheme="majorHAnsi" w:hAnsiTheme="majorHAnsi" w:cstheme="majorHAnsi"/>
        </w:rPr>
      </w:pPr>
    </w:p>
    <w:p w14:paraId="0C233E17" w14:textId="28A6E0EC" w:rsidR="00FB16BB" w:rsidRPr="008F006B" w:rsidRDefault="006A1863" w:rsidP="001D4CC9">
      <w:pPr>
        <w:rPr>
          <w:rFonts w:asciiTheme="majorHAnsi" w:hAnsiTheme="majorHAnsi" w:cstheme="majorHAnsi"/>
        </w:rPr>
      </w:pPr>
      <w:r w:rsidRPr="008F006B">
        <w:rPr>
          <w:rStyle w:val="Strong"/>
          <w:rFonts w:asciiTheme="majorHAnsi" w:hAnsiTheme="majorHAnsi" w:cstheme="majorHAnsi"/>
        </w:rPr>
        <w:t>Funding details</w:t>
      </w:r>
    </w:p>
    <w:p w14:paraId="4D5D6598" w14:textId="6CE21F15" w:rsidR="006A1863" w:rsidRPr="00ED7044" w:rsidRDefault="00DB64A4" w:rsidP="006A1863">
      <w:pPr>
        <w:rPr>
          <w:rFonts w:asciiTheme="majorHAnsi" w:hAnsiTheme="majorHAnsi" w:cstheme="majorHAnsi"/>
          <w:bCs/>
        </w:rPr>
      </w:pPr>
      <w:r w:rsidRPr="00ED7044">
        <w:rPr>
          <w:rFonts w:asciiTheme="majorHAnsi" w:hAnsiTheme="majorHAnsi" w:cstheme="majorHAnsi"/>
          <w:bCs/>
        </w:rPr>
        <w:t>None</w:t>
      </w:r>
    </w:p>
    <w:p w14:paraId="587A8F6C" w14:textId="70DD0FED" w:rsidR="006A1863" w:rsidRPr="00ED7044" w:rsidRDefault="006A1863" w:rsidP="001D4CC9">
      <w:pPr>
        <w:rPr>
          <w:rFonts w:asciiTheme="majorHAnsi" w:hAnsiTheme="majorHAnsi" w:cstheme="majorHAnsi"/>
        </w:rPr>
      </w:pPr>
    </w:p>
    <w:p w14:paraId="6BB8F44D" w14:textId="31811BE5" w:rsidR="006A1863" w:rsidRPr="00903507" w:rsidRDefault="006A1863" w:rsidP="001D4CC9">
      <w:pPr>
        <w:rPr>
          <w:rFonts w:asciiTheme="majorHAnsi" w:hAnsiTheme="majorHAnsi" w:cstheme="majorHAnsi"/>
        </w:rPr>
      </w:pPr>
      <w:r w:rsidRPr="00903507">
        <w:rPr>
          <w:rStyle w:val="Strong"/>
          <w:rFonts w:asciiTheme="majorHAnsi" w:hAnsiTheme="majorHAnsi" w:cstheme="majorHAnsi"/>
          <w:color w:val="2A2A2A"/>
        </w:rPr>
        <w:t>Conflict of interest statement</w:t>
      </w:r>
    </w:p>
    <w:p w14:paraId="4CD1F9C1" w14:textId="3F517F0A" w:rsidR="006A1863" w:rsidRPr="00903507" w:rsidRDefault="00ED7044">
      <w:pPr>
        <w:rPr>
          <w:rFonts w:asciiTheme="majorHAnsi" w:hAnsiTheme="majorHAnsi" w:cstheme="majorHAnsi"/>
          <w:color w:val="2A2A2A"/>
        </w:rPr>
      </w:pPr>
      <w:r w:rsidRPr="00903507">
        <w:rPr>
          <w:rFonts w:asciiTheme="majorHAnsi" w:hAnsiTheme="majorHAnsi" w:cstheme="majorHAnsi"/>
          <w:color w:val="2A2A2A"/>
        </w:rPr>
        <w:t>The author declares that there is no conflict of interest</w:t>
      </w:r>
    </w:p>
    <w:p w14:paraId="62B767F7" w14:textId="77777777" w:rsidR="00ED7044" w:rsidRPr="00903507" w:rsidRDefault="00ED7044">
      <w:pPr>
        <w:rPr>
          <w:rFonts w:asciiTheme="majorHAnsi" w:hAnsiTheme="majorHAnsi" w:cstheme="majorHAnsi"/>
          <w:b/>
        </w:rPr>
      </w:pPr>
    </w:p>
    <w:p w14:paraId="06F8FACF" w14:textId="10FA4A2C" w:rsidR="00BA0A5F" w:rsidRPr="00903507" w:rsidRDefault="00B27F33">
      <w:pPr>
        <w:rPr>
          <w:rFonts w:asciiTheme="majorHAnsi" w:hAnsiTheme="majorHAnsi" w:cstheme="majorHAnsi"/>
          <w:b/>
        </w:rPr>
      </w:pPr>
      <w:bookmarkStart w:id="8" w:name="_Hlk115853679"/>
      <w:r w:rsidRPr="00903507">
        <w:rPr>
          <w:rFonts w:asciiTheme="majorHAnsi" w:hAnsiTheme="majorHAnsi" w:cstheme="majorHAnsi"/>
          <w:b/>
        </w:rPr>
        <w:t>Acknowledgements</w:t>
      </w:r>
    </w:p>
    <w:p w14:paraId="5B700753" w14:textId="04A312FD" w:rsidR="006F51EA" w:rsidRDefault="00A52051">
      <w:pPr>
        <w:rPr>
          <w:rFonts w:asciiTheme="majorHAnsi" w:hAnsiTheme="majorHAnsi" w:cstheme="majorHAnsi"/>
          <w:bCs/>
        </w:rPr>
      </w:pPr>
      <w:r>
        <w:rPr>
          <w:rFonts w:asciiTheme="majorHAnsi" w:hAnsiTheme="majorHAnsi" w:cstheme="majorHAnsi"/>
          <w:bCs/>
        </w:rPr>
        <w:t>Many thanks to the interviewees whose time and insights made this article possible. Thanks too to the PGRs</w:t>
      </w:r>
      <w:r w:rsidR="00310D75">
        <w:rPr>
          <w:rFonts w:asciiTheme="majorHAnsi" w:hAnsiTheme="majorHAnsi" w:cstheme="majorHAnsi"/>
          <w:bCs/>
        </w:rPr>
        <w:t xml:space="preserve">, HE </w:t>
      </w:r>
      <w:proofErr w:type="gramStart"/>
      <w:r>
        <w:rPr>
          <w:rFonts w:asciiTheme="majorHAnsi" w:hAnsiTheme="majorHAnsi" w:cstheme="majorHAnsi"/>
          <w:bCs/>
        </w:rPr>
        <w:t>staff</w:t>
      </w:r>
      <w:proofErr w:type="gramEnd"/>
      <w:r>
        <w:rPr>
          <w:rFonts w:asciiTheme="majorHAnsi" w:hAnsiTheme="majorHAnsi" w:cstheme="majorHAnsi"/>
          <w:bCs/>
        </w:rPr>
        <w:t xml:space="preserve"> </w:t>
      </w:r>
      <w:r w:rsidR="00310D75">
        <w:rPr>
          <w:rFonts w:asciiTheme="majorHAnsi" w:hAnsiTheme="majorHAnsi" w:cstheme="majorHAnsi"/>
          <w:bCs/>
        </w:rPr>
        <w:t xml:space="preserve">and others </w:t>
      </w:r>
      <w:r>
        <w:rPr>
          <w:rFonts w:asciiTheme="majorHAnsi" w:hAnsiTheme="majorHAnsi" w:cstheme="majorHAnsi"/>
          <w:bCs/>
        </w:rPr>
        <w:t xml:space="preserve">whose energy and courage have </w:t>
      </w:r>
      <w:r w:rsidR="00310D75">
        <w:rPr>
          <w:rFonts w:asciiTheme="majorHAnsi" w:hAnsiTheme="majorHAnsi" w:cstheme="majorHAnsi"/>
          <w:bCs/>
        </w:rPr>
        <w:t xml:space="preserve">helped set the agenda on </w:t>
      </w:r>
      <w:r>
        <w:rPr>
          <w:rFonts w:asciiTheme="majorHAnsi" w:hAnsiTheme="majorHAnsi" w:cstheme="majorHAnsi"/>
          <w:bCs/>
        </w:rPr>
        <w:t>the politics of PGR wellbeing</w:t>
      </w:r>
      <w:r w:rsidR="00310D75">
        <w:rPr>
          <w:rFonts w:asciiTheme="majorHAnsi" w:hAnsiTheme="majorHAnsi" w:cstheme="majorHAnsi"/>
          <w:bCs/>
        </w:rPr>
        <w:t xml:space="preserve">. </w:t>
      </w:r>
      <w:r>
        <w:rPr>
          <w:rFonts w:asciiTheme="majorHAnsi" w:hAnsiTheme="majorHAnsi" w:cstheme="majorHAnsi"/>
          <w:bCs/>
        </w:rPr>
        <w:t>Finally, thanks of course to the three anonymous reviewers</w:t>
      </w:r>
      <w:r w:rsidR="00310D75">
        <w:rPr>
          <w:rFonts w:asciiTheme="majorHAnsi" w:hAnsiTheme="majorHAnsi" w:cstheme="majorHAnsi"/>
          <w:bCs/>
        </w:rPr>
        <w:t>,</w:t>
      </w:r>
      <w:r>
        <w:rPr>
          <w:rFonts w:asciiTheme="majorHAnsi" w:hAnsiTheme="majorHAnsi" w:cstheme="majorHAnsi"/>
          <w:bCs/>
        </w:rPr>
        <w:t xml:space="preserve"> and the journal editors</w:t>
      </w:r>
      <w:r w:rsidR="00310D75">
        <w:rPr>
          <w:rFonts w:asciiTheme="majorHAnsi" w:hAnsiTheme="majorHAnsi" w:cstheme="majorHAnsi"/>
          <w:bCs/>
        </w:rPr>
        <w:t>,</w:t>
      </w:r>
      <w:r>
        <w:rPr>
          <w:rFonts w:asciiTheme="majorHAnsi" w:hAnsiTheme="majorHAnsi" w:cstheme="majorHAnsi"/>
          <w:bCs/>
        </w:rPr>
        <w:t xml:space="preserve"> for their constructive and supportive comments in revising this article.</w:t>
      </w:r>
    </w:p>
    <w:p w14:paraId="586F42BF" w14:textId="77777777" w:rsidR="00A52051" w:rsidRPr="00903507" w:rsidRDefault="00A52051">
      <w:pPr>
        <w:rPr>
          <w:rFonts w:asciiTheme="majorHAnsi" w:hAnsiTheme="majorHAnsi" w:cstheme="majorHAnsi"/>
          <w:bCs/>
        </w:rPr>
      </w:pPr>
    </w:p>
    <w:p w14:paraId="5166888C" w14:textId="01111255" w:rsidR="00B56723" w:rsidRDefault="00B56723">
      <w:pPr>
        <w:rPr>
          <w:rFonts w:asciiTheme="majorHAnsi" w:hAnsiTheme="majorHAnsi" w:cstheme="majorHAnsi"/>
          <w:b/>
        </w:rPr>
      </w:pPr>
      <w:r w:rsidRPr="00903507">
        <w:rPr>
          <w:rFonts w:asciiTheme="majorHAnsi" w:hAnsiTheme="majorHAnsi" w:cstheme="majorHAnsi"/>
          <w:b/>
        </w:rPr>
        <w:t>References</w:t>
      </w:r>
    </w:p>
    <w:p w14:paraId="11376872" w14:textId="77777777" w:rsidR="00275656" w:rsidRPr="00364172" w:rsidRDefault="00275656" w:rsidP="00275656">
      <w:pPr>
        <w:ind w:left="720" w:hanging="720"/>
        <w:rPr>
          <w:rFonts w:asciiTheme="majorHAnsi" w:eastAsia="Times New Roman" w:hAnsiTheme="majorHAnsi" w:cstheme="majorHAnsi"/>
        </w:rPr>
      </w:pPr>
      <w:r w:rsidRPr="00364172">
        <w:rPr>
          <w:rFonts w:asciiTheme="majorHAnsi" w:eastAsia="MS Mincho" w:hAnsiTheme="majorHAnsi" w:cstheme="majorHAnsi"/>
        </w:rPr>
        <w:t>Atkinson, S. (2020) ‘Commentary: Wellbeing, Space and Society’, </w:t>
      </w:r>
      <w:r w:rsidRPr="00364172">
        <w:rPr>
          <w:rFonts w:asciiTheme="majorHAnsi" w:eastAsia="MS Mincho" w:hAnsiTheme="majorHAnsi" w:cstheme="majorHAnsi"/>
          <w:i/>
          <w:iCs/>
        </w:rPr>
        <w:t>Wellbeing, Space and Society</w:t>
      </w:r>
      <w:r w:rsidRPr="00364172">
        <w:rPr>
          <w:rFonts w:asciiTheme="majorHAnsi" w:eastAsia="MS Mincho" w:hAnsiTheme="majorHAnsi" w:cstheme="majorHAnsi"/>
        </w:rPr>
        <w:t> 1: 100015</w:t>
      </w:r>
    </w:p>
    <w:p w14:paraId="15AEA054" w14:textId="77777777" w:rsidR="00275656" w:rsidRPr="00364172" w:rsidRDefault="00275656" w:rsidP="00275656">
      <w:pPr>
        <w:rPr>
          <w:rFonts w:asciiTheme="majorHAnsi" w:eastAsia="MS Mincho" w:hAnsiTheme="majorHAnsi" w:cstheme="majorHAnsi"/>
        </w:rPr>
      </w:pPr>
      <w:r w:rsidRPr="00364172">
        <w:rPr>
          <w:rFonts w:asciiTheme="majorHAnsi" w:eastAsia="MS Mincho" w:hAnsiTheme="majorHAnsi" w:cstheme="majorHAnsi"/>
        </w:rPr>
        <w:t xml:space="preserve">Bache, I. (2020) </w:t>
      </w:r>
      <w:r w:rsidRPr="00364172">
        <w:rPr>
          <w:rFonts w:asciiTheme="majorHAnsi" w:eastAsia="MS Mincho" w:hAnsiTheme="majorHAnsi" w:cstheme="majorHAnsi"/>
          <w:i/>
          <w:iCs/>
        </w:rPr>
        <w:t>Evidence, Policy and Wellbeing,</w:t>
      </w:r>
      <w:r w:rsidRPr="00364172">
        <w:rPr>
          <w:rFonts w:asciiTheme="majorHAnsi" w:eastAsia="MS Mincho" w:hAnsiTheme="majorHAnsi" w:cstheme="majorHAnsi"/>
        </w:rPr>
        <w:t xml:space="preserve"> Palgrave Macmillan</w:t>
      </w:r>
    </w:p>
    <w:p w14:paraId="674971DB"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Bache, I.; Reardon, L.; Anand, P. (2016) ‘Wellbeing as a Wicked Problem: Navigating the Arguments for the Role of Government’, </w:t>
      </w:r>
      <w:r w:rsidRPr="00364172">
        <w:rPr>
          <w:rFonts w:asciiTheme="majorHAnsi" w:eastAsia="MS Mincho" w:hAnsiTheme="majorHAnsi" w:cstheme="majorHAnsi"/>
          <w:i/>
          <w:iCs/>
        </w:rPr>
        <w:t>J Happiness Stud</w:t>
      </w:r>
      <w:r w:rsidRPr="00364172">
        <w:rPr>
          <w:rFonts w:asciiTheme="majorHAnsi" w:eastAsia="MS Mincho" w:hAnsiTheme="majorHAnsi" w:cstheme="majorHAnsi"/>
        </w:rPr>
        <w:t xml:space="preserve"> 17: 893–912</w:t>
      </w:r>
    </w:p>
    <w:p w14:paraId="07A1D95F"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Bache, I.; Scott, K. [eds] (2018) </w:t>
      </w:r>
      <w:r w:rsidRPr="00364172">
        <w:rPr>
          <w:rFonts w:asciiTheme="majorHAnsi" w:eastAsia="MS Mincho" w:hAnsiTheme="majorHAnsi" w:cstheme="majorHAnsi"/>
          <w:i/>
        </w:rPr>
        <w:t>The Politics of Wellbeing: Theory, Policy and Practice,</w:t>
      </w:r>
      <w:r w:rsidRPr="00364172">
        <w:rPr>
          <w:rFonts w:asciiTheme="majorHAnsi" w:eastAsia="MS Mincho" w:hAnsiTheme="majorHAnsi" w:cstheme="majorHAnsi"/>
        </w:rPr>
        <w:t xml:space="preserve"> Palgrave Macmillan</w:t>
      </w:r>
    </w:p>
    <w:p w14:paraId="671CB9D2"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Bali, A.S.; Ramesh, M. (2021) ‘Governing healthcare in India: A policy capacity perspective’, </w:t>
      </w:r>
      <w:r w:rsidRPr="00364172">
        <w:rPr>
          <w:rFonts w:asciiTheme="majorHAnsi" w:eastAsia="MS Mincho" w:hAnsiTheme="majorHAnsi" w:cstheme="majorHAnsi"/>
          <w:i/>
          <w:iCs/>
        </w:rPr>
        <w:t>International Journal of Administrative Sciences</w:t>
      </w:r>
      <w:r w:rsidRPr="00364172">
        <w:rPr>
          <w:rFonts w:asciiTheme="majorHAnsi" w:eastAsia="MS Mincho" w:hAnsiTheme="majorHAnsi" w:cstheme="majorHAnsi"/>
        </w:rPr>
        <w:t xml:space="preserve"> 87(2): 275-93</w:t>
      </w:r>
    </w:p>
    <w:p w14:paraId="5411A2DA"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BEIS [UK Department of Business, Energy &amp; Industrial Strategy] (2021) </w:t>
      </w:r>
      <w:r w:rsidRPr="00364172">
        <w:rPr>
          <w:rFonts w:asciiTheme="majorHAnsi" w:eastAsia="MS Mincho" w:hAnsiTheme="majorHAnsi" w:cstheme="majorHAnsi"/>
          <w:i/>
          <w:iCs/>
        </w:rPr>
        <w:t xml:space="preserve">R&amp;D People and Culture Strategy: People at the heart of R&amp;D. </w:t>
      </w:r>
    </w:p>
    <w:p w14:paraId="43A15ECF" w14:textId="77777777" w:rsidR="00275656" w:rsidRPr="00364172" w:rsidRDefault="00275656" w:rsidP="00275656">
      <w:pPr>
        <w:rPr>
          <w:rFonts w:asciiTheme="majorHAnsi" w:eastAsia="MS Mincho" w:hAnsiTheme="majorHAnsi" w:cstheme="majorHAnsi"/>
          <w:highlight w:val="yellow"/>
        </w:rPr>
      </w:pPr>
      <w:hyperlink r:id="rId9" w:history="1">
        <w:r w:rsidRPr="00364172">
          <w:rPr>
            <w:rFonts w:asciiTheme="majorHAnsi" w:eastAsia="MS Mincho" w:hAnsiTheme="majorHAnsi" w:cstheme="majorHAnsi"/>
            <w:color w:val="0000FF"/>
            <w:u w:val="single"/>
          </w:rPr>
          <w:t>www.gov.uk/government/publications/research-and-development-rd-people-and-culture-strategy</w:t>
        </w:r>
      </w:hyperlink>
    </w:p>
    <w:p w14:paraId="20BF0E55" w14:textId="77777777" w:rsidR="00275656" w:rsidRPr="00364172" w:rsidRDefault="00275656" w:rsidP="00275656">
      <w:pPr>
        <w:ind w:left="720" w:hanging="720"/>
        <w:rPr>
          <w:rFonts w:asciiTheme="majorHAnsi" w:eastAsia="MS Mincho" w:hAnsiTheme="majorHAnsi" w:cstheme="majorHAnsi"/>
          <w:u w:val="single"/>
        </w:rPr>
      </w:pPr>
      <w:r w:rsidRPr="00364172">
        <w:rPr>
          <w:rFonts w:asciiTheme="majorHAnsi" w:eastAsia="MS Mincho" w:hAnsiTheme="majorHAnsi" w:cstheme="majorHAnsi"/>
        </w:rPr>
        <w:t xml:space="preserve">Berry, C.; Niven, J.E.; Hazell C.M. (2021) ‘Personal, social and relational predictors of UK postgraduate researcher mental health problems’, </w:t>
      </w:r>
      <w:proofErr w:type="spellStart"/>
      <w:r w:rsidRPr="00364172">
        <w:rPr>
          <w:rFonts w:asciiTheme="majorHAnsi" w:eastAsia="MS Mincho" w:hAnsiTheme="majorHAnsi" w:cstheme="majorHAnsi"/>
          <w:i/>
          <w:iCs/>
        </w:rPr>
        <w:t>BJPsych</w:t>
      </w:r>
      <w:proofErr w:type="spellEnd"/>
      <w:r w:rsidRPr="00364172">
        <w:rPr>
          <w:rFonts w:asciiTheme="majorHAnsi" w:eastAsia="MS Mincho" w:hAnsiTheme="majorHAnsi" w:cstheme="majorHAnsi"/>
          <w:i/>
          <w:iCs/>
        </w:rPr>
        <w:t xml:space="preserve"> Open</w:t>
      </w:r>
      <w:r w:rsidRPr="00364172">
        <w:rPr>
          <w:rFonts w:asciiTheme="majorHAnsi" w:eastAsia="MS Mincho" w:hAnsiTheme="majorHAnsi" w:cstheme="majorHAnsi"/>
        </w:rPr>
        <w:t xml:space="preserve"> </w:t>
      </w:r>
      <w:proofErr w:type="gramStart"/>
      <w:r w:rsidRPr="00364172">
        <w:rPr>
          <w:rFonts w:asciiTheme="majorHAnsi" w:eastAsia="MS Mincho" w:hAnsiTheme="majorHAnsi" w:cstheme="majorHAnsi"/>
        </w:rPr>
        <w:t>7:E</w:t>
      </w:r>
      <w:proofErr w:type="gramEnd"/>
      <w:r w:rsidRPr="00364172">
        <w:rPr>
          <w:rFonts w:asciiTheme="majorHAnsi" w:eastAsia="MS Mincho" w:hAnsiTheme="majorHAnsi" w:cstheme="majorHAnsi"/>
        </w:rPr>
        <w:t>205, 1-11</w:t>
      </w:r>
    </w:p>
    <w:p w14:paraId="5C959244" w14:textId="77777777" w:rsidR="00275656" w:rsidRPr="00364172" w:rsidRDefault="00275656" w:rsidP="00275656">
      <w:pPr>
        <w:rPr>
          <w:rFonts w:asciiTheme="majorHAnsi" w:eastAsia="MS Mincho" w:hAnsiTheme="majorHAnsi" w:cstheme="majorHAnsi"/>
        </w:rPr>
      </w:pPr>
      <w:r w:rsidRPr="00364172">
        <w:rPr>
          <w:rFonts w:asciiTheme="majorHAnsi" w:eastAsia="MS Mincho" w:hAnsiTheme="majorHAnsi" w:cstheme="majorHAnsi"/>
        </w:rPr>
        <w:t xml:space="preserve">Braun, V.; Clarke, V. (2021) </w:t>
      </w:r>
      <w:r w:rsidRPr="00364172">
        <w:rPr>
          <w:rFonts w:asciiTheme="majorHAnsi" w:eastAsia="MS Mincho" w:hAnsiTheme="majorHAnsi" w:cstheme="majorHAnsi"/>
          <w:i/>
          <w:iCs/>
        </w:rPr>
        <w:t xml:space="preserve">Thematic analysis: a practical guide. </w:t>
      </w:r>
      <w:r w:rsidRPr="00364172">
        <w:rPr>
          <w:rFonts w:asciiTheme="majorHAnsi" w:eastAsia="MS Mincho" w:hAnsiTheme="majorHAnsi" w:cstheme="majorHAnsi"/>
        </w:rPr>
        <w:t>Sage</w:t>
      </w:r>
    </w:p>
    <w:p w14:paraId="71192E2A"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Braun, V.; Clarke, V. (2022) ‘Conceptual and design thinking for thematic analysis’, </w:t>
      </w:r>
      <w:r w:rsidRPr="00364172">
        <w:rPr>
          <w:rFonts w:asciiTheme="majorHAnsi" w:eastAsia="MS Mincho" w:hAnsiTheme="majorHAnsi" w:cstheme="majorHAnsi"/>
          <w:i/>
          <w:iCs/>
        </w:rPr>
        <w:t>Qualitative Psychology</w:t>
      </w:r>
      <w:r w:rsidRPr="00364172">
        <w:rPr>
          <w:rFonts w:asciiTheme="majorHAnsi" w:eastAsia="MS Mincho" w:hAnsiTheme="majorHAnsi" w:cstheme="majorHAnsi"/>
        </w:rPr>
        <w:t xml:space="preserve"> 9(1): 3–26</w:t>
      </w:r>
    </w:p>
    <w:p w14:paraId="6E0CFDF0"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lastRenderedPageBreak/>
        <w:t xml:space="preserve">Brenton, S.; </w:t>
      </w:r>
      <w:proofErr w:type="spellStart"/>
      <w:r w:rsidRPr="00364172">
        <w:rPr>
          <w:rFonts w:asciiTheme="majorHAnsi" w:eastAsia="MS Mincho" w:hAnsiTheme="majorHAnsi" w:cstheme="majorHAnsi"/>
        </w:rPr>
        <w:t>Baekkeskov</w:t>
      </w:r>
      <w:proofErr w:type="spellEnd"/>
      <w:r w:rsidRPr="00364172">
        <w:rPr>
          <w:rFonts w:asciiTheme="majorHAnsi" w:eastAsia="MS Mincho" w:hAnsiTheme="majorHAnsi" w:cstheme="majorHAnsi"/>
        </w:rPr>
        <w:t xml:space="preserve">, E.; Hannah, A. (2023) ‘Policy capacity: evolving theory and missing links’, </w:t>
      </w:r>
      <w:r w:rsidRPr="00364172">
        <w:rPr>
          <w:rFonts w:asciiTheme="majorHAnsi" w:eastAsia="MS Mincho" w:hAnsiTheme="majorHAnsi" w:cstheme="majorHAnsi"/>
          <w:i/>
          <w:iCs/>
        </w:rPr>
        <w:t>Policy Studies</w:t>
      </w:r>
      <w:r w:rsidRPr="00364172">
        <w:rPr>
          <w:rFonts w:asciiTheme="majorHAnsi" w:eastAsia="MS Mincho" w:hAnsiTheme="majorHAnsi" w:cstheme="majorHAnsi"/>
        </w:rPr>
        <w:t xml:space="preserve"> 44(3): 297-315</w:t>
      </w:r>
    </w:p>
    <w:p w14:paraId="0376C39F"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Briscoe-Palmer, S.; Mattocks, K. (2021) ‘Career Development and Progression of Early Career Academics in Political Science: A Gendered Perspective’, </w:t>
      </w:r>
      <w:r w:rsidRPr="00364172">
        <w:rPr>
          <w:rFonts w:asciiTheme="majorHAnsi" w:eastAsia="MS Mincho" w:hAnsiTheme="majorHAnsi" w:cstheme="majorHAnsi"/>
          <w:i/>
          <w:iCs/>
        </w:rPr>
        <w:t>Political Studies Review</w:t>
      </w:r>
      <w:r w:rsidRPr="00364172">
        <w:rPr>
          <w:rFonts w:asciiTheme="majorHAnsi" w:eastAsia="MS Mincho" w:hAnsiTheme="majorHAnsi" w:cstheme="majorHAnsi"/>
        </w:rPr>
        <w:t xml:space="preserve"> 19(1): 42–57</w:t>
      </w:r>
    </w:p>
    <w:p w14:paraId="7E3B5FBC"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Brown, P. (2016) </w:t>
      </w:r>
      <w:r w:rsidRPr="00364172">
        <w:rPr>
          <w:rFonts w:asciiTheme="majorHAnsi" w:eastAsia="MS Mincho" w:hAnsiTheme="majorHAnsi" w:cstheme="majorHAnsi"/>
          <w:i/>
          <w:iCs/>
        </w:rPr>
        <w:t>The Invisible Problem? Improving students’ mental health,</w:t>
      </w:r>
      <w:r w:rsidRPr="00364172">
        <w:rPr>
          <w:rFonts w:asciiTheme="majorHAnsi" w:eastAsia="MS Mincho" w:hAnsiTheme="majorHAnsi" w:cstheme="majorHAnsi"/>
        </w:rPr>
        <w:t xml:space="preserve"> HEPI Report no. 88. Higher Education Policy Institute</w:t>
      </w:r>
    </w:p>
    <w:p w14:paraId="46D4993F"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Brough, P.; Wall, T.; Cooper, C. (2021) ‘Organizational wellbeing: An introduction and future directions’ in T. Wall, C. L. Cooper and P. Brough (eds), </w:t>
      </w:r>
      <w:r w:rsidRPr="00364172">
        <w:rPr>
          <w:rFonts w:asciiTheme="majorHAnsi" w:eastAsia="MS Mincho" w:hAnsiTheme="majorHAnsi" w:cstheme="majorHAnsi"/>
          <w:i/>
          <w:iCs/>
        </w:rPr>
        <w:t>The Sage handbook of organizational wellbeing</w:t>
      </w:r>
      <w:r w:rsidRPr="00364172">
        <w:rPr>
          <w:rFonts w:asciiTheme="majorHAnsi" w:eastAsia="MS Mincho" w:hAnsiTheme="majorHAnsi" w:cstheme="majorHAnsi"/>
        </w:rPr>
        <w:t>. Sage UK. Ch 1</w:t>
      </w:r>
    </w:p>
    <w:p w14:paraId="6507D9BB"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Burke, R.J.; </w:t>
      </w:r>
      <w:proofErr w:type="spellStart"/>
      <w:r w:rsidRPr="00364172">
        <w:rPr>
          <w:rFonts w:asciiTheme="majorHAnsi" w:eastAsia="MS Mincho" w:hAnsiTheme="majorHAnsi" w:cstheme="majorHAnsi"/>
        </w:rPr>
        <w:t>Pignata</w:t>
      </w:r>
      <w:proofErr w:type="spellEnd"/>
      <w:r w:rsidRPr="00364172">
        <w:rPr>
          <w:rFonts w:asciiTheme="majorHAnsi" w:eastAsia="MS Mincho" w:hAnsiTheme="majorHAnsi" w:cstheme="majorHAnsi"/>
        </w:rPr>
        <w:t xml:space="preserve">, S. [eds] (2020) </w:t>
      </w:r>
      <w:r w:rsidRPr="00364172">
        <w:rPr>
          <w:rFonts w:asciiTheme="majorHAnsi" w:eastAsia="MS Mincho" w:hAnsiTheme="majorHAnsi" w:cstheme="majorHAnsi"/>
          <w:i/>
        </w:rPr>
        <w:t>Handbook of research on stress and well-being in the public sector.</w:t>
      </w:r>
      <w:r w:rsidRPr="00364172">
        <w:rPr>
          <w:rFonts w:asciiTheme="majorHAnsi" w:eastAsia="MS Mincho" w:hAnsiTheme="majorHAnsi" w:cstheme="majorHAnsi"/>
        </w:rPr>
        <w:t xml:space="preserve"> Edward Elgar.</w:t>
      </w:r>
    </w:p>
    <w:p w14:paraId="7938BE96"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Byrom, N.C.; Dinu, L.; Kirkman, A.; Hughes, G. (2022) ‘Predicting stress and mental wellbeing among doctoral researchers’, </w:t>
      </w:r>
      <w:r w:rsidRPr="00364172">
        <w:rPr>
          <w:rFonts w:asciiTheme="majorHAnsi" w:eastAsia="MS Mincho" w:hAnsiTheme="majorHAnsi" w:cstheme="majorHAnsi"/>
          <w:i/>
          <w:iCs/>
        </w:rPr>
        <w:t xml:space="preserve">Journal of Mental Health </w:t>
      </w:r>
      <w:r w:rsidRPr="00364172">
        <w:rPr>
          <w:rFonts w:asciiTheme="majorHAnsi" w:eastAsia="MS Mincho" w:hAnsiTheme="majorHAnsi" w:cstheme="majorHAnsi"/>
        </w:rPr>
        <w:t>31(6):783-791</w:t>
      </w:r>
    </w:p>
    <w:p w14:paraId="10F470AA"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Capano, G.; Howlett, M. (2020) ‘The knowns and unknowns of policy instrument analysis: Policy tools and the current research agenda on policy mixes’, </w:t>
      </w:r>
      <w:r w:rsidRPr="00364172">
        <w:rPr>
          <w:rFonts w:asciiTheme="majorHAnsi" w:eastAsia="MS Mincho" w:hAnsiTheme="majorHAnsi" w:cstheme="majorHAnsi"/>
          <w:i/>
          <w:iCs/>
        </w:rPr>
        <w:t>SAGE Open</w:t>
      </w:r>
      <w:r w:rsidRPr="00364172">
        <w:rPr>
          <w:rFonts w:asciiTheme="majorHAnsi" w:eastAsia="MS Mincho" w:hAnsiTheme="majorHAnsi" w:cstheme="majorHAnsi"/>
        </w:rPr>
        <w:t xml:space="preserve"> 10 (Jan-Mar 2020) https://doi. org/10.1177/2158244019900568</w:t>
      </w:r>
    </w:p>
    <w:p w14:paraId="0C92DA17" w14:textId="77777777" w:rsidR="00275656" w:rsidRDefault="00275656" w:rsidP="00275656">
      <w:pPr>
        <w:ind w:left="720" w:hanging="720"/>
        <w:rPr>
          <w:rFonts w:asciiTheme="majorHAnsi" w:eastAsia="MS Mincho" w:hAnsiTheme="majorHAnsi" w:cstheme="majorHAnsi"/>
          <w:bCs/>
          <w:lang w:val="en-US"/>
        </w:rPr>
      </w:pPr>
      <w:r w:rsidRPr="00364172">
        <w:rPr>
          <w:rFonts w:asciiTheme="majorHAnsi" w:eastAsia="MS Mincho" w:hAnsiTheme="majorHAnsi" w:cstheme="majorHAnsi"/>
        </w:rPr>
        <w:t>Capano, G.; Howlett, M.; Jarvis, D.S.L.; Ramesh, M.; Goyal, N. (2020) ‘</w:t>
      </w:r>
      <w:r w:rsidRPr="00364172">
        <w:rPr>
          <w:rFonts w:asciiTheme="majorHAnsi" w:eastAsia="MS Mincho" w:hAnsiTheme="majorHAnsi" w:cstheme="majorHAnsi"/>
          <w:bCs/>
          <w:lang w:val="en-US"/>
        </w:rPr>
        <w:t xml:space="preserve">Mobilizing Policy (In)Capacity to Fight COVID-19: Understanding Variations in State Responses’, </w:t>
      </w:r>
      <w:r w:rsidRPr="00364172">
        <w:rPr>
          <w:rFonts w:asciiTheme="majorHAnsi" w:eastAsia="MS Mincho" w:hAnsiTheme="majorHAnsi" w:cstheme="majorHAnsi"/>
          <w:bCs/>
          <w:i/>
          <w:lang w:val="en-US"/>
        </w:rPr>
        <w:t>Policy and Society</w:t>
      </w:r>
      <w:r w:rsidRPr="00364172">
        <w:rPr>
          <w:rFonts w:asciiTheme="majorHAnsi" w:eastAsia="MS Mincho" w:hAnsiTheme="majorHAnsi" w:cstheme="majorHAnsi"/>
          <w:bCs/>
          <w:lang w:val="en-US"/>
        </w:rPr>
        <w:t xml:space="preserve"> 39(3): 285-308 </w:t>
      </w:r>
    </w:p>
    <w:p w14:paraId="7C544016" w14:textId="77777777" w:rsidR="006F1FEB" w:rsidRDefault="006F1FEB" w:rsidP="006F1FEB">
      <w:pPr>
        <w:ind w:left="720" w:hanging="720"/>
        <w:rPr>
          <w:rFonts w:asciiTheme="majorHAnsi" w:hAnsiTheme="majorHAnsi" w:cstheme="majorHAnsi"/>
          <w:lang w:val="en-US"/>
        </w:rPr>
      </w:pPr>
      <w:r w:rsidRPr="00F2518C">
        <w:rPr>
          <w:rFonts w:asciiTheme="majorHAnsi" w:hAnsiTheme="majorHAnsi" w:cstheme="majorHAnsi"/>
          <w:lang w:val="en-US"/>
        </w:rPr>
        <w:t>Capano, G.</w:t>
      </w:r>
      <w:r>
        <w:rPr>
          <w:rFonts w:asciiTheme="majorHAnsi" w:hAnsiTheme="majorHAnsi" w:cstheme="majorHAnsi"/>
          <w:lang w:val="en-US"/>
        </w:rPr>
        <w:t>;</w:t>
      </w:r>
      <w:r w:rsidRPr="00F2518C">
        <w:rPr>
          <w:rFonts w:asciiTheme="majorHAnsi" w:hAnsiTheme="majorHAnsi" w:cstheme="majorHAnsi"/>
          <w:lang w:val="en-US"/>
        </w:rPr>
        <w:t xml:space="preserve"> Lippi, A. (2021) </w:t>
      </w:r>
      <w:r>
        <w:rPr>
          <w:rFonts w:asciiTheme="majorHAnsi" w:hAnsiTheme="majorHAnsi" w:cstheme="majorHAnsi"/>
          <w:lang w:val="en-US"/>
        </w:rPr>
        <w:t>‘</w:t>
      </w:r>
      <w:r w:rsidRPr="00F2518C">
        <w:rPr>
          <w:rFonts w:asciiTheme="majorHAnsi" w:hAnsiTheme="majorHAnsi" w:cstheme="majorHAnsi"/>
          <w:lang w:val="en-US"/>
        </w:rPr>
        <w:t>Decentralization, policy capacities, and varieties of first health response to the COVID-19 outbreak: evidence from three regions in Italy</w:t>
      </w:r>
      <w:r>
        <w:rPr>
          <w:rFonts w:asciiTheme="majorHAnsi" w:hAnsiTheme="majorHAnsi" w:cstheme="majorHAnsi"/>
          <w:lang w:val="en-US"/>
        </w:rPr>
        <w:t>’</w:t>
      </w:r>
      <w:r w:rsidRPr="00F2518C">
        <w:rPr>
          <w:rFonts w:asciiTheme="majorHAnsi" w:hAnsiTheme="majorHAnsi" w:cstheme="majorHAnsi"/>
          <w:lang w:val="en-US"/>
        </w:rPr>
        <w:t xml:space="preserve">, </w:t>
      </w:r>
      <w:r w:rsidRPr="00F2518C">
        <w:rPr>
          <w:rFonts w:asciiTheme="majorHAnsi" w:hAnsiTheme="majorHAnsi" w:cstheme="majorHAnsi"/>
          <w:i/>
          <w:iCs/>
          <w:lang w:val="en-US"/>
        </w:rPr>
        <w:t>Journal of European Public Policy</w:t>
      </w:r>
      <w:r w:rsidRPr="00F2518C">
        <w:rPr>
          <w:rFonts w:asciiTheme="majorHAnsi" w:hAnsiTheme="majorHAnsi" w:cstheme="majorHAnsi"/>
          <w:lang w:val="en-US"/>
        </w:rPr>
        <w:t xml:space="preserve"> 28</w:t>
      </w:r>
      <w:r>
        <w:rPr>
          <w:rFonts w:asciiTheme="majorHAnsi" w:hAnsiTheme="majorHAnsi" w:cstheme="majorHAnsi"/>
          <w:lang w:val="en-US"/>
        </w:rPr>
        <w:t>(</w:t>
      </w:r>
      <w:r w:rsidRPr="00F2518C">
        <w:rPr>
          <w:rFonts w:asciiTheme="majorHAnsi" w:hAnsiTheme="majorHAnsi" w:cstheme="majorHAnsi"/>
          <w:lang w:val="en-US"/>
        </w:rPr>
        <w:t>8</w:t>
      </w:r>
      <w:r>
        <w:rPr>
          <w:rFonts w:asciiTheme="majorHAnsi" w:hAnsiTheme="majorHAnsi" w:cstheme="majorHAnsi"/>
          <w:lang w:val="en-US"/>
        </w:rPr>
        <w:t>):</w:t>
      </w:r>
      <w:r w:rsidRPr="00F2518C">
        <w:rPr>
          <w:rFonts w:asciiTheme="majorHAnsi" w:hAnsiTheme="majorHAnsi" w:cstheme="majorHAnsi"/>
          <w:lang w:val="en-US"/>
        </w:rPr>
        <w:t xml:space="preserve"> 1197-1218</w:t>
      </w:r>
    </w:p>
    <w:p w14:paraId="78C55DE6"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Casey, C.; Harvey, O.; Taylor, J.; Knight, F.; Trenoweth, S. (2022) ‘Exploring the wellbeing and resilience of postgraduate researchers’, </w:t>
      </w:r>
      <w:r w:rsidRPr="00364172">
        <w:rPr>
          <w:rFonts w:asciiTheme="majorHAnsi" w:eastAsia="MS Mincho" w:hAnsiTheme="majorHAnsi" w:cstheme="majorHAnsi"/>
          <w:i/>
          <w:iCs/>
        </w:rPr>
        <w:t>Journal of Further and Higher Education</w:t>
      </w:r>
      <w:r w:rsidRPr="00364172">
        <w:rPr>
          <w:rFonts w:asciiTheme="majorHAnsi" w:eastAsia="MS Mincho" w:hAnsiTheme="majorHAnsi" w:cstheme="majorHAnsi"/>
        </w:rPr>
        <w:t>, DOI: 10.1080/0309877X.2021.2018413</w:t>
      </w:r>
    </w:p>
    <w:p w14:paraId="46B02D93" w14:textId="77777777" w:rsidR="00275656" w:rsidRPr="00364172" w:rsidRDefault="00275656" w:rsidP="00275656">
      <w:pPr>
        <w:ind w:left="720" w:hanging="720"/>
        <w:rPr>
          <w:rFonts w:asciiTheme="majorHAnsi" w:eastAsia="MS Mincho" w:hAnsiTheme="majorHAnsi" w:cstheme="majorHAnsi"/>
          <w:bCs/>
          <w:lang w:val="en-US"/>
        </w:rPr>
      </w:pPr>
      <w:r w:rsidRPr="00364172">
        <w:rPr>
          <w:rFonts w:asciiTheme="majorHAnsi" w:eastAsia="MS Mincho" w:hAnsiTheme="majorHAnsi" w:cstheme="majorHAnsi"/>
          <w:bCs/>
          <w:lang w:val="en-US"/>
        </w:rPr>
        <w:t xml:space="preserve">Cornell, B. (2020) </w:t>
      </w:r>
      <w:r w:rsidRPr="00364172">
        <w:rPr>
          <w:rFonts w:asciiTheme="majorHAnsi" w:eastAsia="MS Mincho" w:hAnsiTheme="majorHAnsi" w:cstheme="majorHAnsi"/>
          <w:bCs/>
          <w:i/>
          <w:iCs/>
          <w:lang w:val="en-US"/>
        </w:rPr>
        <w:t>PhD life: the UK student experience</w:t>
      </w:r>
      <w:r w:rsidRPr="00364172">
        <w:rPr>
          <w:rFonts w:asciiTheme="majorHAnsi" w:eastAsia="MS Mincho" w:hAnsiTheme="majorHAnsi" w:cstheme="majorHAnsi"/>
          <w:bCs/>
          <w:lang w:val="en-US"/>
        </w:rPr>
        <w:t>. HEPI Report 131. Higher Education Policy Institute</w:t>
      </w:r>
    </w:p>
    <w:p w14:paraId="6FD14554"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Crook, S. (2020) ‘Historicising the “Crisis” in Undergraduate Mental Health: British Universities and Student Mental Illness, 1944–1968’, </w:t>
      </w:r>
      <w:r w:rsidRPr="00364172">
        <w:rPr>
          <w:rFonts w:asciiTheme="majorHAnsi" w:eastAsia="MS Mincho" w:hAnsiTheme="majorHAnsi" w:cstheme="majorHAnsi"/>
          <w:i/>
          <w:iCs/>
        </w:rPr>
        <w:t>Journal of the History of Medicine and Allied Sciences</w:t>
      </w:r>
      <w:r w:rsidRPr="00364172">
        <w:rPr>
          <w:rFonts w:asciiTheme="majorHAnsi" w:eastAsia="MS Mincho" w:hAnsiTheme="majorHAnsi" w:cstheme="majorHAnsi"/>
        </w:rPr>
        <w:t xml:space="preserve"> 75(2): 193–220</w:t>
      </w:r>
    </w:p>
    <w:p w14:paraId="4A5D9B0E"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DfE [UK Department for Education] (2023) </w:t>
      </w:r>
      <w:r w:rsidRPr="00364172">
        <w:rPr>
          <w:rFonts w:asciiTheme="majorHAnsi" w:eastAsia="MS Mincho" w:hAnsiTheme="majorHAnsi" w:cstheme="majorHAnsi"/>
          <w:i/>
          <w:iCs/>
        </w:rPr>
        <w:t>HE providers’ policies and practices to support student mental health: Research report</w:t>
      </w:r>
      <w:r w:rsidRPr="00364172">
        <w:rPr>
          <w:rFonts w:asciiTheme="majorHAnsi" w:eastAsia="MS Mincho" w:hAnsiTheme="majorHAnsi" w:cstheme="majorHAnsi"/>
        </w:rPr>
        <w:t>. Authors: IFF Research. Government Social Research, May 2023</w:t>
      </w:r>
    </w:p>
    <w:p w14:paraId="04124587" w14:textId="77777777" w:rsidR="00275656" w:rsidRPr="00364172" w:rsidRDefault="00275656" w:rsidP="00275656">
      <w:pPr>
        <w:ind w:left="720" w:hanging="720"/>
        <w:rPr>
          <w:rFonts w:asciiTheme="majorHAnsi" w:eastAsia="MS Mincho" w:hAnsiTheme="majorHAnsi" w:cstheme="majorHAnsi"/>
          <w:bCs/>
          <w:lang w:val="en-US"/>
        </w:rPr>
      </w:pPr>
      <w:r w:rsidRPr="00364172">
        <w:rPr>
          <w:rFonts w:asciiTheme="majorHAnsi" w:eastAsia="MS Mincho" w:hAnsiTheme="majorHAnsi" w:cstheme="majorHAnsi"/>
          <w:bCs/>
          <w:lang w:val="en-US"/>
        </w:rPr>
        <w:t xml:space="preserve">Dodd, A.L.; Priestley, M.; Tyrrell, K.; Cygan, S.; Newell, C.; Byrom, N.C. (2021) ‘University student well-being in the United Kingdom: a scoping review of its </w:t>
      </w:r>
      <w:proofErr w:type="spellStart"/>
      <w:r w:rsidRPr="00364172">
        <w:rPr>
          <w:rFonts w:asciiTheme="majorHAnsi" w:eastAsia="MS Mincho" w:hAnsiTheme="majorHAnsi" w:cstheme="majorHAnsi"/>
          <w:bCs/>
          <w:lang w:val="en-US"/>
        </w:rPr>
        <w:t>conceptualisation</w:t>
      </w:r>
      <w:proofErr w:type="spellEnd"/>
      <w:r w:rsidRPr="00364172">
        <w:rPr>
          <w:rFonts w:asciiTheme="majorHAnsi" w:eastAsia="MS Mincho" w:hAnsiTheme="majorHAnsi" w:cstheme="majorHAnsi"/>
          <w:bCs/>
          <w:lang w:val="en-US"/>
        </w:rPr>
        <w:t xml:space="preserve"> and measurement’, </w:t>
      </w:r>
      <w:r w:rsidRPr="00364172">
        <w:rPr>
          <w:rFonts w:asciiTheme="majorHAnsi" w:eastAsia="MS Mincho" w:hAnsiTheme="majorHAnsi" w:cstheme="majorHAnsi"/>
          <w:bCs/>
          <w:i/>
          <w:iCs/>
          <w:lang w:val="en-US"/>
        </w:rPr>
        <w:t>Journal of Mental Health</w:t>
      </w:r>
      <w:r w:rsidRPr="00364172">
        <w:rPr>
          <w:rFonts w:asciiTheme="majorHAnsi" w:eastAsia="MS Mincho" w:hAnsiTheme="majorHAnsi" w:cstheme="majorHAnsi"/>
          <w:bCs/>
          <w:lang w:val="en-US"/>
        </w:rPr>
        <w:t xml:space="preserve"> 30(3): 375-387</w:t>
      </w:r>
    </w:p>
    <w:p w14:paraId="4C01EC90"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Hazell, C.M.; Chapman, L.; Valeix, S.F.; Roberts, P.; Niven, J.E.; Berry, C. (2020) ‘Understanding the mental health of doctoral researchers: a mixed methods systematic review with meta-analysis and meta-synthesis’, </w:t>
      </w:r>
      <w:r w:rsidRPr="00364172">
        <w:rPr>
          <w:rFonts w:asciiTheme="majorHAnsi" w:eastAsia="MS Mincho" w:hAnsiTheme="majorHAnsi" w:cstheme="majorHAnsi"/>
          <w:i/>
          <w:iCs/>
        </w:rPr>
        <w:t>Systematic Reviews</w:t>
      </w:r>
      <w:r w:rsidRPr="00364172">
        <w:rPr>
          <w:rFonts w:asciiTheme="majorHAnsi" w:eastAsia="MS Mincho" w:hAnsiTheme="majorHAnsi" w:cstheme="majorHAnsi"/>
        </w:rPr>
        <w:t xml:space="preserve"> 9(197): 1–30</w:t>
      </w:r>
    </w:p>
    <w:p w14:paraId="00DD23B6"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Hazell, C.M.; Niven, J.E.; Chapman, L.; Roberts, P.E.; Cartwright-Hatton, S.; Valeix, S.; Berry, C. (2021) ‘Nationwide assessment of the mental health of UK Doctoral Researchers’, </w:t>
      </w:r>
      <w:r w:rsidRPr="00364172">
        <w:rPr>
          <w:rFonts w:asciiTheme="majorHAnsi" w:eastAsia="MS Mincho" w:hAnsiTheme="majorHAnsi" w:cstheme="majorHAnsi"/>
          <w:i/>
          <w:iCs/>
        </w:rPr>
        <w:t>Humanities and Social Sciences Communications</w:t>
      </w:r>
      <w:r w:rsidRPr="00364172">
        <w:rPr>
          <w:rFonts w:asciiTheme="majorHAnsi" w:eastAsia="MS Mincho" w:hAnsiTheme="majorHAnsi" w:cstheme="majorHAnsi"/>
        </w:rPr>
        <w:t xml:space="preserve"> 8, 305</w:t>
      </w:r>
    </w:p>
    <w:p w14:paraId="3EAFB6F6" w14:textId="77777777" w:rsidR="00275656" w:rsidRPr="00364172" w:rsidRDefault="00275656" w:rsidP="00275656">
      <w:pPr>
        <w:ind w:left="720" w:hanging="720"/>
        <w:rPr>
          <w:rFonts w:asciiTheme="majorHAnsi" w:eastAsia="MS Mincho" w:hAnsiTheme="majorHAnsi" w:cstheme="majorHAnsi"/>
        </w:rPr>
      </w:pPr>
      <w:proofErr w:type="spellStart"/>
      <w:r w:rsidRPr="00364172">
        <w:rPr>
          <w:rFonts w:asciiTheme="majorHAnsi" w:eastAsia="MS Mincho" w:hAnsiTheme="majorHAnsi" w:cstheme="majorHAnsi"/>
        </w:rPr>
        <w:lastRenderedPageBreak/>
        <w:t>Hefce</w:t>
      </w:r>
      <w:proofErr w:type="spellEnd"/>
      <w:r w:rsidRPr="00364172">
        <w:rPr>
          <w:rFonts w:asciiTheme="majorHAnsi" w:eastAsia="MS Mincho" w:hAnsiTheme="majorHAnsi" w:cstheme="majorHAnsi"/>
        </w:rPr>
        <w:t xml:space="preserve"> [Higher Education Funding Council for England] (2017</w:t>
      </w:r>
      <w:r w:rsidRPr="00364172">
        <w:rPr>
          <w:rFonts w:asciiTheme="majorHAnsi" w:eastAsia="MS Mincho" w:hAnsiTheme="majorHAnsi" w:cstheme="majorHAnsi"/>
          <w:i/>
          <w:iCs/>
        </w:rPr>
        <w:t>) HEFCE Circular letter 40/2017 Catalyst Fund: Supporting mental health and wellbeing for postgraduate research students</w:t>
      </w:r>
      <w:r w:rsidRPr="00364172">
        <w:rPr>
          <w:rFonts w:asciiTheme="majorHAnsi" w:eastAsia="MS Mincho" w:hAnsiTheme="majorHAnsi" w:cstheme="majorHAnsi"/>
        </w:rPr>
        <w:t>. 8 November 2017</w:t>
      </w:r>
    </w:p>
    <w:p w14:paraId="760ADDE5"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Hewitt, R. (2019) </w:t>
      </w:r>
      <w:r w:rsidRPr="00364172">
        <w:rPr>
          <w:rFonts w:asciiTheme="majorHAnsi" w:eastAsia="MS Mincho" w:hAnsiTheme="majorHAnsi" w:cstheme="majorHAnsi"/>
          <w:i/>
          <w:iCs/>
        </w:rPr>
        <w:t>Measuring well-being in Higher Education,</w:t>
      </w:r>
      <w:r w:rsidRPr="00364172">
        <w:rPr>
          <w:rFonts w:asciiTheme="majorHAnsi" w:eastAsia="MS Mincho" w:hAnsiTheme="majorHAnsi" w:cstheme="majorHAnsi"/>
        </w:rPr>
        <w:t xml:space="preserve"> HEPI Policy Note 13. Higher Education Policy Institute</w:t>
      </w:r>
    </w:p>
    <w:p w14:paraId="19EFA064"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Homer, S.R.; Solbrig, L.; Djama, D.; Bentley, A.; Kearns, S.; May, J. (2021) ‘The Researcher Toolkit: a preventative, peer-support approach to postgraduate research student mental health’, </w:t>
      </w:r>
      <w:r w:rsidRPr="00364172">
        <w:rPr>
          <w:rFonts w:asciiTheme="majorHAnsi" w:eastAsia="MS Mincho" w:hAnsiTheme="majorHAnsi" w:cstheme="majorHAnsi"/>
          <w:i/>
          <w:iCs/>
        </w:rPr>
        <w:t>Studies in Graduate and Postdoctoral Education</w:t>
      </w:r>
      <w:r w:rsidRPr="00364172">
        <w:rPr>
          <w:rFonts w:asciiTheme="majorHAnsi" w:eastAsia="MS Mincho" w:hAnsiTheme="majorHAnsi" w:cstheme="majorHAnsi"/>
        </w:rPr>
        <w:t xml:space="preserve"> 12(1): 7-25</w:t>
      </w:r>
    </w:p>
    <w:p w14:paraId="18E8DC18"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Howlett, M.; Ramesh, M. (2016) ‘Achilles’ heels of governance: Critical capacity deficits and their role in governance failures’ </w:t>
      </w:r>
      <w:r w:rsidRPr="00364172">
        <w:rPr>
          <w:rFonts w:asciiTheme="majorHAnsi" w:eastAsia="MS Mincho" w:hAnsiTheme="majorHAnsi" w:cstheme="majorHAnsi"/>
          <w:i/>
          <w:iCs/>
        </w:rPr>
        <w:t>Regulation and Governance</w:t>
      </w:r>
      <w:r w:rsidRPr="00364172">
        <w:rPr>
          <w:rFonts w:asciiTheme="majorHAnsi" w:eastAsia="MS Mincho" w:hAnsiTheme="majorHAnsi" w:cstheme="majorHAnsi"/>
        </w:rPr>
        <w:t xml:space="preserve"> 10: 301-313</w:t>
      </w:r>
    </w:p>
    <w:p w14:paraId="38504E4D" w14:textId="77777777" w:rsidR="00275656" w:rsidRPr="00364172" w:rsidRDefault="00275656" w:rsidP="00275656">
      <w:pPr>
        <w:ind w:left="720" w:hanging="720"/>
        <w:rPr>
          <w:rFonts w:asciiTheme="majorHAnsi" w:eastAsia="MS Mincho" w:hAnsiTheme="majorHAnsi" w:cstheme="majorHAnsi"/>
          <w:bCs/>
        </w:rPr>
      </w:pPr>
      <w:r w:rsidRPr="00364172">
        <w:rPr>
          <w:rFonts w:asciiTheme="majorHAnsi" w:eastAsia="MS Mincho" w:hAnsiTheme="majorHAnsi" w:cstheme="majorHAnsi"/>
          <w:bCs/>
        </w:rPr>
        <w:t xml:space="preserve">Hubble, S.; Bolton, P. (2020) </w:t>
      </w:r>
      <w:r w:rsidRPr="00364172">
        <w:rPr>
          <w:rFonts w:asciiTheme="majorHAnsi" w:eastAsia="MS Mincho" w:hAnsiTheme="majorHAnsi" w:cstheme="majorHAnsi"/>
          <w:bCs/>
          <w:i/>
          <w:iCs/>
        </w:rPr>
        <w:t>Support for students with mental health issues in higher education in England.</w:t>
      </w:r>
      <w:r w:rsidRPr="00364172">
        <w:rPr>
          <w:rFonts w:asciiTheme="majorHAnsi" w:eastAsia="MS Mincho" w:hAnsiTheme="majorHAnsi" w:cstheme="majorHAnsi"/>
          <w:bCs/>
        </w:rPr>
        <w:t xml:space="preserve"> House of Commons Library Briefing Paper no. 8593, 17 December. London: UK Commons Library, pp.1–16.</w:t>
      </w:r>
    </w:p>
    <w:p w14:paraId="7BD8A1AE"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Hughes, G.; Spanner, L. (2019) </w:t>
      </w:r>
      <w:r w:rsidRPr="00364172">
        <w:rPr>
          <w:rFonts w:asciiTheme="majorHAnsi" w:eastAsia="MS Mincho" w:hAnsiTheme="majorHAnsi" w:cstheme="majorHAnsi"/>
          <w:i/>
          <w:iCs/>
        </w:rPr>
        <w:t>The University Mental Health Charter</w:t>
      </w:r>
      <w:r w:rsidRPr="00364172">
        <w:rPr>
          <w:rFonts w:asciiTheme="majorHAnsi" w:eastAsia="MS Mincho" w:hAnsiTheme="majorHAnsi" w:cstheme="majorHAnsi"/>
        </w:rPr>
        <w:t>. Leeds: Student Minds</w:t>
      </w:r>
    </w:p>
    <w:p w14:paraId="40BF9BE1" w14:textId="77777777" w:rsidR="00275656" w:rsidRPr="00364172" w:rsidRDefault="00275656" w:rsidP="00275656">
      <w:pPr>
        <w:ind w:left="720" w:hanging="720"/>
        <w:rPr>
          <w:rFonts w:asciiTheme="majorHAnsi" w:eastAsia="MS Mincho" w:hAnsiTheme="majorHAnsi" w:cstheme="majorHAnsi"/>
          <w:bCs/>
          <w:lang w:val="en-AU"/>
        </w:rPr>
      </w:pPr>
      <w:r w:rsidRPr="00364172">
        <w:rPr>
          <w:rFonts w:asciiTheme="majorHAnsi" w:eastAsia="MS Mincho" w:hAnsiTheme="majorHAnsi" w:cstheme="majorHAnsi"/>
          <w:bCs/>
          <w:lang w:val="en-AU"/>
        </w:rPr>
        <w:t xml:space="preserve">Jones, D.R.; Wall, T.; Kenworthy, A.; Hurd, F.; Dyer, S.; Hedges, P.; Sankaran, S. (2023) ‘Hiding in plain sight: Exploring the complex pathways between tactical concealment and relational wellbeing’, </w:t>
      </w:r>
      <w:r w:rsidRPr="00364172">
        <w:rPr>
          <w:rFonts w:asciiTheme="majorHAnsi" w:eastAsia="MS Mincho" w:hAnsiTheme="majorHAnsi" w:cstheme="majorHAnsi"/>
          <w:bCs/>
          <w:i/>
          <w:iCs/>
          <w:lang w:val="en-AU"/>
        </w:rPr>
        <w:t>Organization</w:t>
      </w:r>
      <w:r w:rsidRPr="00364172">
        <w:rPr>
          <w:rFonts w:asciiTheme="majorHAnsi" w:eastAsia="MS Mincho" w:hAnsiTheme="majorHAnsi" w:cstheme="majorHAnsi"/>
          <w:bCs/>
          <w:lang w:val="en-AU"/>
        </w:rPr>
        <w:t xml:space="preserve"> 30(3): 473–489</w:t>
      </w:r>
    </w:p>
    <w:p w14:paraId="11CBD065"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Kinman, G.; Wray, S (2020) ‘Wellbeing in academic employees - a benchmarking approach’, in </w:t>
      </w:r>
      <w:proofErr w:type="spellStart"/>
      <w:r w:rsidRPr="00364172">
        <w:rPr>
          <w:rFonts w:asciiTheme="majorHAnsi" w:eastAsia="MS Mincho" w:hAnsiTheme="majorHAnsi" w:cstheme="majorHAnsi"/>
        </w:rPr>
        <w:t>R.</w:t>
      </w:r>
      <w:proofErr w:type="gramStart"/>
      <w:r w:rsidRPr="00364172">
        <w:rPr>
          <w:rFonts w:asciiTheme="majorHAnsi" w:eastAsia="MS Mincho" w:hAnsiTheme="majorHAnsi" w:cstheme="majorHAnsi"/>
        </w:rPr>
        <w:t>J.Burke</w:t>
      </w:r>
      <w:proofErr w:type="spellEnd"/>
      <w:proofErr w:type="gramEnd"/>
      <w:r w:rsidRPr="00364172">
        <w:rPr>
          <w:rFonts w:asciiTheme="majorHAnsi" w:eastAsia="MS Mincho" w:hAnsiTheme="majorHAnsi" w:cstheme="majorHAnsi"/>
        </w:rPr>
        <w:t xml:space="preserve"> and </w:t>
      </w:r>
      <w:proofErr w:type="spellStart"/>
      <w:r w:rsidRPr="00364172">
        <w:rPr>
          <w:rFonts w:asciiTheme="majorHAnsi" w:eastAsia="MS Mincho" w:hAnsiTheme="majorHAnsi" w:cstheme="majorHAnsi"/>
        </w:rPr>
        <w:t>S.Pignata</w:t>
      </w:r>
      <w:proofErr w:type="spellEnd"/>
      <w:r w:rsidRPr="00364172">
        <w:rPr>
          <w:rFonts w:asciiTheme="majorHAnsi" w:eastAsia="MS Mincho" w:hAnsiTheme="majorHAnsi" w:cstheme="majorHAnsi"/>
        </w:rPr>
        <w:t xml:space="preserve"> (eds) </w:t>
      </w:r>
      <w:r w:rsidRPr="00364172">
        <w:rPr>
          <w:rFonts w:asciiTheme="majorHAnsi" w:eastAsia="MS Mincho" w:hAnsiTheme="majorHAnsi" w:cstheme="majorHAnsi"/>
          <w:i/>
        </w:rPr>
        <w:t>Handbook of research on stress and well-being in the public sector.</w:t>
      </w:r>
      <w:r w:rsidRPr="00364172">
        <w:rPr>
          <w:rFonts w:asciiTheme="majorHAnsi" w:eastAsia="MS Mincho" w:hAnsiTheme="majorHAnsi" w:cstheme="majorHAnsi"/>
        </w:rPr>
        <w:t xml:space="preserve"> Edward Elgar. Ch 11, pp 151-166</w:t>
      </w:r>
    </w:p>
    <w:p w14:paraId="53067B5F" w14:textId="77777777" w:rsidR="00275656" w:rsidRPr="00364172" w:rsidRDefault="00275656" w:rsidP="00275656">
      <w:pPr>
        <w:ind w:left="720" w:hanging="720"/>
        <w:rPr>
          <w:rFonts w:asciiTheme="majorHAnsi" w:eastAsia="MS Mincho" w:hAnsiTheme="majorHAnsi" w:cstheme="majorHAnsi"/>
          <w:lang w:val="en-US"/>
        </w:rPr>
      </w:pPr>
      <w:r w:rsidRPr="00364172">
        <w:rPr>
          <w:rFonts w:asciiTheme="majorHAnsi" w:eastAsia="MS Mincho" w:hAnsiTheme="majorHAnsi" w:cstheme="majorHAnsi"/>
          <w:lang w:val="en-US"/>
        </w:rPr>
        <w:t xml:space="preserve">LGA [Local Government Association] (2023) </w:t>
      </w:r>
      <w:r w:rsidRPr="00364172">
        <w:rPr>
          <w:rFonts w:asciiTheme="majorHAnsi" w:eastAsia="MS Mincho" w:hAnsiTheme="majorHAnsi" w:cstheme="majorHAnsi"/>
          <w:i/>
          <w:iCs/>
          <w:lang w:val="en-US"/>
        </w:rPr>
        <w:t>Health and Wellbeing Hubs: Delivering local services under one roof.</w:t>
      </w:r>
      <w:r w:rsidRPr="00364172">
        <w:rPr>
          <w:rFonts w:asciiTheme="majorHAnsi" w:eastAsia="MS Mincho" w:hAnsiTheme="majorHAnsi" w:cstheme="majorHAnsi"/>
          <w:lang w:val="en-US"/>
        </w:rPr>
        <w:t xml:space="preserve"> 20 June 2023</w:t>
      </w:r>
    </w:p>
    <w:p w14:paraId="3AB7CCB2"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Loveday, V. (2018) ‘The neurotic academic: anxiety, casualisation, and governance in the </w:t>
      </w:r>
      <w:proofErr w:type="spellStart"/>
      <w:r w:rsidRPr="00364172">
        <w:rPr>
          <w:rFonts w:asciiTheme="majorHAnsi" w:eastAsia="MS Mincho" w:hAnsiTheme="majorHAnsi" w:cstheme="majorHAnsi"/>
        </w:rPr>
        <w:t>neoliberalising</w:t>
      </w:r>
      <w:proofErr w:type="spellEnd"/>
      <w:r w:rsidRPr="00364172">
        <w:rPr>
          <w:rFonts w:asciiTheme="majorHAnsi" w:eastAsia="MS Mincho" w:hAnsiTheme="majorHAnsi" w:cstheme="majorHAnsi"/>
        </w:rPr>
        <w:t xml:space="preserve"> university’, </w:t>
      </w:r>
      <w:r w:rsidRPr="00364172">
        <w:rPr>
          <w:rFonts w:asciiTheme="majorHAnsi" w:eastAsia="MS Mincho" w:hAnsiTheme="majorHAnsi" w:cstheme="majorHAnsi"/>
          <w:i/>
          <w:iCs/>
        </w:rPr>
        <w:t>Journal of Cultural Economy</w:t>
      </w:r>
      <w:r w:rsidRPr="00364172">
        <w:rPr>
          <w:rFonts w:asciiTheme="majorHAnsi" w:eastAsia="MS Mincho" w:hAnsiTheme="majorHAnsi" w:cstheme="majorHAnsi"/>
        </w:rPr>
        <w:t xml:space="preserve"> 11(2): 154-166</w:t>
      </w:r>
    </w:p>
    <w:p w14:paraId="383492B2"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Metcalfe, J.; Wilson, S.; </w:t>
      </w:r>
      <w:proofErr w:type="spellStart"/>
      <w:r w:rsidRPr="00364172">
        <w:rPr>
          <w:rFonts w:asciiTheme="majorHAnsi" w:eastAsia="MS Mincho" w:hAnsiTheme="majorHAnsi" w:cstheme="majorHAnsi"/>
        </w:rPr>
        <w:t>Levecque</w:t>
      </w:r>
      <w:proofErr w:type="spellEnd"/>
      <w:r w:rsidRPr="00364172">
        <w:rPr>
          <w:rFonts w:asciiTheme="majorHAnsi" w:eastAsia="MS Mincho" w:hAnsiTheme="majorHAnsi" w:cstheme="majorHAnsi"/>
        </w:rPr>
        <w:t xml:space="preserve">, K. (2018) </w:t>
      </w:r>
      <w:r w:rsidRPr="00364172">
        <w:rPr>
          <w:rFonts w:asciiTheme="majorHAnsi" w:eastAsia="MS Mincho" w:hAnsiTheme="majorHAnsi" w:cstheme="majorHAnsi"/>
          <w:i/>
          <w:iCs/>
        </w:rPr>
        <w:t>Exploring wellbeing and mental health and associated support services for Postgraduate Researchers</w:t>
      </w:r>
      <w:r w:rsidRPr="00364172">
        <w:rPr>
          <w:rFonts w:asciiTheme="majorHAnsi" w:eastAsia="MS Mincho" w:hAnsiTheme="majorHAnsi" w:cstheme="majorHAnsi"/>
        </w:rPr>
        <w:t>. Cambridge: Vitae, The Careers Research and Advisory Centre (CRAC) Limited</w:t>
      </w:r>
    </w:p>
    <w:p w14:paraId="53EC7BD2" w14:textId="77777777" w:rsidR="00275656" w:rsidRPr="00364172" w:rsidRDefault="00275656" w:rsidP="00275656">
      <w:pPr>
        <w:ind w:left="720" w:hanging="720"/>
        <w:rPr>
          <w:rFonts w:asciiTheme="majorHAnsi" w:eastAsia="MS Mincho" w:hAnsiTheme="majorHAnsi" w:cstheme="majorHAnsi"/>
          <w:bCs/>
          <w:lang w:val="en-US"/>
        </w:rPr>
      </w:pPr>
      <w:r w:rsidRPr="00364172">
        <w:rPr>
          <w:rFonts w:asciiTheme="majorHAnsi" w:eastAsia="MS Mincho" w:hAnsiTheme="majorHAnsi" w:cstheme="majorHAnsi"/>
          <w:bCs/>
          <w:lang w:val="en-US"/>
        </w:rPr>
        <w:t xml:space="preserve">Metcalfe, J.; Day, E.; de Pury, J.; Dicks, A. (2020) </w:t>
      </w:r>
      <w:r w:rsidRPr="00364172">
        <w:rPr>
          <w:rFonts w:asciiTheme="majorHAnsi" w:eastAsia="MS Mincho" w:hAnsiTheme="majorHAnsi" w:cstheme="majorHAnsi"/>
          <w:bCs/>
          <w:i/>
          <w:lang w:val="en-US"/>
        </w:rPr>
        <w:t>Catalyst Fund - Supporting the mental health and wellbeing of postgraduate research students: Programme evaluation.</w:t>
      </w:r>
      <w:r w:rsidRPr="00364172">
        <w:rPr>
          <w:rFonts w:asciiTheme="majorHAnsi" w:eastAsia="MS Mincho" w:hAnsiTheme="majorHAnsi" w:cstheme="majorHAnsi"/>
          <w:bCs/>
          <w:lang w:val="en-US"/>
        </w:rPr>
        <w:t xml:space="preserve"> Vitae</w:t>
      </w:r>
    </w:p>
    <w:p w14:paraId="32571A3B" w14:textId="77777777" w:rsidR="00275656" w:rsidRPr="00364172" w:rsidRDefault="00275656" w:rsidP="00275656">
      <w:pPr>
        <w:ind w:left="720" w:hanging="720"/>
        <w:rPr>
          <w:rFonts w:asciiTheme="majorHAnsi" w:eastAsia="MS Mincho" w:hAnsiTheme="majorHAnsi" w:cstheme="majorHAnsi"/>
          <w:i/>
          <w:iCs/>
          <w:lang w:val="en-US"/>
        </w:rPr>
      </w:pPr>
      <w:r w:rsidRPr="00364172">
        <w:rPr>
          <w:rFonts w:asciiTheme="majorHAnsi" w:eastAsia="MS Mincho" w:hAnsiTheme="majorHAnsi" w:cstheme="majorHAnsi"/>
        </w:rPr>
        <w:t xml:space="preserve">Morris, C. (2021) ‘“Peering through the window looking in”: postgraduate experiences of non-belonging and belonging in relation to mental health and wellbeing’, </w:t>
      </w:r>
      <w:r w:rsidRPr="00364172">
        <w:rPr>
          <w:rFonts w:asciiTheme="majorHAnsi" w:eastAsia="MS Mincho" w:hAnsiTheme="majorHAnsi" w:cstheme="majorHAnsi"/>
          <w:i/>
          <w:iCs/>
        </w:rPr>
        <w:t>Studies in Graduate and Postdoctoral Education</w:t>
      </w:r>
      <w:r w:rsidRPr="00364172">
        <w:rPr>
          <w:rFonts w:asciiTheme="majorHAnsi" w:eastAsia="MS Mincho" w:hAnsiTheme="majorHAnsi" w:cstheme="majorHAnsi"/>
        </w:rPr>
        <w:t xml:space="preserve"> 12(1): 131-144. </w:t>
      </w:r>
    </w:p>
    <w:p w14:paraId="52961556" w14:textId="77777777" w:rsidR="00275656" w:rsidRPr="00364172" w:rsidRDefault="00275656" w:rsidP="00275656">
      <w:pPr>
        <w:rPr>
          <w:rFonts w:asciiTheme="majorHAnsi" w:eastAsia="MS Mincho" w:hAnsiTheme="majorHAnsi" w:cstheme="majorHAnsi"/>
        </w:rPr>
      </w:pPr>
      <w:r w:rsidRPr="00364172">
        <w:rPr>
          <w:rFonts w:asciiTheme="majorHAnsi" w:eastAsia="MS Mincho" w:hAnsiTheme="majorHAnsi" w:cstheme="majorHAnsi"/>
        </w:rPr>
        <w:t>Nature (2019a) ‘Academia’s mental-health woes: Editorial</w:t>
      </w:r>
      <w:r w:rsidRPr="00364172">
        <w:rPr>
          <w:rFonts w:asciiTheme="majorHAnsi" w:eastAsia="MS Mincho" w:hAnsiTheme="majorHAnsi" w:cstheme="majorHAnsi"/>
          <w:i/>
          <w:iCs/>
        </w:rPr>
        <w:t>’, Nature</w:t>
      </w:r>
      <w:r w:rsidRPr="00364172">
        <w:rPr>
          <w:rFonts w:asciiTheme="majorHAnsi" w:eastAsia="MS Mincho" w:hAnsiTheme="majorHAnsi" w:cstheme="majorHAnsi"/>
        </w:rPr>
        <w:t xml:space="preserve"> 569:307</w:t>
      </w:r>
    </w:p>
    <w:p w14:paraId="62BD5E28" w14:textId="77777777" w:rsidR="00275656" w:rsidRPr="00364172" w:rsidRDefault="00275656" w:rsidP="00275656">
      <w:pPr>
        <w:rPr>
          <w:rFonts w:asciiTheme="majorHAnsi" w:eastAsia="MS Mincho" w:hAnsiTheme="majorHAnsi" w:cstheme="majorHAnsi"/>
        </w:rPr>
      </w:pPr>
      <w:r w:rsidRPr="00364172">
        <w:rPr>
          <w:rFonts w:asciiTheme="majorHAnsi" w:eastAsia="MS Mincho" w:hAnsiTheme="majorHAnsi" w:cstheme="majorHAnsi"/>
        </w:rPr>
        <w:t xml:space="preserve">Nature (2019b) ‘A cry for help’, </w:t>
      </w:r>
      <w:r w:rsidRPr="00364172">
        <w:rPr>
          <w:rFonts w:asciiTheme="majorHAnsi" w:eastAsia="MS Mincho" w:hAnsiTheme="majorHAnsi" w:cstheme="majorHAnsi"/>
          <w:i/>
          <w:iCs/>
        </w:rPr>
        <w:t>Nature</w:t>
      </w:r>
      <w:r w:rsidRPr="00364172">
        <w:rPr>
          <w:rFonts w:asciiTheme="majorHAnsi" w:eastAsia="MS Mincho" w:hAnsiTheme="majorHAnsi" w:cstheme="majorHAnsi"/>
        </w:rPr>
        <w:t xml:space="preserve"> 575: 257-8</w:t>
      </w:r>
    </w:p>
    <w:p w14:paraId="15D1FD2D"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Panayidou, F.; Priest, B. (2021) ‘Enhancing postgraduate researcher wellbeing through support groups’, </w:t>
      </w:r>
      <w:r w:rsidRPr="00364172">
        <w:rPr>
          <w:rFonts w:asciiTheme="majorHAnsi" w:eastAsia="MS Mincho" w:hAnsiTheme="majorHAnsi" w:cstheme="majorHAnsi"/>
          <w:i/>
          <w:iCs/>
        </w:rPr>
        <w:t>Studies in Graduate and Postdoctoral Education</w:t>
      </w:r>
      <w:r w:rsidRPr="00364172">
        <w:rPr>
          <w:rFonts w:asciiTheme="majorHAnsi" w:eastAsia="MS Mincho" w:hAnsiTheme="majorHAnsi" w:cstheme="majorHAnsi"/>
        </w:rPr>
        <w:t xml:space="preserve"> 12(1): 42-57</w:t>
      </w:r>
    </w:p>
    <w:p w14:paraId="33EA5641" w14:textId="77777777" w:rsidR="00275656" w:rsidRPr="00364172" w:rsidRDefault="00275656" w:rsidP="00275656">
      <w:pPr>
        <w:ind w:left="720" w:hanging="720"/>
        <w:rPr>
          <w:rFonts w:asciiTheme="majorHAnsi" w:eastAsia="MS Mincho" w:hAnsiTheme="majorHAnsi" w:cstheme="majorHAnsi"/>
          <w:bCs/>
          <w:lang w:val="en-US"/>
        </w:rPr>
      </w:pPr>
      <w:r w:rsidRPr="00364172">
        <w:rPr>
          <w:rFonts w:asciiTheme="majorHAnsi" w:eastAsia="MS Mincho" w:hAnsiTheme="majorHAnsi" w:cstheme="majorHAnsi"/>
        </w:rPr>
        <w:t xml:space="preserve">Patey, J.; </w:t>
      </w:r>
      <w:proofErr w:type="spellStart"/>
      <w:r w:rsidRPr="00364172">
        <w:rPr>
          <w:rFonts w:asciiTheme="majorHAnsi" w:eastAsia="MS Mincho" w:hAnsiTheme="majorHAnsi" w:cstheme="majorHAnsi"/>
        </w:rPr>
        <w:t>Nasamu</w:t>
      </w:r>
      <w:proofErr w:type="spellEnd"/>
      <w:r w:rsidRPr="00364172">
        <w:rPr>
          <w:rFonts w:asciiTheme="majorHAnsi" w:eastAsia="MS Mincho" w:hAnsiTheme="majorHAnsi" w:cstheme="majorHAnsi"/>
        </w:rPr>
        <w:t xml:space="preserve">, E.; Connolly, S.; Daniels, K.; Nayani, R.; Watson, D. (2021) ‘Evaluating multicomponent wellbeing strategies: Theoretical and methodological insights’, in T. Wall, C. L. Cooper, and P. Brough (eds) </w:t>
      </w:r>
      <w:r w:rsidRPr="00364172">
        <w:rPr>
          <w:rFonts w:asciiTheme="majorHAnsi" w:eastAsia="MS Mincho" w:hAnsiTheme="majorHAnsi" w:cstheme="majorHAnsi"/>
          <w:i/>
          <w:iCs/>
        </w:rPr>
        <w:t>The Sage handbook of organizational wellbeing</w:t>
      </w:r>
      <w:r w:rsidRPr="00364172">
        <w:rPr>
          <w:rFonts w:asciiTheme="majorHAnsi" w:eastAsia="MS Mincho" w:hAnsiTheme="majorHAnsi" w:cstheme="majorHAnsi"/>
        </w:rPr>
        <w:t>. Sage UK</w:t>
      </w:r>
    </w:p>
    <w:p w14:paraId="3FFBCA37" w14:textId="77777777" w:rsidR="00275656" w:rsidRPr="00364172" w:rsidRDefault="00275656" w:rsidP="00275656">
      <w:pPr>
        <w:ind w:left="720" w:hanging="720"/>
        <w:rPr>
          <w:rFonts w:asciiTheme="majorHAnsi" w:eastAsia="MS Mincho" w:hAnsiTheme="majorHAnsi" w:cstheme="majorHAnsi"/>
        </w:rPr>
      </w:pPr>
      <w:proofErr w:type="spellStart"/>
      <w:r w:rsidRPr="00364172">
        <w:rPr>
          <w:rFonts w:asciiTheme="majorHAnsi" w:eastAsia="MS Mincho" w:hAnsiTheme="majorHAnsi" w:cstheme="majorHAnsi"/>
        </w:rPr>
        <w:lastRenderedPageBreak/>
        <w:t>Pignata</w:t>
      </w:r>
      <w:proofErr w:type="spellEnd"/>
      <w:r w:rsidRPr="00364172">
        <w:rPr>
          <w:rFonts w:asciiTheme="majorHAnsi" w:eastAsia="MS Mincho" w:hAnsiTheme="majorHAnsi" w:cstheme="majorHAnsi"/>
        </w:rPr>
        <w:t xml:space="preserve">, S. (2020) ‘Stress in Australian universities: initiatives to enhance well-being’, in </w:t>
      </w:r>
      <w:proofErr w:type="spellStart"/>
      <w:r w:rsidRPr="00364172">
        <w:rPr>
          <w:rFonts w:asciiTheme="majorHAnsi" w:eastAsia="MS Mincho" w:hAnsiTheme="majorHAnsi" w:cstheme="majorHAnsi"/>
        </w:rPr>
        <w:t>R.</w:t>
      </w:r>
      <w:proofErr w:type="gramStart"/>
      <w:r w:rsidRPr="00364172">
        <w:rPr>
          <w:rFonts w:asciiTheme="majorHAnsi" w:eastAsia="MS Mincho" w:hAnsiTheme="majorHAnsi" w:cstheme="majorHAnsi"/>
        </w:rPr>
        <w:t>J.Burke</w:t>
      </w:r>
      <w:proofErr w:type="spellEnd"/>
      <w:proofErr w:type="gramEnd"/>
      <w:r w:rsidRPr="00364172">
        <w:rPr>
          <w:rFonts w:asciiTheme="majorHAnsi" w:eastAsia="MS Mincho" w:hAnsiTheme="majorHAnsi" w:cstheme="majorHAnsi"/>
        </w:rPr>
        <w:t xml:space="preserve"> and </w:t>
      </w:r>
      <w:proofErr w:type="spellStart"/>
      <w:r w:rsidRPr="00364172">
        <w:rPr>
          <w:rFonts w:asciiTheme="majorHAnsi" w:eastAsia="MS Mincho" w:hAnsiTheme="majorHAnsi" w:cstheme="majorHAnsi"/>
        </w:rPr>
        <w:t>S.Pignata</w:t>
      </w:r>
      <w:proofErr w:type="spellEnd"/>
      <w:r w:rsidRPr="00364172">
        <w:rPr>
          <w:rFonts w:asciiTheme="majorHAnsi" w:eastAsia="MS Mincho" w:hAnsiTheme="majorHAnsi" w:cstheme="majorHAnsi"/>
        </w:rPr>
        <w:t xml:space="preserve"> (eds) </w:t>
      </w:r>
      <w:r w:rsidRPr="00364172">
        <w:rPr>
          <w:rFonts w:asciiTheme="majorHAnsi" w:eastAsia="MS Mincho" w:hAnsiTheme="majorHAnsi" w:cstheme="majorHAnsi"/>
          <w:i/>
        </w:rPr>
        <w:t>Handbook of research on stress and well-being in the public sector.</w:t>
      </w:r>
      <w:r w:rsidRPr="00364172">
        <w:rPr>
          <w:rFonts w:asciiTheme="majorHAnsi" w:eastAsia="MS Mincho" w:hAnsiTheme="majorHAnsi" w:cstheme="majorHAnsi"/>
        </w:rPr>
        <w:t xml:space="preserve"> Edward Elgar. Ch 20: 294-307</w:t>
      </w:r>
    </w:p>
    <w:p w14:paraId="39896836" w14:textId="77777777" w:rsidR="00275656" w:rsidRPr="00364172" w:rsidRDefault="00275656" w:rsidP="00275656">
      <w:pPr>
        <w:ind w:left="720" w:hanging="720"/>
        <w:rPr>
          <w:rFonts w:asciiTheme="majorHAnsi" w:eastAsia="MS Mincho" w:hAnsiTheme="majorHAnsi" w:cstheme="majorHAnsi"/>
          <w:lang w:val="en-US"/>
        </w:rPr>
      </w:pPr>
      <w:proofErr w:type="spellStart"/>
      <w:r w:rsidRPr="00364172">
        <w:rPr>
          <w:rFonts w:asciiTheme="majorHAnsi" w:eastAsia="MS Mincho" w:hAnsiTheme="majorHAnsi" w:cstheme="majorHAnsi"/>
        </w:rPr>
        <w:t>Pignata</w:t>
      </w:r>
      <w:proofErr w:type="spellEnd"/>
      <w:r w:rsidRPr="00364172">
        <w:rPr>
          <w:rFonts w:asciiTheme="majorHAnsi" w:eastAsia="MS Mincho" w:hAnsiTheme="majorHAnsi" w:cstheme="majorHAnsi"/>
        </w:rPr>
        <w:t xml:space="preserve">, S.; </w:t>
      </w:r>
      <w:proofErr w:type="spellStart"/>
      <w:r w:rsidRPr="00364172">
        <w:rPr>
          <w:rFonts w:asciiTheme="majorHAnsi" w:eastAsia="MS Mincho" w:hAnsiTheme="majorHAnsi" w:cstheme="majorHAnsi"/>
        </w:rPr>
        <w:t>Winefield</w:t>
      </w:r>
      <w:proofErr w:type="spellEnd"/>
      <w:r w:rsidRPr="00364172">
        <w:rPr>
          <w:rFonts w:asciiTheme="majorHAnsi" w:eastAsia="MS Mincho" w:hAnsiTheme="majorHAnsi" w:cstheme="majorHAnsi"/>
        </w:rPr>
        <w:t>, A.H. (2015) ‘</w:t>
      </w:r>
      <w:r w:rsidRPr="00364172">
        <w:rPr>
          <w:rFonts w:asciiTheme="majorHAnsi" w:eastAsia="MS Mincho" w:hAnsiTheme="majorHAnsi" w:cstheme="majorHAnsi"/>
          <w:lang w:val="en-US"/>
        </w:rPr>
        <w:t xml:space="preserve">Stress-reduction Interventions in an Australian University: A Case Study’, </w:t>
      </w:r>
      <w:r w:rsidRPr="00364172">
        <w:rPr>
          <w:rFonts w:asciiTheme="majorHAnsi" w:eastAsia="MS Mincho" w:hAnsiTheme="majorHAnsi" w:cstheme="majorHAnsi"/>
          <w:i/>
        </w:rPr>
        <w:t>Stress and Health</w:t>
      </w:r>
      <w:r w:rsidRPr="00364172">
        <w:rPr>
          <w:rFonts w:asciiTheme="majorHAnsi" w:eastAsia="MS Mincho" w:hAnsiTheme="majorHAnsi" w:cstheme="majorHAnsi"/>
        </w:rPr>
        <w:t xml:space="preserve"> 31(1): 24-34</w:t>
      </w:r>
    </w:p>
    <w:p w14:paraId="521153D1" w14:textId="77777777" w:rsidR="006F1FEB" w:rsidRDefault="006F1FEB" w:rsidP="006F1FEB">
      <w:pPr>
        <w:ind w:left="720" w:hanging="720"/>
        <w:rPr>
          <w:rFonts w:asciiTheme="majorHAnsi" w:hAnsiTheme="majorHAnsi" w:cstheme="majorHAnsi"/>
          <w:bCs/>
          <w:lang w:val="en-US"/>
        </w:rPr>
      </w:pPr>
      <w:r w:rsidRPr="00BC7593">
        <w:rPr>
          <w:rFonts w:asciiTheme="majorHAnsi" w:hAnsiTheme="majorHAnsi" w:cstheme="majorHAnsi"/>
          <w:bCs/>
          <w:lang w:val="en-US"/>
        </w:rPr>
        <w:t xml:space="preserve">Rahman, M., </w:t>
      </w:r>
      <w:proofErr w:type="spellStart"/>
      <w:r w:rsidRPr="00BC7593">
        <w:rPr>
          <w:rFonts w:asciiTheme="majorHAnsi" w:hAnsiTheme="majorHAnsi" w:cstheme="majorHAnsi"/>
          <w:bCs/>
          <w:lang w:val="en-US"/>
        </w:rPr>
        <w:t>Wellstead</w:t>
      </w:r>
      <w:proofErr w:type="spellEnd"/>
      <w:r w:rsidRPr="00BC7593">
        <w:rPr>
          <w:rFonts w:asciiTheme="majorHAnsi" w:hAnsiTheme="majorHAnsi" w:cstheme="majorHAnsi"/>
          <w:bCs/>
          <w:lang w:val="en-US"/>
        </w:rPr>
        <w:t xml:space="preserve">, A., Howlett, M. (2019) From adaptive capacity to policy capacity adaptation assessments: insights from the policy sciences. In: Keskitalo, E.C.H., Preston, B.L. [eds] </w:t>
      </w:r>
      <w:r w:rsidRPr="006F1FEB">
        <w:rPr>
          <w:rFonts w:asciiTheme="majorHAnsi" w:hAnsiTheme="majorHAnsi" w:cstheme="majorHAnsi"/>
          <w:bCs/>
          <w:i/>
          <w:iCs/>
          <w:lang w:val="en-US"/>
        </w:rPr>
        <w:t>Research Handbook on Climate Change Adaptation Policy</w:t>
      </w:r>
      <w:r w:rsidRPr="00BC7593">
        <w:rPr>
          <w:rFonts w:asciiTheme="majorHAnsi" w:hAnsiTheme="majorHAnsi" w:cstheme="majorHAnsi"/>
          <w:bCs/>
          <w:lang w:val="en-US"/>
        </w:rPr>
        <w:t>. Edward Elgar. Chapter 14, pp. 291-309</w:t>
      </w:r>
    </w:p>
    <w:p w14:paraId="676FBD5A" w14:textId="0F610A67" w:rsidR="00275656" w:rsidRPr="00364172" w:rsidRDefault="00275656" w:rsidP="00275656">
      <w:pPr>
        <w:ind w:left="720" w:hanging="720"/>
        <w:rPr>
          <w:rFonts w:asciiTheme="majorHAnsi" w:eastAsia="MS Mincho" w:hAnsiTheme="majorHAnsi" w:cstheme="majorHAnsi"/>
        </w:rPr>
      </w:pPr>
      <w:proofErr w:type="spellStart"/>
      <w:r w:rsidRPr="00364172">
        <w:rPr>
          <w:rFonts w:asciiTheme="majorHAnsi" w:eastAsia="MS Mincho" w:hAnsiTheme="majorHAnsi" w:cstheme="majorHAnsi"/>
        </w:rPr>
        <w:t>Schwanen</w:t>
      </w:r>
      <w:proofErr w:type="spellEnd"/>
      <w:r w:rsidRPr="00364172">
        <w:rPr>
          <w:rFonts w:asciiTheme="majorHAnsi" w:eastAsia="MS Mincho" w:hAnsiTheme="majorHAnsi" w:cstheme="majorHAnsi"/>
        </w:rPr>
        <w:t xml:space="preserve">, T.; Atkinson, S. (2015) ‘Geographies of wellbeing: an introduction’, </w:t>
      </w:r>
      <w:r w:rsidRPr="00364172">
        <w:rPr>
          <w:rFonts w:asciiTheme="majorHAnsi" w:eastAsia="MS Mincho" w:hAnsiTheme="majorHAnsi" w:cstheme="majorHAnsi"/>
          <w:i/>
          <w:iCs/>
        </w:rPr>
        <w:t>The Geographical Journal</w:t>
      </w:r>
      <w:r w:rsidRPr="00364172">
        <w:rPr>
          <w:rFonts w:asciiTheme="majorHAnsi" w:eastAsia="MS Mincho" w:hAnsiTheme="majorHAnsi" w:cstheme="majorHAnsi"/>
        </w:rPr>
        <w:t xml:space="preserve"> 181(2): 98-101</w:t>
      </w:r>
    </w:p>
    <w:p w14:paraId="44C00873"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Searle, B.A.; Pykett, J.; Alfaro-Simmonds, M.J. (2021) ‘Introduction to wellbeing research’,</w:t>
      </w:r>
      <w:r w:rsidRPr="00364172">
        <w:rPr>
          <w:rFonts w:asciiTheme="majorHAnsi" w:eastAsia="MS Mincho" w:hAnsiTheme="majorHAnsi" w:cstheme="majorHAnsi"/>
          <w:i/>
          <w:iCs/>
        </w:rPr>
        <w:t xml:space="preserve"> </w:t>
      </w:r>
      <w:r w:rsidRPr="00364172">
        <w:rPr>
          <w:rFonts w:asciiTheme="majorHAnsi" w:eastAsia="MS Mincho" w:hAnsiTheme="majorHAnsi" w:cstheme="majorHAnsi"/>
        </w:rPr>
        <w:t xml:space="preserve">in </w:t>
      </w:r>
      <w:proofErr w:type="spellStart"/>
      <w:r w:rsidRPr="00364172">
        <w:rPr>
          <w:rFonts w:asciiTheme="majorHAnsi" w:eastAsia="MS Mincho" w:hAnsiTheme="majorHAnsi" w:cstheme="majorHAnsi"/>
        </w:rPr>
        <w:t>B.</w:t>
      </w:r>
      <w:proofErr w:type="gramStart"/>
      <w:r w:rsidRPr="00364172">
        <w:rPr>
          <w:rFonts w:asciiTheme="majorHAnsi" w:eastAsia="MS Mincho" w:hAnsiTheme="majorHAnsi" w:cstheme="majorHAnsi"/>
        </w:rPr>
        <w:t>A.Searle</w:t>
      </w:r>
      <w:proofErr w:type="spellEnd"/>
      <w:proofErr w:type="gramEnd"/>
      <w:r w:rsidRPr="00364172">
        <w:rPr>
          <w:rFonts w:asciiTheme="majorHAnsi" w:eastAsia="MS Mincho" w:hAnsiTheme="majorHAnsi" w:cstheme="majorHAnsi"/>
        </w:rPr>
        <w:t xml:space="preserve">, </w:t>
      </w:r>
      <w:proofErr w:type="spellStart"/>
      <w:r w:rsidRPr="00364172">
        <w:rPr>
          <w:rFonts w:asciiTheme="majorHAnsi" w:eastAsia="MS Mincho" w:hAnsiTheme="majorHAnsi" w:cstheme="majorHAnsi"/>
        </w:rPr>
        <w:t>J.Pykett</w:t>
      </w:r>
      <w:proofErr w:type="spellEnd"/>
      <w:r w:rsidRPr="00364172">
        <w:rPr>
          <w:rFonts w:asciiTheme="majorHAnsi" w:eastAsia="MS Mincho" w:hAnsiTheme="majorHAnsi" w:cstheme="majorHAnsi"/>
        </w:rPr>
        <w:t xml:space="preserve"> and M.J. Alfaro-Simmonds (eds) </w:t>
      </w:r>
      <w:r w:rsidRPr="00364172">
        <w:rPr>
          <w:rFonts w:asciiTheme="majorHAnsi" w:eastAsia="MS Mincho" w:hAnsiTheme="majorHAnsi" w:cstheme="majorHAnsi"/>
          <w:i/>
          <w:iCs/>
        </w:rPr>
        <w:t>A Modern Guide to Wellbeing Research.</w:t>
      </w:r>
      <w:r w:rsidRPr="00364172">
        <w:rPr>
          <w:rFonts w:asciiTheme="majorHAnsi" w:eastAsia="MS Mincho" w:hAnsiTheme="majorHAnsi" w:cstheme="majorHAnsi"/>
        </w:rPr>
        <w:t xml:space="preserve"> Edward Elgar. Chapter 1, pp. 1-21</w:t>
      </w:r>
    </w:p>
    <w:p w14:paraId="3BBF861F" w14:textId="4A816940" w:rsidR="006E2D55" w:rsidRDefault="006E2D55" w:rsidP="00275656">
      <w:pPr>
        <w:ind w:left="720" w:hanging="720"/>
        <w:rPr>
          <w:rFonts w:asciiTheme="majorHAnsi" w:eastAsia="MS Mincho" w:hAnsiTheme="majorHAnsi" w:cstheme="majorHAnsi"/>
          <w:bCs/>
        </w:rPr>
      </w:pPr>
      <w:r>
        <w:rPr>
          <w:rFonts w:asciiTheme="majorHAnsi" w:eastAsia="MS Mincho" w:hAnsiTheme="majorHAnsi" w:cstheme="majorHAnsi"/>
          <w:bCs/>
        </w:rPr>
        <w:t>Turnpenny, J.; Alexander, M. (2024) ‘</w:t>
      </w:r>
      <w:r w:rsidRPr="006E2D55">
        <w:rPr>
          <w:rFonts w:asciiTheme="majorHAnsi" w:eastAsia="MS Mincho" w:hAnsiTheme="majorHAnsi" w:cstheme="majorHAnsi"/>
          <w:bCs/>
        </w:rPr>
        <w:t>Addressing risks to mental health from climate change: a policy capacity analysis of England</w:t>
      </w:r>
      <w:r>
        <w:rPr>
          <w:rFonts w:asciiTheme="majorHAnsi" w:eastAsia="MS Mincho" w:hAnsiTheme="majorHAnsi" w:cstheme="majorHAnsi"/>
          <w:bCs/>
        </w:rPr>
        <w:t>’</w:t>
      </w:r>
      <w:r w:rsidRPr="006E2D55">
        <w:rPr>
          <w:rFonts w:asciiTheme="majorHAnsi" w:eastAsia="MS Mincho" w:hAnsiTheme="majorHAnsi" w:cstheme="majorHAnsi"/>
          <w:bCs/>
        </w:rPr>
        <w:t xml:space="preserve">, </w:t>
      </w:r>
      <w:r w:rsidRPr="006E2D55">
        <w:rPr>
          <w:rFonts w:asciiTheme="majorHAnsi" w:eastAsia="MS Mincho" w:hAnsiTheme="majorHAnsi" w:cstheme="majorHAnsi"/>
          <w:bCs/>
          <w:i/>
          <w:iCs/>
        </w:rPr>
        <w:t>Climate Policy</w:t>
      </w:r>
      <w:r w:rsidRPr="006E2D55">
        <w:rPr>
          <w:rFonts w:asciiTheme="majorHAnsi" w:eastAsia="MS Mincho" w:hAnsiTheme="majorHAnsi" w:cstheme="majorHAnsi"/>
          <w:bCs/>
        </w:rPr>
        <w:t>, DOI: 10.1080/14693062.2024.2362848</w:t>
      </w:r>
    </w:p>
    <w:p w14:paraId="16110D0E" w14:textId="606FCAAF" w:rsidR="00275656" w:rsidRPr="00364172" w:rsidRDefault="00275656" w:rsidP="00275656">
      <w:pPr>
        <w:ind w:left="720" w:hanging="720"/>
        <w:rPr>
          <w:rFonts w:asciiTheme="majorHAnsi" w:eastAsia="MS Mincho" w:hAnsiTheme="majorHAnsi" w:cstheme="majorHAnsi"/>
          <w:bCs/>
        </w:rPr>
      </w:pPr>
      <w:r w:rsidRPr="00364172">
        <w:rPr>
          <w:rFonts w:asciiTheme="majorHAnsi" w:eastAsia="MS Mincho" w:hAnsiTheme="majorHAnsi" w:cstheme="majorHAnsi"/>
          <w:bCs/>
        </w:rPr>
        <w:t xml:space="preserve">UKRI [UK Research and Innovation] &amp; Pye Tait (2023) </w:t>
      </w:r>
      <w:r w:rsidRPr="00364172">
        <w:rPr>
          <w:rFonts w:asciiTheme="majorHAnsi" w:eastAsia="MS Mincho" w:hAnsiTheme="majorHAnsi" w:cstheme="majorHAnsi"/>
          <w:bCs/>
          <w:i/>
          <w:iCs/>
        </w:rPr>
        <w:t>New Deal for Postgraduate Research: Analysis of responses to Call for Input</w:t>
      </w:r>
      <w:r w:rsidRPr="00364172">
        <w:rPr>
          <w:rFonts w:asciiTheme="majorHAnsi" w:eastAsia="MS Mincho" w:hAnsiTheme="majorHAnsi" w:cstheme="majorHAnsi"/>
          <w:bCs/>
        </w:rPr>
        <w:t>. A report by Pye Tait Consulting for UK Research and Innovation. April 2023</w:t>
      </w:r>
    </w:p>
    <w:p w14:paraId="272E8D6E"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UKRI </w:t>
      </w:r>
      <w:r w:rsidRPr="00364172">
        <w:rPr>
          <w:rFonts w:asciiTheme="majorHAnsi" w:eastAsia="MS Mincho" w:hAnsiTheme="majorHAnsi" w:cstheme="majorHAnsi"/>
          <w:bCs/>
        </w:rPr>
        <w:t>[UK Research and Innovation]</w:t>
      </w:r>
      <w:r w:rsidRPr="00364172">
        <w:rPr>
          <w:rFonts w:asciiTheme="majorHAnsi" w:eastAsia="MS Mincho" w:hAnsiTheme="majorHAnsi" w:cstheme="majorHAnsi"/>
        </w:rPr>
        <w:t xml:space="preserve"> (2023) </w:t>
      </w:r>
      <w:r w:rsidRPr="00364172">
        <w:rPr>
          <w:rFonts w:asciiTheme="majorHAnsi" w:eastAsia="MS Mincho" w:hAnsiTheme="majorHAnsi" w:cstheme="majorHAnsi"/>
          <w:i/>
          <w:iCs/>
        </w:rPr>
        <w:t>A New Deal for Postgraduate Research: Response to the Call for Input.</w:t>
      </w:r>
      <w:r w:rsidRPr="00364172">
        <w:rPr>
          <w:rFonts w:asciiTheme="majorHAnsi" w:eastAsia="MS Mincho" w:hAnsiTheme="majorHAnsi" w:cstheme="majorHAnsi"/>
        </w:rPr>
        <w:t xml:space="preserve"> 26 September 2023</w:t>
      </w:r>
    </w:p>
    <w:p w14:paraId="3FF48968"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UUK [Universities UK] (2020) </w:t>
      </w:r>
      <w:proofErr w:type="spellStart"/>
      <w:r w:rsidRPr="00364172">
        <w:rPr>
          <w:rFonts w:asciiTheme="majorHAnsi" w:eastAsia="MS Mincho" w:hAnsiTheme="majorHAnsi" w:cstheme="majorHAnsi"/>
          <w:i/>
          <w:iCs/>
        </w:rPr>
        <w:t>Stepchange</w:t>
      </w:r>
      <w:proofErr w:type="spellEnd"/>
      <w:r w:rsidRPr="00364172">
        <w:rPr>
          <w:rFonts w:asciiTheme="majorHAnsi" w:eastAsia="MS Mincho" w:hAnsiTheme="majorHAnsi" w:cstheme="majorHAnsi"/>
          <w:i/>
          <w:iCs/>
        </w:rPr>
        <w:t>: Mentally Health Universities,</w:t>
      </w:r>
      <w:r w:rsidRPr="00364172">
        <w:rPr>
          <w:rFonts w:asciiTheme="majorHAnsi" w:eastAsia="MS Mincho" w:hAnsiTheme="majorHAnsi" w:cstheme="majorHAnsi"/>
        </w:rPr>
        <w:t xml:space="preserve"> Universities UK. May 2020</w:t>
      </w:r>
    </w:p>
    <w:p w14:paraId="23482975"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Valeix, S.; Moss, R.; Morris, C (2021) ‘Mitigating dilemmas in postgraduate researcher mental health and well-being project implementation: critical reflections from three former implementers’, </w:t>
      </w:r>
      <w:r w:rsidRPr="00364172">
        <w:rPr>
          <w:rFonts w:asciiTheme="majorHAnsi" w:eastAsia="MS Mincho" w:hAnsiTheme="majorHAnsi" w:cstheme="majorHAnsi"/>
          <w:i/>
          <w:iCs/>
        </w:rPr>
        <w:t>Studies in Graduate and Postdoctoral Education</w:t>
      </w:r>
      <w:r w:rsidRPr="00364172">
        <w:rPr>
          <w:rFonts w:asciiTheme="majorHAnsi" w:eastAsia="MS Mincho" w:hAnsiTheme="majorHAnsi" w:cstheme="majorHAnsi"/>
        </w:rPr>
        <w:t xml:space="preserve"> 12(1): 58-72</w:t>
      </w:r>
    </w:p>
    <w:p w14:paraId="226B3CB5"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Vernon, J. (2018) ‘The Making of the Neoliberal University in Britain’, </w:t>
      </w:r>
      <w:r w:rsidRPr="00364172">
        <w:rPr>
          <w:rFonts w:asciiTheme="majorHAnsi" w:eastAsia="MS Mincho" w:hAnsiTheme="majorHAnsi" w:cstheme="majorHAnsi"/>
          <w:i/>
          <w:iCs/>
        </w:rPr>
        <w:t>Critical Historical Studies</w:t>
      </w:r>
      <w:r w:rsidRPr="00364172">
        <w:rPr>
          <w:rFonts w:asciiTheme="majorHAnsi" w:eastAsia="MS Mincho" w:hAnsiTheme="majorHAnsi" w:cstheme="majorHAnsi"/>
        </w:rPr>
        <w:t xml:space="preserve"> 5: 267-280.</w:t>
      </w:r>
    </w:p>
    <w:p w14:paraId="07049F02" w14:textId="77777777" w:rsidR="00275656" w:rsidRPr="00364172" w:rsidRDefault="00275656" w:rsidP="00275656">
      <w:pPr>
        <w:ind w:left="720" w:hanging="720"/>
        <w:rPr>
          <w:rFonts w:asciiTheme="majorHAnsi" w:eastAsia="MS Mincho" w:hAnsiTheme="majorHAnsi" w:cstheme="majorHAnsi"/>
          <w:lang w:val="en-US"/>
        </w:rPr>
      </w:pPr>
      <w:r w:rsidRPr="00364172">
        <w:rPr>
          <w:rFonts w:asciiTheme="majorHAnsi" w:eastAsia="MS Mincho" w:hAnsiTheme="majorHAnsi" w:cstheme="majorHAnsi"/>
          <w:lang w:val="en-US"/>
        </w:rPr>
        <w:t xml:space="preserve">Watson, D.; Turnpenny, J. (2022) ‘Interventions, practices and institutional arrangements for supporting PGR mental health and wellbeing: reviewing effectiveness and addressing barriers’, </w:t>
      </w:r>
      <w:r w:rsidRPr="00364172">
        <w:rPr>
          <w:rFonts w:asciiTheme="majorHAnsi" w:eastAsia="MS Mincho" w:hAnsiTheme="majorHAnsi" w:cstheme="majorHAnsi"/>
          <w:i/>
          <w:iCs/>
          <w:lang w:val="en-US"/>
        </w:rPr>
        <w:t>Studies in Higher Education</w:t>
      </w:r>
      <w:r w:rsidRPr="00364172">
        <w:rPr>
          <w:rFonts w:asciiTheme="majorHAnsi" w:eastAsia="MS Mincho" w:hAnsiTheme="majorHAnsi" w:cstheme="majorHAnsi"/>
          <w:lang w:val="en-US"/>
        </w:rPr>
        <w:t xml:space="preserve"> 47(9): 1957-1979</w:t>
      </w:r>
    </w:p>
    <w:p w14:paraId="5754CC7E" w14:textId="77777777" w:rsidR="00275656" w:rsidRPr="00364172" w:rsidRDefault="00275656" w:rsidP="00275656">
      <w:pPr>
        <w:ind w:left="720" w:hanging="720"/>
        <w:rPr>
          <w:rFonts w:asciiTheme="majorHAnsi" w:eastAsia="Times New Roman" w:hAnsiTheme="majorHAnsi" w:cstheme="majorHAnsi"/>
          <w:lang w:eastAsia="en-GB"/>
        </w:rPr>
      </w:pPr>
      <w:r w:rsidRPr="00364172">
        <w:rPr>
          <w:rFonts w:asciiTheme="majorHAnsi" w:eastAsia="Times New Roman" w:hAnsiTheme="majorHAnsi" w:cstheme="majorHAnsi"/>
          <w:lang w:eastAsia="en-GB"/>
        </w:rPr>
        <w:t xml:space="preserve">Watson, D.; Wallace, J.; Land, C.; Patey, J. (2023) </w:t>
      </w:r>
      <w:proofErr w:type="spellStart"/>
      <w:r w:rsidRPr="00364172">
        <w:rPr>
          <w:rFonts w:asciiTheme="majorHAnsi" w:eastAsia="Times New Roman" w:hAnsiTheme="majorHAnsi" w:cstheme="majorHAnsi"/>
          <w:lang w:eastAsia="en-GB"/>
        </w:rPr>
        <w:t>‘Re</w:t>
      </w:r>
      <w:proofErr w:type="spellEnd"/>
      <w:r w:rsidRPr="00364172">
        <w:rPr>
          <w:rFonts w:asciiTheme="majorHAnsi" w:eastAsia="Times New Roman" w:hAnsiTheme="majorHAnsi" w:cstheme="majorHAnsi"/>
          <w:lang w:eastAsia="en-GB"/>
        </w:rPr>
        <w:t xml:space="preserve">-organising wellbeing: Contexts, critiques and contestations of dominant wellbeing narratives’, </w:t>
      </w:r>
      <w:r w:rsidRPr="00364172">
        <w:rPr>
          <w:rFonts w:asciiTheme="majorHAnsi" w:eastAsia="Times New Roman" w:hAnsiTheme="majorHAnsi" w:cstheme="majorHAnsi"/>
          <w:i/>
          <w:iCs/>
          <w:lang w:eastAsia="en-GB"/>
        </w:rPr>
        <w:t>Organization</w:t>
      </w:r>
      <w:r w:rsidRPr="00364172">
        <w:rPr>
          <w:rFonts w:asciiTheme="majorHAnsi" w:eastAsia="Times New Roman" w:hAnsiTheme="majorHAnsi" w:cstheme="majorHAnsi"/>
          <w:lang w:eastAsia="en-GB"/>
        </w:rPr>
        <w:t xml:space="preserve"> 30(3): 441-452</w:t>
      </w:r>
    </w:p>
    <w:p w14:paraId="6B35E386" w14:textId="77777777" w:rsidR="00275656" w:rsidRPr="00364172" w:rsidRDefault="00275656" w:rsidP="00275656">
      <w:pPr>
        <w:ind w:left="720" w:hanging="720"/>
        <w:rPr>
          <w:rFonts w:asciiTheme="majorHAnsi" w:eastAsia="Times New Roman" w:hAnsiTheme="majorHAnsi" w:cstheme="majorHAnsi"/>
          <w:lang w:eastAsia="en-GB"/>
        </w:rPr>
      </w:pPr>
      <w:r w:rsidRPr="00364172">
        <w:rPr>
          <w:rFonts w:asciiTheme="majorHAnsi" w:eastAsia="Times New Roman" w:hAnsiTheme="majorHAnsi" w:cstheme="majorHAnsi"/>
          <w:lang w:eastAsia="en-GB"/>
        </w:rPr>
        <w:t xml:space="preserve">White, S.C. (2017) ‘Relational wellbeing: re-centring the politics of happiness, policy and the self’ </w:t>
      </w:r>
      <w:r w:rsidRPr="00364172">
        <w:rPr>
          <w:rFonts w:asciiTheme="majorHAnsi" w:eastAsia="Times New Roman" w:hAnsiTheme="majorHAnsi" w:cstheme="majorHAnsi"/>
          <w:i/>
          <w:iCs/>
          <w:lang w:eastAsia="en-GB"/>
        </w:rPr>
        <w:t>Policy &amp; Politics</w:t>
      </w:r>
      <w:r w:rsidRPr="00364172">
        <w:rPr>
          <w:rFonts w:asciiTheme="majorHAnsi" w:eastAsia="Times New Roman" w:hAnsiTheme="majorHAnsi" w:cstheme="majorHAnsi"/>
          <w:lang w:eastAsia="en-GB"/>
        </w:rPr>
        <w:t xml:space="preserve"> 45(2): 121–36</w:t>
      </w:r>
    </w:p>
    <w:p w14:paraId="0D667F26"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WHO [World Health Organization] (2022) </w:t>
      </w:r>
      <w:r w:rsidRPr="00364172">
        <w:rPr>
          <w:rFonts w:asciiTheme="majorHAnsi" w:eastAsia="MS Mincho" w:hAnsiTheme="majorHAnsi" w:cstheme="majorHAnsi"/>
          <w:i/>
          <w:iCs/>
        </w:rPr>
        <w:t>World mental health report: transforming mental health for all.</w:t>
      </w:r>
      <w:r w:rsidRPr="00364172">
        <w:rPr>
          <w:rFonts w:asciiTheme="majorHAnsi" w:eastAsia="MS Mincho" w:hAnsiTheme="majorHAnsi" w:cstheme="majorHAnsi"/>
        </w:rPr>
        <w:t xml:space="preserve"> Geneva: WHO</w:t>
      </w:r>
    </w:p>
    <w:p w14:paraId="302884D6"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Woolston, C. (2019) ‘PhD poll reveals fear and joy, contentment and anguish’, </w:t>
      </w:r>
      <w:r w:rsidRPr="00364172">
        <w:rPr>
          <w:rFonts w:asciiTheme="majorHAnsi" w:eastAsia="MS Mincho" w:hAnsiTheme="majorHAnsi" w:cstheme="majorHAnsi"/>
          <w:i/>
          <w:iCs/>
        </w:rPr>
        <w:t>Nature</w:t>
      </w:r>
      <w:r w:rsidRPr="00364172">
        <w:rPr>
          <w:rFonts w:asciiTheme="majorHAnsi" w:eastAsia="MS Mincho" w:hAnsiTheme="majorHAnsi" w:cstheme="majorHAnsi"/>
        </w:rPr>
        <w:t xml:space="preserve"> 575: 403-6</w:t>
      </w:r>
    </w:p>
    <w:p w14:paraId="1D7CC9C8" w14:textId="77777777" w:rsidR="00275656" w:rsidRPr="00364172" w:rsidRDefault="00275656" w:rsidP="00275656">
      <w:pPr>
        <w:ind w:left="720" w:hanging="720"/>
        <w:rPr>
          <w:rFonts w:asciiTheme="majorHAnsi" w:eastAsia="MS Mincho" w:hAnsiTheme="majorHAnsi" w:cstheme="majorHAnsi"/>
          <w:bCs/>
          <w:lang w:val="en-US"/>
        </w:rPr>
      </w:pPr>
      <w:r w:rsidRPr="00364172">
        <w:rPr>
          <w:rFonts w:asciiTheme="majorHAnsi" w:eastAsia="MS Mincho" w:hAnsiTheme="majorHAnsi" w:cstheme="majorHAnsi"/>
          <w:bCs/>
          <w:lang w:val="en-US"/>
        </w:rPr>
        <w:t xml:space="preserve">Worsley, J.; Pennington, A.; Corcoran, R. (2020) </w:t>
      </w:r>
      <w:r w:rsidRPr="00364172">
        <w:rPr>
          <w:rFonts w:asciiTheme="majorHAnsi" w:eastAsia="MS Mincho" w:hAnsiTheme="majorHAnsi" w:cstheme="majorHAnsi"/>
          <w:bCs/>
          <w:i/>
          <w:iCs/>
          <w:lang w:val="en-US"/>
        </w:rPr>
        <w:t>What interventions improve college and university students’ mental health and wellbeing? A review of review–level evidence</w:t>
      </w:r>
      <w:r w:rsidRPr="00364172">
        <w:rPr>
          <w:rFonts w:asciiTheme="majorHAnsi" w:eastAsia="MS Mincho" w:hAnsiTheme="majorHAnsi" w:cstheme="majorHAnsi"/>
          <w:bCs/>
          <w:lang w:val="en-US"/>
        </w:rPr>
        <w:t>. London: What Works Centre for Wellbeing, March 2020</w:t>
      </w:r>
    </w:p>
    <w:p w14:paraId="5755AE6F" w14:textId="77777777" w:rsidR="00275656" w:rsidRPr="00364172"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lastRenderedPageBreak/>
        <w:t xml:space="preserve">Wray, S.; Kinman, G. (2021) </w:t>
      </w:r>
      <w:r w:rsidRPr="00364172">
        <w:rPr>
          <w:rFonts w:asciiTheme="majorHAnsi" w:eastAsia="MS Mincho" w:hAnsiTheme="majorHAnsi" w:cstheme="majorHAnsi"/>
          <w:i/>
          <w:iCs/>
        </w:rPr>
        <w:t xml:space="preserve">Supporting Staff Wellbeing in Higher Education. </w:t>
      </w:r>
      <w:r w:rsidRPr="00364172">
        <w:rPr>
          <w:rFonts w:asciiTheme="majorHAnsi" w:eastAsia="MS Mincho" w:hAnsiTheme="majorHAnsi" w:cstheme="majorHAnsi"/>
        </w:rPr>
        <w:t>London: Education Support</w:t>
      </w:r>
    </w:p>
    <w:p w14:paraId="3A1D13DF" w14:textId="02045A18" w:rsidR="00C56674" w:rsidRDefault="00275656" w:rsidP="00275656">
      <w:pPr>
        <w:ind w:left="720" w:hanging="720"/>
        <w:rPr>
          <w:rFonts w:asciiTheme="majorHAnsi" w:eastAsia="MS Mincho" w:hAnsiTheme="majorHAnsi" w:cstheme="majorHAnsi"/>
        </w:rPr>
      </w:pPr>
      <w:r w:rsidRPr="00364172">
        <w:rPr>
          <w:rFonts w:asciiTheme="majorHAnsi" w:eastAsia="MS Mincho" w:hAnsiTheme="majorHAnsi" w:cstheme="majorHAnsi"/>
        </w:rPr>
        <w:t xml:space="preserve">Wu, X.; Ramesh, M.; Howlett, M. (2015) ‘Policy capacity: A conceptual framework for understanding policy competences and capabilities’, </w:t>
      </w:r>
      <w:r w:rsidRPr="00364172">
        <w:rPr>
          <w:rFonts w:asciiTheme="majorHAnsi" w:eastAsia="MS Mincho" w:hAnsiTheme="majorHAnsi" w:cstheme="majorHAnsi"/>
          <w:i/>
          <w:iCs/>
        </w:rPr>
        <w:t>Policy and Society</w:t>
      </w:r>
      <w:r w:rsidRPr="00364172">
        <w:rPr>
          <w:rFonts w:asciiTheme="majorHAnsi" w:eastAsia="MS Mincho" w:hAnsiTheme="majorHAnsi" w:cstheme="majorHAnsi"/>
        </w:rPr>
        <w:t xml:space="preserve"> 34(3-4): 165-171</w:t>
      </w:r>
    </w:p>
    <w:p w14:paraId="7C00FBB8" w14:textId="77777777" w:rsidR="00C56674" w:rsidRDefault="00C56674">
      <w:pPr>
        <w:rPr>
          <w:rFonts w:asciiTheme="majorHAnsi" w:eastAsia="MS Mincho" w:hAnsiTheme="majorHAnsi" w:cstheme="majorHAnsi"/>
        </w:rPr>
      </w:pPr>
      <w:r>
        <w:rPr>
          <w:rFonts w:asciiTheme="majorHAnsi" w:eastAsia="MS Mincho" w:hAnsiTheme="majorHAnsi" w:cstheme="majorHAnsi"/>
        </w:rPr>
        <w:br w:type="page"/>
      </w:r>
    </w:p>
    <w:p w14:paraId="365F2CC7" w14:textId="77777777" w:rsidR="00C56674" w:rsidRDefault="00C56674" w:rsidP="00C56674">
      <w:pPr>
        <w:rPr>
          <w:rFonts w:ascii="Calibri" w:eastAsia="Times New Roman" w:hAnsi="Calibri" w:cs="Calibri"/>
          <w:i/>
          <w:iCs/>
          <w:lang w:eastAsia="en-GB"/>
        </w:rPr>
      </w:pPr>
      <w:r>
        <w:rPr>
          <w:rFonts w:ascii="Calibri" w:eastAsia="Times New Roman" w:hAnsi="Calibri" w:cs="Calibri"/>
          <w:i/>
          <w:iCs/>
          <w:lang w:eastAsia="en-GB"/>
        </w:rPr>
        <w:lastRenderedPageBreak/>
        <w:t xml:space="preserve">Table 1: Interviewee codes and their </w:t>
      </w:r>
      <w:proofErr w:type="gramStart"/>
      <w:r>
        <w:rPr>
          <w:rFonts w:ascii="Calibri" w:eastAsia="Times New Roman" w:hAnsi="Calibri" w:cs="Calibri"/>
          <w:i/>
          <w:iCs/>
          <w:lang w:eastAsia="en-GB"/>
        </w:rPr>
        <w:t>Universities</w:t>
      </w:r>
      <w:proofErr w:type="gramEnd"/>
    </w:p>
    <w:p w14:paraId="7C458FB4" w14:textId="77777777" w:rsidR="00C56674" w:rsidRPr="00844766" w:rsidRDefault="00C56674" w:rsidP="00C56674">
      <w:pPr>
        <w:rPr>
          <w:rFonts w:ascii="Calibri" w:eastAsia="Times New Roman" w:hAnsi="Calibri" w:cs="Calibri"/>
          <w:i/>
          <w:iCs/>
          <w:lang w:eastAsia="en-GB"/>
        </w:rPr>
      </w:pPr>
    </w:p>
    <w:tbl>
      <w:tblPr>
        <w:tblW w:w="1271" w:type="dxa"/>
        <w:tblLook w:val="04A0" w:firstRow="1" w:lastRow="0" w:firstColumn="1" w:lastColumn="0" w:noHBand="0" w:noVBand="1"/>
      </w:tblPr>
      <w:tblGrid>
        <w:gridCol w:w="704"/>
        <w:gridCol w:w="567"/>
      </w:tblGrid>
      <w:tr w:rsidR="00C56674" w:rsidRPr="009E5CEA" w14:paraId="27BBF22A"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13A6DC30" w14:textId="77777777" w:rsidR="00C56674" w:rsidRPr="00844766" w:rsidRDefault="00C56674" w:rsidP="00A41DB0">
            <w:pPr>
              <w:rPr>
                <w:rFonts w:ascii="Calibri" w:eastAsia="Times New Roman" w:hAnsi="Calibri" w:cs="Calibri"/>
                <w:b/>
                <w:bCs/>
                <w:sz w:val="20"/>
                <w:szCs w:val="20"/>
                <w:lang w:eastAsia="en-GB"/>
              </w:rPr>
            </w:pPr>
            <w:r w:rsidRPr="00844766">
              <w:rPr>
                <w:rFonts w:ascii="Calibri" w:eastAsia="Times New Roman" w:hAnsi="Calibri" w:cs="Calibri"/>
                <w:b/>
                <w:bCs/>
                <w:sz w:val="20"/>
                <w:szCs w:val="20"/>
                <w:lang w:eastAsia="en-GB"/>
              </w:rPr>
              <w:t>IV</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359D138" w14:textId="77777777" w:rsidR="00C56674" w:rsidRPr="00844766" w:rsidRDefault="00C56674" w:rsidP="00A41DB0">
            <w:pPr>
              <w:rPr>
                <w:rFonts w:ascii="Calibri" w:eastAsia="Times New Roman" w:hAnsi="Calibri" w:cs="Calibri"/>
                <w:b/>
                <w:bCs/>
                <w:sz w:val="20"/>
                <w:szCs w:val="20"/>
                <w:lang w:eastAsia="en-GB"/>
              </w:rPr>
            </w:pPr>
            <w:r w:rsidRPr="00844766">
              <w:rPr>
                <w:rFonts w:ascii="Calibri" w:eastAsia="Times New Roman" w:hAnsi="Calibri" w:cs="Calibri"/>
                <w:b/>
                <w:bCs/>
                <w:sz w:val="20"/>
                <w:szCs w:val="20"/>
                <w:lang w:eastAsia="en-GB"/>
              </w:rPr>
              <w:t>Uni</w:t>
            </w:r>
          </w:p>
        </w:tc>
      </w:tr>
      <w:tr w:rsidR="00C56674" w:rsidRPr="009E5CEA" w14:paraId="1C796137"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7045FE29"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01</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83460FB"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B</w:t>
            </w:r>
          </w:p>
        </w:tc>
      </w:tr>
      <w:tr w:rsidR="00C56674" w:rsidRPr="009E5CEA" w14:paraId="73053A5E"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77934143"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02</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73B8FB7"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D</w:t>
            </w:r>
          </w:p>
        </w:tc>
      </w:tr>
      <w:tr w:rsidR="00C56674" w:rsidRPr="009E5CEA" w14:paraId="6ED1CD0A"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2A9D0EA7"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03</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647E2B9"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A</w:t>
            </w:r>
          </w:p>
        </w:tc>
      </w:tr>
      <w:tr w:rsidR="00C56674" w:rsidRPr="009E5CEA" w14:paraId="00A7A34B"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01B3DFD0"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C9DE6AE"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C</w:t>
            </w:r>
          </w:p>
        </w:tc>
      </w:tr>
      <w:tr w:rsidR="00C56674" w:rsidRPr="009E5CEA" w14:paraId="51177987"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3A302506"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05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4093A89"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E</w:t>
            </w:r>
          </w:p>
        </w:tc>
      </w:tr>
      <w:tr w:rsidR="00C56674" w:rsidRPr="009E5CEA" w14:paraId="5C151DAA"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0C9E0F21"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06</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6B72BB9"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C</w:t>
            </w:r>
          </w:p>
        </w:tc>
      </w:tr>
      <w:tr w:rsidR="00C56674" w:rsidRPr="009E5CEA" w14:paraId="007F5EB0"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311FEB36"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07</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08F3209"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F</w:t>
            </w:r>
          </w:p>
        </w:tc>
      </w:tr>
      <w:tr w:rsidR="00C56674" w:rsidRPr="009E5CEA" w14:paraId="2CBE8CE8"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31602A21"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08</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13D0390"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G</w:t>
            </w:r>
          </w:p>
        </w:tc>
      </w:tr>
      <w:tr w:rsidR="00C56674" w:rsidRPr="009E5CEA" w14:paraId="6D8EEF4B"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25307D7E"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09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4B231D"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H</w:t>
            </w:r>
          </w:p>
        </w:tc>
      </w:tr>
      <w:tr w:rsidR="00C56674" w:rsidRPr="009E5CEA" w14:paraId="7EFA6A5C"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1F7EEF55"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10</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3B056AF"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I</w:t>
            </w:r>
          </w:p>
        </w:tc>
      </w:tr>
      <w:tr w:rsidR="00C56674" w:rsidRPr="009E5CEA" w14:paraId="3D50D610" w14:textId="77777777" w:rsidTr="00A41DB0">
        <w:trPr>
          <w:trHeight w:val="340"/>
        </w:trPr>
        <w:tc>
          <w:tcPr>
            <w:tcW w:w="704" w:type="dxa"/>
            <w:tcBorders>
              <w:top w:val="single" w:sz="4" w:space="0" w:color="auto"/>
              <w:left w:val="single" w:sz="4" w:space="0" w:color="auto"/>
              <w:bottom w:val="single" w:sz="4" w:space="0" w:color="auto"/>
              <w:right w:val="single" w:sz="4" w:space="0" w:color="auto"/>
            </w:tcBorders>
          </w:tcPr>
          <w:p w14:paraId="67CF561D"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11</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182778C5"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J</w:t>
            </w:r>
          </w:p>
        </w:tc>
      </w:tr>
      <w:tr w:rsidR="00C56674" w:rsidRPr="009E5CEA" w14:paraId="591BE666" w14:textId="77777777" w:rsidTr="00A41DB0">
        <w:trPr>
          <w:trHeight w:val="340"/>
        </w:trPr>
        <w:tc>
          <w:tcPr>
            <w:tcW w:w="704" w:type="dxa"/>
            <w:tcBorders>
              <w:top w:val="nil"/>
              <w:left w:val="single" w:sz="4" w:space="0" w:color="auto"/>
              <w:bottom w:val="single" w:sz="4" w:space="0" w:color="auto"/>
              <w:right w:val="single" w:sz="4" w:space="0" w:color="auto"/>
            </w:tcBorders>
          </w:tcPr>
          <w:p w14:paraId="6130FC00"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12</w:t>
            </w:r>
          </w:p>
        </w:tc>
        <w:tc>
          <w:tcPr>
            <w:tcW w:w="567" w:type="dxa"/>
            <w:tcBorders>
              <w:top w:val="nil"/>
              <w:left w:val="single" w:sz="4" w:space="0" w:color="auto"/>
              <w:bottom w:val="single" w:sz="4" w:space="0" w:color="auto"/>
              <w:right w:val="single" w:sz="4" w:space="0" w:color="auto"/>
            </w:tcBorders>
            <w:shd w:val="clear" w:color="auto" w:fill="auto"/>
            <w:noWrap/>
          </w:tcPr>
          <w:p w14:paraId="2F408430"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K</w:t>
            </w:r>
          </w:p>
        </w:tc>
      </w:tr>
      <w:tr w:rsidR="00C56674" w:rsidRPr="009E5CEA" w14:paraId="67B5ACAB" w14:textId="77777777" w:rsidTr="00A41DB0">
        <w:trPr>
          <w:trHeight w:val="340"/>
        </w:trPr>
        <w:tc>
          <w:tcPr>
            <w:tcW w:w="704" w:type="dxa"/>
            <w:tcBorders>
              <w:top w:val="nil"/>
              <w:left w:val="single" w:sz="4" w:space="0" w:color="auto"/>
              <w:bottom w:val="single" w:sz="4" w:space="0" w:color="auto"/>
              <w:right w:val="single" w:sz="4" w:space="0" w:color="auto"/>
            </w:tcBorders>
          </w:tcPr>
          <w:p w14:paraId="1E62C367"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13</w:t>
            </w:r>
          </w:p>
        </w:tc>
        <w:tc>
          <w:tcPr>
            <w:tcW w:w="567" w:type="dxa"/>
            <w:tcBorders>
              <w:top w:val="nil"/>
              <w:left w:val="single" w:sz="4" w:space="0" w:color="auto"/>
              <w:bottom w:val="single" w:sz="4" w:space="0" w:color="auto"/>
              <w:right w:val="single" w:sz="4" w:space="0" w:color="auto"/>
            </w:tcBorders>
            <w:shd w:val="clear" w:color="auto" w:fill="auto"/>
            <w:noWrap/>
            <w:hideMark/>
          </w:tcPr>
          <w:p w14:paraId="4DEF12EB"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L</w:t>
            </w:r>
          </w:p>
        </w:tc>
      </w:tr>
      <w:tr w:rsidR="00C56674" w:rsidRPr="009E5CEA" w14:paraId="33F272E7" w14:textId="77777777" w:rsidTr="00A41DB0">
        <w:trPr>
          <w:trHeight w:val="340"/>
        </w:trPr>
        <w:tc>
          <w:tcPr>
            <w:tcW w:w="704" w:type="dxa"/>
            <w:tcBorders>
              <w:top w:val="nil"/>
              <w:left w:val="single" w:sz="4" w:space="0" w:color="auto"/>
              <w:bottom w:val="single" w:sz="4" w:space="0" w:color="auto"/>
              <w:right w:val="single" w:sz="4" w:space="0" w:color="auto"/>
            </w:tcBorders>
          </w:tcPr>
          <w:p w14:paraId="3FADFA28"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14</w:t>
            </w:r>
          </w:p>
        </w:tc>
        <w:tc>
          <w:tcPr>
            <w:tcW w:w="567" w:type="dxa"/>
            <w:tcBorders>
              <w:top w:val="nil"/>
              <w:left w:val="single" w:sz="4" w:space="0" w:color="auto"/>
              <w:bottom w:val="single" w:sz="4" w:space="0" w:color="auto"/>
              <w:right w:val="single" w:sz="4" w:space="0" w:color="auto"/>
            </w:tcBorders>
            <w:shd w:val="clear" w:color="auto" w:fill="auto"/>
            <w:noWrap/>
            <w:hideMark/>
          </w:tcPr>
          <w:p w14:paraId="1062A8CD"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M</w:t>
            </w:r>
          </w:p>
        </w:tc>
      </w:tr>
      <w:tr w:rsidR="00C56674" w:rsidRPr="009E5CEA" w14:paraId="0B9BF496" w14:textId="77777777" w:rsidTr="00A41DB0">
        <w:trPr>
          <w:trHeight w:val="340"/>
        </w:trPr>
        <w:tc>
          <w:tcPr>
            <w:tcW w:w="704" w:type="dxa"/>
            <w:tcBorders>
              <w:top w:val="nil"/>
              <w:left w:val="single" w:sz="4" w:space="0" w:color="auto"/>
              <w:bottom w:val="single" w:sz="4" w:space="0" w:color="auto"/>
              <w:right w:val="single" w:sz="4" w:space="0" w:color="auto"/>
            </w:tcBorders>
          </w:tcPr>
          <w:p w14:paraId="772EC4C2"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15</w:t>
            </w:r>
          </w:p>
        </w:tc>
        <w:tc>
          <w:tcPr>
            <w:tcW w:w="567" w:type="dxa"/>
            <w:tcBorders>
              <w:top w:val="nil"/>
              <w:left w:val="single" w:sz="4" w:space="0" w:color="auto"/>
              <w:bottom w:val="single" w:sz="4" w:space="0" w:color="auto"/>
              <w:right w:val="single" w:sz="4" w:space="0" w:color="auto"/>
            </w:tcBorders>
            <w:shd w:val="clear" w:color="auto" w:fill="auto"/>
            <w:noWrap/>
            <w:hideMark/>
          </w:tcPr>
          <w:p w14:paraId="583F3332" w14:textId="77777777" w:rsidR="00C56674" w:rsidRPr="00844766" w:rsidRDefault="00C56674" w:rsidP="00A41DB0">
            <w:pPr>
              <w:rPr>
                <w:rFonts w:ascii="Calibri" w:eastAsia="Times New Roman" w:hAnsi="Calibri" w:cs="Calibri"/>
                <w:sz w:val="20"/>
                <w:szCs w:val="20"/>
                <w:lang w:eastAsia="en-GB"/>
              </w:rPr>
            </w:pPr>
            <w:r w:rsidRPr="00844766">
              <w:rPr>
                <w:rFonts w:ascii="Calibri" w:eastAsia="Times New Roman" w:hAnsi="Calibri" w:cs="Calibri"/>
                <w:sz w:val="20"/>
                <w:szCs w:val="20"/>
                <w:lang w:eastAsia="en-GB"/>
              </w:rPr>
              <w:t>N</w:t>
            </w:r>
          </w:p>
        </w:tc>
      </w:tr>
    </w:tbl>
    <w:p w14:paraId="7902D5C9" w14:textId="77777777" w:rsidR="00C56674" w:rsidRDefault="00C56674" w:rsidP="00C56674"/>
    <w:p w14:paraId="1D488433" w14:textId="0D9B5B80" w:rsidR="00C56674" w:rsidRDefault="00C56674">
      <w:pPr>
        <w:rPr>
          <w:rFonts w:asciiTheme="majorHAnsi" w:hAnsiTheme="majorHAnsi" w:cstheme="majorHAnsi"/>
          <w:b/>
        </w:rPr>
      </w:pPr>
      <w:r>
        <w:rPr>
          <w:rFonts w:asciiTheme="majorHAnsi" w:hAnsiTheme="majorHAnsi" w:cstheme="majorHAnsi"/>
          <w:b/>
        </w:rPr>
        <w:br w:type="page"/>
      </w:r>
    </w:p>
    <w:p w14:paraId="630852CE" w14:textId="77777777" w:rsidR="00C56674" w:rsidRPr="00F438A4" w:rsidRDefault="00C56674" w:rsidP="00C56674">
      <w:pPr>
        <w:rPr>
          <w:rFonts w:ascii="Calibri" w:eastAsia="MS Mincho" w:hAnsi="Calibri" w:cs="Calibri"/>
          <w:i/>
          <w:iCs/>
          <w:color w:val="000000"/>
        </w:rPr>
      </w:pPr>
      <w:r w:rsidRPr="00F438A4">
        <w:rPr>
          <w:rFonts w:ascii="Calibri" w:eastAsia="MS Mincho" w:hAnsi="Calibri" w:cs="Calibri"/>
          <w:i/>
          <w:iCs/>
          <w:color w:val="000000"/>
        </w:rPr>
        <w:lastRenderedPageBreak/>
        <w:t xml:space="preserve">Table 2: </w:t>
      </w:r>
      <w:r>
        <w:rPr>
          <w:rFonts w:ascii="Calibri" w:eastAsia="MS Mincho" w:hAnsi="Calibri" w:cs="Calibri"/>
          <w:i/>
          <w:iCs/>
          <w:color w:val="000000"/>
        </w:rPr>
        <w:t>Examples of c</w:t>
      </w:r>
      <w:r w:rsidRPr="00F438A4">
        <w:rPr>
          <w:rFonts w:ascii="Calibri" w:eastAsia="MS Mincho" w:hAnsi="Calibri" w:cs="Calibri"/>
          <w:i/>
          <w:iCs/>
          <w:color w:val="000000"/>
        </w:rPr>
        <w:t>haracteristics of different dimensions of policy capacity to support PGR wellbeing. Note t</w:t>
      </w:r>
      <w:r w:rsidRPr="00F438A4">
        <w:rPr>
          <w:rFonts w:ascii="Calibri" w:eastAsia="Times New Roman" w:hAnsi="Calibri" w:cs="Calibri"/>
          <w:i/>
          <w:iCs/>
          <w:lang w:eastAsia="en-GB"/>
        </w:rPr>
        <w:t xml:space="preserve">here are variations in terminology around policy capacity between publications, and modifications over time. Rather than following one source, this interpretation is </w:t>
      </w:r>
      <w:r w:rsidRPr="00F438A4">
        <w:rPr>
          <w:rFonts w:ascii="Calibri" w:eastAsia="MS Mincho" w:hAnsi="Calibri" w:cs="Calibri"/>
          <w:i/>
          <w:iCs/>
        </w:rPr>
        <w:t xml:space="preserve">based on Wu et al (2015), along with Howlett and Ramesh (2016: 304-5); Rahman et al (2019); Bali and Ramesh (2021); Capano and Lippi (2021), and adding my own interpretation (See also </w:t>
      </w:r>
      <w:r>
        <w:rPr>
          <w:rFonts w:ascii="Calibri" w:eastAsia="MS Mincho" w:hAnsi="Calibri" w:cs="Calibri"/>
          <w:i/>
          <w:iCs/>
        </w:rPr>
        <w:t>Turnpenny and Alexander</w:t>
      </w:r>
      <w:r w:rsidRPr="00F438A4">
        <w:rPr>
          <w:rFonts w:ascii="Calibri" w:eastAsia="MS Mincho" w:hAnsi="Calibri" w:cs="Calibri"/>
          <w:i/>
          <w:iCs/>
          <w:color w:val="2A2A2A"/>
        </w:rPr>
        <w:t xml:space="preserve"> </w:t>
      </w:r>
      <w:r>
        <w:rPr>
          <w:rFonts w:ascii="Calibri" w:eastAsia="MS Mincho" w:hAnsi="Calibri" w:cs="Calibri"/>
          <w:i/>
          <w:iCs/>
          <w:color w:val="2A2A2A"/>
        </w:rPr>
        <w:t>(</w:t>
      </w:r>
      <w:r w:rsidRPr="00F438A4">
        <w:rPr>
          <w:rFonts w:ascii="Calibri" w:eastAsia="MS Mincho" w:hAnsi="Calibri" w:cs="Calibri"/>
          <w:i/>
          <w:iCs/>
          <w:color w:val="2A2A2A"/>
        </w:rPr>
        <w:t>2024</w:t>
      </w:r>
      <w:r>
        <w:rPr>
          <w:rFonts w:ascii="Calibri" w:eastAsia="MS Mincho" w:hAnsi="Calibri" w:cs="Calibri"/>
          <w:i/>
          <w:iCs/>
          <w:color w:val="2A2A2A"/>
        </w:rPr>
        <w:t>)</w:t>
      </w:r>
      <w:r w:rsidRPr="00F438A4">
        <w:rPr>
          <w:rFonts w:ascii="Calibri" w:eastAsia="MS Mincho" w:hAnsi="Calibri" w:cs="Calibri"/>
          <w:i/>
          <w:iCs/>
        </w:rPr>
        <w:t xml:space="preserve"> for another application)</w:t>
      </w:r>
    </w:p>
    <w:p w14:paraId="515D9CAD" w14:textId="77777777" w:rsidR="00C56674" w:rsidRPr="00F438A4" w:rsidRDefault="00C56674" w:rsidP="00C56674">
      <w:pPr>
        <w:rPr>
          <w:rFonts w:ascii="Calibri" w:eastAsia="Times New Roman" w:hAnsi="Calibri" w:cs="Calibri"/>
          <w:b/>
          <w:bCs/>
          <w:i/>
          <w:iCs/>
          <w:lang w:eastAsia="en-GB"/>
        </w:rPr>
      </w:pPr>
    </w:p>
    <w:tbl>
      <w:tblPr>
        <w:tblStyle w:val="TableGrid"/>
        <w:tblW w:w="0" w:type="auto"/>
        <w:tblLook w:val="04A0" w:firstRow="1" w:lastRow="0" w:firstColumn="1" w:lastColumn="0" w:noHBand="0" w:noVBand="1"/>
      </w:tblPr>
      <w:tblGrid>
        <w:gridCol w:w="1567"/>
        <w:gridCol w:w="1689"/>
        <w:gridCol w:w="5034"/>
      </w:tblGrid>
      <w:tr w:rsidR="00C56674" w:rsidRPr="00F438A4" w14:paraId="0D6385FB" w14:textId="77777777" w:rsidTr="00A41DB0">
        <w:tc>
          <w:tcPr>
            <w:tcW w:w="1567" w:type="dxa"/>
            <w:shd w:val="clear" w:color="auto" w:fill="D9D9D9"/>
          </w:tcPr>
          <w:p w14:paraId="0F506BA6" w14:textId="77777777" w:rsidR="00C56674" w:rsidRPr="00F438A4" w:rsidRDefault="00C56674" w:rsidP="00A41DB0">
            <w:pPr>
              <w:rPr>
                <w:rFonts w:ascii="Calibri" w:eastAsia="Times New Roman" w:hAnsi="Calibri" w:cs="Calibri"/>
                <w:b/>
                <w:bCs/>
                <w:lang w:eastAsia="en-GB"/>
              </w:rPr>
            </w:pPr>
            <w:r w:rsidRPr="00F438A4">
              <w:rPr>
                <w:rFonts w:ascii="Calibri" w:eastAsia="Times New Roman" w:hAnsi="Calibri" w:cs="Calibri"/>
                <w:b/>
                <w:bCs/>
                <w:lang w:eastAsia="en-GB"/>
              </w:rPr>
              <w:t>Competences</w:t>
            </w:r>
          </w:p>
        </w:tc>
        <w:tc>
          <w:tcPr>
            <w:tcW w:w="1689" w:type="dxa"/>
            <w:shd w:val="clear" w:color="auto" w:fill="D9D9D9"/>
          </w:tcPr>
          <w:p w14:paraId="1B3E67C5" w14:textId="77777777" w:rsidR="00C56674" w:rsidRPr="00F438A4" w:rsidRDefault="00C56674" w:rsidP="00A41DB0">
            <w:pPr>
              <w:rPr>
                <w:rFonts w:ascii="Calibri" w:eastAsia="Times New Roman" w:hAnsi="Calibri" w:cs="Calibri"/>
                <w:b/>
                <w:bCs/>
                <w:lang w:eastAsia="en-GB"/>
              </w:rPr>
            </w:pPr>
            <w:r w:rsidRPr="00F438A4">
              <w:rPr>
                <w:rFonts w:ascii="Calibri" w:eastAsia="Times New Roman" w:hAnsi="Calibri" w:cs="Calibri"/>
                <w:b/>
                <w:bCs/>
                <w:lang w:eastAsia="en-GB"/>
              </w:rPr>
              <w:t>Capabilities (level)</w:t>
            </w:r>
          </w:p>
        </w:tc>
        <w:tc>
          <w:tcPr>
            <w:tcW w:w="5034" w:type="dxa"/>
            <w:shd w:val="clear" w:color="auto" w:fill="D9D9D9"/>
          </w:tcPr>
          <w:p w14:paraId="441FA757" w14:textId="77777777" w:rsidR="00C56674" w:rsidRPr="00F438A4" w:rsidRDefault="00C56674" w:rsidP="00A41DB0">
            <w:pPr>
              <w:rPr>
                <w:rFonts w:ascii="Calibri" w:eastAsia="Times New Roman" w:hAnsi="Calibri" w:cs="Calibri"/>
                <w:b/>
                <w:bCs/>
                <w:lang w:eastAsia="en-GB"/>
              </w:rPr>
            </w:pPr>
            <w:r>
              <w:rPr>
                <w:rFonts w:ascii="Calibri" w:eastAsia="Times New Roman" w:hAnsi="Calibri" w:cs="Calibri"/>
                <w:b/>
                <w:bCs/>
                <w:lang w:eastAsia="en-GB"/>
              </w:rPr>
              <w:t xml:space="preserve">Examples of </w:t>
            </w:r>
            <w:r w:rsidRPr="00F438A4">
              <w:rPr>
                <w:rFonts w:ascii="Calibri" w:eastAsia="Times New Roman" w:hAnsi="Calibri" w:cs="Calibri"/>
                <w:b/>
                <w:bCs/>
                <w:lang w:eastAsia="en-GB"/>
              </w:rPr>
              <w:t>Characteristics</w:t>
            </w:r>
          </w:p>
        </w:tc>
      </w:tr>
      <w:tr w:rsidR="00C56674" w:rsidRPr="00F438A4" w14:paraId="56AF509E" w14:textId="77777777" w:rsidTr="00A41DB0">
        <w:tc>
          <w:tcPr>
            <w:tcW w:w="1567" w:type="dxa"/>
            <w:vMerge w:val="restart"/>
          </w:tcPr>
          <w:p w14:paraId="3E17ABB3" w14:textId="77777777" w:rsidR="00C56674" w:rsidRPr="00F438A4" w:rsidRDefault="00C56674" w:rsidP="00A41DB0">
            <w:pPr>
              <w:rPr>
                <w:rFonts w:ascii="Calibri" w:eastAsia="Times New Roman" w:hAnsi="Calibri" w:cs="Calibri"/>
                <w:b/>
                <w:bCs/>
                <w:lang w:eastAsia="en-GB"/>
              </w:rPr>
            </w:pPr>
            <w:r w:rsidRPr="00F438A4">
              <w:rPr>
                <w:rFonts w:ascii="Calibri" w:eastAsia="Times New Roman" w:hAnsi="Calibri" w:cs="Calibri"/>
                <w:b/>
                <w:bCs/>
                <w:lang w:eastAsia="en-GB"/>
              </w:rPr>
              <w:t>Political</w:t>
            </w:r>
          </w:p>
        </w:tc>
        <w:tc>
          <w:tcPr>
            <w:tcW w:w="1689" w:type="dxa"/>
          </w:tcPr>
          <w:p w14:paraId="2D22D0BD" w14:textId="77777777" w:rsidR="00C56674" w:rsidRPr="00F438A4" w:rsidRDefault="00C56674" w:rsidP="00A41DB0">
            <w:pPr>
              <w:rPr>
                <w:rFonts w:ascii="Calibri" w:eastAsia="Times New Roman" w:hAnsi="Calibri" w:cs="Calibri"/>
                <w:i/>
                <w:iCs/>
                <w:lang w:eastAsia="en-GB"/>
              </w:rPr>
            </w:pPr>
            <w:r w:rsidRPr="00F438A4">
              <w:rPr>
                <w:rFonts w:ascii="Calibri" w:eastAsia="Times New Roman" w:hAnsi="Calibri" w:cs="Calibri"/>
                <w:i/>
                <w:iCs/>
                <w:lang w:eastAsia="en-GB"/>
              </w:rPr>
              <w:t>Individual</w:t>
            </w:r>
          </w:p>
        </w:tc>
        <w:tc>
          <w:tcPr>
            <w:tcW w:w="5034" w:type="dxa"/>
          </w:tcPr>
          <w:p w14:paraId="2BAEACEA" w14:textId="77777777" w:rsidR="00C56674" w:rsidRPr="00F438A4" w:rsidRDefault="00C56674" w:rsidP="00C56674">
            <w:pPr>
              <w:numPr>
                <w:ilvl w:val="0"/>
                <w:numId w:val="27"/>
              </w:numPr>
              <w:contextualSpacing/>
              <w:rPr>
                <w:rFonts w:ascii="Calibri" w:hAnsi="Calibri" w:cs="Calibri"/>
              </w:rPr>
            </w:pPr>
            <w:r w:rsidRPr="00F438A4">
              <w:rPr>
                <w:rFonts w:ascii="Calibri" w:hAnsi="Calibri" w:cs="Calibri"/>
              </w:rPr>
              <w:t>Understanding of the needs, positions and interests of different actors</w:t>
            </w:r>
          </w:p>
          <w:p w14:paraId="672C6712" w14:textId="77777777" w:rsidR="00C56674" w:rsidRPr="00F438A4" w:rsidRDefault="00C56674" w:rsidP="00C56674">
            <w:pPr>
              <w:numPr>
                <w:ilvl w:val="0"/>
                <w:numId w:val="27"/>
              </w:numPr>
              <w:contextualSpacing/>
              <w:rPr>
                <w:rFonts w:ascii="Calibri" w:hAnsi="Calibri" w:cs="Calibri"/>
              </w:rPr>
            </w:pPr>
            <w:r w:rsidRPr="00F438A4">
              <w:rPr>
                <w:rFonts w:ascii="Calibri" w:hAnsi="Calibri" w:cs="Calibri"/>
              </w:rPr>
              <w:t>Knowledge of how decisions get made</w:t>
            </w:r>
          </w:p>
          <w:p w14:paraId="2D7B041E" w14:textId="77777777" w:rsidR="00C56674" w:rsidRPr="00F438A4" w:rsidRDefault="00C56674" w:rsidP="00C56674">
            <w:pPr>
              <w:numPr>
                <w:ilvl w:val="0"/>
                <w:numId w:val="27"/>
              </w:numPr>
              <w:contextualSpacing/>
              <w:rPr>
                <w:rFonts w:ascii="Calibri" w:eastAsia="Times New Roman" w:hAnsi="Calibri" w:cs="Calibri"/>
                <w:lang w:eastAsia="en-GB"/>
              </w:rPr>
            </w:pPr>
            <w:r w:rsidRPr="00F438A4">
              <w:rPr>
                <w:rFonts w:ascii="Calibri" w:hAnsi="Calibri" w:cs="Calibri"/>
              </w:rPr>
              <w:t>Quick and accurate judgments about the desirability and feasibility of different interventions</w:t>
            </w:r>
          </w:p>
          <w:p w14:paraId="6359BFEC" w14:textId="77777777" w:rsidR="00C56674" w:rsidRPr="00F438A4" w:rsidRDefault="00C56674" w:rsidP="00C56674">
            <w:pPr>
              <w:numPr>
                <w:ilvl w:val="0"/>
                <w:numId w:val="27"/>
              </w:numPr>
              <w:contextualSpacing/>
              <w:rPr>
                <w:rFonts w:ascii="Calibri" w:eastAsia="Times New Roman" w:hAnsi="Calibri" w:cs="Calibri"/>
                <w:lang w:eastAsia="en-GB"/>
              </w:rPr>
            </w:pPr>
            <w:r w:rsidRPr="00F438A4">
              <w:rPr>
                <w:rFonts w:ascii="Calibri" w:hAnsi="Calibri" w:cs="Calibri"/>
              </w:rPr>
              <w:t xml:space="preserve">Skills in communication, negotiation and consensus-building </w:t>
            </w:r>
          </w:p>
          <w:p w14:paraId="0524B673" w14:textId="77777777" w:rsidR="00C56674" w:rsidRPr="00F438A4" w:rsidRDefault="00C56674" w:rsidP="00C56674">
            <w:pPr>
              <w:numPr>
                <w:ilvl w:val="0"/>
                <w:numId w:val="27"/>
              </w:numPr>
              <w:contextualSpacing/>
              <w:rPr>
                <w:rFonts w:ascii="Calibri" w:eastAsia="Times New Roman" w:hAnsi="Calibri" w:cs="Calibri"/>
                <w:lang w:eastAsia="en-GB"/>
              </w:rPr>
            </w:pPr>
            <w:r>
              <w:rPr>
                <w:rFonts w:ascii="Calibri" w:eastAsia="Times New Roman" w:hAnsi="Calibri" w:cs="Calibri"/>
                <w:lang w:eastAsia="en-GB"/>
              </w:rPr>
              <w:t>Capaci</w:t>
            </w:r>
            <w:r w:rsidRPr="00F438A4">
              <w:rPr>
                <w:rFonts w:ascii="Calibri" w:eastAsia="Times New Roman" w:hAnsi="Calibri" w:cs="Calibri"/>
                <w:lang w:eastAsia="en-GB"/>
              </w:rPr>
              <w:t>ty to seize opportunities</w:t>
            </w:r>
          </w:p>
          <w:p w14:paraId="6C781AF6" w14:textId="77777777" w:rsidR="00C56674" w:rsidRPr="00F438A4" w:rsidRDefault="00C56674" w:rsidP="00C56674">
            <w:pPr>
              <w:numPr>
                <w:ilvl w:val="0"/>
                <w:numId w:val="27"/>
              </w:numPr>
              <w:contextualSpacing/>
              <w:rPr>
                <w:rFonts w:ascii="Calibri" w:eastAsia="Times New Roman" w:hAnsi="Calibri" w:cs="Calibri"/>
                <w:lang w:eastAsia="en-GB"/>
              </w:rPr>
            </w:pPr>
            <w:r>
              <w:rPr>
                <w:rFonts w:ascii="Calibri" w:eastAsia="Times New Roman" w:hAnsi="Calibri" w:cs="Calibri"/>
                <w:lang w:eastAsia="en-GB"/>
              </w:rPr>
              <w:t>Capaci</w:t>
            </w:r>
            <w:r w:rsidRPr="00F438A4">
              <w:rPr>
                <w:rFonts w:ascii="Calibri" w:eastAsia="Times New Roman" w:hAnsi="Calibri" w:cs="Calibri"/>
                <w:lang w:eastAsia="en-GB"/>
              </w:rPr>
              <w:t>ty to mobilise others</w:t>
            </w:r>
          </w:p>
        </w:tc>
      </w:tr>
      <w:tr w:rsidR="00C56674" w:rsidRPr="00F438A4" w14:paraId="55553D56" w14:textId="77777777" w:rsidTr="00A41DB0">
        <w:tc>
          <w:tcPr>
            <w:tcW w:w="1567" w:type="dxa"/>
            <w:vMerge/>
          </w:tcPr>
          <w:p w14:paraId="1EB4A3FA" w14:textId="77777777" w:rsidR="00C56674" w:rsidRPr="00F438A4" w:rsidRDefault="00C56674" w:rsidP="00A41DB0">
            <w:pPr>
              <w:rPr>
                <w:rFonts w:ascii="Calibri" w:eastAsia="Times New Roman" w:hAnsi="Calibri" w:cs="Calibri"/>
                <w:b/>
                <w:bCs/>
                <w:lang w:eastAsia="en-GB"/>
              </w:rPr>
            </w:pPr>
          </w:p>
        </w:tc>
        <w:tc>
          <w:tcPr>
            <w:tcW w:w="1689" w:type="dxa"/>
          </w:tcPr>
          <w:p w14:paraId="13037ADA" w14:textId="77777777" w:rsidR="00C56674" w:rsidRPr="00F438A4" w:rsidRDefault="00C56674" w:rsidP="00A41DB0">
            <w:pPr>
              <w:rPr>
                <w:rFonts w:ascii="Calibri" w:eastAsia="Times New Roman" w:hAnsi="Calibri" w:cs="Calibri"/>
                <w:i/>
                <w:iCs/>
                <w:lang w:eastAsia="en-GB"/>
              </w:rPr>
            </w:pPr>
            <w:r w:rsidRPr="00F438A4">
              <w:rPr>
                <w:rFonts w:ascii="Calibri" w:eastAsia="Times New Roman" w:hAnsi="Calibri" w:cs="Calibri"/>
                <w:i/>
                <w:iCs/>
                <w:lang w:eastAsia="en-GB"/>
              </w:rPr>
              <w:t>Organisational</w:t>
            </w:r>
          </w:p>
        </w:tc>
        <w:tc>
          <w:tcPr>
            <w:tcW w:w="5034" w:type="dxa"/>
          </w:tcPr>
          <w:p w14:paraId="078CA62F" w14:textId="77777777" w:rsidR="00C56674" w:rsidRPr="00F438A4" w:rsidRDefault="00C56674" w:rsidP="00C56674">
            <w:pPr>
              <w:numPr>
                <w:ilvl w:val="0"/>
                <w:numId w:val="28"/>
              </w:numPr>
              <w:autoSpaceDE w:val="0"/>
              <w:autoSpaceDN w:val="0"/>
              <w:adjustRightInd w:val="0"/>
              <w:contextualSpacing/>
              <w:rPr>
                <w:rFonts w:ascii="Calibri" w:hAnsi="Calibri" w:cs="Calibri"/>
              </w:rPr>
            </w:pPr>
            <w:r w:rsidRPr="00F438A4">
              <w:rPr>
                <w:rFonts w:ascii="Calibri" w:hAnsi="Calibri" w:cs="Calibri"/>
              </w:rPr>
              <w:t>General support for wellbeing within the organisation and among its key stakeholders</w:t>
            </w:r>
          </w:p>
          <w:p w14:paraId="39D01A43" w14:textId="77777777" w:rsidR="00C56674" w:rsidRPr="00F438A4" w:rsidRDefault="00C56674" w:rsidP="00C56674">
            <w:pPr>
              <w:numPr>
                <w:ilvl w:val="0"/>
                <w:numId w:val="28"/>
              </w:numPr>
              <w:autoSpaceDE w:val="0"/>
              <w:autoSpaceDN w:val="0"/>
              <w:adjustRightInd w:val="0"/>
              <w:contextualSpacing/>
              <w:rPr>
                <w:rFonts w:ascii="Calibri" w:hAnsi="Calibri" w:cs="Calibri"/>
              </w:rPr>
            </w:pPr>
            <w:r w:rsidRPr="00F438A4">
              <w:rPr>
                <w:rFonts w:ascii="Calibri" w:hAnsi="Calibri" w:cs="Calibri"/>
              </w:rPr>
              <w:t xml:space="preserve">Trust between actors </w:t>
            </w:r>
          </w:p>
          <w:p w14:paraId="7F8C5739" w14:textId="77777777" w:rsidR="00C56674" w:rsidRPr="00F438A4" w:rsidRDefault="00C56674" w:rsidP="00C56674">
            <w:pPr>
              <w:numPr>
                <w:ilvl w:val="0"/>
                <w:numId w:val="28"/>
              </w:numPr>
              <w:autoSpaceDE w:val="0"/>
              <w:autoSpaceDN w:val="0"/>
              <w:adjustRightInd w:val="0"/>
              <w:contextualSpacing/>
              <w:rPr>
                <w:rFonts w:ascii="Calibri" w:hAnsi="Calibri" w:cs="Calibri"/>
              </w:rPr>
            </w:pPr>
            <w:r w:rsidRPr="00F438A4">
              <w:rPr>
                <w:rFonts w:ascii="Calibri" w:hAnsi="Calibri" w:cs="Calibri"/>
              </w:rPr>
              <w:t>Political legitimacy beyond the organisation: access to, credibility with, and effective engagement with key decision-makers</w:t>
            </w:r>
          </w:p>
          <w:p w14:paraId="45FB3292" w14:textId="77777777" w:rsidR="00C56674" w:rsidRPr="00F438A4" w:rsidRDefault="00C56674" w:rsidP="00C56674">
            <w:pPr>
              <w:numPr>
                <w:ilvl w:val="0"/>
                <w:numId w:val="28"/>
              </w:numPr>
              <w:autoSpaceDE w:val="0"/>
              <w:autoSpaceDN w:val="0"/>
              <w:adjustRightInd w:val="0"/>
              <w:contextualSpacing/>
              <w:rPr>
                <w:rFonts w:ascii="Calibri" w:hAnsi="Calibri" w:cs="Calibri"/>
              </w:rPr>
            </w:pPr>
            <w:r w:rsidRPr="00F438A4">
              <w:rPr>
                <w:rFonts w:ascii="Calibri" w:hAnsi="Calibri" w:cs="Calibri"/>
              </w:rPr>
              <w:t>Political capital to canvass support, build coalitions, overcome opposition from actors within and without, and navigate political and legislative processes and exploit windows of opportunity</w:t>
            </w:r>
          </w:p>
          <w:p w14:paraId="50CFF776" w14:textId="77777777" w:rsidR="00C56674" w:rsidRPr="00F438A4" w:rsidRDefault="00C56674" w:rsidP="00C56674">
            <w:pPr>
              <w:numPr>
                <w:ilvl w:val="0"/>
                <w:numId w:val="28"/>
              </w:numPr>
              <w:autoSpaceDE w:val="0"/>
              <w:autoSpaceDN w:val="0"/>
              <w:adjustRightInd w:val="0"/>
              <w:contextualSpacing/>
              <w:rPr>
                <w:rFonts w:ascii="Calibri" w:hAnsi="Calibri" w:cs="Calibri"/>
              </w:rPr>
            </w:pPr>
            <w:r w:rsidRPr="00F438A4">
              <w:rPr>
                <w:rFonts w:ascii="Calibri" w:hAnsi="Calibri" w:cs="Calibri"/>
              </w:rPr>
              <w:t>Ways of including a variety of voices (whose are influential / marginalised?)</w:t>
            </w:r>
          </w:p>
        </w:tc>
      </w:tr>
      <w:tr w:rsidR="00C56674" w:rsidRPr="00F438A4" w14:paraId="67DFC470" w14:textId="77777777" w:rsidTr="00A41DB0">
        <w:tc>
          <w:tcPr>
            <w:tcW w:w="1567" w:type="dxa"/>
            <w:vMerge/>
          </w:tcPr>
          <w:p w14:paraId="421EF36B" w14:textId="77777777" w:rsidR="00C56674" w:rsidRPr="00F438A4" w:rsidRDefault="00C56674" w:rsidP="00A41DB0">
            <w:pPr>
              <w:rPr>
                <w:rFonts w:ascii="Calibri" w:eastAsia="Times New Roman" w:hAnsi="Calibri" w:cs="Calibri"/>
                <w:b/>
                <w:bCs/>
                <w:lang w:eastAsia="en-GB"/>
              </w:rPr>
            </w:pPr>
          </w:p>
        </w:tc>
        <w:tc>
          <w:tcPr>
            <w:tcW w:w="1689" w:type="dxa"/>
          </w:tcPr>
          <w:p w14:paraId="386D2E48" w14:textId="77777777" w:rsidR="00C56674" w:rsidRPr="00F438A4" w:rsidRDefault="00C56674" w:rsidP="00A41DB0">
            <w:pPr>
              <w:rPr>
                <w:rFonts w:ascii="Calibri" w:eastAsia="Times New Roman" w:hAnsi="Calibri" w:cs="Calibri"/>
                <w:i/>
                <w:iCs/>
                <w:lang w:eastAsia="en-GB"/>
              </w:rPr>
            </w:pPr>
            <w:r w:rsidRPr="00F438A4">
              <w:rPr>
                <w:rFonts w:ascii="Calibri" w:eastAsia="Times New Roman" w:hAnsi="Calibri" w:cs="Calibri"/>
                <w:i/>
                <w:iCs/>
                <w:lang w:eastAsia="en-GB"/>
              </w:rPr>
              <w:t>Systemic</w:t>
            </w:r>
          </w:p>
        </w:tc>
        <w:tc>
          <w:tcPr>
            <w:tcW w:w="5034" w:type="dxa"/>
          </w:tcPr>
          <w:p w14:paraId="4F9554E6" w14:textId="77777777" w:rsidR="00C56674" w:rsidRPr="00F438A4" w:rsidRDefault="00C56674" w:rsidP="00C56674">
            <w:pPr>
              <w:numPr>
                <w:ilvl w:val="0"/>
                <w:numId w:val="24"/>
              </w:numPr>
              <w:contextualSpacing/>
              <w:rPr>
                <w:rFonts w:ascii="Calibri" w:hAnsi="Calibri" w:cs="Calibri"/>
              </w:rPr>
            </w:pPr>
            <w:r w:rsidRPr="00F438A4">
              <w:rPr>
                <w:rFonts w:ascii="Calibri" w:hAnsi="Calibri" w:cs="Calibri"/>
              </w:rPr>
              <w:t>Wellbeing as a priority – e.g. in public support, national policy; powerful champions beyond HE</w:t>
            </w:r>
          </w:p>
          <w:p w14:paraId="2EE6E61B" w14:textId="77777777" w:rsidR="00C56674" w:rsidRPr="00F438A4" w:rsidRDefault="00C56674" w:rsidP="00C56674">
            <w:pPr>
              <w:numPr>
                <w:ilvl w:val="0"/>
                <w:numId w:val="24"/>
              </w:numPr>
              <w:contextualSpacing/>
              <w:rPr>
                <w:rFonts w:ascii="Calibri" w:hAnsi="Calibri" w:cs="Calibri"/>
              </w:rPr>
            </w:pPr>
            <w:r w:rsidRPr="00F438A4">
              <w:rPr>
                <w:rFonts w:ascii="Calibri" w:hAnsi="Calibri" w:cs="Calibri"/>
              </w:rPr>
              <w:t xml:space="preserve">Action enabled through e.g. adequate funding – does the priority run all through? </w:t>
            </w:r>
          </w:p>
          <w:p w14:paraId="6B165885" w14:textId="77777777" w:rsidR="00C56674" w:rsidRPr="00F438A4" w:rsidRDefault="00C56674" w:rsidP="00C56674">
            <w:pPr>
              <w:numPr>
                <w:ilvl w:val="0"/>
                <w:numId w:val="24"/>
              </w:numPr>
              <w:contextualSpacing/>
              <w:rPr>
                <w:rFonts w:ascii="Calibri" w:hAnsi="Calibri" w:cs="Calibri"/>
              </w:rPr>
            </w:pPr>
            <w:r w:rsidRPr="00F438A4">
              <w:rPr>
                <w:rFonts w:ascii="Calibri" w:hAnsi="Calibri" w:cs="Calibri"/>
              </w:rPr>
              <w:t>How far does the wellbeing agenda challenge what’s seen as legitimate, or embedded interests? i.e. is it likely to have big broad support</w:t>
            </w:r>
          </w:p>
          <w:p w14:paraId="534EE7CB" w14:textId="77777777" w:rsidR="00C56674" w:rsidRPr="00F438A4" w:rsidRDefault="00C56674" w:rsidP="00C56674">
            <w:pPr>
              <w:numPr>
                <w:ilvl w:val="0"/>
                <w:numId w:val="24"/>
              </w:numPr>
              <w:contextualSpacing/>
              <w:rPr>
                <w:rFonts w:ascii="Calibri" w:hAnsi="Calibri" w:cs="Calibri"/>
              </w:rPr>
            </w:pPr>
            <w:r w:rsidRPr="00F438A4">
              <w:rPr>
                <w:rFonts w:ascii="Calibri" w:hAnsi="Calibri" w:cs="Calibri"/>
              </w:rPr>
              <w:lastRenderedPageBreak/>
              <w:t>Levels of public trust in universities</w:t>
            </w:r>
          </w:p>
          <w:p w14:paraId="151F2BCB" w14:textId="77777777" w:rsidR="00C56674" w:rsidRPr="00F438A4" w:rsidRDefault="00C56674" w:rsidP="00C56674">
            <w:pPr>
              <w:numPr>
                <w:ilvl w:val="0"/>
                <w:numId w:val="24"/>
              </w:numPr>
              <w:contextualSpacing/>
              <w:rPr>
                <w:rFonts w:ascii="Calibri" w:hAnsi="Calibri" w:cs="Calibri"/>
              </w:rPr>
            </w:pPr>
            <w:r w:rsidRPr="00F438A4">
              <w:rPr>
                <w:rFonts w:ascii="Calibri" w:hAnsi="Calibri" w:cs="Calibri"/>
              </w:rPr>
              <w:t xml:space="preserve">Influence of universities in policy process </w:t>
            </w:r>
          </w:p>
        </w:tc>
      </w:tr>
      <w:tr w:rsidR="00C56674" w:rsidRPr="00F438A4" w14:paraId="14169D03" w14:textId="77777777" w:rsidTr="00A41DB0">
        <w:tc>
          <w:tcPr>
            <w:tcW w:w="1567" w:type="dxa"/>
            <w:vMerge w:val="restart"/>
          </w:tcPr>
          <w:p w14:paraId="0E7FF7A6" w14:textId="77777777" w:rsidR="00C56674" w:rsidRPr="00F438A4" w:rsidRDefault="00C56674" w:rsidP="00A41DB0">
            <w:pPr>
              <w:rPr>
                <w:rFonts w:ascii="Calibri" w:eastAsia="Times New Roman" w:hAnsi="Calibri" w:cs="Calibri"/>
                <w:b/>
                <w:bCs/>
                <w:lang w:eastAsia="en-GB"/>
              </w:rPr>
            </w:pPr>
            <w:r w:rsidRPr="00F438A4">
              <w:rPr>
                <w:rFonts w:ascii="Calibri" w:eastAsia="Times New Roman" w:hAnsi="Calibri" w:cs="Calibri"/>
                <w:b/>
                <w:bCs/>
                <w:lang w:eastAsia="en-GB"/>
              </w:rPr>
              <w:lastRenderedPageBreak/>
              <w:t>Operational</w:t>
            </w:r>
          </w:p>
        </w:tc>
        <w:tc>
          <w:tcPr>
            <w:tcW w:w="1689" w:type="dxa"/>
          </w:tcPr>
          <w:p w14:paraId="5E4C518D" w14:textId="77777777" w:rsidR="00C56674" w:rsidRPr="00F438A4" w:rsidRDefault="00C56674" w:rsidP="00A41DB0">
            <w:pPr>
              <w:rPr>
                <w:rFonts w:ascii="Calibri" w:eastAsia="Times New Roman" w:hAnsi="Calibri" w:cs="Calibri"/>
                <w:i/>
                <w:iCs/>
                <w:lang w:eastAsia="en-GB"/>
              </w:rPr>
            </w:pPr>
            <w:r w:rsidRPr="00F438A4">
              <w:rPr>
                <w:rFonts w:ascii="Calibri" w:eastAsia="Times New Roman" w:hAnsi="Calibri" w:cs="Calibri"/>
                <w:i/>
                <w:iCs/>
                <w:lang w:eastAsia="en-GB"/>
              </w:rPr>
              <w:t>Individual</w:t>
            </w:r>
          </w:p>
        </w:tc>
        <w:tc>
          <w:tcPr>
            <w:tcW w:w="5034" w:type="dxa"/>
          </w:tcPr>
          <w:p w14:paraId="30E17B8B" w14:textId="77777777" w:rsidR="00C56674" w:rsidRPr="00F438A4" w:rsidRDefault="00C56674" w:rsidP="00C56674">
            <w:pPr>
              <w:numPr>
                <w:ilvl w:val="0"/>
                <w:numId w:val="25"/>
              </w:numPr>
              <w:contextualSpacing/>
              <w:rPr>
                <w:rFonts w:ascii="Calibri" w:hAnsi="Calibri" w:cs="Calibri"/>
              </w:rPr>
            </w:pPr>
            <w:r w:rsidRPr="00F438A4">
              <w:rPr>
                <w:rFonts w:ascii="Calibri" w:hAnsi="Calibri" w:cs="Calibri"/>
              </w:rPr>
              <w:t>Skills such as leadership, teamwork, coordination, negotiation, conflict resolution</w:t>
            </w:r>
          </w:p>
          <w:p w14:paraId="554D5DDC" w14:textId="77777777" w:rsidR="00C56674" w:rsidRPr="00F438A4" w:rsidRDefault="00C56674" w:rsidP="00C56674">
            <w:pPr>
              <w:numPr>
                <w:ilvl w:val="0"/>
                <w:numId w:val="25"/>
              </w:numPr>
              <w:autoSpaceDE w:val="0"/>
              <w:autoSpaceDN w:val="0"/>
              <w:adjustRightInd w:val="0"/>
              <w:contextualSpacing/>
              <w:rPr>
                <w:rFonts w:ascii="Calibri" w:hAnsi="Calibri" w:cs="Calibri"/>
              </w:rPr>
            </w:pPr>
            <w:r w:rsidRPr="00F438A4">
              <w:rPr>
                <w:rFonts w:ascii="Calibri" w:hAnsi="Calibri" w:cs="Calibri"/>
              </w:rPr>
              <w:t>ability to perform key managerial functions – such as planning, staffing, budgeting, project management and problem solving, with appropriate consideration of ethics and integrity</w:t>
            </w:r>
          </w:p>
        </w:tc>
      </w:tr>
      <w:tr w:rsidR="00C56674" w:rsidRPr="00F438A4" w14:paraId="79128DEF" w14:textId="77777777" w:rsidTr="00A41DB0">
        <w:tc>
          <w:tcPr>
            <w:tcW w:w="1567" w:type="dxa"/>
            <w:vMerge/>
          </w:tcPr>
          <w:p w14:paraId="429238A2" w14:textId="77777777" w:rsidR="00C56674" w:rsidRPr="00F438A4" w:rsidRDefault="00C56674" w:rsidP="00A41DB0">
            <w:pPr>
              <w:rPr>
                <w:rFonts w:ascii="Calibri" w:eastAsia="Times New Roman" w:hAnsi="Calibri" w:cs="Calibri"/>
                <w:b/>
                <w:bCs/>
                <w:lang w:eastAsia="en-GB"/>
              </w:rPr>
            </w:pPr>
          </w:p>
        </w:tc>
        <w:tc>
          <w:tcPr>
            <w:tcW w:w="1689" w:type="dxa"/>
          </w:tcPr>
          <w:p w14:paraId="7E936FB2" w14:textId="77777777" w:rsidR="00C56674" w:rsidRPr="00F438A4" w:rsidRDefault="00C56674" w:rsidP="00A41DB0">
            <w:pPr>
              <w:rPr>
                <w:rFonts w:ascii="Calibri" w:eastAsia="Times New Roman" w:hAnsi="Calibri" w:cs="Calibri"/>
                <w:i/>
                <w:iCs/>
                <w:lang w:eastAsia="en-GB"/>
              </w:rPr>
            </w:pPr>
            <w:r w:rsidRPr="00F438A4">
              <w:rPr>
                <w:rFonts w:ascii="Calibri" w:eastAsia="Times New Roman" w:hAnsi="Calibri" w:cs="Calibri"/>
                <w:i/>
                <w:iCs/>
                <w:lang w:eastAsia="en-GB"/>
              </w:rPr>
              <w:t>Organisational</w:t>
            </w:r>
          </w:p>
        </w:tc>
        <w:tc>
          <w:tcPr>
            <w:tcW w:w="5034" w:type="dxa"/>
          </w:tcPr>
          <w:p w14:paraId="7930FF7D" w14:textId="77777777" w:rsidR="00C56674" w:rsidRPr="00F438A4" w:rsidRDefault="00C56674" w:rsidP="00C56674">
            <w:pPr>
              <w:numPr>
                <w:ilvl w:val="0"/>
                <w:numId w:val="26"/>
              </w:numPr>
              <w:contextualSpacing/>
              <w:rPr>
                <w:rFonts w:ascii="Calibri" w:eastAsia="Times New Roman" w:hAnsi="Calibri" w:cs="Calibri"/>
                <w:lang w:eastAsia="en-GB"/>
              </w:rPr>
            </w:pPr>
            <w:r w:rsidRPr="00F438A4">
              <w:rPr>
                <w:rFonts w:ascii="Calibri" w:hAnsi="Calibri" w:cs="Calibri"/>
              </w:rPr>
              <w:t>Functioning administrative processes</w:t>
            </w:r>
          </w:p>
          <w:p w14:paraId="67C65A1D" w14:textId="77777777" w:rsidR="00C56674" w:rsidRPr="00F438A4" w:rsidRDefault="00C56674" w:rsidP="00C56674">
            <w:pPr>
              <w:numPr>
                <w:ilvl w:val="0"/>
                <w:numId w:val="26"/>
              </w:numPr>
              <w:contextualSpacing/>
              <w:rPr>
                <w:rFonts w:ascii="Calibri" w:eastAsia="Times New Roman" w:hAnsi="Calibri" w:cs="Calibri"/>
                <w:lang w:eastAsia="en-GB"/>
              </w:rPr>
            </w:pPr>
            <w:r w:rsidRPr="00F438A4">
              <w:rPr>
                <w:rFonts w:ascii="Calibri" w:hAnsi="Calibri" w:cs="Calibri"/>
              </w:rPr>
              <w:t>Adequate resources to support the intervention (e.g. funding; staffing)</w:t>
            </w:r>
          </w:p>
          <w:p w14:paraId="3F7C068B" w14:textId="77777777" w:rsidR="00C56674" w:rsidRPr="00F438A4" w:rsidRDefault="00C56674" w:rsidP="00C56674">
            <w:pPr>
              <w:numPr>
                <w:ilvl w:val="0"/>
                <w:numId w:val="26"/>
              </w:numPr>
              <w:contextualSpacing/>
              <w:rPr>
                <w:rFonts w:ascii="Calibri" w:eastAsia="Times New Roman" w:hAnsi="Calibri" w:cs="Calibri"/>
                <w:lang w:eastAsia="en-GB"/>
              </w:rPr>
            </w:pPr>
            <w:r w:rsidRPr="00F438A4">
              <w:rPr>
                <w:rFonts w:ascii="Calibri" w:hAnsi="Calibri" w:cs="Calibri"/>
              </w:rPr>
              <w:t>Levels of intra- and inter-function coordination, e.g. the operational health of within-institutional relations like committees and departments</w:t>
            </w:r>
          </w:p>
          <w:p w14:paraId="1413CD94" w14:textId="77777777" w:rsidR="00C56674" w:rsidRPr="00F438A4" w:rsidRDefault="00C56674" w:rsidP="00C56674">
            <w:pPr>
              <w:numPr>
                <w:ilvl w:val="0"/>
                <w:numId w:val="26"/>
              </w:numPr>
              <w:autoSpaceDE w:val="0"/>
              <w:autoSpaceDN w:val="0"/>
              <w:adjustRightInd w:val="0"/>
              <w:contextualSpacing/>
              <w:rPr>
                <w:rFonts w:ascii="Calibri" w:hAnsi="Calibri" w:cs="Calibri"/>
              </w:rPr>
            </w:pPr>
            <w:r w:rsidRPr="00F438A4">
              <w:rPr>
                <w:rFonts w:ascii="Calibri" w:hAnsi="Calibri" w:cs="Calibri"/>
              </w:rPr>
              <w:t>Healthy relationships between key actors, and systems in place to maximise this</w:t>
            </w:r>
          </w:p>
          <w:p w14:paraId="56C25A64" w14:textId="77777777" w:rsidR="00C56674" w:rsidRPr="00F438A4" w:rsidRDefault="00C56674" w:rsidP="00C56674">
            <w:pPr>
              <w:numPr>
                <w:ilvl w:val="0"/>
                <w:numId w:val="26"/>
              </w:numPr>
              <w:autoSpaceDE w:val="0"/>
              <w:autoSpaceDN w:val="0"/>
              <w:adjustRightInd w:val="0"/>
              <w:contextualSpacing/>
              <w:rPr>
                <w:rFonts w:ascii="Calibri" w:eastAsia="Times New Roman" w:hAnsi="Calibri" w:cs="Calibri"/>
                <w:lang w:eastAsia="en-GB"/>
              </w:rPr>
            </w:pPr>
            <w:r w:rsidRPr="00F438A4">
              <w:rPr>
                <w:rFonts w:ascii="Calibri" w:hAnsi="Calibri" w:cs="Calibri"/>
              </w:rPr>
              <w:t xml:space="preserve">System of enabling and control within the organization, including authority and accountability to carry out operations </w:t>
            </w:r>
          </w:p>
        </w:tc>
      </w:tr>
      <w:tr w:rsidR="00C56674" w:rsidRPr="00F438A4" w14:paraId="02224827" w14:textId="77777777" w:rsidTr="00A41DB0">
        <w:tc>
          <w:tcPr>
            <w:tcW w:w="1567" w:type="dxa"/>
            <w:vMerge/>
          </w:tcPr>
          <w:p w14:paraId="57DC0155" w14:textId="77777777" w:rsidR="00C56674" w:rsidRPr="00F438A4" w:rsidRDefault="00C56674" w:rsidP="00A41DB0">
            <w:pPr>
              <w:rPr>
                <w:rFonts w:ascii="Calibri" w:eastAsia="Times New Roman" w:hAnsi="Calibri" w:cs="Calibri"/>
                <w:b/>
                <w:bCs/>
                <w:lang w:eastAsia="en-GB"/>
              </w:rPr>
            </w:pPr>
          </w:p>
        </w:tc>
        <w:tc>
          <w:tcPr>
            <w:tcW w:w="1689" w:type="dxa"/>
          </w:tcPr>
          <w:p w14:paraId="2E2C0F4B" w14:textId="77777777" w:rsidR="00C56674" w:rsidRPr="00F438A4" w:rsidRDefault="00C56674" w:rsidP="00A41DB0">
            <w:pPr>
              <w:rPr>
                <w:rFonts w:ascii="Calibri" w:eastAsia="Times New Roman" w:hAnsi="Calibri" w:cs="Calibri"/>
                <w:i/>
                <w:iCs/>
                <w:lang w:eastAsia="en-GB"/>
              </w:rPr>
            </w:pPr>
            <w:r w:rsidRPr="00F438A4">
              <w:rPr>
                <w:rFonts w:ascii="Calibri" w:eastAsia="Times New Roman" w:hAnsi="Calibri" w:cs="Calibri"/>
                <w:i/>
                <w:iCs/>
                <w:lang w:eastAsia="en-GB"/>
              </w:rPr>
              <w:t>Systemic</w:t>
            </w:r>
          </w:p>
        </w:tc>
        <w:tc>
          <w:tcPr>
            <w:tcW w:w="5034" w:type="dxa"/>
          </w:tcPr>
          <w:p w14:paraId="6B537BEC" w14:textId="77777777" w:rsidR="00C56674" w:rsidRPr="00F438A4" w:rsidRDefault="00C56674" w:rsidP="00C56674">
            <w:pPr>
              <w:numPr>
                <w:ilvl w:val="0"/>
                <w:numId w:val="23"/>
              </w:numPr>
              <w:autoSpaceDE w:val="0"/>
              <w:autoSpaceDN w:val="0"/>
              <w:adjustRightInd w:val="0"/>
              <w:contextualSpacing/>
              <w:rPr>
                <w:rFonts w:ascii="Calibri" w:hAnsi="Calibri" w:cs="Calibri"/>
              </w:rPr>
            </w:pPr>
            <w:r w:rsidRPr="00F438A4">
              <w:rPr>
                <w:rFonts w:ascii="Calibri" w:hAnsi="Calibri" w:cs="Calibri"/>
              </w:rPr>
              <w:t>Clear, effective engagement between actors across HE and beyond</w:t>
            </w:r>
          </w:p>
          <w:p w14:paraId="7CC5F81A" w14:textId="77777777" w:rsidR="00C56674" w:rsidRPr="00F438A4" w:rsidRDefault="00C56674" w:rsidP="00C56674">
            <w:pPr>
              <w:numPr>
                <w:ilvl w:val="0"/>
                <w:numId w:val="23"/>
              </w:numPr>
              <w:autoSpaceDE w:val="0"/>
              <w:autoSpaceDN w:val="0"/>
              <w:adjustRightInd w:val="0"/>
              <w:contextualSpacing/>
              <w:rPr>
                <w:rFonts w:ascii="Calibri" w:hAnsi="Calibri" w:cs="Calibri"/>
              </w:rPr>
            </w:pPr>
            <w:r w:rsidRPr="00F438A4">
              <w:rPr>
                <w:rFonts w:ascii="Calibri" w:hAnsi="Calibri" w:cs="Calibri"/>
              </w:rPr>
              <w:t>Clarity in the roles and responsibilities of different organizations in intervention design and implementation (e.g. procurement, contracting and monitoring and control of the different interest groups)</w:t>
            </w:r>
          </w:p>
          <w:p w14:paraId="51CC08E3" w14:textId="77777777" w:rsidR="00C56674" w:rsidRPr="00F438A4" w:rsidRDefault="00C56674" w:rsidP="00C56674">
            <w:pPr>
              <w:numPr>
                <w:ilvl w:val="0"/>
                <w:numId w:val="23"/>
              </w:numPr>
              <w:autoSpaceDE w:val="0"/>
              <w:autoSpaceDN w:val="0"/>
              <w:adjustRightInd w:val="0"/>
              <w:contextualSpacing/>
              <w:rPr>
                <w:rFonts w:ascii="Calibri" w:eastAsia="TimesNRMTPro" w:hAnsi="Calibri" w:cs="Calibri"/>
              </w:rPr>
            </w:pPr>
            <w:r w:rsidRPr="00F438A4">
              <w:rPr>
                <w:rFonts w:ascii="Calibri" w:eastAsia="TimesNRMTPro" w:hAnsi="Calibri" w:cs="Calibri"/>
              </w:rPr>
              <w:t>High level of interorganizational trust and communication to complete operational processes</w:t>
            </w:r>
          </w:p>
          <w:p w14:paraId="1B7DC7A8" w14:textId="77777777" w:rsidR="00C56674" w:rsidRPr="00F438A4" w:rsidRDefault="00C56674" w:rsidP="00C56674">
            <w:pPr>
              <w:numPr>
                <w:ilvl w:val="0"/>
                <w:numId w:val="23"/>
              </w:numPr>
              <w:autoSpaceDE w:val="0"/>
              <w:autoSpaceDN w:val="0"/>
              <w:adjustRightInd w:val="0"/>
              <w:contextualSpacing/>
              <w:rPr>
                <w:rFonts w:ascii="Calibri" w:eastAsia="TimesNRMTPro" w:hAnsi="Calibri" w:cs="Calibri"/>
              </w:rPr>
            </w:pPr>
            <w:r w:rsidRPr="00F438A4">
              <w:rPr>
                <w:rFonts w:ascii="Calibri" w:eastAsia="TimesNRMTPro" w:hAnsi="Calibri" w:cs="Calibri"/>
              </w:rPr>
              <w:t>Adequate system-level resources to fund interventions and their implementation</w:t>
            </w:r>
          </w:p>
          <w:p w14:paraId="43612DAE" w14:textId="77777777" w:rsidR="00C56674" w:rsidRPr="00F438A4" w:rsidRDefault="00C56674" w:rsidP="00C56674">
            <w:pPr>
              <w:numPr>
                <w:ilvl w:val="0"/>
                <w:numId w:val="23"/>
              </w:numPr>
              <w:autoSpaceDE w:val="0"/>
              <w:autoSpaceDN w:val="0"/>
              <w:adjustRightInd w:val="0"/>
              <w:contextualSpacing/>
              <w:rPr>
                <w:rFonts w:ascii="Calibri" w:eastAsia="TimesNRMTPro" w:hAnsi="Calibri" w:cs="Calibri"/>
              </w:rPr>
            </w:pPr>
            <w:r w:rsidRPr="00F438A4">
              <w:rPr>
                <w:rFonts w:ascii="Calibri" w:hAnsi="Calibri" w:cs="Calibri"/>
              </w:rPr>
              <w:t>Good training, recruitment and promotion of operational managers</w:t>
            </w:r>
          </w:p>
        </w:tc>
      </w:tr>
    </w:tbl>
    <w:p w14:paraId="7836AEC5" w14:textId="77777777" w:rsidR="00C56674" w:rsidRPr="00F438A4" w:rsidRDefault="00C56674" w:rsidP="00C56674">
      <w:pPr>
        <w:rPr>
          <w:rFonts w:ascii="Calibri" w:eastAsia="Times New Roman" w:hAnsi="Calibri" w:cs="Calibri"/>
          <w:b/>
          <w:bCs/>
          <w:lang w:eastAsia="en-GB"/>
        </w:rPr>
      </w:pPr>
    </w:p>
    <w:p w14:paraId="64DBBB05" w14:textId="77777777" w:rsidR="00C56674" w:rsidRDefault="00C56674" w:rsidP="00C56674"/>
    <w:p w14:paraId="1C11ECA2" w14:textId="77777777" w:rsidR="00275656" w:rsidRPr="00275656" w:rsidRDefault="00275656" w:rsidP="00275656">
      <w:pPr>
        <w:ind w:left="720" w:hanging="720"/>
        <w:rPr>
          <w:rFonts w:asciiTheme="majorHAnsi" w:hAnsiTheme="majorHAnsi" w:cstheme="majorHAnsi"/>
          <w:b/>
        </w:rPr>
      </w:pPr>
    </w:p>
    <w:bookmarkEnd w:id="8"/>
    <w:sectPr w:rsidR="00275656" w:rsidRPr="00275656" w:rsidSect="000D14D7">
      <w:headerReference w:type="default" r:id="rId10"/>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3050" w14:textId="77777777" w:rsidR="00E073B9" w:rsidRDefault="00E073B9" w:rsidP="009F4133">
      <w:r>
        <w:separator/>
      </w:r>
    </w:p>
  </w:endnote>
  <w:endnote w:type="continuationSeparator" w:id="0">
    <w:p w14:paraId="636B4123" w14:textId="77777777" w:rsidR="00E073B9" w:rsidRDefault="00E073B9" w:rsidP="009F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RMTPro">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D006" w14:textId="0278E41D" w:rsidR="00765C28" w:rsidRDefault="00765C28" w:rsidP="00652F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5196">
      <w:rPr>
        <w:rStyle w:val="PageNumber"/>
        <w:noProof/>
      </w:rPr>
      <w:t>18</w:t>
    </w:r>
    <w:r>
      <w:rPr>
        <w:rStyle w:val="PageNumber"/>
      </w:rPr>
      <w:fldChar w:fldCharType="end"/>
    </w:r>
  </w:p>
  <w:p w14:paraId="394091B6" w14:textId="77777777" w:rsidR="00765C28" w:rsidRDefault="00765C28" w:rsidP="00B567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5C91" w14:textId="2AA0357D" w:rsidR="00765C28" w:rsidRDefault="00765C28" w:rsidP="00652F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8A4FD5" w14:textId="77777777" w:rsidR="00765C28" w:rsidRDefault="00765C28" w:rsidP="00B567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F874" w14:textId="77777777" w:rsidR="00E073B9" w:rsidRDefault="00E073B9" w:rsidP="009F4133">
      <w:r>
        <w:separator/>
      </w:r>
    </w:p>
  </w:footnote>
  <w:footnote w:type="continuationSeparator" w:id="0">
    <w:p w14:paraId="3CDC9D36" w14:textId="77777777" w:rsidR="00E073B9" w:rsidRDefault="00E073B9" w:rsidP="009F4133">
      <w:r>
        <w:continuationSeparator/>
      </w:r>
    </w:p>
  </w:footnote>
  <w:footnote w:id="1">
    <w:p w14:paraId="18EF7B35" w14:textId="7B42FBA0" w:rsidR="00C308A1" w:rsidRPr="0078060E" w:rsidRDefault="00C308A1">
      <w:pPr>
        <w:pStyle w:val="FootnoteText"/>
        <w:rPr>
          <w:rFonts w:asciiTheme="majorHAnsi" w:hAnsiTheme="majorHAnsi" w:cstheme="majorHAnsi"/>
          <w:sz w:val="20"/>
          <w:szCs w:val="20"/>
        </w:rPr>
      </w:pPr>
      <w:r w:rsidRPr="0078060E">
        <w:rPr>
          <w:rStyle w:val="FootnoteReference"/>
          <w:rFonts w:asciiTheme="majorHAnsi" w:hAnsiTheme="majorHAnsi" w:cstheme="majorHAnsi"/>
          <w:sz w:val="20"/>
          <w:szCs w:val="20"/>
        </w:rPr>
        <w:footnoteRef/>
      </w:r>
      <w:r w:rsidRPr="0078060E">
        <w:rPr>
          <w:rFonts w:asciiTheme="majorHAnsi" w:hAnsiTheme="majorHAnsi" w:cstheme="majorHAnsi"/>
          <w:sz w:val="20"/>
          <w:szCs w:val="20"/>
        </w:rPr>
        <w:t xml:space="preserve"> Goal 3: Ensure healthy lives and promote well-being for all at all ages” (</w:t>
      </w:r>
      <w:hyperlink r:id="rId1" w:history="1">
        <w:r w:rsidRPr="0078060E">
          <w:rPr>
            <w:rStyle w:val="Hyperlink"/>
            <w:rFonts w:asciiTheme="majorHAnsi" w:hAnsiTheme="majorHAnsi" w:cstheme="majorHAnsi"/>
            <w:color w:val="auto"/>
            <w:sz w:val="20"/>
            <w:szCs w:val="20"/>
          </w:rPr>
          <w:t>https://www.un.org/sustainabledevelopment/health/</w:t>
        </w:r>
      </w:hyperlink>
    </w:p>
  </w:footnote>
  <w:footnote w:id="2">
    <w:p w14:paraId="04A6A06C" w14:textId="77777777" w:rsidR="006171E7" w:rsidRPr="0078060E" w:rsidRDefault="006171E7" w:rsidP="006171E7">
      <w:pPr>
        <w:pStyle w:val="FootnoteText"/>
        <w:rPr>
          <w:rFonts w:asciiTheme="majorHAnsi" w:hAnsiTheme="majorHAnsi" w:cstheme="majorHAnsi"/>
          <w:sz w:val="20"/>
          <w:szCs w:val="20"/>
        </w:rPr>
      </w:pPr>
      <w:r w:rsidRPr="0078060E">
        <w:rPr>
          <w:rStyle w:val="FootnoteReference"/>
          <w:rFonts w:asciiTheme="majorHAnsi" w:hAnsiTheme="majorHAnsi" w:cstheme="majorHAnsi"/>
          <w:sz w:val="20"/>
          <w:szCs w:val="20"/>
        </w:rPr>
        <w:footnoteRef/>
      </w:r>
      <w:r w:rsidRPr="0078060E">
        <w:rPr>
          <w:rFonts w:asciiTheme="majorHAnsi" w:hAnsiTheme="majorHAnsi" w:cstheme="majorHAnsi"/>
          <w:sz w:val="20"/>
          <w:szCs w:val="20"/>
        </w:rPr>
        <w:t xml:space="preserve"> </w:t>
      </w:r>
      <w:hyperlink r:id="rId2" w:history="1">
        <w:r w:rsidRPr="0078060E">
          <w:rPr>
            <w:rStyle w:val="Hyperlink"/>
            <w:rFonts w:asciiTheme="majorHAnsi" w:hAnsiTheme="majorHAnsi" w:cstheme="majorHAnsi"/>
            <w:color w:val="auto"/>
            <w:sz w:val="20"/>
            <w:szCs w:val="20"/>
          </w:rPr>
          <w:t>https://taso.org.uk/student-mental-health-hub/</w:t>
        </w:r>
      </w:hyperlink>
    </w:p>
  </w:footnote>
  <w:footnote w:id="3">
    <w:p w14:paraId="4422C9E9" w14:textId="77777777" w:rsidR="000B16D4" w:rsidRPr="00CD24A8" w:rsidRDefault="000B16D4" w:rsidP="000B16D4">
      <w:pPr>
        <w:pStyle w:val="FootnoteText"/>
        <w:rPr>
          <w:rFonts w:asciiTheme="majorHAnsi" w:hAnsiTheme="majorHAnsi" w:cstheme="majorHAnsi"/>
          <w:sz w:val="20"/>
          <w:szCs w:val="20"/>
          <w:lang w:val="en-US"/>
        </w:rPr>
      </w:pPr>
      <w:r w:rsidRPr="00CD24A8">
        <w:rPr>
          <w:rStyle w:val="FootnoteReference"/>
          <w:rFonts w:asciiTheme="majorHAnsi" w:hAnsiTheme="majorHAnsi" w:cstheme="majorHAnsi"/>
          <w:sz w:val="20"/>
          <w:szCs w:val="20"/>
        </w:rPr>
        <w:footnoteRef/>
      </w:r>
      <w:r w:rsidRPr="00CD24A8">
        <w:rPr>
          <w:rFonts w:asciiTheme="majorHAnsi" w:hAnsiTheme="majorHAnsi" w:cstheme="majorHAnsi"/>
          <w:sz w:val="20"/>
          <w:szCs w:val="20"/>
        </w:rPr>
        <w:t xml:space="preserve"> </w:t>
      </w:r>
      <w:r w:rsidRPr="00CD24A8">
        <w:rPr>
          <w:rFonts w:asciiTheme="majorHAnsi" w:hAnsiTheme="majorHAnsi" w:cstheme="majorHAnsi"/>
          <w:sz w:val="20"/>
          <w:szCs w:val="20"/>
          <w:lang w:val="en-US"/>
        </w:rPr>
        <w:t>including PhD, DPhil, MPhil, Masters by Research, Professional Doctorates such as Doctorate in Clinical Psychology</w:t>
      </w:r>
    </w:p>
  </w:footnote>
  <w:footnote w:id="4">
    <w:p w14:paraId="0FD23326" w14:textId="77777777" w:rsidR="00741380" w:rsidRPr="00397FF6" w:rsidRDefault="00741380" w:rsidP="00741380">
      <w:pPr>
        <w:pStyle w:val="FootnoteText"/>
        <w:rPr>
          <w:rFonts w:asciiTheme="majorHAnsi" w:hAnsiTheme="majorHAnsi" w:cstheme="majorHAnsi"/>
          <w:sz w:val="20"/>
          <w:szCs w:val="20"/>
        </w:rPr>
      </w:pPr>
      <w:r w:rsidRPr="00397FF6">
        <w:rPr>
          <w:rStyle w:val="FootnoteReference"/>
          <w:rFonts w:asciiTheme="majorHAnsi" w:hAnsiTheme="majorHAnsi" w:cstheme="majorHAnsi"/>
          <w:sz w:val="20"/>
          <w:szCs w:val="20"/>
        </w:rPr>
        <w:footnoteRef/>
      </w:r>
      <w:r w:rsidRPr="00397FF6">
        <w:rPr>
          <w:rFonts w:asciiTheme="majorHAnsi" w:hAnsiTheme="majorHAnsi" w:cstheme="majorHAnsi"/>
          <w:sz w:val="20"/>
          <w:szCs w:val="20"/>
        </w:rPr>
        <w:t xml:space="preserve"> </w:t>
      </w:r>
      <w:proofErr w:type="spellStart"/>
      <w:proofErr w:type="gramStart"/>
      <w:r w:rsidRPr="00397FF6">
        <w:rPr>
          <w:rFonts w:asciiTheme="majorHAnsi" w:hAnsiTheme="majorHAnsi" w:cstheme="majorHAnsi"/>
          <w:sz w:val="20"/>
          <w:szCs w:val="20"/>
        </w:rPr>
        <w:t>SMaRteN:Student</w:t>
      </w:r>
      <w:proofErr w:type="spellEnd"/>
      <w:proofErr w:type="gramEnd"/>
      <w:r w:rsidRPr="00397FF6">
        <w:rPr>
          <w:rFonts w:asciiTheme="majorHAnsi" w:hAnsiTheme="majorHAnsi" w:cstheme="majorHAnsi"/>
          <w:sz w:val="20"/>
          <w:szCs w:val="20"/>
        </w:rPr>
        <w:t xml:space="preserve"> Mental Health Research Network (ES/S00324X/1)</w:t>
      </w:r>
    </w:p>
    <w:p w14:paraId="0E00FF51" w14:textId="77777777" w:rsidR="00741380" w:rsidRPr="00397FF6" w:rsidRDefault="00741380" w:rsidP="00741380">
      <w:pPr>
        <w:pStyle w:val="FootnoteText"/>
        <w:rPr>
          <w:rFonts w:asciiTheme="majorHAnsi" w:hAnsiTheme="majorHAnsi" w:cstheme="majorHAnsi"/>
          <w:sz w:val="20"/>
          <w:szCs w:val="20"/>
        </w:rPr>
      </w:pPr>
      <w:hyperlink r:id="rId3" w:history="1">
        <w:r w:rsidRPr="00397FF6">
          <w:rPr>
            <w:rStyle w:val="Hyperlink"/>
            <w:rFonts w:asciiTheme="majorHAnsi" w:hAnsiTheme="majorHAnsi" w:cstheme="majorHAnsi"/>
            <w:color w:val="auto"/>
            <w:sz w:val="20"/>
            <w:szCs w:val="20"/>
          </w:rPr>
          <w:t>https://www.smarten.org.uk/</w:t>
        </w:r>
      </w:hyperlink>
      <w:r w:rsidRPr="00397FF6">
        <w:rPr>
          <w:rFonts w:asciiTheme="majorHAnsi" w:hAnsiTheme="majorHAnsi" w:cstheme="majorHAnsi"/>
          <w:sz w:val="20"/>
          <w:szCs w:val="20"/>
        </w:rPr>
        <w:t xml:space="preserve"> A “national research network funded by UKRI and led by King’s College London, focusing on student mental health in higher education.”</w:t>
      </w:r>
    </w:p>
  </w:footnote>
  <w:footnote w:id="5">
    <w:p w14:paraId="574F76FA" w14:textId="77777777" w:rsidR="00741380" w:rsidRPr="00397FF6" w:rsidRDefault="00741380" w:rsidP="00741380">
      <w:pPr>
        <w:pStyle w:val="FootnoteText"/>
        <w:rPr>
          <w:rFonts w:asciiTheme="majorHAnsi" w:hAnsiTheme="majorHAnsi" w:cstheme="majorHAnsi"/>
          <w:sz w:val="20"/>
          <w:szCs w:val="20"/>
        </w:rPr>
      </w:pPr>
      <w:r w:rsidRPr="00397FF6">
        <w:rPr>
          <w:rStyle w:val="FootnoteReference"/>
          <w:rFonts w:asciiTheme="majorHAnsi" w:hAnsiTheme="majorHAnsi" w:cstheme="majorHAnsi"/>
          <w:sz w:val="20"/>
          <w:szCs w:val="20"/>
        </w:rPr>
        <w:footnoteRef/>
      </w:r>
      <w:r w:rsidRPr="00397FF6">
        <w:rPr>
          <w:rFonts w:asciiTheme="majorHAnsi" w:hAnsiTheme="majorHAnsi" w:cstheme="majorHAnsi"/>
          <w:sz w:val="20"/>
          <w:szCs w:val="20"/>
        </w:rPr>
        <w:t xml:space="preserve"> </w:t>
      </w:r>
      <w:proofErr w:type="spellStart"/>
      <w:r w:rsidRPr="00397FF6">
        <w:rPr>
          <w:rFonts w:asciiTheme="majorHAnsi" w:hAnsiTheme="majorHAnsi" w:cstheme="majorHAnsi"/>
          <w:sz w:val="20"/>
          <w:szCs w:val="20"/>
        </w:rPr>
        <w:t>OfS</w:t>
      </w:r>
      <w:proofErr w:type="spellEnd"/>
      <w:r w:rsidRPr="00397FF6">
        <w:rPr>
          <w:rFonts w:asciiTheme="majorHAnsi" w:hAnsiTheme="majorHAnsi" w:cstheme="majorHAnsi"/>
          <w:sz w:val="20"/>
          <w:szCs w:val="20"/>
        </w:rPr>
        <w:t>: the independent regulator of higher education in England. See https://www.officeforstudents.org.uk/advice-and-guidance/student-wellbeing-and-protection/student-mental-health/what-we-re-doing/</w:t>
      </w:r>
    </w:p>
  </w:footnote>
  <w:footnote w:id="6">
    <w:p w14:paraId="6E1D01AE" w14:textId="77777777" w:rsidR="00F27AAB" w:rsidRPr="00EB4524" w:rsidRDefault="00F27AAB" w:rsidP="00F27AAB">
      <w:r w:rsidRPr="00397FF6">
        <w:rPr>
          <w:rStyle w:val="FootnoteReference"/>
          <w:rFonts w:asciiTheme="majorHAnsi" w:hAnsiTheme="majorHAnsi" w:cstheme="majorHAnsi"/>
          <w:sz w:val="20"/>
          <w:szCs w:val="20"/>
        </w:rPr>
        <w:footnoteRef/>
      </w:r>
      <w:r w:rsidRPr="00397FF6">
        <w:rPr>
          <w:rFonts w:asciiTheme="majorHAnsi" w:hAnsiTheme="majorHAnsi" w:cstheme="majorHAnsi"/>
          <w:sz w:val="20"/>
          <w:szCs w:val="20"/>
        </w:rPr>
        <w:t xml:space="preserve"> https://thebookerprizes.com/books/real-life-by-brandon-taylor</w:t>
      </w:r>
    </w:p>
  </w:footnote>
  <w:footnote w:id="7">
    <w:p w14:paraId="5F474495" w14:textId="77777777" w:rsidR="003E690B" w:rsidRPr="00716F67" w:rsidRDefault="003E690B" w:rsidP="003E690B">
      <w:pPr>
        <w:pStyle w:val="FootnoteText"/>
        <w:rPr>
          <w:rFonts w:asciiTheme="majorHAnsi" w:hAnsiTheme="majorHAnsi" w:cstheme="majorHAnsi"/>
          <w:sz w:val="20"/>
          <w:szCs w:val="20"/>
        </w:rPr>
      </w:pPr>
      <w:r w:rsidRPr="00716F67">
        <w:rPr>
          <w:rStyle w:val="FootnoteReference"/>
          <w:rFonts w:asciiTheme="majorHAnsi" w:hAnsiTheme="majorHAnsi" w:cstheme="majorHAnsi"/>
          <w:sz w:val="20"/>
          <w:szCs w:val="20"/>
        </w:rPr>
        <w:footnoteRef/>
      </w:r>
      <w:r w:rsidRPr="00716F67">
        <w:rPr>
          <w:rFonts w:asciiTheme="majorHAnsi" w:hAnsiTheme="majorHAnsi" w:cstheme="majorHAnsi"/>
          <w:sz w:val="20"/>
          <w:szCs w:val="20"/>
        </w:rPr>
        <w:t xml:space="preserve"> https://ukcge.ac.uk/</w:t>
      </w:r>
    </w:p>
  </w:footnote>
  <w:footnote w:id="8">
    <w:p w14:paraId="4A5FBEDE" w14:textId="6004B854" w:rsidR="004405D4" w:rsidRDefault="004405D4" w:rsidP="004405D4">
      <w:pPr>
        <w:pStyle w:val="FootnoteText"/>
      </w:pPr>
      <w:r w:rsidRPr="00716F67">
        <w:rPr>
          <w:rStyle w:val="FootnoteReference"/>
          <w:rFonts w:asciiTheme="majorHAnsi" w:hAnsiTheme="majorHAnsi" w:cstheme="majorHAnsi"/>
          <w:sz w:val="20"/>
          <w:szCs w:val="20"/>
        </w:rPr>
        <w:footnoteRef/>
      </w:r>
      <w:r w:rsidRPr="00716F67">
        <w:rPr>
          <w:rFonts w:asciiTheme="majorHAnsi" w:hAnsiTheme="majorHAnsi" w:cstheme="majorHAnsi"/>
          <w:sz w:val="20"/>
          <w:szCs w:val="20"/>
        </w:rPr>
        <w:t xml:space="preserve"> “</w:t>
      </w:r>
      <w:r w:rsidR="00F70E9B" w:rsidRPr="00716F67">
        <w:rPr>
          <w:rFonts w:asciiTheme="majorHAnsi" w:hAnsiTheme="majorHAnsi" w:cstheme="majorHAnsi"/>
          <w:sz w:val="20"/>
          <w:szCs w:val="20"/>
        </w:rPr>
        <w:t>[</w:t>
      </w:r>
      <w:r w:rsidRPr="00716F67">
        <w:rPr>
          <w:rFonts w:asciiTheme="majorHAnsi" w:hAnsiTheme="majorHAnsi" w:cstheme="majorHAnsi"/>
          <w:sz w:val="20"/>
          <w:szCs w:val="20"/>
        </w:rPr>
        <w:t>HEFCE</w:t>
      </w:r>
      <w:r w:rsidR="00F70E9B" w:rsidRPr="00716F67">
        <w:rPr>
          <w:rFonts w:asciiTheme="majorHAnsi" w:hAnsiTheme="majorHAnsi" w:cstheme="majorHAnsi"/>
          <w:sz w:val="20"/>
          <w:szCs w:val="20"/>
        </w:rPr>
        <w:t>]</w:t>
      </w:r>
      <w:r w:rsidRPr="00716F67">
        <w:rPr>
          <w:rFonts w:asciiTheme="majorHAnsi" w:hAnsiTheme="majorHAnsi" w:cstheme="majorHAnsi"/>
          <w:sz w:val="20"/>
          <w:szCs w:val="20"/>
        </w:rPr>
        <w:t xml:space="preserve"> distributed public money for teaching and research to universities and colleges. It closed on 1 April 2018...replaced by UK Research and Innovation, and Office for Students” https://www.gov.uk/government/organisations/higher-education-funding-council-for-england</w:t>
      </w:r>
    </w:p>
  </w:footnote>
  <w:footnote w:id="9">
    <w:p w14:paraId="279D8B58" w14:textId="77777777" w:rsidR="000E0D74" w:rsidRPr="00C33609" w:rsidRDefault="000E0D74" w:rsidP="000E0D74">
      <w:pPr>
        <w:pStyle w:val="FootnoteText"/>
        <w:rPr>
          <w:rFonts w:asciiTheme="majorHAnsi" w:hAnsiTheme="majorHAnsi" w:cstheme="majorHAnsi"/>
          <w:sz w:val="20"/>
          <w:szCs w:val="20"/>
        </w:rPr>
      </w:pPr>
      <w:r w:rsidRPr="00C33609">
        <w:rPr>
          <w:rStyle w:val="FootnoteReference"/>
          <w:rFonts w:asciiTheme="majorHAnsi" w:hAnsiTheme="majorHAnsi" w:cstheme="majorHAnsi"/>
          <w:sz w:val="20"/>
          <w:szCs w:val="20"/>
        </w:rPr>
        <w:footnoteRef/>
      </w:r>
      <w:r w:rsidRPr="00C33609">
        <w:rPr>
          <w:rFonts w:asciiTheme="majorHAnsi" w:hAnsiTheme="majorHAnsi" w:cstheme="majorHAnsi"/>
          <w:sz w:val="20"/>
          <w:szCs w:val="20"/>
        </w:rPr>
        <w:t xml:space="preserve"> https://www.ukri.org/what-we-offer/developing-people-and-skills/new-deal-for-postgraduate-research/</w:t>
      </w:r>
    </w:p>
  </w:footnote>
  <w:footnote w:id="10">
    <w:p w14:paraId="2275E705" w14:textId="5A68BA5F" w:rsidR="006858AA" w:rsidRPr="00C33609" w:rsidRDefault="006858AA">
      <w:pPr>
        <w:pStyle w:val="FootnoteText"/>
        <w:rPr>
          <w:rFonts w:asciiTheme="majorHAnsi" w:hAnsiTheme="majorHAnsi" w:cstheme="majorHAnsi"/>
          <w:sz w:val="20"/>
          <w:szCs w:val="20"/>
        </w:rPr>
      </w:pPr>
      <w:r w:rsidRPr="00C33609">
        <w:rPr>
          <w:rStyle w:val="FootnoteReference"/>
          <w:rFonts w:asciiTheme="majorHAnsi" w:hAnsiTheme="majorHAnsi" w:cstheme="majorHAnsi"/>
          <w:sz w:val="20"/>
          <w:szCs w:val="20"/>
        </w:rPr>
        <w:footnoteRef/>
      </w:r>
      <w:r w:rsidRPr="00C33609">
        <w:rPr>
          <w:rFonts w:asciiTheme="majorHAnsi" w:hAnsiTheme="majorHAnsi" w:cstheme="majorHAnsi"/>
          <w:sz w:val="20"/>
          <w:szCs w:val="20"/>
        </w:rPr>
        <w:t xml:space="preserve"> </w:t>
      </w:r>
      <w:r w:rsidR="00241578" w:rsidRPr="00C33609">
        <w:rPr>
          <w:rFonts w:asciiTheme="majorHAnsi" w:hAnsiTheme="majorHAnsi" w:cstheme="majorHAnsi"/>
          <w:sz w:val="20"/>
          <w:szCs w:val="20"/>
        </w:rPr>
        <w:t>“UKRI is a non-departmental public body, accountable to [</w:t>
      </w:r>
      <w:r w:rsidRPr="00C33609">
        <w:rPr>
          <w:rFonts w:asciiTheme="majorHAnsi" w:hAnsiTheme="majorHAnsi" w:cstheme="majorHAnsi"/>
          <w:sz w:val="20"/>
          <w:szCs w:val="20"/>
        </w:rPr>
        <w:t>UK government Dept of Science, Innovation &amp; Technology</w:t>
      </w:r>
      <w:r w:rsidR="00241578" w:rsidRPr="00C33609">
        <w:rPr>
          <w:rFonts w:asciiTheme="majorHAnsi" w:hAnsiTheme="majorHAnsi" w:cstheme="majorHAnsi"/>
          <w:sz w:val="20"/>
          <w:szCs w:val="20"/>
        </w:rPr>
        <w:t>]</w:t>
      </w:r>
      <w:r w:rsidRPr="00C33609">
        <w:rPr>
          <w:rFonts w:asciiTheme="majorHAnsi" w:hAnsiTheme="majorHAnsi" w:cstheme="majorHAnsi"/>
          <w:sz w:val="20"/>
          <w:szCs w:val="20"/>
        </w:rPr>
        <w:t xml:space="preserve"> DSIT.</w:t>
      </w:r>
      <w:r w:rsidR="00241578" w:rsidRPr="00C33609">
        <w:rPr>
          <w:rFonts w:asciiTheme="majorHAnsi" w:hAnsiTheme="majorHAnsi" w:cstheme="majorHAnsi"/>
          <w:sz w:val="20"/>
          <w:szCs w:val="20"/>
        </w:rPr>
        <w:t>”</w:t>
      </w:r>
      <w:r w:rsidR="00D47B77" w:rsidRPr="00C33609">
        <w:rPr>
          <w:rFonts w:asciiTheme="majorHAnsi" w:hAnsiTheme="majorHAnsi" w:cstheme="majorHAnsi"/>
          <w:sz w:val="20"/>
          <w:szCs w:val="20"/>
        </w:rPr>
        <w:t xml:space="preserve"> (UKRI 2023</w:t>
      </w:r>
      <w:r w:rsidR="00C33609">
        <w:rPr>
          <w:rFonts w:asciiTheme="majorHAnsi" w:hAnsiTheme="majorHAnsi" w:cstheme="majorHAnsi"/>
          <w:sz w:val="20"/>
          <w:szCs w:val="20"/>
        </w:rPr>
        <w:t xml:space="preserve">: </w:t>
      </w:r>
      <w:r w:rsidR="00D47B77" w:rsidRPr="00C33609">
        <w:rPr>
          <w:rFonts w:asciiTheme="majorHAnsi" w:hAnsiTheme="majorHAnsi" w:cstheme="majorHAnsi"/>
          <w:sz w:val="20"/>
          <w:szCs w:val="20"/>
        </w:rPr>
        <w:t>6)</w:t>
      </w:r>
    </w:p>
  </w:footnote>
  <w:footnote w:id="11">
    <w:p w14:paraId="328B5112" w14:textId="77777777" w:rsidR="0080793C" w:rsidRPr="00C33609" w:rsidRDefault="0080793C" w:rsidP="0080793C">
      <w:pPr>
        <w:pStyle w:val="FootnoteText"/>
        <w:rPr>
          <w:rFonts w:asciiTheme="majorHAnsi" w:hAnsiTheme="majorHAnsi" w:cstheme="majorHAnsi"/>
          <w:sz w:val="20"/>
          <w:szCs w:val="20"/>
        </w:rPr>
      </w:pPr>
      <w:r w:rsidRPr="00C33609">
        <w:rPr>
          <w:rStyle w:val="FootnoteReference"/>
          <w:rFonts w:asciiTheme="majorHAnsi" w:hAnsiTheme="majorHAnsi" w:cstheme="majorHAnsi"/>
          <w:sz w:val="20"/>
          <w:szCs w:val="20"/>
        </w:rPr>
        <w:footnoteRef/>
      </w:r>
      <w:r w:rsidRPr="00C33609">
        <w:rPr>
          <w:rFonts w:asciiTheme="majorHAnsi" w:hAnsiTheme="majorHAnsi" w:cstheme="majorHAnsi"/>
          <w:sz w:val="20"/>
          <w:szCs w:val="20"/>
        </w:rPr>
        <w:t xml:space="preserve"> https://researcherdevelopmentconcordat.ac.uk/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7C71" w14:textId="77777777" w:rsidR="00A207BE" w:rsidRPr="00A207BE" w:rsidRDefault="00A207BE" w:rsidP="00A207BE">
    <w:pPr>
      <w:pStyle w:val="Header"/>
    </w:pPr>
    <w:r>
      <w:t xml:space="preserve">Post-acceptance version. Not to be cited. </w:t>
    </w:r>
    <w:r>
      <w:t xml:space="preserve">Published article: </w:t>
    </w:r>
    <w:hyperlink r:id="rId1" w:tgtFrame="_blank" w:tooltip="Original URL: https://doi.org/10.1332/03055736Y2024D000000056. Click or tap if you trust this link." w:history="1">
      <w:r w:rsidRPr="00A207BE">
        <w:rPr>
          <w:rStyle w:val="Hyperlink"/>
        </w:rPr>
        <w:t>https://doi.org/10.1332/03055736Y2024D000000056</w:t>
      </w:r>
    </w:hyperlink>
  </w:p>
  <w:p w14:paraId="6C8AF8EC" w14:textId="2E25BC04" w:rsidR="00A207BE" w:rsidRDefault="00A207BE">
    <w:pPr>
      <w:pStyle w:val="Header"/>
    </w:pPr>
  </w:p>
  <w:p w14:paraId="772EC717" w14:textId="77777777" w:rsidR="00A207BE" w:rsidRDefault="00A20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4EF"/>
    <w:multiLevelType w:val="hybridMultilevel"/>
    <w:tmpl w:val="9A4823BE"/>
    <w:lvl w:ilvl="0" w:tplc="B3484E0C">
      <w:start w:val="1"/>
      <w:numFmt w:val="bullet"/>
      <w:lvlText w:val=""/>
      <w:lvlJc w:val="left"/>
      <w:pPr>
        <w:ind w:left="1020" w:hanging="360"/>
      </w:pPr>
      <w:rPr>
        <w:rFonts w:ascii="Symbol" w:hAnsi="Symbol"/>
      </w:rPr>
    </w:lvl>
    <w:lvl w:ilvl="1" w:tplc="B5B6B1F0">
      <w:start w:val="1"/>
      <w:numFmt w:val="bullet"/>
      <w:lvlText w:val=""/>
      <w:lvlJc w:val="left"/>
      <w:pPr>
        <w:ind w:left="1020" w:hanging="360"/>
      </w:pPr>
      <w:rPr>
        <w:rFonts w:ascii="Symbol" w:hAnsi="Symbol"/>
      </w:rPr>
    </w:lvl>
    <w:lvl w:ilvl="2" w:tplc="E44E48F6">
      <w:start w:val="1"/>
      <w:numFmt w:val="bullet"/>
      <w:lvlText w:val=""/>
      <w:lvlJc w:val="left"/>
      <w:pPr>
        <w:ind w:left="1020" w:hanging="360"/>
      </w:pPr>
      <w:rPr>
        <w:rFonts w:ascii="Symbol" w:hAnsi="Symbol"/>
      </w:rPr>
    </w:lvl>
    <w:lvl w:ilvl="3" w:tplc="9D4CE25E">
      <w:start w:val="1"/>
      <w:numFmt w:val="bullet"/>
      <w:lvlText w:val=""/>
      <w:lvlJc w:val="left"/>
      <w:pPr>
        <w:ind w:left="1020" w:hanging="360"/>
      </w:pPr>
      <w:rPr>
        <w:rFonts w:ascii="Symbol" w:hAnsi="Symbol"/>
      </w:rPr>
    </w:lvl>
    <w:lvl w:ilvl="4" w:tplc="DAA80516">
      <w:start w:val="1"/>
      <w:numFmt w:val="bullet"/>
      <w:lvlText w:val=""/>
      <w:lvlJc w:val="left"/>
      <w:pPr>
        <w:ind w:left="1020" w:hanging="360"/>
      </w:pPr>
      <w:rPr>
        <w:rFonts w:ascii="Symbol" w:hAnsi="Symbol"/>
      </w:rPr>
    </w:lvl>
    <w:lvl w:ilvl="5" w:tplc="8DBCFDAC">
      <w:start w:val="1"/>
      <w:numFmt w:val="bullet"/>
      <w:lvlText w:val=""/>
      <w:lvlJc w:val="left"/>
      <w:pPr>
        <w:ind w:left="1020" w:hanging="360"/>
      </w:pPr>
      <w:rPr>
        <w:rFonts w:ascii="Symbol" w:hAnsi="Symbol"/>
      </w:rPr>
    </w:lvl>
    <w:lvl w:ilvl="6" w:tplc="38884902">
      <w:start w:val="1"/>
      <w:numFmt w:val="bullet"/>
      <w:lvlText w:val=""/>
      <w:lvlJc w:val="left"/>
      <w:pPr>
        <w:ind w:left="1020" w:hanging="360"/>
      </w:pPr>
      <w:rPr>
        <w:rFonts w:ascii="Symbol" w:hAnsi="Symbol"/>
      </w:rPr>
    </w:lvl>
    <w:lvl w:ilvl="7" w:tplc="5AD8A5EC">
      <w:start w:val="1"/>
      <w:numFmt w:val="bullet"/>
      <w:lvlText w:val=""/>
      <w:lvlJc w:val="left"/>
      <w:pPr>
        <w:ind w:left="1020" w:hanging="360"/>
      </w:pPr>
      <w:rPr>
        <w:rFonts w:ascii="Symbol" w:hAnsi="Symbol"/>
      </w:rPr>
    </w:lvl>
    <w:lvl w:ilvl="8" w:tplc="DE54C538">
      <w:start w:val="1"/>
      <w:numFmt w:val="bullet"/>
      <w:lvlText w:val=""/>
      <w:lvlJc w:val="left"/>
      <w:pPr>
        <w:ind w:left="1020" w:hanging="360"/>
      </w:pPr>
      <w:rPr>
        <w:rFonts w:ascii="Symbol" w:hAnsi="Symbol"/>
      </w:rPr>
    </w:lvl>
  </w:abstractNum>
  <w:abstractNum w:abstractNumId="1" w15:restartNumberingAfterBreak="0">
    <w:nsid w:val="085C7368"/>
    <w:multiLevelType w:val="hybridMultilevel"/>
    <w:tmpl w:val="7D46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3503B"/>
    <w:multiLevelType w:val="hybridMultilevel"/>
    <w:tmpl w:val="7D78F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F4DB5"/>
    <w:multiLevelType w:val="hybridMultilevel"/>
    <w:tmpl w:val="3314F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93D32"/>
    <w:multiLevelType w:val="hybridMultilevel"/>
    <w:tmpl w:val="0D7A7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51D6B"/>
    <w:multiLevelType w:val="hybridMultilevel"/>
    <w:tmpl w:val="9656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229CC"/>
    <w:multiLevelType w:val="hybridMultilevel"/>
    <w:tmpl w:val="88B4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8735A"/>
    <w:multiLevelType w:val="hybridMultilevel"/>
    <w:tmpl w:val="03902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8976D7"/>
    <w:multiLevelType w:val="hybridMultilevel"/>
    <w:tmpl w:val="31863E9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626277A"/>
    <w:multiLevelType w:val="hybridMultilevel"/>
    <w:tmpl w:val="7C6CB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B36F4"/>
    <w:multiLevelType w:val="hybridMultilevel"/>
    <w:tmpl w:val="F442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92311"/>
    <w:multiLevelType w:val="hybridMultilevel"/>
    <w:tmpl w:val="9AB2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B118D"/>
    <w:multiLevelType w:val="hybridMultilevel"/>
    <w:tmpl w:val="BE205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AA0707"/>
    <w:multiLevelType w:val="hybridMultilevel"/>
    <w:tmpl w:val="F3D843F2"/>
    <w:lvl w:ilvl="0" w:tplc="A2A8B3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FE15D9"/>
    <w:multiLevelType w:val="hybridMultilevel"/>
    <w:tmpl w:val="CB3C3A14"/>
    <w:lvl w:ilvl="0" w:tplc="9DCC012C">
      <w:start w:val="1"/>
      <w:numFmt w:val="bullet"/>
      <w:lvlText w:val=""/>
      <w:lvlJc w:val="left"/>
      <w:pPr>
        <w:ind w:left="1020" w:hanging="360"/>
      </w:pPr>
      <w:rPr>
        <w:rFonts w:ascii="Symbol" w:hAnsi="Symbol"/>
      </w:rPr>
    </w:lvl>
    <w:lvl w:ilvl="1" w:tplc="75B41426">
      <w:start w:val="1"/>
      <w:numFmt w:val="bullet"/>
      <w:lvlText w:val=""/>
      <w:lvlJc w:val="left"/>
      <w:pPr>
        <w:ind w:left="1020" w:hanging="360"/>
      </w:pPr>
      <w:rPr>
        <w:rFonts w:ascii="Symbol" w:hAnsi="Symbol"/>
      </w:rPr>
    </w:lvl>
    <w:lvl w:ilvl="2" w:tplc="4038F976">
      <w:start w:val="1"/>
      <w:numFmt w:val="bullet"/>
      <w:lvlText w:val=""/>
      <w:lvlJc w:val="left"/>
      <w:pPr>
        <w:ind w:left="1020" w:hanging="360"/>
      </w:pPr>
      <w:rPr>
        <w:rFonts w:ascii="Symbol" w:hAnsi="Symbol"/>
      </w:rPr>
    </w:lvl>
    <w:lvl w:ilvl="3" w:tplc="E624934A">
      <w:start w:val="1"/>
      <w:numFmt w:val="bullet"/>
      <w:lvlText w:val=""/>
      <w:lvlJc w:val="left"/>
      <w:pPr>
        <w:ind w:left="1020" w:hanging="360"/>
      </w:pPr>
      <w:rPr>
        <w:rFonts w:ascii="Symbol" w:hAnsi="Symbol"/>
      </w:rPr>
    </w:lvl>
    <w:lvl w:ilvl="4" w:tplc="E73CA484">
      <w:start w:val="1"/>
      <w:numFmt w:val="bullet"/>
      <w:lvlText w:val=""/>
      <w:lvlJc w:val="left"/>
      <w:pPr>
        <w:ind w:left="1020" w:hanging="360"/>
      </w:pPr>
      <w:rPr>
        <w:rFonts w:ascii="Symbol" w:hAnsi="Symbol"/>
      </w:rPr>
    </w:lvl>
    <w:lvl w:ilvl="5" w:tplc="F7E8285C">
      <w:start w:val="1"/>
      <w:numFmt w:val="bullet"/>
      <w:lvlText w:val=""/>
      <w:lvlJc w:val="left"/>
      <w:pPr>
        <w:ind w:left="1020" w:hanging="360"/>
      </w:pPr>
      <w:rPr>
        <w:rFonts w:ascii="Symbol" w:hAnsi="Symbol"/>
      </w:rPr>
    </w:lvl>
    <w:lvl w:ilvl="6" w:tplc="98D00342">
      <w:start w:val="1"/>
      <w:numFmt w:val="bullet"/>
      <w:lvlText w:val=""/>
      <w:lvlJc w:val="left"/>
      <w:pPr>
        <w:ind w:left="1020" w:hanging="360"/>
      </w:pPr>
      <w:rPr>
        <w:rFonts w:ascii="Symbol" w:hAnsi="Symbol"/>
      </w:rPr>
    </w:lvl>
    <w:lvl w:ilvl="7" w:tplc="398065FC">
      <w:start w:val="1"/>
      <w:numFmt w:val="bullet"/>
      <w:lvlText w:val=""/>
      <w:lvlJc w:val="left"/>
      <w:pPr>
        <w:ind w:left="1020" w:hanging="360"/>
      </w:pPr>
      <w:rPr>
        <w:rFonts w:ascii="Symbol" w:hAnsi="Symbol"/>
      </w:rPr>
    </w:lvl>
    <w:lvl w:ilvl="8" w:tplc="D2A82614">
      <w:start w:val="1"/>
      <w:numFmt w:val="bullet"/>
      <w:lvlText w:val=""/>
      <w:lvlJc w:val="left"/>
      <w:pPr>
        <w:ind w:left="1020" w:hanging="360"/>
      </w:pPr>
      <w:rPr>
        <w:rFonts w:ascii="Symbol" w:hAnsi="Symbol"/>
      </w:rPr>
    </w:lvl>
  </w:abstractNum>
  <w:abstractNum w:abstractNumId="15" w15:restartNumberingAfterBreak="0">
    <w:nsid w:val="48844298"/>
    <w:multiLevelType w:val="hybridMultilevel"/>
    <w:tmpl w:val="12E8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F4817"/>
    <w:multiLevelType w:val="hybridMultilevel"/>
    <w:tmpl w:val="C7188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D3118"/>
    <w:multiLevelType w:val="hybridMultilevel"/>
    <w:tmpl w:val="167CF5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F5979"/>
    <w:multiLevelType w:val="hybridMultilevel"/>
    <w:tmpl w:val="29C857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0C35B5"/>
    <w:multiLevelType w:val="hybridMultilevel"/>
    <w:tmpl w:val="29CC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B73AF5"/>
    <w:multiLevelType w:val="hybridMultilevel"/>
    <w:tmpl w:val="1DD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1D1E48"/>
    <w:multiLevelType w:val="hybridMultilevel"/>
    <w:tmpl w:val="74E4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06B15"/>
    <w:multiLevelType w:val="hybridMultilevel"/>
    <w:tmpl w:val="8428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856F6"/>
    <w:multiLevelType w:val="hybridMultilevel"/>
    <w:tmpl w:val="CFC2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C22D06"/>
    <w:multiLevelType w:val="hybridMultilevel"/>
    <w:tmpl w:val="0DEE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A56C1F"/>
    <w:multiLevelType w:val="hybridMultilevel"/>
    <w:tmpl w:val="758AC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F1C0B"/>
    <w:multiLevelType w:val="hybridMultilevel"/>
    <w:tmpl w:val="F6EE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5E405A"/>
    <w:multiLevelType w:val="hybridMultilevel"/>
    <w:tmpl w:val="EF20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6079238">
    <w:abstractNumId w:val="18"/>
  </w:num>
  <w:num w:numId="2" w16cid:durableId="1078862394">
    <w:abstractNumId w:val="20"/>
  </w:num>
  <w:num w:numId="3" w16cid:durableId="1431579924">
    <w:abstractNumId w:val="8"/>
  </w:num>
  <w:num w:numId="4" w16cid:durableId="1101728177">
    <w:abstractNumId w:val="1"/>
  </w:num>
  <w:num w:numId="5" w16cid:durableId="406146275">
    <w:abstractNumId w:val="21"/>
  </w:num>
  <w:num w:numId="6" w16cid:durableId="785194083">
    <w:abstractNumId w:val="15"/>
  </w:num>
  <w:num w:numId="7" w16cid:durableId="1235317638">
    <w:abstractNumId w:val="0"/>
  </w:num>
  <w:num w:numId="8" w16cid:durableId="423763392">
    <w:abstractNumId w:val="26"/>
  </w:num>
  <w:num w:numId="9" w16cid:durableId="688456924">
    <w:abstractNumId w:val="17"/>
  </w:num>
  <w:num w:numId="10" w16cid:durableId="862402374">
    <w:abstractNumId w:val="12"/>
  </w:num>
  <w:num w:numId="11" w16cid:durableId="2051103278">
    <w:abstractNumId w:val="19"/>
  </w:num>
  <w:num w:numId="12" w16cid:durableId="1497842095">
    <w:abstractNumId w:val="3"/>
  </w:num>
  <w:num w:numId="13" w16cid:durableId="1848785418">
    <w:abstractNumId w:val="27"/>
  </w:num>
  <w:num w:numId="14" w16cid:durableId="1013721296">
    <w:abstractNumId w:val="25"/>
  </w:num>
  <w:num w:numId="15" w16cid:durableId="1800108159">
    <w:abstractNumId w:val="24"/>
  </w:num>
  <w:num w:numId="16" w16cid:durableId="1702707088">
    <w:abstractNumId w:val="6"/>
  </w:num>
  <w:num w:numId="17" w16cid:durableId="5207558">
    <w:abstractNumId w:val="2"/>
  </w:num>
  <w:num w:numId="18" w16cid:durableId="1432159684">
    <w:abstractNumId w:val="22"/>
  </w:num>
  <w:num w:numId="19" w16cid:durableId="274483173">
    <w:abstractNumId w:val="14"/>
  </w:num>
  <w:num w:numId="20" w16cid:durableId="911938045">
    <w:abstractNumId w:val="13"/>
  </w:num>
  <w:num w:numId="21" w16cid:durableId="458500165">
    <w:abstractNumId w:val="7"/>
  </w:num>
  <w:num w:numId="22" w16cid:durableId="1882553981">
    <w:abstractNumId w:val="23"/>
  </w:num>
  <w:num w:numId="23" w16cid:durableId="584925190">
    <w:abstractNumId w:val="4"/>
  </w:num>
  <w:num w:numId="24" w16cid:durableId="41641675">
    <w:abstractNumId w:val="11"/>
  </w:num>
  <w:num w:numId="25" w16cid:durableId="1506629705">
    <w:abstractNumId w:val="16"/>
  </w:num>
  <w:num w:numId="26" w16cid:durableId="518080442">
    <w:abstractNumId w:val="5"/>
  </w:num>
  <w:num w:numId="27" w16cid:durableId="799306394">
    <w:abstractNumId w:val="9"/>
  </w:num>
  <w:num w:numId="28" w16cid:durableId="105909136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0C8"/>
    <w:rsid w:val="0000005E"/>
    <w:rsid w:val="000008F3"/>
    <w:rsid w:val="00001D10"/>
    <w:rsid w:val="000022FB"/>
    <w:rsid w:val="0000285E"/>
    <w:rsid w:val="00003DFC"/>
    <w:rsid w:val="00003F34"/>
    <w:rsid w:val="000042F4"/>
    <w:rsid w:val="00005BFF"/>
    <w:rsid w:val="00006F05"/>
    <w:rsid w:val="000074FD"/>
    <w:rsid w:val="0000768F"/>
    <w:rsid w:val="00007857"/>
    <w:rsid w:val="00007A01"/>
    <w:rsid w:val="00007D47"/>
    <w:rsid w:val="00010ACB"/>
    <w:rsid w:val="00010B38"/>
    <w:rsid w:val="00011140"/>
    <w:rsid w:val="000111C3"/>
    <w:rsid w:val="0001121D"/>
    <w:rsid w:val="000112DD"/>
    <w:rsid w:val="000113C8"/>
    <w:rsid w:val="0001175B"/>
    <w:rsid w:val="00011A7B"/>
    <w:rsid w:val="00011C98"/>
    <w:rsid w:val="00012718"/>
    <w:rsid w:val="00012BBE"/>
    <w:rsid w:val="00012C6F"/>
    <w:rsid w:val="00013793"/>
    <w:rsid w:val="00016098"/>
    <w:rsid w:val="00016181"/>
    <w:rsid w:val="0001619D"/>
    <w:rsid w:val="0001646D"/>
    <w:rsid w:val="0001703F"/>
    <w:rsid w:val="000173D1"/>
    <w:rsid w:val="0001740D"/>
    <w:rsid w:val="000201CD"/>
    <w:rsid w:val="00020DB6"/>
    <w:rsid w:val="0002302F"/>
    <w:rsid w:val="00023060"/>
    <w:rsid w:val="000230DB"/>
    <w:rsid w:val="000235EF"/>
    <w:rsid w:val="000237DB"/>
    <w:rsid w:val="00023D00"/>
    <w:rsid w:val="00023E78"/>
    <w:rsid w:val="00025386"/>
    <w:rsid w:val="00025C58"/>
    <w:rsid w:val="000263BF"/>
    <w:rsid w:val="000268C0"/>
    <w:rsid w:val="000269B9"/>
    <w:rsid w:val="00026B29"/>
    <w:rsid w:val="00026F5D"/>
    <w:rsid w:val="0002739A"/>
    <w:rsid w:val="00027BDC"/>
    <w:rsid w:val="00030A87"/>
    <w:rsid w:val="00030AA2"/>
    <w:rsid w:val="00031304"/>
    <w:rsid w:val="00031DE3"/>
    <w:rsid w:val="000320D3"/>
    <w:rsid w:val="00032100"/>
    <w:rsid w:val="0003384B"/>
    <w:rsid w:val="00033E6E"/>
    <w:rsid w:val="000340B7"/>
    <w:rsid w:val="00034288"/>
    <w:rsid w:val="00034B7B"/>
    <w:rsid w:val="00035446"/>
    <w:rsid w:val="0003640E"/>
    <w:rsid w:val="0003696F"/>
    <w:rsid w:val="00036A8A"/>
    <w:rsid w:val="00037FD8"/>
    <w:rsid w:val="0004003C"/>
    <w:rsid w:val="0004016F"/>
    <w:rsid w:val="00041F94"/>
    <w:rsid w:val="00042119"/>
    <w:rsid w:val="0004236C"/>
    <w:rsid w:val="00042FE1"/>
    <w:rsid w:val="0004382A"/>
    <w:rsid w:val="0004422D"/>
    <w:rsid w:val="00044C84"/>
    <w:rsid w:val="00044F88"/>
    <w:rsid w:val="00045D5E"/>
    <w:rsid w:val="00046C99"/>
    <w:rsid w:val="00047C20"/>
    <w:rsid w:val="00047F9F"/>
    <w:rsid w:val="0005017A"/>
    <w:rsid w:val="0005039F"/>
    <w:rsid w:val="000504AF"/>
    <w:rsid w:val="00051057"/>
    <w:rsid w:val="000512F4"/>
    <w:rsid w:val="00051AC7"/>
    <w:rsid w:val="0005255A"/>
    <w:rsid w:val="0005262A"/>
    <w:rsid w:val="000527F8"/>
    <w:rsid w:val="00052AB1"/>
    <w:rsid w:val="00052BBC"/>
    <w:rsid w:val="00052FCE"/>
    <w:rsid w:val="00053270"/>
    <w:rsid w:val="00053623"/>
    <w:rsid w:val="000539C5"/>
    <w:rsid w:val="00053A7A"/>
    <w:rsid w:val="00054698"/>
    <w:rsid w:val="00054858"/>
    <w:rsid w:val="0005581D"/>
    <w:rsid w:val="00055BF8"/>
    <w:rsid w:val="00055D39"/>
    <w:rsid w:val="00056005"/>
    <w:rsid w:val="00056093"/>
    <w:rsid w:val="00056C0B"/>
    <w:rsid w:val="00057458"/>
    <w:rsid w:val="000601B0"/>
    <w:rsid w:val="00060DFD"/>
    <w:rsid w:val="000610EA"/>
    <w:rsid w:val="000611EB"/>
    <w:rsid w:val="00062CF4"/>
    <w:rsid w:val="000633A2"/>
    <w:rsid w:val="00063636"/>
    <w:rsid w:val="00063B5F"/>
    <w:rsid w:val="000643B0"/>
    <w:rsid w:val="00064F07"/>
    <w:rsid w:val="0006565B"/>
    <w:rsid w:val="00066243"/>
    <w:rsid w:val="00066367"/>
    <w:rsid w:val="0006684F"/>
    <w:rsid w:val="00067D89"/>
    <w:rsid w:val="000709C0"/>
    <w:rsid w:val="00070EAE"/>
    <w:rsid w:val="00071420"/>
    <w:rsid w:val="0007155A"/>
    <w:rsid w:val="000730BA"/>
    <w:rsid w:val="0007316C"/>
    <w:rsid w:val="0007368F"/>
    <w:rsid w:val="00073C44"/>
    <w:rsid w:val="00073C6D"/>
    <w:rsid w:val="00073D69"/>
    <w:rsid w:val="00073DAB"/>
    <w:rsid w:val="000749FF"/>
    <w:rsid w:val="00074D75"/>
    <w:rsid w:val="00074DB4"/>
    <w:rsid w:val="00075164"/>
    <w:rsid w:val="0007524B"/>
    <w:rsid w:val="0007529B"/>
    <w:rsid w:val="00075578"/>
    <w:rsid w:val="0007680D"/>
    <w:rsid w:val="000776A5"/>
    <w:rsid w:val="0008059C"/>
    <w:rsid w:val="00080D32"/>
    <w:rsid w:val="00080F94"/>
    <w:rsid w:val="000816A0"/>
    <w:rsid w:val="0008226E"/>
    <w:rsid w:val="000822DD"/>
    <w:rsid w:val="00082370"/>
    <w:rsid w:val="000825A7"/>
    <w:rsid w:val="000828D0"/>
    <w:rsid w:val="000838BA"/>
    <w:rsid w:val="00084235"/>
    <w:rsid w:val="0008499B"/>
    <w:rsid w:val="00084E97"/>
    <w:rsid w:val="0008531A"/>
    <w:rsid w:val="000856BA"/>
    <w:rsid w:val="00085A5C"/>
    <w:rsid w:val="00085D19"/>
    <w:rsid w:val="0008728F"/>
    <w:rsid w:val="00087515"/>
    <w:rsid w:val="000901CB"/>
    <w:rsid w:val="000904E4"/>
    <w:rsid w:val="00090DC5"/>
    <w:rsid w:val="000912CB"/>
    <w:rsid w:val="00091EFC"/>
    <w:rsid w:val="00092103"/>
    <w:rsid w:val="0009231A"/>
    <w:rsid w:val="0009238C"/>
    <w:rsid w:val="000925A2"/>
    <w:rsid w:val="00092BBB"/>
    <w:rsid w:val="00093D8A"/>
    <w:rsid w:val="0009406D"/>
    <w:rsid w:val="000946F3"/>
    <w:rsid w:val="00094C0E"/>
    <w:rsid w:val="000952A9"/>
    <w:rsid w:val="000955DE"/>
    <w:rsid w:val="00095A2A"/>
    <w:rsid w:val="00095C8D"/>
    <w:rsid w:val="00095D80"/>
    <w:rsid w:val="00095F63"/>
    <w:rsid w:val="00096283"/>
    <w:rsid w:val="00097221"/>
    <w:rsid w:val="000975B4"/>
    <w:rsid w:val="000975F8"/>
    <w:rsid w:val="00097860"/>
    <w:rsid w:val="0009790F"/>
    <w:rsid w:val="00097B6C"/>
    <w:rsid w:val="000A05CD"/>
    <w:rsid w:val="000A0781"/>
    <w:rsid w:val="000A0822"/>
    <w:rsid w:val="000A15FF"/>
    <w:rsid w:val="000A1EF4"/>
    <w:rsid w:val="000A251F"/>
    <w:rsid w:val="000A26A6"/>
    <w:rsid w:val="000A26D2"/>
    <w:rsid w:val="000A2DA5"/>
    <w:rsid w:val="000A3785"/>
    <w:rsid w:val="000A38C3"/>
    <w:rsid w:val="000A3A39"/>
    <w:rsid w:val="000A46B9"/>
    <w:rsid w:val="000A4810"/>
    <w:rsid w:val="000A4EA5"/>
    <w:rsid w:val="000A54BE"/>
    <w:rsid w:val="000A5F12"/>
    <w:rsid w:val="000A6066"/>
    <w:rsid w:val="000A668C"/>
    <w:rsid w:val="000A67A9"/>
    <w:rsid w:val="000A7062"/>
    <w:rsid w:val="000A70A8"/>
    <w:rsid w:val="000A711D"/>
    <w:rsid w:val="000A7B09"/>
    <w:rsid w:val="000B16D4"/>
    <w:rsid w:val="000B17CD"/>
    <w:rsid w:val="000B23B3"/>
    <w:rsid w:val="000B245D"/>
    <w:rsid w:val="000B3299"/>
    <w:rsid w:val="000B33E5"/>
    <w:rsid w:val="000B3A5A"/>
    <w:rsid w:val="000B3EE2"/>
    <w:rsid w:val="000B469D"/>
    <w:rsid w:val="000B4E19"/>
    <w:rsid w:val="000B559C"/>
    <w:rsid w:val="000B58F5"/>
    <w:rsid w:val="000B6536"/>
    <w:rsid w:val="000B6D45"/>
    <w:rsid w:val="000B743E"/>
    <w:rsid w:val="000C0F7E"/>
    <w:rsid w:val="000C1122"/>
    <w:rsid w:val="000C113D"/>
    <w:rsid w:val="000C1AAC"/>
    <w:rsid w:val="000C211E"/>
    <w:rsid w:val="000C220C"/>
    <w:rsid w:val="000C22FE"/>
    <w:rsid w:val="000C23EF"/>
    <w:rsid w:val="000C2706"/>
    <w:rsid w:val="000C32E1"/>
    <w:rsid w:val="000C3671"/>
    <w:rsid w:val="000C3A8C"/>
    <w:rsid w:val="000C447E"/>
    <w:rsid w:val="000C4651"/>
    <w:rsid w:val="000C4D34"/>
    <w:rsid w:val="000C5590"/>
    <w:rsid w:val="000C6BF2"/>
    <w:rsid w:val="000C7311"/>
    <w:rsid w:val="000C7ED5"/>
    <w:rsid w:val="000D0353"/>
    <w:rsid w:val="000D041E"/>
    <w:rsid w:val="000D117B"/>
    <w:rsid w:val="000D14D7"/>
    <w:rsid w:val="000D1983"/>
    <w:rsid w:val="000D1A71"/>
    <w:rsid w:val="000D24FA"/>
    <w:rsid w:val="000D35AD"/>
    <w:rsid w:val="000D43B1"/>
    <w:rsid w:val="000D4636"/>
    <w:rsid w:val="000D6085"/>
    <w:rsid w:val="000D6D79"/>
    <w:rsid w:val="000D6F64"/>
    <w:rsid w:val="000D7549"/>
    <w:rsid w:val="000D7623"/>
    <w:rsid w:val="000D7B11"/>
    <w:rsid w:val="000D7D30"/>
    <w:rsid w:val="000E0429"/>
    <w:rsid w:val="000E0AE9"/>
    <w:rsid w:val="000E0D74"/>
    <w:rsid w:val="000E1182"/>
    <w:rsid w:val="000E2531"/>
    <w:rsid w:val="000E25ED"/>
    <w:rsid w:val="000E2B76"/>
    <w:rsid w:val="000E2D2D"/>
    <w:rsid w:val="000E31CE"/>
    <w:rsid w:val="000E3BCA"/>
    <w:rsid w:val="000E4A8C"/>
    <w:rsid w:val="000E4DDC"/>
    <w:rsid w:val="000E5A9B"/>
    <w:rsid w:val="000E638F"/>
    <w:rsid w:val="000E6421"/>
    <w:rsid w:val="000E7228"/>
    <w:rsid w:val="000E73C7"/>
    <w:rsid w:val="000E75C3"/>
    <w:rsid w:val="000E78AA"/>
    <w:rsid w:val="000E78C0"/>
    <w:rsid w:val="000F0A89"/>
    <w:rsid w:val="000F1356"/>
    <w:rsid w:val="000F174F"/>
    <w:rsid w:val="000F1AA2"/>
    <w:rsid w:val="000F2092"/>
    <w:rsid w:val="000F2234"/>
    <w:rsid w:val="000F22E4"/>
    <w:rsid w:val="000F525E"/>
    <w:rsid w:val="000F5510"/>
    <w:rsid w:val="000F5877"/>
    <w:rsid w:val="000F5CCA"/>
    <w:rsid w:val="000F6420"/>
    <w:rsid w:val="000F7266"/>
    <w:rsid w:val="000F73C8"/>
    <w:rsid w:val="000F755A"/>
    <w:rsid w:val="000F7A0F"/>
    <w:rsid w:val="0010028E"/>
    <w:rsid w:val="0010094B"/>
    <w:rsid w:val="001010A7"/>
    <w:rsid w:val="00102384"/>
    <w:rsid w:val="00102C79"/>
    <w:rsid w:val="001035C1"/>
    <w:rsid w:val="00103613"/>
    <w:rsid w:val="001042F7"/>
    <w:rsid w:val="00105151"/>
    <w:rsid w:val="0010530E"/>
    <w:rsid w:val="00105E37"/>
    <w:rsid w:val="0010644E"/>
    <w:rsid w:val="00106DAD"/>
    <w:rsid w:val="001071DB"/>
    <w:rsid w:val="001104E7"/>
    <w:rsid w:val="00110BB1"/>
    <w:rsid w:val="00110EB4"/>
    <w:rsid w:val="001113AE"/>
    <w:rsid w:val="00111419"/>
    <w:rsid w:val="00111860"/>
    <w:rsid w:val="00111950"/>
    <w:rsid w:val="001119D7"/>
    <w:rsid w:val="00111A5A"/>
    <w:rsid w:val="00111AA2"/>
    <w:rsid w:val="00111BBE"/>
    <w:rsid w:val="001121A8"/>
    <w:rsid w:val="00113BEB"/>
    <w:rsid w:val="00113C5F"/>
    <w:rsid w:val="00113D69"/>
    <w:rsid w:val="00113E1A"/>
    <w:rsid w:val="00113FF0"/>
    <w:rsid w:val="0011408A"/>
    <w:rsid w:val="00114A57"/>
    <w:rsid w:val="001151D4"/>
    <w:rsid w:val="00115353"/>
    <w:rsid w:val="00115456"/>
    <w:rsid w:val="00115BBE"/>
    <w:rsid w:val="00116505"/>
    <w:rsid w:val="001169BA"/>
    <w:rsid w:val="00116B9F"/>
    <w:rsid w:val="001175C3"/>
    <w:rsid w:val="0012073F"/>
    <w:rsid w:val="00120FDA"/>
    <w:rsid w:val="00121714"/>
    <w:rsid w:val="00121A50"/>
    <w:rsid w:val="001232F2"/>
    <w:rsid w:val="001234E1"/>
    <w:rsid w:val="001236FA"/>
    <w:rsid w:val="00123FA1"/>
    <w:rsid w:val="00124389"/>
    <w:rsid w:val="0012490A"/>
    <w:rsid w:val="00124D19"/>
    <w:rsid w:val="00125FB7"/>
    <w:rsid w:val="0012650B"/>
    <w:rsid w:val="00126EC1"/>
    <w:rsid w:val="001271C8"/>
    <w:rsid w:val="0013049B"/>
    <w:rsid w:val="0013091E"/>
    <w:rsid w:val="00130D1F"/>
    <w:rsid w:val="00130F0E"/>
    <w:rsid w:val="001312BB"/>
    <w:rsid w:val="00131BB2"/>
    <w:rsid w:val="00131C70"/>
    <w:rsid w:val="00132448"/>
    <w:rsid w:val="00132917"/>
    <w:rsid w:val="0013317C"/>
    <w:rsid w:val="00133C3E"/>
    <w:rsid w:val="00134656"/>
    <w:rsid w:val="00134DE0"/>
    <w:rsid w:val="00135205"/>
    <w:rsid w:val="001355D4"/>
    <w:rsid w:val="001358DD"/>
    <w:rsid w:val="00136E83"/>
    <w:rsid w:val="00136F7C"/>
    <w:rsid w:val="00141AC6"/>
    <w:rsid w:val="0014234C"/>
    <w:rsid w:val="00142578"/>
    <w:rsid w:val="00142ED7"/>
    <w:rsid w:val="001430C9"/>
    <w:rsid w:val="00143435"/>
    <w:rsid w:val="001443E9"/>
    <w:rsid w:val="001448BE"/>
    <w:rsid w:val="00144E58"/>
    <w:rsid w:val="0014511E"/>
    <w:rsid w:val="00145702"/>
    <w:rsid w:val="00146147"/>
    <w:rsid w:val="00146840"/>
    <w:rsid w:val="00146F1C"/>
    <w:rsid w:val="00147754"/>
    <w:rsid w:val="0015064D"/>
    <w:rsid w:val="00150A9D"/>
    <w:rsid w:val="00150AD6"/>
    <w:rsid w:val="00150C1B"/>
    <w:rsid w:val="00151929"/>
    <w:rsid w:val="00151B50"/>
    <w:rsid w:val="00151B8B"/>
    <w:rsid w:val="00151CA4"/>
    <w:rsid w:val="00152C0A"/>
    <w:rsid w:val="00153454"/>
    <w:rsid w:val="00153896"/>
    <w:rsid w:val="00154355"/>
    <w:rsid w:val="00154428"/>
    <w:rsid w:val="00154CC5"/>
    <w:rsid w:val="0015564E"/>
    <w:rsid w:val="00155ACE"/>
    <w:rsid w:val="00155FC6"/>
    <w:rsid w:val="00156567"/>
    <w:rsid w:val="0015680A"/>
    <w:rsid w:val="00156D13"/>
    <w:rsid w:val="00157B63"/>
    <w:rsid w:val="00157BE0"/>
    <w:rsid w:val="00157D5D"/>
    <w:rsid w:val="001601D5"/>
    <w:rsid w:val="001607E5"/>
    <w:rsid w:val="001616E2"/>
    <w:rsid w:val="00161F91"/>
    <w:rsid w:val="00162431"/>
    <w:rsid w:val="0016296C"/>
    <w:rsid w:val="00162DD0"/>
    <w:rsid w:val="001631B9"/>
    <w:rsid w:val="001633D1"/>
    <w:rsid w:val="0016373C"/>
    <w:rsid w:val="00163AD0"/>
    <w:rsid w:val="001640E7"/>
    <w:rsid w:val="001645B9"/>
    <w:rsid w:val="00165073"/>
    <w:rsid w:val="00165190"/>
    <w:rsid w:val="0016674B"/>
    <w:rsid w:val="00166C17"/>
    <w:rsid w:val="00167D4B"/>
    <w:rsid w:val="0017071E"/>
    <w:rsid w:val="00170810"/>
    <w:rsid w:val="00171115"/>
    <w:rsid w:val="001718C4"/>
    <w:rsid w:val="00171979"/>
    <w:rsid w:val="00171B45"/>
    <w:rsid w:val="00171C02"/>
    <w:rsid w:val="00171C6A"/>
    <w:rsid w:val="001723D6"/>
    <w:rsid w:val="00172C28"/>
    <w:rsid w:val="00173454"/>
    <w:rsid w:val="001736E3"/>
    <w:rsid w:val="00173F46"/>
    <w:rsid w:val="0017451F"/>
    <w:rsid w:val="00174763"/>
    <w:rsid w:val="001749F9"/>
    <w:rsid w:val="00174A78"/>
    <w:rsid w:val="00175F05"/>
    <w:rsid w:val="00176C28"/>
    <w:rsid w:val="00176D95"/>
    <w:rsid w:val="00176FF9"/>
    <w:rsid w:val="0017748E"/>
    <w:rsid w:val="001776B7"/>
    <w:rsid w:val="0018020E"/>
    <w:rsid w:val="00180494"/>
    <w:rsid w:val="00180824"/>
    <w:rsid w:val="00181629"/>
    <w:rsid w:val="0018224C"/>
    <w:rsid w:val="00182403"/>
    <w:rsid w:val="00182730"/>
    <w:rsid w:val="00182BA9"/>
    <w:rsid w:val="00182D54"/>
    <w:rsid w:val="001831EE"/>
    <w:rsid w:val="001833BA"/>
    <w:rsid w:val="00183C0B"/>
    <w:rsid w:val="00183D00"/>
    <w:rsid w:val="0018499F"/>
    <w:rsid w:val="00185BE7"/>
    <w:rsid w:val="00185CAB"/>
    <w:rsid w:val="001863F2"/>
    <w:rsid w:val="00186681"/>
    <w:rsid w:val="0018668B"/>
    <w:rsid w:val="00186AC9"/>
    <w:rsid w:val="001875D7"/>
    <w:rsid w:val="00187843"/>
    <w:rsid w:val="00187F7B"/>
    <w:rsid w:val="0019102B"/>
    <w:rsid w:val="001910B8"/>
    <w:rsid w:val="00191F35"/>
    <w:rsid w:val="00192498"/>
    <w:rsid w:val="00193314"/>
    <w:rsid w:val="00193457"/>
    <w:rsid w:val="00193F6B"/>
    <w:rsid w:val="0019421B"/>
    <w:rsid w:val="001957BD"/>
    <w:rsid w:val="00195B88"/>
    <w:rsid w:val="00195DC7"/>
    <w:rsid w:val="00196FBE"/>
    <w:rsid w:val="00197921"/>
    <w:rsid w:val="00197C67"/>
    <w:rsid w:val="00197E97"/>
    <w:rsid w:val="001A021C"/>
    <w:rsid w:val="001A09C4"/>
    <w:rsid w:val="001A0C00"/>
    <w:rsid w:val="001A0E55"/>
    <w:rsid w:val="001A102D"/>
    <w:rsid w:val="001A1764"/>
    <w:rsid w:val="001A1D54"/>
    <w:rsid w:val="001A22E2"/>
    <w:rsid w:val="001A2BAB"/>
    <w:rsid w:val="001A2ED1"/>
    <w:rsid w:val="001A31FD"/>
    <w:rsid w:val="001A384B"/>
    <w:rsid w:val="001A3CD4"/>
    <w:rsid w:val="001A3E24"/>
    <w:rsid w:val="001A466C"/>
    <w:rsid w:val="001A4767"/>
    <w:rsid w:val="001A49A3"/>
    <w:rsid w:val="001A4D89"/>
    <w:rsid w:val="001A50C8"/>
    <w:rsid w:val="001A68D6"/>
    <w:rsid w:val="001A7DCA"/>
    <w:rsid w:val="001A7F44"/>
    <w:rsid w:val="001B0452"/>
    <w:rsid w:val="001B0791"/>
    <w:rsid w:val="001B0AC1"/>
    <w:rsid w:val="001B1388"/>
    <w:rsid w:val="001B1843"/>
    <w:rsid w:val="001B1C44"/>
    <w:rsid w:val="001B1CB1"/>
    <w:rsid w:val="001B201A"/>
    <w:rsid w:val="001B23B4"/>
    <w:rsid w:val="001B2A8B"/>
    <w:rsid w:val="001B37D8"/>
    <w:rsid w:val="001B38EE"/>
    <w:rsid w:val="001B396F"/>
    <w:rsid w:val="001B3EBF"/>
    <w:rsid w:val="001B4174"/>
    <w:rsid w:val="001B4241"/>
    <w:rsid w:val="001B46B0"/>
    <w:rsid w:val="001B493C"/>
    <w:rsid w:val="001B591C"/>
    <w:rsid w:val="001B5A6E"/>
    <w:rsid w:val="001B5C52"/>
    <w:rsid w:val="001B5E76"/>
    <w:rsid w:val="001B6389"/>
    <w:rsid w:val="001B6735"/>
    <w:rsid w:val="001B6A04"/>
    <w:rsid w:val="001B6A79"/>
    <w:rsid w:val="001B6D0E"/>
    <w:rsid w:val="001B7AD5"/>
    <w:rsid w:val="001C03BE"/>
    <w:rsid w:val="001C03F7"/>
    <w:rsid w:val="001C09DE"/>
    <w:rsid w:val="001C110C"/>
    <w:rsid w:val="001C1D49"/>
    <w:rsid w:val="001C1E80"/>
    <w:rsid w:val="001C2157"/>
    <w:rsid w:val="001C2BF0"/>
    <w:rsid w:val="001C32B9"/>
    <w:rsid w:val="001C36CD"/>
    <w:rsid w:val="001C3896"/>
    <w:rsid w:val="001C3FD7"/>
    <w:rsid w:val="001C4100"/>
    <w:rsid w:val="001C4504"/>
    <w:rsid w:val="001C4E3D"/>
    <w:rsid w:val="001C5616"/>
    <w:rsid w:val="001C6026"/>
    <w:rsid w:val="001C640F"/>
    <w:rsid w:val="001C6574"/>
    <w:rsid w:val="001C6B2C"/>
    <w:rsid w:val="001D0D71"/>
    <w:rsid w:val="001D10CE"/>
    <w:rsid w:val="001D2055"/>
    <w:rsid w:val="001D2215"/>
    <w:rsid w:val="001D233A"/>
    <w:rsid w:val="001D36A1"/>
    <w:rsid w:val="001D38AB"/>
    <w:rsid w:val="001D445C"/>
    <w:rsid w:val="001D45D5"/>
    <w:rsid w:val="001D482F"/>
    <w:rsid w:val="001D4A84"/>
    <w:rsid w:val="001D4AE5"/>
    <w:rsid w:val="001D4CC9"/>
    <w:rsid w:val="001D5303"/>
    <w:rsid w:val="001D62F6"/>
    <w:rsid w:val="001D62FB"/>
    <w:rsid w:val="001D6F98"/>
    <w:rsid w:val="001D7166"/>
    <w:rsid w:val="001D78CD"/>
    <w:rsid w:val="001D7B9B"/>
    <w:rsid w:val="001D7BA1"/>
    <w:rsid w:val="001E064A"/>
    <w:rsid w:val="001E1C22"/>
    <w:rsid w:val="001E291C"/>
    <w:rsid w:val="001E3B2C"/>
    <w:rsid w:val="001E3CB6"/>
    <w:rsid w:val="001E3E8A"/>
    <w:rsid w:val="001E482E"/>
    <w:rsid w:val="001E55C5"/>
    <w:rsid w:val="001E5D66"/>
    <w:rsid w:val="001E704E"/>
    <w:rsid w:val="001E7F0D"/>
    <w:rsid w:val="001F02FA"/>
    <w:rsid w:val="001F0951"/>
    <w:rsid w:val="001F09B0"/>
    <w:rsid w:val="001F1AC8"/>
    <w:rsid w:val="001F25B7"/>
    <w:rsid w:val="001F297E"/>
    <w:rsid w:val="001F2E31"/>
    <w:rsid w:val="001F2EE7"/>
    <w:rsid w:val="001F31EF"/>
    <w:rsid w:val="001F36BD"/>
    <w:rsid w:val="001F53DB"/>
    <w:rsid w:val="001F594A"/>
    <w:rsid w:val="001F5AAB"/>
    <w:rsid w:val="001F5C75"/>
    <w:rsid w:val="001F610A"/>
    <w:rsid w:val="001F6236"/>
    <w:rsid w:val="001F64FD"/>
    <w:rsid w:val="001F6640"/>
    <w:rsid w:val="0020083F"/>
    <w:rsid w:val="00200B54"/>
    <w:rsid w:val="002014C3"/>
    <w:rsid w:val="00201730"/>
    <w:rsid w:val="00201910"/>
    <w:rsid w:val="002030B7"/>
    <w:rsid w:val="002031F5"/>
    <w:rsid w:val="002039C1"/>
    <w:rsid w:val="002048AE"/>
    <w:rsid w:val="00204C3F"/>
    <w:rsid w:val="00205526"/>
    <w:rsid w:val="00205739"/>
    <w:rsid w:val="00205E98"/>
    <w:rsid w:val="0020649C"/>
    <w:rsid w:val="0020699A"/>
    <w:rsid w:val="00206D71"/>
    <w:rsid w:val="00206ECD"/>
    <w:rsid w:val="0020747E"/>
    <w:rsid w:val="00207F05"/>
    <w:rsid w:val="00210540"/>
    <w:rsid w:val="00210567"/>
    <w:rsid w:val="0021154B"/>
    <w:rsid w:val="002117ED"/>
    <w:rsid w:val="00212344"/>
    <w:rsid w:val="00213A62"/>
    <w:rsid w:val="00213B9A"/>
    <w:rsid w:val="00213F19"/>
    <w:rsid w:val="00213F66"/>
    <w:rsid w:val="002140E5"/>
    <w:rsid w:val="00214BC5"/>
    <w:rsid w:val="00214E1D"/>
    <w:rsid w:val="00215768"/>
    <w:rsid w:val="00217143"/>
    <w:rsid w:val="0021714C"/>
    <w:rsid w:val="002171E4"/>
    <w:rsid w:val="00217A44"/>
    <w:rsid w:val="0022049F"/>
    <w:rsid w:val="0022083B"/>
    <w:rsid w:val="002209C2"/>
    <w:rsid w:val="00220D75"/>
    <w:rsid w:val="0022200A"/>
    <w:rsid w:val="00223158"/>
    <w:rsid w:val="0022323E"/>
    <w:rsid w:val="00223397"/>
    <w:rsid w:val="002234BB"/>
    <w:rsid w:val="00223748"/>
    <w:rsid w:val="00223DCE"/>
    <w:rsid w:val="00224112"/>
    <w:rsid w:val="002259F7"/>
    <w:rsid w:val="00226105"/>
    <w:rsid w:val="00226234"/>
    <w:rsid w:val="00226A60"/>
    <w:rsid w:val="00227607"/>
    <w:rsid w:val="00227782"/>
    <w:rsid w:val="002311AD"/>
    <w:rsid w:val="002315C7"/>
    <w:rsid w:val="00231838"/>
    <w:rsid w:val="00231D92"/>
    <w:rsid w:val="00231F03"/>
    <w:rsid w:val="00232C89"/>
    <w:rsid w:val="00232E56"/>
    <w:rsid w:val="00233249"/>
    <w:rsid w:val="00233853"/>
    <w:rsid w:val="00233BD8"/>
    <w:rsid w:val="002346B4"/>
    <w:rsid w:val="00234A91"/>
    <w:rsid w:val="00235441"/>
    <w:rsid w:val="00235860"/>
    <w:rsid w:val="00235D07"/>
    <w:rsid w:val="00236F95"/>
    <w:rsid w:val="0023728C"/>
    <w:rsid w:val="002403E4"/>
    <w:rsid w:val="00241578"/>
    <w:rsid w:val="00241B7F"/>
    <w:rsid w:val="0024238E"/>
    <w:rsid w:val="00244630"/>
    <w:rsid w:val="00244982"/>
    <w:rsid w:val="00244CAB"/>
    <w:rsid w:val="00244D4D"/>
    <w:rsid w:val="00244EB0"/>
    <w:rsid w:val="002466F9"/>
    <w:rsid w:val="002467E9"/>
    <w:rsid w:val="00246E7D"/>
    <w:rsid w:val="002476CB"/>
    <w:rsid w:val="00247FCA"/>
    <w:rsid w:val="00251577"/>
    <w:rsid w:val="00251802"/>
    <w:rsid w:val="00251C22"/>
    <w:rsid w:val="0025242F"/>
    <w:rsid w:val="00252598"/>
    <w:rsid w:val="002527AA"/>
    <w:rsid w:val="0025281B"/>
    <w:rsid w:val="00252A94"/>
    <w:rsid w:val="00252B5E"/>
    <w:rsid w:val="00252E2C"/>
    <w:rsid w:val="00253012"/>
    <w:rsid w:val="002533D1"/>
    <w:rsid w:val="002540D5"/>
    <w:rsid w:val="0025454B"/>
    <w:rsid w:val="00254988"/>
    <w:rsid w:val="00254A2E"/>
    <w:rsid w:val="00254FE1"/>
    <w:rsid w:val="00255FB1"/>
    <w:rsid w:val="0025618E"/>
    <w:rsid w:val="00256625"/>
    <w:rsid w:val="00256E88"/>
    <w:rsid w:val="00256EF9"/>
    <w:rsid w:val="00257F9E"/>
    <w:rsid w:val="0026026E"/>
    <w:rsid w:val="00260DA2"/>
    <w:rsid w:val="00261B1C"/>
    <w:rsid w:val="00262388"/>
    <w:rsid w:val="002638FE"/>
    <w:rsid w:val="00263D32"/>
    <w:rsid w:val="00263EC2"/>
    <w:rsid w:val="00264B4B"/>
    <w:rsid w:val="00265027"/>
    <w:rsid w:val="002651AA"/>
    <w:rsid w:val="002678E3"/>
    <w:rsid w:val="00267DA7"/>
    <w:rsid w:val="00267FC2"/>
    <w:rsid w:val="002702C4"/>
    <w:rsid w:val="00270CB1"/>
    <w:rsid w:val="0027132C"/>
    <w:rsid w:val="0027174E"/>
    <w:rsid w:val="0027219D"/>
    <w:rsid w:val="00272927"/>
    <w:rsid w:val="00272C35"/>
    <w:rsid w:val="00272C61"/>
    <w:rsid w:val="00272C64"/>
    <w:rsid w:val="00273124"/>
    <w:rsid w:val="002731D1"/>
    <w:rsid w:val="0027325E"/>
    <w:rsid w:val="00274057"/>
    <w:rsid w:val="0027482D"/>
    <w:rsid w:val="002749F3"/>
    <w:rsid w:val="00274DB3"/>
    <w:rsid w:val="002754CF"/>
    <w:rsid w:val="00275656"/>
    <w:rsid w:val="00275AAC"/>
    <w:rsid w:val="00275C8B"/>
    <w:rsid w:val="00276A28"/>
    <w:rsid w:val="00277247"/>
    <w:rsid w:val="00280B29"/>
    <w:rsid w:val="00280D2E"/>
    <w:rsid w:val="0028116A"/>
    <w:rsid w:val="00281BE1"/>
    <w:rsid w:val="00282336"/>
    <w:rsid w:val="00282978"/>
    <w:rsid w:val="00282D01"/>
    <w:rsid w:val="00283078"/>
    <w:rsid w:val="00283751"/>
    <w:rsid w:val="00283793"/>
    <w:rsid w:val="0028407C"/>
    <w:rsid w:val="00284AB4"/>
    <w:rsid w:val="00284C56"/>
    <w:rsid w:val="00284C7F"/>
    <w:rsid w:val="00284D44"/>
    <w:rsid w:val="00285472"/>
    <w:rsid w:val="00285C2D"/>
    <w:rsid w:val="00285FA4"/>
    <w:rsid w:val="002861D5"/>
    <w:rsid w:val="00286BB1"/>
    <w:rsid w:val="00286D56"/>
    <w:rsid w:val="00287A2F"/>
    <w:rsid w:val="00287C72"/>
    <w:rsid w:val="0029026A"/>
    <w:rsid w:val="0029052D"/>
    <w:rsid w:val="002909FD"/>
    <w:rsid w:val="00290ACB"/>
    <w:rsid w:val="00291D34"/>
    <w:rsid w:val="00291E90"/>
    <w:rsid w:val="002920DE"/>
    <w:rsid w:val="002923C5"/>
    <w:rsid w:val="0029297F"/>
    <w:rsid w:val="00292D9E"/>
    <w:rsid w:val="00293022"/>
    <w:rsid w:val="002931BC"/>
    <w:rsid w:val="002933D8"/>
    <w:rsid w:val="00293505"/>
    <w:rsid w:val="002948BE"/>
    <w:rsid w:val="002948CC"/>
    <w:rsid w:val="00294A19"/>
    <w:rsid w:val="00294F0B"/>
    <w:rsid w:val="00295714"/>
    <w:rsid w:val="00295E38"/>
    <w:rsid w:val="002966B4"/>
    <w:rsid w:val="002967FB"/>
    <w:rsid w:val="00297434"/>
    <w:rsid w:val="002A024F"/>
    <w:rsid w:val="002A05F5"/>
    <w:rsid w:val="002A07D8"/>
    <w:rsid w:val="002A0D73"/>
    <w:rsid w:val="002A14A8"/>
    <w:rsid w:val="002A15A5"/>
    <w:rsid w:val="002A18F5"/>
    <w:rsid w:val="002A1DA5"/>
    <w:rsid w:val="002A2C0A"/>
    <w:rsid w:val="002A36CE"/>
    <w:rsid w:val="002A37BD"/>
    <w:rsid w:val="002A3860"/>
    <w:rsid w:val="002A460E"/>
    <w:rsid w:val="002A4663"/>
    <w:rsid w:val="002A48A4"/>
    <w:rsid w:val="002A62C1"/>
    <w:rsid w:val="002A6C1D"/>
    <w:rsid w:val="002A726C"/>
    <w:rsid w:val="002A7A52"/>
    <w:rsid w:val="002A7DD2"/>
    <w:rsid w:val="002B0E33"/>
    <w:rsid w:val="002B2C0D"/>
    <w:rsid w:val="002B2D8A"/>
    <w:rsid w:val="002B3008"/>
    <w:rsid w:val="002B3014"/>
    <w:rsid w:val="002B3B3B"/>
    <w:rsid w:val="002B3DDB"/>
    <w:rsid w:val="002B4730"/>
    <w:rsid w:val="002B4938"/>
    <w:rsid w:val="002B49D0"/>
    <w:rsid w:val="002B51B9"/>
    <w:rsid w:val="002B5BB7"/>
    <w:rsid w:val="002B634F"/>
    <w:rsid w:val="002B68C7"/>
    <w:rsid w:val="002B6E07"/>
    <w:rsid w:val="002B76B0"/>
    <w:rsid w:val="002B7A2D"/>
    <w:rsid w:val="002C008D"/>
    <w:rsid w:val="002C0875"/>
    <w:rsid w:val="002C0B0B"/>
    <w:rsid w:val="002C0C88"/>
    <w:rsid w:val="002C1D10"/>
    <w:rsid w:val="002C1D37"/>
    <w:rsid w:val="002C1E7E"/>
    <w:rsid w:val="002C2A69"/>
    <w:rsid w:val="002C2F3E"/>
    <w:rsid w:val="002C33AC"/>
    <w:rsid w:val="002C3519"/>
    <w:rsid w:val="002C356D"/>
    <w:rsid w:val="002C3951"/>
    <w:rsid w:val="002C40D4"/>
    <w:rsid w:val="002C486E"/>
    <w:rsid w:val="002C4925"/>
    <w:rsid w:val="002C4A2D"/>
    <w:rsid w:val="002C55FC"/>
    <w:rsid w:val="002C786A"/>
    <w:rsid w:val="002C78EE"/>
    <w:rsid w:val="002D012A"/>
    <w:rsid w:val="002D04CF"/>
    <w:rsid w:val="002D1600"/>
    <w:rsid w:val="002D16E1"/>
    <w:rsid w:val="002D1732"/>
    <w:rsid w:val="002D20D2"/>
    <w:rsid w:val="002D2155"/>
    <w:rsid w:val="002D216E"/>
    <w:rsid w:val="002D2285"/>
    <w:rsid w:val="002D2BF2"/>
    <w:rsid w:val="002D3235"/>
    <w:rsid w:val="002D35EA"/>
    <w:rsid w:val="002D39F5"/>
    <w:rsid w:val="002D3D87"/>
    <w:rsid w:val="002D4E06"/>
    <w:rsid w:val="002D4EF7"/>
    <w:rsid w:val="002D56B3"/>
    <w:rsid w:val="002D63EB"/>
    <w:rsid w:val="002D679A"/>
    <w:rsid w:val="002D6955"/>
    <w:rsid w:val="002D6E85"/>
    <w:rsid w:val="002D7EF0"/>
    <w:rsid w:val="002E0F62"/>
    <w:rsid w:val="002E1246"/>
    <w:rsid w:val="002E1503"/>
    <w:rsid w:val="002E20B2"/>
    <w:rsid w:val="002E22A2"/>
    <w:rsid w:val="002E28EF"/>
    <w:rsid w:val="002E29F6"/>
    <w:rsid w:val="002E2B96"/>
    <w:rsid w:val="002E2B97"/>
    <w:rsid w:val="002E2CC4"/>
    <w:rsid w:val="002E2FC9"/>
    <w:rsid w:val="002E31CC"/>
    <w:rsid w:val="002E35D9"/>
    <w:rsid w:val="002E3FD6"/>
    <w:rsid w:val="002E5B94"/>
    <w:rsid w:val="002E5BCC"/>
    <w:rsid w:val="002E67EC"/>
    <w:rsid w:val="002E67F1"/>
    <w:rsid w:val="002E6E2A"/>
    <w:rsid w:val="002F05ED"/>
    <w:rsid w:val="002F1029"/>
    <w:rsid w:val="002F1D1D"/>
    <w:rsid w:val="002F1F49"/>
    <w:rsid w:val="002F1F7F"/>
    <w:rsid w:val="002F2285"/>
    <w:rsid w:val="002F235C"/>
    <w:rsid w:val="002F2E7F"/>
    <w:rsid w:val="002F31E6"/>
    <w:rsid w:val="002F32A6"/>
    <w:rsid w:val="002F32CC"/>
    <w:rsid w:val="002F34ED"/>
    <w:rsid w:val="002F4127"/>
    <w:rsid w:val="002F48B6"/>
    <w:rsid w:val="002F4DC7"/>
    <w:rsid w:val="002F58B5"/>
    <w:rsid w:val="002F6893"/>
    <w:rsid w:val="002F6BF9"/>
    <w:rsid w:val="002F741B"/>
    <w:rsid w:val="0030069A"/>
    <w:rsid w:val="00300A21"/>
    <w:rsid w:val="00300E9D"/>
    <w:rsid w:val="0030195F"/>
    <w:rsid w:val="0030248E"/>
    <w:rsid w:val="00302D27"/>
    <w:rsid w:val="00302F51"/>
    <w:rsid w:val="003031AB"/>
    <w:rsid w:val="0030328D"/>
    <w:rsid w:val="00303866"/>
    <w:rsid w:val="00303FC6"/>
    <w:rsid w:val="00304096"/>
    <w:rsid w:val="003042AE"/>
    <w:rsid w:val="0030477F"/>
    <w:rsid w:val="00305770"/>
    <w:rsid w:val="00305E65"/>
    <w:rsid w:val="00306D16"/>
    <w:rsid w:val="00306E6D"/>
    <w:rsid w:val="00307D45"/>
    <w:rsid w:val="0031056C"/>
    <w:rsid w:val="003106CB"/>
    <w:rsid w:val="0031082F"/>
    <w:rsid w:val="00310D75"/>
    <w:rsid w:val="003113C0"/>
    <w:rsid w:val="00311E43"/>
    <w:rsid w:val="00312C60"/>
    <w:rsid w:val="00313700"/>
    <w:rsid w:val="003149B9"/>
    <w:rsid w:val="00314C2D"/>
    <w:rsid w:val="00315589"/>
    <w:rsid w:val="003157DA"/>
    <w:rsid w:val="00315C00"/>
    <w:rsid w:val="00316413"/>
    <w:rsid w:val="00316ECC"/>
    <w:rsid w:val="00317591"/>
    <w:rsid w:val="0031759A"/>
    <w:rsid w:val="003175D6"/>
    <w:rsid w:val="00317F7B"/>
    <w:rsid w:val="00320560"/>
    <w:rsid w:val="00320A34"/>
    <w:rsid w:val="0032228A"/>
    <w:rsid w:val="003222EE"/>
    <w:rsid w:val="0032274A"/>
    <w:rsid w:val="00322A92"/>
    <w:rsid w:val="00322B53"/>
    <w:rsid w:val="00322C82"/>
    <w:rsid w:val="00322CC2"/>
    <w:rsid w:val="00323C2B"/>
    <w:rsid w:val="00324952"/>
    <w:rsid w:val="00324A67"/>
    <w:rsid w:val="00324FD0"/>
    <w:rsid w:val="003251B6"/>
    <w:rsid w:val="00325267"/>
    <w:rsid w:val="00325307"/>
    <w:rsid w:val="00325EBE"/>
    <w:rsid w:val="00325F0E"/>
    <w:rsid w:val="00326126"/>
    <w:rsid w:val="00326CE4"/>
    <w:rsid w:val="00327A3F"/>
    <w:rsid w:val="00330A48"/>
    <w:rsid w:val="0033122B"/>
    <w:rsid w:val="003315C9"/>
    <w:rsid w:val="0033208A"/>
    <w:rsid w:val="00332D49"/>
    <w:rsid w:val="0033311C"/>
    <w:rsid w:val="00333A39"/>
    <w:rsid w:val="00334618"/>
    <w:rsid w:val="00334AA9"/>
    <w:rsid w:val="00334D3E"/>
    <w:rsid w:val="00335D4F"/>
    <w:rsid w:val="00336AE9"/>
    <w:rsid w:val="00336B41"/>
    <w:rsid w:val="00337068"/>
    <w:rsid w:val="00337479"/>
    <w:rsid w:val="00337849"/>
    <w:rsid w:val="003400F3"/>
    <w:rsid w:val="00340312"/>
    <w:rsid w:val="0034072D"/>
    <w:rsid w:val="00340C46"/>
    <w:rsid w:val="00341017"/>
    <w:rsid w:val="00341699"/>
    <w:rsid w:val="003420DC"/>
    <w:rsid w:val="003425AC"/>
    <w:rsid w:val="00343520"/>
    <w:rsid w:val="0034369D"/>
    <w:rsid w:val="00343A72"/>
    <w:rsid w:val="00343BDE"/>
    <w:rsid w:val="0034427D"/>
    <w:rsid w:val="003453DF"/>
    <w:rsid w:val="003453F9"/>
    <w:rsid w:val="00345892"/>
    <w:rsid w:val="00345BBD"/>
    <w:rsid w:val="00345FDD"/>
    <w:rsid w:val="0034607D"/>
    <w:rsid w:val="00346A3C"/>
    <w:rsid w:val="00346C9D"/>
    <w:rsid w:val="00346D54"/>
    <w:rsid w:val="00346F49"/>
    <w:rsid w:val="00347E57"/>
    <w:rsid w:val="00347F36"/>
    <w:rsid w:val="00350A4E"/>
    <w:rsid w:val="00351975"/>
    <w:rsid w:val="00351A20"/>
    <w:rsid w:val="00351C25"/>
    <w:rsid w:val="00351C6F"/>
    <w:rsid w:val="00351CEE"/>
    <w:rsid w:val="00351D26"/>
    <w:rsid w:val="00351F75"/>
    <w:rsid w:val="003531E6"/>
    <w:rsid w:val="00355256"/>
    <w:rsid w:val="003556DD"/>
    <w:rsid w:val="00355807"/>
    <w:rsid w:val="00356885"/>
    <w:rsid w:val="0035740A"/>
    <w:rsid w:val="003576C4"/>
    <w:rsid w:val="00357C1E"/>
    <w:rsid w:val="00360AAA"/>
    <w:rsid w:val="00361138"/>
    <w:rsid w:val="003617BB"/>
    <w:rsid w:val="00361DD2"/>
    <w:rsid w:val="00361FD8"/>
    <w:rsid w:val="0036213A"/>
    <w:rsid w:val="00362189"/>
    <w:rsid w:val="003624CA"/>
    <w:rsid w:val="00362CB9"/>
    <w:rsid w:val="00362DB1"/>
    <w:rsid w:val="00363130"/>
    <w:rsid w:val="00363D10"/>
    <w:rsid w:val="00363DC1"/>
    <w:rsid w:val="00363E52"/>
    <w:rsid w:val="00364573"/>
    <w:rsid w:val="003645BE"/>
    <w:rsid w:val="003645E9"/>
    <w:rsid w:val="00364977"/>
    <w:rsid w:val="00364E65"/>
    <w:rsid w:val="0036601B"/>
    <w:rsid w:val="003663A8"/>
    <w:rsid w:val="00366988"/>
    <w:rsid w:val="0036798F"/>
    <w:rsid w:val="00367FA5"/>
    <w:rsid w:val="00370A42"/>
    <w:rsid w:val="00370D8B"/>
    <w:rsid w:val="003712AE"/>
    <w:rsid w:val="00371377"/>
    <w:rsid w:val="00371736"/>
    <w:rsid w:val="00371AC9"/>
    <w:rsid w:val="00371F38"/>
    <w:rsid w:val="00373041"/>
    <w:rsid w:val="00373C34"/>
    <w:rsid w:val="00373C9F"/>
    <w:rsid w:val="00373FA6"/>
    <w:rsid w:val="00374A3D"/>
    <w:rsid w:val="00374EFD"/>
    <w:rsid w:val="0037585B"/>
    <w:rsid w:val="00376115"/>
    <w:rsid w:val="00376196"/>
    <w:rsid w:val="003761FD"/>
    <w:rsid w:val="003769A1"/>
    <w:rsid w:val="00376DE4"/>
    <w:rsid w:val="003772B4"/>
    <w:rsid w:val="00377995"/>
    <w:rsid w:val="00377AFA"/>
    <w:rsid w:val="00377D78"/>
    <w:rsid w:val="00380C68"/>
    <w:rsid w:val="00381044"/>
    <w:rsid w:val="0038193D"/>
    <w:rsid w:val="00381F26"/>
    <w:rsid w:val="003822B9"/>
    <w:rsid w:val="00382AD0"/>
    <w:rsid w:val="00383222"/>
    <w:rsid w:val="00383225"/>
    <w:rsid w:val="003833C8"/>
    <w:rsid w:val="003833C9"/>
    <w:rsid w:val="00383A9F"/>
    <w:rsid w:val="0038414D"/>
    <w:rsid w:val="0038458F"/>
    <w:rsid w:val="00384BDC"/>
    <w:rsid w:val="00384D20"/>
    <w:rsid w:val="00385ECF"/>
    <w:rsid w:val="00386317"/>
    <w:rsid w:val="00386878"/>
    <w:rsid w:val="00386A40"/>
    <w:rsid w:val="00387848"/>
    <w:rsid w:val="00387F1E"/>
    <w:rsid w:val="003908C6"/>
    <w:rsid w:val="0039440E"/>
    <w:rsid w:val="0039450D"/>
    <w:rsid w:val="00394A01"/>
    <w:rsid w:val="003954BA"/>
    <w:rsid w:val="00395D21"/>
    <w:rsid w:val="003966C6"/>
    <w:rsid w:val="00396945"/>
    <w:rsid w:val="003971B8"/>
    <w:rsid w:val="00397F49"/>
    <w:rsid w:val="00397FF6"/>
    <w:rsid w:val="003A075C"/>
    <w:rsid w:val="003A0943"/>
    <w:rsid w:val="003A0A59"/>
    <w:rsid w:val="003A0B96"/>
    <w:rsid w:val="003A14F8"/>
    <w:rsid w:val="003A1AF6"/>
    <w:rsid w:val="003A1B7C"/>
    <w:rsid w:val="003A237A"/>
    <w:rsid w:val="003A2EB4"/>
    <w:rsid w:val="003A39E4"/>
    <w:rsid w:val="003A3D75"/>
    <w:rsid w:val="003A3E0D"/>
    <w:rsid w:val="003A46CC"/>
    <w:rsid w:val="003A49FB"/>
    <w:rsid w:val="003A5368"/>
    <w:rsid w:val="003A59A6"/>
    <w:rsid w:val="003A5C81"/>
    <w:rsid w:val="003A5CA0"/>
    <w:rsid w:val="003A5D78"/>
    <w:rsid w:val="003A6081"/>
    <w:rsid w:val="003A6716"/>
    <w:rsid w:val="003A6960"/>
    <w:rsid w:val="003A76FB"/>
    <w:rsid w:val="003A7D6E"/>
    <w:rsid w:val="003B0E09"/>
    <w:rsid w:val="003B0FE4"/>
    <w:rsid w:val="003B119A"/>
    <w:rsid w:val="003B203B"/>
    <w:rsid w:val="003B254C"/>
    <w:rsid w:val="003B2F28"/>
    <w:rsid w:val="003B3D7A"/>
    <w:rsid w:val="003B3DB0"/>
    <w:rsid w:val="003B40FB"/>
    <w:rsid w:val="003B4A75"/>
    <w:rsid w:val="003B4E61"/>
    <w:rsid w:val="003B5934"/>
    <w:rsid w:val="003B5E0C"/>
    <w:rsid w:val="003B6293"/>
    <w:rsid w:val="003B6696"/>
    <w:rsid w:val="003B6EDF"/>
    <w:rsid w:val="003B751F"/>
    <w:rsid w:val="003C027C"/>
    <w:rsid w:val="003C0544"/>
    <w:rsid w:val="003C08A3"/>
    <w:rsid w:val="003C104E"/>
    <w:rsid w:val="003C1B80"/>
    <w:rsid w:val="003C2002"/>
    <w:rsid w:val="003C2D5E"/>
    <w:rsid w:val="003C34F7"/>
    <w:rsid w:val="003C367D"/>
    <w:rsid w:val="003C419A"/>
    <w:rsid w:val="003C4C4A"/>
    <w:rsid w:val="003C508B"/>
    <w:rsid w:val="003C5297"/>
    <w:rsid w:val="003C5A00"/>
    <w:rsid w:val="003C6D89"/>
    <w:rsid w:val="003C6ED3"/>
    <w:rsid w:val="003C72B4"/>
    <w:rsid w:val="003C7519"/>
    <w:rsid w:val="003C7988"/>
    <w:rsid w:val="003C7D9C"/>
    <w:rsid w:val="003D01E6"/>
    <w:rsid w:val="003D1255"/>
    <w:rsid w:val="003D18E0"/>
    <w:rsid w:val="003D2506"/>
    <w:rsid w:val="003D3649"/>
    <w:rsid w:val="003D390D"/>
    <w:rsid w:val="003D394F"/>
    <w:rsid w:val="003D3CB8"/>
    <w:rsid w:val="003D4742"/>
    <w:rsid w:val="003D52B0"/>
    <w:rsid w:val="003D54B0"/>
    <w:rsid w:val="003D596B"/>
    <w:rsid w:val="003D6FDF"/>
    <w:rsid w:val="003D7353"/>
    <w:rsid w:val="003D7A5B"/>
    <w:rsid w:val="003D7D0F"/>
    <w:rsid w:val="003E01E9"/>
    <w:rsid w:val="003E046D"/>
    <w:rsid w:val="003E052D"/>
    <w:rsid w:val="003E0B89"/>
    <w:rsid w:val="003E0D4F"/>
    <w:rsid w:val="003E0D88"/>
    <w:rsid w:val="003E11CB"/>
    <w:rsid w:val="003E17D6"/>
    <w:rsid w:val="003E19AC"/>
    <w:rsid w:val="003E1E40"/>
    <w:rsid w:val="003E2BF9"/>
    <w:rsid w:val="003E3556"/>
    <w:rsid w:val="003E35B4"/>
    <w:rsid w:val="003E396C"/>
    <w:rsid w:val="003E3E83"/>
    <w:rsid w:val="003E4085"/>
    <w:rsid w:val="003E42D2"/>
    <w:rsid w:val="003E5104"/>
    <w:rsid w:val="003E52D7"/>
    <w:rsid w:val="003E5E04"/>
    <w:rsid w:val="003E690B"/>
    <w:rsid w:val="003E6FD9"/>
    <w:rsid w:val="003E7F0F"/>
    <w:rsid w:val="003E7FD4"/>
    <w:rsid w:val="003F07A7"/>
    <w:rsid w:val="003F174D"/>
    <w:rsid w:val="003F1C98"/>
    <w:rsid w:val="003F2107"/>
    <w:rsid w:val="003F2233"/>
    <w:rsid w:val="003F2377"/>
    <w:rsid w:val="003F2558"/>
    <w:rsid w:val="003F2640"/>
    <w:rsid w:val="003F2691"/>
    <w:rsid w:val="003F2FA3"/>
    <w:rsid w:val="003F397D"/>
    <w:rsid w:val="003F399A"/>
    <w:rsid w:val="003F3EA4"/>
    <w:rsid w:val="003F4344"/>
    <w:rsid w:val="003F47C0"/>
    <w:rsid w:val="003F4D58"/>
    <w:rsid w:val="003F502A"/>
    <w:rsid w:val="003F5557"/>
    <w:rsid w:val="003F5D3F"/>
    <w:rsid w:val="003F77EF"/>
    <w:rsid w:val="003F7C97"/>
    <w:rsid w:val="003F7E61"/>
    <w:rsid w:val="004001EE"/>
    <w:rsid w:val="00401E35"/>
    <w:rsid w:val="00401FC7"/>
    <w:rsid w:val="0040201A"/>
    <w:rsid w:val="004023F0"/>
    <w:rsid w:val="0040249B"/>
    <w:rsid w:val="004031DD"/>
    <w:rsid w:val="004037BC"/>
    <w:rsid w:val="00403B9A"/>
    <w:rsid w:val="00403BDF"/>
    <w:rsid w:val="004042CD"/>
    <w:rsid w:val="00405016"/>
    <w:rsid w:val="0040551D"/>
    <w:rsid w:val="00405857"/>
    <w:rsid w:val="004058C7"/>
    <w:rsid w:val="00406193"/>
    <w:rsid w:val="00406511"/>
    <w:rsid w:val="00406549"/>
    <w:rsid w:val="00407222"/>
    <w:rsid w:val="004076A2"/>
    <w:rsid w:val="00407A08"/>
    <w:rsid w:val="004102BD"/>
    <w:rsid w:val="004108F3"/>
    <w:rsid w:val="00410C41"/>
    <w:rsid w:val="004120AB"/>
    <w:rsid w:val="00412322"/>
    <w:rsid w:val="00412FFF"/>
    <w:rsid w:val="0041312D"/>
    <w:rsid w:val="00413B45"/>
    <w:rsid w:val="00413C70"/>
    <w:rsid w:val="00413E0B"/>
    <w:rsid w:val="00414305"/>
    <w:rsid w:val="004147D9"/>
    <w:rsid w:val="00414AB6"/>
    <w:rsid w:val="00415029"/>
    <w:rsid w:val="004150E5"/>
    <w:rsid w:val="004153A3"/>
    <w:rsid w:val="00415424"/>
    <w:rsid w:val="004162FA"/>
    <w:rsid w:val="00416382"/>
    <w:rsid w:val="0041638A"/>
    <w:rsid w:val="004167F5"/>
    <w:rsid w:val="00416DEF"/>
    <w:rsid w:val="004170D1"/>
    <w:rsid w:val="004178CD"/>
    <w:rsid w:val="00420068"/>
    <w:rsid w:val="00420373"/>
    <w:rsid w:val="00420659"/>
    <w:rsid w:val="00420990"/>
    <w:rsid w:val="004209BB"/>
    <w:rsid w:val="00420C8A"/>
    <w:rsid w:val="00420D97"/>
    <w:rsid w:val="0042194B"/>
    <w:rsid w:val="00421B2E"/>
    <w:rsid w:val="004225BB"/>
    <w:rsid w:val="00422791"/>
    <w:rsid w:val="00422AA4"/>
    <w:rsid w:val="0042323A"/>
    <w:rsid w:val="0042347B"/>
    <w:rsid w:val="00423673"/>
    <w:rsid w:val="00423A3D"/>
    <w:rsid w:val="00423A7E"/>
    <w:rsid w:val="004245EA"/>
    <w:rsid w:val="00424EA9"/>
    <w:rsid w:val="0042517A"/>
    <w:rsid w:val="004256A0"/>
    <w:rsid w:val="004259B1"/>
    <w:rsid w:val="00425CAE"/>
    <w:rsid w:val="004260F0"/>
    <w:rsid w:val="00426827"/>
    <w:rsid w:val="00427129"/>
    <w:rsid w:val="004278F5"/>
    <w:rsid w:val="00427B63"/>
    <w:rsid w:val="00427DFE"/>
    <w:rsid w:val="0043052B"/>
    <w:rsid w:val="00430544"/>
    <w:rsid w:val="00430AD7"/>
    <w:rsid w:val="00430D0F"/>
    <w:rsid w:val="00432145"/>
    <w:rsid w:val="00432750"/>
    <w:rsid w:val="004327D8"/>
    <w:rsid w:val="00432F04"/>
    <w:rsid w:val="00432F05"/>
    <w:rsid w:val="00433EF2"/>
    <w:rsid w:val="00433F36"/>
    <w:rsid w:val="00434EA7"/>
    <w:rsid w:val="00435237"/>
    <w:rsid w:val="004355FA"/>
    <w:rsid w:val="004356A4"/>
    <w:rsid w:val="0043700D"/>
    <w:rsid w:val="00437351"/>
    <w:rsid w:val="00437A06"/>
    <w:rsid w:val="00437E60"/>
    <w:rsid w:val="00440586"/>
    <w:rsid w:val="004405D4"/>
    <w:rsid w:val="004408C4"/>
    <w:rsid w:val="00440A67"/>
    <w:rsid w:val="00441111"/>
    <w:rsid w:val="00442881"/>
    <w:rsid w:val="00442A08"/>
    <w:rsid w:val="0044336A"/>
    <w:rsid w:val="004439B2"/>
    <w:rsid w:val="004441E2"/>
    <w:rsid w:val="004445D6"/>
    <w:rsid w:val="00444A83"/>
    <w:rsid w:val="004457F8"/>
    <w:rsid w:val="0044696C"/>
    <w:rsid w:val="00446FAA"/>
    <w:rsid w:val="0044739E"/>
    <w:rsid w:val="00447C8D"/>
    <w:rsid w:val="00447E93"/>
    <w:rsid w:val="004502FD"/>
    <w:rsid w:val="0045061C"/>
    <w:rsid w:val="00450686"/>
    <w:rsid w:val="0045072D"/>
    <w:rsid w:val="004508FD"/>
    <w:rsid w:val="00450A49"/>
    <w:rsid w:val="00450DB8"/>
    <w:rsid w:val="00450E14"/>
    <w:rsid w:val="00450F79"/>
    <w:rsid w:val="00450FAE"/>
    <w:rsid w:val="0045119B"/>
    <w:rsid w:val="0045141B"/>
    <w:rsid w:val="004516F3"/>
    <w:rsid w:val="004517EF"/>
    <w:rsid w:val="00451BDF"/>
    <w:rsid w:val="00452465"/>
    <w:rsid w:val="004525EF"/>
    <w:rsid w:val="004526DF"/>
    <w:rsid w:val="004535C6"/>
    <w:rsid w:val="00453AA5"/>
    <w:rsid w:val="00453C69"/>
    <w:rsid w:val="00454115"/>
    <w:rsid w:val="004553D4"/>
    <w:rsid w:val="0045555D"/>
    <w:rsid w:val="00455BD4"/>
    <w:rsid w:val="00455E79"/>
    <w:rsid w:val="00456341"/>
    <w:rsid w:val="00456763"/>
    <w:rsid w:val="00456C3A"/>
    <w:rsid w:val="00456FA5"/>
    <w:rsid w:val="00457140"/>
    <w:rsid w:val="0045718F"/>
    <w:rsid w:val="004576A6"/>
    <w:rsid w:val="00457C98"/>
    <w:rsid w:val="00457DCB"/>
    <w:rsid w:val="00460E26"/>
    <w:rsid w:val="00460EAD"/>
    <w:rsid w:val="00460F5B"/>
    <w:rsid w:val="004614D7"/>
    <w:rsid w:val="0046183D"/>
    <w:rsid w:val="004627C2"/>
    <w:rsid w:val="00462A16"/>
    <w:rsid w:val="00463169"/>
    <w:rsid w:val="00463F77"/>
    <w:rsid w:val="00464230"/>
    <w:rsid w:val="00464290"/>
    <w:rsid w:val="00464804"/>
    <w:rsid w:val="00464FAA"/>
    <w:rsid w:val="004651EE"/>
    <w:rsid w:val="004657F6"/>
    <w:rsid w:val="004663EB"/>
    <w:rsid w:val="004674E8"/>
    <w:rsid w:val="00467BC3"/>
    <w:rsid w:val="004701F8"/>
    <w:rsid w:val="004708A8"/>
    <w:rsid w:val="004708BB"/>
    <w:rsid w:val="00470AD3"/>
    <w:rsid w:val="00470E8F"/>
    <w:rsid w:val="004710C6"/>
    <w:rsid w:val="004710D8"/>
    <w:rsid w:val="00471413"/>
    <w:rsid w:val="0047197E"/>
    <w:rsid w:val="00471B5D"/>
    <w:rsid w:val="004728D2"/>
    <w:rsid w:val="00472BDA"/>
    <w:rsid w:val="00472E19"/>
    <w:rsid w:val="0047322F"/>
    <w:rsid w:val="0047422F"/>
    <w:rsid w:val="004746E3"/>
    <w:rsid w:val="00475082"/>
    <w:rsid w:val="00475732"/>
    <w:rsid w:val="00475C54"/>
    <w:rsid w:val="00475EA0"/>
    <w:rsid w:val="00476083"/>
    <w:rsid w:val="00476795"/>
    <w:rsid w:val="00476B3E"/>
    <w:rsid w:val="004771F5"/>
    <w:rsid w:val="00477322"/>
    <w:rsid w:val="004776C8"/>
    <w:rsid w:val="00477E61"/>
    <w:rsid w:val="00477FBF"/>
    <w:rsid w:val="004805D2"/>
    <w:rsid w:val="0048174A"/>
    <w:rsid w:val="00482521"/>
    <w:rsid w:val="00482817"/>
    <w:rsid w:val="00483349"/>
    <w:rsid w:val="00483900"/>
    <w:rsid w:val="004839A2"/>
    <w:rsid w:val="00483AB4"/>
    <w:rsid w:val="00483C30"/>
    <w:rsid w:val="00483FB8"/>
    <w:rsid w:val="004842C4"/>
    <w:rsid w:val="0048431B"/>
    <w:rsid w:val="004843D9"/>
    <w:rsid w:val="004851C9"/>
    <w:rsid w:val="00485EA7"/>
    <w:rsid w:val="00485EE2"/>
    <w:rsid w:val="00485F00"/>
    <w:rsid w:val="00485F68"/>
    <w:rsid w:val="0048621C"/>
    <w:rsid w:val="00486683"/>
    <w:rsid w:val="00487043"/>
    <w:rsid w:val="00487737"/>
    <w:rsid w:val="0049003E"/>
    <w:rsid w:val="00490152"/>
    <w:rsid w:val="004904D0"/>
    <w:rsid w:val="004920ED"/>
    <w:rsid w:val="00492215"/>
    <w:rsid w:val="004925ED"/>
    <w:rsid w:val="00492BC7"/>
    <w:rsid w:val="004944C1"/>
    <w:rsid w:val="00494AE5"/>
    <w:rsid w:val="00494B74"/>
    <w:rsid w:val="00494BC7"/>
    <w:rsid w:val="00494C7F"/>
    <w:rsid w:val="0049512D"/>
    <w:rsid w:val="00495BBF"/>
    <w:rsid w:val="0049667E"/>
    <w:rsid w:val="00496703"/>
    <w:rsid w:val="0049789A"/>
    <w:rsid w:val="0049795B"/>
    <w:rsid w:val="00497FAB"/>
    <w:rsid w:val="004A14BF"/>
    <w:rsid w:val="004A1778"/>
    <w:rsid w:val="004A1BEC"/>
    <w:rsid w:val="004A1E42"/>
    <w:rsid w:val="004A202B"/>
    <w:rsid w:val="004A2072"/>
    <w:rsid w:val="004A2200"/>
    <w:rsid w:val="004A2568"/>
    <w:rsid w:val="004A2888"/>
    <w:rsid w:val="004A306E"/>
    <w:rsid w:val="004A3215"/>
    <w:rsid w:val="004A3737"/>
    <w:rsid w:val="004A3D80"/>
    <w:rsid w:val="004A4086"/>
    <w:rsid w:val="004A4221"/>
    <w:rsid w:val="004A49CA"/>
    <w:rsid w:val="004A522E"/>
    <w:rsid w:val="004A5A5B"/>
    <w:rsid w:val="004A6666"/>
    <w:rsid w:val="004A67E8"/>
    <w:rsid w:val="004A71DB"/>
    <w:rsid w:val="004A71E1"/>
    <w:rsid w:val="004B007C"/>
    <w:rsid w:val="004B0276"/>
    <w:rsid w:val="004B136D"/>
    <w:rsid w:val="004B2977"/>
    <w:rsid w:val="004B2A75"/>
    <w:rsid w:val="004B47E6"/>
    <w:rsid w:val="004B4CE8"/>
    <w:rsid w:val="004B5895"/>
    <w:rsid w:val="004B5C1F"/>
    <w:rsid w:val="004B5FD5"/>
    <w:rsid w:val="004B6000"/>
    <w:rsid w:val="004B6170"/>
    <w:rsid w:val="004B6EEC"/>
    <w:rsid w:val="004B6F22"/>
    <w:rsid w:val="004B7172"/>
    <w:rsid w:val="004B7D7F"/>
    <w:rsid w:val="004C1074"/>
    <w:rsid w:val="004C24E6"/>
    <w:rsid w:val="004C2DF6"/>
    <w:rsid w:val="004C3293"/>
    <w:rsid w:val="004C3828"/>
    <w:rsid w:val="004C3841"/>
    <w:rsid w:val="004C47ED"/>
    <w:rsid w:val="004C5D92"/>
    <w:rsid w:val="004C6AF4"/>
    <w:rsid w:val="004C782D"/>
    <w:rsid w:val="004C7A52"/>
    <w:rsid w:val="004C7C2A"/>
    <w:rsid w:val="004D0646"/>
    <w:rsid w:val="004D0C43"/>
    <w:rsid w:val="004D0D94"/>
    <w:rsid w:val="004D17B7"/>
    <w:rsid w:val="004D2B4D"/>
    <w:rsid w:val="004D2B8B"/>
    <w:rsid w:val="004D3520"/>
    <w:rsid w:val="004D47A8"/>
    <w:rsid w:val="004D520E"/>
    <w:rsid w:val="004D52EC"/>
    <w:rsid w:val="004D5413"/>
    <w:rsid w:val="004D5426"/>
    <w:rsid w:val="004D5648"/>
    <w:rsid w:val="004D58B3"/>
    <w:rsid w:val="004D5BB9"/>
    <w:rsid w:val="004D5D1D"/>
    <w:rsid w:val="004D5F1D"/>
    <w:rsid w:val="004D61E9"/>
    <w:rsid w:val="004D638E"/>
    <w:rsid w:val="004D69B6"/>
    <w:rsid w:val="004D79F3"/>
    <w:rsid w:val="004D7C40"/>
    <w:rsid w:val="004E007B"/>
    <w:rsid w:val="004E0748"/>
    <w:rsid w:val="004E133F"/>
    <w:rsid w:val="004E15C7"/>
    <w:rsid w:val="004E23FC"/>
    <w:rsid w:val="004E24A9"/>
    <w:rsid w:val="004E2FF9"/>
    <w:rsid w:val="004E3321"/>
    <w:rsid w:val="004E3A31"/>
    <w:rsid w:val="004E3DCD"/>
    <w:rsid w:val="004E450E"/>
    <w:rsid w:val="004E4598"/>
    <w:rsid w:val="004E576D"/>
    <w:rsid w:val="004E5A8B"/>
    <w:rsid w:val="004E66D1"/>
    <w:rsid w:val="004E7DA7"/>
    <w:rsid w:val="004F0D31"/>
    <w:rsid w:val="004F16FF"/>
    <w:rsid w:val="004F1B71"/>
    <w:rsid w:val="004F1B91"/>
    <w:rsid w:val="004F28DC"/>
    <w:rsid w:val="004F3069"/>
    <w:rsid w:val="004F34FC"/>
    <w:rsid w:val="004F366C"/>
    <w:rsid w:val="004F37A0"/>
    <w:rsid w:val="004F541E"/>
    <w:rsid w:val="004F5793"/>
    <w:rsid w:val="004F62AF"/>
    <w:rsid w:val="004F65B3"/>
    <w:rsid w:val="004F6E94"/>
    <w:rsid w:val="004F6F54"/>
    <w:rsid w:val="005001FD"/>
    <w:rsid w:val="00500331"/>
    <w:rsid w:val="005003A2"/>
    <w:rsid w:val="00500836"/>
    <w:rsid w:val="005010C1"/>
    <w:rsid w:val="00501308"/>
    <w:rsid w:val="0050192B"/>
    <w:rsid w:val="00501DF2"/>
    <w:rsid w:val="00502EDB"/>
    <w:rsid w:val="005030EE"/>
    <w:rsid w:val="0050343D"/>
    <w:rsid w:val="0050392E"/>
    <w:rsid w:val="00503BE2"/>
    <w:rsid w:val="005043EF"/>
    <w:rsid w:val="005053E0"/>
    <w:rsid w:val="00505783"/>
    <w:rsid w:val="00505EB0"/>
    <w:rsid w:val="00506334"/>
    <w:rsid w:val="00507F7D"/>
    <w:rsid w:val="005100CA"/>
    <w:rsid w:val="00510397"/>
    <w:rsid w:val="0051069A"/>
    <w:rsid w:val="005111C4"/>
    <w:rsid w:val="0051176E"/>
    <w:rsid w:val="0051184F"/>
    <w:rsid w:val="00513052"/>
    <w:rsid w:val="005133D2"/>
    <w:rsid w:val="0051381D"/>
    <w:rsid w:val="00514CDB"/>
    <w:rsid w:val="0051551D"/>
    <w:rsid w:val="005156AC"/>
    <w:rsid w:val="00515ED3"/>
    <w:rsid w:val="0051680B"/>
    <w:rsid w:val="00516968"/>
    <w:rsid w:val="00516F97"/>
    <w:rsid w:val="00517674"/>
    <w:rsid w:val="005177CF"/>
    <w:rsid w:val="00517A71"/>
    <w:rsid w:val="00520529"/>
    <w:rsid w:val="0052061A"/>
    <w:rsid w:val="00520940"/>
    <w:rsid w:val="00520DC6"/>
    <w:rsid w:val="00520E7F"/>
    <w:rsid w:val="00521ACC"/>
    <w:rsid w:val="00521F5B"/>
    <w:rsid w:val="005221BA"/>
    <w:rsid w:val="00522324"/>
    <w:rsid w:val="00522FFC"/>
    <w:rsid w:val="00523DB4"/>
    <w:rsid w:val="005240B7"/>
    <w:rsid w:val="00524A03"/>
    <w:rsid w:val="00527057"/>
    <w:rsid w:val="00527979"/>
    <w:rsid w:val="00527B26"/>
    <w:rsid w:val="00531C2A"/>
    <w:rsid w:val="00532B1F"/>
    <w:rsid w:val="005336FE"/>
    <w:rsid w:val="0053381F"/>
    <w:rsid w:val="00533E37"/>
    <w:rsid w:val="00533E6C"/>
    <w:rsid w:val="00534635"/>
    <w:rsid w:val="00535FF6"/>
    <w:rsid w:val="0053612E"/>
    <w:rsid w:val="0053732B"/>
    <w:rsid w:val="005376B4"/>
    <w:rsid w:val="00537B89"/>
    <w:rsid w:val="005404F3"/>
    <w:rsid w:val="00540512"/>
    <w:rsid w:val="00540780"/>
    <w:rsid w:val="00541927"/>
    <w:rsid w:val="00541D6E"/>
    <w:rsid w:val="00542268"/>
    <w:rsid w:val="00542729"/>
    <w:rsid w:val="00543739"/>
    <w:rsid w:val="00543865"/>
    <w:rsid w:val="005447EB"/>
    <w:rsid w:val="00544C7C"/>
    <w:rsid w:val="00544E53"/>
    <w:rsid w:val="0054541F"/>
    <w:rsid w:val="005458E6"/>
    <w:rsid w:val="00545C48"/>
    <w:rsid w:val="00546F2C"/>
    <w:rsid w:val="00547A77"/>
    <w:rsid w:val="00547B79"/>
    <w:rsid w:val="00547DC5"/>
    <w:rsid w:val="005511CF"/>
    <w:rsid w:val="00551A69"/>
    <w:rsid w:val="00551D6E"/>
    <w:rsid w:val="00551FBF"/>
    <w:rsid w:val="00552072"/>
    <w:rsid w:val="005529FA"/>
    <w:rsid w:val="0055464B"/>
    <w:rsid w:val="00554EDC"/>
    <w:rsid w:val="00554FC1"/>
    <w:rsid w:val="00555738"/>
    <w:rsid w:val="00555E6B"/>
    <w:rsid w:val="00556E95"/>
    <w:rsid w:val="00556F00"/>
    <w:rsid w:val="005574D5"/>
    <w:rsid w:val="00560960"/>
    <w:rsid w:val="00560F83"/>
    <w:rsid w:val="00561042"/>
    <w:rsid w:val="00561508"/>
    <w:rsid w:val="00561A14"/>
    <w:rsid w:val="0056200D"/>
    <w:rsid w:val="0056207C"/>
    <w:rsid w:val="005624D3"/>
    <w:rsid w:val="00563715"/>
    <w:rsid w:val="00563A7F"/>
    <w:rsid w:val="00563DB3"/>
    <w:rsid w:val="005645C3"/>
    <w:rsid w:val="00564609"/>
    <w:rsid w:val="005647B3"/>
    <w:rsid w:val="00565151"/>
    <w:rsid w:val="00565252"/>
    <w:rsid w:val="005654C5"/>
    <w:rsid w:val="005657DA"/>
    <w:rsid w:val="0056638B"/>
    <w:rsid w:val="0056697F"/>
    <w:rsid w:val="0056738F"/>
    <w:rsid w:val="00567EA4"/>
    <w:rsid w:val="00567ED8"/>
    <w:rsid w:val="0057035F"/>
    <w:rsid w:val="005704D0"/>
    <w:rsid w:val="00570797"/>
    <w:rsid w:val="00570B0E"/>
    <w:rsid w:val="00570EC0"/>
    <w:rsid w:val="0057198C"/>
    <w:rsid w:val="00571C48"/>
    <w:rsid w:val="00572954"/>
    <w:rsid w:val="005729CF"/>
    <w:rsid w:val="00572B6F"/>
    <w:rsid w:val="00572DB0"/>
    <w:rsid w:val="005735E2"/>
    <w:rsid w:val="00574296"/>
    <w:rsid w:val="005744AB"/>
    <w:rsid w:val="005746BA"/>
    <w:rsid w:val="00574E1F"/>
    <w:rsid w:val="00574F7D"/>
    <w:rsid w:val="00575443"/>
    <w:rsid w:val="0057550E"/>
    <w:rsid w:val="00576E80"/>
    <w:rsid w:val="00577CF3"/>
    <w:rsid w:val="005800C8"/>
    <w:rsid w:val="005806C6"/>
    <w:rsid w:val="00581DCD"/>
    <w:rsid w:val="00582C95"/>
    <w:rsid w:val="00583853"/>
    <w:rsid w:val="005838DF"/>
    <w:rsid w:val="005839AC"/>
    <w:rsid w:val="00583C92"/>
    <w:rsid w:val="00583DA9"/>
    <w:rsid w:val="005842A3"/>
    <w:rsid w:val="00584C5B"/>
    <w:rsid w:val="005850C2"/>
    <w:rsid w:val="0058523C"/>
    <w:rsid w:val="00585A81"/>
    <w:rsid w:val="00585F51"/>
    <w:rsid w:val="0058714D"/>
    <w:rsid w:val="005876BA"/>
    <w:rsid w:val="00587BD5"/>
    <w:rsid w:val="00587C6A"/>
    <w:rsid w:val="00587CA8"/>
    <w:rsid w:val="005904EF"/>
    <w:rsid w:val="00590824"/>
    <w:rsid w:val="00590B95"/>
    <w:rsid w:val="00591523"/>
    <w:rsid w:val="00591719"/>
    <w:rsid w:val="0059184D"/>
    <w:rsid w:val="005918DA"/>
    <w:rsid w:val="00591919"/>
    <w:rsid w:val="005926EF"/>
    <w:rsid w:val="0059270A"/>
    <w:rsid w:val="00592CAB"/>
    <w:rsid w:val="00593106"/>
    <w:rsid w:val="005939C7"/>
    <w:rsid w:val="005947F9"/>
    <w:rsid w:val="005949AA"/>
    <w:rsid w:val="00594E77"/>
    <w:rsid w:val="00595AA2"/>
    <w:rsid w:val="00595DC5"/>
    <w:rsid w:val="00596A79"/>
    <w:rsid w:val="00596FD9"/>
    <w:rsid w:val="005970BC"/>
    <w:rsid w:val="0059748D"/>
    <w:rsid w:val="00597D52"/>
    <w:rsid w:val="005A0318"/>
    <w:rsid w:val="005A058E"/>
    <w:rsid w:val="005A068B"/>
    <w:rsid w:val="005A2715"/>
    <w:rsid w:val="005A282B"/>
    <w:rsid w:val="005A2ADF"/>
    <w:rsid w:val="005A2F6E"/>
    <w:rsid w:val="005A31AF"/>
    <w:rsid w:val="005A424F"/>
    <w:rsid w:val="005A42C7"/>
    <w:rsid w:val="005A49F4"/>
    <w:rsid w:val="005A502E"/>
    <w:rsid w:val="005A5A64"/>
    <w:rsid w:val="005A622B"/>
    <w:rsid w:val="005A6397"/>
    <w:rsid w:val="005A6835"/>
    <w:rsid w:val="005A6D55"/>
    <w:rsid w:val="005A79AA"/>
    <w:rsid w:val="005B0EEA"/>
    <w:rsid w:val="005B1747"/>
    <w:rsid w:val="005B1F5B"/>
    <w:rsid w:val="005B2DAF"/>
    <w:rsid w:val="005B3266"/>
    <w:rsid w:val="005B36B5"/>
    <w:rsid w:val="005B3789"/>
    <w:rsid w:val="005B37C7"/>
    <w:rsid w:val="005B3B21"/>
    <w:rsid w:val="005B3BAE"/>
    <w:rsid w:val="005B3D6F"/>
    <w:rsid w:val="005B40D7"/>
    <w:rsid w:val="005B4426"/>
    <w:rsid w:val="005B4D84"/>
    <w:rsid w:val="005B4EB6"/>
    <w:rsid w:val="005B564E"/>
    <w:rsid w:val="005B62CB"/>
    <w:rsid w:val="005B6704"/>
    <w:rsid w:val="005B7ACA"/>
    <w:rsid w:val="005B7CC9"/>
    <w:rsid w:val="005B7D22"/>
    <w:rsid w:val="005B7DCB"/>
    <w:rsid w:val="005C0059"/>
    <w:rsid w:val="005C041A"/>
    <w:rsid w:val="005C0558"/>
    <w:rsid w:val="005C0877"/>
    <w:rsid w:val="005C0A5E"/>
    <w:rsid w:val="005C1034"/>
    <w:rsid w:val="005C11F3"/>
    <w:rsid w:val="005C121D"/>
    <w:rsid w:val="005C1C5D"/>
    <w:rsid w:val="005C1F23"/>
    <w:rsid w:val="005C20CE"/>
    <w:rsid w:val="005C2350"/>
    <w:rsid w:val="005C32D4"/>
    <w:rsid w:val="005C32E0"/>
    <w:rsid w:val="005C3727"/>
    <w:rsid w:val="005C39C2"/>
    <w:rsid w:val="005C3B49"/>
    <w:rsid w:val="005C4384"/>
    <w:rsid w:val="005C4594"/>
    <w:rsid w:val="005C46C3"/>
    <w:rsid w:val="005C4E61"/>
    <w:rsid w:val="005C5B5D"/>
    <w:rsid w:val="005C5DC3"/>
    <w:rsid w:val="005C6756"/>
    <w:rsid w:val="005C6B24"/>
    <w:rsid w:val="005C74D6"/>
    <w:rsid w:val="005C778F"/>
    <w:rsid w:val="005D05A2"/>
    <w:rsid w:val="005D0752"/>
    <w:rsid w:val="005D093C"/>
    <w:rsid w:val="005D0CEF"/>
    <w:rsid w:val="005D0D96"/>
    <w:rsid w:val="005D1119"/>
    <w:rsid w:val="005D1471"/>
    <w:rsid w:val="005D1FB6"/>
    <w:rsid w:val="005D2267"/>
    <w:rsid w:val="005D2771"/>
    <w:rsid w:val="005D29A2"/>
    <w:rsid w:val="005D36B8"/>
    <w:rsid w:val="005D3DC2"/>
    <w:rsid w:val="005D6495"/>
    <w:rsid w:val="005D6CFE"/>
    <w:rsid w:val="005D7691"/>
    <w:rsid w:val="005D7A8A"/>
    <w:rsid w:val="005D7D49"/>
    <w:rsid w:val="005E0206"/>
    <w:rsid w:val="005E07B0"/>
    <w:rsid w:val="005E1561"/>
    <w:rsid w:val="005E2301"/>
    <w:rsid w:val="005E31D6"/>
    <w:rsid w:val="005E384F"/>
    <w:rsid w:val="005E3BD1"/>
    <w:rsid w:val="005E4B1F"/>
    <w:rsid w:val="005E4DDF"/>
    <w:rsid w:val="005E4EF8"/>
    <w:rsid w:val="005E5523"/>
    <w:rsid w:val="005E55E1"/>
    <w:rsid w:val="005E5777"/>
    <w:rsid w:val="005E592B"/>
    <w:rsid w:val="005E59AC"/>
    <w:rsid w:val="005E669C"/>
    <w:rsid w:val="005E68D8"/>
    <w:rsid w:val="005E6FC5"/>
    <w:rsid w:val="005E72F2"/>
    <w:rsid w:val="005E7B5B"/>
    <w:rsid w:val="005F0549"/>
    <w:rsid w:val="005F05A0"/>
    <w:rsid w:val="005F165D"/>
    <w:rsid w:val="005F19B1"/>
    <w:rsid w:val="005F1AB5"/>
    <w:rsid w:val="005F26E0"/>
    <w:rsid w:val="005F2C52"/>
    <w:rsid w:val="005F3191"/>
    <w:rsid w:val="005F3578"/>
    <w:rsid w:val="005F3813"/>
    <w:rsid w:val="005F3C9F"/>
    <w:rsid w:val="005F4718"/>
    <w:rsid w:val="005F5261"/>
    <w:rsid w:val="005F5953"/>
    <w:rsid w:val="005F5CB3"/>
    <w:rsid w:val="005F7288"/>
    <w:rsid w:val="005F73C1"/>
    <w:rsid w:val="005F77FC"/>
    <w:rsid w:val="005F785B"/>
    <w:rsid w:val="005F7B7C"/>
    <w:rsid w:val="005F7BC4"/>
    <w:rsid w:val="005F7C14"/>
    <w:rsid w:val="00600F50"/>
    <w:rsid w:val="0060175E"/>
    <w:rsid w:val="006022B7"/>
    <w:rsid w:val="006025A6"/>
    <w:rsid w:val="00603675"/>
    <w:rsid w:val="006040C2"/>
    <w:rsid w:val="006040DB"/>
    <w:rsid w:val="0060422B"/>
    <w:rsid w:val="00604396"/>
    <w:rsid w:val="0060509F"/>
    <w:rsid w:val="006054E4"/>
    <w:rsid w:val="006056AD"/>
    <w:rsid w:val="00606387"/>
    <w:rsid w:val="006065B9"/>
    <w:rsid w:val="00606FDA"/>
    <w:rsid w:val="00610BCC"/>
    <w:rsid w:val="00610C21"/>
    <w:rsid w:val="00610D3A"/>
    <w:rsid w:val="00610D7E"/>
    <w:rsid w:val="0061128A"/>
    <w:rsid w:val="00611466"/>
    <w:rsid w:val="00611A21"/>
    <w:rsid w:val="00612538"/>
    <w:rsid w:val="0061253D"/>
    <w:rsid w:val="00612772"/>
    <w:rsid w:val="00612E37"/>
    <w:rsid w:val="00613D44"/>
    <w:rsid w:val="00613FFD"/>
    <w:rsid w:val="006146B5"/>
    <w:rsid w:val="00614CE7"/>
    <w:rsid w:val="006150C0"/>
    <w:rsid w:val="00615B9D"/>
    <w:rsid w:val="00615E53"/>
    <w:rsid w:val="00616311"/>
    <w:rsid w:val="006164A2"/>
    <w:rsid w:val="00616758"/>
    <w:rsid w:val="00616783"/>
    <w:rsid w:val="00616FA5"/>
    <w:rsid w:val="00616FF1"/>
    <w:rsid w:val="006171E7"/>
    <w:rsid w:val="006175D6"/>
    <w:rsid w:val="0061776D"/>
    <w:rsid w:val="00620411"/>
    <w:rsid w:val="00620B22"/>
    <w:rsid w:val="00620BAE"/>
    <w:rsid w:val="006214FE"/>
    <w:rsid w:val="00621634"/>
    <w:rsid w:val="00621B6C"/>
    <w:rsid w:val="00621C17"/>
    <w:rsid w:val="00622CB3"/>
    <w:rsid w:val="006238AF"/>
    <w:rsid w:val="00623A41"/>
    <w:rsid w:val="00624449"/>
    <w:rsid w:val="00624CDA"/>
    <w:rsid w:val="00624DA5"/>
    <w:rsid w:val="00625522"/>
    <w:rsid w:val="006266E6"/>
    <w:rsid w:val="0062680B"/>
    <w:rsid w:val="00626BDF"/>
    <w:rsid w:val="006273C4"/>
    <w:rsid w:val="006279BF"/>
    <w:rsid w:val="00630BF2"/>
    <w:rsid w:val="00630CC6"/>
    <w:rsid w:val="00630ECB"/>
    <w:rsid w:val="00631994"/>
    <w:rsid w:val="0063235F"/>
    <w:rsid w:val="00632602"/>
    <w:rsid w:val="006329B6"/>
    <w:rsid w:val="00632D6B"/>
    <w:rsid w:val="00632E21"/>
    <w:rsid w:val="0063301E"/>
    <w:rsid w:val="0063339B"/>
    <w:rsid w:val="006338A1"/>
    <w:rsid w:val="00633BF2"/>
    <w:rsid w:val="006341CC"/>
    <w:rsid w:val="00634213"/>
    <w:rsid w:val="006343C6"/>
    <w:rsid w:val="006349D5"/>
    <w:rsid w:val="00634D94"/>
    <w:rsid w:val="00635047"/>
    <w:rsid w:val="00635CF0"/>
    <w:rsid w:val="00635FAB"/>
    <w:rsid w:val="006360EC"/>
    <w:rsid w:val="00636695"/>
    <w:rsid w:val="00636A80"/>
    <w:rsid w:val="00636F5B"/>
    <w:rsid w:val="006373A9"/>
    <w:rsid w:val="0063771C"/>
    <w:rsid w:val="00637933"/>
    <w:rsid w:val="00637A82"/>
    <w:rsid w:val="00637B02"/>
    <w:rsid w:val="00637DDD"/>
    <w:rsid w:val="00637F3C"/>
    <w:rsid w:val="0064162F"/>
    <w:rsid w:val="006417F5"/>
    <w:rsid w:val="00641B3D"/>
    <w:rsid w:val="006422BC"/>
    <w:rsid w:val="00642A85"/>
    <w:rsid w:val="00643191"/>
    <w:rsid w:val="006437E1"/>
    <w:rsid w:val="0064432E"/>
    <w:rsid w:val="0064433B"/>
    <w:rsid w:val="00644600"/>
    <w:rsid w:val="0064488E"/>
    <w:rsid w:val="006448EC"/>
    <w:rsid w:val="00644CE8"/>
    <w:rsid w:val="00645C52"/>
    <w:rsid w:val="00647360"/>
    <w:rsid w:val="006473B2"/>
    <w:rsid w:val="00647906"/>
    <w:rsid w:val="006479C3"/>
    <w:rsid w:val="006508CD"/>
    <w:rsid w:val="006510E5"/>
    <w:rsid w:val="006524BC"/>
    <w:rsid w:val="00652A5E"/>
    <w:rsid w:val="00652FA6"/>
    <w:rsid w:val="006535C4"/>
    <w:rsid w:val="006537E1"/>
    <w:rsid w:val="006538A7"/>
    <w:rsid w:val="006541CE"/>
    <w:rsid w:val="006545E6"/>
    <w:rsid w:val="00654CC1"/>
    <w:rsid w:val="00654CEC"/>
    <w:rsid w:val="00655105"/>
    <w:rsid w:val="00655410"/>
    <w:rsid w:val="00655436"/>
    <w:rsid w:val="00655E06"/>
    <w:rsid w:val="00656082"/>
    <w:rsid w:val="006560E3"/>
    <w:rsid w:val="00656387"/>
    <w:rsid w:val="00656417"/>
    <w:rsid w:val="00656A2F"/>
    <w:rsid w:val="00657521"/>
    <w:rsid w:val="00657594"/>
    <w:rsid w:val="00657D94"/>
    <w:rsid w:val="0066008E"/>
    <w:rsid w:val="0066010B"/>
    <w:rsid w:val="00660523"/>
    <w:rsid w:val="00660B1A"/>
    <w:rsid w:val="006611E9"/>
    <w:rsid w:val="006612A0"/>
    <w:rsid w:val="006616A1"/>
    <w:rsid w:val="006616A9"/>
    <w:rsid w:val="006619BA"/>
    <w:rsid w:val="00661ADB"/>
    <w:rsid w:val="00662124"/>
    <w:rsid w:val="00662DDB"/>
    <w:rsid w:val="00663143"/>
    <w:rsid w:val="006635A5"/>
    <w:rsid w:val="006640EB"/>
    <w:rsid w:val="0066444F"/>
    <w:rsid w:val="00665250"/>
    <w:rsid w:val="006653E5"/>
    <w:rsid w:val="006664DC"/>
    <w:rsid w:val="006665E3"/>
    <w:rsid w:val="006672F9"/>
    <w:rsid w:val="0066753B"/>
    <w:rsid w:val="006676D7"/>
    <w:rsid w:val="00667701"/>
    <w:rsid w:val="006700ED"/>
    <w:rsid w:val="00671271"/>
    <w:rsid w:val="006718C6"/>
    <w:rsid w:val="006719E1"/>
    <w:rsid w:val="006724B9"/>
    <w:rsid w:val="006726B4"/>
    <w:rsid w:val="006729A9"/>
    <w:rsid w:val="006729E7"/>
    <w:rsid w:val="00672E79"/>
    <w:rsid w:val="0067511E"/>
    <w:rsid w:val="0067559A"/>
    <w:rsid w:val="006760D9"/>
    <w:rsid w:val="006761F8"/>
    <w:rsid w:val="006762B5"/>
    <w:rsid w:val="00677096"/>
    <w:rsid w:val="0067742C"/>
    <w:rsid w:val="006776D9"/>
    <w:rsid w:val="0067779B"/>
    <w:rsid w:val="00680430"/>
    <w:rsid w:val="0068075C"/>
    <w:rsid w:val="006808A3"/>
    <w:rsid w:val="00681008"/>
    <w:rsid w:val="00681051"/>
    <w:rsid w:val="00681152"/>
    <w:rsid w:val="006811E1"/>
    <w:rsid w:val="00681722"/>
    <w:rsid w:val="00681A88"/>
    <w:rsid w:val="0068214D"/>
    <w:rsid w:val="006823A0"/>
    <w:rsid w:val="0068397A"/>
    <w:rsid w:val="0068469B"/>
    <w:rsid w:val="00684831"/>
    <w:rsid w:val="00684B24"/>
    <w:rsid w:val="00685120"/>
    <w:rsid w:val="006858AA"/>
    <w:rsid w:val="00686106"/>
    <w:rsid w:val="00690344"/>
    <w:rsid w:val="00690947"/>
    <w:rsid w:val="00690A12"/>
    <w:rsid w:val="00690ACC"/>
    <w:rsid w:val="00690D31"/>
    <w:rsid w:val="00690E09"/>
    <w:rsid w:val="00690F25"/>
    <w:rsid w:val="00690FC0"/>
    <w:rsid w:val="0069106B"/>
    <w:rsid w:val="006916F4"/>
    <w:rsid w:val="00692A0A"/>
    <w:rsid w:val="00692BF7"/>
    <w:rsid w:val="006938CC"/>
    <w:rsid w:val="0069430E"/>
    <w:rsid w:val="0069486B"/>
    <w:rsid w:val="0069644D"/>
    <w:rsid w:val="006964AD"/>
    <w:rsid w:val="00696F7B"/>
    <w:rsid w:val="00697177"/>
    <w:rsid w:val="00697195"/>
    <w:rsid w:val="006A03EC"/>
    <w:rsid w:val="006A0B45"/>
    <w:rsid w:val="006A1863"/>
    <w:rsid w:val="006A28EF"/>
    <w:rsid w:val="006A2C55"/>
    <w:rsid w:val="006A323E"/>
    <w:rsid w:val="006A32CE"/>
    <w:rsid w:val="006A339E"/>
    <w:rsid w:val="006A3D8C"/>
    <w:rsid w:val="006A3DE2"/>
    <w:rsid w:val="006A4B56"/>
    <w:rsid w:val="006A4DC3"/>
    <w:rsid w:val="006A4DE0"/>
    <w:rsid w:val="006A5EAC"/>
    <w:rsid w:val="006A6511"/>
    <w:rsid w:val="006A70A7"/>
    <w:rsid w:val="006A71B9"/>
    <w:rsid w:val="006A71BF"/>
    <w:rsid w:val="006A75A9"/>
    <w:rsid w:val="006B018E"/>
    <w:rsid w:val="006B14BA"/>
    <w:rsid w:val="006B3335"/>
    <w:rsid w:val="006B3ED6"/>
    <w:rsid w:val="006B4285"/>
    <w:rsid w:val="006B486D"/>
    <w:rsid w:val="006B5093"/>
    <w:rsid w:val="006B6425"/>
    <w:rsid w:val="006B64C5"/>
    <w:rsid w:val="006B6B1C"/>
    <w:rsid w:val="006B70A4"/>
    <w:rsid w:val="006B7556"/>
    <w:rsid w:val="006B769B"/>
    <w:rsid w:val="006C0283"/>
    <w:rsid w:val="006C095A"/>
    <w:rsid w:val="006C0E5B"/>
    <w:rsid w:val="006C1491"/>
    <w:rsid w:val="006C1624"/>
    <w:rsid w:val="006C1BAF"/>
    <w:rsid w:val="006C2295"/>
    <w:rsid w:val="006C2C25"/>
    <w:rsid w:val="006C2C8E"/>
    <w:rsid w:val="006C2CF4"/>
    <w:rsid w:val="006C2DB4"/>
    <w:rsid w:val="006C3754"/>
    <w:rsid w:val="006C38AB"/>
    <w:rsid w:val="006C39E1"/>
    <w:rsid w:val="006C3BEA"/>
    <w:rsid w:val="006C5224"/>
    <w:rsid w:val="006C5952"/>
    <w:rsid w:val="006C5BAA"/>
    <w:rsid w:val="006C60F1"/>
    <w:rsid w:val="006C6C6C"/>
    <w:rsid w:val="006C7793"/>
    <w:rsid w:val="006C780F"/>
    <w:rsid w:val="006D060B"/>
    <w:rsid w:val="006D07E6"/>
    <w:rsid w:val="006D083B"/>
    <w:rsid w:val="006D0B4D"/>
    <w:rsid w:val="006D0F8D"/>
    <w:rsid w:val="006D144D"/>
    <w:rsid w:val="006D145F"/>
    <w:rsid w:val="006D2CC5"/>
    <w:rsid w:val="006D32AB"/>
    <w:rsid w:val="006D3A27"/>
    <w:rsid w:val="006D3C76"/>
    <w:rsid w:val="006D4317"/>
    <w:rsid w:val="006D48D8"/>
    <w:rsid w:val="006D4961"/>
    <w:rsid w:val="006D49CE"/>
    <w:rsid w:val="006D4F6B"/>
    <w:rsid w:val="006D512E"/>
    <w:rsid w:val="006D5FA0"/>
    <w:rsid w:val="006D6090"/>
    <w:rsid w:val="006D692E"/>
    <w:rsid w:val="006D6FC3"/>
    <w:rsid w:val="006D70E4"/>
    <w:rsid w:val="006D7E4C"/>
    <w:rsid w:val="006E0126"/>
    <w:rsid w:val="006E1641"/>
    <w:rsid w:val="006E17A2"/>
    <w:rsid w:val="006E1972"/>
    <w:rsid w:val="006E1A78"/>
    <w:rsid w:val="006E2D55"/>
    <w:rsid w:val="006E3510"/>
    <w:rsid w:val="006E450D"/>
    <w:rsid w:val="006E4719"/>
    <w:rsid w:val="006E48AE"/>
    <w:rsid w:val="006E4AD4"/>
    <w:rsid w:val="006E6186"/>
    <w:rsid w:val="006E671A"/>
    <w:rsid w:val="006E6CA9"/>
    <w:rsid w:val="006E6D08"/>
    <w:rsid w:val="006E7895"/>
    <w:rsid w:val="006E7EC2"/>
    <w:rsid w:val="006F06D2"/>
    <w:rsid w:val="006F0753"/>
    <w:rsid w:val="006F079A"/>
    <w:rsid w:val="006F0DD5"/>
    <w:rsid w:val="006F128D"/>
    <w:rsid w:val="006F1A89"/>
    <w:rsid w:val="006F1FEB"/>
    <w:rsid w:val="006F2191"/>
    <w:rsid w:val="006F27E4"/>
    <w:rsid w:val="006F2C63"/>
    <w:rsid w:val="006F3D5B"/>
    <w:rsid w:val="006F40ED"/>
    <w:rsid w:val="006F4487"/>
    <w:rsid w:val="006F515B"/>
    <w:rsid w:val="006F51EA"/>
    <w:rsid w:val="006F5687"/>
    <w:rsid w:val="006F5A2E"/>
    <w:rsid w:val="006F6095"/>
    <w:rsid w:val="006F6362"/>
    <w:rsid w:val="006F656E"/>
    <w:rsid w:val="006F796C"/>
    <w:rsid w:val="00701431"/>
    <w:rsid w:val="007014C2"/>
    <w:rsid w:val="007015F8"/>
    <w:rsid w:val="007016B3"/>
    <w:rsid w:val="007019A2"/>
    <w:rsid w:val="00702AD6"/>
    <w:rsid w:val="00702B0D"/>
    <w:rsid w:val="00703395"/>
    <w:rsid w:val="00703BDF"/>
    <w:rsid w:val="007048B8"/>
    <w:rsid w:val="00704B33"/>
    <w:rsid w:val="00704DFF"/>
    <w:rsid w:val="00705680"/>
    <w:rsid w:val="00705687"/>
    <w:rsid w:val="0070596F"/>
    <w:rsid w:val="007060EF"/>
    <w:rsid w:val="00706523"/>
    <w:rsid w:val="007065CC"/>
    <w:rsid w:val="00706CD6"/>
    <w:rsid w:val="00707417"/>
    <w:rsid w:val="00710AEA"/>
    <w:rsid w:val="00710E20"/>
    <w:rsid w:val="0071155A"/>
    <w:rsid w:val="00711D65"/>
    <w:rsid w:val="00712B8A"/>
    <w:rsid w:val="00712C46"/>
    <w:rsid w:val="00713296"/>
    <w:rsid w:val="007132C4"/>
    <w:rsid w:val="0071422D"/>
    <w:rsid w:val="00714473"/>
    <w:rsid w:val="00714A9B"/>
    <w:rsid w:val="007152DA"/>
    <w:rsid w:val="00715464"/>
    <w:rsid w:val="007154BC"/>
    <w:rsid w:val="00716089"/>
    <w:rsid w:val="00716B8B"/>
    <w:rsid w:val="00716F67"/>
    <w:rsid w:val="00717ACC"/>
    <w:rsid w:val="007202BA"/>
    <w:rsid w:val="00720D7B"/>
    <w:rsid w:val="00721F54"/>
    <w:rsid w:val="007226C2"/>
    <w:rsid w:val="00723399"/>
    <w:rsid w:val="007239AA"/>
    <w:rsid w:val="00724029"/>
    <w:rsid w:val="007255E6"/>
    <w:rsid w:val="00725DC6"/>
    <w:rsid w:val="007260D4"/>
    <w:rsid w:val="007270CB"/>
    <w:rsid w:val="00727413"/>
    <w:rsid w:val="00727624"/>
    <w:rsid w:val="00727A51"/>
    <w:rsid w:val="00727C23"/>
    <w:rsid w:val="00727EA3"/>
    <w:rsid w:val="00727F7A"/>
    <w:rsid w:val="0073078E"/>
    <w:rsid w:val="00730857"/>
    <w:rsid w:val="0073101A"/>
    <w:rsid w:val="00731122"/>
    <w:rsid w:val="007311B2"/>
    <w:rsid w:val="0073160F"/>
    <w:rsid w:val="00731855"/>
    <w:rsid w:val="007319A1"/>
    <w:rsid w:val="00731A99"/>
    <w:rsid w:val="0073203F"/>
    <w:rsid w:val="00732208"/>
    <w:rsid w:val="00732581"/>
    <w:rsid w:val="007325F1"/>
    <w:rsid w:val="007329C3"/>
    <w:rsid w:val="007338B5"/>
    <w:rsid w:val="00734012"/>
    <w:rsid w:val="00734DCD"/>
    <w:rsid w:val="007354D2"/>
    <w:rsid w:val="007364D1"/>
    <w:rsid w:val="00736D41"/>
    <w:rsid w:val="00736F77"/>
    <w:rsid w:val="0073742C"/>
    <w:rsid w:val="007376B5"/>
    <w:rsid w:val="00740E17"/>
    <w:rsid w:val="00741380"/>
    <w:rsid w:val="007415D8"/>
    <w:rsid w:val="00741D69"/>
    <w:rsid w:val="00741E02"/>
    <w:rsid w:val="00742C2C"/>
    <w:rsid w:val="00742D42"/>
    <w:rsid w:val="00742D5B"/>
    <w:rsid w:val="007436D5"/>
    <w:rsid w:val="00743AE1"/>
    <w:rsid w:val="007441D3"/>
    <w:rsid w:val="00744723"/>
    <w:rsid w:val="0074610B"/>
    <w:rsid w:val="007465E9"/>
    <w:rsid w:val="00746710"/>
    <w:rsid w:val="00746C19"/>
    <w:rsid w:val="0074710B"/>
    <w:rsid w:val="00747E20"/>
    <w:rsid w:val="0075010A"/>
    <w:rsid w:val="00750122"/>
    <w:rsid w:val="007505FE"/>
    <w:rsid w:val="00750998"/>
    <w:rsid w:val="00750AE1"/>
    <w:rsid w:val="00750E0A"/>
    <w:rsid w:val="00751635"/>
    <w:rsid w:val="007524AC"/>
    <w:rsid w:val="007524CE"/>
    <w:rsid w:val="00752FA1"/>
    <w:rsid w:val="0075351A"/>
    <w:rsid w:val="00754602"/>
    <w:rsid w:val="00754DA4"/>
    <w:rsid w:val="0075565D"/>
    <w:rsid w:val="007562AB"/>
    <w:rsid w:val="00756E48"/>
    <w:rsid w:val="00757833"/>
    <w:rsid w:val="0075787F"/>
    <w:rsid w:val="00760EBB"/>
    <w:rsid w:val="0076119B"/>
    <w:rsid w:val="00761431"/>
    <w:rsid w:val="00762385"/>
    <w:rsid w:val="0076347F"/>
    <w:rsid w:val="0076380C"/>
    <w:rsid w:val="00763C43"/>
    <w:rsid w:val="007641C2"/>
    <w:rsid w:val="0076491C"/>
    <w:rsid w:val="00765119"/>
    <w:rsid w:val="00765C28"/>
    <w:rsid w:val="0076748C"/>
    <w:rsid w:val="007675BD"/>
    <w:rsid w:val="00767DCD"/>
    <w:rsid w:val="007701F5"/>
    <w:rsid w:val="00770357"/>
    <w:rsid w:val="00770ECA"/>
    <w:rsid w:val="00771A94"/>
    <w:rsid w:val="00771D05"/>
    <w:rsid w:val="00772020"/>
    <w:rsid w:val="007726EA"/>
    <w:rsid w:val="00772825"/>
    <w:rsid w:val="007729E7"/>
    <w:rsid w:val="00773158"/>
    <w:rsid w:val="00773214"/>
    <w:rsid w:val="0077348C"/>
    <w:rsid w:val="00773847"/>
    <w:rsid w:val="0077384C"/>
    <w:rsid w:val="0077470D"/>
    <w:rsid w:val="00774AD0"/>
    <w:rsid w:val="00774C18"/>
    <w:rsid w:val="0077575E"/>
    <w:rsid w:val="00776450"/>
    <w:rsid w:val="00777AEF"/>
    <w:rsid w:val="00777C4D"/>
    <w:rsid w:val="0078060E"/>
    <w:rsid w:val="00780985"/>
    <w:rsid w:val="007815D0"/>
    <w:rsid w:val="00781BCC"/>
    <w:rsid w:val="00781BD6"/>
    <w:rsid w:val="00781BF2"/>
    <w:rsid w:val="00781C2D"/>
    <w:rsid w:val="007826C5"/>
    <w:rsid w:val="00782A20"/>
    <w:rsid w:val="00782F8F"/>
    <w:rsid w:val="007838E1"/>
    <w:rsid w:val="00783CF1"/>
    <w:rsid w:val="00783F78"/>
    <w:rsid w:val="00784144"/>
    <w:rsid w:val="00784676"/>
    <w:rsid w:val="00784DC0"/>
    <w:rsid w:val="007851B0"/>
    <w:rsid w:val="00785353"/>
    <w:rsid w:val="007853D5"/>
    <w:rsid w:val="0078679F"/>
    <w:rsid w:val="007869F7"/>
    <w:rsid w:val="00786B06"/>
    <w:rsid w:val="00786E01"/>
    <w:rsid w:val="00786F07"/>
    <w:rsid w:val="007872FC"/>
    <w:rsid w:val="00787572"/>
    <w:rsid w:val="00790C1F"/>
    <w:rsid w:val="00790F18"/>
    <w:rsid w:val="00791D01"/>
    <w:rsid w:val="007923AF"/>
    <w:rsid w:val="007934CC"/>
    <w:rsid w:val="00794415"/>
    <w:rsid w:val="007946AF"/>
    <w:rsid w:val="007947F9"/>
    <w:rsid w:val="00794BF3"/>
    <w:rsid w:val="00795BF5"/>
    <w:rsid w:val="00795DFD"/>
    <w:rsid w:val="00795E11"/>
    <w:rsid w:val="007971F8"/>
    <w:rsid w:val="00797763"/>
    <w:rsid w:val="00797925"/>
    <w:rsid w:val="007A04BC"/>
    <w:rsid w:val="007A0754"/>
    <w:rsid w:val="007A0A65"/>
    <w:rsid w:val="007A1533"/>
    <w:rsid w:val="007A1813"/>
    <w:rsid w:val="007A19C7"/>
    <w:rsid w:val="007A1CBA"/>
    <w:rsid w:val="007A2780"/>
    <w:rsid w:val="007A2BA1"/>
    <w:rsid w:val="007A4063"/>
    <w:rsid w:val="007A4497"/>
    <w:rsid w:val="007A4CBA"/>
    <w:rsid w:val="007A4D29"/>
    <w:rsid w:val="007A5315"/>
    <w:rsid w:val="007A57BA"/>
    <w:rsid w:val="007A5992"/>
    <w:rsid w:val="007A6268"/>
    <w:rsid w:val="007A632A"/>
    <w:rsid w:val="007A6331"/>
    <w:rsid w:val="007A6474"/>
    <w:rsid w:val="007A6F1C"/>
    <w:rsid w:val="007A72EA"/>
    <w:rsid w:val="007A76F0"/>
    <w:rsid w:val="007A791F"/>
    <w:rsid w:val="007B03B2"/>
    <w:rsid w:val="007B0A56"/>
    <w:rsid w:val="007B154F"/>
    <w:rsid w:val="007B1D38"/>
    <w:rsid w:val="007B213C"/>
    <w:rsid w:val="007B2F40"/>
    <w:rsid w:val="007B3186"/>
    <w:rsid w:val="007B3D1F"/>
    <w:rsid w:val="007B44CE"/>
    <w:rsid w:val="007B5725"/>
    <w:rsid w:val="007B65B3"/>
    <w:rsid w:val="007B66A6"/>
    <w:rsid w:val="007B6753"/>
    <w:rsid w:val="007B69AA"/>
    <w:rsid w:val="007B6A59"/>
    <w:rsid w:val="007B6D54"/>
    <w:rsid w:val="007B7A80"/>
    <w:rsid w:val="007B7E92"/>
    <w:rsid w:val="007B7FE3"/>
    <w:rsid w:val="007C043F"/>
    <w:rsid w:val="007C07B8"/>
    <w:rsid w:val="007C0AC5"/>
    <w:rsid w:val="007C0F00"/>
    <w:rsid w:val="007C1103"/>
    <w:rsid w:val="007C140B"/>
    <w:rsid w:val="007C1871"/>
    <w:rsid w:val="007C2112"/>
    <w:rsid w:val="007C3511"/>
    <w:rsid w:val="007C3634"/>
    <w:rsid w:val="007C43C5"/>
    <w:rsid w:val="007C43DE"/>
    <w:rsid w:val="007C4614"/>
    <w:rsid w:val="007C4E72"/>
    <w:rsid w:val="007C4EE2"/>
    <w:rsid w:val="007C59AB"/>
    <w:rsid w:val="007C6694"/>
    <w:rsid w:val="007C670C"/>
    <w:rsid w:val="007C68CB"/>
    <w:rsid w:val="007C6E98"/>
    <w:rsid w:val="007C76CE"/>
    <w:rsid w:val="007C7E26"/>
    <w:rsid w:val="007D05D2"/>
    <w:rsid w:val="007D068D"/>
    <w:rsid w:val="007D1464"/>
    <w:rsid w:val="007D1772"/>
    <w:rsid w:val="007D2C0C"/>
    <w:rsid w:val="007D3998"/>
    <w:rsid w:val="007D3CBB"/>
    <w:rsid w:val="007D4C02"/>
    <w:rsid w:val="007D4E18"/>
    <w:rsid w:val="007D5664"/>
    <w:rsid w:val="007D5879"/>
    <w:rsid w:val="007D73D4"/>
    <w:rsid w:val="007D7A40"/>
    <w:rsid w:val="007D7F52"/>
    <w:rsid w:val="007E01AF"/>
    <w:rsid w:val="007E01FA"/>
    <w:rsid w:val="007E08E9"/>
    <w:rsid w:val="007E0B70"/>
    <w:rsid w:val="007E16A9"/>
    <w:rsid w:val="007E1EE9"/>
    <w:rsid w:val="007E2019"/>
    <w:rsid w:val="007E2644"/>
    <w:rsid w:val="007E2AC3"/>
    <w:rsid w:val="007E2BEE"/>
    <w:rsid w:val="007E3650"/>
    <w:rsid w:val="007E3A2A"/>
    <w:rsid w:val="007E3A2B"/>
    <w:rsid w:val="007E4DB1"/>
    <w:rsid w:val="007E4E0F"/>
    <w:rsid w:val="007E5151"/>
    <w:rsid w:val="007E5239"/>
    <w:rsid w:val="007E602A"/>
    <w:rsid w:val="007E63C0"/>
    <w:rsid w:val="007E66A5"/>
    <w:rsid w:val="007E6880"/>
    <w:rsid w:val="007E6CA0"/>
    <w:rsid w:val="007E70E8"/>
    <w:rsid w:val="007E7163"/>
    <w:rsid w:val="007E77D7"/>
    <w:rsid w:val="007E7B7D"/>
    <w:rsid w:val="007F1390"/>
    <w:rsid w:val="007F1962"/>
    <w:rsid w:val="007F1AD6"/>
    <w:rsid w:val="007F20A4"/>
    <w:rsid w:val="007F30E5"/>
    <w:rsid w:val="007F3377"/>
    <w:rsid w:val="007F3C2E"/>
    <w:rsid w:val="007F40AA"/>
    <w:rsid w:val="007F4157"/>
    <w:rsid w:val="007F4C7B"/>
    <w:rsid w:val="007F5304"/>
    <w:rsid w:val="007F5DFA"/>
    <w:rsid w:val="007F64A6"/>
    <w:rsid w:val="007F66EF"/>
    <w:rsid w:val="007F6AAC"/>
    <w:rsid w:val="00800DD7"/>
    <w:rsid w:val="0080113D"/>
    <w:rsid w:val="008011E3"/>
    <w:rsid w:val="0080127D"/>
    <w:rsid w:val="008012B7"/>
    <w:rsid w:val="008014BF"/>
    <w:rsid w:val="008018B5"/>
    <w:rsid w:val="00801FCA"/>
    <w:rsid w:val="00803A27"/>
    <w:rsid w:val="00803BA7"/>
    <w:rsid w:val="00803EC6"/>
    <w:rsid w:val="008048AE"/>
    <w:rsid w:val="0080534A"/>
    <w:rsid w:val="00805F05"/>
    <w:rsid w:val="00805F39"/>
    <w:rsid w:val="0080685E"/>
    <w:rsid w:val="00806ECF"/>
    <w:rsid w:val="008073FE"/>
    <w:rsid w:val="0080793C"/>
    <w:rsid w:val="00807E93"/>
    <w:rsid w:val="0081106F"/>
    <w:rsid w:val="0081109B"/>
    <w:rsid w:val="008124E7"/>
    <w:rsid w:val="00812624"/>
    <w:rsid w:val="00812BA2"/>
    <w:rsid w:val="00812D6B"/>
    <w:rsid w:val="00813F78"/>
    <w:rsid w:val="00814670"/>
    <w:rsid w:val="0081484C"/>
    <w:rsid w:val="00814B03"/>
    <w:rsid w:val="0081504D"/>
    <w:rsid w:val="00815C96"/>
    <w:rsid w:val="00816434"/>
    <w:rsid w:val="00816610"/>
    <w:rsid w:val="00816791"/>
    <w:rsid w:val="00816877"/>
    <w:rsid w:val="008168A6"/>
    <w:rsid w:val="00816B9E"/>
    <w:rsid w:val="00816C71"/>
    <w:rsid w:val="00817176"/>
    <w:rsid w:val="00817290"/>
    <w:rsid w:val="00817506"/>
    <w:rsid w:val="008206D2"/>
    <w:rsid w:val="00820895"/>
    <w:rsid w:val="008219D2"/>
    <w:rsid w:val="00821E1D"/>
    <w:rsid w:val="00821EC4"/>
    <w:rsid w:val="00823649"/>
    <w:rsid w:val="008238D6"/>
    <w:rsid w:val="00824B9C"/>
    <w:rsid w:val="00825897"/>
    <w:rsid w:val="008276CB"/>
    <w:rsid w:val="0082790A"/>
    <w:rsid w:val="00830793"/>
    <w:rsid w:val="008307B5"/>
    <w:rsid w:val="008308B9"/>
    <w:rsid w:val="00830F06"/>
    <w:rsid w:val="00831DCC"/>
    <w:rsid w:val="00832D33"/>
    <w:rsid w:val="008337D5"/>
    <w:rsid w:val="008340E4"/>
    <w:rsid w:val="00835844"/>
    <w:rsid w:val="00836AC8"/>
    <w:rsid w:val="00836B4F"/>
    <w:rsid w:val="00840F30"/>
    <w:rsid w:val="008410FB"/>
    <w:rsid w:val="00841A2B"/>
    <w:rsid w:val="00841D7E"/>
    <w:rsid w:val="00841FEA"/>
    <w:rsid w:val="00842791"/>
    <w:rsid w:val="00842989"/>
    <w:rsid w:val="00843032"/>
    <w:rsid w:val="00843377"/>
    <w:rsid w:val="00843B0D"/>
    <w:rsid w:val="00843D00"/>
    <w:rsid w:val="00844766"/>
    <w:rsid w:val="0084480F"/>
    <w:rsid w:val="0084490F"/>
    <w:rsid w:val="00844E44"/>
    <w:rsid w:val="00845220"/>
    <w:rsid w:val="0084535A"/>
    <w:rsid w:val="00845709"/>
    <w:rsid w:val="00845D61"/>
    <w:rsid w:val="00850654"/>
    <w:rsid w:val="008514A9"/>
    <w:rsid w:val="00851996"/>
    <w:rsid w:val="00852219"/>
    <w:rsid w:val="0085238D"/>
    <w:rsid w:val="00852419"/>
    <w:rsid w:val="0085368D"/>
    <w:rsid w:val="00853CEC"/>
    <w:rsid w:val="00854D2E"/>
    <w:rsid w:val="00854E19"/>
    <w:rsid w:val="00854EAA"/>
    <w:rsid w:val="00855327"/>
    <w:rsid w:val="008554E3"/>
    <w:rsid w:val="008554FE"/>
    <w:rsid w:val="008556C2"/>
    <w:rsid w:val="00855CEF"/>
    <w:rsid w:val="00856035"/>
    <w:rsid w:val="0085629E"/>
    <w:rsid w:val="008566B5"/>
    <w:rsid w:val="00856912"/>
    <w:rsid w:val="00856DFC"/>
    <w:rsid w:val="0085755C"/>
    <w:rsid w:val="0085793A"/>
    <w:rsid w:val="00857BA2"/>
    <w:rsid w:val="00857C93"/>
    <w:rsid w:val="008604BE"/>
    <w:rsid w:val="0086079B"/>
    <w:rsid w:val="00860981"/>
    <w:rsid w:val="00861196"/>
    <w:rsid w:val="00861583"/>
    <w:rsid w:val="008638E4"/>
    <w:rsid w:val="00863B0D"/>
    <w:rsid w:val="00863DAD"/>
    <w:rsid w:val="008648DD"/>
    <w:rsid w:val="008649F0"/>
    <w:rsid w:val="0086503F"/>
    <w:rsid w:val="008650DB"/>
    <w:rsid w:val="00865A08"/>
    <w:rsid w:val="00865A1D"/>
    <w:rsid w:val="00865C70"/>
    <w:rsid w:val="00866269"/>
    <w:rsid w:val="008667BD"/>
    <w:rsid w:val="00866846"/>
    <w:rsid w:val="00866A33"/>
    <w:rsid w:val="00866FFE"/>
    <w:rsid w:val="00867E69"/>
    <w:rsid w:val="00870158"/>
    <w:rsid w:val="00870E65"/>
    <w:rsid w:val="008713DC"/>
    <w:rsid w:val="008724B7"/>
    <w:rsid w:val="0087251D"/>
    <w:rsid w:val="00872D04"/>
    <w:rsid w:val="008731FC"/>
    <w:rsid w:val="00873695"/>
    <w:rsid w:val="0087393B"/>
    <w:rsid w:val="00873AFF"/>
    <w:rsid w:val="0087433C"/>
    <w:rsid w:val="00875033"/>
    <w:rsid w:val="008751D4"/>
    <w:rsid w:val="00875584"/>
    <w:rsid w:val="00875989"/>
    <w:rsid w:val="00875BD7"/>
    <w:rsid w:val="0087605B"/>
    <w:rsid w:val="00876421"/>
    <w:rsid w:val="00877290"/>
    <w:rsid w:val="00877A0F"/>
    <w:rsid w:val="00877C8E"/>
    <w:rsid w:val="00877D1F"/>
    <w:rsid w:val="00880960"/>
    <w:rsid w:val="0088109E"/>
    <w:rsid w:val="008817EE"/>
    <w:rsid w:val="00881878"/>
    <w:rsid w:val="00882304"/>
    <w:rsid w:val="0088258F"/>
    <w:rsid w:val="008829C2"/>
    <w:rsid w:val="00882A9A"/>
    <w:rsid w:val="00882B5B"/>
    <w:rsid w:val="00882D94"/>
    <w:rsid w:val="00882ED4"/>
    <w:rsid w:val="0088307F"/>
    <w:rsid w:val="008839A8"/>
    <w:rsid w:val="00883CA9"/>
    <w:rsid w:val="0088413B"/>
    <w:rsid w:val="0088424F"/>
    <w:rsid w:val="00884AC9"/>
    <w:rsid w:val="00884E37"/>
    <w:rsid w:val="008850B9"/>
    <w:rsid w:val="00885A50"/>
    <w:rsid w:val="00885CE1"/>
    <w:rsid w:val="00885EE3"/>
    <w:rsid w:val="008860F3"/>
    <w:rsid w:val="008863E8"/>
    <w:rsid w:val="00886B76"/>
    <w:rsid w:val="00887242"/>
    <w:rsid w:val="00887423"/>
    <w:rsid w:val="00887DC4"/>
    <w:rsid w:val="00890058"/>
    <w:rsid w:val="00890928"/>
    <w:rsid w:val="00891186"/>
    <w:rsid w:val="00891AA0"/>
    <w:rsid w:val="0089200A"/>
    <w:rsid w:val="00892F75"/>
    <w:rsid w:val="0089339A"/>
    <w:rsid w:val="00893F46"/>
    <w:rsid w:val="00893FF2"/>
    <w:rsid w:val="008944D4"/>
    <w:rsid w:val="00895B4D"/>
    <w:rsid w:val="00896541"/>
    <w:rsid w:val="00896572"/>
    <w:rsid w:val="00896991"/>
    <w:rsid w:val="00896A05"/>
    <w:rsid w:val="008976E5"/>
    <w:rsid w:val="00897B86"/>
    <w:rsid w:val="00897F20"/>
    <w:rsid w:val="008A0138"/>
    <w:rsid w:val="008A1759"/>
    <w:rsid w:val="008A2185"/>
    <w:rsid w:val="008A2D13"/>
    <w:rsid w:val="008A33EC"/>
    <w:rsid w:val="008A4036"/>
    <w:rsid w:val="008A42A3"/>
    <w:rsid w:val="008A5B8B"/>
    <w:rsid w:val="008A5F85"/>
    <w:rsid w:val="008A6264"/>
    <w:rsid w:val="008A6940"/>
    <w:rsid w:val="008A6AD4"/>
    <w:rsid w:val="008A7930"/>
    <w:rsid w:val="008A79F4"/>
    <w:rsid w:val="008B006B"/>
    <w:rsid w:val="008B06E7"/>
    <w:rsid w:val="008B0F3F"/>
    <w:rsid w:val="008B16AB"/>
    <w:rsid w:val="008B191E"/>
    <w:rsid w:val="008B1D6F"/>
    <w:rsid w:val="008B1E18"/>
    <w:rsid w:val="008B216B"/>
    <w:rsid w:val="008B287E"/>
    <w:rsid w:val="008B2943"/>
    <w:rsid w:val="008B30DE"/>
    <w:rsid w:val="008B35DD"/>
    <w:rsid w:val="008B4286"/>
    <w:rsid w:val="008B460E"/>
    <w:rsid w:val="008B4C8F"/>
    <w:rsid w:val="008B4D63"/>
    <w:rsid w:val="008B4E0D"/>
    <w:rsid w:val="008B540D"/>
    <w:rsid w:val="008B5EEC"/>
    <w:rsid w:val="008B5FE5"/>
    <w:rsid w:val="008B62F3"/>
    <w:rsid w:val="008B68EE"/>
    <w:rsid w:val="008B71D0"/>
    <w:rsid w:val="008C01B0"/>
    <w:rsid w:val="008C021B"/>
    <w:rsid w:val="008C047F"/>
    <w:rsid w:val="008C05D1"/>
    <w:rsid w:val="008C0D36"/>
    <w:rsid w:val="008C0E70"/>
    <w:rsid w:val="008C1334"/>
    <w:rsid w:val="008C1AA4"/>
    <w:rsid w:val="008C22F3"/>
    <w:rsid w:val="008C2450"/>
    <w:rsid w:val="008C24D5"/>
    <w:rsid w:val="008C2C65"/>
    <w:rsid w:val="008C4499"/>
    <w:rsid w:val="008C4DB9"/>
    <w:rsid w:val="008C4EFD"/>
    <w:rsid w:val="008C599C"/>
    <w:rsid w:val="008C5DAD"/>
    <w:rsid w:val="008C6205"/>
    <w:rsid w:val="008C65A2"/>
    <w:rsid w:val="008C695A"/>
    <w:rsid w:val="008C6E22"/>
    <w:rsid w:val="008C6ED5"/>
    <w:rsid w:val="008C6EEF"/>
    <w:rsid w:val="008C776F"/>
    <w:rsid w:val="008C7B2B"/>
    <w:rsid w:val="008C7B53"/>
    <w:rsid w:val="008C7C66"/>
    <w:rsid w:val="008C7D3B"/>
    <w:rsid w:val="008C7FE9"/>
    <w:rsid w:val="008D0423"/>
    <w:rsid w:val="008D05BC"/>
    <w:rsid w:val="008D0968"/>
    <w:rsid w:val="008D0B87"/>
    <w:rsid w:val="008D1252"/>
    <w:rsid w:val="008D175E"/>
    <w:rsid w:val="008D1975"/>
    <w:rsid w:val="008D1E3D"/>
    <w:rsid w:val="008D226D"/>
    <w:rsid w:val="008D227B"/>
    <w:rsid w:val="008D2437"/>
    <w:rsid w:val="008D29FF"/>
    <w:rsid w:val="008D2EA8"/>
    <w:rsid w:val="008D41D9"/>
    <w:rsid w:val="008D4A20"/>
    <w:rsid w:val="008D60B6"/>
    <w:rsid w:val="008D61D9"/>
    <w:rsid w:val="008D6261"/>
    <w:rsid w:val="008D67C8"/>
    <w:rsid w:val="008D7477"/>
    <w:rsid w:val="008D77E4"/>
    <w:rsid w:val="008D79A1"/>
    <w:rsid w:val="008D7ED7"/>
    <w:rsid w:val="008E0F29"/>
    <w:rsid w:val="008E1449"/>
    <w:rsid w:val="008E1D2E"/>
    <w:rsid w:val="008E248A"/>
    <w:rsid w:val="008E286C"/>
    <w:rsid w:val="008E34E0"/>
    <w:rsid w:val="008E3EBD"/>
    <w:rsid w:val="008E40D7"/>
    <w:rsid w:val="008E4400"/>
    <w:rsid w:val="008E4A2B"/>
    <w:rsid w:val="008E4DA9"/>
    <w:rsid w:val="008E5150"/>
    <w:rsid w:val="008E5186"/>
    <w:rsid w:val="008E5403"/>
    <w:rsid w:val="008E5D55"/>
    <w:rsid w:val="008E5F20"/>
    <w:rsid w:val="008E6428"/>
    <w:rsid w:val="008E6899"/>
    <w:rsid w:val="008E68A8"/>
    <w:rsid w:val="008E69C0"/>
    <w:rsid w:val="008E6A5B"/>
    <w:rsid w:val="008E6ABF"/>
    <w:rsid w:val="008E7125"/>
    <w:rsid w:val="008E720D"/>
    <w:rsid w:val="008E75DC"/>
    <w:rsid w:val="008E7819"/>
    <w:rsid w:val="008F006B"/>
    <w:rsid w:val="008F04CF"/>
    <w:rsid w:val="008F04E2"/>
    <w:rsid w:val="008F0574"/>
    <w:rsid w:val="008F0AC5"/>
    <w:rsid w:val="008F0B78"/>
    <w:rsid w:val="008F0BE4"/>
    <w:rsid w:val="008F0E6E"/>
    <w:rsid w:val="008F1C60"/>
    <w:rsid w:val="008F1DE0"/>
    <w:rsid w:val="008F1F1B"/>
    <w:rsid w:val="008F262A"/>
    <w:rsid w:val="008F26F3"/>
    <w:rsid w:val="008F2CE6"/>
    <w:rsid w:val="008F2D98"/>
    <w:rsid w:val="008F2EFE"/>
    <w:rsid w:val="008F3022"/>
    <w:rsid w:val="008F31D4"/>
    <w:rsid w:val="008F3B27"/>
    <w:rsid w:val="008F4988"/>
    <w:rsid w:val="008F5834"/>
    <w:rsid w:val="008F5AA5"/>
    <w:rsid w:val="008F5E31"/>
    <w:rsid w:val="008F5F96"/>
    <w:rsid w:val="008F7848"/>
    <w:rsid w:val="008F7FD2"/>
    <w:rsid w:val="009006C8"/>
    <w:rsid w:val="00900FD5"/>
    <w:rsid w:val="009012E8"/>
    <w:rsid w:val="009013D7"/>
    <w:rsid w:val="00902EF4"/>
    <w:rsid w:val="00903507"/>
    <w:rsid w:val="00903765"/>
    <w:rsid w:val="009043CC"/>
    <w:rsid w:val="00904A75"/>
    <w:rsid w:val="00905093"/>
    <w:rsid w:val="009054A1"/>
    <w:rsid w:val="00906345"/>
    <w:rsid w:val="00906780"/>
    <w:rsid w:val="00906AC6"/>
    <w:rsid w:val="00906D11"/>
    <w:rsid w:val="009070A0"/>
    <w:rsid w:val="009077FC"/>
    <w:rsid w:val="009102FA"/>
    <w:rsid w:val="00910C76"/>
    <w:rsid w:val="00910FCA"/>
    <w:rsid w:val="0091123F"/>
    <w:rsid w:val="00912B52"/>
    <w:rsid w:val="00913908"/>
    <w:rsid w:val="009144AC"/>
    <w:rsid w:val="00915959"/>
    <w:rsid w:val="00916937"/>
    <w:rsid w:val="00916B8E"/>
    <w:rsid w:val="00916CD3"/>
    <w:rsid w:val="00920642"/>
    <w:rsid w:val="00920662"/>
    <w:rsid w:val="0092122D"/>
    <w:rsid w:val="009216AB"/>
    <w:rsid w:val="00921CDC"/>
    <w:rsid w:val="00922151"/>
    <w:rsid w:val="009227BE"/>
    <w:rsid w:val="00922926"/>
    <w:rsid w:val="0092378F"/>
    <w:rsid w:val="009251A5"/>
    <w:rsid w:val="0092520F"/>
    <w:rsid w:val="009252A6"/>
    <w:rsid w:val="0092574F"/>
    <w:rsid w:val="00925780"/>
    <w:rsid w:val="009264DB"/>
    <w:rsid w:val="009267CA"/>
    <w:rsid w:val="00926D2F"/>
    <w:rsid w:val="00926ECA"/>
    <w:rsid w:val="009275FD"/>
    <w:rsid w:val="0093037D"/>
    <w:rsid w:val="00930F69"/>
    <w:rsid w:val="00931470"/>
    <w:rsid w:val="00931954"/>
    <w:rsid w:val="00931BDC"/>
    <w:rsid w:val="00932554"/>
    <w:rsid w:val="00932726"/>
    <w:rsid w:val="00932756"/>
    <w:rsid w:val="0093330D"/>
    <w:rsid w:val="0093340B"/>
    <w:rsid w:val="009338DF"/>
    <w:rsid w:val="009342DE"/>
    <w:rsid w:val="00934900"/>
    <w:rsid w:val="00935990"/>
    <w:rsid w:val="00935BCB"/>
    <w:rsid w:val="00936105"/>
    <w:rsid w:val="009367E7"/>
    <w:rsid w:val="00937078"/>
    <w:rsid w:val="00937569"/>
    <w:rsid w:val="00937C3B"/>
    <w:rsid w:val="00937FA8"/>
    <w:rsid w:val="009400D4"/>
    <w:rsid w:val="00940B73"/>
    <w:rsid w:val="00940FCD"/>
    <w:rsid w:val="00941578"/>
    <w:rsid w:val="009415E3"/>
    <w:rsid w:val="0094170B"/>
    <w:rsid w:val="009417AB"/>
    <w:rsid w:val="00941D21"/>
    <w:rsid w:val="00942048"/>
    <w:rsid w:val="009425F5"/>
    <w:rsid w:val="00942792"/>
    <w:rsid w:val="00942BE2"/>
    <w:rsid w:val="00943ADA"/>
    <w:rsid w:val="009445E7"/>
    <w:rsid w:val="0094475A"/>
    <w:rsid w:val="00944865"/>
    <w:rsid w:val="00944CB7"/>
    <w:rsid w:val="009454C3"/>
    <w:rsid w:val="00946AB1"/>
    <w:rsid w:val="00946D26"/>
    <w:rsid w:val="00947435"/>
    <w:rsid w:val="00947538"/>
    <w:rsid w:val="00947BA2"/>
    <w:rsid w:val="009513A9"/>
    <w:rsid w:val="0095234B"/>
    <w:rsid w:val="00952EA7"/>
    <w:rsid w:val="00952F62"/>
    <w:rsid w:val="009536D3"/>
    <w:rsid w:val="00954820"/>
    <w:rsid w:val="009553A4"/>
    <w:rsid w:val="00955877"/>
    <w:rsid w:val="00956011"/>
    <w:rsid w:val="00956568"/>
    <w:rsid w:val="009568A1"/>
    <w:rsid w:val="00957E1C"/>
    <w:rsid w:val="00957F15"/>
    <w:rsid w:val="00957FF4"/>
    <w:rsid w:val="009603BE"/>
    <w:rsid w:val="00960D0A"/>
    <w:rsid w:val="00960D66"/>
    <w:rsid w:val="00960EAA"/>
    <w:rsid w:val="00962327"/>
    <w:rsid w:val="0096283C"/>
    <w:rsid w:val="009632D8"/>
    <w:rsid w:val="00963908"/>
    <w:rsid w:val="00963EA2"/>
    <w:rsid w:val="00963F2B"/>
    <w:rsid w:val="00964637"/>
    <w:rsid w:val="009647C0"/>
    <w:rsid w:val="00964C1A"/>
    <w:rsid w:val="00964F1F"/>
    <w:rsid w:val="0096630D"/>
    <w:rsid w:val="009667B8"/>
    <w:rsid w:val="009675A6"/>
    <w:rsid w:val="009701D3"/>
    <w:rsid w:val="009705B5"/>
    <w:rsid w:val="0097098D"/>
    <w:rsid w:val="00971764"/>
    <w:rsid w:val="00971CDE"/>
    <w:rsid w:val="009733EE"/>
    <w:rsid w:val="009734B9"/>
    <w:rsid w:val="0097378E"/>
    <w:rsid w:val="009737E5"/>
    <w:rsid w:val="009738D0"/>
    <w:rsid w:val="00974AED"/>
    <w:rsid w:val="00974E4C"/>
    <w:rsid w:val="00974FCC"/>
    <w:rsid w:val="009752D2"/>
    <w:rsid w:val="0097542C"/>
    <w:rsid w:val="00975E22"/>
    <w:rsid w:val="00976A48"/>
    <w:rsid w:val="00977835"/>
    <w:rsid w:val="00977AE1"/>
    <w:rsid w:val="009802AC"/>
    <w:rsid w:val="0098063B"/>
    <w:rsid w:val="009809A9"/>
    <w:rsid w:val="009813FA"/>
    <w:rsid w:val="00981AE8"/>
    <w:rsid w:val="00981CAA"/>
    <w:rsid w:val="009823E0"/>
    <w:rsid w:val="009823EA"/>
    <w:rsid w:val="00983532"/>
    <w:rsid w:val="00983F66"/>
    <w:rsid w:val="009841CC"/>
    <w:rsid w:val="009844C4"/>
    <w:rsid w:val="009846FE"/>
    <w:rsid w:val="00985A3D"/>
    <w:rsid w:val="00986BDB"/>
    <w:rsid w:val="00990621"/>
    <w:rsid w:val="009911C1"/>
    <w:rsid w:val="00992107"/>
    <w:rsid w:val="00992683"/>
    <w:rsid w:val="00992A2C"/>
    <w:rsid w:val="00992E3D"/>
    <w:rsid w:val="009930EA"/>
    <w:rsid w:val="0099339C"/>
    <w:rsid w:val="00993E94"/>
    <w:rsid w:val="00994AAD"/>
    <w:rsid w:val="00994C3C"/>
    <w:rsid w:val="00994E8C"/>
    <w:rsid w:val="0099656F"/>
    <w:rsid w:val="009966F8"/>
    <w:rsid w:val="00996D27"/>
    <w:rsid w:val="00996EB0"/>
    <w:rsid w:val="009976E9"/>
    <w:rsid w:val="009A01EB"/>
    <w:rsid w:val="009A04A1"/>
    <w:rsid w:val="009A1FCA"/>
    <w:rsid w:val="009A20E1"/>
    <w:rsid w:val="009A2846"/>
    <w:rsid w:val="009A2A32"/>
    <w:rsid w:val="009A3421"/>
    <w:rsid w:val="009A3608"/>
    <w:rsid w:val="009A38D7"/>
    <w:rsid w:val="009A3DED"/>
    <w:rsid w:val="009A45E7"/>
    <w:rsid w:val="009A4E5F"/>
    <w:rsid w:val="009A4F32"/>
    <w:rsid w:val="009A61BF"/>
    <w:rsid w:val="009A6FBC"/>
    <w:rsid w:val="009A712A"/>
    <w:rsid w:val="009A7A09"/>
    <w:rsid w:val="009B064F"/>
    <w:rsid w:val="009B0EBF"/>
    <w:rsid w:val="009B0EF7"/>
    <w:rsid w:val="009B2263"/>
    <w:rsid w:val="009B2495"/>
    <w:rsid w:val="009B300E"/>
    <w:rsid w:val="009B36CA"/>
    <w:rsid w:val="009B43B6"/>
    <w:rsid w:val="009B5270"/>
    <w:rsid w:val="009B5947"/>
    <w:rsid w:val="009B6075"/>
    <w:rsid w:val="009B659B"/>
    <w:rsid w:val="009B65BC"/>
    <w:rsid w:val="009B6ABF"/>
    <w:rsid w:val="009B7B64"/>
    <w:rsid w:val="009C0685"/>
    <w:rsid w:val="009C0DCC"/>
    <w:rsid w:val="009C0FE9"/>
    <w:rsid w:val="009C1173"/>
    <w:rsid w:val="009C16E8"/>
    <w:rsid w:val="009C200A"/>
    <w:rsid w:val="009C2C46"/>
    <w:rsid w:val="009C37E8"/>
    <w:rsid w:val="009C43E1"/>
    <w:rsid w:val="009C47B4"/>
    <w:rsid w:val="009C4F9F"/>
    <w:rsid w:val="009C5CD6"/>
    <w:rsid w:val="009C5EB7"/>
    <w:rsid w:val="009C6507"/>
    <w:rsid w:val="009C7821"/>
    <w:rsid w:val="009C79C5"/>
    <w:rsid w:val="009D0ABF"/>
    <w:rsid w:val="009D1C0E"/>
    <w:rsid w:val="009D231A"/>
    <w:rsid w:val="009D26C0"/>
    <w:rsid w:val="009D3DF4"/>
    <w:rsid w:val="009D409A"/>
    <w:rsid w:val="009D49C0"/>
    <w:rsid w:val="009D4A3F"/>
    <w:rsid w:val="009D4A61"/>
    <w:rsid w:val="009D511C"/>
    <w:rsid w:val="009D5256"/>
    <w:rsid w:val="009D5641"/>
    <w:rsid w:val="009D5EDF"/>
    <w:rsid w:val="009D6395"/>
    <w:rsid w:val="009D6889"/>
    <w:rsid w:val="009D68A1"/>
    <w:rsid w:val="009D6918"/>
    <w:rsid w:val="009D7094"/>
    <w:rsid w:val="009D76F0"/>
    <w:rsid w:val="009D782E"/>
    <w:rsid w:val="009D784F"/>
    <w:rsid w:val="009D7AAD"/>
    <w:rsid w:val="009E0036"/>
    <w:rsid w:val="009E0096"/>
    <w:rsid w:val="009E0ACA"/>
    <w:rsid w:val="009E0D42"/>
    <w:rsid w:val="009E4722"/>
    <w:rsid w:val="009E49D8"/>
    <w:rsid w:val="009E5569"/>
    <w:rsid w:val="009E5646"/>
    <w:rsid w:val="009E5680"/>
    <w:rsid w:val="009E611D"/>
    <w:rsid w:val="009E7CB2"/>
    <w:rsid w:val="009E7E06"/>
    <w:rsid w:val="009E7E91"/>
    <w:rsid w:val="009E7F6F"/>
    <w:rsid w:val="009F067C"/>
    <w:rsid w:val="009F1379"/>
    <w:rsid w:val="009F1834"/>
    <w:rsid w:val="009F1AE1"/>
    <w:rsid w:val="009F1E8A"/>
    <w:rsid w:val="009F2473"/>
    <w:rsid w:val="009F2AE8"/>
    <w:rsid w:val="009F2F44"/>
    <w:rsid w:val="009F3209"/>
    <w:rsid w:val="009F365A"/>
    <w:rsid w:val="009F36F1"/>
    <w:rsid w:val="009F3D1E"/>
    <w:rsid w:val="009F4133"/>
    <w:rsid w:val="009F4BDA"/>
    <w:rsid w:val="009F4EAC"/>
    <w:rsid w:val="009F5527"/>
    <w:rsid w:val="009F5626"/>
    <w:rsid w:val="009F5A30"/>
    <w:rsid w:val="009F6715"/>
    <w:rsid w:val="009F6E4A"/>
    <w:rsid w:val="009F7348"/>
    <w:rsid w:val="009F7903"/>
    <w:rsid w:val="009F797D"/>
    <w:rsid w:val="00A00382"/>
    <w:rsid w:val="00A01094"/>
    <w:rsid w:val="00A022BB"/>
    <w:rsid w:val="00A02469"/>
    <w:rsid w:val="00A02621"/>
    <w:rsid w:val="00A02B8D"/>
    <w:rsid w:val="00A0313E"/>
    <w:rsid w:val="00A033FF"/>
    <w:rsid w:val="00A0349F"/>
    <w:rsid w:val="00A043EF"/>
    <w:rsid w:val="00A04794"/>
    <w:rsid w:val="00A04A38"/>
    <w:rsid w:val="00A04CA6"/>
    <w:rsid w:val="00A05168"/>
    <w:rsid w:val="00A056FD"/>
    <w:rsid w:val="00A06AD4"/>
    <w:rsid w:val="00A06AF3"/>
    <w:rsid w:val="00A074B6"/>
    <w:rsid w:val="00A0778D"/>
    <w:rsid w:val="00A07CE9"/>
    <w:rsid w:val="00A10DC6"/>
    <w:rsid w:val="00A1226D"/>
    <w:rsid w:val="00A12C1E"/>
    <w:rsid w:val="00A12EA4"/>
    <w:rsid w:val="00A137A5"/>
    <w:rsid w:val="00A13BCD"/>
    <w:rsid w:val="00A14DD1"/>
    <w:rsid w:val="00A15001"/>
    <w:rsid w:val="00A16E9B"/>
    <w:rsid w:val="00A170C5"/>
    <w:rsid w:val="00A17EA0"/>
    <w:rsid w:val="00A207BE"/>
    <w:rsid w:val="00A20808"/>
    <w:rsid w:val="00A209E5"/>
    <w:rsid w:val="00A211B5"/>
    <w:rsid w:val="00A217F4"/>
    <w:rsid w:val="00A223C6"/>
    <w:rsid w:val="00A239A5"/>
    <w:rsid w:val="00A23BBC"/>
    <w:rsid w:val="00A23D6E"/>
    <w:rsid w:val="00A24086"/>
    <w:rsid w:val="00A2429C"/>
    <w:rsid w:val="00A2525D"/>
    <w:rsid w:val="00A259B2"/>
    <w:rsid w:val="00A25B1D"/>
    <w:rsid w:val="00A25BE8"/>
    <w:rsid w:val="00A25EEF"/>
    <w:rsid w:val="00A2678F"/>
    <w:rsid w:val="00A267EF"/>
    <w:rsid w:val="00A26EA0"/>
    <w:rsid w:val="00A271C7"/>
    <w:rsid w:val="00A273A9"/>
    <w:rsid w:val="00A277F6"/>
    <w:rsid w:val="00A27A38"/>
    <w:rsid w:val="00A27B7D"/>
    <w:rsid w:val="00A30059"/>
    <w:rsid w:val="00A30471"/>
    <w:rsid w:val="00A30E22"/>
    <w:rsid w:val="00A31168"/>
    <w:rsid w:val="00A3159E"/>
    <w:rsid w:val="00A31945"/>
    <w:rsid w:val="00A3255D"/>
    <w:rsid w:val="00A33032"/>
    <w:rsid w:val="00A332EC"/>
    <w:rsid w:val="00A337B1"/>
    <w:rsid w:val="00A341A7"/>
    <w:rsid w:val="00A34412"/>
    <w:rsid w:val="00A34922"/>
    <w:rsid w:val="00A34D35"/>
    <w:rsid w:val="00A34E3D"/>
    <w:rsid w:val="00A34F63"/>
    <w:rsid w:val="00A35252"/>
    <w:rsid w:val="00A35393"/>
    <w:rsid w:val="00A35585"/>
    <w:rsid w:val="00A3565C"/>
    <w:rsid w:val="00A35FFB"/>
    <w:rsid w:val="00A3619A"/>
    <w:rsid w:val="00A3685C"/>
    <w:rsid w:val="00A373D9"/>
    <w:rsid w:val="00A40828"/>
    <w:rsid w:val="00A41743"/>
    <w:rsid w:val="00A41AD1"/>
    <w:rsid w:val="00A41B50"/>
    <w:rsid w:val="00A41F8A"/>
    <w:rsid w:val="00A42AE1"/>
    <w:rsid w:val="00A43414"/>
    <w:rsid w:val="00A43936"/>
    <w:rsid w:val="00A4434C"/>
    <w:rsid w:val="00A44594"/>
    <w:rsid w:val="00A44934"/>
    <w:rsid w:val="00A45676"/>
    <w:rsid w:val="00A45D3B"/>
    <w:rsid w:val="00A461D3"/>
    <w:rsid w:val="00A4696F"/>
    <w:rsid w:val="00A46D43"/>
    <w:rsid w:val="00A47283"/>
    <w:rsid w:val="00A4752D"/>
    <w:rsid w:val="00A4766F"/>
    <w:rsid w:val="00A47991"/>
    <w:rsid w:val="00A47A5D"/>
    <w:rsid w:val="00A47B23"/>
    <w:rsid w:val="00A50EB4"/>
    <w:rsid w:val="00A514EF"/>
    <w:rsid w:val="00A51F63"/>
    <w:rsid w:val="00A52051"/>
    <w:rsid w:val="00A52314"/>
    <w:rsid w:val="00A52373"/>
    <w:rsid w:val="00A524E1"/>
    <w:rsid w:val="00A5268F"/>
    <w:rsid w:val="00A52E31"/>
    <w:rsid w:val="00A5329C"/>
    <w:rsid w:val="00A53C2A"/>
    <w:rsid w:val="00A53E3A"/>
    <w:rsid w:val="00A54647"/>
    <w:rsid w:val="00A54A6C"/>
    <w:rsid w:val="00A54ECC"/>
    <w:rsid w:val="00A5572C"/>
    <w:rsid w:val="00A55C5C"/>
    <w:rsid w:val="00A56030"/>
    <w:rsid w:val="00A56333"/>
    <w:rsid w:val="00A566AE"/>
    <w:rsid w:val="00A570FD"/>
    <w:rsid w:val="00A571D4"/>
    <w:rsid w:val="00A573FB"/>
    <w:rsid w:val="00A60298"/>
    <w:rsid w:val="00A61558"/>
    <w:rsid w:val="00A6191B"/>
    <w:rsid w:val="00A61E4B"/>
    <w:rsid w:val="00A62528"/>
    <w:rsid w:val="00A62C34"/>
    <w:rsid w:val="00A62C68"/>
    <w:rsid w:val="00A6316C"/>
    <w:rsid w:val="00A63309"/>
    <w:rsid w:val="00A637A8"/>
    <w:rsid w:val="00A6399E"/>
    <w:rsid w:val="00A644AD"/>
    <w:rsid w:val="00A658EF"/>
    <w:rsid w:val="00A65CDB"/>
    <w:rsid w:val="00A65D90"/>
    <w:rsid w:val="00A66467"/>
    <w:rsid w:val="00A67431"/>
    <w:rsid w:val="00A7091B"/>
    <w:rsid w:val="00A7106E"/>
    <w:rsid w:val="00A720D6"/>
    <w:rsid w:val="00A7244D"/>
    <w:rsid w:val="00A733B0"/>
    <w:rsid w:val="00A7371A"/>
    <w:rsid w:val="00A73B49"/>
    <w:rsid w:val="00A7497A"/>
    <w:rsid w:val="00A760A1"/>
    <w:rsid w:val="00A76CD1"/>
    <w:rsid w:val="00A777C2"/>
    <w:rsid w:val="00A77ECA"/>
    <w:rsid w:val="00A8025D"/>
    <w:rsid w:val="00A80382"/>
    <w:rsid w:val="00A806FE"/>
    <w:rsid w:val="00A81076"/>
    <w:rsid w:val="00A81171"/>
    <w:rsid w:val="00A8128B"/>
    <w:rsid w:val="00A8222F"/>
    <w:rsid w:val="00A82247"/>
    <w:rsid w:val="00A826D3"/>
    <w:rsid w:val="00A82979"/>
    <w:rsid w:val="00A82AC3"/>
    <w:rsid w:val="00A82C07"/>
    <w:rsid w:val="00A82F4D"/>
    <w:rsid w:val="00A835AD"/>
    <w:rsid w:val="00A835D6"/>
    <w:rsid w:val="00A847AB"/>
    <w:rsid w:val="00A85A9D"/>
    <w:rsid w:val="00A85E0E"/>
    <w:rsid w:val="00A85F3B"/>
    <w:rsid w:val="00A86597"/>
    <w:rsid w:val="00A86599"/>
    <w:rsid w:val="00A86D60"/>
    <w:rsid w:val="00A8733B"/>
    <w:rsid w:val="00A87C39"/>
    <w:rsid w:val="00A87E82"/>
    <w:rsid w:val="00A905D7"/>
    <w:rsid w:val="00A907EF"/>
    <w:rsid w:val="00A9089B"/>
    <w:rsid w:val="00A90BA1"/>
    <w:rsid w:val="00A90DE7"/>
    <w:rsid w:val="00A90F03"/>
    <w:rsid w:val="00A91091"/>
    <w:rsid w:val="00A916A2"/>
    <w:rsid w:val="00A922A4"/>
    <w:rsid w:val="00A92387"/>
    <w:rsid w:val="00A9269C"/>
    <w:rsid w:val="00A92945"/>
    <w:rsid w:val="00A92AC1"/>
    <w:rsid w:val="00A93177"/>
    <w:rsid w:val="00A932E9"/>
    <w:rsid w:val="00A940EE"/>
    <w:rsid w:val="00A953AC"/>
    <w:rsid w:val="00A962D5"/>
    <w:rsid w:val="00A96655"/>
    <w:rsid w:val="00A96A0A"/>
    <w:rsid w:val="00A97898"/>
    <w:rsid w:val="00AA047F"/>
    <w:rsid w:val="00AA0CF7"/>
    <w:rsid w:val="00AA0DD2"/>
    <w:rsid w:val="00AA2424"/>
    <w:rsid w:val="00AA2F33"/>
    <w:rsid w:val="00AA2FC6"/>
    <w:rsid w:val="00AA30DC"/>
    <w:rsid w:val="00AA3237"/>
    <w:rsid w:val="00AA45AC"/>
    <w:rsid w:val="00AA4692"/>
    <w:rsid w:val="00AA4E8B"/>
    <w:rsid w:val="00AA5399"/>
    <w:rsid w:val="00AA5516"/>
    <w:rsid w:val="00AA5775"/>
    <w:rsid w:val="00AA58B9"/>
    <w:rsid w:val="00AA655A"/>
    <w:rsid w:val="00AA6578"/>
    <w:rsid w:val="00AA6746"/>
    <w:rsid w:val="00AA6A7E"/>
    <w:rsid w:val="00AA6B74"/>
    <w:rsid w:val="00AA6E3D"/>
    <w:rsid w:val="00AA7D07"/>
    <w:rsid w:val="00AA7D8E"/>
    <w:rsid w:val="00AA7DF3"/>
    <w:rsid w:val="00AB015C"/>
    <w:rsid w:val="00AB0394"/>
    <w:rsid w:val="00AB0AE0"/>
    <w:rsid w:val="00AB0C22"/>
    <w:rsid w:val="00AB0DFF"/>
    <w:rsid w:val="00AB15ED"/>
    <w:rsid w:val="00AB1725"/>
    <w:rsid w:val="00AB1907"/>
    <w:rsid w:val="00AB1ED3"/>
    <w:rsid w:val="00AB2023"/>
    <w:rsid w:val="00AB342E"/>
    <w:rsid w:val="00AB37DC"/>
    <w:rsid w:val="00AB43DA"/>
    <w:rsid w:val="00AB5A4A"/>
    <w:rsid w:val="00AB5BB6"/>
    <w:rsid w:val="00AB6B29"/>
    <w:rsid w:val="00AB6D4C"/>
    <w:rsid w:val="00AB702D"/>
    <w:rsid w:val="00AB7381"/>
    <w:rsid w:val="00AB7A98"/>
    <w:rsid w:val="00AC01C4"/>
    <w:rsid w:val="00AC1286"/>
    <w:rsid w:val="00AC1AAA"/>
    <w:rsid w:val="00AC241F"/>
    <w:rsid w:val="00AC26B9"/>
    <w:rsid w:val="00AC34A0"/>
    <w:rsid w:val="00AC38B8"/>
    <w:rsid w:val="00AC4185"/>
    <w:rsid w:val="00AC42AA"/>
    <w:rsid w:val="00AC4976"/>
    <w:rsid w:val="00AC5289"/>
    <w:rsid w:val="00AC546C"/>
    <w:rsid w:val="00AC54EA"/>
    <w:rsid w:val="00AC6FB7"/>
    <w:rsid w:val="00AC744C"/>
    <w:rsid w:val="00AC746E"/>
    <w:rsid w:val="00AD04C6"/>
    <w:rsid w:val="00AD06D9"/>
    <w:rsid w:val="00AD07E1"/>
    <w:rsid w:val="00AD0B4C"/>
    <w:rsid w:val="00AD133D"/>
    <w:rsid w:val="00AD1B14"/>
    <w:rsid w:val="00AD1BCE"/>
    <w:rsid w:val="00AD2293"/>
    <w:rsid w:val="00AD2713"/>
    <w:rsid w:val="00AD287B"/>
    <w:rsid w:val="00AD3EBF"/>
    <w:rsid w:val="00AD4372"/>
    <w:rsid w:val="00AD4C5C"/>
    <w:rsid w:val="00AD4D12"/>
    <w:rsid w:val="00AD4F2B"/>
    <w:rsid w:val="00AD5065"/>
    <w:rsid w:val="00AD590E"/>
    <w:rsid w:val="00AD593A"/>
    <w:rsid w:val="00AD5B57"/>
    <w:rsid w:val="00AD5C54"/>
    <w:rsid w:val="00AD5ED5"/>
    <w:rsid w:val="00AD6446"/>
    <w:rsid w:val="00AD6718"/>
    <w:rsid w:val="00AD71A1"/>
    <w:rsid w:val="00AD71C3"/>
    <w:rsid w:val="00AE0AF8"/>
    <w:rsid w:val="00AE1E5B"/>
    <w:rsid w:val="00AE2203"/>
    <w:rsid w:val="00AE2D9F"/>
    <w:rsid w:val="00AE31FE"/>
    <w:rsid w:val="00AE3D9B"/>
    <w:rsid w:val="00AE41A5"/>
    <w:rsid w:val="00AE4715"/>
    <w:rsid w:val="00AE4F6B"/>
    <w:rsid w:val="00AE5D5E"/>
    <w:rsid w:val="00AE6062"/>
    <w:rsid w:val="00AE6375"/>
    <w:rsid w:val="00AE68A1"/>
    <w:rsid w:val="00AE6A26"/>
    <w:rsid w:val="00AE6F7E"/>
    <w:rsid w:val="00AE73F1"/>
    <w:rsid w:val="00AF0157"/>
    <w:rsid w:val="00AF0487"/>
    <w:rsid w:val="00AF09B3"/>
    <w:rsid w:val="00AF0BC4"/>
    <w:rsid w:val="00AF0C74"/>
    <w:rsid w:val="00AF0CE5"/>
    <w:rsid w:val="00AF0D64"/>
    <w:rsid w:val="00AF121F"/>
    <w:rsid w:val="00AF16C6"/>
    <w:rsid w:val="00AF1D86"/>
    <w:rsid w:val="00AF1FFC"/>
    <w:rsid w:val="00AF2255"/>
    <w:rsid w:val="00AF25C2"/>
    <w:rsid w:val="00AF2766"/>
    <w:rsid w:val="00AF483C"/>
    <w:rsid w:val="00AF4CC2"/>
    <w:rsid w:val="00AF4F25"/>
    <w:rsid w:val="00AF5441"/>
    <w:rsid w:val="00AF5C85"/>
    <w:rsid w:val="00AF62E7"/>
    <w:rsid w:val="00AF6408"/>
    <w:rsid w:val="00AF6D59"/>
    <w:rsid w:val="00AF6F2B"/>
    <w:rsid w:val="00AF7D40"/>
    <w:rsid w:val="00AF7F51"/>
    <w:rsid w:val="00B003EE"/>
    <w:rsid w:val="00B01885"/>
    <w:rsid w:val="00B01A7D"/>
    <w:rsid w:val="00B01EA2"/>
    <w:rsid w:val="00B02383"/>
    <w:rsid w:val="00B025E2"/>
    <w:rsid w:val="00B02603"/>
    <w:rsid w:val="00B026F2"/>
    <w:rsid w:val="00B02A06"/>
    <w:rsid w:val="00B0327C"/>
    <w:rsid w:val="00B04192"/>
    <w:rsid w:val="00B044A8"/>
    <w:rsid w:val="00B04918"/>
    <w:rsid w:val="00B0547C"/>
    <w:rsid w:val="00B05B0C"/>
    <w:rsid w:val="00B062F0"/>
    <w:rsid w:val="00B06626"/>
    <w:rsid w:val="00B06681"/>
    <w:rsid w:val="00B06849"/>
    <w:rsid w:val="00B06D3D"/>
    <w:rsid w:val="00B06EE2"/>
    <w:rsid w:val="00B079F3"/>
    <w:rsid w:val="00B10512"/>
    <w:rsid w:val="00B105CC"/>
    <w:rsid w:val="00B106DE"/>
    <w:rsid w:val="00B10C63"/>
    <w:rsid w:val="00B11214"/>
    <w:rsid w:val="00B11E28"/>
    <w:rsid w:val="00B11F33"/>
    <w:rsid w:val="00B11F74"/>
    <w:rsid w:val="00B127C3"/>
    <w:rsid w:val="00B132C7"/>
    <w:rsid w:val="00B138E6"/>
    <w:rsid w:val="00B1448E"/>
    <w:rsid w:val="00B144AC"/>
    <w:rsid w:val="00B148CC"/>
    <w:rsid w:val="00B148DB"/>
    <w:rsid w:val="00B14A75"/>
    <w:rsid w:val="00B16238"/>
    <w:rsid w:val="00B167A3"/>
    <w:rsid w:val="00B16C54"/>
    <w:rsid w:val="00B16CA4"/>
    <w:rsid w:val="00B1777D"/>
    <w:rsid w:val="00B200FF"/>
    <w:rsid w:val="00B2036F"/>
    <w:rsid w:val="00B20B8F"/>
    <w:rsid w:val="00B20C89"/>
    <w:rsid w:val="00B21160"/>
    <w:rsid w:val="00B214FF"/>
    <w:rsid w:val="00B21C89"/>
    <w:rsid w:val="00B2278E"/>
    <w:rsid w:val="00B22DA1"/>
    <w:rsid w:val="00B22E58"/>
    <w:rsid w:val="00B2328A"/>
    <w:rsid w:val="00B2457D"/>
    <w:rsid w:val="00B246F2"/>
    <w:rsid w:val="00B24D20"/>
    <w:rsid w:val="00B25080"/>
    <w:rsid w:val="00B255E4"/>
    <w:rsid w:val="00B255F0"/>
    <w:rsid w:val="00B26718"/>
    <w:rsid w:val="00B26D21"/>
    <w:rsid w:val="00B27342"/>
    <w:rsid w:val="00B2748B"/>
    <w:rsid w:val="00B27563"/>
    <w:rsid w:val="00B276F1"/>
    <w:rsid w:val="00B27862"/>
    <w:rsid w:val="00B27F33"/>
    <w:rsid w:val="00B27FB3"/>
    <w:rsid w:val="00B27FEA"/>
    <w:rsid w:val="00B30152"/>
    <w:rsid w:val="00B30374"/>
    <w:rsid w:val="00B30C72"/>
    <w:rsid w:val="00B31177"/>
    <w:rsid w:val="00B31469"/>
    <w:rsid w:val="00B31DBE"/>
    <w:rsid w:val="00B342B9"/>
    <w:rsid w:val="00B348CC"/>
    <w:rsid w:val="00B34922"/>
    <w:rsid w:val="00B34F95"/>
    <w:rsid w:val="00B355AC"/>
    <w:rsid w:val="00B36187"/>
    <w:rsid w:val="00B371F8"/>
    <w:rsid w:val="00B37976"/>
    <w:rsid w:val="00B37EE2"/>
    <w:rsid w:val="00B402A1"/>
    <w:rsid w:val="00B402AB"/>
    <w:rsid w:val="00B40640"/>
    <w:rsid w:val="00B40992"/>
    <w:rsid w:val="00B40AEC"/>
    <w:rsid w:val="00B40B5E"/>
    <w:rsid w:val="00B414E5"/>
    <w:rsid w:val="00B41623"/>
    <w:rsid w:val="00B419BF"/>
    <w:rsid w:val="00B41C2D"/>
    <w:rsid w:val="00B42797"/>
    <w:rsid w:val="00B428E7"/>
    <w:rsid w:val="00B42F2F"/>
    <w:rsid w:val="00B435AA"/>
    <w:rsid w:val="00B44607"/>
    <w:rsid w:val="00B44E4E"/>
    <w:rsid w:val="00B45196"/>
    <w:rsid w:val="00B458BB"/>
    <w:rsid w:val="00B45B2A"/>
    <w:rsid w:val="00B4646E"/>
    <w:rsid w:val="00B466E3"/>
    <w:rsid w:val="00B47409"/>
    <w:rsid w:val="00B4785A"/>
    <w:rsid w:val="00B47896"/>
    <w:rsid w:val="00B47A57"/>
    <w:rsid w:val="00B47AB1"/>
    <w:rsid w:val="00B50510"/>
    <w:rsid w:val="00B5081A"/>
    <w:rsid w:val="00B50A7F"/>
    <w:rsid w:val="00B50B0B"/>
    <w:rsid w:val="00B50E2F"/>
    <w:rsid w:val="00B50E69"/>
    <w:rsid w:val="00B51125"/>
    <w:rsid w:val="00B51DCD"/>
    <w:rsid w:val="00B52386"/>
    <w:rsid w:val="00B52B2D"/>
    <w:rsid w:val="00B52C57"/>
    <w:rsid w:val="00B535E1"/>
    <w:rsid w:val="00B538AC"/>
    <w:rsid w:val="00B545A7"/>
    <w:rsid w:val="00B5498B"/>
    <w:rsid w:val="00B54B73"/>
    <w:rsid w:val="00B55169"/>
    <w:rsid w:val="00B55783"/>
    <w:rsid w:val="00B5582C"/>
    <w:rsid w:val="00B565D7"/>
    <w:rsid w:val="00B56723"/>
    <w:rsid w:val="00B5681B"/>
    <w:rsid w:val="00B569B7"/>
    <w:rsid w:val="00B569CF"/>
    <w:rsid w:val="00B56DDB"/>
    <w:rsid w:val="00B56FBB"/>
    <w:rsid w:val="00B60A09"/>
    <w:rsid w:val="00B62864"/>
    <w:rsid w:val="00B62E52"/>
    <w:rsid w:val="00B632F4"/>
    <w:rsid w:val="00B63BD3"/>
    <w:rsid w:val="00B64373"/>
    <w:rsid w:val="00B64A70"/>
    <w:rsid w:val="00B64B77"/>
    <w:rsid w:val="00B64D14"/>
    <w:rsid w:val="00B65476"/>
    <w:rsid w:val="00B6575C"/>
    <w:rsid w:val="00B660BC"/>
    <w:rsid w:val="00B6653A"/>
    <w:rsid w:val="00B6754E"/>
    <w:rsid w:val="00B6784E"/>
    <w:rsid w:val="00B7091E"/>
    <w:rsid w:val="00B71036"/>
    <w:rsid w:val="00B7104E"/>
    <w:rsid w:val="00B71F2F"/>
    <w:rsid w:val="00B7201B"/>
    <w:rsid w:val="00B72600"/>
    <w:rsid w:val="00B72D32"/>
    <w:rsid w:val="00B73AEE"/>
    <w:rsid w:val="00B73ED1"/>
    <w:rsid w:val="00B740E2"/>
    <w:rsid w:val="00B742EE"/>
    <w:rsid w:val="00B74DFC"/>
    <w:rsid w:val="00B75EEF"/>
    <w:rsid w:val="00B76068"/>
    <w:rsid w:val="00B760D6"/>
    <w:rsid w:val="00B76168"/>
    <w:rsid w:val="00B76A9F"/>
    <w:rsid w:val="00B76D87"/>
    <w:rsid w:val="00B77252"/>
    <w:rsid w:val="00B7784D"/>
    <w:rsid w:val="00B7797E"/>
    <w:rsid w:val="00B77FC7"/>
    <w:rsid w:val="00B809B6"/>
    <w:rsid w:val="00B81C27"/>
    <w:rsid w:val="00B82165"/>
    <w:rsid w:val="00B823E0"/>
    <w:rsid w:val="00B82FFB"/>
    <w:rsid w:val="00B83111"/>
    <w:rsid w:val="00B8315F"/>
    <w:rsid w:val="00B8344C"/>
    <w:rsid w:val="00B83620"/>
    <w:rsid w:val="00B84320"/>
    <w:rsid w:val="00B84E07"/>
    <w:rsid w:val="00B84EB4"/>
    <w:rsid w:val="00B850D1"/>
    <w:rsid w:val="00B8527A"/>
    <w:rsid w:val="00B8529A"/>
    <w:rsid w:val="00B854B7"/>
    <w:rsid w:val="00B85A2F"/>
    <w:rsid w:val="00B85C9E"/>
    <w:rsid w:val="00B85D14"/>
    <w:rsid w:val="00B85D93"/>
    <w:rsid w:val="00B85F15"/>
    <w:rsid w:val="00B8622B"/>
    <w:rsid w:val="00B86B9D"/>
    <w:rsid w:val="00B872CD"/>
    <w:rsid w:val="00B90ABB"/>
    <w:rsid w:val="00B90B81"/>
    <w:rsid w:val="00B91898"/>
    <w:rsid w:val="00B920A3"/>
    <w:rsid w:val="00B92C43"/>
    <w:rsid w:val="00B938DE"/>
    <w:rsid w:val="00B93C16"/>
    <w:rsid w:val="00B93D6E"/>
    <w:rsid w:val="00B95771"/>
    <w:rsid w:val="00B95AA0"/>
    <w:rsid w:val="00B95D3B"/>
    <w:rsid w:val="00B962F9"/>
    <w:rsid w:val="00B96E6F"/>
    <w:rsid w:val="00B97327"/>
    <w:rsid w:val="00B973B9"/>
    <w:rsid w:val="00B97DAA"/>
    <w:rsid w:val="00BA025C"/>
    <w:rsid w:val="00BA06C0"/>
    <w:rsid w:val="00BA0A5F"/>
    <w:rsid w:val="00BA0EF7"/>
    <w:rsid w:val="00BA1237"/>
    <w:rsid w:val="00BA213E"/>
    <w:rsid w:val="00BA33A9"/>
    <w:rsid w:val="00BA3625"/>
    <w:rsid w:val="00BA497B"/>
    <w:rsid w:val="00BA6F10"/>
    <w:rsid w:val="00BA715D"/>
    <w:rsid w:val="00BA7467"/>
    <w:rsid w:val="00BB02B4"/>
    <w:rsid w:val="00BB08B8"/>
    <w:rsid w:val="00BB0C08"/>
    <w:rsid w:val="00BB15C2"/>
    <w:rsid w:val="00BB21D9"/>
    <w:rsid w:val="00BB2936"/>
    <w:rsid w:val="00BB2A9C"/>
    <w:rsid w:val="00BB31EC"/>
    <w:rsid w:val="00BB44C7"/>
    <w:rsid w:val="00BB4C65"/>
    <w:rsid w:val="00BB4D60"/>
    <w:rsid w:val="00BB4DBC"/>
    <w:rsid w:val="00BB4E6C"/>
    <w:rsid w:val="00BB505A"/>
    <w:rsid w:val="00BB5CF5"/>
    <w:rsid w:val="00BB5F7B"/>
    <w:rsid w:val="00BB6B6C"/>
    <w:rsid w:val="00BB6EE7"/>
    <w:rsid w:val="00BB742A"/>
    <w:rsid w:val="00BC00BC"/>
    <w:rsid w:val="00BC045C"/>
    <w:rsid w:val="00BC0B2D"/>
    <w:rsid w:val="00BC0D64"/>
    <w:rsid w:val="00BC1064"/>
    <w:rsid w:val="00BC1281"/>
    <w:rsid w:val="00BC1C65"/>
    <w:rsid w:val="00BC1FE7"/>
    <w:rsid w:val="00BC24D4"/>
    <w:rsid w:val="00BC258B"/>
    <w:rsid w:val="00BC2A6B"/>
    <w:rsid w:val="00BC2C1C"/>
    <w:rsid w:val="00BC4843"/>
    <w:rsid w:val="00BC55AD"/>
    <w:rsid w:val="00BC5C8A"/>
    <w:rsid w:val="00BC7141"/>
    <w:rsid w:val="00BC71E5"/>
    <w:rsid w:val="00BC7593"/>
    <w:rsid w:val="00BC79F7"/>
    <w:rsid w:val="00BC7CA5"/>
    <w:rsid w:val="00BC7D06"/>
    <w:rsid w:val="00BD1A11"/>
    <w:rsid w:val="00BD1A76"/>
    <w:rsid w:val="00BD21E7"/>
    <w:rsid w:val="00BD228B"/>
    <w:rsid w:val="00BD2E85"/>
    <w:rsid w:val="00BD34F6"/>
    <w:rsid w:val="00BD36B8"/>
    <w:rsid w:val="00BD3EEF"/>
    <w:rsid w:val="00BD40F3"/>
    <w:rsid w:val="00BD437B"/>
    <w:rsid w:val="00BD49D1"/>
    <w:rsid w:val="00BD5448"/>
    <w:rsid w:val="00BD57B2"/>
    <w:rsid w:val="00BD5E82"/>
    <w:rsid w:val="00BD605F"/>
    <w:rsid w:val="00BD685E"/>
    <w:rsid w:val="00BD74A3"/>
    <w:rsid w:val="00BE07CE"/>
    <w:rsid w:val="00BE0EE1"/>
    <w:rsid w:val="00BE14C3"/>
    <w:rsid w:val="00BE17A7"/>
    <w:rsid w:val="00BE19EE"/>
    <w:rsid w:val="00BE1A00"/>
    <w:rsid w:val="00BE1F5A"/>
    <w:rsid w:val="00BE20BF"/>
    <w:rsid w:val="00BE2574"/>
    <w:rsid w:val="00BE2770"/>
    <w:rsid w:val="00BE3C22"/>
    <w:rsid w:val="00BE3E8C"/>
    <w:rsid w:val="00BE3F00"/>
    <w:rsid w:val="00BE41A0"/>
    <w:rsid w:val="00BE4E09"/>
    <w:rsid w:val="00BE4E96"/>
    <w:rsid w:val="00BE4F0F"/>
    <w:rsid w:val="00BE6157"/>
    <w:rsid w:val="00BE6436"/>
    <w:rsid w:val="00BE6575"/>
    <w:rsid w:val="00BE667C"/>
    <w:rsid w:val="00BE72A6"/>
    <w:rsid w:val="00BF1A6D"/>
    <w:rsid w:val="00BF202C"/>
    <w:rsid w:val="00BF216C"/>
    <w:rsid w:val="00BF2693"/>
    <w:rsid w:val="00BF27BE"/>
    <w:rsid w:val="00BF2847"/>
    <w:rsid w:val="00BF2D7B"/>
    <w:rsid w:val="00BF320B"/>
    <w:rsid w:val="00BF34BC"/>
    <w:rsid w:val="00BF38FF"/>
    <w:rsid w:val="00BF47EF"/>
    <w:rsid w:val="00BF481B"/>
    <w:rsid w:val="00BF52BB"/>
    <w:rsid w:val="00BF60B6"/>
    <w:rsid w:val="00BF61F8"/>
    <w:rsid w:val="00BF6C9D"/>
    <w:rsid w:val="00BF6F10"/>
    <w:rsid w:val="00C0042A"/>
    <w:rsid w:val="00C0062B"/>
    <w:rsid w:val="00C01358"/>
    <w:rsid w:val="00C0189B"/>
    <w:rsid w:val="00C01BF7"/>
    <w:rsid w:val="00C01C0F"/>
    <w:rsid w:val="00C01CB2"/>
    <w:rsid w:val="00C01D8E"/>
    <w:rsid w:val="00C03E1A"/>
    <w:rsid w:val="00C04373"/>
    <w:rsid w:val="00C0528D"/>
    <w:rsid w:val="00C0558A"/>
    <w:rsid w:val="00C05AB1"/>
    <w:rsid w:val="00C05ACF"/>
    <w:rsid w:val="00C060BB"/>
    <w:rsid w:val="00C06616"/>
    <w:rsid w:val="00C06B25"/>
    <w:rsid w:val="00C07E6C"/>
    <w:rsid w:val="00C07E6D"/>
    <w:rsid w:val="00C07F20"/>
    <w:rsid w:val="00C1003E"/>
    <w:rsid w:val="00C10961"/>
    <w:rsid w:val="00C10A77"/>
    <w:rsid w:val="00C11029"/>
    <w:rsid w:val="00C110AE"/>
    <w:rsid w:val="00C11C01"/>
    <w:rsid w:val="00C132D1"/>
    <w:rsid w:val="00C13590"/>
    <w:rsid w:val="00C14E97"/>
    <w:rsid w:val="00C15095"/>
    <w:rsid w:val="00C1580E"/>
    <w:rsid w:val="00C15CE6"/>
    <w:rsid w:val="00C15D49"/>
    <w:rsid w:val="00C16206"/>
    <w:rsid w:val="00C16A7E"/>
    <w:rsid w:val="00C17509"/>
    <w:rsid w:val="00C175A3"/>
    <w:rsid w:val="00C17E50"/>
    <w:rsid w:val="00C17F98"/>
    <w:rsid w:val="00C17FBC"/>
    <w:rsid w:val="00C203FD"/>
    <w:rsid w:val="00C20BA4"/>
    <w:rsid w:val="00C20C01"/>
    <w:rsid w:val="00C20D00"/>
    <w:rsid w:val="00C20E45"/>
    <w:rsid w:val="00C210A1"/>
    <w:rsid w:val="00C21F60"/>
    <w:rsid w:val="00C220ED"/>
    <w:rsid w:val="00C22222"/>
    <w:rsid w:val="00C22675"/>
    <w:rsid w:val="00C22817"/>
    <w:rsid w:val="00C22EBC"/>
    <w:rsid w:val="00C22F3E"/>
    <w:rsid w:val="00C23412"/>
    <w:rsid w:val="00C23E44"/>
    <w:rsid w:val="00C25470"/>
    <w:rsid w:val="00C26094"/>
    <w:rsid w:val="00C26AD5"/>
    <w:rsid w:val="00C27798"/>
    <w:rsid w:val="00C27BAE"/>
    <w:rsid w:val="00C3025D"/>
    <w:rsid w:val="00C3042E"/>
    <w:rsid w:val="00C308A1"/>
    <w:rsid w:val="00C30C9E"/>
    <w:rsid w:val="00C310DF"/>
    <w:rsid w:val="00C316D5"/>
    <w:rsid w:val="00C31707"/>
    <w:rsid w:val="00C31AA5"/>
    <w:rsid w:val="00C32048"/>
    <w:rsid w:val="00C325AD"/>
    <w:rsid w:val="00C325D0"/>
    <w:rsid w:val="00C32602"/>
    <w:rsid w:val="00C3275A"/>
    <w:rsid w:val="00C32939"/>
    <w:rsid w:val="00C32C23"/>
    <w:rsid w:val="00C33609"/>
    <w:rsid w:val="00C3374D"/>
    <w:rsid w:val="00C33BBB"/>
    <w:rsid w:val="00C33D51"/>
    <w:rsid w:val="00C341A7"/>
    <w:rsid w:val="00C34B90"/>
    <w:rsid w:val="00C34D65"/>
    <w:rsid w:val="00C351D0"/>
    <w:rsid w:val="00C3569F"/>
    <w:rsid w:val="00C361F5"/>
    <w:rsid w:val="00C366BA"/>
    <w:rsid w:val="00C36D2E"/>
    <w:rsid w:val="00C37E25"/>
    <w:rsid w:val="00C4002A"/>
    <w:rsid w:val="00C400FA"/>
    <w:rsid w:val="00C41105"/>
    <w:rsid w:val="00C414F2"/>
    <w:rsid w:val="00C4252D"/>
    <w:rsid w:val="00C42E56"/>
    <w:rsid w:val="00C4387C"/>
    <w:rsid w:val="00C44061"/>
    <w:rsid w:val="00C44C07"/>
    <w:rsid w:val="00C45821"/>
    <w:rsid w:val="00C45FD9"/>
    <w:rsid w:val="00C466EF"/>
    <w:rsid w:val="00C46CEC"/>
    <w:rsid w:val="00C477C6"/>
    <w:rsid w:val="00C502BC"/>
    <w:rsid w:val="00C502E4"/>
    <w:rsid w:val="00C50E55"/>
    <w:rsid w:val="00C50E63"/>
    <w:rsid w:val="00C517CA"/>
    <w:rsid w:val="00C5182B"/>
    <w:rsid w:val="00C52935"/>
    <w:rsid w:val="00C52DDD"/>
    <w:rsid w:val="00C52FE0"/>
    <w:rsid w:val="00C541D6"/>
    <w:rsid w:val="00C54365"/>
    <w:rsid w:val="00C5456F"/>
    <w:rsid w:val="00C54722"/>
    <w:rsid w:val="00C548D5"/>
    <w:rsid w:val="00C56645"/>
    <w:rsid w:val="00C56674"/>
    <w:rsid w:val="00C5743D"/>
    <w:rsid w:val="00C57616"/>
    <w:rsid w:val="00C57AE3"/>
    <w:rsid w:val="00C60053"/>
    <w:rsid w:val="00C6041B"/>
    <w:rsid w:val="00C60C07"/>
    <w:rsid w:val="00C614C6"/>
    <w:rsid w:val="00C61604"/>
    <w:rsid w:val="00C61B2C"/>
    <w:rsid w:val="00C61E43"/>
    <w:rsid w:val="00C62B4A"/>
    <w:rsid w:val="00C62ED7"/>
    <w:rsid w:val="00C6367D"/>
    <w:rsid w:val="00C63CE6"/>
    <w:rsid w:val="00C63D05"/>
    <w:rsid w:val="00C64407"/>
    <w:rsid w:val="00C6446B"/>
    <w:rsid w:val="00C64AC2"/>
    <w:rsid w:val="00C64FF1"/>
    <w:rsid w:val="00C65397"/>
    <w:rsid w:val="00C65535"/>
    <w:rsid w:val="00C66DE5"/>
    <w:rsid w:val="00C70355"/>
    <w:rsid w:val="00C70A22"/>
    <w:rsid w:val="00C71A13"/>
    <w:rsid w:val="00C71B6B"/>
    <w:rsid w:val="00C7246C"/>
    <w:rsid w:val="00C726FA"/>
    <w:rsid w:val="00C728AC"/>
    <w:rsid w:val="00C72A01"/>
    <w:rsid w:val="00C72F44"/>
    <w:rsid w:val="00C7342C"/>
    <w:rsid w:val="00C7368C"/>
    <w:rsid w:val="00C739B4"/>
    <w:rsid w:val="00C7495F"/>
    <w:rsid w:val="00C75AB8"/>
    <w:rsid w:val="00C75DA6"/>
    <w:rsid w:val="00C76CFA"/>
    <w:rsid w:val="00C76FCF"/>
    <w:rsid w:val="00C770D0"/>
    <w:rsid w:val="00C7746F"/>
    <w:rsid w:val="00C80215"/>
    <w:rsid w:val="00C8044B"/>
    <w:rsid w:val="00C814D5"/>
    <w:rsid w:val="00C81750"/>
    <w:rsid w:val="00C826DC"/>
    <w:rsid w:val="00C83505"/>
    <w:rsid w:val="00C84FD4"/>
    <w:rsid w:val="00C85296"/>
    <w:rsid w:val="00C852D2"/>
    <w:rsid w:val="00C85805"/>
    <w:rsid w:val="00C85E41"/>
    <w:rsid w:val="00C86638"/>
    <w:rsid w:val="00C90209"/>
    <w:rsid w:val="00C9028A"/>
    <w:rsid w:val="00C90443"/>
    <w:rsid w:val="00C90464"/>
    <w:rsid w:val="00C905E2"/>
    <w:rsid w:val="00C907CB"/>
    <w:rsid w:val="00C9097B"/>
    <w:rsid w:val="00C90BA7"/>
    <w:rsid w:val="00C914F6"/>
    <w:rsid w:val="00C9220E"/>
    <w:rsid w:val="00C92578"/>
    <w:rsid w:val="00C929BE"/>
    <w:rsid w:val="00C92F1B"/>
    <w:rsid w:val="00C93553"/>
    <w:rsid w:val="00C9366D"/>
    <w:rsid w:val="00C93935"/>
    <w:rsid w:val="00C93E05"/>
    <w:rsid w:val="00C9447C"/>
    <w:rsid w:val="00C94588"/>
    <w:rsid w:val="00C954F6"/>
    <w:rsid w:val="00C956F6"/>
    <w:rsid w:val="00C957D5"/>
    <w:rsid w:val="00C960B1"/>
    <w:rsid w:val="00C96AD1"/>
    <w:rsid w:val="00C96B6E"/>
    <w:rsid w:val="00C975BA"/>
    <w:rsid w:val="00C976A6"/>
    <w:rsid w:val="00C977C2"/>
    <w:rsid w:val="00CA0230"/>
    <w:rsid w:val="00CA243B"/>
    <w:rsid w:val="00CA335F"/>
    <w:rsid w:val="00CA4190"/>
    <w:rsid w:val="00CA4673"/>
    <w:rsid w:val="00CA46B5"/>
    <w:rsid w:val="00CA4EB9"/>
    <w:rsid w:val="00CA6154"/>
    <w:rsid w:val="00CA69BC"/>
    <w:rsid w:val="00CB022B"/>
    <w:rsid w:val="00CB03E1"/>
    <w:rsid w:val="00CB1826"/>
    <w:rsid w:val="00CB2A84"/>
    <w:rsid w:val="00CB385E"/>
    <w:rsid w:val="00CB3D73"/>
    <w:rsid w:val="00CB4280"/>
    <w:rsid w:val="00CB59E1"/>
    <w:rsid w:val="00CB5AFB"/>
    <w:rsid w:val="00CB6214"/>
    <w:rsid w:val="00CB6D1C"/>
    <w:rsid w:val="00CB72C2"/>
    <w:rsid w:val="00CB7ACA"/>
    <w:rsid w:val="00CB7C3A"/>
    <w:rsid w:val="00CC056C"/>
    <w:rsid w:val="00CC0C2B"/>
    <w:rsid w:val="00CC0CBF"/>
    <w:rsid w:val="00CC0DD5"/>
    <w:rsid w:val="00CC1701"/>
    <w:rsid w:val="00CC1D3D"/>
    <w:rsid w:val="00CC295C"/>
    <w:rsid w:val="00CC2BD0"/>
    <w:rsid w:val="00CC34F4"/>
    <w:rsid w:val="00CC401B"/>
    <w:rsid w:val="00CC4178"/>
    <w:rsid w:val="00CC434A"/>
    <w:rsid w:val="00CC4920"/>
    <w:rsid w:val="00CC4A93"/>
    <w:rsid w:val="00CC4DA0"/>
    <w:rsid w:val="00CC5AD4"/>
    <w:rsid w:val="00CC5CC8"/>
    <w:rsid w:val="00CC6CA1"/>
    <w:rsid w:val="00CC73AA"/>
    <w:rsid w:val="00CD03E6"/>
    <w:rsid w:val="00CD0601"/>
    <w:rsid w:val="00CD11C2"/>
    <w:rsid w:val="00CD14E4"/>
    <w:rsid w:val="00CD23A0"/>
    <w:rsid w:val="00CD24A8"/>
    <w:rsid w:val="00CD2640"/>
    <w:rsid w:val="00CD2CB2"/>
    <w:rsid w:val="00CD30D8"/>
    <w:rsid w:val="00CD3114"/>
    <w:rsid w:val="00CD35B6"/>
    <w:rsid w:val="00CD3F55"/>
    <w:rsid w:val="00CD4605"/>
    <w:rsid w:val="00CD4B14"/>
    <w:rsid w:val="00CD506B"/>
    <w:rsid w:val="00CD57C9"/>
    <w:rsid w:val="00CD685B"/>
    <w:rsid w:val="00CD69FB"/>
    <w:rsid w:val="00CD70E6"/>
    <w:rsid w:val="00CD79D9"/>
    <w:rsid w:val="00CE1030"/>
    <w:rsid w:val="00CE10A8"/>
    <w:rsid w:val="00CE1944"/>
    <w:rsid w:val="00CE1D0F"/>
    <w:rsid w:val="00CE2066"/>
    <w:rsid w:val="00CE23EA"/>
    <w:rsid w:val="00CE29DF"/>
    <w:rsid w:val="00CE2ECD"/>
    <w:rsid w:val="00CE479A"/>
    <w:rsid w:val="00CE49A0"/>
    <w:rsid w:val="00CE51F8"/>
    <w:rsid w:val="00CE5605"/>
    <w:rsid w:val="00CE5B70"/>
    <w:rsid w:val="00CE5D0F"/>
    <w:rsid w:val="00CE5F70"/>
    <w:rsid w:val="00CE62D0"/>
    <w:rsid w:val="00CE6841"/>
    <w:rsid w:val="00CE7658"/>
    <w:rsid w:val="00CE7E37"/>
    <w:rsid w:val="00CF0017"/>
    <w:rsid w:val="00CF0651"/>
    <w:rsid w:val="00CF0B12"/>
    <w:rsid w:val="00CF1023"/>
    <w:rsid w:val="00CF12B4"/>
    <w:rsid w:val="00CF17D6"/>
    <w:rsid w:val="00CF1C70"/>
    <w:rsid w:val="00CF1D88"/>
    <w:rsid w:val="00CF245F"/>
    <w:rsid w:val="00CF24F9"/>
    <w:rsid w:val="00CF2699"/>
    <w:rsid w:val="00CF2997"/>
    <w:rsid w:val="00CF2DB8"/>
    <w:rsid w:val="00CF2F90"/>
    <w:rsid w:val="00CF3060"/>
    <w:rsid w:val="00CF3682"/>
    <w:rsid w:val="00CF4C27"/>
    <w:rsid w:val="00CF50CE"/>
    <w:rsid w:val="00CF51B3"/>
    <w:rsid w:val="00CF5631"/>
    <w:rsid w:val="00CF604F"/>
    <w:rsid w:val="00CF68C2"/>
    <w:rsid w:val="00CF7706"/>
    <w:rsid w:val="00CF7E76"/>
    <w:rsid w:val="00D0077B"/>
    <w:rsid w:val="00D0080C"/>
    <w:rsid w:val="00D00A0A"/>
    <w:rsid w:val="00D00E7E"/>
    <w:rsid w:val="00D01193"/>
    <w:rsid w:val="00D01386"/>
    <w:rsid w:val="00D01B12"/>
    <w:rsid w:val="00D01D8B"/>
    <w:rsid w:val="00D02355"/>
    <w:rsid w:val="00D0253D"/>
    <w:rsid w:val="00D02774"/>
    <w:rsid w:val="00D0325D"/>
    <w:rsid w:val="00D03740"/>
    <w:rsid w:val="00D04FA6"/>
    <w:rsid w:val="00D05189"/>
    <w:rsid w:val="00D057DF"/>
    <w:rsid w:val="00D05816"/>
    <w:rsid w:val="00D0590D"/>
    <w:rsid w:val="00D059A4"/>
    <w:rsid w:val="00D05CE3"/>
    <w:rsid w:val="00D06ED1"/>
    <w:rsid w:val="00D07268"/>
    <w:rsid w:val="00D07C96"/>
    <w:rsid w:val="00D103C4"/>
    <w:rsid w:val="00D10948"/>
    <w:rsid w:val="00D10B0E"/>
    <w:rsid w:val="00D11BA1"/>
    <w:rsid w:val="00D11DCF"/>
    <w:rsid w:val="00D12449"/>
    <w:rsid w:val="00D1332A"/>
    <w:rsid w:val="00D13BF0"/>
    <w:rsid w:val="00D13D91"/>
    <w:rsid w:val="00D13FA0"/>
    <w:rsid w:val="00D144EE"/>
    <w:rsid w:val="00D14600"/>
    <w:rsid w:val="00D15C84"/>
    <w:rsid w:val="00D16296"/>
    <w:rsid w:val="00D168F6"/>
    <w:rsid w:val="00D16A4E"/>
    <w:rsid w:val="00D1726F"/>
    <w:rsid w:val="00D175BB"/>
    <w:rsid w:val="00D178EB"/>
    <w:rsid w:val="00D17BA4"/>
    <w:rsid w:val="00D21588"/>
    <w:rsid w:val="00D21B1E"/>
    <w:rsid w:val="00D22431"/>
    <w:rsid w:val="00D231CC"/>
    <w:rsid w:val="00D23361"/>
    <w:rsid w:val="00D23C27"/>
    <w:rsid w:val="00D24226"/>
    <w:rsid w:val="00D252FA"/>
    <w:rsid w:val="00D256F2"/>
    <w:rsid w:val="00D2576D"/>
    <w:rsid w:val="00D258BB"/>
    <w:rsid w:val="00D259C2"/>
    <w:rsid w:val="00D25C4D"/>
    <w:rsid w:val="00D25D07"/>
    <w:rsid w:val="00D25E50"/>
    <w:rsid w:val="00D26347"/>
    <w:rsid w:val="00D2661F"/>
    <w:rsid w:val="00D268CF"/>
    <w:rsid w:val="00D26A1B"/>
    <w:rsid w:val="00D2769C"/>
    <w:rsid w:val="00D30294"/>
    <w:rsid w:val="00D309CC"/>
    <w:rsid w:val="00D30A64"/>
    <w:rsid w:val="00D31845"/>
    <w:rsid w:val="00D31F24"/>
    <w:rsid w:val="00D32AA8"/>
    <w:rsid w:val="00D32EF2"/>
    <w:rsid w:val="00D33552"/>
    <w:rsid w:val="00D33891"/>
    <w:rsid w:val="00D33FE6"/>
    <w:rsid w:val="00D34404"/>
    <w:rsid w:val="00D34657"/>
    <w:rsid w:val="00D34A4C"/>
    <w:rsid w:val="00D34AC2"/>
    <w:rsid w:val="00D3556E"/>
    <w:rsid w:val="00D359CF"/>
    <w:rsid w:val="00D35B76"/>
    <w:rsid w:val="00D360FC"/>
    <w:rsid w:val="00D365CE"/>
    <w:rsid w:val="00D36769"/>
    <w:rsid w:val="00D3734B"/>
    <w:rsid w:val="00D37873"/>
    <w:rsid w:val="00D37F7A"/>
    <w:rsid w:val="00D40D7C"/>
    <w:rsid w:val="00D4134F"/>
    <w:rsid w:val="00D41CFA"/>
    <w:rsid w:val="00D43109"/>
    <w:rsid w:val="00D43308"/>
    <w:rsid w:val="00D43410"/>
    <w:rsid w:val="00D4378C"/>
    <w:rsid w:val="00D43AB0"/>
    <w:rsid w:val="00D44462"/>
    <w:rsid w:val="00D44A50"/>
    <w:rsid w:val="00D44FF0"/>
    <w:rsid w:val="00D4511F"/>
    <w:rsid w:val="00D45E9E"/>
    <w:rsid w:val="00D47096"/>
    <w:rsid w:val="00D47B77"/>
    <w:rsid w:val="00D47EA4"/>
    <w:rsid w:val="00D5089A"/>
    <w:rsid w:val="00D5137E"/>
    <w:rsid w:val="00D524C6"/>
    <w:rsid w:val="00D530AB"/>
    <w:rsid w:val="00D532C1"/>
    <w:rsid w:val="00D53CCD"/>
    <w:rsid w:val="00D546F5"/>
    <w:rsid w:val="00D54A4F"/>
    <w:rsid w:val="00D554C0"/>
    <w:rsid w:val="00D556EA"/>
    <w:rsid w:val="00D558F9"/>
    <w:rsid w:val="00D5655F"/>
    <w:rsid w:val="00D568CF"/>
    <w:rsid w:val="00D56B43"/>
    <w:rsid w:val="00D5785A"/>
    <w:rsid w:val="00D600D4"/>
    <w:rsid w:val="00D602DC"/>
    <w:rsid w:val="00D611A6"/>
    <w:rsid w:val="00D616EA"/>
    <w:rsid w:val="00D62257"/>
    <w:rsid w:val="00D62FCD"/>
    <w:rsid w:val="00D63A81"/>
    <w:rsid w:val="00D63CA2"/>
    <w:rsid w:val="00D63CD9"/>
    <w:rsid w:val="00D63ED7"/>
    <w:rsid w:val="00D640DB"/>
    <w:rsid w:val="00D64843"/>
    <w:rsid w:val="00D64D76"/>
    <w:rsid w:val="00D65586"/>
    <w:rsid w:val="00D655A3"/>
    <w:rsid w:val="00D659E3"/>
    <w:rsid w:val="00D66F5F"/>
    <w:rsid w:val="00D6707A"/>
    <w:rsid w:val="00D671C2"/>
    <w:rsid w:val="00D70C83"/>
    <w:rsid w:val="00D70D67"/>
    <w:rsid w:val="00D723CC"/>
    <w:rsid w:val="00D72E3F"/>
    <w:rsid w:val="00D730C4"/>
    <w:rsid w:val="00D73394"/>
    <w:rsid w:val="00D737F9"/>
    <w:rsid w:val="00D73B1C"/>
    <w:rsid w:val="00D73B6E"/>
    <w:rsid w:val="00D7532D"/>
    <w:rsid w:val="00D76031"/>
    <w:rsid w:val="00D765DB"/>
    <w:rsid w:val="00D7666C"/>
    <w:rsid w:val="00D76BB4"/>
    <w:rsid w:val="00D773DA"/>
    <w:rsid w:val="00D7744B"/>
    <w:rsid w:val="00D77FCE"/>
    <w:rsid w:val="00D8060D"/>
    <w:rsid w:val="00D81998"/>
    <w:rsid w:val="00D82326"/>
    <w:rsid w:val="00D82A7F"/>
    <w:rsid w:val="00D83253"/>
    <w:rsid w:val="00D83B42"/>
    <w:rsid w:val="00D83BA8"/>
    <w:rsid w:val="00D84164"/>
    <w:rsid w:val="00D850AB"/>
    <w:rsid w:val="00D8615B"/>
    <w:rsid w:val="00D873FA"/>
    <w:rsid w:val="00D90291"/>
    <w:rsid w:val="00D9065D"/>
    <w:rsid w:val="00D908D3"/>
    <w:rsid w:val="00D909CA"/>
    <w:rsid w:val="00D91250"/>
    <w:rsid w:val="00D91BF8"/>
    <w:rsid w:val="00D926EC"/>
    <w:rsid w:val="00D927EF"/>
    <w:rsid w:val="00D928B8"/>
    <w:rsid w:val="00D928CA"/>
    <w:rsid w:val="00D92F1A"/>
    <w:rsid w:val="00D92FD6"/>
    <w:rsid w:val="00D938FA"/>
    <w:rsid w:val="00D943F8"/>
    <w:rsid w:val="00D94E4E"/>
    <w:rsid w:val="00D967F6"/>
    <w:rsid w:val="00D97477"/>
    <w:rsid w:val="00D97678"/>
    <w:rsid w:val="00D97CA9"/>
    <w:rsid w:val="00D97D7E"/>
    <w:rsid w:val="00DA00CE"/>
    <w:rsid w:val="00DA0B8E"/>
    <w:rsid w:val="00DA0BEC"/>
    <w:rsid w:val="00DA0DAB"/>
    <w:rsid w:val="00DA1A1E"/>
    <w:rsid w:val="00DA2250"/>
    <w:rsid w:val="00DA2759"/>
    <w:rsid w:val="00DA2927"/>
    <w:rsid w:val="00DA29C4"/>
    <w:rsid w:val="00DA2A36"/>
    <w:rsid w:val="00DA2DE6"/>
    <w:rsid w:val="00DA452E"/>
    <w:rsid w:val="00DA4683"/>
    <w:rsid w:val="00DA55B5"/>
    <w:rsid w:val="00DA57E6"/>
    <w:rsid w:val="00DA58B5"/>
    <w:rsid w:val="00DA599F"/>
    <w:rsid w:val="00DA6227"/>
    <w:rsid w:val="00DA6DF7"/>
    <w:rsid w:val="00DA7469"/>
    <w:rsid w:val="00DA77FC"/>
    <w:rsid w:val="00DA7850"/>
    <w:rsid w:val="00DA7AAB"/>
    <w:rsid w:val="00DA7EAF"/>
    <w:rsid w:val="00DB086A"/>
    <w:rsid w:val="00DB1B06"/>
    <w:rsid w:val="00DB1C2A"/>
    <w:rsid w:val="00DB1D18"/>
    <w:rsid w:val="00DB1E1B"/>
    <w:rsid w:val="00DB1E1E"/>
    <w:rsid w:val="00DB2C07"/>
    <w:rsid w:val="00DB32CF"/>
    <w:rsid w:val="00DB379F"/>
    <w:rsid w:val="00DB3BC3"/>
    <w:rsid w:val="00DB5237"/>
    <w:rsid w:val="00DB578D"/>
    <w:rsid w:val="00DB64A4"/>
    <w:rsid w:val="00DB67D2"/>
    <w:rsid w:val="00DB6A03"/>
    <w:rsid w:val="00DB6B53"/>
    <w:rsid w:val="00DB74FE"/>
    <w:rsid w:val="00DB7F19"/>
    <w:rsid w:val="00DC01D4"/>
    <w:rsid w:val="00DC191B"/>
    <w:rsid w:val="00DC21E6"/>
    <w:rsid w:val="00DC275F"/>
    <w:rsid w:val="00DC31B4"/>
    <w:rsid w:val="00DC34F5"/>
    <w:rsid w:val="00DC359A"/>
    <w:rsid w:val="00DC36C9"/>
    <w:rsid w:val="00DC3B0F"/>
    <w:rsid w:val="00DC3C58"/>
    <w:rsid w:val="00DC4032"/>
    <w:rsid w:val="00DC441A"/>
    <w:rsid w:val="00DC4591"/>
    <w:rsid w:val="00DC5485"/>
    <w:rsid w:val="00DC594C"/>
    <w:rsid w:val="00DC5A30"/>
    <w:rsid w:val="00DC5BFD"/>
    <w:rsid w:val="00DC6D59"/>
    <w:rsid w:val="00DC72D3"/>
    <w:rsid w:val="00DC794E"/>
    <w:rsid w:val="00DD0307"/>
    <w:rsid w:val="00DD0DE0"/>
    <w:rsid w:val="00DD1606"/>
    <w:rsid w:val="00DD1854"/>
    <w:rsid w:val="00DD1A04"/>
    <w:rsid w:val="00DD1F52"/>
    <w:rsid w:val="00DD3194"/>
    <w:rsid w:val="00DD363B"/>
    <w:rsid w:val="00DD3989"/>
    <w:rsid w:val="00DD3F5A"/>
    <w:rsid w:val="00DD4C83"/>
    <w:rsid w:val="00DD4FC6"/>
    <w:rsid w:val="00DD5344"/>
    <w:rsid w:val="00DD58A5"/>
    <w:rsid w:val="00DD5B11"/>
    <w:rsid w:val="00DD6224"/>
    <w:rsid w:val="00DD662F"/>
    <w:rsid w:val="00DD733D"/>
    <w:rsid w:val="00DD7B6B"/>
    <w:rsid w:val="00DD7CFA"/>
    <w:rsid w:val="00DD7F52"/>
    <w:rsid w:val="00DE003E"/>
    <w:rsid w:val="00DE0045"/>
    <w:rsid w:val="00DE06DD"/>
    <w:rsid w:val="00DE1675"/>
    <w:rsid w:val="00DE1682"/>
    <w:rsid w:val="00DE16B3"/>
    <w:rsid w:val="00DE1939"/>
    <w:rsid w:val="00DE1D6B"/>
    <w:rsid w:val="00DE2617"/>
    <w:rsid w:val="00DE2AC4"/>
    <w:rsid w:val="00DE34C7"/>
    <w:rsid w:val="00DE3734"/>
    <w:rsid w:val="00DE3991"/>
    <w:rsid w:val="00DE3D9A"/>
    <w:rsid w:val="00DE3DD1"/>
    <w:rsid w:val="00DE3E7D"/>
    <w:rsid w:val="00DE42E2"/>
    <w:rsid w:val="00DE4519"/>
    <w:rsid w:val="00DE4EC5"/>
    <w:rsid w:val="00DE554D"/>
    <w:rsid w:val="00DE57FE"/>
    <w:rsid w:val="00DE5E42"/>
    <w:rsid w:val="00DE5E63"/>
    <w:rsid w:val="00DE6B2E"/>
    <w:rsid w:val="00DE7136"/>
    <w:rsid w:val="00DE7876"/>
    <w:rsid w:val="00DE7E80"/>
    <w:rsid w:val="00DF059E"/>
    <w:rsid w:val="00DF08C5"/>
    <w:rsid w:val="00DF0ED1"/>
    <w:rsid w:val="00DF192C"/>
    <w:rsid w:val="00DF1A25"/>
    <w:rsid w:val="00DF2472"/>
    <w:rsid w:val="00DF27BE"/>
    <w:rsid w:val="00DF2F6E"/>
    <w:rsid w:val="00DF36D6"/>
    <w:rsid w:val="00DF3E33"/>
    <w:rsid w:val="00DF43EC"/>
    <w:rsid w:val="00DF46AD"/>
    <w:rsid w:val="00DF4919"/>
    <w:rsid w:val="00DF4C39"/>
    <w:rsid w:val="00DF5182"/>
    <w:rsid w:val="00DF7627"/>
    <w:rsid w:val="00DF7817"/>
    <w:rsid w:val="00DF786C"/>
    <w:rsid w:val="00DF7937"/>
    <w:rsid w:val="00DF7A27"/>
    <w:rsid w:val="00DF7D81"/>
    <w:rsid w:val="00E004BC"/>
    <w:rsid w:val="00E018CD"/>
    <w:rsid w:val="00E01A40"/>
    <w:rsid w:val="00E02F46"/>
    <w:rsid w:val="00E02FBE"/>
    <w:rsid w:val="00E0304E"/>
    <w:rsid w:val="00E032CB"/>
    <w:rsid w:val="00E033A7"/>
    <w:rsid w:val="00E04115"/>
    <w:rsid w:val="00E04BB2"/>
    <w:rsid w:val="00E073B9"/>
    <w:rsid w:val="00E1068E"/>
    <w:rsid w:val="00E108A2"/>
    <w:rsid w:val="00E112FA"/>
    <w:rsid w:val="00E1323F"/>
    <w:rsid w:val="00E13775"/>
    <w:rsid w:val="00E14F25"/>
    <w:rsid w:val="00E1521E"/>
    <w:rsid w:val="00E159B5"/>
    <w:rsid w:val="00E160AB"/>
    <w:rsid w:val="00E1657B"/>
    <w:rsid w:val="00E16732"/>
    <w:rsid w:val="00E1775B"/>
    <w:rsid w:val="00E2014A"/>
    <w:rsid w:val="00E204D0"/>
    <w:rsid w:val="00E205D9"/>
    <w:rsid w:val="00E20F95"/>
    <w:rsid w:val="00E2174B"/>
    <w:rsid w:val="00E21C17"/>
    <w:rsid w:val="00E2219C"/>
    <w:rsid w:val="00E22F3D"/>
    <w:rsid w:val="00E22FB0"/>
    <w:rsid w:val="00E23FDB"/>
    <w:rsid w:val="00E2443E"/>
    <w:rsid w:val="00E2455F"/>
    <w:rsid w:val="00E24EDD"/>
    <w:rsid w:val="00E25339"/>
    <w:rsid w:val="00E255B0"/>
    <w:rsid w:val="00E264EA"/>
    <w:rsid w:val="00E26810"/>
    <w:rsid w:val="00E26CCC"/>
    <w:rsid w:val="00E27236"/>
    <w:rsid w:val="00E27452"/>
    <w:rsid w:val="00E274FE"/>
    <w:rsid w:val="00E3090E"/>
    <w:rsid w:val="00E31340"/>
    <w:rsid w:val="00E313B9"/>
    <w:rsid w:val="00E3195F"/>
    <w:rsid w:val="00E31AE0"/>
    <w:rsid w:val="00E31F35"/>
    <w:rsid w:val="00E326E7"/>
    <w:rsid w:val="00E32AC3"/>
    <w:rsid w:val="00E32B19"/>
    <w:rsid w:val="00E3389B"/>
    <w:rsid w:val="00E33922"/>
    <w:rsid w:val="00E33B25"/>
    <w:rsid w:val="00E33F4A"/>
    <w:rsid w:val="00E34194"/>
    <w:rsid w:val="00E3471D"/>
    <w:rsid w:val="00E34D87"/>
    <w:rsid w:val="00E34EDD"/>
    <w:rsid w:val="00E35A6A"/>
    <w:rsid w:val="00E35AD1"/>
    <w:rsid w:val="00E3674C"/>
    <w:rsid w:val="00E36DAB"/>
    <w:rsid w:val="00E36E0F"/>
    <w:rsid w:val="00E3723E"/>
    <w:rsid w:val="00E374D8"/>
    <w:rsid w:val="00E37543"/>
    <w:rsid w:val="00E3775D"/>
    <w:rsid w:val="00E37913"/>
    <w:rsid w:val="00E40050"/>
    <w:rsid w:val="00E40101"/>
    <w:rsid w:val="00E40C2B"/>
    <w:rsid w:val="00E40EFF"/>
    <w:rsid w:val="00E422E6"/>
    <w:rsid w:val="00E4232A"/>
    <w:rsid w:val="00E4242C"/>
    <w:rsid w:val="00E4267F"/>
    <w:rsid w:val="00E426A4"/>
    <w:rsid w:val="00E4332D"/>
    <w:rsid w:val="00E4461E"/>
    <w:rsid w:val="00E44C29"/>
    <w:rsid w:val="00E45984"/>
    <w:rsid w:val="00E46212"/>
    <w:rsid w:val="00E46B4A"/>
    <w:rsid w:val="00E46D72"/>
    <w:rsid w:val="00E46F65"/>
    <w:rsid w:val="00E47006"/>
    <w:rsid w:val="00E47139"/>
    <w:rsid w:val="00E50095"/>
    <w:rsid w:val="00E506D8"/>
    <w:rsid w:val="00E51F08"/>
    <w:rsid w:val="00E51FAC"/>
    <w:rsid w:val="00E521EE"/>
    <w:rsid w:val="00E52242"/>
    <w:rsid w:val="00E523BA"/>
    <w:rsid w:val="00E5249C"/>
    <w:rsid w:val="00E52571"/>
    <w:rsid w:val="00E52743"/>
    <w:rsid w:val="00E53A5B"/>
    <w:rsid w:val="00E53E5C"/>
    <w:rsid w:val="00E54228"/>
    <w:rsid w:val="00E5451D"/>
    <w:rsid w:val="00E55D9F"/>
    <w:rsid w:val="00E57295"/>
    <w:rsid w:val="00E575E9"/>
    <w:rsid w:val="00E57642"/>
    <w:rsid w:val="00E57827"/>
    <w:rsid w:val="00E60786"/>
    <w:rsid w:val="00E60AD7"/>
    <w:rsid w:val="00E6109B"/>
    <w:rsid w:val="00E61105"/>
    <w:rsid w:val="00E61504"/>
    <w:rsid w:val="00E61E75"/>
    <w:rsid w:val="00E62C9E"/>
    <w:rsid w:val="00E63550"/>
    <w:rsid w:val="00E63904"/>
    <w:rsid w:val="00E6411E"/>
    <w:rsid w:val="00E642FB"/>
    <w:rsid w:val="00E64316"/>
    <w:rsid w:val="00E66887"/>
    <w:rsid w:val="00E66965"/>
    <w:rsid w:val="00E66A54"/>
    <w:rsid w:val="00E66FA9"/>
    <w:rsid w:val="00E67253"/>
    <w:rsid w:val="00E672D8"/>
    <w:rsid w:val="00E67417"/>
    <w:rsid w:val="00E67B33"/>
    <w:rsid w:val="00E67B9D"/>
    <w:rsid w:val="00E67D04"/>
    <w:rsid w:val="00E712F8"/>
    <w:rsid w:val="00E72646"/>
    <w:rsid w:val="00E7268A"/>
    <w:rsid w:val="00E732F1"/>
    <w:rsid w:val="00E74607"/>
    <w:rsid w:val="00E7467D"/>
    <w:rsid w:val="00E747F0"/>
    <w:rsid w:val="00E75401"/>
    <w:rsid w:val="00E754D8"/>
    <w:rsid w:val="00E761A6"/>
    <w:rsid w:val="00E765C7"/>
    <w:rsid w:val="00E803D6"/>
    <w:rsid w:val="00E82476"/>
    <w:rsid w:val="00E82915"/>
    <w:rsid w:val="00E835DC"/>
    <w:rsid w:val="00E8376B"/>
    <w:rsid w:val="00E8382A"/>
    <w:rsid w:val="00E843FF"/>
    <w:rsid w:val="00E851F2"/>
    <w:rsid w:val="00E85287"/>
    <w:rsid w:val="00E859E0"/>
    <w:rsid w:val="00E85CEA"/>
    <w:rsid w:val="00E85E55"/>
    <w:rsid w:val="00E86D7E"/>
    <w:rsid w:val="00E86E8B"/>
    <w:rsid w:val="00E86F63"/>
    <w:rsid w:val="00E875D1"/>
    <w:rsid w:val="00E879F3"/>
    <w:rsid w:val="00E87A25"/>
    <w:rsid w:val="00E87D4B"/>
    <w:rsid w:val="00E87D55"/>
    <w:rsid w:val="00E87E3E"/>
    <w:rsid w:val="00E904CA"/>
    <w:rsid w:val="00E90922"/>
    <w:rsid w:val="00E90F42"/>
    <w:rsid w:val="00E92077"/>
    <w:rsid w:val="00E92354"/>
    <w:rsid w:val="00E9244D"/>
    <w:rsid w:val="00E9466B"/>
    <w:rsid w:val="00E9539F"/>
    <w:rsid w:val="00E95475"/>
    <w:rsid w:val="00E9557D"/>
    <w:rsid w:val="00E95792"/>
    <w:rsid w:val="00E968FE"/>
    <w:rsid w:val="00E96F7B"/>
    <w:rsid w:val="00EA0381"/>
    <w:rsid w:val="00EA0B6F"/>
    <w:rsid w:val="00EA0BD2"/>
    <w:rsid w:val="00EA1936"/>
    <w:rsid w:val="00EA2AD3"/>
    <w:rsid w:val="00EA2B6E"/>
    <w:rsid w:val="00EA2FFD"/>
    <w:rsid w:val="00EA37D2"/>
    <w:rsid w:val="00EA3DB7"/>
    <w:rsid w:val="00EA4515"/>
    <w:rsid w:val="00EA4EF0"/>
    <w:rsid w:val="00EA4F51"/>
    <w:rsid w:val="00EA6204"/>
    <w:rsid w:val="00EA69DC"/>
    <w:rsid w:val="00EA69E3"/>
    <w:rsid w:val="00EA6F84"/>
    <w:rsid w:val="00EA70C8"/>
    <w:rsid w:val="00EB0521"/>
    <w:rsid w:val="00EB0CDF"/>
    <w:rsid w:val="00EB0E0B"/>
    <w:rsid w:val="00EB143D"/>
    <w:rsid w:val="00EB14CD"/>
    <w:rsid w:val="00EB19CD"/>
    <w:rsid w:val="00EB1C6D"/>
    <w:rsid w:val="00EB1E02"/>
    <w:rsid w:val="00EB2C5D"/>
    <w:rsid w:val="00EB34F7"/>
    <w:rsid w:val="00EB4524"/>
    <w:rsid w:val="00EB4774"/>
    <w:rsid w:val="00EB58D0"/>
    <w:rsid w:val="00EB597B"/>
    <w:rsid w:val="00EB5A45"/>
    <w:rsid w:val="00EB5DB8"/>
    <w:rsid w:val="00EB6000"/>
    <w:rsid w:val="00EB68A4"/>
    <w:rsid w:val="00EB6D4B"/>
    <w:rsid w:val="00EC026D"/>
    <w:rsid w:val="00EC0B97"/>
    <w:rsid w:val="00EC0E52"/>
    <w:rsid w:val="00EC1DEC"/>
    <w:rsid w:val="00EC21E5"/>
    <w:rsid w:val="00EC287C"/>
    <w:rsid w:val="00EC293F"/>
    <w:rsid w:val="00EC295E"/>
    <w:rsid w:val="00EC2EC1"/>
    <w:rsid w:val="00EC2F5E"/>
    <w:rsid w:val="00EC3375"/>
    <w:rsid w:val="00EC337A"/>
    <w:rsid w:val="00EC3506"/>
    <w:rsid w:val="00EC3E4B"/>
    <w:rsid w:val="00EC41BA"/>
    <w:rsid w:val="00EC4704"/>
    <w:rsid w:val="00EC5779"/>
    <w:rsid w:val="00EC587C"/>
    <w:rsid w:val="00EC5C23"/>
    <w:rsid w:val="00EC6290"/>
    <w:rsid w:val="00EC6654"/>
    <w:rsid w:val="00EC679F"/>
    <w:rsid w:val="00EC70A7"/>
    <w:rsid w:val="00EC7218"/>
    <w:rsid w:val="00EC7C4F"/>
    <w:rsid w:val="00EC7D6B"/>
    <w:rsid w:val="00ED02D7"/>
    <w:rsid w:val="00ED0CFE"/>
    <w:rsid w:val="00ED0D0E"/>
    <w:rsid w:val="00ED182D"/>
    <w:rsid w:val="00ED1C07"/>
    <w:rsid w:val="00ED200A"/>
    <w:rsid w:val="00ED2BD6"/>
    <w:rsid w:val="00ED2E10"/>
    <w:rsid w:val="00ED358E"/>
    <w:rsid w:val="00ED486C"/>
    <w:rsid w:val="00ED4C19"/>
    <w:rsid w:val="00ED4E9C"/>
    <w:rsid w:val="00ED5373"/>
    <w:rsid w:val="00ED589A"/>
    <w:rsid w:val="00ED5D18"/>
    <w:rsid w:val="00ED63A5"/>
    <w:rsid w:val="00ED68AC"/>
    <w:rsid w:val="00ED6C22"/>
    <w:rsid w:val="00ED7044"/>
    <w:rsid w:val="00ED71CF"/>
    <w:rsid w:val="00ED7A0C"/>
    <w:rsid w:val="00EE0CE6"/>
    <w:rsid w:val="00EE199D"/>
    <w:rsid w:val="00EE1B4A"/>
    <w:rsid w:val="00EE1C88"/>
    <w:rsid w:val="00EE1D80"/>
    <w:rsid w:val="00EE240D"/>
    <w:rsid w:val="00EE24CC"/>
    <w:rsid w:val="00EE30B8"/>
    <w:rsid w:val="00EE34DF"/>
    <w:rsid w:val="00EE3532"/>
    <w:rsid w:val="00EE4770"/>
    <w:rsid w:val="00EE4E55"/>
    <w:rsid w:val="00EE54D9"/>
    <w:rsid w:val="00EE5644"/>
    <w:rsid w:val="00EE5AB8"/>
    <w:rsid w:val="00EE63B3"/>
    <w:rsid w:val="00EE69E6"/>
    <w:rsid w:val="00EE6BF8"/>
    <w:rsid w:val="00EE70D6"/>
    <w:rsid w:val="00EE711A"/>
    <w:rsid w:val="00EE71E8"/>
    <w:rsid w:val="00EE74D6"/>
    <w:rsid w:val="00EE75DB"/>
    <w:rsid w:val="00EE7BD4"/>
    <w:rsid w:val="00EF1DFF"/>
    <w:rsid w:val="00EF2078"/>
    <w:rsid w:val="00EF23FA"/>
    <w:rsid w:val="00EF253B"/>
    <w:rsid w:val="00EF27E3"/>
    <w:rsid w:val="00EF2D58"/>
    <w:rsid w:val="00EF2EBE"/>
    <w:rsid w:val="00EF34C5"/>
    <w:rsid w:val="00EF41DD"/>
    <w:rsid w:val="00EF43F1"/>
    <w:rsid w:val="00EF44B8"/>
    <w:rsid w:val="00EF4730"/>
    <w:rsid w:val="00EF509A"/>
    <w:rsid w:val="00EF5D59"/>
    <w:rsid w:val="00EF5FBD"/>
    <w:rsid w:val="00EF6754"/>
    <w:rsid w:val="00EF6C74"/>
    <w:rsid w:val="00EF73E6"/>
    <w:rsid w:val="00F000CA"/>
    <w:rsid w:val="00F01044"/>
    <w:rsid w:val="00F0133B"/>
    <w:rsid w:val="00F01BD8"/>
    <w:rsid w:val="00F01FF1"/>
    <w:rsid w:val="00F029DA"/>
    <w:rsid w:val="00F02E2D"/>
    <w:rsid w:val="00F02EAE"/>
    <w:rsid w:val="00F04160"/>
    <w:rsid w:val="00F047EE"/>
    <w:rsid w:val="00F04AB6"/>
    <w:rsid w:val="00F04F2E"/>
    <w:rsid w:val="00F04FE3"/>
    <w:rsid w:val="00F050AD"/>
    <w:rsid w:val="00F050C0"/>
    <w:rsid w:val="00F05841"/>
    <w:rsid w:val="00F06DD5"/>
    <w:rsid w:val="00F0760B"/>
    <w:rsid w:val="00F07842"/>
    <w:rsid w:val="00F07B27"/>
    <w:rsid w:val="00F113BE"/>
    <w:rsid w:val="00F115B7"/>
    <w:rsid w:val="00F116B0"/>
    <w:rsid w:val="00F11AD2"/>
    <w:rsid w:val="00F1247B"/>
    <w:rsid w:val="00F12595"/>
    <w:rsid w:val="00F1273A"/>
    <w:rsid w:val="00F12FB0"/>
    <w:rsid w:val="00F13421"/>
    <w:rsid w:val="00F1349A"/>
    <w:rsid w:val="00F13517"/>
    <w:rsid w:val="00F1388A"/>
    <w:rsid w:val="00F13BB2"/>
    <w:rsid w:val="00F14188"/>
    <w:rsid w:val="00F147F0"/>
    <w:rsid w:val="00F14F01"/>
    <w:rsid w:val="00F153BC"/>
    <w:rsid w:val="00F1561D"/>
    <w:rsid w:val="00F1576B"/>
    <w:rsid w:val="00F15828"/>
    <w:rsid w:val="00F15B24"/>
    <w:rsid w:val="00F16041"/>
    <w:rsid w:val="00F1713D"/>
    <w:rsid w:val="00F202BC"/>
    <w:rsid w:val="00F20408"/>
    <w:rsid w:val="00F20444"/>
    <w:rsid w:val="00F20520"/>
    <w:rsid w:val="00F207AD"/>
    <w:rsid w:val="00F20CDC"/>
    <w:rsid w:val="00F20E73"/>
    <w:rsid w:val="00F20EE6"/>
    <w:rsid w:val="00F21836"/>
    <w:rsid w:val="00F234B6"/>
    <w:rsid w:val="00F24B4A"/>
    <w:rsid w:val="00F24B62"/>
    <w:rsid w:val="00F24BD0"/>
    <w:rsid w:val="00F24F17"/>
    <w:rsid w:val="00F2518C"/>
    <w:rsid w:val="00F25403"/>
    <w:rsid w:val="00F25A2B"/>
    <w:rsid w:val="00F25A38"/>
    <w:rsid w:val="00F25B2A"/>
    <w:rsid w:val="00F25CEB"/>
    <w:rsid w:val="00F2648B"/>
    <w:rsid w:val="00F26915"/>
    <w:rsid w:val="00F2695C"/>
    <w:rsid w:val="00F26DB8"/>
    <w:rsid w:val="00F27303"/>
    <w:rsid w:val="00F27467"/>
    <w:rsid w:val="00F27A37"/>
    <w:rsid w:val="00F27AAB"/>
    <w:rsid w:val="00F30143"/>
    <w:rsid w:val="00F30D54"/>
    <w:rsid w:val="00F312B6"/>
    <w:rsid w:val="00F3130B"/>
    <w:rsid w:val="00F3144D"/>
    <w:rsid w:val="00F31511"/>
    <w:rsid w:val="00F315FC"/>
    <w:rsid w:val="00F31681"/>
    <w:rsid w:val="00F31712"/>
    <w:rsid w:val="00F31C63"/>
    <w:rsid w:val="00F322E3"/>
    <w:rsid w:val="00F336DB"/>
    <w:rsid w:val="00F336E3"/>
    <w:rsid w:val="00F337A7"/>
    <w:rsid w:val="00F33DBF"/>
    <w:rsid w:val="00F33EF9"/>
    <w:rsid w:val="00F3434F"/>
    <w:rsid w:val="00F356CC"/>
    <w:rsid w:val="00F357B4"/>
    <w:rsid w:val="00F35E93"/>
    <w:rsid w:val="00F36912"/>
    <w:rsid w:val="00F36B70"/>
    <w:rsid w:val="00F3709F"/>
    <w:rsid w:val="00F375FF"/>
    <w:rsid w:val="00F37CE0"/>
    <w:rsid w:val="00F37E0C"/>
    <w:rsid w:val="00F400A5"/>
    <w:rsid w:val="00F40398"/>
    <w:rsid w:val="00F40732"/>
    <w:rsid w:val="00F40C54"/>
    <w:rsid w:val="00F40E15"/>
    <w:rsid w:val="00F41655"/>
    <w:rsid w:val="00F41BE5"/>
    <w:rsid w:val="00F41F3E"/>
    <w:rsid w:val="00F42095"/>
    <w:rsid w:val="00F42C1D"/>
    <w:rsid w:val="00F430C5"/>
    <w:rsid w:val="00F4313C"/>
    <w:rsid w:val="00F438F3"/>
    <w:rsid w:val="00F43CA7"/>
    <w:rsid w:val="00F43E85"/>
    <w:rsid w:val="00F444BC"/>
    <w:rsid w:val="00F44EA9"/>
    <w:rsid w:val="00F44ED4"/>
    <w:rsid w:val="00F450E1"/>
    <w:rsid w:val="00F454C0"/>
    <w:rsid w:val="00F45CDE"/>
    <w:rsid w:val="00F45D9F"/>
    <w:rsid w:val="00F45E7B"/>
    <w:rsid w:val="00F4624B"/>
    <w:rsid w:val="00F4657D"/>
    <w:rsid w:val="00F46B44"/>
    <w:rsid w:val="00F46F13"/>
    <w:rsid w:val="00F47018"/>
    <w:rsid w:val="00F47BFB"/>
    <w:rsid w:val="00F47D42"/>
    <w:rsid w:val="00F47EBF"/>
    <w:rsid w:val="00F50122"/>
    <w:rsid w:val="00F50249"/>
    <w:rsid w:val="00F503DF"/>
    <w:rsid w:val="00F504A6"/>
    <w:rsid w:val="00F50753"/>
    <w:rsid w:val="00F5094B"/>
    <w:rsid w:val="00F50DE6"/>
    <w:rsid w:val="00F5107B"/>
    <w:rsid w:val="00F5176B"/>
    <w:rsid w:val="00F51B5B"/>
    <w:rsid w:val="00F52057"/>
    <w:rsid w:val="00F521F2"/>
    <w:rsid w:val="00F52265"/>
    <w:rsid w:val="00F53472"/>
    <w:rsid w:val="00F53489"/>
    <w:rsid w:val="00F5350F"/>
    <w:rsid w:val="00F536F9"/>
    <w:rsid w:val="00F538CB"/>
    <w:rsid w:val="00F53955"/>
    <w:rsid w:val="00F543FF"/>
    <w:rsid w:val="00F54691"/>
    <w:rsid w:val="00F5479F"/>
    <w:rsid w:val="00F54869"/>
    <w:rsid w:val="00F54F73"/>
    <w:rsid w:val="00F56428"/>
    <w:rsid w:val="00F56D0A"/>
    <w:rsid w:val="00F57239"/>
    <w:rsid w:val="00F57DCA"/>
    <w:rsid w:val="00F60631"/>
    <w:rsid w:val="00F606DA"/>
    <w:rsid w:val="00F60875"/>
    <w:rsid w:val="00F60CEF"/>
    <w:rsid w:val="00F60E73"/>
    <w:rsid w:val="00F618FF"/>
    <w:rsid w:val="00F61B03"/>
    <w:rsid w:val="00F61DAB"/>
    <w:rsid w:val="00F61DB9"/>
    <w:rsid w:val="00F63714"/>
    <w:rsid w:val="00F638C8"/>
    <w:rsid w:val="00F64E98"/>
    <w:rsid w:val="00F659B5"/>
    <w:rsid w:val="00F65CD8"/>
    <w:rsid w:val="00F66039"/>
    <w:rsid w:val="00F66C41"/>
    <w:rsid w:val="00F66D76"/>
    <w:rsid w:val="00F67CEB"/>
    <w:rsid w:val="00F70063"/>
    <w:rsid w:val="00F70128"/>
    <w:rsid w:val="00F70E9B"/>
    <w:rsid w:val="00F71008"/>
    <w:rsid w:val="00F713AC"/>
    <w:rsid w:val="00F71E05"/>
    <w:rsid w:val="00F71F9B"/>
    <w:rsid w:val="00F721B9"/>
    <w:rsid w:val="00F72C31"/>
    <w:rsid w:val="00F73179"/>
    <w:rsid w:val="00F73AE5"/>
    <w:rsid w:val="00F73D3E"/>
    <w:rsid w:val="00F73E35"/>
    <w:rsid w:val="00F74115"/>
    <w:rsid w:val="00F74869"/>
    <w:rsid w:val="00F75DFC"/>
    <w:rsid w:val="00F76645"/>
    <w:rsid w:val="00F76EE4"/>
    <w:rsid w:val="00F772CE"/>
    <w:rsid w:val="00F7757C"/>
    <w:rsid w:val="00F775B8"/>
    <w:rsid w:val="00F77B7D"/>
    <w:rsid w:val="00F77CB9"/>
    <w:rsid w:val="00F77F36"/>
    <w:rsid w:val="00F8020A"/>
    <w:rsid w:val="00F808EB"/>
    <w:rsid w:val="00F80D66"/>
    <w:rsid w:val="00F80EEA"/>
    <w:rsid w:val="00F8107B"/>
    <w:rsid w:val="00F814F2"/>
    <w:rsid w:val="00F81635"/>
    <w:rsid w:val="00F81897"/>
    <w:rsid w:val="00F819EA"/>
    <w:rsid w:val="00F81EA7"/>
    <w:rsid w:val="00F82061"/>
    <w:rsid w:val="00F82120"/>
    <w:rsid w:val="00F83022"/>
    <w:rsid w:val="00F83BD6"/>
    <w:rsid w:val="00F83CB0"/>
    <w:rsid w:val="00F84126"/>
    <w:rsid w:val="00F84997"/>
    <w:rsid w:val="00F849EB"/>
    <w:rsid w:val="00F853EA"/>
    <w:rsid w:val="00F857E0"/>
    <w:rsid w:val="00F86280"/>
    <w:rsid w:val="00F86460"/>
    <w:rsid w:val="00F8680B"/>
    <w:rsid w:val="00F86C0A"/>
    <w:rsid w:val="00F870D9"/>
    <w:rsid w:val="00F908A9"/>
    <w:rsid w:val="00F908D4"/>
    <w:rsid w:val="00F90A1B"/>
    <w:rsid w:val="00F90AEE"/>
    <w:rsid w:val="00F90FAE"/>
    <w:rsid w:val="00F91080"/>
    <w:rsid w:val="00F91538"/>
    <w:rsid w:val="00F917FE"/>
    <w:rsid w:val="00F91FDF"/>
    <w:rsid w:val="00F9249D"/>
    <w:rsid w:val="00F92DF2"/>
    <w:rsid w:val="00F93022"/>
    <w:rsid w:val="00F934B7"/>
    <w:rsid w:val="00F93694"/>
    <w:rsid w:val="00F93F71"/>
    <w:rsid w:val="00F9437F"/>
    <w:rsid w:val="00F94453"/>
    <w:rsid w:val="00F948ED"/>
    <w:rsid w:val="00F94A74"/>
    <w:rsid w:val="00F94EF6"/>
    <w:rsid w:val="00F950D9"/>
    <w:rsid w:val="00F966A5"/>
    <w:rsid w:val="00F969F6"/>
    <w:rsid w:val="00F96FFE"/>
    <w:rsid w:val="00F97D62"/>
    <w:rsid w:val="00F97D84"/>
    <w:rsid w:val="00FA0106"/>
    <w:rsid w:val="00FA04EB"/>
    <w:rsid w:val="00FA0745"/>
    <w:rsid w:val="00FA1445"/>
    <w:rsid w:val="00FA2498"/>
    <w:rsid w:val="00FA32DD"/>
    <w:rsid w:val="00FA394D"/>
    <w:rsid w:val="00FA3E8D"/>
    <w:rsid w:val="00FA41A9"/>
    <w:rsid w:val="00FA43F3"/>
    <w:rsid w:val="00FA4B27"/>
    <w:rsid w:val="00FA54F2"/>
    <w:rsid w:val="00FA5AD4"/>
    <w:rsid w:val="00FA5F83"/>
    <w:rsid w:val="00FA64F3"/>
    <w:rsid w:val="00FA668F"/>
    <w:rsid w:val="00FA6957"/>
    <w:rsid w:val="00FA697B"/>
    <w:rsid w:val="00FA77F6"/>
    <w:rsid w:val="00FB000E"/>
    <w:rsid w:val="00FB01C4"/>
    <w:rsid w:val="00FB06FC"/>
    <w:rsid w:val="00FB1466"/>
    <w:rsid w:val="00FB16BB"/>
    <w:rsid w:val="00FB1AF7"/>
    <w:rsid w:val="00FB1CC1"/>
    <w:rsid w:val="00FB1D82"/>
    <w:rsid w:val="00FB26E4"/>
    <w:rsid w:val="00FB2DC5"/>
    <w:rsid w:val="00FB398E"/>
    <w:rsid w:val="00FB3A21"/>
    <w:rsid w:val="00FB3ECE"/>
    <w:rsid w:val="00FB4490"/>
    <w:rsid w:val="00FB49AA"/>
    <w:rsid w:val="00FB5686"/>
    <w:rsid w:val="00FB57D6"/>
    <w:rsid w:val="00FB5AF7"/>
    <w:rsid w:val="00FB7159"/>
    <w:rsid w:val="00FB73B5"/>
    <w:rsid w:val="00FB75D5"/>
    <w:rsid w:val="00FB7DEF"/>
    <w:rsid w:val="00FC0260"/>
    <w:rsid w:val="00FC06CC"/>
    <w:rsid w:val="00FC0DFA"/>
    <w:rsid w:val="00FC1451"/>
    <w:rsid w:val="00FC150E"/>
    <w:rsid w:val="00FC1F2B"/>
    <w:rsid w:val="00FC24FB"/>
    <w:rsid w:val="00FC259D"/>
    <w:rsid w:val="00FC263A"/>
    <w:rsid w:val="00FC298C"/>
    <w:rsid w:val="00FC34B2"/>
    <w:rsid w:val="00FC359F"/>
    <w:rsid w:val="00FC4247"/>
    <w:rsid w:val="00FC4529"/>
    <w:rsid w:val="00FC47F0"/>
    <w:rsid w:val="00FC4D59"/>
    <w:rsid w:val="00FC5E41"/>
    <w:rsid w:val="00FC5EA9"/>
    <w:rsid w:val="00FC6072"/>
    <w:rsid w:val="00FC6224"/>
    <w:rsid w:val="00FC6422"/>
    <w:rsid w:val="00FC6770"/>
    <w:rsid w:val="00FC753D"/>
    <w:rsid w:val="00FC7D0A"/>
    <w:rsid w:val="00FD0053"/>
    <w:rsid w:val="00FD0253"/>
    <w:rsid w:val="00FD030D"/>
    <w:rsid w:val="00FD0845"/>
    <w:rsid w:val="00FD0DC4"/>
    <w:rsid w:val="00FD0E00"/>
    <w:rsid w:val="00FD0F02"/>
    <w:rsid w:val="00FD1216"/>
    <w:rsid w:val="00FD1C2F"/>
    <w:rsid w:val="00FD1F20"/>
    <w:rsid w:val="00FD209F"/>
    <w:rsid w:val="00FD2A38"/>
    <w:rsid w:val="00FD3272"/>
    <w:rsid w:val="00FD3E78"/>
    <w:rsid w:val="00FD595F"/>
    <w:rsid w:val="00FD6704"/>
    <w:rsid w:val="00FD682D"/>
    <w:rsid w:val="00FD765A"/>
    <w:rsid w:val="00FE00C7"/>
    <w:rsid w:val="00FE1A09"/>
    <w:rsid w:val="00FE1A61"/>
    <w:rsid w:val="00FE216C"/>
    <w:rsid w:val="00FE262F"/>
    <w:rsid w:val="00FE3F76"/>
    <w:rsid w:val="00FE3F8C"/>
    <w:rsid w:val="00FE5B6A"/>
    <w:rsid w:val="00FE5BDA"/>
    <w:rsid w:val="00FE5D59"/>
    <w:rsid w:val="00FE609A"/>
    <w:rsid w:val="00FE6976"/>
    <w:rsid w:val="00FF01BA"/>
    <w:rsid w:val="00FF01FF"/>
    <w:rsid w:val="00FF0C36"/>
    <w:rsid w:val="00FF248C"/>
    <w:rsid w:val="00FF24D5"/>
    <w:rsid w:val="00FF3366"/>
    <w:rsid w:val="00FF350E"/>
    <w:rsid w:val="00FF39E6"/>
    <w:rsid w:val="00FF4ADD"/>
    <w:rsid w:val="00FF4CB2"/>
    <w:rsid w:val="00FF62E1"/>
    <w:rsid w:val="00FF6B3E"/>
    <w:rsid w:val="00FF6BB4"/>
    <w:rsid w:val="00FF7425"/>
    <w:rsid w:val="00FF74B7"/>
    <w:rsid w:val="00FF7E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E3D2D1"/>
  <w14:defaultImageDpi w14:val="330"/>
  <w15:docId w15:val="{94E26AE1-BC38-47E9-A177-F63EC853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C350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453A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69A1"/>
    <w:rPr>
      <w:sz w:val="18"/>
      <w:szCs w:val="18"/>
    </w:rPr>
  </w:style>
  <w:style w:type="paragraph" w:styleId="CommentText">
    <w:name w:val="annotation text"/>
    <w:basedOn w:val="Normal"/>
    <w:link w:val="CommentTextChar"/>
    <w:uiPriority w:val="99"/>
    <w:unhideWhenUsed/>
    <w:rsid w:val="003769A1"/>
  </w:style>
  <w:style w:type="character" w:customStyle="1" w:styleId="CommentTextChar">
    <w:name w:val="Comment Text Char"/>
    <w:basedOn w:val="DefaultParagraphFont"/>
    <w:link w:val="CommentText"/>
    <w:uiPriority w:val="99"/>
    <w:rsid w:val="003769A1"/>
  </w:style>
  <w:style w:type="paragraph" w:styleId="CommentSubject">
    <w:name w:val="annotation subject"/>
    <w:basedOn w:val="CommentText"/>
    <w:next w:val="CommentText"/>
    <w:link w:val="CommentSubjectChar"/>
    <w:uiPriority w:val="99"/>
    <w:semiHidden/>
    <w:unhideWhenUsed/>
    <w:rsid w:val="003769A1"/>
    <w:rPr>
      <w:b/>
      <w:bCs/>
      <w:sz w:val="20"/>
      <w:szCs w:val="20"/>
    </w:rPr>
  </w:style>
  <w:style w:type="character" w:customStyle="1" w:styleId="CommentSubjectChar">
    <w:name w:val="Comment Subject Char"/>
    <w:basedOn w:val="CommentTextChar"/>
    <w:link w:val="CommentSubject"/>
    <w:uiPriority w:val="99"/>
    <w:semiHidden/>
    <w:rsid w:val="003769A1"/>
    <w:rPr>
      <w:b/>
      <w:bCs/>
      <w:sz w:val="20"/>
      <w:szCs w:val="20"/>
    </w:rPr>
  </w:style>
  <w:style w:type="paragraph" w:styleId="BalloonText">
    <w:name w:val="Balloon Text"/>
    <w:basedOn w:val="Normal"/>
    <w:link w:val="BalloonTextChar"/>
    <w:uiPriority w:val="99"/>
    <w:semiHidden/>
    <w:unhideWhenUsed/>
    <w:rsid w:val="003769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69A1"/>
    <w:rPr>
      <w:rFonts w:ascii="Lucida Grande" w:hAnsi="Lucida Grande" w:cs="Lucida Grande"/>
      <w:sz w:val="18"/>
      <w:szCs w:val="18"/>
    </w:rPr>
  </w:style>
  <w:style w:type="paragraph" w:styleId="ListParagraph">
    <w:name w:val="List Paragraph"/>
    <w:basedOn w:val="Normal"/>
    <w:uiPriority w:val="34"/>
    <w:qFormat/>
    <w:rsid w:val="00F849EB"/>
    <w:pPr>
      <w:ind w:left="720"/>
      <w:contextualSpacing/>
    </w:pPr>
  </w:style>
  <w:style w:type="paragraph" w:styleId="FootnoteText">
    <w:name w:val="footnote text"/>
    <w:basedOn w:val="Normal"/>
    <w:link w:val="FootnoteTextChar"/>
    <w:uiPriority w:val="99"/>
    <w:unhideWhenUsed/>
    <w:rsid w:val="009F4133"/>
  </w:style>
  <w:style w:type="character" w:customStyle="1" w:styleId="FootnoteTextChar">
    <w:name w:val="Footnote Text Char"/>
    <w:basedOn w:val="DefaultParagraphFont"/>
    <w:link w:val="FootnoteText"/>
    <w:uiPriority w:val="99"/>
    <w:rsid w:val="009F4133"/>
  </w:style>
  <w:style w:type="character" w:styleId="FootnoteReference">
    <w:name w:val="footnote reference"/>
    <w:aliases w:val="Footnote symbol,Times 10 Point,Exposant 3 Point,footnote ref"/>
    <w:basedOn w:val="DefaultParagraphFont"/>
    <w:uiPriority w:val="99"/>
    <w:unhideWhenUsed/>
    <w:rsid w:val="009F4133"/>
    <w:rPr>
      <w:vertAlign w:val="superscript"/>
    </w:rPr>
  </w:style>
  <w:style w:type="paragraph" w:styleId="Footer">
    <w:name w:val="footer"/>
    <w:basedOn w:val="Normal"/>
    <w:link w:val="FooterChar"/>
    <w:uiPriority w:val="99"/>
    <w:unhideWhenUsed/>
    <w:rsid w:val="00B56723"/>
    <w:pPr>
      <w:tabs>
        <w:tab w:val="center" w:pos="4320"/>
        <w:tab w:val="right" w:pos="8640"/>
      </w:tabs>
    </w:pPr>
  </w:style>
  <w:style w:type="character" w:customStyle="1" w:styleId="FooterChar">
    <w:name w:val="Footer Char"/>
    <w:basedOn w:val="DefaultParagraphFont"/>
    <w:link w:val="Footer"/>
    <w:uiPriority w:val="99"/>
    <w:rsid w:val="00B56723"/>
  </w:style>
  <w:style w:type="character" w:styleId="PageNumber">
    <w:name w:val="page number"/>
    <w:basedOn w:val="DefaultParagraphFont"/>
    <w:uiPriority w:val="99"/>
    <w:semiHidden/>
    <w:unhideWhenUsed/>
    <w:rsid w:val="00B56723"/>
  </w:style>
  <w:style w:type="character" w:customStyle="1" w:styleId="personname">
    <w:name w:val="person_name"/>
    <w:basedOn w:val="DefaultParagraphFont"/>
    <w:rsid w:val="00A571D4"/>
  </w:style>
  <w:style w:type="character" w:styleId="Emphasis">
    <w:name w:val="Emphasis"/>
    <w:basedOn w:val="DefaultParagraphFont"/>
    <w:uiPriority w:val="20"/>
    <w:qFormat/>
    <w:rsid w:val="00A571D4"/>
    <w:rPr>
      <w:i/>
      <w:iCs/>
    </w:rPr>
  </w:style>
  <w:style w:type="character" w:styleId="Hyperlink">
    <w:name w:val="Hyperlink"/>
    <w:basedOn w:val="DefaultParagraphFont"/>
    <w:uiPriority w:val="99"/>
    <w:unhideWhenUsed/>
    <w:rsid w:val="00F25CEB"/>
    <w:rPr>
      <w:color w:val="0000FF"/>
      <w:u w:val="single"/>
    </w:rPr>
  </w:style>
  <w:style w:type="character" w:styleId="Strong">
    <w:name w:val="Strong"/>
    <w:basedOn w:val="DefaultParagraphFont"/>
    <w:uiPriority w:val="22"/>
    <w:qFormat/>
    <w:rsid w:val="003F2233"/>
    <w:rPr>
      <w:b/>
      <w:bCs/>
    </w:rPr>
  </w:style>
  <w:style w:type="table" w:styleId="TableGrid">
    <w:name w:val="Table Grid"/>
    <w:basedOn w:val="TableNormal"/>
    <w:uiPriority w:val="39"/>
    <w:rsid w:val="00E2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lite">
    <w:name w:val="hithilite"/>
    <w:basedOn w:val="DefaultParagraphFont"/>
    <w:rsid w:val="00B56DDB"/>
  </w:style>
  <w:style w:type="character" w:customStyle="1" w:styleId="label">
    <w:name w:val="label"/>
    <w:basedOn w:val="DefaultParagraphFont"/>
    <w:rsid w:val="00B56DDB"/>
  </w:style>
  <w:style w:type="character" w:customStyle="1" w:styleId="databold">
    <w:name w:val="data_bold"/>
    <w:basedOn w:val="DefaultParagraphFont"/>
    <w:rsid w:val="00B56DDB"/>
  </w:style>
  <w:style w:type="character" w:customStyle="1" w:styleId="standard1">
    <w:name w:val="standard1"/>
    <w:rsid w:val="0046183D"/>
    <w:rPr>
      <w:rFonts w:ascii="Verdana" w:hAnsi="Verdana" w:hint="default"/>
      <w:i w:val="0"/>
      <w:iCs w:val="0"/>
      <w:color w:val="000000"/>
      <w:sz w:val="20"/>
      <w:szCs w:val="20"/>
    </w:rPr>
  </w:style>
  <w:style w:type="paragraph" w:customStyle="1" w:styleId="standard">
    <w:name w:val="standard"/>
    <w:basedOn w:val="Normal"/>
    <w:rsid w:val="0046183D"/>
    <w:pPr>
      <w:spacing w:before="100" w:beforeAutospacing="1" w:after="100" w:afterAutospacing="1"/>
    </w:pPr>
    <w:rPr>
      <w:rFonts w:ascii="Verdana" w:eastAsia="Times New Roman" w:hAnsi="Verdana" w:cs="Times New Roman"/>
      <w:color w:val="000000"/>
      <w:sz w:val="20"/>
      <w:szCs w:val="20"/>
      <w:lang w:eastAsia="en-GB"/>
    </w:rPr>
  </w:style>
  <w:style w:type="character" w:styleId="UnresolvedMention">
    <w:name w:val="Unresolved Mention"/>
    <w:basedOn w:val="DefaultParagraphFont"/>
    <w:uiPriority w:val="99"/>
    <w:semiHidden/>
    <w:unhideWhenUsed/>
    <w:rsid w:val="00345892"/>
    <w:rPr>
      <w:color w:val="605E5C"/>
      <w:shd w:val="clear" w:color="auto" w:fill="E1DFDD"/>
    </w:rPr>
  </w:style>
  <w:style w:type="paragraph" w:customStyle="1" w:styleId="xmsonormal">
    <w:name w:val="x_msonormal"/>
    <w:basedOn w:val="Normal"/>
    <w:rsid w:val="0026026E"/>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232C89"/>
    <w:pPr>
      <w:spacing w:before="100" w:beforeAutospacing="1" w:after="100" w:afterAutospacing="1"/>
    </w:pPr>
    <w:rPr>
      <w:rFonts w:ascii="Times New Roman" w:eastAsia="Times New Roman" w:hAnsi="Times New Roman" w:cs="Times New Roman"/>
      <w:lang w:eastAsia="en-GB"/>
    </w:rPr>
  </w:style>
  <w:style w:type="paragraph" w:customStyle="1" w:styleId="xxxmsonormal">
    <w:name w:val="x_xxmsonormal"/>
    <w:basedOn w:val="Normal"/>
    <w:rsid w:val="00232C89"/>
    <w:pPr>
      <w:spacing w:before="100" w:beforeAutospacing="1" w:after="100" w:afterAutospacing="1"/>
    </w:pPr>
    <w:rPr>
      <w:rFonts w:ascii="Times New Roman" w:eastAsia="Times New Roman" w:hAnsi="Times New Roman" w:cs="Times New Roman"/>
      <w:lang w:eastAsia="en-GB"/>
    </w:rPr>
  </w:style>
  <w:style w:type="character" w:customStyle="1" w:styleId="A5">
    <w:name w:val="A5"/>
    <w:uiPriority w:val="99"/>
    <w:rsid w:val="00F67CEB"/>
    <w:rPr>
      <w:color w:val="000000"/>
    </w:rPr>
  </w:style>
  <w:style w:type="paragraph" w:customStyle="1" w:styleId="Default">
    <w:name w:val="Default"/>
    <w:rsid w:val="006916F4"/>
    <w:pPr>
      <w:autoSpaceDE w:val="0"/>
      <w:autoSpaceDN w:val="0"/>
      <w:adjustRightInd w:val="0"/>
    </w:pPr>
    <w:rPr>
      <w:rFonts w:ascii="Times New Roman" w:eastAsiaTheme="minorHAnsi" w:hAnsi="Times New Roman" w:cs="Times New Roman"/>
      <w:color w:val="000000"/>
    </w:rPr>
  </w:style>
  <w:style w:type="character" w:styleId="FollowedHyperlink">
    <w:name w:val="FollowedHyperlink"/>
    <w:basedOn w:val="DefaultParagraphFont"/>
    <w:uiPriority w:val="99"/>
    <w:semiHidden/>
    <w:unhideWhenUsed/>
    <w:rsid w:val="00F47D42"/>
    <w:rPr>
      <w:color w:val="800080" w:themeColor="followedHyperlink"/>
      <w:u w:val="single"/>
    </w:rPr>
  </w:style>
  <w:style w:type="paragraph" w:styleId="Header">
    <w:name w:val="header"/>
    <w:basedOn w:val="Normal"/>
    <w:link w:val="HeaderChar"/>
    <w:uiPriority w:val="99"/>
    <w:unhideWhenUsed/>
    <w:rsid w:val="00B45196"/>
    <w:pPr>
      <w:tabs>
        <w:tab w:val="center" w:pos="4513"/>
        <w:tab w:val="right" w:pos="9026"/>
      </w:tabs>
    </w:pPr>
  </w:style>
  <w:style w:type="character" w:customStyle="1" w:styleId="HeaderChar">
    <w:name w:val="Header Char"/>
    <w:basedOn w:val="DefaultParagraphFont"/>
    <w:link w:val="Header"/>
    <w:uiPriority w:val="99"/>
    <w:rsid w:val="00B45196"/>
  </w:style>
  <w:style w:type="character" w:customStyle="1" w:styleId="Heading1Char">
    <w:name w:val="Heading 1 Char"/>
    <w:basedOn w:val="DefaultParagraphFont"/>
    <w:link w:val="Heading1"/>
    <w:uiPriority w:val="9"/>
    <w:rsid w:val="00EC3506"/>
    <w:rPr>
      <w:rFonts w:ascii="Times New Roman" w:eastAsia="Times New Roman" w:hAnsi="Times New Roman" w:cs="Times New Roman"/>
      <w:b/>
      <w:bCs/>
      <w:kern w:val="36"/>
      <w:sz w:val="48"/>
      <w:szCs w:val="48"/>
      <w:lang w:eastAsia="en-GB"/>
    </w:rPr>
  </w:style>
  <w:style w:type="paragraph" w:styleId="Revision">
    <w:name w:val="Revision"/>
    <w:hidden/>
    <w:uiPriority w:val="99"/>
    <w:semiHidden/>
    <w:rsid w:val="00EC3506"/>
  </w:style>
  <w:style w:type="character" w:customStyle="1" w:styleId="A10">
    <w:name w:val="A10"/>
    <w:uiPriority w:val="99"/>
    <w:rsid w:val="00BC7CA5"/>
    <w:rPr>
      <w:rFonts w:cs="Roboto Light"/>
      <w:color w:val="25599B"/>
      <w:sz w:val="22"/>
      <w:szCs w:val="22"/>
      <w:u w:val="single"/>
    </w:rPr>
  </w:style>
  <w:style w:type="character" w:customStyle="1" w:styleId="cf01">
    <w:name w:val="cf01"/>
    <w:basedOn w:val="DefaultParagraphFont"/>
    <w:rsid w:val="00F82120"/>
    <w:rPr>
      <w:rFonts w:ascii="Segoe UI" w:hAnsi="Segoe UI" w:cs="Segoe UI" w:hint="default"/>
      <w:b/>
      <w:bCs/>
      <w:color w:val="FF0000"/>
      <w:sz w:val="18"/>
      <w:szCs w:val="18"/>
    </w:rPr>
  </w:style>
  <w:style w:type="character" w:customStyle="1" w:styleId="cf11">
    <w:name w:val="cf11"/>
    <w:basedOn w:val="DefaultParagraphFont"/>
    <w:rsid w:val="00F82120"/>
    <w:rPr>
      <w:rFonts w:ascii="Segoe UI" w:hAnsi="Segoe UI" w:cs="Segoe UI" w:hint="default"/>
      <w:b/>
      <w:bCs/>
      <w:i/>
      <w:iCs/>
      <w:color w:val="FF0000"/>
      <w:sz w:val="18"/>
      <w:szCs w:val="18"/>
    </w:rPr>
  </w:style>
  <w:style w:type="paragraph" w:styleId="PlainText">
    <w:name w:val="Plain Text"/>
    <w:basedOn w:val="Normal"/>
    <w:link w:val="PlainTextChar"/>
    <w:uiPriority w:val="99"/>
    <w:unhideWhenUsed/>
    <w:rsid w:val="00FA668F"/>
    <w:rPr>
      <w:rFonts w:ascii="Consolas" w:eastAsia="Calibri" w:hAnsi="Consolas"/>
      <w:sz w:val="21"/>
      <w:szCs w:val="21"/>
    </w:rPr>
  </w:style>
  <w:style w:type="character" w:customStyle="1" w:styleId="PlainTextChar">
    <w:name w:val="Plain Text Char"/>
    <w:basedOn w:val="DefaultParagraphFont"/>
    <w:link w:val="PlainText"/>
    <w:uiPriority w:val="99"/>
    <w:rsid w:val="00FA668F"/>
    <w:rPr>
      <w:rFonts w:ascii="Consolas" w:eastAsia="Calibri" w:hAnsi="Consolas"/>
      <w:sz w:val="21"/>
      <w:szCs w:val="21"/>
    </w:rPr>
  </w:style>
  <w:style w:type="character" w:customStyle="1" w:styleId="Heading2Char">
    <w:name w:val="Heading 2 Char"/>
    <w:basedOn w:val="DefaultParagraphFont"/>
    <w:link w:val="Heading2"/>
    <w:uiPriority w:val="9"/>
    <w:semiHidden/>
    <w:rsid w:val="00453AA5"/>
    <w:rPr>
      <w:rFonts w:asciiTheme="majorHAnsi" w:eastAsiaTheme="majorEastAsia" w:hAnsiTheme="majorHAnsi" w:cstheme="majorBidi"/>
      <w:color w:val="365F91" w:themeColor="accent1" w:themeShade="BF"/>
      <w:sz w:val="26"/>
      <w:szCs w:val="26"/>
    </w:rPr>
  </w:style>
  <w:style w:type="character" w:customStyle="1" w:styleId="font-ui">
    <w:name w:val="font-ui"/>
    <w:basedOn w:val="DefaultParagraphFont"/>
    <w:rsid w:val="00453AA5"/>
  </w:style>
  <w:style w:type="paragraph" w:customStyle="1" w:styleId="pf0">
    <w:name w:val="pf0"/>
    <w:basedOn w:val="Normal"/>
    <w:rsid w:val="00DF059E"/>
    <w:pPr>
      <w:spacing w:before="100" w:beforeAutospacing="1" w:after="100" w:afterAutospacing="1"/>
    </w:pPr>
    <w:rPr>
      <w:rFonts w:ascii="Times New Roman" w:eastAsia="Times New Roman" w:hAnsi="Times New Roman" w:cs="Times New Roman"/>
      <w:lang w:eastAsia="en-GB"/>
    </w:rPr>
  </w:style>
  <w:style w:type="character" w:customStyle="1" w:styleId="cf21">
    <w:name w:val="cf21"/>
    <w:basedOn w:val="DefaultParagraphFont"/>
    <w:rsid w:val="00DF059E"/>
    <w:rPr>
      <w:rFonts w:ascii="Segoe UI" w:hAnsi="Segoe UI" w:cs="Segoe UI" w:hint="default"/>
      <w:color w:val="313131"/>
      <w:sz w:val="18"/>
      <w:szCs w:val="18"/>
    </w:rPr>
  </w:style>
  <w:style w:type="character" w:customStyle="1" w:styleId="cf31">
    <w:name w:val="cf31"/>
    <w:basedOn w:val="DefaultParagraphFont"/>
    <w:rsid w:val="00DF059E"/>
    <w:rPr>
      <w:rFonts w:ascii="Segoe UI" w:hAnsi="Segoe UI" w:cs="Segoe UI" w:hint="default"/>
      <w:b/>
      <w:bCs/>
      <w:i/>
      <w:iCs/>
      <w:color w:val="313131"/>
      <w:sz w:val="18"/>
      <w:szCs w:val="18"/>
    </w:rPr>
  </w:style>
  <w:style w:type="character" w:customStyle="1" w:styleId="identifier">
    <w:name w:val="identifier"/>
    <w:basedOn w:val="DefaultParagraphFont"/>
    <w:rsid w:val="00CB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4039">
      <w:bodyDiv w:val="1"/>
      <w:marLeft w:val="0"/>
      <w:marRight w:val="0"/>
      <w:marTop w:val="0"/>
      <w:marBottom w:val="0"/>
      <w:divBdr>
        <w:top w:val="none" w:sz="0" w:space="0" w:color="auto"/>
        <w:left w:val="none" w:sz="0" w:space="0" w:color="auto"/>
        <w:bottom w:val="none" w:sz="0" w:space="0" w:color="auto"/>
        <w:right w:val="none" w:sz="0" w:space="0" w:color="auto"/>
      </w:divBdr>
    </w:div>
    <w:div w:id="123282327">
      <w:bodyDiv w:val="1"/>
      <w:marLeft w:val="0"/>
      <w:marRight w:val="0"/>
      <w:marTop w:val="0"/>
      <w:marBottom w:val="0"/>
      <w:divBdr>
        <w:top w:val="none" w:sz="0" w:space="0" w:color="auto"/>
        <w:left w:val="none" w:sz="0" w:space="0" w:color="auto"/>
        <w:bottom w:val="none" w:sz="0" w:space="0" w:color="auto"/>
        <w:right w:val="none" w:sz="0" w:space="0" w:color="auto"/>
      </w:divBdr>
    </w:div>
    <w:div w:id="204411384">
      <w:bodyDiv w:val="1"/>
      <w:marLeft w:val="0"/>
      <w:marRight w:val="0"/>
      <w:marTop w:val="0"/>
      <w:marBottom w:val="0"/>
      <w:divBdr>
        <w:top w:val="none" w:sz="0" w:space="0" w:color="auto"/>
        <w:left w:val="none" w:sz="0" w:space="0" w:color="auto"/>
        <w:bottom w:val="none" w:sz="0" w:space="0" w:color="auto"/>
        <w:right w:val="none" w:sz="0" w:space="0" w:color="auto"/>
      </w:divBdr>
    </w:div>
    <w:div w:id="410085379">
      <w:bodyDiv w:val="1"/>
      <w:marLeft w:val="0"/>
      <w:marRight w:val="0"/>
      <w:marTop w:val="0"/>
      <w:marBottom w:val="0"/>
      <w:divBdr>
        <w:top w:val="none" w:sz="0" w:space="0" w:color="auto"/>
        <w:left w:val="none" w:sz="0" w:space="0" w:color="auto"/>
        <w:bottom w:val="none" w:sz="0" w:space="0" w:color="auto"/>
        <w:right w:val="none" w:sz="0" w:space="0" w:color="auto"/>
      </w:divBdr>
      <w:divsChild>
        <w:div w:id="1253514174">
          <w:marLeft w:val="0"/>
          <w:marRight w:val="0"/>
          <w:marTop w:val="0"/>
          <w:marBottom w:val="0"/>
          <w:divBdr>
            <w:top w:val="none" w:sz="0" w:space="0" w:color="auto"/>
            <w:left w:val="none" w:sz="0" w:space="0" w:color="auto"/>
            <w:bottom w:val="none" w:sz="0" w:space="0" w:color="auto"/>
            <w:right w:val="none" w:sz="0" w:space="0" w:color="auto"/>
          </w:divBdr>
          <w:divsChild>
            <w:div w:id="1747534488">
              <w:marLeft w:val="0"/>
              <w:marRight w:val="0"/>
              <w:marTop w:val="0"/>
              <w:marBottom w:val="0"/>
              <w:divBdr>
                <w:top w:val="none" w:sz="0" w:space="0" w:color="auto"/>
                <w:left w:val="none" w:sz="0" w:space="0" w:color="auto"/>
                <w:bottom w:val="none" w:sz="0" w:space="0" w:color="auto"/>
                <w:right w:val="none" w:sz="0" w:space="0" w:color="auto"/>
              </w:divBdr>
            </w:div>
          </w:divsChild>
        </w:div>
        <w:div w:id="1291745069">
          <w:marLeft w:val="0"/>
          <w:marRight w:val="0"/>
          <w:marTop w:val="0"/>
          <w:marBottom w:val="0"/>
          <w:divBdr>
            <w:top w:val="none" w:sz="0" w:space="0" w:color="auto"/>
            <w:left w:val="none" w:sz="0" w:space="0" w:color="auto"/>
            <w:bottom w:val="none" w:sz="0" w:space="0" w:color="auto"/>
            <w:right w:val="none" w:sz="0" w:space="0" w:color="auto"/>
          </w:divBdr>
          <w:divsChild>
            <w:div w:id="458257948">
              <w:marLeft w:val="0"/>
              <w:marRight w:val="0"/>
              <w:marTop w:val="0"/>
              <w:marBottom w:val="0"/>
              <w:divBdr>
                <w:top w:val="none" w:sz="0" w:space="0" w:color="auto"/>
                <w:left w:val="none" w:sz="0" w:space="0" w:color="auto"/>
                <w:bottom w:val="none" w:sz="0" w:space="0" w:color="auto"/>
                <w:right w:val="none" w:sz="0" w:space="0" w:color="auto"/>
              </w:divBdr>
              <w:divsChild>
                <w:div w:id="1606379718">
                  <w:marLeft w:val="0"/>
                  <w:marRight w:val="0"/>
                  <w:marTop w:val="0"/>
                  <w:marBottom w:val="0"/>
                  <w:divBdr>
                    <w:top w:val="none" w:sz="0" w:space="0" w:color="auto"/>
                    <w:left w:val="none" w:sz="0" w:space="0" w:color="auto"/>
                    <w:bottom w:val="none" w:sz="0" w:space="0" w:color="auto"/>
                    <w:right w:val="none" w:sz="0" w:space="0" w:color="auto"/>
                  </w:divBdr>
                  <w:divsChild>
                    <w:div w:id="1405910681">
                      <w:marLeft w:val="0"/>
                      <w:marRight w:val="0"/>
                      <w:marTop w:val="0"/>
                      <w:marBottom w:val="0"/>
                      <w:divBdr>
                        <w:top w:val="none" w:sz="0" w:space="0" w:color="auto"/>
                        <w:left w:val="none" w:sz="0" w:space="0" w:color="auto"/>
                        <w:bottom w:val="none" w:sz="0" w:space="0" w:color="auto"/>
                        <w:right w:val="none" w:sz="0" w:space="0" w:color="auto"/>
                      </w:divBdr>
                    </w:div>
                  </w:divsChild>
                </w:div>
                <w:div w:id="382103048">
                  <w:marLeft w:val="0"/>
                  <w:marRight w:val="0"/>
                  <w:marTop w:val="0"/>
                  <w:marBottom w:val="0"/>
                  <w:divBdr>
                    <w:top w:val="none" w:sz="0" w:space="0" w:color="auto"/>
                    <w:left w:val="none" w:sz="0" w:space="0" w:color="auto"/>
                    <w:bottom w:val="none" w:sz="0" w:space="0" w:color="auto"/>
                    <w:right w:val="none" w:sz="0" w:space="0" w:color="auto"/>
                  </w:divBdr>
                </w:div>
                <w:div w:id="1159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836583">
      <w:bodyDiv w:val="1"/>
      <w:marLeft w:val="0"/>
      <w:marRight w:val="0"/>
      <w:marTop w:val="0"/>
      <w:marBottom w:val="0"/>
      <w:divBdr>
        <w:top w:val="none" w:sz="0" w:space="0" w:color="auto"/>
        <w:left w:val="none" w:sz="0" w:space="0" w:color="auto"/>
        <w:bottom w:val="none" w:sz="0" w:space="0" w:color="auto"/>
        <w:right w:val="none" w:sz="0" w:space="0" w:color="auto"/>
      </w:divBdr>
      <w:divsChild>
        <w:div w:id="1833136868">
          <w:marLeft w:val="0"/>
          <w:marRight w:val="0"/>
          <w:marTop w:val="0"/>
          <w:marBottom w:val="0"/>
          <w:divBdr>
            <w:top w:val="none" w:sz="0" w:space="0" w:color="auto"/>
            <w:left w:val="none" w:sz="0" w:space="0" w:color="auto"/>
            <w:bottom w:val="none" w:sz="0" w:space="0" w:color="auto"/>
            <w:right w:val="none" w:sz="0" w:space="0" w:color="auto"/>
          </w:divBdr>
          <w:divsChild>
            <w:div w:id="2000765119">
              <w:marLeft w:val="0"/>
              <w:marRight w:val="0"/>
              <w:marTop w:val="0"/>
              <w:marBottom w:val="0"/>
              <w:divBdr>
                <w:top w:val="none" w:sz="0" w:space="0" w:color="auto"/>
                <w:left w:val="none" w:sz="0" w:space="0" w:color="auto"/>
                <w:bottom w:val="none" w:sz="0" w:space="0" w:color="auto"/>
                <w:right w:val="none" w:sz="0" w:space="0" w:color="auto"/>
              </w:divBdr>
            </w:div>
          </w:divsChild>
        </w:div>
        <w:div w:id="91438538">
          <w:marLeft w:val="0"/>
          <w:marRight w:val="0"/>
          <w:marTop w:val="0"/>
          <w:marBottom w:val="0"/>
          <w:divBdr>
            <w:top w:val="none" w:sz="0" w:space="0" w:color="auto"/>
            <w:left w:val="none" w:sz="0" w:space="0" w:color="auto"/>
            <w:bottom w:val="none" w:sz="0" w:space="0" w:color="auto"/>
            <w:right w:val="none" w:sz="0" w:space="0" w:color="auto"/>
          </w:divBdr>
          <w:divsChild>
            <w:div w:id="610168983">
              <w:marLeft w:val="0"/>
              <w:marRight w:val="0"/>
              <w:marTop w:val="0"/>
              <w:marBottom w:val="0"/>
              <w:divBdr>
                <w:top w:val="none" w:sz="0" w:space="0" w:color="auto"/>
                <w:left w:val="none" w:sz="0" w:space="0" w:color="auto"/>
                <w:bottom w:val="none" w:sz="0" w:space="0" w:color="auto"/>
                <w:right w:val="none" w:sz="0" w:space="0" w:color="auto"/>
              </w:divBdr>
              <w:divsChild>
                <w:div w:id="245850689">
                  <w:marLeft w:val="0"/>
                  <w:marRight w:val="0"/>
                  <w:marTop w:val="0"/>
                  <w:marBottom w:val="0"/>
                  <w:divBdr>
                    <w:top w:val="none" w:sz="0" w:space="0" w:color="auto"/>
                    <w:left w:val="none" w:sz="0" w:space="0" w:color="auto"/>
                    <w:bottom w:val="none" w:sz="0" w:space="0" w:color="auto"/>
                    <w:right w:val="none" w:sz="0" w:space="0" w:color="auto"/>
                  </w:divBdr>
                  <w:divsChild>
                    <w:div w:id="824513114">
                      <w:marLeft w:val="0"/>
                      <w:marRight w:val="0"/>
                      <w:marTop w:val="0"/>
                      <w:marBottom w:val="0"/>
                      <w:divBdr>
                        <w:top w:val="none" w:sz="0" w:space="0" w:color="auto"/>
                        <w:left w:val="none" w:sz="0" w:space="0" w:color="auto"/>
                        <w:bottom w:val="none" w:sz="0" w:space="0" w:color="auto"/>
                        <w:right w:val="none" w:sz="0" w:space="0" w:color="auto"/>
                      </w:divBdr>
                    </w:div>
                  </w:divsChild>
                </w:div>
                <w:div w:id="1916814174">
                  <w:marLeft w:val="0"/>
                  <w:marRight w:val="0"/>
                  <w:marTop w:val="0"/>
                  <w:marBottom w:val="0"/>
                  <w:divBdr>
                    <w:top w:val="none" w:sz="0" w:space="0" w:color="auto"/>
                    <w:left w:val="none" w:sz="0" w:space="0" w:color="auto"/>
                    <w:bottom w:val="none" w:sz="0" w:space="0" w:color="auto"/>
                    <w:right w:val="none" w:sz="0" w:space="0" w:color="auto"/>
                  </w:divBdr>
                </w:div>
                <w:div w:id="2570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41991">
      <w:bodyDiv w:val="1"/>
      <w:marLeft w:val="0"/>
      <w:marRight w:val="0"/>
      <w:marTop w:val="0"/>
      <w:marBottom w:val="0"/>
      <w:divBdr>
        <w:top w:val="none" w:sz="0" w:space="0" w:color="auto"/>
        <w:left w:val="none" w:sz="0" w:space="0" w:color="auto"/>
        <w:bottom w:val="none" w:sz="0" w:space="0" w:color="auto"/>
        <w:right w:val="none" w:sz="0" w:space="0" w:color="auto"/>
      </w:divBdr>
    </w:div>
    <w:div w:id="707606672">
      <w:bodyDiv w:val="1"/>
      <w:marLeft w:val="0"/>
      <w:marRight w:val="0"/>
      <w:marTop w:val="0"/>
      <w:marBottom w:val="0"/>
      <w:divBdr>
        <w:top w:val="none" w:sz="0" w:space="0" w:color="auto"/>
        <w:left w:val="none" w:sz="0" w:space="0" w:color="auto"/>
        <w:bottom w:val="none" w:sz="0" w:space="0" w:color="auto"/>
        <w:right w:val="none" w:sz="0" w:space="0" w:color="auto"/>
      </w:divBdr>
      <w:divsChild>
        <w:div w:id="759567217">
          <w:marLeft w:val="0"/>
          <w:marRight w:val="0"/>
          <w:marTop w:val="0"/>
          <w:marBottom w:val="0"/>
          <w:divBdr>
            <w:top w:val="none" w:sz="0" w:space="0" w:color="auto"/>
            <w:left w:val="none" w:sz="0" w:space="0" w:color="auto"/>
            <w:bottom w:val="none" w:sz="0" w:space="0" w:color="auto"/>
            <w:right w:val="none" w:sz="0" w:space="0" w:color="auto"/>
          </w:divBdr>
          <w:divsChild>
            <w:div w:id="1389570122">
              <w:marLeft w:val="0"/>
              <w:marRight w:val="0"/>
              <w:marTop w:val="0"/>
              <w:marBottom w:val="0"/>
              <w:divBdr>
                <w:top w:val="none" w:sz="0" w:space="0" w:color="auto"/>
                <w:left w:val="none" w:sz="0" w:space="0" w:color="auto"/>
                <w:bottom w:val="none" w:sz="0" w:space="0" w:color="auto"/>
                <w:right w:val="none" w:sz="0" w:space="0" w:color="auto"/>
              </w:divBdr>
            </w:div>
          </w:divsChild>
        </w:div>
        <w:div w:id="1667319327">
          <w:marLeft w:val="0"/>
          <w:marRight w:val="0"/>
          <w:marTop w:val="0"/>
          <w:marBottom w:val="0"/>
          <w:divBdr>
            <w:top w:val="none" w:sz="0" w:space="0" w:color="auto"/>
            <w:left w:val="none" w:sz="0" w:space="0" w:color="auto"/>
            <w:bottom w:val="none" w:sz="0" w:space="0" w:color="auto"/>
            <w:right w:val="none" w:sz="0" w:space="0" w:color="auto"/>
          </w:divBdr>
          <w:divsChild>
            <w:div w:id="1419474705">
              <w:marLeft w:val="0"/>
              <w:marRight w:val="0"/>
              <w:marTop w:val="0"/>
              <w:marBottom w:val="0"/>
              <w:divBdr>
                <w:top w:val="none" w:sz="0" w:space="0" w:color="auto"/>
                <w:left w:val="none" w:sz="0" w:space="0" w:color="auto"/>
                <w:bottom w:val="none" w:sz="0" w:space="0" w:color="auto"/>
                <w:right w:val="none" w:sz="0" w:space="0" w:color="auto"/>
              </w:divBdr>
              <w:divsChild>
                <w:div w:id="1408073369">
                  <w:marLeft w:val="0"/>
                  <w:marRight w:val="0"/>
                  <w:marTop w:val="0"/>
                  <w:marBottom w:val="0"/>
                  <w:divBdr>
                    <w:top w:val="none" w:sz="0" w:space="0" w:color="auto"/>
                    <w:left w:val="none" w:sz="0" w:space="0" w:color="auto"/>
                    <w:bottom w:val="none" w:sz="0" w:space="0" w:color="auto"/>
                    <w:right w:val="none" w:sz="0" w:space="0" w:color="auto"/>
                  </w:divBdr>
                  <w:divsChild>
                    <w:div w:id="1598715781">
                      <w:marLeft w:val="0"/>
                      <w:marRight w:val="0"/>
                      <w:marTop w:val="0"/>
                      <w:marBottom w:val="0"/>
                      <w:divBdr>
                        <w:top w:val="none" w:sz="0" w:space="0" w:color="auto"/>
                        <w:left w:val="none" w:sz="0" w:space="0" w:color="auto"/>
                        <w:bottom w:val="none" w:sz="0" w:space="0" w:color="auto"/>
                        <w:right w:val="none" w:sz="0" w:space="0" w:color="auto"/>
                      </w:divBdr>
                    </w:div>
                  </w:divsChild>
                </w:div>
                <w:div w:id="1598557895">
                  <w:marLeft w:val="0"/>
                  <w:marRight w:val="0"/>
                  <w:marTop w:val="0"/>
                  <w:marBottom w:val="0"/>
                  <w:divBdr>
                    <w:top w:val="none" w:sz="0" w:space="0" w:color="auto"/>
                    <w:left w:val="none" w:sz="0" w:space="0" w:color="auto"/>
                    <w:bottom w:val="none" w:sz="0" w:space="0" w:color="auto"/>
                    <w:right w:val="none" w:sz="0" w:space="0" w:color="auto"/>
                  </w:divBdr>
                </w:div>
                <w:div w:id="20819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403">
      <w:bodyDiv w:val="1"/>
      <w:marLeft w:val="0"/>
      <w:marRight w:val="0"/>
      <w:marTop w:val="0"/>
      <w:marBottom w:val="0"/>
      <w:divBdr>
        <w:top w:val="none" w:sz="0" w:space="0" w:color="auto"/>
        <w:left w:val="none" w:sz="0" w:space="0" w:color="auto"/>
        <w:bottom w:val="none" w:sz="0" w:space="0" w:color="auto"/>
        <w:right w:val="none" w:sz="0" w:space="0" w:color="auto"/>
      </w:divBdr>
    </w:div>
    <w:div w:id="740102584">
      <w:bodyDiv w:val="1"/>
      <w:marLeft w:val="0"/>
      <w:marRight w:val="0"/>
      <w:marTop w:val="0"/>
      <w:marBottom w:val="0"/>
      <w:divBdr>
        <w:top w:val="none" w:sz="0" w:space="0" w:color="auto"/>
        <w:left w:val="none" w:sz="0" w:space="0" w:color="auto"/>
        <w:bottom w:val="none" w:sz="0" w:space="0" w:color="auto"/>
        <w:right w:val="none" w:sz="0" w:space="0" w:color="auto"/>
      </w:divBdr>
      <w:divsChild>
        <w:div w:id="1438527586">
          <w:marLeft w:val="0"/>
          <w:marRight w:val="0"/>
          <w:marTop w:val="0"/>
          <w:marBottom w:val="0"/>
          <w:divBdr>
            <w:top w:val="none" w:sz="0" w:space="0" w:color="auto"/>
            <w:left w:val="none" w:sz="0" w:space="0" w:color="auto"/>
            <w:bottom w:val="none" w:sz="0" w:space="0" w:color="auto"/>
            <w:right w:val="none" w:sz="0" w:space="0" w:color="auto"/>
          </w:divBdr>
          <w:divsChild>
            <w:div w:id="2008095948">
              <w:marLeft w:val="0"/>
              <w:marRight w:val="0"/>
              <w:marTop w:val="0"/>
              <w:marBottom w:val="0"/>
              <w:divBdr>
                <w:top w:val="none" w:sz="0" w:space="0" w:color="auto"/>
                <w:left w:val="none" w:sz="0" w:space="0" w:color="auto"/>
                <w:bottom w:val="none" w:sz="0" w:space="0" w:color="auto"/>
                <w:right w:val="none" w:sz="0" w:space="0" w:color="auto"/>
              </w:divBdr>
            </w:div>
          </w:divsChild>
        </w:div>
        <w:div w:id="395780343">
          <w:marLeft w:val="0"/>
          <w:marRight w:val="0"/>
          <w:marTop w:val="0"/>
          <w:marBottom w:val="0"/>
          <w:divBdr>
            <w:top w:val="none" w:sz="0" w:space="0" w:color="auto"/>
            <w:left w:val="none" w:sz="0" w:space="0" w:color="auto"/>
            <w:bottom w:val="none" w:sz="0" w:space="0" w:color="auto"/>
            <w:right w:val="none" w:sz="0" w:space="0" w:color="auto"/>
          </w:divBdr>
          <w:divsChild>
            <w:div w:id="1070007497">
              <w:marLeft w:val="0"/>
              <w:marRight w:val="0"/>
              <w:marTop w:val="0"/>
              <w:marBottom w:val="0"/>
              <w:divBdr>
                <w:top w:val="none" w:sz="0" w:space="0" w:color="auto"/>
                <w:left w:val="none" w:sz="0" w:space="0" w:color="auto"/>
                <w:bottom w:val="none" w:sz="0" w:space="0" w:color="auto"/>
                <w:right w:val="none" w:sz="0" w:space="0" w:color="auto"/>
              </w:divBdr>
              <w:divsChild>
                <w:div w:id="362289573">
                  <w:marLeft w:val="0"/>
                  <w:marRight w:val="0"/>
                  <w:marTop w:val="0"/>
                  <w:marBottom w:val="0"/>
                  <w:divBdr>
                    <w:top w:val="none" w:sz="0" w:space="0" w:color="auto"/>
                    <w:left w:val="none" w:sz="0" w:space="0" w:color="auto"/>
                    <w:bottom w:val="none" w:sz="0" w:space="0" w:color="auto"/>
                    <w:right w:val="none" w:sz="0" w:space="0" w:color="auto"/>
                  </w:divBdr>
                  <w:divsChild>
                    <w:div w:id="945624283">
                      <w:marLeft w:val="0"/>
                      <w:marRight w:val="0"/>
                      <w:marTop w:val="0"/>
                      <w:marBottom w:val="0"/>
                      <w:divBdr>
                        <w:top w:val="none" w:sz="0" w:space="0" w:color="auto"/>
                        <w:left w:val="none" w:sz="0" w:space="0" w:color="auto"/>
                        <w:bottom w:val="none" w:sz="0" w:space="0" w:color="auto"/>
                        <w:right w:val="none" w:sz="0" w:space="0" w:color="auto"/>
                      </w:divBdr>
                    </w:div>
                  </w:divsChild>
                </w:div>
                <w:div w:id="1675108602">
                  <w:marLeft w:val="0"/>
                  <w:marRight w:val="0"/>
                  <w:marTop w:val="0"/>
                  <w:marBottom w:val="0"/>
                  <w:divBdr>
                    <w:top w:val="none" w:sz="0" w:space="0" w:color="auto"/>
                    <w:left w:val="none" w:sz="0" w:space="0" w:color="auto"/>
                    <w:bottom w:val="none" w:sz="0" w:space="0" w:color="auto"/>
                    <w:right w:val="none" w:sz="0" w:space="0" w:color="auto"/>
                  </w:divBdr>
                </w:div>
                <w:div w:id="93278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67542">
      <w:bodyDiv w:val="1"/>
      <w:marLeft w:val="0"/>
      <w:marRight w:val="0"/>
      <w:marTop w:val="0"/>
      <w:marBottom w:val="0"/>
      <w:divBdr>
        <w:top w:val="none" w:sz="0" w:space="0" w:color="auto"/>
        <w:left w:val="none" w:sz="0" w:space="0" w:color="auto"/>
        <w:bottom w:val="none" w:sz="0" w:space="0" w:color="auto"/>
        <w:right w:val="none" w:sz="0" w:space="0" w:color="auto"/>
      </w:divBdr>
    </w:div>
    <w:div w:id="769814276">
      <w:bodyDiv w:val="1"/>
      <w:marLeft w:val="0"/>
      <w:marRight w:val="0"/>
      <w:marTop w:val="0"/>
      <w:marBottom w:val="0"/>
      <w:divBdr>
        <w:top w:val="none" w:sz="0" w:space="0" w:color="auto"/>
        <w:left w:val="none" w:sz="0" w:space="0" w:color="auto"/>
        <w:bottom w:val="none" w:sz="0" w:space="0" w:color="auto"/>
        <w:right w:val="none" w:sz="0" w:space="0" w:color="auto"/>
      </w:divBdr>
    </w:div>
    <w:div w:id="789856783">
      <w:bodyDiv w:val="1"/>
      <w:marLeft w:val="0"/>
      <w:marRight w:val="0"/>
      <w:marTop w:val="0"/>
      <w:marBottom w:val="0"/>
      <w:divBdr>
        <w:top w:val="none" w:sz="0" w:space="0" w:color="auto"/>
        <w:left w:val="none" w:sz="0" w:space="0" w:color="auto"/>
        <w:bottom w:val="none" w:sz="0" w:space="0" w:color="auto"/>
        <w:right w:val="none" w:sz="0" w:space="0" w:color="auto"/>
      </w:divBdr>
      <w:divsChild>
        <w:div w:id="1017466386">
          <w:marLeft w:val="0"/>
          <w:marRight w:val="0"/>
          <w:marTop w:val="0"/>
          <w:marBottom w:val="0"/>
          <w:divBdr>
            <w:top w:val="none" w:sz="0" w:space="0" w:color="auto"/>
            <w:left w:val="none" w:sz="0" w:space="0" w:color="auto"/>
            <w:bottom w:val="none" w:sz="0" w:space="0" w:color="auto"/>
            <w:right w:val="none" w:sz="0" w:space="0" w:color="auto"/>
          </w:divBdr>
          <w:divsChild>
            <w:div w:id="132335536">
              <w:marLeft w:val="0"/>
              <w:marRight w:val="0"/>
              <w:marTop w:val="0"/>
              <w:marBottom w:val="0"/>
              <w:divBdr>
                <w:top w:val="none" w:sz="0" w:space="0" w:color="auto"/>
                <w:left w:val="none" w:sz="0" w:space="0" w:color="auto"/>
                <w:bottom w:val="none" w:sz="0" w:space="0" w:color="auto"/>
                <w:right w:val="none" w:sz="0" w:space="0" w:color="auto"/>
              </w:divBdr>
            </w:div>
          </w:divsChild>
        </w:div>
        <w:div w:id="1699546507">
          <w:marLeft w:val="0"/>
          <w:marRight w:val="0"/>
          <w:marTop w:val="0"/>
          <w:marBottom w:val="0"/>
          <w:divBdr>
            <w:top w:val="none" w:sz="0" w:space="0" w:color="auto"/>
            <w:left w:val="none" w:sz="0" w:space="0" w:color="auto"/>
            <w:bottom w:val="none" w:sz="0" w:space="0" w:color="auto"/>
            <w:right w:val="none" w:sz="0" w:space="0" w:color="auto"/>
          </w:divBdr>
          <w:divsChild>
            <w:div w:id="894583558">
              <w:marLeft w:val="0"/>
              <w:marRight w:val="0"/>
              <w:marTop w:val="0"/>
              <w:marBottom w:val="0"/>
              <w:divBdr>
                <w:top w:val="none" w:sz="0" w:space="0" w:color="auto"/>
                <w:left w:val="none" w:sz="0" w:space="0" w:color="auto"/>
                <w:bottom w:val="none" w:sz="0" w:space="0" w:color="auto"/>
                <w:right w:val="none" w:sz="0" w:space="0" w:color="auto"/>
              </w:divBdr>
              <w:divsChild>
                <w:div w:id="1972587940">
                  <w:marLeft w:val="0"/>
                  <w:marRight w:val="0"/>
                  <w:marTop w:val="0"/>
                  <w:marBottom w:val="0"/>
                  <w:divBdr>
                    <w:top w:val="none" w:sz="0" w:space="0" w:color="auto"/>
                    <w:left w:val="none" w:sz="0" w:space="0" w:color="auto"/>
                    <w:bottom w:val="none" w:sz="0" w:space="0" w:color="auto"/>
                    <w:right w:val="none" w:sz="0" w:space="0" w:color="auto"/>
                  </w:divBdr>
                  <w:divsChild>
                    <w:div w:id="703601742">
                      <w:marLeft w:val="0"/>
                      <w:marRight w:val="0"/>
                      <w:marTop w:val="0"/>
                      <w:marBottom w:val="0"/>
                      <w:divBdr>
                        <w:top w:val="none" w:sz="0" w:space="0" w:color="auto"/>
                        <w:left w:val="none" w:sz="0" w:space="0" w:color="auto"/>
                        <w:bottom w:val="none" w:sz="0" w:space="0" w:color="auto"/>
                        <w:right w:val="none" w:sz="0" w:space="0" w:color="auto"/>
                      </w:divBdr>
                    </w:div>
                  </w:divsChild>
                </w:div>
                <w:div w:id="714160280">
                  <w:marLeft w:val="0"/>
                  <w:marRight w:val="0"/>
                  <w:marTop w:val="0"/>
                  <w:marBottom w:val="0"/>
                  <w:divBdr>
                    <w:top w:val="none" w:sz="0" w:space="0" w:color="auto"/>
                    <w:left w:val="none" w:sz="0" w:space="0" w:color="auto"/>
                    <w:bottom w:val="none" w:sz="0" w:space="0" w:color="auto"/>
                    <w:right w:val="none" w:sz="0" w:space="0" w:color="auto"/>
                  </w:divBdr>
                </w:div>
                <w:div w:id="10970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3758">
      <w:bodyDiv w:val="1"/>
      <w:marLeft w:val="0"/>
      <w:marRight w:val="0"/>
      <w:marTop w:val="0"/>
      <w:marBottom w:val="0"/>
      <w:divBdr>
        <w:top w:val="none" w:sz="0" w:space="0" w:color="auto"/>
        <w:left w:val="none" w:sz="0" w:space="0" w:color="auto"/>
        <w:bottom w:val="none" w:sz="0" w:space="0" w:color="auto"/>
        <w:right w:val="none" w:sz="0" w:space="0" w:color="auto"/>
      </w:divBdr>
    </w:div>
    <w:div w:id="830566607">
      <w:bodyDiv w:val="1"/>
      <w:marLeft w:val="0"/>
      <w:marRight w:val="0"/>
      <w:marTop w:val="0"/>
      <w:marBottom w:val="0"/>
      <w:divBdr>
        <w:top w:val="none" w:sz="0" w:space="0" w:color="auto"/>
        <w:left w:val="none" w:sz="0" w:space="0" w:color="auto"/>
        <w:bottom w:val="none" w:sz="0" w:space="0" w:color="auto"/>
        <w:right w:val="none" w:sz="0" w:space="0" w:color="auto"/>
      </w:divBdr>
      <w:divsChild>
        <w:div w:id="2119060650">
          <w:marLeft w:val="0"/>
          <w:marRight w:val="0"/>
          <w:marTop w:val="0"/>
          <w:marBottom w:val="0"/>
          <w:divBdr>
            <w:top w:val="none" w:sz="0" w:space="0" w:color="auto"/>
            <w:left w:val="none" w:sz="0" w:space="0" w:color="auto"/>
            <w:bottom w:val="none" w:sz="0" w:space="0" w:color="auto"/>
            <w:right w:val="none" w:sz="0" w:space="0" w:color="auto"/>
          </w:divBdr>
        </w:div>
      </w:divsChild>
    </w:div>
    <w:div w:id="914169815">
      <w:bodyDiv w:val="1"/>
      <w:marLeft w:val="0"/>
      <w:marRight w:val="0"/>
      <w:marTop w:val="0"/>
      <w:marBottom w:val="0"/>
      <w:divBdr>
        <w:top w:val="none" w:sz="0" w:space="0" w:color="auto"/>
        <w:left w:val="none" w:sz="0" w:space="0" w:color="auto"/>
        <w:bottom w:val="none" w:sz="0" w:space="0" w:color="auto"/>
        <w:right w:val="none" w:sz="0" w:space="0" w:color="auto"/>
      </w:divBdr>
    </w:div>
    <w:div w:id="1023477460">
      <w:bodyDiv w:val="1"/>
      <w:marLeft w:val="0"/>
      <w:marRight w:val="0"/>
      <w:marTop w:val="0"/>
      <w:marBottom w:val="0"/>
      <w:divBdr>
        <w:top w:val="none" w:sz="0" w:space="0" w:color="auto"/>
        <w:left w:val="none" w:sz="0" w:space="0" w:color="auto"/>
        <w:bottom w:val="none" w:sz="0" w:space="0" w:color="auto"/>
        <w:right w:val="none" w:sz="0" w:space="0" w:color="auto"/>
      </w:divBdr>
    </w:div>
    <w:div w:id="1061094868">
      <w:bodyDiv w:val="1"/>
      <w:marLeft w:val="0"/>
      <w:marRight w:val="0"/>
      <w:marTop w:val="0"/>
      <w:marBottom w:val="0"/>
      <w:divBdr>
        <w:top w:val="none" w:sz="0" w:space="0" w:color="auto"/>
        <w:left w:val="none" w:sz="0" w:space="0" w:color="auto"/>
        <w:bottom w:val="none" w:sz="0" w:space="0" w:color="auto"/>
        <w:right w:val="none" w:sz="0" w:space="0" w:color="auto"/>
      </w:divBdr>
      <w:divsChild>
        <w:div w:id="2115325731">
          <w:marLeft w:val="0"/>
          <w:marRight w:val="0"/>
          <w:marTop w:val="0"/>
          <w:marBottom w:val="0"/>
          <w:divBdr>
            <w:top w:val="none" w:sz="0" w:space="0" w:color="auto"/>
            <w:left w:val="none" w:sz="0" w:space="0" w:color="auto"/>
            <w:bottom w:val="none" w:sz="0" w:space="0" w:color="auto"/>
            <w:right w:val="none" w:sz="0" w:space="0" w:color="auto"/>
          </w:divBdr>
          <w:divsChild>
            <w:div w:id="1287783968">
              <w:marLeft w:val="0"/>
              <w:marRight w:val="0"/>
              <w:marTop w:val="0"/>
              <w:marBottom w:val="0"/>
              <w:divBdr>
                <w:top w:val="none" w:sz="0" w:space="0" w:color="auto"/>
                <w:left w:val="none" w:sz="0" w:space="0" w:color="auto"/>
                <w:bottom w:val="none" w:sz="0" w:space="0" w:color="auto"/>
                <w:right w:val="none" w:sz="0" w:space="0" w:color="auto"/>
              </w:divBdr>
            </w:div>
          </w:divsChild>
        </w:div>
        <w:div w:id="101851307">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838501322">
                  <w:marLeft w:val="0"/>
                  <w:marRight w:val="0"/>
                  <w:marTop w:val="0"/>
                  <w:marBottom w:val="0"/>
                  <w:divBdr>
                    <w:top w:val="none" w:sz="0" w:space="0" w:color="auto"/>
                    <w:left w:val="none" w:sz="0" w:space="0" w:color="auto"/>
                    <w:bottom w:val="none" w:sz="0" w:space="0" w:color="auto"/>
                    <w:right w:val="none" w:sz="0" w:space="0" w:color="auto"/>
                  </w:divBdr>
                  <w:divsChild>
                    <w:div w:id="381372250">
                      <w:marLeft w:val="0"/>
                      <w:marRight w:val="0"/>
                      <w:marTop w:val="0"/>
                      <w:marBottom w:val="0"/>
                      <w:divBdr>
                        <w:top w:val="none" w:sz="0" w:space="0" w:color="auto"/>
                        <w:left w:val="none" w:sz="0" w:space="0" w:color="auto"/>
                        <w:bottom w:val="none" w:sz="0" w:space="0" w:color="auto"/>
                        <w:right w:val="none" w:sz="0" w:space="0" w:color="auto"/>
                      </w:divBdr>
                    </w:div>
                  </w:divsChild>
                </w:div>
                <w:div w:id="1384602626">
                  <w:marLeft w:val="0"/>
                  <w:marRight w:val="0"/>
                  <w:marTop w:val="0"/>
                  <w:marBottom w:val="0"/>
                  <w:divBdr>
                    <w:top w:val="none" w:sz="0" w:space="0" w:color="auto"/>
                    <w:left w:val="none" w:sz="0" w:space="0" w:color="auto"/>
                    <w:bottom w:val="none" w:sz="0" w:space="0" w:color="auto"/>
                    <w:right w:val="none" w:sz="0" w:space="0" w:color="auto"/>
                  </w:divBdr>
                </w:div>
                <w:div w:id="17124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24024">
      <w:bodyDiv w:val="1"/>
      <w:marLeft w:val="0"/>
      <w:marRight w:val="0"/>
      <w:marTop w:val="0"/>
      <w:marBottom w:val="0"/>
      <w:divBdr>
        <w:top w:val="none" w:sz="0" w:space="0" w:color="auto"/>
        <w:left w:val="none" w:sz="0" w:space="0" w:color="auto"/>
        <w:bottom w:val="none" w:sz="0" w:space="0" w:color="auto"/>
        <w:right w:val="none" w:sz="0" w:space="0" w:color="auto"/>
      </w:divBdr>
    </w:div>
    <w:div w:id="1269004587">
      <w:bodyDiv w:val="1"/>
      <w:marLeft w:val="0"/>
      <w:marRight w:val="0"/>
      <w:marTop w:val="0"/>
      <w:marBottom w:val="0"/>
      <w:divBdr>
        <w:top w:val="none" w:sz="0" w:space="0" w:color="auto"/>
        <w:left w:val="none" w:sz="0" w:space="0" w:color="auto"/>
        <w:bottom w:val="none" w:sz="0" w:space="0" w:color="auto"/>
        <w:right w:val="none" w:sz="0" w:space="0" w:color="auto"/>
      </w:divBdr>
    </w:div>
    <w:div w:id="1346908122">
      <w:bodyDiv w:val="1"/>
      <w:marLeft w:val="0"/>
      <w:marRight w:val="0"/>
      <w:marTop w:val="0"/>
      <w:marBottom w:val="0"/>
      <w:divBdr>
        <w:top w:val="none" w:sz="0" w:space="0" w:color="auto"/>
        <w:left w:val="none" w:sz="0" w:space="0" w:color="auto"/>
        <w:bottom w:val="none" w:sz="0" w:space="0" w:color="auto"/>
        <w:right w:val="none" w:sz="0" w:space="0" w:color="auto"/>
      </w:divBdr>
    </w:div>
    <w:div w:id="1356928847">
      <w:bodyDiv w:val="1"/>
      <w:marLeft w:val="0"/>
      <w:marRight w:val="0"/>
      <w:marTop w:val="0"/>
      <w:marBottom w:val="0"/>
      <w:divBdr>
        <w:top w:val="none" w:sz="0" w:space="0" w:color="auto"/>
        <w:left w:val="none" w:sz="0" w:space="0" w:color="auto"/>
        <w:bottom w:val="none" w:sz="0" w:space="0" w:color="auto"/>
        <w:right w:val="none" w:sz="0" w:space="0" w:color="auto"/>
      </w:divBdr>
    </w:div>
    <w:div w:id="1362123588">
      <w:bodyDiv w:val="1"/>
      <w:marLeft w:val="0"/>
      <w:marRight w:val="0"/>
      <w:marTop w:val="0"/>
      <w:marBottom w:val="0"/>
      <w:divBdr>
        <w:top w:val="none" w:sz="0" w:space="0" w:color="auto"/>
        <w:left w:val="none" w:sz="0" w:space="0" w:color="auto"/>
        <w:bottom w:val="none" w:sz="0" w:space="0" w:color="auto"/>
        <w:right w:val="none" w:sz="0" w:space="0" w:color="auto"/>
      </w:divBdr>
      <w:divsChild>
        <w:div w:id="1496265494">
          <w:marLeft w:val="0"/>
          <w:marRight w:val="0"/>
          <w:marTop w:val="0"/>
          <w:marBottom w:val="0"/>
          <w:divBdr>
            <w:top w:val="none" w:sz="0" w:space="0" w:color="auto"/>
            <w:left w:val="none" w:sz="0" w:space="0" w:color="auto"/>
            <w:bottom w:val="none" w:sz="0" w:space="0" w:color="auto"/>
            <w:right w:val="none" w:sz="0" w:space="0" w:color="auto"/>
          </w:divBdr>
          <w:divsChild>
            <w:div w:id="2067024600">
              <w:marLeft w:val="0"/>
              <w:marRight w:val="0"/>
              <w:marTop w:val="0"/>
              <w:marBottom w:val="0"/>
              <w:divBdr>
                <w:top w:val="none" w:sz="0" w:space="0" w:color="auto"/>
                <w:left w:val="none" w:sz="0" w:space="0" w:color="auto"/>
                <w:bottom w:val="none" w:sz="0" w:space="0" w:color="auto"/>
                <w:right w:val="none" w:sz="0" w:space="0" w:color="auto"/>
              </w:divBdr>
            </w:div>
          </w:divsChild>
        </w:div>
        <w:div w:id="774058473">
          <w:marLeft w:val="0"/>
          <w:marRight w:val="0"/>
          <w:marTop w:val="0"/>
          <w:marBottom w:val="0"/>
          <w:divBdr>
            <w:top w:val="none" w:sz="0" w:space="0" w:color="auto"/>
            <w:left w:val="none" w:sz="0" w:space="0" w:color="auto"/>
            <w:bottom w:val="none" w:sz="0" w:space="0" w:color="auto"/>
            <w:right w:val="none" w:sz="0" w:space="0" w:color="auto"/>
          </w:divBdr>
          <w:divsChild>
            <w:div w:id="433669866">
              <w:marLeft w:val="0"/>
              <w:marRight w:val="0"/>
              <w:marTop w:val="0"/>
              <w:marBottom w:val="0"/>
              <w:divBdr>
                <w:top w:val="none" w:sz="0" w:space="0" w:color="auto"/>
                <w:left w:val="none" w:sz="0" w:space="0" w:color="auto"/>
                <w:bottom w:val="none" w:sz="0" w:space="0" w:color="auto"/>
                <w:right w:val="none" w:sz="0" w:space="0" w:color="auto"/>
              </w:divBdr>
              <w:divsChild>
                <w:div w:id="878198891">
                  <w:marLeft w:val="0"/>
                  <w:marRight w:val="0"/>
                  <w:marTop w:val="0"/>
                  <w:marBottom w:val="0"/>
                  <w:divBdr>
                    <w:top w:val="none" w:sz="0" w:space="0" w:color="auto"/>
                    <w:left w:val="none" w:sz="0" w:space="0" w:color="auto"/>
                    <w:bottom w:val="none" w:sz="0" w:space="0" w:color="auto"/>
                    <w:right w:val="none" w:sz="0" w:space="0" w:color="auto"/>
                  </w:divBdr>
                  <w:divsChild>
                    <w:div w:id="1518226412">
                      <w:marLeft w:val="0"/>
                      <w:marRight w:val="0"/>
                      <w:marTop w:val="0"/>
                      <w:marBottom w:val="0"/>
                      <w:divBdr>
                        <w:top w:val="none" w:sz="0" w:space="0" w:color="auto"/>
                        <w:left w:val="none" w:sz="0" w:space="0" w:color="auto"/>
                        <w:bottom w:val="none" w:sz="0" w:space="0" w:color="auto"/>
                        <w:right w:val="none" w:sz="0" w:space="0" w:color="auto"/>
                      </w:divBdr>
                    </w:div>
                  </w:divsChild>
                </w:div>
                <w:div w:id="1793474163">
                  <w:marLeft w:val="0"/>
                  <w:marRight w:val="0"/>
                  <w:marTop w:val="0"/>
                  <w:marBottom w:val="0"/>
                  <w:divBdr>
                    <w:top w:val="none" w:sz="0" w:space="0" w:color="auto"/>
                    <w:left w:val="none" w:sz="0" w:space="0" w:color="auto"/>
                    <w:bottom w:val="none" w:sz="0" w:space="0" w:color="auto"/>
                    <w:right w:val="none" w:sz="0" w:space="0" w:color="auto"/>
                  </w:divBdr>
                </w:div>
                <w:div w:id="13016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54603">
      <w:bodyDiv w:val="1"/>
      <w:marLeft w:val="0"/>
      <w:marRight w:val="0"/>
      <w:marTop w:val="0"/>
      <w:marBottom w:val="0"/>
      <w:divBdr>
        <w:top w:val="none" w:sz="0" w:space="0" w:color="auto"/>
        <w:left w:val="none" w:sz="0" w:space="0" w:color="auto"/>
        <w:bottom w:val="none" w:sz="0" w:space="0" w:color="auto"/>
        <w:right w:val="none" w:sz="0" w:space="0" w:color="auto"/>
      </w:divBdr>
    </w:div>
    <w:div w:id="1437826321">
      <w:bodyDiv w:val="1"/>
      <w:marLeft w:val="0"/>
      <w:marRight w:val="0"/>
      <w:marTop w:val="0"/>
      <w:marBottom w:val="0"/>
      <w:divBdr>
        <w:top w:val="none" w:sz="0" w:space="0" w:color="auto"/>
        <w:left w:val="none" w:sz="0" w:space="0" w:color="auto"/>
        <w:bottom w:val="none" w:sz="0" w:space="0" w:color="auto"/>
        <w:right w:val="none" w:sz="0" w:space="0" w:color="auto"/>
      </w:divBdr>
    </w:div>
    <w:div w:id="1455560442">
      <w:bodyDiv w:val="1"/>
      <w:marLeft w:val="0"/>
      <w:marRight w:val="0"/>
      <w:marTop w:val="0"/>
      <w:marBottom w:val="0"/>
      <w:divBdr>
        <w:top w:val="none" w:sz="0" w:space="0" w:color="auto"/>
        <w:left w:val="none" w:sz="0" w:space="0" w:color="auto"/>
        <w:bottom w:val="none" w:sz="0" w:space="0" w:color="auto"/>
        <w:right w:val="none" w:sz="0" w:space="0" w:color="auto"/>
      </w:divBdr>
    </w:div>
    <w:div w:id="1503087191">
      <w:bodyDiv w:val="1"/>
      <w:marLeft w:val="0"/>
      <w:marRight w:val="0"/>
      <w:marTop w:val="0"/>
      <w:marBottom w:val="0"/>
      <w:divBdr>
        <w:top w:val="none" w:sz="0" w:space="0" w:color="auto"/>
        <w:left w:val="none" w:sz="0" w:space="0" w:color="auto"/>
        <w:bottom w:val="none" w:sz="0" w:space="0" w:color="auto"/>
        <w:right w:val="none" w:sz="0" w:space="0" w:color="auto"/>
      </w:divBdr>
    </w:div>
    <w:div w:id="1511220033">
      <w:bodyDiv w:val="1"/>
      <w:marLeft w:val="0"/>
      <w:marRight w:val="0"/>
      <w:marTop w:val="0"/>
      <w:marBottom w:val="0"/>
      <w:divBdr>
        <w:top w:val="none" w:sz="0" w:space="0" w:color="auto"/>
        <w:left w:val="none" w:sz="0" w:space="0" w:color="auto"/>
        <w:bottom w:val="none" w:sz="0" w:space="0" w:color="auto"/>
        <w:right w:val="none" w:sz="0" w:space="0" w:color="auto"/>
      </w:divBdr>
      <w:divsChild>
        <w:div w:id="447705431">
          <w:marLeft w:val="0"/>
          <w:marRight w:val="0"/>
          <w:marTop w:val="0"/>
          <w:marBottom w:val="0"/>
          <w:divBdr>
            <w:top w:val="none" w:sz="0" w:space="0" w:color="auto"/>
            <w:left w:val="none" w:sz="0" w:space="0" w:color="auto"/>
            <w:bottom w:val="none" w:sz="0" w:space="0" w:color="auto"/>
            <w:right w:val="none" w:sz="0" w:space="0" w:color="auto"/>
          </w:divBdr>
          <w:divsChild>
            <w:div w:id="1118062344">
              <w:marLeft w:val="0"/>
              <w:marRight w:val="0"/>
              <w:marTop w:val="0"/>
              <w:marBottom w:val="0"/>
              <w:divBdr>
                <w:top w:val="none" w:sz="0" w:space="0" w:color="auto"/>
                <w:left w:val="none" w:sz="0" w:space="0" w:color="auto"/>
                <w:bottom w:val="none" w:sz="0" w:space="0" w:color="auto"/>
                <w:right w:val="none" w:sz="0" w:space="0" w:color="auto"/>
              </w:divBdr>
            </w:div>
          </w:divsChild>
        </w:div>
        <w:div w:id="923949348">
          <w:marLeft w:val="0"/>
          <w:marRight w:val="0"/>
          <w:marTop w:val="0"/>
          <w:marBottom w:val="0"/>
          <w:divBdr>
            <w:top w:val="none" w:sz="0" w:space="0" w:color="auto"/>
            <w:left w:val="none" w:sz="0" w:space="0" w:color="auto"/>
            <w:bottom w:val="none" w:sz="0" w:space="0" w:color="auto"/>
            <w:right w:val="none" w:sz="0" w:space="0" w:color="auto"/>
          </w:divBdr>
          <w:divsChild>
            <w:div w:id="866063733">
              <w:marLeft w:val="0"/>
              <w:marRight w:val="0"/>
              <w:marTop w:val="0"/>
              <w:marBottom w:val="0"/>
              <w:divBdr>
                <w:top w:val="none" w:sz="0" w:space="0" w:color="auto"/>
                <w:left w:val="none" w:sz="0" w:space="0" w:color="auto"/>
                <w:bottom w:val="none" w:sz="0" w:space="0" w:color="auto"/>
                <w:right w:val="none" w:sz="0" w:space="0" w:color="auto"/>
              </w:divBdr>
              <w:divsChild>
                <w:div w:id="419718998">
                  <w:marLeft w:val="0"/>
                  <w:marRight w:val="0"/>
                  <w:marTop w:val="0"/>
                  <w:marBottom w:val="0"/>
                  <w:divBdr>
                    <w:top w:val="none" w:sz="0" w:space="0" w:color="auto"/>
                    <w:left w:val="none" w:sz="0" w:space="0" w:color="auto"/>
                    <w:bottom w:val="none" w:sz="0" w:space="0" w:color="auto"/>
                    <w:right w:val="none" w:sz="0" w:space="0" w:color="auto"/>
                  </w:divBdr>
                  <w:divsChild>
                    <w:div w:id="1107310176">
                      <w:marLeft w:val="0"/>
                      <w:marRight w:val="0"/>
                      <w:marTop w:val="0"/>
                      <w:marBottom w:val="0"/>
                      <w:divBdr>
                        <w:top w:val="none" w:sz="0" w:space="0" w:color="auto"/>
                        <w:left w:val="none" w:sz="0" w:space="0" w:color="auto"/>
                        <w:bottom w:val="none" w:sz="0" w:space="0" w:color="auto"/>
                        <w:right w:val="none" w:sz="0" w:space="0" w:color="auto"/>
                      </w:divBdr>
                    </w:div>
                  </w:divsChild>
                </w:div>
                <w:div w:id="1935236643">
                  <w:marLeft w:val="0"/>
                  <w:marRight w:val="0"/>
                  <w:marTop w:val="0"/>
                  <w:marBottom w:val="0"/>
                  <w:divBdr>
                    <w:top w:val="none" w:sz="0" w:space="0" w:color="auto"/>
                    <w:left w:val="none" w:sz="0" w:space="0" w:color="auto"/>
                    <w:bottom w:val="none" w:sz="0" w:space="0" w:color="auto"/>
                    <w:right w:val="none" w:sz="0" w:space="0" w:color="auto"/>
                  </w:divBdr>
                </w:div>
                <w:div w:id="4584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041479">
      <w:bodyDiv w:val="1"/>
      <w:marLeft w:val="0"/>
      <w:marRight w:val="0"/>
      <w:marTop w:val="0"/>
      <w:marBottom w:val="0"/>
      <w:divBdr>
        <w:top w:val="none" w:sz="0" w:space="0" w:color="auto"/>
        <w:left w:val="none" w:sz="0" w:space="0" w:color="auto"/>
        <w:bottom w:val="none" w:sz="0" w:space="0" w:color="auto"/>
        <w:right w:val="none" w:sz="0" w:space="0" w:color="auto"/>
      </w:divBdr>
    </w:div>
    <w:div w:id="1570114157">
      <w:bodyDiv w:val="1"/>
      <w:marLeft w:val="0"/>
      <w:marRight w:val="0"/>
      <w:marTop w:val="0"/>
      <w:marBottom w:val="0"/>
      <w:divBdr>
        <w:top w:val="none" w:sz="0" w:space="0" w:color="auto"/>
        <w:left w:val="none" w:sz="0" w:space="0" w:color="auto"/>
        <w:bottom w:val="none" w:sz="0" w:space="0" w:color="auto"/>
        <w:right w:val="none" w:sz="0" w:space="0" w:color="auto"/>
      </w:divBdr>
      <w:divsChild>
        <w:div w:id="693112998">
          <w:marLeft w:val="0"/>
          <w:marRight w:val="0"/>
          <w:marTop w:val="0"/>
          <w:marBottom w:val="0"/>
          <w:divBdr>
            <w:top w:val="none" w:sz="0" w:space="0" w:color="auto"/>
            <w:left w:val="none" w:sz="0" w:space="0" w:color="auto"/>
            <w:bottom w:val="none" w:sz="0" w:space="0" w:color="auto"/>
            <w:right w:val="none" w:sz="0" w:space="0" w:color="auto"/>
          </w:divBdr>
          <w:divsChild>
            <w:div w:id="1047417783">
              <w:marLeft w:val="0"/>
              <w:marRight w:val="0"/>
              <w:marTop w:val="0"/>
              <w:marBottom w:val="0"/>
              <w:divBdr>
                <w:top w:val="none" w:sz="0" w:space="0" w:color="auto"/>
                <w:left w:val="none" w:sz="0" w:space="0" w:color="auto"/>
                <w:bottom w:val="none" w:sz="0" w:space="0" w:color="auto"/>
                <w:right w:val="none" w:sz="0" w:space="0" w:color="auto"/>
              </w:divBdr>
            </w:div>
          </w:divsChild>
        </w:div>
        <w:div w:id="1198081091">
          <w:marLeft w:val="0"/>
          <w:marRight w:val="0"/>
          <w:marTop w:val="0"/>
          <w:marBottom w:val="0"/>
          <w:divBdr>
            <w:top w:val="none" w:sz="0" w:space="0" w:color="auto"/>
            <w:left w:val="none" w:sz="0" w:space="0" w:color="auto"/>
            <w:bottom w:val="none" w:sz="0" w:space="0" w:color="auto"/>
            <w:right w:val="none" w:sz="0" w:space="0" w:color="auto"/>
          </w:divBdr>
          <w:divsChild>
            <w:div w:id="213396768">
              <w:marLeft w:val="0"/>
              <w:marRight w:val="0"/>
              <w:marTop w:val="0"/>
              <w:marBottom w:val="0"/>
              <w:divBdr>
                <w:top w:val="none" w:sz="0" w:space="0" w:color="auto"/>
                <w:left w:val="none" w:sz="0" w:space="0" w:color="auto"/>
                <w:bottom w:val="none" w:sz="0" w:space="0" w:color="auto"/>
                <w:right w:val="none" w:sz="0" w:space="0" w:color="auto"/>
              </w:divBdr>
              <w:divsChild>
                <w:div w:id="1838569355">
                  <w:marLeft w:val="0"/>
                  <w:marRight w:val="0"/>
                  <w:marTop w:val="0"/>
                  <w:marBottom w:val="0"/>
                  <w:divBdr>
                    <w:top w:val="none" w:sz="0" w:space="0" w:color="auto"/>
                    <w:left w:val="none" w:sz="0" w:space="0" w:color="auto"/>
                    <w:bottom w:val="none" w:sz="0" w:space="0" w:color="auto"/>
                    <w:right w:val="none" w:sz="0" w:space="0" w:color="auto"/>
                  </w:divBdr>
                  <w:divsChild>
                    <w:div w:id="1128209776">
                      <w:marLeft w:val="0"/>
                      <w:marRight w:val="0"/>
                      <w:marTop w:val="0"/>
                      <w:marBottom w:val="0"/>
                      <w:divBdr>
                        <w:top w:val="none" w:sz="0" w:space="0" w:color="auto"/>
                        <w:left w:val="none" w:sz="0" w:space="0" w:color="auto"/>
                        <w:bottom w:val="none" w:sz="0" w:space="0" w:color="auto"/>
                        <w:right w:val="none" w:sz="0" w:space="0" w:color="auto"/>
                      </w:divBdr>
                    </w:div>
                  </w:divsChild>
                </w:div>
                <w:div w:id="81878196">
                  <w:marLeft w:val="0"/>
                  <w:marRight w:val="0"/>
                  <w:marTop w:val="0"/>
                  <w:marBottom w:val="0"/>
                  <w:divBdr>
                    <w:top w:val="none" w:sz="0" w:space="0" w:color="auto"/>
                    <w:left w:val="none" w:sz="0" w:space="0" w:color="auto"/>
                    <w:bottom w:val="none" w:sz="0" w:space="0" w:color="auto"/>
                    <w:right w:val="none" w:sz="0" w:space="0" w:color="auto"/>
                  </w:divBdr>
                </w:div>
                <w:div w:id="1980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22234">
      <w:bodyDiv w:val="1"/>
      <w:marLeft w:val="0"/>
      <w:marRight w:val="0"/>
      <w:marTop w:val="0"/>
      <w:marBottom w:val="0"/>
      <w:divBdr>
        <w:top w:val="none" w:sz="0" w:space="0" w:color="auto"/>
        <w:left w:val="none" w:sz="0" w:space="0" w:color="auto"/>
        <w:bottom w:val="none" w:sz="0" w:space="0" w:color="auto"/>
        <w:right w:val="none" w:sz="0" w:space="0" w:color="auto"/>
      </w:divBdr>
    </w:div>
    <w:div w:id="1676297965">
      <w:bodyDiv w:val="1"/>
      <w:marLeft w:val="0"/>
      <w:marRight w:val="0"/>
      <w:marTop w:val="0"/>
      <w:marBottom w:val="0"/>
      <w:divBdr>
        <w:top w:val="none" w:sz="0" w:space="0" w:color="auto"/>
        <w:left w:val="none" w:sz="0" w:space="0" w:color="auto"/>
        <w:bottom w:val="none" w:sz="0" w:space="0" w:color="auto"/>
        <w:right w:val="none" w:sz="0" w:space="0" w:color="auto"/>
      </w:divBdr>
      <w:divsChild>
        <w:div w:id="277295969">
          <w:marLeft w:val="0"/>
          <w:marRight w:val="0"/>
          <w:marTop w:val="0"/>
          <w:marBottom w:val="0"/>
          <w:divBdr>
            <w:top w:val="none" w:sz="0" w:space="0" w:color="auto"/>
            <w:left w:val="none" w:sz="0" w:space="0" w:color="auto"/>
            <w:bottom w:val="none" w:sz="0" w:space="0" w:color="auto"/>
            <w:right w:val="none" w:sz="0" w:space="0" w:color="auto"/>
          </w:divBdr>
          <w:divsChild>
            <w:div w:id="55132525">
              <w:marLeft w:val="0"/>
              <w:marRight w:val="0"/>
              <w:marTop w:val="0"/>
              <w:marBottom w:val="0"/>
              <w:divBdr>
                <w:top w:val="none" w:sz="0" w:space="0" w:color="auto"/>
                <w:left w:val="none" w:sz="0" w:space="0" w:color="auto"/>
                <w:bottom w:val="none" w:sz="0" w:space="0" w:color="auto"/>
                <w:right w:val="none" w:sz="0" w:space="0" w:color="auto"/>
              </w:divBdr>
            </w:div>
          </w:divsChild>
        </w:div>
        <w:div w:id="838158787">
          <w:marLeft w:val="0"/>
          <w:marRight w:val="0"/>
          <w:marTop w:val="0"/>
          <w:marBottom w:val="0"/>
          <w:divBdr>
            <w:top w:val="none" w:sz="0" w:space="0" w:color="auto"/>
            <w:left w:val="none" w:sz="0" w:space="0" w:color="auto"/>
            <w:bottom w:val="none" w:sz="0" w:space="0" w:color="auto"/>
            <w:right w:val="none" w:sz="0" w:space="0" w:color="auto"/>
          </w:divBdr>
          <w:divsChild>
            <w:div w:id="691227878">
              <w:marLeft w:val="0"/>
              <w:marRight w:val="0"/>
              <w:marTop w:val="0"/>
              <w:marBottom w:val="0"/>
              <w:divBdr>
                <w:top w:val="none" w:sz="0" w:space="0" w:color="auto"/>
                <w:left w:val="none" w:sz="0" w:space="0" w:color="auto"/>
                <w:bottom w:val="none" w:sz="0" w:space="0" w:color="auto"/>
                <w:right w:val="none" w:sz="0" w:space="0" w:color="auto"/>
              </w:divBdr>
              <w:divsChild>
                <w:div w:id="1646550026">
                  <w:marLeft w:val="0"/>
                  <w:marRight w:val="0"/>
                  <w:marTop w:val="0"/>
                  <w:marBottom w:val="0"/>
                  <w:divBdr>
                    <w:top w:val="none" w:sz="0" w:space="0" w:color="auto"/>
                    <w:left w:val="none" w:sz="0" w:space="0" w:color="auto"/>
                    <w:bottom w:val="none" w:sz="0" w:space="0" w:color="auto"/>
                    <w:right w:val="none" w:sz="0" w:space="0" w:color="auto"/>
                  </w:divBdr>
                  <w:divsChild>
                    <w:div w:id="836579287">
                      <w:marLeft w:val="0"/>
                      <w:marRight w:val="0"/>
                      <w:marTop w:val="0"/>
                      <w:marBottom w:val="0"/>
                      <w:divBdr>
                        <w:top w:val="none" w:sz="0" w:space="0" w:color="auto"/>
                        <w:left w:val="none" w:sz="0" w:space="0" w:color="auto"/>
                        <w:bottom w:val="none" w:sz="0" w:space="0" w:color="auto"/>
                        <w:right w:val="none" w:sz="0" w:space="0" w:color="auto"/>
                      </w:divBdr>
                    </w:div>
                  </w:divsChild>
                </w:div>
                <w:div w:id="2079789300">
                  <w:marLeft w:val="0"/>
                  <w:marRight w:val="0"/>
                  <w:marTop w:val="0"/>
                  <w:marBottom w:val="0"/>
                  <w:divBdr>
                    <w:top w:val="none" w:sz="0" w:space="0" w:color="auto"/>
                    <w:left w:val="none" w:sz="0" w:space="0" w:color="auto"/>
                    <w:bottom w:val="none" w:sz="0" w:space="0" w:color="auto"/>
                    <w:right w:val="none" w:sz="0" w:space="0" w:color="auto"/>
                  </w:divBdr>
                </w:div>
                <w:div w:id="15744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7718">
      <w:bodyDiv w:val="1"/>
      <w:marLeft w:val="0"/>
      <w:marRight w:val="0"/>
      <w:marTop w:val="0"/>
      <w:marBottom w:val="0"/>
      <w:divBdr>
        <w:top w:val="none" w:sz="0" w:space="0" w:color="auto"/>
        <w:left w:val="none" w:sz="0" w:space="0" w:color="auto"/>
        <w:bottom w:val="none" w:sz="0" w:space="0" w:color="auto"/>
        <w:right w:val="none" w:sz="0" w:space="0" w:color="auto"/>
      </w:divBdr>
      <w:divsChild>
        <w:div w:id="1181817284">
          <w:marLeft w:val="0"/>
          <w:marRight w:val="0"/>
          <w:marTop w:val="0"/>
          <w:marBottom w:val="0"/>
          <w:divBdr>
            <w:top w:val="none" w:sz="0" w:space="0" w:color="auto"/>
            <w:left w:val="none" w:sz="0" w:space="0" w:color="auto"/>
            <w:bottom w:val="none" w:sz="0" w:space="0" w:color="auto"/>
            <w:right w:val="none" w:sz="0" w:space="0" w:color="auto"/>
          </w:divBdr>
          <w:divsChild>
            <w:div w:id="1262450558">
              <w:marLeft w:val="0"/>
              <w:marRight w:val="0"/>
              <w:marTop w:val="0"/>
              <w:marBottom w:val="0"/>
              <w:divBdr>
                <w:top w:val="none" w:sz="0" w:space="0" w:color="auto"/>
                <w:left w:val="none" w:sz="0" w:space="0" w:color="auto"/>
                <w:bottom w:val="none" w:sz="0" w:space="0" w:color="auto"/>
                <w:right w:val="none" w:sz="0" w:space="0" w:color="auto"/>
              </w:divBdr>
            </w:div>
          </w:divsChild>
        </w:div>
        <w:div w:id="685324378">
          <w:marLeft w:val="0"/>
          <w:marRight w:val="0"/>
          <w:marTop w:val="0"/>
          <w:marBottom w:val="0"/>
          <w:divBdr>
            <w:top w:val="none" w:sz="0" w:space="0" w:color="auto"/>
            <w:left w:val="none" w:sz="0" w:space="0" w:color="auto"/>
            <w:bottom w:val="none" w:sz="0" w:space="0" w:color="auto"/>
            <w:right w:val="none" w:sz="0" w:space="0" w:color="auto"/>
          </w:divBdr>
          <w:divsChild>
            <w:div w:id="647200664">
              <w:marLeft w:val="0"/>
              <w:marRight w:val="0"/>
              <w:marTop w:val="0"/>
              <w:marBottom w:val="0"/>
              <w:divBdr>
                <w:top w:val="none" w:sz="0" w:space="0" w:color="auto"/>
                <w:left w:val="none" w:sz="0" w:space="0" w:color="auto"/>
                <w:bottom w:val="none" w:sz="0" w:space="0" w:color="auto"/>
                <w:right w:val="none" w:sz="0" w:space="0" w:color="auto"/>
              </w:divBdr>
              <w:divsChild>
                <w:div w:id="2134982050">
                  <w:marLeft w:val="0"/>
                  <w:marRight w:val="0"/>
                  <w:marTop w:val="0"/>
                  <w:marBottom w:val="0"/>
                  <w:divBdr>
                    <w:top w:val="none" w:sz="0" w:space="0" w:color="auto"/>
                    <w:left w:val="none" w:sz="0" w:space="0" w:color="auto"/>
                    <w:bottom w:val="none" w:sz="0" w:space="0" w:color="auto"/>
                    <w:right w:val="none" w:sz="0" w:space="0" w:color="auto"/>
                  </w:divBdr>
                  <w:divsChild>
                    <w:div w:id="367921760">
                      <w:marLeft w:val="0"/>
                      <w:marRight w:val="0"/>
                      <w:marTop w:val="0"/>
                      <w:marBottom w:val="0"/>
                      <w:divBdr>
                        <w:top w:val="none" w:sz="0" w:space="0" w:color="auto"/>
                        <w:left w:val="none" w:sz="0" w:space="0" w:color="auto"/>
                        <w:bottom w:val="none" w:sz="0" w:space="0" w:color="auto"/>
                        <w:right w:val="none" w:sz="0" w:space="0" w:color="auto"/>
                      </w:divBdr>
                    </w:div>
                  </w:divsChild>
                </w:div>
                <w:div w:id="2005163108">
                  <w:marLeft w:val="0"/>
                  <w:marRight w:val="0"/>
                  <w:marTop w:val="0"/>
                  <w:marBottom w:val="0"/>
                  <w:divBdr>
                    <w:top w:val="none" w:sz="0" w:space="0" w:color="auto"/>
                    <w:left w:val="none" w:sz="0" w:space="0" w:color="auto"/>
                    <w:bottom w:val="none" w:sz="0" w:space="0" w:color="auto"/>
                    <w:right w:val="none" w:sz="0" w:space="0" w:color="auto"/>
                  </w:divBdr>
                </w:div>
                <w:div w:id="1665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22429">
      <w:bodyDiv w:val="1"/>
      <w:marLeft w:val="0"/>
      <w:marRight w:val="0"/>
      <w:marTop w:val="0"/>
      <w:marBottom w:val="0"/>
      <w:divBdr>
        <w:top w:val="none" w:sz="0" w:space="0" w:color="auto"/>
        <w:left w:val="none" w:sz="0" w:space="0" w:color="auto"/>
        <w:bottom w:val="none" w:sz="0" w:space="0" w:color="auto"/>
        <w:right w:val="none" w:sz="0" w:space="0" w:color="auto"/>
      </w:divBdr>
      <w:divsChild>
        <w:div w:id="756556257">
          <w:marLeft w:val="0"/>
          <w:marRight w:val="0"/>
          <w:marTop w:val="0"/>
          <w:marBottom w:val="0"/>
          <w:divBdr>
            <w:top w:val="none" w:sz="0" w:space="0" w:color="auto"/>
            <w:left w:val="none" w:sz="0" w:space="0" w:color="auto"/>
            <w:bottom w:val="none" w:sz="0" w:space="0" w:color="auto"/>
            <w:right w:val="none" w:sz="0" w:space="0" w:color="auto"/>
          </w:divBdr>
          <w:divsChild>
            <w:div w:id="172037546">
              <w:marLeft w:val="0"/>
              <w:marRight w:val="0"/>
              <w:marTop w:val="0"/>
              <w:marBottom w:val="0"/>
              <w:divBdr>
                <w:top w:val="none" w:sz="0" w:space="0" w:color="auto"/>
                <w:left w:val="none" w:sz="0" w:space="0" w:color="auto"/>
                <w:bottom w:val="none" w:sz="0" w:space="0" w:color="auto"/>
                <w:right w:val="none" w:sz="0" w:space="0" w:color="auto"/>
              </w:divBdr>
            </w:div>
          </w:divsChild>
        </w:div>
        <w:div w:id="1900629667">
          <w:marLeft w:val="0"/>
          <w:marRight w:val="0"/>
          <w:marTop w:val="0"/>
          <w:marBottom w:val="0"/>
          <w:divBdr>
            <w:top w:val="none" w:sz="0" w:space="0" w:color="auto"/>
            <w:left w:val="none" w:sz="0" w:space="0" w:color="auto"/>
            <w:bottom w:val="none" w:sz="0" w:space="0" w:color="auto"/>
            <w:right w:val="none" w:sz="0" w:space="0" w:color="auto"/>
          </w:divBdr>
          <w:divsChild>
            <w:div w:id="417757038">
              <w:marLeft w:val="0"/>
              <w:marRight w:val="0"/>
              <w:marTop w:val="0"/>
              <w:marBottom w:val="0"/>
              <w:divBdr>
                <w:top w:val="none" w:sz="0" w:space="0" w:color="auto"/>
                <w:left w:val="none" w:sz="0" w:space="0" w:color="auto"/>
                <w:bottom w:val="none" w:sz="0" w:space="0" w:color="auto"/>
                <w:right w:val="none" w:sz="0" w:space="0" w:color="auto"/>
              </w:divBdr>
              <w:divsChild>
                <w:div w:id="1341200768">
                  <w:marLeft w:val="0"/>
                  <w:marRight w:val="0"/>
                  <w:marTop w:val="0"/>
                  <w:marBottom w:val="0"/>
                  <w:divBdr>
                    <w:top w:val="none" w:sz="0" w:space="0" w:color="auto"/>
                    <w:left w:val="none" w:sz="0" w:space="0" w:color="auto"/>
                    <w:bottom w:val="none" w:sz="0" w:space="0" w:color="auto"/>
                    <w:right w:val="none" w:sz="0" w:space="0" w:color="auto"/>
                  </w:divBdr>
                  <w:divsChild>
                    <w:div w:id="1408503057">
                      <w:marLeft w:val="0"/>
                      <w:marRight w:val="0"/>
                      <w:marTop w:val="0"/>
                      <w:marBottom w:val="0"/>
                      <w:divBdr>
                        <w:top w:val="none" w:sz="0" w:space="0" w:color="auto"/>
                        <w:left w:val="none" w:sz="0" w:space="0" w:color="auto"/>
                        <w:bottom w:val="none" w:sz="0" w:space="0" w:color="auto"/>
                        <w:right w:val="none" w:sz="0" w:space="0" w:color="auto"/>
                      </w:divBdr>
                    </w:div>
                  </w:divsChild>
                </w:div>
                <w:div w:id="1246722132">
                  <w:marLeft w:val="0"/>
                  <w:marRight w:val="0"/>
                  <w:marTop w:val="0"/>
                  <w:marBottom w:val="0"/>
                  <w:divBdr>
                    <w:top w:val="none" w:sz="0" w:space="0" w:color="auto"/>
                    <w:left w:val="none" w:sz="0" w:space="0" w:color="auto"/>
                    <w:bottom w:val="none" w:sz="0" w:space="0" w:color="auto"/>
                    <w:right w:val="none" w:sz="0" w:space="0" w:color="auto"/>
                  </w:divBdr>
                </w:div>
                <w:div w:id="12824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3284">
      <w:bodyDiv w:val="1"/>
      <w:marLeft w:val="0"/>
      <w:marRight w:val="0"/>
      <w:marTop w:val="0"/>
      <w:marBottom w:val="0"/>
      <w:divBdr>
        <w:top w:val="none" w:sz="0" w:space="0" w:color="auto"/>
        <w:left w:val="none" w:sz="0" w:space="0" w:color="auto"/>
        <w:bottom w:val="none" w:sz="0" w:space="0" w:color="auto"/>
        <w:right w:val="none" w:sz="0" w:space="0" w:color="auto"/>
      </w:divBdr>
    </w:div>
    <w:div w:id="1984693915">
      <w:bodyDiv w:val="1"/>
      <w:marLeft w:val="0"/>
      <w:marRight w:val="0"/>
      <w:marTop w:val="0"/>
      <w:marBottom w:val="0"/>
      <w:divBdr>
        <w:top w:val="none" w:sz="0" w:space="0" w:color="auto"/>
        <w:left w:val="none" w:sz="0" w:space="0" w:color="auto"/>
        <w:bottom w:val="none" w:sz="0" w:space="0" w:color="auto"/>
        <w:right w:val="none" w:sz="0" w:space="0" w:color="auto"/>
      </w:divBdr>
    </w:div>
    <w:div w:id="2000384913">
      <w:bodyDiv w:val="1"/>
      <w:marLeft w:val="0"/>
      <w:marRight w:val="0"/>
      <w:marTop w:val="0"/>
      <w:marBottom w:val="0"/>
      <w:divBdr>
        <w:top w:val="none" w:sz="0" w:space="0" w:color="auto"/>
        <w:left w:val="none" w:sz="0" w:space="0" w:color="auto"/>
        <w:bottom w:val="none" w:sz="0" w:space="0" w:color="auto"/>
        <w:right w:val="none" w:sz="0" w:space="0" w:color="auto"/>
      </w:divBdr>
    </w:div>
    <w:div w:id="2041277162">
      <w:bodyDiv w:val="1"/>
      <w:marLeft w:val="0"/>
      <w:marRight w:val="0"/>
      <w:marTop w:val="0"/>
      <w:marBottom w:val="0"/>
      <w:divBdr>
        <w:top w:val="none" w:sz="0" w:space="0" w:color="auto"/>
        <w:left w:val="none" w:sz="0" w:space="0" w:color="auto"/>
        <w:bottom w:val="none" w:sz="0" w:space="0" w:color="auto"/>
        <w:right w:val="none" w:sz="0" w:space="0" w:color="auto"/>
      </w:divBdr>
    </w:div>
    <w:div w:id="2083746524">
      <w:bodyDiv w:val="1"/>
      <w:marLeft w:val="0"/>
      <w:marRight w:val="0"/>
      <w:marTop w:val="0"/>
      <w:marBottom w:val="0"/>
      <w:divBdr>
        <w:top w:val="none" w:sz="0" w:space="0" w:color="auto"/>
        <w:left w:val="none" w:sz="0" w:space="0" w:color="auto"/>
        <w:bottom w:val="none" w:sz="0" w:space="0" w:color="auto"/>
        <w:right w:val="none" w:sz="0" w:space="0" w:color="auto"/>
      </w:divBdr>
      <w:divsChild>
        <w:div w:id="1879202273">
          <w:marLeft w:val="0"/>
          <w:marRight w:val="0"/>
          <w:marTop w:val="0"/>
          <w:marBottom w:val="0"/>
          <w:divBdr>
            <w:top w:val="none" w:sz="0" w:space="0" w:color="auto"/>
            <w:left w:val="none" w:sz="0" w:space="0" w:color="auto"/>
            <w:bottom w:val="none" w:sz="0" w:space="0" w:color="auto"/>
            <w:right w:val="none" w:sz="0" w:space="0" w:color="auto"/>
          </w:divBdr>
          <w:divsChild>
            <w:div w:id="839583193">
              <w:marLeft w:val="0"/>
              <w:marRight w:val="0"/>
              <w:marTop w:val="0"/>
              <w:marBottom w:val="0"/>
              <w:divBdr>
                <w:top w:val="none" w:sz="0" w:space="0" w:color="auto"/>
                <w:left w:val="none" w:sz="0" w:space="0" w:color="auto"/>
                <w:bottom w:val="none" w:sz="0" w:space="0" w:color="auto"/>
                <w:right w:val="none" w:sz="0" w:space="0" w:color="auto"/>
              </w:divBdr>
            </w:div>
          </w:divsChild>
        </w:div>
        <w:div w:id="493029266">
          <w:marLeft w:val="0"/>
          <w:marRight w:val="0"/>
          <w:marTop w:val="0"/>
          <w:marBottom w:val="0"/>
          <w:divBdr>
            <w:top w:val="none" w:sz="0" w:space="0" w:color="auto"/>
            <w:left w:val="none" w:sz="0" w:space="0" w:color="auto"/>
            <w:bottom w:val="none" w:sz="0" w:space="0" w:color="auto"/>
            <w:right w:val="none" w:sz="0" w:space="0" w:color="auto"/>
          </w:divBdr>
          <w:divsChild>
            <w:div w:id="1870606650">
              <w:marLeft w:val="0"/>
              <w:marRight w:val="0"/>
              <w:marTop w:val="0"/>
              <w:marBottom w:val="0"/>
              <w:divBdr>
                <w:top w:val="none" w:sz="0" w:space="0" w:color="auto"/>
                <w:left w:val="none" w:sz="0" w:space="0" w:color="auto"/>
                <w:bottom w:val="none" w:sz="0" w:space="0" w:color="auto"/>
                <w:right w:val="none" w:sz="0" w:space="0" w:color="auto"/>
              </w:divBdr>
              <w:divsChild>
                <w:div w:id="628513736">
                  <w:marLeft w:val="0"/>
                  <w:marRight w:val="0"/>
                  <w:marTop w:val="0"/>
                  <w:marBottom w:val="0"/>
                  <w:divBdr>
                    <w:top w:val="none" w:sz="0" w:space="0" w:color="auto"/>
                    <w:left w:val="none" w:sz="0" w:space="0" w:color="auto"/>
                    <w:bottom w:val="none" w:sz="0" w:space="0" w:color="auto"/>
                    <w:right w:val="none" w:sz="0" w:space="0" w:color="auto"/>
                  </w:divBdr>
                  <w:divsChild>
                    <w:div w:id="996885823">
                      <w:marLeft w:val="0"/>
                      <w:marRight w:val="0"/>
                      <w:marTop w:val="0"/>
                      <w:marBottom w:val="0"/>
                      <w:divBdr>
                        <w:top w:val="none" w:sz="0" w:space="0" w:color="auto"/>
                        <w:left w:val="none" w:sz="0" w:space="0" w:color="auto"/>
                        <w:bottom w:val="none" w:sz="0" w:space="0" w:color="auto"/>
                        <w:right w:val="none" w:sz="0" w:space="0" w:color="auto"/>
                      </w:divBdr>
                    </w:div>
                  </w:divsChild>
                </w:div>
                <w:div w:id="429470877">
                  <w:marLeft w:val="0"/>
                  <w:marRight w:val="0"/>
                  <w:marTop w:val="0"/>
                  <w:marBottom w:val="0"/>
                  <w:divBdr>
                    <w:top w:val="none" w:sz="0" w:space="0" w:color="auto"/>
                    <w:left w:val="none" w:sz="0" w:space="0" w:color="auto"/>
                    <w:bottom w:val="none" w:sz="0" w:space="0" w:color="auto"/>
                    <w:right w:val="none" w:sz="0" w:space="0" w:color="auto"/>
                  </w:divBdr>
                </w:div>
                <w:div w:id="1664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89592">
      <w:bodyDiv w:val="1"/>
      <w:marLeft w:val="0"/>
      <w:marRight w:val="0"/>
      <w:marTop w:val="0"/>
      <w:marBottom w:val="0"/>
      <w:divBdr>
        <w:top w:val="none" w:sz="0" w:space="0" w:color="auto"/>
        <w:left w:val="none" w:sz="0" w:space="0" w:color="auto"/>
        <w:bottom w:val="none" w:sz="0" w:space="0" w:color="auto"/>
        <w:right w:val="none" w:sz="0" w:space="0" w:color="auto"/>
      </w:divBdr>
      <w:divsChild>
        <w:div w:id="250819851">
          <w:marLeft w:val="0"/>
          <w:marRight w:val="0"/>
          <w:marTop w:val="0"/>
          <w:marBottom w:val="0"/>
          <w:divBdr>
            <w:top w:val="none" w:sz="0" w:space="0" w:color="auto"/>
            <w:left w:val="none" w:sz="0" w:space="0" w:color="auto"/>
            <w:bottom w:val="none" w:sz="0" w:space="0" w:color="auto"/>
            <w:right w:val="none" w:sz="0" w:space="0" w:color="auto"/>
          </w:divBdr>
          <w:divsChild>
            <w:div w:id="363020503">
              <w:marLeft w:val="0"/>
              <w:marRight w:val="0"/>
              <w:marTop w:val="0"/>
              <w:marBottom w:val="0"/>
              <w:divBdr>
                <w:top w:val="none" w:sz="0" w:space="0" w:color="auto"/>
                <w:left w:val="none" w:sz="0" w:space="0" w:color="auto"/>
                <w:bottom w:val="none" w:sz="0" w:space="0" w:color="auto"/>
                <w:right w:val="none" w:sz="0" w:space="0" w:color="auto"/>
              </w:divBdr>
            </w:div>
          </w:divsChild>
        </w:div>
        <w:div w:id="897398841">
          <w:marLeft w:val="0"/>
          <w:marRight w:val="0"/>
          <w:marTop w:val="0"/>
          <w:marBottom w:val="0"/>
          <w:divBdr>
            <w:top w:val="none" w:sz="0" w:space="0" w:color="auto"/>
            <w:left w:val="none" w:sz="0" w:space="0" w:color="auto"/>
            <w:bottom w:val="none" w:sz="0" w:space="0" w:color="auto"/>
            <w:right w:val="none" w:sz="0" w:space="0" w:color="auto"/>
          </w:divBdr>
          <w:divsChild>
            <w:div w:id="682710237">
              <w:marLeft w:val="0"/>
              <w:marRight w:val="0"/>
              <w:marTop w:val="0"/>
              <w:marBottom w:val="0"/>
              <w:divBdr>
                <w:top w:val="none" w:sz="0" w:space="0" w:color="auto"/>
                <w:left w:val="none" w:sz="0" w:space="0" w:color="auto"/>
                <w:bottom w:val="none" w:sz="0" w:space="0" w:color="auto"/>
                <w:right w:val="none" w:sz="0" w:space="0" w:color="auto"/>
              </w:divBdr>
              <w:divsChild>
                <w:div w:id="1279947806">
                  <w:marLeft w:val="0"/>
                  <w:marRight w:val="0"/>
                  <w:marTop w:val="0"/>
                  <w:marBottom w:val="0"/>
                  <w:divBdr>
                    <w:top w:val="none" w:sz="0" w:space="0" w:color="auto"/>
                    <w:left w:val="none" w:sz="0" w:space="0" w:color="auto"/>
                    <w:bottom w:val="none" w:sz="0" w:space="0" w:color="auto"/>
                    <w:right w:val="none" w:sz="0" w:space="0" w:color="auto"/>
                  </w:divBdr>
                  <w:divsChild>
                    <w:div w:id="180945445">
                      <w:marLeft w:val="0"/>
                      <w:marRight w:val="0"/>
                      <w:marTop w:val="0"/>
                      <w:marBottom w:val="0"/>
                      <w:divBdr>
                        <w:top w:val="none" w:sz="0" w:space="0" w:color="auto"/>
                        <w:left w:val="none" w:sz="0" w:space="0" w:color="auto"/>
                        <w:bottom w:val="none" w:sz="0" w:space="0" w:color="auto"/>
                        <w:right w:val="none" w:sz="0" w:space="0" w:color="auto"/>
                      </w:divBdr>
                    </w:div>
                  </w:divsChild>
                </w:div>
                <w:div w:id="1115060594">
                  <w:marLeft w:val="0"/>
                  <w:marRight w:val="0"/>
                  <w:marTop w:val="0"/>
                  <w:marBottom w:val="0"/>
                  <w:divBdr>
                    <w:top w:val="none" w:sz="0" w:space="0" w:color="auto"/>
                    <w:left w:val="none" w:sz="0" w:space="0" w:color="auto"/>
                    <w:bottom w:val="none" w:sz="0" w:space="0" w:color="auto"/>
                    <w:right w:val="none" w:sz="0" w:space="0" w:color="auto"/>
                  </w:divBdr>
                </w:div>
                <w:div w:id="90545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turnpenny@uea.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government/publications/research-and-development-rd-people-and-culture-strateg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marten.org.uk/" TargetMode="External"/><Relationship Id="rId2" Type="http://schemas.openxmlformats.org/officeDocument/2006/relationships/hyperlink" Target="https://taso.org.uk/student-mental-health-hub/" TargetMode="External"/><Relationship Id="rId1" Type="http://schemas.openxmlformats.org/officeDocument/2006/relationships/hyperlink" Target="https://www.un.org/sustainabledevelopment/health/"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ur01.safelinks.protection.outlook.com/?url=https%3A%2F%2Fdoi.org%2F10.1332%2F03055736Y2024D000000056&amp;data=05%7C02%7CJ.Turnpenny%40uea.ac.uk%7Cfa8271b032e6428c632d08ddf375e75c%7Cc65f8795ba3d43518a070865e5d8f090%7C0%7C0%7C638934409913387934%7CUnknown%7CTWFpbGZsb3d8eyJFbXB0eU1hcGkiOnRydWUsIlYiOiIwLjAuMDAwMCIsIlAiOiJXaW4zMiIsIkFOIjoiTWFpbCIsIldUIjoyfQ%3D%3D%7C0%7C%7C%7C&amp;sdata=GXOjTPk5CsUbAz90Ctow%2Fidi34aqodfZdsxD2a%2FBL9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71284-A754-46E6-A5FA-94738E847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9753</Words>
  <Characters>55598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Turnpenny (PPL - Staff)</dc:creator>
  <cp:keywords/>
  <dc:description/>
  <cp:lastModifiedBy>John Turnpenny (PPA - Staff)</cp:lastModifiedBy>
  <cp:revision>10</cp:revision>
  <dcterms:created xsi:type="dcterms:W3CDTF">2024-11-11T11:57:00Z</dcterms:created>
  <dcterms:modified xsi:type="dcterms:W3CDTF">2025-10-03T13:09:00Z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-1729154824</vt:i4>
  </property>
  <property fmtid="{D5CDD505-2E9C-101B-9397-08002B2CF9AE}" pid="3" name="_NewReviewCycle">
    <vt:lpwstr/>
  </property>
  <property fmtid="{D5CDD505-2E9C-101B-9397-08002B2CF9AE}" pid="4" name="_EmailSubject">
    <vt:lpwstr>Draft article on PGR Wellbeing</vt:lpwstr>
  </property>
  <property fmtid="{D5CDD505-2E9C-101B-9397-08002B2CF9AE}" pid="5" name="_AuthorEmail">
    <vt:lpwstr>Rebecca.Pinner@uea.ac.uk</vt:lpwstr>
  </property>
  <property fmtid="{D5CDD505-2E9C-101B-9397-08002B2CF9AE}" pid="6" name="_AuthorEmailDisplayName">
    <vt:lpwstr>Rebecca Pinner (LDC - Staff)</vt:lpwstr>
  </property>
  <property fmtid="{D5CDD505-2E9C-101B-9397-08002B2CF9AE}" pid="7" name="_PreviousAdHocReviewCycleID">
    <vt:i4>-1392877516</vt:i4>
  </property>
  <property fmtid="{D5CDD505-2E9C-101B-9397-08002B2CF9AE}" pid="8" name="_ReviewingToolsShownOnce">
    <vt:lpwstr/>
  </property>
</Properties>
</file>