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B74A" w14:textId="0ED316C7" w:rsidR="00224DE0" w:rsidRDefault="00A13833" w:rsidP="00FF53BA">
      <w:pPr>
        <w:jc w:val="both"/>
        <w:rPr>
          <w:rFonts w:ascii="Arial" w:hAnsi="Arial" w:cs="Arial"/>
          <w:sz w:val="24"/>
          <w:szCs w:val="24"/>
          <w:u w:val="single"/>
        </w:rPr>
      </w:pPr>
      <w:r w:rsidRPr="00A13833">
        <w:rPr>
          <w:rFonts w:ascii="Arial" w:hAnsi="Arial" w:cs="Arial"/>
          <w:sz w:val="24"/>
          <w:szCs w:val="24"/>
          <w:u w:val="single"/>
        </w:rPr>
        <w:t>How and when to provide adequate safety netting in the Emergency Department</w:t>
      </w:r>
    </w:p>
    <w:p w14:paraId="613EAE5F" w14:textId="283326AA" w:rsidR="00A13833" w:rsidRDefault="005D4AFC" w:rsidP="00FF53BA">
      <w:pPr>
        <w:jc w:val="both"/>
        <w:rPr>
          <w:rFonts w:ascii="Arial" w:hAnsi="Arial" w:cs="Arial"/>
          <w:b/>
          <w:bCs/>
          <w:sz w:val="24"/>
          <w:szCs w:val="24"/>
        </w:rPr>
      </w:pPr>
      <w:r w:rsidRPr="005D4AFC">
        <w:rPr>
          <w:rFonts w:ascii="Arial" w:hAnsi="Arial" w:cs="Arial"/>
          <w:b/>
          <w:bCs/>
          <w:sz w:val="24"/>
          <w:szCs w:val="24"/>
        </w:rPr>
        <w:t>Rational</w:t>
      </w:r>
      <w:r>
        <w:rPr>
          <w:rFonts w:ascii="Arial" w:hAnsi="Arial" w:cs="Arial"/>
          <w:b/>
          <w:bCs/>
          <w:sz w:val="24"/>
          <w:szCs w:val="24"/>
        </w:rPr>
        <w:t xml:space="preserve"> and Key Points</w:t>
      </w:r>
    </w:p>
    <w:p w14:paraId="5096B5EF" w14:textId="4A3B5929" w:rsidR="005D4AFC" w:rsidRPr="00626BED" w:rsidRDefault="00626BED" w:rsidP="00FF53BA">
      <w:pPr>
        <w:jc w:val="both"/>
        <w:rPr>
          <w:rFonts w:ascii="Arial" w:hAnsi="Arial" w:cs="Arial"/>
          <w:sz w:val="24"/>
          <w:szCs w:val="24"/>
        </w:rPr>
      </w:pPr>
      <w:r w:rsidRPr="00626BED">
        <w:rPr>
          <w:rFonts w:ascii="Arial" w:hAnsi="Arial" w:cs="Arial"/>
          <w:sz w:val="24"/>
          <w:szCs w:val="24"/>
        </w:rPr>
        <w:t>Safety-netting</w:t>
      </w:r>
      <w:r>
        <w:rPr>
          <w:rFonts w:ascii="Arial" w:hAnsi="Arial" w:cs="Arial"/>
          <w:sz w:val="24"/>
          <w:szCs w:val="24"/>
        </w:rPr>
        <w:t xml:space="preserve"> patients in the emergency department can be a key activity to make sure </w:t>
      </w:r>
      <w:r w:rsidR="0043082A">
        <w:rPr>
          <w:rFonts w:ascii="Arial" w:hAnsi="Arial" w:cs="Arial"/>
          <w:sz w:val="24"/>
          <w:szCs w:val="24"/>
        </w:rPr>
        <w:t xml:space="preserve">discharge </w:t>
      </w:r>
      <w:r w:rsidR="00CB22AF">
        <w:rPr>
          <w:rFonts w:ascii="Arial" w:hAnsi="Arial" w:cs="Arial"/>
          <w:sz w:val="24"/>
          <w:szCs w:val="24"/>
        </w:rPr>
        <w:t>decisions are safe.</w:t>
      </w:r>
      <w:r w:rsidR="00F12A65">
        <w:rPr>
          <w:rFonts w:ascii="Arial" w:hAnsi="Arial" w:cs="Arial"/>
          <w:sz w:val="24"/>
          <w:szCs w:val="24"/>
        </w:rPr>
        <w:t xml:space="preserve"> It involves giving information to the patient so they know what to do should their condition deteriorate</w:t>
      </w:r>
      <w:r w:rsidR="00FF67C1">
        <w:rPr>
          <w:rFonts w:ascii="Arial" w:hAnsi="Arial" w:cs="Arial"/>
          <w:sz w:val="24"/>
          <w:szCs w:val="24"/>
        </w:rPr>
        <w:t xml:space="preserve"> after they have left the department</w:t>
      </w:r>
      <w:r w:rsidR="00F12A65">
        <w:rPr>
          <w:rFonts w:ascii="Arial" w:hAnsi="Arial" w:cs="Arial"/>
          <w:sz w:val="24"/>
          <w:szCs w:val="24"/>
        </w:rPr>
        <w:t>.</w:t>
      </w:r>
      <w:r w:rsidR="00CB22AF">
        <w:rPr>
          <w:rFonts w:ascii="Arial" w:hAnsi="Arial" w:cs="Arial"/>
          <w:sz w:val="24"/>
          <w:szCs w:val="24"/>
        </w:rPr>
        <w:t xml:space="preserve"> This article explores </w:t>
      </w:r>
      <w:r w:rsidR="00A43111">
        <w:rPr>
          <w:rFonts w:ascii="Arial" w:hAnsi="Arial" w:cs="Arial"/>
          <w:sz w:val="24"/>
          <w:szCs w:val="24"/>
        </w:rPr>
        <w:t>when an emergency department nurse might want to provide</w:t>
      </w:r>
      <w:r w:rsidR="00E91222">
        <w:rPr>
          <w:rFonts w:ascii="Arial" w:hAnsi="Arial" w:cs="Arial"/>
          <w:sz w:val="24"/>
          <w:szCs w:val="24"/>
        </w:rPr>
        <w:t xml:space="preserve"> a</w:t>
      </w:r>
      <w:r w:rsidR="00A43111">
        <w:rPr>
          <w:rFonts w:ascii="Arial" w:hAnsi="Arial" w:cs="Arial"/>
          <w:sz w:val="24"/>
          <w:szCs w:val="24"/>
        </w:rPr>
        <w:t xml:space="preserve"> safety-net, and what constitutes </w:t>
      </w:r>
      <w:r w:rsidR="00E91222">
        <w:rPr>
          <w:rFonts w:ascii="Arial" w:hAnsi="Arial" w:cs="Arial"/>
          <w:sz w:val="24"/>
          <w:szCs w:val="24"/>
        </w:rPr>
        <w:t>adequate safety-netting.</w:t>
      </w:r>
    </w:p>
    <w:p w14:paraId="1E90A3F8" w14:textId="7685657B" w:rsidR="00EF77BE" w:rsidRDefault="00EF77BE" w:rsidP="00FF53BA">
      <w:pPr>
        <w:jc w:val="both"/>
        <w:rPr>
          <w:rFonts w:ascii="Arial" w:hAnsi="Arial" w:cs="Arial"/>
          <w:b/>
          <w:bCs/>
          <w:sz w:val="24"/>
          <w:szCs w:val="24"/>
        </w:rPr>
      </w:pPr>
      <w:r>
        <w:rPr>
          <w:rFonts w:ascii="Arial" w:hAnsi="Arial" w:cs="Arial"/>
          <w:b/>
          <w:bCs/>
          <w:sz w:val="24"/>
          <w:szCs w:val="24"/>
        </w:rPr>
        <w:t>Reflective Activity</w:t>
      </w:r>
    </w:p>
    <w:p w14:paraId="03CB29C5" w14:textId="1D5511A6" w:rsidR="00EF77BE" w:rsidRDefault="00533C06" w:rsidP="00FF53BA">
      <w:pPr>
        <w:jc w:val="both"/>
        <w:rPr>
          <w:rFonts w:ascii="Arial" w:hAnsi="Arial" w:cs="Arial"/>
          <w:sz w:val="24"/>
          <w:szCs w:val="24"/>
        </w:rPr>
      </w:pPr>
      <w:r>
        <w:rPr>
          <w:rFonts w:ascii="Arial" w:hAnsi="Arial" w:cs="Arial"/>
          <w:sz w:val="24"/>
          <w:szCs w:val="24"/>
        </w:rPr>
        <w:t>‘</w:t>
      </w:r>
      <w:r w:rsidR="00706E5F" w:rsidRPr="00706E5F">
        <w:rPr>
          <w:rFonts w:ascii="Arial" w:hAnsi="Arial" w:cs="Arial"/>
          <w:sz w:val="24"/>
          <w:szCs w:val="24"/>
        </w:rPr>
        <w:t>How to’ articles can help to update your practice and ensure it remains evidence based. Apply this article to your practice.</w:t>
      </w:r>
    </w:p>
    <w:p w14:paraId="2B525A86" w14:textId="77777777" w:rsidR="00C62DF4" w:rsidRPr="00C62DF4" w:rsidRDefault="00C62DF4" w:rsidP="00FF53BA">
      <w:pPr>
        <w:jc w:val="both"/>
        <w:rPr>
          <w:rFonts w:ascii="Arial" w:hAnsi="Arial" w:cs="Arial"/>
          <w:sz w:val="24"/>
          <w:szCs w:val="24"/>
        </w:rPr>
      </w:pPr>
      <w:r w:rsidRPr="00C62DF4">
        <w:rPr>
          <w:rFonts w:ascii="Arial" w:hAnsi="Arial" w:cs="Arial"/>
          <w:sz w:val="24"/>
          <w:szCs w:val="24"/>
        </w:rPr>
        <w:t>Reflect on and write a short account of:</w:t>
      </w:r>
    </w:p>
    <w:p w14:paraId="11678D91" w14:textId="055BBCF3" w:rsidR="00C62DF4" w:rsidRPr="00C62DF4" w:rsidRDefault="00C62DF4" w:rsidP="00FF53BA">
      <w:pPr>
        <w:jc w:val="both"/>
        <w:rPr>
          <w:rFonts w:ascii="Arial" w:hAnsi="Arial" w:cs="Arial"/>
          <w:sz w:val="24"/>
          <w:szCs w:val="24"/>
        </w:rPr>
      </w:pPr>
      <w:r w:rsidRPr="00C62DF4">
        <w:rPr>
          <w:rFonts w:ascii="Arial" w:hAnsi="Arial" w:cs="Arial"/>
          <w:sz w:val="24"/>
          <w:szCs w:val="24"/>
        </w:rPr>
        <w:t>» How this article might improve your practice when</w:t>
      </w:r>
      <w:r>
        <w:rPr>
          <w:rFonts w:ascii="Arial" w:hAnsi="Arial" w:cs="Arial"/>
          <w:sz w:val="24"/>
          <w:szCs w:val="24"/>
        </w:rPr>
        <w:t xml:space="preserve"> </w:t>
      </w:r>
      <w:r w:rsidR="005D6FC3">
        <w:rPr>
          <w:rFonts w:ascii="Arial" w:hAnsi="Arial" w:cs="Arial"/>
          <w:sz w:val="24"/>
          <w:szCs w:val="24"/>
        </w:rPr>
        <w:t>providing safety-netting information in the emergency department</w:t>
      </w:r>
      <w:r w:rsidRPr="00C62DF4">
        <w:rPr>
          <w:rFonts w:ascii="Arial" w:hAnsi="Arial" w:cs="Arial"/>
          <w:sz w:val="24"/>
          <w:szCs w:val="24"/>
        </w:rPr>
        <w:t>.</w:t>
      </w:r>
    </w:p>
    <w:p w14:paraId="7404AD89" w14:textId="23865549" w:rsidR="00C62DF4" w:rsidRPr="00706E5F" w:rsidRDefault="00C62DF4" w:rsidP="00FF53BA">
      <w:pPr>
        <w:jc w:val="both"/>
        <w:rPr>
          <w:rFonts w:ascii="Arial" w:hAnsi="Arial" w:cs="Arial"/>
          <w:sz w:val="24"/>
          <w:szCs w:val="24"/>
        </w:rPr>
      </w:pPr>
      <w:r w:rsidRPr="00C62DF4">
        <w:rPr>
          <w:rFonts w:ascii="Arial" w:hAnsi="Arial" w:cs="Arial"/>
          <w:sz w:val="24"/>
          <w:szCs w:val="24"/>
        </w:rPr>
        <w:t xml:space="preserve">» How you could use this information to educate nursing students or your colleagues on the appropriate technique and evidence base </w:t>
      </w:r>
      <w:r w:rsidR="005D6FC3">
        <w:rPr>
          <w:rFonts w:ascii="Arial" w:hAnsi="Arial" w:cs="Arial"/>
          <w:sz w:val="24"/>
          <w:szCs w:val="24"/>
        </w:rPr>
        <w:t>for providing safety-net information</w:t>
      </w:r>
      <w:r w:rsidRPr="00C62DF4">
        <w:rPr>
          <w:rFonts w:ascii="Arial" w:hAnsi="Arial" w:cs="Arial"/>
          <w:sz w:val="24"/>
          <w:szCs w:val="24"/>
        </w:rPr>
        <w:t>.</w:t>
      </w:r>
    </w:p>
    <w:p w14:paraId="4C3062D7" w14:textId="0991DFFA" w:rsidR="00EF77BE" w:rsidRDefault="00EF77BE" w:rsidP="00FF53BA">
      <w:pPr>
        <w:jc w:val="both"/>
        <w:rPr>
          <w:rFonts w:ascii="Arial" w:hAnsi="Arial" w:cs="Arial"/>
          <w:b/>
          <w:bCs/>
          <w:sz w:val="24"/>
          <w:szCs w:val="24"/>
        </w:rPr>
      </w:pPr>
      <w:r>
        <w:rPr>
          <w:rFonts w:ascii="Arial" w:hAnsi="Arial" w:cs="Arial"/>
          <w:b/>
          <w:bCs/>
          <w:sz w:val="24"/>
          <w:szCs w:val="24"/>
        </w:rPr>
        <w:t>Preparation and Equipment</w:t>
      </w:r>
    </w:p>
    <w:p w14:paraId="7C8913C3" w14:textId="152243A8" w:rsidR="000D4571" w:rsidRPr="007578D5" w:rsidRDefault="00EE2589" w:rsidP="00FF53BA">
      <w:pPr>
        <w:pStyle w:val="ListParagraph"/>
        <w:numPr>
          <w:ilvl w:val="0"/>
          <w:numId w:val="4"/>
        </w:numPr>
        <w:jc w:val="both"/>
        <w:rPr>
          <w:rFonts w:ascii="Arial" w:hAnsi="Arial" w:cs="Arial"/>
          <w:sz w:val="24"/>
          <w:szCs w:val="24"/>
        </w:rPr>
      </w:pPr>
      <w:r w:rsidRPr="007578D5">
        <w:rPr>
          <w:rFonts w:ascii="Arial" w:hAnsi="Arial" w:cs="Arial"/>
          <w:sz w:val="24"/>
          <w:szCs w:val="24"/>
        </w:rPr>
        <w:t xml:space="preserve">Identify who you are going to safety-net and why you are planning to do so. </w:t>
      </w:r>
      <w:r w:rsidR="00DF21A9">
        <w:rPr>
          <w:rFonts w:ascii="Arial" w:hAnsi="Arial" w:cs="Arial"/>
          <w:sz w:val="24"/>
          <w:szCs w:val="24"/>
        </w:rPr>
        <w:t>What condition do they have that might change?</w:t>
      </w:r>
      <w:r w:rsidR="00EC1E18">
        <w:rPr>
          <w:rFonts w:ascii="Arial" w:hAnsi="Arial" w:cs="Arial"/>
          <w:sz w:val="24"/>
          <w:szCs w:val="24"/>
        </w:rPr>
        <w:t xml:space="preserve"> What are the risks if it does?</w:t>
      </w:r>
    </w:p>
    <w:p w14:paraId="12E4B748" w14:textId="0ECF28F0" w:rsidR="001D2505" w:rsidRPr="007578D5" w:rsidRDefault="001D2505" w:rsidP="00FF53BA">
      <w:pPr>
        <w:pStyle w:val="ListParagraph"/>
        <w:numPr>
          <w:ilvl w:val="0"/>
          <w:numId w:val="4"/>
        </w:numPr>
        <w:jc w:val="both"/>
        <w:rPr>
          <w:rFonts w:ascii="Arial" w:hAnsi="Arial" w:cs="Arial"/>
          <w:sz w:val="24"/>
          <w:szCs w:val="24"/>
        </w:rPr>
      </w:pPr>
      <w:r w:rsidRPr="007578D5">
        <w:rPr>
          <w:rFonts w:ascii="Arial" w:hAnsi="Arial" w:cs="Arial"/>
          <w:sz w:val="24"/>
          <w:szCs w:val="24"/>
        </w:rPr>
        <w:t xml:space="preserve">Consider </w:t>
      </w:r>
      <w:r w:rsidR="001304FA" w:rsidRPr="007578D5">
        <w:rPr>
          <w:rFonts w:ascii="Arial" w:hAnsi="Arial" w:cs="Arial"/>
          <w:sz w:val="24"/>
          <w:szCs w:val="24"/>
        </w:rPr>
        <w:t>the need for</w:t>
      </w:r>
      <w:r w:rsidRPr="007578D5">
        <w:rPr>
          <w:rFonts w:ascii="Arial" w:hAnsi="Arial" w:cs="Arial"/>
          <w:sz w:val="24"/>
          <w:szCs w:val="24"/>
        </w:rPr>
        <w:t xml:space="preserve"> safety-netting the patient</w:t>
      </w:r>
      <w:r w:rsidR="00844241" w:rsidRPr="007578D5">
        <w:rPr>
          <w:rFonts w:ascii="Arial" w:hAnsi="Arial" w:cs="Arial"/>
          <w:sz w:val="24"/>
          <w:szCs w:val="24"/>
        </w:rPr>
        <w:t>.</w:t>
      </w:r>
      <w:r w:rsidR="00553335" w:rsidRPr="007578D5">
        <w:rPr>
          <w:rFonts w:ascii="Arial" w:hAnsi="Arial" w:cs="Arial"/>
          <w:sz w:val="24"/>
          <w:szCs w:val="24"/>
        </w:rPr>
        <w:t xml:space="preserve"> Is it because </w:t>
      </w:r>
      <w:r w:rsidR="007411B9">
        <w:rPr>
          <w:rFonts w:ascii="Arial" w:hAnsi="Arial" w:cs="Arial"/>
          <w:sz w:val="24"/>
          <w:szCs w:val="24"/>
        </w:rPr>
        <w:t>there is a risk</w:t>
      </w:r>
      <w:r w:rsidR="00844241" w:rsidRPr="007578D5">
        <w:rPr>
          <w:rFonts w:ascii="Arial" w:hAnsi="Arial" w:cs="Arial"/>
          <w:sz w:val="24"/>
          <w:szCs w:val="24"/>
        </w:rPr>
        <w:t xml:space="preserve"> their health may </w:t>
      </w:r>
      <w:r w:rsidR="00C0008E" w:rsidRPr="007578D5">
        <w:rPr>
          <w:rFonts w:ascii="Arial" w:hAnsi="Arial" w:cs="Arial"/>
          <w:sz w:val="24"/>
          <w:szCs w:val="24"/>
        </w:rPr>
        <w:t>deteriorate</w:t>
      </w:r>
      <w:r w:rsidR="007411B9">
        <w:rPr>
          <w:rFonts w:ascii="Arial" w:hAnsi="Arial" w:cs="Arial"/>
          <w:sz w:val="24"/>
          <w:szCs w:val="24"/>
        </w:rPr>
        <w:t xml:space="preserve"> after discharge</w:t>
      </w:r>
      <w:r w:rsidR="00C0008E" w:rsidRPr="007578D5">
        <w:rPr>
          <w:rFonts w:ascii="Arial" w:hAnsi="Arial" w:cs="Arial"/>
          <w:sz w:val="24"/>
          <w:szCs w:val="24"/>
        </w:rPr>
        <w:t xml:space="preserve">? </w:t>
      </w:r>
      <w:r w:rsidR="00EA6FD4" w:rsidRPr="007578D5">
        <w:rPr>
          <w:rFonts w:ascii="Arial" w:hAnsi="Arial" w:cs="Arial"/>
          <w:sz w:val="24"/>
          <w:szCs w:val="24"/>
        </w:rPr>
        <w:t xml:space="preserve">Because </w:t>
      </w:r>
      <w:r w:rsidR="005E3C85" w:rsidRPr="007578D5">
        <w:rPr>
          <w:rFonts w:ascii="Arial" w:hAnsi="Arial" w:cs="Arial"/>
          <w:sz w:val="24"/>
          <w:szCs w:val="24"/>
        </w:rPr>
        <w:t>they may have a long waiting time</w:t>
      </w:r>
      <w:r w:rsidR="007411B9">
        <w:rPr>
          <w:rFonts w:ascii="Arial" w:hAnsi="Arial" w:cs="Arial"/>
          <w:sz w:val="24"/>
          <w:szCs w:val="24"/>
        </w:rPr>
        <w:t xml:space="preserve"> before their next medical appointment</w:t>
      </w:r>
      <w:r w:rsidR="005E3C85" w:rsidRPr="007578D5">
        <w:rPr>
          <w:rFonts w:ascii="Arial" w:hAnsi="Arial" w:cs="Arial"/>
          <w:sz w:val="24"/>
          <w:szCs w:val="24"/>
        </w:rPr>
        <w:t xml:space="preserve">? The information you give the patient may </w:t>
      </w:r>
      <w:r w:rsidR="009B1A82">
        <w:rPr>
          <w:rFonts w:ascii="Arial" w:hAnsi="Arial" w:cs="Arial"/>
          <w:sz w:val="24"/>
          <w:szCs w:val="24"/>
        </w:rPr>
        <w:t xml:space="preserve">need to </w:t>
      </w:r>
      <w:r w:rsidR="005E3C85" w:rsidRPr="007578D5">
        <w:rPr>
          <w:rFonts w:ascii="Arial" w:hAnsi="Arial" w:cs="Arial"/>
          <w:sz w:val="24"/>
          <w:szCs w:val="24"/>
        </w:rPr>
        <w:t>be adjusted because of the reasons</w:t>
      </w:r>
      <w:r w:rsidR="007411B9">
        <w:rPr>
          <w:rFonts w:ascii="Arial" w:hAnsi="Arial" w:cs="Arial"/>
          <w:sz w:val="24"/>
          <w:szCs w:val="24"/>
        </w:rPr>
        <w:t xml:space="preserve"> for providing the safety-netting</w:t>
      </w:r>
      <w:r w:rsidR="005E3C85" w:rsidRPr="007578D5">
        <w:rPr>
          <w:rFonts w:ascii="Arial" w:hAnsi="Arial" w:cs="Arial"/>
          <w:sz w:val="24"/>
          <w:szCs w:val="24"/>
        </w:rPr>
        <w:t>.</w:t>
      </w:r>
    </w:p>
    <w:p w14:paraId="0DEB0759" w14:textId="000ED90D" w:rsidR="00584064" w:rsidRPr="007578D5" w:rsidRDefault="00584064" w:rsidP="00FF53BA">
      <w:pPr>
        <w:pStyle w:val="ListParagraph"/>
        <w:numPr>
          <w:ilvl w:val="0"/>
          <w:numId w:val="4"/>
        </w:numPr>
        <w:jc w:val="both"/>
        <w:rPr>
          <w:rFonts w:ascii="Arial" w:hAnsi="Arial" w:cs="Arial"/>
          <w:sz w:val="24"/>
          <w:szCs w:val="24"/>
        </w:rPr>
      </w:pPr>
      <w:r w:rsidRPr="007578D5">
        <w:rPr>
          <w:rFonts w:ascii="Arial" w:hAnsi="Arial" w:cs="Arial"/>
          <w:sz w:val="24"/>
          <w:szCs w:val="24"/>
        </w:rPr>
        <w:t>Identify what information you want to convey to the patient</w:t>
      </w:r>
      <w:r w:rsidR="00393D98">
        <w:rPr>
          <w:rFonts w:ascii="Arial" w:hAnsi="Arial" w:cs="Arial"/>
          <w:sz w:val="24"/>
          <w:szCs w:val="24"/>
        </w:rPr>
        <w:t xml:space="preserve"> (</w:t>
      </w:r>
      <w:r w:rsidR="001C53B9">
        <w:rPr>
          <w:rFonts w:ascii="Arial" w:hAnsi="Arial" w:cs="Arial"/>
          <w:sz w:val="24"/>
          <w:szCs w:val="24"/>
        </w:rPr>
        <w:t>o</w:t>
      </w:r>
      <w:r w:rsidR="00393D98">
        <w:rPr>
          <w:rFonts w:ascii="Arial" w:hAnsi="Arial" w:cs="Arial"/>
          <w:sz w:val="24"/>
          <w:szCs w:val="24"/>
        </w:rPr>
        <w:t>r</w:t>
      </w:r>
      <w:r w:rsidR="001C53B9">
        <w:rPr>
          <w:rFonts w:ascii="Arial" w:hAnsi="Arial" w:cs="Arial"/>
          <w:sz w:val="24"/>
          <w:szCs w:val="24"/>
        </w:rPr>
        <w:t xml:space="preserve"> to</w:t>
      </w:r>
      <w:r w:rsidR="00393D98">
        <w:rPr>
          <w:rFonts w:ascii="Arial" w:hAnsi="Arial" w:cs="Arial"/>
          <w:sz w:val="24"/>
          <w:szCs w:val="24"/>
        </w:rPr>
        <w:t xml:space="preserve"> their carer if more appropriate)</w:t>
      </w:r>
      <w:r w:rsidRPr="007578D5">
        <w:rPr>
          <w:rFonts w:ascii="Arial" w:hAnsi="Arial" w:cs="Arial"/>
          <w:sz w:val="24"/>
          <w:szCs w:val="24"/>
        </w:rPr>
        <w:t xml:space="preserve">. </w:t>
      </w:r>
      <w:r w:rsidR="00542DF3" w:rsidRPr="007578D5">
        <w:rPr>
          <w:rFonts w:ascii="Arial" w:hAnsi="Arial" w:cs="Arial"/>
          <w:sz w:val="24"/>
          <w:szCs w:val="24"/>
        </w:rPr>
        <w:t xml:space="preserve">Think about what </w:t>
      </w:r>
      <w:r w:rsidRPr="007578D5">
        <w:rPr>
          <w:rFonts w:ascii="Arial" w:hAnsi="Arial" w:cs="Arial"/>
          <w:sz w:val="24"/>
          <w:szCs w:val="24"/>
        </w:rPr>
        <w:t xml:space="preserve">do </w:t>
      </w:r>
      <w:r w:rsidR="007411B9">
        <w:rPr>
          <w:rFonts w:ascii="Arial" w:hAnsi="Arial" w:cs="Arial"/>
          <w:sz w:val="24"/>
          <w:szCs w:val="24"/>
        </w:rPr>
        <w:t xml:space="preserve">and who to contact </w:t>
      </w:r>
      <w:r w:rsidRPr="007578D5">
        <w:rPr>
          <w:rFonts w:ascii="Arial" w:hAnsi="Arial" w:cs="Arial"/>
          <w:sz w:val="24"/>
          <w:szCs w:val="24"/>
        </w:rPr>
        <w:t xml:space="preserve">they do if they deteriorate? </w:t>
      </w:r>
      <w:r w:rsidR="00542DF3" w:rsidRPr="007578D5">
        <w:rPr>
          <w:rFonts w:ascii="Arial" w:hAnsi="Arial" w:cs="Arial"/>
          <w:sz w:val="24"/>
          <w:szCs w:val="24"/>
        </w:rPr>
        <w:t>What might deterioration look like?</w:t>
      </w:r>
      <w:r w:rsidR="007813CE" w:rsidRPr="007578D5">
        <w:rPr>
          <w:rFonts w:ascii="Arial" w:hAnsi="Arial" w:cs="Arial"/>
          <w:sz w:val="24"/>
          <w:szCs w:val="24"/>
        </w:rPr>
        <w:t xml:space="preserve"> </w:t>
      </w:r>
      <w:r w:rsidR="00D7255B" w:rsidRPr="007578D5">
        <w:rPr>
          <w:rFonts w:ascii="Arial" w:hAnsi="Arial" w:cs="Arial"/>
          <w:sz w:val="24"/>
          <w:szCs w:val="24"/>
        </w:rPr>
        <w:t xml:space="preserve">Is there a time </w:t>
      </w:r>
      <w:r w:rsidR="00AC44A4">
        <w:rPr>
          <w:rFonts w:ascii="Arial" w:hAnsi="Arial" w:cs="Arial"/>
          <w:sz w:val="24"/>
          <w:szCs w:val="24"/>
        </w:rPr>
        <w:t>limitation for when</w:t>
      </w:r>
      <w:r w:rsidR="00D7255B" w:rsidRPr="007578D5">
        <w:rPr>
          <w:rFonts w:ascii="Arial" w:hAnsi="Arial" w:cs="Arial"/>
          <w:sz w:val="24"/>
          <w:szCs w:val="24"/>
        </w:rPr>
        <w:t xml:space="preserve"> they need to look out for symptoms?</w:t>
      </w:r>
    </w:p>
    <w:p w14:paraId="3BDBA425" w14:textId="183A4162" w:rsidR="002B53EA" w:rsidRPr="007578D5" w:rsidRDefault="001D2505" w:rsidP="00FF53BA">
      <w:pPr>
        <w:pStyle w:val="ListParagraph"/>
        <w:numPr>
          <w:ilvl w:val="0"/>
          <w:numId w:val="4"/>
        </w:numPr>
        <w:jc w:val="both"/>
        <w:rPr>
          <w:rFonts w:ascii="Arial" w:hAnsi="Arial" w:cs="Arial"/>
          <w:sz w:val="24"/>
          <w:szCs w:val="24"/>
        </w:rPr>
      </w:pPr>
      <w:r w:rsidRPr="007578D5">
        <w:rPr>
          <w:rFonts w:ascii="Arial" w:hAnsi="Arial" w:cs="Arial"/>
          <w:sz w:val="24"/>
          <w:szCs w:val="24"/>
        </w:rPr>
        <w:t>Gather any resources you might consider useful for the patient</w:t>
      </w:r>
      <w:r w:rsidR="00553335" w:rsidRPr="007578D5">
        <w:rPr>
          <w:rFonts w:ascii="Arial" w:hAnsi="Arial" w:cs="Arial"/>
          <w:sz w:val="24"/>
          <w:szCs w:val="24"/>
        </w:rPr>
        <w:t>. These resources could include leaflets, contact numbers, websites or other suitable information.</w:t>
      </w:r>
    </w:p>
    <w:p w14:paraId="0F1EAD18" w14:textId="0C715143" w:rsidR="006768CA" w:rsidRPr="007578D5" w:rsidRDefault="006768CA" w:rsidP="00FF53BA">
      <w:pPr>
        <w:pStyle w:val="ListParagraph"/>
        <w:numPr>
          <w:ilvl w:val="0"/>
          <w:numId w:val="4"/>
        </w:numPr>
        <w:jc w:val="both"/>
        <w:rPr>
          <w:rFonts w:ascii="Arial" w:hAnsi="Arial" w:cs="Arial"/>
          <w:sz w:val="24"/>
          <w:szCs w:val="24"/>
        </w:rPr>
      </w:pPr>
      <w:r w:rsidRPr="007578D5">
        <w:rPr>
          <w:rFonts w:ascii="Arial" w:hAnsi="Arial" w:cs="Arial"/>
          <w:sz w:val="24"/>
          <w:szCs w:val="24"/>
        </w:rPr>
        <w:t>Think about whether you need to adjust the information to ensure comprehension</w:t>
      </w:r>
      <w:r w:rsidR="000C78AE" w:rsidRPr="007578D5">
        <w:rPr>
          <w:rFonts w:ascii="Arial" w:hAnsi="Arial" w:cs="Arial"/>
          <w:sz w:val="24"/>
          <w:szCs w:val="24"/>
        </w:rPr>
        <w:t xml:space="preserve">. </w:t>
      </w:r>
      <w:r w:rsidR="005B0D0B" w:rsidRPr="007578D5">
        <w:rPr>
          <w:rFonts w:ascii="Arial" w:hAnsi="Arial" w:cs="Arial"/>
          <w:sz w:val="24"/>
          <w:szCs w:val="24"/>
        </w:rPr>
        <w:t>Consider patients with</w:t>
      </w:r>
      <w:r w:rsidR="000771D6" w:rsidRPr="007578D5">
        <w:rPr>
          <w:rFonts w:ascii="Arial" w:hAnsi="Arial" w:cs="Arial"/>
          <w:sz w:val="24"/>
          <w:szCs w:val="24"/>
        </w:rPr>
        <w:t xml:space="preserve"> cognitive impairments, </w:t>
      </w:r>
      <w:r w:rsidR="004F5738" w:rsidRPr="007578D5">
        <w:rPr>
          <w:rFonts w:ascii="Arial" w:hAnsi="Arial" w:cs="Arial"/>
          <w:sz w:val="24"/>
          <w:szCs w:val="24"/>
        </w:rPr>
        <w:t>or who have trouble with literacy.</w:t>
      </w:r>
      <w:r w:rsidR="008F09B3" w:rsidRPr="007578D5">
        <w:rPr>
          <w:rFonts w:ascii="Arial" w:hAnsi="Arial" w:cs="Arial"/>
          <w:sz w:val="24"/>
          <w:szCs w:val="24"/>
        </w:rPr>
        <w:t xml:space="preserve"> </w:t>
      </w:r>
      <w:r w:rsidR="004515B6" w:rsidRPr="007578D5">
        <w:rPr>
          <w:rFonts w:ascii="Arial" w:hAnsi="Arial" w:cs="Arial"/>
          <w:sz w:val="24"/>
          <w:szCs w:val="24"/>
        </w:rPr>
        <w:t xml:space="preserve">Long written information </w:t>
      </w:r>
      <w:r w:rsidR="005B0D0B" w:rsidRPr="007578D5">
        <w:rPr>
          <w:rFonts w:ascii="Arial" w:hAnsi="Arial" w:cs="Arial"/>
          <w:sz w:val="24"/>
          <w:szCs w:val="24"/>
        </w:rPr>
        <w:t>may</w:t>
      </w:r>
      <w:r w:rsidR="004515B6" w:rsidRPr="007578D5">
        <w:rPr>
          <w:rFonts w:ascii="Arial" w:hAnsi="Arial" w:cs="Arial"/>
          <w:sz w:val="24"/>
          <w:szCs w:val="24"/>
        </w:rPr>
        <w:t xml:space="preserve"> be difficult to follow for </w:t>
      </w:r>
      <w:r w:rsidR="005B0D0B" w:rsidRPr="007578D5">
        <w:rPr>
          <w:rFonts w:ascii="Arial" w:hAnsi="Arial" w:cs="Arial"/>
          <w:sz w:val="24"/>
          <w:szCs w:val="24"/>
        </w:rPr>
        <w:t xml:space="preserve">these </w:t>
      </w:r>
      <w:r w:rsidR="004515B6" w:rsidRPr="007578D5">
        <w:rPr>
          <w:rFonts w:ascii="Arial" w:hAnsi="Arial" w:cs="Arial"/>
          <w:sz w:val="24"/>
          <w:szCs w:val="24"/>
        </w:rPr>
        <w:t xml:space="preserve">patient groups, </w:t>
      </w:r>
      <w:r w:rsidR="008F09B3" w:rsidRPr="007578D5">
        <w:rPr>
          <w:rFonts w:ascii="Arial" w:hAnsi="Arial" w:cs="Arial"/>
          <w:sz w:val="24"/>
          <w:szCs w:val="24"/>
        </w:rPr>
        <w:t xml:space="preserve">so providing an easy read </w:t>
      </w:r>
      <w:r w:rsidR="005B0D0B" w:rsidRPr="007578D5">
        <w:rPr>
          <w:rFonts w:ascii="Arial" w:hAnsi="Arial" w:cs="Arial"/>
          <w:sz w:val="24"/>
          <w:szCs w:val="24"/>
        </w:rPr>
        <w:t xml:space="preserve">or </w:t>
      </w:r>
      <w:r w:rsidR="00ED0A06">
        <w:rPr>
          <w:rFonts w:ascii="Arial" w:hAnsi="Arial" w:cs="Arial"/>
          <w:sz w:val="24"/>
          <w:szCs w:val="24"/>
        </w:rPr>
        <w:t>audio</w:t>
      </w:r>
      <w:r w:rsidR="005B0D0B" w:rsidRPr="007578D5">
        <w:rPr>
          <w:rFonts w:ascii="Arial" w:hAnsi="Arial" w:cs="Arial"/>
          <w:sz w:val="24"/>
          <w:szCs w:val="24"/>
        </w:rPr>
        <w:t xml:space="preserve"> version </w:t>
      </w:r>
      <w:r w:rsidR="008F09B3" w:rsidRPr="007578D5">
        <w:rPr>
          <w:rFonts w:ascii="Arial" w:hAnsi="Arial" w:cs="Arial"/>
          <w:sz w:val="24"/>
          <w:szCs w:val="24"/>
        </w:rPr>
        <w:t>could help</w:t>
      </w:r>
      <w:r w:rsidR="005B0D0B" w:rsidRPr="007578D5">
        <w:rPr>
          <w:rFonts w:ascii="Arial" w:hAnsi="Arial" w:cs="Arial"/>
          <w:sz w:val="24"/>
          <w:szCs w:val="24"/>
        </w:rPr>
        <w:t>, where available</w:t>
      </w:r>
      <w:r w:rsidR="008F09B3" w:rsidRPr="007578D5">
        <w:rPr>
          <w:rFonts w:ascii="Arial" w:hAnsi="Arial" w:cs="Arial"/>
          <w:sz w:val="24"/>
          <w:szCs w:val="24"/>
        </w:rPr>
        <w:t xml:space="preserve">. </w:t>
      </w:r>
    </w:p>
    <w:p w14:paraId="039B089D" w14:textId="62359A2E" w:rsidR="00EF77BE" w:rsidRDefault="00EF77BE" w:rsidP="00FF53BA">
      <w:pPr>
        <w:jc w:val="both"/>
        <w:rPr>
          <w:rFonts w:ascii="Arial" w:hAnsi="Arial" w:cs="Arial"/>
          <w:b/>
          <w:bCs/>
          <w:sz w:val="24"/>
          <w:szCs w:val="24"/>
        </w:rPr>
      </w:pPr>
      <w:r>
        <w:rPr>
          <w:rFonts w:ascii="Arial" w:hAnsi="Arial" w:cs="Arial"/>
          <w:b/>
          <w:bCs/>
          <w:sz w:val="24"/>
          <w:szCs w:val="24"/>
        </w:rPr>
        <w:t>Procedure</w:t>
      </w:r>
    </w:p>
    <w:p w14:paraId="74470305" w14:textId="4FA10103" w:rsidR="00EF77BE" w:rsidRPr="00E52D4D" w:rsidRDefault="008C78CB" w:rsidP="00FF53BA">
      <w:pPr>
        <w:pStyle w:val="ListParagraph"/>
        <w:numPr>
          <w:ilvl w:val="0"/>
          <w:numId w:val="3"/>
        </w:numPr>
        <w:jc w:val="both"/>
        <w:rPr>
          <w:rFonts w:ascii="Arial" w:hAnsi="Arial" w:cs="Arial"/>
          <w:sz w:val="24"/>
          <w:szCs w:val="24"/>
        </w:rPr>
      </w:pPr>
      <w:r w:rsidRPr="00E52D4D">
        <w:rPr>
          <w:rFonts w:ascii="Arial" w:hAnsi="Arial" w:cs="Arial"/>
          <w:sz w:val="24"/>
          <w:szCs w:val="24"/>
        </w:rPr>
        <w:t>Introduce yourself to the patient</w:t>
      </w:r>
      <w:r w:rsidR="001C53B9">
        <w:rPr>
          <w:rFonts w:ascii="Arial" w:hAnsi="Arial" w:cs="Arial"/>
          <w:sz w:val="24"/>
          <w:szCs w:val="24"/>
        </w:rPr>
        <w:t>/carer</w:t>
      </w:r>
      <w:r w:rsidRPr="00E52D4D">
        <w:rPr>
          <w:rFonts w:ascii="Arial" w:hAnsi="Arial" w:cs="Arial"/>
          <w:sz w:val="24"/>
          <w:szCs w:val="24"/>
        </w:rPr>
        <w:t xml:space="preserve"> if you have not met already</w:t>
      </w:r>
    </w:p>
    <w:p w14:paraId="76A11CD5" w14:textId="0355DB65" w:rsidR="008C78CB" w:rsidRPr="00E52D4D" w:rsidRDefault="00633869" w:rsidP="00FF53BA">
      <w:pPr>
        <w:pStyle w:val="ListParagraph"/>
        <w:numPr>
          <w:ilvl w:val="0"/>
          <w:numId w:val="3"/>
        </w:numPr>
        <w:jc w:val="both"/>
        <w:rPr>
          <w:rFonts w:ascii="Arial" w:hAnsi="Arial" w:cs="Arial"/>
          <w:sz w:val="24"/>
          <w:szCs w:val="24"/>
        </w:rPr>
      </w:pPr>
      <w:r w:rsidRPr="00E52D4D">
        <w:rPr>
          <w:rFonts w:ascii="Arial" w:hAnsi="Arial" w:cs="Arial"/>
          <w:sz w:val="24"/>
          <w:szCs w:val="24"/>
        </w:rPr>
        <w:t>Explain to the patient</w:t>
      </w:r>
      <w:r w:rsidR="001C53B9">
        <w:rPr>
          <w:rFonts w:ascii="Arial" w:hAnsi="Arial" w:cs="Arial"/>
          <w:sz w:val="24"/>
          <w:szCs w:val="24"/>
        </w:rPr>
        <w:t>/carer</w:t>
      </w:r>
      <w:r w:rsidRPr="00E52D4D">
        <w:rPr>
          <w:rFonts w:ascii="Arial" w:hAnsi="Arial" w:cs="Arial"/>
          <w:sz w:val="24"/>
          <w:szCs w:val="24"/>
        </w:rPr>
        <w:t xml:space="preserve"> why you are safety-netting them</w:t>
      </w:r>
      <w:r w:rsidR="00102912">
        <w:rPr>
          <w:rFonts w:ascii="Arial" w:hAnsi="Arial" w:cs="Arial"/>
          <w:sz w:val="24"/>
          <w:szCs w:val="24"/>
        </w:rPr>
        <w:t xml:space="preserve"> and what this will involve</w:t>
      </w:r>
    </w:p>
    <w:p w14:paraId="15121881" w14:textId="75CF3CFF" w:rsidR="005B0D0B" w:rsidRDefault="00633869" w:rsidP="00FF53BA">
      <w:pPr>
        <w:pStyle w:val="ListParagraph"/>
        <w:numPr>
          <w:ilvl w:val="0"/>
          <w:numId w:val="3"/>
        </w:numPr>
        <w:jc w:val="both"/>
        <w:rPr>
          <w:rFonts w:ascii="Arial" w:hAnsi="Arial" w:cs="Arial"/>
          <w:sz w:val="24"/>
          <w:szCs w:val="24"/>
        </w:rPr>
      </w:pPr>
      <w:r w:rsidRPr="00E52D4D">
        <w:rPr>
          <w:rFonts w:ascii="Arial" w:hAnsi="Arial" w:cs="Arial"/>
          <w:sz w:val="24"/>
          <w:szCs w:val="24"/>
        </w:rPr>
        <w:lastRenderedPageBreak/>
        <w:t>Discuss with the patient</w:t>
      </w:r>
      <w:r w:rsidR="001C53B9">
        <w:rPr>
          <w:rFonts w:ascii="Arial" w:hAnsi="Arial" w:cs="Arial"/>
          <w:sz w:val="24"/>
          <w:szCs w:val="24"/>
        </w:rPr>
        <w:t>/carer</w:t>
      </w:r>
      <w:r w:rsidRPr="00E52D4D">
        <w:rPr>
          <w:rFonts w:ascii="Arial" w:hAnsi="Arial" w:cs="Arial"/>
          <w:sz w:val="24"/>
          <w:szCs w:val="24"/>
        </w:rPr>
        <w:t xml:space="preserve"> </w:t>
      </w:r>
      <w:r w:rsidR="0011127A">
        <w:rPr>
          <w:rFonts w:ascii="Arial" w:hAnsi="Arial" w:cs="Arial"/>
          <w:sz w:val="24"/>
          <w:szCs w:val="24"/>
        </w:rPr>
        <w:t>why they would need to use the safety-net</w:t>
      </w:r>
      <w:r w:rsidR="00A1737A">
        <w:rPr>
          <w:rFonts w:ascii="Arial" w:hAnsi="Arial" w:cs="Arial"/>
          <w:sz w:val="24"/>
          <w:szCs w:val="24"/>
        </w:rPr>
        <w:t>. Give them specific symptoms to look out for i</w:t>
      </w:r>
      <w:r w:rsidR="002E2FD2">
        <w:rPr>
          <w:rFonts w:ascii="Arial" w:hAnsi="Arial" w:cs="Arial"/>
          <w:sz w:val="24"/>
          <w:szCs w:val="24"/>
        </w:rPr>
        <w:t>f relevant, but also consider what a general deterioration may feel like</w:t>
      </w:r>
    </w:p>
    <w:p w14:paraId="06819219" w14:textId="154127BD" w:rsidR="002E2FD2" w:rsidRDefault="003D1661" w:rsidP="00FF53BA">
      <w:pPr>
        <w:pStyle w:val="ListParagraph"/>
        <w:numPr>
          <w:ilvl w:val="0"/>
          <w:numId w:val="3"/>
        </w:numPr>
        <w:jc w:val="both"/>
        <w:rPr>
          <w:rFonts w:ascii="Arial" w:hAnsi="Arial" w:cs="Arial"/>
          <w:sz w:val="24"/>
          <w:szCs w:val="24"/>
        </w:rPr>
      </w:pPr>
      <w:r>
        <w:rPr>
          <w:rFonts w:ascii="Arial" w:hAnsi="Arial" w:cs="Arial"/>
          <w:sz w:val="24"/>
          <w:szCs w:val="24"/>
        </w:rPr>
        <w:t>Give a time frame for</w:t>
      </w:r>
      <w:r w:rsidR="00BF701B">
        <w:rPr>
          <w:rFonts w:ascii="Arial" w:hAnsi="Arial" w:cs="Arial"/>
          <w:sz w:val="24"/>
          <w:szCs w:val="24"/>
        </w:rPr>
        <w:t xml:space="preserve"> when</w:t>
      </w:r>
      <w:r>
        <w:rPr>
          <w:rFonts w:ascii="Arial" w:hAnsi="Arial" w:cs="Arial"/>
          <w:sz w:val="24"/>
          <w:szCs w:val="24"/>
        </w:rPr>
        <w:t xml:space="preserve"> the safety-net</w:t>
      </w:r>
      <w:r w:rsidR="00C203FC">
        <w:rPr>
          <w:rFonts w:ascii="Arial" w:hAnsi="Arial" w:cs="Arial"/>
          <w:sz w:val="24"/>
          <w:szCs w:val="24"/>
        </w:rPr>
        <w:t>ting</w:t>
      </w:r>
      <w:r w:rsidR="00BF701B">
        <w:rPr>
          <w:rFonts w:ascii="Arial" w:hAnsi="Arial" w:cs="Arial"/>
          <w:sz w:val="24"/>
          <w:szCs w:val="24"/>
        </w:rPr>
        <w:t xml:space="preserve"> information is </w:t>
      </w:r>
      <w:r w:rsidR="00053932">
        <w:rPr>
          <w:rFonts w:ascii="Arial" w:hAnsi="Arial" w:cs="Arial"/>
          <w:sz w:val="24"/>
          <w:szCs w:val="24"/>
        </w:rPr>
        <w:t xml:space="preserve">pertinent, </w:t>
      </w:r>
      <w:r w:rsidR="00C203FC">
        <w:rPr>
          <w:rFonts w:ascii="Arial" w:hAnsi="Arial" w:cs="Arial"/>
          <w:sz w:val="24"/>
          <w:szCs w:val="24"/>
        </w:rPr>
        <w:t>where applicable</w:t>
      </w:r>
    </w:p>
    <w:p w14:paraId="412E620A" w14:textId="49D0DD29" w:rsidR="00C203FC" w:rsidRDefault="00DF19AD" w:rsidP="00FF53BA">
      <w:pPr>
        <w:pStyle w:val="ListParagraph"/>
        <w:numPr>
          <w:ilvl w:val="0"/>
          <w:numId w:val="3"/>
        </w:numPr>
        <w:jc w:val="both"/>
        <w:rPr>
          <w:rFonts w:ascii="Arial" w:hAnsi="Arial" w:cs="Arial"/>
          <w:sz w:val="24"/>
          <w:szCs w:val="24"/>
        </w:rPr>
      </w:pPr>
      <w:r>
        <w:rPr>
          <w:rFonts w:ascii="Arial" w:hAnsi="Arial" w:cs="Arial"/>
          <w:sz w:val="24"/>
          <w:szCs w:val="24"/>
        </w:rPr>
        <w:t>Tell the patient</w:t>
      </w:r>
      <w:r w:rsidR="001C53B9">
        <w:rPr>
          <w:rFonts w:ascii="Arial" w:hAnsi="Arial" w:cs="Arial"/>
          <w:sz w:val="24"/>
          <w:szCs w:val="24"/>
        </w:rPr>
        <w:t>/carer</w:t>
      </w:r>
      <w:r>
        <w:rPr>
          <w:rFonts w:ascii="Arial" w:hAnsi="Arial" w:cs="Arial"/>
          <w:sz w:val="24"/>
          <w:szCs w:val="24"/>
        </w:rPr>
        <w:t xml:space="preserve"> where to go or who to contact if they feel they are deteriorating.</w:t>
      </w:r>
      <w:r w:rsidR="00442B67">
        <w:rPr>
          <w:rFonts w:ascii="Arial" w:hAnsi="Arial" w:cs="Arial"/>
          <w:sz w:val="24"/>
          <w:szCs w:val="24"/>
        </w:rPr>
        <w:t xml:space="preserve"> There might be different people to contact </w:t>
      </w:r>
      <w:r w:rsidR="00656D6C">
        <w:rPr>
          <w:rFonts w:ascii="Arial" w:hAnsi="Arial" w:cs="Arial"/>
          <w:sz w:val="24"/>
          <w:szCs w:val="24"/>
        </w:rPr>
        <w:t>depending on severity of illness, i.e. GP if feeling generally unwell but 999 in an emergency.</w:t>
      </w:r>
    </w:p>
    <w:p w14:paraId="1D6D32BA" w14:textId="2A2AE86B" w:rsidR="00311813" w:rsidRPr="00E52D4D" w:rsidRDefault="00311813" w:rsidP="00FF53BA">
      <w:pPr>
        <w:pStyle w:val="ListParagraph"/>
        <w:numPr>
          <w:ilvl w:val="0"/>
          <w:numId w:val="3"/>
        </w:numPr>
        <w:jc w:val="both"/>
        <w:rPr>
          <w:rFonts w:ascii="Arial" w:hAnsi="Arial" w:cs="Arial"/>
          <w:sz w:val="24"/>
          <w:szCs w:val="24"/>
        </w:rPr>
      </w:pPr>
      <w:r>
        <w:rPr>
          <w:rFonts w:ascii="Arial" w:hAnsi="Arial" w:cs="Arial"/>
          <w:sz w:val="24"/>
          <w:szCs w:val="24"/>
        </w:rPr>
        <w:t>Give the patient</w:t>
      </w:r>
      <w:r w:rsidR="001C53B9">
        <w:rPr>
          <w:rFonts w:ascii="Arial" w:hAnsi="Arial" w:cs="Arial"/>
          <w:sz w:val="24"/>
          <w:szCs w:val="24"/>
        </w:rPr>
        <w:t>/carer</w:t>
      </w:r>
      <w:r>
        <w:rPr>
          <w:rFonts w:ascii="Arial" w:hAnsi="Arial" w:cs="Arial"/>
          <w:sz w:val="24"/>
          <w:szCs w:val="24"/>
        </w:rPr>
        <w:t xml:space="preserve"> any resources you have to support the safety-</w:t>
      </w:r>
      <w:r w:rsidR="00F71A39">
        <w:rPr>
          <w:rFonts w:ascii="Arial" w:hAnsi="Arial" w:cs="Arial"/>
          <w:sz w:val="24"/>
          <w:szCs w:val="24"/>
        </w:rPr>
        <w:t>netting and</w:t>
      </w:r>
      <w:r>
        <w:rPr>
          <w:rFonts w:ascii="Arial" w:hAnsi="Arial" w:cs="Arial"/>
          <w:sz w:val="24"/>
          <w:szCs w:val="24"/>
        </w:rPr>
        <w:t xml:space="preserve"> </w:t>
      </w:r>
      <w:r w:rsidR="00693CBB">
        <w:rPr>
          <w:rFonts w:ascii="Arial" w:hAnsi="Arial" w:cs="Arial"/>
          <w:sz w:val="24"/>
          <w:szCs w:val="24"/>
        </w:rPr>
        <w:t>go through</w:t>
      </w:r>
      <w:r w:rsidR="00053932">
        <w:rPr>
          <w:rFonts w:ascii="Arial" w:hAnsi="Arial" w:cs="Arial"/>
          <w:sz w:val="24"/>
          <w:szCs w:val="24"/>
        </w:rPr>
        <w:t xml:space="preserve"> these resources</w:t>
      </w:r>
      <w:r w:rsidR="00AC44A4">
        <w:rPr>
          <w:rFonts w:ascii="Arial" w:hAnsi="Arial" w:cs="Arial"/>
          <w:sz w:val="24"/>
          <w:szCs w:val="24"/>
        </w:rPr>
        <w:t xml:space="preserve"> with</w:t>
      </w:r>
      <w:r w:rsidR="00693CBB">
        <w:rPr>
          <w:rFonts w:ascii="Arial" w:hAnsi="Arial" w:cs="Arial"/>
          <w:sz w:val="24"/>
          <w:szCs w:val="24"/>
        </w:rPr>
        <w:t xml:space="preserve"> them to highlight the important parts.</w:t>
      </w:r>
    </w:p>
    <w:p w14:paraId="6E049E9D" w14:textId="4B232D7B" w:rsidR="00917CF9" w:rsidRDefault="00917CF9" w:rsidP="00FF53BA">
      <w:pPr>
        <w:pStyle w:val="ListParagraph"/>
        <w:numPr>
          <w:ilvl w:val="0"/>
          <w:numId w:val="3"/>
        </w:numPr>
        <w:jc w:val="both"/>
        <w:rPr>
          <w:rFonts w:ascii="Arial" w:hAnsi="Arial" w:cs="Arial"/>
          <w:sz w:val="24"/>
          <w:szCs w:val="24"/>
        </w:rPr>
      </w:pPr>
      <w:r w:rsidRPr="00E52D4D">
        <w:rPr>
          <w:rFonts w:ascii="Arial" w:hAnsi="Arial" w:cs="Arial"/>
          <w:sz w:val="24"/>
          <w:szCs w:val="24"/>
        </w:rPr>
        <w:t xml:space="preserve">Check </w:t>
      </w:r>
      <w:r w:rsidR="00F71A39">
        <w:rPr>
          <w:rFonts w:ascii="Arial" w:hAnsi="Arial" w:cs="Arial"/>
          <w:sz w:val="24"/>
          <w:szCs w:val="24"/>
        </w:rPr>
        <w:t>that the patient</w:t>
      </w:r>
      <w:r w:rsidR="001C53B9">
        <w:rPr>
          <w:rFonts w:ascii="Arial" w:hAnsi="Arial" w:cs="Arial"/>
          <w:sz w:val="24"/>
          <w:szCs w:val="24"/>
        </w:rPr>
        <w:t>/carer</w:t>
      </w:r>
      <w:r w:rsidR="00F71A39">
        <w:rPr>
          <w:rFonts w:ascii="Arial" w:hAnsi="Arial" w:cs="Arial"/>
          <w:sz w:val="24"/>
          <w:szCs w:val="24"/>
        </w:rPr>
        <w:t xml:space="preserve"> has understood </w:t>
      </w:r>
      <w:r w:rsidR="00277604">
        <w:rPr>
          <w:rFonts w:ascii="Arial" w:hAnsi="Arial" w:cs="Arial"/>
          <w:sz w:val="24"/>
          <w:szCs w:val="24"/>
        </w:rPr>
        <w:t xml:space="preserve">the information you have provided them </w:t>
      </w:r>
      <w:proofErr w:type="gramStart"/>
      <w:r w:rsidR="00277604">
        <w:rPr>
          <w:rFonts w:ascii="Arial" w:hAnsi="Arial" w:cs="Arial"/>
          <w:sz w:val="24"/>
          <w:szCs w:val="24"/>
        </w:rPr>
        <w:t>with</w:t>
      </w:r>
      <w:r w:rsidR="0043082A">
        <w:rPr>
          <w:rFonts w:ascii="Arial" w:hAnsi="Arial" w:cs="Arial"/>
          <w:sz w:val="24"/>
          <w:szCs w:val="24"/>
        </w:rPr>
        <w:t>, and</w:t>
      </w:r>
      <w:proofErr w:type="gramEnd"/>
      <w:r w:rsidR="0043082A">
        <w:rPr>
          <w:rFonts w:ascii="Arial" w:hAnsi="Arial" w:cs="Arial"/>
          <w:sz w:val="24"/>
          <w:szCs w:val="24"/>
        </w:rPr>
        <w:t xml:space="preserve"> see if they have any questions you need to answer</w:t>
      </w:r>
      <w:r w:rsidR="00053932">
        <w:rPr>
          <w:rFonts w:ascii="Arial" w:hAnsi="Arial" w:cs="Arial"/>
          <w:sz w:val="24"/>
          <w:szCs w:val="24"/>
        </w:rPr>
        <w:t>.</w:t>
      </w:r>
    </w:p>
    <w:p w14:paraId="79DCBB1D" w14:textId="1F94B502" w:rsidR="0043082A" w:rsidRDefault="0043082A" w:rsidP="00FF53BA">
      <w:pPr>
        <w:pStyle w:val="ListParagraph"/>
        <w:numPr>
          <w:ilvl w:val="0"/>
          <w:numId w:val="3"/>
        </w:numPr>
        <w:jc w:val="both"/>
        <w:rPr>
          <w:rFonts w:ascii="Arial" w:hAnsi="Arial" w:cs="Arial"/>
          <w:sz w:val="24"/>
          <w:szCs w:val="24"/>
        </w:rPr>
      </w:pPr>
      <w:r w:rsidRPr="1CB17A03">
        <w:rPr>
          <w:rFonts w:ascii="Arial" w:hAnsi="Arial" w:cs="Arial"/>
          <w:sz w:val="24"/>
          <w:szCs w:val="24"/>
        </w:rPr>
        <w:t xml:space="preserve">Discharge the patient with </w:t>
      </w:r>
      <w:r w:rsidR="00FF67C1" w:rsidRPr="1CB17A03">
        <w:rPr>
          <w:rFonts w:ascii="Arial" w:hAnsi="Arial" w:cs="Arial"/>
          <w:sz w:val="24"/>
          <w:szCs w:val="24"/>
        </w:rPr>
        <w:t xml:space="preserve">the </w:t>
      </w:r>
      <w:r w:rsidRPr="1CB17A03">
        <w:rPr>
          <w:rFonts w:ascii="Arial" w:hAnsi="Arial" w:cs="Arial"/>
          <w:sz w:val="24"/>
          <w:szCs w:val="24"/>
        </w:rPr>
        <w:t>safety-netting</w:t>
      </w:r>
      <w:r w:rsidR="6331DFC9" w:rsidRPr="1CB17A03">
        <w:rPr>
          <w:rFonts w:ascii="Arial" w:hAnsi="Arial" w:cs="Arial"/>
          <w:sz w:val="24"/>
          <w:szCs w:val="24"/>
        </w:rPr>
        <w:t xml:space="preserve"> and document that you have done so, and what information you have provided the patient</w:t>
      </w:r>
      <w:r w:rsidR="00053932">
        <w:rPr>
          <w:rFonts w:ascii="Arial" w:hAnsi="Arial" w:cs="Arial"/>
          <w:sz w:val="24"/>
          <w:szCs w:val="24"/>
        </w:rPr>
        <w:t>.</w:t>
      </w:r>
    </w:p>
    <w:p w14:paraId="70118626" w14:textId="17DD1657" w:rsidR="00EF77BE" w:rsidRDefault="00EF77BE" w:rsidP="00FF53BA">
      <w:pPr>
        <w:jc w:val="both"/>
        <w:rPr>
          <w:rFonts w:ascii="Arial" w:hAnsi="Arial" w:cs="Arial"/>
          <w:b/>
          <w:bCs/>
          <w:sz w:val="24"/>
          <w:szCs w:val="24"/>
        </w:rPr>
      </w:pPr>
      <w:r>
        <w:rPr>
          <w:rFonts w:ascii="Arial" w:hAnsi="Arial" w:cs="Arial"/>
          <w:b/>
          <w:bCs/>
          <w:sz w:val="24"/>
          <w:szCs w:val="24"/>
        </w:rPr>
        <w:t>Evidence Base</w:t>
      </w:r>
    </w:p>
    <w:p w14:paraId="063FB0D1" w14:textId="77F61EBB" w:rsidR="00C919A0" w:rsidRDefault="00CA29DD" w:rsidP="00FF53BA">
      <w:pPr>
        <w:jc w:val="both"/>
        <w:rPr>
          <w:rFonts w:ascii="Arial" w:hAnsi="Arial" w:cs="Arial"/>
          <w:sz w:val="24"/>
          <w:szCs w:val="24"/>
          <w:u w:val="single"/>
        </w:rPr>
      </w:pPr>
      <w:r>
        <w:rPr>
          <w:rFonts w:ascii="Arial" w:hAnsi="Arial" w:cs="Arial"/>
          <w:sz w:val="24"/>
          <w:szCs w:val="24"/>
          <w:u w:val="single"/>
        </w:rPr>
        <w:t>What is safety-</w:t>
      </w:r>
      <w:r w:rsidR="00315E17">
        <w:rPr>
          <w:rFonts w:ascii="Arial" w:hAnsi="Arial" w:cs="Arial"/>
          <w:sz w:val="24"/>
          <w:szCs w:val="24"/>
          <w:u w:val="single"/>
        </w:rPr>
        <w:t>netting and w</w:t>
      </w:r>
      <w:r w:rsidR="00C919A0">
        <w:rPr>
          <w:rFonts w:ascii="Arial" w:hAnsi="Arial" w:cs="Arial"/>
          <w:sz w:val="24"/>
          <w:szCs w:val="24"/>
          <w:u w:val="single"/>
        </w:rPr>
        <w:t xml:space="preserve">hen should </w:t>
      </w:r>
      <w:proofErr w:type="gramStart"/>
      <w:r w:rsidR="00C919A0">
        <w:rPr>
          <w:rFonts w:ascii="Arial" w:hAnsi="Arial" w:cs="Arial"/>
          <w:sz w:val="24"/>
          <w:szCs w:val="24"/>
          <w:u w:val="single"/>
        </w:rPr>
        <w:t>you</w:t>
      </w:r>
      <w:proofErr w:type="gramEnd"/>
      <w:r w:rsidR="00C919A0">
        <w:rPr>
          <w:rFonts w:ascii="Arial" w:hAnsi="Arial" w:cs="Arial"/>
          <w:sz w:val="24"/>
          <w:szCs w:val="24"/>
          <w:u w:val="single"/>
        </w:rPr>
        <w:t xml:space="preserve"> safety</w:t>
      </w:r>
      <w:r w:rsidR="00595E41">
        <w:rPr>
          <w:rFonts w:ascii="Arial" w:hAnsi="Arial" w:cs="Arial"/>
          <w:sz w:val="24"/>
          <w:szCs w:val="24"/>
          <w:u w:val="single"/>
        </w:rPr>
        <w:t>-net your patient?</w:t>
      </w:r>
    </w:p>
    <w:p w14:paraId="6FB50524" w14:textId="582980FF" w:rsidR="00AC25CE" w:rsidRPr="00315E17" w:rsidRDefault="00CA29DD" w:rsidP="1CB17A03">
      <w:pPr>
        <w:jc w:val="both"/>
        <w:rPr>
          <w:rFonts w:ascii="Arial" w:hAnsi="Arial" w:cs="Arial"/>
          <w:sz w:val="24"/>
          <w:szCs w:val="24"/>
        </w:rPr>
      </w:pPr>
      <w:r w:rsidRPr="1CB17A03">
        <w:rPr>
          <w:rFonts w:ascii="Arial" w:hAnsi="Arial" w:cs="Arial"/>
          <w:sz w:val="24"/>
          <w:szCs w:val="24"/>
        </w:rPr>
        <w:t xml:space="preserve">Safety netting is </w:t>
      </w:r>
      <w:r w:rsidR="00315E17" w:rsidRPr="1CB17A03">
        <w:rPr>
          <w:rFonts w:ascii="Arial" w:hAnsi="Arial" w:cs="Arial"/>
          <w:sz w:val="24"/>
          <w:szCs w:val="24"/>
        </w:rPr>
        <w:t>oral and/or written information</w:t>
      </w:r>
      <w:r w:rsidR="00C402A1" w:rsidRPr="1CB17A03">
        <w:rPr>
          <w:rFonts w:ascii="Arial" w:hAnsi="Arial" w:cs="Arial"/>
          <w:sz w:val="24"/>
          <w:szCs w:val="24"/>
        </w:rPr>
        <w:t xml:space="preserve"> </w:t>
      </w:r>
      <w:r w:rsidR="004C4545" w:rsidRPr="1CB17A03">
        <w:rPr>
          <w:rFonts w:ascii="Arial" w:hAnsi="Arial" w:cs="Arial"/>
          <w:sz w:val="24"/>
          <w:szCs w:val="24"/>
        </w:rPr>
        <w:t xml:space="preserve">provided to a patient being discharged, that gives information about </w:t>
      </w:r>
      <w:r w:rsidR="001662A3" w:rsidRPr="1CB17A03">
        <w:rPr>
          <w:rFonts w:ascii="Arial" w:hAnsi="Arial" w:cs="Arial"/>
          <w:sz w:val="24"/>
          <w:szCs w:val="24"/>
        </w:rPr>
        <w:t>the patient’s current health status</w:t>
      </w:r>
      <w:r w:rsidR="00AC2D26" w:rsidRPr="1CB17A03">
        <w:rPr>
          <w:rFonts w:ascii="Arial" w:hAnsi="Arial" w:cs="Arial"/>
          <w:sz w:val="24"/>
          <w:szCs w:val="24"/>
        </w:rPr>
        <w:t xml:space="preserve"> and what to do if </w:t>
      </w:r>
      <w:r w:rsidR="001662A3" w:rsidRPr="1CB17A03">
        <w:rPr>
          <w:rFonts w:ascii="Arial" w:hAnsi="Arial" w:cs="Arial"/>
          <w:sz w:val="24"/>
          <w:szCs w:val="24"/>
        </w:rPr>
        <w:t xml:space="preserve">it does not positively improve </w:t>
      </w:r>
      <w:r w:rsidR="00F923BB" w:rsidRPr="1CB17A03">
        <w:rPr>
          <w:rFonts w:ascii="Arial" w:hAnsi="Arial" w:cs="Arial"/>
          <w:noProof/>
          <w:sz w:val="24"/>
          <w:szCs w:val="24"/>
        </w:rPr>
        <w:t>(Roland et al., 2014)</w:t>
      </w:r>
      <w:r w:rsidR="00AC2D26" w:rsidRPr="1CB17A03">
        <w:rPr>
          <w:rFonts w:ascii="Arial" w:hAnsi="Arial" w:cs="Arial"/>
          <w:sz w:val="24"/>
          <w:szCs w:val="24"/>
        </w:rPr>
        <w:t>.</w:t>
      </w:r>
      <w:r w:rsidR="00927D77" w:rsidRPr="1CB17A03">
        <w:rPr>
          <w:rFonts w:ascii="Arial" w:hAnsi="Arial" w:cs="Arial"/>
          <w:sz w:val="24"/>
          <w:szCs w:val="24"/>
        </w:rPr>
        <w:t xml:space="preserve"> </w:t>
      </w:r>
      <w:r w:rsidR="162DA46B" w:rsidRPr="1CB17A03">
        <w:rPr>
          <w:rFonts w:ascii="Arial" w:hAnsi="Arial" w:cs="Arial"/>
          <w:sz w:val="24"/>
          <w:szCs w:val="24"/>
        </w:rPr>
        <w:t>The concept originated in general practice but has become increasingly recognized as essential in emergency care settings due to the inherent risks of missed or evolving conditions. In the ED, safety netting can be both verbal and written, and should be tailored to the patient’s condition, comprehension, and risk profile.</w:t>
      </w:r>
    </w:p>
    <w:p w14:paraId="2D085B24" w14:textId="3BFB5E0F" w:rsidR="00AC25CE" w:rsidRPr="00315E17" w:rsidRDefault="00927D77" w:rsidP="00FF53BA">
      <w:pPr>
        <w:jc w:val="both"/>
        <w:rPr>
          <w:rFonts w:ascii="Arial" w:hAnsi="Arial" w:cs="Arial"/>
          <w:sz w:val="24"/>
          <w:szCs w:val="24"/>
        </w:rPr>
      </w:pPr>
      <w:r w:rsidRPr="1CB17A03">
        <w:rPr>
          <w:rFonts w:ascii="Arial" w:hAnsi="Arial" w:cs="Arial"/>
          <w:sz w:val="24"/>
          <w:szCs w:val="24"/>
        </w:rPr>
        <w:t>Safety-netting is often used when a patient is being discharged from the emergency department and have not been completely cured</w:t>
      </w:r>
      <w:r w:rsidR="00041267" w:rsidRPr="1CB17A03">
        <w:rPr>
          <w:rFonts w:ascii="Arial" w:hAnsi="Arial" w:cs="Arial"/>
          <w:sz w:val="24"/>
          <w:szCs w:val="24"/>
        </w:rPr>
        <w:t>, however there is nothing further that can be done in an acute hospital setting</w:t>
      </w:r>
      <w:r w:rsidR="00C70A55" w:rsidRPr="1CB17A03">
        <w:rPr>
          <w:rFonts w:ascii="Arial" w:hAnsi="Arial" w:cs="Arial"/>
          <w:sz w:val="24"/>
          <w:szCs w:val="24"/>
        </w:rPr>
        <w:t xml:space="preserve">. </w:t>
      </w:r>
      <w:r w:rsidR="00FB045C" w:rsidRPr="1CB17A03">
        <w:rPr>
          <w:rFonts w:ascii="Arial" w:hAnsi="Arial" w:cs="Arial"/>
          <w:sz w:val="24"/>
          <w:szCs w:val="24"/>
        </w:rPr>
        <w:t xml:space="preserve">The patient may have further follow-ups scheduled, either in a clinic or with their GP, or may need to wait for their illness to run its course. </w:t>
      </w:r>
      <w:r w:rsidR="00FF53BA" w:rsidRPr="1CB17A03">
        <w:rPr>
          <w:rFonts w:ascii="Arial" w:hAnsi="Arial" w:cs="Arial"/>
          <w:sz w:val="24"/>
          <w:szCs w:val="24"/>
        </w:rPr>
        <w:t xml:space="preserve">In either case, it is important to ensure that the patient is </w:t>
      </w:r>
      <w:r w:rsidR="005D0616" w:rsidRPr="1CB17A03">
        <w:rPr>
          <w:rFonts w:ascii="Arial" w:hAnsi="Arial" w:cs="Arial"/>
          <w:sz w:val="24"/>
          <w:szCs w:val="24"/>
        </w:rPr>
        <w:t>safe whilst waiting for these, and knows what to do if their condition does not get better or gets worse</w:t>
      </w:r>
      <w:r w:rsidR="00DF2ECE" w:rsidRPr="1CB17A03">
        <w:rPr>
          <w:rFonts w:ascii="Arial" w:hAnsi="Arial" w:cs="Arial"/>
          <w:sz w:val="24"/>
          <w:szCs w:val="24"/>
        </w:rPr>
        <w:t xml:space="preserve"> </w:t>
      </w:r>
      <w:r w:rsidR="00F923BB" w:rsidRPr="1CB17A03">
        <w:rPr>
          <w:rFonts w:ascii="Arial" w:hAnsi="Arial" w:cs="Arial"/>
          <w:noProof/>
          <w:sz w:val="24"/>
          <w:szCs w:val="24"/>
        </w:rPr>
        <w:t>(Edwards et al., 2022)</w:t>
      </w:r>
      <w:r w:rsidR="00A0530D" w:rsidRPr="1CB17A03">
        <w:rPr>
          <w:rFonts w:ascii="Arial" w:hAnsi="Arial" w:cs="Arial"/>
          <w:sz w:val="24"/>
          <w:szCs w:val="24"/>
        </w:rPr>
        <w:t>.</w:t>
      </w:r>
    </w:p>
    <w:p w14:paraId="1DE793CD" w14:textId="1AF084EF" w:rsidR="736F0380" w:rsidRDefault="736F0380" w:rsidP="1CB17A03">
      <w:pPr>
        <w:jc w:val="both"/>
        <w:rPr>
          <w:rFonts w:ascii="Arial" w:hAnsi="Arial" w:cs="Arial"/>
          <w:sz w:val="24"/>
          <w:szCs w:val="24"/>
        </w:rPr>
      </w:pPr>
      <w:r w:rsidRPr="1CB17A03">
        <w:rPr>
          <w:rFonts w:ascii="Arial" w:hAnsi="Arial" w:cs="Arial"/>
          <w:sz w:val="24"/>
          <w:szCs w:val="24"/>
        </w:rPr>
        <w:t>In many ED presentations, it may not be possible or appropriate to arrive at a definitive diagnosis during the initial visit. In cases of undifferentiated abdominal pain, minor head injuries, or non-specific viral illnesses, the patient's condition may evolve over time. Here, safety netting bridges the gap between initial assessment and any future deterioration</w:t>
      </w:r>
      <w:r w:rsidR="006D69DF">
        <w:rPr>
          <w:rFonts w:ascii="Arial" w:hAnsi="Arial" w:cs="Arial"/>
          <w:sz w:val="24"/>
          <w:szCs w:val="24"/>
        </w:rPr>
        <w:t xml:space="preserve"> </w:t>
      </w:r>
      <w:r w:rsidR="00F923BB">
        <w:rPr>
          <w:rFonts w:ascii="Arial" w:hAnsi="Arial" w:cs="Arial"/>
          <w:noProof/>
          <w:sz w:val="24"/>
          <w:szCs w:val="24"/>
        </w:rPr>
        <w:t>(Wannheden et al., 2024)</w:t>
      </w:r>
      <w:r w:rsidRPr="1CB17A03">
        <w:rPr>
          <w:rFonts w:ascii="Arial" w:hAnsi="Arial" w:cs="Arial"/>
          <w:sz w:val="24"/>
          <w:szCs w:val="24"/>
        </w:rPr>
        <w:t>. Some patients may appear clinically stable in the ED but are still at risk of worsening symptoms. Safety netting ensures they are equipped to monitor their own condition and act appropriately if it deteriorates. When ED patients are referred for outpatient investigations or specialty care, clear instructions and expectations are vital. Safety netting should include what symptoms warrant a return to the ED before the scheduled follow-up.</w:t>
      </w:r>
    </w:p>
    <w:p w14:paraId="059FCBB3" w14:textId="6F0068B4" w:rsidR="0165E932" w:rsidRDefault="0165E932" w:rsidP="1CB17A03">
      <w:pPr>
        <w:jc w:val="both"/>
        <w:rPr>
          <w:rFonts w:ascii="Arial" w:hAnsi="Arial" w:cs="Arial"/>
          <w:sz w:val="24"/>
          <w:szCs w:val="24"/>
        </w:rPr>
      </w:pPr>
      <w:r w:rsidRPr="1CB17A03">
        <w:rPr>
          <w:rFonts w:ascii="Arial" w:hAnsi="Arial" w:cs="Arial"/>
          <w:sz w:val="24"/>
          <w:szCs w:val="24"/>
        </w:rPr>
        <w:t xml:space="preserve">Children, the elderly, patients with cognitive impairments, and those with language barriers may not recognize or communicate symptom progression effectively. For these groups, enhanced safety netting—often involving carers and written materials in </w:t>
      </w:r>
      <w:r w:rsidRPr="1CB17A03">
        <w:rPr>
          <w:rFonts w:ascii="Arial" w:hAnsi="Arial" w:cs="Arial"/>
          <w:sz w:val="24"/>
          <w:szCs w:val="24"/>
        </w:rPr>
        <w:lastRenderedPageBreak/>
        <w:t>plain language or translated formats—is essential. Some patients or their families may explicitly ask, “When should I come back?” or express worry about missing signs of deterioration. This is a clear opportunity to provide detailed, compassionate safety netting that empowers rather than alarms.</w:t>
      </w:r>
    </w:p>
    <w:p w14:paraId="251828A1" w14:textId="3FB71820" w:rsidR="00EF77BE" w:rsidRDefault="00595E41" w:rsidP="00FF53BA">
      <w:pPr>
        <w:jc w:val="both"/>
        <w:rPr>
          <w:rFonts w:ascii="Arial" w:hAnsi="Arial" w:cs="Arial"/>
          <w:sz w:val="24"/>
          <w:szCs w:val="24"/>
          <w:u w:val="single"/>
        </w:rPr>
      </w:pPr>
      <w:r w:rsidRPr="1CB17A03">
        <w:rPr>
          <w:rFonts w:ascii="Arial" w:hAnsi="Arial" w:cs="Arial"/>
          <w:sz w:val="24"/>
          <w:szCs w:val="24"/>
          <w:u w:val="single"/>
        </w:rPr>
        <w:t>What makes effective safety-netting?</w:t>
      </w:r>
    </w:p>
    <w:p w14:paraId="54F4F4EF" w14:textId="45E78948" w:rsidR="00595E41" w:rsidRDefault="000B03F6" w:rsidP="00FF53BA">
      <w:pPr>
        <w:jc w:val="both"/>
        <w:rPr>
          <w:rFonts w:ascii="Arial" w:hAnsi="Arial" w:cs="Arial"/>
          <w:sz w:val="24"/>
          <w:szCs w:val="24"/>
        </w:rPr>
      </w:pPr>
      <w:r>
        <w:rPr>
          <w:rFonts w:ascii="Arial" w:hAnsi="Arial" w:cs="Arial"/>
          <w:sz w:val="24"/>
          <w:szCs w:val="24"/>
        </w:rPr>
        <w:t xml:space="preserve">A recent qualitative study of UK parents and clinicians perspectives about safety-netting </w:t>
      </w:r>
      <w:r w:rsidR="0027718A">
        <w:rPr>
          <w:rFonts w:ascii="Arial" w:hAnsi="Arial" w:cs="Arial"/>
          <w:sz w:val="24"/>
          <w:szCs w:val="24"/>
        </w:rPr>
        <w:t>suggested d</w:t>
      </w:r>
      <w:r w:rsidR="00520A20">
        <w:rPr>
          <w:rFonts w:ascii="Arial" w:hAnsi="Arial" w:cs="Arial"/>
          <w:sz w:val="24"/>
          <w:szCs w:val="24"/>
        </w:rPr>
        <w:t xml:space="preserve">ifferent levels of safety netting may be required according to </w:t>
      </w:r>
      <w:r w:rsidR="0037036F">
        <w:rPr>
          <w:rFonts w:ascii="Arial" w:hAnsi="Arial" w:cs="Arial"/>
          <w:sz w:val="24"/>
          <w:szCs w:val="24"/>
        </w:rPr>
        <w:t>illness severity, and information about how</w:t>
      </w:r>
      <w:r w:rsidR="008414C2">
        <w:rPr>
          <w:rFonts w:ascii="Arial" w:hAnsi="Arial" w:cs="Arial"/>
          <w:sz w:val="24"/>
          <w:szCs w:val="24"/>
        </w:rPr>
        <w:t xml:space="preserve"> and when</w:t>
      </w:r>
      <w:r w:rsidR="0037036F">
        <w:rPr>
          <w:rFonts w:ascii="Arial" w:hAnsi="Arial" w:cs="Arial"/>
          <w:sz w:val="24"/>
          <w:szCs w:val="24"/>
        </w:rPr>
        <w:t xml:space="preserve"> to self-manage any symptoms, or what to do when those symptoms </w:t>
      </w:r>
      <w:r w:rsidR="008414C2">
        <w:rPr>
          <w:rFonts w:ascii="Arial" w:hAnsi="Arial" w:cs="Arial"/>
          <w:sz w:val="24"/>
          <w:szCs w:val="24"/>
        </w:rPr>
        <w:t xml:space="preserve">cannot be managed is key to ensuring that the safety-netting is both safe and effective </w:t>
      </w:r>
      <w:r w:rsidR="00F923BB">
        <w:rPr>
          <w:rFonts w:ascii="Arial" w:hAnsi="Arial" w:cs="Arial"/>
          <w:noProof/>
          <w:sz w:val="24"/>
          <w:szCs w:val="24"/>
        </w:rPr>
        <w:t>(Jones et al., 2014)</w:t>
      </w:r>
      <w:r w:rsidR="003A02EC">
        <w:rPr>
          <w:rFonts w:ascii="Arial" w:hAnsi="Arial" w:cs="Arial"/>
          <w:sz w:val="24"/>
          <w:szCs w:val="24"/>
        </w:rPr>
        <w:t>.</w:t>
      </w:r>
      <w:r w:rsidR="00EC5DEB">
        <w:rPr>
          <w:rFonts w:ascii="Arial" w:hAnsi="Arial" w:cs="Arial"/>
          <w:sz w:val="24"/>
          <w:szCs w:val="24"/>
        </w:rPr>
        <w:t xml:space="preserve"> The different levels of safety-netting </w:t>
      </w:r>
      <w:r w:rsidR="00575DCB">
        <w:rPr>
          <w:rFonts w:ascii="Arial" w:hAnsi="Arial" w:cs="Arial"/>
          <w:sz w:val="24"/>
          <w:szCs w:val="24"/>
        </w:rPr>
        <w:t xml:space="preserve">may be related to different levels of illness. </w:t>
      </w:r>
      <w:r w:rsidR="00CB2BB8">
        <w:rPr>
          <w:rFonts w:ascii="Arial" w:hAnsi="Arial" w:cs="Arial"/>
          <w:sz w:val="24"/>
          <w:szCs w:val="24"/>
        </w:rPr>
        <w:t xml:space="preserve">Highlighting what symptoms may occur, and what level of help is required for each may support patients in identifying </w:t>
      </w:r>
      <w:r w:rsidR="00F616B4">
        <w:rPr>
          <w:rFonts w:ascii="Arial" w:hAnsi="Arial" w:cs="Arial"/>
          <w:sz w:val="24"/>
          <w:szCs w:val="24"/>
        </w:rPr>
        <w:t xml:space="preserve">where to turn if they experience problems. </w:t>
      </w:r>
      <w:r w:rsidR="00521659">
        <w:rPr>
          <w:rFonts w:ascii="Arial" w:hAnsi="Arial" w:cs="Arial"/>
          <w:sz w:val="24"/>
          <w:szCs w:val="24"/>
        </w:rPr>
        <w:t>Providing direction to specific services rather than general advice is considered effecti</w:t>
      </w:r>
      <w:r w:rsidR="00017CB9">
        <w:rPr>
          <w:rFonts w:ascii="Arial" w:hAnsi="Arial" w:cs="Arial"/>
          <w:sz w:val="24"/>
          <w:szCs w:val="24"/>
        </w:rPr>
        <w:t>ve</w:t>
      </w:r>
      <w:r w:rsidR="00037285">
        <w:rPr>
          <w:rFonts w:ascii="Arial" w:hAnsi="Arial" w:cs="Arial"/>
          <w:sz w:val="24"/>
          <w:szCs w:val="24"/>
        </w:rPr>
        <w:t xml:space="preserve"> </w:t>
      </w:r>
      <w:r w:rsidR="00F923BB">
        <w:rPr>
          <w:rFonts w:ascii="Arial" w:hAnsi="Arial" w:cs="Arial"/>
          <w:noProof/>
          <w:sz w:val="24"/>
          <w:szCs w:val="24"/>
        </w:rPr>
        <w:t>(Edwards et al., 2022)</w:t>
      </w:r>
      <w:r w:rsidR="00017CB9">
        <w:rPr>
          <w:rFonts w:ascii="Arial" w:hAnsi="Arial" w:cs="Arial"/>
          <w:sz w:val="24"/>
          <w:szCs w:val="24"/>
        </w:rPr>
        <w:t xml:space="preserve"> such as discussing</w:t>
      </w:r>
      <w:r w:rsidR="00037285">
        <w:rPr>
          <w:rFonts w:ascii="Arial" w:hAnsi="Arial" w:cs="Arial"/>
          <w:sz w:val="24"/>
          <w:szCs w:val="24"/>
        </w:rPr>
        <w:t xml:space="preserve"> when to self-manage, when to see a GP, and when to go the emergency department.</w:t>
      </w:r>
    </w:p>
    <w:p w14:paraId="50729EA7" w14:textId="5C41CB5F" w:rsidR="00EC5DEB" w:rsidRPr="00520A20" w:rsidRDefault="3C546AC3" w:rsidP="00FF53BA">
      <w:pPr>
        <w:jc w:val="both"/>
        <w:rPr>
          <w:rFonts w:ascii="Arial" w:hAnsi="Arial" w:cs="Arial"/>
          <w:sz w:val="24"/>
          <w:szCs w:val="24"/>
        </w:rPr>
      </w:pPr>
      <w:r w:rsidRPr="37A68410">
        <w:rPr>
          <w:rFonts w:ascii="Arial" w:hAnsi="Arial" w:cs="Arial"/>
          <w:sz w:val="24"/>
          <w:szCs w:val="24"/>
        </w:rPr>
        <w:t>Setting an expected timeline for symptom resolution is another key aspect of effective safety-netting. When patients understand the typical duration of their symptoms, they can more easily identify when their condition deviates from the expected course and take appropriate action to seek further medical assistance if necessary.</w:t>
      </w:r>
      <w:r w:rsidR="00F37D1B" w:rsidRPr="37A68410">
        <w:rPr>
          <w:rFonts w:ascii="Arial" w:hAnsi="Arial" w:cs="Arial"/>
          <w:sz w:val="24"/>
          <w:szCs w:val="24"/>
        </w:rPr>
        <w:t xml:space="preserve"> </w:t>
      </w:r>
      <w:r w:rsidR="00F923BB" w:rsidRPr="37A68410">
        <w:rPr>
          <w:rFonts w:ascii="Arial" w:hAnsi="Arial" w:cs="Arial"/>
          <w:noProof/>
          <w:sz w:val="24"/>
          <w:szCs w:val="24"/>
        </w:rPr>
        <w:t>(Edwards et al., 2022)</w:t>
      </w:r>
      <w:r w:rsidR="00F37D1B" w:rsidRPr="37A68410">
        <w:rPr>
          <w:rFonts w:ascii="Arial" w:hAnsi="Arial" w:cs="Arial"/>
          <w:sz w:val="24"/>
          <w:szCs w:val="24"/>
        </w:rPr>
        <w:t>.</w:t>
      </w:r>
      <w:r w:rsidR="4EDA9733" w:rsidRPr="37A68410">
        <w:rPr>
          <w:rFonts w:ascii="Arial" w:hAnsi="Arial" w:cs="Arial"/>
          <w:sz w:val="24"/>
          <w:szCs w:val="24"/>
        </w:rPr>
        <w:t xml:space="preserve"> </w:t>
      </w:r>
      <w:r w:rsidR="4EDA9733" w:rsidRPr="37A68410">
        <w:rPr>
          <w:rFonts w:ascii="Arial" w:eastAsia="Arial" w:hAnsi="Arial" w:cs="Arial"/>
          <w:sz w:val="24"/>
          <w:szCs w:val="24"/>
        </w:rPr>
        <w:t>It is essential for clinicians to tailor their safety-netting advice in a way that aligns with the patient’s illness severity, ensuring that they are well-equipped to monitor their own condition and take appropriate action</w:t>
      </w:r>
      <w:r w:rsidR="003360F6">
        <w:rPr>
          <w:rFonts w:ascii="Arial" w:eastAsia="Arial" w:hAnsi="Arial" w:cs="Arial"/>
          <w:sz w:val="24"/>
          <w:szCs w:val="24"/>
        </w:rPr>
        <w:t xml:space="preserve"> </w:t>
      </w:r>
      <w:r w:rsidR="00F923BB">
        <w:rPr>
          <w:rFonts w:ascii="Arial" w:eastAsia="Arial" w:hAnsi="Arial" w:cs="Arial"/>
          <w:noProof/>
          <w:sz w:val="24"/>
          <w:szCs w:val="24"/>
        </w:rPr>
        <w:t>(Greenhalgh et al., 2020)</w:t>
      </w:r>
      <w:r w:rsidR="4EDA9733" w:rsidRPr="37A68410">
        <w:rPr>
          <w:rFonts w:ascii="Arial" w:eastAsia="Arial" w:hAnsi="Arial" w:cs="Arial"/>
          <w:sz w:val="24"/>
          <w:szCs w:val="24"/>
        </w:rPr>
        <w:t>. For example, in cases of minor injuries or viral infections, patients may be advised to self-manage their symptoms with rest, hydration, and over-the-counter medication. However, if symptoms persist beyond an expected timeframe, or if new, concerning symptoms develop—such as a fever above a certain threshold or worsening pain—patients should be encouraged to seek medical assistance promptly. This stratified approach to safety-netting ensures that patients are not left uncertain about what steps to take should their condition deteriorate.</w:t>
      </w:r>
    </w:p>
    <w:p w14:paraId="1292AD1A" w14:textId="0D6843C8" w:rsidR="61606C4D" w:rsidRDefault="61606C4D" w:rsidP="1CB17A03">
      <w:pPr>
        <w:jc w:val="both"/>
        <w:rPr>
          <w:rFonts w:ascii="Arial" w:eastAsia="Arial" w:hAnsi="Arial" w:cs="Arial"/>
          <w:sz w:val="24"/>
          <w:szCs w:val="24"/>
        </w:rPr>
      </w:pPr>
      <w:r w:rsidRPr="37A68410">
        <w:rPr>
          <w:rFonts w:ascii="Arial" w:hAnsi="Arial" w:cs="Arial"/>
          <w:sz w:val="24"/>
          <w:szCs w:val="24"/>
        </w:rPr>
        <w:t xml:space="preserve">Using effective safety-netting communication skills with patients is key to ensuring understanding of the information that is being communicated. </w:t>
      </w:r>
      <w:r w:rsidR="1254257F" w:rsidRPr="37A68410">
        <w:rPr>
          <w:rFonts w:ascii="Arial" w:hAnsi="Arial" w:cs="Arial"/>
          <w:sz w:val="24"/>
          <w:szCs w:val="24"/>
        </w:rPr>
        <w:t>Clinicians should aim to summarise</w:t>
      </w:r>
      <w:r w:rsidR="0C746489" w:rsidRPr="37A68410">
        <w:rPr>
          <w:rFonts w:ascii="Arial" w:hAnsi="Arial" w:cs="Arial"/>
          <w:sz w:val="24"/>
          <w:szCs w:val="24"/>
        </w:rPr>
        <w:t xml:space="preserve"> what has been discussed</w:t>
      </w:r>
      <w:r w:rsidR="1254257F" w:rsidRPr="37A68410">
        <w:rPr>
          <w:rFonts w:ascii="Arial" w:hAnsi="Arial" w:cs="Arial"/>
          <w:sz w:val="24"/>
          <w:szCs w:val="24"/>
        </w:rPr>
        <w:t xml:space="preserve"> at the end of the safety-netting, as well as </w:t>
      </w:r>
      <w:r w:rsidR="287E04A0" w:rsidRPr="37A68410">
        <w:rPr>
          <w:rFonts w:ascii="Arial" w:hAnsi="Arial" w:cs="Arial"/>
          <w:sz w:val="24"/>
          <w:szCs w:val="24"/>
        </w:rPr>
        <w:t xml:space="preserve">checking that you have answered any questions that they </w:t>
      </w:r>
      <w:r w:rsidR="26F2F514" w:rsidRPr="37A68410">
        <w:rPr>
          <w:rFonts w:ascii="Arial" w:hAnsi="Arial" w:cs="Arial"/>
          <w:sz w:val="24"/>
          <w:szCs w:val="24"/>
        </w:rPr>
        <w:t>might have</w:t>
      </w:r>
      <w:r w:rsidR="00434E62">
        <w:rPr>
          <w:rFonts w:ascii="Arial" w:hAnsi="Arial" w:cs="Arial"/>
          <w:sz w:val="24"/>
          <w:szCs w:val="24"/>
        </w:rPr>
        <w:t xml:space="preserve"> </w:t>
      </w:r>
      <w:r w:rsidR="00F923BB">
        <w:rPr>
          <w:rFonts w:ascii="Arial" w:hAnsi="Arial" w:cs="Arial"/>
          <w:noProof/>
          <w:sz w:val="24"/>
          <w:szCs w:val="24"/>
        </w:rPr>
        <w:t>(Wannheden et al., 2024)</w:t>
      </w:r>
      <w:r w:rsidR="26F2F514" w:rsidRPr="37A68410">
        <w:rPr>
          <w:rFonts w:ascii="Arial" w:hAnsi="Arial" w:cs="Arial"/>
          <w:sz w:val="24"/>
          <w:szCs w:val="24"/>
        </w:rPr>
        <w:t>.</w:t>
      </w:r>
      <w:r w:rsidR="747BBA66" w:rsidRPr="37A68410">
        <w:rPr>
          <w:rFonts w:ascii="Arial" w:hAnsi="Arial" w:cs="Arial"/>
          <w:sz w:val="24"/>
          <w:szCs w:val="24"/>
        </w:rPr>
        <w:t xml:space="preserve"> Further, checking comprehension with the patient at the end of </w:t>
      </w:r>
      <w:r w:rsidR="00B82DCD" w:rsidRPr="37A68410">
        <w:rPr>
          <w:rFonts w:ascii="Arial" w:hAnsi="Arial" w:cs="Arial"/>
          <w:sz w:val="24"/>
          <w:szCs w:val="24"/>
        </w:rPr>
        <w:t>the</w:t>
      </w:r>
      <w:r w:rsidR="747BBA66" w:rsidRPr="37A68410">
        <w:rPr>
          <w:rFonts w:ascii="Arial" w:hAnsi="Arial" w:cs="Arial"/>
          <w:sz w:val="24"/>
          <w:szCs w:val="24"/>
        </w:rPr>
        <w:t xml:space="preserve"> safety-netting can be vital to </w:t>
      </w:r>
      <w:r w:rsidR="00B82DCD" w:rsidRPr="37A68410">
        <w:rPr>
          <w:rFonts w:ascii="Arial" w:hAnsi="Arial" w:cs="Arial"/>
          <w:sz w:val="24"/>
          <w:szCs w:val="24"/>
        </w:rPr>
        <w:t>ensuring</w:t>
      </w:r>
      <w:r w:rsidR="747BBA66" w:rsidRPr="37A68410">
        <w:rPr>
          <w:rFonts w:ascii="Arial" w:hAnsi="Arial" w:cs="Arial"/>
          <w:sz w:val="24"/>
          <w:szCs w:val="24"/>
        </w:rPr>
        <w:t xml:space="preserve"> that </w:t>
      </w:r>
      <w:r w:rsidR="00B82DCD" w:rsidRPr="37A68410">
        <w:rPr>
          <w:rFonts w:ascii="Arial" w:hAnsi="Arial" w:cs="Arial"/>
          <w:sz w:val="24"/>
          <w:szCs w:val="24"/>
        </w:rPr>
        <w:t>they</w:t>
      </w:r>
      <w:r w:rsidR="747BBA66" w:rsidRPr="37A68410">
        <w:rPr>
          <w:rFonts w:ascii="Arial" w:hAnsi="Arial" w:cs="Arial"/>
          <w:sz w:val="24"/>
          <w:szCs w:val="24"/>
        </w:rPr>
        <w:t xml:space="preserve"> have properly understood the information you have given </w:t>
      </w:r>
      <w:r w:rsidR="0995CD11" w:rsidRPr="37A68410">
        <w:rPr>
          <w:rFonts w:ascii="Arial" w:hAnsi="Arial" w:cs="Arial"/>
          <w:sz w:val="24"/>
          <w:szCs w:val="24"/>
        </w:rPr>
        <w:t>t</w:t>
      </w:r>
      <w:r w:rsidR="747BBA66" w:rsidRPr="37A68410">
        <w:rPr>
          <w:rFonts w:ascii="Arial" w:hAnsi="Arial" w:cs="Arial"/>
          <w:sz w:val="24"/>
          <w:szCs w:val="24"/>
        </w:rPr>
        <w:t xml:space="preserve">hem. </w:t>
      </w:r>
      <w:r w:rsidR="747BBA66" w:rsidRPr="37A68410">
        <w:rPr>
          <w:rFonts w:ascii="Arial" w:eastAsia="Arial" w:hAnsi="Arial" w:cs="Arial"/>
          <w:sz w:val="24"/>
          <w:szCs w:val="24"/>
        </w:rPr>
        <w:t>This can be done through the teach-back method</w:t>
      </w:r>
      <w:r w:rsidR="00B82DCD">
        <w:rPr>
          <w:rFonts w:ascii="Arial" w:eastAsia="Arial" w:hAnsi="Arial" w:cs="Arial"/>
          <w:sz w:val="24"/>
          <w:szCs w:val="24"/>
        </w:rPr>
        <w:t xml:space="preserve"> </w:t>
      </w:r>
      <w:r w:rsidR="00F923BB">
        <w:rPr>
          <w:rFonts w:ascii="Arial" w:eastAsia="Arial" w:hAnsi="Arial" w:cs="Arial"/>
          <w:noProof/>
          <w:sz w:val="24"/>
          <w:szCs w:val="24"/>
        </w:rPr>
        <w:t>(Yen and Leasure, 2019)</w:t>
      </w:r>
      <w:r w:rsidR="747BBA66" w:rsidRPr="37A68410">
        <w:rPr>
          <w:rFonts w:ascii="Arial" w:eastAsia="Arial" w:hAnsi="Arial" w:cs="Arial"/>
          <w:sz w:val="24"/>
          <w:szCs w:val="24"/>
        </w:rPr>
        <w:t>, where the clinician asks the patient to repeat the advice in their own words. This process helps identify any misunderstandings or gaps in the patient's comprehension, ensuring that they leave with a clear understanding of how to manage their health.</w:t>
      </w:r>
    </w:p>
    <w:p w14:paraId="4D9C03D9" w14:textId="7F8EB545" w:rsidR="000E7D2F" w:rsidRDefault="000E7D2F" w:rsidP="1CB17A03">
      <w:pPr>
        <w:jc w:val="both"/>
        <w:rPr>
          <w:rFonts w:ascii="Arial" w:hAnsi="Arial" w:cs="Arial"/>
          <w:sz w:val="24"/>
          <w:szCs w:val="24"/>
        </w:rPr>
      </w:pPr>
      <w:r>
        <w:rPr>
          <w:rFonts w:ascii="Arial" w:eastAsia="Arial" w:hAnsi="Arial" w:cs="Arial"/>
          <w:sz w:val="24"/>
          <w:szCs w:val="24"/>
        </w:rPr>
        <w:t xml:space="preserve">Finally, it is important to document in the patients notes about the safety-netting, including what you have </w:t>
      </w:r>
      <w:r w:rsidR="00943490">
        <w:rPr>
          <w:rFonts w:ascii="Arial" w:eastAsia="Arial" w:hAnsi="Arial" w:cs="Arial"/>
          <w:sz w:val="24"/>
          <w:szCs w:val="24"/>
        </w:rPr>
        <w:t xml:space="preserve">told the patient and what resources you have given them. </w:t>
      </w:r>
      <w:r w:rsidR="004D6BFF">
        <w:rPr>
          <w:rFonts w:ascii="Arial" w:eastAsia="Arial" w:hAnsi="Arial" w:cs="Arial"/>
          <w:sz w:val="24"/>
          <w:szCs w:val="24"/>
        </w:rPr>
        <w:lastRenderedPageBreak/>
        <w:t xml:space="preserve">This is both to ensure a record should any </w:t>
      </w:r>
      <w:r w:rsidR="00DF5CA6">
        <w:rPr>
          <w:rFonts w:ascii="Arial" w:eastAsia="Arial" w:hAnsi="Arial" w:cs="Arial"/>
          <w:sz w:val="24"/>
          <w:szCs w:val="24"/>
        </w:rPr>
        <w:t>adverse</w:t>
      </w:r>
      <w:r w:rsidR="00FA5A8D">
        <w:rPr>
          <w:rFonts w:ascii="Arial" w:eastAsia="Arial" w:hAnsi="Arial" w:cs="Arial"/>
          <w:sz w:val="24"/>
          <w:szCs w:val="24"/>
        </w:rPr>
        <w:t xml:space="preserve"> events</w:t>
      </w:r>
      <w:r w:rsidR="00DF5CA6">
        <w:rPr>
          <w:rFonts w:ascii="Arial" w:eastAsia="Arial" w:hAnsi="Arial" w:cs="Arial"/>
          <w:sz w:val="24"/>
          <w:szCs w:val="24"/>
        </w:rPr>
        <w:t xml:space="preserve"> occur</w:t>
      </w:r>
      <w:r w:rsidR="004D6BFF">
        <w:rPr>
          <w:rFonts w:ascii="Arial" w:eastAsia="Arial" w:hAnsi="Arial" w:cs="Arial"/>
          <w:sz w:val="24"/>
          <w:szCs w:val="24"/>
        </w:rPr>
        <w:t xml:space="preserve">, as well as </w:t>
      </w:r>
      <w:r w:rsidR="00DF5CA6">
        <w:rPr>
          <w:rFonts w:ascii="Arial" w:eastAsia="Arial" w:hAnsi="Arial" w:cs="Arial"/>
          <w:sz w:val="24"/>
          <w:szCs w:val="24"/>
        </w:rPr>
        <w:t>to provide information for anyone assessing the patient should they need to return.</w:t>
      </w:r>
    </w:p>
    <w:p w14:paraId="6F48E5AD" w14:textId="70A67A05" w:rsidR="00BD65B1" w:rsidRDefault="00801D78" w:rsidP="00FF53BA">
      <w:pPr>
        <w:jc w:val="both"/>
        <w:rPr>
          <w:rFonts w:ascii="Arial" w:hAnsi="Arial" w:cs="Arial"/>
          <w:sz w:val="24"/>
          <w:szCs w:val="24"/>
          <w:u w:val="single"/>
        </w:rPr>
      </w:pPr>
      <w:r>
        <w:rPr>
          <w:rFonts w:ascii="Arial" w:hAnsi="Arial" w:cs="Arial"/>
          <w:sz w:val="24"/>
          <w:szCs w:val="24"/>
          <w:u w:val="single"/>
        </w:rPr>
        <w:t>Wh</w:t>
      </w:r>
      <w:r w:rsidR="000B5E06">
        <w:rPr>
          <w:rFonts w:ascii="Arial" w:hAnsi="Arial" w:cs="Arial"/>
          <w:sz w:val="24"/>
          <w:szCs w:val="24"/>
          <w:u w:val="single"/>
        </w:rPr>
        <w:t>at resources are helpful to give to patients?</w:t>
      </w:r>
    </w:p>
    <w:p w14:paraId="257CFD0E" w14:textId="3DDDB0B6" w:rsidR="76EAC822" w:rsidRDefault="00BA277F" w:rsidP="37A68410">
      <w:pPr>
        <w:spacing w:before="240" w:after="240"/>
        <w:jc w:val="both"/>
        <w:rPr>
          <w:rFonts w:ascii="Arial" w:hAnsi="Arial" w:cs="Arial"/>
          <w:sz w:val="24"/>
          <w:szCs w:val="24"/>
        </w:rPr>
      </w:pPr>
      <w:r w:rsidRPr="37A68410">
        <w:rPr>
          <w:rFonts w:ascii="Arial" w:hAnsi="Arial" w:cs="Arial"/>
          <w:sz w:val="24"/>
          <w:szCs w:val="24"/>
        </w:rPr>
        <w:t xml:space="preserve">Safety-netting resources should be simple to understand, with clear key messages and </w:t>
      </w:r>
      <w:r w:rsidR="00A10B84" w:rsidRPr="37A68410">
        <w:rPr>
          <w:rFonts w:ascii="Arial" w:hAnsi="Arial" w:cs="Arial"/>
          <w:sz w:val="24"/>
          <w:szCs w:val="24"/>
        </w:rPr>
        <w:t xml:space="preserve">easy to find information about who to contact and when </w:t>
      </w:r>
      <w:r w:rsidR="00F923BB" w:rsidRPr="37A68410">
        <w:rPr>
          <w:rFonts w:ascii="Arial" w:hAnsi="Arial" w:cs="Arial"/>
          <w:noProof/>
          <w:sz w:val="24"/>
          <w:szCs w:val="24"/>
        </w:rPr>
        <w:t>(Jones et al., 2014)</w:t>
      </w:r>
      <w:r w:rsidR="00A10B84" w:rsidRPr="37A68410">
        <w:rPr>
          <w:rFonts w:ascii="Arial" w:hAnsi="Arial" w:cs="Arial"/>
          <w:sz w:val="24"/>
          <w:szCs w:val="24"/>
        </w:rPr>
        <w:t>.</w:t>
      </w:r>
      <w:r w:rsidR="05A14EFD" w:rsidRPr="37A68410">
        <w:rPr>
          <w:rFonts w:ascii="Arial" w:hAnsi="Arial" w:cs="Arial"/>
          <w:sz w:val="24"/>
          <w:szCs w:val="24"/>
        </w:rPr>
        <w:t xml:space="preserve"> </w:t>
      </w:r>
      <w:r w:rsidR="76EAC822" w:rsidRPr="37A68410">
        <w:rPr>
          <w:rFonts w:ascii="Arial" w:eastAsia="Arial" w:hAnsi="Arial" w:cs="Arial"/>
          <w:sz w:val="24"/>
          <w:szCs w:val="24"/>
        </w:rPr>
        <w:t>When providing safety netting advice in the emergency department (ED), it’s important to equip patients with clear, accessible resources to support their understanding and decision-making after discharge. Written information leaflets tailored to the patient's condition are particularly useful</w:t>
      </w:r>
      <w:r w:rsidR="000E67B1">
        <w:rPr>
          <w:rFonts w:ascii="Arial" w:eastAsia="Arial" w:hAnsi="Arial" w:cs="Arial"/>
          <w:sz w:val="24"/>
          <w:szCs w:val="24"/>
        </w:rPr>
        <w:t xml:space="preserve"> </w:t>
      </w:r>
      <w:r w:rsidR="00F923BB">
        <w:rPr>
          <w:rFonts w:ascii="Arial" w:eastAsia="Arial" w:hAnsi="Arial" w:cs="Arial"/>
          <w:noProof/>
          <w:sz w:val="24"/>
          <w:szCs w:val="24"/>
        </w:rPr>
        <w:t>(Wannheden et al., 2024)</w:t>
      </w:r>
      <w:r w:rsidR="76EAC822" w:rsidRPr="37A68410">
        <w:rPr>
          <w:rFonts w:ascii="Arial" w:eastAsia="Arial" w:hAnsi="Arial" w:cs="Arial"/>
          <w:sz w:val="24"/>
          <w:szCs w:val="24"/>
        </w:rPr>
        <w:t xml:space="preserve">, as they reinforce verbal instructions and can be referred to at home. These should include signs and symptoms to watch for, when and where to seek further help, and contact details for relevant services like NHS 111 or urgent care </w:t>
      </w:r>
      <w:r w:rsidR="165D8C22" w:rsidRPr="37A68410">
        <w:rPr>
          <w:rFonts w:ascii="Arial" w:eastAsia="Arial" w:hAnsi="Arial" w:cs="Arial"/>
          <w:sz w:val="24"/>
          <w:szCs w:val="24"/>
        </w:rPr>
        <w:t>centres</w:t>
      </w:r>
      <w:r w:rsidR="76EAC822" w:rsidRPr="37A68410">
        <w:rPr>
          <w:rFonts w:ascii="Arial" w:eastAsia="Arial" w:hAnsi="Arial" w:cs="Arial"/>
          <w:sz w:val="24"/>
          <w:szCs w:val="24"/>
        </w:rPr>
        <w:t>.</w:t>
      </w:r>
      <w:r w:rsidR="76D5A4D9" w:rsidRPr="37A68410">
        <w:rPr>
          <w:rFonts w:ascii="Arial" w:eastAsia="Arial" w:hAnsi="Arial" w:cs="Arial"/>
          <w:sz w:val="24"/>
          <w:szCs w:val="24"/>
        </w:rPr>
        <w:t xml:space="preserve"> Written materials should be concise and easy to understand</w:t>
      </w:r>
      <w:r w:rsidR="00DA0D80">
        <w:rPr>
          <w:rFonts w:ascii="Arial" w:eastAsia="Arial" w:hAnsi="Arial" w:cs="Arial"/>
          <w:sz w:val="24"/>
          <w:szCs w:val="24"/>
        </w:rPr>
        <w:t xml:space="preserve"> </w:t>
      </w:r>
      <w:r w:rsidR="00F923BB">
        <w:rPr>
          <w:rFonts w:ascii="Arial" w:eastAsia="Arial" w:hAnsi="Arial" w:cs="Arial"/>
          <w:noProof/>
          <w:sz w:val="24"/>
          <w:szCs w:val="24"/>
        </w:rPr>
        <w:t>(Edwards et al., 2022)</w:t>
      </w:r>
      <w:r w:rsidR="76D5A4D9" w:rsidRPr="37A68410">
        <w:rPr>
          <w:rFonts w:ascii="Arial" w:eastAsia="Arial" w:hAnsi="Arial" w:cs="Arial"/>
          <w:sz w:val="24"/>
          <w:szCs w:val="24"/>
        </w:rPr>
        <w:t>. Where necessary, written instructions should be translated or provided in other formats to ensure accessibility.</w:t>
      </w:r>
    </w:p>
    <w:p w14:paraId="11A04B02" w14:textId="7DECA853" w:rsidR="76EAC822" w:rsidRDefault="00400787" w:rsidP="37A68410">
      <w:pPr>
        <w:spacing w:before="240" w:after="240"/>
        <w:jc w:val="both"/>
        <w:rPr>
          <w:rFonts w:ascii="Arial" w:hAnsi="Arial" w:cs="Arial"/>
          <w:sz w:val="24"/>
          <w:szCs w:val="24"/>
        </w:rPr>
      </w:pPr>
      <w:r>
        <w:rPr>
          <w:rFonts w:ascii="Arial" w:eastAsia="Arial" w:hAnsi="Arial" w:cs="Arial"/>
          <w:sz w:val="24"/>
          <w:szCs w:val="24"/>
        </w:rPr>
        <w:t>A</w:t>
      </w:r>
      <w:r w:rsidRPr="37A68410">
        <w:rPr>
          <w:rFonts w:ascii="Arial" w:eastAsia="Arial" w:hAnsi="Arial" w:cs="Arial"/>
          <w:sz w:val="24"/>
          <w:szCs w:val="24"/>
        </w:rPr>
        <w:t>udio-visual resources can be effective for patients who might struggle with reading due to cognitive impairments, low literacy, or language barriers</w:t>
      </w:r>
      <w:r w:rsidR="00161CFB">
        <w:rPr>
          <w:rFonts w:ascii="Arial" w:eastAsia="Arial" w:hAnsi="Arial" w:cs="Arial"/>
          <w:sz w:val="24"/>
          <w:szCs w:val="24"/>
        </w:rPr>
        <w:t xml:space="preserve"> </w:t>
      </w:r>
      <w:r w:rsidR="00F923BB">
        <w:rPr>
          <w:rFonts w:ascii="Arial" w:eastAsia="Arial" w:hAnsi="Arial" w:cs="Arial"/>
          <w:noProof/>
          <w:sz w:val="24"/>
          <w:szCs w:val="24"/>
        </w:rPr>
        <w:t>(Jones et al., 2014)</w:t>
      </w:r>
      <w:r w:rsidRPr="37A68410">
        <w:rPr>
          <w:rFonts w:ascii="Arial" w:eastAsia="Arial" w:hAnsi="Arial" w:cs="Arial"/>
          <w:sz w:val="24"/>
          <w:szCs w:val="24"/>
        </w:rPr>
        <w:t>.</w:t>
      </w:r>
      <w:r w:rsidR="00DB3EED">
        <w:rPr>
          <w:rFonts w:ascii="Arial" w:eastAsia="Arial" w:hAnsi="Arial" w:cs="Arial"/>
          <w:sz w:val="24"/>
          <w:szCs w:val="24"/>
        </w:rPr>
        <w:t xml:space="preserve"> </w:t>
      </w:r>
      <w:r w:rsidR="76D5A4D9" w:rsidRPr="37A68410">
        <w:rPr>
          <w:rFonts w:ascii="Arial" w:hAnsi="Arial" w:cs="Arial"/>
          <w:sz w:val="24"/>
          <w:szCs w:val="24"/>
        </w:rPr>
        <w:t>Use of audio-visual safety-net information may be effective for patients who have difficulty with written information but can also be a quick and easy resource for anybody to use.</w:t>
      </w:r>
      <w:r w:rsidR="76D5A4D9" w:rsidRPr="37A68410">
        <w:rPr>
          <w:rFonts w:ascii="Arial" w:eastAsia="Arial" w:hAnsi="Arial" w:cs="Arial"/>
          <w:sz w:val="24"/>
          <w:szCs w:val="24"/>
        </w:rPr>
        <w:t xml:space="preserve"> Videos, infographics, and interactive content offer an alternative means of communication that can reinforce the key safety-netting messages. These resources can serve as a quick and easily accessible means for patients to revisit the advice provided, particularly if they are feeling overwhelmed or stressed at the time of discharge.</w:t>
      </w:r>
    </w:p>
    <w:p w14:paraId="300344E9" w14:textId="1E2846ED" w:rsidR="1CB17A03" w:rsidRDefault="7D934869" w:rsidP="003D0D9E">
      <w:pPr>
        <w:spacing w:before="240" w:after="240"/>
        <w:jc w:val="both"/>
        <w:rPr>
          <w:rFonts w:ascii="Arial" w:hAnsi="Arial" w:cs="Arial"/>
          <w:sz w:val="24"/>
          <w:szCs w:val="24"/>
        </w:rPr>
      </w:pPr>
      <w:r w:rsidRPr="37A68410">
        <w:rPr>
          <w:rFonts w:ascii="Arial" w:eastAsia="Arial" w:hAnsi="Arial" w:cs="Arial"/>
          <w:sz w:val="24"/>
          <w:szCs w:val="24"/>
        </w:rPr>
        <w:t>In addition to printed materials, digital resources are increasingly being used to support safety-netting</w:t>
      </w:r>
      <w:r w:rsidR="00ED3570">
        <w:rPr>
          <w:rFonts w:ascii="Arial" w:eastAsia="Arial" w:hAnsi="Arial" w:cs="Arial"/>
          <w:sz w:val="24"/>
          <w:szCs w:val="24"/>
        </w:rPr>
        <w:t xml:space="preserve"> </w:t>
      </w:r>
      <w:r w:rsidR="00F923BB">
        <w:rPr>
          <w:rFonts w:ascii="Arial" w:eastAsia="Arial" w:hAnsi="Arial" w:cs="Arial"/>
          <w:noProof/>
          <w:sz w:val="24"/>
          <w:szCs w:val="24"/>
        </w:rPr>
        <w:t>(Jones et al., 2014)</w:t>
      </w:r>
      <w:r w:rsidRPr="37A68410">
        <w:rPr>
          <w:rFonts w:ascii="Arial" w:eastAsia="Arial" w:hAnsi="Arial" w:cs="Arial"/>
          <w:sz w:val="24"/>
          <w:szCs w:val="24"/>
        </w:rPr>
        <w:t xml:space="preserve">. Trusted medical websites such as </w:t>
      </w:r>
      <w:hyperlink r:id="rId6" w:history="1">
        <w:r w:rsidRPr="00566EF0">
          <w:rPr>
            <w:rStyle w:val="Hyperlink"/>
            <w:rFonts w:ascii="Arial" w:eastAsia="Arial" w:hAnsi="Arial" w:cs="Arial"/>
            <w:sz w:val="24"/>
            <w:szCs w:val="24"/>
          </w:rPr>
          <w:t>NHS.</w:t>
        </w:r>
        <w:r w:rsidR="00CE66B7" w:rsidRPr="00566EF0">
          <w:rPr>
            <w:rStyle w:val="Hyperlink"/>
            <w:rFonts w:ascii="Arial" w:eastAsia="Arial" w:hAnsi="Arial" w:cs="Arial"/>
            <w:sz w:val="24"/>
            <w:szCs w:val="24"/>
          </w:rPr>
          <w:t>uk</w:t>
        </w:r>
      </w:hyperlink>
      <w:r w:rsidRPr="37A68410">
        <w:rPr>
          <w:rFonts w:ascii="Arial" w:eastAsia="Arial" w:hAnsi="Arial" w:cs="Arial"/>
          <w:sz w:val="24"/>
          <w:szCs w:val="24"/>
        </w:rPr>
        <w:t xml:space="preserve">, </w:t>
      </w:r>
      <w:hyperlink r:id="rId7" w:history="1">
        <w:r w:rsidRPr="00965618">
          <w:rPr>
            <w:rStyle w:val="Hyperlink"/>
            <w:rFonts w:ascii="Arial" w:eastAsia="Arial" w:hAnsi="Arial" w:cs="Arial"/>
            <w:sz w:val="24"/>
            <w:szCs w:val="24"/>
          </w:rPr>
          <w:t>Healthline</w:t>
        </w:r>
      </w:hyperlink>
      <w:r w:rsidRPr="37A68410">
        <w:rPr>
          <w:rFonts w:ascii="Arial" w:eastAsia="Arial" w:hAnsi="Arial" w:cs="Arial"/>
          <w:sz w:val="24"/>
          <w:szCs w:val="24"/>
        </w:rPr>
        <w:t xml:space="preserve">, or </w:t>
      </w:r>
      <w:hyperlink r:id="rId8" w:history="1">
        <w:r w:rsidRPr="00BA17AE">
          <w:rPr>
            <w:rStyle w:val="Hyperlink"/>
            <w:rFonts w:ascii="Arial" w:eastAsia="Arial" w:hAnsi="Arial" w:cs="Arial"/>
            <w:sz w:val="24"/>
            <w:szCs w:val="24"/>
          </w:rPr>
          <w:t>patient.info</w:t>
        </w:r>
      </w:hyperlink>
      <w:r w:rsidRPr="37A68410">
        <w:rPr>
          <w:rFonts w:ascii="Arial" w:eastAsia="Arial" w:hAnsi="Arial" w:cs="Arial"/>
          <w:sz w:val="24"/>
          <w:szCs w:val="24"/>
        </w:rPr>
        <w:t xml:space="preserve"> can offer further reading on the patient’s condition, recovery expectations, and when to seek additional help. These sites are often updated with the latest medical guidelines, making them reliable resources for both patients and healthcare professionals alike. Some EDs also utilise text messaging services to send follow-up advice directly to patients’ phones. This might include links to symptom checkers, videos explaining recovery expectations, or reminders about follow-up appointments. Text messages are a simple but highly effective way to ensure patients have the information they need in real-time and can act quickly should their symptoms change.</w:t>
      </w:r>
      <w:r w:rsidR="76EAC822" w:rsidRPr="37A68410">
        <w:rPr>
          <w:rFonts w:ascii="Arial" w:eastAsia="Arial" w:hAnsi="Arial" w:cs="Arial"/>
          <w:sz w:val="24"/>
          <w:szCs w:val="24"/>
        </w:rPr>
        <w:t xml:space="preserve"> </w:t>
      </w:r>
      <w:r w:rsidR="00CE66B7">
        <w:rPr>
          <w:rFonts w:ascii="Arial" w:eastAsia="Arial" w:hAnsi="Arial" w:cs="Arial"/>
          <w:sz w:val="24"/>
          <w:szCs w:val="24"/>
        </w:rPr>
        <w:t xml:space="preserve">However, when assessing these resources for </w:t>
      </w:r>
      <w:r w:rsidR="008B6778">
        <w:rPr>
          <w:rFonts w:ascii="Arial" w:eastAsia="Arial" w:hAnsi="Arial" w:cs="Arial"/>
          <w:sz w:val="24"/>
          <w:szCs w:val="24"/>
        </w:rPr>
        <w:t xml:space="preserve">safety-netting it is also important to consider that </w:t>
      </w:r>
      <w:r w:rsidR="00695579">
        <w:rPr>
          <w:rFonts w:ascii="Arial" w:eastAsia="Arial" w:hAnsi="Arial" w:cs="Arial"/>
          <w:sz w:val="24"/>
          <w:szCs w:val="24"/>
        </w:rPr>
        <w:t xml:space="preserve">some patients are unable to access </w:t>
      </w:r>
      <w:r w:rsidR="0076368E">
        <w:rPr>
          <w:rFonts w:ascii="Arial" w:eastAsia="Arial" w:hAnsi="Arial" w:cs="Arial"/>
          <w:sz w:val="24"/>
          <w:szCs w:val="24"/>
        </w:rPr>
        <w:t>digital resources for a variety of reasons</w:t>
      </w:r>
      <w:r w:rsidR="00452ED7">
        <w:rPr>
          <w:rFonts w:ascii="Arial" w:eastAsia="Arial" w:hAnsi="Arial" w:cs="Arial"/>
          <w:sz w:val="24"/>
          <w:szCs w:val="24"/>
        </w:rPr>
        <w:t xml:space="preserve"> </w:t>
      </w:r>
      <w:r w:rsidR="00F923BB">
        <w:rPr>
          <w:rFonts w:ascii="Arial" w:eastAsia="Arial" w:hAnsi="Arial" w:cs="Arial"/>
          <w:noProof/>
          <w:sz w:val="24"/>
          <w:szCs w:val="24"/>
        </w:rPr>
        <w:t>(Tudor, 2024)</w:t>
      </w:r>
      <w:r w:rsidR="0076368E">
        <w:rPr>
          <w:rFonts w:ascii="Arial" w:eastAsia="Arial" w:hAnsi="Arial" w:cs="Arial"/>
          <w:sz w:val="24"/>
          <w:szCs w:val="24"/>
        </w:rPr>
        <w:t xml:space="preserve">, so ensure you are still able to provide </w:t>
      </w:r>
      <w:r w:rsidR="00452ED7">
        <w:rPr>
          <w:rFonts w:ascii="Arial" w:eastAsia="Arial" w:hAnsi="Arial" w:cs="Arial"/>
          <w:sz w:val="24"/>
          <w:szCs w:val="24"/>
        </w:rPr>
        <w:t>non-digital copies.</w:t>
      </w:r>
    </w:p>
    <w:p w14:paraId="23CA4A43" w14:textId="6032A978" w:rsidR="0027718A" w:rsidRPr="00FF53BA" w:rsidRDefault="00EF77BE" w:rsidP="00FF53BA">
      <w:pPr>
        <w:jc w:val="both"/>
        <w:rPr>
          <w:rFonts w:ascii="Arial" w:hAnsi="Arial" w:cs="Arial"/>
          <w:b/>
          <w:bCs/>
          <w:sz w:val="24"/>
          <w:szCs w:val="24"/>
        </w:rPr>
      </w:pPr>
      <w:r>
        <w:rPr>
          <w:rFonts w:ascii="Arial" w:hAnsi="Arial" w:cs="Arial"/>
          <w:b/>
          <w:bCs/>
          <w:sz w:val="24"/>
          <w:szCs w:val="24"/>
        </w:rPr>
        <w:t>References</w:t>
      </w:r>
    </w:p>
    <w:p w14:paraId="31AF401F" w14:textId="74BA30C2" w:rsidR="00161CFB" w:rsidRPr="00161CFB" w:rsidRDefault="00161CFB" w:rsidP="00161CFB">
      <w:pPr>
        <w:pStyle w:val="EndNoteBibliography"/>
        <w:spacing w:after="0"/>
        <w:ind w:left="720" w:hanging="720"/>
      </w:pPr>
      <w:r w:rsidRPr="00161CFB">
        <w:t xml:space="preserve">Edwards, P. J., Silverston, P., Sprackman, J. &amp; Roland, D. (2022). Safety-Netting in the Consultation. </w:t>
      </w:r>
      <w:r w:rsidRPr="00161CFB">
        <w:rPr>
          <w:i/>
        </w:rPr>
        <w:t>BMJ,</w:t>
      </w:r>
      <w:r w:rsidRPr="00161CFB">
        <w:t xml:space="preserve"> 378</w:t>
      </w:r>
      <w:r w:rsidRPr="00161CFB">
        <w:rPr>
          <w:b/>
        </w:rPr>
        <w:t>,</w:t>
      </w:r>
      <w:r w:rsidRPr="00161CFB">
        <w:t xml:space="preserve"> e069094. 10.1136/bmj-2021-069094.</w:t>
      </w:r>
    </w:p>
    <w:p w14:paraId="2992C352" w14:textId="4ABB606E" w:rsidR="00161CFB" w:rsidRPr="00161CFB" w:rsidRDefault="00161CFB" w:rsidP="00161CFB">
      <w:pPr>
        <w:pStyle w:val="EndNoteBibliography"/>
        <w:spacing w:after="0"/>
        <w:ind w:left="720" w:hanging="720"/>
      </w:pPr>
      <w:r w:rsidRPr="00161CFB">
        <w:t xml:space="preserve">Greenhalgh, S., Finucane, L. M., Mercer, C. &amp; Selfe, J. (2020). Safety Netting; Best Practice in the Face of Uncertainty. </w:t>
      </w:r>
      <w:r w:rsidRPr="00161CFB">
        <w:rPr>
          <w:i/>
        </w:rPr>
        <w:t>Musculoskeletal Science and Practice,</w:t>
      </w:r>
      <w:r w:rsidRPr="00161CFB">
        <w:t xml:space="preserve"> 48</w:t>
      </w:r>
      <w:r w:rsidRPr="00161CFB">
        <w:rPr>
          <w:b/>
        </w:rPr>
        <w:t>,</w:t>
      </w:r>
      <w:r w:rsidRPr="00161CFB">
        <w:t xml:space="preserve"> 102179. </w:t>
      </w:r>
      <w:r w:rsidRPr="00F923BB">
        <w:t>https://doi.org/10.1016/j.msksp.2020.102179</w:t>
      </w:r>
      <w:r w:rsidRPr="00161CFB">
        <w:t>.</w:t>
      </w:r>
    </w:p>
    <w:p w14:paraId="3F4EF274" w14:textId="77777777" w:rsidR="00161CFB" w:rsidRPr="00161CFB" w:rsidRDefault="00161CFB" w:rsidP="00161CFB">
      <w:pPr>
        <w:pStyle w:val="EndNoteBibliography"/>
        <w:spacing w:after="0"/>
        <w:ind w:left="720" w:hanging="720"/>
      </w:pPr>
      <w:r w:rsidRPr="00161CFB">
        <w:lastRenderedPageBreak/>
        <w:t xml:space="preserve">Jones, C. H. D., Neill, S., Lakhanpaul, M., Roland, D., Singlehurst-Mooney, H. &amp; Thompson, M. (2014). Information Needs of Parents for Acute Childhood Illness: Determining ‘What, How, Where and When’ of Safety Netting Using a Qualitative Exploration with Parents and Clinicians. </w:t>
      </w:r>
      <w:r w:rsidRPr="00161CFB">
        <w:rPr>
          <w:i/>
        </w:rPr>
        <w:t>BMJ Open,</w:t>
      </w:r>
      <w:r w:rsidRPr="00161CFB">
        <w:t xml:space="preserve"> 4(1)</w:t>
      </w:r>
      <w:r w:rsidRPr="00161CFB">
        <w:rPr>
          <w:b/>
        </w:rPr>
        <w:t>,</w:t>
      </w:r>
      <w:r w:rsidRPr="00161CFB">
        <w:t xml:space="preserve"> e003874. 10.1136/bmjopen-2013-003874.</w:t>
      </w:r>
    </w:p>
    <w:p w14:paraId="4080E947" w14:textId="77777777" w:rsidR="00161CFB" w:rsidRPr="00161CFB" w:rsidRDefault="00161CFB" w:rsidP="00161CFB">
      <w:pPr>
        <w:pStyle w:val="EndNoteBibliography"/>
        <w:spacing w:after="0"/>
        <w:ind w:left="720" w:hanging="720"/>
      </w:pPr>
      <w:r w:rsidRPr="00161CFB">
        <w:t xml:space="preserve">Roland, D., Jones, C., Neill, S., Thompson, M. &amp; Lakhanpaul, M. (2014). Safety Netting in Healthcare Settings: What It Means, and for Whom? </w:t>
      </w:r>
      <w:r w:rsidRPr="00161CFB">
        <w:rPr>
          <w:i/>
        </w:rPr>
        <w:t>Archives of disease in childhood - Education &amp;amp;amp; practice edition,</w:t>
      </w:r>
      <w:r w:rsidRPr="00161CFB">
        <w:t xml:space="preserve"> 99(2)</w:t>
      </w:r>
      <w:r w:rsidRPr="00161CFB">
        <w:rPr>
          <w:b/>
        </w:rPr>
        <w:t>,</w:t>
      </w:r>
      <w:r w:rsidRPr="00161CFB">
        <w:t xml:space="preserve"> 48. 10.1136/archdischild-2012-303056.</w:t>
      </w:r>
    </w:p>
    <w:p w14:paraId="56403773" w14:textId="77777777" w:rsidR="00161CFB" w:rsidRPr="00161CFB" w:rsidRDefault="00161CFB" w:rsidP="00161CFB">
      <w:pPr>
        <w:pStyle w:val="EndNoteBibliography"/>
        <w:spacing w:after="0"/>
        <w:ind w:left="720" w:hanging="720"/>
      </w:pPr>
      <w:r w:rsidRPr="00161CFB">
        <w:t>Tudor, S. (2024). Digital Exclusion in the UK: Communications and Digital Committee Report. London: UK Parliment.</w:t>
      </w:r>
    </w:p>
    <w:p w14:paraId="4C18B6D6" w14:textId="77777777" w:rsidR="00161CFB" w:rsidRPr="00161CFB" w:rsidRDefault="00161CFB" w:rsidP="00161CFB">
      <w:pPr>
        <w:pStyle w:val="EndNoteBibliography"/>
        <w:spacing w:after="0"/>
        <w:ind w:left="720" w:hanging="720"/>
      </w:pPr>
      <w:r w:rsidRPr="00161CFB">
        <w:t xml:space="preserve">Wannheden, C., Hagman, J., Riggare, S., Pukk Härenstam, K. &amp; Fernholm, R. (2024). Safety-Netting Strategies for Primary and Emergency Care: A Codesign Study with Patients, Carers and Clinicians in Sweden. </w:t>
      </w:r>
      <w:r w:rsidRPr="00161CFB">
        <w:rPr>
          <w:i/>
        </w:rPr>
        <w:t>BMJ Open,</w:t>
      </w:r>
      <w:r w:rsidRPr="00161CFB">
        <w:t xml:space="preserve"> 14(8)</w:t>
      </w:r>
      <w:r w:rsidRPr="00161CFB">
        <w:rPr>
          <w:b/>
        </w:rPr>
        <w:t>,</w:t>
      </w:r>
      <w:r w:rsidRPr="00161CFB">
        <w:t xml:space="preserve"> e089224. 10.1136/bmjopen-2024-089224.</w:t>
      </w:r>
    </w:p>
    <w:p w14:paraId="6BE218E5" w14:textId="77777777" w:rsidR="00161CFB" w:rsidRPr="00161CFB" w:rsidRDefault="00161CFB" w:rsidP="00161CFB">
      <w:pPr>
        <w:pStyle w:val="EndNoteBibliography"/>
        <w:ind w:left="720" w:hanging="720"/>
      </w:pPr>
      <w:r w:rsidRPr="00161CFB">
        <w:t xml:space="preserve">Yen, P. H. &amp; Leasure, A. R. (2019). Use and Effectiveness of the Teach-Back Method in Patient Education and Health Outcomes. </w:t>
      </w:r>
      <w:r w:rsidRPr="00161CFB">
        <w:rPr>
          <w:i/>
        </w:rPr>
        <w:t>Federal Practitioner,</w:t>
      </w:r>
      <w:r w:rsidRPr="00161CFB">
        <w:t xml:space="preserve"> 36</w:t>
      </w:r>
      <w:r w:rsidRPr="00161CFB">
        <w:rPr>
          <w:b/>
        </w:rPr>
        <w:t>,</w:t>
      </w:r>
      <w:r w:rsidRPr="00161CFB">
        <w:t xml:space="preserve"> 284–289.</w:t>
      </w:r>
    </w:p>
    <w:p w14:paraId="031B0B9E" w14:textId="116F4517" w:rsidR="00BE001A" w:rsidRPr="00A13833" w:rsidRDefault="00BE001A" w:rsidP="00FF53BA">
      <w:pPr>
        <w:jc w:val="both"/>
        <w:rPr>
          <w:rFonts w:ascii="Arial" w:hAnsi="Arial" w:cs="Arial"/>
          <w:sz w:val="24"/>
          <w:szCs w:val="24"/>
          <w:u w:val="single"/>
        </w:rPr>
      </w:pPr>
    </w:p>
    <w:sectPr w:rsidR="00BE001A" w:rsidRPr="00A13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87C8E"/>
    <w:multiLevelType w:val="hybridMultilevel"/>
    <w:tmpl w:val="2DCE8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CAD178"/>
    <w:multiLevelType w:val="hybridMultilevel"/>
    <w:tmpl w:val="1A8E0FE8"/>
    <w:lvl w:ilvl="0" w:tplc="8CBEE38C">
      <w:start w:val="1"/>
      <w:numFmt w:val="bullet"/>
      <w:lvlText w:val=""/>
      <w:lvlJc w:val="left"/>
      <w:pPr>
        <w:ind w:left="720" w:hanging="360"/>
      </w:pPr>
      <w:rPr>
        <w:rFonts w:ascii="Symbol" w:hAnsi="Symbol" w:hint="default"/>
      </w:rPr>
    </w:lvl>
    <w:lvl w:ilvl="1" w:tplc="0FCC5EA6">
      <w:start w:val="1"/>
      <w:numFmt w:val="bullet"/>
      <w:lvlText w:val="o"/>
      <w:lvlJc w:val="left"/>
      <w:pPr>
        <w:ind w:left="1440" w:hanging="360"/>
      </w:pPr>
      <w:rPr>
        <w:rFonts w:ascii="Courier New" w:hAnsi="Courier New" w:hint="default"/>
      </w:rPr>
    </w:lvl>
    <w:lvl w:ilvl="2" w:tplc="9B56AA84">
      <w:start w:val="1"/>
      <w:numFmt w:val="bullet"/>
      <w:lvlText w:val=""/>
      <w:lvlJc w:val="left"/>
      <w:pPr>
        <w:ind w:left="2160" w:hanging="360"/>
      </w:pPr>
      <w:rPr>
        <w:rFonts w:ascii="Wingdings" w:hAnsi="Wingdings" w:hint="default"/>
      </w:rPr>
    </w:lvl>
    <w:lvl w:ilvl="3" w:tplc="F43AFEEA">
      <w:start w:val="1"/>
      <w:numFmt w:val="bullet"/>
      <w:lvlText w:val=""/>
      <w:lvlJc w:val="left"/>
      <w:pPr>
        <w:ind w:left="2880" w:hanging="360"/>
      </w:pPr>
      <w:rPr>
        <w:rFonts w:ascii="Symbol" w:hAnsi="Symbol" w:hint="default"/>
      </w:rPr>
    </w:lvl>
    <w:lvl w:ilvl="4" w:tplc="0E90E694">
      <w:start w:val="1"/>
      <w:numFmt w:val="bullet"/>
      <w:lvlText w:val="o"/>
      <w:lvlJc w:val="left"/>
      <w:pPr>
        <w:ind w:left="3600" w:hanging="360"/>
      </w:pPr>
      <w:rPr>
        <w:rFonts w:ascii="Courier New" w:hAnsi="Courier New" w:hint="default"/>
      </w:rPr>
    </w:lvl>
    <w:lvl w:ilvl="5" w:tplc="50622996">
      <w:start w:val="1"/>
      <w:numFmt w:val="bullet"/>
      <w:lvlText w:val=""/>
      <w:lvlJc w:val="left"/>
      <w:pPr>
        <w:ind w:left="4320" w:hanging="360"/>
      </w:pPr>
      <w:rPr>
        <w:rFonts w:ascii="Wingdings" w:hAnsi="Wingdings" w:hint="default"/>
      </w:rPr>
    </w:lvl>
    <w:lvl w:ilvl="6" w:tplc="E0C448B0">
      <w:start w:val="1"/>
      <w:numFmt w:val="bullet"/>
      <w:lvlText w:val=""/>
      <w:lvlJc w:val="left"/>
      <w:pPr>
        <w:ind w:left="5040" w:hanging="360"/>
      </w:pPr>
      <w:rPr>
        <w:rFonts w:ascii="Symbol" w:hAnsi="Symbol" w:hint="default"/>
      </w:rPr>
    </w:lvl>
    <w:lvl w:ilvl="7" w:tplc="D7BE4F5E">
      <w:start w:val="1"/>
      <w:numFmt w:val="bullet"/>
      <w:lvlText w:val="o"/>
      <w:lvlJc w:val="left"/>
      <w:pPr>
        <w:ind w:left="5760" w:hanging="360"/>
      </w:pPr>
      <w:rPr>
        <w:rFonts w:ascii="Courier New" w:hAnsi="Courier New" w:hint="default"/>
      </w:rPr>
    </w:lvl>
    <w:lvl w:ilvl="8" w:tplc="3FC26040">
      <w:start w:val="1"/>
      <w:numFmt w:val="bullet"/>
      <w:lvlText w:val=""/>
      <w:lvlJc w:val="left"/>
      <w:pPr>
        <w:ind w:left="6480" w:hanging="360"/>
      </w:pPr>
      <w:rPr>
        <w:rFonts w:ascii="Wingdings" w:hAnsi="Wingdings" w:hint="default"/>
      </w:rPr>
    </w:lvl>
  </w:abstractNum>
  <w:abstractNum w:abstractNumId="2" w15:restartNumberingAfterBreak="0">
    <w:nsid w:val="722B26F0"/>
    <w:multiLevelType w:val="hybridMultilevel"/>
    <w:tmpl w:val="F022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20E58"/>
    <w:multiLevelType w:val="hybridMultilevel"/>
    <w:tmpl w:val="87DA1E40"/>
    <w:lvl w:ilvl="0" w:tplc="FEDE0F62">
      <w:start w:val="1"/>
      <w:numFmt w:val="bullet"/>
      <w:lvlText w:val=""/>
      <w:lvlJc w:val="left"/>
      <w:pPr>
        <w:ind w:left="720" w:hanging="360"/>
      </w:pPr>
      <w:rPr>
        <w:rFonts w:ascii="Symbol" w:hAnsi="Symbol" w:hint="default"/>
      </w:rPr>
    </w:lvl>
    <w:lvl w:ilvl="1" w:tplc="88827AB8">
      <w:start w:val="1"/>
      <w:numFmt w:val="bullet"/>
      <w:lvlText w:val="o"/>
      <w:lvlJc w:val="left"/>
      <w:pPr>
        <w:ind w:left="1440" w:hanging="360"/>
      </w:pPr>
      <w:rPr>
        <w:rFonts w:ascii="Courier New" w:hAnsi="Courier New" w:hint="default"/>
      </w:rPr>
    </w:lvl>
    <w:lvl w:ilvl="2" w:tplc="6C00CAD8">
      <w:start w:val="1"/>
      <w:numFmt w:val="bullet"/>
      <w:lvlText w:val=""/>
      <w:lvlJc w:val="left"/>
      <w:pPr>
        <w:ind w:left="2160" w:hanging="360"/>
      </w:pPr>
      <w:rPr>
        <w:rFonts w:ascii="Wingdings" w:hAnsi="Wingdings" w:hint="default"/>
      </w:rPr>
    </w:lvl>
    <w:lvl w:ilvl="3" w:tplc="4FF49824">
      <w:start w:val="1"/>
      <w:numFmt w:val="bullet"/>
      <w:lvlText w:val=""/>
      <w:lvlJc w:val="left"/>
      <w:pPr>
        <w:ind w:left="2880" w:hanging="360"/>
      </w:pPr>
      <w:rPr>
        <w:rFonts w:ascii="Symbol" w:hAnsi="Symbol" w:hint="default"/>
      </w:rPr>
    </w:lvl>
    <w:lvl w:ilvl="4" w:tplc="382EA238">
      <w:start w:val="1"/>
      <w:numFmt w:val="bullet"/>
      <w:lvlText w:val="o"/>
      <w:lvlJc w:val="left"/>
      <w:pPr>
        <w:ind w:left="3600" w:hanging="360"/>
      </w:pPr>
      <w:rPr>
        <w:rFonts w:ascii="Courier New" w:hAnsi="Courier New" w:hint="default"/>
      </w:rPr>
    </w:lvl>
    <w:lvl w:ilvl="5" w:tplc="CB0C1D86">
      <w:start w:val="1"/>
      <w:numFmt w:val="bullet"/>
      <w:lvlText w:val=""/>
      <w:lvlJc w:val="left"/>
      <w:pPr>
        <w:ind w:left="4320" w:hanging="360"/>
      </w:pPr>
      <w:rPr>
        <w:rFonts w:ascii="Wingdings" w:hAnsi="Wingdings" w:hint="default"/>
      </w:rPr>
    </w:lvl>
    <w:lvl w:ilvl="6" w:tplc="1794EBA8">
      <w:start w:val="1"/>
      <w:numFmt w:val="bullet"/>
      <w:lvlText w:val=""/>
      <w:lvlJc w:val="left"/>
      <w:pPr>
        <w:ind w:left="5040" w:hanging="360"/>
      </w:pPr>
      <w:rPr>
        <w:rFonts w:ascii="Symbol" w:hAnsi="Symbol" w:hint="default"/>
      </w:rPr>
    </w:lvl>
    <w:lvl w:ilvl="7" w:tplc="1BBA2534">
      <w:start w:val="1"/>
      <w:numFmt w:val="bullet"/>
      <w:lvlText w:val="o"/>
      <w:lvlJc w:val="left"/>
      <w:pPr>
        <w:ind w:left="5760" w:hanging="360"/>
      </w:pPr>
      <w:rPr>
        <w:rFonts w:ascii="Courier New" w:hAnsi="Courier New" w:hint="default"/>
      </w:rPr>
    </w:lvl>
    <w:lvl w:ilvl="8" w:tplc="BAA608D8">
      <w:start w:val="1"/>
      <w:numFmt w:val="bullet"/>
      <w:lvlText w:val=""/>
      <w:lvlJc w:val="left"/>
      <w:pPr>
        <w:ind w:left="6480" w:hanging="360"/>
      </w:pPr>
      <w:rPr>
        <w:rFonts w:ascii="Wingdings" w:hAnsi="Wingdings" w:hint="default"/>
      </w:rPr>
    </w:lvl>
  </w:abstractNum>
  <w:num w:numId="1" w16cid:durableId="1034889171">
    <w:abstractNumId w:val="3"/>
  </w:num>
  <w:num w:numId="2" w16cid:durableId="8913521">
    <w:abstractNumId w:val="1"/>
  </w:num>
  <w:num w:numId="3" w16cid:durableId="526259275">
    <w:abstractNumId w:val="0"/>
  </w:num>
  <w:num w:numId="4" w16cid:durableId="714424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 Journal&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xdpptxaw2tr4eva0ppsw54zftxw0p5a9as&quot;&gt;My EndNote Library Copy&lt;record-ids&gt;&lt;item&gt;67319&lt;/item&gt;&lt;item&gt;67320&lt;/item&gt;&lt;item&gt;67321&lt;/item&gt;&lt;item&gt;67323&lt;/item&gt;&lt;item&gt;67324&lt;/item&gt;&lt;item&gt;67325&lt;/item&gt;&lt;item&gt;67326&lt;/item&gt;&lt;/record-ids&gt;&lt;/item&gt;&lt;/Libraries&gt;"/>
  </w:docVars>
  <w:rsids>
    <w:rsidRoot w:val="00F80D7A"/>
    <w:rsid w:val="00004F98"/>
    <w:rsid w:val="00017CB9"/>
    <w:rsid w:val="00020E8E"/>
    <w:rsid w:val="00037285"/>
    <w:rsid w:val="00041267"/>
    <w:rsid w:val="00053932"/>
    <w:rsid w:val="00075239"/>
    <w:rsid w:val="000771D6"/>
    <w:rsid w:val="000979B4"/>
    <w:rsid w:val="000B03F6"/>
    <w:rsid w:val="000B5E06"/>
    <w:rsid w:val="000C78AE"/>
    <w:rsid w:val="000D4571"/>
    <w:rsid w:val="000E67B1"/>
    <w:rsid w:val="000E7D2F"/>
    <w:rsid w:val="00102912"/>
    <w:rsid w:val="0011127A"/>
    <w:rsid w:val="0012201A"/>
    <w:rsid w:val="001304FA"/>
    <w:rsid w:val="00131DC7"/>
    <w:rsid w:val="00140646"/>
    <w:rsid w:val="00161CFB"/>
    <w:rsid w:val="001662A3"/>
    <w:rsid w:val="001B1040"/>
    <w:rsid w:val="001B2660"/>
    <w:rsid w:val="001C53B9"/>
    <w:rsid w:val="001D2505"/>
    <w:rsid w:val="00224DE0"/>
    <w:rsid w:val="002564F3"/>
    <w:rsid w:val="0027718A"/>
    <w:rsid w:val="00277604"/>
    <w:rsid w:val="002841C4"/>
    <w:rsid w:val="002B53EA"/>
    <w:rsid w:val="002E2FD2"/>
    <w:rsid w:val="002F4FC4"/>
    <w:rsid w:val="00311813"/>
    <w:rsid w:val="00315E17"/>
    <w:rsid w:val="00315F39"/>
    <w:rsid w:val="003360F6"/>
    <w:rsid w:val="0037036F"/>
    <w:rsid w:val="00373411"/>
    <w:rsid w:val="00393D98"/>
    <w:rsid w:val="003A02EC"/>
    <w:rsid w:val="003D0D9E"/>
    <w:rsid w:val="003D1661"/>
    <w:rsid w:val="003E504E"/>
    <w:rsid w:val="003E5D7C"/>
    <w:rsid w:val="00400787"/>
    <w:rsid w:val="00405250"/>
    <w:rsid w:val="0041771D"/>
    <w:rsid w:val="0043082A"/>
    <w:rsid w:val="00434E62"/>
    <w:rsid w:val="00442B67"/>
    <w:rsid w:val="004515B6"/>
    <w:rsid w:val="00452ED7"/>
    <w:rsid w:val="00457CE8"/>
    <w:rsid w:val="004C4545"/>
    <w:rsid w:val="004D6BFF"/>
    <w:rsid w:val="004F5738"/>
    <w:rsid w:val="00520A20"/>
    <w:rsid w:val="00521659"/>
    <w:rsid w:val="00533C06"/>
    <w:rsid w:val="00542DF3"/>
    <w:rsid w:val="00553335"/>
    <w:rsid w:val="00566EF0"/>
    <w:rsid w:val="00575DCB"/>
    <w:rsid w:val="00583710"/>
    <w:rsid w:val="00584064"/>
    <w:rsid w:val="00595E41"/>
    <w:rsid w:val="005B0D0B"/>
    <w:rsid w:val="005B7A2D"/>
    <w:rsid w:val="005D0616"/>
    <w:rsid w:val="005D4AFC"/>
    <w:rsid w:val="005D6FC3"/>
    <w:rsid w:val="005E2B6F"/>
    <w:rsid w:val="005E3C85"/>
    <w:rsid w:val="00626BED"/>
    <w:rsid w:val="00633869"/>
    <w:rsid w:val="00656D6C"/>
    <w:rsid w:val="006637C0"/>
    <w:rsid w:val="006768CA"/>
    <w:rsid w:val="006860E6"/>
    <w:rsid w:val="006869C7"/>
    <w:rsid w:val="00693CBB"/>
    <w:rsid w:val="00695579"/>
    <w:rsid w:val="006D69DF"/>
    <w:rsid w:val="006E18D5"/>
    <w:rsid w:val="006E503F"/>
    <w:rsid w:val="00706E5F"/>
    <w:rsid w:val="007071CD"/>
    <w:rsid w:val="00716FB5"/>
    <w:rsid w:val="007411B9"/>
    <w:rsid w:val="00753FC8"/>
    <w:rsid w:val="007578D5"/>
    <w:rsid w:val="0076368E"/>
    <w:rsid w:val="007813CE"/>
    <w:rsid w:val="00801D78"/>
    <w:rsid w:val="0081079F"/>
    <w:rsid w:val="008414C2"/>
    <w:rsid w:val="00844241"/>
    <w:rsid w:val="00846342"/>
    <w:rsid w:val="00867AA9"/>
    <w:rsid w:val="008B6778"/>
    <w:rsid w:val="008C78CB"/>
    <w:rsid w:val="008F09B3"/>
    <w:rsid w:val="00917CF9"/>
    <w:rsid w:val="00927D77"/>
    <w:rsid w:val="00943490"/>
    <w:rsid w:val="00965618"/>
    <w:rsid w:val="009B1A82"/>
    <w:rsid w:val="00A0530D"/>
    <w:rsid w:val="00A10B84"/>
    <w:rsid w:val="00A13833"/>
    <w:rsid w:val="00A1737A"/>
    <w:rsid w:val="00A35C04"/>
    <w:rsid w:val="00A43111"/>
    <w:rsid w:val="00AA3CF4"/>
    <w:rsid w:val="00AC25CE"/>
    <w:rsid w:val="00AC2D26"/>
    <w:rsid w:val="00AC44A4"/>
    <w:rsid w:val="00B82DCD"/>
    <w:rsid w:val="00BA17AE"/>
    <w:rsid w:val="00BA277F"/>
    <w:rsid w:val="00BD65B1"/>
    <w:rsid w:val="00BE001A"/>
    <w:rsid w:val="00BF701B"/>
    <w:rsid w:val="00C0008E"/>
    <w:rsid w:val="00C203FC"/>
    <w:rsid w:val="00C402A1"/>
    <w:rsid w:val="00C62DF4"/>
    <w:rsid w:val="00C7032F"/>
    <w:rsid w:val="00C70A55"/>
    <w:rsid w:val="00C919A0"/>
    <w:rsid w:val="00C97018"/>
    <w:rsid w:val="00CA29DD"/>
    <w:rsid w:val="00CB22AF"/>
    <w:rsid w:val="00CB2BB8"/>
    <w:rsid w:val="00CE66B7"/>
    <w:rsid w:val="00D7255B"/>
    <w:rsid w:val="00DA0D80"/>
    <w:rsid w:val="00DB3EED"/>
    <w:rsid w:val="00DF19AD"/>
    <w:rsid w:val="00DF21A9"/>
    <w:rsid w:val="00DF2ECE"/>
    <w:rsid w:val="00DF5CA6"/>
    <w:rsid w:val="00E52D4D"/>
    <w:rsid w:val="00E91222"/>
    <w:rsid w:val="00E9561B"/>
    <w:rsid w:val="00EA6FD4"/>
    <w:rsid w:val="00EB4B16"/>
    <w:rsid w:val="00EC1E18"/>
    <w:rsid w:val="00EC5DEB"/>
    <w:rsid w:val="00ED0A06"/>
    <w:rsid w:val="00ED3570"/>
    <w:rsid w:val="00EE2589"/>
    <w:rsid w:val="00EF77BE"/>
    <w:rsid w:val="00F12A65"/>
    <w:rsid w:val="00F37D1B"/>
    <w:rsid w:val="00F616B4"/>
    <w:rsid w:val="00F71A39"/>
    <w:rsid w:val="00F80D7A"/>
    <w:rsid w:val="00F923BB"/>
    <w:rsid w:val="00FA5A8D"/>
    <w:rsid w:val="00FB045C"/>
    <w:rsid w:val="00FE363A"/>
    <w:rsid w:val="00FE3BAC"/>
    <w:rsid w:val="00FF53BA"/>
    <w:rsid w:val="00FF67C1"/>
    <w:rsid w:val="0165E932"/>
    <w:rsid w:val="05A14EFD"/>
    <w:rsid w:val="0995CD11"/>
    <w:rsid w:val="09E14329"/>
    <w:rsid w:val="0A8C1601"/>
    <w:rsid w:val="0C746489"/>
    <w:rsid w:val="0F09EF6F"/>
    <w:rsid w:val="10497D4B"/>
    <w:rsid w:val="1254257F"/>
    <w:rsid w:val="162DA46B"/>
    <w:rsid w:val="165D8C22"/>
    <w:rsid w:val="1CB17A03"/>
    <w:rsid w:val="26F2F514"/>
    <w:rsid w:val="287E04A0"/>
    <w:rsid w:val="2ABD09FA"/>
    <w:rsid w:val="2CD53779"/>
    <w:rsid w:val="2F97CBF5"/>
    <w:rsid w:val="37A68410"/>
    <w:rsid w:val="3C546AC3"/>
    <w:rsid w:val="4453ADE8"/>
    <w:rsid w:val="44F4B75C"/>
    <w:rsid w:val="46F4AF33"/>
    <w:rsid w:val="48028678"/>
    <w:rsid w:val="4B4F8983"/>
    <w:rsid w:val="4C5203DB"/>
    <w:rsid w:val="4C778D35"/>
    <w:rsid w:val="4EDA9733"/>
    <w:rsid w:val="502709E2"/>
    <w:rsid w:val="59472843"/>
    <w:rsid w:val="5B2F9DE8"/>
    <w:rsid w:val="5E4134B6"/>
    <w:rsid w:val="61606C4D"/>
    <w:rsid w:val="6205F757"/>
    <w:rsid w:val="6331DFC9"/>
    <w:rsid w:val="70F5CB36"/>
    <w:rsid w:val="736F0380"/>
    <w:rsid w:val="747BBA66"/>
    <w:rsid w:val="76D53CFC"/>
    <w:rsid w:val="76D5A4D9"/>
    <w:rsid w:val="76EAC822"/>
    <w:rsid w:val="7763A5F4"/>
    <w:rsid w:val="785DB67E"/>
    <w:rsid w:val="7AFD025E"/>
    <w:rsid w:val="7D934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1D2A"/>
  <w15:chartTrackingRefBased/>
  <w15:docId w15:val="{327696B8-9862-4408-96C1-172A4E7B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D7A"/>
    <w:rPr>
      <w:rFonts w:eastAsiaTheme="majorEastAsia" w:cstheme="majorBidi"/>
      <w:color w:val="272727" w:themeColor="text1" w:themeTint="D8"/>
    </w:rPr>
  </w:style>
  <w:style w:type="paragraph" w:styleId="Title">
    <w:name w:val="Title"/>
    <w:basedOn w:val="Normal"/>
    <w:next w:val="Normal"/>
    <w:link w:val="TitleChar"/>
    <w:uiPriority w:val="10"/>
    <w:qFormat/>
    <w:rsid w:val="00F80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D7A"/>
    <w:pPr>
      <w:spacing w:before="160"/>
      <w:jc w:val="center"/>
    </w:pPr>
    <w:rPr>
      <w:i/>
      <w:iCs/>
      <w:color w:val="404040" w:themeColor="text1" w:themeTint="BF"/>
    </w:rPr>
  </w:style>
  <w:style w:type="character" w:customStyle="1" w:styleId="QuoteChar">
    <w:name w:val="Quote Char"/>
    <w:basedOn w:val="DefaultParagraphFont"/>
    <w:link w:val="Quote"/>
    <w:uiPriority w:val="29"/>
    <w:rsid w:val="00F80D7A"/>
    <w:rPr>
      <w:i/>
      <w:iCs/>
      <w:color w:val="404040" w:themeColor="text1" w:themeTint="BF"/>
    </w:rPr>
  </w:style>
  <w:style w:type="paragraph" w:styleId="ListParagraph">
    <w:name w:val="List Paragraph"/>
    <w:basedOn w:val="Normal"/>
    <w:uiPriority w:val="34"/>
    <w:qFormat/>
    <w:rsid w:val="00F80D7A"/>
    <w:pPr>
      <w:ind w:left="720"/>
      <w:contextualSpacing/>
    </w:pPr>
  </w:style>
  <w:style w:type="character" w:styleId="IntenseEmphasis">
    <w:name w:val="Intense Emphasis"/>
    <w:basedOn w:val="DefaultParagraphFont"/>
    <w:uiPriority w:val="21"/>
    <w:qFormat/>
    <w:rsid w:val="00F80D7A"/>
    <w:rPr>
      <w:i/>
      <w:iCs/>
      <w:color w:val="0F4761" w:themeColor="accent1" w:themeShade="BF"/>
    </w:rPr>
  </w:style>
  <w:style w:type="paragraph" w:styleId="IntenseQuote">
    <w:name w:val="Intense Quote"/>
    <w:basedOn w:val="Normal"/>
    <w:next w:val="Normal"/>
    <w:link w:val="IntenseQuoteChar"/>
    <w:uiPriority w:val="30"/>
    <w:qFormat/>
    <w:rsid w:val="00F80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D7A"/>
    <w:rPr>
      <w:i/>
      <w:iCs/>
      <w:color w:val="0F4761" w:themeColor="accent1" w:themeShade="BF"/>
    </w:rPr>
  </w:style>
  <w:style w:type="character" w:styleId="IntenseReference">
    <w:name w:val="Intense Reference"/>
    <w:basedOn w:val="DefaultParagraphFont"/>
    <w:uiPriority w:val="32"/>
    <w:qFormat/>
    <w:rsid w:val="00F80D7A"/>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7718A"/>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27718A"/>
    <w:rPr>
      <w:rFonts w:ascii="Aptos" w:hAnsi="Aptos"/>
      <w:noProof/>
      <w:lang w:val="en-US"/>
    </w:rPr>
  </w:style>
  <w:style w:type="paragraph" w:customStyle="1" w:styleId="EndNoteBibliography">
    <w:name w:val="EndNote Bibliography"/>
    <w:basedOn w:val="Normal"/>
    <w:link w:val="EndNoteBibliographyChar"/>
    <w:rsid w:val="0027718A"/>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27718A"/>
    <w:rPr>
      <w:rFonts w:ascii="Aptos" w:hAnsi="Aptos"/>
      <w:noProof/>
      <w:lang w:val="en-US"/>
    </w:rPr>
  </w:style>
  <w:style w:type="character" w:styleId="Hyperlink">
    <w:name w:val="Hyperlink"/>
    <w:basedOn w:val="DefaultParagraphFont"/>
    <w:uiPriority w:val="99"/>
    <w:unhideWhenUsed/>
    <w:rsid w:val="00457CE8"/>
    <w:rPr>
      <w:color w:val="467886" w:themeColor="hyperlink"/>
      <w:u w:val="single"/>
    </w:rPr>
  </w:style>
  <w:style w:type="character" w:styleId="UnresolvedMention">
    <w:name w:val="Unresolved Mention"/>
    <w:basedOn w:val="DefaultParagraphFont"/>
    <w:uiPriority w:val="99"/>
    <w:semiHidden/>
    <w:unhideWhenUsed/>
    <w:rsid w:val="00457CE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D0D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tient.info/" TargetMode="External"/><Relationship Id="rId3" Type="http://schemas.openxmlformats.org/officeDocument/2006/relationships/styles" Target="styles.xml"/><Relationship Id="rId7" Type="http://schemas.openxmlformats.org/officeDocument/2006/relationships/hyperlink" Target="https://www.health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hs.uk/condi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E14A-1ECA-479A-A295-CC19B31C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Gorick (HSC - Postgraduate Researcher)</dc:creator>
  <cp:keywords/>
  <dc:description/>
  <cp:lastModifiedBy>Hugh Gorick (HSC - Postgraduate Researcher)</cp:lastModifiedBy>
  <cp:revision>4</cp:revision>
  <dcterms:created xsi:type="dcterms:W3CDTF">2025-04-16T12:34:00Z</dcterms:created>
  <dcterms:modified xsi:type="dcterms:W3CDTF">2025-04-16T12:35:00Z</dcterms:modified>
</cp:coreProperties>
</file>