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9F9D4" w14:textId="77777777" w:rsidR="00E23866" w:rsidRDefault="00E23866" w:rsidP="00E23866">
      <w:pPr>
        <w:spacing w:line="480" w:lineRule="auto"/>
        <w:jc w:val="center"/>
        <w:rPr>
          <w:rFonts w:ascii="Times New Roman" w:hAnsi="Times New Roman" w:cs="Times New Roman"/>
          <w:sz w:val="24"/>
          <w:szCs w:val="24"/>
        </w:rPr>
      </w:pPr>
      <w:r w:rsidRPr="00575918">
        <w:rPr>
          <w:rFonts w:ascii="Times New Roman" w:hAnsi="Times New Roman" w:cs="Times New Roman"/>
          <w:b/>
          <w:sz w:val="24"/>
        </w:rPr>
        <w:t>Title:</w:t>
      </w:r>
      <w:r w:rsidRPr="00575918">
        <w:rPr>
          <w:rFonts w:ascii="Arial" w:hAnsi="Arial" w:cs="Arial"/>
          <w:b/>
          <w:sz w:val="24"/>
        </w:rPr>
        <w:t xml:space="preserve"> </w:t>
      </w:r>
      <w:r w:rsidRPr="00037B09">
        <w:rPr>
          <w:rFonts w:ascii="Times New Roman" w:hAnsi="Times New Roman" w:cs="Times New Roman"/>
          <w:b/>
          <w:sz w:val="24"/>
          <w:szCs w:val="24"/>
        </w:rPr>
        <w:t>Characteristics of young people referred for treatment of depression and anxiety in a school-based mental health service</w:t>
      </w:r>
    </w:p>
    <w:p w14:paraId="6B320D7C" w14:textId="77777777" w:rsidR="00E23866" w:rsidRPr="00964673" w:rsidRDefault="00E23866" w:rsidP="00E23866">
      <w:pPr>
        <w:jc w:val="center"/>
        <w:rPr>
          <w:rFonts w:ascii="Arial" w:hAnsi="Arial" w:cs="Arial"/>
          <w:b/>
        </w:rPr>
      </w:pPr>
    </w:p>
    <w:p w14:paraId="7A3C3538" w14:textId="77777777" w:rsidR="00E23866" w:rsidRPr="0016002B" w:rsidRDefault="00E23866" w:rsidP="00E23866">
      <w:pPr>
        <w:pStyle w:val="Header"/>
        <w:jc w:val="center"/>
        <w:rPr>
          <w:rFonts w:ascii="Times New Roman" w:hAnsi="Times New Roman" w:cs="Times New Roman"/>
          <w:sz w:val="24"/>
        </w:rPr>
      </w:pPr>
      <w:r>
        <w:rPr>
          <w:rFonts w:ascii="Times New Roman" w:hAnsi="Times New Roman" w:cs="Times New Roman"/>
          <w:sz w:val="24"/>
        </w:rPr>
        <w:t xml:space="preserve">Short Title: </w:t>
      </w:r>
      <w:r w:rsidRPr="0016002B">
        <w:rPr>
          <w:rFonts w:ascii="Times New Roman" w:hAnsi="Times New Roman" w:cs="Times New Roman"/>
          <w:sz w:val="24"/>
        </w:rPr>
        <w:t>REFERRALS</w:t>
      </w:r>
      <w:r>
        <w:rPr>
          <w:rFonts w:ascii="Times New Roman" w:hAnsi="Times New Roman" w:cs="Times New Roman"/>
          <w:sz w:val="24"/>
        </w:rPr>
        <w:t xml:space="preserve"> TO SCHOOL MENTAL HEALTH SERVICE</w:t>
      </w:r>
    </w:p>
    <w:p w14:paraId="72D2AA30" w14:textId="77777777" w:rsidR="00E23866" w:rsidRPr="00964673" w:rsidRDefault="00E23866" w:rsidP="00E23866">
      <w:pPr>
        <w:rPr>
          <w:rFonts w:ascii="Arial" w:hAnsi="Arial" w:cs="Arial"/>
          <w:sz w:val="28"/>
        </w:rPr>
      </w:pPr>
    </w:p>
    <w:p w14:paraId="16D7F597" w14:textId="77777777" w:rsidR="00E23866" w:rsidRPr="004E13ED" w:rsidRDefault="00E23866" w:rsidP="00E23866">
      <w:pPr>
        <w:spacing w:after="0" w:line="480" w:lineRule="auto"/>
        <w:rPr>
          <w:rFonts w:ascii="Times New Roman" w:hAnsi="Times New Roman" w:cs="Times New Roman"/>
          <w:sz w:val="24"/>
          <w:szCs w:val="24"/>
        </w:rPr>
      </w:pPr>
      <w:r w:rsidRPr="004E13ED">
        <w:rPr>
          <w:rFonts w:ascii="Times New Roman" w:hAnsi="Times New Roman" w:cs="Times New Roman"/>
          <w:sz w:val="24"/>
          <w:szCs w:val="24"/>
        </w:rPr>
        <w:t>Emilia Robinson</w:t>
      </w:r>
      <w:r w:rsidRPr="004E13ED">
        <w:rPr>
          <w:rFonts w:ascii="Times New Roman" w:hAnsi="Times New Roman" w:cs="Times New Roman"/>
          <w:sz w:val="24"/>
          <w:szCs w:val="24"/>
          <w:vertAlign w:val="superscript"/>
        </w:rPr>
        <w:t>1</w:t>
      </w:r>
      <w:r w:rsidRPr="004E13ED">
        <w:rPr>
          <w:rFonts w:ascii="Times New Roman" w:hAnsi="Times New Roman" w:cs="Times New Roman"/>
          <w:sz w:val="24"/>
          <w:szCs w:val="24"/>
        </w:rPr>
        <w:t>, Chloe Chapman</w:t>
      </w:r>
      <w:r>
        <w:rPr>
          <w:rFonts w:ascii="Times New Roman" w:hAnsi="Times New Roman" w:cs="Times New Roman"/>
          <w:sz w:val="24"/>
          <w:szCs w:val="24"/>
          <w:vertAlign w:val="superscript"/>
        </w:rPr>
        <w:t>1</w:t>
      </w:r>
      <w:r w:rsidRPr="004E13ED">
        <w:rPr>
          <w:rFonts w:ascii="Times New Roman" w:hAnsi="Times New Roman" w:cs="Times New Roman"/>
          <w:sz w:val="24"/>
          <w:szCs w:val="24"/>
        </w:rPr>
        <w:t>, Faith Orchard</w:t>
      </w:r>
      <w:r>
        <w:rPr>
          <w:rFonts w:ascii="Times New Roman" w:hAnsi="Times New Roman" w:cs="Times New Roman"/>
          <w:sz w:val="24"/>
          <w:szCs w:val="24"/>
          <w:vertAlign w:val="superscript"/>
        </w:rPr>
        <w:t>3</w:t>
      </w:r>
      <w:r>
        <w:rPr>
          <w:rFonts w:ascii="Times New Roman" w:hAnsi="Times New Roman" w:cs="Times New Roman"/>
          <w:sz w:val="24"/>
          <w:szCs w:val="24"/>
        </w:rPr>
        <w:t>, Clare Dixon</w:t>
      </w:r>
      <w:r>
        <w:rPr>
          <w:rFonts w:ascii="Times New Roman" w:hAnsi="Times New Roman" w:cs="Times New Roman"/>
          <w:sz w:val="24"/>
          <w:szCs w:val="24"/>
          <w:vertAlign w:val="superscript"/>
        </w:rPr>
        <w:t xml:space="preserve">1 </w:t>
      </w:r>
      <w:r w:rsidRPr="004E13ED">
        <w:rPr>
          <w:rFonts w:ascii="Times New Roman" w:hAnsi="Times New Roman" w:cs="Times New Roman"/>
          <w:sz w:val="24"/>
          <w:szCs w:val="24"/>
        </w:rPr>
        <w:t xml:space="preserve">and Mary </w:t>
      </w:r>
      <w:r w:rsidRPr="001355E3">
        <w:rPr>
          <w:rFonts w:ascii="Times New Roman" w:hAnsi="Times New Roman" w:cs="Times New Roman"/>
          <w:sz w:val="24"/>
          <w:szCs w:val="24"/>
        </w:rPr>
        <w:t>John</w:t>
      </w:r>
      <w:r>
        <w:rPr>
          <w:rFonts w:ascii="Times New Roman" w:hAnsi="Times New Roman" w:cs="Times New Roman"/>
          <w:sz w:val="24"/>
          <w:szCs w:val="24"/>
          <w:vertAlign w:val="superscript"/>
        </w:rPr>
        <w:t>1, 4</w:t>
      </w:r>
    </w:p>
    <w:p w14:paraId="75F568F6" w14:textId="77777777" w:rsidR="00E23866" w:rsidRDefault="00E23866" w:rsidP="00E23866">
      <w:pPr>
        <w:pStyle w:val="ListParagraph"/>
        <w:numPr>
          <w:ilvl w:val="0"/>
          <w:numId w:val="25"/>
        </w:numPr>
        <w:spacing w:after="0" w:line="480" w:lineRule="auto"/>
        <w:rPr>
          <w:rFonts w:ascii="Times New Roman" w:hAnsi="Times New Roman" w:cs="Times New Roman"/>
          <w:sz w:val="24"/>
          <w:szCs w:val="24"/>
        </w:rPr>
      </w:pPr>
      <w:bookmarkStart w:id="0" w:name="_Hlk165366119"/>
      <w:r w:rsidRPr="004E13ED">
        <w:rPr>
          <w:rFonts w:ascii="Times New Roman" w:hAnsi="Times New Roman" w:cs="Times New Roman"/>
          <w:sz w:val="24"/>
          <w:szCs w:val="24"/>
        </w:rPr>
        <w:t xml:space="preserve">Sussex Partnership NHS Foundation Trust, </w:t>
      </w:r>
      <w:r>
        <w:rPr>
          <w:rFonts w:ascii="Times New Roman" w:hAnsi="Times New Roman" w:cs="Times New Roman"/>
          <w:sz w:val="24"/>
          <w:szCs w:val="24"/>
        </w:rPr>
        <w:t>Portland House</w:t>
      </w:r>
      <w:r w:rsidRPr="004E13ED">
        <w:rPr>
          <w:rFonts w:ascii="Times New Roman" w:hAnsi="Times New Roman" w:cs="Times New Roman"/>
          <w:sz w:val="24"/>
          <w:szCs w:val="24"/>
        </w:rPr>
        <w:t xml:space="preserve">, </w:t>
      </w:r>
      <w:r>
        <w:rPr>
          <w:rFonts w:ascii="Times New Roman" w:hAnsi="Times New Roman" w:cs="Times New Roman"/>
          <w:sz w:val="24"/>
          <w:szCs w:val="24"/>
        </w:rPr>
        <w:t>Richmond</w:t>
      </w:r>
      <w:r w:rsidRPr="004E13ED">
        <w:rPr>
          <w:rFonts w:ascii="Times New Roman" w:hAnsi="Times New Roman" w:cs="Times New Roman"/>
          <w:sz w:val="24"/>
          <w:szCs w:val="24"/>
        </w:rPr>
        <w:t xml:space="preserve"> Road, Worthing, West Sussex, BN1</w:t>
      </w:r>
      <w:r>
        <w:rPr>
          <w:rFonts w:ascii="Times New Roman" w:hAnsi="Times New Roman" w:cs="Times New Roman"/>
          <w:sz w:val="24"/>
          <w:szCs w:val="24"/>
        </w:rPr>
        <w:t>1</w:t>
      </w:r>
      <w:r w:rsidRPr="004E13ED">
        <w:rPr>
          <w:rFonts w:ascii="Times New Roman" w:hAnsi="Times New Roman" w:cs="Times New Roman"/>
          <w:sz w:val="24"/>
          <w:szCs w:val="24"/>
        </w:rPr>
        <w:t xml:space="preserve"> </w:t>
      </w:r>
      <w:r>
        <w:rPr>
          <w:rFonts w:ascii="Times New Roman" w:hAnsi="Times New Roman" w:cs="Times New Roman"/>
          <w:sz w:val="24"/>
          <w:szCs w:val="24"/>
        </w:rPr>
        <w:t>1HS, United Kingdom</w:t>
      </w:r>
    </w:p>
    <w:bookmarkEnd w:id="0"/>
    <w:p w14:paraId="62C88DAA" w14:textId="77777777" w:rsidR="00E23866" w:rsidRPr="001E08A1" w:rsidRDefault="00E23866" w:rsidP="00E23866">
      <w:pPr>
        <w:pStyle w:val="ListParagraph"/>
        <w:numPr>
          <w:ilvl w:val="0"/>
          <w:numId w:val="25"/>
        </w:numPr>
        <w:spacing w:after="0" w:line="480" w:lineRule="auto"/>
        <w:rPr>
          <w:rFonts w:ascii="Times New Roman" w:hAnsi="Times New Roman" w:cs="Times New Roman"/>
          <w:sz w:val="24"/>
          <w:szCs w:val="24"/>
        </w:rPr>
      </w:pPr>
      <w:r w:rsidRPr="001E08A1">
        <w:rPr>
          <w:rFonts w:ascii="Times New Roman" w:hAnsi="Times New Roman" w:cs="Times New Roman"/>
          <w:sz w:val="24"/>
          <w:szCs w:val="24"/>
        </w:rPr>
        <w:t>University of Sussex, Falmer, Brighton, East Sussex, BN1 9RH, United Kingdom</w:t>
      </w:r>
    </w:p>
    <w:p w14:paraId="42EFACF7" w14:textId="77777777" w:rsidR="00E23866" w:rsidRPr="00E90DE6" w:rsidRDefault="00E23866" w:rsidP="00E23866">
      <w:pPr>
        <w:pStyle w:val="ListParagraph"/>
        <w:numPr>
          <w:ilvl w:val="0"/>
          <w:numId w:val="25"/>
        </w:numPr>
        <w:spacing w:after="0" w:line="480" w:lineRule="auto"/>
        <w:rPr>
          <w:rFonts w:ascii="Times New Roman" w:hAnsi="Times New Roman" w:cs="Times New Roman"/>
          <w:sz w:val="24"/>
          <w:szCs w:val="24"/>
        </w:rPr>
      </w:pPr>
      <w:r w:rsidRPr="004E13ED">
        <w:rPr>
          <w:rFonts w:ascii="Times New Roman" w:hAnsi="Times New Roman" w:cs="Times New Roman"/>
          <w:sz w:val="24"/>
          <w:szCs w:val="24"/>
        </w:rPr>
        <w:t>University of Surrey, Guildford, GU2 7XH</w:t>
      </w:r>
      <w:r>
        <w:rPr>
          <w:rFonts w:ascii="Times New Roman" w:hAnsi="Times New Roman" w:cs="Times New Roman"/>
          <w:sz w:val="24"/>
          <w:szCs w:val="24"/>
        </w:rPr>
        <w:t>, United Kingdom</w:t>
      </w:r>
    </w:p>
    <w:p w14:paraId="7FCB6362" w14:textId="77777777" w:rsidR="00E23866" w:rsidRDefault="00E23866" w:rsidP="00E23866">
      <w:pPr>
        <w:spacing w:after="0" w:line="480" w:lineRule="auto"/>
        <w:rPr>
          <w:rFonts w:ascii="Times New Roman" w:hAnsi="Times New Roman" w:cs="Times New Roman"/>
          <w:b/>
          <w:sz w:val="24"/>
          <w:szCs w:val="24"/>
        </w:rPr>
      </w:pPr>
    </w:p>
    <w:p w14:paraId="38B096C5" w14:textId="77777777" w:rsidR="00E23866" w:rsidRPr="00575918" w:rsidRDefault="00E23866" w:rsidP="00E23866">
      <w:pPr>
        <w:spacing w:after="0" w:line="480" w:lineRule="auto"/>
        <w:rPr>
          <w:rFonts w:ascii="Times New Roman" w:hAnsi="Times New Roman" w:cs="Times New Roman"/>
          <w:b/>
          <w:sz w:val="24"/>
          <w:szCs w:val="24"/>
        </w:rPr>
      </w:pPr>
      <w:r w:rsidRPr="00575918">
        <w:rPr>
          <w:rFonts w:ascii="Times New Roman" w:hAnsi="Times New Roman" w:cs="Times New Roman"/>
          <w:b/>
          <w:sz w:val="24"/>
          <w:szCs w:val="24"/>
        </w:rPr>
        <w:t xml:space="preserve">Corresponding author: </w:t>
      </w:r>
      <w:r w:rsidRPr="00575918">
        <w:rPr>
          <w:rFonts w:ascii="Times New Roman" w:hAnsi="Times New Roman" w:cs="Times New Roman"/>
          <w:sz w:val="24"/>
          <w:szCs w:val="24"/>
        </w:rPr>
        <w:t xml:space="preserve">Faith Orchard, University of Sussex, Falmer, Brighton, East Sussex, BN1 9RH, United Kingdom. Email: </w:t>
      </w:r>
      <w:hyperlink r:id="rId8" w:history="1">
        <w:r w:rsidRPr="00575918">
          <w:rPr>
            <w:rStyle w:val="Hyperlink"/>
            <w:rFonts w:ascii="Times New Roman" w:hAnsi="Times New Roman" w:cs="Times New Roman"/>
            <w:sz w:val="24"/>
            <w:szCs w:val="24"/>
          </w:rPr>
          <w:t>f.orchard@sussex.ac.uk</w:t>
        </w:r>
      </w:hyperlink>
      <w:r w:rsidRPr="00575918">
        <w:rPr>
          <w:rFonts w:ascii="Times New Roman" w:hAnsi="Times New Roman" w:cs="Times New Roman"/>
          <w:sz w:val="24"/>
          <w:szCs w:val="24"/>
        </w:rPr>
        <w:t xml:space="preserve"> </w:t>
      </w:r>
    </w:p>
    <w:p w14:paraId="6994DA42" w14:textId="77777777" w:rsidR="00E23866" w:rsidRPr="00964673" w:rsidRDefault="00E23866" w:rsidP="00E23866">
      <w:pPr>
        <w:rPr>
          <w:rFonts w:ascii="Arial" w:hAnsi="Arial" w:cs="Arial"/>
          <w:sz w:val="24"/>
        </w:rPr>
      </w:pPr>
    </w:p>
    <w:p w14:paraId="0E85F5E3" w14:textId="77777777" w:rsidR="00E23866" w:rsidRPr="00575918" w:rsidRDefault="00E23866" w:rsidP="00E23866">
      <w:pPr>
        <w:rPr>
          <w:rFonts w:ascii="Times New Roman" w:hAnsi="Times New Roman" w:cs="Times New Roman"/>
          <w:b/>
          <w:sz w:val="24"/>
        </w:rPr>
      </w:pPr>
      <w:r w:rsidRPr="00575918">
        <w:rPr>
          <w:rFonts w:ascii="Times New Roman" w:hAnsi="Times New Roman" w:cs="Times New Roman"/>
          <w:b/>
          <w:sz w:val="24"/>
        </w:rPr>
        <w:t>Abstract:</w:t>
      </w:r>
    </w:p>
    <w:p w14:paraId="4436CC1F" w14:textId="77777777" w:rsidR="00E23866" w:rsidRPr="00575918" w:rsidRDefault="00E23866" w:rsidP="00E23866">
      <w:pPr>
        <w:spacing w:line="480" w:lineRule="auto"/>
        <w:rPr>
          <w:rFonts w:ascii="Times New Roman" w:hAnsi="Times New Roman" w:cs="Times New Roman"/>
        </w:rPr>
      </w:pPr>
      <w:bookmarkStart w:id="1" w:name="_Hlk169681326"/>
      <w:r>
        <w:rPr>
          <w:rFonts w:ascii="Times New Roman" w:hAnsi="Times New Roman" w:cs="Times New Roman"/>
          <w:b/>
          <w:sz w:val="24"/>
          <w:szCs w:val="24"/>
        </w:rPr>
        <w:t>Objectives</w:t>
      </w:r>
      <w:r w:rsidRPr="005B75A3">
        <w:rPr>
          <w:rFonts w:ascii="Times New Roman" w:hAnsi="Times New Roman" w:cs="Times New Roman"/>
          <w:b/>
          <w:sz w:val="24"/>
          <w:szCs w:val="24"/>
        </w:rPr>
        <w:t>:</w:t>
      </w:r>
      <w:r w:rsidRPr="005B75A3">
        <w:rPr>
          <w:rFonts w:ascii="Times New Roman" w:hAnsi="Times New Roman" w:cs="Times New Roman"/>
          <w:sz w:val="24"/>
          <w:szCs w:val="24"/>
        </w:rPr>
        <w:t xml:space="preserve"> The aim of the paper was to describe referrals to a UK school-based mental health service for children and adolescents. </w:t>
      </w:r>
      <w:r w:rsidRPr="005B75A3">
        <w:rPr>
          <w:rFonts w:ascii="Times New Roman" w:hAnsi="Times New Roman" w:cs="Times New Roman"/>
          <w:b/>
          <w:sz w:val="24"/>
          <w:szCs w:val="24"/>
        </w:rPr>
        <w:t>Method</w:t>
      </w:r>
      <w:r>
        <w:rPr>
          <w:rFonts w:ascii="Times New Roman" w:hAnsi="Times New Roman" w:cs="Times New Roman"/>
          <w:b/>
          <w:sz w:val="24"/>
          <w:szCs w:val="24"/>
        </w:rPr>
        <w:t>s</w:t>
      </w:r>
      <w:r w:rsidRPr="005B75A3">
        <w:rPr>
          <w:rFonts w:ascii="Times New Roman" w:hAnsi="Times New Roman" w:cs="Times New Roman"/>
          <w:sz w:val="24"/>
          <w:szCs w:val="24"/>
        </w:rPr>
        <w:t>: Children and young people (CYP) (N = 485, aged 4-18) were referred to two M</w:t>
      </w:r>
      <w:r>
        <w:rPr>
          <w:rFonts w:ascii="Times New Roman" w:hAnsi="Times New Roman" w:cs="Times New Roman"/>
          <w:sz w:val="24"/>
          <w:szCs w:val="24"/>
        </w:rPr>
        <w:t xml:space="preserve">ental </w:t>
      </w:r>
      <w:r w:rsidRPr="005B75A3">
        <w:rPr>
          <w:rFonts w:ascii="Times New Roman" w:hAnsi="Times New Roman" w:cs="Times New Roman"/>
          <w:sz w:val="24"/>
          <w:szCs w:val="24"/>
        </w:rPr>
        <w:t>H</w:t>
      </w:r>
      <w:r>
        <w:rPr>
          <w:rFonts w:ascii="Times New Roman" w:hAnsi="Times New Roman" w:cs="Times New Roman"/>
          <w:sz w:val="24"/>
          <w:szCs w:val="24"/>
        </w:rPr>
        <w:t xml:space="preserve">ealth </w:t>
      </w:r>
      <w:r w:rsidRPr="005B75A3">
        <w:rPr>
          <w:rFonts w:ascii="Times New Roman" w:hAnsi="Times New Roman" w:cs="Times New Roman"/>
          <w:sz w:val="24"/>
          <w:szCs w:val="24"/>
        </w:rPr>
        <w:t>S</w:t>
      </w:r>
      <w:r>
        <w:rPr>
          <w:rFonts w:ascii="Times New Roman" w:hAnsi="Times New Roman" w:cs="Times New Roman"/>
          <w:sz w:val="24"/>
          <w:szCs w:val="24"/>
        </w:rPr>
        <w:t xml:space="preserve">upport </w:t>
      </w:r>
      <w:r w:rsidRPr="005B75A3">
        <w:rPr>
          <w:rFonts w:ascii="Times New Roman" w:hAnsi="Times New Roman" w:cs="Times New Roman"/>
          <w:sz w:val="24"/>
          <w:szCs w:val="24"/>
        </w:rPr>
        <w:t>T</w:t>
      </w:r>
      <w:r>
        <w:rPr>
          <w:rFonts w:ascii="Times New Roman" w:hAnsi="Times New Roman" w:cs="Times New Roman"/>
          <w:sz w:val="24"/>
          <w:szCs w:val="24"/>
        </w:rPr>
        <w:t>eam</w:t>
      </w:r>
      <w:r w:rsidRPr="005B75A3">
        <w:rPr>
          <w:rFonts w:ascii="Times New Roman" w:hAnsi="Times New Roman" w:cs="Times New Roman"/>
          <w:sz w:val="24"/>
          <w:szCs w:val="24"/>
        </w:rPr>
        <w:t xml:space="preserve"> sites in the South of England in 2021, for CBT-informed interventions for mild-to-moderate anxiety and depression. Child and parent reported outcome measures were completed pre-intervention, including measures of symptom severity and impact. </w:t>
      </w:r>
      <w:r w:rsidRPr="005B75A3">
        <w:rPr>
          <w:rFonts w:ascii="Times New Roman" w:hAnsi="Times New Roman" w:cs="Times New Roman"/>
          <w:b/>
          <w:sz w:val="24"/>
          <w:szCs w:val="24"/>
        </w:rPr>
        <w:t>Results:</w:t>
      </w:r>
      <w:r w:rsidRPr="005B75A3">
        <w:rPr>
          <w:rFonts w:ascii="Times New Roman" w:hAnsi="Times New Roman" w:cs="Times New Roman"/>
          <w:sz w:val="24"/>
          <w:szCs w:val="24"/>
        </w:rPr>
        <w:t xml:space="preserve"> Referrals consisted of 61% female, 57% secondary school age (12-18 years old) and 81% White British. Children of secondary school age self-reported significantly higher levels of anxiety (p =.003) and depression (p &lt;.001) than children of primary age. Females self-reported significantly higher levels of anxiety (p &lt;.001) and depression (p &lt;.001) than males. The majority of CYP self-reported below or borderline threshold anxiety, depression and overall internalising </w:t>
      </w:r>
      <w:r w:rsidRPr="005B75A3">
        <w:rPr>
          <w:rFonts w:ascii="Times New Roman" w:hAnsi="Times New Roman" w:cs="Times New Roman"/>
          <w:sz w:val="24"/>
          <w:szCs w:val="24"/>
        </w:rPr>
        <w:lastRenderedPageBreak/>
        <w:t xml:space="preserve">symptoms. The majority of caregiver-reported CYP difficulties met the clinical threshold for anxiety and overall internalising symptoms, but not depression. </w:t>
      </w:r>
      <w:r w:rsidRPr="005B75A3">
        <w:rPr>
          <w:rFonts w:ascii="Times New Roman" w:hAnsi="Times New Roman" w:cs="Times New Roman"/>
          <w:b/>
          <w:sz w:val="24"/>
          <w:szCs w:val="24"/>
        </w:rPr>
        <w:t>Conclusion</w:t>
      </w:r>
      <w:r>
        <w:rPr>
          <w:rFonts w:ascii="Times New Roman" w:hAnsi="Times New Roman" w:cs="Times New Roman"/>
          <w:b/>
          <w:sz w:val="24"/>
          <w:szCs w:val="24"/>
        </w:rPr>
        <w:t>s</w:t>
      </w:r>
      <w:r w:rsidRPr="005B75A3">
        <w:rPr>
          <w:rFonts w:ascii="Times New Roman" w:hAnsi="Times New Roman" w:cs="Times New Roman"/>
          <w:b/>
          <w:sz w:val="24"/>
          <w:szCs w:val="24"/>
        </w:rPr>
        <w:t>:</w:t>
      </w:r>
      <w:r w:rsidRPr="005B75A3">
        <w:rPr>
          <w:rFonts w:ascii="Times New Roman" w:hAnsi="Times New Roman" w:cs="Times New Roman"/>
          <w:sz w:val="24"/>
          <w:szCs w:val="24"/>
        </w:rPr>
        <w:t xml:space="preserve"> The findings have direct relevance to the transformation and delivery of school-based public mental health services for children and adolescents. There is a need to collect routine data from other services to assess the </w:t>
      </w:r>
      <w:r w:rsidRPr="00047AA6">
        <w:rPr>
          <w:rFonts w:ascii="Times New Roman" w:hAnsi="Times New Roman" w:cs="Times New Roman"/>
          <w:sz w:val="24"/>
          <w:szCs w:val="24"/>
        </w:rPr>
        <w:t>broader</w:t>
      </w:r>
      <w:r w:rsidRPr="0029315B">
        <w:rPr>
          <w:rFonts w:ascii="Times New Roman" w:hAnsi="Times New Roman" w:cs="Times New Roman"/>
          <w:sz w:val="24"/>
          <w:szCs w:val="24"/>
        </w:rPr>
        <w:t xml:space="preserve"> </w:t>
      </w:r>
      <w:r w:rsidRPr="005B75A3">
        <w:rPr>
          <w:rFonts w:ascii="Times New Roman" w:hAnsi="Times New Roman" w:cs="Times New Roman"/>
          <w:sz w:val="24"/>
          <w:szCs w:val="24"/>
        </w:rPr>
        <w:t xml:space="preserve">needs of CYP </w:t>
      </w:r>
      <w:r w:rsidRPr="00575918">
        <w:rPr>
          <w:rFonts w:ascii="Times New Roman" w:hAnsi="Times New Roman" w:cs="Times New Roman"/>
          <w:sz w:val="24"/>
          <w:szCs w:val="24"/>
        </w:rPr>
        <w:t>referred for low intensity early interventions across regions.</w:t>
      </w:r>
    </w:p>
    <w:bookmarkEnd w:id="1"/>
    <w:p w14:paraId="0541A61E" w14:textId="77777777" w:rsidR="00E23866" w:rsidRDefault="00E23866" w:rsidP="00E23866">
      <w:pPr>
        <w:spacing w:line="480" w:lineRule="auto"/>
        <w:rPr>
          <w:rFonts w:ascii="Times New Roman" w:hAnsi="Times New Roman" w:cs="Times New Roman"/>
          <w:b/>
          <w:sz w:val="24"/>
          <w:szCs w:val="24"/>
        </w:rPr>
      </w:pPr>
      <w:r>
        <w:rPr>
          <w:rFonts w:ascii="Times New Roman" w:hAnsi="Times New Roman" w:cs="Times New Roman"/>
          <w:b/>
          <w:sz w:val="24"/>
          <w:szCs w:val="24"/>
        </w:rPr>
        <w:t>Practitioner Points</w:t>
      </w:r>
    </w:p>
    <w:p w14:paraId="428E931B" w14:textId="77777777" w:rsidR="00E23866" w:rsidRDefault="00E23866" w:rsidP="00E23866">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Knowledge derived from this research can</w:t>
      </w:r>
      <w:r w:rsidRPr="004E13ED">
        <w:rPr>
          <w:rFonts w:ascii="Times New Roman" w:hAnsi="Times New Roman" w:cs="Times New Roman"/>
          <w:sz w:val="24"/>
          <w:szCs w:val="24"/>
        </w:rPr>
        <w:t xml:space="preserve"> allow for the identification of groups or individuals who are not accessing the service at presen</w:t>
      </w:r>
      <w:r>
        <w:rPr>
          <w:rFonts w:ascii="Times New Roman" w:hAnsi="Times New Roman" w:cs="Times New Roman"/>
          <w:sz w:val="24"/>
          <w:szCs w:val="24"/>
        </w:rPr>
        <w:t>t</w:t>
      </w:r>
      <w:r w:rsidRPr="004E13ED">
        <w:rPr>
          <w:rFonts w:ascii="Times New Roman" w:hAnsi="Times New Roman" w:cs="Times New Roman"/>
          <w:sz w:val="24"/>
          <w:szCs w:val="24"/>
        </w:rPr>
        <w:t xml:space="preserve"> or CYP who are at higher risk</w:t>
      </w:r>
      <w:r>
        <w:rPr>
          <w:rFonts w:ascii="Times New Roman" w:hAnsi="Times New Roman" w:cs="Times New Roman"/>
          <w:sz w:val="24"/>
          <w:szCs w:val="24"/>
        </w:rPr>
        <w:t>.</w:t>
      </w:r>
      <w:r w:rsidRPr="00B342D7">
        <w:t xml:space="preserve"> </w:t>
      </w:r>
      <w:r w:rsidRPr="00B342D7">
        <w:rPr>
          <w:rFonts w:ascii="Times New Roman" w:hAnsi="Times New Roman" w:cs="Times New Roman"/>
          <w:sz w:val="24"/>
          <w:szCs w:val="24"/>
        </w:rPr>
        <w:t>This ensures schools, MHSTs and practitioners are better prepared to support them through indicated interventions or prevention work.</w:t>
      </w:r>
    </w:p>
    <w:p w14:paraId="72AE5436" w14:textId="77777777" w:rsidR="00E23866" w:rsidRDefault="00E23866" w:rsidP="00E23866">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research can help those in this practice identify whether the service is meeting the aims of </w:t>
      </w:r>
      <w:r w:rsidRPr="004E13ED">
        <w:rPr>
          <w:rFonts w:ascii="Times New Roman" w:hAnsi="Times New Roman" w:cs="Times New Roman"/>
          <w:sz w:val="24"/>
          <w:szCs w:val="24"/>
        </w:rPr>
        <w:t>increasing access to preventative and early interventions</w:t>
      </w:r>
      <w:r>
        <w:rPr>
          <w:rFonts w:ascii="Times New Roman" w:hAnsi="Times New Roman" w:cs="Times New Roman"/>
          <w:sz w:val="24"/>
          <w:szCs w:val="24"/>
        </w:rPr>
        <w:t xml:space="preserve"> for children and young people with mild to moderate symptoms of anxiety, depression and behavioural problems.</w:t>
      </w:r>
    </w:p>
    <w:p w14:paraId="24E1A0EB" w14:textId="77777777" w:rsidR="00E23866" w:rsidRPr="009A263A" w:rsidRDefault="00E23866" w:rsidP="00E23866">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Knowledge from this paper can </w:t>
      </w:r>
      <w:r w:rsidRPr="00933A04">
        <w:rPr>
          <w:rFonts w:ascii="Times New Roman" w:hAnsi="Times New Roman" w:cs="Times New Roman"/>
          <w:bCs/>
          <w:color w:val="000000"/>
          <w:sz w:val="24"/>
          <w:szCs w:val="24"/>
        </w:rPr>
        <w:t xml:space="preserve">be used to inform decision making regarding the </w:t>
      </w:r>
      <w:r>
        <w:rPr>
          <w:rFonts w:ascii="Times New Roman" w:hAnsi="Times New Roman" w:cs="Times New Roman"/>
          <w:bCs/>
          <w:color w:val="000000"/>
          <w:sz w:val="24"/>
          <w:szCs w:val="24"/>
        </w:rPr>
        <w:t xml:space="preserve">assessment and treatment of mild to moderate depression and anxiety in this context. This can help </w:t>
      </w:r>
      <w:r w:rsidRPr="00933A04">
        <w:rPr>
          <w:rFonts w:ascii="Times New Roman" w:hAnsi="Times New Roman" w:cs="Times New Roman"/>
          <w:bCs/>
          <w:color w:val="000000"/>
          <w:sz w:val="24"/>
          <w:szCs w:val="24"/>
        </w:rPr>
        <w:t>to improve access to psychological interventions, for children and young people.</w:t>
      </w:r>
    </w:p>
    <w:p w14:paraId="7EE7103D" w14:textId="77777777" w:rsidR="00E23866" w:rsidRPr="00575918" w:rsidRDefault="00E23866" w:rsidP="00E23866">
      <w:pPr>
        <w:rPr>
          <w:rFonts w:ascii="Times New Roman" w:hAnsi="Times New Roman" w:cs="Times New Roman"/>
          <w:b/>
          <w:sz w:val="24"/>
          <w:szCs w:val="24"/>
        </w:rPr>
      </w:pPr>
      <w:r w:rsidRPr="00575918">
        <w:rPr>
          <w:rFonts w:ascii="Times New Roman" w:hAnsi="Times New Roman" w:cs="Times New Roman"/>
          <w:b/>
          <w:sz w:val="24"/>
          <w:szCs w:val="24"/>
        </w:rPr>
        <w:t>Keywords:</w:t>
      </w:r>
    </w:p>
    <w:p w14:paraId="0166EF32" w14:textId="77777777" w:rsidR="00E23866" w:rsidRDefault="00E23866" w:rsidP="00E23866">
      <w:pPr>
        <w:rPr>
          <w:rFonts w:ascii="Times New Roman" w:hAnsi="Times New Roman" w:cs="Times New Roman"/>
          <w:sz w:val="24"/>
          <w:szCs w:val="24"/>
        </w:rPr>
      </w:pPr>
      <w:r>
        <w:rPr>
          <w:rFonts w:ascii="Times New Roman" w:hAnsi="Times New Roman" w:cs="Times New Roman"/>
          <w:sz w:val="24"/>
          <w:szCs w:val="24"/>
        </w:rPr>
        <w:t>anxiety, depression, cognitive behaviour therapy, children, low-intensity</w:t>
      </w:r>
    </w:p>
    <w:p w14:paraId="64F30E87" w14:textId="77777777" w:rsidR="00E23866" w:rsidRPr="00575918" w:rsidRDefault="00E23866" w:rsidP="00E23866">
      <w:pPr>
        <w:rPr>
          <w:rFonts w:ascii="Times New Roman" w:hAnsi="Times New Roman" w:cs="Times New Roman"/>
          <w:sz w:val="24"/>
          <w:szCs w:val="24"/>
        </w:rPr>
      </w:pPr>
    </w:p>
    <w:p w14:paraId="5B81482E" w14:textId="77777777" w:rsidR="00E23866" w:rsidRPr="00575918" w:rsidRDefault="00E23866" w:rsidP="00E23866">
      <w:pPr>
        <w:rPr>
          <w:rFonts w:ascii="Times New Roman" w:hAnsi="Times New Roman" w:cs="Times New Roman"/>
          <w:b/>
          <w:sz w:val="24"/>
          <w:szCs w:val="24"/>
        </w:rPr>
      </w:pPr>
      <w:r w:rsidRPr="00575918">
        <w:rPr>
          <w:rFonts w:ascii="Times New Roman" w:hAnsi="Times New Roman" w:cs="Times New Roman"/>
          <w:b/>
          <w:sz w:val="24"/>
          <w:szCs w:val="24"/>
        </w:rPr>
        <w:t>Data availability statement:</w:t>
      </w:r>
    </w:p>
    <w:p w14:paraId="09BAEAAD" w14:textId="77777777" w:rsidR="00E23866" w:rsidRDefault="00E23866" w:rsidP="00E23866">
      <w:pPr>
        <w:spacing w:line="480" w:lineRule="auto"/>
        <w:rPr>
          <w:rFonts w:ascii="Times New Roman" w:hAnsi="Times New Roman" w:cs="Times New Roman"/>
          <w:sz w:val="24"/>
          <w:szCs w:val="24"/>
        </w:rPr>
      </w:pPr>
      <w:r w:rsidRPr="002F56CF">
        <w:rPr>
          <w:rFonts w:ascii="Times New Roman" w:hAnsi="Times New Roman" w:cs="Times New Roman"/>
          <w:sz w:val="24"/>
          <w:szCs w:val="24"/>
        </w:rPr>
        <w:lastRenderedPageBreak/>
        <w:t xml:space="preserve">The datasets generated and/or analysed during the current study are not publicly available due </w:t>
      </w:r>
      <w:r>
        <w:rPr>
          <w:rFonts w:ascii="Times New Roman" w:hAnsi="Times New Roman" w:cs="Times New Roman"/>
          <w:sz w:val="24"/>
          <w:szCs w:val="24"/>
        </w:rPr>
        <w:t>to this paper containing data which was collected as part of routine clinical practice.</w:t>
      </w:r>
    </w:p>
    <w:p w14:paraId="62C999C8" w14:textId="77777777" w:rsidR="00E23866" w:rsidRPr="00575918" w:rsidRDefault="00E23866" w:rsidP="00E23866">
      <w:pPr>
        <w:rPr>
          <w:rFonts w:ascii="Times New Roman" w:hAnsi="Times New Roman" w:cs="Times New Roman"/>
          <w:sz w:val="24"/>
          <w:szCs w:val="24"/>
        </w:rPr>
      </w:pPr>
    </w:p>
    <w:p w14:paraId="6B1D6A91" w14:textId="77777777" w:rsidR="00E23866" w:rsidRDefault="00E23866" w:rsidP="00E23866">
      <w:pPr>
        <w:spacing w:after="0" w:line="480" w:lineRule="auto"/>
        <w:rPr>
          <w:rFonts w:ascii="Times New Roman" w:hAnsi="Times New Roman" w:cs="Times New Roman"/>
          <w:sz w:val="24"/>
          <w:szCs w:val="24"/>
        </w:rPr>
      </w:pPr>
      <w:r w:rsidRPr="00452EBD">
        <w:rPr>
          <w:rFonts w:ascii="Times New Roman" w:hAnsi="Times New Roman" w:cs="Times New Roman"/>
          <w:b/>
          <w:sz w:val="24"/>
          <w:szCs w:val="24"/>
        </w:rPr>
        <w:t>Acknowledgements</w:t>
      </w:r>
      <w:r>
        <w:rPr>
          <w:rFonts w:ascii="Times New Roman" w:hAnsi="Times New Roman" w:cs="Times New Roman"/>
          <w:sz w:val="24"/>
          <w:szCs w:val="24"/>
        </w:rPr>
        <w:t xml:space="preserve"> </w:t>
      </w:r>
    </w:p>
    <w:p w14:paraId="628E1F81" w14:textId="77777777" w:rsidR="00E23866" w:rsidRDefault="00E23866" w:rsidP="00E238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authors would like to thank all the West Sussex MHST Educational Mental Health Practitioners and workforce for the delivery of support and collection of data used in this paper. </w:t>
      </w:r>
    </w:p>
    <w:p w14:paraId="015B882F" w14:textId="77777777" w:rsidR="00E23866" w:rsidRDefault="00E23866" w:rsidP="00E23866">
      <w:pPr>
        <w:spacing w:after="0" w:line="480" w:lineRule="auto"/>
        <w:rPr>
          <w:rFonts w:ascii="Times New Roman" w:hAnsi="Times New Roman" w:cs="Times New Roman"/>
          <w:b/>
          <w:sz w:val="24"/>
          <w:szCs w:val="24"/>
        </w:rPr>
      </w:pPr>
    </w:p>
    <w:p w14:paraId="2F843144" w14:textId="77777777" w:rsidR="00E23866" w:rsidRDefault="00E23866" w:rsidP="00E23866">
      <w:pPr>
        <w:spacing w:after="0" w:line="480" w:lineRule="auto"/>
        <w:rPr>
          <w:rFonts w:ascii="Times New Roman" w:hAnsi="Times New Roman" w:cs="Times New Roman"/>
          <w:b/>
          <w:sz w:val="24"/>
          <w:szCs w:val="24"/>
        </w:rPr>
      </w:pPr>
      <w:r w:rsidRPr="00D818BF">
        <w:rPr>
          <w:rFonts w:ascii="Times New Roman" w:hAnsi="Times New Roman" w:cs="Times New Roman"/>
          <w:b/>
          <w:sz w:val="24"/>
          <w:szCs w:val="24"/>
        </w:rPr>
        <w:t xml:space="preserve">Declaration of Conflicting Interests </w:t>
      </w:r>
    </w:p>
    <w:p w14:paraId="7D62CE66" w14:textId="77777777" w:rsidR="00E23866" w:rsidRDefault="00E23866" w:rsidP="00E23866">
      <w:pPr>
        <w:spacing w:after="0" w:line="480" w:lineRule="auto"/>
        <w:rPr>
          <w:rFonts w:ascii="Times New Roman" w:hAnsi="Times New Roman" w:cs="Times New Roman"/>
          <w:sz w:val="24"/>
          <w:szCs w:val="24"/>
        </w:rPr>
      </w:pPr>
      <w:r w:rsidRPr="007773F2">
        <w:rPr>
          <w:rFonts w:ascii="Times New Roman" w:hAnsi="Times New Roman" w:cs="Times New Roman"/>
          <w:sz w:val="24"/>
          <w:szCs w:val="24"/>
        </w:rPr>
        <w:t xml:space="preserve">The authors declare that </w:t>
      </w:r>
      <w:r>
        <w:rPr>
          <w:rFonts w:ascii="Times New Roman" w:hAnsi="Times New Roman" w:cs="Times New Roman"/>
          <w:sz w:val="24"/>
          <w:szCs w:val="24"/>
        </w:rPr>
        <w:t xml:space="preserve">there is no conflict of interest. </w:t>
      </w:r>
    </w:p>
    <w:p w14:paraId="52951C72" w14:textId="77777777" w:rsidR="00E23866" w:rsidRDefault="00E23866" w:rsidP="00E23866">
      <w:pPr>
        <w:spacing w:after="0" w:line="480" w:lineRule="auto"/>
        <w:rPr>
          <w:rFonts w:ascii="Times New Roman" w:hAnsi="Times New Roman" w:cs="Times New Roman"/>
          <w:b/>
          <w:sz w:val="24"/>
          <w:szCs w:val="24"/>
        </w:rPr>
      </w:pPr>
      <w:r>
        <w:rPr>
          <w:rFonts w:ascii="Times New Roman" w:hAnsi="Times New Roman" w:cs="Times New Roman"/>
          <w:sz w:val="24"/>
          <w:szCs w:val="24"/>
        </w:rPr>
        <w:t>No funding was received for conducting this study.</w:t>
      </w:r>
    </w:p>
    <w:p w14:paraId="64E7BD07" w14:textId="77777777" w:rsidR="00E23866" w:rsidRDefault="00E23866" w:rsidP="00565639">
      <w:pPr>
        <w:rPr>
          <w:rFonts w:ascii="Times New Roman" w:hAnsi="Times New Roman" w:cs="Times New Roman"/>
          <w:b/>
          <w:sz w:val="24"/>
          <w:szCs w:val="24"/>
        </w:rPr>
      </w:pPr>
    </w:p>
    <w:p w14:paraId="55C7F1BE" w14:textId="59189C88" w:rsidR="00E23866" w:rsidRDefault="00E23866">
      <w:pPr>
        <w:rPr>
          <w:rFonts w:ascii="Times New Roman" w:hAnsi="Times New Roman" w:cs="Times New Roman"/>
          <w:b/>
          <w:sz w:val="24"/>
          <w:szCs w:val="24"/>
        </w:rPr>
      </w:pPr>
      <w:r>
        <w:rPr>
          <w:rFonts w:ascii="Times New Roman" w:hAnsi="Times New Roman" w:cs="Times New Roman"/>
          <w:b/>
          <w:sz w:val="24"/>
          <w:szCs w:val="24"/>
        </w:rPr>
        <w:br w:type="page"/>
      </w:r>
    </w:p>
    <w:p w14:paraId="62D57E90" w14:textId="294BA364" w:rsidR="0071468C" w:rsidRDefault="0071468C" w:rsidP="00565639">
      <w:pPr>
        <w:rPr>
          <w:rFonts w:ascii="Times New Roman" w:hAnsi="Times New Roman" w:cs="Times New Roman"/>
          <w:b/>
          <w:sz w:val="24"/>
          <w:szCs w:val="24"/>
        </w:rPr>
      </w:pPr>
      <w:r>
        <w:rPr>
          <w:rFonts w:ascii="Times New Roman" w:hAnsi="Times New Roman" w:cs="Times New Roman"/>
          <w:b/>
          <w:sz w:val="24"/>
          <w:szCs w:val="24"/>
        </w:rPr>
        <w:lastRenderedPageBreak/>
        <w:t>Characteristics of young people referred for treatment of depression and anxiety in a school-based mental health service</w:t>
      </w:r>
    </w:p>
    <w:p w14:paraId="0165992D" w14:textId="77777777" w:rsidR="0071468C" w:rsidRDefault="0071468C" w:rsidP="00565639">
      <w:pPr>
        <w:rPr>
          <w:rFonts w:ascii="Times New Roman" w:hAnsi="Times New Roman" w:cs="Times New Roman"/>
          <w:b/>
          <w:sz w:val="24"/>
          <w:szCs w:val="24"/>
        </w:rPr>
      </w:pPr>
    </w:p>
    <w:p w14:paraId="5A1C7A35" w14:textId="4B9DD79E" w:rsidR="00DC1892" w:rsidRDefault="00DC1892" w:rsidP="00565639">
      <w:pPr>
        <w:rPr>
          <w:rFonts w:ascii="Times New Roman" w:hAnsi="Times New Roman" w:cs="Times New Roman"/>
          <w:b/>
          <w:sz w:val="24"/>
          <w:szCs w:val="24"/>
        </w:rPr>
      </w:pPr>
      <w:r>
        <w:rPr>
          <w:rFonts w:ascii="Times New Roman" w:hAnsi="Times New Roman" w:cs="Times New Roman"/>
          <w:b/>
          <w:sz w:val="24"/>
          <w:szCs w:val="24"/>
        </w:rPr>
        <w:t>Abstract</w:t>
      </w:r>
    </w:p>
    <w:p w14:paraId="3A3B4A5A" w14:textId="199E030D" w:rsidR="00431AB2" w:rsidRPr="000E6F2E" w:rsidRDefault="000E6F2E" w:rsidP="000E6F2E">
      <w:pPr>
        <w:spacing w:line="480" w:lineRule="auto"/>
        <w:rPr>
          <w:rFonts w:ascii="Times New Roman" w:hAnsi="Times New Roman" w:cs="Times New Roman"/>
        </w:rPr>
      </w:pPr>
      <w:r>
        <w:rPr>
          <w:rFonts w:ascii="Times New Roman" w:hAnsi="Times New Roman" w:cs="Times New Roman"/>
          <w:b/>
          <w:sz w:val="24"/>
          <w:szCs w:val="24"/>
        </w:rPr>
        <w:t>Objectives</w:t>
      </w:r>
      <w:r w:rsidRPr="005B75A3">
        <w:rPr>
          <w:rFonts w:ascii="Times New Roman" w:hAnsi="Times New Roman" w:cs="Times New Roman"/>
          <w:b/>
          <w:sz w:val="24"/>
          <w:szCs w:val="24"/>
        </w:rPr>
        <w:t>:</w:t>
      </w:r>
      <w:r w:rsidRPr="005B75A3">
        <w:rPr>
          <w:rFonts w:ascii="Times New Roman" w:hAnsi="Times New Roman" w:cs="Times New Roman"/>
          <w:sz w:val="24"/>
          <w:szCs w:val="24"/>
        </w:rPr>
        <w:t xml:space="preserve"> The aim of the paper was to describe referrals to a UK school-based mental health service for children and adolescents. </w:t>
      </w:r>
      <w:r w:rsidRPr="005B75A3">
        <w:rPr>
          <w:rFonts w:ascii="Times New Roman" w:hAnsi="Times New Roman" w:cs="Times New Roman"/>
          <w:b/>
          <w:sz w:val="24"/>
          <w:szCs w:val="24"/>
        </w:rPr>
        <w:t>Method</w:t>
      </w:r>
      <w:r>
        <w:rPr>
          <w:rFonts w:ascii="Times New Roman" w:hAnsi="Times New Roman" w:cs="Times New Roman"/>
          <w:b/>
          <w:sz w:val="24"/>
          <w:szCs w:val="24"/>
        </w:rPr>
        <w:t>s</w:t>
      </w:r>
      <w:r w:rsidRPr="005B75A3">
        <w:rPr>
          <w:rFonts w:ascii="Times New Roman" w:hAnsi="Times New Roman" w:cs="Times New Roman"/>
          <w:sz w:val="24"/>
          <w:szCs w:val="24"/>
        </w:rPr>
        <w:t>: Children and young people (CYP) (N = 485, aged 4-18) were referred to two M</w:t>
      </w:r>
      <w:r>
        <w:rPr>
          <w:rFonts w:ascii="Times New Roman" w:hAnsi="Times New Roman" w:cs="Times New Roman"/>
          <w:sz w:val="24"/>
          <w:szCs w:val="24"/>
        </w:rPr>
        <w:t xml:space="preserve">ental </w:t>
      </w:r>
      <w:r w:rsidRPr="005B75A3">
        <w:rPr>
          <w:rFonts w:ascii="Times New Roman" w:hAnsi="Times New Roman" w:cs="Times New Roman"/>
          <w:sz w:val="24"/>
          <w:szCs w:val="24"/>
        </w:rPr>
        <w:t>H</w:t>
      </w:r>
      <w:r>
        <w:rPr>
          <w:rFonts w:ascii="Times New Roman" w:hAnsi="Times New Roman" w:cs="Times New Roman"/>
          <w:sz w:val="24"/>
          <w:szCs w:val="24"/>
        </w:rPr>
        <w:t xml:space="preserve">ealth </w:t>
      </w:r>
      <w:r w:rsidRPr="005B75A3">
        <w:rPr>
          <w:rFonts w:ascii="Times New Roman" w:hAnsi="Times New Roman" w:cs="Times New Roman"/>
          <w:sz w:val="24"/>
          <w:szCs w:val="24"/>
        </w:rPr>
        <w:t>S</w:t>
      </w:r>
      <w:r>
        <w:rPr>
          <w:rFonts w:ascii="Times New Roman" w:hAnsi="Times New Roman" w:cs="Times New Roman"/>
          <w:sz w:val="24"/>
          <w:szCs w:val="24"/>
        </w:rPr>
        <w:t xml:space="preserve">upport </w:t>
      </w:r>
      <w:r w:rsidRPr="005B75A3">
        <w:rPr>
          <w:rFonts w:ascii="Times New Roman" w:hAnsi="Times New Roman" w:cs="Times New Roman"/>
          <w:sz w:val="24"/>
          <w:szCs w:val="24"/>
        </w:rPr>
        <w:t>T</w:t>
      </w:r>
      <w:r>
        <w:rPr>
          <w:rFonts w:ascii="Times New Roman" w:hAnsi="Times New Roman" w:cs="Times New Roman"/>
          <w:sz w:val="24"/>
          <w:szCs w:val="24"/>
        </w:rPr>
        <w:t>eam</w:t>
      </w:r>
      <w:r w:rsidRPr="005B75A3">
        <w:rPr>
          <w:rFonts w:ascii="Times New Roman" w:hAnsi="Times New Roman" w:cs="Times New Roman"/>
          <w:sz w:val="24"/>
          <w:szCs w:val="24"/>
        </w:rPr>
        <w:t xml:space="preserve"> sites in the South of England in 2021, for CBT-informed interventions for mild-to-moderate anxiety and depression. Child and parent reported outcome measures were completed pre-intervention, including measures of symptom severity and impact. </w:t>
      </w:r>
      <w:r w:rsidRPr="005B75A3">
        <w:rPr>
          <w:rFonts w:ascii="Times New Roman" w:hAnsi="Times New Roman" w:cs="Times New Roman"/>
          <w:b/>
          <w:sz w:val="24"/>
          <w:szCs w:val="24"/>
        </w:rPr>
        <w:t>Results:</w:t>
      </w:r>
      <w:r w:rsidRPr="005B75A3">
        <w:rPr>
          <w:rFonts w:ascii="Times New Roman" w:hAnsi="Times New Roman" w:cs="Times New Roman"/>
          <w:sz w:val="24"/>
          <w:szCs w:val="24"/>
        </w:rPr>
        <w:t xml:space="preserve"> Referrals consisted of 61% female, 57% secondary school age (12-18 years old) and 81% White British. Children of secondary school age self-reported significantly higher levels of anxiety (p =.003) and depression (p &lt;.001) than children of primary age. Females self-reported significantly higher levels of anxiety (p &lt;.001) and depression (p &lt;.001) than males. The majority of CYP self-reported below or borderline threshold anxiety, depression and overall internalising symptoms. The majority of caregiver-reported CYP difficulties met the clinical threshold for anxiety and overall internalising symptoms, but not depression. </w:t>
      </w:r>
      <w:r w:rsidRPr="005B75A3">
        <w:rPr>
          <w:rFonts w:ascii="Times New Roman" w:hAnsi="Times New Roman" w:cs="Times New Roman"/>
          <w:b/>
          <w:sz w:val="24"/>
          <w:szCs w:val="24"/>
        </w:rPr>
        <w:t>Conclusion</w:t>
      </w:r>
      <w:r>
        <w:rPr>
          <w:rFonts w:ascii="Times New Roman" w:hAnsi="Times New Roman" w:cs="Times New Roman"/>
          <w:b/>
          <w:sz w:val="24"/>
          <w:szCs w:val="24"/>
        </w:rPr>
        <w:t>s</w:t>
      </w:r>
      <w:r w:rsidRPr="005B75A3">
        <w:rPr>
          <w:rFonts w:ascii="Times New Roman" w:hAnsi="Times New Roman" w:cs="Times New Roman"/>
          <w:b/>
          <w:sz w:val="24"/>
          <w:szCs w:val="24"/>
        </w:rPr>
        <w:t>:</w:t>
      </w:r>
      <w:r w:rsidRPr="005B75A3">
        <w:rPr>
          <w:rFonts w:ascii="Times New Roman" w:hAnsi="Times New Roman" w:cs="Times New Roman"/>
          <w:sz w:val="24"/>
          <w:szCs w:val="24"/>
        </w:rPr>
        <w:t xml:space="preserve"> The findings have direct relevance to the transformation and delivery of school-based public mental health services for children and adolescents. There is a need to collect routine data from other services to assess the </w:t>
      </w:r>
      <w:r w:rsidRPr="00047AA6">
        <w:rPr>
          <w:rFonts w:ascii="Times New Roman" w:hAnsi="Times New Roman" w:cs="Times New Roman"/>
          <w:sz w:val="24"/>
          <w:szCs w:val="24"/>
        </w:rPr>
        <w:t>broader</w:t>
      </w:r>
      <w:r w:rsidRPr="0029315B">
        <w:rPr>
          <w:rFonts w:ascii="Times New Roman" w:hAnsi="Times New Roman" w:cs="Times New Roman"/>
          <w:sz w:val="24"/>
          <w:szCs w:val="24"/>
        </w:rPr>
        <w:t xml:space="preserve"> </w:t>
      </w:r>
      <w:r w:rsidRPr="005B75A3">
        <w:rPr>
          <w:rFonts w:ascii="Times New Roman" w:hAnsi="Times New Roman" w:cs="Times New Roman"/>
          <w:sz w:val="24"/>
          <w:szCs w:val="24"/>
        </w:rPr>
        <w:t xml:space="preserve">needs of CYP </w:t>
      </w:r>
      <w:r w:rsidRPr="00575918">
        <w:rPr>
          <w:rFonts w:ascii="Times New Roman" w:hAnsi="Times New Roman" w:cs="Times New Roman"/>
          <w:sz w:val="24"/>
          <w:szCs w:val="24"/>
        </w:rPr>
        <w:t>referred for low intensity early interventions across regions.</w:t>
      </w:r>
    </w:p>
    <w:p w14:paraId="4573D010" w14:textId="77777777" w:rsidR="008833C9" w:rsidRDefault="008833C9" w:rsidP="008833C9">
      <w:pPr>
        <w:spacing w:line="480" w:lineRule="auto"/>
        <w:rPr>
          <w:rFonts w:ascii="Times New Roman" w:hAnsi="Times New Roman" w:cs="Times New Roman"/>
          <w:b/>
          <w:sz w:val="24"/>
          <w:szCs w:val="24"/>
        </w:rPr>
      </w:pPr>
      <w:r>
        <w:rPr>
          <w:rFonts w:ascii="Times New Roman" w:hAnsi="Times New Roman" w:cs="Times New Roman"/>
          <w:b/>
          <w:sz w:val="24"/>
          <w:szCs w:val="24"/>
        </w:rPr>
        <w:t>Practitioner Points</w:t>
      </w:r>
    </w:p>
    <w:p w14:paraId="0701C05F" w14:textId="77777777" w:rsidR="008833C9" w:rsidRDefault="008833C9" w:rsidP="008833C9">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Knowledge derived from this research can</w:t>
      </w:r>
      <w:r w:rsidRPr="004E13ED">
        <w:rPr>
          <w:rFonts w:ascii="Times New Roman" w:hAnsi="Times New Roman" w:cs="Times New Roman"/>
          <w:sz w:val="24"/>
          <w:szCs w:val="24"/>
        </w:rPr>
        <w:t xml:space="preserve"> allow for the identification of groups or individuals who are not accessing the service at presen</w:t>
      </w:r>
      <w:r>
        <w:rPr>
          <w:rFonts w:ascii="Times New Roman" w:hAnsi="Times New Roman" w:cs="Times New Roman"/>
          <w:sz w:val="24"/>
          <w:szCs w:val="24"/>
        </w:rPr>
        <w:t>t</w:t>
      </w:r>
      <w:r w:rsidRPr="004E13ED">
        <w:rPr>
          <w:rFonts w:ascii="Times New Roman" w:hAnsi="Times New Roman" w:cs="Times New Roman"/>
          <w:sz w:val="24"/>
          <w:szCs w:val="24"/>
        </w:rPr>
        <w:t xml:space="preserve"> or CYP who are at higher </w:t>
      </w:r>
      <w:r w:rsidRPr="004E13ED">
        <w:rPr>
          <w:rFonts w:ascii="Times New Roman" w:hAnsi="Times New Roman" w:cs="Times New Roman"/>
          <w:sz w:val="24"/>
          <w:szCs w:val="24"/>
        </w:rPr>
        <w:lastRenderedPageBreak/>
        <w:t>risk</w:t>
      </w:r>
      <w:r>
        <w:rPr>
          <w:rFonts w:ascii="Times New Roman" w:hAnsi="Times New Roman" w:cs="Times New Roman"/>
          <w:sz w:val="24"/>
          <w:szCs w:val="24"/>
        </w:rPr>
        <w:t>.</w:t>
      </w:r>
      <w:r w:rsidRPr="00B342D7">
        <w:t xml:space="preserve"> </w:t>
      </w:r>
      <w:r w:rsidRPr="00B342D7">
        <w:rPr>
          <w:rFonts w:ascii="Times New Roman" w:hAnsi="Times New Roman" w:cs="Times New Roman"/>
          <w:sz w:val="24"/>
          <w:szCs w:val="24"/>
        </w:rPr>
        <w:t>This ensures schools, MHSTs and practitioners are better prepared to support them through indicated interventions or prevention work.</w:t>
      </w:r>
    </w:p>
    <w:p w14:paraId="693DA5B8" w14:textId="77777777" w:rsidR="008833C9" w:rsidRDefault="008833C9" w:rsidP="008833C9">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research can help those in this practice identify whether the service is meeting the aims of </w:t>
      </w:r>
      <w:r w:rsidRPr="004E13ED">
        <w:rPr>
          <w:rFonts w:ascii="Times New Roman" w:hAnsi="Times New Roman" w:cs="Times New Roman"/>
          <w:sz w:val="24"/>
          <w:szCs w:val="24"/>
        </w:rPr>
        <w:t>increasing access to preventative and early interventions</w:t>
      </w:r>
      <w:r>
        <w:rPr>
          <w:rFonts w:ascii="Times New Roman" w:hAnsi="Times New Roman" w:cs="Times New Roman"/>
          <w:sz w:val="24"/>
          <w:szCs w:val="24"/>
        </w:rPr>
        <w:t>.</w:t>
      </w:r>
    </w:p>
    <w:p w14:paraId="7D0B804C" w14:textId="77777777" w:rsidR="008833C9" w:rsidRPr="009A263A" w:rsidRDefault="008833C9" w:rsidP="008833C9">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Knowledge from this paper can </w:t>
      </w:r>
      <w:r w:rsidRPr="00933A04">
        <w:rPr>
          <w:rFonts w:ascii="Times New Roman" w:hAnsi="Times New Roman" w:cs="Times New Roman"/>
          <w:bCs/>
          <w:color w:val="000000"/>
          <w:sz w:val="24"/>
          <w:szCs w:val="24"/>
        </w:rPr>
        <w:t xml:space="preserve">be used to inform decision making regarding the </w:t>
      </w:r>
      <w:r>
        <w:rPr>
          <w:rFonts w:ascii="Times New Roman" w:hAnsi="Times New Roman" w:cs="Times New Roman"/>
          <w:bCs/>
          <w:color w:val="000000"/>
          <w:sz w:val="24"/>
          <w:szCs w:val="24"/>
        </w:rPr>
        <w:t xml:space="preserve">assessment and treatment of mild to moderate depression and anxiety in this context. This can help </w:t>
      </w:r>
      <w:r w:rsidRPr="00933A04">
        <w:rPr>
          <w:rFonts w:ascii="Times New Roman" w:hAnsi="Times New Roman" w:cs="Times New Roman"/>
          <w:bCs/>
          <w:color w:val="000000"/>
          <w:sz w:val="24"/>
          <w:szCs w:val="24"/>
        </w:rPr>
        <w:t>to improve access to psychological interventions, for children and young people.</w:t>
      </w:r>
    </w:p>
    <w:p w14:paraId="3D45D87F" w14:textId="77777777" w:rsidR="008833C9" w:rsidRPr="00575918" w:rsidRDefault="008833C9" w:rsidP="008833C9">
      <w:pPr>
        <w:rPr>
          <w:rFonts w:ascii="Times New Roman" w:hAnsi="Times New Roman" w:cs="Times New Roman"/>
          <w:b/>
          <w:sz w:val="24"/>
          <w:szCs w:val="24"/>
        </w:rPr>
      </w:pPr>
      <w:r w:rsidRPr="00575918">
        <w:rPr>
          <w:rFonts w:ascii="Times New Roman" w:hAnsi="Times New Roman" w:cs="Times New Roman"/>
          <w:b/>
          <w:sz w:val="24"/>
          <w:szCs w:val="24"/>
        </w:rPr>
        <w:t>Keywords:</w:t>
      </w:r>
    </w:p>
    <w:p w14:paraId="3B8F67C3" w14:textId="77777777" w:rsidR="008833C9" w:rsidRDefault="008833C9" w:rsidP="008833C9">
      <w:pPr>
        <w:rPr>
          <w:rFonts w:ascii="Times New Roman" w:hAnsi="Times New Roman" w:cs="Times New Roman"/>
          <w:sz w:val="24"/>
          <w:szCs w:val="24"/>
        </w:rPr>
      </w:pPr>
      <w:r>
        <w:rPr>
          <w:rFonts w:ascii="Times New Roman" w:hAnsi="Times New Roman" w:cs="Times New Roman"/>
          <w:sz w:val="24"/>
          <w:szCs w:val="24"/>
        </w:rPr>
        <w:t>anxiety, depression, cognitive behaviour therapy, children, low-intensity</w:t>
      </w:r>
    </w:p>
    <w:p w14:paraId="32C13778" w14:textId="77777777" w:rsidR="00431AB2" w:rsidRDefault="00431AB2">
      <w:pPr>
        <w:rPr>
          <w:rFonts w:ascii="Times New Roman" w:hAnsi="Times New Roman" w:cs="Times New Roman"/>
          <w:b/>
          <w:sz w:val="24"/>
          <w:szCs w:val="24"/>
        </w:rPr>
      </w:pPr>
      <w:r>
        <w:rPr>
          <w:rFonts w:ascii="Times New Roman" w:hAnsi="Times New Roman" w:cs="Times New Roman"/>
          <w:b/>
          <w:sz w:val="24"/>
          <w:szCs w:val="24"/>
        </w:rPr>
        <w:br w:type="page"/>
      </w:r>
    </w:p>
    <w:p w14:paraId="118DE818" w14:textId="7B8830B3" w:rsidR="00A022A9" w:rsidRPr="002872EC" w:rsidRDefault="002B2C75" w:rsidP="00BE778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14DA6A17" w14:textId="1E8B582C" w:rsidR="00CA4C00" w:rsidRPr="00BE778B" w:rsidRDefault="00EA7F3D" w:rsidP="00BE778B">
      <w:pPr>
        <w:spacing w:after="0" w:line="480" w:lineRule="auto"/>
        <w:rPr>
          <w:rFonts w:ascii="Times New Roman" w:hAnsi="Times New Roman" w:cs="Times New Roman"/>
          <w:sz w:val="24"/>
          <w:szCs w:val="24"/>
        </w:rPr>
      </w:pPr>
      <w:r w:rsidRPr="004E13ED">
        <w:rPr>
          <w:rFonts w:ascii="Times New Roman" w:hAnsi="Times New Roman" w:cs="Times New Roman"/>
          <w:sz w:val="24"/>
          <w:szCs w:val="24"/>
        </w:rPr>
        <w:t xml:space="preserve">The prevalence and impact of </w:t>
      </w:r>
      <w:r w:rsidR="002C07EE" w:rsidRPr="004E13ED">
        <w:rPr>
          <w:rFonts w:ascii="Times New Roman" w:hAnsi="Times New Roman" w:cs="Times New Roman"/>
          <w:sz w:val="24"/>
          <w:szCs w:val="24"/>
        </w:rPr>
        <w:t>mental</w:t>
      </w:r>
      <w:r w:rsidRPr="004E13ED">
        <w:rPr>
          <w:rFonts w:ascii="Times New Roman" w:hAnsi="Times New Roman" w:cs="Times New Roman"/>
          <w:sz w:val="24"/>
          <w:szCs w:val="24"/>
        </w:rPr>
        <w:t xml:space="preserve"> </w:t>
      </w:r>
      <w:r w:rsidR="00000AA6" w:rsidRPr="004E13ED">
        <w:rPr>
          <w:rFonts w:ascii="Times New Roman" w:hAnsi="Times New Roman" w:cs="Times New Roman"/>
          <w:sz w:val="24"/>
          <w:szCs w:val="24"/>
        </w:rPr>
        <w:t xml:space="preserve">health </w:t>
      </w:r>
      <w:r w:rsidRPr="004E13ED">
        <w:rPr>
          <w:rFonts w:ascii="Times New Roman" w:hAnsi="Times New Roman" w:cs="Times New Roman"/>
          <w:sz w:val="24"/>
          <w:szCs w:val="24"/>
        </w:rPr>
        <w:t>disorders in children and young people</w:t>
      </w:r>
      <w:r w:rsidR="00916A09" w:rsidRPr="004E13ED">
        <w:rPr>
          <w:rFonts w:ascii="Times New Roman" w:hAnsi="Times New Roman" w:cs="Times New Roman"/>
          <w:sz w:val="24"/>
          <w:szCs w:val="24"/>
        </w:rPr>
        <w:t xml:space="preserve"> (CYP)</w:t>
      </w:r>
      <w:r w:rsidRPr="004E13ED">
        <w:rPr>
          <w:rFonts w:ascii="Times New Roman" w:hAnsi="Times New Roman" w:cs="Times New Roman"/>
          <w:sz w:val="24"/>
          <w:szCs w:val="24"/>
        </w:rPr>
        <w:t xml:space="preserve"> has gained increasing attention</w:t>
      </w:r>
      <w:r w:rsidR="004B38FE" w:rsidRPr="004E13ED">
        <w:rPr>
          <w:rFonts w:ascii="Times New Roman" w:hAnsi="Times New Roman" w:cs="Times New Roman"/>
          <w:sz w:val="24"/>
          <w:szCs w:val="24"/>
        </w:rPr>
        <w:t xml:space="preserve"> in recent years</w:t>
      </w:r>
      <w:r w:rsidRPr="004E13ED">
        <w:rPr>
          <w:rFonts w:ascii="Times New Roman" w:hAnsi="Times New Roman" w:cs="Times New Roman"/>
          <w:sz w:val="24"/>
          <w:szCs w:val="24"/>
        </w:rPr>
        <w:t xml:space="preserve">. Prevalence data suggests 18% of children aged 7-16 years </w:t>
      </w:r>
      <w:r w:rsidR="0041036E" w:rsidRPr="004E13ED">
        <w:rPr>
          <w:rFonts w:ascii="Times New Roman" w:hAnsi="Times New Roman" w:cs="Times New Roman"/>
          <w:sz w:val="24"/>
          <w:szCs w:val="24"/>
        </w:rPr>
        <w:t xml:space="preserve">and 22% of young people aged 17-24 had a probable mental disorder in 2022 (Newlove-Delgado et al. 2022). </w:t>
      </w:r>
      <w:r w:rsidR="00916A09" w:rsidRPr="004E13ED">
        <w:rPr>
          <w:rFonts w:ascii="Times New Roman" w:hAnsi="Times New Roman" w:cs="Times New Roman"/>
          <w:sz w:val="24"/>
          <w:szCs w:val="24"/>
        </w:rPr>
        <w:t xml:space="preserve">Emotional disorders, such as anxiety and depression, are the most common </w:t>
      </w:r>
      <w:r w:rsidR="006E1E56" w:rsidRPr="004E13ED">
        <w:rPr>
          <w:rFonts w:ascii="Times New Roman" w:hAnsi="Times New Roman" w:cs="Times New Roman"/>
          <w:sz w:val="24"/>
          <w:szCs w:val="24"/>
        </w:rPr>
        <w:t xml:space="preserve">mental health disorders </w:t>
      </w:r>
      <w:r w:rsidR="00916A09" w:rsidRPr="004E13ED">
        <w:rPr>
          <w:rFonts w:ascii="Times New Roman" w:hAnsi="Times New Roman" w:cs="Times New Roman"/>
          <w:sz w:val="24"/>
          <w:szCs w:val="24"/>
        </w:rPr>
        <w:t xml:space="preserve">experienced by young people. </w:t>
      </w:r>
      <w:r w:rsidR="00F02EE6" w:rsidRPr="004E13ED">
        <w:rPr>
          <w:rFonts w:ascii="Times New Roman" w:hAnsi="Times New Roman" w:cs="Times New Roman"/>
          <w:sz w:val="24"/>
          <w:szCs w:val="24"/>
        </w:rPr>
        <w:t xml:space="preserve">From 2017 to 2021, the proportion of </w:t>
      </w:r>
      <w:r w:rsidR="00285401" w:rsidRPr="004E13ED">
        <w:rPr>
          <w:rFonts w:ascii="Times New Roman" w:hAnsi="Times New Roman" w:cs="Times New Roman"/>
          <w:sz w:val="24"/>
          <w:szCs w:val="24"/>
        </w:rPr>
        <w:t>6-16</w:t>
      </w:r>
      <w:r w:rsidR="00285401">
        <w:rPr>
          <w:rFonts w:ascii="Times New Roman" w:hAnsi="Times New Roman" w:cs="Times New Roman"/>
          <w:sz w:val="24"/>
          <w:szCs w:val="24"/>
        </w:rPr>
        <w:t>-year</w:t>
      </w:r>
      <w:r w:rsidR="00705A70">
        <w:rPr>
          <w:rFonts w:ascii="Times New Roman" w:hAnsi="Times New Roman" w:cs="Times New Roman"/>
          <w:sz w:val="24"/>
          <w:szCs w:val="24"/>
        </w:rPr>
        <w:t xml:space="preserve"> </w:t>
      </w:r>
      <w:r w:rsidR="00F02EE6" w:rsidRPr="004E13ED">
        <w:rPr>
          <w:rFonts w:ascii="Times New Roman" w:hAnsi="Times New Roman" w:cs="Times New Roman"/>
          <w:sz w:val="24"/>
          <w:szCs w:val="24"/>
        </w:rPr>
        <w:t xml:space="preserve">olds who had a probable mental </w:t>
      </w:r>
      <w:r w:rsidR="006E1E56" w:rsidRPr="004E13ED">
        <w:rPr>
          <w:rFonts w:ascii="Times New Roman" w:hAnsi="Times New Roman" w:cs="Times New Roman"/>
          <w:sz w:val="24"/>
          <w:szCs w:val="24"/>
        </w:rPr>
        <w:t xml:space="preserve">health </w:t>
      </w:r>
      <w:r w:rsidR="00F02EE6" w:rsidRPr="004E13ED">
        <w:rPr>
          <w:rFonts w:ascii="Times New Roman" w:hAnsi="Times New Roman" w:cs="Times New Roman"/>
          <w:sz w:val="24"/>
          <w:szCs w:val="24"/>
        </w:rPr>
        <w:t>disorder increased from 11.6% to 17.4% (NHS Digital, 2021)</w:t>
      </w:r>
      <w:r w:rsidR="00573360" w:rsidRPr="004E13ED">
        <w:rPr>
          <w:rFonts w:ascii="Times New Roman" w:hAnsi="Times New Roman" w:cs="Times New Roman"/>
          <w:sz w:val="24"/>
          <w:szCs w:val="24"/>
        </w:rPr>
        <w:t>.</w:t>
      </w:r>
      <w:r w:rsidR="00F02EE6" w:rsidRPr="004E13ED">
        <w:rPr>
          <w:rFonts w:ascii="Times New Roman" w:hAnsi="Times New Roman" w:cs="Times New Roman"/>
          <w:sz w:val="24"/>
          <w:szCs w:val="24"/>
        </w:rPr>
        <w:t xml:space="preserve"> </w:t>
      </w:r>
      <w:r w:rsidR="003004EB" w:rsidRPr="004E13ED">
        <w:rPr>
          <w:rFonts w:ascii="Times New Roman" w:hAnsi="Times New Roman" w:cs="Times New Roman"/>
          <w:iCs/>
          <w:sz w:val="24"/>
          <w:szCs w:val="24"/>
        </w:rPr>
        <w:t>Young people who experience emotional problems are at greater risk of</w:t>
      </w:r>
      <w:r w:rsidR="00F32D07" w:rsidRPr="004E13ED">
        <w:rPr>
          <w:rFonts w:ascii="Times New Roman" w:hAnsi="Times New Roman" w:cs="Times New Roman"/>
          <w:iCs/>
          <w:sz w:val="24"/>
          <w:szCs w:val="24"/>
        </w:rPr>
        <w:t xml:space="preserve"> long-term</w:t>
      </w:r>
      <w:r w:rsidR="003004EB" w:rsidRPr="004E13ED">
        <w:rPr>
          <w:rFonts w:ascii="Times New Roman" w:hAnsi="Times New Roman" w:cs="Times New Roman"/>
          <w:iCs/>
          <w:sz w:val="24"/>
          <w:szCs w:val="24"/>
        </w:rPr>
        <w:t xml:space="preserve"> negative outcomes such as: persistent depression and anxiety through adulthood</w:t>
      </w:r>
      <w:r w:rsidR="003004EB" w:rsidRPr="00705A70">
        <w:rPr>
          <w:rFonts w:ascii="Times New Roman" w:hAnsi="Times New Roman" w:cs="Times New Roman"/>
          <w:iCs/>
          <w:sz w:val="24"/>
          <w:szCs w:val="24"/>
        </w:rPr>
        <w:t>;</w:t>
      </w:r>
      <w:r w:rsidR="003004EB" w:rsidRPr="004E13ED">
        <w:rPr>
          <w:rFonts w:ascii="Times New Roman" w:hAnsi="Times New Roman" w:cs="Times New Roman"/>
          <w:iCs/>
          <w:sz w:val="24"/>
          <w:szCs w:val="24"/>
        </w:rPr>
        <w:t xml:space="preserve"> poorer education</w:t>
      </w:r>
      <w:r w:rsidR="002C07EE" w:rsidRPr="004E13ED">
        <w:rPr>
          <w:rFonts w:ascii="Times New Roman" w:hAnsi="Times New Roman" w:cs="Times New Roman"/>
          <w:iCs/>
          <w:sz w:val="24"/>
          <w:szCs w:val="24"/>
        </w:rPr>
        <w:t>al</w:t>
      </w:r>
      <w:r w:rsidR="003004EB" w:rsidRPr="004E13ED">
        <w:rPr>
          <w:rFonts w:ascii="Times New Roman" w:hAnsi="Times New Roman" w:cs="Times New Roman"/>
          <w:iCs/>
          <w:sz w:val="24"/>
          <w:szCs w:val="24"/>
        </w:rPr>
        <w:t xml:space="preserve"> outcomes; social withdrawal</w:t>
      </w:r>
      <w:r w:rsidR="002C07EE" w:rsidRPr="004E13ED">
        <w:rPr>
          <w:rFonts w:ascii="Times New Roman" w:hAnsi="Times New Roman" w:cs="Times New Roman"/>
          <w:iCs/>
          <w:sz w:val="24"/>
          <w:szCs w:val="24"/>
        </w:rPr>
        <w:t xml:space="preserve">; and poor psychosocial functioning (Johnson et al. 2018; Clarke &amp; Lovewell, 2021). </w:t>
      </w:r>
      <w:r w:rsidR="000728BE" w:rsidRPr="004E13ED">
        <w:rPr>
          <w:rFonts w:ascii="Times New Roman" w:hAnsi="Times New Roman" w:cs="Times New Roman"/>
          <w:iCs/>
          <w:sz w:val="24"/>
          <w:szCs w:val="24"/>
        </w:rPr>
        <w:t>These impac</w:t>
      </w:r>
      <w:r w:rsidR="00154492" w:rsidRPr="004E13ED">
        <w:rPr>
          <w:rFonts w:ascii="Times New Roman" w:hAnsi="Times New Roman" w:cs="Times New Roman"/>
          <w:iCs/>
          <w:sz w:val="24"/>
          <w:szCs w:val="24"/>
        </w:rPr>
        <w:t xml:space="preserve">ts and levels of distress also vary among different groups. For example, children in the lowest 40% of the income distribution were twice as likely to report having attempted to commit suicide and a larger proportion experience psychological distress. Furthermore, </w:t>
      </w:r>
      <w:r w:rsidR="00154492" w:rsidRPr="004E13ED">
        <w:rPr>
          <w:rFonts w:ascii="Times New Roman" w:hAnsi="Times New Roman" w:cs="Times New Roman"/>
          <w:sz w:val="24"/>
          <w:szCs w:val="24"/>
        </w:rPr>
        <w:t>females, white adolescents and sexual minorities are found to have poorer mental health across most outcomes (</w:t>
      </w:r>
      <w:proofErr w:type="spellStart"/>
      <w:r w:rsidR="00154492" w:rsidRPr="004E13ED">
        <w:rPr>
          <w:rFonts w:ascii="Times New Roman" w:hAnsi="Times New Roman" w:cs="Times New Roman"/>
          <w:sz w:val="24"/>
          <w:szCs w:val="24"/>
        </w:rPr>
        <w:t>Patalay</w:t>
      </w:r>
      <w:proofErr w:type="spellEnd"/>
      <w:r w:rsidR="00154492" w:rsidRPr="004E13ED">
        <w:rPr>
          <w:rFonts w:ascii="Times New Roman" w:hAnsi="Times New Roman" w:cs="Times New Roman"/>
          <w:sz w:val="24"/>
          <w:szCs w:val="24"/>
        </w:rPr>
        <w:t xml:space="preserve"> and Fitzsimons, 2020). </w:t>
      </w:r>
    </w:p>
    <w:p w14:paraId="0D35D1CF" w14:textId="62C24448" w:rsidR="00CA4C00" w:rsidRPr="004E13ED" w:rsidRDefault="00BC3B8C" w:rsidP="00BE778B">
      <w:pPr>
        <w:spacing w:after="0" w:line="480" w:lineRule="auto"/>
        <w:ind w:firstLine="720"/>
        <w:rPr>
          <w:rFonts w:ascii="Times New Roman" w:hAnsi="Times New Roman" w:cs="Times New Roman"/>
          <w:noProof/>
          <w:sz w:val="24"/>
          <w:szCs w:val="24"/>
        </w:rPr>
      </w:pPr>
      <w:r w:rsidRPr="004E13ED">
        <w:rPr>
          <w:rFonts w:ascii="Times New Roman" w:hAnsi="Times New Roman" w:cs="Times New Roman"/>
          <w:sz w:val="24"/>
          <w:szCs w:val="24"/>
        </w:rPr>
        <w:t>The association with</w:t>
      </w:r>
      <w:r w:rsidR="002C07EE" w:rsidRPr="004E13ED">
        <w:rPr>
          <w:rFonts w:ascii="Times New Roman" w:hAnsi="Times New Roman" w:cs="Times New Roman"/>
          <w:sz w:val="24"/>
          <w:szCs w:val="24"/>
        </w:rPr>
        <w:t xml:space="preserve"> negative outcomes </w:t>
      </w:r>
      <w:r w:rsidRPr="004E13ED">
        <w:rPr>
          <w:rFonts w:ascii="Times New Roman" w:hAnsi="Times New Roman" w:cs="Times New Roman"/>
          <w:sz w:val="24"/>
          <w:szCs w:val="24"/>
        </w:rPr>
        <w:t>is</w:t>
      </w:r>
      <w:r w:rsidR="002C07EE" w:rsidRPr="004E13ED">
        <w:rPr>
          <w:rFonts w:ascii="Times New Roman" w:hAnsi="Times New Roman" w:cs="Times New Roman"/>
          <w:sz w:val="24"/>
          <w:szCs w:val="24"/>
        </w:rPr>
        <w:t xml:space="preserve"> not limited to those with clinical diagnoses but also those with mild to moderate difficulties or subclinical symptoms. </w:t>
      </w:r>
      <w:r w:rsidR="00F651BB" w:rsidRPr="004E13ED">
        <w:rPr>
          <w:rFonts w:ascii="Times New Roman" w:hAnsi="Times New Roman" w:cs="Times New Roman"/>
          <w:sz w:val="24"/>
          <w:szCs w:val="24"/>
        </w:rPr>
        <w:t>For example, subthreshold depression in adolescents has been associated with impaired functioning</w:t>
      </w:r>
      <w:r w:rsidR="00B9617A" w:rsidRPr="004E13ED">
        <w:rPr>
          <w:rFonts w:ascii="Times New Roman" w:hAnsi="Times New Roman" w:cs="Times New Roman"/>
          <w:sz w:val="24"/>
          <w:szCs w:val="24"/>
        </w:rPr>
        <w:t>,</w:t>
      </w:r>
      <w:r w:rsidR="00F651BB" w:rsidRPr="004E13ED">
        <w:rPr>
          <w:rFonts w:ascii="Times New Roman" w:hAnsi="Times New Roman" w:cs="Times New Roman"/>
          <w:sz w:val="24"/>
          <w:szCs w:val="24"/>
        </w:rPr>
        <w:t xml:space="preserve"> suicide risk (</w:t>
      </w:r>
      <w:r w:rsidR="00F651BB" w:rsidRPr="004E13ED">
        <w:rPr>
          <w:rFonts w:ascii="Times New Roman" w:hAnsi="Times New Roman" w:cs="Times New Roman"/>
          <w:noProof/>
          <w:sz w:val="24"/>
          <w:szCs w:val="24"/>
        </w:rPr>
        <w:t>Balázs et al. 2013)</w:t>
      </w:r>
      <w:r w:rsidR="00A87A1F" w:rsidRPr="004E13ED">
        <w:rPr>
          <w:rFonts w:ascii="Times New Roman" w:hAnsi="Times New Roman" w:cs="Times New Roman"/>
          <w:noProof/>
          <w:sz w:val="24"/>
          <w:szCs w:val="24"/>
        </w:rPr>
        <w:t>,</w:t>
      </w:r>
      <w:r w:rsidR="00882D56" w:rsidRPr="004E13ED">
        <w:rPr>
          <w:rFonts w:ascii="Times New Roman" w:hAnsi="Times New Roman" w:cs="Times New Roman"/>
          <w:noProof/>
          <w:sz w:val="24"/>
          <w:szCs w:val="24"/>
        </w:rPr>
        <w:t xml:space="preserve"> and greater risk for later development of a depressive disorder (Cuijpers et al. 2021)</w:t>
      </w:r>
      <w:r w:rsidR="00F651BB" w:rsidRPr="004E13ED">
        <w:rPr>
          <w:rFonts w:ascii="Times New Roman" w:hAnsi="Times New Roman" w:cs="Times New Roman"/>
          <w:noProof/>
          <w:sz w:val="24"/>
          <w:szCs w:val="24"/>
        </w:rPr>
        <w:t>. T</w:t>
      </w:r>
      <w:r w:rsidR="002C07EE" w:rsidRPr="004E13ED">
        <w:rPr>
          <w:rFonts w:ascii="Times New Roman" w:hAnsi="Times New Roman" w:cs="Times New Roman"/>
          <w:sz w:val="24"/>
          <w:szCs w:val="24"/>
        </w:rPr>
        <w:t>he prevalence</w:t>
      </w:r>
      <w:r w:rsidR="00882D56" w:rsidRPr="004E13ED">
        <w:rPr>
          <w:rFonts w:ascii="Times New Roman" w:hAnsi="Times New Roman" w:cs="Times New Roman"/>
          <w:sz w:val="24"/>
          <w:szCs w:val="24"/>
        </w:rPr>
        <w:t xml:space="preserve"> data</w:t>
      </w:r>
      <w:r w:rsidR="002C07EE" w:rsidRPr="004E13ED">
        <w:rPr>
          <w:rFonts w:ascii="Times New Roman" w:hAnsi="Times New Roman" w:cs="Times New Roman"/>
          <w:sz w:val="24"/>
          <w:szCs w:val="24"/>
        </w:rPr>
        <w:t xml:space="preserve"> of subthreshold symptoms is </w:t>
      </w:r>
      <w:r w:rsidR="00B9617A" w:rsidRPr="004E13ED">
        <w:rPr>
          <w:rFonts w:ascii="Times New Roman" w:hAnsi="Times New Roman" w:cs="Times New Roman"/>
          <w:sz w:val="24"/>
          <w:szCs w:val="24"/>
        </w:rPr>
        <w:t>high</w:t>
      </w:r>
      <w:r w:rsidR="002C07EE" w:rsidRPr="004E13ED">
        <w:rPr>
          <w:rFonts w:ascii="Times New Roman" w:hAnsi="Times New Roman" w:cs="Times New Roman"/>
          <w:sz w:val="24"/>
          <w:szCs w:val="24"/>
        </w:rPr>
        <w:t>, with 3</w:t>
      </w:r>
      <w:r w:rsidR="00882D56" w:rsidRPr="004E13ED">
        <w:rPr>
          <w:rFonts w:ascii="Times New Roman" w:hAnsi="Times New Roman" w:cs="Times New Roman"/>
          <w:sz w:val="24"/>
          <w:szCs w:val="24"/>
        </w:rPr>
        <w:t>2% sub-threshold anxious and 29% sub-threshold depressed (</w:t>
      </w:r>
      <w:r w:rsidR="00882D56" w:rsidRPr="004E13ED">
        <w:rPr>
          <w:rFonts w:ascii="Times New Roman" w:hAnsi="Times New Roman" w:cs="Times New Roman"/>
          <w:noProof/>
          <w:sz w:val="24"/>
          <w:szCs w:val="24"/>
        </w:rPr>
        <w:t xml:space="preserve">Balázs et al. 2013). </w:t>
      </w:r>
      <w:r w:rsidRPr="004E13ED">
        <w:rPr>
          <w:rFonts w:ascii="Times New Roman" w:hAnsi="Times New Roman" w:cs="Times New Roman"/>
          <w:noProof/>
          <w:sz w:val="24"/>
          <w:szCs w:val="24"/>
        </w:rPr>
        <w:t>Prompt interventions have been shown to be effective in reducing depressive symptoms and preventing recurrence in clinical and subthreshold depression</w:t>
      </w:r>
      <w:r w:rsidR="006E1E56" w:rsidRPr="004E13ED">
        <w:rPr>
          <w:rFonts w:ascii="Times New Roman" w:hAnsi="Times New Roman" w:cs="Times New Roman"/>
          <w:noProof/>
          <w:sz w:val="24"/>
          <w:szCs w:val="24"/>
        </w:rPr>
        <w:t xml:space="preserve"> in </w:t>
      </w:r>
      <w:r w:rsidR="00123A24" w:rsidRPr="004E13ED">
        <w:rPr>
          <w:rFonts w:ascii="Times New Roman" w:hAnsi="Times New Roman" w:cs="Times New Roman"/>
          <w:noProof/>
          <w:sz w:val="24"/>
          <w:szCs w:val="24"/>
        </w:rPr>
        <w:t>chi</w:t>
      </w:r>
      <w:r w:rsidR="00FC52B5" w:rsidRPr="004E13ED">
        <w:rPr>
          <w:rFonts w:ascii="Times New Roman" w:hAnsi="Times New Roman" w:cs="Times New Roman"/>
          <w:noProof/>
          <w:sz w:val="24"/>
          <w:szCs w:val="24"/>
        </w:rPr>
        <w:t>ld</w:t>
      </w:r>
      <w:r w:rsidR="00123A24" w:rsidRPr="004E13ED">
        <w:rPr>
          <w:rFonts w:ascii="Times New Roman" w:hAnsi="Times New Roman" w:cs="Times New Roman"/>
          <w:noProof/>
          <w:sz w:val="24"/>
          <w:szCs w:val="24"/>
        </w:rPr>
        <w:t>en and adolescents (</w:t>
      </w:r>
      <w:r w:rsidRPr="004E13ED">
        <w:rPr>
          <w:rFonts w:ascii="Times New Roman" w:hAnsi="Times New Roman" w:cs="Times New Roman"/>
          <w:noProof/>
          <w:sz w:val="24"/>
          <w:szCs w:val="24"/>
        </w:rPr>
        <w:t xml:space="preserve">Cuijpers et al. 2021). </w:t>
      </w:r>
      <w:r w:rsidR="00882D56" w:rsidRPr="004E13ED">
        <w:rPr>
          <w:rFonts w:ascii="Times New Roman" w:hAnsi="Times New Roman" w:cs="Times New Roman"/>
          <w:noProof/>
          <w:sz w:val="24"/>
          <w:szCs w:val="24"/>
        </w:rPr>
        <w:t xml:space="preserve"> </w:t>
      </w:r>
    </w:p>
    <w:p w14:paraId="40B36110" w14:textId="6AED7BE2" w:rsidR="00CA4C00" w:rsidRPr="004E13ED" w:rsidRDefault="009C3BC1" w:rsidP="00BE778B">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lastRenderedPageBreak/>
        <w:t xml:space="preserve">Despite the high prevalence of emotional difficulties and </w:t>
      </w:r>
      <w:r w:rsidR="00244CF2" w:rsidRPr="004E13ED">
        <w:rPr>
          <w:rFonts w:ascii="Times New Roman" w:hAnsi="Times New Roman" w:cs="Times New Roman"/>
          <w:sz w:val="24"/>
          <w:szCs w:val="24"/>
        </w:rPr>
        <w:t>subthreshold symptoms in CYP, very few access services for support</w:t>
      </w:r>
      <w:r w:rsidR="00DE0C13" w:rsidRPr="004E13ED">
        <w:rPr>
          <w:rFonts w:ascii="Times New Roman" w:hAnsi="Times New Roman" w:cs="Times New Roman"/>
          <w:sz w:val="24"/>
          <w:szCs w:val="24"/>
        </w:rPr>
        <w:t>. This is proposed to be</w:t>
      </w:r>
      <w:r w:rsidR="00244CF2" w:rsidRPr="004E13ED">
        <w:rPr>
          <w:rFonts w:ascii="Times New Roman" w:hAnsi="Times New Roman" w:cs="Times New Roman"/>
          <w:sz w:val="24"/>
          <w:szCs w:val="24"/>
        </w:rPr>
        <w:t xml:space="preserve"> for a variety of reasons, including: lack of time and resources of services; low rates of help seeking in young people; and perception and experience</w:t>
      </w:r>
      <w:r w:rsidR="00F90ACD" w:rsidRPr="004E13ED">
        <w:rPr>
          <w:rFonts w:ascii="Times New Roman" w:hAnsi="Times New Roman" w:cs="Times New Roman"/>
          <w:sz w:val="24"/>
          <w:szCs w:val="24"/>
        </w:rPr>
        <w:t>s</w:t>
      </w:r>
      <w:r w:rsidR="00244CF2" w:rsidRPr="004E13ED">
        <w:rPr>
          <w:rFonts w:ascii="Times New Roman" w:hAnsi="Times New Roman" w:cs="Times New Roman"/>
          <w:sz w:val="24"/>
          <w:szCs w:val="24"/>
        </w:rPr>
        <w:t xml:space="preserve"> </w:t>
      </w:r>
      <w:r w:rsidR="00F90ACD" w:rsidRPr="004E13ED">
        <w:rPr>
          <w:rFonts w:ascii="Times New Roman" w:hAnsi="Times New Roman" w:cs="Times New Roman"/>
          <w:sz w:val="24"/>
          <w:szCs w:val="24"/>
        </w:rPr>
        <w:t>of</w:t>
      </w:r>
      <w:r w:rsidR="00244CF2" w:rsidRPr="004E13ED">
        <w:rPr>
          <w:rFonts w:ascii="Times New Roman" w:hAnsi="Times New Roman" w:cs="Times New Roman"/>
          <w:sz w:val="24"/>
          <w:szCs w:val="24"/>
        </w:rPr>
        <w:t xml:space="preserve"> services (O'Brien et al. 2016; Reardon et al. 2017).</w:t>
      </w:r>
      <w:r w:rsidR="00686D53" w:rsidRPr="004E13ED">
        <w:rPr>
          <w:rFonts w:ascii="Times New Roman" w:hAnsi="Times New Roman" w:cs="Times New Roman"/>
          <w:sz w:val="24"/>
          <w:szCs w:val="24"/>
        </w:rPr>
        <w:t xml:space="preserve"> Within recent years, COVID-19 has further impacted on the accessibility of services for CYP with lockdowns and school closures correlating with drops in </w:t>
      </w:r>
      <w:r w:rsidR="00241C0A">
        <w:rPr>
          <w:rFonts w:ascii="Times New Roman" w:hAnsi="Times New Roman" w:cs="Times New Roman"/>
          <w:sz w:val="24"/>
          <w:szCs w:val="24"/>
        </w:rPr>
        <w:t>Child and Adolescent Mental Health services (</w:t>
      </w:r>
      <w:r w:rsidR="00686D53" w:rsidRPr="004E13ED">
        <w:rPr>
          <w:rFonts w:ascii="Times New Roman" w:hAnsi="Times New Roman" w:cs="Times New Roman"/>
          <w:sz w:val="24"/>
          <w:szCs w:val="24"/>
        </w:rPr>
        <w:t>CAMHS</w:t>
      </w:r>
      <w:r w:rsidR="00241C0A">
        <w:rPr>
          <w:rFonts w:ascii="Times New Roman" w:hAnsi="Times New Roman" w:cs="Times New Roman"/>
          <w:sz w:val="24"/>
          <w:szCs w:val="24"/>
        </w:rPr>
        <w:t>)</w:t>
      </w:r>
      <w:r w:rsidR="00686D53" w:rsidRPr="004E13ED">
        <w:rPr>
          <w:rFonts w:ascii="Times New Roman" w:hAnsi="Times New Roman" w:cs="Times New Roman"/>
          <w:sz w:val="24"/>
          <w:szCs w:val="24"/>
        </w:rPr>
        <w:t xml:space="preserve"> referral rates and low attendance at primary care and emergency departments (</w:t>
      </w:r>
      <w:r w:rsidR="003C2725" w:rsidRPr="004E13ED">
        <w:rPr>
          <w:rFonts w:ascii="Times New Roman" w:hAnsi="Times New Roman" w:cs="Times New Roman"/>
          <w:sz w:val="24"/>
          <w:szCs w:val="24"/>
        </w:rPr>
        <w:t>Huang &amp; Ougrin, 2021).</w:t>
      </w:r>
      <w:r w:rsidR="00244CF2" w:rsidRPr="004E13ED">
        <w:rPr>
          <w:rFonts w:ascii="Times New Roman" w:hAnsi="Times New Roman" w:cs="Times New Roman"/>
          <w:sz w:val="24"/>
          <w:szCs w:val="24"/>
        </w:rPr>
        <w:t xml:space="preserve"> </w:t>
      </w:r>
      <w:r w:rsidR="007370D9" w:rsidRPr="004E13ED">
        <w:rPr>
          <w:rFonts w:ascii="Times New Roman" w:hAnsi="Times New Roman" w:cs="Times New Roman"/>
          <w:sz w:val="24"/>
          <w:szCs w:val="24"/>
        </w:rPr>
        <w:t xml:space="preserve">By the time CYP have </w:t>
      </w:r>
      <w:r w:rsidR="00032944" w:rsidRPr="004E13ED">
        <w:rPr>
          <w:rFonts w:ascii="Times New Roman" w:hAnsi="Times New Roman" w:cs="Times New Roman"/>
          <w:sz w:val="24"/>
          <w:szCs w:val="24"/>
        </w:rPr>
        <w:t xml:space="preserve">been </w:t>
      </w:r>
      <w:r w:rsidR="007370D9" w:rsidRPr="004E13ED">
        <w:rPr>
          <w:rFonts w:ascii="Times New Roman" w:hAnsi="Times New Roman" w:cs="Times New Roman"/>
          <w:sz w:val="24"/>
          <w:szCs w:val="24"/>
        </w:rPr>
        <w:t xml:space="preserve">referred to specialist services, their distress </w:t>
      </w:r>
      <w:r w:rsidR="00032944" w:rsidRPr="004E13ED">
        <w:rPr>
          <w:rFonts w:ascii="Times New Roman" w:hAnsi="Times New Roman" w:cs="Times New Roman"/>
          <w:sz w:val="24"/>
          <w:szCs w:val="24"/>
        </w:rPr>
        <w:t xml:space="preserve">and impacts on daily functioning </w:t>
      </w:r>
      <w:r w:rsidR="007370D9" w:rsidRPr="004E13ED">
        <w:rPr>
          <w:rFonts w:ascii="Times New Roman" w:hAnsi="Times New Roman" w:cs="Times New Roman"/>
          <w:sz w:val="24"/>
          <w:szCs w:val="24"/>
        </w:rPr>
        <w:t>may have increased</w:t>
      </w:r>
      <w:r w:rsidR="00032944" w:rsidRPr="004E13ED">
        <w:rPr>
          <w:rFonts w:ascii="Times New Roman" w:hAnsi="Times New Roman" w:cs="Times New Roman"/>
          <w:sz w:val="24"/>
          <w:szCs w:val="24"/>
        </w:rPr>
        <w:t>, and</w:t>
      </w:r>
      <w:r w:rsidR="007370D9" w:rsidRPr="004E13ED">
        <w:rPr>
          <w:rFonts w:ascii="Times New Roman" w:hAnsi="Times New Roman" w:cs="Times New Roman"/>
          <w:sz w:val="24"/>
          <w:szCs w:val="24"/>
        </w:rPr>
        <w:t xml:space="preserve"> many may still be met with lengthy waiting times and </w:t>
      </w:r>
      <w:r w:rsidR="00032944" w:rsidRPr="004E13ED">
        <w:rPr>
          <w:rFonts w:ascii="Times New Roman" w:hAnsi="Times New Roman" w:cs="Times New Roman"/>
          <w:sz w:val="24"/>
          <w:szCs w:val="24"/>
        </w:rPr>
        <w:t xml:space="preserve">might </w:t>
      </w:r>
      <w:r w:rsidR="007370D9" w:rsidRPr="004E13ED">
        <w:rPr>
          <w:rFonts w:ascii="Times New Roman" w:hAnsi="Times New Roman" w:cs="Times New Roman"/>
          <w:sz w:val="24"/>
          <w:szCs w:val="24"/>
        </w:rPr>
        <w:t xml:space="preserve">not meet the high clinical thresholds to qualify for treatment (Crenna-Jennings &amp; Hutchinson, 2018). </w:t>
      </w:r>
      <w:r w:rsidR="00F90ACD" w:rsidRPr="004E13ED">
        <w:rPr>
          <w:rFonts w:ascii="Times New Roman" w:hAnsi="Times New Roman" w:cs="Times New Roman"/>
          <w:sz w:val="24"/>
          <w:szCs w:val="24"/>
        </w:rPr>
        <w:t xml:space="preserve">These factors have led to the introduction </w:t>
      </w:r>
      <w:r w:rsidR="00D752A4" w:rsidRPr="004E13ED">
        <w:rPr>
          <w:rFonts w:ascii="Times New Roman" w:hAnsi="Times New Roman" w:cs="Times New Roman"/>
          <w:sz w:val="24"/>
          <w:szCs w:val="24"/>
        </w:rPr>
        <w:t xml:space="preserve">of new models and services </w:t>
      </w:r>
      <w:r w:rsidR="001F51A5" w:rsidRPr="004E13ED">
        <w:rPr>
          <w:rFonts w:ascii="Times New Roman" w:hAnsi="Times New Roman" w:cs="Times New Roman"/>
          <w:sz w:val="24"/>
          <w:szCs w:val="24"/>
        </w:rPr>
        <w:t xml:space="preserve">that focus on improving access to low intensity early interventions for CYP with mild to moderate difficulties. </w:t>
      </w:r>
    </w:p>
    <w:p w14:paraId="4A59088D" w14:textId="620A012F" w:rsidR="00CA4C00" w:rsidRPr="00BE778B" w:rsidRDefault="00032944" w:rsidP="00BE778B">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S</w:t>
      </w:r>
      <w:r w:rsidR="00156DBB" w:rsidRPr="004E13ED">
        <w:rPr>
          <w:rFonts w:ascii="Times New Roman" w:hAnsi="Times New Roman" w:cs="Times New Roman"/>
          <w:sz w:val="24"/>
          <w:szCs w:val="24"/>
        </w:rPr>
        <w:t>chools are now considered pivotal in the</w:t>
      </w:r>
      <w:r w:rsidR="00EA6D67" w:rsidRPr="004E13ED">
        <w:rPr>
          <w:rFonts w:ascii="Times New Roman" w:hAnsi="Times New Roman" w:cs="Times New Roman"/>
          <w:sz w:val="24"/>
          <w:szCs w:val="24"/>
        </w:rPr>
        <w:t xml:space="preserve"> screening and</w:t>
      </w:r>
      <w:r w:rsidR="00156DBB" w:rsidRPr="004E13ED">
        <w:rPr>
          <w:rFonts w:ascii="Times New Roman" w:hAnsi="Times New Roman" w:cs="Times New Roman"/>
          <w:sz w:val="24"/>
          <w:szCs w:val="24"/>
        </w:rPr>
        <w:t xml:space="preserve"> delivery of interventions that can promote mental and physical wellbeing</w:t>
      </w:r>
      <w:r w:rsidR="000C6E93" w:rsidRPr="004E13ED">
        <w:rPr>
          <w:rFonts w:ascii="Times New Roman" w:hAnsi="Times New Roman" w:cs="Times New Roman"/>
          <w:sz w:val="24"/>
          <w:szCs w:val="24"/>
        </w:rPr>
        <w:t xml:space="preserve">. </w:t>
      </w:r>
      <w:r w:rsidR="00963F55" w:rsidRPr="004E13ED">
        <w:rPr>
          <w:rFonts w:ascii="Times New Roman" w:hAnsi="Times New Roman" w:cs="Times New Roman"/>
          <w:sz w:val="24"/>
          <w:szCs w:val="24"/>
        </w:rPr>
        <w:t>This is largely due to the amount of time that children and young people spend in schools but also the existence of structures and provisions in schools which allow for effective implementation of interventions</w:t>
      </w:r>
      <w:r w:rsidR="00A25FFE" w:rsidRPr="004E13ED">
        <w:rPr>
          <w:rFonts w:ascii="Times New Roman" w:hAnsi="Times New Roman" w:cs="Times New Roman"/>
          <w:sz w:val="24"/>
          <w:szCs w:val="24"/>
        </w:rPr>
        <w:t xml:space="preserve"> (</w:t>
      </w:r>
      <w:proofErr w:type="spellStart"/>
      <w:r w:rsidR="00EA6D67" w:rsidRPr="004E13ED">
        <w:rPr>
          <w:rFonts w:ascii="Times New Roman" w:hAnsi="Times New Roman" w:cs="Times New Roman"/>
          <w:sz w:val="24"/>
          <w:szCs w:val="24"/>
        </w:rPr>
        <w:t>Patalay</w:t>
      </w:r>
      <w:proofErr w:type="spellEnd"/>
      <w:r w:rsidR="00EA6D67" w:rsidRPr="004E13ED">
        <w:rPr>
          <w:rFonts w:ascii="Times New Roman" w:hAnsi="Times New Roman" w:cs="Times New Roman"/>
          <w:sz w:val="24"/>
          <w:szCs w:val="24"/>
        </w:rPr>
        <w:t xml:space="preserve"> et al. 2016)</w:t>
      </w:r>
      <w:r w:rsidR="00156DBB" w:rsidRPr="004E13ED">
        <w:rPr>
          <w:rFonts w:ascii="Times New Roman" w:hAnsi="Times New Roman" w:cs="Times New Roman"/>
          <w:sz w:val="24"/>
          <w:szCs w:val="24"/>
        </w:rPr>
        <w:t>. Children and adolescents describe schools as having a large impact on their wellbeing (ONS, 2020).</w:t>
      </w:r>
      <w:r w:rsidR="000027AC" w:rsidRPr="004E13ED">
        <w:rPr>
          <w:rFonts w:ascii="Times New Roman" w:hAnsi="Times New Roman" w:cs="Times New Roman"/>
          <w:sz w:val="24"/>
          <w:szCs w:val="24"/>
        </w:rPr>
        <w:t xml:space="preserve"> Furthermore, </w:t>
      </w:r>
      <w:r w:rsidR="00DE6793" w:rsidRPr="004E13ED">
        <w:rPr>
          <w:rFonts w:ascii="Times New Roman" w:hAnsi="Times New Roman" w:cs="Times New Roman"/>
          <w:sz w:val="24"/>
          <w:szCs w:val="24"/>
        </w:rPr>
        <w:t xml:space="preserve">some </w:t>
      </w:r>
      <w:r w:rsidR="00E950F6" w:rsidRPr="004E13ED">
        <w:rPr>
          <w:rFonts w:ascii="Times New Roman" w:hAnsi="Times New Roman" w:cs="Times New Roman"/>
          <w:sz w:val="24"/>
          <w:szCs w:val="24"/>
        </w:rPr>
        <w:t xml:space="preserve">of the </w:t>
      </w:r>
      <w:r w:rsidR="000027AC" w:rsidRPr="004E13ED">
        <w:rPr>
          <w:rFonts w:ascii="Times New Roman" w:hAnsi="Times New Roman" w:cs="Times New Roman"/>
          <w:sz w:val="24"/>
          <w:szCs w:val="24"/>
        </w:rPr>
        <w:t xml:space="preserve">barriers to seeking support, such as stigma and difficulties in accessing services, </w:t>
      </w:r>
      <w:r w:rsidR="000C6E93" w:rsidRPr="004E13ED">
        <w:rPr>
          <w:rFonts w:ascii="Times New Roman" w:hAnsi="Times New Roman" w:cs="Times New Roman"/>
          <w:sz w:val="24"/>
          <w:szCs w:val="24"/>
        </w:rPr>
        <w:t xml:space="preserve">can be </w:t>
      </w:r>
      <w:r w:rsidR="000027AC" w:rsidRPr="004E13ED">
        <w:rPr>
          <w:rFonts w:ascii="Times New Roman" w:hAnsi="Times New Roman" w:cs="Times New Roman"/>
          <w:sz w:val="24"/>
          <w:szCs w:val="24"/>
        </w:rPr>
        <w:t>reduced in the school environment (Stephan et al. 2007</w:t>
      </w:r>
      <w:r w:rsidR="00A25FFE" w:rsidRPr="004E13ED">
        <w:rPr>
          <w:rFonts w:ascii="Times New Roman" w:hAnsi="Times New Roman" w:cs="Times New Roman"/>
          <w:sz w:val="24"/>
          <w:szCs w:val="24"/>
        </w:rPr>
        <w:t xml:space="preserve">). </w:t>
      </w:r>
      <w:r w:rsidR="00EA6D67" w:rsidRPr="004E13ED">
        <w:rPr>
          <w:rFonts w:ascii="Times New Roman" w:hAnsi="Times New Roman" w:cs="Times New Roman"/>
          <w:sz w:val="24"/>
          <w:szCs w:val="24"/>
        </w:rPr>
        <w:t xml:space="preserve">Therefore, there has been increasing literature that </w:t>
      </w:r>
      <w:r w:rsidR="00843A32" w:rsidRPr="004E13ED">
        <w:rPr>
          <w:rFonts w:ascii="Times New Roman" w:hAnsi="Times New Roman" w:cs="Times New Roman"/>
          <w:sz w:val="24"/>
          <w:szCs w:val="24"/>
        </w:rPr>
        <w:t xml:space="preserve">supports the </w:t>
      </w:r>
      <w:r w:rsidR="00EA6D67" w:rsidRPr="004E13ED">
        <w:rPr>
          <w:rFonts w:ascii="Times New Roman" w:hAnsi="Times New Roman" w:cs="Times New Roman"/>
          <w:sz w:val="24"/>
          <w:szCs w:val="24"/>
        </w:rPr>
        <w:t>us</w:t>
      </w:r>
      <w:r w:rsidR="00843A32" w:rsidRPr="004E13ED">
        <w:rPr>
          <w:rFonts w:ascii="Times New Roman" w:hAnsi="Times New Roman" w:cs="Times New Roman"/>
          <w:sz w:val="24"/>
          <w:szCs w:val="24"/>
        </w:rPr>
        <w:t>e of</w:t>
      </w:r>
      <w:r w:rsidR="00EA6D67" w:rsidRPr="004E13ED">
        <w:rPr>
          <w:rFonts w:ascii="Times New Roman" w:hAnsi="Times New Roman" w:cs="Times New Roman"/>
          <w:sz w:val="24"/>
          <w:szCs w:val="24"/>
        </w:rPr>
        <w:t xml:space="preserve"> schools to screen and identify young people who are at risk of mental </w:t>
      </w:r>
      <w:r w:rsidR="00000AA6" w:rsidRPr="004E13ED">
        <w:rPr>
          <w:rFonts w:ascii="Times New Roman" w:hAnsi="Times New Roman" w:cs="Times New Roman"/>
          <w:sz w:val="24"/>
          <w:szCs w:val="24"/>
        </w:rPr>
        <w:t xml:space="preserve">health </w:t>
      </w:r>
      <w:r w:rsidR="00EA6D67" w:rsidRPr="004E13ED">
        <w:rPr>
          <w:rFonts w:ascii="Times New Roman" w:hAnsi="Times New Roman" w:cs="Times New Roman"/>
          <w:sz w:val="24"/>
          <w:szCs w:val="24"/>
        </w:rPr>
        <w:t>disorders</w:t>
      </w:r>
      <w:r w:rsidR="00AF3F37" w:rsidRPr="004E13ED">
        <w:rPr>
          <w:rFonts w:ascii="Times New Roman" w:hAnsi="Times New Roman" w:cs="Times New Roman"/>
          <w:sz w:val="24"/>
          <w:szCs w:val="24"/>
        </w:rPr>
        <w:t xml:space="preserve"> and</w:t>
      </w:r>
      <w:r w:rsidR="00EA6D67" w:rsidRPr="004E13ED">
        <w:rPr>
          <w:rFonts w:ascii="Times New Roman" w:hAnsi="Times New Roman" w:cs="Times New Roman"/>
          <w:sz w:val="24"/>
          <w:szCs w:val="24"/>
        </w:rPr>
        <w:t xml:space="preserve"> provide them with </w:t>
      </w:r>
      <w:r w:rsidR="006C0DFF" w:rsidRPr="004E13ED">
        <w:rPr>
          <w:rFonts w:ascii="Times New Roman" w:hAnsi="Times New Roman" w:cs="Times New Roman"/>
          <w:sz w:val="24"/>
          <w:szCs w:val="24"/>
        </w:rPr>
        <w:t xml:space="preserve">the </w:t>
      </w:r>
      <w:r w:rsidR="00920F2E" w:rsidRPr="004E13ED">
        <w:rPr>
          <w:rFonts w:ascii="Times New Roman" w:hAnsi="Times New Roman" w:cs="Times New Roman"/>
          <w:sz w:val="24"/>
          <w:szCs w:val="24"/>
        </w:rPr>
        <w:t>appropriate</w:t>
      </w:r>
      <w:r w:rsidR="00FC52B5" w:rsidRPr="004E13ED">
        <w:rPr>
          <w:rFonts w:ascii="Times New Roman" w:hAnsi="Times New Roman" w:cs="Times New Roman"/>
          <w:sz w:val="24"/>
          <w:szCs w:val="24"/>
        </w:rPr>
        <w:t xml:space="preserve"> </w:t>
      </w:r>
      <w:r w:rsidR="00EA6D67" w:rsidRPr="004E13ED">
        <w:rPr>
          <w:rFonts w:ascii="Times New Roman" w:hAnsi="Times New Roman" w:cs="Times New Roman"/>
          <w:sz w:val="24"/>
          <w:szCs w:val="24"/>
        </w:rPr>
        <w:t>support earl</w:t>
      </w:r>
      <w:r w:rsidR="006C0DFF" w:rsidRPr="004E13ED">
        <w:rPr>
          <w:rFonts w:ascii="Times New Roman" w:hAnsi="Times New Roman" w:cs="Times New Roman"/>
          <w:sz w:val="24"/>
          <w:szCs w:val="24"/>
        </w:rPr>
        <w:t>y on</w:t>
      </w:r>
      <w:r w:rsidR="00EA6D67" w:rsidRPr="004E13ED">
        <w:rPr>
          <w:rFonts w:ascii="Times New Roman" w:hAnsi="Times New Roman" w:cs="Times New Roman"/>
          <w:sz w:val="24"/>
          <w:szCs w:val="24"/>
        </w:rPr>
        <w:t xml:space="preserve"> (Humphrey &amp; Wigelsworth, 2016). </w:t>
      </w:r>
      <w:r w:rsidR="00843A32" w:rsidRPr="004E13ED">
        <w:rPr>
          <w:rFonts w:ascii="Times New Roman" w:hAnsi="Times New Roman" w:cs="Times New Roman"/>
          <w:sz w:val="24"/>
          <w:szCs w:val="24"/>
        </w:rPr>
        <w:t>It is also</w:t>
      </w:r>
      <w:r w:rsidR="006C0DFF" w:rsidRPr="004E13ED">
        <w:rPr>
          <w:rFonts w:ascii="Times New Roman" w:hAnsi="Times New Roman" w:cs="Times New Roman"/>
          <w:sz w:val="24"/>
          <w:szCs w:val="24"/>
        </w:rPr>
        <w:t xml:space="preserve"> argue</w:t>
      </w:r>
      <w:r w:rsidR="00843A32" w:rsidRPr="004E13ED">
        <w:rPr>
          <w:rFonts w:ascii="Times New Roman" w:hAnsi="Times New Roman" w:cs="Times New Roman"/>
          <w:sz w:val="24"/>
          <w:szCs w:val="24"/>
        </w:rPr>
        <w:t>d</w:t>
      </w:r>
      <w:r w:rsidR="006C0DFF" w:rsidRPr="004E13ED">
        <w:rPr>
          <w:rFonts w:ascii="Times New Roman" w:hAnsi="Times New Roman" w:cs="Times New Roman"/>
          <w:sz w:val="24"/>
          <w:szCs w:val="24"/>
        </w:rPr>
        <w:t xml:space="preserve"> that young people generally do not seek help on their own and many parents and teachers may not always be aware of the early indicators of </w:t>
      </w:r>
      <w:r w:rsidR="006E1E56" w:rsidRPr="004E13ED">
        <w:rPr>
          <w:rFonts w:ascii="Times New Roman" w:hAnsi="Times New Roman" w:cs="Times New Roman"/>
          <w:sz w:val="24"/>
          <w:szCs w:val="24"/>
        </w:rPr>
        <w:t>mental health disorders</w:t>
      </w:r>
      <w:r w:rsidR="003B3B55">
        <w:rPr>
          <w:rFonts w:ascii="Times New Roman" w:hAnsi="Times New Roman" w:cs="Times New Roman"/>
          <w:sz w:val="24"/>
          <w:szCs w:val="24"/>
        </w:rPr>
        <w:t xml:space="preserve"> </w:t>
      </w:r>
      <w:r w:rsidR="006C0DFF" w:rsidRPr="004E13ED">
        <w:rPr>
          <w:rFonts w:ascii="Times New Roman" w:hAnsi="Times New Roman" w:cs="Times New Roman"/>
          <w:sz w:val="24"/>
          <w:szCs w:val="24"/>
        </w:rPr>
        <w:t xml:space="preserve">(Burns and </w:t>
      </w:r>
      <w:proofErr w:type="spellStart"/>
      <w:r w:rsidR="006C0DFF" w:rsidRPr="004E13ED">
        <w:rPr>
          <w:rFonts w:ascii="Times New Roman" w:hAnsi="Times New Roman" w:cs="Times New Roman"/>
          <w:sz w:val="24"/>
          <w:szCs w:val="24"/>
        </w:rPr>
        <w:t>Rapee</w:t>
      </w:r>
      <w:proofErr w:type="spellEnd"/>
      <w:r w:rsidR="006C0DFF" w:rsidRPr="004E13ED">
        <w:rPr>
          <w:rFonts w:ascii="Times New Roman" w:hAnsi="Times New Roman" w:cs="Times New Roman"/>
          <w:sz w:val="24"/>
          <w:szCs w:val="24"/>
        </w:rPr>
        <w:t xml:space="preserve">, 2022). </w:t>
      </w:r>
      <w:r w:rsidR="006C0DFF" w:rsidRPr="004E13ED">
        <w:rPr>
          <w:rFonts w:ascii="Times New Roman" w:hAnsi="Times New Roman" w:cs="Times New Roman"/>
          <w:sz w:val="24"/>
          <w:szCs w:val="24"/>
        </w:rPr>
        <w:lastRenderedPageBreak/>
        <w:t xml:space="preserve">Thus, more provisions are needed </w:t>
      </w:r>
      <w:r w:rsidR="00781BE5" w:rsidRPr="004E13ED">
        <w:rPr>
          <w:rFonts w:ascii="Times New Roman" w:hAnsi="Times New Roman" w:cs="Times New Roman"/>
          <w:sz w:val="24"/>
          <w:szCs w:val="24"/>
        </w:rPr>
        <w:t>in schools</w:t>
      </w:r>
      <w:r w:rsidR="00782433" w:rsidRPr="004E13ED">
        <w:rPr>
          <w:rFonts w:ascii="Times New Roman" w:hAnsi="Times New Roman" w:cs="Times New Roman"/>
          <w:sz w:val="24"/>
          <w:szCs w:val="24"/>
        </w:rPr>
        <w:t>, such as psychoeducation and more immediate access to other psychological interventions,</w:t>
      </w:r>
      <w:r w:rsidR="00781BE5" w:rsidRPr="004E13ED">
        <w:rPr>
          <w:rFonts w:ascii="Times New Roman" w:hAnsi="Times New Roman" w:cs="Times New Roman"/>
          <w:sz w:val="24"/>
          <w:szCs w:val="24"/>
        </w:rPr>
        <w:t xml:space="preserve"> </w:t>
      </w:r>
      <w:r w:rsidR="006C0DFF" w:rsidRPr="004E13ED">
        <w:rPr>
          <w:rFonts w:ascii="Times New Roman" w:hAnsi="Times New Roman" w:cs="Times New Roman"/>
          <w:sz w:val="24"/>
          <w:szCs w:val="24"/>
        </w:rPr>
        <w:t xml:space="preserve">to ensure children and young people in need are identified and supported. </w:t>
      </w:r>
    </w:p>
    <w:p w14:paraId="2BCD8D2C" w14:textId="5A104CE7" w:rsidR="007B589B" w:rsidRPr="004E13ED" w:rsidRDefault="006C0DFF" w:rsidP="001553EC">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Based on this rationale, </w:t>
      </w:r>
      <w:r w:rsidR="007370D9" w:rsidRPr="004E13ED">
        <w:rPr>
          <w:rFonts w:ascii="Times New Roman" w:hAnsi="Times New Roman" w:cs="Times New Roman"/>
          <w:sz w:val="24"/>
          <w:szCs w:val="24"/>
        </w:rPr>
        <w:t xml:space="preserve">Mental Health Support Teams in schools </w:t>
      </w:r>
      <w:r w:rsidR="00260C0F">
        <w:rPr>
          <w:rFonts w:ascii="Times New Roman" w:hAnsi="Times New Roman" w:cs="Times New Roman"/>
          <w:sz w:val="24"/>
          <w:szCs w:val="24"/>
        </w:rPr>
        <w:t xml:space="preserve">(MHSTs) </w:t>
      </w:r>
      <w:r w:rsidRPr="004E13ED">
        <w:rPr>
          <w:rFonts w:ascii="Times New Roman" w:hAnsi="Times New Roman" w:cs="Times New Roman"/>
          <w:sz w:val="24"/>
          <w:szCs w:val="24"/>
        </w:rPr>
        <w:t>were a government initiative introduced</w:t>
      </w:r>
      <w:r w:rsidR="007370D9" w:rsidRPr="004E13ED">
        <w:rPr>
          <w:rFonts w:ascii="Times New Roman" w:hAnsi="Times New Roman" w:cs="Times New Roman"/>
          <w:sz w:val="24"/>
          <w:szCs w:val="24"/>
        </w:rPr>
        <w:t xml:space="preserve"> in the UK</w:t>
      </w:r>
      <w:r w:rsidR="00782433" w:rsidRPr="004E13ED">
        <w:rPr>
          <w:rFonts w:ascii="Times New Roman" w:hAnsi="Times New Roman" w:cs="Times New Roman"/>
          <w:sz w:val="24"/>
          <w:szCs w:val="24"/>
        </w:rPr>
        <w:t xml:space="preserve"> in 2018/19</w:t>
      </w:r>
      <w:r w:rsidR="00AF3F37" w:rsidRPr="004E13ED">
        <w:rPr>
          <w:rFonts w:ascii="Times New Roman" w:hAnsi="Times New Roman" w:cs="Times New Roman"/>
          <w:sz w:val="24"/>
          <w:szCs w:val="24"/>
        </w:rPr>
        <w:t>. They</w:t>
      </w:r>
      <w:r w:rsidR="007370D9" w:rsidRPr="004E13ED">
        <w:rPr>
          <w:rFonts w:ascii="Times New Roman" w:hAnsi="Times New Roman" w:cs="Times New Roman"/>
          <w:sz w:val="24"/>
          <w:szCs w:val="24"/>
        </w:rPr>
        <w:t xml:space="preserve"> aim to provide support for CYP for a variety of difficulties, including sleep; low mood; anxiety; and behavioural problems</w:t>
      </w:r>
      <w:r w:rsidR="00475A5B">
        <w:rPr>
          <w:rFonts w:ascii="Times New Roman" w:hAnsi="Times New Roman" w:cs="Times New Roman"/>
          <w:sz w:val="24"/>
          <w:szCs w:val="24"/>
        </w:rPr>
        <w:t>,</w:t>
      </w:r>
      <w:r w:rsidR="009F43B1" w:rsidRPr="004E13ED">
        <w:rPr>
          <w:rFonts w:ascii="Times New Roman" w:hAnsi="Times New Roman" w:cs="Times New Roman"/>
          <w:sz w:val="24"/>
          <w:szCs w:val="24"/>
        </w:rPr>
        <w:t xml:space="preserve"> as well as </w:t>
      </w:r>
      <w:r w:rsidR="00475A5B">
        <w:rPr>
          <w:rFonts w:ascii="Times New Roman" w:hAnsi="Times New Roman" w:cs="Times New Roman"/>
          <w:sz w:val="24"/>
          <w:szCs w:val="24"/>
        </w:rPr>
        <w:t xml:space="preserve">to </w:t>
      </w:r>
      <w:r w:rsidR="009F43B1" w:rsidRPr="004E13ED">
        <w:rPr>
          <w:rFonts w:ascii="Times New Roman" w:hAnsi="Times New Roman" w:cs="Times New Roman"/>
          <w:sz w:val="24"/>
          <w:szCs w:val="24"/>
        </w:rPr>
        <w:t>promote emotional wellbeing within the wider school ethos</w:t>
      </w:r>
      <w:r w:rsidR="007370D9" w:rsidRPr="004E13ED">
        <w:rPr>
          <w:rFonts w:ascii="Times New Roman" w:hAnsi="Times New Roman" w:cs="Times New Roman"/>
          <w:sz w:val="24"/>
          <w:szCs w:val="24"/>
        </w:rPr>
        <w:t xml:space="preserve"> (Department for Health and Social Care &amp; Department for Education, 2017). </w:t>
      </w:r>
      <w:r w:rsidR="009F43B1" w:rsidRPr="004E13ED">
        <w:rPr>
          <w:rFonts w:ascii="Times New Roman" w:hAnsi="Times New Roman" w:cs="Times New Roman"/>
          <w:sz w:val="24"/>
          <w:szCs w:val="24"/>
        </w:rPr>
        <w:t>The MHSTs introduce</w:t>
      </w:r>
      <w:r w:rsidR="005628E2" w:rsidRPr="004E13ED">
        <w:rPr>
          <w:rFonts w:ascii="Times New Roman" w:hAnsi="Times New Roman" w:cs="Times New Roman"/>
          <w:sz w:val="24"/>
          <w:szCs w:val="24"/>
        </w:rPr>
        <w:t>d</w:t>
      </w:r>
      <w:r w:rsidR="009F43B1" w:rsidRPr="004E13ED">
        <w:rPr>
          <w:rFonts w:ascii="Times New Roman" w:hAnsi="Times New Roman" w:cs="Times New Roman"/>
          <w:sz w:val="24"/>
          <w:szCs w:val="24"/>
        </w:rPr>
        <w:t xml:space="preserve"> a new low intensity practitioner workforce, the Educational Mental Health Practitioners (EMHP). </w:t>
      </w:r>
      <w:r w:rsidR="002E4ED8">
        <w:rPr>
          <w:rFonts w:ascii="Times New Roman" w:hAnsi="Times New Roman" w:cs="Times New Roman"/>
          <w:sz w:val="24"/>
          <w:szCs w:val="24"/>
        </w:rPr>
        <w:t xml:space="preserve">This </w:t>
      </w:r>
      <w:r w:rsidR="00EA14CB">
        <w:rPr>
          <w:rFonts w:ascii="Times New Roman" w:hAnsi="Times New Roman" w:cs="Times New Roman"/>
          <w:sz w:val="24"/>
          <w:szCs w:val="24"/>
        </w:rPr>
        <w:t>is a paraprofessional role</w:t>
      </w:r>
      <w:r w:rsidR="00D12D14">
        <w:rPr>
          <w:rFonts w:ascii="Times New Roman" w:hAnsi="Times New Roman" w:cs="Times New Roman"/>
          <w:sz w:val="24"/>
          <w:szCs w:val="24"/>
        </w:rPr>
        <w:t xml:space="preserve"> created for delivery of </w:t>
      </w:r>
      <w:r w:rsidR="00E65F25">
        <w:rPr>
          <w:rFonts w:ascii="Times New Roman" w:hAnsi="Times New Roman" w:cs="Times New Roman"/>
          <w:sz w:val="24"/>
          <w:szCs w:val="24"/>
        </w:rPr>
        <w:t>evidence-based interventions for mild-to-moderate mental health difficulties, in an educational setting</w:t>
      </w:r>
      <w:r w:rsidR="004622A5">
        <w:rPr>
          <w:rFonts w:ascii="Times New Roman" w:hAnsi="Times New Roman" w:cs="Times New Roman"/>
          <w:sz w:val="24"/>
          <w:szCs w:val="24"/>
        </w:rPr>
        <w:t xml:space="preserve"> (Ellins et al. </w:t>
      </w:r>
      <w:r w:rsidR="00DA5225">
        <w:rPr>
          <w:rFonts w:ascii="Times New Roman" w:hAnsi="Times New Roman" w:cs="Times New Roman"/>
          <w:sz w:val="24"/>
          <w:szCs w:val="24"/>
        </w:rPr>
        <w:t>2023)</w:t>
      </w:r>
      <w:r w:rsidR="00E65F25">
        <w:rPr>
          <w:rFonts w:ascii="Times New Roman" w:hAnsi="Times New Roman" w:cs="Times New Roman"/>
          <w:sz w:val="24"/>
          <w:szCs w:val="24"/>
        </w:rPr>
        <w:t xml:space="preserve">. The EMHPs comprise </w:t>
      </w:r>
      <w:r w:rsidR="00FC2046">
        <w:rPr>
          <w:rFonts w:ascii="Times New Roman" w:hAnsi="Times New Roman" w:cs="Times New Roman"/>
          <w:sz w:val="24"/>
          <w:szCs w:val="24"/>
        </w:rPr>
        <w:t>much of</w:t>
      </w:r>
      <w:r w:rsidR="00E65F25">
        <w:rPr>
          <w:rFonts w:ascii="Times New Roman" w:hAnsi="Times New Roman" w:cs="Times New Roman"/>
          <w:sz w:val="24"/>
          <w:szCs w:val="24"/>
        </w:rPr>
        <w:t xml:space="preserve"> </w:t>
      </w:r>
      <w:r w:rsidR="00594A97">
        <w:rPr>
          <w:rFonts w:ascii="Times New Roman" w:hAnsi="Times New Roman" w:cs="Times New Roman"/>
          <w:sz w:val="24"/>
          <w:szCs w:val="24"/>
        </w:rPr>
        <w:t xml:space="preserve">the workforce structure and are supervised by senior </w:t>
      </w:r>
      <w:r w:rsidR="0013742E">
        <w:rPr>
          <w:rFonts w:ascii="Times New Roman" w:hAnsi="Times New Roman" w:cs="Times New Roman"/>
          <w:sz w:val="24"/>
          <w:szCs w:val="24"/>
        </w:rPr>
        <w:t>mental health clinicians</w:t>
      </w:r>
      <w:r w:rsidR="009653FB">
        <w:rPr>
          <w:rFonts w:ascii="Times New Roman" w:hAnsi="Times New Roman" w:cs="Times New Roman"/>
          <w:sz w:val="24"/>
          <w:szCs w:val="24"/>
        </w:rPr>
        <w:t xml:space="preserve">, who </w:t>
      </w:r>
      <w:r w:rsidR="00BA2717">
        <w:rPr>
          <w:rFonts w:ascii="Times New Roman" w:hAnsi="Times New Roman" w:cs="Times New Roman"/>
          <w:sz w:val="24"/>
          <w:szCs w:val="24"/>
        </w:rPr>
        <w:t xml:space="preserve">are also responsible for the </w:t>
      </w:r>
      <w:r w:rsidR="009653FB">
        <w:rPr>
          <w:rFonts w:ascii="Times New Roman" w:hAnsi="Times New Roman" w:cs="Times New Roman"/>
          <w:sz w:val="24"/>
          <w:szCs w:val="24"/>
        </w:rPr>
        <w:t>manage</w:t>
      </w:r>
      <w:r w:rsidR="00BA2717">
        <w:rPr>
          <w:rFonts w:ascii="Times New Roman" w:hAnsi="Times New Roman" w:cs="Times New Roman"/>
          <w:sz w:val="24"/>
          <w:szCs w:val="24"/>
        </w:rPr>
        <w:t>ment of the team, consultation and advice as well as delivering interventions themselves</w:t>
      </w:r>
      <w:r w:rsidR="00FB349F">
        <w:rPr>
          <w:rFonts w:ascii="Times New Roman" w:hAnsi="Times New Roman" w:cs="Times New Roman"/>
          <w:sz w:val="24"/>
          <w:szCs w:val="24"/>
        </w:rPr>
        <w:t xml:space="preserve"> (NHS England, 2019)</w:t>
      </w:r>
      <w:r w:rsidR="00BA2717">
        <w:rPr>
          <w:rFonts w:ascii="Times New Roman" w:hAnsi="Times New Roman" w:cs="Times New Roman"/>
          <w:sz w:val="24"/>
          <w:szCs w:val="24"/>
        </w:rPr>
        <w:t xml:space="preserve">. </w:t>
      </w:r>
      <w:r w:rsidR="009653FB">
        <w:rPr>
          <w:rFonts w:ascii="Times New Roman" w:hAnsi="Times New Roman" w:cs="Times New Roman"/>
          <w:sz w:val="24"/>
          <w:szCs w:val="24"/>
        </w:rPr>
        <w:t xml:space="preserve"> </w:t>
      </w:r>
      <w:r w:rsidR="004E5909">
        <w:rPr>
          <w:rFonts w:ascii="Times New Roman" w:hAnsi="Times New Roman" w:cs="Times New Roman"/>
          <w:sz w:val="24"/>
          <w:szCs w:val="24"/>
        </w:rPr>
        <w:t xml:space="preserve">The MHST workforce work closely with </w:t>
      </w:r>
      <w:r w:rsidR="00EB5534">
        <w:rPr>
          <w:rFonts w:ascii="Times New Roman" w:hAnsi="Times New Roman" w:cs="Times New Roman"/>
          <w:sz w:val="24"/>
          <w:szCs w:val="24"/>
        </w:rPr>
        <w:t>professionals in mental health roles within the educational setting as well, such as the Senior Mental Health Lead (SMHL)</w:t>
      </w:r>
      <w:r w:rsidR="000518A5">
        <w:rPr>
          <w:rFonts w:ascii="Times New Roman" w:hAnsi="Times New Roman" w:cs="Times New Roman"/>
          <w:sz w:val="24"/>
          <w:szCs w:val="24"/>
        </w:rPr>
        <w:t xml:space="preserve">. </w:t>
      </w:r>
      <w:r w:rsidR="009F43B1" w:rsidRPr="004E13ED">
        <w:rPr>
          <w:rFonts w:ascii="Times New Roman" w:hAnsi="Times New Roman" w:cs="Times New Roman"/>
          <w:sz w:val="24"/>
          <w:szCs w:val="24"/>
        </w:rPr>
        <w:t>Given the</w:t>
      </w:r>
      <w:r w:rsidR="00862BA5" w:rsidRPr="004E13ED">
        <w:rPr>
          <w:rFonts w:ascii="Times New Roman" w:hAnsi="Times New Roman" w:cs="Times New Roman"/>
          <w:sz w:val="24"/>
          <w:szCs w:val="24"/>
        </w:rPr>
        <w:t xml:space="preserve"> </w:t>
      </w:r>
      <w:r w:rsidR="00AD7777" w:rsidRPr="004E13ED">
        <w:rPr>
          <w:rFonts w:ascii="Times New Roman" w:hAnsi="Times New Roman" w:cs="Times New Roman"/>
          <w:sz w:val="24"/>
          <w:szCs w:val="24"/>
        </w:rPr>
        <w:t>strong evidence</w:t>
      </w:r>
      <w:r w:rsidR="00862BA5" w:rsidRPr="004E13ED">
        <w:rPr>
          <w:rFonts w:ascii="Times New Roman" w:hAnsi="Times New Roman" w:cs="Times New Roman"/>
          <w:sz w:val="24"/>
          <w:szCs w:val="24"/>
        </w:rPr>
        <w:t xml:space="preserve"> for the effective use of cognitive behavioural therapies</w:t>
      </w:r>
      <w:r w:rsidR="00AD7777" w:rsidRPr="004E13ED">
        <w:rPr>
          <w:rFonts w:ascii="Times New Roman" w:hAnsi="Times New Roman" w:cs="Times New Roman"/>
          <w:sz w:val="24"/>
          <w:szCs w:val="24"/>
        </w:rPr>
        <w:t xml:space="preserve"> (CBT)</w:t>
      </w:r>
      <w:r w:rsidR="00862BA5" w:rsidRPr="004E13ED">
        <w:rPr>
          <w:rFonts w:ascii="Times New Roman" w:hAnsi="Times New Roman" w:cs="Times New Roman"/>
          <w:sz w:val="24"/>
          <w:szCs w:val="24"/>
        </w:rPr>
        <w:t xml:space="preserve"> in the treatment of depression and anxiety in CYP (</w:t>
      </w:r>
      <w:r w:rsidR="00AD7777" w:rsidRPr="004E13ED">
        <w:rPr>
          <w:rFonts w:ascii="Times New Roman" w:hAnsi="Times New Roman" w:cs="Times New Roman"/>
          <w:sz w:val="24"/>
          <w:szCs w:val="24"/>
        </w:rPr>
        <w:t>James et al. 2020)</w:t>
      </w:r>
      <w:r w:rsidR="009F43B1" w:rsidRPr="004E13ED">
        <w:rPr>
          <w:rFonts w:ascii="Times New Roman" w:hAnsi="Times New Roman" w:cs="Times New Roman"/>
          <w:sz w:val="24"/>
          <w:szCs w:val="24"/>
        </w:rPr>
        <w:t>, the MHSTs aim to deliver low intensity, CBT</w:t>
      </w:r>
      <w:r w:rsidR="004B38FE" w:rsidRPr="004E13ED">
        <w:rPr>
          <w:rFonts w:ascii="Times New Roman" w:hAnsi="Times New Roman" w:cs="Times New Roman"/>
          <w:sz w:val="24"/>
          <w:szCs w:val="24"/>
        </w:rPr>
        <w:t xml:space="preserve">-informed </w:t>
      </w:r>
      <w:r w:rsidR="009F43B1" w:rsidRPr="004E13ED">
        <w:rPr>
          <w:rFonts w:ascii="Times New Roman" w:hAnsi="Times New Roman" w:cs="Times New Roman"/>
          <w:sz w:val="24"/>
          <w:szCs w:val="24"/>
        </w:rPr>
        <w:t>interventions to CYP</w:t>
      </w:r>
      <w:r w:rsidR="00AD7777" w:rsidRPr="004E13ED">
        <w:rPr>
          <w:rFonts w:ascii="Times New Roman" w:hAnsi="Times New Roman" w:cs="Times New Roman"/>
          <w:sz w:val="24"/>
          <w:szCs w:val="24"/>
        </w:rPr>
        <w:t xml:space="preserve">. </w:t>
      </w:r>
      <w:r w:rsidR="00A61A4B" w:rsidRPr="004E13ED">
        <w:rPr>
          <w:rFonts w:ascii="Times New Roman" w:hAnsi="Times New Roman" w:cs="Times New Roman"/>
          <w:sz w:val="24"/>
          <w:szCs w:val="24"/>
        </w:rPr>
        <w:t>The introduction of a new low intensity practitioner workforce allows for the delivery of these interventions in schools, making them more accessible to CYP at great scale.</w:t>
      </w:r>
    </w:p>
    <w:p w14:paraId="1F4B4B68" w14:textId="3ACDD579" w:rsidR="00907DF9" w:rsidRDefault="009C7DB1" w:rsidP="006E5CAF">
      <w:pPr>
        <w:spacing w:after="0" w:line="480" w:lineRule="auto"/>
        <w:ind w:firstLine="720"/>
        <w:rPr>
          <w:rFonts w:ascii="Times New Roman" w:hAnsi="Times New Roman" w:cs="Times New Roman"/>
          <w:b/>
          <w:i/>
          <w:sz w:val="24"/>
          <w:szCs w:val="24"/>
        </w:rPr>
      </w:pPr>
      <w:r>
        <w:rPr>
          <w:rFonts w:ascii="Times New Roman" w:hAnsi="Times New Roman" w:cs="Times New Roman"/>
          <w:sz w:val="24"/>
          <w:szCs w:val="24"/>
        </w:rPr>
        <w:t>T</w:t>
      </w:r>
      <w:r w:rsidR="003C2725" w:rsidRPr="004E13ED">
        <w:rPr>
          <w:rFonts w:ascii="Times New Roman" w:hAnsi="Times New Roman" w:cs="Times New Roman"/>
          <w:sz w:val="24"/>
          <w:szCs w:val="24"/>
        </w:rPr>
        <w:t xml:space="preserve">here is </w:t>
      </w:r>
      <w:r w:rsidR="00F21FCD">
        <w:rPr>
          <w:rFonts w:ascii="Times New Roman" w:hAnsi="Times New Roman" w:cs="Times New Roman"/>
          <w:sz w:val="24"/>
          <w:szCs w:val="24"/>
        </w:rPr>
        <w:t>currently limited</w:t>
      </w:r>
      <w:r w:rsidR="00F21FCD" w:rsidRPr="004E13ED">
        <w:rPr>
          <w:rFonts w:ascii="Times New Roman" w:hAnsi="Times New Roman" w:cs="Times New Roman"/>
          <w:sz w:val="24"/>
          <w:szCs w:val="24"/>
        </w:rPr>
        <w:t xml:space="preserve"> </w:t>
      </w:r>
      <w:r w:rsidR="003C2725" w:rsidRPr="004E13ED">
        <w:rPr>
          <w:rFonts w:ascii="Times New Roman" w:hAnsi="Times New Roman" w:cs="Times New Roman"/>
          <w:sz w:val="24"/>
          <w:szCs w:val="24"/>
        </w:rPr>
        <w:t xml:space="preserve">evaluation of the characteristics and demographics of CYP accessing </w:t>
      </w:r>
      <w:r w:rsidR="00740DEC">
        <w:rPr>
          <w:rFonts w:ascii="Times New Roman" w:hAnsi="Times New Roman" w:cs="Times New Roman"/>
          <w:sz w:val="24"/>
          <w:szCs w:val="24"/>
        </w:rPr>
        <w:t>MHSTs</w:t>
      </w:r>
      <w:r w:rsidR="003C2725" w:rsidRPr="004E13ED">
        <w:rPr>
          <w:rFonts w:ascii="Times New Roman" w:hAnsi="Times New Roman" w:cs="Times New Roman"/>
          <w:sz w:val="24"/>
          <w:szCs w:val="24"/>
        </w:rPr>
        <w:t xml:space="preserve"> and their clinical presentations. There is also little consideration for whether the population accessing the service is representative of the wider population. </w:t>
      </w:r>
      <w:r w:rsidR="00E42A9F" w:rsidRPr="004E13ED">
        <w:rPr>
          <w:rFonts w:ascii="Times New Roman" w:hAnsi="Times New Roman" w:cs="Times New Roman"/>
          <w:sz w:val="24"/>
          <w:szCs w:val="24"/>
        </w:rPr>
        <w:t xml:space="preserve">A recently published pilot evaluation was the first of its kind in investigating the effectiveness </w:t>
      </w:r>
      <w:r w:rsidR="00E42A9F" w:rsidRPr="004E13ED">
        <w:rPr>
          <w:rFonts w:ascii="Times New Roman" w:hAnsi="Times New Roman" w:cs="Times New Roman"/>
          <w:sz w:val="24"/>
          <w:szCs w:val="24"/>
        </w:rPr>
        <w:lastRenderedPageBreak/>
        <w:t xml:space="preserve">of cognitive behavioural interventions delivered by this new workforce and service profile but </w:t>
      </w:r>
      <w:r w:rsidR="007B5B68">
        <w:rPr>
          <w:rFonts w:ascii="Times New Roman" w:hAnsi="Times New Roman" w:cs="Times New Roman"/>
          <w:sz w:val="24"/>
          <w:szCs w:val="24"/>
        </w:rPr>
        <w:t xml:space="preserve">the </w:t>
      </w:r>
      <w:r w:rsidR="007B5B68" w:rsidRPr="004E13ED">
        <w:rPr>
          <w:rFonts w:ascii="Times New Roman" w:hAnsi="Times New Roman" w:cs="Times New Roman"/>
          <w:sz w:val="24"/>
          <w:szCs w:val="24"/>
        </w:rPr>
        <w:t xml:space="preserve">authors did not collate key demographic details of the CYP </w:t>
      </w:r>
      <w:r w:rsidR="007B5B68">
        <w:rPr>
          <w:rFonts w:ascii="Times New Roman" w:hAnsi="Times New Roman" w:cs="Times New Roman"/>
          <w:sz w:val="24"/>
          <w:szCs w:val="24"/>
        </w:rPr>
        <w:t>so were unable to</w:t>
      </w:r>
      <w:r w:rsidR="00E42A9F" w:rsidRPr="004E13ED">
        <w:rPr>
          <w:rFonts w:ascii="Times New Roman" w:hAnsi="Times New Roman" w:cs="Times New Roman"/>
          <w:sz w:val="24"/>
          <w:szCs w:val="24"/>
        </w:rPr>
        <w:t xml:space="preserve"> </w:t>
      </w:r>
      <w:r w:rsidR="00D8223F">
        <w:rPr>
          <w:rFonts w:ascii="Times New Roman" w:hAnsi="Times New Roman" w:cs="Times New Roman"/>
          <w:sz w:val="24"/>
          <w:szCs w:val="24"/>
        </w:rPr>
        <w:t>examine</w:t>
      </w:r>
      <w:r w:rsidR="00E42A9F" w:rsidRPr="004E13ED">
        <w:rPr>
          <w:rFonts w:ascii="Times New Roman" w:hAnsi="Times New Roman" w:cs="Times New Roman"/>
          <w:sz w:val="24"/>
          <w:szCs w:val="24"/>
        </w:rPr>
        <w:t xml:space="preserve"> the characteristics of those accessing the servic</w:t>
      </w:r>
      <w:r w:rsidR="007B5B68">
        <w:rPr>
          <w:rFonts w:ascii="Times New Roman" w:hAnsi="Times New Roman" w:cs="Times New Roman"/>
          <w:sz w:val="24"/>
          <w:szCs w:val="24"/>
        </w:rPr>
        <w:t xml:space="preserve">e </w:t>
      </w:r>
      <w:r w:rsidR="00E42A9F" w:rsidRPr="004E13ED">
        <w:rPr>
          <w:rFonts w:ascii="Times New Roman" w:hAnsi="Times New Roman" w:cs="Times New Roman"/>
          <w:sz w:val="24"/>
          <w:szCs w:val="24"/>
        </w:rPr>
        <w:t>(Lockhart et al. 2021).</w:t>
      </w:r>
      <w:r w:rsidR="007B5B68">
        <w:rPr>
          <w:rFonts w:ascii="Times New Roman" w:hAnsi="Times New Roman" w:cs="Times New Roman"/>
          <w:sz w:val="24"/>
          <w:szCs w:val="24"/>
        </w:rPr>
        <w:t xml:space="preserve"> </w:t>
      </w:r>
      <w:r w:rsidR="00AF3F37" w:rsidRPr="004E13ED">
        <w:rPr>
          <w:rFonts w:ascii="Times New Roman" w:hAnsi="Times New Roman" w:cs="Times New Roman"/>
          <w:sz w:val="24"/>
          <w:szCs w:val="24"/>
        </w:rPr>
        <w:t xml:space="preserve">Given the need to increase access to </w:t>
      </w:r>
      <w:r w:rsidR="00A6358B" w:rsidRPr="004E13ED">
        <w:rPr>
          <w:rFonts w:ascii="Times New Roman" w:hAnsi="Times New Roman" w:cs="Times New Roman"/>
          <w:sz w:val="24"/>
          <w:szCs w:val="24"/>
        </w:rPr>
        <w:t xml:space="preserve">early </w:t>
      </w:r>
      <w:r w:rsidR="00AF3F37" w:rsidRPr="004E13ED">
        <w:rPr>
          <w:rFonts w:ascii="Times New Roman" w:hAnsi="Times New Roman" w:cs="Times New Roman"/>
          <w:sz w:val="24"/>
          <w:szCs w:val="24"/>
        </w:rPr>
        <w:t>support, it</w:t>
      </w:r>
      <w:r w:rsidR="003C2725" w:rsidRPr="004E13ED">
        <w:rPr>
          <w:rFonts w:ascii="Times New Roman" w:hAnsi="Times New Roman" w:cs="Times New Roman"/>
          <w:sz w:val="24"/>
          <w:szCs w:val="24"/>
        </w:rPr>
        <w:t xml:space="preserve"> is important to understand the clinical </w:t>
      </w:r>
      <w:r w:rsidR="00922BD1" w:rsidRPr="004E13ED">
        <w:rPr>
          <w:rFonts w:ascii="Times New Roman" w:hAnsi="Times New Roman" w:cs="Times New Roman"/>
          <w:sz w:val="24"/>
          <w:szCs w:val="24"/>
        </w:rPr>
        <w:t xml:space="preserve">and demographic </w:t>
      </w:r>
      <w:r w:rsidR="003C2725" w:rsidRPr="004E13ED">
        <w:rPr>
          <w:rFonts w:ascii="Times New Roman" w:hAnsi="Times New Roman" w:cs="Times New Roman"/>
          <w:sz w:val="24"/>
          <w:szCs w:val="24"/>
        </w:rPr>
        <w:t xml:space="preserve">characteristics of those who </w:t>
      </w:r>
      <w:r w:rsidR="00AF3F37" w:rsidRPr="004E13ED">
        <w:rPr>
          <w:rFonts w:ascii="Times New Roman" w:hAnsi="Times New Roman" w:cs="Times New Roman"/>
          <w:sz w:val="24"/>
          <w:szCs w:val="24"/>
        </w:rPr>
        <w:t xml:space="preserve">access </w:t>
      </w:r>
      <w:r w:rsidR="003C2725" w:rsidRPr="004E13ED">
        <w:rPr>
          <w:rFonts w:ascii="Times New Roman" w:hAnsi="Times New Roman" w:cs="Times New Roman"/>
          <w:sz w:val="24"/>
          <w:szCs w:val="24"/>
        </w:rPr>
        <w:t>th</w:t>
      </w:r>
      <w:r w:rsidR="00B82676">
        <w:rPr>
          <w:rFonts w:ascii="Times New Roman" w:hAnsi="Times New Roman" w:cs="Times New Roman"/>
          <w:sz w:val="24"/>
          <w:szCs w:val="24"/>
        </w:rPr>
        <w:t xml:space="preserve">is school-based </w:t>
      </w:r>
      <w:r w:rsidR="003C2725" w:rsidRPr="004E13ED">
        <w:rPr>
          <w:rFonts w:ascii="Times New Roman" w:hAnsi="Times New Roman" w:cs="Times New Roman"/>
          <w:sz w:val="24"/>
          <w:szCs w:val="24"/>
        </w:rPr>
        <w:t>service</w:t>
      </w:r>
      <w:r w:rsidR="00B9617A" w:rsidRPr="004E13ED">
        <w:rPr>
          <w:rFonts w:ascii="Times New Roman" w:hAnsi="Times New Roman" w:cs="Times New Roman"/>
          <w:sz w:val="24"/>
          <w:szCs w:val="24"/>
        </w:rPr>
        <w:t>.</w:t>
      </w:r>
      <w:r w:rsidR="00E42A9F" w:rsidRPr="004E13ED">
        <w:rPr>
          <w:rFonts w:ascii="Times New Roman" w:hAnsi="Times New Roman" w:cs="Times New Roman"/>
          <w:sz w:val="24"/>
          <w:szCs w:val="24"/>
        </w:rPr>
        <w:t xml:space="preserve"> </w:t>
      </w:r>
      <w:r w:rsidR="00B9617A" w:rsidRPr="004E13ED">
        <w:rPr>
          <w:rFonts w:ascii="Times New Roman" w:hAnsi="Times New Roman" w:cs="Times New Roman"/>
          <w:sz w:val="24"/>
          <w:szCs w:val="24"/>
        </w:rPr>
        <w:t xml:space="preserve">Understanding </w:t>
      </w:r>
      <w:r w:rsidR="00922BD1" w:rsidRPr="004E13ED">
        <w:rPr>
          <w:rFonts w:ascii="Times New Roman" w:hAnsi="Times New Roman" w:cs="Times New Roman"/>
          <w:sz w:val="24"/>
          <w:szCs w:val="24"/>
        </w:rPr>
        <w:t xml:space="preserve">this profile </w:t>
      </w:r>
      <w:r w:rsidR="00B9617A" w:rsidRPr="004E13ED">
        <w:rPr>
          <w:rFonts w:ascii="Times New Roman" w:hAnsi="Times New Roman" w:cs="Times New Roman"/>
          <w:sz w:val="24"/>
          <w:szCs w:val="24"/>
        </w:rPr>
        <w:t>can better inform how the provisions are delivered and how we can ensure all CYP are able to access MHSTs</w:t>
      </w:r>
      <w:r w:rsidR="00B82676">
        <w:rPr>
          <w:rFonts w:ascii="Times New Roman" w:hAnsi="Times New Roman" w:cs="Times New Roman"/>
          <w:sz w:val="24"/>
          <w:szCs w:val="24"/>
        </w:rPr>
        <w:t xml:space="preserve"> and other school-based services</w:t>
      </w:r>
      <w:r w:rsidR="00A6358B" w:rsidRPr="004E13ED">
        <w:rPr>
          <w:rFonts w:ascii="Times New Roman" w:hAnsi="Times New Roman" w:cs="Times New Roman"/>
          <w:sz w:val="24"/>
          <w:szCs w:val="24"/>
        </w:rPr>
        <w:t xml:space="preserve">. It will allow for the identification of groups or individuals who are not accessing the service at present or </w:t>
      </w:r>
      <w:r w:rsidR="00AF3F37" w:rsidRPr="004E13ED">
        <w:rPr>
          <w:rFonts w:ascii="Times New Roman" w:hAnsi="Times New Roman" w:cs="Times New Roman"/>
          <w:sz w:val="24"/>
          <w:szCs w:val="24"/>
        </w:rPr>
        <w:t xml:space="preserve">CYP who are at </w:t>
      </w:r>
      <w:r w:rsidR="00A6358B" w:rsidRPr="004E13ED">
        <w:rPr>
          <w:rFonts w:ascii="Times New Roman" w:hAnsi="Times New Roman" w:cs="Times New Roman"/>
          <w:sz w:val="24"/>
          <w:szCs w:val="24"/>
        </w:rPr>
        <w:t>higher risk</w:t>
      </w:r>
      <w:r w:rsidR="00AF3F37" w:rsidRPr="004E13ED">
        <w:rPr>
          <w:rFonts w:ascii="Times New Roman" w:hAnsi="Times New Roman" w:cs="Times New Roman"/>
          <w:sz w:val="24"/>
          <w:szCs w:val="24"/>
        </w:rPr>
        <w:t>, so that schools and MHSTs are better prepared to support them, whether this be through indicated interventions or prevention</w:t>
      </w:r>
      <w:r w:rsidR="00145F6E" w:rsidRPr="004E13ED">
        <w:rPr>
          <w:rFonts w:ascii="Times New Roman" w:hAnsi="Times New Roman" w:cs="Times New Roman"/>
          <w:b/>
          <w:i/>
          <w:sz w:val="24"/>
          <w:szCs w:val="24"/>
        </w:rPr>
        <w:t xml:space="preserve">. </w:t>
      </w:r>
    </w:p>
    <w:p w14:paraId="763B7133" w14:textId="2FEF559E" w:rsidR="00D040AE" w:rsidRPr="004E13ED" w:rsidRDefault="003C2725"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This paper presents data that was routinely collected by </w:t>
      </w:r>
      <w:r w:rsidR="00EE5065" w:rsidRPr="004E13ED">
        <w:rPr>
          <w:rFonts w:ascii="Times New Roman" w:hAnsi="Times New Roman" w:cs="Times New Roman"/>
          <w:sz w:val="24"/>
          <w:szCs w:val="24"/>
        </w:rPr>
        <w:t xml:space="preserve">wave </w:t>
      </w:r>
      <w:r w:rsidR="000E3322">
        <w:rPr>
          <w:rFonts w:ascii="Times New Roman" w:hAnsi="Times New Roman" w:cs="Times New Roman"/>
          <w:sz w:val="24"/>
          <w:szCs w:val="24"/>
        </w:rPr>
        <w:t>one</w:t>
      </w:r>
      <w:r w:rsidR="00EE5065" w:rsidRPr="004E13ED">
        <w:rPr>
          <w:rFonts w:ascii="Times New Roman" w:hAnsi="Times New Roman" w:cs="Times New Roman"/>
          <w:sz w:val="24"/>
          <w:szCs w:val="24"/>
        </w:rPr>
        <w:t xml:space="preserve"> </w:t>
      </w:r>
      <w:r w:rsidRPr="004E13ED">
        <w:rPr>
          <w:rFonts w:ascii="Times New Roman" w:hAnsi="Times New Roman" w:cs="Times New Roman"/>
          <w:sz w:val="24"/>
          <w:szCs w:val="24"/>
        </w:rPr>
        <w:t xml:space="preserve">MHSTs across </w:t>
      </w:r>
      <w:r w:rsidR="00B82676">
        <w:rPr>
          <w:rFonts w:ascii="Times New Roman" w:hAnsi="Times New Roman" w:cs="Times New Roman"/>
          <w:sz w:val="24"/>
          <w:szCs w:val="24"/>
        </w:rPr>
        <w:t xml:space="preserve">West Sussex in the </w:t>
      </w:r>
      <w:r w:rsidRPr="004E13ED">
        <w:rPr>
          <w:rFonts w:ascii="Times New Roman" w:hAnsi="Times New Roman" w:cs="Times New Roman"/>
          <w:sz w:val="24"/>
          <w:szCs w:val="24"/>
        </w:rPr>
        <w:t xml:space="preserve">South East </w:t>
      </w:r>
      <w:r w:rsidR="00FC52B5" w:rsidRPr="004E13ED">
        <w:rPr>
          <w:rFonts w:ascii="Times New Roman" w:hAnsi="Times New Roman" w:cs="Times New Roman"/>
          <w:sz w:val="24"/>
          <w:szCs w:val="24"/>
        </w:rPr>
        <w:t xml:space="preserve">of </w:t>
      </w:r>
      <w:r w:rsidRPr="004E13ED">
        <w:rPr>
          <w:rFonts w:ascii="Times New Roman" w:hAnsi="Times New Roman" w:cs="Times New Roman"/>
          <w:sz w:val="24"/>
          <w:szCs w:val="24"/>
        </w:rPr>
        <w:t xml:space="preserve">England. It describes the demographic data </w:t>
      </w:r>
      <w:r w:rsidR="0007311C" w:rsidRPr="004E13ED">
        <w:rPr>
          <w:rFonts w:ascii="Times New Roman" w:hAnsi="Times New Roman" w:cs="Times New Roman"/>
          <w:sz w:val="24"/>
          <w:szCs w:val="24"/>
        </w:rPr>
        <w:t xml:space="preserve">of those referred </w:t>
      </w:r>
      <w:r w:rsidR="00ED64A6" w:rsidRPr="004E13ED">
        <w:rPr>
          <w:rFonts w:ascii="Times New Roman" w:hAnsi="Times New Roman" w:cs="Times New Roman"/>
          <w:sz w:val="24"/>
          <w:szCs w:val="24"/>
        </w:rPr>
        <w:t xml:space="preserve">and </w:t>
      </w:r>
      <w:r w:rsidR="002041F5" w:rsidRPr="004E13ED">
        <w:rPr>
          <w:rFonts w:ascii="Times New Roman" w:hAnsi="Times New Roman" w:cs="Times New Roman"/>
          <w:sz w:val="24"/>
          <w:szCs w:val="24"/>
        </w:rPr>
        <w:t xml:space="preserve">the clinical characteristics of </w:t>
      </w:r>
      <w:r w:rsidR="0007311C" w:rsidRPr="004E13ED">
        <w:rPr>
          <w:rFonts w:ascii="Times New Roman" w:hAnsi="Times New Roman" w:cs="Times New Roman"/>
          <w:sz w:val="24"/>
          <w:szCs w:val="24"/>
        </w:rPr>
        <w:t>those</w:t>
      </w:r>
      <w:r w:rsidR="002041F5" w:rsidRPr="004E13ED">
        <w:rPr>
          <w:rFonts w:ascii="Times New Roman" w:hAnsi="Times New Roman" w:cs="Times New Roman"/>
          <w:sz w:val="24"/>
          <w:szCs w:val="24"/>
        </w:rPr>
        <w:t xml:space="preserve"> </w:t>
      </w:r>
      <w:r w:rsidR="00ED64A6" w:rsidRPr="004E13ED">
        <w:rPr>
          <w:rFonts w:ascii="Times New Roman" w:hAnsi="Times New Roman" w:cs="Times New Roman"/>
          <w:sz w:val="24"/>
          <w:szCs w:val="24"/>
        </w:rPr>
        <w:t xml:space="preserve">accepted </w:t>
      </w:r>
      <w:r w:rsidRPr="004E13ED">
        <w:rPr>
          <w:rFonts w:ascii="Times New Roman" w:hAnsi="Times New Roman" w:cs="Times New Roman"/>
          <w:sz w:val="24"/>
          <w:szCs w:val="24"/>
        </w:rPr>
        <w:t>to t</w:t>
      </w:r>
      <w:r w:rsidR="005F4A24" w:rsidRPr="004E13ED">
        <w:rPr>
          <w:rFonts w:ascii="Times New Roman" w:hAnsi="Times New Roman" w:cs="Times New Roman"/>
          <w:sz w:val="24"/>
          <w:szCs w:val="24"/>
        </w:rPr>
        <w:t>wo</w:t>
      </w:r>
      <w:r w:rsidRPr="004E13ED">
        <w:rPr>
          <w:rFonts w:ascii="Times New Roman" w:hAnsi="Times New Roman" w:cs="Times New Roman"/>
          <w:sz w:val="24"/>
          <w:szCs w:val="24"/>
        </w:rPr>
        <w:t xml:space="preserve"> MHSTs in the year 2021, with the aim of informing future service delivery and assessment. </w:t>
      </w:r>
      <w:r w:rsidR="00D07DD1" w:rsidRPr="004E13ED">
        <w:rPr>
          <w:rFonts w:ascii="Times New Roman" w:hAnsi="Times New Roman" w:cs="Times New Roman"/>
          <w:sz w:val="24"/>
          <w:szCs w:val="24"/>
        </w:rPr>
        <w:t xml:space="preserve">It is worth noting that the MHSTs were implemented amidst the COVID-19 pandemic, whereby many schools faced closures and restrictions, such as isolation bubbles. This impacted CYP's ability to access MHSTs. Furthermore, it meant that the training of wave </w:t>
      </w:r>
      <w:r w:rsidR="000E3322">
        <w:rPr>
          <w:rFonts w:ascii="Times New Roman" w:hAnsi="Times New Roman" w:cs="Times New Roman"/>
          <w:sz w:val="24"/>
          <w:szCs w:val="24"/>
        </w:rPr>
        <w:t>one</w:t>
      </w:r>
      <w:r w:rsidR="00D07DD1" w:rsidRPr="004E13ED">
        <w:rPr>
          <w:rFonts w:ascii="Times New Roman" w:hAnsi="Times New Roman" w:cs="Times New Roman"/>
          <w:sz w:val="24"/>
          <w:szCs w:val="24"/>
        </w:rPr>
        <w:t xml:space="preserve"> EMHPs was delayed by 6 months. Therefore, this paper will focus on the year 2021 where restrictions were reduced and the MHSTs had completed the training of wave </w:t>
      </w:r>
      <w:r w:rsidR="000E3322">
        <w:rPr>
          <w:rFonts w:ascii="Times New Roman" w:hAnsi="Times New Roman" w:cs="Times New Roman"/>
          <w:sz w:val="24"/>
          <w:szCs w:val="24"/>
        </w:rPr>
        <w:t>one</w:t>
      </w:r>
      <w:r w:rsidR="00D07DD1" w:rsidRPr="004E13ED">
        <w:rPr>
          <w:rFonts w:ascii="Times New Roman" w:hAnsi="Times New Roman" w:cs="Times New Roman"/>
          <w:sz w:val="24"/>
          <w:szCs w:val="24"/>
        </w:rPr>
        <w:t xml:space="preserve"> EMHPs.</w:t>
      </w:r>
    </w:p>
    <w:p w14:paraId="6FA013EE" w14:textId="69EA3C96" w:rsidR="00BD7B51" w:rsidRPr="004E13ED" w:rsidRDefault="005F4A24" w:rsidP="006E5CAF">
      <w:pPr>
        <w:spacing w:after="0" w:line="480" w:lineRule="auto"/>
        <w:ind w:firstLine="360"/>
        <w:rPr>
          <w:rFonts w:ascii="Times New Roman" w:hAnsi="Times New Roman" w:cs="Times New Roman"/>
          <w:sz w:val="24"/>
          <w:szCs w:val="24"/>
        </w:rPr>
      </w:pPr>
      <w:r w:rsidRPr="004E13ED">
        <w:rPr>
          <w:rFonts w:ascii="Times New Roman" w:hAnsi="Times New Roman" w:cs="Times New Roman"/>
          <w:sz w:val="24"/>
          <w:szCs w:val="24"/>
        </w:rPr>
        <w:t>The research questions for this paper are as follows:</w:t>
      </w:r>
    </w:p>
    <w:p w14:paraId="1A3C4B93" w14:textId="3DE6BC7A" w:rsidR="00E3793B" w:rsidRPr="004E13ED" w:rsidRDefault="00E3793B" w:rsidP="00BE778B">
      <w:pPr>
        <w:pStyle w:val="ListParagraph"/>
        <w:numPr>
          <w:ilvl w:val="0"/>
          <w:numId w:val="10"/>
        </w:numPr>
        <w:spacing w:after="0" w:line="480" w:lineRule="auto"/>
        <w:rPr>
          <w:rFonts w:ascii="Times New Roman" w:hAnsi="Times New Roman" w:cs="Times New Roman"/>
          <w:sz w:val="24"/>
          <w:szCs w:val="24"/>
        </w:rPr>
      </w:pPr>
      <w:r w:rsidRPr="004E13ED">
        <w:rPr>
          <w:rFonts w:ascii="Times New Roman" w:hAnsi="Times New Roman" w:cs="Times New Roman"/>
          <w:sz w:val="24"/>
          <w:szCs w:val="24"/>
        </w:rPr>
        <w:t xml:space="preserve">What are the demographics of young people who referred to and </w:t>
      </w:r>
      <w:r w:rsidR="00A10E8E" w:rsidRPr="004E13ED">
        <w:rPr>
          <w:rFonts w:ascii="Times New Roman" w:hAnsi="Times New Roman" w:cs="Times New Roman"/>
          <w:sz w:val="24"/>
          <w:szCs w:val="24"/>
        </w:rPr>
        <w:t>we</w:t>
      </w:r>
      <w:r w:rsidRPr="004E13ED">
        <w:rPr>
          <w:rFonts w:ascii="Times New Roman" w:hAnsi="Times New Roman" w:cs="Times New Roman"/>
          <w:sz w:val="24"/>
          <w:szCs w:val="24"/>
        </w:rPr>
        <w:t>re accepted into two sites in West Sussex MHSTs?</w:t>
      </w:r>
      <w:r w:rsidR="005F4A24" w:rsidRPr="004E13ED">
        <w:rPr>
          <w:rFonts w:ascii="Times New Roman" w:hAnsi="Times New Roman" w:cs="Times New Roman"/>
          <w:sz w:val="24"/>
          <w:szCs w:val="24"/>
        </w:rPr>
        <w:t xml:space="preserve"> </w:t>
      </w:r>
    </w:p>
    <w:p w14:paraId="26D853BC" w14:textId="06BD2E55" w:rsidR="005F4A24" w:rsidRPr="004E13ED" w:rsidRDefault="00E3793B" w:rsidP="00BE778B">
      <w:pPr>
        <w:pStyle w:val="ListParagraph"/>
        <w:numPr>
          <w:ilvl w:val="0"/>
          <w:numId w:val="10"/>
        </w:numPr>
        <w:spacing w:after="0" w:line="480" w:lineRule="auto"/>
        <w:rPr>
          <w:rFonts w:ascii="Times New Roman" w:hAnsi="Times New Roman" w:cs="Times New Roman"/>
          <w:sz w:val="24"/>
          <w:szCs w:val="24"/>
        </w:rPr>
      </w:pPr>
      <w:r w:rsidRPr="004E13ED">
        <w:rPr>
          <w:rFonts w:ascii="Times New Roman" w:hAnsi="Times New Roman" w:cs="Times New Roman"/>
          <w:sz w:val="24"/>
          <w:szCs w:val="24"/>
        </w:rPr>
        <w:t xml:space="preserve">What are the clinical characteristics of those who </w:t>
      </w:r>
      <w:r w:rsidR="00A10E8E" w:rsidRPr="004E13ED">
        <w:rPr>
          <w:rFonts w:ascii="Times New Roman" w:hAnsi="Times New Roman" w:cs="Times New Roman"/>
          <w:sz w:val="24"/>
          <w:szCs w:val="24"/>
        </w:rPr>
        <w:t>we</w:t>
      </w:r>
      <w:r w:rsidRPr="004E13ED">
        <w:rPr>
          <w:rFonts w:ascii="Times New Roman" w:hAnsi="Times New Roman" w:cs="Times New Roman"/>
          <w:sz w:val="24"/>
          <w:szCs w:val="24"/>
        </w:rPr>
        <w:t>re accepted into the two sites in West Sussex MHSTs?</w:t>
      </w:r>
    </w:p>
    <w:p w14:paraId="535289E8" w14:textId="51402BA9" w:rsidR="005F4A24" w:rsidRPr="004E13ED" w:rsidRDefault="00DA0CC1" w:rsidP="00BE778B">
      <w:pPr>
        <w:pStyle w:val="ListParagraph"/>
        <w:numPr>
          <w:ilvl w:val="1"/>
          <w:numId w:val="10"/>
        </w:numPr>
        <w:spacing w:after="0" w:line="480" w:lineRule="auto"/>
        <w:rPr>
          <w:rFonts w:ascii="Times New Roman" w:hAnsi="Times New Roman" w:cs="Times New Roman"/>
          <w:sz w:val="24"/>
          <w:szCs w:val="24"/>
        </w:rPr>
      </w:pPr>
      <w:r w:rsidRPr="004E13ED">
        <w:rPr>
          <w:rFonts w:ascii="Times New Roman" w:hAnsi="Times New Roman" w:cs="Times New Roman"/>
          <w:sz w:val="24"/>
          <w:szCs w:val="24"/>
        </w:rPr>
        <w:lastRenderedPageBreak/>
        <w:t xml:space="preserve">Are there differences in the clinical characteristics for anxiety and depression in relation to </w:t>
      </w:r>
      <w:r w:rsidR="007F78CE">
        <w:rPr>
          <w:rFonts w:ascii="Times New Roman" w:hAnsi="Times New Roman" w:cs="Times New Roman"/>
          <w:sz w:val="24"/>
          <w:szCs w:val="24"/>
        </w:rPr>
        <w:t>sex</w:t>
      </w:r>
      <w:r w:rsidR="00CB3337">
        <w:rPr>
          <w:rFonts w:ascii="Times New Roman" w:hAnsi="Times New Roman" w:cs="Times New Roman"/>
          <w:sz w:val="24"/>
          <w:szCs w:val="24"/>
        </w:rPr>
        <w:t xml:space="preserve"> </w:t>
      </w:r>
      <w:r w:rsidRPr="004E13ED">
        <w:rPr>
          <w:rFonts w:ascii="Times New Roman" w:hAnsi="Times New Roman" w:cs="Times New Roman"/>
          <w:sz w:val="24"/>
          <w:szCs w:val="24"/>
        </w:rPr>
        <w:t xml:space="preserve">(assigned at birth), ethnicity and age? </w:t>
      </w:r>
    </w:p>
    <w:p w14:paraId="034574FC" w14:textId="29009BD9" w:rsidR="005F4A24" w:rsidRPr="006E5CAF" w:rsidRDefault="000B7EC3" w:rsidP="006E5CAF">
      <w:pPr>
        <w:pStyle w:val="ListParagraph"/>
        <w:numPr>
          <w:ilvl w:val="0"/>
          <w:numId w:val="10"/>
        </w:numPr>
        <w:spacing w:after="0" w:line="480" w:lineRule="auto"/>
        <w:rPr>
          <w:rFonts w:ascii="Times New Roman" w:hAnsi="Times New Roman" w:cs="Times New Roman"/>
          <w:sz w:val="24"/>
          <w:szCs w:val="24"/>
        </w:rPr>
      </w:pPr>
      <w:r w:rsidRPr="004E13ED">
        <w:rPr>
          <w:rFonts w:ascii="Times New Roman" w:hAnsi="Times New Roman" w:cs="Times New Roman"/>
          <w:sz w:val="24"/>
          <w:szCs w:val="24"/>
        </w:rPr>
        <w:t>What proportion of those</w:t>
      </w:r>
      <w:r w:rsidR="00A10E8E" w:rsidRPr="004E13ED">
        <w:rPr>
          <w:rFonts w:ascii="Times New Roman" w:hAnsi="Times New Roman" w:cs="Times New Roman"/>
          <w:sz w:val="24"/>
          <w:szCs w:val="24"/>
        </w:rPr>
        <w:t xml:space="preserve"> accepted</w:t>
      </w:r>
      <w:r w:rsidRPr="004E13ED">
        <w:rPr>
          <w:rFonts w:ascii="Times New Roman" w:hAnsi="Times New Roman" w:cs="Times New Roman"/>
          <w:sz w:val="24"/>
          <w:szCs w:val="24"/>
        </w:rPr>
        <w:t xml:space="preserve"> meet the clinical thresholds for anxiety and depression on the </w:t>
      </w:r>
      <w:r w:rsidR="00EB117A">
        <w:rPr>
          <w:rFonts w:ascii="Times New Roman" w:hAnsi="Times New Roman" w:cs="Times New Roman"/>
          <w:sz w:val="24"/>
          <w:szCs w:val="24"/>
        </w:rPr>
        <w:t>Revised Child</w:t>
      </w:r>
      <w:r w:rsidR="00FC0729">
        <w:rPr>
          <w:rFonts w:ascii="Times New Roman" w:hAnsi="Times New Roman" w:cs="Times New Roman"/>
          <w:sz w:val="24"/>
          <w:szCs w:val="24"/>
        </w:rPr>
        <w:t>ren’s Anxiety and Depression Scale (</w:t>
      </w:r>
      <w:r w:rsidRPr="004E13ED">
        <w:rPr>
          <w:rFonts w:ascii="Times New Roman" w:hAnsi="Times New Roman" w:cs="Times New Roman"/>
          <w:sz w:val="24"/>
          <w:szCs w:val="24"/>
        </w:rPr>
        <w:t>RCAD</w:t>
      </w:r>
      <w:r w:rsidR="00E42A9F" w:rsidRPr="004E13ED">
        <w:rPr>
          <w:rFonts w:ascii="Times New Roman" w:hAnsi="Times New Roman" w:cs="Times New Roman"/>
          <w:sz w:val="24"/>
          <w:szCs w:val="24"/>
        </w:rPr>
        <w:t>S</w:t>
      </w:r>
      <w:r w:rsidR="006F6255">
        <w:rPr>
          <w:rFonts w:ascii="Times New Roman" w:hAnsi="Times New Roman" w:cs="Times New Roman"/>
          <w:sz w:val="24"/>
          <w:szCs w:val="24"/>
        </w:rPr>
        <w:t>, 47-item)</w:t>
      </w:r>
      <w:r w:rsidRPr="004E13ED">
        <w:rPr>
          <w:rFonts w:ascii="Times New Roman" w:hAnsi="Times New Roman" w:cs="Times New Roman"/>
          <w:sz w:val="24"/>
          <w:szCs w:val="24"/>
        </w:rPr>
        <w:t>?</w:t>
      </w:r>
    </w:p>
    <w:p w14:paraId="07BD28D3" w14:textId="3B32D6B1" w:rsidR="00D040AE" w:rsidRPr="004E13ED" w:rsidRDefault="006A51F0" w:rsidP="006E5CAF">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Materials &amp; </w:t>
      </w:r>
      <w:r w:rsidR="00206DB7" w:rsidRPr="00594D63">
        <w:rPr>
          <w:rFonts w:ascii="Times New Roman" w:hAnsi="Times New Roman" w:cs="Times New Roman"/>
          <w:b/>
          <w:sz w:val="24"/>
          <w:szCs w:val="24"/>
        </w:rPr>
        <w:t xml:space="preserve">Methods </w:t>
      </w:r>
    </w:p>
    <w:p w14:paraId="4D2B5C58" w14:textId="51C2761E" w:rsidR="002E15E9" w:rsidRPr="002E15E9" w:rsidRDefault="002E15E9" w:rsidP="002E15E9">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The project was conducted retrospectively using data routinely obtained for clinical purposes. The authors consulted the Sussex Partnership quality improvement and research and development departments, it was advised that ethical approval was not required as it constituted service evaluation data. The project was registered and approved by the trust Quality Improvement team. Informed consent was not required as this was a service evaluation that used</w:t>
      </w:r>
      <w:r w:rsidRPr="00C62810">
        <w:rPr>
          <w:rFonts w:ascii="Times New Roman" w:hAnsi="Times New Roman" w:cs="Times New Roman"/>
          <w:sz w:val="24"/>
          <w:szCs w:val="24"/>
        </w:rPr>
        <w:t xml:space="preserve"> routinely collected</w:t>
      </w:r>
      <w:r>
        <w:rPr>
          <w:rFonts w:ascii="Times New Roman" w:hAnsi="Times New Roman" w:cs="Times New Roman"/>
          <w:sz w:val="24"/>
          <w:szCs w:val="24"/>
        </w:rPr>
        <w:t xml:space="preserve"> anonymous service data</w:t>
      </w:r>
      <w:r w:rsidRPr="00C62810">
        <w:rPr>
          <w:rFonts w:ascii="Times New Roman" w:hAnsi="Times New Roman" w:cs="Times New Roman"/>
          <w:sz w:val="24"/>
          <w:szCs w:val="24"/>
        </w:rPr>
        <w:t xml:space="preserve"> for research p</w:t>
      </w:r>
      <w:r>
        <w:rPr>
          <w:rFonts w:ascii="Times New Roman" w:hAnsi="Times New Roman" w:cs="Times New Roman"/>
          <w:sz w:val="24"/>
          <w:szCs w:val="24"/>
        </w:rPr>
        <w:t>urp</w:t>
      </w:r>
      <w:r w:rsidRPr="00C62810">
        <w:rPr>
          <w:rFonts w:ascii="Times New Roman" w:hAnsi="Times New Roman" w:cs="Times New Roman"/>
          <w:sz w:val="24"/>
          <w:szCs w:val="24"/>
        </w:rPr>
        <w:t>oses.</w:t>
      </w:r>
    </w:p>
    <w:p w14:paraId="32391DCB" w14:textId="68EFA8CB" w:rsidR="00D040AE" w:rsidRPr="006E5CAF" w:rsidRDefault="00206DB7" w:rsidP="006E5CAF">
      <w:pPr>
        <w:spacing w:after="0" w:line="480" w:lineRule="auto"/>
        <w:rPr>
          <w:rFonts w:ascii="Times New Roman" w:hAnsi="Times New Roman" w:cs="Times New Roman"/>
          <w:b/>
          <w:i/>
          <w:sz w:val="24"/>
          <w:szCs w:val="24"/>
        </w:rPr>
      </w:pPr>
      <w:r w:rsidRPr="00594D63">
        <w:rPr>
          <w:rFonts w:ascii="Times New Roman" w:hAnsi="Times New Roman" w:cs="Times New Roman"/>
          <w:b/>
          <w:i/>
          <w:sz w:val="24"/>
          <w:szCs w:val="24"/>
        </w:rPr>
        <w:t xml:space="preserve">Participants </w:t>
      </w:r>
    </w:p>
    <w:p w14:paraId="5A75E920" w14:textId="67772C94" w:rsidR="00D040AE" w:rsidRPr="004E13ED" w:rsidRDefault="00AB576C"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Participants included </w:t>
      </w:r>
      <w:r w:rsidR="0007311C" w:rsidRPr="004E13ED">
        <w:rPr>
          <w:rFonts w:ascii="Times New Roman" w:hAnsi="Times New Roman" w:cs="Times New Roman"/>
          <w:sz w:val="24"/>
          <w:szCs w:val="24"/>
        </w:rPr>
        <w:t>children and</w:t>
      </w:r>
      <w:r w:rsidRPr="004E13ED">
        <w:rPr>
          <w:rFonts w:ascii="Times New Roman" w:hAnsi="Times New Roman" w:cs="Times New Roman"/>
          <w:sz w:val="24"/>
          <w:szCs w:val="24"/>
        </w:rPr>
        <w:t xml:space="preserve"> young people who </w:t>
      </w:r>
      <w:r w:rsidR="00996E14" w:rsidRPr="004E13ED">
        <w:rPr>
          <w:rFonts w:ascii="Times New Roman" w:hAnsi="Times New Roman" w:cs="Times New Roman"/>
          <w:sz w:val="24"/>
          <w:szCs w:val="24"/>
        </w:rPr>
        <w:t xml:space="preserve">were </w:t>
      </w:r>
      <w:r w:rsidRPr="004E13ED">
        <w:rPr>
          <w:rFonts w:ascii="Times New Roman" w:hAnsi="Times New Roman" w:cs="Times New Roman"/>
          <w:sz w:val="24"/>
          <w:szCs w:val="24"/>
        </w:rPr>
        <w:t xml:space="preserve">referred to </w:t>
      </w:r>
      <w:r w:rsidR="006D3563" w:rsidRPr="004E13ED">
        <w:rPr>
          <w:rFonts w:ascii="Times New Roman" w:hAnsi="Times New Roman" w:cs="Times New Roman"/>
          <w:sz w:val="24"/>
          <w:szCs w:val="24"/>
        </w:rPr>
        <w:t>two MHSTs</w:t>
      </w:r>
      <w:r w:rsidRPr="004E13ED">
        <w:rPr>
          <w:rFonts w:ascii="Times New Roman" w:hAnsi="Times New Roman" w:cs="Times New Roman"/>
          <w:sz w:val="24"/>
          <w:szCs w:val="24"/>
        </w:rPr>
        <w:t xml:space="preserve"> in West Sussex </w:t>
      </w:r>
      <w:r w:rsidR="00AD5393" w:rsidRPr="004E13ED">
        <w:rPr>
          <w:rFonts w:ascii="Times New Roman" w:hAnsi="Times New Roman" w:cs="Times New Roman"/>
          <w:sz w:val="24"/>
          <w:szCs w:val="24"/>
        </w:rPr>
        <w:t xml:space="preserve">between January - December </w:t>
      </w:r>
      <w:r w:rsidRPr="004E13ED">
        <w:rPr>
          <w:rFonts w:ascii="Times New Roman" w:hAnsi="Times New Roman" w:cs="Times New Roman"/>
          <w:sz w:val="24"/>
          <w:szCs w:val="24"/>
        </w:rPr>
        <w:t>2021. The MHST</w:t>
      </w:r>
      <w:r w:rsidR="00AD5393" w:rsidRPr="004E13ED">
        <w:rPr>
          <w:rFonts w:ascii="Times New Roman" w:hAnsi="Times New Roman" w:cs="Times New Roman"/>
          <w:sz w:val="24"/>
          <w:szCs w:val="24"/>
        </w:rPr>
        <w:t>s</w:t>
      </w:r>
      <w:r w:rsidRPr="004E13ED">
        <w:rPr>
          <w:rFonts w:ascii="Times New Roman" w:hAnsi="Times New Roman" w:cs="Times New Roman"/>
          <w:sz w:val="24"/>
          <w:szCs w:val="24"/>
        </w:rPr>
        <w:t xml:space="preserve"> </w:t>
      </w:r>
      <w:r w:rsidR="00AD5393" w:rsidRPr="004E13ED">
        <w:rPr>
          <w:rFonts w:ascii="Times New Roman" w:hAnsi="Times New Roman" w:cs="Times New Roman"/>
          <w:sz w:val="24"/>
          <w:szCs w:val="24"/>
        </w:rPr>
        <w:t>are</w:t>
      </w:r>
      <w:r w:rsidRPr="004E13ED">
        <w:rPr>
          <w:rFonts w:ascii="Times New Roman" w:hAnsi="Times New Roman" w:cs="Times New Roman"/>
          <w:sz w:val="24"/>
          <w:szCs w:val="24"/>
        </w:rPr>
        <w:t xml:space="preserve"> based in schools and </w:t>
      </w:r>
      <w:r w:rsidR="00AD5393" w:rsidRPr="004E13ED">
        <w:rPr>
          <w:rFonts w:ascii="Times New Roman" w:hAnsi="Times New Roman" w:cs="Times New Roman"/>
          <w:sz w:val="24"/>
          <w:szCs w:val="24"/>
        </w:rPr>
        <w:t>the service</w:t>
      </w:r>
      <w:r w:rsidRPr="004E13ED">
        <w:rPr>
          <w:rFonts w:ascii="Times New Roman" w:hAnsi="Times New Roman" w:cs="Times New Roman"/>
          <w:sz w:val="24"/>
          <w:szCs w:val="24"/>
        </w:rPr>
        <w:t xml:space="preserve"> </w:t>
      </w:r>
      <w:r w:rsidR="00252576" w:rsidRPr="004E13ED">
        <w:rPr>
          <w:rFonts w:ascii="Times New Roman" w:hAnsi="Times New Roman" w:cs="Times New Roman"/>
          <w:sz w:val="24"/>
          <w:szCs w:val="24"/>
        </w:rPr>
        <w:t xml:space="preserve">is </w:t>
      </w:r>
      <w:r w:rsidRPr="004E13ED">
        <w:rPr>
          <w:rFonts w:ascii="Times New Roman" w:hAnsi="Times New Roman" w:cs="Times New Roman"/>
          <w:sz w:val="24"/>
          <w:szCs w:val="24"/>
        </w:rPr>
        <w:t xml:space="preserve">free at the point of entry. </w:t>
      </w:r>
      <w:r w:rsidR="00FA0E04" w:rsidRPr="004E13ED">
        <w:rPr>
          <w:rFonts w:ascii="Times New Roman" w:hAnsi="Times New Roman" w:cs="Times New Roman"/>
          <w:sz w:val="24"/>
          <w:szCs w:val="24"/>
        </w:rPr>
        <w:t xml:space="preserve">There were 485 referrals in total to two MHSTs in West Sussex in the year 2021, which relates to 21 primary schools and </w:t>
      </w:r>
      <w:r w:rsidR="000E3322">
        <w:rPr>
          <w:rFonts w:ascii="Times New Roman" w:hAnsi="Times New Roman" w:cs="Times New Roman"/>
          <w:sz w:val="24"/>
          <w:szCs w:val="24"/>
        </w:rPr>
        <w:t>five</w:t>
      </w:r>
      <w:r w:rsidR="00FA0E04" w:rsidRPr="004E13ED">
        <w:rPr>
          <w:rFonts w:ascii="Times New Roman" w:hAnsi="Times New Roman" w:cs="Times New Roman"/>
          <w:sz w:val="24"/>
          <w:szCs w:val="24"/>
        </w:rPr>
        <w:t xml:space="preserve"> secondary schools. Of those, 373 were accepted into the service and 112 were </w:t>
      </w:r>
      <w:r w:rsidR="00793AE3" w:rsidRPr="00285401">
        <w:rPr>
          <w:rFonts w:ascii="Times New Roman" w:hAnsi="Times New Roman" w:cs="Times New Roman"/>
          <w:sz w:val="24"/>
          <w:szCs w:val="24"/>
        </w:rPr>
        <w:t>not accepted and signposted</w:t>
      </w:r>
      <w:r w:rsidR="00FA0E04" w:rsidRPr="00285401">
        <w:rPr>
          <w:rFonts w:ascii="Times New Roman" w:hAnsi="Times New Roman" w:cs="Times New Roman"/>
          <w:sz w:val="24"/>
          <w:szCs w:val="24"/>
        </w:rPr>
        <w:t xml:space="preserve"> to </w:t>
      </w:r>
      <w:r w:rsidR="00793AE3" w:rsidRPr="00285401">
        <w:rPr>
          <w:rFonts w:ascii="Times New Roman" w:hAnsi="Times New Roman" w:cs="Times New Roman"/>
          <w:sz w:val="24"/>
          <w:szCs w:val="24"/>
        </w:rPr>
        <w:t xml:space="preserve">a more appropriate </w:t>
      </w:r>
      <w:r w:rsidR="00FA0E04" w:rsidRPr="00285401">
        <w:rPr>
          <w:rFonts w:ascii="Times New Roman" w:hAnsi="Times New Roman" w:cs="Times New Roman"/>
          <w:sz w:val="24"/>
          <w:szCs w:val="24"/>
        </w:rPr>
        <w:t>service</w:t>
      </w:r>
      <w:r w:rsidR="00FA0E04" w:rsidRPr="004E13ED">
        <w:rPr>
          <w:rFonts w:ascii="Times New Roman" w:hAnsi="Times New Roman" w:cs="Times New Roman"/>
          <w:sz w:val="24"/>
          <w:szCs w:val="24"/>
        </w:rPr>
        <w:t>; an acceptance rate of 77%.</w:t>
      </w:r>
      <w:r w:rsidR="00FF5FF6" w:rsidRPr="004E13ED">
        <w:rPr>
          <w:rFonts w:ascii="Times New Roman" w:hAnsi="Times New Roman" w:cs="Times New Roman"/>
          <w:sz w:val="24"/>
          <w:szCs w:val="24"/>
        </w:rPr>
        <w:t xml:space="preserve"> Demographic and clinical characteristics are reported in the results, including </w:t>
      </w:r>
      <w:r w:rsidR="00844502" w:rsidRPr="004E13ED">
        <w:rPr>
          <w:rFonts w:ascii="Times New Roman" w:hAnsi="Times New Roman" w:cs="Times New Roman"/>
          <w:sz w:val="24"/>
          <w:szCs w:val="24"/>
        </w:rPr>
        <w:t>comparisons between those accepted and those signposted.</w:t>
      </w:r>
    </w:p>
    <w:p w14:paraId="7DF9D6B8" w14:textId="563D3324" w:rsidR="00D040AE" w:rsidRPr="006E5CAF" w:rsidRDefault="000F690C" w:rsidP="006E5CAF">
      <w:pPr>
        <w:spacing w:after="0" w:line="480" w:lineRule="auto"/>
        <w:rPr>
          <w:rFonts w:ascii="Times New Roman" w:hAnsi="Times New Roman" w:cs="Times New Roman"/>
          <w:b/>
          <w:i/>
          <w:sz w:val="24"/>
          <w:szCs w:val="24"/>
        </w:rPr>
      </w:pPr>
      <w:r w:rsidRPr="007A3FAF">
        <w:rPr>
          <w:rFonts w:ascii="Times New Roman" w:hAnsi="Times New Roman" w:cs="Times New Roman"/>
          <w:b/>
          <w:i/>
          <w:sz w:val="24"/>
          <w:szCs w:val="24"/>
        </w:rPr>
        <w:t>Procedure</w:t>
      </w:r>
    </w:p>
    <w:p w14:paraId="0EBD270A" w14:textId="20A86218" w:rsidR="00D040AE" w:rsidRPr="006E5CAF" w:rsidRDefault="00745A23"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Children and young people (CYP) were typically referred to the MHST by the school</w:t>
      </w:r>
      <w:r w:rsidR="00D96968">
        <w:rPr>
          <w:rFonts w:ascii="Times New Roman" w:hAnsi="Times New Roman" w:cs="Times New Roman"/>
          <w:sz w:val="24"/>
          <w:szCs w:val="24"/>
        </w:rPr>
        <w:t xml:space="preserve"> staff</w:t>
      </w:r>
      <w:r w:rsidRPr="004E13ED">
        <w:rPr>
          <w:rFonts w:ascii="Times New Roman" w:hAnsi="Times New Roman" w:cs="Times New Roman"/>
          <w:sz w:val="24"/>
          <w:szCs w:val="24"/>
        </w:rPr>
        <w:t>, but also from parents and other agencies, such as School Nurse and S</w:t>
      </w:r>
      <w:r w:rsidR="009E4459" w:rsidRPr="004E13ED">
        <w:rPr>
          <w:rFonts w:ascii="Times New Roman" w:hAnsi="Times New Roman" w:cs="Times New Roman"/>
          <w:sz w:val="24"/>
          <w:szCs w:val="24"/>
        </w:rPr>
        <w:t>ingle Point of Access (</w:t>
      </w:r>
      <w:proofErr w:type="spellStart"/>
      <w:r w:rsidR="009E4459" w:rsidRPr="004E13ED">
        <w:rPr>
          <w:rFonts w:ascii="Times New Roman" w:hAnsi="Times New Roman" w:cs="Times New Roman"/>
          <w:sz w:val="24"/>
          <w:szCs w:val="24"/>
        </w:rPr>
        <w:t>SPoA</w:t>
      </w:r>
      <w:proofErr w:type="spellEnd"/>
      <w:r w:rsidR="009E4459" w:rsidRPr="004E13ED">
        <w:rPr>
          <w:rFonts w:ascii="Times New Roman" w:hAnsi="Times New Roman" w:cs="Times New Roman"/>
          <w:sz w:val="24"/>
          <w:szCs w:val="24"/>
        </w:rPr>
        <w:t>).</w:t>
      </w:r>
      <w:r w:rsidRPr="004E13ED">
        <w:rPr>
          <w:rFonts w:ascii="Times New Roman" w:hAnsi="Times New Roman" w:cs="Times New Roman"/>
          <w:sz w:val="24"/>
          <w:szCs w:val="24"/>
        </w:rPr>
        <w:t xml:space="preserve"> Referrals were triaged</w:t>
      </w:r>
      <w:r w:rsidR="007E4CAF" w:rsidRPr="004E13ED">
        <w:rPr>
          <w:rFonts w:ascii="Times New Roman" w:hAnsi="Times New Roman" w:cs="Times New Roman"/>
          <w:sz w:val="24"/>
          <w:szCs w:val="24"/>
        </w:rPr>
        <w:t>, and</w:t>
      </w:r>
      <w:r w:rsidRPr="004E13ED">
        <w:rPr>
          <w:rFonts w:ascii="Times New Roman" w:hAnsi="Times New Roman" w:cs="Times New Roman"/>
          <w:sz w:val="24"/>
          <w:szCs w:val="24"/>
        </w:rPr>
        <w:t xml:space="preserve"> those presenting with mild to moderate anxiety</w:t>
      </w:r>
      <w:r w:rsidR="00C83CFC" w:rsidRPr="004E13ED">
        <w:rPr>
          <w:rFonts w:ascii="Times New Roman" w:hAnsi="Times New Roman" w:cs="Times New Roman"/>
          <w:sz w:val="24"/>
          <w:szCs w:val="24"/>
        </w:rPr>
        <w:t xml:space="preserve"> or</w:t>
      </w:r>
      <w:r w:rsidRPr="004E13ED">
        <w:rPr>
          <w:rFonts w:ascii="Times New Roman" w:hAnsi="Times New Roman" w:cs="Times New Roman"/>
          <w:sz w:val="24"/>
          <w:szCs w:val="24"/>
        </w:rPr>
        <w:t xml:space="preserve"> low </w:t>
      </w:r>
      <w:r w:rsidR="00CB3337" w:rsidRPr="004E13ED">
        <w:rPr>
          <w:rFonts w:ascii="Times New Roman" w:hAnsi="Times New Roman" w:cs="Times New Roman"/>
          <w:sz w:val="24"/>
          <w:szCs w:val="24"/>
        </w:rPr>
        <w:t>mood and</w:t>
      </w:r>
      <w:r w:rsidRPr="004E13ED">
        <w:rPr>
          <w:rFonts w:ascii="Times New Roman" w:hAnsi="Times New Roman" w:cs="Times New Roman"/>
          <w:sz w:val="24"/>
          <w:szCs w:val="24"/>
        </w:rPr>
        <w:t xml:space="preserve"> considered suitable for low intensity CBT-informed interventions</w:t>
      </w:r>
      <w:r w:rsidR="007E4CAF" w:rsidRPr="004E13ED">
        <w:rPr>
          <w:rFonts w:ascii="Times New Roman" w:hAnsi="Times New Roman" w:cs="Times New Roman"/>
          <w:sz w:val="24"/>
          <w:szCs w:val="24"/>
        </w:rPr>
        <w:t>,</w:t>
      </w:r>
      <w:r w:rsidRPr="004E13ED">
        <w:rPr>
          <w:rFonts w:ascii="Times New Roman" w:hAnsi="Times New Roman" w:cs="Times New Roman"/>
          <w:sz w:val="24"/>
          <w:szCs w:val="24"/>
        </w:rPr>
        <w:t xml:space="preserve"> were </w:t>
      </w:r>
      <w:r w:rsidRPr="004E13ED">
        <w:rPr>
          <w:rFonts w:ascii="Times New Roman" w:hAnsi="Times New Roman" w:cs="Times New Roman"/>
          <w:sz w:val="24"/>
          <w:szCs w:val="24"/>
        </w:rPr>
        <w:lastRenderedPageBreak/>
        <w:t>accepted onto the waiting list or allocated directly to a practitioner, dependent on capacity. CYP must have been able to identify a difficulty that they want</w:t>
      </w:r>
      <w:r w:rsidR="00D96968">
        <w:rPr>
          <w:rFonts w:ascii="Times New Roman" w:hAnsi="Times New Roman" w:cs="Times New Roman"/>
          <w:sz w:val="24"/>
          <w:szCs w:val="24"/>
        </w:rPr>
        <w:t>ed</w:t>
      </w:r>
      <w:r w:rsidRPr="004E13ED">
        <w:rPr>
          <w:rFonts w:ascii="Times New Roman" w:hAnsi="Times New Roman" w:cs="Times New Roman"/>
          <w:sz w:val="24"/>
          <w:szCs w:val="24"/>
        </w:rPr>
        <w:t xml:space="preserve"> help with and be motivated to work toward a goal. Furthermore, it need</w:t>
      </w:r>
      <w:r w:rsidR="007704A9" w:rsidRPr="004E13ED">
        <w:rPr>
          <w:rFonts w:ascii="Times New Roman" w:hAnsi="Times New Roman" w:cs="Times New Roman"/>
          <w:sz w:val="24"/>
          <w:szCs w:val="24"/>
        </w:rPr>
        <w:t>ed</w:t>
      </w:r>
      <w:r w:rsidRPr="004E13ED">
        <w:rPr>
          <w:rFonts w:ascii="Times New Roman" w:hAnsi="Times New Roman" w:cs="Times New Roman"/>
          <w:sz w:val="24"/>
          <w:szCs w:val="24"/>
        </w:rPr>
        <w:t xml:space="preserve"> to be an appropriate time for the CYP to work on the difficulty (i.e. a degree of stability and support for the intervention to be effective). CYP with significant psychosocial complexities requiring multiagency liaison, where difficulties </w:t>
      </w:r>
      <w:r w:rsidR="007704A9" w:rsidRPr="004E13ED">
        <w:rPr>
          <w:rFonts w:ascii="Times New Roman" w:hAnsi="Times New Roman" w:cs="Times New Roman"/>
          <w:sz w:val="24"/>
          <w:szCs w:val="24"/>
        </w:rPr>
        <w:t xml:space="preserve">were </w:t>
      </w:r>
      <w:r w:rsidRPr="004E13ED">
        <w:rPr>
          <w:rFonts w:ascii="Times New Roman" w:hAnsi="Times New Roman" w:cs="Times New Roman"/>
          <w:sz w:val="24"/>
          <w:szCs w:val="24"/>
        </w:rPr>
        <w:t xml:space="preserve">proportional to their experiences and there </w:t>
      </w:r>
      <w:r w:rsidR="007704A9" w:rsidRPr="004E13ED">
        <w:rPr>
          <w:rFonts w:ascii="Times New Roman" w:hAnsi="Times New Roman" w:cs="Times New Roman"/>
          <w:sz w:val="24"/>
          <w:szCs w:val="24"/>
        </w:rPr>
        <w:t xml:space="preserve">was </w:t>
      </w:r>
      <w:r w:rsidRPr="004E13ED">
        <w:rPr>
          <w:rFonts w:ascii="Times New Roman" w:hAnsi="Times New Roman" w:cs="Times New Roman"/>
          <w:sz w:val="24"/>
          <w:szCs w:val="24"/>
        </w:rPr>
        <w:t xml:space="preserve">a lack of stability and support at home, were signposted to more appropriate services. CYP presenting with moderate to severe levels of risk or those presenting with OCD, PTSD, Psychosis or </w:t>
      </w:r>
      <w:r w:rsidR="00B45400" w:rsidRPr="004E13ED">
        <w:rPr>
          <w:rFonts w:ascii="Times New Roman" w:hAnsi="Times New Roman" w:cs="Times New Roman"/>
          <w:sz w:val="24"/>
          <w:szCs w:val="24"/>
        </w:rPr>
        <w:t>eating disorders</w:t>
      </w:r>
      <w:r w:rsidRPr="004E13ED">
        <w:rPr>
          <w:rFonts w:ascii="Times New Roman" w:hAnsi="Times New Roman" w:cs="Times New Roman"/>
          <w:sz w:val="24"/>
          <w:szCs w:val="24"/>
        </w:rPr>
        <w:t xml:space="preserve"> were </w:t>
      </w:r>
      <w:r w:rsidR="00A10E8E" w:rsidRPr="004E13ED">
        <w:rPr>
          <w:rFonts w:ascii="Times New Roman" w:hAnsi="Times New Roman" w:cs="Times New Roman"/>
          <w:sz w:val="24"/>
          <w:szCs w:val="24"/>
        </w:rPr>
        <w:t xml:space="preserve">also </w:t>
      </w:r>
      <w:r w:rsidR="007C7CFD" w:rsidRPr="004E13ED">
        <w:rPr>
          <w:rFonts w:ascii="Times New Roman" w:hAnsi="Times New Roman" w:cs="Times New Roman"/>
          <w:sz w:val="24"/>
          <w:szCs w:val="24"/>
        </w:rPr>
        <w:t>referred</w:t>
      </w:r>
      <w:r w:rsidRPr="004E13ED">
        <w:rPr>
          <w:rFonts w:ascii="Times New Roman" w:hAnsi="Times New Roman" w:cs="Times New Roman"/>
          <w:sz w:val="24"/>
          <w:szCs w:val="24"/>
        </w:rPr>
        <w:t xml:space="preserve"> to more appropriate services.</w:t>
      </w:r>
    </w:p>
    <w:p w14:paraId="74D434F1" w14:textId="20BC1244" w:rsidR="00E43803" w:rsidRPr="006E5CAF" w:rsidRDefault="00C67B45" w:rsidP="006E5CAF">
      <w:pPr>
        <w:spacing w:after="0" w:line="480" w:lineRule="auto"/>
        <w:rPr>
          <w:rFonts w:ascii="Times New Roman" w:hAnsi="Times New Roman" w:cs="Times New Roman"/>
          <w:b/>
          <w:i/>
          <w:sz w:val="24"/>
          <w:szCs w:val="24"/>
        </w:rPr>
      </w:pPr>
      <w:r w:rsidRPr="007E61F4">
        <w:rPr>
          <w:rFonts w:ascii="Times New Roman" w:hAnsi="Times New Roman" w:cs="Times New Roman"/>
          <w:b/>
          <w:i/>
          <w:sz w:val="24"/>
          <w:szCs w:val="24"/>
        </w:rPr>
        <w:t>Demographic</w:t>
      </w:r>
      <w:r w:rsidR="006E5CAF">
        <w:rPr>
          <w:rFonts w:ascii="Times New Roman" w:hAnsi="Times New Roman" w:cs="Times New Roman"/>
          <w:b/>
          <w:i/>
          <w:sz w:val="24"/>
          <w:szCs w:val="24"/>
        </w:rPr>
        <w:t>s</w:t>
      </w:r>
    </w:p>
    <w:p w14:paraId="58406386" w14:textId="08C2C341" w:rsidR="008D3DA5" w:rsidRDefault="00C67B45"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Demographic information was collected as part of routine assessment at the point of referral. Information collected </w:t>
      </w:r>
      <w:r w:rsidR="008F77B6">
        <w:rPr>
          <w:rFonts w:ascii="Times New Roman" w:hAnsi="Times New Roman" w:cs="Times New Roman"/>
          <w:sz w:val="24"/>
          <w:szCs w:val="24"/>
        </w:rPr>
        <w:t xml:space="preserve">and used in this paper </w:t>
      </w:r>
      <w:r w:rsidRPr="004E13ED">
        <w:rPr>
          <w:rFonts w:ascii="Times New Roman" w:hAnsi="Times New Roman" w:cs="Times New Roman"/>
          <w:sz w:val="24"/>
          <w:szCs w:val="24"/>
        </w:rPr>
        <w:t xml:space="preserve">included age, </w:t>
      </w:r>
      <w:r w:rsidR="004D140F">
        <w:rPr>
          <w:rFonts w:ascii="Times New Roman" w:hAnsi="Times New Roman" w:cs="Times New Roman"/>
          <w:sz w:val="24"/>
          <w:szCs w:val="24"/>
        </w:rPr>
        <w:t>sex</w:t>
      </w:r>
      <w:r w:rsidR="003A6B3E">
        <w:rPr>
          <w:rFonts w:ascii="Times New Roman" w:hAnsi="Times New Roman" w:cs="Times New Roman"/>
          <w:sz w:val="24"/>
          <w:szCs w:val="24"/>
        </w:rPr>
        <w:t xml:space="preserve"> </w:t>
      </w:r>
      <w:r w:rsidR="00963F55" w:rsidRPr="004E13ED">
        <w:rPr>
          <w:rFonts w:ascii="Times New Roman" w:hAnsi="Times New Roman" w:cs="Times New Roman"/>
          <w:sz w:val="24"/>
          <w:szCs w:val="24"/>
        </w:rPr>
        <w:t>assigned at birth</w:t>
      </w:r>
      <w:r w:rsidRPr="004E13ED">
        <w:rPr>
          <w:rFonts w:ascii="Times New Roman" w:hAnsi="Times New Roman" w:cs="Times New Roman"/>
          <w:sz w:val="24"/>
          <w:szCs w:val="24"/>
        </w:rPr>
        <w:t xml:space="preserve"> and ethnicity. </w:t>
      </w:r>
    </w:p>
    <w:p w14:paraId="2ABBC45D" w14:textId="574F9CEB" w:rsidR="007E61F4" w:rsidRDefault="008D3DA5" w:rsidP="006E5CAF">
      <w:pPr>
        <w:spacing w:after="0" w:line="480" w:lineRule="auto"/>
        <w:rPr>
          <w:rFonts w:ascii="Times New Roman" w:hAnsi="Times New Roman" w:cs="Times New Roman"/>
          <w:b/>
          <w:i/>
          <w:sz w:val="24"/>
          <w:szCs w:val="24"/>
        </w:rPr>
      </w:pPr>
      <w:r w:rsidRPr="007E61F4">
        <w:rPr>
          <w:rFonts w:ascii="Times New Roman" w:hAnsi="Times New Roman" w:cs="Times New Roman"/>
          <w:b/>
          <w:i/>
          <w:sz w:val="24"/>
          <w:szCs w:val="24"/>
        </w:rPr>
        <w:t>Measure</w:t>
      </w:r>
      <w:r w:rsidR="007E61F4" w:rsidRPr="007E61F4">
        <w:rPr>
          <w:rFonts w:ascii="Times New Roman" w:hAnsi="Times New Roman" w:cs="Times New Roman"/>
          <w:b/>
          <w:i/>
          <w:sz w:val="24"/>
          <w:szCs w:val="24"/>
        </w:rPr>
        <w:t>s</w:t>
      </w:r>
      <w:r w:rsidRPr="007E61F4">
        <w:rPr>
          <w:rFonts w:ascii="Times New Roman" w:hAnsi="Times New Roman" w:cs="Times New Roman"/>
          <w:b/>
          <w:i/>
          <w:sz w:val="24"/>
          <w:szCs w:val="24"/>
        </w:rPr>
        <w:t xml:space="preserve"> </w:t>
      </w:r>
    </w:p>
    <w:p w14:paraId="66D996F0" w14:textId="2443D2DE" w:rsidR="007E61F4" w:rsidRPr="004E13ED" w:rsidRDefault="007E61F4"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Two routine outcome measures and their parent versions, routinely used in the MHSTs, are reported in this paper: The Revised Children's Anxiety and Depression Scale (RCADS) (</w:t>
      </w:r>
      <w:proofErr w:type="spellStart"/>
      <w:r w:rsidRPr="004E13ED">
        <w:rPr>
          <w:rFonts w:ascii="Times New Roman" w:hAnsi="Times New Roman" w:cs="Times New Roman"/>
          <w:sz w:val="24"/>
          <w:szCs w:val="24"/>
        </w:rPr>
        <w:t>Chorpita</w:t>
      </w:r>
      <w:proofErr w:type="spellEnd"/>
      <w:r w:rsidRPr="004E13ED">
        <w:rPr>
          <w:rFonts w:ascii="Times New Roman" w:hAnsi="Times New Roman" w:cs="Times New Roman"/>
          <w:sz w:val="24"/>
          <w:szCs w:val="24"/>
        </w:rPr>
        <w:t xml:space="preserve"> et al. 2000) and the Strength and Difficulties Questionnaire (SDQ) (Goodman, 2001). </w:t>
      </w:r>
    </w:p>
    <w:p w14:paraId="2473FA43" w14:textId="02CC1272" w:rsidR="00CA4C00" w:rsidRPr="004E13ED" w:rsidRDefault="00C67B45"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The Revised Children's Anxiety and Depression Scale (RCADS) is a 47 item self-report scale of depressive and anxious symptoms in children and adolescents. The scale is suitable for use with CYP who are aged 8-17 years</w:t>
      </w:r>
      <w:r w:rsidR="009F495C" w:rsidRPr="004E13ED">
        <w:rPr>
          <w:rFonts w:ascii="Times New Roman" w:hAnsi="Times New Roman" w:cs="Times New Roman"/>
          <w:sz w:val="24"/>
          <w:szCs w:val="24"/>
        </w:rPr>
        <w:t xml:space="preserve"> and the RCADS parent version (RCADS-P) can be completed by the parent or carer </w:t>
      </w:r>
      <w:r w:rsidR="007C7CFD" w:rsidRPr="004E13ED">
        <w:rPr>
          <w:rFonts w:ascii="Times New Roman" w:hAnsi="Times New Roman" w:cs="Times New Roman"/>
          <w:sz w:val="24"/>
          <w:szCs w:val="24"/>
        </w:rPr>
        <w:t xml:space="preserve">for those </w:t>
      </w:r>
      <w:r w:rsidR="009F495C" w:rsidRPr="004E13ED">
        <w:rPr>
          <w:rFonts w:ascii="Times New Roman" w:hAnsi="Times New Roman" w:cs="Times New Roman"/>
          <w:sz w:val="24"/>
          <w:szCs w:val="24"/>
        </w:rPr>
        <w:t>aged across the same age groups</w:t>
      </w:r>
      <w:r w:rsidRPr="004E13ED">
        <w:rPr>
          <w:rFonts w:ascii="Times New Roman" w:hAnsi="Times New Roman" w:cs="Times New Roman"/>
          <w:sz w:val="24"/>
          <w:szCs w:val="24"/>
        </w:rPr>
        <w:t xml:space="preserve">. </w:t>
      </w:r>
      <w:r w:rsidR="005B153C">
        <w:rPr>
          <w:rFonts w:ascii="Times New Roman" w:hAnsi="Times New Roman" w:cs="Times New Roman"/>
          <w:sz w:val="24"/>
          <w:szCs w:val="24"/>
        </w:rPr>
        <w:t>The present study reports both the RCADS raw scores and T-scores, which are based on age and gender.</w:t>
      </w:r>
      <w:r w:rsidR="00405895">
        <w:rPr>
          <w:rFonts w:ascii="Times New Roman" w:hAnsi="Times New Roman" w:cs="Times New Roman"/>
          <w:sz w:val="24"/>
          <w:szCs w:val="24"/>
        </w:rPr>
        <w:t xml:space="preserve"> </w:t>
      </w:r>
      <w:r w:rsidR="001167D3">
        <w:rPr>
          <w:rFonts w:ascii="Times New Roman" w:hAnsi="Times New Roman" w:cs="Times New Roman"/>
          <w:sz w:val="24"/>
          <w:szCs w:val="24"/>
        </w:rPr>
        <w:t>T-scores below 65 were classified as 'below' threshold. S</w:t>
      </w:r>
      <w:r w:rsidR="005B153C">
        <w:rPr>
          <w:rFonts w:ascii="Times New Roman" w:hAnsi="Times New Roman" w:cs="Times New Roman"/>
          <w:sz w:val="24"/>
          <w:szCs w:val="24"/>
        </w:rPr>
        <w:t xml:space="preserve">cores above 65 were categorised as 'borderline' clinically significant, whereas scores greater than 70 were </w:t>
      </w:r>
      <w:r w:rsidR="005B153C">
        <w:rPr>
          <w:rFonts w:ascii="Times New Roman" w:hAnsi="Times New Roman" w:cs="Times New Roman"/>
          <w:sz w:val="24"/>
          <w:szCs w:val="24"/>
        </w:rPr>
        <w:lastRenderedPageBreak/>
        <w:t>considered to meet the clinical threshold (i.e. indicating that the response reflects a severity of anxiety and depression symptoms comparable to individuals who met diagnostic criteria for that particular disorder</w:t>
      </w:r>
      <w:r w:rsidR="00234365">
        <w:rPr>
          <w:rFonts w:ascii="Times New Roman" w:hAnsi="Times New Roman" w:cs="Times New Roman"/>
          <w:sz w:val="24"/>
          <w:szCs w:val="24"/>
        </w:rPr>
        <w:t>)</w:t>
      </w:r>
      <w:r w:rsidR="001167D3">
        <w:rPr>
          <w:rFonts w:ascii="Times New Roman" w:hAnsi="Times New Roman" w:cs="Times New Roman"/>
          <w:sz w:val="24"/>
          <w:szCs w:val="24"/>
        </w:rPr>
        <w:t xml:space="preserve">. </w:t>
      </w:r>
      <w:r w:rsidR="00870099" w:rsidRPr="004E13ED">
        <w:rPr>
          <w:rFonts w:ascii="Times New Roman" w:hAnsi="Times New Roman" w:cs="Times New Roman"/>
          <w:sz w:val="24"/>
          <w:szCs w:val="24"/>
        </w:rPr>
        <w:t>We found that both the child and parent versions of the RCAD</w:t>
      </w:r>
      <w:r w:rsidR="00D06624" w:rsidRPr="004E13ED">
        <w:rPr>
          <w:rFonts w:ascii="Times New Roman" w:hAnsi="Times New Roman" w:cs="Times New Roman"/>
          <w:sz w:val="24"/>
          <w:szCs w:val="24"/>
        </w:rPr>
        <w:t>S</w:t>
      </w:r>
      <w:r w:rsidR="00D96968">
        <w:rPr>
          <w:rFonts w:ascii="Times New Roman" w:hAnsi="Times New Roman" w:cs="Times New Roman"/>
          <w:sz w:val="24"/>
          <w:szCs w:val="24"/>
        </w:rPr>
        <w:t xml:space="preserve"> </w:t>
      </w:r>
      <w:r w:rsidR="00870099" w:rsidRPr="004E13ED">
        <w:rPr>
          <w:rFonts w:ascii="Times New Roman" w:hAnsi="Times New Roman" w:cs="Times New Roman"/>
          <w:sz w:val="24"/>
          <w:szCs w:val="24"/>
        </w:rPr>
        <w:t>show good reliability (</w:t>
      </w:r>
      <w:r w:rsidR="00870099" w:rsidRPr="004E13ED">
        <w:rPr>
          <w:rFonts w:ascii="Times New Roman" w:hAnsi="Times New Roman" w:cs="Times New Roman"/>
          <w:color w:val="202124"/>
          <w:sz w:val="24"/>
          <w:szCs w:val="24"/>
          <w:shd w:val="clear" w:color="auto" w:fill="FFFFFF"/>
        </w:rPr>
        <w:t>α</w:t>
      </w:r>
      <w:r w:rsidR="00870099" w:rsidRPr="004E13ED">
        <w:rPr>
          <w:rFonts w:ascii="Times New Roman" w:hAnsi="Times New Roman" w:cs="Times New Roman"/>
          <w:sz w:val="24"/>
          <w:szCs w:val="24"/>
        </w:rPr>
        <w:t xml:space="preserve"> = .94 and </w:t>
      </w:r>
      <w:r w:rsidR="00870099" w:rsidRPr="004E13ED">
        <w:rPr>
          <w:rFonts w:ascii="Times New Roman" w:hAnsi="Times New Roman" w:cs="Times New Roman"/>
          <w:color w:val="202124"/>
          <w:sz w:val="24"/>
          <w:szCs w:val="24"/>
          <w:shd w:val="clear" w:color="auto" w:fill="FFFFFF"/>
        </w:rPr>
        <w:t>α</w:t>
      </w:r>
      <w:r w:rsidR="00870099" w:rsidRPr="004E13ED">
        <w:rPr>
          <w:rFonts w:ascii="Times New Roman" w:hAnsi="Times New Roman" w:cs="Times New Roman"/>
          <w:sz w:val="24"/>
          <w:szCs w:val="24"/>
        </w:rPr>
        <w:t xml:space="preserve"> = .93 respectively). </w:t>
      </w:r>
      <w:r w:rsidR="009F495C" w:rsidRPr="004E13ED">
        <w:rPr>
          <w:rFonts w:ascii="Times New Roman" w:hAnsi="Times New Roman" w:cs="Times New Roman"/>
          <w:sz w:val="24"/>
          <w:szCs w:val="24"/>
        </w:rPr>
        <w:t xml:space="preserve">The scale includes </w:t>
      </w:r>
      <w:r w:rsidR="00BA5BEA">
        <w:rPr>
          <w:rFonts w:ascii="Times New Roman" w:hAnsi="Times New Roman" w:cs="Times New Roman"/>
          <w:sz w:val="24"/>
          <w:szCs w:val="24"/>
        </w:rPr>
        <w:t>six</w:t>
      </w:r>
      <w:r w:rsidR="009F495C" w:rsidRPr="004E13ED">
        <w:rPr>
          <w:rFonts w:ascii="Times New Roman" w:hAnsi="Times New Roman" w:cs="Times New Roman"/>
          <w:sz w:val="24"/>
          <w:szCs w:val="24"/>
        </w:rPr>
        <w:t xml:space="preserve"> subscales (</w:t>
      </w:r>
      <w:r w:rsidR="00870869" w:rsidRPr="00BA5BEA">
        <w:rPr>
          <w:rFonts w:ascii="Times New Roman" w:hAnsi="Times New Roman" w:cs="Times New Roman"/>
          <w:sz w:val="24"/>
          <w:szCs w:val="24"/>
        </w:rPr>
        <w:t>five</w:t>
      </w:r>
      <w:r w:rsidR="009F495C" w:rsidRPr="004E13ED">
        <w:rPr>
          <w:rFonts w:ascii="Times New Roman" w:hAnsi="Times New Roman" w:cs="Times New Roman"/>
          <w:sz w:val="24"/>
          <w:szCs w:val="24"/>
        </w:rPr>
        <w:t xml:space="preserve"> are anxiety disorder specific and one for low mood) plus a total anxiety and </w:t>
      </w:r>
      <w:r w:rsidR="00C146B6" w:rsidRPr="004E13ED">
        <w:rPr>
          <w:rFonts w:ascii="Times New Roman" w:hAnsi="Times New Roman" w:cs="Times New Roman"/>
          <w:sz w:val="24"/>
          <w:szCs w:val="24"/>
        </w:rPr>
        <w:t>total internalising</w:t>
      </w:r>
      <w:r w:rsidR="009F495C" w:rsidRPr="004E13ED">
        <w:rPr>
          <w:rFonts w:ascii="Times New Roman" w:hAnsi="Times New Roman" w:cs="Times New Roman"/>
          <w:sz w:val="24"/>
          <w:szCs w:val="24"/>
        </w:rPr>
        <w:t xml:space="preserve"> score. </w:t>
      </w:r>
      <w:r w:rsidR="00D573F5" w:rsidRPr="004E13ED">
        <w:rPr>
          <w:rFonts w:ascii="Times New Roman" w:hAnsi="Times New Roman" w:cs="Times New Roman"/>
          <w:sz w:val="24"/>
          <w:szCs w:val="24"/>
        </w:rPr>
        <w:t>The measure has good construct validity and test-retest reliability (</w:t>
      </w:r>
      <w:proofErr w:type="spellStart"/>
      <w:r w:rsidR="00D573F5" w:rsidRPr="004E13ED">
        <w:rPr>
          <w:rFonts w:ascii="Times New Roman" w:hAnsi="Times New Roman" w:cs="Times New Roman"/>
          <w:sz w:val="24"/>
          <w:szCs w:val="24"/>
        </w:rPr>
        <w:t>Chorpita</w:t>
      </w:r>
      <w:proofErr w:type="spellEnd"/>
      <w:r w:rsidR="00D573F5" w:rsidRPr="004E13ED">
        <w:rPr>
          <w:rFonts w:ascii="Times New Roman" w:hAnsi="Times New Roman" w:cs="Times New Roman"/>
          <w:sz w:val="24"/>
          <w:szCs w:val="24"/>
        </w:rPr>
        <w:t xml:space="preserve"> et al. 2005). </w:t>
      </w:r>
    </w:p>
    <w:p w14:paraId="4B5B7D22" w14:textId="69EC51EA" w:rsidR="007E61F4" w:rsidRPr="00577C62" w:rsidRDefault="00D573F5" w:rsidP="006E5CAF">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The Strength and Difficulties Questionnaire (SDQ) is a 25-item emotional and behavioural screening questionnaire. The scale can be completed by CYP aged 11-17 years old and the parent version can be completed by the parent or caregiver of CYP aged between 2-17 years old. The questionnaire contains</w:t>
      </w:r>
      <w:r w:rsidR="00870869">
        <w:rPr>
          <w:rFonts w:ascii="Times New Roman" w:hAnsi="Times New Roman" w:cs="Times New Roman"/>
          <w:sz w:val="24"/>
          <w:szCs w:val="24"/>
        </w:rPr>
        <w:t xml:space="preserve"> </w:t>
      </w:r>
      <w:r w:rsidR="00870869" w:rsidRPr="004E5148">
        <w:rPr>
          <w:rFonts w:ascii="Times New Roman" w:hAnsi="Times New Roman" w:cs="Times New Roman"/>
          <w:sz w:val="24"/>
          <w:szCs w:val="24"/>
        </w:rPr>
        <w:t>five</w:t>
      </w:r>
      <w:r w:rsidRPr="004E13ED">
        <w:rPr>
          <w:rFonts w:ascii="Times New Roman" w:hAnsi="Times New Roman" w:cs="Times New Roman"/>
          <w:sz w:val="24"/>
          <w:szCs w:val="24"/>
        </w:rPr>
        <w:t xml:space="preserve"> subscales: emotional symptoms; conduct problems; hyperactivity/inattention; peer relationships; and prosocial behaviour. </w:t>
      </w:r>
      <w:r w:rsidR="00436BA5" w:rsidRPr="004E13ED">
        <w:rPr>
          <w:rFonts w:ascii="Times New Roman" w:hAnsi="Times New Roman" w:cs="Times New Roman"/>
          <w:sz w:val="24"/>
          <w:szCs w:val="24"/>
        </w:rPr>
        <w:t>The</w:t>
      </w:r>
      <w:r w:rsidR="004F5C9C">
        <w:rPr>
          <w:rFonts w:ascii="Times New Roman" w:hAnsi="Times New Roman" w:cs="Times New Roman"/>
          <w:sz w:val="24"/>
          <w:szCs w:val="24"/>
        </w:rPr>
        <w:t xml:space="preserve"> SDQ shows </w:t>
      </w:r>
      <w:r w:rsidR="00436BA5" w:rsidRPr="004E13ED">
        <w:rPr>
          <w:rFonts w:ascii="Times New Roman" w:hAnsi="Times New Roman" w:cs="Times New Roman"/>
          <w:sz w:val="24"/>
          <w:szCs w:val="24"/>
        </w:rPr>
        <w:t xml:space="preserve">satisfactory </w:t>
      </w:r>
      <w:r w:rsidR="004F5C9C">
        <w:rPr>
          <w:rFonts w:ascii="Times New Roman" w:hAnsi="Times New Roman" w:cs="Times New Roman"/>
          <w:sz w:val="24"/>
          <w:szCs w:val="24"/>
        </w:rPr>
        <w:t xml:space="preserve">internal consistency and good concurrent validity </w:t>
      </w:r>
      <w:r w:rsidR="00436BA5" w:rsidRPr="004E13ED">
        <w:rPr>
          <w:rFonts w:ascii="Times New Roman" w:hAnsi="Times New Roman" w:cs="Times New Roman"/>
          <w:sz w:val="24"/>
          <w:szCs w:val="24"/>
        </w:rPr>
        <w:t>(Goodman, 2001), it is therefore suggested to be used for screening purposes only (</w:t>
      </w:r>
      <w:proofErr w:type="spellStart"/>
      <w:r w:rsidR="00436BA5" w:rsidRPr="004E13ED">
        <w:rPr>
          <w:rFonts w:ascii="Times New Roman" w:hAnsi="Times New Roman" w:cs="Times New Roman"/>
          <w:sz w:val="24"/>
          <w:szCs w:val="24"/>
        </w:rPr>
        <w:t>Mieloo</w:t>
      </w:r>
      <w:proofErr w:type="spellEnd"/>
      <w:r w:rsidR="00436BA5" w:rsidRPr="004E13ED">
        <w:rPr>
          <w:rFonts w:ascii="Times New Roman" w:hAnsi="Times New Roman" w:cs="Times New Roman"/>
          <w:sz w:val="24"/>
          <w:szCs w:val="24"/>
        </w:rPr>
        <w:t xml:space="preserve"> et al. 2012).</w:t>
      </w:r>
      <w:r w:rsidR="001167D3">
        <w:rPr>
          <w:rFonts w:ascii="Times New Roman" w:hAnsi="Times New Roman" w:cs="Times New Roman"/>
          <w:sz w:val="24"/>
          <w:szCs w:val="24"/>
        </w:rPr>
        <w:t xml:space="preserve"> </w:t>
      </w:r>
      <w:r w:rsidR="004F5C9C">
        <w:rPr>
          <w:rFonts w:ascii="Times New Roman" w:hAnsi="Times New Roman" w:cs="Times New Roman"/>
          <w:sz w:val="24"/>
          <w:szCs w:val="24"/>
        </w:rPr>
        <w:t>We found t</w:t>
      </w:r>
      <w:r w:rsidR="001167D3">
        <w:rPr>
          <w:rFonts w:ascii="Times New Roman" w:hAnsi="Times New Roman" w:cs="Times New Roman"/>
          <w:sz w:val="24"/>
          <w:szCs w:val="24"/>
        </w:rPr>
        <w:t>he scale displayed acceptable to good internal consistency on the child (</w:t>
      </w:r>
      <w:r w:rsidR="001167D3" w:rsidRPr="004E13ED">
        <w:rPr>
          <w:rFonts w:ascii="Times New Roman" w:hAnsi="Times New Roman" w:cs="Times New Roman"/>
          <w:color w:val="202124"/>
          <w:sz w:val="24"/>
          <w:szCs w:val="24"/>
          <w:shd w:val="clear" w:color="auto" w:fill="FFFFFF"/>
        </w:rPr>
        <w:t>α</w:t>
      </w:r>
      <w:r w:rsidR="001167D3">
        <w:rPr>
          <w:rFonts w:ascii="Times New Roman" w:hAnsi="Times New Roman" w:cs="Times New Roman"/>
          <w:color w:val="202124"/>
          <w:sz w:val="24"/>
          <w:szCs w:val="24"/>
          <w:shd w:val="clear" w:color="auto" w:fill="FFFFFF"/>
        </w:rPr>
        <w:t>= .73) and parent (</w:t>
      </w:r>
      <w:r w:rsidR="001167D3" w:rsidRPr="004E13ED">
        <w:rPr>
          <w:rFonts w:ascii="Times New Roman" w:hAnsi="Times New Roman" w:cs="Times New Roman"/>
          <w:color w:val="202124"/>
          <w:sz w:val="24"/>
          <w:szCs w:val="24"/>
          <w:shd w:val="clear" w:color="auto" w:fill="FFFFFF"/>
        </w:rPr>
        <w:t>α</w:t>
      </w:r>
      <w:r w:rsidR="001167D3">
        <w:rPr>
          <w:rFonts w:ascii="Times New Roman" w:hAnsi="Times New Roman" w:cs="Times New Roman"/>
          <w:color w:val="202124"/>
          <w:sz w:val="24"/>
          <w:szCs w:val="24"/>
          <w:shd w:val="clear" w:color="auto" w:fill="FFFFFF"/>
        </w:rPr>
        <w:t>= .81)</w:t>
      </w:r>
      <w:r w:rsidR="00436BA5" w:rsidRPr="004E13ED">
        <w:rPr>
          <w:rFonts w:ascii="Times New Roman" w:hAnsi="Times New Roman" w:cs="Times New Roman"/>
          <w:sz w:val="24"/>
          <w:szCs w:val="24"/>
        </w:rPr>
        <w:t xml:space="preserve"> </w:t>
      </w:r>
      <w:r w:rsidR="001167D3">
        <w:rPr>
          <w:rFonts w:ascii="Times New Roman" w:hAnsi="Times New Roman" w:cs="Times New Roman"/>
          <w:sz w:val="24"/>
          <w:szCs w:val="24"/>
        </w:rPr>
        <w:t xml:space="preserve">measure. </w:t>
      </w:r>
      <w:r w:rsidR="00436BA5" w:rsidRPr="004E13ED">
        <w:rPr>
          <w:rFonts w:ascii="Times New Roman" w:hAnsi="Times New Roman" w:cs="Times New Roman"/>
          <w:sz w:val="24"/>
          <w:szCs w:val="24"/>
        </w:rPr>
        <w:t xml:space="preserve"> </w:t>
      </w:r>
    </w:p>
    <w:p w14:paraId="00F46EC1" w14:textId="36EFBEF5" w:rsidR="00D040AE" w:rsidRPr="006E5CAF" w:rsidRDefault="001717BD" w:rsidP="00A824E8">
      <w:pPr>
        <w:spacing w:after="0" w:line="480" w:lineRule="auto"/>
        <w:rPr>
          <w:rFonts w:ascii="Times New Roman" w:hAnsi="Times New Roman" w:cs="Times New Roman"/>
          <w:b/>
          <w:sz w:val="24"/>
          <w:szCs w:val="24"/>
        </w:rPr>
      </w:pPr>
      <w:r w:rsidRPr="007A3FAF">
        <w:rPr>
          <w:rFonts w:ascii="Times New Roman" w:hAnsi="Times New Roman" w:cs="Times New Roman"/>
          <w:b/>
          <w:sz w:val="24"/>
          <w:szCs w:val="24"/>
        </w:rPr>
        <w:t xml:space="preserve">Results </w:t>
      </w:r>
    </w:p>
    <w:p w14:paraId="6AD1F7FF" w14:textId="701724E5" w:rsidR="00D040AE" w:rsidRPr="004E13ED" w:rsidRDefault="0007311C"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In this paper, we report the demographic information of all those who </w:t>
      </w:r>
      <w:r w:rsidR="00E53A3F" w:rsidRPr="004E13ED">
        <w:rPr>
          <w:rFonts w:ascii="Times New Roman" w:hAnsi="Times New Roman" w:cs="Times New Roman"/>
          <w:sz w:val="24"/>
          <w:szCs w:val="24"/>
        </w:rPr>
        <w:t xml:space="preserve">were </w:t>
      </w:r>
      <w:r w:rsidRPr="004E13ED">
        <w:rPr>
          <w:rFonts w:ascii="Times New Roman" w:hAnsi="Times New Roman" w:cs="Times New Roman"/>
          <w:sz w:val="24"/>
          <w:szCs w:val="24"/>
        </w:rPr>
        <w:t>referred</w:t>
      </w:r>
      <w:r w:rsidR="00D933DC" w:rsidRPr="004E13ED">
        <w:rPr>
          <w:rFonts w:ascii="Times New Roman" w:hAnsi="Times New Roman" w:cs="Times New Roman"/>
          <w:sz w:val="24"/>
          <w:szCs w:val="24"/>
        </w:rPr>
        <w:t xml:space="preserve"> to the </w:t>
      </w:r>
      <w:r w:rsidR="00482A84">
        <w:rPr>
          <w:rFonts w:ascii="Times New Roman" w:hAnsi="Times New Roman" w:cs="Times New Roman"/>
          <w:sz w:val="24"/>
          <w:szCs w:val="24"/>
        </w:rPr>
        <w:t xml:space="preserve">two </w:t>
      </w:r>
      <w:r w:rsidR="00D933DC" w:rsidRPr="004E13ED">
        <w:rPr>
          <w:rFonts w:ascii="Times New Roman" w:hAnsi="Times New Roman" w:cs="Times New Roman"/>
          <w:sz w:val="24"/>
          <w:szCs w:val="24"/>
        </w:rPr>
        <w:t>MHST</w:t>
      </w:r>
      <w:r w:rsidR="00482A84">
        <w:rPr>
          <w:rFonts w:ascii="Times New Roman" w:hAnsi="Times New Roman" w:cs="Times New Roman"/>
          <w:sz w:val="24"/>
          <w:szCs w:val="24"/>
        </w:rPr>
        <w:t xml:space="preserve"> sites</w:t>
      </w:r>
      <w:r w:rsidR="008926AE" w:rsidRPr="004E13ED">
        <w:rPr>
          <w:rFonts w:ascii="Times New Roman" w:hAnsi="Times New Roman" w:cs="Times New Roman"/>
          <w:sz w:val="24"/>
          <w:szCs w:val="24"/>
        </w:rPr>
        <w:t>. To indicate</w:t>
      </w:r>
      <w:r w:rsidR="001F69BA" w:rsidRPr="004E13ED">
        <w:rPr>
          <w:rFonts w:ascii="Times New Roman" w:hAnsi="Times New Roman" w:cs="Times New Roman"/>
          <w:sz w:val="24"/>
          <w:szCs w:val="24"/>
        </w:rPr>
        <w:t xml:space="preserve"> the</w:t>
      </w:r>
      <w:r w:rsidR="008926AE" w:rsidRPr="004E13ED">
        <w:rPr>
          <w:rFonts w:ascii="Times New Roman" w:hAnsi="Times New Roman" w:cs="Times New Roman"/>
          <w:sz w:val="24"/>
          <w:szCs w:val="24"/>
        </w:rPr>
        <w:t xml:space="preserve"> clinical characteristics, we report</w:t>
      </w:r>
      <w:r w:rsidRPr="004E13ED">
        <w:rPr>
          <w:rFonts w:ascii="Times New Roman" w:hAnsi="Times New Roman" w:cs="Times New Roman"/>
          <w:sz w:val="24"/>
          <w:szCs w:val="24"/>
        </w:rPr>
        <w:t xml:space="preserve"> the</w:t>
      </w:r>
      <w:r w:rsidR="00A40BB5" w:rsidRPr="004E13ED">
        <w:rPr>
          <w:rFonts w:ascii="Times New Roman" w:hAnsi="Times New Roman" w:cs="Times New Roman"/>
          <w:sz w:val="24"/>
          <w:szCs w:val="24"/>
        </w:rPr>
        <w:t xml:space="preserve"> responses to</w:t>
      </w:r>
      <w:r w:rsidRPr="004E13ED">
        <w:rPr>
          <w:rFonts w:ascii="Times New Roman" w:hAnsi="Times New Roman" w:cs="Times New Roman"/>
          <w:sz w:val="24"/>
          <w:szCs w:val="24"/>
        </w:rPr>
        <w:t xml:space="preserve"> symptom measures </w:t>
      </w:r>
      <w:r w:rsidR="00284473" w:rsidRPr="004E13ED">
        <w:rPr>
          <w:rFonts w:ascii="Times New Roman" w:hAnsi="Times New Roman" w:cs="Times New Roman"/>
          <w:sz w:val="24"/>
          <w:szCs w:val="24"/>
        </w:rPr>
        <w:t>completed by</w:t>
      </w:r>
      <w:r w:rsidRPr="004E13ED">
        <w:rPr>
          <w:rFonts w:ascii="Times New Roman" w:hAnsi="Times New Roman" w:cs="Times New Roman"/>
          <w:sz w:val="24"/>
          <w:szCs w:val="24"/>
        </w:rPr>
        <w:t xml:space="preserve"> those who were accepted into the service. </w:t>
      </w:r>
    </w:p>
    <w:p w14:paraId="3F979295" w14:textId="460050EE" w:rsidR="00D040AE" w:rsidRPr="006E5CAF" w:rsidRDefault="001717BD" w:rsidP="00A824E8">
      <w:pPr>
        <w:spacing w:after="0" w:line="480" w:lineRule="auto"/>
        <w:rPr>
          <w:rFonts w:ascii="Times New Roman" w:hAnsi="Times New Roman" w:cs="Times New Roman"/>
          <w:b/>
          <w:i/>
          <w:sz w:val="24"/>
          <w:szCs w:val="24"/>
        </w:rPr>
      </w:pPr>
      <w:r w:rsidRPr="007A3FAF">
        <w:rPr>
          <w:rFonts w:ascii="Times New Roman" w:hAnsi="Times New Roman" w:cs="Times New Roman"/>
          <w:b/>
          <w:i/>
          <w:sz w:val="24"/>
          <w:szCs w:val="24"/>
        </w:rPr>
        <w:t xml:space="preserve">Data analysis </w:t>
      </w:r>
    </w:p>
    <w:p w14:paraId="2A880FEB" w14:textId="0F9E5590" w:rsidR="00CA4C00" w:rsidRPr="004E13ED" w:rsidRDefault="00D1639C"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When describing data, categorical variables are described in frequencies and percentages and for continuous variables, means and standard deviations (SDs) are provided. </w:t>
      </w:r>
      <w:r w:rsidR="005F4A24" w:rsidRPr="004E13ED">
        <w:rPr>
          <w:rFonts w:ascii="Times New Roman" w:hAnsi="Times New Roman" w:cs="Times New Roman"/>
          <w:sz w:val="24"/>
          <w:szCs w:val="24"/>
        </w:rPr>
        <w:t>With regard to demographic information, w</w:t>
      </w:r>
      <w:r w:rsidR="00EB7908" w:rsidRPr="004E13ED">
        <w:rPr>
          <w:rFonts w:ascii="Times New Roman" w:hAnsi="Times New Roman" w:cs="Times New Roman"/>
          <w:sz w:val="24"/>
          <w:szCs w:val="24"/>
        </w:rPr>
        <w:t xml:space="preserve">hen describing age, individuals were grouped into age categories which were: 4-7; 8-11; 12-14; 15-18 years old. These categories were chosen </w:t>
      </w:r>
      <w:r w:rsidR="00EB7908" w:rsidRPr="004E13ED">
        <w:rPr>
          <w:rFonts w:ascii="Times New Roman" w:hAnsi="Times New Roman" w:cs="Times New Roman"/>
          <w:sz w:val="24"/>
          <w:szCs w:val="24"/>
        </w:rPr>
        <w:lastRenderedPageBreak/>
        <w:t xml:space="preserve">to simplify the data and represent two categories for each primary school age and secondary. For the purposes of this paper, </w:t>
      </w:r>
      <w:r w:rsidR="003A6B3E">
        <w:rPr>
          <w:rFonts w:ascii="Times New Roman" w:hAnsi="Times New Roman" w:cs="Times New Roman"/>
          <w:sz w:val="24"/>
          <w:szCs w:val="24"/>
        </w:rPr>
        <w:t>sex</w:t>
      </w:r>
      <w:r w:rsidR="002C45E7">
        <w:rPr>
          <w:rFonts w:ascii="Times New Roman" w:hAnsi="Times New Roman" w:cs="Times New Roman"/>
          <w:sz w:val="24"/>
          <w:szCs w:val="24"/>
        </w:rPr>
        <w:t xml:space="preserve"> </w:t>
      </w:r>
      <w:r w:rsidR="00EB7908" w:rsidRPr="004E13ED">
        <w:rPr>
          <w:rFonts w:ascii="Times New Roman" w:hAnsi="Times New Roman" w:cs="Times New Roman"/>
          <w:sz w:val="24"/>
          <w:szCs w:val="24"/>
        </w:rPr>
        <w:t xml:space="preserve">as determined at birth was used, as this is routinely collected as part of the service. The sample is also described by ethnic group. For the purposes of analysis, the sample is </w:t>
      </w:r>
      <w:r w:rsidR="005F5EA5" w:rsidRPr="004E13ED">
        <w:rPr>
          <w:rFonts w:ascii="Times New Roman" w:hAnsi="Times New Roman" w:cs="Times New Roman"/>
          <w:sz w:val="24"/>
          <w:szCs w:val="24"/>
        </w:rPr>
        <w:t>dichotomised into</w:t>
      </w:r>
      <w:r w:rsidR="00EB7908" w:rsidRPr="004E13ED">
        <w:rPr>
          <w:rFonts w:ascii="Times New Roman" w:hAnsi="Times New Roman" w:cs="Times New Roman"/>
          <w:sz w:val="24"/>
          <w:szCs w:val="24"/>
        </w:rPr>
        <w:t xml:space="preserve"> White and </w:t>
      </w:r>
      <w:r w:rsidR="008C6EA5" w:rsidRPr="004E13ED">
        <w:rPr>
          <w:rFonts w:ascii="Times New Roman" w:hAnsi="Times New Roman" w:cs="Times New Roman"/>
          <w:sz w:val="24"/>
          <w:szCs w:val="24"/>
        </w:rPr>
        <w:t>minority ethnic groups</w:t>
      </w:r>
      <w:r w:rsidR="00EB7908" w:rsidRPr="004E13ED">
        <w:rPr>
          <w:rFonts w:ascii="Times New Roman" w:hAnsi="Times New Roman" w:cs="Times New Roman"/>
          <w:sz w:val="24"/>
          <w:szCs w:val="24"/>
        </w:rPr>
        <w:t xml:space="preserve">. This is due to the frequency distribution across the ethnic groups and for the purposes of the statistical tests that have been used. </w:t>
      </w:r>
    </w:p>
    <w:p w14:paraId="4EEFF354" w14:textId="1B7B47E5" w:rsidR="00CA4C00" w:rsidRPr="004E13ED" w:rsidRDefault="00A10E8E"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To address research question </w:t>
      </w:r>
      <w:r w:rsidR="00E57392">
        <w:rPr>
          <w:rFonts w:ascii="Times New Roman" w:hAnsi="Times New Roman" w:cs="Times New Roman"/>
          <w:sz w:val="24"/>
          <w:szCs w:val="24"/>
        </w:rPr>
        <w:t>one</w:t>
      </w:r>
      <w:r w:rsidR="00075C5A" w:rsidRPr="004E13ED">
        <w:rPr>
          <w:rFonts w:ascii="Times New Roman" w:hAnsi="Times New Roman" w:cs="Times New Roman"/>
          <w:sz w:val="24"/>
          <w:szCs w:val="24"/>
        </w:rPr>
        <w:t>,</w:t>
      </w:r>
      <w:r w:rsidRPr="004E13ED">
        <w:rPr>
          <w:rFonts w:ascii="Times New Roman" w:hAnsi="Times New Roman" w:cs="Times New Roman"/>
          <w:sz w:val="24"/>
          <w:szCs w:val="24"/>
        </w:rPr>
        <w:t xml:space="preserve"> we describe the demographic information of all those who referred to the two MHST sites in 2021</w:t>
      </w:r>
      <w:r w:rsidR="00075C5A" w:rsidRPr="004E13ED">
        <w:rPr>
          <w:rFonts w:ascii="Times New Roman" w:hAnsi="Times New Roman" w:cs="Times New Roman"/>
          <w:sz w:val="24"/>
          <w:szCs w:val="24"/>
        </w:rPr>
        <w:t xml:space="preserve"> (n = 485)</w:t>
      </w:r>
      <w:r w:rsidRPr="004E13ED">
        <w:rPr>
          <w:rFonts w:ascii="Times New Roman" w:hAnsi="Times New Roman" w:cs="Times New Roman"/>
          <w:sz w:val="24"/>
          <w:szCs w:val="24"/>
        </w:rPr>
        <w:t>. This cover</w:t>
      </w:r>
      <w:r w:rsidR="00DC2099" w:rsidRPr="004E13ED">
        <w:rPr>
          <w:rFonts w:ascii="Times New Roman" w:hAnsi="Times New Roman" w:cs="Times New Roman"/>
          <w:sz w:val="24"/>
          <w:szCs w:val="24"/>
        </w:rPr>
        <w:t>s</w:t>
      </w:r>
      <w:r w:rsidRPr="004E13ED">
        <w:rPr>
          <w:rFonts w:ascii="Times New Roman" w:hAnsi="Times New Roman" w:cs="Times New Roman"/>
          <w:sz w:val="24"/>
          <w:szCs w:val="24"/>
        </w:rPr>
        <w:t xml:space="preserve"> the age, </w:t>
      </w:r>
      <w:r w:rsidR="003A6B3E">
        <w:rPr>
          <w:rFonts w:ascii="Times New Roman" w:hAnsi="Times New Roman" w:cs="Times New Roman"/>
          <w:sz w:val="24"/>
          <w:szCs w:val="24"/>
        </w:rPr>
        <w:t>sex (assigned at birth)</w:t>
      </w:r>
      <w:r w:rsidRPr="004E13ED">
        <w:rPr>
          <w:rFonts w:ascii="Times New Roman" w:hAnsi="Times New Roman" w:cs="Times New Roman"/>
          <w:sz w:val="24"/>
          <w:szCs w:val="24"/>
        </w:rPr>
        <w:t xml:space="preserve"> and ethnicity. In relation to this, we also report </w:t>
      </w:r>
      <w:r w:rsidR="00075C5A" w:rsidRPr="004E13ED">
        <w:rPr>
          <w:rFonts w:ascii="Times New Roman" w:hAnsi="Times New Roman" w:cs="Times New Roman"/>
          <w:sz w:val="24"/>
          <w:szCs w:val="24"/>
        </w:rPr>
        <w:t xml:space="preserve">three </w:t>
      </w:r>
      <w:r w:rsidRPr="004E13ED">
        <w:rPr>
          <w:rFonts w:ascii="Times New Roman" w:hAnsi="Times New Roman" w:cs="Times New Roman"/>
          <w:sz w:val="24"/>
          <w:szCs w:val="24"/>
        </w:rPr>
        <w:t>Chi-squared test</w:t>
      </w:r>
      <w:r w:rsidR="00075C5A" w:rsidRPr="004E13ED">
        <w:rPr>
          <w:rFonts w:ascii="Times New Roman" w:hAnsi="Times New Roman" w:cs="Times New Roman"/>
          <w:sz w:val="24"/>
          <w:szCs w:val="24"/>
        </w:rPr>
        <w:t>s, which were conducted</w:t>
      </w:r>
      <w:r w:rsidRPr="004E13ED">
        <w:rPr>
          <w:rFonts w:ascii="Times New Roman" w:hAnsi="Times New Roman" w:cs="Times New Roman"/>
          <w:sz w:val="24"/>
          <w:szCs w:val="24"/>
        </w:rPr>
        <w:t xml:space="preserve"> to see if there are any associations between whether a young person was signposted or accepted and their demographic information</w:t>
      </w:r>
      <w:r w:rsidR="005C24B4" w:rsidRPr="004E13ED">
        <w:rPr>
          <w:rFonts w:ascii="Times New Roman" w:hAnsi="Times New Roman" w:cs="Times New Roman"/>
          <w:sz w:val="24"/>
          <w:szCs w:val="24"/>
        </w:rPr>
        <w:t xml:space="preserve">. </w:t>
      </w:r>
      <w:r w:rsidR="00124257" w:rsidRPr="004E13ED">
        <w:rPr>
          <w:rFonts w:ascii="Times New Roman" w:hAnsi="Times New Roman" w:cs="Times New Roman"/>
          <w:sz w:val="24"/>
          <w:szCs w:val="24"/>
        </w:rPr>
        <w:t>For the purpose of the chi-square analyses, d</w:t>
      </w:r>
      <w:r w:rsidR="005C24B4" w:rsidRPr="004E13ED">
        <w:rPr>
          <w:rFonts w:ascii="Times New Roman" w:hAnsi="Times New Roman" w:cs="Times New Roman"/>
          <w:sz w:val="24"/>
          <w:szCs w:val="24"/>
        </w:rPr>
        <w:t xml:space="preserve">emographic information was dichotomised into the following categories: </w:t>
      </w:r>
      <w:r w:rsidR="00DC2099" w:rsidRPr="004E13ED">
        <w:rPr>
          <w:rFonts w:ascii="Times New Roman" w:hAnsi="Times New Roman" w:cs="Times New Roman"/>
          <w:sz w:val="24"/>
          <w:szCs w:val="24"/>
        </w:rPr>
        <w:t>age</w:t>
      </w:r>
      <w:r w:rsidR="0098322E" w:rsidRPr="004E13ED">
        <w:rPr>
          <w:rFonts w:ascii="Times New Roman" w:hAnsi="Times New Roman" w:cs="Times New Roman"/>
          <w:sz w:val="24"/>
          <w:szCs w:val="24"/>
        </w:rPr>
        <w:t xml:space="preserve"> (</w:t>
      </w:r>
      <w:r w:rsidR="00CA537D" w:rsidRPr="004E13ED">
        <w:rPr>
          <w:rFonts w:ascii="Times New Roman" w:hAnsi="Times New Roman" w:cs="Times New Roman"/>
          <w:sz w:val="24"/>
          <w:szCs w:val="24"/>
        </w:rPr>
        <w:t>primary age 4-11-years-old and secondary age 12-18-years-old</w:t>
      </w:r>
      <w:r w:rsidR="0098322E" w:rsidRPr="004E13ED">
        <w:rPr>
          <w:rFonts w:ascii="Times New Roman" w:hAnsi="Times New Roman" w:cs="Times New Roman"/>
          <w:sz w:val="24"/>
          <w:szCs w:val="24"/>
        </w:rPr>
        <w:t>)</w:t>
      </w:r>
      <w:r w:rsidR="00DC2099" w:rsidRPr="004E13ED">
        <w:rPr>
          <w:rFonts w:ascii="Times New Roman" w:hAnsi="Times New Roman" w:cs="Times New Roman"/>
          <w:sz w:val="24"/>
          <w:szCs w:val="24"/>
        </w:rPr>
        <w:t xml:space="preserve">, </w:t>
      </w:r>
      <w:r w:rsidR="003A6B3E">
        <w:rPr>
          <w:rFonts w:ascii="Times New Roman" w:hAnsi="Times New Roman" w:cs="Times New Roman"/>
          <w:sz w:val="24"/>
          <w:szCs w:val="24"/>
        </w:rPr>
        <w:t>sex (assigned at birth)</w:t>
      </w:r>
      <w:r w:rsidR="00B45400">
        <w:rPr>
          <w:rFonts w:ascii="Times New Roman" w:hAnsi="Times New Roman" w:cs="Times New Roman"/>
          <w:sz w:val="24"/>
          <w:szCs w:val="24"/>
        </w:rPr>
        <w:t xml:space="preserve"> </w:t>
      </w:r>
      <w:r w:rsidR="0098322E" w:rsidRPr="004E13ED">
        <w:rPr>
          <w:rFonts w:ascii="Times New Roman" w:hAnsi="Times New Roman" w:cs="Times New Roman"/>
          <w:sz w:val="24"/>
          <w:szCs w:val="24"/>
        </w:rPr>
        <w:t>(male and female)</w:t>
      </w:r>
      <w:r w:rsidR="00DC2099" w:rsidRPr="004E13ED">
        <w:rPr>
          <w:rFonts w:ascii="Times New Roman" w:hAnsi="Times New Roman" w:cs="Times New Roman"/>
          <w:sz w:val="24"/>
          <w:szCs w:val="24"/>
        </w:rPr>
        <w:t>, ethnicity</w:t>
      </w:r>
      <w:r w:rsidR="0098322E" w:rsidRPr="004E13ED">
        <w:rPr>
          <w:rFonts w:ascii="Times New Roman" w:hAnsi="Times New Roman" w:cs="Times New Roman"/>
          <w:sz w:val="24"/>
          <w:szCs w:val="24"/>
        </w:rPr>
        <w:t xml:space="preserve"> </w:t>
      </w:r>
      <w:r w:rsidR="00540F6A" w:rsidRPr="004E13ED">
        <w:rPr>
          <w:rFonts w:ascii="Times New Roman" w:hAnsi="Times New Roman" w:cs="Times New Roman"/>
          <w:sz w:val="24"/>
          <w:szCs w:val="24"/>
        </w:rPr>
        <w:t>(White and Minority ethnic groups</w:t>
      </w:r>
      <w:r w:rsidR="00DC2099" w:rsidRPr="004E13ED">
        <w:rPr>
          <w:rFonts w:ascii="Times New Roman" w:hAnsi="Times New Roman" w:cs="Times New Roman"/>
          <w:sz w:val="24"/>
          <w:szCs w:val="24"/>
        </w:rPr>
        <w:t>)</w:t>
      </w:r>
      <w:r w:rsidRPr="004E13ED">
        <w:rPr>
          <w:rFonts w:ascii="Times New Roman" w:hAnsi="Times New Roman" w:cs="Times New Roman"/>
          <w:sz w:val="24"/>
          <w:szCs w:val="24"/>
        </w:rPr>
        <w:t xml:space="preserve">. </w:t>
      </w:r>
    </w:p>
    <w:p w14:paraId="481EF309" w14:textId="44AE7EB7" w:rsidR="00CA4C00" w:rsidRPr="004E13ED" w:rsidRDefault="00075C5A"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To address research question </w:t>
      </w:r>
      <w:r w:rsidR="00E57392">
        <w:rPr>
          <w:rFonts w:ascii="Times New Roman" w:hAnsi="Times New Roman" w:cs="Times New Roman"/>
          <w:sz w:val="24"/>
          <w:szCs w:val="24"/>
        </w:rPr>
        <w:t>two</w:t>
      </w:r>
      <w:r w:rsidRPr="004E13ED">
        <w:rPr>
          <w:rFonts w:ascii="Times New Roman" w:hAnsi="Times New Roman" w:cs="Times New Roman"/>
          <w:sz w:val="24"/>
          <w:szCs w:val="24"/>
        </w:rPr>
        <w:t xml:space="preserve">, we report the </w:t>
      </w:r>
      <w:r w:rsidR="00DC2099" w:rsidRPr="004E13ED">
        <w:rPr>
          <w:rFonts w:ascii="Times New Roman" w:hAnsi="Times New Roman" w:cs="Times New Roman"/>
          <w:sz w:val="24"/>
          <w:szCs w:val="24"/>
        </w:rPr>
        <w:t xml:space="preserve">mean </w:t>
      </w:r>
      <w:r w:rsidRPr="004E13ED">
        <w:rPr>
          <w:rFonts w:ascii="Times New Roman" w:hAnsi="Times New Roman" w:cs="Times New Roman"/>
          <w:sz w:val="24"/>
          <w:szCs w:val="24"/>
        </w:rPr>
        <w:t xml:space="preserve">raw scores on the </w:t>
      </w:r>
      <w:r w:rsidR="00E42A9F" w:rsidRPr="004E13ED">
        <w:rPr>
          <w:rFonts w:ascii="Times New Roman" w:hAnsi="Times New Roman" w:cs="Times New Roman"/>
          <w:sz w:val="24"/>
          <w:szCs w:val="24"/>
        </w:rPr>
        <w:t>RCADS</w:t>
      </w:r>
      <w:r w:rsidRPr="004E13ED">
        <w:rPr>
          <w:rFonts w:ascii="Times New Roman" w:hAnsi="Times New Roman" w:cs="Times New Roman"/>
          <w:sz w:val="24"/>
          <w:szCs w:val="24"/>
        </w:rPr>
        <w:t xml:space="preserve"> and SDQ, completed by those who were </w:t>
      </w:r>
      <w:r w:rsidR="005C24B4" w:rsidRPr="004E13ED">
        <w:rPr>
          <w:rFonts w:ascii="Times New Roman" w:hAnsi="Times New Roman" w:cs="Times New Roman"/>
          <w:sz w:val="24"/>
          <w:szCs w:val="24"/>
        </w:rPr>
        <w:t>accepted into</w:t>
      </w:r>
      <w:r w:rsidRPr="004E13ED">
        <w:rPr>
          <w:rFonts w:ascii="Times New Roman" w:hAnsi="Times New Roman" w:cs="Times New Roman"/>
          <w:sz w:val="24"/>
          <w:szCs w:val="24"/>
        </w:rPr>
        <w:t xml:space="preserve"> the service (n = 373). Following this, to investigate our secondary question, we report three t-tests to determine whether there are differences in these average raw scores based on age, </w:t>
      </w:r>
      <w:r w:rsidR="003A6B3E">
        <w:rPr>
          <w:rFonts w:ascii="Times New Roman" w:hAnsi="Times New Roman" w:cs="Times New Roman"/>
          <w:sz w:val="24"/>
          <w:szCs w:val="24"/>
        </w:rPr>
        <w:t>sex (assigned at birth)</w:t>
      </w:r>
      <w:r w:rsidRPr="004E13ED">
        <w:rPr>
          <w:rFonts w:ascii="Times New Roman" w:hAnsi="Times New Roman" w:cs="Times New Roman"/>
          <w:sz w:val="24"/>
          <w:szCs w:val="24"/>
        </w:rPr>
        <w:t xml:space="preserve"> and ethnicity. </w:t>
      </w:r>
      <w:r w:rsidR="00E337B3">
        <w:rPr>
          <w:rFonts w:ascii="Times New Roman" w:hAnsi="Times New Roman" w:cs="Times New Roman"/>
          <w:sz w:val="24"/>
          <w:szCs w:val="24"/>
        </w:rPr>
        <w:t xml:space="preserve">Data on standardised measures was normally distributed and the assumptions of parametric testing were met. </w:t>
      </w:r>
    </w:p>
    <w:p w14:paraId="0AE0C23E" w14:textId="3DE05377" w:rsidR="00D673DA" w:rsidRPr="004E13ED" w:rsidRDefault="00075C5A"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Finally, for our third research question, we report th</w:t>
      </w:r>
      <w:r w:rsidR="00291D2E" w:rsidRPr="004E13ED">
        <w:rPr>
          <w:rFonts w:ascii="Times New Roman" w:hAnsi="Times New Roman" w:cs="Times New Roman"/>
          <w:sz w:val="24"/>
          <w:szCs w:val="24"/>
        </w:rPr>
        <w:t xml:space="preserve">e frequency and percentage of those who meet either the </w:t>
      </w:r>
      <w:r w:rsidR="00C25B58">
        <w:rPr>
          <w:rFonts w:ascii="Times New Roman" w:hAnsi="Times New Roman" w:cs="Times New Roman"/>
          <w:sz w:val="24"/>
          <w:szCs w:val="24"/>
        </w:rPr>
        <w:t>'below'</w:t>
      </w:r>
      <w:r w:rsidR="00291D2E" w:rsidRPr="004E13ED">
        <w:rPr>
          <w:rFonts w:ascii="Times New Roman" w:hAnsi="Times New Roman" w:cs="Times New Roman"/>
          <w:sz w:val="24"/>
          <w:szCs w:val="24"/>
        </w:rPr>
        <w:t xml:space="preserve">, </w:t>
      </w:r>
      <w:r w:rsidR="00C25B58">
        <w:rPr>
          <w:rFonts w:ascii="Times New Roman" w:hAnsi="Times New Roman" w:cs="Times New Roman"/>
          <w:sz w:val="24"/>
          <w:szCs w:val="24"/>
        </w:rPr>
        <w:t>'borderline'</w:t>
      </w:r>
      <w:r w:rsidR="00291D2E" w:rsidRPr="004E13ED">
        <w:rPr>
          <w:rFonts w:ascii="Times New Roman" w:hAnsi="Times New Roman" w:cs="Times New Roman"/>
          <w:sz w:val="24"/>
          <w:szCs w:val="24"/>
        </w:rPr>
        <w:t xml:space="preserve"> or </w:t>
      </w:r>
      <w:r w:rsidR="00C25B58">
        <w:rPr>
          <w:rFonts w:ascii="Times New Roman" w:hAnsi="Times New Roman" w:cs="Times New Roman"/>
          <w:sz w:val="24"/>
          <w:szCs w:val="24"/>
        </w:rPr>
        <w:t>'</w:t>
      </w:r>
      <w:r w:rsidR="00291D2E" w:rsidRPr="004E13ED">
        <w:rPr>
          <w:rFonts w:ascii="Times New Roman" w:hAnsi="Times New Roman" w:cs="Times New Roman"/>
          <w:sz w:val="24"/>
          <w:szCs w:val="24"/>
        </w:rPr>
        <w:t>clinical</w:t>
      </w:r>
      <w:r w:rsidR="00C25B58">
        <w:rPr>
          <w:rFonts w:ascii="Times New Roman" w:hAnsi="Times New Roman" w:cs="Times New Roman"/>
          <w:sz w:val="24"/>
          <w:szCs w:val="24"/>
        </w:rPr>
        <w:t>'</w:t>
      </w:r>
      <w:r w:rsidR="00291D2E" w:rsidRPr="004E13ED">
        <w:rPr>
          <w:rFonts w:ascii="Times New Roman" w:hAnsi="Times New Roman" w:cs="Times New Roman"/>
          <w:sz w:val="24"/>
          <w:szCs w:val="24"/>
        </w:rPr>
        <w:t xml:space="preserve"> thresholds. This is based on the average t-scores derived from the RCAD</w:t>
      </w:r>
      <w:r w:rsidR="00D06624" w:rsidRPr="004E13ED">
        <w:rPr>
          <w:rFonts w:ascii="Times New Roman" w:hAnsi="Times New Roman" w:cs="Times New Roman"/>
          <w:sz w:val="24"/>
          <w:szCs w:val="24"/>
        </w:rPr>
        <w:t>S</w:t>
      </w:r>
      <w:r w:rsidR="00291D2E" w:rsidRPr="004E13ED">
        <w:rPr>
          <w:rFonts w:ascii="Times New Roman" w:hAnsi="Times New Roman" w:cs="Times New Roman"/>
          <w:sz w:val="24"/>
          <w:szCs w:val="24"/>
        </w:rPr>
        <w:t xml:space="preserve">. </w:t>
      </w:r>
    </w:p>
    <w:p w14:paraId="72EE9134" w14:textId="6B4F3824" w:rsidR="00D040AE" w:rsidRPr="006E5CAF" w:rsidRDefault="000B7EC3" w:rsidP="00A824E8">
      <w:pPr>
        <w:spacing w:after="0" w:line="480" w:lineRule="auto"/>
        <w:rPr>
          <w:rFonts w:ascii="Times New Roman" w:hAnsi="Times New Roman" w:cs="Times New Roman"/>
          <w:b/>
          <w:i/>
          <w:sz w:val="24"/>
          <w:szCs w:val="24"/>
        </w:rPr>
      </w:pPr>
      <w:r w:rsidRPr="00CA4C00">
        <w:rPr>
          <w:rFonts w:ascii="Times New Roman" w:hAnsi="Times New Roman" w:cs="Times New Roman"/>
          <w:b/>
          <w:i/>
          <w:sz w:val="24"/>
          <w:szCs w:val="24"/>
        </w:rPr>
        <w:t xml:space="preserve">Research Question 1: What are the demographics of young people who </w:t>
      </w:r>
      <w:r w:rsidR="009341D5" w:rsidRPr="00CA4C00">
        <w:rPr>
          <w:rFonts w:ascii="Times New Roman" w:hAnsi="Times New Roman" w:cs="Times New Roman"/>
          <w:b/>
          <w:i/>
          <w:sz w:val="24"/>
          <w:szCs w:val="24"/>
        </w:rPr>
        <w:t xml:space="preserve">were </w:t>
      </w:r>
      <w:r w:rsidRPr="00CA4C00">
        <w:rPr>
          <w:rFonts w:ascii="Times New Roman" w:hAnsi="Times New Roman" w:cs="Times New Roman"/>
          <w:b/>
          <w:i/>
          <w:sz w:val="24"/>
          <w:szCs w:val="24"/>
        </w:rPr>
        <w:t xml:space="preserve">referred to and </w:t>
      </w:r>
      <w:r w:rsidR="005F1368">
        <w:rPr>
          <w:rFonts w:ascii="Times New Roman" w:hAnsi="Times New Roman" w:cs="Times New Roman"/>
          <w:b/>
          <w:i/>
          <w:sz w:val="24"/>
          <w:szCs w:val="24"/>
        </w:rPr>
        <w:t>were</w:t>
      </w:r>
      <w:r w:rsidR="005F1368" w:rsidRPr="00CA4C00">
        <w:rPr>
          <w:rFonts w:ascii="Times New Roman" w:hAnsi="Times New Roman" w:cs="Times New Roman"/>
          <w:b/>
          <w:i/>
          <w:sz w:val="24"/>
          <w:szCs w:val="24"/>
        </w:rPr>
        <w:t xml:space="preserve"> </w:t>
      </w:r>
      <w:r w:rsidRPr="00CA4C00">
        <w:rPr>
          <w:rFonts w:ascii="Times New Roman" w:hAnsi="Times New Roman" w:cs="Times New Roman"/>
          <w:b/>
          <w:i/>
          <w:sz w:val="24"/>
          <w:szCs w:val="24"/>
        </w:rPr>
        <w:t>accepted into two sites in West Sussex MHSTs?</w:t>
      </w:r>
    </w:p>
    <w:p w14:paraId="2E3E24B6" w14:textId="5929A9DF" w:rsidR="00CA4C00" w:rsidRPr="004E13ED" w:rsidRDefault="00D1639C"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lastRenderedPageBreak/>
        <w:t>The age at referral ranged between 4-18 years old, with a mean age of 11.98 (SD = 3.08).</w:t>
      </w:r>
      <w:r w:rsidR="003A43E8" w:rsidRPr="004E13ED">
        <w:rPr>
          <w:rFonts w:ascii="Times New Roman" w:hAnsi="Times New Roman" w:cs="Times New Roman"/>
          <w:sz w:val="24"/>
          <w:szCs w:val="24"/>
        </w:rPr>
        <w:t xml:space="preserve"> </w:t>
      </w:r>
      <w:r w:rsidR="00DD2CEA" w:rsidRPr="004E13ED">
        <w:rPr>
          <w:rFonts w:ascii="Times New Roman" w:hAnsi="Times New Roman" w:cs="Times New Roman"/>
          <w:sz w:val="24"/>
          <w:szCs w:val="24"/>
        </w:rPr>
        <w:t>The majority of referrals were secondary school age (12-18 years old) (57%),</w:t>
      </w:r>
      <w:r w:rsidR="000E62AD" w:rsidRPr="004E13ED">
        <w:rPr>
          <w:rFonts w:ascii="Times New Roman" w:hAnsi="Times New Roman" w:cs="Times New Roman"/>
          <w:sz w:val="24"/>
          <w:szCs w:val="24"/>
        </w:rPr>
        <w:t xml:space="preserve"> female (61%)</w:t>
      </w:r>
      <w:r w:rsidR="00FE1D03" w:rsidRPr="004E13ED">
        <w:rPr>
          <w:rFonts w:ascii="Times New Roman" w:hAnsi="Times New Roman" w:cs="Times New Roman"/>
          <w:sz w:val="24"/>
          <w:szCs w:val="24"/>
        </w:rPr>
        <w:t xml:space="preserve"> and </w:t>
      </w:r>
      <w:r w:rsidR="00F53B49" w:rsidRPr="004E13ED">
        <w:rPr>
          <w:rFonts w:ascii="Times New Roman" w:hAnsi="Times New Roman" w:cs="Times New Roman"/>
          <w:sz w:val="24"/>
          <w:szCs w:val="24"/>
        </w:rPr>
        <w:t xml:space="preserve">White British (81%). </w:t>
      </w:r>
      <w:r w:rsidR="006462BE" w:rsidRPr="004E13ED">
        <w:rPr>
          <w:rFonts w:ascii="Times New Roman" w:hAnsi="Times New Roman" w:cs="Times New Roman"/>
          <w:sz w:val="24"/>
          <w:szCs w:val="24"/>
        </w:rPr>
        <w:t xml:space="preserve">Males accounted for 49% of referrals for primary school aged children, but only 31% of secondary school age. </w:t>
      </w:r>
      <w:r w:rsidR="00031F07" w:rsidRPr="004E13ED">
        <w:rPr>
          <w:rFonts w:ascii="Times New Roman" w:hAnsi="Times New Roman" w:cs="Times New Roman"/>
          <w:sz w:val="24"/>
          <w:szCs w:val="24"/>
        </w:rPr>
        <w:t>The next most common ethnic groups were any other White background (5.2%), White and Black African (2.3%) and any other Mixed background (2.3%).</w:t>
      </w:r>
    </w:p>
    <w:p w14:paraId="661EBEA9" w14:textId="2E66C653" w:rsidR="00CA4C00" w:rsidRPr="004E13ED" w:rsidRDefault="00BE37ED"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The sample of</w:t>
      </w:r>
      <w:r w:rsidR="00CA659D" w:rsidRPr="004E13ED">
        <w:rPr>
          <w:rFonts w:ascii="Times New Roman" w:hAnsi="Times New Roman" w:cs="Times New Roman"/>
          <w:sz w:val="24"/>
          <w:szCs w:val="24"/>
        </w:rPr>
        <w:t xml:space="preserve"> those </w:t>
      </w:r>
      <w:r w:rsidRPr="004E13ED">
        <w:rPr>
          <w:rFonts w:ascii="Times New Roman" w:hAnsi="Times New Roman" w:cs="Times New Roman"/>
          <w:sz w:val="24"/>
          <w:szCs w:val="24"/>
        </w:rPr>
        <w:t xml:space="preserve">who were </w:t>
      </w:r>
      <w:r w:rsidR="00CA659D" w:rsidRPr="004E13ED">
        <w:rPr>
          <w:rFonts w:ascii="Times New Roman" w:hAnsi="Times New Roman" w:cs="Times New Roman"/>
          <w:sz w:val="24"/>
          <w:szCs w:val="24"/>
        </w:rPr>
        <w:t>accepted into the service</w:t>
      </w:r>
      <w:r w:rsidRPr="004E13ED">
        <w:rPr>
          <w:rFonts w:ascii="Times New Roman" w:hAnsi="Times New Roman" w:cs="Times New Roman"/>
          <w:sz w:val="24"/>
          <w:szCs w:val="24"/>
        </w:rPr>
        <w:t xml:space="preserve"> reflected similar trends in demographics</w:t>
      </w:r>
      <w:r w:rsidR="00C3113A" w:rsidRPr="004E13ED">
        <w:rPr>
          <w:rFonts w:ascii="Times New Roman" w:hAnsi="Times New Roman" w:cs="Times New Roman"/>
          <w:sz w:val="24"/>
          <w:szCs w:val="24"/>
        </w:rPr>
        <w:t>,</w:t>
      </w:r>
      <w:r w:rsidRPr="004E13ED">
        <w:rPr>
          <w:rFonts w:ascii="Times New Roman" w:hAnsi="Times New Roman" w:cs="Times New Roman"/>
          <w:sz w:val="24"/>
          <w:szCs w:val="24"/>
        </w:rPr>
        <w:t xml:space="preserve"> as the whole sample. T</w:t>
      </w:r>
      <w:r w:rsidR="00CA659D" w:rsidRPr="004E13ED">
        <w:rPr>
          <w:rFonts w:ascii="Times New Roman" w:hAnsi="Times New Roman" w:cs="Times New Roman"/>
          <w:sz w:val="24"/>
          <w:szCs w:val="24"/>
        </w:rPr>
        <w:t xml:space="preserve">he age at referral </w:t>
      </w:r>
      <w:r w:rsidR="000E7207" w:rsidRPr="004E13ED">
        <w:rPr>
          <w:rFonts w:ascii="Times New Roman" w:hAnsi="Times New Roman" w:cs="Times New Roman"/>
          <w:sz w:val="24"/>
          <w:szCs w:val="24"/>
        </w:rPr>
        <w:t>of accepted youn</w:t>
      </w:r>
      <w:r w:rsidR="00F25663" w:rsidRPr="004E13ED">
        <w:rPr>
          <w:rFonts w:ascii="Times New Roman" w:hAnsi="Times New Roman" w:cs="Times New Roman"/>
          <w:sz w:val="24"/>
          <w:szCs w:val="24"/>
        </w:rPr>
        <w:t>g</w:t>
      </w:r>
      <w:r w:rsidR="000E7207" w:rsidRPr="004E13ED">
        <w:rPr>
          <w:rFonts w:ascii="Times New Roman" w:hAnsi="Times New Roman" w:cs="Times New Roman"/>
          <w:sz w:val="24"/>
          <w:szCs w:val="24"/>
        </w:rPr>
        <w:t xml:space="preserve"> people </w:t>
      </w:r>
      <w:r w:rsidR="00CA659D" w:rsidRPr="004E13ED">
        <w:rPr>
          <w:rFonts w:ascii="Times New Roman" w:hAnsi="Times New Roman" w:cs="Times New Roman"/>
          <w:sz w:val="24"/>
          <w:szCs w:val="24"/>
        </w:rPr>
        <w:t xml:space="preserve">also ranged between 4-18 years old, with a mean age of </w:t>
      </w:r>
      <w:r w:rsidR="00AC6217" w:rsidRPr="004E13ED">
        <w:rPr>
          <w:rFonts w:ascii="Times New Roman" w:hAnsi="Times New Roman" w:cs="Times New Roman"/>
          <w:sz w:val="24"/>
          <w:szCs w:val="24"/>
        </w:rPr>
        <w:t>12.06</w:t>
      </w:r>
      <w:r w:rsidRPr="004E13ED">
        <w:rPr>
          <w:rFonts w:ascii="Times New Roman" w:hAnsi="Times New Roman" w:cs="Times New Roman"/>
          <w:sz w:val="24"/>
          <w:szCs w:val="24"/>
        </w:rPr>
        <w:t xml:space="preserve"> (3.18). The majority of referrals were </w:t>
      </w:r>
      <w:r w:rsidR="00A70189" w:rsidRPr="004E13ED">
        <w:rPr>
          <w:rFonts w:ascii="Times New Roman" w:hAnsi="Times New Roman" w:cs="Times New Roman"/>
          <w:sz w:val="24"/>
          <w:szCs w:val="24"/>
        </w:rPr>
        <w:t xml:space="preserve">secondary school age (57%), </w:t>
      </w:r>
      <w:r w:rsidRPr="004E13ED">
        <w:rPr>
          <w:rFonts w:ascii="Times New Roman" w:hAnsi="Times New Roman" w:cs="Times New Roman"/>
          <w:sz w:val="24"/>
          <w:szCs w:val="24"/>
        </w:rPr>
        <w:t xml:space="preserve">female (62%) and White British (81%). The next most common ethnic groups were any other White background (6.2%), White and Black African (2.1%) and any other Mixed background (2.1%). </w:t>
      </w:r>
    </w:p>
    <w:p w14:paraId="4F4264E6" w14:textId="754012FC" w:rsidR="00D040AE" w:rsidRPr="004E13ED" w:rsidRDefault="00010306"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In relation to thi</w:t>
      </w:r>
      <w:r w:rsidR="00C7475E" w:rsidRPr="004E13ED">
        <w:rPr>
          <w:rFonts w:ascii="Times New Roman" w:hAnsi="Times New Roman" w:cs="Times New Roman"/>
          <w:sz w:val="24"/>
          <w:szCs w:val="24"/>
        </w:rPr>
        <w:t xml:space="preserve">s, </w:t>
      </w:r>
      <w:r w:rsidR="00DA0CC1" w:rsidRPr="004E13ED">
        <w:rPr>
          <w:rFonts w:ascii="Times New Roman" w:hAnsi="Times New Roman" w:cs="Times New Roman"/>
          <w:sz w:val="24"/>
          <w:szCs w:val="24"/>
        </w:rPr>
        <w:t xml:space="preserve">we were also interested to see if there was an </w:t>
      </w:r>
      <w:r w:rsidR="00C7475E" w:rsidRPr="004E13ED">
        <w:rPr>
          <w:rFonts w:ascii="Times New Roman" w:hAnsi="Times New Roman" w:cs="Times New Roman"/>
          <w:sz w:val="24"/>
          <w:szCs w:val="24"/>
        </w:rPr>
        <w:t>a</w:t>
      </w:r>
      <w:r w:rsidR="00DA0CC1" w:rsidRPr="004E13ED">
        <w:rPr>
          <w:rFonts w:ascii="Times New Roman" w:hAnsi="Times New Roman" w:cs="Times New Roman"/>
          <w:sz w:val="24"/>
          <w:szCs w:val="24"/>
        </w:rPr>
        <w:t xml:space="preserve">ssociation between whether a CYP was </w:t>
      </w:r>
      <w:r w:rsidR="005E50FB" w:rsidRPr="004E13ED">
        <w:rPr>
          <w:rFonts w:ascii="Times New Roman" w:hAnsi="Times New Roman" w:cs="Times New Roman"/>
          <w:sz w:val="24"/>
          <w:szCs w:val="24"/>
        </w:rPr>
        <w:t xml:space="preserve">signposted or </w:t>
      </w:r>
      <w:r w:rsidR="00DA0CC1" w:rsidRPr="004E13ED">
        <w:rPr>
          <w:rFonts w:ascii="Times New Roman" w:hAnsi="Times New Roman" w:cs="Times New Roman"/>
          <w:sz w:val="24"/>
          <w:szCs w:val="24"/>
        </w:rPr>
        <w:t>accepted</w:t>
      </w:r>
      <w:r w:rsidR="00423198" w:rsidRPr="004E13ED">
        <w:rPr>
          <w:rFonts w:ascii="Times New Roman" w:hAnsi="Times New Roman" w:cs="Times New Roman"/>
          <w:sz w:val="24"/>
          <w:szCs w:val="24"/>
        </w:rPr>
        <w:t xml:space="preserve"> </w:t>
      </w:r>
      <w:r w:rsidR="00DA0CC1" w:rsidRPr="004E13ED">
        <w:rPr>
          <w:rFonts w:ascii="Times New Roman" w:hAnsi="Times New Roman" w:cs="Times New Roman"/>
          <w:sz w:val="24"/>
          <w:szCs w:val="24"/>
        </w:rPr>
        <w:t xml:space="preserve">to the service and </w:t>
      </w:r>
      <w:r w:rsidR="00423198" w:rsidRPr="004E13ED">
        <w:rPr>
          <w:rFonts w:ascii="Times New Roman" w:hAnsi="Times New Roman" w:cs="Times New Roman"/>
          <w:sz w:val="24"/>
          <w:szCs w:val="24"/>
        </w:rPr>
        <w:t xml:space="preserve">their </w:t>
      </w:r>
      <w:r w:rsidR="00DA0CC1" w:rsidRPr="004E13ED">
        <w:rPr>
          <w:rFonts w:ascii="Times New Roman" w:hAnsi="Times New Roman" w:cs="Times New Roman"/>
          <w:sz w:val="24"/>
          <w:szCs w:val="24"/>
        </w:rPr>
        <w:t xml:space="preserve">demographic information. </w:t>
      </w:r>
      <w:r w:rsidR="00C7475E" w:rsidRPr="004E13ED">
        <w:rPr>
          <w:rFonts w:ascii="Times New Roman" w:hAnsi="Times New Roman" w:cs="Times New Roman"/>
          <w:sz w:val="24"/>
          <w:szCs w:val="24"/>
        </w:rPr>
        <w:t>We conducted three Chi-squared analyses and found t</w:t>
      </w:r>
      <w:r w:rsidR="000735D0" w:rsidRPr="004E13ED">
        <w:rPr>
          <w:rFonts w:ascii="Times New Roman" w:hAnsi="Times New Roman" w:cs="Times New Roman"/>
          <w:sz w:val="24"/>
          <w:szCs w:val="24"/>
        </w:rPr>
        <w:t xml:space="preserve">here was no significant association between the outcome of the referral </w:t>
      </w:r>
      <w:r w:rsidR="008E3A2B" w:rsidRPr="004E13ED">
        <w:rPr>
          <w:rFonts w:ascii="Times New Roman" w:hAnsi="Times New Roman" w:cs="Times New Roman"/>
          <w:sz w:val="24"/>
          <w:szCs w:val="24"/>
        </w:rPr>
        <w:t xml:space="preserve">and </w:t>
      </w:r>
      <w:r w:rsidR="000735D0" w:rsidRPr="004E13ED">
        <w:rPr>
          <w:rFonts w:ascii="Times New Roman" w:hAnsi="Times New Roman" w:cs="Times New Roman"/>
          <w:sz w:val="24"/>
          <w:szCs w:val="24"/>
        </w:rPr>
        <w:t>age at which CYP was referred</w:t>
      </w:r>
      <w:r w:rsidR="00C7475E" w:rsidRPr="004E13ED">
        <w:rPr>
          <w:rFonts w:ascii="Times New Roman" w:hAnsi="Times New Roman" w:cs="Times New Roman"/>
          <w:sz w:val="24"/>
          <w:szCs w:val="24"/>
        </w:rPr>
        <w:t xml:space="preserve"> (</w:t>
      </w:r>
      <w:r w:rsidR="000735D0" w:rsidRPr="004E13ED">
        <w:rPr>
          <w:rFonts w:ascii="Times New Roman" w:hAnsi="Times New Roman" w:cs="Times New Roman"/>
          <w:sz w:val="24"/>
          <w:szCs w:val="24"/>
        </w:rPr>
        <w:t>X</w:t>
      </w:r>
      <w:r w:rsidR="000735D0" w:rsidRPr="004E13ED">
        <w:rPr>
          <w:rFonts w:ascii="Times New Roman" w:hAnsi="Times New Roman" w:cs="Times New Roman"/>
          <w:sz w:val="24"/>
          <w:szCs w:val="24"/>
          <w:vertAlign w:val="superscript"/>
        </w:rPr>
        <w:t>2</w:t>
      </w:r>
      <w:r w:rsidR="000735D0" w:rsidRPr="004E13ED">
        <w:rPr>
          <w:rFonts w:ascii="Times New Roman" w:hAnsi="Times New Roman" w:cs="Times New Roman"/>
          <w:sz w:val="24"/>
          <w:szCs w:val="24"/>
        </w:rPr>
        <w:t xml:space="preserve"> (1) = 0.297, </w:t>
      </w:r>
      <w:r w:rsidR="000735D0" w:rsidRPr="004E13ED">
        <w:rPr>
          <w:rFonts w:ascii="Times New Roman" w:hAnsi="Times New Roman" w:cs="Times New Roman"/>
          <w:i/>
          <w:sz w:val="24"/>
          <w:szCs w:val="24"/>
        </w:rPr>
        <w:t>p</w:t>
      </w:r>
      <w:r w:rsidR="000735D0" w:rsidRPr="004E13ED">
        <w:rPr>
          <w:rFonts w:ascii="Times New Roman" w:hAnsi="Times New Roman" w:cs="Times New Roman"/>
          <w:sz w:val="24"/>
          <w:szCs w:val="24"/>
        </w:rPr>
        <w:t>=.589</w:t>
      </w:r>
      <w:r w:rsidR="00C7475E" w:rsidRPr="004E13ED">
        <w:rPr>
          <w:rFonts w:ascii="Times New Roman" w:hAnsi="Times New Roman" w:cs="Times New Roman"/>
          <w:sz w:val="24"/>
          <w:szCs w:val="24"/>
        </w:rPr>
        <w:t xml:space="preserve">), </w:t>
      </w:r>
      <w:r w:rsidR="003A6B3E">
        <w:rPr>
          <w:rFonts w:ascii="Times New Roman" w:hAnsi="Times New Roman" w:cs="Times New Roman"/>
          <w:sz w:val="24"/>
          <w:szCs w:val="24"/>
        </w:rPr>
        <w:t>sex (assigned at birth)</w:t>
      </w:r>
      <w:r w:rsidR="00C7475E" w:rsidRPr="004E13ED">
        <w:rPr>
          <w:rFonts w:ascii="Times New Roman" w:hAnsi="Times New Roman" w:cs="Times New Roman"/>
          <w:sz w:val="24"/>
          <w:szCs w:val="24"/>
        </w:rPr>
        <w:t xml:space="preserve"> (X</w:t>
      </w:r>
      <w:r w:rsidR="00C7475E" w:rsidRPr="004E13ED">
        <w:rPr>
          <w:rFonts w:ascii="Times New Roman" w:hAnsi="Times New Roman" w:cs="Times New Roman"/>
          <w:sz w:val="24"/>
          <w:szCs w:val="24"/>
          <w:vertAlign w:val="superscript"/>
        </w:rPr>
        <w:t>2</w:t>
      </w:r>
      <w:r w:rsidR="00C7475E" w:rsidRPr="004E13ED">
        <w:rPr>
          <w:rFonts w:ascii="Times New Roman" w:hAnsi="Times New Roman" w:cs="Times New Roman"/>
          <w:sz w:val="24"/>
          <w:szCs w:val="24"/>
        </w:rPr>
        <w:t xml:space="preserve"> (1) = 0.629, </w:t>
      </w:r>
      <w:r w:rsidR="00C7475E" w:rsidRPr="004E13ED">
        <w:rPr>
          <w:rFonts w:ascii="Times New Roman" w:hAnsi="Times New Roman" w:cs="Times New Roman"/>
          <w:i/>
          <w:sz w:val="24"/>
          <w:szCs w:val="24"/>
        </w:rPr>
        <w:t>p</w:t>
      </w:r>
      <w:r w:rsidR="00C7475E" w:rsidRPr="004E13ED">
        <w:rPr>
          <w:rFonts w:ascii="Times New Roman" w:hAnsi="Times New Roman" w:cs="Times New Roman"/>
          <w:sz w:val="24"/>
          <w:szCs w:val="24"/>
        </w:rPr>
        <w:t>=.428) or ethnic group (X</w:t>
      </w:r>
      <w:r w:rsidR="00C7475E" w:rsidRPr="004E13ED">
        <w:rPr>
          <w:rFonts w:ascii="Times New Roman" w:hAnsi="Times New Roman" w:cs="Times New Roman"/>
          <w:sz w:val="24"/>
          <w:szCs w:val="24"/>
          <w:vertAlign w:val="superscript"/>
        </w:rPr>
        <w:t>2</w:t>
      </w:r>
      <w:r w:rsidR="00C7475E" w:rsidRPr="004E13ED">
        <w:rPr>
          <w:rFonts w:ascii="Times New Roman" w:hAnsi="Times New Roman" w:cs="Times New Roman"/>
          <w:sz w:val="24"/>
          <w:szCs w:val="24"/>
        </w:rPr>
        <w:t xml:space="preserve"> (1) =1.302, </w:t>
      </w:r>
      <w:r w:rsidR="00C7475E" w:rsidRPr="004E13ED">
        <w:rPr>
          <w:rFonts w:ascii="Times New Roman" w:hAnsi="Times New Roman" w:cs="Times New Roman"/>
          <w:i/>
          <w:sz w:val="24"/>
          <w:szCs w:val="24"/>
        </w:rPr>
        <w:t>p</w:t>
      </w:r>
      <w:r w:rsidR="00C7475E" w:rsidRPr="004E13ED">
        <w:rPr>
          <w:rFonts w:ascii="Times New Roman" w:hAnsi="Times New Roman" w:cs="Times New Roman"/>
          <w:sz w:val="24"/>
          <w:szCs w:val="24"/>
        </w:rPr>
        <w:t>=.254)</w:t>
      </w:r>
      <w:r w:rsidR="000735D0" w:rsidRPr="004E13ED">
        <w:rPr>
          <w:rFonts w:ascii="Times New Roman" w:hAnsi="Times New Roman" w:cs="Times New Roman"/>
          <w:sz w:val="24"/>
          <w:szCs w:val="24"/>
        </w:rPr>
        <w:t xml:space="preserve">. </w:t>
      </w:r>
    </w:p>
    <w:p w14:paraId="5DC54B2A" w14:textId="190B1125" w:rsidR="00D040AE" w:rsidRPr="006E5CAF" w:rsidRDefault="00C7475E" w:rsidP="00A824E8">
      <w:pPr>
        <w:spacing w:after="0" w:line="480" w:lineRule="auto"/>
        <w:rPr>
          <w:rFonts w:ascii="Times New Roman" w:hAnsi="Times New Roman" w:cs="Times New Roman"/>
          <w:b/>
          <w:i/>
          <w:sz w:val="24"/>
          <w:szCs w:val="24"/>
        </w:rPr>
      </w:pPr>
      <w:r w:rsidRPr="00CA4C00">
        <w:rPr>
          <w:rFonts w:ascii="Times New Roman" w:hAnsi="Times New Roman" w:cs="Times New Roman"/>
          <w:b/>
          <w:i/>
          <w:sz w:val="24"/>
          <w:szCs w:val="24"/>
        </w:rPr>
        <w:t>Research question 2: What are the clinical characteristics of those who were accepted into the two sites in West Sussex MHSTs?</w:t>
      </w:r>
    </w:p>
    <w:p w14:paraId="43CB1436" w14:textId="2A0F682F" w:rsidR="002872EC" w:rsidRPr="00E23443" w:rsidRDefault="008C6EA5" w:rsidP="00E1320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We explored the clinical characteristics of those accepted into the service by using the </w:t>
      </w:r>
      <w:r w:rsidR="00D06624" w:rsidRPr="004E13ED">
        <w:rPr>
          <w:rFonts w:ascii="Times New Roman" w:hAnsi="Times New Roman" w:cs="Times New Roman"/>
          <w:sz w:val="24"/>
          <w:szCs w:val="24"/>
        </w:rPr>
        <w:t>RCADS</w:t>
      </w:r>
      <w:r w:rsidR="00BD2B56">
        <w:rPr>
          <w:rFonts w:ascii="Times New Roman" w:hAnsi="Times New Roman" w:cs="Times New Roman"/>
          <w:sz w:val="24"/>
          <w:szCs w:val="24"/>
        </w:rPr>
        <w:t xml:space="preserve"> </w:t>
      </w:r>
      <w:r w:rsidRPr="004E13ED">
        <w:rPr>
          <w:rFonts w:ascii="Times New Roman" w:hAnsi="Times New Roman" w:cs="Times New Roman"/>
          <w:sz w:val="24"/>
          <w:szCs w:val="24"/>
        </w:rPr>
        <w:t xml:space="preserve">and SDQ raw scores. </w:t>
      </w:r>
      <w:r w:rsidR="008E3A2B" w:rsidRPr="004E13ED">
        <w:rPr>
          <w:rFonts w:ascii="Times New Roman" w:hAnsi="Times New Roman" w:cs="Times New Roman"/>
          <w:sz w:val="24"/>
          <w:szCs w:val="24"/>
        </w:rPr>
        <w:t>The mean scores for both young person and caregiver reported RCAD</w:t>
      </w:r>
      <w:r w:rsidR="00D06624" w:rsidRPr="004E13ED">
        <w:rPr>
          <w:rFonts w:ascii="Times New Roman" w:hAnsi="Times New Roman" w:cs="Times New Roman"/>
          <w:sz w:val="24"/>
          <w:szCs w:val="24"/>
        </w:rPr>
        <w:t>S</w:t>
      </w:r>
      <w:r w:rsidR="008E3A2B" w:rsidRPr="004E13ED">
        <w:rPr>
          <w:rFonts w:ascii="Times New Roman" w:hAnsi="Times New Roman" w:cs="Times New Roman"/>
          <w:sz w:val="24"/>
          <w:szCs w:val="24"/>
        </w:rPr>
        <w:t xml:space="preserve"> and SDQ, are shown in Table 1 and Table 2. </w:t>
      </w:r>
    </w:p>
    <w:tbl>
      <w:tblPr>
        <w:tblStyle w:val="TableGrid"/>
        <w:tblW w:w="8887" w:type="dxa"/>
        <w:tblBorders>
          <w:left w:val="none" w:sz="0" w:space="0" w:color="auto"/>
          <w:right w:val="none" w:sz="0" w:space="0" w:color="auto"/>
        </w:tblBorders>
        <w:tblLook w:val="04A0" w:firstRow="1" w:lastRow="0" w:firstColumn="1" w:lastColumn="0" w:noHBand="0" w:noVBand="1"/>
      </w:tblPr>
      <w:tblGrid>
        <w:gridCol w:w="1802"/>
        <w:gridCol w:w="866"/>
        <w:gridCol w:w="1666"/>
        <w:gridCol w:w="1734"/>
        <w:gridCol w:w="1154"/>
        <w:gridCol w:w="1665"/>
      </w:tblGrid>
      <w:tr w:rsidR="00B069AA" w:rsidRPr="004E13ED" w14:paraId="4ABF7D1D" w14:textId="77777777" w:rsidTr="00664694">
        <w:trPr>
          <w:trHeight w:val="229"/>
        </w:trPr>
        <w:tc>
          <w:tcPr>
            <w:tcW w:w="1802" w:type="dxa"/>
            <w:tcBorders>
              <w:bottom w:val="nil"/>
              <w:right w:val="nil"/>
            </w:tcBorders>
          </w:tcPr>
          <w:p w14:paraId="2CDF441D" w14:textId="77777777" w:rsidR="00B069AA" w:rsidRPr="004E13ED" w:rsidRDefault="00B069AA" w:rsidP="00664694">
            <w:pPr>
              <w:rPr>
                <w:rFonts w:ascii="Times New Roman" w:hAnsi="Times New Roman" w:cs="Times New Roman"/>
                <w:b/>
                <w:i/>
                <w:sz w:val="24"/>
                <w:szCs w:val="24"/>
              </w:rPr>
            </w:pPr>
          </w:p>
        </w:tc>
        <w:tc>
          <w:tcPr>
            <w:tcW w:w="7085" w:type="dxa"/>
            <w:gridSpan w:val="5"/>
            <w:tcBorders>
              <w:left w:val="nil"/>
              <w:right w:val="nil"/>
            </w:tcBorders>
          </w:tcPr>
          <w:p w14:paraId="0C44E986" w14:textId="77777777" w:rsidR="00B069AA" w:rsidRPr="004E13ED" w:rsidRDefault="00B069AA" w:rsidP="00664694">
            <w:pPr>
              <w:jc w:val="center"/>
              <w:rPr>
                <w:rFonts w:ascii="Times New Roman" w:hAnsi="Times New Roman" w:cs="Times New Roman"/>
                <w:b/>
                <w:sz w:val="24"/>
                <w:szCs w:val="24"/>
              </w:rPr>
            </w:pPr>
            <w:r w:rsidRPr="004E13ED">
              <w:rPr>
                <w:rFonts w:ascii="Times New Roman" w:hAnsi="Times New Roman" w:cs="Times New Roman"/>
                <w:b/>
                <w:sz w:val="24"/>
                <w:szCs w:val="24"/>
              </w:rPr>
              <w:t>CYP</w:t>
            </w:r>
          </w:p>
        </w:tc>
      </w:tr>
      <w:tr w:rsidR="00B069AA" w:rsidRPr="004E13ED" w14:paraId="7E5E5A4E" w14:textId="77777777" w:rsidTr="00DC1892">
        <w:trPr>
          <w:trHeight w:val="459"/>
        </w:trPr>
        <w:tc>
          <w:tcPr>
            <w:tcW w:w="1802" w:type="dxa"/>
            <w:tcBorders>
              <w:top w:val="nil"/>
              <w:bottom w:val="single" w:sz="4" w:space="0" w:color="auto"/>
              <w:right w:val="nil"/>
            </w:tcBorders>
          </w:tcPr>
          <w:p w14:paraId="2F2FADA8" w14:textId="77777777" w:rsidR="00B069AA" w:rsidRPr="004E13ED" w:rsidRDefault="00B069AA" w:rsidP="00664694">
            <w:pPr>
              <w:jc w:val="center"/>
              <w:rPr>
                <w:rFonts w:ascii="Times New Roman" w:hAnsi="Times New Roman" w:cs="Times New Roman"/>
                <w:b/>
                <w:sz w:val="24"/>
                <w:szCs w:val="24"/>
              </w:rPr>
            </w:pPr>
            <w:r w:rsidRPr="004E13ED">
              <w:rPr>
                <w:rFonts w:ascii="Times New Roman" w:hAnsi="Times New Roman" w:cs="Times New Roman"/>
                <w:b/>
                <w:sz w:val="24"/>
                <w:szCs w:val="24"/>
              </w:rPr>
              <w:t>Measure</w:t>
            </w:r>
          </w:p>
        </w:tc>
        <w:tc>
          <w:tcPr>
            <w:tcW w:w="866" w:type="dxa"/>
            <w:tcBorders>
              <w:left w:val="nil"/>
              <w:bottom w:val="single" w:sz="4" w:space="0" w:color="auto"/>
              <w:right w:val="nil"/>
            </w:tcBorders>
          </w:tcPr>
          <w:p w14:paraId="5325E3FE"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N</w:t>
            </w:r>
          </w:p>
        </w:tc>
        <w:tc>
          <w:tcPr>
            <w:tcW w:w="1666" w:type="dxa"/>
            <w:tcBorders>
              <w:left w:val="nil"/>
              <w:bottom w:val="single" w:sz="4" w:space="0" w:color="auto"/>
              <w:right w:val="nil"/>
            </w:tcBorders>
          </w:tcPr>
          <w:p w14:paraId="6FA85891"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Minimum</w:t>
            </w:r>
          </w:p>
        </w:tc>
        <w:tc>
          <w:tcPr>
            <w:tcW w:w="1734" w:type="dxa"/>
            <w:tcBorders>
              <w:left w:val="nil"/>
              <w:bottom w:val="single" w:sz="4" w:space="0" w:color="auto"/>
              <w:right w:val="nil"/>
            </w:tcBorders>
          </w:tcPr>
          <w:p w14:paraId="285AB5F4"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Maximum</w:t>
            </w:r>
          </w:p>
        </w:tc>
        <w:tc>
          <w:tcPr>
            <w:tcW w:w="1154" w:type="dxa"/>
            <w:tcBorders>
              <w:left w:val="nil"/>
              <w:bottom w:val="single" w:sz="4" w:space="0" w:color="auto"/>
              <w:right w:val="nil"/>
            </w:tcBorders>
          </w:tcPr>
          <w:p w14:paraId="3B030E1C"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Mean</w:t>
            </w:r>
          </w:p>
        </w:tc>
        <w:tc>
          <w:tcPr>
            <w:tcW w:w="1665" w:type="dxa"/>
            <w:tcBorders>
              <w:left w:val="nil"/>
              <w:bottom w:val="single" w:sz="4" w:space="0" w:color="auto"/>
              <w:right w:val="nil"/>
            </w:tcBorders>
          </w:tcPr>
          <w:p w14:paraId="7F41120C"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Std. Deviation</w:t>
            </w:r>
          </w:p>
        </w:tc>
      </w:tr>
      <w:tr w:rsidR="00B069AA" w:rsidRPr="004E13ED" w14:paraId="18EE8070" w14:textId="77777777" w:rsidTr="00DC1892">
        <w:trPr>
          <w:trHeight w:val="229"/>
        </w:trPr>
        <w:tc>
          <w:tcPr>
            <w:tcW w:w="1802" w:type="dxa"/>
            <w:tcBorders>
              <w:right w:val="nil"/>
            </w:tcBorders>
            <w:shd w:val="clear" w:color="auto" w:fill="FFFFFF" w:themeFill="background1"/>
          </w:tcPr>
          <w:p w14:paraId="04BB5D99" w14:textId="77777777" w:rsidR="00B069AA" w:rsidRPr="004E13ED" w:rsidRDefault="00B069AA" w:rsidP="00664694">
            <w:pPr>
              <w:jc w:val="center"/>
              <w:rPr>
                <w:rFonts w:ascii="Times New Roman" w:hAnsi="Times New Roman" w:cs="Times New Roman"/>
                <w:b/>
                <w:sz w:val="24"/>
                <w:szCs w:val="24"/>
              </w:rPr>
            </w:pPr>
            <w:r w:rsidRPr="004E13ED">
              <w:rPr>
                <w:rFonts w:ascii="Times New Roman" w:hAnsi="Times New Roman" w:cs="Times New Roman"/>
                <w:b/>
                <w:sz w:val="24"/>
                <w:szCs w:val="24"/>
              </w:rPr>
              <w:t>RCADS</w:t>
            </w:r>
          </w:p>
        </w:tc>
        <w:tc>
          <w:tcPr>
            <w:tcW w:w="866" w:type="dxa"/>
            <w:tcBorders>
              <w:left w:val="nil"/>
              <w:right w:val="nil"/>
            </w:tcBorders>
            <w:shd w:val="clear" w:color="auto" w:fill="FFFFFF" w:themeFill="background1"/>
          </w:tcPr>
          <w:p w14:paraId="2302626B" w14:textId="77777777" w:rsidR="00B069AA" w:rsidRPr="004E13ED" w:rsidRDefault="00B069AA" w:rsidP="00664694">
            <w:pPr>
              <w:jc w:val="center"/>
              <w:rPr>
                <w:rFonts w:ascii="Times New Roman" w:hAnsi="Times New Roman" w:cs="Times New Roman"/>
                <w:sz w:val="24"/>
                <w:szCs w:val="24"/>
              </w:rPr>
            </w:pPr>
          </w:p>
        </w:tc>
        <w:tc>
          <w:tcPr>
            <w:tcW w:w="1666" w:type="dxa"/>
            <w:tcBorders>
              <w:left w:val="nil"/>
              <w:right w:val="nil"/>
            </w:tcBorders>
            <w:shd w:val="clear" w:color="auto" w:fill="FFFFFF" w:themeFill="background1"/>
          </w:tcPr>
          <w:p w14:paraId="2D866050" w14:textId="77777777" w:rsidR="00B069AA" w:rsidRPr="004E13ED" w:rsidRDefault="00B069AA" w:rsidP="00664694">
            <w:pPr>
              <w:jc w:val="center"/>
              <w:rPr>
                <w:rFonts w:ascii="Times New Roman" w:hAnsi="Times New Roman" w:cs="Times New Roman"/>
                <w:sz w:val="24"/>
                <w:szCs w:val="24"/>
              </w:rPr>
            </w:pPr>
          </w:p>
        </w:tc>
        <w:tc>
          <w:tcPr>
            <w:tcW w:w="1734" w:type="dxa"/>
            <w:tcBorders>
              <w:left w:val="nil"/>
              <w:right w:val="nil"/>
            </w:tcBorders>
            <w:shd w:val="clear" w:color="auto" w:fill="FFFFFF" w:themeFill="background1"/>
          </w:tcPr>
          <w:p w14:paraId="1729B4CE" w14:textId="77777777" w:rsidR="00B069AA" w:rsidRPr="004E13ED" w:rsidRDefault="00B069AA" w:rsidP="00664694">
            <w:pPr>
              <w:jc w:val="center"/>
              <w:rPr>
                <w:rFonts w:ascii="Times New Roman" w:hAnsi="Times New Roman" w:cs="Times New Roman"/>
                <w:sz w:val="24"/>
                <w:szCs w:val="24"/>
              </w:rPr>
            </w:pPr>
          </w:p>
        </w:tc>
        <w:tc>
          <w:tcPr>
            <w:tcW w:w="1154" w:type="dxa"/>
            <w:tcBorders>
              <w:left w:val="nil"/>
              <w:right w:val="nil"/>
            </w:tcBorders>
            <w:shd w:val="clear" w:color="auto" w:fill="FFFFFF" w:themeFill="background1"/>
          </w:tcPr>
          <w:p w14:paraId="360A1136" w14:textId="77777777" w:rsidR="00B069AA" w:rsidRPr="004E13ED" w:rsidRDefault="00B069AA" w:rsidP="00664694">
            <w:pPr>
              <w:jc w:val="center"/>
              <w:rPr>
                <w:rFonts w:ascii="Times New Roman" w:hAnsi="Times New Roman" w:cs="Times New Roman"/>
                <w:sz w:val="24"/>
                <w:szCs w:val="24"/>
              </w:rPr>
            </w:pPr>
          </w:p>
        </w:tc>
        <w:tc>
          <w:tcPr>
            <w:tcW w:w="1665" w:type="dxa"/>
            <w:tcBorders>
              <w:left w:val="nil"/>
              <w:right w:val="nil"/>
            </w:tcBorders>
            <w:shd w:val="clear" w:color="auto" w:fill="FFFFFF" w:themeFill="background1"/>
          </w:tcPr>
          <w:p w14:paraId="3B431E4F" w14:textId="77777777" w:rsidR="00B069AA" w:rsidRPr="004E13ED" w:rsidRDefault="00B069AA" w:rsidP="00664694">
            <w:pPr>
              <w:jc w:val="center"/>
              <w:rPr>
                <w:rFonts w:ascii="Times New Roman" w:hAnsi="Times New Roman" w:cs="Times New Roman"/>
                <w:sz w:val="24"/>
                <w:szCs w:val="24"/>
              </w:rPr>
            </w:pPr>
          </w:p>
        </w:tc>
      </w:tr>
      <w:tr w:rsidR="00B069AA" w:rsidRPr="004E13ED" w14:paraId="57799281" w14:textId="77777777" w:rsidTr="00DC1892">
        <w:trPr>
          <w:trHeight w:val="229"/>
        </w:trPr>
        <w:tc>
          <w:tcPr>
            <w:tcW w:w="1802" w:type="dxa"/>
            <w:tcBorders>
              <w:right w:val="nil"/>
            </w:tcBorders>
            <w:shd w:val="clear" w:color="auto" w:fill="auto"/>
          </w:tcPr>
          <w:p w14:paraId="10C203F6"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lastRenderedPageBreak/>
              <w:t>Total depression</w:t>
            </w:r>
          </w:p>
        </w:tc>
        <w:tc>
          <w:tcPr>
            <w:tcW w:w="866" w:type="dxa"/>
            <w:tcBorders>
              <w:left w:val="nil"/>
              <w:right w:val="nil"/>
            </w:tcBorders>
            <w:shd w:val="clear" w:color="auto" w:fill="auto"/>
          </w:tcPr>
          <w:p w14:paraId="7E1E9B7A"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293</w:t>
            </w:r>
          </w:p>
        </w:tc>
        <w:tc>
          <w:tcPr>
            <w:tcW w:w="1666" w:type="dxa"/>
            <w:tcBorders>
              <w:left w:val="nil"/>
              <w:right w:val="nil"/>
            </w:tcBorders>
            <w:shd w:val="clear" w:color="auto" w:fill="auto"/>
          </w:tcPr>
          <w:p w14:paraId="773F907A"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w:t>
            </w:r>
          </w:p>
        </w:tc>
        <w:tc>
          <w:tcPr>
            <w:tcW w:w="1734" w:type="dxa"/>
            <w:tcBorders>
              <w:left w:val="nil"/>
              <w:right w:val="nil"/>
            </w:tcBorders>
            <w:shd w:val="clear" w:color="auto" w:fill="auto"/>
          </w:tcPr>
          <w:p w14:paraId="5C968D95"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27</w:t>
            </w:r>
          </w:p>
        </w:tc>
        <w:tc>
          <w:tcPr>
            <w:tcW w:w="1154" w:type="dxa"/>
            <w:tcBorders>
              <w:left w:val="nil"/>
              <w:right w:val="nil"/>
            </w:tcBorders>
            <w:shd w:val="clear" w:color="auto" w:fill="auto"/>
          </w:tcPr>
          <w:p w14:paraId="16C27150"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15.90</w:t>
            </w:r>
          </w:p>
        </w:tc>
        <w:tc>
          <w:tcPr>
            <w:tcW w:w="1665" w:type="dxa"/>
            <w:tcBorders>
              <w:left w:val="nil"/>
              <w:right w:val="nil"/>
            </w:tcBorders>
            <w:shd w:val="clear" w:color="auto" w:fill="auto"/>
          </w:tcPr>
          <w:p w14:paraId="3C81B7EB"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6.31</w:t>
            </w:r>
          </w:p>
        </w:tc>
      </w:tr>
      <w:tr w:rsidR="00B069AA" w:rsidRPr="004E13ED" w14:paraId="71F2ECBE" w14:textId="77777777" w:rsidTr="00DC1892">
        <w:trPr>
          <w:trHeight w:val="229"/>
        </w:trPr>
        <w:tc>
          <w:tcPr>
            <w:tcW w:w="1802" w:type="dxa"/>
            <w:tcBorders>
              <w:right w:val="nil"/>
            </w:tcBorders>
            <w:shd w:val="clear" w:color="auto" w:fill="auto"/>
          </w:tcPr>
          <w:p w14:paraId="6DF63A6C"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anxiety </w:t>
            </w:r>
          </w:p>
        </w:tc>
        <w:tc>
          <w:tcPr>
            <w:tcW w:w="866" w:type="dxa"/>
            <w:tcBorders>
              <w:left w:val="nil"/>
              <w:right w:val="nil"/>
            </w:tcBorders>
            <w:shd w:val="clear" w:color="auto" w:fill="auto"/>
          </w:tcPr>
          <w:p w14:paraId="1A2C4017"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293</w:t>
            </w:r>
          </w:p>
        </w:tc>
        <w:tc>
          <w:tcPr>
            <w:tcW w:w="1666" w:type="dxa"/>
            <w:tcBorders>
              <w:left w:val="nil"/>
              <w:right w:val="nil"/>
            </w:tcBorders>
            <w:shd w:val="clear" w:color="auto" w:fill="auto"/>
          </w:tcPr>
          <w:p w14:paraId="2EA379C3"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3</w:t>
            </w:r>
          </w:p>
        </w:tc>
        <w:tc>
          <w:tcPr>
            <w:tcW w:w="1734" w:type="dxa"/>
            <w:tcBorders>
              <w:left w:val="nil"/>
              <w:right w:val="nil"/>
            </w:tcBorders>
            <w:shd w:val="clear" w:color="auto" w:fill="auto"/>
          </w:tcPr>
          <w:p w14:paraId="50830BA6"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102</w:t>
            </w:r>
          </w:p>
        </w:tc>
        <w:tc>
          <w:tcPr>
            <w:tcW w:w="1154" w:type="dxa"/>
            <w:tcBorders>
              <w:left w:val="nil"/>
              <w:right w:val="nil"/>
            </w:tcBorders>
            <w:shd w:val="clear" w:color="auto" w:fill="auto"/>
          </w:tcPr>
          <w:p w14:paraId="4E62C907"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49.71</w:t>
            </w:r>
          </w:p>
        </w:tc>
        <w:tc>
          <w:tcPr>
            <w:tcW w:w="1665" w:type="dxa"/>
            <w:tcBorders>
              <w:left w:val="nil"/>
              <w:right w:val="nil"/>
            </w:tcBorders>
            <w:shd w:val="clear" w:color="auto" w:fill="auto"/>
          </w:tcPr>
          <w:p w14:paraId="3EC6F6B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19.5</w:t>
            </w:r>
          </w:p>
        </w:tc>
      </w:tr>
      <w:tr w:rsidR="00B069AA" w:rsidRPr="004E13ED" w14:paraId="519D0887" w14:textId="77777777" w:rsidTr="00DC1892">
        <w:trPr>
          <w:trHeight w:val="229"/>
        </w:trPr>
        <w:tc>
          <w:tcPr>
            <w:tcW w:w="1802" w:type="dxa"/>
            <w:tcBorders>
              <w:bottom w:val="single" w:sz="4" w:space="0" w:color="auto"/>
              <w:right w:val="nil"/>
            </w:tcBorders>
            <w:shd w:val="clear" w:color="auto" w:fill="auto"/>
          </w:tcPr>
          <w:p w14:paraId="0F712C50"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internalising </w:t>
            </w:r>
          </w:p>
        </w:tc>
        <w:tc>
          <w:tcPr>
            <w:tcW w:w="866" w:type="dxa"/>
            <w:tcBorders>
              <w:left w:val="nil"/>
              <w:bottom w:val="single" w:sz="4" w:space="0" w:color="auto"/>
              <w:right w:val="nil"/>
            </w:tcBorders>
            <w:shd w:val="clear" w:color="auto" w:fill="auto"/>
          </w:tcPr>
          <w:p w14:paraId="03BDB323"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293</w:t>
            </w:r>
          </w:p>
        </w:tc>
        <w:tc>
          <w:tcPr>
            <w:tcW w:w="1666" w:type="dxa"/>
            <w:tcBorders>
              <w:left w:val="nil"/>
              <w:bottom w:val="single" w:sz="4" w:space="0" w:color="auto"/>
              <w:right w:val="nil"/>
            </w:tcBorders>
            <w:shd w:val="clear" w:color="auto" w:fill="auto"/>
          </w:tcPr>
          <w:p w14:paraId="1F8DF06D"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11</w:t>
            </w:r>
          </w:p>
        </w:tc>
        <w:tc>
          <w:tcPr>
            <w:tcW w:w="1734" w:type="dxa"/>
            <w:tcBorders>
              <w:left w:val="nil"/>
              <w:bottom w:val="single" w:sz="4" w:space="0" w:color="auto"/>
              <w:right w:val="nil"/>
            </w:tcBorders>
            <w:shd w:val="clear" w:color="auto" w:fill="auto"/>
          </w:tcPr>
          <w:p w14:paraId="234D4D9B"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128</w:t>
            </w:r>
          </w:p>
        </w:tc>
        <w:tc>
          <w:tcPr>
            <w:tcW w:w="1154" w:type="dxa"/>
            <w:tcBorders>
              <w:left w:val="nil"/>
              <w:bottom w:val="single" w:sz="4" w:space="0" w:color="auto"/>
              <w:right w:val="nil"/>
            </w:tcBorders>
            <w:shd w:val="clear" w:color="auto" w:fill="auto"/>
          </w:tcPr>
          <w:p w14:paraId="67A6FC23"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63.32</w:t>
            </w:r>
          </w:p>
        </w:tc>
        <w:tc>
          <w:tcPr>
            <w:tcW w:w="1665" w:type="dxa"/>
            <w:tcBorders>
              <w:left w:val="nil"/>
              <w:bottom w:val="single" w:sz="4" w:space="0" w:color="auto"/>
              <w:right w:val="nil"/>
            </w:tcBorders>
            <w:shd w:val="clear" w:color="auto" w:fill="auto"/>
          </w:tcPr>
          <w:p w14:paraId="0C23B9D6"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24.01</w:t>
            </w:r>
          </w:p>
        </w:tc>
      </w:tr>
      <w:tr w:rsidR="00B069AA" w:rsidRPr="004E13ED" w14:paraId="11BCE030" w14:textId="77777777" w:rsidTr="00DC1892">
        <w:trPr>
          <w:trHeight w:val="229"/>
        </w:trPr>
        <w:tc>
          <w:tcPr>
            <w:tcW w:w="1802" w:type="dxa"/>
            <w:tcBorders>
              <w:right w:val="nil"/>
            </w:tcBorders>
            <w:shd w:val="clear" w:color="auto" w:fill="FFFFFF" w:themeFill="background1"/>
          </w:tcPr>
          <w:p w14:paraId="105D0F51" w14:textId="77777777" w:rsidR="00B069AA" w:rsidRPr="004E13ED" w:rsidRDefault="00B069AA" w:rsidP="00664694">
            <w:pPr>
              <w:jc w:val="center"/>
              <w:rPr>
                <w:rFonts w:ascii="Times New Roman" w:hAnsi="Times New Roman" w:cs="Times New Roman"/>
                <w:b/>
                <w:color w:val="333399"/>
                <w:sz w:val="24"/>
                <w:szCs w:val="24"/>
              </w:rPr>
            </w:pPr>
            <w:r w:rsidRPr="004E13ED">
              <w:rPr>
                <w:rFonts w:ascii="Times New Roman" w:hAnsi="Times New Roman" w:cs="Times New Roman"/>
                <w:b/>
                <w:sz w:val="24"/>
                <w:szCs w:val="24"/>
              </w:rPr>
              <w:t>SDQ</w:t>
            </w:r>
          </w:p>
        </w:tc>
        <w:tc>
          <w:tcPr>
            <w:tcW w:w="866" w:type="dxa"/>
            <w:tcBorders>
              <w:left w:val="nil"/>
              <w:right w:val="nil"/>
            </w:tcBorders>
            <w:shd w:val="clear" w:color="auto" w:fill="FFFFFF" w:themeFill="background1"/>
          </w:tcPr>
          <w:p w14:paraId="5D215BF5" w14:textId="77777777" w:rsidR="00B069AA" w:rsidRPr="004E13ED" w:rsidRDefault="00B069AA" w:rsidP="00664694">
            <w:pPr>
              <w:jc w:val="center"/>
              <w:rPr>
                <w:rFonts w:ascii="Times New Roman" w:hAnsi="Times New Roman" w:cs="Times New Roman"/>
                <w:i/>
                <w:sz w:val="24"/>
                <w:szCs w:val="24"/>
              </w:rPr>
            </w:pPr>
          </w:p>
        </w:tc>
        <w:tc>
          <w:tcPr>
            <w:tcW w:w="1666" w:type="dxa"/>
            <w:tcBorders>
              <w:left w:val="nil"/>
              <w:right w:val="nil"/>
            </w:tcBorders>
            <w:shd w:val="clear" w:color="auto" w:fill="FFFFFF" w:themeFill="background1"/>
          </w:tcPr>
          <w:p w14:paraId="63D1B56C" w14:textId="77777777" w:rsidR="00B069AA" w:rsidRPr="004E13ED" w:rsidRDefault="00B069AA" w:rsidP="00664694">
            <w:pPr>
              <w:jc w:val="center"/>
              <w:rPr>
                <w:rFonts w:ascii="Times New Roman" w:hAnsi="Times New Roman" w:cs="Times New Roman"/>
                <w:i/>
                <w:sz w:val="24"/>
                <w:szCs w:val="24"/>
              </w:rPr>
            </w:pPr>
          </w:p>
        </w:tc>
        <w:tc>
          <w:tcPr>
            <w:tcW w:w="1734" w:type="dxa"/>
            <w:tcBorders>
              <w:left w:val="nil"/>
              <w:right w:val="nil"/>
            </w:tcBorders>
            <w:shd w:val="clear" w:color="auto" w:fill="FFFFFF" w:themeFill="background1"/>
          </w:tcPr>
          <w:p w14:paraId="7F29CDE4" w14:textId="77777777" w:rsidR="00B069AA" w:rsidRPr="004E13ED" w:rsidRDefault="00B069AA" w:rsidP="00664694">
            <w:pPr>
              <w:jc w:val="center"/>
              <w:rPr>
                <w:rFonts w:ascii="Times New Roman" w:hAnsi="Times New Roman" w:cs="Times New Roman"/>
                <w:i/>
                <w:sz w:val="24"/>
                <w:szCs w:val="24"/>
              </w:rPr>
            </w:pPr>
          </w:p>
        </w:tc>
        <w:tc>
          <w:tcPr>
            <w:tcW w:w="1154" w:type="dxa"/>
            <w:tcBorders>
              <w:left w:val="nil"/>
              <w:right w:val="nil"/>
            </w:tcBorders>
            <w:shd w:val="clear" w:color="auto" w:fill="FFFFFF" w:themeFill="background1"/>
          </w:tcPr>
          <w:p w14:paraId="01CCA5FC" w14:textId="77777777" w:rsidR="00B069AA" w:rsidRPr="004E13ED" w:rsidRDefault="00B069AA" w:rsidP="00664694">
            <w:pPr>
              <w:jc w:val="center"/>
              <w:rPr>
                <w:rFonts w:ascii="Times New Roman" w:hAnsi="Times New Roman" w:cs="Times New Roman"/>
                <w:i/>
                <w:sz w:val="24"/>
                <w:szCs w:val="24"/>
              </w:rPr>
            </w:pPr>
          </w:p>
        </w:tc>
        <w:tc>
          <w:tcPr>
            <w:tcW w:w="1665" w:type="dxa"/>
            <w:tcBorders>
              <w:left w:val="nil"/>
              <w:right w:val="nil"/>
            </w:tcBorders>
            <w:shd w:val="clear" w:color="auto" w:fill="FFFFFF" w:themeFill="background1"/>
          </w:tcPr>
          <w:p w14:paraId="2308554B" w14:textId="77777777" w:rsidR="00B069AA" w:rsidRPr="004E13ED" w:rsidRDefault="00B069AA" w:rsidP="00664694">
            <w:pPr>
              <w:jc w:val="center"/>
              <w:rPr>
                <w:rFonts w:ascii="Times New Roman" w:hAnsi="Times New Roman" w:cs="Times New Roman"/>
                <w:i/>
                <w:sz w:val="24"/>
                <w:szCs w:val="24"/>
              </w:rPr>
            </w:pPr>
          </w:p>
        </w:tc>
      </w:tr>
      <w:tr w:rsidR="00B069AA" w:rsidRPr="004E13ED" w14:paraId="2FA28FFF" w14:textId="77777777" w:rsidTr="00DC1892">
        <w:trPr>
          <w:trHeight w:val="229"/>
        </w:trPr>
        <w:tc>
          <w:tcPr>
            <w:tcW w:w="1802" w:type="dxa"/>
            <w:tcBorders>
              <w:right w:val="nil"/>
            </w:tcBorders>
            <w:shd w:val="clear" w:color="auto" w:fill="auto"/>
          </w:tcPr>
          <w:p w14:paraId="15F155ED"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difficulties score </w:t>
            </w:r>
          </w:p>
        </w:tc>
        <w:tc>
          <w:tcPr>
            <w:tcW w:w="866" w:type="dxa"/>
            <w:tcBorders>
              <w:left w:val="nil"/>
              <w:right w:val="nil"/>
            </w:tcBorders>
            <w:shd w:val="clear" w:color="auto" w:fill="auto"/>
          </w:tcPr>
          <w:p w14:paraId="667A195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173</w:t>
            </w:r>
          </w:p>
        </w:tc>
        <w:tc>
          <w:tcPr>
            <w:tcW w:w="1666" w:type="dxa"/>
            <w:tcBorders>
              <w:left w:val="nil"/>
              <w:right w:val="nil"/>
            </w:tcBorders>
            <w:shd w:val="clear" w:color="auto" w:fill="auto"/>
          </w:tcPr>
          <w:p w14:paraId="752A4FC7"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3</w:t>
            </w:r>
          </w:p>
        </w:tc>
        <w:tc>
          <w:tcPr>
            <w:tcW w:w="1734" w:type="dxa"/>
            <w:tcBorders>
              <w:left w:val="nil"/>
              <w:right w:val="nil"/>
            </w:tcBorders>
            <w:shd w:val="clear" w:color="auto" w:fill="auto"/>
          </w:tcPr>
          <w:p w14:paraId="7343823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33</w:t>
            </w:r>
          </w:p>
        </w:tc>
        <w:tc>
          <w:tcPr>
            <w:tcW w:w="1154" w:type="dxa"/>
            <w:tcBorders>
              <w:left w:val="nil"/>
              <w:right w:val="nil"/>
            </w:tcBorders>
            <w:shd w:val="clear" w:color="auto" w:fill="auto"/>
          </w:tcPr>
          <w:p w14:paraId="7FE6B09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19.15</w:t>
            </w:r>
          </w:p>
        </w:tc>
        <w:tc>
          <w:tcPr>
            <w:tcW w:w="1665" w:type="dxa"/>
            <w:tcBorders>
              <w:left w:val="nil"/>
              <w:right w:val="nil"/>
            </w:tcBorders>
            <w:shd w:val="clear" w:color="auto" w:fill="auto"/>
          </w:tcPr>
          <w:p w14:paraId="5010CD58"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5.42</w:t>
            </w:r>
          </w:p>
        </w:tc>
      </w:tr>
      <w:tr w:rsidR="00B069AA" w:rsidRPr="004E13ED" w14:paraId="11E9ABDB" w14:textId="77777777" w:rsidTr="00DC1892">
        <w:trPr>
          <w:trHeight w:val="229"/>
        </w:trPr>
        <w:tc>
          <w:tcPr>
            <w:tcW w:w="1802" w:type="dxa"/>
            <w:tcBorders>
              <w:right w:val="nil"/>
            </w:tcBorders>
            <w:shd w:val="clear" w:color="auto" w:fill="auto"/>
          </w:tcPr>
          <w:p w14:paraId="0A7AFA1D"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impact score </w:t>
            </w:r>
          </w:p>
        </w:tc>
        <w:tc>
          <w:tcPr>
            <w:tcW w:w="866" w:type="dxa"/>
            <w:tcBorders>
              <w:left w:val="nil"/>
              <w:right w:val="nil"/>
            </w:tcBorders>
            <w:shd w:val="clear" w:color="auto" w:fill="auto"/>
          </w:tcPr>
          <w:p w14:paraId="2AD9E129"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167</w:t>
            </w:r>
          </w:p>
        </w:tc>
        <w:tc>
          <w:tcPr>
            <w:tcW w:w="1666" w:type="dxa"/>
            <w:tcBorders>
              <w:left w:val="nil"/>
              <w:right w:val="nil"/>
            </w:tcBorders>
            <w:shd w:val="clear" w:color="auto" w:fill="auto"/>
          </w:tcPr>
          <w:p w14:paraId="039FA556"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0</w:t>
            </w:r>
          </w:p>
        </w:tc>
        <w:tc>
          <w:tcPr>
            <w:tcW w:w="1734" w:type="dxa"/>
            <w:tcBorders>
              <w:left w:val="nil"/>
              <w:right w:val="nil"/>
            </w:tcBorders>
            <w:shd w:val="clear" w:color="auto" w:fill="auto"/>
          </w:tcPr>
          <w:p w14:paraId="1E9673A4"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10</w:t>
            </w:r>
          </w:p>
        </w:tc>
        <w:tc>
          <w:tcPr>
            <w:tcW w:w="1154" w:type="dxa"/>
            <w:tcBorders>
              <w:left w:val="nil"/>
              <w:right w:val="nil"/>
            </w:tcBorders>
            <w:shd w:val="clear" w:color="auto" w:fill="auto"/>
          </w:tcPr>
          <w:p w14:paraId="0CDF122E"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3.44</w:t>
            </w:r>
          </w:p>
        </w:tc>
        <w:tc>
          <w:tcPr>
            <w:tcW w:w="1665" w:type="dxa"/>
            <w:tcBorders>
              <w:left w:val="nil"/>
              <w:right w:val="nil"/>
            </w:tcBorders>
            <w:shd w:val="clear" w:color="auto" w:fill="auto"/>
          </w:tcPr>
          <w:p w14:paraId="64C919A5"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2.48</w:t>
            </w:r>
          </w:p>
        </w:tc>
      </w:tr>
    </w:tbl>
    <w:p w14:paraId="40D34B90" w14:textId="0506B9F8" w:rsidR="00DC1892" w:rsidRDefault="00DC1892" w:rsidP="002872EC">
      <w:pPr>
        <w:rPr>
          <w:rFonts w:ascii="Times New Roman" w:hAnsi="Times New Roman" w:cs="Times New Roman"/>
          <w:sz w:val="24"/>
          <w:szCs w:val="24"/>
        </w:rPr>
      </w:pPr>
      <w:r w:rsidRPr="00E23443">
        <w:rPr>
          <w:rFonts w:ascii="Times New Roman" w:hAnsi="Times New Roman" w:cs="Times New Roman"/>
          <w:sz w:val="24"/>
          <w:szCs w:val="24"/>
        </w:rPr>
        <w:t>Table 1</w:t>
      </w:r>
      <w:r>
        <w:rPr>
          <w:rFonts w:ascii="Times New Roman" w:hAnsi="Times New Roman" w:cs="Times New Roman"/>
          <w:sz w:val="24"/>
          <w:szCs w:val="24"/>
        </w:rPr>
        <w:t xml:space="preserve">. </w:t>
      </w:r>
      <w:r w:rsidRPr="00E23443">
        <w:rPr>
          <w:rFonts w:ascii="Times New Roman" w:hAnsi="Times New Roman" w:cs="Times New Roman"/>
          <w:sz w:val="24"/>
          <w:szCs w:val="24"/>
        </w:rPr>
        <w:t>Descriptive statistics of the child and young person reported RCADS and SDQ.</w:t>
      </w:r>
    </w:p>
    <w:p w14:paraId="72ED9B50" w14:textId="3D622318" w:rsidR="002872EC" w:rsidRDefault="002872EC" w:rsidP="002872EC">
      <w:pPr>
        <w:rPr>
          <w:rFonts w:ascii="Times New Roman" w:hAnsi="Times New Roman" w:cs="Times New Roman"/>
          <w:i/>
          <w:sz w:val="24"/>
          <w:szCs w:val="24"/>
        </w:rPr>
      </w:pPr>
      <w:proofErr w:type="spellStart"/>
      <w:r w:rsidRPr="00DC1892">
        <w:rPr>
          <w:rFonts w:ascii="Times New Roman" w:hAnsi="Times New Roman" w:cs="Times New Roman"/>
          <w:i/>
          <w:sz w:val="24"/>
          <w:szCs w:val="24"/>
        </w:rPr>
        <w:t>n.b</w:t>
      </w:r>
      <w:proofErr w:type="spellEnd"/>
      <w:r w:rsidRPr="00DC1892">
        <w:rPr>
          <w:rFonts w:ascii="Times New Roman" w:hAnsi="Times New Roman" w:cs="Times New Roman"/>
          <w:i/>
          <w:sz w:val="24"/>
          <w:szCs w:val="24"/>
        </w:rPr>
        <w:t xml:space="preserve"> the range of scores for the entire RCADS is from 0-141. For depression, the maximum score is 30 and for anxiety the maximum score is 111. For the SDQ, total difficulties score is classified as either average (0-14), slightly raised (15-17), high (18-19) or very high (20-40). The total impact scores are classified as average (0), slightly raised (1), high (2), or very high (3-10). </w:t>
      </w:r>
    </w:p>
    <w:p w14:paraId="78E913D3" w14:textId="77777777" w:rsidR="00971455" w:rsidRPr="00DC1892" w:rsidRDefault="00971455" w:rsidP="002872EC">
      <w:pPr>
        <w:rPr>
          <w:rFonts w:ascii="Times New Roman" w:hAnsi="Times New Roman" w:cs="Times New Roman"/>
          <w:i/>
          <w:sz w:val="24"/>
          <w:szCs w:val="24"/>
        </w:rPr>
      </w:pPr>
    </w:p>
    <w:tbl>
      <w:tblPr>
        <w:tblStyle w:val="TableGrid"/>
        <w:tblW w:w="9028" w:type="dxa"/>
        <w:tblBorders>
          <w:left w:val="none" w:sz="0" w:space="0" w:color="auto"/>
          <w:right w:val="none" w:sz="0" w:space="0" w:color="auto"/>
        </w:tblBorders>
        <w:tblLook w:val="04A0" w:firstRow="1" w:lastRow="0" w:firstColumn="1" w:lastColumn="0" w:noHBand="0" w:noVBand="1"/>
      </w:tblPr>
      <w:tblGrid>
        <w:gridCol w:w="1824"/>
        <w:gridCol w:w="964"/>
        <w:gridCol w:w="1136"/>
        <w:gridCol w:w="90"/>
        <w:gridCol w:w="1777"/>
        <w:gridCol w:w="82"/>
        <w:gridCol w:w="1317"/>
        <w:gridCol w:w="1838"/>
      </w:tblGrid>
      <w:tr w:rsidR="00B069AA" w:rsidRPr="004E13ED" w14:paraId="0E613973" w14:textId="77777777" w:rsidTr="00DC1892">
        <w:trPr>
          <w:trHeight w:val="248"/>
        </w:trPr>
        <w:tc>
          <w:tcPr>
            <w:tcW w:w="1824" w:type="dxa"/>
            <w:vMerge w:val="restart"/>
            <w:tcBorders>
              <w:left w:val="nil"/>
              <w:right w:val="nil"/>
            </w:tcBorders>
          </w:tcPr>
          <w:p w14:paraId="158090BF" w14:textId="77777777" w:rsidR="00B069AA" w:rsidRPr="004E13ED" w:rsidRDefault="00B069AA" w:rsidP="00664694">
            <w:pPr>
              <w:jc w:val="center"/>
              <w:rPr>
                <w:rFonts w:ascii="Times New Roman" w:hAnsi="Times New Roman" w:cs="Times New Roman"/>
                <w:b/>
                <w:sz w:val="24"/>
                <w:szCs w:val="24"/>
              </w:rPr>
            </w:pPr>
          </w:p>
          <w:p w14:paraId="003DA9AF" w14:textId="77777777" w:rsidR="00B069AA" w:rsidRPr="004E13ED" w:rsidRDefault="00B069AA" w:rsidP="00664694">
            <w:pPr>
              <w:jc w:val="center"/>
              <w:rPr>
                <w:rFonts w:ascii="Times New Roman" w:hAnsi="Times New Roman" w:cs="Times New Roman"/>
                <w:b/>
                <w:sz w:val="24"/>
                <w:szCs w:val="24"/>
              </w:rPr>
            </w:pPr>
            <w:r w:rsidRPr="004E13ED">
              <w:rPr>
                <w:rFonts w:ascii="Times New Roman" w:hAnsi="Times New Roman" w:cs="Times New Roman"/>
                <w:b/>
                <w:sz w:val="24"/>
                <w:szCs w:val="24"/>
              </w:rPr>
              <w:t>Measure</w:t>
            </w:r>
          </w:p>
        </w:tc>
        <w:tc>
          <w:tcPr>
            <w:tcW w:w="7204" w:type="dxa"/>
            <w:gridSpan w:val="7"/>
            <w:tcBorders>
              <w:left w:val="nil"/>
              <w:right w:val="nil"/>
            </w:tcBorders>
          </w:tcPr>
          <w:p w14:paraId="58A35E30" w14:textId="77777777" w:rsidR="00B069AA" w:rsidRPr="004E13ED" w:rsidRDefault="00B069AA" w:rsidP="00664694">
            <w:pPr>
              <w:jc w:val="center"/>
              <w:rPr>
                <w:rFonts w:ascii="Times New Roman" w:hAnsi="Times New Roman" w:cs="Times New Roman"/>
                <w:b/>
                <w:sz w:val="24"/>
                <w:szCs w:val="24"/>
              </w:rPr>
            </w:pPr>
            <w:r w:rsidRPr="004E13ED">
              <w:rPr>
                <w:rFonts w:ascii="Times New Roman" w:hAnsi="Times New Roman" w:cs="Times New Roman"/>
                <w:b/>
                <w:sz w:val="24"/>
                <w:szCs w:val="24"/>
              </w:rPr>
              <w:t>Parent</w:t>
            </w:r>
          </w:p>
        </w:tc>
      </w:tr>
      <w:tr w:rsidR="00B069AA" w:rsidRPr="004E13ED" w14:paraId="51272FB5" w14:textId="77777777" w:rsidTr="00DC1892">
        <w:trPr>
          <w:trHeight w:val="498"/>
        </w:trPr>
        <w:tc>
          <w:tcPr>
            <w:tcW w:w="1824" w:type="dxa"/>
            <w:vMerge/>
            <w:tcBorders>
              <w:left w:val="nil"/>
              <w:bottom w:val="single" w:sz="4" w:space="0" w:color="auto"/>
              <w:right w:val="nil"/>
            </w:tcBorders>
          </w:tcPr>
          <w:p w14:paraId="42E5A2C1" w14:textId="77777777" w:rsidR="00B069AA" w:rsidRPr="004E13ED" w:rsidRDefault="00B069AA" w:rsidP="00664694">
            <w:pPr>
              <w:jc w:val="center"/>
              <w:rPr>
                <w:rFonts w:ascii="Times New Roman" w:hAnsi="Times New Roman" w:cs="Times New Roman"/>
                <w:b/>
                <w:sz w:val="24"/>
                <w:szCs w:val="24"/>
              </w:rPr>
            </w:pPr>
          </w:p>
        </w:tc>
        <w:tc>
          <w:tcPr>
            <w:tcW w:w="964" w:type="dxa"/>
            <w:tcBorders>
              <w:left w:val="nil"/>
              <w:bottom w:val="single" w:sz="4" w:space="0" w:color="auto"/>
              <w:right w:val="nil"/>
            </w:tcBorders>
          </w:tcPr>
          <w:p w14:paraId="7EA1A5DE"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N</w:t>
            </w:r>
          </w:p>
        </w:tc>
        <w:tc>
          <w:tcPr>
            <w:tcW w:w="1136" w:type="dxa"/>
            <w:tcBorders>
              <w:left w:val="nil"/>
              <w:bottom w:val="single" w:sz="4" w:space="0" w:color="auto"/>
              <w:right w:val="nil"/>
            </w:tcBorders>
          </w:tcPr>
          <w:p w14:paraId="1A653B19"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Minimum</w:t>
            </w:r>
          </w:p>
        </w:tc>
        <w:tc>
          <w:tcPr>
            <w:tcW w:w="1949" w:type="dxa"/>
            <w:gridSpan w:val="3"/>
            <w:tcBorders>
              <w:left w:val="nil"/>
              <w:bottom w:val="single" w:sz="4" w:space="0" w:color="auto"/>
              <w:right w:val="nil"/>
            </w:tcBorders>
          </w:tcPr>
          <w:p w14:paraId="3898F4E4"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Maximum</w:t>
            </w:r>
          </w:p>
        </w:tc>
        <w:tc>
          <w:tcPr>
            <w:tcW w:w="1317" w:type="dxa"/>
            <w:tcBorders>
              <w:left w:val="nil"/>
              <w:bottom w:val="single" w:sz="4" w:space="0" w:color="auto"/>
              <w:right w:val="nil"/>
            </w:tcBorders>
          </w:tcPr>
          <w:p w14:paraId="5EF79B41"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Mean</w:t>
            </w:r>
          </w:p>
        </w:tc>
        <w:tc>
          <w:tcPr>
            <w:tcW w:w="1838" w:type="dxa"/>
            <w:tcBorders>
              <w:left w:val="nil"/>
              <w:bottom w:val="single" w:sz="4" w:space="0" w:color="auto"/>
              <w:right w:val="nil"/>
            </w:tcBorders>
          </w:tcPr>
          <w:p w14:paraId="5C0BF0F1" w14:textId="77777777" w:rsidR="00B069AA" w:rsidRPr="004E13ED" w:rsidRDefault="00B069AA" w:rsidP="00664694">
            <w:pPr>
              <w:jc w:val="center"/>
              <w:rPr>
                <w:rFonts w:ascii="Times New Roman" w:hAnsi="Times New Roman" w:cs="Times New Roman"/>
                <w:i/>
                <w:sz w:val="24"/>
                <w:szCs w:val="24"/>
              </w:rPr>
            </w:pPr>
            <w:r w:rsidRPr="004E13ED">
              <w:rPr>
                <w:rFonts w:ascii="Times New Roman" w:hAnsi="Times New Roman" w:cs="Times New Roman"/>
                <w:i/>
                <w:sz w:val="24"/>
                <w:szCs w:val="24"/>
              </w:rPr>
              <w:t>Std. Deviation</w:t>
            </w:r>
          </w:p>
        </w:tc>
      </w:tr>
      <w:tr w:rsidR="00B069AA" w:rsidRPr="004E13ED" w14:paraId="591A4D75" w14:textId="77777777" w:rsidTr="00DC1892">
        <w:trPr>
          <w:trHeight w:val="248"/>
        </w:trPr>
        <w:tc>
          <w:tcPr>
            <w:tcW w:w="1824" w:type="dxa"/>
            <w:tcBorders>
              <w:left w:val="nil"/>
              <w:right w:val="nil"/>
            </w:tcBorders>
            <w:shd w:val="clear" w:color="auto" w:fill="FFFFFF" w:themeFill="background1"/>
          </w:tcPr>
          <w:p w14:paraId="675E0AA5" w14:textId="77777777" w:rsidR="00B069AA" w:rsidRPr="004E13ED" w:rsidRDefault="00B069AA" w:rsidP="00664694">
            <w:pPr>
              <w:jc w:val="center"/>
              <w:rPr>
                <w:rFonts w:ascii="Times New Roman" w:hAnsi="Times New Roman" w:cs="Times New Roman"/>
                <w:b/>
                <w:sz w:val="24"/>
                <w:szCs w:val="24"/>
              </w:rPr>
            </w:pPr>
            <w:r w:rsidRPr="004E13ED">
              <w:rPr>
                <w:rFonts w:ascii="Times New Roman" w:hAnsi="Times New Roman" w:cs="Times New Roman"/>
                <w:b/>
                <w:sz w:val="24"/>
                <w:szCs w:val="24"/>
              </w:rPr>
              <w:t xml:space="preserve">RCADS </w:t>
            </w:r>
          </w:p>
        </w:tc>
        <w:tc>
          <w:tcPr>
            <w:tcW w:w="964" w:type="dxa"/>
            <w:tcBorders>
              <w:left w:val="nil"/>
              <w:right w:val="nil"/>
            </w:tcBorders>
            <w:shd w:val="clear" w:color="auto" w:fill="FFFFFF" w:themeFill="background1"/>
          </w:tcPr>
          <w:p w14:paraId="1DCB3841" w14:textId="77777777" w:rsidR="00B069AA" w:rsidRPr="004E13ED" w:rsidRDefault="00B069AA" w:rsidP="00664694">
            <w:pPr>
              <w:jc w:val="center"/>
              <w:rPr>
                <w:rFonts w:ascii="Times New Roman" w:hAnsi="Times New Roman" w:cs="Times New Roman"/>
                <w:sz w:val="24"/>
                <w:szCs w:val="24"/>
              </w:rPr>
            </w:pPr>
          </w:p>
        </w:tc>
        <w:tc>
          <w:tcPr>
            <w:tcW w:w="1226" w:type="dxa"/>
            <w:gridSpan w:val="2"/>
            <w:tcBorders>
              <w:left w:val="nil"/>
              <w:right w:val="nil"/>
            </w:tcBorders>
            <w:shd w:val="clear" w:color="auto" w:fill="FFFFFF" w:themeFill="background1"/>
          </w:tcPr>
          <w:p w14:paraId="1839E710" w14:textId="77777777" w:rsidR="00B069AA" w:rsidRPr="004E13ED" w:rsidRDefault="00B069AA" w:rsidP="00664694">
            <w:pPr>
              <w:jc w:val="center"/>
              <w:rPr>
                <w:rFonts w:ascii="Times New Roman" w:hAnsi="Times New Roman" w:cs="Times New Roman"/>
                <w:sz w:val="24"/>
                <w:szCs w:val="24"/>
              </w:rPr>
            </w:pPr>
          </w:p>
        </w:tc>
        <w:tc>
          <w:tcPr>
            <w:tcW w:w="1777" w:type="dxa"/>
            <w:tcBorders>
              <w:left w:val="nil"/>
              <w:right w:val="nil"/>
            </w:tcBorders>
            <w:shd w:val="clear" w:color="auto" w:fill="FFFFFF" w:themeFill="background1"/>
          </w:tcPr>
          <w:p w14:paraId="0062154D" w14:textId="77777777" w:rsidR="00B069AA" w:rsidRPr="004E13ED" w:rsidRDefault="00B069AA" w:rsidP="00664694">
            <w:pPr>
              <w:jc w:val="center"/>
              <w:rPr>
                <w:rFonts w:ascii="Times New Roman" w:hAnsi="Times New Roman" w:cs="Times New Roman"/>
                <w:sz w:val="24"/>
                <w:szCs w:val="24"/>
              </w:rPr>
            </w:pPr>
          </w:p>
        </w:tc>
        <w:tc>
          <w:tcPr>
            <w:tcW w:w="1399" w:type="dxa"/>
            <w:gridSpan w:val="2"/>
            <w:tcBorders>
              <w:left w:val="nil"/>
              <w:right w:val="nil"/>
            </w:tcBorders>
            <w:shd w:val="clear" w:color="auto" w:fill="FFFFFF" w:themeFill="background1"/>
          </w:tcPr>
          <w:p w14:paraId="4DD7DF32" w14:textId="77777777" w:rsidR="00B069AA" w:rsidRPr="004E13ED" w:rsidRDefault="00B069AA" w:rsidP="00664694">
            <w:pPr>
              <w:jc w:val="center"/>
              <w:rPr>
                <w:rFonts w:ascii="Times New Roman" w:hAnsi="Times New Roman" w:cs="Times New Roman"/>
                <w:sz w:val="24"/>
                <w:szCs w:val="24"/>
              </w:rPr>
            </w:pPr>
          </w:p>
        </w:tc>
        <w:tc>
          <w:tcPr>
            <w:tcW w:w="1838" w:type="dxa"/>
            <w:tcBorders>
              <w:left w:val="nil"/>
              <w:right w:val="nil"/>
            </w:tcBorders>
            <w:shd w:val="clear" w:color="auto" w:fill="FFFFFF" w:themeFill="background1"/>
          </w:tcPr>
          <w:p w14:paraId="6D9A7228" w14:textId="77777777" w:rsidR="00B069AA" w:rsidRPr="004E13ED" w:rsidRDefault="00B069AA" w:rsidP="00664694">
            <w:pPr>
              <w:jc w:val="center"/>
              <w:rPr>
                <w:rFonts w:ascii="Times New Roman" w:hAnsi="Times New Roman" w:cs="Times New Roman"/>
                <w:sz w:val="24"/>
                <w:szCs w:val="24"/>
              </w:rPr>
            </w:pPr>
          </w:p>
        </w:tc>
      </w:tr>
      <w:tr w:rsidR="00B069AA" w:rsidRPr="004E13ED" w14:paraId="0A37A8FA" w14:textId="77777777" w:rsidTr="00DC1892">
        <w:trPr>
          <w:trHeight w:val="248"/>
        </w:trPr>
        <w:tc>
          <w:tcPr>
            <w:tcW w:w="1824" w:type="dxa"/>
            <w:tcBorders>
              <w:left w:val="nil"/>
              <w:right w:val="nil"/>
            </w:tcBorders>
          </w:tcPr>
          <w:p w14:paraId="611A751E"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Total depression</w:t>
            </w:r>
          </w:p>
        </w:tc>
        <w:tc>
          <w:tcPr>
            <w:tcW w:w="964" w:type="dxa"/>
            <w:tcBorders>
              <w:left w:val="nil"/>
              <w:right w:val="nil"/>
            </w:tcBorders>
          </w:tcPr>
          <w:p w14:paraId="4F0BE427"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159</w:t>
            </w:r>
          </w:p>
        </w:tc>
        <w:tc>
          <w:tcPr>
            <w:tcW w:w="1226" w:type="dxa"/>
            <w:gridSpan w:val="2"/>
            <w:tcBorders>
              <w:left w:val="nil"/>
              <w:right w:val="nil"/>
            </w:tcBorders>
          </w:tcPr>
          <w:p w14:paraId="163C875C"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w:t>
            </w:r>
          </w:p>
        </w:tc>
        <w:tc>
          <w:tcPr>
            <w:tcW w:w="1777" w:type="dxa"/>
            <w:tcBorders>
              <w:left w:val="nil"/>
              <w:right w:val="nil"/>
            </w:tcBorders>
          </w:tcPr>
          <w:p w14:paraId="2B218A1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27</w:t>
            </w:r>
          </w:p>
        </w:tc>
        <w:tc>
          <w:tcPr>
            <w:tcW w:w="1399" w:type="dxa"/>
            <w:gridSpan w:val="2"/>
            <w:tcBorders>
              <w:left w:val="nil"/>
              <w:right w:val="nil"/>
            </w:tcBorders>
          </w:tcPr>
          <w:p w14:paraId="40BAB07A"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15.77</w:t>
            </w:r>
          </w:p>
        </w:tc>
        <w:tc>
          <w:tcPr>
            <w:tcW w:w="1838" w:type="dxa"/>
            <w:tcBorders>
              <w:left w:val="nil"/>
              <w:right w:val="nil"/>
            </w:tcBorders>
          </w:tcPr>
          <w:p w14:paraId="55110D4A"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6.14</w:t>
            </w:r>
          </w:p>
        </w:tc>
      </w:tr>
      <w:tr w:rsidR="00B069AA" w:rsidRPr="004E13ED" w14:paraId="5B0AD93D" w14:textId="77777777" w:rsidTr="00DC1892">
        <w:trPr>
          <w:trHeight w:val="248"/>
        </w:trPr>
        <w:tc>
          <w:tcPr>
            <w:tcW w:w="1824" w:type="dxa"/>
            <w:tcBorders>
              <w:left w:val="nil"/>
              <w:right w:val="nil"/>
            </w:tcBorders>
          </w:tcPr>
          <w:p w14:paraId="145A312D"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anxiety </w:t>
            </w:r>
          </w:p>
        </w:tc>
        <w:tc>
          <w:tcPr>
            <w:tcW w:w="964" w:type="dxa"/>
            <w:tcBorders>
              <w:left w:val="nil"/>
              <w:right w:val="nil"/>
            </w:tcBorders>
          </w:tcPr>
          <w:p w14:paraId="631D4138"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159</w:t>
            </w:r>
          </w:p>
        </w:tc>
        <w:tc>
          <w:tcPr>
            <w:tcW w:w="1226" w:type="dxa"/>
            <w:gridSpan w:val="2"/>
            <w:tcBorders>
              <w:left w:val="nil"/>
              <w:right w:val="nil"/>
            </w:tcBorders>
          </w:tcPr>
          <w:p w14:paraId="745BF22F"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3</w:t>
            </w:r>
          </w:p>
        </w:tc>
        <w:tc>
          <w:tcPr>
            <w:tcW w:w="1777" w:type="dxa"/>
            <w:tcBorders>
              <w:left w:val="nil"/>
              <w:right w:val="nil"/>
            </w:tcBorders>
          </w:tcPr>
          <w:p w14:paraId="0666E40C"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107</w:t>
            </w:r>
          </w:p>
        </w:tc>
        <w:tc>
          <w:tcPr>
            <w:tcW w:w="1399" w:type="dxa"/>
            <w:gridSpan w:val="2"/>
            <w:tcBorders>
              <w:left w:val="nil"/>
              <w:right w:val="nil"/>
            </w:tcBorders>
          </w:tcPr>
          <w:p w14:paraId="34475449"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43.96</w:t>
            </w:r>
          </w:p>
        </w:tc>
        <w:tc>
          <w:tcPr>
            <w:tcW w:w="1838" w:type="dxa"/>
            <w:tcBorders>
              <w:left w:val="nil"/>
              <w:right w:val="nil"/>
            </w:tcBorders>
          </w:tcPr>
          <w:p w14:paraId="2F7949A4"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17</w:t>
            </w:r>
          </w:p>
        </w:tc>
      </w:tr>
      <w:tr w:rsidR="00B069AA" w:rsidRPr="004E13ED" w14:paraId="06921F06" w14:textId="77777777" w:rsidTr="00DC1892">
        <w:trPr>
          <w:trHeight w:val="248"/>
        </w:trPr>
        <w:tc>
          <w:tcPr>
            <w:tcW w:w="1824" w:type="dxa"/>
            <w:tcBorders>
              <w:left w:val="nil"/>
              <w:bottom w:val="single" w:sz="4" w:space="0" w:color="auto"/>
              <w:right w:val="nil"/>
            </w:tcBorders>
          </w:tcPr>
          <w:p w14:paraId="4A3CEFFF"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internalising </w:t>
            </w:r>
          </w:p>
        </w:tc>
        <w:tc>
          <w:tcPr>
            <w:tcW w:w="964" w:type="dxa"/>
            <w:tcBorders>
              <w:left w:val="nil"/>
              <w:bottom w:val="single" w:sz="4" w:space="0" w:color="auto"/>
              <w:right w:val="nil"/>
            </w:tcBorders>
          </w:tcPr>
          <w:p w14:paraId="1ECFE6A0"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159</w:t>
            </w:r>
          </w:p>
        </w:tc>
        <w:tc>
          <w:tcPr>
            <w:tcW w:w="1226" w:type="dxa"/>
            <w:gridSpan w:val="2"/>
            <w:tcBorders>
              <w:left w:val="nil"/>
              <w:bottom w:val="single" w:sz="4" w:space="0" w:color="auto"/>
              <w:right w:val="nil"/>
            </w:tcBorders>
          </w:tcPr>
          <w:p w14:paraId="28CF4B90"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5</w:t>
            </w:r>
          </w:p>
        </w:tc>
        <w:tc>
          <w:tcPr>
            <w:tcW w:w="1777" w:type="dxa"/>
            <w:tcBorders>
              <w:left w:val="nil"/>
              <w:bottom w:val="single" w:sz="4" w:space="0" w:color="auto"/>
              <w:right w:val="nil"/>
            </w:tcBorders>
          </w:tcPr>
          <w:p w14:paraId="3392991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137</w:t>
            </w:r>
          </w:p>
        </w:tc>
        <w:tc>
          <w:tcPr>
            <w:tcW w:w="1399" w:type="dxa"/>
            <w:gridSpan w:val="2"/>
            <w:tcBorders>
              <w:left w:val="nil"/>
              <w:bottom w:val="single" w:sz="4" w:space="0" w:color="auto"/>
              <w:right w:val="nil"/>
            </w:tcBorders>
          </w:tcPr>
          <w:p w14:paraId="1A072580"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55.03</w:t>
            </w:r>
          </w:p>
        </w:tc>
        <w:tc>
          <w:tcPr>
            <w:tcW w:w="1838" w:type="dxa"/>
            <w:tcBorders>
              <w:left w:val="nil"/>
              <w:bottom w:val="single" w:sz="4" w:space="0" w:color="auto"/>
              <w:right w:val="nil"/>
            </w:tcBorders>
          </w:tcPr>
          <w:p w14:paraId="1F3670CD"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20.63</w:t>
            </w:r>
          </w:p>
        </w:tc>
      </w:tr>
      <w:tr w:rsidR="00B069AA" w:rsidRPr="004E13ED" w14:paraId="115F77AA" w14:textId="77777777" w:rsidTr="00DC1892">
        <w:trPr>
          <w:trHeight w:val="248"/>
        </w:trPr>
        <w:tc>
          <w:tcPr>
            <w:tcW w:w="1824" w:type="dxa"/>
            <w:tcBorders>
              <w:left w:val="nil"/>
              <w:right w:val="nil"/>
            </w:tcBorders>
            <w:shd w:val="clear" w:color="auto" w:fill="FFFFFF" w:themeFill="background1"/>
          </w:tcPr>
          <w:p w14:paraId="2EBCE5A6" w14:textId="77777777" w:rsidR="00B069AA" w:rsidRPr="004E13ED" w:rsidRDefault="00B069AA" w:rsidP="00664694">
            <w:pPr>
              <w:jc w:val="center"/>
              <w:rPr>
                <w:rFonts w:ascii="Times New Roman" w:hAnsi="Times New Roman" w:cs="Times New Roman"/>
                <w:b/>
                <w:color w:val="333399"/>
                <w:sz w:val="24"/>
                <w:szCs w:val="24"/>
              </w:rPr>
            </w:pPr>
            <w:r w:rsidRPr="004E13ED">
              <w:rPr>
                <w:rFonts w:ascii="Times New Roman" w:hAnsi="Times New Roman" w:cs="Times New Roman"/>
                <w:b/>
                <w:sz w:val="24"/>
                <w:szCs w:val="24"/>
              </w:rPr>
              <w:t>SDQ</w:t>
            </w:r>
          </w:p>
        </w:tc>
        <w:tc>
          <w:tcPr>
            <w:tcW w:w="7204" w:type="dxa"/>
            <w:gridSpan w:val="7"/>
            <w:tcBorders>
              <w:left w:val="nil"/>
              <w:right w:val="nil"/>
            </w:tcBorders>
            <w:shd w:val="clear" w:color="auto" w:fill="FFFFFF" w:themeFill="background1"/>
          </w:tcPr>
          <w:p w14:paraId="1FC2DB30" w14:textId="77777777" w:rsidR="00B069AA" w:rsidRPr="004E13ED" w:rsidRDefault="00B069AA" w:rsidP="00664694">
            <w:pPr>
              <w:jc w:val="center"/>
              <w:rPr>
                <w:rFonts w:ascii="Times New Roman" w:hAnsi="Times New Roman" w:cs="Times New Roman"/>
                <w:i/>
                <w:sz w:val="24"/>
                <w:szCs w:val="24"/>
              </w:rPr>
            </w:pPr>
          </w:p>
        </w:tc>
      </w:tr>
      <w:tr w:rsidR="00B069AA" w:rsidRPr="004E13ED" w14:paraId="5399ABC1" w14:textId="77777777" w:rsidTr="00DC1892">
        <w:trPr>
          <w:trHeight w:val="248"/>
        </w:trPr>
        <w:tc>
          <w:tcPr>
            <w:tcW w:w="1824" w:type="dxa"/>
            <w:tcBorders>
              <w:left w:val="nil"/>
              <w:right w:val="nil"/>
            </w:tcBorders>
          </w:tcPr>
          <w:p w14:paraId="167E6337"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difficulties score </w:t>
            </w:r>
          </w:p>
        </w:tc>
        <w:tc>
          <w:tcPr>
            <w:tcW w:w="964" w:type="dxa"/>
            <w:tcBorders>
              <w:left w:val="nil"/>
              <w:right w:val="nil"/>
            </w:tcBorders>
          </w:tcPr>
          <w:p w14:paraId="09B10023"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152</w:t>
            </w:r>
          </w:p>
        </w:tc>
        <w:tc>
          <w:tcPr>
            <w:tcW w:w="1226" w:type="dxa"/>
            <w:gridSpan w:val="2"/>
            <w:tcBorders>
              <w:left w:val="nil"/>
              <w:right w:val="nil"/>
            </w:tcBorders>
          </w:tcPr>
          <w:p w14:paraId="665EF94F"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w:t>
            </w:r>
          </w:p>
        </w:tc>
        <w:tc>
          <w:tcPr>
            <w:tcW w:w="1777" w:type="dxa"/>
            <w:tcBorders>
              <w:left w:val="nil"/>
              <w:right w:val="nil"/>
            </w:tcBorders>
          </w:tcPr>
          <w:p w14:paraId="648F272F"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34</w:t>
            </w:r>
          </w:p>
        </w:tc>
        <w:tc>
          <w:tcPr>
            <w:tcW w:w="1399" w:type="dxa"/>
            <w:gridSpan w:val="2"/>
            <w:tcBorders>
              <w:left w:val="nil"/>
              <w:right w:val="nil"/>
            </w:tcBorders>
          </w:tcPr>
          <w:p w14:paraId="62DF2DF5"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16.84</w:t>
            </w:r>
          </w:p>
        </w:tc>
        <w:tc>
          <w:tcPr>
            <w:tcW w:w="1838" w:type="dxa"/>
            <w:tcBorders>
              <w:left w:val="nil"/>
              <w:right w:val="nil"/>
            </w:tcBorders>
          </w:tcPr>
          <w:p w14:paraId="26F301D2"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6.46</w:t>
            </w:r>
          </w:p>
        </w:tc>
      </w:tr>
      <w:tr w:rsidR="00B069AA" w:rsidRPr="004E13ED" w14:paraId="4A555493" w14:textId="77777777" w:rsidTr="00DC1892">
        <w:trPr>
          <w:trHeight w:val="570"/>
        </w:trPr>
        <w:tc>
          <w:tcPr>
            <w:tcW w:w="1824" w:type="dxa"/>
            <w:tcBorders>
              <w:left w:val="nil"/>
              <w:right w:val="nil"/>
            </w:tcBorders>
          </w:tcPr>
          <w:p w14:paraId="495EFC7B"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 xml:space="preserve">Total impact score </w:t>
            </w:r>
          </w:p>
        </w:tc>
        <w:tc>
          <w:tcPr>
            <w:tcW w:w="964" w:type="dxa"/>
            <w:tcBorders>
              <w:left w:val="nil"/>
              <w:right w:val="nil"/>
            </w:tcBorders>
          </w:tcPr>
          <w:p w14:paraId="5C08CDB4"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147</w:t>
            </w:r>
          </w:p>
        </w:tc>
        <w:tc>
          <w:tcPr>
            <w:tcW w:w="1226" w:type="dxa"/>
            <w:gridSpan w:val="2"/>
            <w:tcBorders>
              <w:left w:val="nil"/>
              <w:right w:val="nil"/>
            </w:tcBorders>
          </w:tcPr>
          <w:p w14:paraId="58C8561E"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0</w:t>
            </w:r>
          </w:p>
        </w:tc>
        <w:tc>
          <w:tcPr>
            <w:tcW w:w="1777" w:type="dxa"/>
            <w:tcBorders>
              <w:left w:val="nil"/>
              <w:right w:val="nil"/>
            </w:tcBorders>
          </w:tcPr>
          <w:p w14:paraId="189CB40A"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10</w:t>
            </w:r>
          </w:p>
        </w:tc>
        <w:tc>
          <w:tcPr>
            <w:tcW w:w="1399" w:type="dxa"/>
            <w:gridSpan w:val="2"/>
            <w:tcBorders>
              <w:left w:val="nil"/>
              <w:right w:val="nil"/>
            </w:tcBorders>
          </w:tcPr>
          <w:p w14:paraId="4EB38FC4"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4.24</w:t>
            </w:r>
          </w:p>
        </w:tc>
        <w:tc>
          <w:tcPr>
            <w:tcW w:w="1838" w:type="dxa"/>
            <w:tcBorders>
              <w:left w:val="nil"/>
              <w:right w:val="nil"/>
            </w:tcBorders>
          </w:tcPr>
          <w:p w14:paraId="599F2B84" w14:textId="77777777" w:rsidR="00B069AA" w:rsidRPr="004E13ED" w:rsidRDefault="00B069AA" w:rsidP="00664694">
            <w:pPr>
              <w:jc w:val="center"/>
              <w:rPr>
                <w:rFonts w:ascii="Times New Roman" w:hAnsi="Times New Roman" w:cs="Times New Roman"/>
                <w:sz w:val="24"/>
                <w:szCs w:val="24"/>
              </w:rPr>
            </w:pPr>
            <w:r w:rsidRPr="004E13ED">
              <w:rPr>
                <w:rFonts w:ascii="Times New Roman" w:hAnsi="Times New Roman" w:cs="Times New Roman"/>
                <w:sz w:val="24"/>
                <w:szCs w:val="24"/>
              </w:rPr>
              <w:t>2.59</w:t>
            </w:r>
          </w:p>
        </w:tc>
      </w:tr>
    </w:tbl>
    <w:p w14:paraId="53277956" w14:textId="2C66A917" w:rsidR="00DC1892" w:rsidRDefault="00DC1892" w:rsidP="002872EC">
      <w:pPr>
        <w:rPr>
          <w:rFonts w:ascii="Times New Roman" w:hAnsi="Times New Roman" w:cs="Times New Roman"/>
          <w:sz w:val="24"/>
          <w:szCs w:val="24"/>
        </w:rPr>
      </w:pPr>
      <w:r w:rsidRPr="00E23443">
        <w:rPr>
          <w:rFonts w:ascii="Times New Roman" w:hAnsi="Times New Roman" w:cs="Times New Roman"/>
          <w:sz w:val="24"/>
          <w:szCs w:val="24"/>
        </w:rPr>
        <w:t>Table 2</w:t>
      </w:r>
      <w:r>
        <w:rPr>
          <w:rFonts w:ascii="Times New Roman" w:hAnsi="Times New Roman" w:cs="Times New Roman"/>
          <w:sz w:val="24"/>
          <w:szCs w:val="24"/>
        </w:rPr>
        <w:t xml:space="preserve">. </w:t>
      </w:r>
      <w:r w:rsidRPr="00E23443">
        <w:rPr>
          <w:rFonts w:ascii="Times New Roman" w:hAnsi="Times New Roman" w:cs="Times New Roman"/>
          <w:sz w:val="24"/>
          <w:szCs w:val="24"/>
        </w:rPr>
        <w:t xml:space="preserve"> Descriptive statistics of the caregiver reported RCADS and SDQ.</w:t>
      </w:r>
    </w:p>
    <w:p w14:paraId="205F968C" w14:textId="05FCED47" w:rsidR="000B78C8" w:rsidRPr="00DC1892" w:rsidRDefault="002872EC" w:rsidP="002872EC">
      <w:pPr>
        <w:rPr>
          <w:rFonts w:ascii="Times New Roman" w:hAnsi="Times New Roman" w:cs="Times New Roman"/>
          <w:i/>
          <w:sz w:val="24"/>
          <w:szCs w:val="24"/>
        </w:rPr>
      </w:pPr>
      <w:proofErr w:type="spellStart"/>
      <w:r w:rsidRPr="00DC1892">
        <w:rPr>
          <w:rFonts w:ascii="Times New Roman" w:hAnsi="Times New Roman" w:cs="Times New Roman"/>
          <w:i/>
          <w:sz w:val="24"/>
          <w:szCs w:val="24"/>
        </w:rPr>
        <w:t>n.b</w:t>
      </w:r>
      <w:proofErr w:type="spellEnd"/>
      <w:r w:rsidRPr="00DC1892">
        <w:rPr>
          <w:rFonts w:ascii="Times New Roman" w:hAnsi="Times New Roman" w:cs="Times New Roman"/>
          <w:i/>
          <w:sz w:val="24"/>
          <w:szCs w:val="24"/>
        </w:rPr>
        <w:t xml:space="preserve"> the range of scores for the entire RCADS is from 0-141. For depression, the maximum score is 30 and for anxiety the maximum score is 111. For the SDQ, total difficulties score is classified as either average (0-14), slightly raised (15-17), high (18-19) or very high (20-40). The total impact scores are classified as average (0), slightly raised (1), high (2), or very high (3-10).</w:t>
      </w:r>
    </w:p>
    <w:p w14:paraId="06E4DBCD" w14:textId="414233A1" w:rsidR="00CA4C00" w:rsidRPr="00DC1892" w:rsidRDefault="00C379CC" w:rsidP="00DC1892">
      <w:pPr>
        <w:spacing w:after="0" w:line="480" w:lineRule="auto"/>
        <w:ind w:firstLine="720"/>
        <w:rPr>
          <w:rFonts w:ascii="Times New Roman" w:hAnsi="Times New Roman" w:cs="Times New Roman"/>
          <w:b/>
          <w:sz w:val="24"/>
          <w:szCs w:val="24"/>
        </w:rPr>
      </w:pPr>
      <w:bookmarkStart w:id="2" w:name="_Hlk135923819"/>
      <w:r w:rsidRPr="00DC1892">
        <w:rPr>
          <w:rFonts w:ascii="Times New Roman" w:hAnsi="Times New Roman" w:cs="Times New Roman"/>
          <w:b/>
          <w:sz w:val="24"/>
          <w:szCs w:val="24"/>
        </w:rPr>
        <w:t xml:space="preserve">Are there differences in the clinical characteristics for anxiety and depression in relation to </w:t>
      </w:r>
      <w:r w:rsidR="007F78CE">
        <w:rPr>
          <w:rFonts w:ascii="Times New Roman" w:hAnsi="Times New Roman" w:cs="Times New Roman"/>
          <w:b/>
          <w:sz w:val="24"/>
          <w:szCs w:val="24"/>
        </w:rPr>
        <w:t>sex (assigned at birth)</w:t>
      </w:r>
      <w:r w:rsidRPr="00DC1892">
        <w:rPr>
          <w:rFonts w:ascii="Times New Roman" w:hAnsi="Times New Roman" w:cs="Times New Roman"/>
          <w:b/>
          <w:sz w:val="24"/>
          <w:szCs w:val="24"/>
        </w:rPr>
        <w:t xml:space="preserve">, ethnicity and age? </w:t>
      </w:r>
      <w:r w:rsidR="00DA0CC1" w:rsidRPr="004E13ED">
        <w:rPr>
          <w:rFonts w:ascii="Times New Roman" w:hAnsi="Times New Roman" w:cs="Times New Roman"/>
          <w:sz w:val="24"/>
          <w:szCs w:val="24"/>
        </w:rPr>
        <w:t>To investigate these</w:t>
      </w:r>
      <w:r w:rsidR="006E5CAF">
        <w:rPr>
          <w:rFonts w:ascii="Times New Roman" w:hAnsi="Times New Roman" w:cs="Times New Roman"/>
          <w:sz w:val="24"/>
          <w:szCs w:val="24"/>
        </w:rPr>
        <w:t xml:space="preserve"> </w:t>
      </w:r>
      <w:r w:rsidR="00DA0CC1" w:rsidRPr="004E13ED">
        <w:rPr>
          <w:rFonts w:ascii="Times New Roman" w:hAnsi="Times New Roman" w:cs="Times New Roman"/>
          <w:sz w:val="24"/>
          <w:szCs w:val="24"/>
        </w:rPr>
        <w:t>further</w:t>
      </w:r>
      <w:r w:rsidR="00E104A8">
        <w:rPr>
          <w:rFonts w:ascii="Times New Roman" w:hAnsi="Times New Roman" w:cs="Times New Roman"/>
          <w:sz w:val="24"/>
          <w:szCs w:val="24"/>
        </w:rPr>
        <w:t>,</w:t>
      </w:r>
      <w:r w:rsidR="00DA0CC1" w:rsidRPr="004E13ED">
        <w:rPr>
          <w:rFonts w:ascii="Times New Roman" w:hAnsi="Times New Roman" w:cs="Times New Roman"/>
          <w:sz w:val="24"/>
          <w:szCs w:val="24"/>
        </w:rPr>
        <w:t xml:space="preserve"> we looked at differences in symptom severity</w:t>
      </w:r>
      <w:r w:rsidR="007C49C4" w:rsidRPr="004E13ED">
        <w:rPr>
          <w:rFonts w:ascii="Times New Roman" w:hAnsi="Times New Roman" w:cs="Times New Roman"/>
          <w:sz w:val="24"/>
          <w:szCs w:val="24"/>
        </w:rPr>
        <w:t>, for both anxiety and depression,</w:t>
      </w:r>
      <w:r w:rsidR="00DA0CC1" w:rsidRPr="004E13ED">
        <w:rPr>
          <w:rFonts w:ascii="Times New Roman" w:hAnsi="Times New Roman" w:cs="Times New Roman"/>
          <w:sz w:val="24"/>
          <w:szCs w:val="24"/>
        </w:rPr>
        <w:t xml:space="preserve"> between </w:t>
      </w:r>
      <w:r w:rsidR="00DA0CC1" w:rsidRPr="004E13ED">
        <w:rPr>
          <w:rFonts w:ascii="Times New Roman" w:hAnsi="Times New Roman" w:cs="Times New Roman"/>
          <w:sz w:val="24"/>
          <w:szCs w:val="24"/>
        </w:rPr>
        <w:lastRenderedPageBreak/>
        <w:t>demographic groups</w:t>
      </w:r>
      <w:bookmarkEnd w:id="2"/>
      <w:r w:rsidR="00423198" w:rsidRPr="004E13ED">
        <w:rPr>
          <w:rFonts w:ascii="Times New Roman" w:hAnsi="Times New Roman" w:cs="Times New Roman"/>
          <w:sz w:val="24"/>
          <w:szCs w:val="24"/>
        </w:rPr>
        <w:t xml:space="preserve"> using the RCAD</w:t>
      </w:r>
      <w:r w:rsidR="00D06624" w:rsidRPr="004E13ED">
        <w:rPr>
          <w:rFonts w:ascii="Times New Roman" w:hAnsi="Times New Roman" w:cs="Times New Roman"/>
          <w:sz w:val="24"/>
          <w:szCs w:val="24"/>
        </w:rPr>
        <w:t>S</w:t>
      </w:r>
      <w:r w:rsidR="00423198" w:rsidRPr="004E13ED">
        <w:rPr>
          <w:rFonts w:ascii="Times New Roman" w:hAnsi="Times New Roman" w:cs="Times New Roman"/>
          <w:sz w:val="24"/>
          <w:szCs w:val="24"/>
        </w:rPr>
        <w:t xml:space="preserve"> </w:t>
      </w:r>
      <w:r w:rsidR="00620301">
        <w:rPr>
          <w:rFonts w:ascii="Times New Roman" w:hAnsi="Times New Roman" w:cs="Times New Roman"/>
          <w:sz w:val="24"/>
          <w:szCs w:val="24"/>
        </w:rPr>
        <w:t xml:space="preserve">raw </w:t>
      </w:r>
      <w:r w:rsidR="00423198" w:rsidRPr="004E13ED">
        <w:rPr>
          <w:rFonts w:ascii="Times New Roman" w:hAnsi="Times New Roman" w:cs="Times New Roman"/>
          <w:sz w:val="24"/>
          <w:szCs w:val="24"/>
        </w:rPr>
        <w:t>scores</w:t>
      </w:r>
      <w:r w:rsidR="006F114D" w:rsidRPr="004E13ED">
        <w:rPr>
          <w:rFonts w:ascii="Times New Roman" w:hAnsi="Times New Roman" w:cs="Times New Roman"/>
          <w:sz w:val="24"/>
          <w:szCs w:val="24"/>
        </w:rPr>
        <w:t>. T</w:t>
      </w:r>
      <w:r w:rsidRPr="004E13ED">
        <w:rPr>
          <w:rFonts w:ascii="Times New Roman" w:hAnsi="Times New Roman" w:cs="Times New Roman"/>
          <w:sz w:val="24"/>
          <w:szCs w:val="24"/>
        </w:rPr>
        <w:t>he results of these</w:t>
      </w:r>
      <w:r w:rsidR="00806657" w:rsidRPr="004E13ED">
        <w:rPr>
          <w:rFonts w:ascii="Times New Roman" w:hAnsi="Times New Roman" w:cs="Times New Roman"/>
          <w:sz w:val="24"/>
          <w:szCs w:val="24"/>
        </w:rPr>
        <w:t xml:space="preserve"> independent samples</w:t>
      </w:r>
      <w:r w:rsidRPr="004E13ED">
        <w:rPr>
          <w:rFonts w:ascii="Times New Roman" w:hAnsi="Times New Roman" w:cs="Times New Roman"/>
          <w:sz w:val="24"/>
          <w:szCs w:val="24"/>
        </w:rPr>
        <w:t xml:space="preserve"> t-tests are shown in Figure 1</w:t>
      </w:r>
      <w:r w:rsidR="00A26B14" w:rsidRPr="004E13ED">
        <w:rPr>
          <w:rFonts w:ascii="Times New Roman" w:hAnsi="Times New Roman" w:cs="Times New Roman"/>
          <w:sz w:val="24"/>
          <w:szCs w:val="24"/>
        </w:rPr>
        <w:t xml:space="preserve"> and Figure 2</w:t>
      </w:r>
      <w:r w:rsidRPr="004E13ED">
        <w:rPr>
          <w:rFonts w:ascii="Times New Roman" w:hAnsi="Times New Roman" w:cs="Times New Roman"/>
          <w:sz w:val="24"/>
          <w:szCs w:val="24"/>
        </w:rPr>
        <w:t xml:space="preserve">. </w:t>
      </w:r>
    </w:p>
    <w:p w14:paraId="2FFD84C7" w14:textId="0F5C2800" w:rsidR="00DC1892" w:rsidRDefault="00B069AA" w:rsidP="006D6C33">
      <w:pPr>
        <w:spacing w:after="0" w:line="480" w:lineRule="auto"/>
        <w:rPr>
          <w:rFonts w:ascii="Times New Roman" w:hAnsi="Times New Roman" w:cs="Times New Roman"/>
          <w:sz w:val="24"/>
          <w:szCs w:val="24"/>
        </w:rPr>
      </w:pPr>
      <w:r w:rsidRPr="004E13ED">
        <w:rPr>
          <w:rFonts w:ascii="Times New Roman" w:hAnsi="Times New Roman" w:cs="Times New Roman"/>
          <w:noProof/>
          <w:sz w:val="24"/>
          <w:szCs w:val="24"/>
        </w:rPr>
        <w:drawing>
          <wp:anchor distT="0" distB="0" distL="114300" distR="114300" simplePos="0" relativeHeight="251659264" behindDoc="1" locked="0" layoutInCell="1" allowOverlap="1" wp14:anchorId="40379511" wp14:editId="1DE5AE4B">
            <wp:simplePos x="0" y="0"/>
            <wp:positionH relativeFrom="margin">
              <wp:posOffset>-46355</wp:posOffset>
            </wp:positionH>
            <wp:positionV relativeFrom="paragraph">
              <wp:posOffset>0</wp:posOffset>
            </wp:positionV>
            <wp:extent cx="5758815" cy="2799080"/>
            <wp:effectExtent l="0" t="0" r="0" b="1270"/>
            <wp:wrapTight wrapText="bothSides">
              <wp:wrapPolygon edited="0">
                <wp:start x="0" y="0"/>
                <wp:lineTo x="0" y="21463"/>
                <wp:lineTo x="21507" y="21463"/>
                <wp:lineTo x="21507" y="0"/>
                <wp:lineTo x="0" y="0"/>
              </wp:wrapPolygon>
            </wp:wrapTight>
            <wp:docPr id="2" name="Chart 2">
              <a:extLst xmlns:a="http://schemas.openxmlformats.org/drawingml/2006/main">
                <a:ext uri="{FF2B5EF4-FFF2-40B4-BE49-F238E27FC236}">
                  <a16:creationId xmlns:a16="http://schemas.microsoft.com/office/drawing/2014/main" id="{EAEF14A9-A878-4E12-973F-058566E5C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C1892" w:rsidRPr="00DC1892">
        <w:rPr>
          <w:rFonts w:ascii="Times New Roman" w:hAnsi="Times New Roman" w:cs="Times New Roman"/>
          <w:sz w:val="24"/>
          <w:szCs w:val="24"/>
        </w:rPr>
        <w:t>Fig</w:t>
      </w:r>
      <w:r w:rsidR="00DC1892">
        <w:rPr>
          <w:rFonts w:ascii="Times New Roman" w:hAnsi="Times New Roman" w:cs="Times New Roman"/>
          <w:sz w:val="24"/>
          <w:szCs w:val="24"/>
        </w:rPr>
        <w:t>ure</w:t>
      </w:r>
      <w:r w:rsidR="00DC1892" w:rsidRPr="00DC1892">
        <w:rPr>
          <w:rFonts w:ascii="Times New Roman" w:hAnsi="Times New Roman" w:cs="Times New Roman"/>
          <w:sz w:val="24"/>
          <w:szCs w:val="24"/>
        </w:rPr>
        <w:t xml:space="preserve"> 1</w:t>
      </w:r>
      <w:r w:rsidR="00DC1892">
        <w:rPr>
          <w:rFonts w:ascii="Times New Roman" w:hAnsi="Times New Roman" w:cs="Times New Roman"/>
          <w:sz w:val="24"/>
          <w:szCs w:val="24"/>
        </w:rPr>
        <w:t>.</w:t>
      </w:r>
      <w:r w:rsidR="00DC1892" w:rsidRPr="00E23443">
        <w:rPr>
          <w:rFonts w:ascii="Times New Roman" w:hAnsi="Times New Roman" w:cs="Times New Roman"/>
          <w:sz w:val="24"/>
          <w:szCs w:val="24"/>
        </w:rPr>
        <w:t xml:space="preserve"> Results of independent samples t-test for anxiety subscales scores</w:t>
      </w:r>
    </w:p>
    <w:p w14:paraId="210CCC00" w14:textId="636B8C98" w:rsidR="00AB2E38" w:rsidRPr="00DC1892" w:rsidRDefault="009255C1" w:rsidP="006D6C33">
      <w:pPr>
        <w:spacing w:after="0" w:line="480" w:lineRule="auto"/>
        <w:rPr>
          <w:rFonts w:ascii="Times New Roman" w:hAnsi="Times New Roman" w:cs="Times New Roman"/>
          <w:i/>
          <w:sz w:val="24"/>
          <w:szCs w:val="24"/>
        </w:rPr>
      </w:pPr>
      <w:proofErr w:type="spellStart"/>
      <w:r w:rsidRPr="00DC1892">
        <w:rPr>
          <w:rFonts w:ascii="Times New Roman" w:hAnsi="Times New Roman" w:cs="Times New Roman"/>
          <w:i/>
          <w:sz w:val="24"/>
          <w:szCs w:val="24"/>
        </w:rPr>
        <w:t>n.b</w:t>
      </w:r>
      <w:proofErr w:type="spellEnd"/>
      <w:r w:rsidRPr="00DC1892">
        <w:rPr>
          <w:rFonts w:ascii="Times New Roman" w:hAnsi="Times New Roman" w:cs="Times New Roman"/>
          <w:i/>
          <w:sz w:val="24"/>
          <w:szCs w:val="24"/>
        </w:rPr>
        <w:t xml:space="preserve"> ** p&lt;.001, * = p&lt;.005, ns = non-significant difference.</w:t>
      </w:r>
    </w:p>
    <w:p w14:paraId="58C18B51" w14:textId="5F7B2344" w:rsidR="00B069AA" w:rsidRDefault="006B448E" w:rsidP="006D6C33">
      <w:pPr>
        <w:rPr>
          <w:rFonts w:ascii="Times New Roman" w:hAnsi="Times New Roman" w:cs="Times New Roman"/>
          <w:sz w:val="24"/>
          <w:szCs w:val="24"/>
        </w:rPr>
      </w:pPr>
      <w:r w:rsidRPr="00DC1892">
        <w:rPr>
          <w:rFonts w:ascii="Times New Roman" w:hAnsi="Times New Roman" w:cs="Times New Roman"/>
          <w:noProof/>
          <w:sz w:val="24"/>
          <w:szCs w:val="24"/>
        </w:rPr>
        <w:drawing>
          <wp:anchor distT="0" distB="0" distL="114300" distR="114300" simplePos="0" relativeHeight="251661312" behindDoc="1" locked="0" layoutInCell="1" allowOverlap="1" wp14:anchorId="1FD70599" wp14:editId="4F16B4C0">
            <wp:simplePos x="0" y="0"/>
            <wp:positionH relativeFrom="margin">
              <wp:align>left</wp:align>
            </wp:positionH>
            <wp:positionV relativeFrom="paragraph">
              <wp:posOffset>181610</wp:posOffset>
            </wp:positionV>
            <wp:extent cx="5645785" cy="2551430"/>
            <wp:effectExtent l="0" t="0" r="0" b="1270"/>
            <wp:wrapTight wrapText="bothSides">
              <wp:wrapPolygon edited="0">
                <wp:start x="0" y="0"/>
                <wp:lineTo x="0" y="21449"/>
                <wp:lineTo x="21500" y="21449"/>
                <wp:lineTo x="21500" y="0"/>
                <wp:lineTo x="0" y="0"/>
              </wp:wrapPolygon>
            </wp:wrapTight>
            <wp:docPr id="1" name="Chart 1">
              <a:extLst xmlns:a="http://schemas.openxmlformats.org/drawingml/2006/main">
                <a:ext uri="{FF2B5EF4-FFF2-40B4-BE49-F238E27FC236}">
                  <a16:creationId xmlns:a16="http://schemas.microsoft.com/office/drawing/2014/main" id="{4DDBE0DB-C8F8-4071-B606-959BCD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D398F61" w14:textId="3515F5A3" w:rsidR="00DC1892" w:rsidRDefault="00DC1892" w:rsidP="006D6C33">
      <w:pPr>
        <w:rPr>
          <w:rFonts w:ascii="Times New Roman" w:hAnsi="Times New Roman" w:cs="Times New Roman"/>
          <w:sz w:val="24"/>
          <w:szCs w:val="24"/>
        </w:rPr>
      </w:pPr>
      <w:r>
        <w:rPr>
          <w:rFonts w:ascii="Times New Roman" w:hAnsi="Times New Roman" w:cs="Times New Roman"/>
          <w:sz w:val="24"/>
          <w:szCs w:val="24"/>
        </w:rPr>
        <w:t>F</w:t>
      </w:r>
      <w:r w:rsidRPr="00DC1892">
        <w:rPr>
          <w:rFonts w:ascii="Times New Roman" w:hAnsi="Times New Roman" w:cs="Times New Roman"/>
          <w:sz w:val="24"/>
          <w:szCs w:val="24"/>
        </w:rPr>
        <w:t>igure 2.</w:t>
      </w:r>
      <w:r w:rsidRPr="00E23443">
        <w:rPr>
          <w:rFonts w:ascii="Times New Roman" w:hAnsi="Times New Roman" w:cs="Times New Roman"/>
          <w:sz w:val="24"/>
          <w:szCs w:val="24"/>
        </w:rPr>
        <w:t xml:space="preserve"> Results of independent samples t-test for depression subscale scores</w:t>
      </w:r>
    </w:p>
    <w:p w14:paraId="70972866" w14:textId="1204CD02" w:rsidR="009255C1" w:rsidRPr="00DC1892" w:rsidRDefault="009255C1" w:rsidP="006D6C33">
      <w:pPr>
        <w:rPr>
          <w:rFonts w:ascii="Times New Roman" w:hAnsi="Times New Roman" w:cs="Times New Roman"/>
          <w:i/>
          <w:sz w:val="24"/>
          <w:szCs w:val="24"/>
        </w:rPr>
      </w:pPr>
      <w:proofErr w:type="spellStart"/>
      <w:r w:rsidRPr="00DC1892">
        <w:rPr>
          <w:rFonts w:ascii="Times New Roman" w:hAnsi="Times New Roman" w:cs="Times New Roman"/>
          <w:i/>
          <w:sz w:val="24"/>
          <w:szCs w:val="24"/>
        </w:rPr>
        <w:t>n.b</w:t>
      </w:r>
      <w:proofErr w:type="spellEnd"/>
      <w:r w:rsidRPr="00DC1892">
        <w:rPr>
          <w:rFonts w:ascii="Times New Roman" w:hAnsi="Times New Roman" w:cs="Times New Roman"/>
          <w:i/>
          <w:sz w:val="24"/>
          <w:szCs w:val="24"/>
        </w:rPr>
        <w:t xml:space="preserve"> ** p&lt;.001, ns = non-significant difference.</w:t>
      </w:r>
    </w:p>
    <w:p w14:paraId="429C0F82" w14:textId="77777777" w:rsidR="002872EC" w:rsidRPr="002872EC" w:rsidRDefault="002872EC" w:rsidP="002872EC">
      <w:pPr>
        <w:ind w:firstLine="720"/>
        <w:rPr>
          <w:rFonts w:ascii="Times New Roman" w:hAnsi="Times New Roman" w:cs="Times New Roman"/>
          <w:i/>
          <w:sz w:val="24"/>
          <w:szCs w:val="24"/>
        </w:rPr>
      </w:pPr>
    </w:p>
    <w:p w14:paraId="146E08BA" w14:textId="3888815F" w:rsidR="003925FA" w:rsidRPr="004E13ED" w:rsidRDefault="008C6EA5"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The results of these t-tests show that children of secondary school age showed significantly higher scores of anxiety (</w:t>
      </w:r>
      <w:r w:rsidRPr="004E13ED">
        <w:rPr>
          <w:rFonts w:ascii="Times New Roman" w:hAnsi="Times New Roman" w:cs="Times New Roman"/>
          <w:i/>
          <w:sz w:val="24"/>
          <w:szCs w:val="24"/>
        </w:rPr>
        <w:t>t</w:t>
      </w:r>
      <w:r w:rsidRPr="004E13ED">
        <w:rPr>
          <w:rFonts w:ascii="Times New Roman" w:hAnsi="Times New Roman" w:cs="Times New Roman"/>
          <w:sz w:val="24"/>
          <w:szCs w:val="24"/>
        </w:rPr>
        <w:t xml:space="preserve">(291) = -2.98, </w:t>
      </w:r>
      <w:r w:rsidRPr="004E13ED">
        <w:rPr>
          <w:rFonts w:ascii="Times New Roman" w:hAnsi="Times New Roman" w:cs="Times New Roman"/>
          <w:i/>
          <w:sz w:val="24"/>
          <w:szCs w:val="24"/>
        </w:rPr>
        <w:t>p</w:t>
      </w:r>
      <w:r w:rsidRPr="004E13ED">
        <w:rPr>
          <w:rFonts w:ascii="Times New Roman" w:hAnsi="Times New Roman" w:cs="Times New Roman"/>
          <w:sz w:val="24"/>
          <w:szCs w:val="24"/>
        </w:rPr>
        <w:t xml:space="preserve"> = .003) and depression (</w:t>
      </w:r>
      <w:r w:rsidRPr="004E13ED">
        <w:rPr>
          <w:rFonts w:ascii="Times New Roman" w:hAnsi="Times New Roman" w:cs="Times New Roman"/>
          <w:i/>
          <w:sz w:val="24"/>
          <w:szCs w:val="24"/>
        </w:rPr>
        <w:t>t</w:t>
      </w:r>
      <w:r w:rsidRPr="004E13ED">
        <w:rPr>
          <w:rFonts w:ascii="Times New Roman" w:hAnsi="Times New Roman" w:cs="Times New Roman"/>
          <w:sz w:val="24"/>
          <w:szCs w:val="24"/>
        </w:rPr>
        <w:t xml:space="preserve">(291) = -5.09, </w:t>
      </w:r>
      <w:r w:rsidRPr="004E13ED">
        <w:rPr>
          <w:rFonts w:ascii="Times New Roman" w:hAnsi="Times New Roman" w:cs="Times New Roman"/>
          <w:i/>
          <w:sz w:val="24"/>
          <w:szCs w:val="24"/>
        </w:rPr>
        <w:t>p</w:t>
      </w:r>
      <w:r w:rsidRPr="004E13ED">
        <w:rPr>
          <w:rFonts w:ascii="Times New Roman" w:hAnsi="Times New Roman" w:cs="Times New Roman"/>
          <w:sz w:val="24"/>
          <w:szCs w:val="24"/>
        </w:rPr>
        <w:t xml:space="preserve"> &lt; .001) on the RCAD</w:t>
      </w:r>
      <w:r w:rsidR="00D06624" w:rsidRPr="004E13ED">
        <w:rPr>
          <w:rFonts w:ascii="Times New Roman" w:hAnsi="Times New Roman" w:cs="Times New Roman"/>
          <w:sz w:val="24"/>
          <w:szCs w:val="24"/>
        </w:rPr>
        <w:t>S</w:t>
      </w:r>
      <w:r w:rsidRPr="004E13ED">
        <w:rPr>
          <w:rFonts w:ascii="Times New Roman" w:hAnsi="Times New Roman" w:cs="Times New Roman"/>
          <w:sz w:val="24"/>
          <w:szCs w:val="24"/>
        </w:rPr>
        <w:t xml:space="preserve"> when compared to children of primary age. A similar pattern </w:t>
      </w:r>
      <w:r w:rsidRPr="004E13ED">
        <w:rPr>
          <w:rFonts w:ascii="Times New Roman" w:hAnsi="Times New Roman" w:cs="Times New Roman"/>
          <w:sz w:val="24"/>
          <w:szCs w:val="24"/>
        </w:rPr>
        <w:lastRenderedPageBreak/>
        <w:t>was shown with</w:t>
      </w:r>
      <w:r w:rsidR="003A6B3E" w:rsidRPr="004E13ED">
        <w:rPr>
          <w:rFonts w:ascii="Times New Roman" w:hAnsi="Times New Roman" w:cs="Times New Roman"/>
          <w:sz w:val="24"/>
          <w:szCs w:val="24"/>
        </w:rPr>
        <w:t xml:space="preserve"> </w:t>
      </w:r>
      <w:r w:rsidR="003A6B3E">
        <w:rPr>
          <w:rFonts w:ascii="Times New Roman" w:hAnsi="Times New Roman" w:cs="Times New Roman"/>
          <w:sz w:val="24"/>
          <w:szCs w:val="24"/>
        </w:rPr>
        <w:t>sex (assigned at birth)</w:t>
      </w:r>
      <w:r w:rsidRPr="004E13ED">
        <w:rPr>
          <w:rFonts w:ascii="Times New Roman" w:hAnsi="Times New Roman" w:cs="Times New Roman"/>
          <w:sz w:val="24"/>
          <w:szCs w:val="24"/>
        </w:rPr>
        <w:t>, whereby females scored significantly higher than males for both anxiety (</w:t>
      </w:r>
      <w:r w:rsidRPr="004E13ED">
        <w:rPr>
          <w:rFonts w:ascii="Times New Roman" w:hAnsi="Times New Roman" w:cs="Times New Roman"/>
          <w:i/>
          <w:sz w:val="24"/>
          <w:szCs w:val="24"/>
        </w:rPr>
        <w:t>t</w:t>
      </w:r>
      <w:r w:rsidRPr="004E13ED">
        <w:rPr>
          <w:rFonts w:ascii="Times New Roman" w:hAnsi="Times New Roman" w:cs="Times New Roman"/>
          <w:sz w:val="24"/>
          <w:szCs w:val="24"/>
        </w:rPr>
        <w:t xml:space="preserve">(291) = -6.42, </w:t>
      </w:r>
      <w:r w:rsidRPr="004E13ED">
        <w:rPr>
          <w:rFonts w:ascii="Times New Roman" w:hAnsi="Times New Roman" w:cs="Times New Roman"/>
          <w:i/>
          <w:sz w:val="24"/>
          <w:szCs w:val="24"/>
        </w:rPr>
        <w:t>p</w:t>
      </w:r>
      <w:r w:rsidRPr="004E13ED">
        <w:rPr>
          <w:rFonts w:ascii="Times New Roman" w:hAnsi="Times New Roman" w:cs="Times New Roman"/>
          <w:sz w:val="24"/>
          <w:szCs w:val="24"/>
        </w:rPr>
        <w:t xml:space="preserve"> &lt; .001) and depression (</w:t>
      </w:r>
      <w:r w:rsidRPr="004E13ED">
        <w:rPr>
          <w:rFonts w:ascii="Times New Roman" w:hAnsi="Times New Roman" w:cs="Times New Roman"/>
          <w:i/>
          <w:sz w:val="24"/>
          <w:szCs w:val="24"/>
        </w:rPr>
        <w:t>t</w:t>
      </w:r>
      <w:r w:rsidRPr="004E13ED">
        <w:rPr>
          <w:rFonts w:ascii="Times New Roman" w:hAnsi="Times New Roman" w:cs="Times New Roman"/>
          <w:sz w:val="24"/>
          <w:szCs w:val="24"/>
        </w:rPr>
        <w:t xml:space="preserve">(291) = -6.13, </w:t>
      </w:r>
      <w:r w:rsidRPr="004E13ED">
        <w:rPr>
          <w:rFonts w:ascii="Times New Roman" w:hAnsi="Times New Roman" w:cs="Times New Roman"/>
          <w:i/>
          <w:sz w:val="24"/>
          <w:szCs w:val="24"/>
        </w:rPr>
        <w:t>p</w:t>
      </w:r>
      <w:r w:rsidRPr="004E13ED">
        <w:rPr>
          <w:rFonts w:ascii="Times New Roman" w:hAnsi="Times New Roman" w:cs="Times New Roman"/>
          <w:sz w:val="24"/>
          <w:szCs w:val="24"/>
        </w:rPr>
        <w:t xml:space="preserve"> &lt; .001). </w:t>
      </w:r>
      <w:r w:rsidR="002F6175" w:rsidRPr="004E13ED">
        <w:rPr>
          <w:rFonts w:ascii="Times New Roman" w:hAnsi="Times New Roman" w:cs="Times New Roman"/>
          <w:sz w:val="24"/>
          <w:szCs w:val="24"/>
        </w:rPr>
        <w:t>With regards to ethnicity</w:t>
      </w:r>
      <w:r w:rsidRPr="004E13ED">
        <w:rPr>
          <w:rFonts w:ascii="Times New Roman" w:hAnsi="Times New Roman" w:cs="Times New Roman"/>
          <w:sz w:val="24"/>
          <w:szCs w:val="24"/>
        </w:rPr>
        <w:t>, t</w:t>
      </w:r>
      <w:r w:rsidR="00BF1564" w:rsidRPr="004E13ED">
        <w:rPr>
          <w:rFonts w:ascii="Times New Roman" w:hAnsi="Times New Roman" w:cs="Times New Roman"/>
          <w:sz w:val="24"/>
          <w:szCs w:val="24"/>
        </w:rPr>
        <w:t xml:space="preserve">here was no significant difference in depression scores </w:t>
      </w:r>
      <w:r w:rsidRPr="004E13ED">
        <w:rPr>
          <w:rFonts w:ascii="Times New Roman" w:hAnsi="Times New Roman" w:cs="Times New Roman"/>
          <w:sz w:val="24"/>
          <w:szCs w:val="24"/>
        </w:rPr>
        <w:t>(</w:t>
      </w:r>
      <w:r w:rsidR="00BF1564" w:rsidRPr="004E13ED">
        <w:rPr>
          <w:rFonts w:ascii="Times New Roman" w:hAnsi="Times New Roman" w:cs="Times New Roman"/>
          <w:i/>
          <w:sz w:val="24"/>
          <w:szCs w:val="24"/>
        </w:rPr>
        <w:t>t</w:t>
      </w:r>
      <w:r w:rsidR="00BF1564" w:rsidRPr="004E13ED">
        <w:rPr>
          <w:rFonts w:ascii="Times New Roman" w:hAnsi="Times New Roman" w:cs="Times New Roman"/>
          <w:sz w:val="24"/>
          <w:szCs w:val="24"/>
        </w:rPr>
        <w:t xml:space="preserve">(291) = -0.152, </w:t>
      </w:r>
      <w:r w:rsidR="00BF1564" w:rsidRPr="004E13ED">
        <w:rPr>
          <w:rFonts w:ascii="Times New Roman" w:hAnsi="Times New Roman" w:cs="Times New Roman"/>
          <w:i/>
          <w:sz w:val="24"/>
          <w:szCs w:val="24"/>
        </w:rPr>
        <w:t>p</w:t>
      </w:r>
      <w:r w:rsidR="00BF1564" w:rsidRPr="004E13ED">
        <w:rPr>
          <w:rFonts w:ascii="Times New Roman" w:hAnsi="Times New Roman" w:cs="Times New Roman"/>
          <w:sz w:val="24"/>
          <w:szCs w:val="24"/>
        </w:rPr>
        <w:t xml:space="preserve"> = .879</w:t>
      </w:r>
      <w:r w:rsidRPr="004E13ED">
        <w:rPr>
          <w:rFonts w:ascii="Times New Roman" w:hAnsi="Times New Roman" w:cs="Times New Roman"/>
          <w:sz w:val="24"/>
          <w:szCs w:val="24"/>
        </w:rPr>
        <w:t>)</w:t>
      </w:r>
      <w:r w:rsidR="00BF1564" w:rsidRPr="004E13ED">
        <w:rPr>
          <w:rFonts w:ascii="Times New Roman" w:hAnsi="Times New Roman" w:cs="Times New Roman"/>
          <w:sz w:val="24"/>
          <w:szCs w:val="24"/>
        </w:rPr>
        <w:t xml:space="preserve"> or anxiety scores </w:t>
      </w:r>
      <w:r w:rsidRPr="004E13ED">
        <w:rPr>
          <w:rFonts w:ascii="Times New Roman" w:hAnsi="Times New Roman" w:cs="Times New Roman"/>
          <w:sz w:val="24"/>
          <w:szCs w:val="24"/>
        </w:rPr>
        <w:t>(</w:t>
      </w:r>
      <w:r w:rsidR="00BF1564" w:rsidRPr="004E13ED">
        <w:rPr>
          <w:rFonts w:ascii="Times New Roman" w:hAnsi="Times New Roman" w:cs="Times New Roman"/>
          <w:i/>
          <w:sz w:val="24"/>
          <w:szCs w:val="24"/>
        </w:rPr>
        <w:t>t</w:t>
      </w:r>
      <w:r w:rsidR="00BF1564" w:rsidRPr="004E13ED">
        <w:rPr>
          <w:rFonts w:ascii="Times New Roman" w:hAnsi="Times New Roman" w:cs="Times New Roman"/>
          <w:sz w:val="24"/>
          <w:szCs w:val="24"/>
        </w:rPr>
        <w:t xml:space="preserve">(291) = 0.99, </w:t>
      </w:r>
      <w:r w:rsidR="00BF1564" w:rsidRPr="004E13ED">
        <w:rPr>
          <w:rFonts w:ascii="Times New Roman" w:hAnsi="Times New Roman" w:cs="Times New Roman"/>
          <w:i/>
          <w:sz w:val="24"/>
          <w:szCs w:val="24"/>
        </w:rPr>
        <w:t>p</w:t>
      </w:r>
      <w:r w:rsidR="00BF1564" w:rsidRPr="004E13ED">
        <w:rPr>
          <w:rFonts w:ascii="Times New Roman" w:hAnsi="Times New Roman" w:cs="Times New Roman"/>
          <w:sz w:val="24"/>
          <w:szCs w:val="24"/>
        </w:rPr>
        <w:t xml:space="preserve"> = .321</w:t>
      </w:r>
      <w:r w:rsidRPr="004E13ED">
        <w:rPr>
          <w:rFonts w:ascii="Times New Roman" w:hAnsi="Times New Roman" w:cs="Times New Roman"/>
          <w:sz w:val="24"/>
          <w:szCs w:val="24"/>
        </w:rPr>
        <w:t>)</w:t>
      </w:r>
      <w:r w:rsidR="00BF1564" w:rsidRPr="004E13ED">
        <w:rPr>
          <w:rFonts w:ascii="Times New Roman" w:hAnsi="Times New Roman" w:cs="Times New Roman"/>
          <w:sz w:val="24"/>
          <w:szCs w:val="24"/>
        </w:rPr>
        <w:t xml:space="preserve"> between</w:t>
      </w:r>
      <w:r w:rsidR="002F6175" w:rsidRPr="004E13ED">
        <w:rPr>
          <w:rFonts w:ascii="Times New Roman" w:hAnsi="Times New Roman" w:cs="Times New Roman"/>
          <w:sz w:val="24"/>
          <w:szCs w:val="24"/>
        </w:rPr>
        <w:t xml:space="preserve"> children who belong to a White ethnic group compared to those who belong to a minority ethnic group</w:t>
      </w:r>
      <w:r w:rsidR="00BF1564" w:rsidRPr="004E13ED">
        <w:rPr>
          <w:rFonts w:ascii="Times New Roman" w:hAnsi="Times New Roman" w:cs="Times New Roman"/>
          <w:sz w:val="24"/>
          <w:szCs w:val="24"/>
        </w:rPr>
        <w:t xml:space="preserve">. </w:t>
      </w:r>
    </w:p>
    <w:p w14:paraId="30862CE1" w14:textId="6F154A12" w:rsidR="001D4C42" w:rsidRPr="004E13ED" w:rsidRDefault="001D4C42" w:rsidP="00A824E8">
      <w:pPr>
        <w:spacing w:after="0" w:line="480" w:lineRule="auto"/>
        <w:rPr>
          <w:rFonts w:ascii="Times New Roman" w:hAnsi="Times New Roman" w:cs="Times New Roman"/>
          <w:b/>
          <w:i/>
          <w:sz w:val="24"/>
          <w:szCs w:val="24"/>
        </w:rPr>
      </w:pPr>
      <w:r w:rsidRPr="004E13ED">
        <w:rPr>
          <w:rFonts w:ascii="Times New Roman" w:hAnsi="Times New Roman" w:cs="Times New Roman"/>
          <w:b/>
          <w:i/>
          <w:sz w:val="24"/>
          <w:szCs w:val="24"/>
        </w:rPr>
        <w:t>Research question 3: What proportion of those accepted meet the clinical thresholds for anxiety and depression on the RCAD</w:t>
      </w:r>
      <w:r w:rsidR="00D06624" w:rsidRPr="004E13ED">
        <w:rPr>
          <w:rFonts w:ascii="Times New Roman" w:hAnsi="Times New Roman" w:cs="Times New Roman"/>
          <w:b/>
          <w:i/>
          <w:sz w:val="24"/>
          <w:szCs w:val="24"/>
        </w:rPr>
        <w:t>S</w:t>
      </w:r>
      <w:r w:rsidRPr="004E13ED">
        <w:rPr>
          <w:rFonts w:ascii="Times New Roman" w:hAnsi="Times New Roman" w:cs="Times New Roman"/>
          <w:b/>
          <w:i/>
          <w:sz w:val="24"/>
          <w:szCs w:val="24"/>
        </w:rPr>
        <w:t>?</w:t>
      </w:r>
    </w:p>
    <w:p w14:paraId="5CFB25FD" w14:textId="3F34CBF3" w:rsidR="002872EC" w:rsidRPr="00E23443" w:rsidRDefault="001D4C42" w:rsidP="00805BC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The frequency and percentages of those who meet the </w:t>
      </w:r>
      <w:r w:rsidR="00E337B3">
        <w:rPr>
          <w:rFonts w:ascii="Times New Roman" w:hAnsi="Times New Roman" w:cs="Times New Roman"/>
          <w:sz w:val="24"/>
          <w:szCs w:val="24"/>
        </w:rPr>
        <w:t>below</w:t>
      </w:r>
      <w:r w:rsidRPr="004E13ED">
        <w:rPr>
          <w:rFonts w:ascii="Times New Roman" w:hAnsi="Times New Roman" w:cs="Times New Roman"/>
          <w:sz w:val="24"/>
          <w:szCs w:val="24"/>
        </w:rPr>
        <w:t>, borderline and clinical thresholds for young person and caregiver reported RCAD</w:t>
      </w:r>
      <w:r w:rsidR="00D06624" w:rsidRPr="004E13ED">
        <w:rPr>
          <w:rFonts w:ascii="Times New Roman" w:hAnsi="Times New Roman" w:cs="Times New Roman"/>
          <w:sz w:val="24"/>
          <w:szCs w:val="24"/>
        </w:rPr>
        <w:t>S</w:t>
      </w:r>
      <w:r w:rsidRPr="004E13ED">
        <w:rPr>
          <w:rFonts w:ascii="Times New Roman" w:hAnsi="Times New Roman" w:cs="Times New Roman"/>
          <w:sz w:val="24"/>
          <w:szCs w:val="24"/>
        </w:rPr>
        <w:t xml:space="preserve"> are shown in </w:t>
      </w:r>
      <w:r w:rsidR="00671E71" w:rsidRPr="004E13ED">
        <w:rPr>
          <w:rFonts w:ascii="Times New Roman" w:hAnsi="Times New Roman" w:cs="Times New Roman"/>
          <w:sz w:val="24"/>
          <w:szCs w:val="24"/>
        </w:rPr>
        <w:t>Table</w:t>
      </w:r>
      <w:r w:rsidRPr="004E13ED">
        <w:rPr>
          <w:rFonts w:ascii="Times New Roman" w:hAnsi="Times New Roman" w:cs="Times New Roman"/>
          <w:sz w:val="24"/>
          <w:szCs w:val="24"/>
        </w:rPr>
        <w:t xml:space="preserve"> </w:t>
      </w:r>
      <w:r w:rsidR="00671E71" w:rsidRPr="004E13ED">
        <w:rPr>
          <w:rFonts w:ascii="Times New Roman" w:hAnsi="Times New Roman" w:cs="Times New Roman"/>
          <w:sz w:val="24"/>
          <w:szCs w:val="24"/>
        </w:rPr>
        <w:t>3</w:t>
      </w:r>
      <w:r w:rsidRPr="004E13ED">
        <w:rPr>
          <w:rFonts w:ascii="Times New Roman" w:hAnsi="Times New Roman" w:cs="Times New Roman"/>
          <w:sz w:val="24"/>
          <w:szCs w:val="24"/>
        </w:rPr>
        <w:t xml:space="preserve"> and </w:t>
      </w:r>
      <w:r w:rsidR="00671E71" w:rsidRPr="004E13ED">
        <w:rPr>
          <w:rFonts w:ascii="Times New Roman" w:hAnsi="Times New Roman" w:cs="Times New Roman"/>
          <w:sz w:val="24"/>
          <w:szCs w:val="24"/>
        </w:rPr>
        <w:t>Table 4</w:t>
      </w:r>
      <w:r w:rsidRPr="004E13ED">
        <w:rPr>
          <w:rFonts w:ascii="Times New Roman" w:hAnsi="Times New Roman" w:cs="Times New Roman"/>
          <w:sz w:val="24"/>
          <w:szCs w:val="24"/>
        </w:rPr>
        <w:t xml:space="preserve">. These are shown for anxiety and depression t-scores as well as </w:t>
      </w:r>
      <w:r w:rsidR="00E337B3">
        <w:rPr>
          <w:rFonts w:ascii="Times New Roman" w:hAnsi="Times New Roman" w:cs="Times New Roman"/>
          <w:sz w:val="24"/>
          <w:szCs w:val="24"/>
        </w:rPr>
        <w:t>total internalising symptoms</w:t>
      </w:r>
      <w:r w:rsidRPr="004E13ED">
        <w:rPr>
          <w:rFonts w:ascii="Times New Roman" w:hAnsi="Times New Roman" w:cs="Times New Roman"/>
          <w:sz w:val="24"/>
          <w:szCs w:val="24"/>
        </w:rPr>
        <w:t xml:space="preserve"> t-score. </w:t>
      </w:r>
    </w:p>
    <w:tbl>
      <w:tblPr>
        <w:tblStyle w:val="TableGrid"/>
        <w:tblpPr w:leftFromText="180" w:rightFromText="180" w:vertAnchor="text" w:horzAnchor="margin" w:tblpY="40"/>
        <w:tblW w:w="9048" w:type="dxa"/>
        <w:tblBorders>
          <w:left w:val="none" w:sz="0" w:space="0" w:color="auto"/>
          <w:right w:val="none" w:sz="0" w:space="0" w:color="auto"/>
          <w:insideV w:val="none" w:sz="0" w:space="0" w:color="auto"/>
        </w:tblBorders>
        <w:tblLook w:val="04A0" w:firstRow="1" w:lastRow="0" w:firstColumn="1" w:lastColumn="0" w:noHBand="0" w:noVBand="1"/>
      </w:tblPr>
      <w:tblGrid>
        <w:gridCol w:w="2232"/>
        <w:gridCol w:w="1241"/>
        <w:gridCol w:w="1671"/>
        <w:gridCol w:w="2175"/>
        <w:gridCol w:w="1729"/>
      </w:tblGrid>
      <w:tr w:rsidR="006B448E" w:rsidRPr="004E13ED" w14:paraId="3B5D77E8" w14:textId="77777777" w:rsidTr="00664694">
        <w:trPr>
          <w:trHeight w:val="471"/>
        </w:trPr>
        <w:tc>
          <w:tcPr>
            <w:tcW w:w="9048" w:type="dxa"/>
            <w:gridSpan w:val="5"/>
          </w:tcPr>
          <w:p w14:paraId="0234B702" w14:textId="77777777" w:rsidR="006B448E" w:rsidRPr="004E13ED" w:rsidRDefault="006B448E" w:rsidP="00664694">
            <w:pPr>
              <w:jc w:val="center"/>
              <w:rPr>
                <w:rFonts w:ascii="Times New Roman" w:hAnsi="Times New Roman" w:cs="Times New Roman"/>
                <w:b/>
                <w:i/>
                <w:sz w:val="24"/>
                <w:szCs w:val="24"/>
              </w:rPr>
            </w:pPr>
            <w:r w:rsidRPr="004E13ED">
              <w:rPr>
                <w:rFonts w:ascii="Times New Roman" w:hAnsi="Times New Roman" w:cs="Times New Roman"/>
                <w:b/>
                <w:i/>
                <w:sz w:val="24"/>
                <w:szCs w:val="24"/>
              </w:rPr>
              <w:t>CYP</w:t>
            </w:r>
          </w:p>
        </w:tc>
      </w:tr>
      <w:tr w:rsidR="006B448E" w:rsidRPr="004E13ED" w14:paraId="77BF8598" w14:textId="77777777" w:rsidTr="00664694">
        <w:trPr>
          <w:trHeight w:val="471"/>
        </w:trPr>
        <w:tc>
          <w:tcPr>
            <w:tcW w:w="2232" w:type="dxa"/>
          </w:tcPr>
          <w:p w14:paraId="0BCDD142"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Measure</w:t>
            </w:r>
          </w:p>
        </w:tc>
        <w:tc>
          <w:tcPr>
            <w:tcW w:w="1241" w:type="dxa"/>
          </w:tcPr>
          <w:p w14:paraId="71E19083"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N</w:t>
            </w:r>
          </w:p>
        </w:tc>
        <w:tc>
          <w:tcPr>
            <w:tcW w:w="1671" w:type="dxa"/>
          </w:tcPr>
          <w:p w14:paraId="7571F2FD"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Below</w:t>
            </w:r>
          </w:p>
          <w:p w14:paraId="2F83C86D"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n (%)</w:t>
            </w:r>
          </w:p>
        </w:tc>
        <w:tc>
          <w:tcPr>
            <w:tcW w:w="2175" w:type="dxa"/>
          </w:tcPr>
          <w:p w14:paraId="6DACC274"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Borderline</w:t>
            </w:r>
          </w:p>
          <w:p w14:paraId="17ACD993"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n (%)</w:t>
            </w:r>
          </w:p>
        </w:tc>
        <w:tc>
          <w:tcPr>
            <w:tcW w:w="1729" w:type="dxa"/>
          </w:tcPr>
          <w:p w14:paraId="5D239293"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Clinical</w:t>
            </w:r>
          </w:p>
          <w:p w14:paraId="38BAF7C1"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n (%)</w:t>
            </w:r>
          </w:p>
        </w:tc>
      </w:tr>
      <w:tr w:rsidR="006B448E" w:rsidRPr="004E13ED" w14:paraId="10A43D6F" w14:textId="77777777" w:rsidTr="00664694">
        <w:trPr>
          <w:trHeight w:val="418"/>
        </w:trPr>
        <w:tc>
          <w:tcPr>
            <w:tcW w:w="2232" w:type="dxa"/>
            <w:shd w:val="clear" w:color="auto" w:fill="FFFFFF" w:themeFill="background1"/>
          </w:tcPr>
          <w:p w14:paraId="09751A4C" w14:textId="77777777" w:rsidR="006B448E" w:rsidRPr="004E13ED" w:rsidRDefault="006B448E" w:rsidP="00664694">
            <w:pPr>
              <w:rPr>
                <w:rFonts w:ascii="Times New Roman" w:hAnsi="Times New Roman" w:cs="Times New Roman"/>
                <w:b/>
                <w:sz w:val="24"/>
                <w:szCs w:val="24"/>
              </w:rPr>
            </w:pPr>
            <w:r w:rsidRPr="004E13ED">
              <w:rPr>
                <w:rFonts w:ascii="Times New Roman" w:hAnsi="Times New Roman" w:cs="Times New Roman"/>
                <w:b/>
                <w:sz w:val="24"/>
                <w:szCs w:val="24"/>
              </w:rPr>
              <w:t>RCADS (t-score)</w:t>
            </w:r>
          </w:p>
        </w:tc>
        <w:tc>
          <w:tcPr>
            <w:tcW w:w="1241" w:type="dxa"/>
            <w:shd w:val="clear" w:color="auto" w:fill="FFFFFF" w:themeFill="background1"/>
          </w:tcPr>
          <w:p w14:paraId="6C7E95AC" w14:textId="77777777" w:rsidR="006B448E" w:rsidRPr="004E13ED" w:rsidRDefault="006B448E" w:rsidP="00664694">
            <w:pPr>
              <w:rPr>
                <w:rFonts w:ascii="Times New Roman" w:hAnsi="Times New Roman" w:cs="Times New Roman"/>
                <w:b/>
                <w:sz w:val="24"/>
                <w:szCs w:val="24"/>
              </w:rPr>
            </w:pPr>
          </w:p>
        </w:tc>
        <w:tc>
          <w:tcPr>
            <w:tcW w:w="1671" w:type="dxa"/>
            <w:shd w:val="clear" w:color="auto" w:fill="FFFFFF" w:themeFill="background1"/>
          </w:tcPr>
          <w:p w14:paraId="4F40CCF0" w14:textId="77777777" w:rsidR="006B448E" w:rsidRPr="004E13ED" w:rsidRDefault="006B448E" w:rsidP="00664694">
            <w:pPr>
              <w:rPr>
                <w:rFonts w:ascii="Times New Roman" w:hAnsi="Times New Roman" w:cs="Times New Roman"/>
                <w:b/>
                <w:sz w:val="24"/>
                <w:szCs w:val="24"/>
              </w:rPr>
            </w:pPr>
          </w:p>
        </w:tc>
        <w:tc>
          <w:tcPr>
            <w:tcW w:w="2175" w:type="dxa"/>
            <w:shd w:val="clear" w:color="auto" w:fill="FFFFFF" w:themeFill="background1"/>
          </w:tcPr>
          <w:p w14:paraId="0402EAEF" w14:textId="77777777" w:rsidR="006B448E" w:rsidRPr="004E13ED" w:rsidRDefault="006B448E" w:rsidP="00664694">
            <w:pPr>
              <w:rPr>
                <w:rFonts w:ascii="Times New Roman" w:hAnsi="Times New Roman" w:cs="Times New Roman"/>
                <w:b/>
                <w:sz w:val="24"/>
                <w:szCs w:val="24"/>
              </w:rPr>
            </w:pPr>
          </w:p>
        </w:tc>
        <w:tc>
          <w:tcPr>
            <w:tcW w:w="1729" w:type="dxa"/>
            <w:shd w:val="clear" w:color="auto" w:fill="FFFFFF" w:themeFill="background1"/>
          </w:tcPr>
          <w:p w14:paraId="7EFB7AD5" w14:textId="77777777" w:rsidR="006B448E" w:rsidRPr="004E13ED" w:rsidRDefault="006B448E" w:rsidP="00664694">
            <w:pPr>
              <w:rPr>
                <w:rFonts w:ascii="Times New Roman" w:hAnsi="Times New Roman" w:cs="Times New Roman"/>
                <w:b/>
                <w:sz w:val="24"/>
                <w:szCs w:val="24"/>
              </w:rPr>
            </w:pPr>
          </w:p>
        </w:tc>
      </w:tr>
      <w:tr w:rsidR="006B448E" w:rsidRPr="004E13ED" w14:paraId="4A8BDE65" w14:textId="77777777" w:rsidTr="00664694">
        <w:trPr>
          <w:trHeight w:val="519"/>
        </w:trPr>
        <w:tc>
          <w:tcPr>
            <w:tcW w:w="2232" w:type="dxa"/>
          </w:tcPr>
          <w:p w14:paraId="07D58F23"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Total depression</w:t>
            </w:r>
          </w:p>
        </w:tc>
        <w:tc>
          <w:tcPr>
            <w:tcW w:w="1241" w:type="dxa"/>
          </w:tcPr>
          <w:p w14:paraId="26E0F3F4"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282</w:t>
            </w:r>
          </w:p>
        </w:tc>
        <w:tc>
          <w:tcPr>
            <w:tcW w:w="1671" w:type="dxa"/>
          </w:tcPr>
          <w:p w14:paraId="1EFBA0FF"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136 (40.2%)</w:t>
            </w:r>
          </w:p>
        </w:tc>
        <w:tc>
          <w:tcPr>
            <w:tcW w:w="2175" w:type="dxa"/>
          </w:tcPr>
          <w:p w14:paraId="365C29CF"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38 (11.2%)</w:t>
            </w:r>
          </w:p>
        </w:tc>
        <w:tc>
          <w:tcPr>
            <w:tcW w:w="1729" w:type="dxa"/>
          </w:tcPr>
          <w:p w14:paraId="08BCB581"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108 (38.3%)</w:t>
            </w:r>
          </w:p>
        </w:tc>
      </w:tr>
      <w:tr w:rsidR="006B448E" w:rsidRPr="004E13ED" w14:paraId="15A2EDA1" w14:textId="77777777" w:rsidTr="00664694">
        <w:trPr>
          <w:trHeight w:val="393"/>
        </w:trPr>
        <w:tc>
          <w:tcPr>
            <w:tcW w:w="2232" w:type="dxa"/>
          </w:tcPr>
          <w:p w14:paraId="72DF9BEF"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Total anxiety</w:t>
            </w:r>
          </w:p>
        </w:tc>
        <w:tc>
          <w:tcPr>
            <w:tcW w:w="1241" w:type="dxa"/>
          </w:tcPr>
          <w:p w14:paraId="076E1876"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281</w:t>
            </w:r>
          </w:p>
        </w:tc>
        <w:tc>
          <w:tcPr>
            <w:tcW w:w="1671" w:type="dxa"/>
          </w:tcPr>
          <w:p w14:paraId="25AD2B6E"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160 (56.9)</w:t>
            </w:r>
          </w:p>
        </w:tc>
        <w:tc>
          <w:tcPr>
            <w:tcW w:w="2175" w:type="dxa"/>
          </w:tcPr>
          <w:p w14:paraId="7F67D627"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32 (11.4)</w:t>
            </w:r>
          </w:p>
        </w:tc>
        <w:tc>
          <w:tcPr>
            <w:tcW w:w="1729" w:type="dxa"/>
          </w:tcPr>
          <w:p w14:paraId="4D8F830A"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89 (31.7)</w:t>
            </w:r>
          </w:p>
        </w:tc>
      </w:tr>
      <w:tr w:rsidR="006B448E" w:rsidRPr="004E13ED" w14:paraId="41EA2E11" w14:textId="77777777" w:rsidTr="00664694">
        <w:trPr>
          <w:trHeight w:val="520"/>
        </w:trPr>
        <w:tc>
          <w:tcPr>
            <w:tcW w:w="2232" w:type="dxa"/>
          </w:tcPr>
          <w:p w14:paraId="2682E88C"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Total internalising</w:t>
            </w:r>
          </w:p>
        </w:tc>
        <w:tc>
          <w:tcPr>
            <w:tcW w:w="1241" w:type="dxa"/>
          </w:tcPr>
          <w:p w14:paraId="071FF909"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281</w:t>
            </w:r>
          </w:p>
        </w:tc>
        <w:tc>
          <w:tcPr>
            <w:tcW w:w="1671" w:type="dxa"/>
          </w:tcPr>
          <w:p w14:paraId="70A18E41"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143 (50.9)</w:t>
            </w:r>
          </w:p>
        </w:tc>
        <w:tc>
          <w:tcPr>
            <w:tcW w:w="2175" w:type="dxa"/>
          </w:tcPr>
          <w:p w14:paraId="00DB5877"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33 (11.7)</w:t>
            </w:r>
          </w:p>
        </w:tc>
        <w:tc>
          <w:tcPr>
            <w:tcW w:w="1729" w:type="dxa"/>
          </w:tcPr>
          <w:p w14:paraId="79DD82A7"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105 (37.4)</w:t>
            </w:r>
          </w:p>
        </w:tc>
      </w:tr>
    </w:tbl>
    <w:p w14:paraId="4989E6C4" w14:textId="4A66B92E" w:rsidR="00DC1892" w:rsidRDefault="00DC1892" w:rsidP="000B78C8">
      <w:pPr>
        <w:rPr>
          <w:rFonts w:ascii="Times New Roman" w:hAnsi="Times New Roman" w:cs="Times New Roman"/>
          <w:i/>
          <w:sz w:val="24"/>
          <w:szCs w:val="24"/>
        </w:rPr>
      </w:pPr>
      <w:r w:rsidRPr="00E23443">
        <w:rPr>
          <w:rFonts w:ascii="Times New Roman" w:hAnsi="Times New Roman" w:cs="Times New Roman"/>
          <w:sz w:val="24"/>
          <w:szCs w:val="24"/>
        </w:rPr>
        <w:t>Table 3</w:t>
      </w:r>
      <w:r>
        <w:rPr>
          <w:rFonts w:ascii="Times New Roman" w:hAnsi="Times New Roman" w:cs="Times New Roman"/>
          <w:sz w:val="24"/>
          <w:szCs w:val="24"/>
        </w:rPr>
        <w:t>.</w:t>
      </w:r>
      <w:r w:rsidRPr="00E23443">
        <w:rPr>
          <w:rFonts w:ascii="Times New Roman" w:hAnsi="Times New Roman" w:cs="Times New Roman"/>
          <w:sz w:val="24"/>
          <w:szCs w:val="24"/>
        </w:rPr>
        <w:t xml:space="preserve"> Frequency and percentage of those who met the below, borderline and clinical thresholds, reported by children and young people</w:t>
      </w:r>
    </w:p>
    <w:p w14:paraId="188B9575" w14:textId="20AA8A21" w:rsidR="00534CB4" w:rsidRPr="00971455" w:rsidRDefault="00DC1892" w:rsidP="000B78C8">
      <w:pPr>
        <w:rPr>
          <w:rFonts w:ascii="Times New Roman" w:hAnsi="Times New Roman" w:cs="Times New Roman"/>
          <w:i/>
          <w:sz w:val="24"/>
          <w:szCs w:val="24"/>
        </w:rPr>
      </w:pPr>
      <w:proofErr w:type="spellStart"/>
      <w:r>
        <w:rPr>
          <w:rFonts w:ascii="Times New Roman" w:hAnsi="Times New Roman" w:cs="Times New Roman"/>
          <w:i/>
          <w:sz w:val="24"/>
          <w:szCs w:val="24"/>
        </w:rPr>
        <w:t>n.b</w:t>
      </w:r>
      <w:proofErr w:type="spellEnd"/>
      <w:r>
        <w:rPr>
          <w:rFonts w:ascii="Times New Roman" w:hAnsi="Times New Roman" w:cs="Times New Roman"/>
          <w:i/>
          <w:sz w:val="24"/>
          <w:szCs w:val="24"/>
        </w:rPr>
        <w:t xml:space="preserve"> </w:t>
      </w:r>
      <w:r w:rsidR="002872EC" w:rsidRPr="004E13ED">
        <w:rPr>
          <w:rFonts w:ascii="Times New Roman" w:hAnsi="Times New Roman" w:cs="Times New Roman"/>
          <w:i/>
          <w:sz w:val="24"/>
          <w:szCs w:val="24"/>
        </w:rPr>
        <w:t>RCADS t-scores ≥65 were categorised as within the borderline clinical range. Scores ≥70 met the clinical threshold.</w:t>
      </w:r>
    </w:p>
    <w:p w14:paraId="7385D14D" w14:textId="7B41F47E" w:rsidR="002872EC" w:rsidRPr="00E23443" w:rsidRDefault="002872EC" w:rsidP="000B78C8">
      <w:pPr>
        <w:rPr>
          <w:rFonts w:ascii="Times New Roman" w:hAnsi="Times New Roman" w:cs="Times New Roman"/>
          <w:sz w:val="24"/>
          <w:szCs w:val="24"/>
        </w:rPr>
      </w:pPr>
    </w:p>
    <w:tbl>
      <w:tblPr>
        <w:tblStyle w:val="TableGrid"/>
        <w:tblpPr w:leftFromText="180" w:rightFromText="180" w:vertAnchor="text" w:horzAnchor="margin" w:tblpY="-47"/>
        <w:tblW w:w="9036" w:type="dxa"/>
        <w:tblBorders>
          <w:left w:val="none" w:sz="0" w:space="0" w:color="auto"/>
          <w:right w:val="none" w:sz="0" w:space="0" w:color="auto"/>
          <w:insideV w:val="none" w:sz="0" w:space="0" w:color="auto"/>
        </w:tblBorders>
        <w:tblLook w:val="04A0" w:firstRow="1" w:lastRow="0" w:firstColumn="1" w:lastColumn="0" w:noHBand="0" w:noVBand="1"/>
      </w:tblPr>
      <w:tblGrid>
        <w:gridCol w:w="2214"/>
        <w:gridCol w:w="901"/>
        <w:gridCol w:w="1644"/>
        <w:gridCol w:w="1893"/>
        <w:gridCol w:w="2384"/>
      </w:tblGrid>
      <w:tr w:rsidR="006B448E" w:rsidRPr="004E13ED" w14:paraId="4E369E7E" w14:textId="77777777" w:rsidTr="00664694">
        <w:trPr>
          <w:trHeight w:val="390"/>
        </w:trPr>
        <w:tc>
          <w:tcPr>
            <w:tcW w:w="9036" w:type="dxa"/>
            <w:gridSpan w:val="5"/>
          </w:tcPr>
          <w:p w14:paraId="3F2A20BC" w14:textId="77777777" w:rsidR="006B448E" w:rsidRPr="004E13ED" w:rsidRDefault="006B448E" w:rsidP="00664694">
            <w:pPr>
              <w:jc w:val="center"/>
              <w:rPr>
                <w:rFonts w:ascii="Times New Roman" w:hAnsi="Times New Roman" w:cs="Times New Roman"/>
                <w:sz w:val="24"/>
                <w:szCs w:val="24"/>
              </w:rPr>
            </w:pPr>
            <w:r w:rsidRPr="004E13ED">
              <w:rPr>
                <w:rFonts w:ascii="Times New Roman" w:hAnsi="Times New Roman" w:cs="Times New Roman"/>
                <w:b/>
                <w:i/>
                <w:sz w:val="24"/>
                <w:szCs w:val="24"/>
              </w:rPr>
              <w:lastRenderedPageBreak/>
              <w:t>Parent</w:t>
            </w:r>
          </w:p>
        </w:tc>
      </w:tr>
      <w:tr w:rsidR="006B448E" w:rsidRPr="004E13ED" w14:paraId="109FC347" w14:textId="77777777" w:rsidTr="00664694">
        <w:trPr>
          <w:trHeight w:val="642"/>
        </w:trPr>
        <w:tc>
          <w:tcPr>
            <w:tcW w:w="2214" w:type="dxa"/>
          </w:tcPr>
          <w:p w14:paraId="206B2B95"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Measure</w:t>
            </w:r>
          </w:p>
        </w:tc>
        <w:tc>
          <w:tcPr>
            <w:tcW w:w="901" w:type="dxa"/>
          </w:tcPr>
          <w:p w14:paraId="4A73A482"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b/>
                <w:i/>
                <w:sz w:val="24"/>
                <w:szCs w:val="24"/>
              </w:rPr>
              <w:t>N</w:t>
            </w:r>
          </w:p>
        </w:tc>
        <w:tc>
          <w:tcPr>
            <w:tcW w:w="1644" w:type="dxa"/>
          </w:tcPr>
          <w:p w14:paraId="517ADD9A"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Below</w:t>
            </w:r>
          </w:p>
          <w:p w14:paraId="719436A2"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b/>
                <w:i/>
                <w:sz w:val="24"/>
                <w:szCs w:val="24"/>
              </w:rPr>
              <w:t>n (%)</w:t>
            </w:r>
          </w:p>
        </w:tc>
        <w:tc>
          <w:tcPr>
            <w:tcW w:w="1893" w:type="dxa"/>
          </w:tcPr>
          <w:p w14:paraId="5E00CEF3"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Borderline</w:t>
            </w:r>
          </w:p>
          <w:p w14:paraId="601021E8"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b/>
                <w:i/>
                <w:sz w:val="24"/>
                <w:szCs w:val="24"/>
              </w:rPr>
              <w:t>n (%)</w:t>
            </w:r>
          </w:p>
        </w:tc>
        <w:tc>
          <w:tcPr>
            <w:tcW w:w="2384" w:type="dxa"/>
          </w:tcPr>
          <w:p w14:paraId="65F1B51E" w14:textId="77777777" w:rsidR="006B448E" w:rsidRPr="004E13ED" w:rsidRDefault="006B448E" w:rsidP="00664694">
            <w:pPr>
              <w:rPr>
                <w:rFonts w:ascii="Times New Roman" w:hAnsi="Times New Roman" w:cs="Times New Roman"/>
                <w:b/>
                <w:i/>
                <w:sz w:val="24"/>
                <w:szCs w:val="24"/>
              </w:rPr>
            </w:pPr>
            <w:r w:rsidRPr="004E13ED">
              <w:rPr>
                <w:rFonts w:ascii="Times New Roman" w:hAnsi="Times New Roman" w:cs="Times New Roman"/>
                <w:b/>
                <w:i/>
                <w:sz w:val="24"/>
                <w:szCs w:val="24"/>
              </w:rPr>
              <w:t>Clinical</w:t>
            </w:r>
          </w:p>
          <w:p w14:paraId="04BE3910"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b/>
                <w:i/>
                <w:sz w:val="24"/>
                <w:szCs w:val="24"/>
              </w:rPr>
              <w:t>n (%)</w:t>
            </w:r>
          </w:p>
        </w:tc>
      </w:tr>
      <w:tr w:rsidR="006B448E" w:rsidRPr="004E13ED" w14:paraId="6761590C" w14:textId="77777777" w:rsidTr="00664694">
        <w:trPr>
          <w:trHeight w:val="390"/>
        </w:trPr>
        <w:tc>
          <w:tcPr>
            <w:tcW w:w="9036" w:type="dxa"/>
            <w:gridSpan w:val="5"/>
            <w:shd w:val="clear" w:color="auto" w:fill="FFFFFF" w:themeFill="background1"/>
          </w:tcPr>
          <w:p w14:paraId="5C133190"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b/>
                <w:sz w:val="24"/>
                <w:szCs w:val="24"/>
              </w:rPr>
              <w:t>RCADS (t-score)</w:t>
            </w:r>
          </w:p>
        </w:tc>
      </w:tr>
      <w:tr w:rsidR="006B448E" w:rsidRPr="004E13ED" w14:paraId="68FBFCAE" w14:textId="77777777" w:rsidTr="00664694">
        <w:trPr>
          <w:trHeight w:val="368"/>
        </w:trPr>
        <w:tc>
          <w:tcPr>
            <w:tcW w:w="2214" w:type="dxa"/>
          </w:tcPr>
          <w:p w14:paraId="1CA2053E"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Total depression</w:t>
            </w:r>
          </w:p>
        </w:tc>
        <w:tc>
          <w:tcPr>
            <w:tcW w:w="901" w:type="dxa"/>
          </w:tcPr>
          <w:p w14:paraId="0EAFD3DF"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161</w:t>
            </w:r>
          </w:p>
        </w:tc>
        <w:tc>
          <w:tcPr>
            <w:tcW w:w="1644" w:type="dxa"/>
          </w:tcPr>
          <w:p w14:paraId="0A5FDC45"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63 (39.1%)</w:t>
            </w:r>
          </w:p>
        </w:tc>
        <w:tc>
          <w:tcPr>
            <w:tcW w:w="1893" w:type="dxa"/>
          </w:tcPr>
          <w:p w14:paraId="1A91F6C5"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23 (14.3%)</w:t>
            </w:r>
          </w:p>
        </w:tc>
        <w:tc>
          <w:tcPr>
            <w:tcW w:w="2384" w:type="dxa"/>
          </w:tcPr>
          <w:p w14:paraId="6CB4A3C7"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75 (46.6%)</w:t>
            </w:r>
          </w:p>
        </w:tc>
      </w:tr>
      <w:tr w:rsidR="006B448E" w:rsidRPr="004E13ED" w14:paraId="2045CB3D" w14:textId="77777777" w:rsidTr="00664694">
        <w:trPr>
          <w:trHeight w:val="390"/>
        </w:trPr>
        <w:tc>
          <w:tcPr>
            <w:tcW w:w="2214" w:type="dxa"/>
          </w:tcPr>
          <w:p w14:paraId="261994ED"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Total anxiety</w:t>
            </w:r>
          </w:p>
        </w:tc>
        <w:tc>
          <w:tcPr>
            <w:tcW w:w="901" w:type="dxa"/>
          </w:tcPr>
          <w:p w14:paraId="3E730949"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158</w:t>
            </w:r>
          </w:p>
        </w:tc>
        <w:tc>
          <w:tcPr>
            <w:tcW w:w="1644" w:type="dxa"/>
          </w:tcPr>
          <w:p w14:paraId="5E381068"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53 (33.5)</w:t>
            </w:r>
          </w:p>
        </w:tc>
        <w:tc>
          <w:tcPr>
            <w:tcW w:w="1893" w:type="dxa"/>
          </w:tcPr>
          <w:p w14:paraId="27DA4C49"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19 (12)</w:t>
            </w:r>
          </w:p>
        </w:tc>
        <w:tc>
          <w:tcPr>
            <w:tcW w:w="2384" w:type="dxa"/>
          </w:tcPr>
          <w:p w14:paraId="7CAD5293"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86 (54.4)</w:t>
            </w:r>
          </w:p>
        </w:tc>
      </w:tr>
      <w:tr w:rsidR="006B448E" w:rsidRPr="004E13ED" w14:paraId="29622925" w14:textId="77777777" w:rsidTr="00664694">
        <w:trPr>
          <w:trHeight w:val="504"/>
        </w:trPr>
        <w:tc>
          <w:tcPr>
            <w:tcW w:w="2214" w:type="dxa"/>
          </w:tcPr>
          <w:p w14:paraId="3092A420"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Total internalising</w:t>
            </w:r>
          </w:p>
        </w:tc>
        <w:tc>
          <w:tcPr>
            <w:tcW w:w="901" w:type="dxa"/>
          </w:tcPr>
          <w:p w14:paraId="04AF259D"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158</w:t>
            </w:r>
          </w:p>
        </w:tc>
        <w:tc>
          <w:tcPr>
            <w:tcW w:w="1644" w:type="dxa"/>
          </w:tcPr>
          <w:p w14:paraId="4E429E2C"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50 (31.6)</w:t>
            </w:r>
          </w:p>
        </w:tc>
        <w:tc>
          <w:tcPr>
            <w:tcW w:w="1893" w:type="dxa"/>
          </w:tcPr>
          <w:p w14:paraId="6CBAE947"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16 (10.1)</w:t>
            </w:r>
          </w:p>
        </w:tc>
        <w:tc>
          <w:tcPr>
            <w:tcW w:w="2384" w:type="dxa"/>
          </w:tcPr>
          <w:p w14:paraId="59944D31" w14:textId="77777777" w:rsidR="006B448E" w:rsidRPr="004E13ED" w:rsidRDefault="006B448E" w:rsidP="00664694">
            <w:pPr>
              <w:rPr>
                <w:rFonts w:ascii="Times New Roman" w:hAnsi="Times New Roman" w:cs="Times New Roman"/>
                <w:sz w:val="24"/>
                <w:szCs w:val="24"/>
              </w:rPr>
            </w:pPr>
            <w:r w:rsidRPr="004E13ED">
              <w:rPr>
                <w:rFonts w:ascii="Times New Roman" w:hAnsi="Times New Roman" w:cs="Times New Roman"/>
                <w:sz w:val="24"/>
                <w:szCs w:val="24"/>
              </w:rPr>
              <w:t>92 (58.2)</w:t>
            </w:r>
          </w:p>
        </w:tc>
      </w:tr>
    </w:tbl>
    <w:p w14:paraId="28CC6DBD" w14:textId="2C4D8BBF" w:rsidR="00DC1892" w:rsidRDefault="00DC1892" w:rsidP="000B78C8">
      <w:pPr>
        <w:rPr>
          <w:rFonts w:ascii="Times New Roman" w:hAnsi="Times New Roman" w:cs="Times New Roman"/>
          <w:i/>
          <w:sz w:val="24"/>
          <w:szCs w:val="24"/>
        </w:rPr>
      </w:pPr>
      <w:r w:rsidRPr="00E23443">
        <w:rPr>
          <w:rFonts w:ascii="Times New Roman" w:hAnsi="Times New Roman" w:cs="Times New Roman"/>
          <w:sz w:val="24"/>
          <w:szCs w:val="24"/>
        </w:rPr>
        <w:t>Table 4</w:t>
      </w:r>
      <w:r>
        <w:rPr>
          <w:rFonts w:ascii="Times New Roman" w:hAnsi="Times New Roman" w:cs="Times New Roman"/>
          <w:sz w:val="24"/>
          <w:szCs w:val="24"/>
        </w:rPr>
        <w:t xml:space="preserve">. </w:t>
      </w:r>
      <w:r w:rsidRPr="00E23443">
        <w:rPr>
          <w:rFonts w:ascii="Times New Roman" w:hAnsi="Times New Roman" w:cs="Times New Roman"/>
          <w:sz w:val="24"/>
          <w:szCs w:val="24"/>
        </w:rPr>
        <w:t>Frequency and percentage of those who met the below, borderline and clinical thresholds, reported by parents and carers</w:t>
      </w:r>
    </w:p>
    <w:p w14:paraId="2BFA310F" w14:textId="09EE9E05" w:rsidR="002872EC" w:rsidRDefault="00DC1892" w:rsidP="000B78C8">
      <w:pPr>
        <w:rPr>
          <w:rFonts w:ascii="Times New Roman" w:hAnsi="Times New Roman" w:cs="Times New Roman"/>
          <w:i/>
          <w:sz w:val="24"/>
          <w:szCs w:val="24"/>
        </w:rPr>
      </w:pPr>
      <w:proofErr w:type="spellStart"/>
      <w:r>
        <w:rPr>
          <w:rFonts w:ascii="Times New Roman" w:hAnsi="Times New Roman" w:cs="Times New Roman"/>
          <w:i/>
          <w:sz w:val="24"/>
          <w:szCs w:val="24"/>
        </w:rPr>
        <w:t>n.b</w:t>
      </w:r>
      <w:proofErr w:type="spellEnd"/>
      <w:r>
        <w:rPr>
          <w:rFonts w:ascii="Times New Roman" w:hAnsi="Times New Roman" w:cs="Times New Roman"/>
          <w:i/>
          <w:sz w:val="24"/>
          <w:szCs w:val="24"/>
        </w:rPr>
        <w:t xml:space="preserve"> </w:t>
      </w:r>
      <w:r w:rsidR="002872EC" w:rsidRPr="004E13ED">
        <w:rPr>
          <w:rFonts w:ascii="Times New Roman" w:hAnsi="Times New Roman" w:cs="Times New Roman"/>
          <w:i/>
          <w:sz w:val="24"/>
          <w:szCs w:val="24"/>
        </w:rPr>
        <w:t xml:space="preserve">RCADS t-scores ≥65 were categorised as within the borderline clinical range. Scores ≥70 met the clinical threshold. </w:t>
      </w:r>
    </w:p>
    <w:p w14:paraId="01BD7FFC" w14:textId="77777777" w:rsidR="006B448E" w:rsidRPr="002872EC" w:rsidRDefault="006B448E" w:rsidP="000B78C8">
      <w:pPr>
        <w:rPr>
          <w:rFonts w:ascii="Times New Roman" w:hAnsi="Times New Roman" w:cs="Times New Roman"/>
          <w:i/>
          <w:sz w:val="24"/>
          <w:szCs w:val="24"/>
        </w:rPr>
      </w:pPr>
    </w:p>
    <w:p w14:paraId="5C8D3DD6" w14:textId="1AC17355" w:rsidR="001D4C42" w:rsidRPr="004E13ED" w:rsidRDefault="001D4C42"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F</w:t>
      </w:r>
      <w:r w:rsidR="00E337B3">
        <w:rPr>
          <w:rFonts w:ascii="Times New Roman" w:hAnsi="Times New Roman" w:cs="Times New Roman"/>
          <w:sz w:val="24"/>
          <w:szCs w:val="24"/>
        </w:rPr>
        <w:t>or</w:t>
      </w:r>
      <w:r w:rsidRPr="004E13ED">
        <w:rPr>
          <w:rFonts w:ascii="Times New Roman" w:hAnsi="Times New Roman" w:cs="Times New Roman"/>
          <w:sz w:val="24"/>
          <w:szCs w:val="24"/>
        </w:rPr>
        <w:t xml:space="preserve"> </w:t>
      </w:r>
      <w:r w:rsidR="00E337B3">
        <w:rPr>
          <w:rFonts w:ascii="Times New Roman" w:hAnsi="Times New Roman" w:cs="Times New Roman"/>
          <w:sz w:val="24"/>
          <w:szCs w:val="24"/>
        </w:rPr>
        <w:t xml:space="preserve">CYP reported difficulties, </w:t>
      </w:r>
      <w:r w:rsidRPr="004E13ED">
        <w:rPr>
          <w:rFonts w:ascii="Times New Roman" w:hAnsi="Times New Roman" w:cs="Times New Roman"/>
          <w:sz w:val="24"/>
          <w:szCs w:val="24"/>
        </w:rPr>
        <w:t xml:space="preserve">the </w:t>
      </w:r>
      <w:r w:rsidR="00E337B3">
        <w:rPr>
          <w:rFonts w:ascii="Times New Roman" w:hAnsi="Times New Roman" w:cs="Times New Roman"/>
          <w:sz w:val="24"/>
          <w:szCs w:val="24"/>
        </w:rPr>
        <w:t>majority</w:t>
      </w:r>
      <w:r w:rsidRPr="004E13ED">
        <w:rPr>
          <w:rFonts w:ascii="Times New Roman" w:hAnsi="Times New Roman" w:cs="Times New Roman"/>
          <w:sz w:val="24"/>
          <w:szCs w:val="24"/>
        </w:rPr>
        <w:t xml:space="preserve"> of scores </w:t>
      </w:r>
      <w:r w:rsidR="00E337B3">
        <w:rPr>
          <w:rFonts w:ascii="Times New Roman" w:hAnsi="Times New Roman" w:cs="Times New Roman"/>
          <w:sz w:val="24"/>
          <w:szCs w:val="24"/>
        </w:rPr>
        <w:t>did not me</w:t>
      </w:r>
      <w:r w:rsidR="00311A7E">
        <w:rPr>
          <w:rFonts w:ascii="Times New Roman" w:hAnsi="Times New Roman" w:cs="Times New Roman"/>
          <w:sz w:val="24"/>
          <w:szCs w:val="24"/>
        </w:rPr>
        <w:t>e</w:t>
      </w:r>
      <w:r w:rsidR="00E337B3">
        <w:rPr>
          <w:rFonts w:ascii="Times New Roman" w:hAnsi="Times New Roman" w:cs="Times New Roman"/>
          <w:sz w:val="24"/>
          <w:szCs w:val="24"/>
        </w:rPr>
        <w:t xml:space="preserve">t the clinical threshold for </w:t>
      </w:r>
      <w:r w:rsidRPr="004E13ED">
        <w:rPr>
          <w:rFonts w:ascii="Times New Roman" w:hAnsi="Times New Roman" w:cs="Times New Roman"/>
          <w:sz w:val="24"/>
          <w:szCs w:val="24"/>
        </w:rPr>
        <w:t xml:space="preserve">anxiety, depression </w:t>
      </w:r>
      <w:r w:rsidR="00E337B3">
        <w:rPr>
          <w:rFonts w:ascii="Times New Roman" w:hAnsi="Times New Roman" w:cs="Times New Roman"/>
          <w:sz w:val="24"/>
          <w:szCs w:val="24"/>
        </w:rPr>
        <w:t>or</w:t>
      </w:r>
      <w:r w:rsidRPr="004E13ED">
        <w:rPr>
          <w:rFonts w:ascii="Times New Roman" w:hAnsi="Times New Roman" w:cs="Times New Roman"/>
          <w:sz w:val="24"/>
          <w:szCs w:val="24"/>
        </w:rPr>
        <w:t xml:space="preserve"> </w:t>
      </w:r>
      <w:r w:rsidR="00E337B3">
        <w:rPr>
          <w:rFonts w:ascii="Times New Roman" w:hAnsi="Times New Roman" w:cs="Times New Roman"/>
          <w:sz w:val="24"/>
          <w:szCs w:val="24"/>
        </w:rPr>
        <w:t xml:space="preserve">total internalising symptoms, i.e. fell below or borderline of the clinical threshold. </w:t>
      </w:r>
      <w:r w:rsidRPr="004E13ED">
        <w:rPr>
          <w:rFonts w:ascii="Times New Roman" w:hAnsi="Times New Roman" w:cs="Times New Roman"/>
          <w:sz w:val="24"/>
          <w:szCs w:val="24"/>
        </w:rPr>
        <w:t xml:space="preserve">However, </w:t>
      </w:r>
      <w:r w:rsidR="00E337B3">
        <w:rPr>
          <w:rFonts w:ascii="Times New Roman" w:hAnsi="Times New Roman" w:cs="Times New Roman"/>
          <w:sz w:val="24"/>
          <w:szCs w:val="24"/>
        </w:rPr>
        <w:t>for</w:t>
      </w:r>
      <w:r w:rsidRPr="004E13ED">
        <w:rPr>
          <w:rFonts w:ascii="Times New Roman" w:hAnsi="Times New Roman" w:cs="Times New Roman"/>
          <w:sz w:val="24"/>
          <w:szCs w:val="24"/>
        </w:rPr>
        <w:t xml:space="preserve"> caregiver</w:t>
      </w:r>
      <w:r w:rsidR="00E337B3">
        <w:rPr>
          <w:rFonts w:ascii="Times New Roman" w:hAnsi="Times New Roman" w:cs="Times New Roman"/>
          <w:sz w:val="24"/>
          <w:szCs w:val="24"/>
        </w:rPr>
        <w:t>-</w:t>
      </w:r>
      <w:r w:rsidRPr="004E13ED">
        <w:rPr>
          <w:rFonts w:ascii="Times New Roman" w:hAnsi="Times New Roman" w:cs="Times New Roman"/>
          <w:sz w:val="24"/>
          <w:szCs w:val="24"/>
        </w:rPr>
        <w:t>reported</w:t>
      </w:r>
      <w:r w:rsidR="00E337B3">
        <w:rPr>
          <w:rFonts w:ascii="Times New Roman" w:hAnsi="Times New Roman" w:cs="Times New Roman"/>
          <w:sz w:val="24"/>
          <w:szCs w:val="24"/>
        </w:rPr>
        <w:t xml:space="preserve"> CYP difficulties</w:t>
      </w:r>
      <w:r w:rsidRPr="004E13ED">
        <w:rPr>
          <w:rFonts w:ascii="Times New Roman" w:hAnsi="Times New Roman" w:cs="Times New Roman"/>
          <w:sz w:val="24"/>
          <w:szCs w:val="24"/>
        </w:rPr>
        <w:t xml:space="preserve">, the </w:t>
      </w:r>
      <w:r w:rsidR="007E3D35">
        <w:rPr>
          <w:rFonts w:ascii="Times New Roman" w:hAnsi="Times New Roman" w:cs="Times New Roman"/>
          <w:sz w:val="24"/>
          <w:szCs w:val="24"/>
        </w:rPr>
        <w:t>majority of scores met the clinical threshold for anxiety and overall internalising</w:t>
      </w:r>
      <w:r w:rsidR="00413177">
        <w:rPr>
          <w:rFonts w:ascii="Times New Roman" w:hAnsi="Times New Roman" w:cs="Times New Roman"/>
          <w:sz w:val="24"/>
          <w:szCs w:val="24"/>
        </w:rPr>
        <w:t xml:space="preserve"> symptoms, but not</w:t>
      </w:r>
      <w:r w:rsidR="007E3D35">
        <w:rPr>
          <w:rFonts w:ascii="Times New Roman" w:hAnsi="Times New Roman" w:cs="Times New Roman"/>
          <w:sz w:val="24"/>
          <w:szCs w:val="24"/>
        </w:rPr>
        <w:t xml:space="preserve"> depression, </w:t>
      </w:r>
      <w:r w:rsidR="00413177">
        <w:rPr>
          <w:rFonts w:ascii="Times New Roman" w:hAnsi="Times New Roman" w:cs="Times New Roman"/>
          <w:sz w:val="24"/>
          <w:szCs w:val="24"/>
        </w:rPr>
        <w:t>w</w:t>
      </w:r>
      <w:r w:rsidR="00704EB1">
        <w:rPr>
          <w:rFonts w:ascii="Times New Roman" w:hAnsi="Times New Roman" w:cs="Times New Roman"/>
          <w:sz w:val="24"/>
          <w:szCs w:val="24"/>
        </w:rPr>
        <w:t>hereby</w:t>
      </w:r>
      <w:r w:rsidR="007E3D35">
        <w:rPr>
          <w:rFonts w:ascii="Times New Roman" w:hAnsi="Times New Roman" w:cs="Times New Roman"/>
          <w:sz w:val="24"/>
          <w:szCs w:val="24"/>
        </w:rPr>
        <w:t xml:space="preserve"> the majority of scores </w:t>
      </w:r>
      <w:r w:rsidR="00413177">
        <w:rPr>
          <w:rFonts w:ascii="Times New Roman" w:hAnsi="Times New Roman" w:cs="Times New Roman"/>
          <w:sz w:val="24"/>
          <w:szCs w:val="24"/>
        </w:rPr>
        <w:t>f</w:t>
      </w:r>
      <w:r w:rsidR="00F54BC3">
        <w:rPr>
          <w:rFonts w:ascii="Times New Roman" w:hAnsi="Times New Roman" w:cs="Times New Roman"/>
          <w:sz w:val="24"/>
          <w:szCs w:val="24"/>
        </w:rPr>
        <w:t>ell</w:t>
      </w:r>
      <w:r w:rsidR="00413177">
        <w:rPr>
          <w:rFonts w:ascii="Times New Roman" w:hAnsi="Times New Roman" w:cs="Times New Roman"/>
          <w:sz w:val="24"/>
          <w:szCs w:val="24"/>
        </w:rPr>
        <w:t xml:space="preserve"> within the below or borderline clinical range. </w:t>
      </w:r>
      <w:r w:rsidR="00291F71" w:rsidRPr="004E13ED">
        <w:rPr>
          <w:rFonts w:ascii="Times New Roman" w:hAnsi="Times New Roman" w:cs="Times New Roman"/>
          <w:sz w:val="24"/>
          <w:szCs w:val="24"/>
        </w:rPr>
        <w:t xml:space="preserve"> </w:t>
      </w:r>
    </w:p>
    <w:p w14:paraId="139CE898" w14:textId="77777777" w:rsidR="00971455" w:rsidRDefault="00971455" w:rsidP="00A824E8">
      <w:pPr>
        <w:spacing w:after="0" w:line="480" w:lineRule="auto"/>
        <w:rPr>
          <w:rFonts w:ascii="Times New Roman" w:hAnsi="Times New Roman" w:cs="Times New Roman"/>
          <w:b/>
          <w:sz w:val="24"/>
          <w:szCs w:val="24"/>
        </w:rPr>
      </w:pPr>
    </w:p>
    <w:p w14:paraId="76CCC590" w14:textId="4981CCDC" w:rsidR="00B52F5A" w:rsidRPr="00CA4C00" w:rsidRDefault="008C390C" w:rsidP="00A824E8">
      <w:pPr>
        <w:spacing w:after="0" w:line="480" w:lineRule="auto"/>
        <w:rPr>
          <w:rFonts w:ascii="Times New Roman" w:hAnsi="Times New Roman" w:cs="Times New Roman"/>
          <w:b/>
          <w:sz w:val="24"/>
          <w:szCs w:val="24"/>
        </w:rPr>
      </w:pPr>
      <w:r w:rsidRPr="00CA4C00">
        <w:rPr>
          <w:rFonts w:ascii="Times New Roman" w:hAnsi="Times New Roman" w:cs="Times New Roman"/>
          <w:b/>
          <w:sz w:val="24"/>
          <w:szCs w:val="24"/>
        </w:rPr>
        <w:t>Discussion</w:t>
      </w:r>
    </w:p>
    <w:p w14:paraId="018F5B7A" w14:textId="633C4FAC" w:rsidR="00CA4C00" w:rsidRPr="004E13ED" w:rsidRDefault="00F3340A"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The aim of the present study was to describe the demographics of all CYP referred to and accepted for MHST support in 2021. The study also set out to detail the clinical characteristics of CYP accepted to the service, to explore whether this differed across demographic groups, and investigate the proportion of accepted cases that met the clinical thresholds for anxiety and depression. </w:t>
      </w:r>
    </w:p>
    <w:p w14:paraId="22F7B70C" w14:textId="2DBD7FFA" w:rsidR="00F3340A" w:rsidRPr="00D7338C" w:rsidRDefault="00F3340A"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sz w:val="24"/>
          <w:szCs w:val="24"/>
        </w:rPr>
        <w:t xml:space="preserve">Firstly, we reviewed the demographic characteristics of CYP referred. Referrals to the MHST were predominantly female, secondary school aged and White British. This pattern of referrals is consistent with findings that females are more likely to be referred to CAMHS than males </w:t>
      </w:r>
      <w:r w:rsidRPr="004E13ED">
        <w:rPr>
          <w:rFonts w:ascii="Times New Roman" w:hAnsi="Times New Roman" w:cs="Times New Roman"/>
          <w:color w:val="000000"/>
          <w:sz w:val="24"/>
          <w:szCs w:val="24"/>
        </w:rPr>
        <w:t xml:space="preserve">(Ball et al., 2023). Gender differences in help-seeking and identification of mental </w:t>
      </w:r>
      <w:r w:rsidRPr="004E13ED">
        <w:rPr>
          <w:rFonts w:ascii="Times New Roman" w:hAnsi="Times New Roman" w:cs="Times New Roman"/>
          <w:color w:val="000000"/>
          <w:sz w:val="24"/>
          <w:szCs w:val="24"/>
        </w:rPr>
        <w:lastRenderedPageBreak/>
        <w:t xml:space="preserve">health problems have been cited as possible reasons for this, with adolescent females better at identifying psychological distress, having greater awareness of mental health services and help-seeking intentions (Ratnayake &amp; Hyde, 2019). Males accounted for half of all primary school aged referrals but less than a third of referrals for secondary school aged children. The literature also supports this interaction between age and gender; where boys display a higher risk of mental health difficulties </w:t>
      </w:r>
      <w:r w:rsidR="00BD2B56">
        <w:rPr>
          <w:rFonts w:ascii="Times New Roman" w:hAnsi="Times New Roman" w:cs="Times New Roman"/>
          <w:color w:val="000000"/>
          <w:sz w:val="24"/>
          <w:szCs w:val="24"/>
        </w:rPr>
        <w:t xml:space="preserve">when </w:t>
      </w:r>
      <w:r w:rsidRPr="004E13ED">
        <w:rPr>
          <w:rFonts w:ascii="Times New Roman" w:hAnsi="Times New Roman" w:cs="Times New Roman"/>
          <w:color w:val="000000"/>
          <w:sz w:val="24"/>
          <w:szCs w:val="24"/>
        </w:rPr>
        <w:t>younger, with the trend reversing in adolescence and girls presenting a higher risk group (Grimm et al., 2022). The majority of CYP referred were White British reflecting the population of West Sussex (</w:t>
      </w:r>
      <w:r w:rsidRPr="004E13ED">
        <w:rPr>
          <w:rFonts w:ascii="Times New Roman" w:hAnsi="Times New Roman" w:cs="Times New Roman"/>
          <w:color w:val="222222"/>
          <w:sz w:val="24"/>
          <w:szCs w:val="24"/>
        </w:rPr>
        <w:t xml:space="preserve">ONS, 2021). Whereas previous literature </w:t>
      </w:r>
      <w:r w:rsidR="00554F68" w:rsidRPr="004E13ED">
        <w:rPr>
          <w:rFonts w:ascii="Times New Roman" w:hAnsi="Times New Roman" w:cs="Times New Roman"/>
          <w:color w:val="222222"/>
          <w:sz w:val="24"/>
          <w:szCs w:val="24"/>
        </w:rPr>
        <w:t>has</w:t>
      </w:r>
      <w:r w:rsidRPr="004E13ED">
        <w:rPr>
          <w:rFonts w:ascii="Times New Roman" w:hAnsi="Times New Roman" w:cs="Times New Roman"/>
          <w:color w:val="222222"/>
          <w:sz w:val="24"/>
          <w:szCs w:val="24"/>
        </w:rPr>
        <w:t xml:space="preserve"> reported that children from </w:t>
      </w:r>
      <w:r w:rsidR="00A6280C">
        <w:rPr>
          <w:rFonts w:ascii="Times New Roman" w:hAnsi="Times New Roman" w:cs="Times New Roman"/>
          <w:color w:val="222222"/>
          <w:sz w:val="24"/>
          <w:szCs w:val="24"/>
        </w:rPr>
        <w:t>Black, Asian and Minority ethnic (</w:t>
      </w:r>
      <w:r w:rsidRPr="004E13ED">
        <w:rPr>
          <w:rFonts w:ascii="Times New Roman" w:hAnsi="Times New Roman" w:cs="Times New Roman"/>
          <w:color w:val="222222"/>
          <w:sz w:val="24"/>
          <w:szCs w:val="24"/>
        </w:rPr>
        <w:t>BAME</w:t>
      </w:r>
      <w:r w:rsidR="00A6280C">
        <w:rPr>
          <w:rFonts w:ascii="Times New Roman" w:hAnsi="Times New Roman" w:cs="Times New Roman"/>
          <w:color w:val="222222"/>
          <w:sz w:val="24"/>
          <w:szCs w:val="24"/>
        </w:rPr>
        <w:t>)</w:t>
      </w:r>
      <w:r w:rsidRPr="004E13ED">
        <w:rPr>
          <w:rFonts w:ascii="Times New Roman" w:hAnsi="Times New Roman" w:cs="Times New Roman"/>
          <w:color w:val="222222"/>
          <w:sz w:val="24"/>
          <w:szCs w:val="24"/>
        </w:rPr>
        <w:t xml:space="preserve"> backgrounds are less likely to access CAMHS compared to White British children </w:t>
      </w:r>
      <w:r w:rsidRPr="004E13ED">
        <w:rPr>
          <w:rFonts w:ascii="Times New Roman" w:hAnsi="Times New Roman" w:cs="Times New Roman"/>
          <w:color w:val="000000"/>
          <w:sz w:val="24"/>
          <w:szCs w:val="24"/>
        </w:rPr>
        <w:t xml:space="preserve">(Goodman et al., 2008), the present study has found that referrals from children of black and mixed ethnic backgrounds were consistent with local census data. A possible explanation for this finding is </w:t>
      </w:r>
      <w:r w:rsidR="001D3077">
        <w:rPr>
          <w:rFonts w:ascii="Times New Roman" w:hAnsi="Times New Roman" w:cs="Times New Roman"/>
          <w:color w:val="000000"/>
          <w:sz w:val="24"/>
          <w:szCs w:val="24"/>
        </w:rPr>
        <w:t>r</w:t>
      </w:r>
      <w:r w:rsidR="001D3077" w:rsidRPr="004E13ED">
        <w:rPr>
          <w:rFonts w:ascii="Times New Roman" w:hAnsi="Times New Roman" w:cs="Times New Roman"/>
          <w:color w:val="000000"/>
          <w:sz w:val="24"/>
          <w:szCs w:val="24"/>
        </w:rPr>
        <w:t>esearch has found that BAME children are more likely to be referred to CAMHS through education service than primary care, compared to White British children (</w:t>
      </w:r>
      <w:proofErr w:type="spellStart"/>
      <w:r w:rsidR="001D3077" w:rsidRPr="004E13ED">
        <w:rPr>
          <w:rFonts w:ascii="Times New Roman" w:hAnsi="Times New Roman" w:cs="Times New Roman"/>
          <w:color w:val="000000"/>
          <w:sz w:val="24"/>
          <w:szCs w:val="24"/>
        </w:rPr>
        <w:t>Edbrooke</w:t>
      </w:r>
      <w:proofErr w:type="spellEnd"/>
      <w:r w:rsidR="001D3077" w:rsidRPr="004E13ED">
        <w:rPr>
          <w:rFonts w:ascii="Times New Roman" w:hAnsi="Times New Roman" w:cs="Times New Roman"/>
          <w:color w:val="000000"/>
          <w:sz w:val="24"/>
          <w:szCs w:val="24"/>
        </w:rPr>
        <w:t>-Childs et al., 2015)</w:t>
      </w:r>
      <w:r w:rsidR="001D3077">
        <w:rPr>
          <w:rFonts w:ascii="Times New Roman" w:hAnsi="Times New Roman" w:cs="Times New Roman"/>
          <w:color w:val="000000"/>
          <w:sz w:val="24"/>
          <w:szCs w:val="24"/>
        </w:rPr>
        <w:t>, therefore,</w:t>
      </w:r>
      <w:r w:rsidR="001D3077" w:rsidRPr="004E13ED">
        <w:rPr>
          <w:rFonts w:ascii="Times New Roman" w:hAnsi="Times New Roman" w:cs="Times New Roman"/>
          <w:color w:val="000000"/>
          <w:sz w:val="24"/>
          <w:szCs w:val="24"/>
        </w:rPr>
        <w:t xml:space="preserve"> </w:t>
      </w:r>
      <w:r w:rsidRPr="004E13ED">
        <w:rPr>
          <w:rFonts w:ascii="Times New Roman" w:hAnsi="Times New Roman" w:cs="Times New Roman"/>
          <w:color w:val="000000"/>
          <w:sz w:val="24"/>
          <w:szCs w:val="24"/>
        </w:rPr>
        <w:t>the care pathway</w:t>
      </w:r>
      <w:r w:rsidR="00BD2B56">
        <w:rPr>
          <w:rFonts w:ascii="Times New Roman" w:hAnsi="Times New Roman" w:cs="Times New Roman"/>
          <w:color w:val="000000"/>
          <w:sz w:val="24"/>
          <w:szCs w:val="24"/>
        </w:rPr>
        <w:t xml:space="preserve"> within the </w:t>
      </w:r>
      <w:r w:rsidR="00870869">
        <w:rPr>
          <w:rFonts w:ascii="Times New Roman" w:hAnsi="Times New Roman" w:cs="Times New Roman"/>
          <w:color w:val="000000"/>
          <w:sz w:val="24"/>
          <w:szCs w:val="24"/>
        </w:rPr>
        <w:t>s</w:t>
      </w:r>
      <w:r w:rsidR="00BD2B56">
        <w:rPr>
          <w:rFonts w:ascii="Times New Roman" w:hAnsi="Times New Roman" w:cs="Times New Roman"/>
          <w:color w:val="000000"/>
          <w:sz w:val="24"/>
          <w:szCs w:val="24"/>
        </w:rPr>
        <w:t>chool context,</w:t>
      </w:r>
      <w:r w:rsidRPr="004E13ED">
        <w:rPr>
          <w:rFonts w:ascii="Times New Roman" w:hAnsi="Times New Roman" w:cs="Times New Roman"/>
          <w:color w:val="000000"/>
          <w:sz w:val="24"/>
          <w:szCs w:val="24"/>
        </w:rPr>
        <w:t xml:space="preserve"> to access MHST support</w:t>
      </w:r>
      <w:r w:rsidR="00015188">
        <w:rPr>
          <w:rFonts w:ascii="Times New Roman" w:hAnsi="Times New Roman" w:cs="Times New Roman"/>
          <w:color w:val="000000"/>
          <w:sz w:val="24"/>
          <w:szCs w:val="24"/>
        </w:rPr>
        <w:t>,</w:t>
      </w:r>
      <w:r w:rsidR="001D3077">
        <w:rPr>
          <w:rFonts w:ascii="Times New Roman" w:hAnsi="Times New Roman" w:cs="Times New Roman"/>
          <w:color w:val="000000"/>
          <w:sz w:val="24"/>
          <w:szCs w:val="24"/>
        </w:rPr>
        <w:t xml:space="preserve"> is </w:t>
      </w:r>
      <w:r w:rsidR="00015188">
        <w:rPr>
          <w:rFonts w:ascii="Times New Roman" w:hAnsi="Times New Roman" w:cs="Times New Roman"/>
          <w:color w:val="000000"/>
          <w:sz w:val="24"/>
          <w:szCs w:val="24"/>
        </w:rPr>
        <w:t xml:space="preserve">perhaps </w:t>
      </w:r>
      <w:r w:rsidR="001D3077">
        <w:rPr>
          <w:rFonts w:ascii="Times New Roman" w:hAnsi="Times New Roman" w:cs="Times New Roman"/>
          <w:color w:val="000000"/>
          <w:sz w:val="24"/>
          <w:szCs w:val="24"/>
        </w:rPr>
        <w:t>beneficial in increasing access to services for this population</w:t>
      </w:r>
      <w:r w:rsidRPr="004E13ED">
        <w:rPr>
          <w:rFonts w:ascii="Times New Roman" w:hAnsi="Times New Roman" w:cs="Times New Roman"/>
          <w:color w:val="000000"/>
          <w:sz w:val="24"/>
          <w:szCs w:val="24"/>
        </w:rPr>
        <w:t xml:space="preserve">. </w:t>
      </w:r>
      <w:r w:rsidR="00A21D33">
        <w:rPr>
          <w:rFonts w:ascii="Times New Roman" w:hAnsi="Times New Roman" w:cs="Times New Roman"/>
          <w:color w:val="000000"/>
          <w:sz w:val="24"/>
          <w:szCs w:val="24"/>
        </w:rPr>
        <w:t>T</w:t>
      </w:r>
      <w:r w:rsidR="00413177">
        <w:rPr>
          <w:rFonts w:ascii="Times New Roman" w:hAnsi="Times New Roman" w:cs="Times New Roman"/>
          <w:color w:val="000000"/>
          <w:sz w:val="24"/>
          <w:szCs w:val="24"/>
        </w:rPr>
        <w:t>his study suggests that this school</w:t>
      </w:r>
      <w:r w:rsidR="00A21D33">
        <w:rPr>
          <w:rFonts w:ascii="Times New Roman" w:hAnsi="Times New Roman" w:cs="Times New Roman"/>
          <w:color w:val="000000"/>
          <w:sz w:val="24"/>
          <w:szCs w:val="24"/>
        </w:rPr>
        <w:t>-</w:t>
      </w:r>
      <w:r w:rsidR="00413177">
        <w:rPr>
          <w:rFonts w:ascii="Times New Roman" w:hAnsi="Times New Roman" w:cs="Times New Roman"/>
          <w:color w:val="000000"/>
          <w:sz w:val="24"/>
          <w:szCs w:val="24"/>
        </w:rPr>
        <w:t xml:space="preserve">based offer may reduce barriers to these population given the numbers accessing this service representing the local Census population. </w:t>
      </w:r>
    </w:p>
    <w:p w14:paraId="76B0CC3B" w14:textId="74F8A678" w:rsidR="00F3340A" w:rsidRPr="004E13ED" w:rsidRDefault="00F3340A" w:rsidP="00A824E8">
      <w:pPr>
        <w:spacing w:after="0" w:line="480" w:lineRule="auto"/>
        <w:ind w:firstLine="720"/>
        <w:rPr>
          <w:rFonts w:ascii="Times New Roman" w:hAnsi="Times New Roman" w:cs="Times New Roman"/>
          <w:sz w:val="24"/>
          <w:szCs w:val="24"/>
        </w:rPr>
      </w:pPr>
      <w:r w:rsidRPr="004E13ED">
        <w:rPr>
          <w:rFonts w:ascii="Times New Roman" w:hAnsi="Times New Roman" w:cs="Times New Roman"/>
          <w:color w:val="000000"/>
          <w:sz w:val="24"/>
          <w:szCs w:val="24"/>
        </w:rPr>
        <w:t>Of all referrals received, 77% were accepted for MHST support and 23% not accepted/signposted to other services. CAMHS reported a 24% rejection rate nationally and 34% in the South of England (</w:t>
      </w:r>
      <w:r w:rsidRPr="004E13ED">
        <w:rPr>
          <w:rFonts w:ascii="Times New Roman" w:hAnsi="Times New Roman" w:cs="Times New Roman"/>
          <w:sz w:val="24"/>
          <w:szCs w:val="24"/>
        </w:rPr>
        <w:t xml:space="preserve">Crenna-Jennings &amp; Hutchinson, 2018). The most common reason given for rejecting a referral was due to the young person’s condition not being considered serious enough to meet the threshold for treatment or not having a diagnosable mental health condition. The remit of MHST support falls within the mild-to-moderate range of mental health difficulties and does not require any formal diagnoses. </w:t>
      </w:r>
      <w:bookmarkStart w:id="3" w:name="_Hlk163206604"/>
      <w:r w:rsidRPr="004E13ED">
        <w:rPr>
          <w:rFonts w:ascii="Times New Roman" w:hAnsi="Times New Roman" w:cs="Times New Roman"/>
          <w:sz w:val="24"/>
          <w:szCs w:val="24"/>
        </w:rPr>
        <w:t xml:space="preserve">In comparison to the </w:t>
      </w:r>
      <w:r w:rsidRPr="004E13ED">
        <w:rPr>
          <w:rFonts w:ascii="Times New Roman" w:hAnsi="Times New Roman" w:cs="Times New Roman"/>
          <w:sz w:val="24"/>
          <w:szCs w:val="24"/>
        </w:rPr>
        <w:lastRenderedPageBreak/>
        <w:t xml:space="preserve">local CAMHS, the MHSTs’ higher acceptance rate is suggestive that the service is fulfilling its aims of increasing access to preventative and early interventions. </w:t>
      </w:r>
      <w:bookmarkEnd w:id="3"/>
      <w:r w:rsidRPr="004E13ED">
        <w:rPr>
          <w:rFonts w:ascii="Times New Roman" w:hAnsi="Times New Roman" w:cs="Times New Roman"/>
          <w:sz w:val="24"/>
          <w:szCs w:val="24"/>
        </w:rPr>
        <w:t xml:space="preserve">When examining differences between CYP referred and those accepted, the study found no significant association between the outcome of the referral with age, biological sex or ethnic group. CYP had no greater </w:t>
      </w:r>
      <w:r w:rsidR="00413177">
        <w:rPr>
          <w:rFonts w:ascii="Times New Roman" w:hAnsi="Times New Roman" w:cs="Times New Roman"/>
          <w:sz w:val="24"/>
          <w:szCs w:val="24"/>
        </w:rPr>
        <w:t xml:space="preserve">likelihood </w:t>
      </w:r>
      <w:r w:rsidRPr="004E13ED">
        <w:rPr>
          <w:rFonts w:ascii="Times New Roman" w:hAnsi="Times New Roman" w:cs="Times New Roman"/>
          <w:sz w:val="24"/>
          <w:szCs w:val="24"/>
        </w:rPr>
        <w:t xml:space="preserve">of being accepted depending on their demographic characteristics, highlighting the robustness of the triage process. </w:t>
      </w:r>
    </w:p>
    <w:p w14:paraId="17BE902E" w14:textId="15EE84F9" w:rsidR="00F3340A" w:rsidRPr="00E52684" w:rsidRDefault="00F3340A" w:rsidP="00A824E8">
      <w:pPr>
        <w:spacing w:after="0" w:line="480" w:lineRule="auto"/>
        <w:ind w:firstLine="720"/>
        <w:rPr>
          <w:rFonts w:ascii="Times New Roman" w:hAnsi="Times New Roman" w:cs="Times New Roman"/>
          <w:color w:val="000000"/>
          <w:sz w:val="24"/>
          <w:szCs w:val="24"/>
        </w:rPr>
      </w:pPr>
      <w:r w:rsidRPr="004E13ED">
        <w:rPr>
          <w:rFonts w:ascii="Times New Roman" w:hAnsi="Times New Roman" w:cs="Times New Roman"/>
          <w:sz w:val="24"/>
          <w:szCs w:val="24"/>
        </w:rPr>
        <w:t xml:space="preserve">Secondly, the study examined the clinical characteristics of CYP accepted for support. </w:t>
      </w:r>
      <w:r w:rsidR="00413177">
        <w:rPr>
          <w:rFonts w:ascii="Times New Roman" w:hAnsi="Times New Roman" w:cs="Times New Roman"/>
          <w:sz w:val="24"/>
          <w:szCs w:val="24"/>
        </w:rPr>
        <w:t>Compared to primary-aged children and males, s</w:t>
      </w:r>
      <w:r w:rsidRPr="004E13ED">
        <w:rPr>
          <w:rFonts w:ascii="Times New Roman" w:hAnsi="Times New Roman" w:cs="Times New Roman"/>
          <w:sz w:val="24"/>
          <w:szCs w:val="24"/>
        </w:rPr>
        <w:t xml:space="preserve">econdary school aged children and females self-reported higher levels of depression and anxiety; whilst symptoms severity did not differ across ethnic groups. This is supported by findings that adolescent females present to mental health services later and with more severe symptoms </w:t>
      </w:r>
      <w:r w:rsidRPr="004E13ED">
        <w:rPr>
          <w:rFonts w:ascii="Times New Roman" w:hAnsi="Times New Roman" w:cs="Times New Roman"/>
          <w:color w:val="000000"/>
          <w:sz w:val="24"/>
          <w:szCs w:val="24"/>
        </w:rPr>
        <w:t>(Morgan et al., 2017)</w:t>
      </w:r>
      <w:r w:rsidR="00EA1EB6">
        <w:rPr>
          <w:rFonts w:ascii="Times New Roman" w:hAnsi="Times New Roman" w:cs="Times New Roman"/>
          <w:color w:val="000000"/>
          <w:sz w:val="24"/>
          <w:szCs w:val="24"/>
        </w:rPr>
        <w:t>.</w:t>
      </w:r>
      <w:r w:rsidR="00D7338C">
        <w:rPr>
          <w:rFonts w:ascii="Times New Roman" w:hAnsi="Times New Roman" w:cs="Times New Roman"/>
          <w:color w:val="000000"/>
          <w:sz w:val="24"/>
          <w:szCs w:val="24"/>
        </w:rPr>
        <w:t xml:space="preserve"> </w:t>
      </w:r>
      <w:r w:rsidR="00D7338C" w:rsidRPr="00E52684">
        <w:rPr>
          <w:rFonts w:ascii="Times New Roman" w:hAnsi="Times New Roman" w:cs="Times New Roman"/>
          <w:sz w:val="24"/>
          <w:szCs w:val="24"/>
        </w:rPr>
        <w:t>Although we found age differences on the RCADS, other research has been inconsistent in finding age-related differences with this measure (</w:t>
      </w:r>
      <w:proofErr w:type="spellStart"/>
      <w:r w:rsidR="00D7338C" w:rsidRPr="00E52684">
        <w:rPr>
          <w:rFonts w:ascii="Times New Roman" w:hAnsi="Times New Roman" w:cs="Times New Roman"/>
          <w:color w:val="000000"/>
          <w:sz w:val="24"/>
          <w:szCs w:val="24"/>
        </w:rPr>
        <w:t>Lisøy</w:t>
      </w:r>
      <w:proofErr w:type="spellEnd"/>
      <w:r w:rsidR="00D7338C" w:rsidRPr="00E52684">
        <w:rPr>
          <w:rFonts w:ascii="Times New Roman" w:hAnsi="Times New Roman" w:cs="Times New Roman"/>
          <w:color w:val="000000"/>
          <w:sz w:val="24"/>
          <w:szCs w:val="24"/>
        </w:rPr>
        <w:t xml:space="preserve"> et al. 2022</w:t>
      </w:r>
      <w:r w:rsidR="00D7338C" w:rsidRPr="00E52684">
        <w:rPr>
          <w:rFonts w:ascii="Times New Roman" w:hAnsi="Times New Roman" w:cs="Times New Roman"/>
          <w:sz w:val="24"/>
          <w:szCs w:val="24"/>
        </w:rPr>
        <w:t xml:space="preserve">). </w:t>
      </w:r>
      <w:r w:rsidR="00E52684" w:rsidRPr="00E52684">
        <w:rPr>
          <w:rFonts w:ascii="Times New Roman" w:hAnsi="Times New Roman" w:cs="Times New Roman"/>
          <w:sz w:val="24"/>
          <w:szCs w:val="24"/>
        </w:rPr>
        <w:t xml:space="preserve">This is despite the fact that </w:t>
      </w:r>
      <w:r w:rsidR="00E52684" w:rsidRPr="00E52684">
        <w:rPr>
          <w:rFonts w:ascii="Times New Roman" w:hAnsi="Times New Roman" w:cs="Times New Roman"/>
          <w:color w:val="000000"/>
          <w:sz w:val="24"/>
          <w:szCs w:val="24"/>
        </w:rPr>
        <w:t xml:space="preserve">age-related differences in internalising symptoms are well-established in the literature (for instance, Grimm et al. 2022). </w:t>
      </w:r>
      <w:r w:rsidR="00D7338C" w:rsidRPr="00E52684">
        <w:rPr>
          <w:rFonts w:ascii="Times New Roman" w:hAnsi="Times New Roman" w:cs="Times New Roman"/>
          <w:sz w:val="24"/>
          <w:szCs w:val="24"/>
        </w:rPr>
        <w:t>One possible explanation for this might be that the RCADS is less sensitive to differences with mild to moderate symptoms, and future research might benefit from exploring whether other tools are more effective at identifying differences amongst early intervention populations</w:t>
      </w:r>
      <w:r w:rsidR="00E52684" w:rsidRPr="00E52684">
        <w:rPr>
          <w:rFonts w:ascii="Times New Roman" w:hAnsi="Times New Roman" w:cs="Times New Roman"/>
          <w:sz w:val="24"/>
          <w:szCs w:val="24"/>
        </w:rPr>
        <w:t xml:space="preserve">. </w:t>
      </w:r>
    </w:p>
    <w:p w14:paraId="1F5DC35A" w14:textId="3098D885" w:rsidR="00F3340A" w:rsidRPr="004E13ED" w:rsidRDefault="00F3340A" w:rsidP="00534CB4">
      <w:pPr>
        <w:spacing w:after="0" w:line="480" w:lineRule="auto"/>
        <w:ind w:firstLine="720"/>
        <w:rPr>
          <w:rFonts w:ascii="Times New Roman" w:hAnsi="Times New Roman" w:cs="Times New Roman"/>
          <w:color w:val="000000"/>
          <w:sz w:val="24"/>
          <w:szCs w:val="24"/>
        </w:rPr>
      </w:pPr>
      <w:r w:rsidRPr="004E13ED">
        <w:rPr>
          <w:rFonts w:ascii="Times New Roman" w:hAnsi="Times New Roman" w:cs="Times New Roman"/>
          <w:color w:val="000000"/>
          <w:sz w:val="24"/>
          <w:szCs w:val="24"/>
        </w:rPr>
        <w:t xml:space="preserve">Finally, the proportion of accepted referrals that met the clinical threshold for anxiety and depression were investigated. The majority of CYP self-reported </w:t>
      </w:r>
      <w:r w:rsidR="00AA2717">
        <w:rPr>
          <w:rFonts w:ascii="Times New Roman" w:hAnsi="Times New Roman" w:cs="Times New Roman"/>
          <w:color w:val="000000"/>
          <w:sz w:val="24"/>
          <w:szCs w:val="24"/>
        </w:rPr>
        <w:t xml:space="preserve">below or borderline </w:t>
      </w:r>
      <w:r w:rsidRPr="004E13ED">
        <w:rPr>
          <w:rFonts w:ascii="Times New Roman" w:hAnsi="Times New Roman" w:cs="Times New Roman"/>
          <w:color w:val="000000"/>
          <w:sz w:val="24"/>
          <w:szCs w:val="24"/>
        </w:rPr>
        <w:t>anxiety, depression and overall internalising symptoms. In contrast, the majority of caregivers reported CYP difficulties met the clinical threshold for anxiety and overall internalising symptoms</w:t>
      </w:r>
      <w:r w:rsidR="00AA2717">
        <w:rPr>
          <w:rFonts w:ascii="Times New Roman" w:hAnsi="Times New Roman" w:cs="Times New Roman"/>
          <w:color w:val="000000"/>
          <w:sz w:val="24"/>
          <w:szCs w:val="24"/>
        </w:rPr>
        <w:t>, whereas the majority of depression scores fell below or borderline clinical threshold</w:t>
      </w:r>
      <w:r w:rsidRPr="004E13ED">
        <w:rPr>
          <w:rFonts w:ascii="Times New Roman" w:hAnsi="Times New Roman" w:cs="Times New Roman"/>
          <w:color w:val="000000"/>
          <w:sz w:val="24"/>
          <w:szCs w:val="24"/>
        </w:rPr>
        <w:t xml:space="preserve">. Discrepancies between CYP and their caregivers’ descriptions of the severity of CYP psychopathology is not an uncommon finding in the literature. Gürbüz &amp; Karci. (2022) </w:t>
      </w:r>
      <w:r w:rsidRPr="004E13ED">
        <w:rPr>
          <w:rFonts w:ascii="Times New Roman" w:hAnsi="Times New Roman" w:cs="Times New Roman"/>
          <w:color w:val="000000"/>
          <w:sz w:val="24"/>
          <w:szCs w:val="24"/>
        </w:rPr>
        <w:lastRenderedPageBreak/>
        <w:t>reported low parent-adolescent agreement of the severity of adolescent’s anxiety and depression on the RCADS, with parents describing symptoms as milder and rarer than adolescent’s self-reports. Evidence suggests that CYP’s age may affect parent-reported severity. Parents have been found to under-report anxious symptoms in younger children and over-report symptoms for adolescents (</w:t>
      </w:r>
      <w:proofErr w:type="spellStart"/>
      <w:r w:rsidRPr="004E13ED">
        <w:rPr>
          <w:rFonts w:ascii="Times New Roman" w:hAnsi="Times New Roman" w:cs="Times New Roman"/>
          <w:color w:val="000000"/>
          <w:sz w:val="24"/>
          <w:szCs w:val="24"/>
        </w:rPr>
        <w:t>Niditch</w:t>
      </w:r>
      <w:proofErr w:type="spellEnd"/>
      <w:r w:rsidRPr="004E13ED">
        <w:rPr>
          <w:rFonts w:ascii="Times New Roman" w:hAnsi="Times New Roman" w:cs="Times New Roman"/>
          <w:color w:val="000000"/>
          <w:sz w:val="24"/>
          <w:szCs w:val="24"/>
        </w:rPr>
        <w:t xml:space="preserve"> &amp; Varela, 2011). Whilst the current study did not </w:t>
      </w:r>
      <w:r w:rsidR="00D505A6">
        <w:rPr>
          <w:rFonts w:ascii="Times New Roman" w:hAnsi="Times New Roman" w:cs="Times New Roman"/>
          <w:color w:val="000000"/>
          <w:sz w:val="24"/>
          <w:szCs w:val="24"/>
        </w:rPr>
        <w:t xml:space="preserve">directly </w:t>
      </w:r>
      <w:r w:rsidRPr="004E13ED">
        <w:rPr>
          <w:rFonts w:ascii="Times New Roman" w:hAnsi="Times New Roman" w:cs="Times New Roman"/>
          <w:color w:val="000000"/>
          <w:sz w:val="24"/>
          <w:szCs w:val="24"/>
        </w:rPr>
        <w:t xml:space="preserve">explore agreement within caregiver-child dyads, </w:t>
      </w:r>
      <w:r w:rsidR="00DE3202">
        <w:rPr>
          <w:rFonts w:ascii="Times New Roman" w:hAnsi="Times New Roman" w:cs="Times New Roman"/>
          <w:color w:val="000000"/>
          <w:sz w:val="24"/>
          <w:szCs w:val="24"/>
        </w:rPr>
        <w:t xml:space="preserve">it provides further support </w:t>
      </w:r>
      <w:r w:rsidR="004E739D">
        <w:rPr>
          <w:rFonts w:ascii="Times New Roman" w:hAnsi="Times New Roman" w:cs="Times New Roman"/>
          <w:color w:val="000000"/>
          <w:sz w:val="24"/>
          <w:szCs w:val="24"/>
        </w:rPr>
        <w:t>for</w:t>
      </w:r>
      <w:r w:rsidRPr="004E13ED">
        <w:rPr>
          <w:rFonts w:ascii="Times New Roman" w:hAnsi="Times New Roman" w:cs="Times New Roman"/>
          <w:color w:val="000000"/>
          <w:sz w:val="24"/>
          <w:szCs w:val="24"/>
        </w:rPr>
        <w:t xml:space="preserve"> </w:t>
      </w:r>
      <w:r w:rsidR="004E739D">
        <w:rPr>
          <w:rFonts w:ascii="Times New Roman" w:hAnsi="Times New Roman" w:cs="Times New Roman"/>
          <w:color w:val="000000"/>
          <w:sz w:val="24"/>
          <w:szCs w:val="24"/>
        </w:rPr>
        <w:t xml:space="preserve">this </w:t>
      </w:r>
      <w:r w:rsidR="00554F68">
        <w:rPr>
          <w:rFonts w:ascii="Times New Roman" w:hAnsi="Times New Roman" w:cs="Times New Roman"/>
          <w:color w:val="000000"/>
          <w:sz w:val="24"/>
          <w:szCs w:val="24"/>
        </w:rPr>
        <w:t>finding and</w:t>
      </w:r>
      <w:r w:rsidR="004E739D">
        <w:rPr>
          <w:rFonts w:ascii="Times New Roman" w:hAnsi="Times New Roman" w:cs="Times New Roman"/>
          <w:color w:val="000000"/>
          <w:sz w:val="24"/>
          <w:szCs w:val="24"/>
        </w:rPr>
        <w:t xml:space="preserve"> </w:t>
      </w:r>
      <w:r w:rsidRPr="004E13ED">
        <w:rPr>
          <w:rFonts w:ascii="Times New Roman" w:hAnsi="Times New Roman" w:cs="Times New Roman"/>
          <w:color w:val="000000"/>
          <w:sz w:val="24"/>
          <w:szCs w:val="24"/>
        </w:rPr>
        <w:t>highligh</w:t>
      </w:r>
      <w:r w:rsidR="004E739D">
        <w:rPr>
          <w:rFonts w:ascii="Times New Roman" w:hAnsi="Times New Roman" w:cs="Times New Roman"/>
          <w:color w:val="000000"/>
          <w:sz w:val="24"/>
          <w:szCs w:val="24"/>
        </w:rPr>
        <w:t>ts</w:t>
      </w:r>
      <w:r w:rsidRPr="004E13ED">
        <w:rPr>
          <w:rFonts w:ascii="Times New Roman" w:hAnsi="Times New Roman" w:cs="Times New Roman"/>
          <w:color w:val="000000"/>
          <w:sz w:val="24"/>
          <w:szCs w:val="24"/>
        </w:rPr>
        <w:t xml:space="preserve"> the importance of sampling multiple informants to construct a holistic understanding of the CYPs’ difficulties. </w:t>
      </w:r>
    </w:p>
    <w:p w14:paraId="75B6C473" w14:textId="209ACBDD" w:rsidR="00CA4C00" w:rsidRPr="004E13ED" w:rsidRDefault="00F3340A" w:rsidP="00A824E8">
      <w:pPr>
        <w:spacing w:after="0" w:line="480" w:lineRule="auto"/>
        <w:rPr>
          <w:rFonts w:ascii="Times New Roman" w:hAnsi="Times New Roman" w:cs="Times New Roman"/>
          <w:b/>
          <w:i/>
          <w:color w:val="000000"/>
          <w:sz w:val="24"/>
          <w:szCs w:val="24"/>
        </w:rPr>
      </w:pPr>
      <w:r w:rsidRPr="004E13ED">
        <w:rPr>
          <w:rFonts w:ascii="Times New Roman" w:hAnsi="Times New Roman" w:cs="Times New Roman"/>
          <w:b/>
          <w:i/>
          <w:color w:val="000000"/>
          <w:sz w:val="24"/>
          <w:szCs w:val="24"/>
        </w:rPr>
        <w:t>Strengths and Limitations</w:t>
      </w:r>
    </w:p>
    <w:p w14:paraId="166CA807" w14:textId="1C6BE939" w:rsidR="00F3340A" w:rsidRPr="004E13ED" w:rsidRDefault="00F3340A" w:rsidP="00A824E8">
      <w:pPr>
        <w:spacing w:after="0" w:line="480" w:lineRule="auto"/>
        <w:ind w:firstLine="720"/>
        <w:rPr>
          <w:rFonts w:ascii="Times New Roman" w:hAnsi="Times New Roman" w:cs="Times New Roman"/>
          <w:color w:val="000000"/>
          <w:sz w:val="24"/>
          <w:szCs w:val="24"/>
        </w:rPr>
      </w:pPr>
      <w:r w:rsidRPr="004E13ED">
        <w:rPr>
          <w:rFonts w:ascii="Times New Roman" w:hAnsi="Times New Roman" w:cs="Times New Roman"/>
          <w:color w:val="000000"/>
          <w:sz w:val="24"/>
          <w:szCs w:val="24"/>
        </w:rPr>
        <w:t xml:space="preserve">This study presents an important and novel examination of routine data from one of the Mental Health Support Teams </w:t>
      </w:r>
      <w:r w:rsidR="000C5144">
        <w:rPr>
          <w:rFonts w:ascii="Times New Roman" w:hAnsi="Times New Roman" w:cs="Times New Roman"/>
          <w:color w:val="000000"/>
          <w:sz w:val="24"/>
          <w:szCs w:val="24"/>
        </w:rPr>
        <w:t xml:space="preserve">in Schools </w:t>
      </w:r>
      <w:r w:rsidRPr="004E13ED">
        <w:rPr>
          <w:rFonts w:ascii="Times New Roman" w:hAnsi="Times New Roman" w:cs="Times New Roman"/>
          <w:color w:val="000000"/>
          <w:sz w:val="24"/>
          <w:szCs w:val="24"/>
        </w:rPr>
        <w:t xml:space="preserve">in the UK. A strength of the study methodology is that the data used represents the totality of referrals to the service in this time period. Secondarily, the proportion of females and secondary age pupils referred to the MHST follows a similar pattern to the type of CYP accessing children and adolescent mental health services and appear to reflect the demographics of the local community. Thirdly, </w:t>
      </w:r>
      <w:r w:rsidR="0091287C">
        <w:rPr>
          <w:rFonts w:ascii="Times New Roman" w:hAnsi="Times New Roman" w:cs="Times New Roman"/>
          <w:color w:val="000000"/>
          <w:sz w:val="24"/>
          <w:szCs w:val="24"/>
        </w:rPr>
        <w:t>the study draws on</w:t>
      </w:r>
      <w:r w:rsidR="0091287C" w:rsidRPr="004E13ED">
        <w:rPr>
          <w:rFonts w:ascii="Times New Roman" w:hAnsi="Times New Roman" w:cs="Times New Roman"/>
          <w:color w:val="000000"/>
          <w:sz w:val="24"/>
          <w:szCs w:val="24"/>
        </w:rPr>
        <w:t xml:space="preserve"> </w:t>
      </w:r>
      <w:r w:rsidRPr="004E13ED">
        <w:rPr>
          <w:rFonts w:ascii="Times New Roman" w:hAnsi="Times New Roman" w:cs="Times New Roman"/>
          <w:color w:val="000000"/>
          <w:sz w:val="24"/>
          <w:szCs w:val="24"/>
        </w:rPr>
        <w:t xml:space="preserve">highly validated standardised measures, that are used in routine clinical practice across both MHST services and CAMHS, with </w:t>
      </w:r>
      <w:r w:rsidR="00162ED8">
        <w:rPr>
          <w:rFonts w:ascii="Times New Roman" w:hAnsi="Times New Roman" w:cs="Times New Roman"/>
          <w:color w:val="000000"/>
          <w:sz w:val="24"/>
          <w:szCs w:val="24"/>
        </w:rPr>
        <w:t xml:space="preserve">further </w:t>
      </w:r>
      <w:r w:rsidRPr="004E13ED">
        <w:rPr>
          <w:rFonts w:ascii="Times New Roman" w:hAnsi="Times New Roman" w:cs="Times New Roman"/>
          <w:color w:val="000000"/>
          <w:sz w:val="24"/>
          <w:szCs w:val="24"/>
        </w:rPr>
        <w:t xml:space="preserve">evidence </w:t>
      </w:r>
      <w:r w:rsidR="00ED15F0">
        <w:rPr>
          <w:rFonts w:ascii="Times New Roman" w:hAnsi="Times New Roman" w:cs="Times New Roman"/>
          <w:color w:val="000000"/>
          <w:sz w:val="24"/>
          <w:szCs w:val="24"/>
        </w:rPr>
        <w:t>to support</w:t>
      </w:r>
      <w:r w:rsidRPr="004E13ED">
        <w:rPr>
          <w:rFonts w:ascii="Times New Roman" w:hAnsi="Times New Roman" w:cs="Times New Roman"/>
          <w:color w:val="000000"/>
          <w:sz w:val="24"/>
          <w:szCs w:val="24"/>
        </w:rPr>
        <w:t xml:space="preserve"> </w:t>
      </w:r>
      <w:r w:rsidR="00162ED8">
        <w:rPr>
          <w:rFonts w:ascii="Times New Roman" w:hAnsi="Times New Roman" w:cs="Times New Roman"/>
          <w:color w:val="000000"/>
          <w:sz w:val="24"/>
          <w:szCs w:val="24"/>
        </w:rPr>
        <w:t xml:space="preserve">the </w:t>
      </w:r>
      <w:r w:rsidRPr="004E13ED">
        <w:rPr>
          <w:rFonts w:ascii="Times New Roman" w:hAnsi="Times New Roman" w:cs="Times New Roman"/>
          <w:color w:val="000000"/>
          <w:sz w:val="24"/>
          <w:szCs w:val="24"/>
        </w:rPr>
        <w:t>good psychometric properties in school-based community samples (Van Oort et al., 2009</w:t>
      </w:r>
      <w:r w:rsidR="00A219E7">
        <w:rPr>
          <w:rFonts w:ascii="Times New Roman" w:hAnsi="Times New Roman" w:cs="Times New Roman"/>
          <w:color w:val="000000"/>
          <w:sz w:val="24"/>
          <w:szCs w:val="24"/>
        </w:rPr>
        <w:t>).</w:t>
      </w:r>
      <w:r w:rsidR="004F0D9A">
        <w:rPr>
          <w:rFonts w:ascii="Times New Roman" w:hAnsi="Times New Roman" w:cs="Times New Roman"/>
          <w:color w:val="000000"/>
          <w:sz w:val="24"/>
          <w:szCs w:val="24"/>
        </w:rPr>
        <w:t xml:space="preserve"> </w:t>
      </w:r>
      <w:r w:rsidR="00A219E7">
        <w:rPr>
          <w:rFonts w:ascii="Times New Roman" w:hAnsi="Times New Roman" w:cs="Times New Roman"/>
          <w:color w:val="000000"/>
          <w:sz w:val="24"/>
          <w:szCs w:val="24"/>
        </w:rPr>
        <w:t>Furthermore</w:t>
      </w:r>
      <w:r w:rsidRPr="004E13ED">
        <w:rPr>
          <w:rFonts w:ascii="Times New Roman" w:hAnsi="Times New Roman" w:cs="Times New Roman"/>
          <w:color w:val="000000"/>
          <w:sz w:val="24"/>
          <w:szCs w:val="24"/>
        </w:rPr>
        <w:t xml:space="preserve">, </w:t>
      </w:r>
      <w:r w:rsidR="00A219E7">
        <w:rPr>
          <w:rFonts w:ascii="Times New Roman" w:hAnsi="Times New Roman" w:cs="Times New Roman"/>
          <w:color w:val="000000"/>
          <w:sz w:val="24"/>
          <w:szCs w:val="24"/>
        </w:rPr>
        <w:t>we</w:t>
      </w:r>
      <w:r w:rsidRPr="004E13ED">
        <w:rPr>
          <w:rFonts w:ascii="Times New Roman" w:hAnsi="Times New Roman" w:cs="Times New Roman"/>
          <w:color w:val="000000"/>
          <w:sz w:val="24"/>
          <w:szCs w:val="24"/>
        </w:rPr>
        <w:t xml:space="preserve"> utilis</w:t>
      </w:r>
      <w:r w:rsidR="00A219E7">
        <w:rPr>
          <w:rFonts w:ascii="Times New Roman" w:hAnsi="Times New Roman" w:cs="Times New Roman"/>
          <w:color w:val="000000"/>
          <w:sz w:val="24"/>
          <w:szCs w:val="24"/>
        </w:rPr>
        <w:t>ed</w:t>
      </w:r>
      <w:r w:rsidRPr="004E13ED">
        <w:rPr>
          <w:rFonts w:ascii="Times New Roman" w:hAnsi="Times New Roman" w:cs="Times New Roman"/>
          <w:color w:val="000000"/>
          <w:sz w:val="24"/>
          <w:szCs w:val="24"/>
        </w:rPr>
        <w:t xml:space="preserve"> both child and parent reports </w:t>
      </w:r>
      <w:r w:rsidR="00A219E7">
        <w:rPr>
          <w:rFonts w:ascii="Times New Roman" w:hAnsi="Times New Roman" w:cs="Times New Roman"/>
          <w:color w:val="000000"/>
          <w:sz w:val="24"/>
          <w:szCs w:val="24"/>
        </w:rPr>
        <w:t xml:space="preserve">which </w:t>
      </w:r>
      <w:r w:rsidRPr="004E13ED">
        <w:rPr>
          <w:rFonts w:ascii="Times New Roman" w:hAnsi="Times New Roman" w:cs="Times New Roman"/>
          <w:color w:val="000000"/>
          <w:sz w:val="24"/>
          <w:szCs w:val="24"/>
        </w:rPr>
        <w:t>strength</w:t>
      </w:r>
      <w:r w:rsidR="00B23F80">
        <w:rPr>
          <w:rFonts w:ascii="Times New Roman" w:hAnsi="Times New Roman" w:cs="Times New Roman"/>
          <w:color w:val="000000"/>
          <w:sz w:val="24"/>
          <w:szCs w:val="24"/>
        </w:rPr>
        <w:t>en</w:t>
      </w:r>
      <w:r w:rsidRPr="004E13ED">
        <w:rPr>
          <w:rFonts w:ascii="Times New Roman" w:hAnsi="Times New Roman" w:cs="Times New Roman"/>
          <w:color w:val="000000"/>
          <w:sz w:val="24"/>
          <w:szCs w:val="24"/>
        </w:rPr>
        <w:t xml:space="preserve">s confidence in findings. The measures captured a range of outcomes including overall internalising symptom severity, level of anxiety and depression and impact of symptoms. </w:t>
      </w:r>
    </w:p>
    <w:p w14:paraId="2742BE34" w14:textId="6D8B9FBE" w:rsidR="00F3340A" w:rsidRPr="004E13ED" w:rsidRDefault="00F3340A" w:rsidP="00A824E8">
      <w:pPr>
        <w:spacing w:after="0" w:line="480" w:lineRule="auto"/>
        <w:ind w:firstLine="720"/>
        <w:rPr>
          <w:rFonts w:ascii="Times New Roman" w:hAnsi="Times New Roman" w:cs="Times New Roman"/>
          <w:color w:val="000000"/>
          <w:sz w:val="24"/>
          <w:szCs w:val="24"/>
        </w:rPr>
      </w:pPr>
      <w:r w:rsidRPr="004E13ED">
        <w:rPr>
          <w:rFonts w:ascii="Times New Roman" w:hAnsi="Times New Roman" w:cs="Times New Roman"/>
          <w:color w:val="000000"/>
          <w:sz w:val="24"/>
          <w:szCs w:val="24"/>
        </w:rPr>
        <w:t xml:space="preserve">There are however several limitations to be aware of. We cannot comment on the clinical characteristics of all CYP referred to our service, only those accepted for support. Future work should examine whether young people who are being signposted are more likely to be experiencing more severe difficulties and hence signposted on to CAMHS, in line with </w:t>
      </w:r>
      <w:r w:rsidRPr="004E13ED">
        <w:rPr>
          <w:rFonts w:ascii="Times New Roman" w:hAnsi="Times New Roman" w:cs="Times New Roman"/>
          <w:color w:val="000000"/>
          <w:sz w:val="24"/>
          <w:szCs w:val="24"/>
        </w:rPr>
        <w:lastRenderedPageBreak/>
        <w:t xml:space="preserve">a stepped care approach. Similarly, it would be useful to explore whether the introduction of MHST’s has </w:t>
      </w:r>
      <w:r w:rsidR="00D97D68">
        <w:rPr>
          <w:rFonts w:ascii="Times New Roman" w:hAnsi="Times New Roman" w:cs="Times New Roman"/>
          <w:color w:val="000000"/>
          <w:sz w:val="24"/>
          <w:szCs w:val="24"/>
        </w:rPr>
        <w:t>reduced</w:t>
      </w:r>
      <w:r w:rsidR="00D97D68" w:rsidRPr="004E13ED">
        <w:rPr>
          <w:rFonts w:ascii="Times New Roman" w:hAnsi="Times New Roman" w:cs="Times New Roman"/>
          <w:color w:val="000000"/>
          <w:sz w:val="24"/>
          <w:szCs w:val="24"/>
        </w:rPr>
        <w:t xml:space="preserve"> </w:t>
      </w:r>
      <w:r w:rsidRPr="004E13ED">
        <w:rPr>
          <w:rFonts w:ascii="Times New Roman" w:hAnsi="Times New Roman" w:cs="Times New Roman"/>
          <w:color w:val="000000"/>
          <w:sz w:val="24"/>
          <w:szCs w:val="24"/>
        </w:rPr>
        <w:t xml:space="preserve">pressure on CAMHS services. Furthermore, the data reflects referrals from 2021, amidst COVID-19 lockdowns and school closures. Thus, it is unclear how accurately these findings can be generalised to post-pandemic times, other localities and similar services. </w:t>
      </w:r>
    </w:p>
    <w:p w14:paraId="5AD463CE" w14:textId="77777777" w:rsidR="00D23EDA" w:rsidRDefault="00F3340A" w:rsidP="00A824E8">
      <w:pPr>
        <w:spacing w:after="0" w:line="480" w:lineRule="auto"/>
        <w:rPr>
          <w:rFonts w:ascii="Times New Roman" w:hAnsi="Times New Roman" w:cs="Times New Roman"/>
          <w:b/>
          <w:bCs/>
          <w:i/>
          <w:color w:val="000000"/>
          <w:sz w:val="24"/>
          <w:szCs w:val="24"/>
        </w:rPr>
      </w:pPr>
      <w:r w:rsidRPr="004E13ED">
        <w:rPr>
          <w:rFonts w:ascii="Times New Roman" w:hAnsi="Times New Roman" w:cs="Times New Roman"/>
          <w:b/>
          <w:bCs/>
          <w:i/>
          <w:color w:val="000000"/>
          <w:sz w:val="24"/>
          <w:szCs w:val="24"/>
        </w:rPr>
        <w:t>Clinical and Research Implication</w:t>
      </w:r>
      <w:r w:rsidR="00E52684">
        <w:rPr>
          <w:rFonts w:ascii="Times New Roman" w:hAnsi="Times New Roman" w:cs="Times New Roman"/>
          <w:b/>
          <w:bCs/>
          <w:i/>
          <w:color w:val="000000"/>
          <w:sz w:val="24"/>
          <w:szCs w:val="24"/>
        </w:rPr>
        <w:t>s</w:t>
      </w:r>
    </w:p>
    <w:p w14:paraId="341D1C24" w14:textId="1D3579AA" w:rsidR="00D23EDA" w:rsidRDefault="00F3340A" w:rsidP="00D23EDA">
      <w:pPr>
        <w:spacing w:after="0" w:line="480" w:lineRule="auto"/>
        <w:ind w:firstLine="720"/>
        <w:rPr>
          <w:rFonts w:ascii="Times New Roman" w:hAnsi="Times New Roman" w:cs="Times New Roman"/>
          <w:b/>
          <w:bCs/>
          <w:i/>
          <w:color w:val="000000"/>
          <w:sz w:val="24"/>
          <w:szCs w:val="24"/>
        </w:rPr>
      </w:pPr>
      <w:r w:rsidRPr="004E13ED">
        <w:rPr>
          <w:rFonts w:ascii="Times New Roman" w:hAnsi="Times New Roman" w:cs="Times New Roman"/>
          <w:bCs/>
          <w:color w:val="000000"/>
          <w:sz w:val="24"/>
          <w:szCs w:val="24"/>
        </w:rPr>
        <w:t xml:space="preserve">There are </w:t>
      </w:r>
      <w:r w:rsidR="00D97D68" w:rsidRPr="004E13ED">
        <w:rPr>
          <w:rFonts w:ascii="Times New Roman" w:hAnsi="Times New Roman" w:cs="Times New Roman"/>
          <w:bCs/>
          <w:color w:val="000000"/>
          <w:sz w:val="24"/>
          <w:szCs w:val="24"/>
        </w:rPr>
        <w:t>several</w:t>
      </w:r>
      <w:r w:rsidRPr="004E13ED">
        <w:rPr>
          <w:rFonts w:ascii="Times New Roman" w:hAnsi="Times New Roman" w:cs="Times New Roman"/>
          <w:bCs/>
          <w:color w:val="000000"/>
          <w:sz w:val="24"/>
          <w:szCs w:val="24"/>
        </w:rPr>
        <w:t xml:space="preserve"> potential research, policy and practice implications for the current study. Delivering effective and accessible children and adolescent mental health services has been placed as a high priority on the national political agenda (Parkin &amp; Long, 2020). Understanding the basic characteristics and level of needs of CYP referred can be used to inform decision making regarding the transformation and delivery of public services to improve mental health care for CYP. </w:t>
      </w:r>
      <w:r w:rsidRPr="004E13ED">
        <w:rPr>
          <w:rFonts w:ascii="Times New Roman" w:hAnsi="Times New Roman" w:cs="Times New Roman"/>
          <w:color w:val="000000"/>
          <w:sz w:val="24"/>
          <w:szCs w:val="24"/>
        </w:rPr>
        <w:t>The present research examines only two of the MHST sites in West Sussex, and further investigation is required to get a better understanding of the data from multiple sites across the UK</w:t>
      </w:r>
      <w:r w:rsidR="00B82676">
        <w:rPr>
          <w:rFonts w:ascii="Times New Roman" w:hAnsi="Times New Roman" w:cs="Times New Roman"/>
          <w:color w:val="000000"/>
          <w:sz w:val="24"/>
          <w:szCs w:val="24"/>
        </w:rPr>
        <w:t xml:space="preserve"> and other school-based services</w:t>
      </w:r>
      <w:r w:rsidRPr="004E13ED">
        <w:rPr>
          <w:rFonts w:ascii="Times New Roman" w:hAnsi="Times New Roman" w:cs="Times New Roman"/>
          <w:color w:val="000000"/>
          <w:sz w:val="24"/>
          <w:szCs w:val="24"/>
        </w:rPr>
        <w:t xml:space="preserve">. This highlights the need for similar data to be collected more systemically in routine children and adolescent mental health services. </w:t>
      </w:r>
    </w:p>
    <w:p w14:paraId="2FA89170" w14:textId="01EE7578" w:rsidR="00F84906" w:rsidRPr="00D23EDA" w:rsidRDefault="00F3340A" w:rsidP="00D23EDA">
      <w:pPr>
        <w:spacing w:after="0" w:line="480" w:lineRule="auto"/>
        <w:ind w:firstLine="720"/>
        <w:rPr>
          <w:rFonts w:ascii="Times New Roman" w:hAnsi="Times New Roman" w:cs="Times New Roman"/>
          <w:b/>
          <w:bCs/>
          <w:i/>
          <w:color w:val="000000"/>
          <w:sz w:val="24"/>
          <w:szCs w:val="24"/>
        </w:rPr>
      </w:pPr>
      <w:r w:rsidRPr="004E13ED">
        <w:rPr>
          <w:rFonts w:ascii="Times New Roman" w:hAnsi="Times New Roman" w:cs="Times New Roman"/>
          <w:color w:val="000000"/>
          <w:sz w:val="24"/>
          <w:szCs w:val="24"/>
        </w:rPr>
        <w:t>In terms of future research, it would be useful to extend the current findings of the discrepancy between child and parent reports and explore reasons for caregiver-child disagreement, as differences in opinion may impact the search for treatment, treatment adherence and success. Moreover, whilst the RCADS is highly validated and one of the most widely used measures of anxiety and depression in CYP, the lower age limit of the scale increases the reliance on caregiver-reports. The development of novel measures to assess psychological distress in younger children and sensitive to lower severity symptoms appropriate for early intervention is paramount to ensure children access appropriate services.</w:t>
      </w:r>
    </w:p>
    <w:p w14:paraId="6521A4B3" w14:textId="7A91B0CC" w:rsidR="00F84906" w:rsidRPr="004E13ED" w:rsidRDefault="00ED15F0" w:rsidP="00A824E8">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 the current study we did not examin</w:t>
      </w:r>
      <w:r w:rsidR="004F0D9A">
        <w:rPr>
          <w:rFonts w:ascii="Times New Roman" w:hAnsi="Times New Roman" w:cs="Times New Roman"/>
          <w:color w:val="000000"/>
          <w:sz w:val="24"/>
          <w:szCs w:val="24"/>
        </w:rPr>
        <w:t>e</w:t>
      </w:r>
      <w:r>
        <w:rPr>
          <w:rFonts w:ascii="Times New Roman" w:hAnsi="Times New Roman" w:cs="Times New Roman"/>
          <w:color w:val="000000"/>
          <w:sz w:val="24"/>
          <w:szCs w:val="24"/>
        </w:rPr>
        <w:t xml:space="preserve"> the EMHP</w:t>
      </w:r>
      <w:r w:rsidR="00FE583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fidelity to the CB</w:t>
      </w:r>
      <w:r w:rsidR="00FE5839">
        <w:rPr>
          <w:rFonts w:ascii="Times New Roman" w:hAnsi="Times New Roman" w:cs="Times New Roman"/>
          <w:color w:val="000000"/>
          <w:sz w:val="24"/>
          <w:szCs w:val="24"/>
        </w:rPr>
        <w:t>T</w:t>
      </w:r>
      <w:r>
        <w:rPr>
          <w:rFonts w:ascii="Times New Roman" w:hAnsi="Times New Roman" w:cs="Times New Roman"/>
          <w:color w:val="000000"/>
          <w:sz w:val="24"/>
          <w:szCs w:val="24"/>
        </w:rPr>
        <w:t xml:space="preserve"> model. It would be interesting to establish the association between the intervention gains, fidelity and style of supervision.</w:t>
      </w:r>
    </w:p>
    <w:p w14:paraId="04B0D72C" w14:textId="12D968EC" w:rsidR="00CA4C00" w:rsidRPr="002F56CF" w:rsidRDefault="00F3340A" w:rsidP="00A824E8">
      <w:pPr>
        <w:spacing w:after="0" w:line="480" w:lineRule="auto"/>
        <w:rPr>
          <w:rFonts w:ascii="Times New Roman" w:hAnsi="Times New Roman" w:cs="Times New Roman"/>
          <w:b/>
          <w:color w:val="000000"/>
          <w:sz w:val="24"/>
          <w:szCs w:val="24"/>
        </w:rPr>
      </w:pPr>
      <w:r w:rsidRPr="002F56CF">
        <w:rPr>
          <w:rFonts w:ascii="Times New Roman" w:hAnsi="Times New Roman" w:cs="Times New Roman"/>
          <w:b/>
          <w:color w:val="000000"/>
          <w:sz w:val="24"/>
          <w:szCs w:val="24"/>
        </w:rPr>
        <w:t>Conclusions</w:t>
      </w:r>
    </w:p>
    <w:p w14:paraId="73999EDA" w14:textId="41F0FF2C" w:rsidR="00954709" w:rsidRDefault="00F3340A" w:rsidP="00667C15">
      <w:pPr>
        <w:spacing w:line="480" w:lineRule="auto"/>
        <w:ind w:firstLine="720"/>
        <w:rPr>
          <w:rFonts w:ascii="Times New Roman" w:hAnsi="Times New Roman" w:cs="Times New Roman"/>
          <w:sz w:val="24"/>
          <w:szCs w:val="24"/>
        </w:rPr>
      </w:pPr>
      <w:bookmarkStart w:id="4" w:name="_Hlk163206519"/>
      <w:r w:rsidRPr="004E13ED">
        <w:rPr>
          <w:rFonts w:ascii="Times New Roman" w:hAnsi="Times New Roman" w:cs="Times New Roman"/>
          <w:sz w:val="24"/>
          <w:szCs w:val="24"/>
        </w:rPr>
        <w:t xml:space="preserve">The majority of CYP referred to the MHST and those accepted, were secondary school age, female and White British. </w:t>
      </w:r>
      <w:bookmarkEnd w:id="4"/>
      <w:r w:rsidRPr="004E13ED">
        <w:rPr>
          <w:rFonts w:ascii="Times New Roman" w:hAnsi="Times New Roman" w:cs="Times New Roman"/>
          <w:sz w:val="24"/>
          <w:szCs w:val="24"/>
        </w:rPr>
        <w:t>There was no significant association between the outcome of the referral with age,</w:t>
      </w:r>
      <w:r w:rsidR="003A6B3E" w:rsidRPr="004E13ED">
        <w:rPr>
          <w:rFonts w:ascii="Times New Roman" w:hAnsi="Times New Roman" w:cs="Times New Roman"/>
          <w:sz w:val="24"/>
          <w:szCs w:val="24"/>
        </w:rPr>
        <w:t xml:space="preserve"> </w:t>
      </w:r>
      <w:r w:rsidR="003A6B3E">
        <w:rPr>
          <w:rFonts w:ascii="Times New Roman" w:hAnsi="Times New Roman" w:cs="Times New Roman"/>
          <w:sz w:val="24"/>
          <w:szCs w:val="24"/>
        </w:rPr>
        <w:t>sex (assigned at birth)</w:t>
      </w:r>
      <w:r w:rsidR="00191D33">
        <w:rPr>
          <w:rFonts w:ascii="Times New Roman" w:hAnsi="Times New Roman" w:cs="Times New Roman"/>
          <w:sz w:val="24"/>
          <w:szCs w:val="24"/>
        </w:rPr>
        <w:t xml:space="preserve"> </w:t>
      </w:r>
      <w:r w:rsidRPr="004E13ED">
        <w:rPr>
          <w:rFonts w:ascii="Times New Roman" w:hAnsi="Times New Roman" w:cs="Times New Roman"/>
          <w:sz w:val="24"/>
          <w:szCs w:val="24"/>
        </w:rPr>
        <w:t xml:space="preserve">or ethnic group. </w:t>
      </w:r>
      <w:bookmarkStart w:id="5" w:name="_Hlk163206540"/>
      <w:r w:rsidRPr="004E13ED">
        <w:rPr>
          <w:rFonts w:ascii="Times New Roman" w:hAnsi="Times New Roman" w:cs="Times New Roman"/>
          <w:sz w:val="24"/>
          <w:szCs w:val="24"/>
        </w:rPr>
        <w:t xml:space="preserve">Secondary school age children and females self-reported higher levels of depression and anxiety; whilst symptom severity did not differ across ethnic groups. </w:t>
      </w:r>
      <w:bookmarkEnd w:id="5"/>
      <w:r w:rsidRPr="004E13ED">
        <w:rPr>
          <w:rFonts w:ascii="Times New Roman" w:hAnsi="Times New Roman" w:cs="Times New Roman"/>
          <w:sz w:val="24"/>
          <w:szCs w:val="24"/>
        </w:rPr>
        <w:t xml:space="preserve">The majority of CYP self-reported </w:t>
      </w:r>
      <w:r w:rsidR="00AA2717">
        <w:rPr>
          <w:rFonts w:ascii="Times New Roman" w:hAnsi="Times New Roman" w:cs="Times New Roman"/>
          <w:sz w:val="24"/>
          <w:szCs w:val="24"/>
        </w:rPr>
        <w:t>below or borderline clinical threshold</w:t>
      </w:r>
      <w:r w:rsidR="00AA2717" w:rsidRPr="004E13ED">
        <w:rPr>
          <w:rFonts w:ascii="Times New Roman" w:hAnsi="Times New Roman" w:cs="Times New Roman"/>
          <w:sz w:val="24"/>
          <w:szCs w:val="24"/>
        </w:rPr>
        <w:t xml:space="preserve"> </w:t>
      </w:r>
      <w:r w:rsidRPr="004E13ED">
        <w:rPr>
          <w:rFonts w:ascii="Times New Roman" w:hAnsi="Times New Roman" w:cs="Times New Roman"/>
          <w:sz w:val="24"/>
          <w:szCs w:val="24"/>
        </w:rPr>
        <w:t xml:space="preserve">anxiety, depression and overall internalising </w:t>
      </w:r>
      <w:r w:rsidR="00B66F3A" w:rsidRPr="004E13ED">
        <w:rPr>
          <w:rFonts w:ascii="Times New Roman" w:hAnsi="Times New Roman" w:cs="Times New Roman"/>
          <w:sz w:val="24"/>
          <w:szCs w:val="24"/>
        </w:rPr>
        <w:t>symptoms,</w:t>
      </w:r>
      <w:r w:rsidRPr="004E13ED">
        <w:rPr>
          <w:rFonts w:ascii="Times New Roman" w:hAnsi="Times New Roman" w:cs="Times New Roman"/>
          <w:sz w:val="24"/>
          <w:szCs w:val="24"/>
        </w:rPr>
        <w:t xml:space="preserve"> whereas the majority of caregiver-reported CYP difficulties met the clinical threshold for anxiety and overall internalising symptoms</w:t>
      </w:r>
      <w:r w:rsidR="00AA2717">
        <w:rPr>
          <w:rFonts w:ascii="Times New Roman" w:hAnsi="Times New Roman" w:cs="Times New Roman"/>
          <w:sz w:val="24"/>
          <w:szCs w:val="24"/>
        </w:rPr>
        <w:t>, but not depression</w:t>
      </w:r>
      <w:r w:rsidRPr="004E13ED">
        <w:rPr>
          <w:rFonts w:ascii="Times New Roman" w:hAnsi="Times New Roman" w:cs="Times New Roman"/>
          <w:sz w:val="24"/>
          <w:szCs w:val="24"/>
        </w:rPr>
        <w:t xml:space="preserve">. </w:t>
      </w:r>
      <w:r w:rsidR="00954709">
        <w:rPr>
          <w:rFonts w:ascii="Times New Roman" w:hAnsi="Times New Roman" w:cs="Times New Roman"/>
          <w:sz w:val="24"/>
          <w:szCs w:val="24"/>
        </w:rPr>
        <w:br w:type="page"/>
      </w:r>
    </w:p>
    <w:p w14:paraId="508C92A5" w14:textId="77777777" w:rsidR="00534CB4" w:rsidRPr="004E13ED" w:rsidRDefault="00534CB4" w:rsidP="00534CB4">
      <w:pPr>
        <w:rPr>
          <w:rFonts w:ascii="Times New Roman" w:hAnsi="Times New Roman" w:cs="Times New Roman"/>
          <w:sz w:val="24"/>
          <w:szCs w:val="24"/>
        </w:rPr>
      </w:pPr>
      <w:r w:rsidRPr="004E13ED">
        <w:rPr>
          <w:rFonts w:ascii="Times New Roman" w:hAnsi="Times New Roman" w:cs="Times New Roman"/>
          <w:b/>
          <w:sz w:val="24"/>
          <w:szCs w:val="24"/>
        </w:rPr>
        <w:lastRenderedPageBreak/>
        <w:t>References</w:t>
      </w:r>
    </w:p>
    <w:p w14:paraId="3BE29D55" w14:textId="77777777" w:rsidR="00534CB4" w:rsidRPr="00534CB4" w:rsidRDefault="00534CB4" w:rsidP="00534CB4">
      <w:pPr>
        <w:spacing w:after="0" w:line="480" w:lineRule="auto"/>
        <w:ind w:left="720" w:hanging="720"/>
        <w:rPr>
          <w:rFonts w:ascii="Times New Roman" w:hAnsi="Times New Roman" w:cs="Times New Roman"/>
          <w:noProof/>
          <w:sz w:val="24"/>
          <w:szCs w:val="24"/>
        </w:rPr>
      </w:pPr>
      <w:r w:rsidRPr="00534CB4">
        <w:rPr>
          <w:rFonts w:ascii="Times New Roman" w:hAnsi="Times New Roman" w:cs="Times New Roman"/>
          <w:noProof/>
          <w:sz w:val="24"/>
          <w:szCs w:val="24"/>
        </w:rPr>
        <w:t>Balázs, J.</w:t>
      </w:r>
      <w:r w:rsidRPr="00534CB4">
        <w:rPr>
          <w:rFonts w:ascii="Times New Roman" w:hAnsi="Times New Roman" w:cs="Times New Roman"/>
          <w:i/>
          <w:noProof/>
          <w:sz w:val="24"/>
          <w:szCs w:val="24"/>
        </w:rPr>
        <w:t xml:space="preserve"> et al.</w:t>
      </w:r>
      <w:r w:rsidRPr="00534CB4">
        <w:rPr>
          <w:rFonts w:ascii="Times New Roman" w:hAnsi="Times New Roman" w:cs="Times New Roman"/>
          <w:noProof/>
          <w:sz w:val="24"/>
          <w:szCs w:val="24"/>
        </w:rPr>
        <w:t xml:space="preserve"> (2013) Adolescent subthreshold‐depression and anxiety: Psychopathology, functional impairment and increased suicide risk. </w:t>
      </w:r>
      <w:r w:rsidRPr="00534CB4">
        <w:rPr>
          <w:rFonts w:ascii="Times New Roman" w:hAnsi="Times New Roman" w:cs="Times New Roman"/>
          <w:i/>
          <w:noProof/>
          <w:sz w:val="24"/>
          <w:szCs w:val="24"/>
        </w:rPr>
        <w:t>Journal of child psychology and psychiatry,</w:t>
      </w:r>
      <w:r w:rsidRPr="00534CB4">
        <w:rPr>
          <w:rFonts w:ascii="Times New Roman" w:hAnsi="Times New Roman" w:cs="Times New Roman"/>
          <w:noProof/>
          <w:sz w:val="24"/>
          <w:szCs w:val="24"/>
        </w:rPr>
        <w:t xml:space="preserve"> </w:t>
      </w:r>
      <w:r w:rsidRPr="00534CB4">
        <w:rPr>
          <w:rFonts w:ascii="Times New Roman" w:hAnsi="Times New Roman" w:cs="Times New Roman"/>
          <w:i/>
          <w:noProof/>
          <w:sz w:val="24"/>
          <w:szCs w:val="24"/>
        </w:rPr>
        <w:t>54</w:t>
      </w:r>
      <w:r w:rsidRPr="00534CB4">
        <w:rPr>
          <w:rFonts w:ascii="Times New Roman" w:hAnsi="Times New Roman" w:cs="Times New Roman"/>
          <w:noProof/>
          <w:sz w:val="24"/>
          <w:szCs w:val="24"/>
        </w:rPr>
        <w:t>, 670-677.</w:t>
      </w:r>
    </w:p>
    <w:p w14:paraId="7FBA941A"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rPr>
        <w:t xml:space="preserve">Ball, W. P., Black, C., Gordon, S., </w:t>
      </w:r>
      <w:proofErr w:type="spellStart"/>
      <w:r w:rsidRPr="00534CB4">
        <w:rPr>
          <w:color w:val="000000"/>
        </w:rPr>
        <w:t>Ostrovska</w:t>
      </w:r>
      <w:proofErr w:type="spellEnd"/>
      <w:r w:rsidRPr="00534CB4">
        <w:rPr>
          <w:color w:val="000000"/>
        </w:rPr>
        <w:t xml:space="preserve">, B., </w:t>
      </w:r>
      <w:proofErr w:type="spellStart"/>
      <w:r w:rsidRPr="00534CB4">
        <w:rPr>
          <w:color w:val="000000"/>
        </w:rPr>
        <w:t>Paranjothy</w:t>
      </w:r>
      <w:proofErr w:type="spellEnd"/>
      <w:r w:rsidRPr="00534CB4">
        <w:rPr>
          <w:color w:val="000000"/>
        </w:rPr>
        <w:t xml:space="preserve">, S., </w:t>
      </w:r>
      <w:proofErr w:type="spellStart"/>
      <w:r w:rsidRPr="00534CB4">
        <w:rPr>
          <w:color w:val="000000"/>
        </w:rPr>
        <w:t>Rasalam</w:t>
      </w:r>
      <w:proofErr w:type="spellEnd"/>
      <w:r w:rsidRPr="00534CB4">
        <w:rPr>
          <w:color w:val="000000"/>
        </w:rPr>
        <w:t xml:space="preserve">, A., Ritchie, D., Rowlands, H., </w:t>
      </w:r>
      <w:proofErr w:type="spellStart"/>
      <w:r w:rsidRPr="00534CB4">
        <w:rPr>
          <w:color w:val="000000"/>
        </w:rPr>
        <w:t>Rzewuska</w:t>
      </w:r>
      <w:proofErr w:type="spellEnd"/>
      <w:r w:rsidRPr="00534CB4">
        <w:rPr>
          <w:color w:val="000000"/>
        </w:rPr>
        <w:t>, M., Thompson, E., Wilde, K., &amp; Butler, J. E. (2023). Inequalities in children’s mental health care: Analysis of routinely collected data on prescribing and referrals to secondary care.</w:t>
      </w:r>
      <w:r w:rsidRPr="00534CB4">
        <w:rPr>
          <w:rStyle w:val="apple-converted-space"/>
          <w:color w:val="000000"/>
        </w:rPr>
        <w:t> </w:t>
      </w:r>
      <w:r w:rsidRPr="00534CB4">
        <w:rPr>
          <w:i/>
          <w:iCs/>
          <w:color w:val="000000"/>
        </w:rPr>
        <w:t>BMC Psychiatry</w:t>
      </w:r>
      <w:r w:rsidRPr="00534CB4">
        <w:rPr>
          <w:color w:val="000000"/>
        </w:rPr>
        <w:t>,</w:t>
      </w:r>
      <w:r w:rsidRPr="00534CB4">
        <w:rPr>
          <w:rStyle w:val="apple-converted-space"/>
          <w:color w:val="000000"/>
        </w:rPr>
        <w:t> </w:t>
      </w:r>
      <w:r w:rsidRPr="00534CB4">
        <w:rPr>
          <w:i/>
          <w:iCs/>
          <w:color w:val="000000"/>
        </w:rPr>
        <w:t>23</w:t>
      </w:r>
      <w:r w:rsidRPr="00534CB4">
        <w:rPr>
          <w:color w:val="000000"/>
        </w:rPr>
        <w:t>(1). https://doi.org/10.1186/s12888-022-04438-5</w:t>
      </w:r>
      <w:r w:rsidRPr="00534CB4">
        <w:rPr>
          <w:rStyle w:val="apple-converted-space"/>
          <w:color w:val="000000"/>
        </w:rPr>
        <w:t> </w:t>
      </w:r>
    </w:p>
    <w:p w14:paraId="64ECAF5D"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t xml:space="preserve">Burns, J. R., &amp; </w:t>
      </w:r>
      <w:proofErr w:type="spellStart"/>
      <w:r w:rsidRPr="00534CB4">
        <w:rPr>
          <w:rFonts w:ascii="Times New Roman" w:hAnsi="Times New Roman" w:cs="Times New Roman"/>
          <w:sz w:val="24"/>
          <w:szCs w:val="24"/>
        </w:rPr>
        <w:t>Rapee</w:t>
      </w:r>
      <w:proofErr w:type="spellEnd"/>
      <w:r w:rsidRPr="00534CB4">
        <w:rPr>
          <w:rFonts w:ascii="Times New Roman" w:hAnsi="Times New Roman" w:cs="Times New Roman"/>
          <w:sz w:val="24"/>
          <w:szCs w:val="24"/>
        </w:rPr>
        <w:t xml:space="preserve"> R. M. (2022) Barriers to Universal Mental Health Screening in Schools: The Perspective of School Psychologists, </w:t>
      </w:r>
      <w:r w:rsidRPr="00534CB4">
        <w:rPr>
          <w:rFonts w:ascii="Times New Roman" w:hAnsi="Times New Roman" w:cs="Times New Roman"/>
          <w:i/>
          <w:sz w:val="24"/>
          <w:szCs w:val="24"/>
        </w:rPr>
        <w:t>Journal of Applied School Psychology</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38</w:t>
      </w:r>
      <w:r w:rsidRPr="00534CB4">
        <w:rPr>
          <w:rFonts w:ascii="Times New Roman" w:hAnsi="Times New Roman" w:cs="Times New Roman"/>
          <w:sz w:val="24"/>
          <w:szCs w:val="24"/>
        </w:rPr>
        <w:t>(3), 223-240, DOI: 10.1080/15377903.2021.1941470</w:t>
      </w:r>
    </w:p>
    <w:p w14:paraId="67106AA2" w14:textId="77777777" w:rsidR="00534CB4" w:rsidRPr="00534CB4" w:rsidRDefault="00534CB4" w:rsidP="00534CB4">
      <w:pPr>
        <w:spacing w:after="0" w:line="480" w:lineRule="auto"/>
        <w:ind w:left="720" w:hanging="720"/>
        <w:rPr>
          <w:rFonts w:ascii="Times New Roman" w:hAnsi="Times New Roman" w:cs="Times New Roman"/>
          <w:sz w:val="24"/>
          <w:szCs w:val="24"/>
        </w:rPr>
      </w:pPr>
      <w:proofErr w:type="spellStart"/>
      <w:r w:rsidRPr="00534CB4">
        <w:rPr>
          <w:rFonts w:ascii="Times New Roman" w:hAnsi="Times New Roman" w:cs="Times New Roman"/>
          <w:sz w:val="24"/>
          <w:szCs w:val="24"/>
        </w:rPr>
        <w:t>Chorpita</w:t>
      </w:r>
      <w:proofErr w:type="spellEnd"/>
      <w:r w:rsidRPr="00534CB4">
        <w:rPr>
          <w:rFonts w:ascii="Times New Roman" w:hAnsi="Times New Roman" w:cs="Times New Roman"/>
          <w:sz w:val="24"/>
          <w:szCs w:val="24"/>
        </w:rPr>
        <w:t xml:space="preserve">, B.F., Moffitt, C.E., &amp; Gray, J. (2005). Psychometric properties of the Revised Child Anxiety and Depression Scale in a clinical sample. </w:t>
      </w:r>
      <w:r w:rsidRPr="00534CB4">
        <w:rPr>
          <w:rFonts w:ascii="Times New Roman" w:hAnsi="Times New Roman" w:cs="Times New Roman"/>
          <w:i/>
          <w:sz w:val="24"/>
          <w:szCs w:val="24"/>
        </w:rPr>
        <w:t>Behaviour Research and Therapy</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43</w:t>
      </w:r>
      <w:r w:rsidRPr="00534CB4">
        <w:rPr>
          <w:rFonts w:ascii="Times New Roman" w:hAnsi="Times New Roman" w:cs="Times New Roman"/>
          <w:sz w:val="24"/>
          <w:szCs w:val="24"/>
        </w:rPr>
        <w:t>, 309–322.</w:t>
      </w:r>
    </w:p>
    <w:p w14:paraId="7BD7BF9C" w14:textId="77777777" w:rsidR="00534CB4" w:rsidRPr="00534CB4" w:rsidRDefault="00534CB4" w:rsidP="00534CB4">
      <w:pPr>
        <w:spacing w:after="0" w:line="480" w:lineRule="auto"/>
        <w:ind w:left="720" w:hanging="720"/>
        <w:rPr>
          <w:rFonts w:ascii="Times New Roman" w:hAnsi="Times New Roman" w:cs="Times New Roman"/>
          <w:sz w:val="24"/>
          <w:szCs w:val="24"/>
        </w:rPr>
      </w:pPr>
      <w:proofErr w:type="spellStart"/>
      <w:r w:rsidRPr="00534CB4">
        <w:rPr>
          <w:rFonts w:ascii="Times New Roman" w:hAnsi="Times New Roman" w:cs="Times New Roman"/>
          <w:sz w:val="24"/>
          <w:szCs w:val="24"/>
        </w:rPr>
        <w:t>Chorpita</w:t>
      </w:r>
      <w:proofErr w:type="spellEnd"/>
      <w:r w:rsidRPr="00534CB4">
        <w:rPr>
          <w:rFonts w:ascii="Times New Roman" w:hAnsi="Times New Roman" w:cs="Times New Roman"/>
          <w:sz w:val="24"/>
          <w:szCs w:val="24"/>
        </w:rPr>
        <w:t xml:space="preserve">, B.F., Yim, L., Moffitt, C., Umemoto, L.A., &amp; Francis, S.E. (2000). Assessment of symptoms of DSM-IV anxiety and depression in children: A revised child anxiety and depression scale. </w:t>
      </w:r>
      <w:r w:rsidRPr="00534CB4">
        <w:rPr>
          <w:rFonts w:ascii="Times New Roman" w:hAnsi="Times New Roman" w:cs="Times New Roman"/>
          <w:i/>
          <w:sz w:val="24"/>
          <w:szCs w:val="24"/>
        </w:rPr>
        <w:t>Behaviour Research and Therapy</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38</w:t>
      </w:r>
      <w:r w:rsidRPr="00534CB4">
        <w:rPr>
          <w:rFonts w:ascii="Times New Roman" w:hAnsi="Times New Roman" w:cs="Times New Roman"/>
          <w:sz w:val="24"/>
          <w:szCs w:val="24"/>
        </w:rPr>
        <w:t>, 835–855.</w:t>
      </w:r>
    </w:p>
    <w:p w14:paraId="1EDEC00E" w14:textId="77777777" w:rsidR="00534CB4" w:rsidRPr="00534CB4" w:rsidRDefault="00534CB4" w:rsidP="00534CB4">
      <w:pPr>
        <w:spacing w:after="0" w:line="480" w:lineRule="auto"/>
        <w:ind w:left="720" w:hanging="720"/>
        <w:rPr>
          <w:rStyle w:val="Hyperlink"/>
          <w:rFonts w:ascii="Times New Roman" w:hAnsi="Times New Roman" w:cs="Times New Roman"/>
          <w:color w:val="auto"/>
          <w:sz w:val="24"/>
          <w:szCs w:val="24"/>
        </w:rPr>
      </w:pPr>
      <w:r w:rsidRPr="00534CB4">
        <w:rPr>
          <w:rFonts w:ascii="Times New Roman" w:hAnsi="Times New Roman" w:cs="Times New Roman"/>
          <w:sz w:val="24"/>
          <w:szCs w:val="24"/>
          <w:shd w:val="clear" w:color="auto" w:fill="FFFFFF"/>
        </w:rPr>
        <w:t>Clarke, A., &amp; Lovewell, K. (2021). Adolescent mental health evidence brief 2: The relationship between emotional and behavioural problems in adolescence and adult outcomes. </w:t>
      </w:r>
      <w:r w:rsidRPr="00534CB4">
        <w:rPr>
          <w:rFonts w:ascii="Times New Roman" w:hAnsi="Times New Roman" w:cs="Times New Roman"/>
          <w:i/>
          <w:iCs/>
          <w:sz w:val="24"/>
          <w:szCs w:val="24"/>
          <w:shd w:val="clear" w:color="auto" w:fill="FFFFFF"/>
        </w:rPr>
        <w:t>Early Intervention Foundation: London, UK</w:t>
      </w:r>
      <w:r w:rsidRPr="00534CB4">
        <w:rPr>
          <w:rFonts w:ascii="Times New Roman" w:hAnsi="Times New Roman" w:cs="Times New Roman"/>
          <w:sz w:val="24"/>
          <w:szCs w:val="24"/>
          <w:shd w:val="clear" w:color="auto" w:fill="FFFFFF"/>
        </w:rPr>
        <w:t xml:space="preserve">, 1-12. Retrieved from: </w:t>
      </w:r>
      <w:hyperlink r:id="rId11" w:history="1">
        <w:r w:rsidRPr="00534CB4">
          <w:rPr>
            <w:rStyle w:val="Hyperlink"/>
            <w:rFonts w:ascii="Times New Roman" w:hAnsi="Times New Roman" w:cs="Times New Roman"/>
            <w:color w:val="auto"/>
            <w:sz w:val="24"/>
            <w:szCs w:val="24"/>
          </w:rPr>
          <w:t>Adolescent mental health evidence brief 2: The relationship between emotional and behavioural problems in adolescence and adult outcomes | Early Intervention Foundation (eif.org.uk)</w:t>
        </w:r>
      </w:hyperlink>
    </w:p>
    <w:p w14:paraId="627AA0A4"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lastRenderedPageBreak/>
        <w:t>Crenna-Jennings, W. &amp; Hutchinson, J. 2018. Access to children and young people’s mental  health services – 2018. Education Policy Institute.</w:t>
      </w:r>
    </w:p>
    <w:p w14:paraId="42FA14A2" w14:textId="77777777" w:rsidR="00534CB4" w:rsidRPr="00534CB4" w:rsidRDefault="00534CB4" w:rsidP="00534CB4">
      <w:pPr>
        <w:spacing w:after="0" w:line="480" w:lineRule="auto"/>
        <w:ind w:left="720" w:hanging="720"/>
        <w:rPr>
          <w:rFonts w:ascii="Times New Roman" w:hAnsi="Times New Roman" w:cs="Times New Roman"/>
          <w:sz w:val="24"/>
          <w:szCs w:val="24"/>
          <w:shd w:val="clear" w:color="auto" w:fill="FFFFFF"/>
        </w:rPr>
      </w:pPr>
      <w:r w:rsidRPr="00534CB4">
        <w:rPr>
          <w:rFonts w:ascii="Times New Roman" w:hAnsi="Times New Roman" w:cs="Times New Roman"/>
          <w:sz w:val="24"/>
          <w:szCs w:val="24"/>
          <w:shd w:val="clear" w:color="auto" w:fill="FFFFFF"/>
        </w:rPr>
        <w:t xml:space="preserve">Cuijpers, P., Pineda, B. S., Ng, M. Y., Weisz, J. R., Muñoz, R. F., Gentili, C., ... &amp; </w:t>
      </w:r>
      <w:proofErr w:type="spellStart"/>
      <w:r w:rsidRPr="00534CB4">
        <w:rPr>
          <w:rFonts w:ascii="Times New Roman" w:hAnsi="Times New Roman" w:cs="Times New Roman"/>
          <w:sz w:val="24"/>
          <w:szCs w:val="24"/>
          <w:shd w:val="clear" w:color="auto" w:fill="FFFFFF"/>
        </w:rPr>
        <w:t>Karyotaki</w:t>
      </w:r>
      <w:proofErr w:type="spellEnd"/>
      <w:r w:rsidRPr="00534CB4">
        <w:rPr>
          <w:rFonts w:ascii="Times New Roman" w:hAnsi="Times New Roman" w:cs="Times New Roman"/>
          <w:sz w:val="24"/>
          <w:szCs w:val="24"/>
          <w:shd w:val="clear" w:color="auto" w:fill="FFFFFF"/>
        </w:rPr>
        <w:t>, E. (2021). A meta-analytic review: psychological treatment of subthreshold depression in children and adolescents. </w:t>
      </w:r>
      <w:r w:rsidRPr="00534CB4">
        <w:rPr>
          <w:rFonts w:ascii="Times New Roman" w:hAnsi="Times New Roman" w:cs="Times New Roman"/>
          <w:i/>
          <w:iCs/>
          <w:sz w:val="24"/>
          <w:szCs w:val="24"/>
          <w:shd w:val="clear" w:color="auto" w:fill="FFFFFF"/>
        </w:rPr>
        <w:t>Journal of the American Academy of Child &amp; Adolescent Psychiatry</w:t>
      </w:r>
      <w:r w:rsidRPr="00534CB4">
        <w:rPr>
          <w:rFonts w:ascii="Times New Roman" w:hAnsi="Times New Roman" w:cs="Times New Roman"/>
          <w:sz w:val="24"/>
          <w:szCs w:val="24"/>
          <w:shd w:val="clear" w:color="auto" w:fill="FFFFFF"/>
        </w:rPr>
        <w:t>, </w:t>
      </w:r>
      <w:r w:rsidRPr="00534CB4">
        <w:rPr>
          <w:rFonts w:ascii="Times New Roman" w:hAnsi="Times New Roman" w:cs="Times New Roman"/>
          <w:i/>
          <w:iCs/>
          <w:sz w:val="24"/>
          <w:szCs w:val="24"/>
          <w:shd w:val="clear" w:color="auto" w:fill="FFFFFF"/>
        </w:rPr>
        <w:t>60</w:t>
      </w:r>
      <w:r w:rsidRPr="00534CB4">
        <w:rPr>
          <w:rFonts w:ascii="Times New Roman" w:hAnsi="Times New Roman" w:cs="Times New Roman"/>
          <w:sz w:val="24"/>
          <w:szCs w:val="24"/>
          <w:shd w:val="clear" w:color="auto" w:fill="FFFFFF"/>
        </w:rPr>
        <w:t>(9), 1072-1084.</w:t>
      </w:r>
    </w:p>
    <w:p w14:paraId="0EF670C2" w14:textId="77777777" w:rsidR="00534CB4" w:rsidRPr="00534CB4" w:rsidRDefault="00534CB4" w:rsidP="00534CB4">
      <w:pPr>
        <w:spacing w:after="0" w:line="480" w:lineRule="auto"/>
        <w:ind w:left="720" w:hanging="720"/>
        <w:rPr>
          <w:rFonts w:ascii="Times New Roman" w:hAnsi="Times New Roman" w:cs="Times New Roman"/>
          <w:noProof/>
          <w:sz w:val="24"/>
          <w:szCs w:val="24"/>
        </w:rPr>
      </w:pPr>
      <w:bookmarkStart w:id="6" w:name="_Hlk142572367"/>
      <w:r w:rsidRPr="00534CB4">
        <w:rPr>
          <w:rFonts w:ascii="Times New Roman" w:hAnsi="Times New Roman" w:cs="Times New Roman"/>
          <w:noProof/>
          <w:sz w:val="24"/>
          <w:szCs w:val="24"/>
        </w:rPr>
        <w:t xml:space="preserve">Department of Health and Social Care &amp; Department for Education. </w:t>
      </w:r>
      <w:r w:rsidRPr="00534CB4">
        <w:rPr>
          <w:rFonts w:ascii="Times New Roman" w:hAnsi="Times New Roman" w:cs="Times New Roman"/>
          <w:i/>
          <w:noProof/>
          <w:sz w:val="24"/>
          <w:szCs w:val="24"/>
        </w:rPr>
        <w:t>Transforming children and young people’s mental health provision: A green paper.</w:t>
      </w:r>
      <w:r w:rsidRPr="00534CB4">
        <w:rPr>
          <w:rFonts w:ascii="Times New Roman" w:hAnsi="Times New Roman" w:cs="Times New Roman"/>
          <w:noProof/>
          <w:sz w:val="24"/>
          <w:szCs w:val="24"/>
        </w:rPr>
        <w:t>, &lt;</w:t>
      </w:r>
      <w:hyperlink r:id="rId12" w:history="1">
        <w:r w:rsidRPr="00534CB4">
          <w:rPr>
            <w:rStyle w:val="Hyperlink"/>
            <w:rFonts w:ascii="Times New Roman" w:hAnsi="Times New Roman" w:cs="Times New Roman"/>
            <w:noProof/>
            <w:color w:val="auto"/>
            <w:sz w:val="24"/>
            <w:szCs w:val="24"/>
          </w:rPr>
          <w:t>https://www.gov.uk/government/consultations/transforming-children-and-young-peoples-mental-health-provision-a-green-paper</w:t>
        </w:r>
      </w:hyperlink>
      <w:r w:rsidRPr="00534CB4">
        <w:rPr>
          <w:rFonts w:ascii="Times New Roman" w:hAnsi="Times New Roman" w:cs="Times New Roman"/>
          <w:noProof/>
          <w:sz w:val="24"/>
          <w:szCs w:val="24"/>
        </w:rPr>
        <w:t xml:space="preserve"> &gt; (2017).</w:t>
      </w:r>
    </w:p>
    <w:bookmarkEnd w:id="6"/>
    <w:p w14:paraId="6CF7E13E" w14:textId="77777777" w:rsidR="00534CB4" w:rsidRDefault="00534CB4" w:rsidP="00534CB4">
      <w:pPr>
        <w:pStyle w:val="NormalWeb"/>
        <w:spacing w:before="0" w:beforeAutospacing="0" w:after="0" w:afterAutospacing="0" w:line="480" w:lineRule="auto"/>
        <w:ind w:left="720" w:hanging="720"/>
        <w:rPr>
          <w:rStyle w:val="apple-converted-space"/>
          <w:color w:val="000000"/>
        </w:rPr>
      </w:pPr>
      <w:proofErr w:type="spellStart"/>
      <w:r w:rsidRPr="00534CB4">
        <w:rPr>
          <w:color w:val="000000"/>
        </w:rPr>
        <w:t>Edbrooke</w:t>
      </w:r>
      <w:proofErr w:type="spellEnd"/>
      <w:r w:rsidRPr="00534CB4">
        <w:rPr>
          <w:color w:val="000000"/>
        </w:rPr>
        <w:t>-Childs, J., Newman, R., Fleming, I., Deighton, J., &amp; Wolpert, M. (2015). The association between ethnicity and care pathway for children with emotional problems in routinely collected child and Adolescent Mental Health Services Data.</w:t>
      </w:r>
      <w:r w:rsidRPr="00534CB4">
        <w:rPr>
          <w:rStyle w:val="apple-converted-space"/>
          <w:color w:val="000000"/>
        </w:rPr>
        <w:t> </w:t>
      </w:r>
      <w:r w:rsidRPr="00534CB4">
        <w:rPr>
          <w:i/>
          <w:iCs/>
          <w:color w:val="000000"/>
        </w:rPr>
        <w:t>European Child &amp;amp; Adolescent Psychiatry</w:t>
      </w:r>
      <w:r w:rsidRPr="00534CB4">
        <w:rPr>
          <w:color w:val="000000"/>
        </w:rPr>
        <w:t>,</w:t>
      </w:r>
      <w:r w:rsidRPr="00534CB4">
        <w:rPr>
          <w:rStyle w:val="apple-converted-space"/>
          <w:color w:val="000000"/>
        </w:rPr>
        <w:t> </w:t>
      </w:r>
      <w:r w:rsidRPr="00534CB4">
        <w:rPr>
          <w:i/>
          <w:iCs/>
          <w:color w:val="000000"/>
        </w:rPr>
        <w:t>25</w:t>
      </w:r>
      <w:r w:rsidRPr="00534CB4">
        <w:rPr>
          <w:color w:val="000000"/>
        </w:rPr>
        <w:t>(5), 539–546. https://doi.org/10.1007/s00787-015-0767-4</w:t>
      </w:r>
      <w:r w:rsidRPr="00534CB4">
        <w:rPr>
          <w:rStyle w:val="apple-converted-space"/>
          <w:color w:val="000000"/>
        </w:rPr>
        <w:t> </w:t>
      </w:r>
    </w:p>
    <w:p w14:paraId="590C600F" w14:textId="5EF8750D" w:rsidR="00792B9D" w:rsidRPr="00534CB4" w:rsidRDefault="00792B9D" w:rsidP="00534CB4">
      <w:pPr>
        <w:pStyle w:val="NormalWeb"/>
        <w:spacing w:before="0" w:beforeAutospacing="0" w:after="0" w:afterAutospacing="0" w:line="480" w:lineRule="auto"/>
        <w:ind w:left="720" w:hanging="720"/>
        <w:rPr>
          <w:color w:val="000000"/>
        </w:rPr>
      </w:pPr>
      <w:r w:rsidRPr="00792B9D">
        <w:rPr>
          <w:color w:val="000000"/>
        </w:rPr>
        <w:t>Ellins, J., Hocking, L., Al-</w:t>
      </w:r>
      <w:proofErr w:type="spellStart"/>
      <w:r w:rsidRPr="00792B9D">
        <w:rPr>
          <w:color w:val="000000"/>
        </w:rPr>
        <w:t>Haboubi</w:t>
      </w:r>
      <w:proofErr w:type="spellEnd"/>
      <w:r w:rsidRPr="00792B9D">
        <w:rPr>
          <w:color w:val="000000"/>
        </w:rPr>
        <w:t>, M., Newbould, J., Fenton, S. J., Daniel, K., Stockwell, S., Leach, B., Sidhu, M., Bousfield, J., McKenna, G., Saunders, C., O'Neill, S., &amp; Mays, N. (2023). Implementing mental health support teams in schools and colleges: the perspectives of programme implementers and service providers. </w:t>
      </w:r>
      <w:r w:rsidRPr="00792B9D">
        <w:rPr>
          <w:i/>
          <w:iCs/>
          <w:color w:val="000000"/>
        </w:rPr>
        <w:t>Journal of mental health (Abingdon, England)</w:t>
      </w:r>
      <w:r w:rsidRPr="00792B9D">
        <w:rPr>
          <w:color w:val="000000"/>
        </w:rPr>
        <w:t>, 1–7. Advance online publication. https://doi.org/10.1080/09638237.2023.2278101</w:t>
      </w:r>
    </w:p>
    <w:p w14:paraId="7C88EBB3"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t xml:space="preserve">Goodman , R. (2001). Psychometric properties of the strengths and difficulties questionnaire. </w:t>
      </w:r>
      <w:r w:rsidRPr="00534CB4">
        <w:rPr>
          <w:rFonts w:ascii="Times New Roman" w:hAnsi="Times New Roman" w:cs="Times New Roman"/>
          <w:i/>
          <w:sz w:val="24"/>
          <w:szCs w:val="24"/>
        </w:rPr>
        <w:t>Journal of the American Academy of Child and Adolescent Psychiatry</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40</w:t>
      </w:r>
      <w:r w:rsidRPr="00534CB4">
        <w:rPr>
          <w:rFonts w:ascii="Times New Roman" w:hAnsi="Times New Roman" w:cs="Times New Roman"/>
          <w:sz w:val="24"/>
          <w:szCs w:val="24"/>
        </w:rPr>
        <w:t xml:space="preserve">, 1337–1345. </w:t>
      </w:r>
      <w:proofErr w:type="spellStart"/>
      <w:r w:rsidRPr="00534CB4">
        <w:rPr>
          <w:rFonts w:ascii="Times New Roman" w:hAnsi="Times New Roman" w:cs="Times New Roman"/>
          <w:sz w:val="24"/>
          <w:szCs w:val="24"/>
        </w:rPr>
        <w:t>doi</w:t>
      </w:r>
      <w:proofErr w:type="spellEnd"/>
      <w:r w:rsidRPr="00534CB4">
        <w:rPr>
          <w:rFonts w:ascii="Times New Roman" w:hAnsi="Times New Roman" w:cs="Times New Roman"/>
          <w:sz w:val="24"/>
          <w:szCs w:val="24"/>
        </w:rPr>
        <w:t xml:space="preserve">:. </w:t>
      </w:r>
      <w:hyperlink r:id="rId13" w:history="1">
        <w:r w:rsidRPr="00534CB4">
          <w:rPr>
            <w:rStyle w:val="Hyperlink"/>
            <w:rFonts w:ascii="Times New Roman" w:hAnsi="Times New Roman" w:cs="Times New Roman"/>
            <w:sz w:val="24"/>
            <w:szCs w:val="24"/>
          </w:rPr>
          <w:t>https://doi.org/10.1097/00004583-200111000-00015</w:t>
        </w:r>
      </w:hyperlink>
      <w:r w:rsidRPr="00534CB4">
        <w:rPr>
          <w:rFonts w:ascii="Times New Roman" w:hAnsi="Times New Roman" w:cs="Times New Roman"/>
          <w:sz w:val="24"/>
          <w:szCs w:val="24"/>
        </w:rPr>
        <w:t xml:space="preserve"> </w:t>
      </w:r>
    </w:p>
    <w:p w14:paraId="2BC72CB0"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rPr>
        <w:lastRenderedPageBreak/>
        <w:t>Goodman, A., Patel, V., &amp; Leon, D. A. (2008b). Child mental health differences amongst ethnic groups in Britain: A systematic review.</w:t>
      </w:r>
      <w:r w:rsidRPr="00534CB4">
        <w:rPr>
          <w:rStyle w:val="apple-converted-space"/>
          <w:color w:val="000000"/>
        </w:rPr>
        <w:t> </w:t>
      </w:r>
      <w:r w:rsidRPr="00534CB4">
        <w:rPr>
          <w:i/>
          <w:iCs/>
          <w:color w:val="000000"/>
        </w:rPr>
        <w:t>BMC Public Health</w:t>
      </w:r>
      <w:r w:rsidRPr="00534CB4">
        <w:rPr>
          <w:color w:val="000000"/>
        </w:rPr>
        <w:t>,</w:t>
      </w:r>
      <w:r w:rsidRPr="00534CB4">
        <w:rPr>
          <w:rStyle w:val="apple-converted-space"/>
          <w:color w:val="000000"/>
        </w:rPr>
        <w:t> </w:t>
      </w:r>
      <w:r w:rsidRPr="00534CB4">
        <w:rPr>
          <w:i/>
          <w:iCs/>
          <w:color w:val="000000"/>
        </w:rPr>
        <w:t>8</w:t>
      </w:r>
      <w:r w:rsidRPr="00534CB4">
        <w:rPr>
          <w:color w:val="000000"/>
        </w:rPr>
        <w:t>(1). https://doi.org/10.1186/1471-2458-8-258</w:t>
      </w:r>
      <w:r w:rsidRPr="00534CB4">
        <w:rPr>
          <w:rStyle w:val="apple-converted-space"/>
          <w:color w:val="000000"/>
        </w:rPr>
        <w:t> </w:t>
      </w:r>
    </w:p>
    <w:p w14:paraId="130A1CC1" w14:textId="77777777" w:rsidR="00534CB4" w:rsidRPr="00534CB4" w:rsidRDefault="00534CB4" w:rsidP="00534CB4">
      <w:pPr>
        <w:pStyle w:val="NormalWeb"/>
        <w:spacing w:before="0" w:beforeAutospacing="0" w:after="0" w:afterAutospacing="0" w:line="480" w:lineRule="auto"/>
        <w:ind w:left="720" w:hanging="720"/>
        <w:rPr>
          <w:color w:val="000000"/>
        </w:rPr>
      </w:pPr>
      <w:bookmarkStart w:id="7" w:name="_Hlk142572479"/>
      <w:r w:rsidRPr="00534CB4">
        <w:rPr>
          <w:color w:val="000000"/>
        </w:rPr>
        <w:t xml:space="preserve">Grimm, F., Alcock, B., Butler, J., Fernandez Crespo, R., Davies, A., </w:t>
      </w:r>
      <w:proofErr w:type="spellStart"/>
      <w:r w:rsidRPr="00534CB4">
        <w:rPr>
          <w:color w:val="000000"/>
        </w:rPr>
        <w:t>Peytrignet</w:t>
      </w:r>
      <w:proofErr w:type="spellEnd"/>
      <w:r w:rsidRPr="00534CB4">
        <w:rPr>
          <w:color w:val="000000"/>
        </w:rPr>
        <w:t xml:space="preserve">, S., </w:t>
      </w:r>
      <w:proofErr w:type="spellStart"/>
      <w:r w:rsidRPr="00534CB4">
        <w:rPr>
          <w:color w:val="000000"/>
        </w:rPr>
        <w:t>Piroddi</w:t>
      </w:r>
      <w:proofErr w:type="spellEnd"/>
      <w:r w:rsidRPr="00534CB4">
        <w:rPr>
          <w:color w:val="000000"/>
        </w:rPr>
        <w:t xml:space="preserve">, R., </w:t>
      </w:r>
      <w:proofErr w:type="spellStart"/>
      <w:r w:rsidRPr="00534CB4">
        <w:rPr>
          <w:color w:val="000000"/>
        </w:rPr>
        <w:t>Thorlby</w:t>
      </w:r>
      <w:proofErr w:type="spellEnd"/>
      <w:r w:rsidRPr="00534CB4">
        <w:rPr>
          <w:color w:val="000000"/>
        </w:rPr>
        <w:t xml:space="preserve">, R., &amp; </w:t>
      </w:r>
      <w:proofErr w:type="spellStart"/>
      <w:r w:rsidRPr="00534CB4">
        <w:rPr>
          <w:color w:val="000000"/>
        </w:rPr>
        <w:t>Tallack</w:t>
      </w:r>
      <w:proofErr w:type="spellEnd"/>
      <w:r w:rsidRPr="00534CB4">
        <w:rPr>
          <w:color w:val="000000"/>
        </w:rPr>
        <w:t>, C. (2022).</w:t>
      </w:r>
      <w:r w:rsidRPr="00534CB4">
        <w:rPr>
          <w:rStyle w:val="apple-converted-space"/>
          <w:color w:val="000000"/>
        </w:rPr>
        <w:t> </w:t>
      </w:r>
      <w:r w:rsidRPr="00534CB4">
        <w:rPr>
          <w:i/>
          <w:iCs/>
          <w:color w:val="000000"/>
        </w:rPr>
        <w:t>Improving Children and Young People’s Mental Health Services</w:t>
      </w:r>
      <w:r w:rsidRPr="00534CB4">
        <w:rPr>
          <w:color w:val="000000"/>
        </w:rPr>
        <w:t>. https://doi.org/10.37829/hf-2022-ndl1</w:t>
      </w:r>
      <w:r w:rsidRPr="00534CB4">
        <w:rPr>
          <w:rStyle w:val="apple-converted-space"/>
          <w:color w:val="000000"/>
        </w:rPr>
        <w:t> </w:t>
      </w:r>
    </w:p>
    <w:bookmarkEnd w:id="7"/>
    <w:p w14:paraId="05FDD02A"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rPr>
        <w:t>Gürbüz, A. A., &amp; Karci, C. K. (2022). Adolescent-Parent Agreement in terms of Symptoms of Adolescents Diagnosed with Anxiety Disorder.</w:t>
      </w:r>
      <w:r w:rsidRPr="00534CB4">
        <w:rPr>
          <w:rStyle w:val="apple-converted-space"/>
          <w:color w:val="000000"/>
        </w:rPr>
        <w:t> </w:t>
      </w:r>
      <w:r w:rsidRPr="00534CB4">
        <w:rPr>
          <w:i/>
          <w:iCs/>
          <w:color w:val="000000"/>
        </w:rPr>
        <w:t>Journal of Contemporary Medicine</w:t>
      </w:r>
      <w:r w:rsidRPr="00534CB4">
        <w:rPr>
          <w:color w:val="000000"/>
        </w:rPr>
        <w:t>,</w:t>
      </w:r>
      <w:r w:rsidRPr="00534CB4">
        <w:rPr>
          <w:rStyle w:val="apple-converted-space"/>
          <w:color w:val="000000"/>
        </w:rPr>
        <w:t> </w:t>
      </w:r>
      <w:r w:rsidRPr="00534CB4">
        <w:rPr>
          <w:i/>
          <w:iCs/>
          <w:color w:val="000000"/>
        </w:rPr>
        <w:t>12</w:t>
      </w:r>
      <w:r w:rsidRPr="00534CB4">
        <w:rPr>
          <w:color w:val="000000"/>
        </w:rPr>
        <w:t>(5), 710–715. https://doi.org/10.16899/jcm.1148404</w:t>
      </w:r>
      <w:r w:rsidRPr="00534CB4">
        <w:rPr>
          <w:rStyle w:val="apple-converted-space"/>
          <w:color w:val="000000"/>
        </w:rPr>
        <w:t> </w:t>
      </w:r>
    </w:p>
    <w:p w14:paraId="08D81CC4"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t xml:space="preserve">Huang, H., &amp; Ougrin, D. (2021). Impact of the COVID-19 pandemic on child and adolescent mental health services. </w:t>
      </w:r>
      <w:proofErr w:type="spellStart"/>
      <w:r w:rsidRPr="00534CB4">
        <w:rPr>
          <w:rFonts w:ascii="Times New Roman" w:hAnsi="Times New Roman" w:cs="Times New Roman"/>
          <w:i/>
          <w:sz w:val="24"/>
          <w:szCs w:val="24"/>
        </w:rPr>
        <w:t>BJPsych</w:t>
      </w:r>
      <w:proofErr w:type="spellEnd"/>
      <w:r w:rsidRPr="00534CB4">
        <w:rPr>
          <w:rFonts w:ascii="Times New Roman" w:hAnsi="Times New Roman" w:cs="Times New Roman"/>
          <w:i/>
          <w:sz w:val="24"/>
          <w:szCs w:val="24"/>
        </w:rPr>
        <w:t xml:space="preserve"> Open</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7</w:t>
      </w:r>
      <w:r w:rsidRPr="00534CB4">
        <w:rPr>
          <w:rFonts w:ascii="Times New Roman" w:hAnsi="Times New Roman" w:cs="Times New Roman"/>
          <w:sz w:val="24"/>
          <w:szCs w:val="24"/>
        </w:rPr>
        <w:t xml:space="preserve">(5), E145. doi:10.1192/bjo.2021.976 </w:t>
      </w:r>
    </w:p>
    <w:p w14:paraId="65D44A11"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t xml:space="preserve">Humphrey, N., &amp; Wigelsworth, M. (2016) Making the case for universal school-based mental health screening, </w:t>
      </w:r>
      <w:r w:rsidRPr="00534CB4">
        <w:rPr>
          <w:rFonts w:ascii="Times New Roman" w:hAnsi="Times New Roman" w:cs="Times New Roman"/>
          <w:i/>
          <w:sz w:val="24"/>
          <w:szCs w:val="24"/>
        </w:rPr>
        <w:t>Emotional and Behavioural Difficulties</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21</w:t>
      </w:r>
      <w:r w:rsidRPr="00534CB4">
        <w:rPr>
          <w:rFonts w:ascii="Times New Roman" w:hAnsi="Times New Roman" w:cs="Times New Roman"/>
          <w:sz w:val="24"/>
          <w:szCs w:val="24"/>
        </w:rPr>
        <w:t>(1), 22-42, DOI: 10.1080/13632752.2015.1120051</w:t>
      </w:r>
    </w:p>
    <w:p w14:paraId="1C2A573A" w14:textId="77777777" w:rsidR="00534CB4" w:rsidRPr="00534CB4" w:rsidRDefault="00534CB4" w:rsidP="00534CB4">
      <w:pPr>
        <w:spacing w:after="0" w:line="480" w:lineRule="auto"/>
        <w:ind w:left="720" w:hanging="720"/>
        <w:rPr>
          <w:rFonts w:ascii="Times New Roman" w:hAnsi="Times New Roman" w:cs="Times New Roman"/>
          <w:noProof/>
          <w:sz w:val="24"/>
          <w:szCs w:val="24"/>
        </w:rPr>
      </w:pPr>
      <w:r w:rsidRPr="00534CB4">
        <w:rPr>
          <w:rStyle w:val="surname"/>
          <w:rFonts w:ascii="Times New Roman" w:hAnsi="Times New Roman" w:cs="Times New Roman"/>
          <w:sz w:val="24"/>
          <w:szCs w:val="24"/>
          <w:bdr w:val="none" w:sz="0" w:space="0" w:color="auto" w:frame="1"/>
          <w:shd w:val="clear" w:color="auto" w:fill="FFFFFF"/>
        </w:rPr>
        <w:t>James</w:t>
      </w:r>
      <w:r w:rsidRPr="00534CB4">
        <w:rPr>
          <w:rStyle w:val="string-name"/>
          <w:rFonts w:ascii="Times New Roman" w:hAnsi="Times New Roman" w:cs="Times New Roman"/>
          <w:sz w:val="24"/>
          <w:szCs w:val="24"/>
          <w:bdr w:val="none" w:sz="0" w:space="0" w:color="auto" w:frame="1"/>
          <w:shd w:val="clear" w:color="auto" w:fill="FFFFFF"/>
        </w:rPr>
        <w:t>, </w:t>
      </w:r>
      <w:r w:rsidRPr="00534CB4">
        <w:rPr>
          <w:rStyle w:val="given-names"/>
          <w:rFonts w:ascii="Times New Roman" w:hAnsi="Times New Roman" w:cs="Times New Roman"/>
          <w:sz w:val="24"/>
          <w:szCs w:val="24"/>
          <w:bdr w:val="none" w:sz="0" w:space="0" w:color="auto" w:frame="1"/>
          <w:shd w:val="clear" w:color="auto" w:fill="FFFFFF"/>
        </w:rPr>
        <w:t>A. C.</w:t>
      </w:r>
      <w:r w:rsidRPr="00534CB4">
        <w:rPr>
          <w:rFonts w:ascii="Times New Roman" w:hAnsi="Times New Roman" w:cs="Times New Roman"/>
          <w:sz w:val="24"/>
          <w:szCs w:val="24"/>
          <w:shd w:val="clear" w:color="auto" w:fill="FFFFFF"/>
        </w:rPr>
        <w:t>, </w:t>
      </w:r>
      <w:r w:rsidRPr="00534CB4">
        <w:rPr>
          <w:rStyle w:val="surname"/>
          <w:rFonts w:ascii="Times New Roman" w:hAnsi="Times New Roman" w:cs="Times New Roman"/>
          <w:sz w:val="24"/>
          <w:szCs w:val="24"/>
          <w:bdr w:val="none" w:sz="0" w:space="0" w:color="auto" w:frame="1"/>
          <w:shd w:val="clear" w:color="auto" w:fill="FFFFFF"/>
        </w:rPr>
        <w:t>Reardon</w:t>
      </w:r>
      <w:r w:rsidRPr="00534CB4">
        <w:rPr>
          <w:rStyle w:val="string-name"/>
          <w:rFonts w:ascii="Times New Roman" w:hAnsi="Times New Roman" w:cs="Times New Roman"/>
          <w:sz w:val="24"/>
          <w:szCs w:val="24"/>
          <w:bdr w:val="none" w:sz="0" w:space="0" w:color="auto" w:frame="1"/>
          <w:shd w:val="clear" w:color="auto" w:fill="FFFFFF"/>
        </w:rPr>
        <w:t>, </w:t>
      </w:r>
      <w:r w:rsidRPr="00534CB4">
        <w:rPr>
          <w:rStyle w:val="given-names"/>
          <w:rFonts w:ascii="Times New Roman" w:hAnsi="Times New Roman" w:cs="Times New Roman"/>
          <w:sz w:val="24"/>
          <w:szCs w:val="24"/>
          <w:bdr w:val="none" w:sz="0" w:space="0" w:color="auto" w:frame="1"/>
          <w:shd w:val="clear" w:color="auto" w:fill="FFFFFF"/>
        </w:rPr>
        <w:t>T.</w:t>
      </w:r>
      <w:r w:rsidRPr="00534CB4">
        <w:rPr>
          <w:rFonts w:ascii="Times New Roman" w:hAnsi="Times New Roman" w:cs="Times New Roman"/>
          <w:sz w:val="24"/>
          <w:szCs w:val="24"/>
          <w:shd w:val="clear" w:color="auto" w:fill="FFFFFF"/>
        </w:rPr>
        <w:t>, </w:t>
      </w:r>
      <w:r w:rsidRPr="00534CB4">
        <w:rPr>
          <w:rStyle w:val="surname"/>
          <w:rFonts w:ascii="Times New Roman" w:hAnsi="Times New Roman" w:cs="Times New Roman"/>
          <w:sz w:val="24"/>
          <w:szCs w:val="24"/>
          <w:bdr w:val="none" w:sz="0" w:space="0" w:color="auto" w:frame="1"/>
          <w:shd w:val="clear" w:color="auto" w:fill="FFFFFF"/>
        </w:rPr>
        <w:t>Soler</w:t>
      </w:r>
      <w:r w:rsidRPr="00534CB4">
        <w:rPr>
          <w:rStyle w:val="string-name"/>
          <w:rFonts w:ascii="Times New Roman" w:hAnsi="Times New Roman" w:cs="Times New Roman"/>
          <w:sz w:val="24"/>
          <w:szCs w:val="24"/>
          <w:bdr w:val="none" w:sz="0" w:space="0" w:color="auto" w:frame="1"/>
          <w:shd w:val="clear" w:color="auto" w:fill="FFFFFF"/>
        </w:rPr>
        <w:t>, </w:t>
      </w:r>
      <w:r w:rsidRPr="00534CB4">
        <w:rPr>
          <w:rStyle w:val="given-names"/>
          <w:rFonts w:ascii="Times New Roman" w:hAnsi="Times New Roman" w:cs="Times New Roman"/>
          <w:sz w:val="24"/>
          <w:szCs w:val="24"/>
          <w:bdr w:val="none" w:sz="0" w:space="0" w:color="auto" w:frame="1"/>
          <w:shd w:val="clear" w:color="auto" w:fill="FFFFFF"/>
        </w:rPr>
        <w:t>A.</w:t>
      </w:r>
      <w:r w:rsidRPr="00534CB4">
        <w:rPr>
          <w:rFonts w:ascii="Times New Roman" w:hAnsi="Times New Roman" w:cs="Times New Roman"/>
          <w:sz w:val="24"/>
          <w:szCs w:val="24"/>
          <w:shd w:val="clear" w:color="auto" w:fill="FFFFFF"/>
        </w:rPr>
        <w:t>, </w:t>
      </w:r>
      <w:r w:rsidRPr="00534CB4">
        <w:rPr>
          <w:rStyle w:val="surname"/>
          <w:rFonts w:ascii="Times New Roman" w:hAnsi="Times New Roman" w:cs="Times New Roman"/>
          <w:sz w:val="24"/>
          <w:szCs w:val="24"/>
          <w:bdr w:val="none" w:sz="0" w:space="0" w:color="auto" w:frame="1"/>
          <w:shd w:val="clear" w:color="auto" w:fill="FFFFFF"/>
        </w:rPr>
        <w:t>James</w:t>
      </w:r>
      <w:r w:rsidRPr="00534CB4">
        <w:rPr>
          <w:rStyle w:val="string-name"/>
          <w:rFonts w:ascii="Times New Roman" w:hAnsi="Times New Roman" w:cs="Times New Roman"/>
          <w:sz w:val="24"/>
          <w:szCs w:val="24"/>
          <w:bdr w:val="none" w:sz="0" w:space="0" w:color="auto" w:frame="1"/>
          <w:shd w:val="clear" w:color="auto" w:fill="FFFFFF"/>
        </w:rPr>
        <w:t>, </w:t>
      </w:r>
      <w:r w:rsidRPr="00534CB4">
        <w:rPr>
          <w:rStyle w:val="given-names"/>
          <w:rFonts w:ascii="Times New Roman" w:hAnsi="Times New Roman" w:cs="Times New Roman"/>
          <w:sz w:val="24"/>
          <w:szCs w:val="24"/>
          <w:bdr w:val="none" w:sz="0" w:space="0" w:color="auto" w:frame="1"/>
          <w:shd w:val="clear" w:color="auto" w:fill="FFFFFF"/>
        </w:rPr>
        <w:t>G.</w:t>
      </w:r>
      <w:r w:rsidRPr="00534CB4">
        <w:rPr>
          <w:rFonts w:ascii="Times New Roman" w:hAnsi="Times New Roman" w:cs="Times New Roman"/>
          <w:sz w:val="24"/>
          <w:szCs w:val="24"/>
          <w:shd w:val="clear" w:color="auto" w:fill="FFFFFF"/>
        </w:rPr>
        <w:t>, &amp; </w:t>
      </w:r>
      <w:r w:rsidRPr="00534CB4">
        <w:rPr>
          <w:rStyle w:val="surname"/>
          <w:rFonts w:ascii="Times New Roman" w:hAnsi="Times New Roman" w:cs="Times New Roman"/>
          <w:sz w:val="24"/>
          <w:szCs w:val="24"/>
          <w:bdr w:val="none" w:sz="0" w:space="0" w:color="auto" w:frame="1"/>
          <w:shd w:val="clear" w:color="auto" w:fill="FFFFFF"/>
        </w:rPr>
        <w:t>Creswell</w:t>
      </w:r>
      <w:r w:rsidRPr="00534CB4">
        <w:rPr>
          <w:rStyle w:val="string-name"/>
          <w:rFonts w:ascii="Times New Roman" w:hAnsi="Times New Roman" w:cs="Times New Roman"/>
          <w:sz w:val="24"/>
          <w:szCs w:val="24"/>
          <w:bdr w:val="none" w:sz="0" w:space="0" w:color="auto" w:frame="1"/>
          <w:shd w:val="clear" w:color="auto" w:fill="FFFFFF"/>
        </w:rPr>
        <w:t>, </w:t>
      </w:r>
      <w:r w:rsidRPr="00534CB4">
        <w:rPr>
          <w:rStyle w:val="given-names"/>
          <w:rFonts w:ascii="Times New Roman" w:hAnsi="Times New Roman" w:cs="Times New Roman"/>
          <w:sz w:val="24"/>
          <w:szCs w:val="24"/>
          <w:bdr w:val="none" w:sz="0" w:space="0" w:color="auto" w:frame="1"/>
          <w:shd w:val="clear" w:color="auto" w:fill="FFFFFF"/>
        </w:rPr>
        <w:t>C.</w:t>
      </w:r>
      <w:r w:rsidRPr="00534CB4">
        <w:rPr>
          <w:rFonts w:ascii="Times New Roman" w:hAnsi="Times New Roman" w:cs="Times New Roman"/>
          <w:sz w:val="24"/>
          <w:szCs w:val="24"/>
          <w:shd w:val="clear" w:color="auto" w:fill="FFFFFF"/>
        </w:rPr>
        <w:t> (</w:t>
      </w:r>
      <w:r w:rsidRPr="00534CB4">
        <w:rPr>
          <w:rStyle w:val="year"/>
          <w:rFonts w:ascii="Times New Roman" w:hAnsi="Times New Roman" w:cs="Times New Roman"/>
          <w:sz w:val="24"/>
          <w:szCs w:val="24"/>
          <w:bdr w:val="none" w:sz="0" w:space="0" w:color="auto" w:frame="1"/>
          <w:shd w:val="clear" w:color="auto" w:fill="FFFFFF"/>
        </w:rPr>
        <w:t>2020</w:t>
      </w:r>
      <w:r w:rsidRPr="00534CB4">
        <w:rPr>
          <w:rFonts w:ascii="Times New Roman" w:hAnsi="Times New Roman" w:cs="Times New Roman"/>
          <w:sz w:val="24"/>
          <w:szCs w:val="24"/>
          <w:shd w:val="clear" w:color="auto" w:fill="FFFFFF"/>
        </w:rPr>
        <w:t>). Cognitive behavioural therapy for anxiety disorders in children and adolescents. </w:t>
      </w:r>
      <w:r w:rsidRPr="00534CB4">
        <w:rPr>
          <w:rStyle w:val="Emphasis"/>
          <w:rFonts w:ascii="Times New Roman" w:hAnsi="Times New Roman" w:cs="Times New Roman"/>
          <w:sz w:val="24"/>
          <w:szCs w:val="24"/>
          <w:bdr w:val="none" w:sz="0" w:space="0" w:color="auto" w:frame="1"/>
          <w:shd w:val="clear" w:color="auto" w:fill="FFFFFF"/>
        </w:rPr>
        <w:t>Cochrane Database of Systematic Reviews.</w:t>
      </w:r>
      <w:r w:rsidRPr="00534CB4">
        <w:rPr>
          <w:rFonts w:ascii="Times New Roman" w:hAnsi="Times New Roman" w:cs="Times New Roman"/>
          <w:sz w:val="24"/>
          <w:szCs w:val="24"/>
          <w:shd w:val="clear" w:color="auto" w:fill="FFFFFF"/>
        </w:rPr>
        <w:t> </w:t>
      </w:r>
      <w:hyperlink r:id="rId14" w:history="1">
        <w:r w:rsidRPr="00534CB4">
          <w:rPr>
            <w:rStyle w:val="Hyperlink"/>
            <w:rFonts w:ascii="Times New Roman" w:hAnsi="Times New Roman" w:cs="Times New Roman"/>
            <w:color w:val="auto"/>
            <w:sz w:val="24"/>
            <w:szCs w:val="24"/>
            <w:bdr w:val="none" w:sz="0" w:space="0" w:color="auto" w:frame="1"/>
            <w:shd w:val="clear" w:color="auto" w:fill="FFFFFF"/>
          </w:rPr>
          <w:t>https://doi.org/10.1002/14651858.CD013162.pub2</w:t>
        </w:r>
      </w:hyperlink>
      <w:r w:rsidRPr="00534CB4">
        <w:rPr>
          <w:rFonts w:ascii="Times New Roman" w:hAnsi="Times New Roman" w:cs="Times New Roman"/>
          <w:sz w:val="24"/>
          <w:szCs w:val="24"/>
          <w:shd w:val="clear" w:color="auto" w:fill="FFFFFF"/>
        </w:rPr>
        <w:t> </w:t>
      </w:r>
      <w:hyperlink r:id="rId15" w:tgtFrame="_blank" w:history="1">
        <w:r w:rsidRPr="00534CB4">
          <w:rPr>
            <w:rStyle w:val="Hyperlink"/>
            <w:rFonts w:ascii="Times New Roman" w:hAnsi="Times New Roman" w:cs="Times New Roman"/>
            <w:color w:val="auto"/>
            <w:sz w:val="24"/>
            <w:szCs w:val="24"/>
            <w:bdr w:val="none" w:sz="0" w:space="0" w:color="auto" w:frame="1"/>
            <w:shd w:val="clear" w:color="auto" w:fill="FFFFFF"/>
          </w:rPr>
          <w:t>CrossRef</w:t>
        </w:r>
      </w:hyperlink>
      <w:hyperlink r:id="rId16" w:tgtFrame="_blank" w:history="1">
        <w:r w:rsidRPr="00534CB4">
          <w:rPr>
            <w:rStyle w:val="Hyperlink"/>
            <w:rFonts w:ascii="Times New Roman" w:hAnsi="Times New Roman" w:cs="Times New Roman"/>
            <w:color w:val="auto"/>
            <w:sz w:val="24"/>
            <w:szCs w:val="24"/>
            <w:bdr w:val="none" w:sz="0" w:space="0" w:color="auto" w:frame="1"/>
            <w:shd w:val="clear" w:color="auto" w:fill="FFFFFF"/>
          </w:rPr>
          <w:t>Google Scholar</w:t>
        </w:r>
      </w:hyperlink>
    </w:p>
    <w:p w14:paraId="1F6118E0" w14:textId="77777777" w:rsidR="00534CB4" w:rsidRPr="00534CB4" w:rsidRDefault="00534CB4" w:rsidP="00534CB4">
      <w:pPr>
        <w:spacing w:after="0" w:line="480" w:lineRule="auto"/>
        <w:ind w:left="720" w:hanging="720"/>
        <w:rPr>
          <w:rFonts w:ascii="Times New Roman" w:hAnsi="Times New Roman" w:cs="Times New Roman"/>
          <w:sz w:val="24"/>
          <w:szCs w:val="24"/>
          <w:shd w:val="clear" w:color="auto" w:fill="FFFFFF"/>
        </w:rPr>
      </w:pPr>
      <w:r w:rsidRPr="00534CB4">
        <w:rPr>
          <w:rFonts w:ascii="Times New Roman" w:hAnsi="Times New Roman" w:cs="Times New Roman"/>
          <w:sz w:val="24"/>
          <w:szCs w:val="24"/>
          <w:shd w:val="clear" w:color="auto" w:fill="FFFFFF"/>
        </w:rPr>
        <w:t>Johnson, D., Dupuis, G., Piche, J., Clayborne, Z., &amp; Colman, I. (2018).</w:t>
      </w:r>
      <w:bookmarkStart w:id="8" w:name="_Hlk165460627"/>
      <w:r w:rsidRPr="00534CB4">
        <w:rPr>
          <w:rFonts w:ascii="Times New Roman" w:hAnsi="Times New Roman" w:cs="Times New Roman"/>
          <w:sz w:val="24"/>
          <w:szCs w:val="24"/>
          <w:shd w:val="clear" w:color="auto" w:fill="FFFFFF"/>
        </w:rPr>
        <w:t xml:space="preserve"> Adult mental health outcomes of adolescent depression: A systematic review</w:t>
      </w:r>
      <w:bookmarkEnd w:id="8"/>
      <w:r w:rsidRPr="00534CB4">
        <w:rPr>
          <w:rFonts w:ascii="Times New Roman" w:hAnsi="Times New Roman" w:cs="Times New Roman"/>
          <w:sz w:val="24"/>
          <w:szCs w:val="24"/>
          <w:shd w:val="clear" w:color="auto" w:fill="FFFFFF"/>
        </w:rPr>
        <w:t>. </w:t>
      </w:r>
      <w:r w:rsidRPr="00534CB4">
        <w:rPr>
          <w:rFonts w:ascii="Times New Roman" w:hAnsi="Times New Roman" w:cs="Times New Roman"/>
          <w:i/>
          <w:iCs/>
          <w:sz w:val="24"/>
          <w:szCs w:val="24"/>
          <w:shd w:val="clear" w:color="auto" w:fill="FFFFFF"/>
        </w:rPr>
        <w:t>Depression and anxiety</w:t>
      </w:r>
      <w:r w:rsidRPr="00534CB4">
        <w:rPr>
          <w:rFonts w:ascii="Times New Roman" w:hAnsi="Times New Roman" w:cs="Times New Roman"/>
          <w:sz w:val="24"/>
          <w:szCs w:val="24"/>
          <w:shd w:val="clear" w:color="auto" w:fill="FFFFFF"/>
        </w:rPr>
        <w:t>, </w:t>
      </w:r>
      <w:r w:rsidRPr="00534CB4">
        <w:rPr>
          <w:rFonts w:ascii="Times New Roman" w:hAnsi="Times New Roman" w:cs="Times New Roman"/>
          <w:i/>
          <w:iCs/>
          <w:sz w:val="24"/>
          <w:szCs w:val="24"/>
          <w:shd w:val="clear" w:color="auto" w:fill="FFFFFF"/>
        </w:rPr>
        <w:t>35</w:t>
      </w:r>
      <w:r w:rsidRPr="00534CB4">
        <w:rPr>
          <w:rFonts w:ascii="Times New Roman" w:hAnsi="Times New Roman" w:cs="Times New Roman"/>
          <w:sz w:val="24"/>
          <w:szCs w:val="24"/>
          <w:shd w:val="clear" w:color="auto" w:fill="FFFFFF"/>
        </w:rPr>
        <w:t>(8), 700-716.</w:t>
      </w:r>
    </w:p>
    <w:p w14:paraId="6B0403D1" w14:textId="77777777" w:rsidR="00534CB4" w:rsidRPr="00534CB4" w:rsidRDefault="00534CB4" w:rsidP="00534CB4">
      <w:pPr>
        <w:pStyle w:val="NormalWeb"/>
        <w:spacing w:before="0" w:beforeAutospacing="0" w:after="0" w:afterAutospacing="0" w:line="480" w:lineRule="auto"/>
        <w:ind w:left="720" w:hanging="720"/>
        <w:rPr>
          <w:rStyle w:val="apple-converted-space"/>
          <w:color w:val="000000"/>
        </w:rPr>
      </w:pPr>
      <w:proofErr w:type="spellStart"/>
      <w:r w:rsidRPr="00534CB4">
        <w:rPr>
          <w:color w:val="000000"/>
        </w:rPr>
        <w:t>Lisøy</w:t>
      </w:r>
      <w:proofErr w:type="spellEnd"/>
      <w:r w:rsidRPr="00534CB4">
        <w:rPr>
          <w:color w:val="000000"/>
        </w:rPr>
        <w:t xml:space="preserve">, C., Neumer, S., </w:t>
      </w:r>
      <w:proofErr w:type="spellStart"/>
      <w:r w:rsidRPr="00534CB4">
        <w:rPr>
          <w:color w:val="000000"/>
        </w:rPr>
        <w:t>Waaktaar</w:t>
      </w:r>
      <w:proofErr w:type="spellEnd"/>
      <w:r w:rsidRPr="00534CB4">
        <w:rPr>
          <w:color w:val="000000"/>
        </w:rPr>
        <w:t xml:space="preserve">, T., </w:t>
      </w:r>
      <w:proofErr w:type="spellStart"/>
      <w:r w:rsidRPr="00534CB4">
        <w:rPr>
          <w:color w:val="000000"/>
        </w:rPr>
        <w:t>Ingul</w:t>
      </w:r>
      <w:proofErr w:type="spellEnd"/>
      <w:r w:rsidRPr="00534CB4">
        <w:rPr>
          <w:color w:val="000000"/>
        </w:rPr>
        <w:t>, J. M., Holen, S., &amp; Martinsen, K. (2022). Making high‐quality measures available in diverse contexts—the psychometric properties of the revised child anxiety and depression scale in a Norwegian sample.</w:t>
      </w:r>
      <w:r w:rsidRPr="00534CB4">
        <w:rPr>
          <w:rStyle w:val="apple-converted-space"/>
          <w:color w:val="000000"/>
        </w:rPr>
        <w:t> </w:t>
      </w:r>
      <w:r w:rsidRPr="00534CB4">
        <w:rPr>
          <w:i/>
          <w:iCs/>
          <w:color w:val="000000"/>
        </w:rPr>
        <w:t>International Journal of Methods in Psychiatric Research</w:t>
      </w:r>
      <w:r w:rsidRPr="00534CB4">
        <w:rPr>
          <w:color w:val="000000"/>
        </w:rPr>
        <w:t>,</w:t>
      </w:r>
      <w:r w:rsidRPr="00534CB4">
        <w:rPr>
          <w:rStyle w:val="apple-converted-space"/>
          <w:color w:val="000000"/>
        </w:rPr>
        <w:t> </w:t>
      </w:r>
      <w:r w:rsidRPr="00534CB4">
        <w:rPr>
          <w:i/>
          <w:iCs/>
          <w:color w:val="000000"/>
        </w:rPr>
        <w:t>31</w:t>
      </w:r>
      <w:r w:rsidRPr="00534CB4">
        <w:rPr>
          <w:color w:val="000000"/>
        </w:rPr>
        <w:t xml:space="preserve">(4). </w:t>
      </w:r>
      <w:hyperlink r:id="rId17" w:history="1">
        <w:r w:rsidRPr="00534CB4">
          <w:rPr>
            <w:rStyle w:val="Hyperlink"/>
          </w:rPr>
          <w:t>https://doi.org/10.1002/mpr.1935</w:t>
        </w:r>
      </w:hyperlink>
      <w:r w:rsidRPr="00534CB4">
        <w:rPr>
          <w:rStyle w:val="apple-converted-space"/>
          <w:color w:val="000000"/>
        </w:rPr>
        <w:t> </w:t>
      </w:r>
    </w:p>
    <w:p w14:paraId="14135CD8"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lang w:val="sv-SE"/>
        </w:rPr>
        <w:lastRenderedPageBreak/>
        <w:t xml:space="preserve">Lockhart, G., Jones, C., &amp; Sopp, V. (2021). </w:t>
      </w:r>
      <w:r w:rsidRPr="00534CB4">
        <w:rPr>
          <w:color w:val="000000"/>
        </w:rPr>
        <w:t xml:space="preserve">A pilot practice-based outcomes evaluation of low-intensity cognitive behavioural interventions delivered by postgraduate trainees to children and young people with mild to moderate anxiety or low mood: an efficient way forward in mental health care? </w:t>
      </w:r>
      <w:r w:rsidRPr="00534CB4">
        <w:rPr>
          <w:i/>
          <w:color w:val="000000"/>
        </w:rPr>
        <w:t>The Cognitive Behaviour Therapist,</w:t>
      </w:r>
      <w:r w:rsidRPr="00534CB4">
        <w:rPr>
          <w:color w:val="000000"/>
        </w:rPr>
        <w:t xml:space="preserve"> </w:t>
      </w:r>
      <w:r w:rsidRPr="00534CB4">
        <w:rPr>
          <w:i/>
          <w:color w:val="000000"/>
        </w:rPr>
        <w:t>14</w:t>
      </w:r>
      <w:r w:rsidRPr="00534CB4">
        <w:rPr>
          <w:color w:val="000000"/>
        </w:rPr>
        <w:t>, e34.</w:t>
      </w:r>
    </w:p>
    <w:p w14:paraId="45DD7DF2"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lang w:val="sv-SE"/>
        </w:rPr>
        <w:t xml:space="preserve">Mieloo, C., Raat, H., van Oort, F., Bevaart, F., Vogel, I., Donker, M., &amp; Jansen, W. (2012). </w:t>
      </w:r>
      <w:r w:rsidRPr="00534CB4">
        <w:rPr>
          <w:rFonts w:ascii="Times New Roman" w:hAnsi="Times New Roman" w:cs="Times New Roman"/>
          <w:sz w:val="24"/>
          <w:szCs w:val="24"/>
        </w:rPr>
        <w:t xml:space="preserve">Validity and reliability of the strengths and difficulties questionnaire in 5-6 year olds: Differences by gender or parental education. </w:t>
      </w:r>
      <w:proofErr w:type="spellStart"/>
      <w:r w:rsidRPr="00534CB4">
        <w:rPr>
          <w:rFonts w:ascii="Times New Roman" w:hAnsi="Times New Roman" w:cs="Times New Roman"/>
          <w:i/>
          <w:sz w:val="24"/>
          <w:szCs w:val="24"/>
        </w:rPr>
        <w:t>PLoS</w:t>
      </w:r>
      <w:proofErr w:type="spellEnd"/>
      <w:r w:rsidRPr="00534CB4">
        <w:rPr>
          <w:rFonts w:ascii="Times New Roman" w:hAnsi="Times New Roman" w:cs="Times New Roman"/>
          <w:i/>
          <w:sz w:val="24"/>
          <w:szCs w:val="24"/>
        </w:rPr>
        <w:t xml:space="preserve"> One</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7</w:t>
      </w:r>
      <w:r w:rsidRPr="00534CB4">
        <w:rPr>
          <w:rFonts w:ascii="Times New Roman" w:hAnsi="Times New Roman" w:cs="Times New Roman"/>
          <w:sz w:val="24"/>
          <w:szCs w:val="24"/>
        </w:rPr>
        <w:t>(5), 1-8.</w:t>
      </w:r>
    </w:p>
    <w:p w14:paraId="5D357E96" w14:textId="77777777" w:rsidR="00534CB4" w:rsidRPr="00534CB4" w:rsidRDefault="00534CB4" w:rsidP="00534CB4">
      <w:pPr>
        <w:pStyle w:val="NormalWeb"/>
        <w:spacing w:before="0" w:beforeAutospacing="0" w:after="0" w:afterAutospacing="0" w:line="480" w:lineRule="auto"/>
        <w:ind w:left="720" w:hanging="720"/>
        <w:rPr>
          <w:color w:val="000000"/>
          <w:lang w:val="sv-SE"/>
        </w:rPr>
      </w:pPr>
      <w:r w:rsidRPr="00534CB4">
        <w:rPr>
          <w:color w:val="000000"/>
        </w:rPr>
        <w:t xml:space="preserve">Morgan, C., Webb, R. T., Carr, M. J., </w:t>
      </w:r>
      <w:proofErr w:type="spellStart"/>
      <w:r w:rsidRPr="00534CB4">
        <w:rPr>
          <w:color w:val="000000"/>
        </w:rPr>
        <w:t>Kontopantelis</w:t>
      </w:r>
      <w:proofErr w:type="spellEnd"/>
      <w:r w:rsidRPr="00534CB4">
        <w:rPr>
          <w:color w:val="000000"/>
        </w:rPr>
        <w:t xml:space="preserve">, E., Green, J., Chew-Graham, C. A., Kapur, N., &amp; Ashcroft, D. M. (2017). Incidence, clinical management, and mortality risk following </w:t>
      </w:r>
      <w:proofErr w:type="spellStart"/>
      <w:r w:rsidRPr="00534CB4">
        <w:rPr>
          <w:color w:val="000000"/>
        </w:rPr>
        <w:t>self harm</w:t>
      </w:r>
      <w:proofErr w:type="spellEnd"/>
      <w:r w:rsidRPr="00534CB4">
        <w:rPr>
          <w:color w:val="000000"/>
        </w:rPr>
        <w:t xml:space="preserve"> among children and adolescents: Cohort study in primary care.</w:t>
      </w:r>
      <w:r w:rsidRPr="00534CB4">
        <w:rPr>
          <w:rStyle w:val="apple-converted-space"/>
          <w:color w:val="000000"/>
        </w:rPr>
        <w:t> </w:t>
      </w:r>
      <w:r w:rsidRPr="00534CB4">
        <w:rPr>
          <w:i/>
          <w:iCs/>
          <w:color w:val="000000"/>
          <w:lang w:val="sv-SE"/>
        </w:rPr>
        <w:t>BMJ</w:t>
      </w:r>
      <w:r w:rsidRPr="00534CB4">
        <w:rPr>
          <w:color w:val="000000"/>
          <w:lang w:val="sv-SE"/>
        </w:rPr>
        <w:t>. https://doi.org/10.1136/bmj.j4351</w:t>
      </w:r>
      <w:r w:rsidRPr="00534CB4">
        <w:rPr>
          <w:rStyle w:val="apple-converted-space"/>
          <w:color w:val="000000"/>
          <w:lang w:val="sv-SE"/>
        </w:rPr>
        <w:t> </w:t>
      </w:r>
    </w:p>
    <w:p w14:paraId="684619E1"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t xml:space="preserve">Newlove-Delgado T, </w:t>
      </w:r>
      <w:proofErr w:type="spellStart"/>
      <w:r w:rsidRPr="00534CB4">
        <w:rPr>
          <w:rFonts w:ascii="Times New Roman" w:hAnsi="Times New Roman" w:cs="Times New Roman"/>
          <w:sz w:val="24"/>
          <w:szCs w:val="24"/>
        </w:rPr>
        <w:t>Marcheselli</w:t>
      </w:r>
      <w:proofErr w:type="spellEnd"/>
      <w:r w:rsidRPr="00534CB4">
        <w:rPr>
          <w:rFonts w:ascii="Times New Roman" w:hAnsi="Times New Roman" w:cs="Times New Roman"/>
          <w:sz w:val="24"/>
          <w:szCs w:val="24"/>
        </w:rPr>
        <w:t xml:space="preserve"> F, Williams T, Mandalia D, Davis J, McManus S, Savic M, Treloar W, Ford T. (2022) Mental Health of Children and Young People in England, 2022. NHS Digital, Leeds.</w:t>
      </w:r>
    </w:p>
    <w:p w14:paraId="645BC153" w14:textId="77777777" w:rsidR="00534CB4" w:rsidRDefault="00534CB4" w:rsidP="00534CB4">
      <w:pPr>
        <w:spacing w:after="0" w:line="480" w:lineRule="auto"/>
        <w:ind w:left="720" w:hanging="720"/>
        <w:rPr>
          <w:rFonts w:ascii="Times New Roman" w:hAnsi="Times New Roman" w:cs="Times New Roman"/>
          <w:noProof/>
          <w:sz w:val="24"/>
          <w:szCs w:val="24"/>
        </w:rPr>
      </w:pPr>
      <w:r w:rsidRPr="00534CB4">
        <w:rPr>
          <w:rFonts w:ascii="Times New Roman" w:hAnsi="Times New Roman" w:cs="Times New Roman"/>
          <w:noProof/>
          <w:sz w:val="24"/>
          <w:szCs w:val="24"/>
        </w:rPr>
        <w:t xml:space="preserve">NHS Digital. (2021). Mental Health of Children and Young People in England 2021 - wave 2 follow up to the 2017 survey. Available online at: </w:t>
      </w:r>
      <w:hyperlink r:id="rId18" w:history="1">
        <w:r w:rsidRPr="00534CB4">
          <w:rPr>
            <w:rStyle w:val="Hyperlink"/>
            <w:rFonts w:ascii="Times New Roman" w:hAnsi="Times New Roman" w:cs="Times New Roman"/>
            <w:noProof/>
            <w:sz w:val="24"/>
            <w:szCs w:val="24"/>
          </w:rPr>
          <w:t>https://digital.nhs.uk/data-and-information/publications/statistical/mental-health-of-children-and-young-people-in-england/2021-follow-up-to-the-2017-survey#</w:t>
        </w:r>
      </w:hyperlink>
      <w:r w:rsidRPr="00534CB4">
        <w:rPr>
          <w:rFonts w:ascii="Times New Roman" w:hAnsi="Times New Roman" w:cs="Times New Roman"/>
          <w:noProof/>
          <w:sz w:val="24"/>
          <w:szCs w:val="24"/>
        </w:rPr>
        <w:t xml:space="preserve"> Accessed on 30 June 2023</w:t>
      </w:r>
    </w:p>
    <w:p w14:paraId="2B1E8463" w14:textId="07C56361" w:rsidR="001C22D4" w:rsidRPr="00534CB4" w:rsidRDefault="001C22D4" w:rsidP="00534CB4">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NHS England. (2019). </w:t>
      </w:r>
      <w:r w:rsidRPr="001C22D4">
        <w:rPr>
          <w:rFonts w:ascii="Times New Roman" w:hAnsi="Times New Roman" w:cs="Times New Roman"/>
          <w:noProof/>
          <w:sz w:val="24"/>
          <w:szCs w:val="24"/>
        </w:rPr>
        <w:t>Mental Health Support Teams for Children and Young People in Education</w:t>
      </w:r>
      <w:r w:rsidR="00864990">
        <w:rPr>
          <w:rFonts w:ascii="Times New Roman" w:hAnsi="Times New Roman" w:cs="Times New Roman"/>
          <w:noProof/>
          <w:sz w:val="24"/>
          <w:szCs w:val="24"/>
        </w:rPr>
        <w:t xml:space="preserve">: a Manual. Available online: </w:t>
      </w:r>
      <w:hyperlink r:id="rId19" w:history="1">
        <w:r w:rsidR="00864990" w:rsidRPr="005074D9">
          <w:rPr>
            <w:rStyle w:val="Hyperlink"/>
            <w:rFonts w:ascii="Times New Roman" w:hAnsi="Times New Roman" w:cs="Times New Roman"/>
            <w:noProof/>
            <w:sz w:val="24"/>
            <w:szCs w:val="24"/>
          </w:rPr>
          <w:t>https://www.transformationpartners.nhs.uk/wp-content/uploads/2015/10/Mental_Health_Support_Teams_for_Children_and_Young_People_in_Education_The_Manual_October_19_FINAL.pdf</w:t>
        </w:r>
      </w:hyperlink>
      <w:r w:rsidR="00864990">
        <w:rPr>
          <w:rFonts w:ascii="Times New Roman" w:hAnsi="Times New Roman" w:cs="Times New Roman"/>
          <w:noProof/>
          <w:sz w:val="24"/>
          <w:szCs w:val="24"/>
        </w:rPr>
        <w:t xml:space="preserve"> Accessed on </w:t>
      </w:r>
      <w:r w:rsidR="00F26358">
        <w:rPr>
          <w:rFonts w:ascii="Times New Roman" w:hAnsi="Times New Roman" w:cs="Times New Roman"/>
          <w:noProof/>
          <w:sz w:val="24"/>
          <w:szCs w:val="24"/>
        </w:rPr>
        <w:t>26 November 2024</w:t>
      </w:r>
    </w:p>
    <w:p w14:paraId="2F147F45"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lang w:val="sv-SE"/>
        </w:rPr>
        <w:lastRenderedPageBreak/>
        <w:t xml:space="preserve">Niditch, L. A., &amp; Varela, R. E. (2011). </w:t>
      </w:r>
      <w:r w:rsidRPr="00534CB4">
        <w:rPr>
          <w:color w:val="000000"/>
        </w:rPr>
        <w:t>Mother–child disagreement in reports of child anxiety: Effects of child age and maternal anxiety.</w:t>
      </w:r>
      <w:r w:rsidRPr="00534CB4">
        <w:rPr>
          <w:rStyle w:val="apple-converted-space"/>
          <w:color w:val="000000"/>
        </w:rPr>
        <w:t> </w:t>
      </w:r>
      <w:r w:rsidRPr="00534CB4">
        <w:rPr>
          <w:i/>
          <w:iCs/>
          <w:color w:val="000000"/>
        </w:rPr>
        <w:t>Journal of Anxiety Disorders</w:t>
      </w:r>
      <w:r w:rsidRPr="00534CB4">
        <w:rPr>
          <w:color w:val="000000"/>
        </w:rPr>
        <w:t>,</w:t>
      </w:r>
      <w:r w:rsidRPr="00534CB4">
        <w:rPr>
          <w:rStyle w:val="apple-converted-space"/>
          <w:color w:val="000000"/>
        </w:rPr>
        <w:t> </w:t>
      </w:r>
      <w:r w:rsidRPr="00534CB4">
        <w:rPr>
          <w:i/>
          <w:iCs/>
          <w:color w:val="000000"/>
        </w:rPr>
        <w:t>25</w:t>
      </w:r>
      <w:r w:rsidRPr="00534CB4">
        <w:rPr>
          <w:color w:val="000000"/>
        </w:rPr>
        <w:t>(3), 450–455. https://doi.org/10.1016/j.janxdis.2010.11.009</w:t>
      </w:r>
      <w:r w:rsidRPr="00534CB4">
        <w:rPr>
          <w:rStyle w:val="apple-converted-space"/>
          <w:color w:val="000000"/>
        </w:rPr>
        <w:t> </w:t>
      </w:r>
    </w:p>
    <w:p w14:paraId="4063460B" w14:textId="77777777" w:rsidR="00534CB4" w:rsidRPr="00534CB4" w:rsidRDefault="00534CB4" w:rsidP="00534CB4">
      <w:pPr>
        <w:spacing w:after="0" w:line="480" w:lineRule="auto"/>
        <w:ind w:left="720" w:hanging="720"/>
        <w:rPr>
          <w:rFonts w:ascii="Times New Roman" w:hAnsi="Times New Roman" w:cs="Times New Roman"/>
          <w:sz w:val="24"/>
          <w:szCs w:val="24"/>
          <w:shd w:val="clear" w:color="auto" w:fill="FFFFFF"/>
        </w:rPr>
      </w:pPr>
      <w:r w:rsidRPr="00534CB4">
        <w:rPr>
          <w:rFonts w:ascii="Times New Roman" w:hAnsi="Times New Roman" w:cs="Times New Roman"/>
          <w:sz w:val="24"/>
          <w:szCs w:val="24"/>
          <w:shd w:val="clear" w:color="auto" w:fill="FFFFFF"/>
        </w:rPr>
        <w:t>O’Brien, D., Harvey, K., Howse, J., Reardon, T., &amp; Creswell, C. (2016). Barriers to managing child and adolescent mental health problems: a systematic review of primary care practitioners’ perceptions. </w:t>
      </w:r>
      <w:r w:rsidRPr="00534CB4">
        <w:rPr>
          <w:rFonts w:ascii="Times New Roman" w:hAnsi="Times New Roman" w:cs="Times New Roman"/>
          <w:i/>
          <w:iCs/>
          <w:sz w:val="24"/>
          <w:szCs w:val="24"/>
          <w:shd w:val="clear" w:color="auto" w:fill="FFFFFF"/>
        </w:rPr>
        <w:t>British Journal of General Practice</w:t>
      </w:r>
      <w:r w:rsidRPr="00534CB4">
        <w:rPr>
          <w:rFonts w:ascii="Times New Roman" w:hAnsi="Times New Roman" w:cs="Times New Roman"/>
          <w:sz w:val="24"/>
          <w:szCs w:val="24"/>
          <w:shd w:val="clear" w:color="auto" w:fill="FFFFFF"/>
        </w:rPr>
        <w:t>, </w:t>
      </w:r>
      <w:r w:rsidRPr="00534CB4">
        <w:rPr>
          <w:rFonts w:ascii="Times New Roman" w:hAnsi="Times New Roman" w:cs="Times New Roman"/>
          <w:i/>
          <w:iCs/>
          <w:sz w:val="24"/>
          <w:szCs w:val="24"/>
          <w:shd w:val="clear" w:color="auto" w:fill="FFFFFF"/>
        </w:rPr>
        <w:t>66</w:t>
      </w:r>
      <w:r w:rsidRPr="00534CB4">
        <w:rPr>
          <w:rFonts w:ascii="Times New Roman" w:hAnsi="Times New Roman" w:cs="Times New Roman"/>
          <w:sz w:val="24"/>
          <w:szCs w:val="24"/>
          <w:shd w:val="clear" w:color="auto" w:fill="FFFFFF"/>
        </w:rPr>
        <w:t>(651), e693-e707.</w:t>
      </w:r>
    </w:p>
    <w:p w14:paraId="3B82F4E1"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t xml:space="preserve">Office for National Statistics. (2020) Children’s views on well-being and what makes a happy life, UK: 2020. Retrieved from: </w:t>
      </w:r>
      <w:hyperlink r:id="rId20" w:history="1">
        <w:r w:rsidRPr="00534CB4">
          <w:rPr>
            <w:rStyle w:val="Hyperlink"/>
            <w:rFonts w:ascii="Times New Roman" w:hAnsi="Times New Roman" w:cs="Times New Roman"/>
            <w:sz w:val="24"/>
            <w:szCs w:val="24"/>
          </w:rPr>
          <w:t>Children’s views on well-being and what makes a happy life, UK: 2020 - Office for National Statistics (ons.gov.uk)</w:t>
        </w:r>
      </w:hyperlink>
    </w:p>
    <w:p w14:paraId="57BD299E"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shd w:val="clear" w:color="auto" w:fill="FFFFFF"/>
        </w:rPr>
        <w:t>Parkin, E., &amp; Long, R. (2020). Support for children and young people’s mental health. </w:t>
      </w:r>
      <w:r w:rsidRPr="00534CB4">
        <w:rPr>
          <w:rFonts w:ascii="Times New Roman" w:hAnsi="Times New Roman" w:cs="Times New Roman"/>
          <w:i/>
          <w:iCs/>
          <w:sz w:val="24"/>
          <w:szCs w:val="24"/>
          <w:shd w:val="clear" w:color="auto" w:fill="FFFFFF"/>
        </w:rPr>
        <w:t>Briefing Paper. Number 07196, 21 July 2020</w:t>
      </w:r>
      <w:r w:rsidRPr="00534CB4">
        <w:rPr>
          <w:rFonts w:ascii="Times New Roman" w:hAnsi="Times New Roman" w:cs="Times New Roman"/>
          <w:sz w:val="24"/>
          <w:szCs w:val="24"/>
          <w:shd w:val="clear" w:color="auto" w:fill="FFFFFF"/>
        </w:rPr>
        <w:t>.</w:t>
      </w:r>
    </w:p>
    <w:p w14:paraId="0EF283D8" w14:textId="77777777" w:rsidR="00534CB4" w:rsidRPr="00534CB4" w:rsidRDefault="00534CB4" w:rsidP="00534CB4">
      <w:pPr>
        <w:spacing w:after="0" w:line="480" w:lineRule="auto"/>
        <w:ind w:left="720" w:hanging="720"/>
        <w:rPr>
          <w:rFonts w:ascii="Times New Roman" w:hAnsi="Times New Roman" w:cs="Times New Roman"/>
          <w:sz w:val="24"/>
          <w:szCs w:val="24"/>
          <w:shd w:val="clear" w:color="auto" w:fill="FFFFFF"/>
        </w:rPr>
      </w:pPr>
      <w:proofErr w:type="spellStart"/>
      <w:r w:rsidRPr="00534CB4">
        <w:rPr>
          <w:rFonts w:ascii="Times New Roman" w:hAnsi="Times New Roman" w:cs="Times New Roman"/>
          <w:sz w:val="24"/>
          <w:szCs w:val="24"/>
          <w:shd w:val="clear" w:color="auto" w:fill="FFFFFF"/>
        </w:rPr>
        <w:t>Patalay</w:t>
      </w:r>
      <w:proofErr w:type="spellEnd"/>
      <w:r w:rsidRPr="00534CB4">
        <w:rPr>
          <w:rFonts w:ascii="Times New Roman" w:hAnsi="Times New Roman" w:cs="Times New Roman"/>
          <w:sz w:val="24"/>
          <w:szCs w:val="24"/>
          <w:shd w:val="clear" w:color="auto" w:fill="FFFFFF"/>
        </w:rPr>
        <w:t>, P., &amp; Fitzsimons, E. (2020). Mental ill-health at age 17 in the UK. Age, 17, 28.</w:t>
      </w:r>
    </w:p>
    <w:p w14:paraId="08B8A919" w14:textId="77777777" w:rsidR="00534CB4" w:rsidRPr="00534CB4" w:rsidRDefault="00534CB4" w:rsidP="00534CB4">
      <w:pPr>
        <w:spacing w:after="0" w:line="480" w:lineRule="auto"/>
        <w:ind w:left="720" w:hanging="720"/>
        <w:rPr>
          <w:rFonts w:ascii="Times New Roman" w:hAnsi="Times New Roman" w:cs="Times New Roman"/>
          <w:sz w:val="24"/>
          <w:szCs w:val="24"/>
        </w:rPr>
      </w:pPr>
      <w:proofErr w:type="spellStart"/>
      <w:r w:rsidRPr="00534CB4">
        <w:rPr>
          <w:rFonts w:ascii="Times New Roman" w:hAnsi="Times New Roman" w:cs="Times New Roman"/>
          <w:sz w:val="24"/>
          <w:szCs w:val="24"/>
        </w:rPr>
        <w:t>Patalay</w:t>
      </w:r>
      <w:proofErr w:type="spellEnd"/>
      <w:r w:rsidRPr="00534CB4">
        <w:rPr>
          <w:rFonts w:ascii="Times New Roman" w:hAnsi="Times New Roman" w:cs="Times New Roman"/>
          <w:sz w:val="24"/>
          <w:szCs w:val="24"/>
        </w:rPr>
        <w:t xml:space="preserve">, P., Giese, L., Stanković, M., Curtin, C., </w:t>
      </w:r>
      <w:proofErr w:type="spellStart"/>
      <w:r w:rsidRPr="00534CB4">
        <w:rPr>
          <w:rFonts w:ascii="Times New Roman" w:hAnsi="Times New Roman" w:cs="Times New Roman"/>
          <w:sz w:val="24"/>
          <w:szCs w:val="24"/>
        </w:rPr>
        <w:t>Moltrecht</w:t>
      </w:r>
      <w:proofErr w:type="spellEnd"/>
      <w:r w:rsidRPr="00534CB4">
        <w:rPr>
          <w:rFonts w:ascii="Times New Roman" w:hAnsi="Times New Roman" w:cs="Times New Roman"/>
          <w:sz w:val="24"/>
          <w:szCs w:val="24"/>
        </w:rPr>
        <w:t xml:space="preserve">, B. and Gondek, D. (2016), </w:t>
      </w:r>
      <w:bookmarkStart w:id="9" w:name="_Hlk139014519"/>
      <w:r w:rsidRPr="00534CB4">
        <w:rPr>
          <w:rFonts w:ascii="Times New Roman" w:hAnsi="Times New Roman" w:cs="Times New Roman"/>
          <w:sz w:val="24"/>
          <w:szCs w:val="24"/>
        </w:rPr>
        <w:t>Mental health provision in schools: priority, facilitators and barriers in 10 European countries</w:t>
      </w:r>
      <w:r w:rsidRPr="00534CB4">
        <w:rPr>
          <w:rFonts w:ascii="Times New Roman" w:hAnsi="Times New Roman" w:cs="Times New Roman"/>
          <w:i/>
          <w:sz w:val="24"/>
          <w:szCs w:val="24"/>
        </w:rPr>
        <w:t xml:space="preserve">. </w:t>
      </w:r>
      <w:bookmarkEnd w:id="9"/>
      <w:r w:rsidRPr="00534CB4">
        <w:rPr>
          <w:rFonts w:ascii="Times New Roman" w:hAnsi="Times New Roman" w:cs="Times New Roman"/>
          <w:i/>
          <w:sz w:val="24"/>
          <w:szCs w:val="24"/>
        </w:rPr>
        <w:t xml:space="preserve">Child </w:t>
      </w:r>
      <w:proofErr w:type="spellStart"/>
      <w:r w:rsidRPr="00534CB4">
        <w:rPr>
          <w:rFonts w:ascii="Times New Roman" w:hAnsi="Times New Roman" w:cs="Times New Roman"/>
          <w:i/>
          <w:sz w:val="24"/>
          <w:szCs w:val="24"/>
        </w:rPr>
        <w:t>Adolesc</w:t>
      </w:r>
      <w:proofErr w:type="spellEnd"/>
      <w:r w:rsidRPr="00534CB4">
        <w:rPr>
          <w:rFonts w:ascii="Times New Roman" w:hAnsi="Times New Roman" w:cs="Times New Roman"/>
          <w:i/>
          <w:sz w:val="24"/>
          <w:szCs w:val="24"/>
        </w:rPr>
        <w:t xml:space="preserve"> Ment Health</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21,</w:t>
      </w:r>
      <w:r w:rsidRPr="00534CB4">
        <w:rPr>
          <w:rFonts w:ascii="Times New Roman" w:hAnsi="Times New Roman" w:cs="Times New Roman"/>
          <w:sz w:val="24"/>
          <w:szCs w:val="24"/>
        </w:rPr>
        <w:t xml:space="preserve"> 139-147. </w:t>
      </w:r>
      <w:hyperlink r:id="rId21" w:history="1">
        <w:r w:rsidRPr="00534CB4">
          <w:rPr>
            <w:rStyle w:val="Hyperlink"/>
            <w:rFonts w:ascii="Times New Roman" w:hAnsi="Times New Roman" w:cs="Times New Roman"/>
            <w:color w:val="auto"/>
            <w:sz w:val="24"/>
            <w:szCs w:val="24"/>
          </w:rPr>
          <w:t>https://doi.org/10.1111/camh.12160</w:t>
        </w:r>
      </w:hyperlink>
    </w:p>
    <w:p w14:paraId="2F3BDD54"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rPr>
        <w:t>Ratnayake, P., &amp; Hyde, C. (2019). Mental Health Literacy, help-seeking behaviour and wellbeing in young people: Implications for practice.</w:t>
      </w:r>
      <w:r w:rsidRPr="00534CB4">
        <w:rPr>
          <w:rStyle w:val="apple-converted-space"/>
          <w:color w:val="000000"/>
        </w:rPr>
        <w:t> </w:t>
      </w:r>
      <w:r w:rsidRPr="00534CB4">
        <w:rPr>
          <w:i/>
          <w:iCs/>
          <w:color w:val="000000"/>
        </w:rPr>
        <w:t>The Educational and Developmental Psychologist</w:t>
      </w:r>
      <w:r w:rsidRPr="00534CB4">
        <w:rPr>
          <w:color w:val="000000"/>
        </w:rPr>
        <w:t>,</w:t>
      </w:r>
      <w:r w:rsidRPr="00534CB4">
        <w:rPr>
          <w:rStyle w:val="apple-converted-space"/>
          <w:color w:val="000000"/>
        </w:rPr>
        <w:t> </w:t>
      </w:r>
      <w:r w:rsidRPr="00534CB4">
        <w:rPr>
          <w:i/>
          <w:iCs/>
          <w:color w:val="000000"/>
        </w:rPr>
        <w:t>36</w:t>
      </w:r>
      <w:r w:rsidRPr="00534CB4">
        <w:rPr>
          <w:color w:val="000000"/>
        </w:rPr>
        <w:t>(1), 16–21. https://doi.org/10.1017/edp.2019.1</w:t>
      </w:r>
      <w:r w:rsidRPr="00534CB4">
        <w:rPr>
          <w:rStyle w:val="apple-converted-space"/>
          <w:color w:val="000000"/>
        </w:rPr>
        <w:t> </w:t>
      </w:r>
    </w:p>
    <w:p w14:paraId="26A6B0AA" w14:textId="77777777" w:rsidR="00534CB4" w:rsidRPr="00534CB4" w:rsidRDefault="00534CB4" w:rsidP="00534CB4">
      <w:pPr>
        <w:spacing w:after="0" w:line="480" w:lineRule="auto"/>
        <w:ind w:left="720" w:hanging="720"/>
        <w:rPr>
          <w:rFonts w:ascii="Times New Roman" w:hAnsi="Times New Roman" w:cs="Times New Roman"/>
          <w:sz w:val="24"/>
          <w:szCs w:val="24"/>
          <w:shd w:val="clear" w:color="auto" w:fill="FFFFFF"/>
        </w:rPr>
      </w:pPr>
      <w:r w:rsidRPr="00534CB4">
        <w:rPr>
          <w:rFonts w:ascii="Times New Roman" w:hAnsi="Times New Roman" w:cs="Times New Roman"/>
          <w:sz w:val="24"/>
          <w:szCs w:val="24"/>
          <w:shd w:val="clear" w:color="auto" w:fill="FFFFFF"/>
        </w:rPr>
        <w:t>Reardon, T., Harvey, K., Baranowska, M., O’Brien, D., Smith, L., &amp; Creswell, C. (2017). What do parents perceive are the barriers and facilitators to accessing psychological treatment for mental health problems in children and adolescents? A systematic review of qualitative and quantitative studies. </w:t>
      </w:r>
      <w:r w:rsidRPr="00534CB4">
        <w:rPr>
          <w:rFonts w:ascii="Times New Roman" w:hAnsi="Times New Roman" w:cs="Times New Roman"/>
          <w:i/>
          <w:iCs/>
          <w:sz w:val="24"/>
          <w:szCs w:val="24"/>
          <w:shd w:val="clear" w:color="auto" w:fill="FFFFFF"/>
        </w:rPr>
        <w:t>European child &amp; adolescent psychiatry</w:t>
      </w:r>
      <w:r w:rsidRPr="00534CB4">
        <w:rPr>
          <w:rFonts w:ascii="Times New Roman" w:hAnsi="Times New Roman" w:cs="Times New Roman"/>
          <w:sz w:val="24"/>
          <w:szCs w:val="24"/>
          <w:shd w:val="clear" w:color="auto" w:fill="FFFFFF"/>
        </w:rPr>
        <w:t>, </w:t>
      </w:r>
      <w:r w:rsidRPr="00534CB4">
        <w:rPr>
          <w:rFonts w:ascii="Times New Roman" w:hAnsi="Times New Roman" w:cs="Times New Roman"/>
          <w:i/>
          <w:iCs/>
          <w:sz w:val="24"/>
          <w:szCs w:val="24"/>
          <w:shd w:val="clear" w:color="auto" w:fill="FFFFFF"/>
        </w:rPr>
        <w:t>26</w:t>
      </w:r>
      <w:r w:rsidRPr="00534CB4">
        <w:rPr>
          <w:rFonts w:ascii="Times New Roman" w:hAnsi="Times New Roman" w:cs="Times New Roman"/>
          <w:sz w:val="24"/>
          <w:szCs w:val="24"/>
          <w:shd w:val="clear" w:color="auto" w:fill="FFFFFF"/>
        </w:rPr>
        <w:t>(6), 623-647.</w:t>
      </w:r>
    </w:p>
    <w:p w14:paraId="63D438BB" w14:textId="77777777" w:rsidR="00534CB4" w:rsidRPr="00534CB4" w:rsidRDefault="00534CB4" w:rsidP="00534CB4">
      <w:pPr>
        <w:spacing w:after="0" w:line="480" w:lineRule="auto"/>
        <w:ind w:left="720" w:hanging="720"/>
        <w:rPr>
          <w:rFonts w:ascii="Times New Roman" w:hAnsi="Times New Roman" w:cs="Times New Roman"/>
          <w:sz w:val="24"/>
          <w:szCs w:val="24"/>
        </w:rPr>
      </w:pPr>
      <w:r w:rsidRPr="00534CB4">
        <w:rPr>
          <w:rFonts w:ascii="Times New Roman" w:hAnsi="Times New Roman" w:cs="Times New Roman"/>
          <w:sz w:val="24"/>
          <w:szCs w:val="24"/>
        </w:rPr>
        <w:lastRenderedPageBreak/>
        <w:t xml:space="preserve">Stephan, S.H., Weist, M., Kataoka, S., </w:t>
      </w:r>
      <w:proofErr w:type="spellStart"/>
      <w:r w:rsidRPr="00534CB4">
        <w:rPr>
          <w:rFonts w:ascii="Times New Roman" w:hAnsi="Times New Roman" w:cs="Times New Roman"/>
          <w:sz w:val="24"/>
          <w:szCs w:val="24"/>
        </w:rPr>
        <w:t>Adelsheim</w:t>
      </w:r>
      <w:proofErr w:type="spellEnd"/>
      <w:r w:rsidRPr="00534CB4">
        <w:rPr>
          <w:rFonts w:ascii="Times New Roman" w:hAnsi="Times New Roman" w:cs="Times New Roman"/>
          <w:sz w:val="24"/>
          <w:szCs w:val="24"/>
        </w:rPr>
        <w:t xml:space="preserve">, S., &amp; Mills, C. (2007). Transformation of children's mental health services: The role of school mental health. </w:t>
      </w:r>
      <w:r w:rsidRPr="00534CB4">
        <w:rPr>
          <w:rFonts w:ascii="Times New Roman" w:hAnsi="Times New Roman" w:cs="Times New Roman"/>
          <w:i/>
          <w:sz w:val="24"/>
          <w:szCs w:val="24"/>
        </w:rPr>
        <w:t>Psychiatric Services</w:t>
      </w:r>
      <w:r w:rsidRPr="00534CB4">
        <w:rPr>
          <w:rFonts w:ascii="Times New Roman" w:hAnsi="Times New Roman" w:cs="Times New Roman"/>
          <w:sz w:val="24"/>
          <w:szCs w:val="24"/>
        </w:rPr>
        <w:t xml:space="preserve">, </w:t>
      </w:r>
      <w:r w:rsidRPr="00534CB4">
        <w:rPr>
          <w:rFonts w:ascii="Times New Roman" w:hAnsi="Times New Roman" w:cs="Times New Roman"/>
          <w:i/>
          <w:sz w:val="24"/>
          <w:szCs w:val="24"/>
        </w:rPr>
        <w:t>58</w:t>
      </w:r>
      <w:r w:rsidRPr="00534CB4">
        <w:rPr>
          <w:rFonts w:ascii="Times New Roman" w:hAnsi="Times New Roman" w:cs="Times New Roman"/>
          <w:sz w:val="24"/>
          <w:szCs w:val="24"/>
        </w:rPr>
        <w:t>, 1330–1338.</w:t>
      </w:r>
    </w:p>
    <w:p w14:paraId="5F914901" w14:textId="77777777" w:rsidR="00534CB4" w:rsidRPr="00534CB4" w:rsidRDefault="00534CB4" w:rsidP="00534CB4">
      <w:pPr>
        <w:pStyle w:val="NormalWeb"/>
        <w:spacing w:before="0" w:beforeAutospacing="0" w:after="0" w:afterAutospacing="0" w:line="480" w:lineRule="auto"/>
        <w:ind w:left="720" w:hanging="720"/>
        <w:rPr>
          <w:color w:val="000000"/>
        </w:rPr>
      </w:pPr>
      <w:r w:rsidRPr="00534CB4">
        <w:rPr>
          <w:color w:val="000000"/>
        </w:rPr>
        <w:t xml:space="preserve">Van Oort, F. V. A., Greaves-Lord, K., Verhulst, F. C., </w:t>
      </w:r>
      <w:proofErr w:type="spellStart"/>
      <w:r w:rsidRPr="00534CB4">
        <w:rPr>
          <w:color w:val="000000"/>
        </w:rPr>
        <w:t>Ormel</w:t>
      </w:r>
      <w:proofErr w:type="spellEnd"/>
      <w:r w:rsidRPr="00534CB4">
        <w:rPr>
          <w:color w:val="000000"/>
        </w:rPr>
        <w:t xml:space="preserve">, J., &amp; </w:t>
      </w:r>
      <w:proofErr w:type="spellStart"/>
      <w:r w:rsidRPr="00534CB4">
        <w:rPr>
          <w:color w:val="000000"/>
        </w:rPr>
        <w:t>Huizink</w:t>
      </w:r>
      <w:proofErr w:type="spellEnd"/>
      <w:r w:rsidRPr="00534CB4">
        <w:rPr>
          <w:color w:val="000000"/>
        </w:rPr>
        <w:t>, A. C. (2009). The developmental course of anxiety symptoms during adolescence: The trails study.</w:t>
      </w:r>
      <w:r w:rsidRPr="00534CB4">
        <w:rPr>
          <w:rStyle w:val="apple-converted-space"/>
          <w:color w:val="000000"/>
        </w:rPr>
        <w:t> </w:t>
      </w:r>
      <w:r w:rsidRPr="00534CB4">
        <w:rPr>
          <w:i/>
          <w:iCs/>
          <w:color w:val="000000"/>
        </w:rPr>
        <w:t>Journal of Child Psychology and Psychiatry</w:t>
      </w:r>
      <w:r w:rsidRPr="00534CB4">
        <w:rPr>
          <w:color w:val="000000"/>
        </w:rPr>
        <w:t>,</w:t>
      </w:r>
      <w:r w:rsidRPr="00534CB4">
        <w:rPr>
          <w:rStyle w:val="apple-converted-space"/>
          <w:color w:val="000000"/>
        </w:rPr>
        <w:t> </w:t>
      </w:r>
      <w:r w:rsidRPr="00534CB4">
        <w:rPr>
          <w:i/>
          <w:iCs/>
          <w:color w:val="000000"/>
        </w:rPr>
        <w:t>50</w:t>
      </w:r>
      <w:r w:rsidRPr="00534CB4">
        <w:rPr>
          <w:color w:val="000000"/>
        </w:rPr>
        <w:t>(10), 1209–1217. https://doi.org/10.1111/j.1469-7610.2009.02092.x</w:t>
      </w:r>
      <w:r w:rsidRPr="00534CB4">
        <w:rPr>
          <w:rStyle w:val="apple-converted-space"/>
          <w:color w:val="000000"/>
        </w:rPr>
        <w:t> </w:t>
      </w:r>
    </w:p>
    <w:p w14:paraId="1846780B" w14:textId="77777777" w:rsidR="00B20684" w:rsidRPr="0047403E" w:rsidRDefault="00B20684" w:rsidP="00D573F5">
      <w:pPr>
        <w:rPr>
          <w:rFonts w:cstheme="minorHAnsi"/>
          <w:sz w:val="24"/>
          <w:szCs w:val="24"/>
        </w:rPr>
      </w:pPr>
    </w:p>
    <w:sectPr w:rsidR="00B20684" w:rsidRPr="0047403E" w:rsidSect="009E3A1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7EA02" w14:textId="77777777" w:rsidR="00377323" w:rsidRDefault="00377323" w:rsidP="004E13ED">
      <w:pPr>
        <w:spacing w:after="0" w:line="240" w:lineRule="auto"/>
      </w:pPr>
      <w:r>
        <w:separator/>
      </w:r>
    </w:p>
  </w:endnote>
  <w:endnote w:type="continuationSeparator" w:id="0">
    <w:p w14:paraId="78AF875B" w14:textId="77777777" w:rsidR="00377323" w:rsidRDefault="00377323" w:rsidP="004E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117483"/>
      <w:docPartObj>
        <w:docPartGallery w:val="Page Numbers (Bottom of Page)"/>
        <w:docPartUnique/>
      </w:docPartObj>
    </w:sdtPr>
    <w:sdtEndPr>
      <w:rPr>
        <w:rFonts w:ascii="Times New Roman" w:hAnsi="Times New Roman" w:cs="Times New Roman"/>
        <w:noProof/>
      </w:rPr>
    </w:sdtEndPr>
    <w:sdtContent>
      <w:p w14:paraId="450FE833" w14:textId="0AE382E3" w:rsidR="009E3A15" w:rsidRPr="009E3A15" w:rsidRDefault="009E3A15">
        <w:pPr>
          <w:pStyle w:val="Footer"/>
          <w:jc w:val="right"/>
          <w:rPr>
            <w:rFonts w:ascii="Times New Roman" w:hAnsi="Times New Roman" w:cs="Times New Roman"/>
          </w:rPr>
        </w:pPr>
        <w:r w:rsidRPr="009E3A15">
          <w:rPr>
            <w:rFonts w:ascii="Times New Roman" w:hAnsi="Times New Roman" w:cs="Times New Roman"/>
          </w:rPr>
          <w:fldChar w:fldCharType="begin"/>
        </w:r>
        <w:r w:rsidRPr="009E3A15">
          <w:rPr>
            <w:rFonts w:ascii="Times New Roman" w:hAnsi="Times New Roman" w:cs="Times New Roman"/>
          </w:rPr>
          <w:instrText xml:space="preserve"> PAGE   \* MERGEFORMAT </w:instrText>
        </w:r>
        <w:r w:rsidRPr="009E3A15">
          <w:rPr>
            <w:rFonts w:ascii="Times New Roman" w:hAnsi="Times New Roman" w:cs="Times New Roman"/>
          </w:rPr>
          <w:fldChar w:fldCharType="separate"/>
        </w:r>
        <w:r w:rsidRPr="009E3A15">
          <w:rPr>
            <w:rFonts w:ascii="Times New Roman" w:hAnsi="Times New Roman" w:cs="Times New Roman"/>
            <w:noProof/>
          </w:rPr>
          <w:t>2</w:t>
        </w:r>
        <w:r w:rsidRPr="009E3A15">
          <w:rPr>
            <w:rFonts w:ascii="Times New Roman" w:hAnsi="Times New Roman" w:cs="Times New Roman"/>
            <w:noProof/>
          </w:rPr>
          <w:fldChar w:fldCharType="end"/>
        </w:r>
      </w:p>
    </w:sdtContent>
  </w:sdt>
  <w:p w14:paraId="43FA53A2" w14:textId="77777777" w:rsidR="00307E29" w:rsidRDefault="0030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6D743" w14:textId="77777777" w:rsidR="00377323" w:rsidRDefault="00377323" w:rsidP="004E13ED">
      <w:pPr>
        <w:spacing w:after="0" w:line="240" w:lineRule="auto"/>
      </w:pPr>
      <w:r>
        <w:separator/>
      </w:r>
    </w:p>
  </w:footnote>
  <w:footnote w:type="continuationSeparator" w:id="0">
    <w:p w14:paraId="7A58D7D4" w14:textId="77777777" w:rsidR="00377323" w:rsidRDefault="00377323" w:rsidP="004E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0243" w14:textId="59C604BB" w:rsidR="009D2316" w:rsidRPr="0016002B" w:rsidRDefault="009D2316" w:rsidP="009D2316">
    <w:pPr>
      <w:pStyle w:val="Header"/>
      <w:rPr>
        <w:rFonts w:ascii="Times New Roman" w:hAnsi="Times New Roman" w:cs="Times New Roman"/>
        <w:sz w:val="24"/>
      </w:rPr>
    </w:pPr>
    <w:bookmarkStart w:id="10" w:name="_Hlk163210400"/>
    <w:r w:rsidRPr="0016002B">
      <w:rPr>
        <w:rFonts w:ascii="Times New Roman" w:hAnsi="Times New Roman" w:cs="Times New Roman"/>
        <w:sz w:val="24"/>
      </w:rPr>
      <w:t>CHARACTERISTICS OF REFERRALS</w:t>
    </w:r>
    <w:r>
      <w:rPr>
        <w:rFonts w:ascii="Times New Roman" w:hAnsi="Times New Roman" w:cs="Times New Roman"/>
        <w:sz w:val="24"/>
      </w:rPr>
      <w:t xml:space="preserve"> TO SCHOOL MENTAL HEALTH SERVICE</w:t>
    </w:r>
  </w:p>
  <w:bookmarkEnd w:id="10"/>
  <w:p w14:paraId="3F16932C" w14:textId="77777777" w:rsidR="009D2316" w:rsidRDefault="009D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17181"/>
    <w:multiLevelType w:val="hybridMultilevel"/>
    <w:tmpl w:val="E8EAD8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41AA4"/>
    <w:multiLevelType w:val="hybridMultilevel"/>
    <w:tmpl w:val="E3DAD8FC"/>
    <w:lvl w:ilvl="0" w:tplc="666829C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57DA2"/>
    <w:multiLevelType w:val="multilevel"/>
    <w:tmpl w:val="3B1AB60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2F1208"/>
    <w:multiLevelType w:val="hybridMultilevel"/>
    <w:tmpl w:val="04F6AF02"/>
    <w:lvl w:ilvl="0" w:tplc="55B8F53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E5545"/>
    <w:multiLevelType w:val="hybridMultilevel"/>
    <w:tmpl w:val="AEB62A6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7F4A93"/>
    <w:multiLevelType w:val="hybridMultilevel"/>
    <w:tmpl w:val="6A72F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253A0"/>
    <w:multiLevelType w:val="hybridMultilevel"/>
    <w:tmpl w:val="38A2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B65C2B"/>
    <w:multiLevelType w:val="hybridMultilevel"/>
    <w:tmpl w:val="EEA49D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129A5"/>
    <w:multiLevelType w:val="multilevel"/>
    <w:tmpl w:val="1B946A34"/>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6745CCC"/>
    <w:multiLevelType w:val="hybridMultilevel"/>
    <w:tmpl w:val="EEA49D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5167E"/>
    <w:multiLevelType w:val="hybridMultilevel"/>
    <w:tmpl w:val="62026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7070C"/>
    <w:multiLevelType w:val="hybridMultilevel"/>
    <w:tmpl w:val="E2AA5336"/>
    <w:lvl w:ilvl="0" w:tplc="466885F0">
      <w:start w:val="9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522A6"/>
    <w:multiLevelType w:val="hybridMultilevel"/>
    <w:tmpl w:val="62026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AF12E7"/>
    <w:multiLevelType w:val="hybridMultilevel"/>
    <w:tmpl w:val="9A6CB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931A3"/>
    <w:multiLevelType w:val="hybridMultilevel"/>
    <w:tmpl w:val="41DC26AC"/>
    <w:lvl w:ilvl="0" w:tplc="60AE6A9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A31E5E"/>
    <w:multiLevelType w:val="hybridMultilevel"/>
    <w:tmpl w:val="7C6E0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EBC53F6"/>
    <w:multiLevelType w:val="hybridMultilevel"/>
    <w:tmpl w:val="A67200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51B5501C"/>
    <w:multiLevelType w:val="multilevel"/>
    <w:tmpl w:val="30BABF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C73DB1"/>
    <w:multiLevelType w:val="hybridMultilevel"/>
    <w:tmpl w:val="07F82E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656E0"/>
    <w:multiLevelType w:val="multilevel"/>
    <w:tmpl w:val="1B946A34"/>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AB21C48"/>
    <w:multiLevelType w:val="hybridMultilevel"/>
    <w:tmpl w:val="68363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1500E"/>
    <w:multiLevelType w:val="hybridMultilevel"/>
    <w:tmpl w:val="E2382316"/>
    <w:lvl w:ilvl="0" w:tplc="E4D665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9E3A22"/>
    <w:multiLevelType w:val="hybridMultilevel"/>
    <w:tmpl w:val="BD32A7F4"/>
    <w:lvl w:ilvl="0" w:tplc="B2329B5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DF278D"/>
    <w:multiLevelType w:val="multilevel"/>
    <w:tmpl w:val="1B946A34"/>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AD42749"/>
    <w:multiLevelType w:val="hybridMultilevel"/>
    <w:tmpl w:val="C230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376A1"/>
    <w:multiLevelType w:val="hybridMultilevel"/>
    <w:tmpl w:val="EEA49D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B8254A"/>
    <w:multiLevelType w:val="hybridMultilevel"/>
    <w:tmpl w:val="17B847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E7320"/>
    <w:multiLevelType w:val="hybridMultilevel"/>
    <w:tmpl w:val="ABB2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94866"/>
    <w:multiLevelType w:val="hybridMultilevel"/>
    <w:tmpl w:val="49C46CA4"/>
    <w:lvl w:ilvl="0" w:tplc="466885F0">
      <w:start w:val="99"/>
      <w:numFmt w:val="bullet"/>
      <w:lvlText w:val="-"/>
      <w:lvlJc w:val="left"/>
      <w:pPr>
        <w:ind w:left="720" w:hanging="360"/>
      </w:pPr>
      <w:rPr>
        <w:rFonts w:ascii="Calibri" w:eastAsiaTheme="minorHAnsi" w:hAnsi="Calibri" w:cs="Calibri"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70707"/>
    <w:multiLevelType w:val="hybridMultilevel"/>
    <w:tmpl w:val="62026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925422">
    <w:abstractNumId w:val="11"/>
  </w:num>
  <w:num w:numId="2" w16cid:durableId="1119690129">
    <w:abstractNumId w:val="14"/>
  </w:num>
  <w:num w:numId="3" w16cid:durableId="209922379">
    <w:abstractNumId w:val="21"/>
  </w:num>
  <w:num w:numId="4" w16cid:durableId="1970696728">
    <w:abstractNumId w:val="26"/>
  </w:num>
  <w:num w:numId="5" w16cid:durableId="906963916">
    <w:abstractNumId w:val="28"/>
  </w:num>
  <w:num w:numId="6" w16cid:durableId="1164391469">
    <w:abstractNumId w:val="22"/>
  </w:num>
  <w:num w:numId="7" w16cid:durableId="1518277789">
    <w:abstractNumId w:val="4"/>
  </w:num>
  <w:num w:numId="8" w16cid:durableId="1909221088">
    <w:abstractNumId w:val="2"/>
  </w:num>
  <w:num w:numId="9" w16cid:durableId="621572721">
    <w:abstractNumId w:val="1"/>
  </w:num>
  <w:num w:numId="10" w16cid:durableId="617565102">
    <w:abstractNumId w:val="7"/>
  </w:num>
  <w:num w:numId="11" w16cid:durableId="970398484">
    <w:abstractNumId w:val="25"/>
  </w:num>
  <w:num w:numId="12" w16cid:durableId="1610627044">
    <w:abstractNumId w:val="9"/>
  </w:num>
  <w:num w:numId="13" w16cid:durableId="549732100">
    <w:abstractNumId w:val="17"/>
  </w:num>
  <w:num w:numId="14" w16cid:durableId="1738697896">
    <w:abstractNumId w:val="5"/>
  </w:num>
  <w:num w:numId="15" w16cid:durableId="546338198">
    <w:abstractNumId w:val="23"/>
  </w:num>
  <w:num w:numId="16" w16cid:durableId="896818612">
    <w:abstractNumId w:val="19"/>
  </w:num>
  <w:num w:numId="17" w16cid:durableId="243955901">
    <w:abstractNumId w:val="8"/>
  </w:num>
  <w:num w:numId="18" w16cid:durableId="402608316">
    <w:abstractNumId w:val="20"/>
  </w:num>
  <w:num w:numId="19" w16cid:durableId="533618092">
    <w:abstractNumId w:val="3"/>
  </w:num>
  <w:num w:numId="20" w16cid:durableId="1312563216">
    <w:abstractNumId w:val="13"/>
  </w:num>
  <w:num w:numId="21" w16cid:durableId="224267227">
    <w:abstractNumId w:val="16"/>
  </w:num>
  <w:num w:numId="22" w16cid:durableId="218711128">
    <w:abstractNumId w:val="27"/>
  </w:num>
  <w:num w:numId="23" w16cid:durableId="283123376">
    <w:abstractNumId w:val="6"/>
  </w:num>
  <w:num w:numId="24" w16cid:durableId="1492404797">
    <w:abstractNumId w:val="15"/>
  </w:num>
  <w:num w:numId="25" w16cid:durableId="100151106">
    <w:abstractNumId w:val="10"/>
  </w:num>
  <w:num w:numId="26" w16cid:durableId="279848384">
    <w:abstractNumId w:val="12"/>
  </w:num>
  <w:num w:numId="27" w16cid:durableId="1179583460">
    <w:abstractNumId w:val="18"/>
  </w:num>
  <w:num w:numId="28" w16cid:durableId="451559868">
    <w:abstractNumId w:val="0"/>
  </w:num>
  <w:num w:numId="29" w16cid:durableId="1645817045">
    <w:abstractNumId w:val="29"/>
  </w:num>
  <w:num w:numId="30" w16cid:durableId="14929417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B7"/>
    <w:rsid w:val="00000AA6"/>
    <w:rsid w:val="000027AC"/>
    <w:rsid w:val="00005965"/>
    <w:rsid w:val="00010306"/>
    <w:rsid w:val="000108A6"/>
    <w:rsid w:val="00012B45"/>
    <w:rsid w:val="00015188"/>
    <w:rsid w:val="00016F24"/>
    <w:rsid w:val="00020E2D"/>
    <w:rsid w:val="00025E46"/>
    <w:rsid w:val="00026EA7"/>
    <w:rsid w:val="00031F07"/>
    <w:rsid w:val="00032435"/>
    <w:rsid w:val="00032944"/>
    <w:rsid w:val="00033F5E"/>
    <w:rsid w:val="00037B09"/>
    <w:rsid w:val="00037C7E"/>
    <w:rsid w:val="00047AA6"/>
    <w:rsid w:val="000518A5"/>
    <w:rsid w:val="00055D19"/>
    <w:rsid w:val="00056598"/>
    <w:rsid w:val="000571D1"/>
    <w:rsid w:val="000611A8"/>
    <w:rsid w:val="0006497B"/>
    <w:rsid w:val="000678EA"/>
    <w:rsid w:val="000728BE"/>
    <w:rsid w:val="0007311C"/>
    <w:rsid w:val="000734F6"/>
    <w:rsid w:val="000735D0"/>
    <w:rsid w:val="00074F56"/>
    <w:rsid w:val="00075C5A"/>
    <w:rsid w:val="000764A4"/>
    <w:rsid w:val="00087AE9"/>
    <w:rsid w:val="000915EE"/>
    <w:rsid w:val="000A6085"/>
    <w:rsid w:val="000B6483"/>
    <w:rsid w:val="000B78C8"/>
    <w:rsid w:val="000B7EC3"/>
    <w:rsid w:val="000C2B5A"/>
    <w:rsid w:val="000C5144"/>
    <w:rsid w:val="000C6679"/>
    <w:rsid w:val="000C6E93"/>
    <w:rsid w:val="000D7B31"/>
    <w:rsid w:val="000E3322"/>
    <w:rsid w:val="000E438F"/>
    <w:rsid w:val="000E46D3"/>
    <w:rsid w:val="000E62AD"/>
    <w:rsid w:val="000E6F2E"/>
    <w:rsid w:val="000E7207"/>
    <w:rsid w:val="000F0354"/>
    <w:rsid w:val="000F114D"/>
    <w:rsid w:val="000F2407"/>
    <w:rsid w:val="000F690C"/>
    <w:rsid w:val="00100430"/>
    <w:rsid w:val="001062D1"/>
    <w:rsid w:val="001167D3"/>
    <w:rsid w:val="00123A24"/>
    <w:rsid w:val="00124257"/>
    <w:rsid w:val="001355E3"/>
    <w:rsid w:val="0013742E"/>
    <w:rsid w:val="00145F6E"/>
    <w:rsid w:val="00146DD2"/>
    <w:rsid w:val="00147750"/>
    <w:rsid w:val="00154492"/>
    <w:rsid w:val="001553EC"/>
    <w:rsid w:val="00156DBB"/>
    <w:rsid w:val="0016002B"/>
    <w:rsid w:val="00160D85"/>
    <w:rsid w:val="00162ED8"/>
    <w:rsid w:val="0016482E"/>
    <w:rsid w:val="001717BD"/>
    <w:rsid w:val="001741E6"/>
    <w:rsid w:val="00191D33"/>
    <w:rsid w:val="001A1244"/>
    <w:rsid w:val="001A4F05"/>
    <w:rsid w:val="001A6E9B"/>
    <w:rsid w:val="001C085F"/>
    <w:rsid w:val="001C22D4"/>
    <w:rsid w:val="001C7F0F"/>
    <w:rsid w:val="001D254F"/>
    <w:rsid w:val="001D3077"/>
    <w:rsid w:val="001D4C42"/>
    <w:rsid w:val="001D597B"/>
    <w:rsid w:val="001E5189"/>
    <w:rsid w:val="001F2F78"/>
    <w:rsid w:val="001F51A5"/>
    <w:rsid w:val="001F69BA"/>
    <w:rsid w:val="002041F5"/>
    <w:rsid w:val="002065B8"/>
    <w:rsid w:val="00206DB7"/>
    <w:rsid w:val="0021030A"/>
    <w:rsid w:val="00215566"/>
    <w:rsid w:val="002209EF"/>
    <w:rsid w:val="00223BEF"/>
    <w:rsid w:val="00227595"/>
    <w:rsid w:val="0023095B"/>
    <w:rsid w:val="00231E33"/>
    <w:rsid w:val="00234365"/>
    <w:rsid w:val="00241C0A"/>
    <w:rsid w:val="00244CF2"/>
    <w:rsid w:val="0024653F"/>
    <w:rsid w:val="00252576"/>
    <w:rsid w:val="00256C48"/>
    <w:rsid w:val="00257621"/>
    <w:rsid w:val="00260C0F"/>
    <w:rsid w:val="00284473"/>
    <w:rsid w:val="00284B1A"/>
    <w:rsid w:val="00285401"/>
    <w:rsid w:val="002872EC"/>
    <w:rsid w:val="00291A9E"/>
    <w:rsid w:val="00291D2E"/>
    <w:rsid w:val="00291F71"/>
    <w:rsid w:val="00292642"/>
    <w:rsid w:val="002A30B1"/>
    <w:rsid w:val="002B2C75"/>
    <w:rsid w:val="002C07EE"/>
    <w:rsid w:val="002C3474"/>
    <w:rsid w:val="002C45E7"/>
    <w:rsid w:val="002C7985"/>
    <w:rsid w:val="002D01B9"/>
    <w:rsid w:val="002D3876"/>
    <w:rsid w:val="002E15E9"/>
    <w:rsid w:val="002E27FD"/>
    <w:rsid w:val="002E4ED8"/>
    <w:rsid w:val="002F0693"/>
    <w:rsid w:val="002F56CF"/>
    <w:rsid w:val="002F6175"/>
    <w:rsid w:val="003004EB"/>
    <w:rsid w:val="00301901"/>
    <w:rsid w:val="0030580A"/>
    <w:rsid w:val="00307E29"/>
    <w:rsid w:val="00311A7E"/>
    <w:rsid w:val="0031202C"/>
    <w:rsid w:val="003176E9"/>
    <w:rsid w:val="00322914"/>
    <w:rsid w:val="00323AE8"/>
    <w:rsid w:val="00325F53"/>
    <w:rsid w:val="00333124"/>
    <w:rsid w:val="00334479"/>
    <w:rsid w:val="003403C7"/>
    <w:rsid w:val="00343164"/>
    <w:rsid w:val="00355688"/>
    <w:rsid w:val="0035778A"/>
    <w:rsid w:val="00363F8C"/>
    <w:rsid w:val="00366E2E"/>
    <w:rsid w:val="00370C9F"/>
    <w:rsid w:val="00377323"/>
    <w:rsid w:val="00382F07"/>
    <w:rsid w:val="003900A8"/>
    <w:rsid w:val="003925FA"/>
    <w:rsid w:val="00393AF1"/>
    <w:rsid w:val="003A43E8"/>
    <w:rsid w:val="003A6B3E"/>
    <w:rsid w:val="003A6B5C"/>
    <w:rsid w:val="003A721A"/>
    <w:rsid w:val="003B1CB0"/>
    <w:rsid w:val="003B1D32"/>
    <w:rsid w:val="003B3B55"/>
    <w:rsid w:val="003C1024"/>
    <w:rsid w:val="003C2725"/>
    <w:rsid w:val="003D3354"/>
    <w:rsid w:val="003D3511"/>
    <w:rsid w:val="003E2E39"/>
    <w:rsid w:val="003F19F4"/>
    <w:rsid w:val="003F5A3F"/>
    <w:rsid w:val="004033C9"/>
    <w:rsid w:val="00403DF3"/>
    <w:rsid w:val="00405895"/>
    <w:rsid w:val="0041036E"/>
    <w:rsid w:val="00413177"/>
    <w:rsid w:val="00415316"/>
    <w:rsid w:val="00423198"/>
    <w:rsid w:val="00431AB2"/>
    <w:rsid w:val="0043449B"/>
    <w:rsid w:val="00436BA5"/>
    <w:rsid w:val="00437A65"/>
    <w:rsid w:val="00443B8A"/>
    <w:rsid w:val="0044463A"/>
    <w:rsid w:val="004448F5"/>
    <w:rsid w:val="004622A5"/>
    <w:rsid w:val="004629DF"/>
    <w:rsid w:val="00472518"/>
    <w:rsid w:val="0047403E"/>
    <w:rsid w:val="00475A5B"/>
    <w:rsid w:val="00481F48"/>
    <w:rsid w:val="00482A84"/>
    <w:rsid w:val="004A6B43"/>
    <w:rsid w:val="004B38FE"/>
    <w:rsid w:val="004C3029"/>
    <w:rsid w:val="004C39F5"/>
    <w:rsid w:val="004C449E"/>
    <w:rsid w:val="004D140F"/>
    <w:rsid w:val="004D6BAC"/>
    <w:rsid w:val="004E0C41"/>
    <w:rsid w:val="004E13ED"/>
    <w:rsid w:val="004E2A13"/>
    <w:rsid w:val="004E479B"/>
    <w:rsid w:val="004E5148"/>
    <w:rsid w:val="004E5909"/>
    <w:rsid w:val="004E739D"/>
    <w:rsid w:val="004F0D9A"/>
    <w:rsid w:val="004F5C9C"/>
    <w:rsid w:val="004F78A3"/>
    <w:rsid w:val="00501E55"/>
    <w:rsid w:val="00503CCC"/>
    <w:rsid w:val="005157B8"/>
    <w:rsid w:val="00517161"/>
    <w:rsid w:val="00534CB4"/>
    <w:rsid w:val="005357F0"/>
    <w:rsid w:val="00540F6A"/>
    <w:rsid w:val="00554F68"/>
    <w:rsid w:val="00555EA2"/>
    <w:rsid w:val="005628E2"/>
    <w:rsid w:val="00565639"/>
    <w:rsid w:val="00573360"/>
    <w:rsid w:val="0057615F"/>
    <w:rsid w:val="00577394"/>
    <w:rsid w:val="00577C62"/>
    <w:rsid w:val="0059186C"/>
    <w:rsid w:val="00591CED"/>
    <w:rsid w:val="00594815"/>
    <w:rsid w:val="00594A97"/>
    <w:rsid w:val="00594D63"/>
    <w:rsid w:val="00597ADE"/>
    <w:rsid w:val="005A0675"/>
    <w:rsid w:val="005B153C"/>
    <w:rsid w:val="005B75A3"/>
    <w:rsid w:val="005C07DA"/>
    <w:rsid w:val="005C24B4"/>
    <w:rsid w:val="005C4597"/>
    <w:rsid w:val="005C722F"/>
    <w:rsid w:val="005D6999"/>
    <w:rsid w:val="005E13C2"/>
    <w:rsid w:val="005E5066"/>
    <w:rsid w:val="005E50FB"/>
    <w:rsid w:val="005F1368"/>
    <w:rsid w:val="005F166D"/>
    <w:rsid w:val="005F4285"/>
    <w:rsid w:val="005F4A24"/>
    <w:rsid w:val="005F5EA5"/>
    <w:rsid w:val="005F6855"/>
    <w:rsid w:val="006005BD"/>
    <w:rsid w:val="00620301"/>
    <w:rsid w:val="00636489"/>
    <w:rsid w:val="006462BE"/>
    <w:rsid w:val="00655C1F"/>
    <w:rsid w:val="00656CA9"/>
    <w:rsid w:val="00667C15"/>
    <w:rsid w:val="00671E71"/>
    <w:rsid w:val="0067651C"/>
    <w:rsid w:val="0068153D"/>
    <w:rsid w:val="00685539"/>
    <w:rsid w:val="00686D53"/>
    <w:rsid w:val="00695B85"/>
    <w:rsid w:val="00696931"/>
    <w:rsid w:val="006A34CE"/>
    <w:rsid w:val="006A3964"/>
    <w:rsid w:val="006A51F0"/>
    <w:rsid w:val="006B448E"/>
    <w:rsid w:val="006B68B1"/>
    <w:rsid w:val="006B7902"/>
    <w:rsid w:val="006C0DFF"/>
    <w:rsid w:val="006D2135"/>
    <w:rsid w:val="006D3563"/>
    <w:rsid w:val="006D4C9B"/>
    <w:rsid w:val="006D6C33"/>
    <w:rsid w:val="006E1846"/>
    <w:rsid w:val="006E1E56"/>
    <w:rsid w:val="006E5CAF"/>
    <w:rsid w:val="006F114D"/>
    <w:rsid w:val="006F5D5B"/>
    <w:rsid w:val="006F6255"/>
    <w:rsid w:val="00700323"/>
    <w:rsid w:val="00703090"/>
    <w:rsid w:val="00703360"/>
    <w:rsid w:val="00704EB1"/>
    <w:rsid w:val="00705A70"/>
    <w:rsid w:val="0071468C"/>
    <w:rsid w:val="00716210"/>
    <w:rsid w:val="00731E94"/>
    <w:rsid w:val="007370D9"/>
    <w:rsid w:val="00740DEC"/>
    <w:rsid w:val="0074352E"/>
    <w:rsid w:val="00745A23"/>
    <w:rsid w:val="00757E5F"/>
    <w:rsid w:val="00757F0D"/>
    <w:rsid w:val="007704A9"/>
    <w:rsid w:val="00770676"/>
    <w:rsid w:val="007728D7"/>
    <w:rsid w:val="007758A1"/>
    <w:rsid w:val="007769A4"/>
    <w:rsid w:val="007772DB"/>
    <w:rsid w:val="007773F2"/>
    <w:rsid w:val="00781BE5"/>
    <w:rsid w:val="00782433"/>
    <w:rsid w:val="00784FEB"/>
    <w:rsid w:val="007872EE"/>
    <w:rsid w:val="00792B9D"/>
    <w:rsid w:val="00793AE3"/>
    <w:rsid w:val="007A3FAF"/>
    <w:rsid w:val="007B589B"/>
    <w:rsid w:val="007B5B68"/>
    <w:rsid w:val="007C49C4"/>
    <w:rsid w:val="007C7CFD"/>
    <w:rsid w:val="007D303A"/>
    <w:rsid w:val="007E3D35"/>
    <w:rsid w:val="007E4CAF"/>
    <w:rsid w:val="007E61F4"/>
    <w:rsid w:val="007E6AB1"/>
    <w:rsid w:val="007F5E54"/>
    <w:rsid w:val="007F78CE"/>
    <w:rsid w:val="00802A1B"/>
    <w:rsid w:val="00805BC8"/>
    <w:rsid w:val="00806657"/>
    <w:rsid w:val="0081137F"/>
    <w:rsid w:val="008127AE"/>
    <w:rsid w:val="008160A0"/>
    <w:rsid w:val="00832522"/>
    <w:rsid w:val="0083335E"/>
    <w:rsid w:val="008364D9"/>
    <w:rsid w:val="0084058A"/>
    <w:rsid w:val="00843A32"/>
    <w:rsid w:val="00844502"/>
    <w:rsid w:val="00851D82"/>
    <w:rsid w:val="00853F13"/>
    <w:rsid w:val="008555D0"/>
    <w:rsid w:val="008603AD"/>
    <w:rsid w:val="00862BA5"/>
    <w:rsid w:val="00864990"/>
    <w:rsid w:val="00864EBC"/>
    <w:rsid w:val="00870099"/>
    <w:rsid w:val="00870869"/>
    <w:rsid w:val="00877467"/>
    <w:rsid w:val="00877E59"/>
    <w:rsid w:val="0088092E"/>
    <w:rsid w:val="00881372"/>
    <w:rsid w:val="00882D56"/>
    <w:rsid w:val="008833C9"/>
    <w:rsid w:val="00891DFE"/>
    <w:rsid w:val="008926AE"/>
    <w:rsid w:val="008A4E3F"/>
    <w:rsid w:val="008B4391"/>
    <w:rsid w:val="008B47A7"/>
    <w:rsid w:val="008B6328"/>
    <w:rsid w:val="008C368F"/>
    <w:rsid w:val="008C390C"/>
    <w:rsid w:val="008C55DD"/>
    <w:rsid w:val="008C6EA5"/>
    <w:rsid w:val="008D0936"/>
    <w:rsid w:val="008D3DA5"/>
    <w:rsid w:val="008E3A2B"/>
    <w:rsid w:val="008E4099"/>
    <w:rsid w:val="008E6571"/>
    <w:rsid w:val="008F77B6"/>
    <w:rsid w:val="008F7DA8"/>
    <w:rsid w:val="009011BB"/>
    <w:rsid w:val="00901CC5"/>
    <w:rsid w:val="00905E23"/>
    <w:rsid w:val="00907DF9"/>
    <w:rsid w:val="0091287C"/>
    <w:rsid w:val="009157BF"/>
    <w:rsid w:val="00916A09"/>
    <w:rsid w:val="00920F2E"/>
    <w:rsid w:val="00922BD1"/>
    <w:rsid w:val="009255C1"/>
    <w:rsid w:val="00926C24"/>
    <w:rsid w:val="009332B1"/>
    <w:rsid w:val="009341D5"/>
    <w:rsid w:val="00937647"/>
    <w:rsid w:val="0093765E"/>
    <w:rsid w:val="0094187B"/>
    <w:rsid w:val="009437A0"/>
    <w:rsid w:val="0094408B"/>
    <w:rsid w:val="00946FA2"/>
    <w:rsid w:val="00954709"/>
    <w:rsid w:val="0095634F"/>
    <w:rsid w:val="00956948"/>
    <w:rsid w:val="00963F55"/>
    <w:rsid w:val="009653FB"/>
    <w:rsid w:val="00965AB9"/>
    <w:rsid w:val="009662B2"/>
    <w:rsid w:val="009678E7"/>
    <w:rsid w:val="00971455"/>
    <w:rsid w:val="009734D2"/>
    <w:rsid w:val="00975C91"/>
    <w:rsid w:val="009818BA"/>
    <w:rsid w:val="0098322E"/>
    <w:rsid w:val="00993B81"/>
    <w:rsid w:val="00993BD6"/>
    <w:rsid w:val="00995EB7"/>
    <w:rsid w:val="00996E14"/>
    <w:rsid w:val="009978B7"/>
    <w:rsid w:val="009A0C49"/>
    <w:rsid w:val="009A3161"/>
    <w:rsid w:val="009C3BC1"/>
    <w:rsid w:val="009C7DB1"/>
    <w:rsid w:val="009D2316"/>
    <w:rsid w:val="009E2B0A"/>
    <w:rsid w:val="009E3A15"/>
    <w:rsid w:val="009E4459"/>
    <w:rsid w:val="009E4FF6"/>
    <w:rsid w:val="009E71C9"/>
    <w:rsid w:val="009F343A"/>
    <w:rsid w:val="009F3F7C"/>
    <w:rsid w:val="009F43B1"/>
    <w:rsid w:val="009F495C"/>
    <w:rsid w:val="009F4DF8"/>
    <w:rsid w:val="009F6D12"/>
    <w:rsid w:val="009F7169"/>
    <w:rsid w:val="00A022A9"/>
    <w:rsid w:val="00A02436"/>
    <w:rsid w:val="00A06CA6"/>
    <w:rsid w:val="00A10E8E"/>
    <w:rsid w:val="00A11863"/>
    <w:rsid w:val="00A219E7"/>
    <w:rsid w:val="00A21D33"/>
    <w:rsid w:val="00A2443B"/>
    <w:rsid w:val="00A25FFE"/>
    <w:rsid w:val="00A26184"/>
    <w:rsid w:val="00A26B14"/>
    <w:rsid w:val="00A26B73"/>
    <w:rsid w:val="00A36B1B"/>
    <w:rsid w:val="00A40BB5"/>
    <w:rsid w:val="00A40F0E"/>
    <w:rsid w:val="00A42398"/>
    <w:rsid w:val="00A531BF"/>
    <w:rsid w:val="00A54EE2"/>
    <w:rsid w:val="00A61A4B"/>
    <w:rsid w:val="00A6280C"/>
    <w:rsid w:val="00A6358B"/>
    <w:rsid w:val="00A66148"/>
    <w:rsid w:val="00A6655D"/>
    <w:rsid w:val="00A70189"/>
    <w:rsid w:val="00A824E8"/>
    <w:rsid w:val="00A82973"/>
    <w:rsid w:val="00A8615A"/>
    <w:rsid w:val="00A87A1F"/>
    <w:rsid w:val="00A95BD9"/>
    <w:rsid w:val="00A97429"/>
    <w:rsid w:val="00AA2528"/>
    <w:rsid w:val="00AA2717"/>
    <w:rsid w:val="00AA51E0"/>
    <w:rsid w:val="00AA7EC8"/>
    <w:rsid w:val="00AB2E38"/>
    <w:rsid w:val="00AB576C"/>
    <w:rsid w:val="00AB668A"/>
    <w:rsid w:val="00AC6217"/>
    <w:rsid w:val="00AC7168"/>
    <w:rsid w:val="00AD5393"/>
    <w:rsid w:val="00AD64CE"/>
    <w:rsid w:val="00AD7777"/>
    <w:rsid w:val="00AF1E46"/>
    <w:rsid w:val="00AF3F37"/>
    <w:rsid w:val="00AF3F7F"/>
    <w:rsid w:val="00B02DF2"/>
    <w:rsid w:val="00B069AA"/>
    <w:rsid w:val="00B074B4"/>
    <w:rsid w:val="00B16B30"/>
    <w:rsid w:val="00B20684"/>
    <w:rsid w:val="00B23F80"/>
    <w:rsid w:val="00B2599C"/>
    <w:rsid w:val="00B30C3F"/>
    <w:rsid w:val="00B36131"/>
    <w:rsid w:val="00B45400"/>
    <w:rsid w:val="00B52F5A"/>
    <w:rsid w:val="00B64BE6"/>
    <w:rsid w:val="00B653A0"/>
    <w:rsid w:val="00B664DA"/>
    <w:rsid w:val="00B66A46"/>
    <w:rsid w:val="00B66F3A"/>
    <w:rsid w:val="00B82676"/>
    <w:rsid w:val="00B85FCA"/>
    <w:rsid w:val="00B90B97"/>
    <w:rsid w:val="00B9617A"/>
    <w:rsid w:val="00B969C6"/>
    <w:rsid w:val="00B96D02"/>
    <w:rsid w:val="00BA2717"/>
    <w:rsid w:val="00BA5BEA"/>
    <w:rsid w:val="00BC070F"/>
    <w:rsid w:val="00BC3B8C"/>
    <w:rsid w:val="00BC50FA"/>
    <w:rsid w:val="00BD2B56"/>
    <w:rsid w:val="00BD4EAB"/>
    <w:rsid w:val="00BD7B51"/>
    <w:rsid w:val="00BE1A2A"/>
    <w:rsid w:val="00BE37ED"/>
    <w:rsid w:val="00BE47A2"/>
    <w:rsid w:val="00BE778B"/>
    <w:rsid w:val="00BF1564"/>
    <w:rsid w:val="00BF4D1F"/>
    <w:rsid w:val="00BF6823"/>
    <w:rsid w:val="00C05276"/>
    <w:rsid w:val="00C05FBB"/>
    <w:rsid w:val="00C1174B"/>
    <w:rsid w:val="00C146B6"/>
    <w:rsid w:val="00C247A9"/>
    <w:rsid w:val="00C24B02"/>
    <w:rsid w:val="00C25B58"/>
    <w:rsid w:val="00C3113A"/>
    <w:rsid w:val="00C379CC"/>
    <w:rsid w:val="00C4080C"/>
    <w:rsid w:val="00C67B45"/>
    <w:rsid w:val="00C7475E"/>
    <w:rsid w:val="00C83CFC"/>
    <w:rsid w:val="00C96178"/>
    <w:rsid w:val="00CA1D85"/>
    <w:rsid w:val="00CA3653"/>
    <w:rsid w:val="00CA4C00"/>
    <w:rsid w:val="00CA537D"/>
    <w:rsid w:val="00CA5FA3"/>
    <w:rsid w:val="00CA659D"/>
    <w:rsid w:val="00CB0802"/>
    <w:rsid w:val="00CB3337"/>
    <w:rsid w:val="00CB335E"/>
    <w:rsid w:val="00CC2B25"/>
    <w:rsid w:val="00CC4A55"/>
    <w:rsid w:val="00CC4C73"/>
    <w:rsid w:val="00CC6090"/>
    <w:rsid w:val="00CD4A2C"/>
    <w:rsid w:val="00CD5CD7"/>
    <w:rsid w:val="00D010F8"/>
    <w:rsid w:val="00D040AE"/>
    <w:rsid w:val="00D05300"/>
    <w:rsid w:val="00D06624"/>
    <w:rsid w:val="00D07DD1"/>
    <w:rsid w:val="00D12D14"/>
    <w:rsid w:val="00D1639C"/>
    <w:rsid w:val="00D23833"/>
    <w:rsid w:val="00D23EDA"/>
    <w:rsid w:val="00D3389E"/>
    <w:rsid w:val="00D34C97"/>
    <w:rsid w:val="00D37013"/>
    <w:rsid w:val="00D47DBD"/>
    <w:rsid w:val="00D505A6"/>
    <w:rsid w:val="00D50BBC"/>
    <w:rsid w:val="00D52A07"/>
    <w:rsid w:val="00D53101"/>
    <w:rsid w:val="00D53547"/>
    <w:rsid w:val="00D573F5"/>
    <w:rsid w:val="00D66A87"/>
    <w:rsid w:val="00D673DA"/>
    <w:rsid w:val="00D726A2"/>
    <w:rsid w:val="00D7338C"/>
    <w:rsid w:val="00D752A4"/>
    <w:rsid w:val="00D77AFC"/>
    <w:rsid w:val="00D818BF"/>
    <w:rsid w:val="00D8223F"/>
    <w:rsid w:val="00D933DC"/>
    <w:rsid w:val="00D96968"/>
    <w:rsid w:val="00D972DA"/>
    <w:rsid w:val="00D97D68"/>
    <w:rsid w:val="00D97DF9"/>
    <w:rsid w:val="00DA0CC1"/>
    <w:rsid w:val="00DA5225"/>
    <w:rsid w:val="00DA77F9"/>
    <w:rsid w:val="00DB5710"/>
    <w:rsid w:val="00DC1892"/>
    <w:rsid w:val="00DC2099"/>
    <w:rsid w:val="00DC5728"/>
    <w:rsid w:val="00DC75E1"/>
    <w:rsid w:val="00DD2CEA"/>
    <w:rsid w:val="00DD5AAD"/>
    <w:rsid w:val="00DD64A2"/>
    <w:rsid w:val="00DE0C13"/>
    <w:rsid w:val="00DE3202"/>
    <w:rsid w:val="00DE4953"/>
    <w:rsid w:val="00DE6793"/>
    <w:rsid w:val="00DF7278"/>
    <w:rsid w:val="00E019D7"/>
    <w:rsid w:val="00E0653D"/>
    <w:rsid w:val="00E104A8"/>
    <w:rsid w:val="00E12A62"/>
    <w:rsid w:val="00E13208"/>
    <w:rsid w:val="00E215DD"/>
    <w:rsid w:val="00E22451"/>
    <w:rsid w:val="00E23443"/>
    <w:rsid w:val="00E23866"/>
    <w:rsid w:val="00E33063"/>
    <w:rsid w:val="00E337B3"/>
    <w:rsid w:val="00E3793B"/>
    <w:rsid w:val="00E42A9F"/>
    <w:rsid w:val="00E43803"/>
    <w:rsid w:val="00E47DD1"/>
    <w:rsid w:val="00E52684"/>
    <w:rsid w:val="00E53814"/>
    <w:rsid w:val="00E53A3F"/>
    <w:rsid w:val="00E57392"/>
    <w:rsid w:val="00E65F25"/>
    <w:rsid w:val="00E664C3"/>
    <w:rsid w:val="00E70FA7"/>
    <w:rsid w:val="00E759F8"/>
    <w:rsid w:val="00E7758C"/>
    <w:rsid w:val="00E90B1F"/>
    <w:rsid w:val="00E950F6"/>
    <w:rsid w:val="00EA14CB"/>
    <w:rsid w:val="00EA1EB6"/>
    <w:rsid w:val="00EA6D67"/>
    <w:rsid w:val="00EA7F3D"/>
    <w:rsid w:val="00EB0547"/>
    <w:rsid w:val="00EB117A"/>
    <w:rsid w:val="00EB1FF4"/>
    <w:rsid w:val="00EB5534"/>
    <w:rsid w:val="00EB7908"/>
    <w:rsid w:val="00EC7DC4"/>
    <w:rsid w:val="00ED15F0"/>
    <w:rsid w:val="00ED64A6"/>
    <w:rsid w:val="00EE1648"/>
    <w:rsid w:val="00EE1A9F"/>
    <w:rsid w:val="00EE5065"/>
    <w:rsid w:val="00F02EE6"/>
    <w:rsid w:val="00F0491F"/>
    <w:rsid w:val="00F13344"/>
    <w:rsid w:val="00F17F44"/>
    <w:rsid w:val="00F2031C"/>
    <w:rsid w:val="00F21FCD"/>
    <w:rsid w:val="00F25663"/>
    <w:rsid w:val="00F26358"/>
    <w:rsid w:val="00F26805"/>
    <w:rsid w:val="00F32CCD"/>
    <w:rsid w:val="00F32D07"/>
    <w:rsid w:val="00F3340A"/>
    <w:rsid w:val="00F33E04"/>
    <w:rsid w:val="00F53B49"/>
    <w:rsid w:val="00F54706"/>
    <w:rsid w:val="00F54BC3"/>
    <w:rsid w:val="00F65005"/>
    <w:rsid w:val="00F651BB"/>
    <w:rsid w:val="00F65542"/>
    <w:rsid w:val="00F809DF"/>
    <w:rsid w:val="00F82EFA"/>
    <w:rsid w:val="00F84906"/>
    <w:rsid w:val="00F90ACD"/>
    <w:rsid w:val="00F95C1C"/>
    <w:rsid w:val="00FA0E04"/>
    <w:rsid w:val="00FA4A99"/>
    <w:rsid w:val="00FB036B"/>
    <w:rsid w:val="00FB349F"/>
    <w:rsid w:val="00FB40FF"/>
    <w:rsid w:val="00FB5FB1"/>
    <w:rsid w:val="00FC0729"/>
    <w:rsid w:val="00FC2046"/>
    <w:rsid w:val="00FC2E72"/>
    <w:rsid w:val="00FC52B5"/>
    <w:rsid w:val="00FD2736"/>
    <w:rsid w:val="00FD5220"/>
    <w:rsid w:val="00FE0241"/>
    <w:rsid w:val="00FE1D03"/>
    <w:rsid w:val="00FE5839"/>
    <w:rsid w:val="00FF20FD"/>
    <w:rsid w:val="00FF5FF6"/>
    <w:rsid w:val="00FF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4F81"/>
  <w15:chartTrackingRefBased/>
  <w15:docId w15:val="{F596D525-B5E9-44F8-BBE8-384A35F0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DB7"/>
    <w:pPr>
      <w:ind w:left="720"/>
      <w:contextualSpacing/>
    </w:pPr>
  </w:style>
  <w:style w:type="character" w:styleId="Hyperlink">
    <w:name w:val="Hyperlink"/>
    <w:basedOn w:val="DefaultParagraphFont"/>
    <w:uiPriority w:val="99"/>
    <w:unhideWhenUsed/>
    <w:rsid w:val="003004EB"/>
    <w:rPr>
      <w:color w:val="0000FF" w:themeColor="hyperlink"/>
      <w:u w:val="single"/>
    </w:rPr>
  </w:style>
  <w:style w:type="character" w:styleId="FollowedHyperlink">
    <w:name w:val="FollowedHyperlink"/>
    <w:basedOn w:val="DefaultParagraphFont"/>
    <w:uiPriority w:val="99"/>
    <w:semiHidden/>
    <w:unhideWhenUsed/>
    <w:rsid w:val="003004EB"/>
    <w:rPr>
      <w:color w:val="800080" w:themeColor="followedHyperlink"/>
      <w:u w:val="single"/>
    </w:rPr>
  </w:style>
  <w:style w:type="character" w:styleId="UnresolvedMention">
    <w:name w:val="Unresolved Mention"/>
    <w:basedOn w:val="DefaultParagraphFont"/>
    <w:uiPriority w:val="99"/>
    <w:semiHidden/>
    <w:unhideWhenUsed/>
    <w:rsid w:val="002C07EE"/>
    <w:rPr>
      <w:color w:val="605E5C"/>
      <w:shd w:val="clear" w:color="auto" w:fill="E1DFDD"/>
    </w:rPr>
  </w:style>
  <w:style w:type="character" w:customStyle="1" w:styleId="string-name">
    <w:name w:val="string-name"/>
    <w:basedOn w:val="DefaultParagraphFont"/>
    <w:rsid w:val="00AD7777"/>
  </w:style>
  <w:style w:type="character" w:customStyle="1" w:styleId="surname">
    <w:name w:val="surname"/>
    <w:basedOn w:val="DefaultParagraphFont"/>
    <w:rsid w:val="00AD7777"/>
  </w:style>
  <w:style w:type="character" w:customStyle="1" w:styleId="given-names">
    <w:name w:val="given-names"/>
    <w:basedOn w:val="DefaultParagraphFont"/>
    <w:rsid w:val="00AD7777"/>
  </w:style>
  <w:style w:type="character" w:customStyle="1" w:styleId="year">
    <w:name w:val="year"/>
    <w:basedOn w:val="DefaultParagraphFont"/>
    <w:rsid w:val="00AD7777"/>
  </w:style>
  <w:style w:type="character" w:styleId="Emphasis">
    <w:name w:val="Emphasis"/>
    <w:basedOn w:val="DefaultParagraphFont"/>
    <w:uiPriority w:val="20"/>
    <w:qFormat/>
    <w:rsid w:val="00AD7777"/>
    <w:rPr>
      <w:i/>
      <w:iCs/>
    </w:rPr>
  </w:style>
  <w:style w:type="character" w:customStyle="1" w:styleId="article-title">
    <w:name w:val="article-title"/>
    <w:basedOn w:val="DefaultParagraphFont"/>
    <w:rsid w:val="00AD7777"/>
  </w:style>
  <w:style w:type="character" w:customStyle="1" w:styleId="source">
    <w:name w:val="source"/>
    <w:basedOn w:val="DefaultParagraphFont"/>
    <w:rsid w:val="00AD7777"/>
  </w:style>
  <w:style w:type="character" w:customStyle="1" w:styleId="volume">
    <w:name w:val="volume"/>
    <w:basedOn w:val="DefaultParagraphFont"/>
    <w:rsid w:val="00AD7777"/>
  </w:style>
  <w:style w:type="character" w:customStyle="1" w:styleId="fpage">
    <w:name w:val="fpage"/>
    <w:basedOn w:val="DefaultParagraphFont"/>
    <w:rsid w:val="00AD7777"/>
  </w:style>
  <w:style w:type="character" w:customStyle="1" w:styleId="lpage">
    <w:name w:val="lpage"/>
    <w:basedOn w:val="DefaultParagraphFont"/>
    <w:rsid w:val="00AD7777"/>
  </w:style>
  <w:style w:type="table" w:styleId="TableGrid">
    <w:name w:val="Table Grid"/>
    <w:basedOn w:val="TableNormal"/>
    <w:uiPriority w:val="59"/>
    <w:rsid w:val="00FB0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482E"/>
    <w:pPr>
      <w:spacing w:after="0" w:line="240" w:lineRule="auto"/>
    </w:pPr>
  </w:style>
  <w:style w:type="character" w:styleId="CommentReference">
    <w:name w:val="annotation reference"/>
    <w:basedOn w:val="DefaultParagraphFont"/>
    <w:uiPriority w:val="99"/>
    <w:semiHidden/>
    <w:unhideWhenUsed/>
    <w:rsid w:val="006E1846"/>
    <w:rPr>
      <w:sz w:val="16"/>
      <w:szCs w:val="16"/>
    </w:rPr>
  </w:style>
  <w:style w:type="paragraph" w:styleId="CommentText">
    <w:name w:val="annotation text"/>
    <w:basedOn w:val="Normal"/>
    <w:link w:val="CommentTextChar"/>
    <w:uiPriority w:val="99"/>
    <w:unhideWhenUsed/>
    <w:rsid w:val="006E1846"/>
    <w:pPr>
      <w:spacing w:line="240" w:lineRule="auto"/>
    </w:pPr>
    <w:rPr>
      <w:sz w:val="20"/>
      <w:szCs w:val="20"/>
    </w:rPr>
  </w:style>
  <w:style w:type="character" w:customStyle="1" w:styleId="CommentTextChar">
    <w:name w:val="Comment Text Char"/>
    <w:basedOn w:val="DefaultParagraphFont"/>
    <w:link w:val="CommentText"/>
    <w:uiPriority w:val="99"/>
    <w:rsid w:val="006E1846"/>
    <w:rPr>
      <w:sz w:val="20"/>
      <w:szCs w:val="20"/>
    </w:rPr>
  </w:style>
  <w:style w:type="paragraph" w:styleId="CommentSubject">
    <w:name w:val="annotation subject"/>
    <w:basedOn w:val="CommentText"/>
    <w:next w:val="CommentText"/>
    <w:link w:val="CommentSubjectChar"/>
    <w:uiPriority w:val="99"/>
    <w:semiHidden/>
    <w:unhideWhenUsed/>
    <w:rsid w:val="006E1846"/>
    <w:rPr>
      <w:b/>
      <w:bCs/>
    </w:rPr>
  </w:style>
  <w:style w:type="character" w:customStyle="1" w:styleId="CommentSubjectChar">
    <w:name w:val="Comment Subject Char"/>
    <w:basedOn w:val="CommentTextChar"/>
    <w:link w:val="CommentSubject"/>
    <w:uiPriority w:val="99"/>
    <w:semiHidden/>
    <w:rsid w:val="006E1846"/>
    <w:rPr>
      <w:b/>
      <w:bCs/>
      <w:sz w:val="20"/>
      <w:szCs w:val="20"/>
    </w:rPr>
  </w:style>
  <w:style w:type="paragraph" w:styleId="BalloonText">
    <w:name w:val="Balloon Text"/>
    <w:basedOn w:val="Normal"/>
    <w:link w:val="BalloonTextChar"/>
    <w:uiPriority w:val="99"/>
    <w:semiHidden/>
    <w:unhideWhenUsed/>
    <w:rsid w:val="00D53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47"/>
    <w:rPr>
      <w:rFonts w:ascii="Segoe UI" w:hAnsi="Segoe UI" w:cs="Segoe UI"/>
      <w:sz w:val="18"/>
      <w:szCs w:val="18"/>
    </w:rPr>
  </w:style>
  <w:style w:type="paragraph" w:styleId="NormalWeb">
    <w:name w:val="Normal (Web)"/>
    <w:basedOn w:val="Normal"/>
    <w:uiPriority w:val="99"/>
    <w:unhideWhenUsed/>
    <w:rsid w:val="00B206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20684"/>
  </w:style>
  <w:style w:type="paragraph" w:styleId="Header">
    <w:name w:val="header"/>
    <w:basedOn w:val="Normal"/>
    <w:link w:val="HeaderChar"/>
    <w:uiPriority w:val="99"/>
    <w:unhideWhenUsed/>
    <w:rsid w:val="004E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3ED"/>
  </w:style>
  <w:style w:type="paragraph" w:styleId="Footer">
    <w:name w:val="footer"/>
    <w:basedOn w:val="Normal"/>
    <w:link w:val="FooterChar"/>
    <w:uiPriority w:val="99"/>
    <w:unhideWhenUsed/>
    <w:rsid w:val="004E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6213">
      <w:bodyDiv w:val="1"/>
      <w:marLeft w:val="0"/>
      <w:marRight w:val="0"/>
      <w:marTop w:val="0"/>
      <w:marBottom w:val="0"/>
      <w:divBdr>
        <w:top w:val="none" w:sz="0" w:space="0" w:color="auto"/>
        <w:left w:val="none" w:sz="0" w:space="0" w:color="auto"/>
        <w:bottom w:val="none" w:sz="0" w:space="0" w:color="auto"/>
        <w:right w:val="none" w:sz="0" w:space="0" w:color="auto"/>
      </w:divBdr>
    </w:div>
    <w:div w:id="1149203167">
      <w:bodyDiv w:val="1"/>
      <w:marLeft w:val="0"/>
      <w:marRight w:val="0"/>
      <w:marTop w:val="0"/>
      <w:marBottom w:val="0"/>
      <w:divBdr>
        <w:top w:val="none" w:sz="0" w:space="0" w:color="auto"/>
        <w:left w:val="none" w:sz="0" w:space="0" w:color="auto"/>
        <w:bottom w:val="none" w:sz="0" w:space="0" w:color="auto"/>
        <w:right w:val="none" w:sz="0" w:space="0" w:color="auto"/>
      </w:divBdr>
    </w:div>
    <w:div w:id="133171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chard@sussex.ac.uk" TargetMode="External"/><Relationship Id="rId13" Type="http://schemas.openxmlformats.org/officeDocument/2006/relationships/hyperlink" Target="https://doi.org/10.1097/00004583-200111000-00015" TargetMode="External"/><Relationship Id="rId18" Type="http://schemas.openxmlformats.org/officeDocument/2006/relationships/hyperlink" Target="https://digital.nhs.uk/data-and-information/publications/statistical/mental-health-of-children-and-young-people-in-england/2021-follow-up-to-the-2017-survey" TargetMode="External"/><Relationship Id="rId3" Type="http://schemas.openxmlformats.org/officeDocument/2006/relationships/styles" Target="styles.xml"/><Relationship Id="rId21" Type="http://schemas.openxmlformats.org/officeDocument/2006/relationships/hyperlink" Target="https://doi.org/10.1111/camh.12160" TargetMode="External"/><Relationship Id="rId7" Type="http://schemas.openxmlformats.org/officeDocument/2006/relationships/endnotes" Target="endnotes.xml"/><Relationship Id="rId12" Type="http://schemas.openxmlformats.org/officeDocument/2006/relationships/hyperlink" Target="https://www.gov.uk/government/consultations/transforming-children-and-young-peoples-mental-health-provision-a-green-paper" TargetMode="External"/><Relationship Id="rId17" Type="http://schemas.openxmlformats.org/officeDocument/2006/relationships/hyperlink" Target="https://doi.org/10.1002/mpr.19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google.com/scholar?q=James,+A.+C.,+Reardon,+T.,+Soler,+A.,+James,+G.,+&amp;+Creswell,+C.+(2020).+Cognitive+behavioural+therapy+for+anxiety+disorders+in+children+and+adolescents.+Cochrane+Database+of+Systematic+Reviews.+https://doi.org/10.1002/14651858.CD013162.pub2" TargetMode="External"/><Relationship Id="rId20" Type="http://schemas.openxmlformats.org/officeDocument/2006/relationships/hyperlink" Target="https://www.ons.gov.uk/peoplepopulationandcommunity/wellbeing/articles/childrensviewsonwellbeingandwhatmakesahappylifeuk2020/2020-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f.org.uk/report/adolescent-mental-health-evidence-brief2-emotional-and-behavioural-problems-in-adolescence-and-adult-outcom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02/14651858.CD013162.pub2" TargetMode="Externa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www.transformationpartners.nhs.uk/wp-content/uploads/2015/10/Mental_Health_Support_Teams_for_Children_and_Young_People_in_Education_The_Manual_October_19_FINAL.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2/14651858.CD013162.pub2"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RX2FS007.RX2.NHS.LOCAL\RX2-USF\OPERATIONS\CAMHS\West%20Sussex\Teams\MHST\ROMs%20SPSS\New%20data%20extraction\2021\Descriptive%20analysis\2021%20RCADS%20Grap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RX2FS007.RX2.NHS.LOCAL\RX2-USF\OPERATIONS\CAMHS\West%20Sussex\Teams\MHST\ROMs%20SPSS\New%20data%20extraction\2021\Descriptive%20analysis\2021%20RCADS%20Graph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881257625004305"/>
          <c:y val="0.2110230555943893"/>
          <c:w val="0.81074189030803379"/>
          <c:h val="0.50646509040495824"/>
        </c:manualLayout>
      </c:layout>
      <c:barChart>
        <c:barDir val="col"/>
        <c:grouping val="clustered"/>
        <c:varyColors val="1"/>
        <c:ser>
          <c:idx val="0"/>
          <c:order val="0"/>
          <c:tx>
            <c:strRef>
              <c:f>'Demographic Differences'!$Q$2</c:f>
              <c:strCache>
                <c:ptCount val="1"/>
                <c:pt idx="0">
                  <c:v>M</c:v>
                </c:pt>
              </c:strCache>
            </c:strRef>
          </c:tx>
          <c:invertIfNegative val="0"/>
          <c:dPt>
            <c:idx val="0"/>
            <c:invertIfNegative val="0"/>
            <c:bubble3D val="0"/>
            <c:spPr>
              <a:solidFill>
                <a:schemeClr val="dk1">
                  <a:tint val="88500"/>
                </a:schemeClr>
              </a:solidFill>
              <a:ln>
                <a:noFill/>
              </a:ln>
              <a:effectLst/>
            </c:spPr>
            <c:extLst>
              <c:ext xmlns:c16="http://schemas.microsoft.com/office/drawing/2014/chart" uri="{C3380CC4-5D6E-409C-BE32-E72D297353CC}">
                <c16:uniqueId val="{00000001-59B2-4C9F-85B6-8DA7D40EE60C}"/>
              </c:ext>
            </c:extLst>
          </c:dPt>
          <c:dPt>
            <c:idx val="1"/>
            <c:invertIfNegative val="0"/>
            <c:bubble3D val="0"/>
            <c:spPr>
              <a:solidFill>
                <a:schemeClr val="dk1">
                  <a:tint val="55000"/>
                </a:schemeClr>
              </a:solidFill>
              <a:ln>
                <a:noFill/>
              </a:ln>
              <a:effectLst/>
            </c:spPr>
            <c:extLst>
              <c:ext xmlns:c16="http://schemas.microsoft.com/office/drawing/2014/chart" uri="{C3380CC4-5D6E-409C-BE32-E72D297353CC}">
                <c16:uniqueId val="{00000003-59B2-4C9F-85B6-8DA7D40EE60C}"/>
              </c:ext>
            </c:extLst>
          </c:dPt>
          <c:dPt>
            <c:idx val="2"/>
            <c:invertIfNegative val="0"/>
            <c:bubble3D val="0"/>
            <c:spPr>
              <a:solidFill>
                <a:schemeClr val="dk1">
                  <a:tint val="75000"/>
                </a:schemeClr>
              </a:solidFill>
              <a:ln>
                <a:noFill/>
              </a:ln>
              <a:effectLst/>
            </c:spPr>
            <c:extLst>
              <c:ext xmlns:c16="http://schemas.microsoft.com/office/drawing/2014/chart" uri="{C3380CC4-5D6E-409C-BE32-E72D297353CC}">
                <c16:uniqueId val="{00000005-59B2-4C9F-85B6-8DA7D40EE60C}"/>
              </c:ext>
            </c:extLst>
          </c:dPt>
          <c:dPt>
            <c:idx val="3"/>
            <c:invertIfNegative val="0"/>
            <c:bubble3D val="0"/>
            <c:spPr>
              <a:solidFill>
                <a:schemeClr val="dk1">
                  <a:tint val="98500"/>
                </a:schemeClr>
              </a:solidFill>
              <a:ln>
                <a:noFill/>
              </a:ln>
              <a:effectLst/>
            </c:spPr>
            <c:extLst>
              <c:ext xmlns:c16="http://schemas.microsoft.com/office/drawing/2014/chart" uri="{C3380CC4-5D6E-409C-BE32-E72D297353CC}">
                <c16:uniqueId val="{00000007-59B2-4C9F-85B6-8DA7D40EE60C}"/>
              </c:ext>
            </c:extLst>
          </c:dPt>
          <c:dPt>
            <c:idx val="4"/>
            <c:invertIfNegative val="0"/>
            <c:bubble3D val="0"/>
            <c:spPr>
              <a:solidFill>
                <a:schemeClr val="dk1">
                  <a:tint val="30000"/>
                </a:schemeClr>
              </a:solidFill>
              <a:ln>
                <a:noFill/>
              </a:ln>
              <a:effectLst/>
            </c:spPr>
            <c:extLst>
              <c:ext xmlns:c16="http://schemas.microsoft.com/office/drawing/2014/chart" uri="{C3380CC4-5D6E-409C-BE32-E72D297353CC}">
                <c16:uniqueId val="{00000009-59B2-4C9F-85B6-8DA7D40EE60C}"/>
              </c:ext>
            </c:extLst>
          </c:dPt>
          <c:dPt>
            <c:idx val="5"/>
            <c:invertIfNegative val="0"/>
            <c:bubble3D val="0"/>
            <c:spPr>
              <a:solidFill>
                <a:schemeClr val="dk1">
                  <a:tint val="60000"/>
                </a:schemeClr>
              </a:solidFill>
              <a:ln>
                <a:noFill/>
              </a:ln>
              <a:effectLst/>
            </c:spPr>
            <c:extLst>
              <c:ext xmlns:c16="http://schemas.microsoft.com/office/drawing/2014/chart" uri="{C3380CC4-5D6E-409C-BE32-E72D297353CC}">
                <c16:uniqueId val="{0000000B-59B2-4C9F-85B6-8DA7D40EE60C}"/>
              </c:ext>
            </c:extLst>
          </c:dPt>
          <c:dLbls>
            <c:delete val="1"/>
          </c:dLbls>
          <c:errBars>
            <c:errBarType val="both"/>
            <c:errValType val="cust"/>
            <c:noEndCap val="0"/>
            <c:plus>
              <c:numRef>
                <c:f>'Demographic Differences'!$R$3:$R$8</c:f>
                <c:numCache>
                  <c:formatCode>General</c:formatCode>
                  <c:ptCount val="6"/>
                  <c:pt idx="0">
                    <c:v>1.79</c:v>
                  </c:pt>
                  <c:pt idx="1">
                    <c:v>1.33</c:v>
                  </c:pt>
                  <c:pt idx="2">
                    <c:v>1.85</c:v>
                  </c:pt>
                  <c:pt idx="3">
                    <c:v>1.41</c:v>
                  </c:pt>
                  <c:pt idx="4">
                    <c:v>1.23</c:v>
                  </c:pt>
                  <c:pt idx="5">
                    <c:v>2.92</c:v>
                  </c:pt>
                </c:numCache>
              </c:numRef>
            </c:plus>
            <c:minus>
              <c:numRef>
                <c:f>'Demographic Differences'!$R$3:$R$8</c:f>
                <c:numCache>
                  <c:formatCode>General</c:formatCode>
                  <c:ptCount val="6"/>
                  <c:pt idx="0">
                    <c:v>1.79</c:v>
                  </c:pt>
                  <c:pt idx="1">
                    <c:v>1.33</c:v>
                  </c:pt>
                  <c:pt idx="2">
                    <c:v>1.85</c:v>
                  </c:pt>
                  <c:pt idx="3">
                    <c:v>1.41</c:v>
                  </c:pt>
                  <c:pt idx="4">
                    <c:v>1.23</c:v>
                  </c:pt>
                  <c:pt idx="5">
                    <c:v>2.92</c:v>
                  </c:pt>
                </c:numCache>
              </c:numRef>
            </c:minus>
            <c:spPr>
              <a:noFill/>
              <a:ln w="9525" cap="flat" cmpd="sng" algn="ctr">
                <a:solidFill>
                  <a:schemeClr val="tx1">
                    <a:lumMod val="65000"/>
                    <a:lumOff val="35000"/>
                  </a:schemeClr>
                </a:solidFill>
                <a:round/>
              </a:ln>
              <a:effectLst/>
            </c:spPr>
          </c:errBars>
          <c:cat>
            <c:multiLvlStrRef>
              <c:f>'Demographic Differences'!$O$3:$P$8</c:f>
              <c:multiLvlStrCache>
                <c:ptCount val="6"/>
                <c:lvl>
                  <c:pt idx="0">
                    <c:v>Male</c:v>
                  </c:pt>
                  <c:pt idx="1">
                    <c:v>Female</c:v>
                  </c:pt>
                  <c:pt idx="2">
                    <c:v>Primary</c:v>
                  </c:pt>
                  <c:pt idx="3">
                    <c:v>Secondary</c:v>
                  </c:pt>
                  <c:pt idx="4">
                    <c:v>White</c:v>
                  </c:pt>
                  <c:pt idx="5">
                    <c:v>BAME</c:v>
                  </c:pt>
                </c:lvl>
                <c:lvl>
                  <c:pt idx="0">
                    <c:v>Gender</c:v>
                  </c:pt>
                  <c:pt idx="2">
                    <c:v>Age</c:v>
                  </c:pt>
                  <c:pt idx="4">
                    <c:v>Ethnicity</c:v>
                  </c:pt>
                </c:lvl>
              </c:multiLvlStrCache>
            </c:multiLvlStrRef>
          </c:cat>
          <c:val>
            <c:numRef>
              <c:f>'Demographic Differences'!$Q$3:$Q$8</c:f>
              <c:numCache>
                <c:formatCode>General</c:formatCode>
                <c:ptCount val="6"/>
                <c:pt idx="0">
                  <c:v>40.19</c:v>
                </c:pt>
                <c:pt idx="1">
                  <c:v>54.64</c:v>
                </c:pt>
                <c:pt idx="2">
                  <c:v>45.54</c:v>
                </c:pt>
                <c:pt idx="3">
                  <c:v>52.4</c:v>
                </c:pt>
                <c:pt idx="4">
                  <c:v>50.1</c:v>
                </c:pt>
                <c:pt idx="5">
                  <c:v>46.42</c:v>
                </c:pt>
              </c:numCache>
            </c:numRef>
          </c:val>
          <c:extLst>
            <c:ext xmlns:c16="http://schemas.microsoft.com/office/drawing/2014/chart" uri="{C3380CC4-5D6E-409C-BE32-E72D297353CC}">
              <c16:uniqueId val="{0000000C-59B2-4C9F-85B6-8DA7D40EE60C}"/>
            </c:ext>
          </c:extLst>
        </c:ser>
        <c:dLbls>
          <c:showLegendKey val="0"/>
          <c:showVal val="1"/>
          <c:showCatName val="0"/>
          <c:showSerName val="0"/>
          <c:showPercent val="0"/>
          <c:showBubbleSize val="0"/>
        </c:dLbls>
        <c:gapWidth val="158"/>
        <c:overlap val="-8"/>
        <c:axId val="406574735"/>
        <c:axId val="705171391"/>
      </c:barChart>
      <c:catAx>
        <c:axId val="406574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Demographic Variables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5171391"/>
        <c:crosses val="autoZero"/>
        <c:auto val="1"/>
        <c:lblAlgn val="ctr"/>
        <c:lblOffset val="100"/>
        <c:noMultiLvlLbl val="0"/>
      </c:catAx>
      <c:valAx>
        <c:axId val="7051713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Mean RCADS Raw Score on Total Anixety Subscale</a:t>
                </a:r>
              </a:p>
            </c:rich>
          </c:tx>
          <c:layout>
            <c:manualLayout>
              <c:xMode val="edge"/>
              <c:yMode val="edge"/>
              <c:x val="1.6656837238217693E-2"/>
              <c:y val="0.132530124871879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6574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881257625004305"/>
          <c:y val="0.2110230555943893"/>
          <c:w val="0.81074189030803379"/>
          <c:h val="0.50646509040495824"/>
        </c:manualLayout>
      </c:layout>
      <c:barChart>
        <c:barDir val="col"/>
        <c:grouping val="clustered"/>
        <c:varyColors val="1"/>
        <c:ser>
          <c:idx val="0"/>
          <c:order val="0"/>
          <c:tx>
            <c:strRef>
              <c:f>'Demographic Differences'!$K$2</c:f>
              <c:strCache>
                <c:ptCount val="1"/>
                <c:pt idx="0">
                  <c:v>M</c:v>
                </c:pt>
              </c:strCache>
            </c:strRef>
          </c:tx>
          <c:invertIfNegative val="0"/>
          <c:dPt>
            <c:idx val="0"/>
            <c:invertIfNegative val="0"/>
            <c:bubble3D val="0"/>
            <c:spPr>
              <a:solidFill>
                <a:schemeClr val="dk1">
                  <a:tint val="88500"/>
                </a:schemeClr>
              </a:solidFill>
              <a:ln>
                <a:noFill/>
              </a:ln>
              <a:effectLst/>
            </c:spPr>
            <c:extLst>
              <c:ext xmlns:c16="http://schemas.microsoft.com/office/drawing/2014/chart" uri="{C3380CC4-5D6E-409C-BE32-E72D297353CC}">
                <c16:uniqueId val="{00000001-1589-4080-B5B5-9E6956F9E9E2}"/>
              </c:ext>
            </c:extLst>
          </c:dPt>
          <c:dPt>
            <c:idx val="1"/>
            <c:invertIfNegative val="0"/>
            <c:bubble3D val="0"/>
            <c:spPr>
              <a:solidFill>
                <a:schemeClr val="dk1">
                  <a:tint val="55000"/>
                </a:schemeClr>
              </a:solidFill>
              <a:ln>
                <a:noFill/>
              </a:ln>
              <a:effectLst/>
            </c:spPr>
            <c:extLst>
              <c:ext xmlns:c16="http://schemas.microsoft.com/office/drawing/2014/chart" uri="{C3380CC4-5D6E-409C-BE32-E72D297353CC}">
                <c16:uniqueId val="{00000003-1589-4080-B5B5-9E6956F9E9E2}"/>
              </c:ext>
            </c:extLst>
          </c:dPt>
          <c:dPt>
            <c:idx val="2"/>
            <c:invertIfNegative val="0"/>
            <c:bubble3D val="0"/>
            <c:spPr>
              <a:solidFill>
                <a:schemeClr val="dk1">
                  <a:tint val="75000"/>
                </a:schemeClr>
              </a:solidFill>
              <a:ln>
                <a:noFill/>
              </a:ln>
              <a:effectLst/>
            </c:spPr>
            <c:extLst>
              <c:ext xmlns:c16="http://schemas.microsoft.com/office/drawing/2014/chart" uri="{C3380CC4-5D6E-409C-BE32-E72D297353CC}">
                <c16:uniqueId val="{00000005-1589-4080-B5B5-9E6956F9E9E2}"/>
              </c:ext>
            </c:extLst>
          </c:dPt>
          <c:dPt>
            <c:idx val="3"/>
            <c:invertIfNegative val="0"/>
            <c:bubble3D val="0"/>
            <c:spPr>
              <a:solidFill>
                <a:schemeClr val="tx1">
                  <a:lumMod val="65000"/>
                  <a:lumOff val="35000"/>
                  <a:alpha val="90000"/>
                </a:schemeClr>
              </a:solidFill>
              <a:ln>
                <a:noFill/>
              </a:ln>
              <a:effectLst/>
            </c:spPr>
            <c:extLst>
              <c:ext xmlns:c16="http://schemas.microsoft.com/office/drawing/2014/chart" uri="{C3380CC4-5D6E-409C-BE32-E72D297353CC}">
                <c16:uniqueId val="{00000007-1589-4080-B5B5-9E6956F9E9E2}"/>
              </c:ext>
            </c:extLst>
          </c:dPt>
          <c:dPt>
            <c:idx val="4"/>
            <c:invertIfNegative val="0"/>
            <c:bubble3D val="0"/>
            <c:spPr>
              <a:solidFill>
                <a:schemeClr val="dk1">
                  <a:tint val="30000"/>
                </a:schemeClr>
              </a:solidFill>
              <a:ln>
                <a:noFill/>
              </a:ln>
              <a:effectLst/>
            </c:spPr>
            <c:extLst>
              <c:ext xmlns:c16="http://schemas.microsoft.com/office/drawing/2014/chart" uri="{C3380CC4-5D6E-409C-BE32-E72D297353CC}">
                <c16:uniqueId val="{00000009-1589-4080-B5B5-9E6956F9E9E2}"/>
              </c:ext>
            </c:extLst>
          </c:dPt>
          <c:dPt>
            <c:idx val="5"/>
            <c:invertIfNegative val="0"/>
            <c:bubble3D val="0"/>
            <c:spPr>
              <a:solidFill>
                <a:schemeClr val="dk1">
                  <a:tint val="60000"/>
                </a:schemeClr>
              </a:solidFill>
              <a:ln>
                <a:noFill/>
              </a:ln>
              <a:effectLst/>
            </c:spPr>
            <c:extLst>
              <c:ext xmlns:c16="http://schemas.microsoft.com/office/drawing/2014/chart" uri="{C3380CC4-5D6E-409C-BE32-E72D297353CC}">
                <c16:uniqueId val="{0000000B-1589-4080-B5B5-9E6956F9E9E2}"/>
              </c:ext>
            </c:extLst>
          </c:dPt>
          <c:dLbls>
            <c:delete val="1"/>
          </c:dLbls>
          <c:errBars>
            <c:errBarType val="both"/>
            <c:errValType val="cust"/>
            <c:noEndCap val="0"/>
            <c:plus>
              <c:numRef>
                <c:f>'Demographic Differences'!$L$3:$L$8</c:f>
                <c:numCache>
                  <c:formatCode>General</c:formatCode>
                  <c:ptCount val="6"/>
                  <c:pt idx="0">
                    <c:v>0.57999999999999996</c:v>
                  </c:pt>
                  <c:pt idx="1">
                    <c:v>0.43</c:v>
                  </c:pt>
                  <c:pt idx="2">
                    <c:v>0.61</c:v>
                  </c:pt>
                  <c:pt idx="3">
                    <c:v>0.43</c:v>
                  </c:pt>
                  <c:pt idx="4">
                    <c:v>0.39</c:v>
                  </c:pt>
                  <c:pt idx="5">
                    <c:v>1.22</c:v>
                  </c:pt>
                </c:numCache>
              </c:numRef>
            </c:plus>
            <c:minus>
              <c:numRef>
                <c:f>'Demographic Differences'!$L$3:$L$8</c:f>
                <c:numCache>
                  <c:formatCode>General</c:formatCode>
                  <c:ptCount val="6"/>
                  <c:pt idx="0">
                    <c:v>0.57999999999999996</c:v>
                  </c:pt>
                  <c:pt idx="1">
                    <c:v>0.43</c:v>
                  </c:pt>
                  <c:pt idx="2">
                    <c:v>0.61</c:v>
                  </c:pt>
                  <c:pt idx="3">
                    <c:v>0.43</c:v>
                  </c:pt>
                  <c:pt idx="4">
                    <c:v>0.39</c:v>
                  </c:pt>
                  <c:pt idx="5">
                    <c:v>1.22</c:v>
                  </c:pt>
                </c:numCache>
              </c:numRef>
            </c:minus>
            <c:spPr>
              <a:noFill/>
              <a:ln w="9525" cap="flat" cmpd="sng" algn="ctr">
                <a:solidFill>
                  <a:schemeClr val="tx1">
                    <a:lumMod val="65000"/>
                    <a:lumOff val="35000"/>
                  </a:schemeClr>
                </a:solidFill>
                <a:round/>
              </a:ln>
              <a:effectLst/>
            </c:spPr>
          </c:errBars>
          <c:cat>
            <c:multiLvlStrRef>
              <c:f>'Demographic Differences'!$I$3:$J$8</c:f>
              <c:multiLvlStrCache>
                <c:ptCount val="6"/>
                <c:lvl>
                  <c:pt idx="0">
                    <c:v>Male</c:v>
                  </c:pt>
                  <c:pt idx="1">
                    <c:v>Female</c:v>
                  </c:pt>
                  <c:pt idx="2">
                    <c:v>Primary</c:v>
                  </c:pt>
                  <c:pt idx="3">
                    <c:v>Secondary</c:v>
                  </c:pt>
                  <c:pt idx="4">
                    <c:v>White</c:v>
                  </c:pt>
                  <c:pt idx="5">
                    <c:v>BAME</c:v>
                  </c:pt>
                </c:lvl>
                <c:lvl>
                  <c:pt idx="0">
                    <c:v>Gender</c:v>
                  </c:pt>
                  <c:pt idx="2">
                    <c:v>Age</c:v>
                  </c:pt>
                  <c:pt idx="4">
                    <c:v>Ethnicity</c:v>
                  </c:pt>
                </c:lvl>
              </c:multiLvlStrCache>
            </c:multiLvlStrRef>
          </c:cat>
          <c:val>
            <c:numRef>
              <c:f>'Demographic Differences'!$K$3:$K$8</c:f>
              <c:numCache>
                <c:formatCode>General</c:formatCode>
                <c:ptCount val="6"/>
                <c:pt idx="0">
                  <c:v>12.94</c:v>
                </c:pt>
                <c:pt idx="1">
                  <c:v>17.440000000000001</c:v>
                </c:pt>
                <c:pt idx="2">
                  <c:v>13.66</c:v>
                </c:pt>
                <c:pt idx="3">
                  <c:v>17.350000000000001</c:v>
                </c:pt>
                <c:pt idx="4">
                  <c:v>15.88</c:v>
                </c:pt>
                <c:pt idx="5">
                  <c:v>16.059999999999999</c:v>
                </c:pt>
              </c:numCache>
            </c:numRef>
          </c:val>
          <c:extLst>
            <c:ext xmlns:c16="http://schemas.microsoft.com/office/drawing/2014/chart" uri="{C3380CC4-5D6E-409C-BE32-E72D297353CC}">
              <c16:uniqueId val="{0000000C-1589-4080-B5B5-9E6956F9E9E2}"/>
            </c:ext>
          </c:extLst>
        </c:ser>
        <c:dLbls>
          <c:showLegendKey val="0"/>
          <c:showVal val="1"/>
          <c:showCatName val="0"/>
          <c:showSerName val="0"/>
          <c:showPercent val="0"/>
          <c:showBubbleSize val="0"/>
        </c:dLbls>
        <c:gapWidth val="158"/>
        <c:overlap val="-8"/>
        <c:axId val="406574735"/>
        <c:axId val="705171391"/>
      </c:barChart>
      <c:catAx>
        <c:axId val="406574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Demographic Variables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5171391"/>
        <c:crosses val="autoZero"/>
        <c:auto val="1"/>
        <c:lblAlgn val="ctr"/>
        <c:lblOffset val="100"/>
        <c:noMultiLvlLbl val="0"/>
      </c:catAx>
      <c:valAx>
        <c:axId val="7051713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Mean RCADS Raw Score on Total Depression Subscale</a:t>
                </a:r>
              </a:p>
            </c:rich>
          </c:tx>
          <c:layout>
            <c:manualLayout>
              <c:xMode val="edge"/>
              <c:yMode val="edge"/>
              <c:x val="1.6656837238217693E-2"/>
              <c:y val="0.132530124871879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6574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0.18693</cdr:x>
      <cdr:y>0.12156</cdr:y>
    </cdr:from>
    <cdr:to>
      <cdr:x>0.93805</cdr:x>
      <cdr:y>0.216</cdr:y>
    </cdr:to>
    <cdr:grpSp>
      <cdr:nvGrpSpPr>
        <cdr:cNvPr id="8" name="Group 7">
          <a:extLst xmlns:a="http://schemas.openxmlformats.org/drawingml/2006/main">
            <a:ext uri="{FF2B5EF4-FFF2-40B4-BE49-F238E27FC236}">
              <a16:creationId xmlns:a16="http://schemas.microsoft.com/office/drawing/2014/main" id="{9D454B61-AE52-4BEF-B893-41FF11F8CF13}"/>
            </a:ext>
          </a:extLst>
        </cdr:cNvPr>
        <cdr:cNvGrpSpPr/>
      </cdr:nvGrpSpPr>
      <cdr:grpSpPr>
        <a:xfrm xmlns:a="http://schemas.openxmlformats.org/drawingml/2006/main">
          <a:off x="1062963" y="375133"/>
          <a:ext cx="4271191" cy="291471"/>
          <a:chOff x="786072" y="347927"/>
          <a:chExt cx="3460542" cy="259790"/>
        </a:xfrm>
      </cdr:grpSpPr>
      <cdr:grpSp>
        <cdr:nvGrpSpPr>
          <cdr:cNvPr id="7" name="Group 6">
            <a:extLst xmlns:a="http://schemas.openxmlformats.org/drawingml/2006/main">
              <a:ext uri="{FF2B5EF4-FFF2-40B4-BE49-F238E27FC236}">
                <a16:creationId xmlns:a16="http://schemas.microsoft.com/office/drawing/2014/main" id="{F83A3279-98EB-4C94-8651-73FEADD575F5}"/>
              </a:ext>
            </a:extLst>
          </cdr:cNvPr>
          <cdr:cNvGrpSpPr/>
        </cdr:nvGrpSpPr>
        <cdr:grpSpPr>
          <a:xfrm xmlns:a="http://schemas.openxmlformats.org/drawingml/2006/main">
            <a:off x="786072" y="355685"/>
            <a:ext cx="889710" cy="252032"/>
            <a:chOff x="786072" y="355685"/>
            <a:chExt cx="889709" cy="252032"/>
          </a:xfrm>
        </cdr:grpSpPr>
        <cdr:grpSp>
          <cdr:nvGrpSpPr>
            <cdr:cNvPr id="11" name="Group 10">
              <a:extLst xmlns:a="http://schemas.openxmlformats.org/drawingml/2006/main">
                <a:ext uri="{FF2B5EF4-FFF2-40B4-BE49-F238E27FC236}">
                  <a16:creationId xmlns:a16="http://schemas.microsoft.com/office/drawing/2014/main" id="{2AFBDCD9-C420-4D7D-96F9-86129254E8F3}"/>
                </a:ext>
              </a:extLst>
            </cdr:cNvPr>
            <cdr:cNvGrpSpPr/>
          </cdr:nvGrpSpPr>
          <cdr:grpSpPr>
            <a:xfrm xmlns:a="http://schemas.openxmlformats.org/drawingml/2006/main">
              <a:off x="786072" y="547617"/>
              <a:ext cx="889709" cy="60100"/>
              <a:chOff x="932007" y="574873"/>
              <a:chExt cx="889368" cy="59996"/>
            </a:xfrm>
          </cdr:grpSpPr>
          <cdr:cxnSp macro="">
            <cdr:nvCxnSpPr>
              <cdr:cNvPr id="3" name="Straight Connector 2">
                <a:extLst xmlns:a="http://schemas.openxmlformats.org/drawingml/2006/main">
                  <a:ext uri="{FF2B5EF4-FFF2-40B4-BE49-F238E27FC236}">
                    <a16:creationId xmlns:a16="http://schemas.microsoft.com/office/drawing/2014/main" id="{23DB326E-558E-4B9D-9454-5BCDFF321099}"/>
                  </a:ext>
                </a:extLst>
              </cdr:cNvPr>
              <cdr:cNvCxnSpPr/>
            </cdr:nvCxnSpPr>
            <cdr:spPr>
              <a:xfrm xmlns:a="http://schemas.openxmlformats.org/drawingml/2006/main">
                <a:off x="932007" y="580267"/>
                <a:ext cx="889368" cy="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4" name="Straight Connector 3">
                <a:extLst xmlns:a="http://schemas.openxmlformats.org/drawingml/2006/main">
                  <a:ext uri="{FF2B5EF4-FFF2-40B4-BE49-F238E27FC236}">
                    <a16:creationId xmlns:a16="http://schemas.microsoft.com/office/drawing/2014/main" id="{8270BFCF-65FC-4B8E-904B-58F657AFDB89}"/>
                  </a:ext>
                </a:extLst>
              </cdr:cNvPr>
              <cdr:cNvCxnSpPr/>
            </cdr:nvCxnSpPr>
            <cdr:spPr>
              <a:xfrm xmlns:a="http://schemas.openxmlformats.org/drawingml/2006/main" flipH="1" flipV="1">
                <a:off x="938624" y="580089"/>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Connector 5">
                <a:extLst xmlns:a="http://schemas.openxmlformats.org/drawingml/2006/main">
                  <a:ext uri="{FF2B5EF4-FFF2-40B4-BE49-F238E27FC236}">
                    <a16:creationId xmlns:a16="http://schemas.microsoft.com/office/drawing/2014/main" id="{02BF1BA9-5805-4B4B-BCD2-9E05A03CEE5C}"/>
                  </a:ext>
                </a:extLst>
              </cdr:cNvPr>
              <cdr:cNvCxnSpPr/>
            </cdr:nvCxnSpPr>
            <cdr:spPr>
              <a:xfrm xmlns:a="http://schemas.openxmlformats.org/drawingml/2006/main" flipH="1" flipV="1">
                <a:off x="1814917" y="574873"/>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sp macro="" textlink="">
          <cdr:nvSpPr>
            <cdr:cNvPr id="16" name="TextBox 15">
              <a:extLst xmlns:a="http://schemas.openxmlformats.org/drawingml/2006/main">
                <a:ext uri="{FF2B5EF4-FFF2-40B4-BE49-F238E27FC236}">
                  <a16:creationId xmlns:a16="http://schemas.microsoft.com/office/drawing/2014/main" id="{ADCE3315-730E-4FD6-840D-1CFF03B26461}"/>
                </a:ext>
              </a:extLst>
            </cdr:cNvPr>
            <cdr:cNvSpPr txBox="1"/>
          </cdr:nvSpPr>
          <cdr:spPr>
            <a:xfrm xmlns:a="http://schemas.openxmlformats.org/drawingml/2006/main">
              <a:off x="1058907" y="355685"/>
              <a:ext cx="336153" cy="176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a:t>
              </a:r>
            </a:p>
          </cdr:txBody>
        </cdr:sp>
      </cdr:grpSp>
      <cdr:grpSp>
        <cdr:nvGrpSpPr>
          <cdr:cNvPr id="5" name="Group 4">
            <a:extLst xmlns:a="http://schemas.openxmlformats.org/drawingml/2006/main">
              <a:ext uri="{FF2B5EF4-FFF2-40B4-BE49-F238E27FC236}">
                <a16:creationId xmlns:a16="http://schemas.microsoft.com/office/drawing/2014/main" id="{B046B0D5-98EF-4B41-AEC1-36F88527DB84}"/>
              </a:ext>
            </a:extLst>
          </cdr:cNvPr>
          <cdr:cNvGrpSpPr/>
        </cdr:nvGrpSpPr>
        <cdr:grpSpPr>
          <a:xfrm xmlns:a="http://schemas.openxmlformats.org/drawingml/2006/main">
            <a:off x="2075612" y="347927"/>
            <a:ext cx="889709" cy="246863"/>
            <a:chOff x="2110890" y="343517"/>
            <a:chExt cx="889709" cy="246863"/>
          </a:xfrm>
        </cdr:grpSpPr>
        <cdr:grpSp>
          <cdr:nvGrpSpPr>
            <cdr:cNvPr id="12" name="Group 11">
              <a:extLst xmlns:a="http://schemas.openxmlformats.org/drawingml/2006/main">
                <a:ext uri="{FF2B5EF4-FFF2-40B4-BE49-F238E27FC236}">
                  <a16:creationId xmlns:a16="http://schemas.microsoft.com/office/drawing/2014/main" id="{8F63C4BA-EE41-4B8C-96EE-4029B1E5B04D}"/>
                </a:ext>
              </a:extLst>
            </cdr:cNvPr>
            <cdr:cNvGrpSpPr/>
          </cdr:nvGrpSpPr>
          <cdr:grpSpPr>
            <a:xfrm xmlns:a="http://schemas.openxmlformats.org/drawingml/2006/main">
              <a:off x="2110890" y="530253"/>
              <a:ext cx="889709" cy="60127"/>
              <a:chOff x="-24685" y="-81324"/>
              <a:chExt cx="889368" cy="59996"/>
            </a:xfrm>
          </cdr:grpSpPr>
          <cdr:cxnSp macro="">
            <cdr:nvCxnSpPr>
              <cdr:cNvPr id="13" name="Straight Connector 12">
                <a:extLst xmlns:a="http://schemas.openxmlformats.org/drawingml/2006/main">
                  <a:ext uri="{FF2B5EF4-FFF2-40B4-BE49-F238E27FC236}">
                    <a16:creationId xmlns:a16="http://schemas.microsoft.com/office/drawing/2014/main" id="{BBE98C9E-11B1-4649-BF87-A97D96CD546D}"/>
                  </a:ext>
                </a:extLst>
              </cdr:cNvPr>
              <cdr:cNvCxnSpPr/>
            </cdr:nvCxnSpPr>
            <cdr:spPr>
              <a:xfrm xmlns:a="http://schemas.openxmlformats.org/drawingml/2006/main">
                <a:off x="-24685" y="-75930"/>
                <a:ext cx="889368" cy="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4" name="Straight Connector 13">
                <a:extLst xmlns:a="http://schemas.openxmlformats.org/drawingml/2006/main">
                  <a:ext uri="{FF2B5EF4-FFF2-40B4-BE49-F238E27FC236}">
                    <a16:creationId xmlns:a16="http://schemas.microsoft.com/office/drawing/2014/main" id="{95D72D0D-01DF-41A7-A8E9-6956A8DDAC66}"/>
                  </a:ext>
                </a:extLst>
              </cdr:cNvPr>
              <cdr:cNvCxnSpPr/>
            </cdr:nvCxnSpPr>
            <cdr:spPr>
              <a:xfrm xmlns:a="http://schemas.openxmlformats.org/drawingml/2006/main" flipH="1" flipV="1">
                <a:off x="-18069" y="-76108"/>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5" name="Straight Connector 14">
                <a:extLst xmlns:a="http://schemas.openxmlformats.org/drawingml/2006/main">
                  <a:ext uri="{FF2B5EF4-FFF2-40B4-BE49-F238E27FC236}">
                    <a16:creationId xmlns:a16="http://schemas.microsoft.com/office/drawing/2014/main" id="{0C448472-D8D3-4A45-85E9-3ABDB0F4F0ED}"/>
                  </a:ext>
                </a:extLst>
              </cdr:cNvPr>
              <cdr:cNvCxnSpPr/>
            </cdr:nvCxnSpPr>
            <cdr:spPr>
              <a:xfrm xmlns:a="http://schemas.openxmlformats.org/drawingml/2006/main" flipH="1" flipV="1">
                <a:off x="858225" y="-81324"/>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sp macro="" textlink="">
          <cdr:nvSpPr>
            <cdr:cNvPr id="21" name="TextBox 1">
              <a:extLst xmlns:a="http://schemas.openxmlformats.org/drawingml/2006/main">
                <a:ext uri="{FF2B5EF4-FFF2-40B4-BE49-F238E27FC236}">
                  <a16:creationId xmlns:a16="http://schemas.microsoft.com/office/drawing/2014/main" id="{BBB8BCE5-D0A7-44F0-AC53-608D2E5C0904}"/>
                </a:ext>
              </a:extLst>
            </cdr:cNvPr>
            <cdr:cNvSpPr txBox="1"/>
          </cdr:nvSpPr>
          <cdr:spPr>
            <a:xfrm xmlns:a="http://schemas.openxmlformats.org/drawingml/2006/main">
              <a:off x="2374258" y="343517"/>
              <a:ext cx="336154" cy="1760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a:t>
              </a:r>
            </a:p>
          </cdr:txBody>
        </cdr:sp>
      </cdr:grpSp>
      <cdr:grpSp>
        <cdr:nvGrpSpPr>
          <cdr:cNvPr id="2" name="Group 1">
            <a:extLst xmlns:a="http://schemas.openxmlformats.org/drawingml/2006/main">
              <a:ext uri="{FF2B5EF4-FFF2-40B4-BE49-F238E27FC236}">
                <a16:creationId xmlns:a16="http://schemas.microsoft.com/office/drawing/2014/main" id="{201159D9-2AD2-4400-86E5-8F2D6644787B}"/>
              </a:ext>
            </a:extLst>
          </cdr:cNvPr>
          <cdr:cNvGrpSpPr/>
        </cdr:nvGrpSpPr>
        <cdr:grpSpPr>
          <a:xfrm xmlns:a="http://schemas.openxmlformats.org/drawingml/2006/main">
            <a:off x="3361245" y="348346"/>
            <a:ext cx="885369" cy="233462"/>
            <a:chOff x="3361245" y="348347"/>
            <a:chExt cx="885369" cy="233462"/>
          </a:xfrm>
        </cdr:grpSpPr>
        <cdr:grpSp>
          <cdr:nvGrpSpPr>
            <cdr:cNvPr id="18" name="Group 17">
              <a:extLst xmlns:a="http://schemas.openxmlformats.org/drawingml/2006/main">
                <a:ext uri="{FF2B5EF4-FFF2-40B4-BE49-F238E27FC236}">
                  <a16:creationId xmlns:a16="http://schemas.microsoft.com/office/drawing/2014/main" id="{C6933FAB-4AD9-4FF8-BBDF-18F5B538C9D0}"/>
                </a:ext>
              </a:extLst>
            </cdr:cNvPr>
            <cdr:cNvGrpSpPr/>
          </cdr:nvGrpSpPr>
          <cdr:grpSpPr>
            <a:xfrm xmlns:a="http://schemas.openxmlformats.org/drawingml/2006/main">
              <a:off x="3361245" y="521130"/>
              <a:ext cx="885369" cy="60679"/>
              <a:chOff x="0" y="-67154"/>
              <a:chExt cx="885040" cy="59997"/>
            </a:xfrm>
          </cdr:grpSpPr>
          <cdr:cxnSp macro="">
            <cdr:nvCxnSpPr>
              <cdr:cNvPr id="19" name="Straight Connector 18">
                <a:extLst xmlns:a="http://schemas.openxmlformats.org/drawingml/2006/main">
                  <a:ext uri="{FF2B5EF4-FFF2-40B4-BE49-F238E27FC236}">
                    <a16:creationId xmlns:a16="http://schemas.microsoft.com/office/drawing/2014/main" id="{DA585CAB-5076-44ED-B5C7-9FDF4DAD1299}"/>
                  </a:ext>
                </a:extLst>
              </cdr:cNvPr>
              <cdr:cNvCxnSpPr/>
            </cdr:nvCxnSpPr>
            <cdr:spPr>
              <a:xfrm xmlns:a="http://schemas.openxmlformats.org/drawingml/2006/main">
                <a:off x="0" y="-61760"/>
                <a:ext cx="885040" cy="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20" name="Straight Connector 19">
                <a:extLst xmlns:a="http://schemas.openxmlformats.org/drawingml/2006/main">
                  <a:ext uri="{FF2B5EF4-FFF2-40B4-BE49-F238E27FC236}">
                    <a16:creationId xmlns:a16="http://schemas.microsoft.com/office/drawing/2014/main" id="{7B76E5E4-F4B4-462B-B7A1-6570551AD81D}"/>
                  </a:ext>
                </a:extLst>
              </cdr:cNvPr>
              <cdr:cNvCxnSpPr/>
            </cdr:nvCxnSpPr>
            <cdr:spPr>
              <a:xfrm xmlns:a="http://schemas.openxmlformats.org/drawingml/2006/main" flipH="1" flipV="1">
                <a:off x="6585" y="-61937"/>
                <a:ext cx="972"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22" name="Straight Connector 21">
                <a:extLst xmlns:a="http://schemas.openxmlformats.org/drawingml/2006/main">
                  <a:ext uri="{FF2B5EF4-FFF2-40B4-BE49-F238E27FC236}">
                    <a16:creationId xmlns:a16="http://schemas.microsoft.com/office/drawing/2014/main" id="{4899DD2B-3366-4F43-B22B-DA953B0F110E}"/>
                  </a:ext>
                </a:extLst>
              </cdr:cNvPr>
              <cdr:cNvCxnSpPr/>
            </cdr:nvCxnSpPr>
            <cdr:spPr>
              <a:xfrm xmlns:a="http://schemas.openxmlformats.org/drawingml/2006/main" flipH="1" flipV="1">
                <a:off x="878613" y="-67154"/>
                <a:ext cx="972"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sp macro="" textlink="">
          <cdr:nvSpPr>
            <cdr:cNvPr id="23" name="TextBox 1">
              <a:extLst xmlns:a="http://schemas.openxmlformats.org/drawingml/2006/main">
                <a:ext uri="{FF2B5EF4-FFF2-40B4-BE49-F238E27FC236}">
                  <a16:creationId xmlns:a16="http://schemas.microsoft.com/office/drawing/2014/main" id="{DF26336A-CA64-4586-B5EE-AA6382942090}"/>
                </a:ext>
              </a:extLst>
            </cdr:cNvPr>
            <cdr:cNvSpPr txBox="1"/>
          </cdr:nvSpPr>
          <cdr:spPr>
            <a:xfrm xmlns:a="http://schemas.openxmlformats.org/drawingml/2006/main">
              <a:off x="3655766" y="348347"/>
              <a:ext cx="336154" cy="1760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700" b="1" i="1"/>
                <a:t>ns</a:t>
              </a:r>
            </a:p>
          </cdr:txBody>
        </cdr:sp>
      </cdr:grpSp>
    </cdr:grpSp>
  </cdr:relSizeAnchor>
</c:userShapes>
</file>

<file path=word/drawings/drawing2.xml><?xml version="1.0" encoding="utf-8"?>
<c:userShapes xmlns:c="http://schemas.openxmlformats.org/drawingml/2006/chart">
  <cdr:relSizeAnchor xmlns:cdr="http://schemas.openxmlformats.org/drawingml/2006/chartDrawing">
    <cdr:from>
      <cdr:x>0.19096</cdr:x>
      <cdr:y>0.14166</cdr:y>
    </cdr:from>
    <cdr:to>
      <cdr:x>0.92941</cdr:x>
      <cdr:y>0.24587</cdr:y>
    </cdr:to>
    <cdr:grpSp>
      <cdr:nvGrpSpPr>
        <cdr:cNvPr id="8" name="Group 7">
          <a:extLst xmlns:a="http://schemas.openxmlformats.org/drawingml/2006/main">
            <a:ext uri="{FF2B5EF4-FFF2-40B4-BE49-F238E27FC236}">
              <a16:creationId xmlns:a16="http://schemas.microsoft.com/office/drawing/2014/main" id="{9D454B61-AE52-4BEF-B893-41FF11F8CF13}"/>
            </a:ext>
          </a:extLst>
        </cdr:cNvPr>
        <cdr:cNvGrpSpPr/>
      </cdr:nvGrpSpPr>
      <cdr:grpSpPr>
        <a:xfrm xmlns:a="http://schemas.openxmlformats.org/drawingml/2006/main">
          <a:off x="1070722" y="405693"/>
          <a:ext cx="4140526" cy="298442"/>
          <a:chOff x="872504" y="389644"/>
          <a:chExt cx="3374110" cy="286647"/>
        </a:xfrm>
      </cdr:grpSpPr>
      <cdr:grpSp>
        <cdr:nvGrpSpPr>
          <cdr:cNvPr id="7" name="Group 6">
            <a:extLst xmlns:a="http://schemas.openxmlformats.org/drawingml/2006/main">
              <a:ext uri="{FF2B5EF4-FFF2-40B4-BE49-F238E27FC236}">
                <a16:creationId xmlns:a16="http://schemas.microsoft.com/office/drawing/2014/main" id="{F83A3279-98EB-4C94-8651-73FEADD575F5}"/>
              </a:ext>
            </a:extLst>
          </cdr:cNvPr>
          <cdr:cNvGrpSpPr/>
        </cdr:nvGrpSpPr>
        <cdr:grpSpPr>
          <a:xfrm xmlns:a="http://schemas.openxmlformats.org/drawingml/2006/main">
            <a:off x="872504" y="389644"/>
            <a:ext cx="889707" cy="252032"/>
            <a:chOff x="872504" y="389644"/>
            <a:chExt cx="889708" cy="252032"/>
          </a:xfrm>
        </cdr:grpSpPr>
        <cdr:grpSp>
          <cdr:nvGrpSpPr>
            <cdr:cNvPr id="11" name="Group 10">
              <a:extLst xmlns:a="http://schemas.openxmlformats.org/drawingml/2006/main">
                <a:ext uri="{FF2B5EF4-FFF2-40B4-BE49-F238E27FC236}">
                  <a16:creationId xmlns:a16="http://schemas.microsoft.com/office/drawing/2014/main" id="{2AFBDCD9-C420-4D7D-96F9-86129254E8F3}"/>
                </a:ext>
              </a:extLst>
            </cdr:cNvPr>
            <cdr:cNvGrpSpPr/>
          </cdr:nvGrpSpPr>
          <cdr:grpSpPr>
            <a:xfrm xmlns:a="http://schemas.openxmlformats.org/drawingml/2006/main">
              <a:off x="872504" y="581576"/>
              <a:ext cx="889708" cy="60100"/>
              <a:chOff x="1018406" y="608773"/>
              <a:chExt cx="889367" cy="59996"/>
            </a:xfrm>
          </cdr:grpSpPr>
          <cdr:cxnSp macro="">
            <cdr:nvCxnSpPr>
              <cdr:cNvPr id="3" name="Straight Connector 2">
                <a:extLst xmlns:a="http://schemas.openxmlformats.org/drawingml/2006/main">
                  <a:ext uri="{FF2B5EF4-FFF2-40B4-BE49-F238E27FC236}">
                    <a16:creationId xmlns:a16="http://schemas.microsoft.com/office/drawing/2014/main" id="{23DB326E-558E-4B9D-9454-5BCDFF321099}"/>
                  </a:ext>
                </a:extLst>
              </cdr:cNvPr>
              <cdr:cNvCxnSpPr/>
            </cdr:nvCxnSpPr>
            <cdr:spPr>
              <a:xfrm xmlns:a="http://schemas.openxmlformats.org/drawingml/2006/main">
                <a:off x="1018407" y="614167"/>
                <a:ext cx="889368" cy="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4" name="Straight Connector 3">
                <a:extLst xmlns:a="http://schemas.openxmlformats.org/drawingml/2006/main">
                  <a:ext uri="{FF2B5EF4-FFF2-40B4-BE49-F238E27FC236}">
                    <a16:creationId xmlns:a16="http://schemas.microsoft.com/office/drawing/2014/main" id="{8270BFCF-65FC-4B8E-904B-58F657AFDB89}"/>
                  </a:ext>
                </a:extLst>
              </cdr:cNvPr>
              <cdr:cNvCxnSpPr/>
            </cdr:nvCxnSpPr>
            <cdr:spPr>
              <a:xfrm xmlns:a="http://schemas.openxmlformats.org/drawingml/2006/main" flipH="1" flipV="1">
                <a:off x="1025024" y="613989"/>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Connector 5">
                <a:extLst xmlns:a="http://schemas.openxmlformats.org/drawingml/2006/main">
                  <a:ext uri="{FF2B5EF4-FFF2-40B4-BE49-F238E27FC236}">
                    <a16:creationId xmlns:a16="http://schemas.microsoft.com/office/drawing/2014/main" id="{02BF1BA9-5805-4B4B-BCD2-9E05A03CEE5C}"/>
                  </a:ext>
                </a:extLst>
              </cdr:cNvPr>
              <cdr:cNvCxnSpPr/>
            </cdr:nvCxnSpPr>
            <cdr:spPr>
              <a:xfrm xmlns:a="http://schemas.openxmlformats.org/drawingml/2006/main" flipH="1" flipV="1">
                <a:off x="1901317" y="608773"/>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sp macro="" textlink="">
          <cdr:nvSpPr>
            <cdr:cNvPr id="16" name="TextBox 15">
              <a:extLst xmlns:a="http://schemas.openxmlformats.org/drawingml/2006/main">
                <a:ext uri="{FF2B5EF4-FFF2-40B4-BE49-F238E27FC236}">
                  <a16:creationId xmlns:a16="http://schemas.microsoft.com/office/drawing/2014/main" id="{ADCE3315-730E-4FD6-840D-1CFF03B26461}"/>
                </a:ext>
              </a:extLst>
            </cdr:cNvPr>
            <cdr:cNvSpPr txBox="1"/>
          </cdr:nvSpPr>
          <cdr:spPr>
            <a:xfrm xmlns:a="http://schemas.openxmlformats.org/drawingml/2006/main">
              <a:off x="1145339" y="389644"/>
              <a:ext cx="336153" cy="176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a:t>
              </a:r>
            </a:p>
          </cdr:txBody>
        </cdr:sp>
      </cdr:grpSp>
      <cdr:grpSp>
        <cdr:nvGrpSpPr>
          <cdr:cNvPr id="5" name="Group 4">
            <a:extLst xmlns:a="http://schemas.openxmlformats.org/drawingml/2006/main">
              <a:ext uri="{FF2B5EF4-FFF2-40B4-BE49-F238E27FC236}">
                <a16:creationId xmlns:a16="http://schemas.microsoft.com/office/drawing/2014/main" id="{B046B0D5-98EF-4B41-AEC1-36F88527DB84}"/>
              </a:ext>
            </a:extLst>
          </cdr:cNvPr>
          <cdr:cNvGrpSpPr/>
        </cdr:nvGrpSpPr>
        <cdr:grpSpPr>
          <a:xfrm xmlns:a="http://schemas.openxmlformats.org/drawingml/2006/main">
            <a:off x="2100306" y="429427"/>
            <a:ext cx="889709" cy="246864"/>
            <a:chOff x="2135585" y="425018"/>
            <a:chExt cx="889709" cy="246863"/>
          </a:xfrm>
        </cdr:grpSpPr>
        <cdr:grpSp>
          <cdr:nvGrpSpPr>
            <cdr:cNvPr id="12" name="Group 11">
              <a:extLst xmlns:a="http://schemas.openxmlformats.org/drawingml/2006/main">
                <a:ext uri="{FF2B5EF4-FFF2-40B4-BE49-F238E27FC236}">
                  <a16:creationId xmlns:a16="http://schemas.microsoft.com/office/drawing/2014/main" id="{8F63C4BA-EE41-4B8C-96EE-4029B1E5B04D}"/>
                </a:ext>
              </a:extLst>
            </cdr:cNvPr>
            <cdr:cNvGrpSpPr/>
          </cdr:nvGrpSpPr>
          <cdr:grpSpPr>
            <a:xfrm xmlns:a="http://schemas.openxmlformats.org/drawingml/2006/main">
              <a:off x="2135585" y="611754"/>
              <a:ext cx="889709" cy="60127"/>
              <a:chOff x="0" y="0"/>
              <a:chExt cx="889368" cy="59996"/>
            </a:xfrm>
          </cdr:grpSpPr>
          <cdr:cxnSp macro="">
            <cdr:nvCxnSpPr>
              <cdr:cNvPr id="13" name="Straight Connector 12">
                <a:extLst xmlns:a="http://schemas.openxmlformats.org/drawingml/2006/main">
                  <a:ext uri="{FF2B5EF4-FFF2-40B4-BE49-F238E27FC236}">
                    <a16:creationId xmlns:a16="http://schemas.microsoft.com/office/drawing/2014/main" id="{BBE98C9E-11B1-4649-BF87-A97D96CD546D}"/>
                  </a:ext>
                </a:extLst>
              </cdr:cNvPr>
              <cdr:cNvCxnSpPr/>
            </cdr:nvCxnSpPr>
            <cdr:spPr>
              <a:xfrm xmlns:a="http://schemas.openxmlformats.org/drawingml/2006/main">
                <a:off x="0" y="5394"/>
                <a:ext cx="889368" cy="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4" name="Straight Connector 13">
                <a:extLst xmlns:a="http://schemas.openxmlformats.org/drawingml/2006/main">
                  <a:ext uri="{FF2B5EF4-FFF2-40B4-BE49-F238E27FC236}">
                    <a16:creationId xmlns:a16="http://schemas.microsoft.com/office/drawing/2014/main" id="{95D72D0D-01DF-41A7-A8E9-6956A8DDAC66}"/>
                  </a:ext>
                </a:extLst>
              </cdr:cNvPr>
              <cdr:cNvCxnSpPr/>
            </cdr:nvCxnSpPr>
            <cdr:spPr>
              <a:xfrm xmlns:a="http://schemas.openxmlformats.org/drawingml/2006/main" flipH="1" flipV="1">
                <a:off x="6617" y="5216"/>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5" name="Straight Connector 14">
                <a:extLst xmlns:a="http://schemas.openxmlformats.org/drawingml/2006/main">
                  <a:ext uri="{FF2B5EF4-FFF2-40B4-BE49-F238E27FC236}">
                    <a16:creationId xmlns:a16="http://schemas.microsoft.com/office/drawing/2014/main" id="{0C448472-D8D3-4A45-85E9-3ABDB0F4F0ED}"/>
                  </a:ext>
                </a:extLst>
              </cdr:cNvPr>
              <cdr:cNvCxnSpPr/>
            </cdr:nvCxnSpPr>
            <cdr:spPr>
              <a:xfrm xmlns:a="http://schemas.openxmlformats.org/drawingml/2006/main" flipH="1" flipV="1">
                <a:off x="882910" y="0"/>
                <a:ext cx="977"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sp macro="" textlink="">
          <cdr:nvSpPr>
            <cdr:cNvPr id="21" name="TextBox 1">
              <a:extLst xmlns:a="http://schemas.openxmlformats.org/drawingml/2006/main">
                <a:ext uri="{FF2B5EF4-FFF2-40B4-BE49-F238E27FC236}">
                  <a16:creationId xmlns:a16="http://schemas.microsoft.com/office/drawing/2014/main" id="{BBB8BCE5-D0A7-44F0-AC53-608D2E5C0904}"/>
                </a:ext>
              </a:extLst>
            </cdr:cNvPr>
            <cdr:cNvSpPr txBox="1"/>
          </cdr:nvSpPr>
          <cdr:spPr>
            <a:xfrm xmlns:a="http://schemas.openxmlformats.org/drawingml/2006/main">
              <a:off x="2398952" y="425018"/>
              <a:ext cx="336154" cy="1760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a:t>
              </a:r>
            </a:p>
          </cdr:txBody>
        </cdr:sp>
      </cdr:grpSp>
      <cdr:grpSp>
        <cdr:nvGrpSpPr>
          <cdr:cNvPr id="2" name="Group 1">
            <a:extLst xmlns:a="http://schemas.openxmlformats.org/drawingml/2006/main">
              <a:ext uri="{FF2B5EF4-FFF2-40B4-BE49-F238E27FC236}">
                <a16:creationId xmlns:a16="http://schemas.microsoft.com/office/drawing/2014/main" id="{201159D9-2AD2-4400-86E5-8F2D6644787B}"/>
              </a:ext>
            </a:extLst>
          </cdr:cNvPr>
          <cdr:cNvGrpSpPr/>
        </cdr:nvGrpSpPr>
        <cdr:grpSpPr>
          <a:xfrm xmlns:a="http://schemas.openxmlformats.org/drawingml/2006/main">
            <a:off x="3361245" y="416264"/>
            <a:ext cx="885369" cy="233460"/>
            <a:chOff x="3361245" y="416265"/>
            <a:chExt cx="885369" cy="233460"/>
          </a:xfrm>
        </cdr:grpSpPr>
        <cdr:grpSp>
          <cdr:nvGrpSpPr>
            <cdr:cNvPr id="18" name="Group 17">
              <a:extLst xmlns:a="http://schemas.openxmlformats.org/drawingml/2006/main">
                <a:ext uri="{FF2B5EF4-FFF2-40B4-BE49-F238E27FC236}">
                  <a16:creationId xmlns:a16="http://schemas.microsoft.com/office/drawing/2014/main" id="{C6933FAB-4AD9-4FF8-BBDF-18F5B538C9D0}"/>
                </a:ext>
              </a:extLst>
            </cdr:cNvPr>
            <cdr:cNvGrpSpPr/>
          </cdr:nvGrpSpPr>
          <cdr:grpSpPr>
            <a:xfrm xmlns:a="http://schemas.openxmlformats.org/drawingml/2006/main">
              <a:off x="3361245" y="589047"/>
              <a:ext cx="885369" cy="60678"/>
              <a:chOff x="0" y="0"/>
              <a:chExt cx="885040" cy="59996"/>
            </a:xfrm>
          </cdr:grpSpPr>
          <cdr:cxnSp macro="">
            <cdr:nvCxnSpPr>
              <cdr:cNvPr id="19" name="Straight Connector 18">
                <a:extLst xmlns:a="http://schemas.openxmlformats.org/drawingml/2006/main">
                  <a:ext uri="{FF2B5EF4-FFF2-40B4-BE49-F238E27FC236}">
                    <a16:creationId xmlns:a16="http://schemas.microsoft.com/office/drawing/2014/main" id="{DA585CAB-5076-44ED-B5C7-9FDF4DAD1299}"/>
                  </a:ext>
                </a:extLst>
              </cdr:cNvPr>
              <cdr:cNvCxnSpPr/>
            </cdr:nvCxnSpPr>
            <cdr:spPr>
              <a:xfrm xmlns:a="http://schemas.openxmlformats.org/drawingml/2006/main">
                <a:off x="0" y="5394"/>
                <a:ext cx="885040" cy="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20" name="Straight Connector 19">
                <a:extLst xmlns:a="http://schemas.openxmlformats.org/drawingml/2006/main">
                  <a:ext uri="{FF2B5EF4-FFF2-40B4-BE49-F238E27FC236}">
                    <a16:creationId xmlns:a16="http://schemas.microsoft.com/office/drawing/2014/main" id="{7B76E5E4-F4B4-462B-B7A1-6570551AD81D}"/>
                  </a:ext>
                </a:extLst>
              </cdr:cNvPr>
              <cdr:cNvCxnSpPr/>
            </cdr:nvCxnSpPr>
            <cdr:spPr>
              <a:xfrm xmlns:a="http://schemas.openxmlformats.org/drawingml/2006/main" flipH="1" flipV="1">
                <a:off x="6585" y="5216"/>
                <a:ext cx="972"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22" name="Straight Connector 21">
                <a:extLst xmlns:a="http://schemas.openxmlformats.org/drawingml/2006/main">
                  <a:ext uri="{FF2B5EF4-FFF2-40B4-BE49-F238E27FC236}">
                    <a16:creationId xmlns:a16="http://schemas.microsoft.com/office/drawing/2014/main" id="{4899DD2B-3366-4F43-B22B-DA953B0F110E}"/>
                  </a:ext>
                </a:extLst>
              </cdr:cNvPr>
              <cdr:cNvCxnSpPr/>
            </cdr:nvCxnSpPr>
            <cdr:spPr>
              <a:xfrm xmlns:a="http://schemas.openxmlformats.org/drawingml/2006/main" flipH="1" flipV="1">
                <a:off x="878613" y="0"/>
                <a:ext cx="972" cy="54780"/>
              </a:xfrm>
              <a:prstGeom xmlns:a="http://schemas.openxmlformats.org/drawingml/2006/main" prst="line">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sp macro="" textlink="">
          <cdr:nvSpPr>
            <cdr:cNvPr id="23" name="TextBox 1">
              <a:extLst xmlns:a="http://schemas.openxmlformats.org/drawingml/2006/main">
                <a:ext uri="{FF2B5EF4-FFF2-40B4-BE49-F238E27FC236}">
                  <a16:creationId xmlns:a16="http://schemas.microsoft.com/office/drawing/2014/main" id="{DF26336A-CA64-4586-B5EE-AA6382942090}"/>
                </a:ext>
              </a:extLst>
            </cdr:cNvPr>
            <cdr:cNvSpPr txBox="1"/>
          </cdr:nvSpPr>
          <cdr:spPr>
            <a:xfrm xmlns:a="http://schemas.openxmlformats.org/drawingml/2006/main">
              <a:off x="3655766" y="416265"/>
              <a:ext cx="336154" cy="1760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700" b="1" i="1"/>
                <a:t>ns</a:t>
              </a:r>
            </a:p>
          </cdr:txBody>
        </cdr:sp>
      </cdr:grp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B9A9-0B6B-46BB-9A15-E475545E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7329</Words>
  <Characters>41777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SPFT</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Emilia (SPFT)</dc:creator>
  <cp:keywords/>
  <dc:description/>
  <cp:lastModifiedBy>Milly Robinson</cp:lastModifiedBy>
  <cp:revision>14</cp:revision>
  <dcterms:created xsi:type="dcterms:W3CDTF">2024-12-02T11:15:00Z</dcterms:created>
  <dcterms:modified xsi:type="dcterms:W3CDTF">2024-12-16T13:25:00Z</dcterms:modified>
</cp:coreProperties>
</file>